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2680353" w14:textId="48220151" w:rsidR="00F06E14" w:rsidRPr="00E162C4" w:rsidRDefault="00332B08" w:rsidP="00A51D1A">
      <w:pPr>
        <w:pStyle w:val="Reporttitle"/>
      </w:pPr>
      <w:r>
        <w:t xml:space="preserve">Proposed </w:t>
      </w:r>
      <w:r w:rsidR="00F63807">
        <w:t>changes to</w:t>
      </w:r>
      <w:r>
        <w:t xml:space="preserve"> </w:t>
      </w:r>
      <w:r w:rsidR="007A3068">
        <w:t>r</w:t>
      </w:r>
      <w:r>
        <w:t xml:space="preserve">adiocommunications </w:t>
      </w:r>
      <w:r w:rsidR="007A3068">
        <w:t>e</w:t>
      </w:r>
      <w:r>
        <w:t xml:space="preserve">quipment </w:t>
      </w:r>
      <w:r w:rsidR="007A3068">
        <w:t>r</w:t>
      </w:r>
      <w:r>
        <w:t xml:space="preserve">egulation                                        </w:t>
      </w:r>
    </w:p>
    <w:p w14:paraId="0B54590D" w14:textId="56E0AA07" w:rsidR="00F06E14" w:rsidRPr="00E162C4" w:rsidRDefault="00770B3F" w:rsidP="00F06E14">
      <w:pPr>
        <w:pStyle w:val="Reportsubtitle"/>
      </w:pPr>
      <w:r w:rsidRPr="00E162C4">
        <w:t xml:space="preserve">Consultation </w:t>
      </w:r>
      <w:r w:rsidR="00332B08">
        <w:t>paper</w:t>
      </w:r>
    </w:p>
    <w:p w14:paraId="3DE90FA7" w14:textId="7438D3B7" w:rsidR="00C97736" w:rsidRPr="00E162C4" w:rsidRDefault="00332B08" w:rsidP="00EC2B68">
      <w:pPr>
        <w:pStyle w:val="Reportdate"/>
        <w:spacing w:after="720"/>
        <w:rPr>
          <w:rFonts w:cs="Arial"/>
        </w:rPr>
        <w:sectPr w:rsidR="00C97736" w:rsidRPr="00E162C4" w:rsidSect="0021426C">
          <w:headerReference w:type="default" r:id="rId8"/>
          <w:footerReference w:type="default" r:id="rId9"/>
          <w:pgSz w:w="11906" w:h="16838" w:code="9"/>
          <w:pgMar w:top="3924" w:right="992" w:bottom="1440" w:left="1134" w:header="709" w:footer="454" w:gutter="0"/>
          <w:cols w:space="708"/>
          <w:docGrid w:linePitch="360"/>
        </w:sectPr>
      </w:pPr>
      <w:r>
        <w:t>November</w:t>
      </w:r>
      <w:r w:rsidR="00BD4421" w:rsidRPr="00E162C4">
        <w:t xml:space="preserve"> 20</w:t>
      </w:r>
      <w:r w:rsidR="008E0428" w:rsidRPr="00E162C4">
        <w:t>2</w:t>
      </w:r>
      <w:r w:rsidR="00E162C4">
        <w:t>2</w:t>
      </w:r>
    </w:p>
    <w:p w14:paraId="310A61E5" w14:textId="77777777" w:rsidR="0005011A" w:rsidRPr="00E162C4" w:rsidRDefault="0005011A" w:rsidP="00FC07B9">
      <w:pPr>
        <w:pStyle w:val="ACMACorporateAddressHeader"/>
      </w:pPr>
      <w:r w:rsidRPr="00E162C4">
        <w:lastRenderedPageBreak/>
        <w:t>Canberra</w:t>
      </w:r>
    </w:p>
    <w:p w14:paraId="765A5B11" w14:textId="77777777" w:rsidR="0005011A" w:rsidRPr="00E162C4" w:rsidRDefault="0005011A" w:rsidP="00FC07B9">
      <w:pPr>
        <w:pStyle w:val="ACMACorporateAddresses"/>
      </w:pPr>
      <w:r w:rsidRPr="00E162C4">
        <w:t xml:space="preserve">Red Building </w:t>
      </w:r>
      <w:r w:rsidRPr="00E162C4">
        <w:br/>
        <w:t>Benjamin Offices</w:t>
      </w:r>
      <w:r w:rsidRPr="00E162C4">
        <w:br/>
        <w:t xml:space="preserve">Chan Street </w:t>
      </w:r>
      <w:r w:rsidRPr="00E162C4">
        <w:br/>
        <w:t>Belconnen ACT</w:t>
      </w:r>
    </w:p>
    <w:p w14:paraId="036482F5" w14:textId="77777777" w:rsidR="0005011A" w:rsidRPr="00E162C4" w:rsidRDefault="0005011A" w:rsidP="00FC07B9">
      <w:pPr>
        <w:pStyle w:val="ACMACorporateAddresses"/>
      </w:pPr>
      <w:r w:rsidRPr="00E162C4">
        <w:t>PO Box 78</w:t>
      </w:r>
      <w:r w:rsidRPr="00E162C4">
        <w:br/>
        <w:t>Belconnen ACT 2616</w:t>
      </w:r>
    </w:p>
    <w:p w14:paraId="42009425" w14:textId="0F5460E9" w:rsidR="00FE1823" w:rsidRPr="00E162C4" w:rsidRDefault="0005011A" w:rsidP="00FC07B9">
      <w:pPr>
        <w:pStyle w:val="ACMACorporateAddresses"/>
      </w:pPr>
      <w:r w:rsidRPr="00E162C4">
        <w:t>T</w:t>
      </w:r>
      <w:r w:rsidR="00537604" w:rsidRPr="00E162C4">
        <w:tab/>
      </w:r>
      <w:r w:rsidRPr="00E162C4">
        <w:t>+61 2 6219 5555</w:t>
      </w:r>
    </w:p>
    <w:p w14:paraId="2B40308D" w14:textId="77777777" w:rsidR="0005011A" w:rsidRPr="00E162C4" w:rsidRDefault="0005011A" w:rsidP="00FC07B9">
      <w:pPr>
        <w:pStyle w:val="ACMACorporateAddressHeader"/>
      </w:pPr>
      <w:r w:rsidRPr="00E162C4">
        <w:t>Melbourne</w:t>
      </w:r>
    </w:p>
    <w:p w14:paraId="58935448" w14:textId="77777777" w:rsidR="0005011A" w:rsidRPr="00E162C4" w:rsidRDefault="0005011A" w:rsidP="00FC07B9">
      <w:pPr>
        <w:pStyle w:val="ACMACorporateAddresses"/>
      </w:pPr>
      <w:r w:rsidRPr="00E162C4">
        <w:t xml:space="preserve">Level 32 </w:t>
      </w:r>
      <w:r w:rsidRPr="00E162C4">
        <w:br/>
        <w:t>Melbourne Central Tower</w:t>
      </w:r>
      <w:r w:rsidRPr="00E162C4">
        <w:br/>
        <w:t xml:space="preserve">360 Elizabeth Street </w:t>
      </w:r>
      <w:r w:rsidR="008C10F4" w:rsidRPr="00E162C4">
        <w:br/>
      </w:r>
      <w:r w:rsidRPr="00E162C4">
        <w:t>Melbourne VIC</w:t>
      </w:r>
    </w:p>
    <w:p w14:paraId="27153DCD" w14:textId="77777777" w:rsidR="0005011A" w:rsidRPr="00E162C4" w:rsidRDefault="0005011A" w:rsidP="00FC07B9">
      <w:pPr>
        <w:pStyle w:val="ACMACorporateAddresses"/>
      </w:pPr>
      <w:r w:rsidRPr="00E162C4">
        <w:t>PO Box 13112</w:t>
      </w:r>
      <w:r w:rsidRPr="00E162C4">
        <w:br/>
        <w:t xml:space="preserve">Law Courts </w:t>
      </w:r>
      <w:r w:rsidRPr="00E162C4">
        <w:br/>
        <w:t>Melbourne VIC 8010</w:t>
      </w:r>
    </w:p>
    <w:p w14:paraId="74F0ADAC" w14:textId="6959C1E1" w:rsidR="0005011A" w:rsidRPr="00E162C4" w:rsidRDefault="0005011A" w:rsidP="00FC07B9">
      <w:pPr>
        <w:pStyle w:val="ACMACorporateAddresses"/>
      </w:pPr>
      <w:r w:rsidRPr="00E162C4">
        <w:t>T</w:t>
      </w:r>
      <w:r w:rsidR="00140318" w:rsidRPr="00E162C4">
        <w:tab/>
      </w:r>
      <w:r w:rsidRPr="00E162C4">
        <w:t>+61 3 9963 6800</w:t>
      </w:r>
    </w:p>
    <w:p w14:paraId="50439545" w14:textId="77777777" w:rsidR="0005011A" w:rsidRPr="00E162C4" w:rsidRDefault="0005011A" w:rsidP="00FC07B9">
      <w:pPr>
        <w:pStyle w:val="ACMACorporateAddressHeader"/>
      </w:pPr>
      <w:r w:rsidRPr="00E162C4">
        <w:t>Sydney</w:t>
      </w:r>
    </w:p>
    <w:p w14:paraId="4BC26696" w14:textId="77777777" w:rsidR="0005011A" w:rsidRPr="00E162C4" w:rsidRDefault="0005011A" w:rsidP="00FC07B9">
      <w:pPr>
        <w:pStyle w:val="ACMACorporateAddresses"/>
      </w:pPr>
      <w:r w:rsidRPr="00E162C4">
        <w:t xml:space="preserve">Level 5 </w:t>
      </w:r>
      <w:r w:rsidRPr="00E162C4">
        <w:br/>
        <w:t>The Bay Centre</w:t>
      </w:r>
      <w:r w:rsidRPr="00E162C4">
        <w:br/>
        <w:t xml:space="preserve">65 Pirrama Road </w:t>
      </w:r>
      <w:r w:rsidRPr="00E162C4">
        <w:br/>
        <w:t>Pyrmont NSW</w:t>
      </w:r>
    </w:p>
    <w:p w14:paraId="7BE65F41" w14:textId="77777777" w:rsidR="0005011A" w:rsidRPr="00E162C4" w:rsidRDefault="0005011A" w:rsidP="00FC07B9">
      <w:pPr>
        <w:pStyle w:val="ACMACorporateAddresses"/>
      </w:pPr>
      <w:r w:rsidRPr="00E162C4">
        <w:t>PO Box Q500</w:t>
      </w:r>
      <w:r w:rsidRPr="00E162C4">
        <w:br/>
        <w:t xml:space="preserve">Queen Victoria Building </w:t>
      </w:r>
      <w:r w:rsidRPr="00E162C4">
        <w:br/>
        <w:t>NSW 1230</w:t>
      </w:r>
    </w:p>
    <w:p w14:paraId="4FE14DDA" w14:textId="6BF0D065" w:rsidR="0005011A" w:rsidRPr="00E162C4" w:rsidRDefault="0005011A" w:rsidP="00FC07B9">
      <w:pPr>
        <w:pStyle w:val="ACMACorporateAddresses"/>
      </w:pPr>
      <w:r w:rsidRPr="00E162C4">
        <w:t>T</w:t>
      </w:r>
      <w:r w:rsidR="00140318" w:rsidRPr="00E162C4">
        <w:tab/>
      </w:r>
      <w:r w:rsidRPr="00E162C4">
        <w:t>+61 2 9334 7700</w:t>
      </w:r>
      <w:r w:rsidR="00140318" w:rsidRPr="00E162C4">
        <w:t xml:space="preserve"> or</w:t>
      </w:r>
      <w:r w:rsidRPr="00E162C4">
        <w:t xml:space="preserve"> 1800 226 667</w:t>
      </w:r>
    </w:p>
    <w:p w14:paraId="11748D2C" w14:textId="77777777" w:rsidR="00140318" w:rsidRPr="00E162C4" w:rsidRDefault="00140318" w:rsidP="00FC07B9">
      <w:pPr>
        <w:pStyle w:val="ACMACopyrightHeader"/>
      </w:pPr>
      <w:r w:rsidRPr="00E162C4">
        <w:t>Copyright notice</w:t>
      </w:r>
    </w:p>
    <w:p w14:paraId="3F5896D1" w14:textId="77777777" w:rsidR="00140318" w:rsidRPr="00E162C4" w:rsidRDefault="00623FF9" w:rsidP="00623FF9">
      <w:pPr>
        <w:pStyle w:val="ACMACClogo"/>
      </w:pPr>
      <w:r w:rsidRPr="00E162C4">
        <w:rPr>
          <w:noProof/>
        </w:rPr>
        <w:drawing>
          <wp:inline distT="0" distB="0" distL="0" distR="0" wp14:anchorId="6E9D88C3" wp14:editId="2C9486AB">
            <wp:extent cx="838200" cy="295275"/>
            <wp:effectExtent l="0" t="0" r="0" b="0"/>
            <wp:docPr id="1" name="Picture 1" title="Creative Commons logo">
              <a:hlinkClick xmlns:a="http://schemas.openxmlformats.org/drawingml/2006/main" r:id="rId10"/>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by">
                      <a:hlinkClick r:id="rId10"/>
                    </pic:cNvPr>
                    <pic:cNvPicPr>
                      <a:picLocks noChangeAspect="1" noChangeArrowheads="1"/>
                    </pic:cNvPicPr>
                  </pic:nvPicPr>
                  <pic:blipFill>
                    <a:blip r:embed="rId11" cstate="print"/>
                    <a:srcRect/>
                    <a:stretch>
                      <a:fillRect/>
                    </a:stretch>
                  </pic:blipFill>
                  <pic:spPr bwMode="auto">
                    <a:xfrm>
                      <a:off x="0" y="0"/>
                      <a:ext cx="838200" cy="295275"/>
                    </a:xfrm>
                    <a:prstGeom prst="rect">
                      <a:avLst/>
                    </a:prstGeom>
                    <a:noFill/>
                  </pic:spPr>
                </pic:pic>
              </a:graphicData>
            </a:graphic>
          </wp:inline>
        </w:drawing>
      </w:r>
    </w:p>
    <w:p w14:paraId="449EB4DB" w14:textId="77777777" w:rsidR="00AA2DE5" w:rsidRPr="00E162C4" w:rsidRDefault="007B4D70" w:rsidP="00AA2DE5">
      <w:pPr>
        <w:pStyle w:val="ACMACorporateAddresses"/>
        <w:rPr>
          <w:rStyle w:val="Hyperlink"/>
        </w:rPr>
      </w:pPr>
      <w:hyperlink r:id="rId12" w:history="1">
        <w:r w:rsidR="00AA2DE5" w:rsidRPr="00E162C4">
          <w:rPr>
            <w:rStyle w:val="Hyperlink"/>
          </w:rPr>
          <w:t>https://creativecommons.org/licenses/by/4.0/</w:t>
        </w:r>
      </w:hyperlink>
    </w:p>
    <w:p w14:paraId="178D02BD" w14:textId="77777777" w:rsidR="00AA2DE5" w:rsidRPr="00E162C4" w:rsidRDefault="00AA2DE5" w:rsidP="00AA2DE5">
      <w:pPr>
        <w:pStyle w:val="ACMACorporateAddresses"/>
      </w:pPr>
      <w:r w:rsidRPr="00E162C4">
        <w:t xml:space="preserve">With the exception of coats of arms, logos, emblems, images, other third-party material or devices protected by a trademark, this content is made available under the terms of the Creative Commons Attribution 4.0 International (CC BY 4.0) licence. </w:t>
      </w:r>
    </w:p>
    <w:p w14:paraId="17AEC396" w14:textId="77777777" w:rsidR="00AA2DE5" w:rsidRPr="00E162C4" w:rsidRDefault="00AA2DE5" w:rsidP="00AA2DE5">
      <w:pPr>
        <w:pStyle w:val="ACMACorporateAddresses"/>
      </w:pPr>
      <w:r w:rsidRPr="00E162C4">
        <w:t>We request attribution as © Commonwealth of Australia (Australian Communications and Media Authority) 20</w:t>
      </w:r>
      <w:r w:rsidR="00C41F21" w:rsidRPr="00E162C4">
        <w:t>2</w:t>
      </w:r>
      <w:r w:rsidR="00E162C4">
        <w:t>2</w:t>
      </w:r>
      <w:r w:rsidRPr="00E162C4">
        <w:t>.</w:t>
      </w:r>
    </w:p>
    <w:p w14:paraId="26920A71" w14:textId="77777777" w:rsidR="00AA2DE5" w:rsidRPr="00E162C4" w:rsidRDefault="00AA2DE5" w:rsidP="00AA2DE5">
      <w:pPr>
        <w:pStyle w:val="ACMACorporateAddresses"/>
      </w:pPr>
      <w:r w:rsidRPr="00E162C4">
        <w:t>All other rights are reserved.</w:t>
      </w:r>
    </w:p>
    <w:p w14:paraId="4BA74653" w14:textId="77777777" w:rsidR="00AA2DE5" w:rsidRPr="00E162C4" w:rsidRDefault="00AA2DE5" w:rsidP="00AA2DE5">
      <w:pPr>
        <w:pStyle w:val="ACMACorporateAddresses"/>
      </w:pPr>
      <w:r w:rsidRPr="00E162C4">
        <w:t xml:space="preserve">The Australian Communications and Media Authority has undertaken reasonable enquiries to identify material owned by third parties and secure permission for its reproduction. Permission may need to be obtained from third parties to re-use their material. </w:t>
      </w:r>
    </w:p>
    <w:p w14:paraId="6B41BD9C" w14:textId="77777777" w:rsidR="00AA2DE5" w:rsidRPr="00E162C4" w:rsidRDefault="00AA2DE5" w:rsidP="00AA2DE5">
      <w:pPr>
        <w:pStyle w:val="ACMACorporateAddresses"/>
      </w:pPr>
      <w:r w:rsidRPr="00E162C4">
        <w:t>Written enquiries may be sent to:</w:t>
      </w:r>
    </w:p>
    <w:p w14:paraId="5413F33F" w14:textId="77777777" w:rsidR="00AA2DE5" w:rsidRPr="00E162C4" w:rsidRDefault="00AA2DE5" w:rsidP="00AA2DE5">
      <w:pPr>
        <w:pStyle w:val="ACMACorporateAddresses"/>
        <w:rPr>
          <w:rStyle w:val="Hyperlink"/>
        </w:rPr>
      </w:pPr>
      <w:r w:rsidRPr="00E162C4">
        <w:t xml:space="preserve">Manager, Editorial </w:t>
      </w:r>
      <w:r w:rsidR="000245E5" w:rsidRPr="00E162C4">
        <w:t>Services</w:t>
      </w:r>
      <w:r w:rsidRPr="00E162C4">
        <w:br/>
        <w:t>PO Box 13112</w:t>
      </w:r>
      <w:r w:rsidRPr="00E162C4">
        <w:br/>
        <w:t>Law Courts</w:t>
      </w:r>
      <w:r w:rsidRPr="00E162C4">
        <w:br/>
        <w:t>Melbourne VIC 8010</w:t>
      </w:r>
      <w:r w:rsidRPr="00E162C4">
        <w:br/>
        <w:t xml:space="preserve">Email: </w:t>
      </w:r>
      <w:hyperlink r:id="rId13" w:history="1">
        <w:r w:rsidRPr="00E162C4">
          <w:rPr>
            <w:rStyle w:val="Hyperlink"/>
          </w:rPr>
          <w:t>info@acma.gov.au</w:t>
        </w:r>
      </w:hyperlink>
    </w:p>
    <w:p w14:paraId="1C678F2E" w14:textId="77777777" w:rsidR="00D16FE3" w:rsidRPr="00E162C4" w:rsidRDefault="00D16FE3" w:rsidP="00D16FE3">
      <w:pPr>
        <w:pStyle w:val="ACMACorporateAddresses"/>
        <w:rPr>
          <w:rStyle w:val="Hyperlink"/>
        </w:rPr>
      </w:pPr>
    </w:p>
    <w:p w14:paraId="4BECA2A4" w14:textId="77777777" w:rsidR="00D16FE3" w:rsidRPr="00E162C4" w:rsidRDefault="00D16FE3" w:rsidP="00D16FE3">
      <w:pPr>
        <w:pStyle w:val="ACMACorporateAddresses"/>
        <w:sectPr w:rsidR="00D16FE3" w:rsidRPr="00E162C4">
          <w:headerReference w:type="even" r:id="rId14"/>
          <w:headerReference w:type="default" r:id="rId15"/>
          <w:footerReference w:type="even" r:id="rId16"/>
          <w:footerReference w:type="default" r:id="rId17"/>
          <w:pgSz w:w="11906" w:h="16838" w:code="9"/>
          <w:pgMar w:top="3924" w:right="1797" w:bottom="697" w:left="1134" w:header="709" w:footer="119" w:gutter="0"/>
          <w:cols w:space="708"/>
          <w:docGrid w:linePitch="360"/>
        </w:sectPr>
      </w:pPr>
    </w:p>
    <w:p w14:paraId="60C3EED1" w14:textId="180A7A20" w:rsidR="007D74C7" w:rsidRDefault="006A3ECF">
      <w:pPr>
        <w:pStyle w:val="TOC1"/>
        <w:rPr>
          <w:rFonts w:asciiTheme="minorHAnsi" w:eastAsiaTheme="minorEastAsia" w:hAnsiTheme="minorHAnsi" w:cstheme="minorBidi"/>
          <w:b w:val="0"/>
          <w:spacing w:val="0"/>
          <w:sz w:val="22"/>
          <w:szCs w:val="22"/>
        </w:rPr>
      </w:pPr>
      <w:r w:rsidRPr="00E162C4">
        <w:rPr>
          <w:rFonts w:cs="Arial"/>
        </w:rPr>
        <w:lastRenderedPageBreak/>
        <w:fldChar w:fldCharType="begin"/>
      </w:r>
      <w:r w:rsidRPr="00E162C4">
        <w:rPr>
          <w:rFonts w:cs="Arial"/>
        </w:rPr>
        <w:instrText xml:space="preserve"> TOC \o "1-2" \h \z \t "Exec summary heading,1" </w:instrText>
      </w:r>
      <w:r w:rsidRPr="00E162C4">
        <w:rPr>
          <w:rFonts w:cs="Arial"/>
        </w:rPr>
        <w:fldChar w:fldCharType="separate"/>
      </w:r>
      <w:hyperlink w:anchor="_Toc118730997" w:history="1">
        <w:r w:rsidR="007D74C7" w:rsidRPr="002B25F8">
          <w:rPr>
            <w:rStyle w:val="Hyperlink"/>
          </w:rPr>
          <w:t>Executive summary</w:t>
        </w:r>
        <w:r w:rsidR="007D74C7">
          <w:rPr>
            <w:webHidden/>
          </w:rPr>
          <w:tab/>
        </w:r>
        <w:r w:rsidR="007D74C7">
          <w:rPr>
            <w:webHidden/>
          </w:rPr>
          <w:fldChar w:fldCharType="begin"/>
        </w:r>
        <w:r w:rsidR="007D74C7">
          <w:rPr>
            <w:webHidden/>
          </w:rPr>
          <w:instrText xml:space="preserve"> PAGEREF _Toc118730997 \h </w:instrText>
        </w:r>
        <w:r w:rsidR="007D74C7">
          <w:rPr>
            <w:webHidden/>
          </w:rPr>
        </w:r>
        <w:r w:rsidR="007D74C7">
          <w:rPr>
            <w:webHidden/>
          </w:rPr>
          <w:fldChar w:fldCharType="separate"/>
        </w:r>
        <w:r w:rsidR="007D74C7">
          <w:rPr>
            <w:webHidden/>
          </w:rPr>
          <w:t>1</w:t>
        </w:r>
        <w:r w:rsidR="007D74C7">
          <w:rPr>
            <w:webHidden/>
          </w:rPr>
          <w:fldChar w:fldCharType="end"/>
        </w:r>
      </w:hyperlink>
    </w:p>
    <w:p w14:paraId="57ADC428" w14:textId="2FC54F8A" w:rsidR="007D74C7" w:rsidRDefault="007B4D70">
      <w:pPr>
        <w:pStyle w:val="TOC1"/>
        <w:rPr>
          <w:rFonts w:asciiTheme="minorHAnsi" w:eastAsiaTheme="minorEastAsia" w:hAnsiTheme="minorHAnsi" w:cstheme="minorBidi"/>
          <w:b w:val="0"/>
          <w:spacing w:val="0"/>
          <w:sz w:val="22"/>
          <w:szCs w:val="22"/>
        </w:rPr>
      </w:pPr>
      <w:hyperlink w:anchor="_Toc118730998" w:history="1">
        <w:r w:rsidR="007D74C7" w:rsidRPr="002B25F8">
          <w:rPr>
            <w:rStyle w:val="Hyperlink"/>
          </w:rPr>
          <w:t>Issue/s for comment</w:t>
        </w:r>
        <w:r w:rsidR="007D74C7">
          <w:rPr>
            <w:webHidden/>
          </w:rPr>
          <w:tab/>
        </w:r>
        <w:r w:rsidR="007D74C7">
          <w:rPr>
            <w:webHidden/>
          </w:rPr>
          <w:fldChar w:fldCharType="begin"/>
        </w:r>
        <w:r w:rsidR="007D74C7">
          <w:rPr>
            <w:webHidden/>
          </w:rPr>
          <w:instrText xml:space="preserve"> PAGEREF _Toc118730998 \h </w:instrText>
        </w:r>
        <w:r w:rsidR="007D74C7">
          <w:rPr>
            <w:webHidden/>
          </w:rPr>
        </w:r>
        <w:r w:rsidR="007D74C7">
          <w:rPr>
            <w:webHidden/>
          </w:rPr>
          <w:fldChar w:fldCharType="separate"/>
        </w:r>
        <w:r w:rsidR="007D74C7">
          <w:rPr>
            <w:webHidden/>
          </w:rPr>
          <w:t>3</w:t>
        </w:r>
        <w:r w:rsidR="007D74C7">
          <w:rPr>
            <w:webHidden/>
          </w:rPr>
          <w:fldChar w:fldCharType="end"/>
        </w:r>
      </w:hyperlink>
    </w:p>
    <w:p w14:paraId="404B1284" w14:textId="14BB2060" w:rsidR="007D74C7" w:rsidRDefault="007B4D70">
      <w:pPr>
        <w:pStyle w:val="TOC1"/>
        <w:rPr>
          <w:rFonts w:asciiTheme="minorHAnsi" w:eastAsiaTheme="minorEastAsia" w:hAnsiTheme="minorHAnsi" w:cstheme="minorBidi"/>
          <w:b w:val="0"/>
          <w:spacing w:val="0"/>
          <w:sz w:val="22"/>
          <w:szCs w:val="22"/>
        </w:rPr>
      </w:pPr>
      <w:hyperlink w:anchor="_Toc118730999" w:history="1">
        <w:r w:rsidR="007D74C7" w:rsidRPr="002B25F8">
          <w:rPr>
            <w:rStyle w:val="Hyperlink"/>
          </w:rPr>
          <w:t>Background</w:t>
        </w:r>
        <w:r w:rsidR="007D74C7">
          <w:rPr>
            <w:webHidden/>
          </w:rPr>
          <w:tab/>
        </w:r>
        <w:r w:rsidR="007D74C7">
          <w:rPr>
            <w:webHidden/>
          </w:rPr>
          <w:fldChar w:fldCharType="begin"/>
        </w:r>
        <w:r w:rsidR="007D74C7">
          <w:rPr>
            <w:webHidden/>
          </w:rPr>
          <w:instrText xml:space="preserve"> PAGEREF _Toc118730999 \h </w:instrText>
        </w:r>
        <w:r w:rsidR="007D74C7">
          <w:rPr>
            <w:webHidden/>
          </w:rPr>
        </w:r>
        <w:r w:rsidR="007D74C7">
          <w:rPr>
            <w:webHidden/>
          </w:rPr>
          <w:fldChar w:fldCharType="separate"/>
        </w:r>
        <w:r w:rsidR="007D74C7">
          <w:rPr>
            <w:webHidden/>
          </w:rPr>
          <w:t>4</w:t>
        </w:r>
        <w:r w:rsidR="007D74C7">
          <w:rPr>
            <w:webHidden/>
          </w:rPr>
          <w:fldChar w:fldCharType="end"/>
        </w:r>
      </w:hyperlink>
    </w:p>
    <w:p w14:paraId="1B121F95" w14:textId="2884C1E6" w:rsidR="007D74C7" w:rsidRDefault="007B4D70">
      <w:pPr>
        <w:pStyle w:val="TOC2"/>
        <w:rPr>
          <w:rFonts w:asciiTheme="minorHAnsi" w:eastAsiaTheme="minorEastAsia" w:hAnsiTheme="minorHAnsi" w:cstheme="minorBidi"/>
          <w:spacing w:val="0"/>
          <w:sz w:val="22"/>
          <w:szCs w:val="22"/>
        </w:rPr>
      </w:pPr>
      <w:hyperlink w:anchor="_Toc118731000" w:history="1">
        <w:r w:rsidR="007D74C7" w:rsidRPr="002B25F8">
          <w:rPr>
            <w:rStyle w:val="Hyperlink"/>
          </w:rPr>
          <w:t>Incorporating radiocommunications mandatory technical standards and RLN into General Equipment Rules</w:t>
        </w:r>
        <w:r w:rsidR="007D74C7">
          <w:rPr>
            <w:webHidden/>
          </w:rPr>
          <w:tab/>
        </w:r>
        <w:r w:rsidR="007D74C7">
          <w:rPr>
            <w:webHidden/>
          </w:rPr>
          <w:fldChar w:fldCharType="begin"/>
        </w:r>
        <w:r w:rsidR="007D74C7">
          <w:rPr>
            <w:webHidden/>
          </w:rPr>
          <w:instrText xml:space="preserve"> PAGEREF _Toc118731000 \h </w:instrText>
        </w:r>
        <w:r w:rsidR="007D74C7">
          <w:rPr>
            <w:webHidden/>
          </w:rPr>
        </w:r>
        <w:r w:rsidR="007D74C7">
          <w:rPr>
            <w:webHidden/>
          </w:rPr>
          <w:fldChar w:fldCharType="separate"/>
        </w:r>
        <w:r w:rsidR="007D74C7">
          <w:rPr>
            <w:webHidden/>
          </w:rPr>
          <w:t>4</w:t>
        </w:r>
        <w:r w:rsidR="007D74C7">
          <w:rPr>
            <w:webHidden/>
          </w:rPr>
          <w:fldChar w:fldCharType="end"/>
        </w:r>
      </w:hyperlink>
    </w:p>
    <w:p w14:paraId="21525180" w14:textId="45A25279" w:rsidR="007D74C7" w:rsidRDefault="007B4D70">
      <w:pPr>
        <w:pStyle w:val="TOC2"/>
        <w:rPr>
          <w:rFonts w:asciiTheme="minorHAnsi" w:eastAsiaTheme="minorEastAsia" w:hAnsiTheme="minorHAnsi" w:cstheme="minorBidi"/>
          <w:spacing w:val="0"/>
          <w:sz w:val="22"/>
          <w:szCs w:val="22"/>
        </w:rPr>
      </w:pPr>
      <w:hyperlink w:anchor="_Toc118731001" w:history="1">
        <w:r w:rsidR="007D74C7" w:rsidRPr="002B25F8">
          <w:rPr>
            <w:rStyle w:val="Hyperlink"/>
          </w:rPr>
          <w:t>Protected symbols determination</w:t>
        </w:r>
        <w:r w:rsidR="007D74C7">
          <w:rPr>
            <w:webHidden/>
          </w:rPr>
          <w:tab/>
        </w:r>
        <w:r w:rsidR="007D74C7">
          <w:rPr>
            <w:webHidden/>
          </w:rPr>
          <w:fldChar w:fldCharType="begin"/>
        </w:r>
        <w:r w:rsidR="007D74C7">
          <w:rPr>
            <w:webHidden/>
          </w:rPr>
          <w:instrText xml:space="preserve"> PAGEREF _Toc118731001 \h </w:instrText>
        </w:r>
        <w:r w:rsidR="007D74C7">
          <w:rPr>
            <w:webHidden/>
          </w:rPr>
        </w:r>
        <w:r w:rsidR="007D74C7">
          <w:rPr>
            <w:webHidden/>
          </w:rPr>
          <w:fldChar w:fldCharType="separate"/>
        </w:r>
        <w:r w:rsidR="007D74C7">
          <w:rPr>
            <w:webHidden/>
          </w:rPr>
          <w:t>5</w:t>
        </w:r>
        <w:r w:rsidR="007D74C7">
          <w:rPr>
            <w:webHidden/>
          </w:rPr>
          <w:fldChar w:fldCharType="end"/>
        </w:r>
      </w:hyperlink>
    </w:p>
    <w:p w14:paraId="6E0D6214" w14:textId="4820D642" w:rsidR="007D74C7" w:rsidRDefault="007B4D70">
      <w:pPr>
        <w:pStyle w:val="TOC2"/>
        <w:rPr>
          <w:rFonts w:asciiTheme="minorHAnsi" w:eastAsiaTheme="minorEastAsia" w:hAnsiTheme="minorHAnsi" w:cstheme="minorBidi"/>
          <w:spacing w:val="0"/>
          <w:sz w:val="22"/>
          <w:szCs w:val="22"/>
        </w:rPr>
      </w:pPr>
      <w:hyperlink w:anchor="_Toc118731002" w:history="1">
        <w:r w:rsidR="007D74C7" w:rsidRPr="002B25F8">
          <w:rPr>
            <w:rStyle w:val="Hyperlink"/>
          </w:rPr>
          <w:t xml:space="preserve">Electromagnetic energy (EME) test method standard for frequencies </w:t>
        </w:r>
        <w:r w:rsidR="007D74C7">
          <w:rPr>
            <w:rStyle w:val="Hyperlink"/>
          </w:rPr>
          <w:br/>
        </w:r>
        <w:r w:rsidR="007D74C7" w:rsidRPr="002B25F8">
          <w:rPr>
            <w:rStyle w:val="Hyperlink"/>
          </w:rPr>
          <w:t>above 6 GHz</w:t>
        </w:r>
        <w:r w:rsidR="007D74C7">
          <w:rPr>
            <w:webHidden/>
          </w:rPr>
          <w:tab/>
        </w:r>
        <w:r w:rsidR="007D74C7">
          <w:rPr>
            <w:webHidden/>
          </w:rPr>
          <w:fldChar w:fldCharType="begin"/>
        </w:r>
        <w:r w:rsidR="007D74C7">
          <w:rPr>
            <w:webHidden/>
          </w:rPr>
          <w:instrText xml:space="preserve"> PAGEREF _Toc118731002 \h </w:instrText>
        </w:r>
        <w:r w:rsidR="007D74C7">
          <w:rPr>
            <w:webHidden/>
          </w:rPr>
        </w:r>
        <w:r w:rsidR="007D74C7">
          <w:rPr>
            <w:webHidden/>
          </w:rPr>
          <w:fldChar w:fldCharType="separate"/>
        </w:r>
        <w:r w:rsidR="007D74C7">
          <w:rPr>
            <w:webHidden/>
          </w:rPr>
          <w:t>5</w:t>
        </w:r>
        <w:r w:rsidR="007D74C7">
          <w:rPr>
            <w:webHidden/>
          </w:rPr>
          <w:fldChar w:fldCharType="end"/>
        </w:r>
      </w:hyperlink>
    </w:p>
    <w:p w14:paraId="12789D84" w14:textId="621CAD2F" w:rsidR="007D74C7" w:rsidRDefault="007B4D70">
      <w:pPr>
        <w:pStyle w:val="TOC2"/>
        <w:rPr>
          <w:rFonts w:asciiTheme="minorHAnsi" w:eastAsiaTheme="minorEastAsia" w:hAnsiTheme="minorHAnsi" w:cstheme="minorBidi"/>
          <w:spacing w:val="0"/>
          <w:sz w:val="22"/>
          <w:szCs w:val="22"/>
        </w:rPr>
      </w:pPr>
      <w:hyperlink w:anchor="_Toc118731003" w:history="1">
        <w:r w:rsidR="007D74C7" w:rsidRPr="002B25F8">
          <w:rPr>
            <w:rStyle w:val="Hyperlink"/>
          </w:rPr>
          <w:t>Significant event provisions</w:t>
        </w:r>
        <w:r w:rsidR="007D74C7">
          <w:rPr>
            <w:webHidden/>
          </w:rPr>
          <w:tab/>
        </w:r>
        <w:r w:rsidR="007D74C7">
          <w:rPr>
            <w:webHidden/>
          </w:rPr>
          <w:fldChar w:fldCharType="begin"/>
        </w:r>
        <w:r w:rsidR="007D74C7">
          <w:rPr>
            <w:webHidden/>
          </w:rPr>
          <w:instrText xml:space="preserve"> PAGEREF _Toc118731003 \h </w:instrText>
        </w:r>
        <w:r w:rsidR="007D74C7">
          <w:rPr>
            <w:webHidden/>
          </w:rPr>
        </w:r>
        <w:r w:rsidR="007D74C7">
          <w:rPr>
            <w:webHidden/>
          </w:rPr>
          <w:fldChar w:fldCharType="separate"/>
        </w:r>
        <w:r w:rsidR="007D74C7">
          <w:rPr>
            <w:webHidden/>
          </w:rPr>
          <w:t>5</w:t>
        </w:r>
        <w:r w:rsidR="007D74C7">
          <w:rPr>
            <w:webHidden/>
          </w:rPr>
          <w:fldChar w:fldCharType="end"/>
        </w:r>
      </w:hyperlink>
    </w:p>
    <w:p w14:paraId="383F9B5C" w14:textId="69A92C4A" w:rsidR="007D74C7" w:rsidRDefault="007B4D70">
      <w:pPr>
        <w:pStyle w:val="TOC1"/>
        <w:rPr>
          <w:rFonts w:asciiTheme="minorHAnsi" w:eastAsiaTheme="minorEastAsia" w:hAnsiTheme="minorHAnsi" w:cstheme="minorBidi"/>
          <w:b w:val="0"/>
          <w:spacing w:val="0"/>
          <w:sz w:val="22"/>
          <w:szCs w:val="22"/>
        </w:rPr>
      </w:pPr>
      <w:hyperlink w:anchor="_Toc118731004" w:history="1">
        <w:r w:rsidR="007D74C7" w:rsidRPr="002B25F8">
          <w:rPr>
            <w:rStyle w:val="Hyperlink"/>
          </w:rPr>
          <w:t>Proposed changes</w:t>
        </w:r>
        <w:r w:rsidR="007D74C7">
          <w:rPr>
            <w:webHidden/>
          </w:rPr>
          <w:tab/>
        </w:r>
        <w:r w:rsidR="007D74C7">
          <w:rPr>
            <w:webHidden/>
          </w:rPr>
          <w:fldChar w:fldCharType="begin"/>
        </w:r>
        <w:r w:rsidR="007D74C7">
          <w:rPr>
            <w:webHidden/>
          </w:rPr>
          <w:instrText xml:space="preserve"> PAGEREF _Toc118731004 \h </w:instrText>
        </w:r>
        <w:r w:rsidR="007D74C7">
          <w:rPr>
            <w:webHidden/>
          </w:rPr>
        </w:r>
        <w:r w:rsidR="007D74C7">
          <w:rPr>
            <w:webHidden/>
          </w:rPr>
          <w:fldChar w:fldCharType="separate"/>
        </w:r>
        <w:r w:rsidR="007D74C7">
          <w:rPr>
            <w:webHidden/>
          </w:rPr>
          <w:t>6</w:t>
        </w:r>
        <w:r w:rsidR="007D74C7">
          <w:rPr>
            <w:webHidden/>
          </w:rPr>
          <w:fldChar w:fldCharType="end"/>
        </w:r>
      </w:hyperlink>
    </w:p>
    <w:p w14:paraId="7B37DA0E" w14:textId="5772B0B4" w:rsidR="007D74C7" w:rsidRDefault="007B4D70">
      <w:pPr>
        <w:pStyle w:val="TOC2"/>
        <w:rPr>
          <w:rFonts w:asciiTheme="minorHAnsi" w:eastAsiaTheme="minorEastAsia" w:hAnsiTheme="minorHAnsi" w:cstheme="minorBidi"/>
          <w:spacing w:val="0"/>
          <w:sz w:val="22"/>
          <w:szCs w:val="22"/>
        </w:rPr>
      </w:pPr>
      <w:hyperlink w:anchor="_Toc118731005" w:history="1">
        <w:r w:rsidR="007D74C7" w:rsidRPr="002B25F8">
          <w:rPr>
            <w:rStyle w:val="Hyperlink"/>
            <w:lang w:eastAsia="en-US"/>
          </w:rPr>
          <w:t>Incorporating mandatory radiocommunications technical standards and RLN into the General Equipment Rules</w:t>
        </w:r>
        <w:r w:rsidR="007D74C7">
          <w:rPr>
            <w:webHidden/>
          </w:rPr>
          <w:tab/>
        </w:r>
        <w:r w:rsidR="007D74C7">
          <w:rPr>
            <w:webHidden/>
          </w:rPr>
          <w:fldChar w:fldCharType="begin"/>
        </w:r>
        <w:r w:rsidR="007D74C7">
          <w:rPr>
            <w:webHidden/>
          </w:rPr>
          <w:instrText xml:space="preserve"> PAGEREF _Toc118731005 \h </w:instrText>
        </w:r>
        <w:r w:rsidR="007D74C7">
          <w:rPr>
            <w:webHidden/>
          </w:rPr>
        </w:r>
        <w:r w:rsidR="007D74C7">
          <w:rPr>
            <w:webHidden/>
          </w:rPr>
          <w:fldChar w:fldCharType="separate"/>
        </w:r>
        <w:r w:rsidR="007D74C7">
          <w:rPr>
            <w:webHidden/>
          </w:rPr>
          <w:t>6</w:t>
        </w:r>
        <w:r w:rsidR="007D74C7">
          <w:rPr>
            <w:webHidden/>
          </w:rPr>
          <w:fldChar w:fldCharType="end"/>
        </w:r>
      </w:hyperlink>
    </w:p>
    <w:p w14:paraId="28B54FC9" w14:textId="2EC8901F" w:rsidR="007D74C7" w:rsidRDefault="007B4D70">
      <w:pPr>
        <w:pStyle w:val="TOC2"/>
        <w:rPr>
          <w:rFonts w:asciiTheme="minorHAnsi" w:eastAsiaTheme="minorEastAsia" w:hAnsiTheme="minorHAnsi" w:cstheme="minorBidi"/>
          <w:spacing w:val="0"/>
          <w:sz w:val="22"/>
          <w:szCs w:val="22"/>
        </w:rPr>
      </w:pPr>
      <w:hyperlink w:anchor="_Toc118731006" w:history="1">
        <w:r w:rsidR="007D74C7" w:rsidRPr="002B25F8">
          <w:rPr>
            <w:rStyle w:val="Hyperlink"/>
          </w:rPr>
          <w:t>(i)</w:t>
        </w:r>
        <w:r w:rsidR="007D74C7">
          <w:rPr>
            <w:rFonts w:asciiTheme="minorHAnsi" w:eastAsiaTheme="minorEastAsia" w:hAnsiTheme="minorHAnsi" w:cstheme="minorBidi"/>
            <w:spacing w:val="0"/>
            <w:sz w:val="22"/>
            <w:szCs w:val="22"/>
          </w:rPr>
          <w:tab/>
        </w:r>
        <w:r w:rsidR="007D74C7" w:rsidRPr="002B25F8">
          <w:rPr>
            <w:rStyle w:val="Hyperlink"/>
          </w:rPr>
          <w:t xml:space="preserve">Repeal of 121.5 MHz and 243 MHz Emergency Position </w:t>
        </w:r>
        <w:r w:rsidR="007D74C7">
          <w:rPr>
            <w:rStyle w:val="Hyperlink"/>
          </w:rPr>
          <w:br/>
        </w:r>
        <w:r w:rsidR="007D74C7" w:rsidRPr="002B25F8">
          <w:rPr>
            <w:rStyle w:val="Hyperlink"/>
          </w:rPr>
          <w:t>Indicating Radio Beacons Standard</w:t>
        </w:r>
        <w:r w:rsidR="007D74C7">
          <w:rPr>
            <w:webHidden/>
          </w:rPr>
          <w:tab/>
        </w:r>
        <w:r w:rsidR="007D74C7">
          <w:rPr>
            <w:webHidden/>
          </w:rPr>
          <w:fldChar w:fldCharType="begin"/>
        </w:r>
        <w:r w:rsidR="007D74C7">
          <w:rPr>
            <w:webHidden/>
          </w:rPr>
          <w:instrText xml:space="preserve"> PAGEREF _Toc118731006 \h </w:instrText>
        </w:r>
        <w:r w:rsidR="007D74C7">
          <w:rPr>
            <w:webHidden/>
          </w:rPr>
        </w:r>
        <w:r w:rsidR="007D74C7">
          <w:rPr>
            <w:webHidden/>
          </w:rPr>
          <w:fldChar w:fldCharType="separate"/>
        </w:r>
        <w:r w:rsidR="007D74C7">
          <w:rPr>
            <w:webHidden/>
          </w:rPr>
          <w:t>6</w:t>
        </w:r>
        <w:r w:rsidR="007D74C7">
          <w:rPr>
            <w:webHidden/>
          </w:rPr>
          <w:fldChar w:fldCharType="end"/>
        </w:r>
      </w:hyperlink>
    </w:p>
    <w:p w14:paraId="4EC29FDF" w14:textId="58B80BC3" w:rsidR="007D74C7" w:rsidRDefault="007B4D70">
      <w:pPr>
        <w:pStyle w:val="TOC2"/>
        <w:rPr>
          <w:rFonts w:asciiTheme="minorHAnsi" w:eastAsiaTheme="minorEastAsia" w:hAnsiTheme="minorHAnsi" w:cstheme="minorBidi"/>
          <w:spacing w:val="0"/>
          <w:sz w:val="22"/>
          <w:szCs w:val="22"/>
        </w:rPr>
      </w:pPr>
      <w:hyperlink w:anchor="_Toc118731007" w:history="1">
        <w:r w:rsidR="007D74C7" w:rsidRPr="002B25F8">
          <w:rPr>
            <w:rStyle w:val="Hyperlink"/>
          </w:rPr>
          <w:t>(ii)</w:t>
        </w:r>
        <w:r w:rsidR="007D74C7">
          <w:rPr>
            <w:rFonts w:asciiTheme="minorHAnsi" w:eastAsiaTheme="minorEastAsia" w:hAnsiTheme="minorHAnsi" w:cstheme="minorBidi"/>
            <w:spacing w:val="0"/>
            <w:sz w:val="22"/>
            <w:szCs w:val="22"/>
          </w:rPr>
          <w:tab/>
        </w:r>
        <w:r w:rsidR="007D74C7" w:rsidRPr="002B25F8">
          <w:rPr>
            <w:rStyle w:val="Hyperlink"/>
          </w:rPr>
          <w:t>Adopting further international standards</w:t>
        </w:r>
        <w:r w:rsidR="007D74C7">
          <w:rPr>
            <w:webHidden/>
          </w:rPr>
          <w:tab/>
        </w:r>
        <w:r w:rsidR="007D74C7">
          <w:rPr>
            <w:webHidden/>
          </w:rPr>
          <w:fldChar w:fldCharType="begin"/>
        </w:r>
        <w:r w:rsidR="007D74C7">
          <w:rPr>
            <w:webHidden/>
          </w:rPr>
          <w:instrText xml:space="preserve"> PAGEREF _Toc118731007 \h </w:instrText>
        </w:r>
        <w:r w:rsidR="007D74C7">
          <w:rPr>
            <w:webHidden/>
          </w:rPr>
        </w:r>
        <w:r w:rsidR="007D74C7">
          <w:rPr>
            <w:webHidden/>
          </w:rPr>
          <w:fldChar w:fldCharType="separate"/>
        </w:r>
        <w:r w:rsidR="007D74C7">
          <w:rPr>
            <w:webHidden/>
          </w:rPr>
          <w:t>7</w:t>
        </w:r>
        <w:r w:rsidR="007D74C7">
          <w:rPr>
            <w:webHidden/>
          </w:rPr>
          <w:fldChar w:fldCharType="end"/>
        </w:r>
      </w:hyperlink>
    </w:p>
    <w:p w14:paraId="1B7BFD4A" w14:textId="024DD536" w:rsidR="007D74C7" w:rsidRDefault="007B4D70">
      <w:pPr>
        <w:pStyle w:val="TOC2"/>
        <w:rPr>
          <w:rFonts w:asciiTheme="minorHAnsi" w:eastAsiaTheme="minorEastAsia" w:hAnsiTheme="minorHAnsi" w:cstheme="minorBidi"/>
          <w:spacing w:val="0"/>
          <w:sz w:val="22"/>
          <w:szCs w:val="22"/>
        </w:rPr>
      </w:pPr>
      <w:hyperlink w:anchor="_Toc118731008" w:history="1">
        <w:r w:rsidR="007D74C7" w:rsidRPr="002B25F8">
          <w:rPr>
            <w:rStyle w:val="Hyperlink"/>
            <w:lang w:eastAsia="en-US"/>
          </w:rPr>
          <w:t>Remaking the protected symbols determination</w:t>
        </w:r>
        <w:r w:rsidR="007D74C7">
          <w:rPr>
            <w:webHidden/>
          </w:rPr>
          <w:tab/>
        </w:r>
        <w:r w:rsidR="007D74C7">
          <w:rPr>
            <w:webHidden/>
          </w:rPr>
          <w:fldChar w:fldCharType="begin"/>
        </w:r>
        <w:r w:rsidR="007D74C7">
          <w:rPr>
            <w:webHidden/>
          </w:rPr>
          <w:instrText xml:space="preserve"> PAGEREF _Toc118731008 \h </w:instrText>
        </w:r>
        <w:r w:rsidR="007D74C7">
          <w:rPr>
            <w:webHidden/>
          </w:rPr>
        </w:r>
        <w:r w:rsidR="007D74C7">
          <w:rPr>
            <w:webHidden/>
          </w:rPr>
          <w:fldChar w:fldCharType="separate"/>
        </w:r>
        <w:r w:rsidR="007D74C7">
          <w:rPr>
            <w:webHidden/>
          </w:rPr>
          <w:t>7</w:t>
        </w:r>
        <w:r w:rsidR="007D74C7">
          <w:rPr>
            <w:webHidden/>
          </w:rPr>
          <w:fldChar w:fldCharType="end"/>
        </w:r>
      </w:hyperlink>
    </w:p>
    <w:p w14:paraId="7EB0BA19" w14:textId="6D056158" w:rsidR="007D74C7" w:rsidRDefault="007B4D70">
      <w:pPr>
        <w:pStyle w:val="TOC2"/>
        <w:rPr>
          <w:rFonts w:asciiTheme="minorHAnsi" w:eastAsiaTheme="minorEastAsia" w:hAnsiTheme="minorHAnsi" w:cstheme="minorBidi"/>
          <w:spacing w:val="0"/>
          <w:sz w:val="22"/>
          <w:szCs w:val="22"/>
        </w:rPr>
      </w:pPr>
      <w:hyperlink w:anchor="_Toc118731009" w:history="1">
        <w:r w:rsidR="007D74C7" w:rsidRPr="002B25F8">
          <w:rPr>
            <w:rStyle w:val="Hyperlink"/>
            <w:lang w:eastAsia="en-US"/>
          </w:rPr>
          <w:t>Amending the EME test method in the General Equipment Rules</w:t>
        </w:r>
        <w:r w:rsidR="007D74C7">
          <w:rPr>
            <w:webHidden/>
          </w:rPr>
          <w:tab/>
        </w:r>
        <w:r w:rsidR="007D74C7">
          <w:rPr>
            <w:webHidden/>
          </w:rPr>
          <w:fldChar w:fldCharType="begin"/>
        </w:r>
        <w:r w:rsidR="007D74C7">
          <w:rPr>
            <w:webHidden/>
          </w:rPr>
          <w:instrText xml:space="preserve"> PAGEREF _Toc118731009 \h </w:instrText>
        </w:r>
        <w:r w:rsidR="007D74C7">
          <w:rPr>
            <w:webHidden/>
          </w:rPr>
        </w:r>
        <w:r w:rsidR="007D74C7">
          <w:rPr>
            <w:webHidden/>
          </w:rPr>
          <w:fldChar w:fldCharType="separate"/>
        </w:r>
        <w:r w:rsidR="007D74C7">
          <w:rPr>
            <w:webHidden/>
          </w:rPr>
          <w:t>8</w:t>
        </w:r>
        <w:r w:rsidR="007D74C7">
          <w:rPr>
            <w:webHidden/>
          </w:rPr>
          <w:fldChar w:fldCharType="end"/>
        </w:r>
      </w:hyperlink>
    </w:p>
    <w:p w14:paraId="5CE05674" w14:textId="114369D5" w:rsidR="007D74C7" w:rsidRDefault="007B4D70">
      <w:pPr>
        <w:pStyle w:val="TOC2"/>
        <w:rPr>
          <w:rFonts w:asciiTheme="minorHAnsi" w:eastAsiaTheme="minorEastAsia" w:hAnsiTheme="minorHAnsi" w:cstheme="minorBidi"/>
          <w:spacing w:val="0"/>
          <w:sz w:val="22"/>
          <w:szCs w:val="22"/>
        </w:rPr>
      </w:pPr>
      <w:hyperlink w:anchor="_Toc118731010" w:history="1">
        <w:r w:rsidR="007D74C7" w:rsidRPr="002B25F8">
          <w:rPr>
            <w:rStyle w:val="Hyperlink"/>
            <w:lang w:eastAsia="en-US"/>
          </w:rPr>
          <w:t>Significant event provisions</w:t>
        </w:r>
        <w:r w:rsidR="007D74C7">
          <w:rPr>
            <w:webHidden/>
          </w:rPr>
          <w:tab/>
        </w:r>
        <w:r w:rsidR="007D74C7">
          <w:rPr>
            <w:webHidden/>
          </w:rPr>
          <w:fldChar w:fldCharType="begin"/>
        </w:r>
        <w:r w:rsidR="007D74C7">
          <w:rPr>
            <w:webHidden/>
          </w:rPr>
          <w:instrText xml:space="preserve"> PAGEREF _Toc118731010 \h </w:instrText>
        </w:r>
        <w:r w:rsidR="007D74C7">
          <w:rPr>
            <w:webHidden/>
          </w:rPr>
        </w:r>
        <w:r w:rsidR="007D74C7">
          <w:rPr>
            <w:webHidden/>
          </w:rPr>
          <w:fldChar w:fldCharType="separate"/>
        </w:r>
        <w:r w:rsidR="007D74C7">
          <w:rPr>
            <w:webHidden/>
          </w:rPr>
          <w:t>8</w:t>
        </w:r>
        <w:r w:rsidR="007D74C7">
          <w:rPr>
            <w:webHidden/>
          </w:rPr>
          <w:fldChar w:fldCharType="end"/>
        </w:r>
      </w:hyperlink>
    </w:p>
    <w:p w14:paraId="25618645" w14:textId="4A4DE294" w:rsidR="007D74C7" w:rsidRDefault="007B4D70">
      <w:pPr>
        <w:pStyle w:val="TOC1"/>
        <w:rPr>
          <w:rFonts w:asciiTheme="minorHAnsi" w:eastAsiaTheme="minorEastAsia" w:hAnsiTheme="minorHAnsi" w:cstheme="minorBidi"/>
          <w:b w:val="0"/>
          <w:spacing w:val="0"/>
          <w:sz w:val="22"/>
          <w:szCs w:val="22"/>
        </w:rPr>
      </w:pPr>
      <w:hyperlink w:anchor="_Toc118731011" w:history="1">
        <w:r w:rsidR="007D74C7" w:rsidRPr="002B25F8">
          <w:rPr>
            <w:rStyle w:val="Hyperlink"/>
          </w:rPr>
          <w:t>Invitation to comment</w:t>
        </w:r>
        <w:r w:rsidR="007D74C7">
          <w:rPr>
            <w:webHidden/>
          </w:rPr>
          <w:tab/>
        </w:r>
        <w:r w:rsidR="007D74C7">
          <w:rPr>
            <w:webHidden/>
          </w:rPr>
          <w:fldChar w:fldCharType="begin"/>
        </w:r>
        <w:r w:rsidR="007D74C7">
          <w:rPr>
            <w:webHidden/>
          </w:rPr>
          <w:instrText xml:space="preserve"> PAGEREF _Toc118731011 \h </w:instrText>
        </w:r>
        <w:r w:rsidR="007D74C7">
          <w:rPr>
            <w:webHidden/>
          </w:rPr>
        </w:r>
        <w:r w:rsidR="007D74C7">
          <w:rPr>
            <w:webHidden/>
          </w:rPr>
          <w:fldChar w:fldCharType="separate"/>
        </w:r>
        <w:r w:rsidR="007D74C7">
          <w:rPr>
            <w:webHidden/>
          </w:rPr>
          <w:t>9</w:t>
        </w:r>
        <w:r w:rsidR="007D74C7">
          <w:rPr>
            <w:webHidden/>
          </w:rPr>
          <w:fldChar w:fldCharType="end"/>
        </w:r>
      </w:hyperlink>
    </w:p>
    <w:p w14:paraId="2968CEA6" w14:textId="7E59DB2A" w:rsidR="007D74C7" w:rsidRDefault="007B4D70">
      <w:pPr>
        <w:pStyle w:val="TOC2"/>
        <w:rPr>
          <w:rFonts w:asciiTheme="minorHAnsi" w:eastAsiaTheme="minorEastAsia" w:hAnsiTheme="minorHAnsi" w:cstheme="minorBidi"/>
          <w:spacing w:val="0"/>
          <w:sz w:val="22"/>
          <w:szCs w:val="22"/>
        </w:rPr>
      </w:pPr>
      <w:hyperlink w:anchor="_Toc118731012" w:history="1">
        <w:r w:rsidR="007D74C7" w:rsidRPr="002B25F8">
          <w:rPr>
            <w:rStyle w:val="Hyperlink"/>
          </w:rPr>
          <w:t>Making a submission</w:t>
        </w:r>
        <w:r w:rsidR="007D74C7">
          <w:rPr>
            <w:webHidden/>
          </w:rPr>
          <w:tab/>
        </w:r>
        <w:r w:rsidR="007D74C7">
          <w:rPr>
            <w:webHidden/>
          </w:rPr>
          <w:fldChar w:fldCharType="begin"/>
        </w:r>
        <w:r w:rsidR="007D74C7">
          <w:rPr>
            <w:webHidden/>
          </w:rPr>
          <w:instrText xml:space="preserve"> PAGEREF _Toc118731012 \h </w:instrText>
        </w:r>
        <w:r w:rsidR="007D74C7">
          <w:rPr>
            <w:webHidden/>
          </w:rPr>
        </w:r>
        <w:r w:rsidR="007D74C7">
          <w:rPr>
            <w:webHidden/>
          </w:rPr>
          <w:fldChar w:fldCharType="separate"/>
        </w:r>
        <w:r w:rsidR="007D74C7">
          <w:rPr>
            <w:webHidden/>
          </w:rPr>
          <w:t>9</w:t>
        </w:r>
        <w:r w:rsidR="007D74C7">
          <w:rPr>
            <w:webHidden/>
          </w:rPr>
          <w:fldChar w:fldCharType="end"/>
        </w:r>
      </w:hyperlink>
    </w:p>
    <w:p w14:paraId="34CC7805" w14:textId="22559423" w:rsidR="007D74C7" w:rsidRDefault="007B4D70">
      <w:pPr>
        <w:pStyle w:val="TOC1"/>
        <w:rPr>
          <w:rFonts w:asciiTheme="minorHAnsi" w:eastAsiaTheme="minorEastAsia" w:hAnsiTheme="minorHAnsi" w:cstheme="minorBidi"/>
          <w:b w:val="0"/>
          <w:spacing w:val="0"/>
          <w:sz w:val="22"/>
          <w:szCs w:val="22"/>
        </w:rPr>
      </w:pPr>
      <w:hyperlink w:anchor="_Toc118731013" w:history="1">
        <w:r w:rsidR="007D74C7" w:rsidRPr="002B25F8">
          <w:rPr>
            <w:rStyle w:val="Hyperlink"/>
          </w:rPr>
          <w:t>Appendix A: Proposed changes</w:t>
        </w:r>
        <w:r w:rsidR="007D74C7">
          <w:rPr>
            <w:webHidden/>
          </w:rPr>
          <w:tab/>
        </w:r>
        <w:r w:rsidR="007D74C7">
          <w:rPr>
            <w:webHidden/>
          </w:rPr>
          <w:fldChar w:fldCharType="begin"/>
        </w:r>
        <w:r w:rsidR="007D74C7">
          <w:rPr>
            <w:webHidden/>
          </w:rPr>
          <w:instrText xml:space="preserve"> PAGEREF _Toc118731013 \h </w:instrText>
        </w:r>
        <w:r w:rsidR="007D74C7">
          <w:rPr>
            <w:webHidden/>
          </w:rPr>
        </w:r>
        <w:r w:rsidR="007D74C7">
          <w:rPr>
            <w:webHidden/>
          </w:rPr>
          <w:fldChar w:fldCharType="separate"/>
        </w:r>
        <w:r w:rsidR="007D74C7">
          <w:rPr>
            <w:webHidden/>
          </w:rPr>
          <w:t>10</w:t>
        </w:r>
        <w:r w:rsidR="007D74C7">
          <w:rPr>
            <w:webHidden/>
          </w:rPr>
          <w:fldChar w:fldCharType="end"/>
        </w:r>
      </w:hyperlink>
    </w:p>
    <w:p w14:paraId="63E82167" w14:textId="232516C2" w:rsidR="004D56FF" w:rsidRPr="00E162C4" w:rsidRDefault="006A3ECF">
      <w:pPr>
        <w:rPr>
          <w:rFonts w:cs="Arial"/>
        </w:rPr>
        <w:sectPr w:rsidR="004D56FF" w:rsidRPr="00E162C4" w:rsidSect="00AE0A59">
          <w:headerReference w:type="even" r:id="rId18"/>
          <w:headerReference w:type="default" r:id="rId19"/>
          <w:footerReference w:type="even" r:id="rId20"/>
          <w:footerReference w:type="default" r:id="rId21"/>
          <w:footerReference w:type="first" r:id="rId22"/>
          <w:pgSz w:w="11906" w:h="16838" w:code="9"/>
          <w:pgMar w:top="3646" w:right="3101" w:bottom="1134" w:left="1134" w:header="340" w:footer="0" w:gutter="0"/>
          <w:cols w:space="708"/>
          <w:titlePg/>
          <w:docGrid w:linePitch="360"/>
        </w:sectPr>
      </w:pPr>
      <w:r w:rsidRPr="00E162C4">
        <w:rPr>
          <w:rFonts w:cs="Arial"/>
          <w:noProof/>
          <w:spacing w:val="-14"/>
          <w:sz w:val="28"/>
        </w:rPr>
        <w:fldChar w:fldCharType="end"/>
      </w:r>
    </w:p>
    <w:p w14:paraId="5B566667" w14:textId="77777777" w:rsidR="009D6C71" w:rsidRPr="00E162C4" w:rsidRDefault="009D6C71" w:rsidP="00CD4BC2">
      <w:pPr>
        <w:pStyle w:val="Heading1"/>
      </w:pPr>
      <w:bookmarkStart w:id="0" w:name="_Toc92265078"/>
      <w:bookmarkStart w:id="1" w:name="_Toc118730997"/>
      <w:r w:rsidRPr="00E162C4">
        <w:lastRenderedPageBreak/>
        <w:t>Executive summary</w:t>
      </w:r>
      <w:bookmarkEnd w:id="0"/>
      <w:bookmarkEnd w:id="1"/>
    </w:p>
    <w:p w14:paraId="770A43F8" w14:textId="507A6163" w:rsidR="00DD7F06" w:rsidRPr="00FC50C0" w:rsidRDefault="007A3068" w:rsidP="00D0784C">
      <w:pPr>
        <w:pStyle w:val="Paragraph"/>
      </w:pPr>
      <w:bookmarkStart w:id="2" w:name="_Toc433122125"/>
      <w:r>
        <w:t xml:space="preserve">This paper </w:t>
      </w:r>
      <w:r w:rsidR="007C7518">
        <w:t>outlines</w:t>
      </w:r>
      <w:r>
        <w:t xml:space="preserve"> the m</w:t>
      </w:r>
      <w:r w:rsidR="00DD7F06" w:rsidRPr="00FC50C0">
        <w:t xml:space="preserve">odernisation of </w:t>
      </w:r>
      <w:r>
        <w:t>r</w:t>
      </w:r>
      <w:r w:rsidR="00DD7F06" w:rsidRPr="00FC50C0">
        <w:t xml:space="preserve">adiocommunications </w:t>
      </w:r>
      <w:r>
        <w:t>e</w:t>
      </w:r>
      <w:r w:rsidR="00DD7F06" w:rsidRPr="00FC50C0">
        <w:t xml:space="preserve">quipment </w:t>
      </w:r>
      <w:r>
        <w:t>r</w:t>
      </w:r>
      <w:r w:rsidR="00DD7F06" w:rsidRPr="00FC50C0">
        <w:t>egulation</w:t>
      </w:r>
      <w:r>
        <w:t xml:space="preserve">. </w:t>
      </w:r>
      <w:r w:rsidR="007C7518">
        <w:t>The proposal</w:t>
      </w:r>
      <w:r>
        <w:t xml:space="preserve"> includes </w:t>
      </w:r>
      <w:r w:rsidR="00DD7F06" w:rsidRPr="00FC50C0">
        <w:t xml:space="preserve">incorporating </w:t>
      </w:r>
      <w:r w:rsidR="0000441F" w:rsidRPr="00FC50C0">
        <w:t>ACMA</w:t>
      </w:r>
      <w:r w:rsidR="008342AC" w:rsidRPr="00FC50C0">
        <w:t xml:space="preserve"> radiocommunications</w:t>
      </w:r>
      <w:r w:rsidR="0000441F" w:rsidRPr="00FC50C0">
        <w:t xml:space="preserve"> mandatory </w:t>
      </w:r>
      <w:r w:rsidR="00DD7F06" w:rsidRPr="00FC50C0">
        <w:t>technical standards and labelling requirements into the</w:t>
      </w:r>
      <w:r w:rsidR="00DD7F06" w:rsidRPr="00FC50C0">
        <w:rPr>
          <w:i/>
          <w:iCs/>
        </w:rPr>
        <w:t xml:space="preserve"> </w:t>
      </w:r>
      <w:r w:rsidR="00DD7F06" w:rsidRPr="00FC50C0">
        <w:t>Radiocommunications Equipment (General) Rules 2021</w:t>
      </w:r>
      <w:r w:rsidRPr="00FC50C0">
        <w:t>.</w:t>
      </w:r>
      <w:r w:rsidR="00DD7F06" w:rsidRPr="00FC50C0">
        <w:t xml:space="preserve"> </w:t>
      </w:r>
    </w:p>
    <w:p w14:paraId="31EF0C70" w14:textId="17103884" w:rsidR="00FF31D8" w:rsidRDefault="007A3068" w:rsidP="00D0784C">
      <w:pPr>
        <w:pStyle w:val="Paragraph"/>
      </w:pPr>
      <w:r>
        <w:t xml:space="preserve">We </w:t>
      </w:r>
      <w:r w:rsidR="00AF3C21">
        <w:t>propose to</w:t>
      </w:r>
      <w:r w:rsidR="00FB7656">
        <w:t xml:space="preserve"> </w:t>
      </w:r>
      <w:r w:rsidR="000E0417">
        <w:t>simplify</w:t>
      </w:r>
      <w:r w:rsidR="002E60A1">
        <w:t xml:space="preserve"> and streamline </w:t>
      </w:r>
      <w:r w:rsidR="00FB7656">
        <w:t xml:space="preserve">the </w:t>
      </w:r>
      <w:r w:rsidR="000E0417">
        <w:t xml:space="preserve">radiocommunications </w:t>
      </w:r>
      <w:r w:rsidR="009E29AA">
        <w:t>equipment supply regulation</w:t>
      </w:r>
      <w:r w:rsidR="0096703F">
        <w:t xml:space="preserve">. We will do this </w:t>
      </w:r>
      <w:r w:rsidR="00AF3C21">
        <w:t xml:space="preserve">by incorporating the content of 13 </w:t>
      </w:r>
      <w:r w:rsidR="00D0784C">
        <w:t xml:space="preserve">current </w:t>
      </w:r>
      <w:r w:rsidR="00027CD2">
        <w:t xml:space="preserve">radiocommunications </w:t>
      </w:r>
      <w:r w:rsidR="00AF3C21">
        <w:t xml:space="preserve">mandatory technical standards and the </w:t>
      </w:r>
      <w:r w:rsidR="00D0784C" w:rsidRPr="00FC50C0">
        <w:rPr>
          <w:iCs/>
        </w:rPr>
        <w:t xml:space="preserve">Radiocommunications (Compliance Labelling </w:t>
      </w:r>
      <w:r w:rsidR="007C7518">
        <w:rPr>
          <w:iCs/>
        </w:rPr>
        <w:t>–</w:t>
      </w:r>
      <w:r w:rsidR="00C94327" w:rsidRPr="00FC50C0">
        <w:rPr>
          <w:iCs/>
        </w:rPr>
        <w:t xml:space="preserve"> </w:t>
      </w:r>
      <w:r w:rsidR="00D0784C" w:rsidRPr="00FC50C0">
        <w:rPr>
          <w:iCs/>
        </w:rPr>
        <w:t>Devices) Notice 2014</w:t>
      </w:r>
      <w:r w:rsidR="00D0784C" w:rsidRPr="000E0417">
        <w:rPr>
          <w:iCs/>
        </w:rPr>
        <w:t xml:space="preserve"> </w:t>
      </w:r>
      <w:r w:rsidR="00D0784C">
        <w:rPr>
          <w:iCs/>
        </w:rPr>
        <w:t xml:space="preserve">(the </w:t>
      </w:r>
      <w:r w:rsidR="00AF3C21">
        <w:t>RLN</w:t>
      </w:r>
      <w:r w:rsidR="00D0784C">
        <w:t>)</w:t>
      </w:r>
      <w:r w:rsidR="00AF3C21">
        <w:t xml:space="preserve"> into the </w:t>
      </w:r>
      <w:r w:rsidR="00AF3C21" w:rsidRPr="00FC50C0">
        <w:t>Radiocommunications Equipment (General) Rules 2021</w:t>
      </w:r>
      <w:r w:rsidR="00AF3C21">
        <w:t xml:space="preserve"> (the </w:t>
      </w:r>
      <w:r w:rsidR="0096703F">
        <w:t>g</w:t>
      </w:r>
      <w:r w:rsidR="00AF3C21">
        <w:t xml:space="preserve">eneral </w:t>
      </w:r>
      <w:r w:rsidR="0096703F">
        <w:t>e</w:t>
      </w:r>
      <w:r w:rsidR="00AF3C21">
        <w:t xml:space="preserve">quipment </w:t>
      </w:r>
      <w:r w:rsidR="0096703F">
        <w:t>r</w:t>
      </w:r>
      <w:r w:rsidR="00AF3C21">
        <w:t xml:space="preserve">ules). </w:t>
      </w:r>
    </w:p>
    <w:p w14:paraId="5B493EDA" w14:textId="6454E9D5" w:rsidR="00D0784C" w:rsidRPr="008E75BA" w:rsidRDefault="00FF31D8" w:rsidP="00D0784C">
      <w:pPr>
        <w:pStyle w:val="Paragraph"/>
      </w:pPr>
      <w:r>
        <w:t>The</w:t>
      </w:r>
      <w:r w:rsidR="00D0784C">
        <w:rPr>
          <w:iCs/>
        </w:rPr>
        <w:t xml:space="preserve"> ACMA </w:t>
      </w:r>
      <w:r w:rsidR="00085EB9">
        <w:rPr>
          <w:iCs/>
        </w:rPr>
        <w:t xml:space="preserve">radiocommunications </w:t>
      </w:r>
      <w:r w:rsidR="00D0784C">
        <w:rPr>
          <w:iCs/>
        </w:rPr>
        <w:t xml:space="preserve">mandatory technical standards are </w:t>
      </w:r>
      <w:r>
        <w:t xml:space="preserve">listed in </w:t>
      </w:r>
      <w:hyperlink w:anchor="_Appendix_A:_Proposed" w:history="1">
        <w:r w:rsidRPr="00BD6FB0">
          <w:rPr>
            <w:rStyle w:val="Hyperlink"/>
          </w:rPr>
          <w:t>Appendix</w:t>
        </w:r>
        <w:r w:rsidR="007C7518" w:rsidRPr="00BD6FB0">
          <w:rPr>
            <w:rStyle w:val="Hyperlink"/>
          </w:rPr>
          <w:t> </w:t>
        </w:r>
        <w:r w:rsidRPr="00FC50C0">
          <w:rPr>
            <w:rStyle w:val="Hyperlink"/>
          </w:rPr>
          <w:t>A</w:t>
        </w:r>
      </w:hyperlink>
      <w:r w:rsidRPr="00FC50C0">
        <w:t>,</w:t>
      </w:r>
      <w:r>
        <w:t xml:space="preserve"> with </w:t>
      </w:r>
      <w:r w:rsidR="00C81096">
        <w:rPr>
          <w:iCs/>
        </w:rPr>
        <w:t>2</w:t>
      </w:r>
      <w:r w:rsidR="00D0784C">
        <w:rPr>
          <w:rStyle w:val="FootnoteReference"/>
          <w:iCs/>
        </w:rPr>
        <w:footnoteReference w:id="2"/>
      </w:r>
      <w:r w:rsidR="00D0784C">
        <w:rPr>
          <w:iCs/>
        </w:rPr>
        <w:t xml:space="preserve"> o</w:t>
      </w:r>
      <w:r>
        <w:rPr>
          <w:iCs/>
        </w:rPr>
        <w:t xml:space="preserve">f them </w:t>
      </w:r>
      <w:r w:rsidR="00D0784C">
        <w:rPr>
          <w:iCs/>
        </w:rPr>
        <w:t>sunsetting on 1 April 2023.</w:t>
      </w:r>
    </w:p>
    <w:p w14:paraId="1776922D" w14:textId="45BFBFA4" w:rsidR="00AF3C21" w:rsidRDefault="00D0784C" w:rsidP="003253EE">
      <w:pPr>
        <w:pStyle w:val="Paragraph"/>
      </w:pPr>
      <w:r>
        <w:t xml:space="preserve">This </w:t>
      </w:r>
      <w:r w:rsidR="008E75BA">
        <w:t xml:space="preserve">proposal </w:t>
      </w:r>
      <w:r w:rsidR="00F23EEF">
        <w:t xml:space="preserve">forms part of a staged program to review the ACMA’s </w:t>
      </w:r>
      <w:r w:rsidR="00D12108">
        <w:t xml:space="preserve">telecommunications and radiocommunications </w:t>
      </w:r>
      <w:r w:rsidR="00F23EEF">
        <w:t>equipment regulation</w:t>
      </w:r>
      <w:r w:rsidR="00BD6FB0">
        <w:t xml:space="preserve">. It follows the </w:t>
      </w:r>
      <w:r w:rsidR="00D12108">
        <w:t xml:space="preserve">passage of </w:t>
      </w:r>
      <w:r w:rsidR="00E80B28">
        <w:t xml:space="preserve">the </w:t>
      </w:r>
      <w:r w:rsidR="00E80B28" w:rsidRPr="007E77CC">
        <w:rPr>
          <w:i/>
          <w:iCs/>
        </w:rPr>
        <w:t>Radiocommunications Legislation Amendment (Reform and Modernisation) Act</w:t>
      </w:r>
      <w:r w:rsidR="00E80B28" w:rsidRPr="00483641">
        <w:t xml:space="preserve"> </w:t>
      </w:r>
      <w:r w:rsidR="00E80B28" w:rsidRPr="00E30CDC">
        <w:rPr>
          <w:i/>
          <w:iCs/>
        </w:rPr>
        <w:t>2020</w:t>
      </w:r>
      <w:r w:rsidR="00E80B28">
        <w:t xml:space="preserve"> (the </w:t>
      </w:r>
      <w:r w:rsidR="00BD6FB0">
        <w:t>r</w:t>
      </w:r>
      <w:r w:rsidR="00E80B28">
        <w:t xml:space="preserve">eform and </w:t>
      </w:r>
      <w:r w:rsidR="00BD6FB0">
        <w:t>m</w:t>
      </w:r>
      <w:r w:rsidR="00E80B28">
        <w:t xml:space="preserve">odernisation </w:t>
      </w:r>
      <w:r w:rsidR="00BD6FB0">
        <w:t>a</w:t>
      </w:r>
      <w:r w:rsidR="00E80B28">
        <w:t>ct)</w:t>
      </w:r>
      <w:r w:rsidR="00BD6FB0">
        <w:t>,</w:t>
      </w:r>
      <w:r w:rsidR="00E80B28" w:rsidRPr="00483641">
        <w:t xml:space="preserve"> </w:t>
      </w:r>
      <w:r w:rsidR="00E80B28">
        <w:t xml:space="preserve">which </w:t>
      </w:r>
      <w:r w:rsidR="00D12108">
        <w:t>amend</w:t>
      </w:r>
      <w:r w:rsidR="00E80B28">
        <w:t>ed</w:t>
      </w:r>
      <w:r w:rsidR="00D12108">
        <w:t xml:space="preserve"> the </w:t>
      </w:r>
      <w:r w:rsidR="00D12108" w:rsidRPr="00A03B5F">
        <w:rPr>
          <w:i/>
          <w:iCs/>
        </w:rPr>
        <w:t>Radiocommunications Act 1992</w:t>
      </w:r>
      <w:r w:rsidR="00183B73">
        <w:rPr>
          <w:i/>
          <w:iCs/>
        </w:rPr>
        <w:t xml:space="preserve"> </w:t>
      </w:r>
      <w:r w:rsidR="00E021FB">
        <w:t>(the Act)</w:t>
      </w:r>
      <w:r w:rsidR="00D12108">
        <w:t xml:space="preserve">. </w:t>
      </w:r>
    </w:p>
    <w:p w14:paraId="62205117" w14:textId="149722DD" w:rsidR="00D0784C" w:rsidRDefault="00D0784C" w:rsidP="00D0784C">
      <w:pPr>
        <w:pStyle w:val="Paragraph"/>
      </w:pPr>
      <w:r>
        <w:t>The propos</w:t>
      </w:r>
      <w:r w:rsidR="00FF31D8">
        <w:t>al</w:t>
      </w:r>
      <w:r>
        <w:t xml:space="preserve"> will </w:t>
      </w:r>
      <w:r w:rsidR="00714AA2">
        <w:t xml:space="preserve">not change the </w:t>
      </w:r>
      <w:r>
        <w:t xml:space="preserve">substantive </w:t>
      </w:r>
      <w:r w:rsidR="00D12108">
        <w:t>requirements</w:t>
      </w:r>
      <w:r>
        <w:t xml:space="preserve"> of the current </w:t>
      </w:r>
      <w:r w:rsidR="00C80CAE">
        <w:t xml:space="preserve">radiocommunications </w:t>
      </w:r>
      <w:r>
        <w:t xml:space="preserve">mandatory technical standards </w:t>
      </w:r>
      <w:r w:rsidR="00714AA2">
        <w:t xml:space="preserve">and </w:t>
      </w:r>
      <w:r>
        <w:t>the RLN. The</w:t>
      </w:r>
      <w:r w:rsidR="00714AA2">
        <w:t>re are some proposed</w:t>
      </w:r>
      <w:r>
        <w:t xml:space="preserve"> minor clarifications and the repeal of </w:t>
      </w:r>
      <w:r w:rsidR="00714AA2">
        <w:t>one</w:t>
      </w:r>
      <w:r>
        <w:t xml:space="preserve"> </w:t>
      </w:r>
      <w:r w:rsidR="00714AA2">
        <w:t>ACMA</w:t>
      </w:r>
      <w:r w:rsidR="00D04F84">
        <w:t xml:space="preserve"> radiocommunications</w:t>
      </w:r>
      <w:r w:rsidR="00714AA2">
        <w:t xml:space="preserve"> mandatory</w:t>
      </w:r>
      <w:r w:rsidR="009C302A">
        <w:t xml:space="preserve"> technical</w:t>
      </w:r>
      <w:r w:rsidR="00714AA2">
        <w:t xml:space="preserve"> standard</w:t>
      </w:r>
      <w:r w:rsidR="00BD6FB0">
        <w:t>,</w:t>
      </w:r>
      <w:r w:rsidR="00FF31D8">
        <w:rPr>
          <w:rStyle w:val="FootnoteReference"/>
        </w:rPr>
        <w:footnoteReference w:id="3"/>
      </w:r>
      <w:r w:rsidR="00714AA2">
        <w:t xml:space="preserve"> which is now </w:t>
      </w:r>
      <w:r>
        <w:t>redundant</w:t>
      </w:r>
      <w:r w:rsidR="00714AA2">
        <w:t xml:space="preserve"> </w:t>
      </w:r>
      <w:r>
        <w:t>(relating to 121.5 MH</w:t>
      </w:r>
      <w:r w:rsidR="00D70F0D">
        <w:t>z</w:t>
      </w:r>
      <w:r>
        <w:t xml:space="preserve"> </w:t>
      </w:r>
      <w:r w:rsidR="001B781B">
        <w:t xml:space="preserve">and 243.0 MHz </w:t>
      </w:r>
      <w:r>
        <w:t xml:space="preserve">emergency position indicating radio beacons).  </w:t>
      </w:r>
    </w:p>
    <w:p w14:paraId="5E38C705" w14:textId="5D41B8E8" w:rsidR="00D0784C" w:rsidRDefault="00BD6FB0" w:rsidP="00D0784C">
      <w:pPr>
        <w:pStyle w:val="Paragraph"/>
      </w:pPr>
      <w:r>
        <w:t xml:space="preserve">We </w:t>
      </w:r>
      <w:r w:rsidR="00D0784C">
        <w:t>also propose</w:t>
      </w:r>
      <w:r>
        <w:t xml:space="preserve"> </w:t>
      </w:r>
      <w:r w:rsidR="00D0784C">
        <w:t xml:space="preserve">to adopt </w:t>
      </w:r>
      <w:r>
        <w:t>5</w:t>
      </w:r>
      <w:r w:rsidR="00714AA2">
        <w:t xml:space="preserve"> equivalent </w:t>
      </w:r>
      <w:r w:rsidR="00D0784C">
        <w:t>international standard</w:t>
      </w:r>
      <w:r w:rsidR="00714AA2">
        <w:t xml:space="preserve">s </w:t>
      </w:r>
      <w:r w:rsidR="00FF31D8">
        <w:t xml:space="preserve">in the </w:t>
      </w:r>
      <w:r w:rsidR="000266B4">
        <w:t xml:space="preserve">radiocommunications </w:t>
      </w:r>
      <w:r w:rsidR="00FF31D8">
        <w:t xml:space="preserve">mandatory technical standards </w:t>
      </w:r>
      <w:r w:rsidR="00714AA2">
        <w:t>to provide suppliers with greater flexibility in achieving compliance with relevant technical requirements.</w:t>
      </w:r>
    </w:p>
    <w:p w14:paraId="42328712" w14:textId="564070AB" w:rsidR="00DD7F06" w:rsidRPr="000C7886" w:rsidRDefault="00DD7F06" w:rsidP="00FC50C0">
      <w:pPr>
        <w:pStyle w:val="Heading3"/>
      </w:pPr>
      <w:r w:rsidRPr="000C7886">
        <w:t xml:space="preserve">Protected </w:t>
      </w:r>
      <w:r w:rsidR="00BD6FB0">
        <w:t>s</w:t>
      </w:r>
      <w:r w:rsidRPr="000C7886">
        <w:t xml:space="preserve">ymbols </w:t>
      </w:r>
      <w:r w:rsidR="00BD6FB0">
        <w:t>d</w:t>
      </w:r>
      <w:r w:rsidRPr="000C7886">
        <w:t>etermination</w:t>
      </w:r>
    </w:p>
    <w:p w14:paraId="5EBCC9EB" w14:textId="340EC2CF" w:rsidR="00714AA2" w:rsidRDefault="00714AA2" w:rsidP="003253EE">
      <w:pPr>
        <w:pStyle w:val="Paragraph"/>
      </w:pPr>
      <w:r>
        <w:t>The</w:t>
      </w:r>
      <w:r w:rsidRPr="00E30CDC">
        <w:rPr>
          <w:i/>
          <w:iCs/>
        </w:rPr>
        <w:t xml:space="preserve"> </w:t>
      </w:r>
      <w:r w:rsidR="000E0417" w:rsidRPr="00FC50C0">
        <w:t>Protected Symbols Determination 2013</w:t>
      </w:r>
      <w:r w:rsidR="000E0417" w:rsidRPr="00E30CDC">
        <w:rPr>
          <w:i/>
          <w:iCs/>
        </w:rPr>
        <w:t xml:space="preserve"> </w:t>
      </w:r>
      <w:r w:rsidR="00AE109F">
        <w:t>(the</w:t>
      </w:r>
      <w:r w:rsidR="00D70F0D">
        <w:t xml:space="preserve"> </w:t>
      </w:r>
      <w:r w:rsidR="00BD6FB0">
        <w:t>d</w:t>
      </w:r>
      <w:r w:rsidR="00AE109F">
        <w:t>etermination)</w:t>
      </w:r>
      <w:r>
        <w:t xml:space="preserve"> is sunsetting on 1</w:t>
      </w:r>
      <w:r w:rsidR="00BD6FB0">
        <w:t> </w:t>
      </w:r>
      <w:r>
        <w:t>April 2023</w:t>
      </w:r>
      <w:r w:rsidR="00BD6FB0">
        <w:t xml:space="preserve">. We propose to remake it as </w:t>
      </w:r>
      <w:r>
        <w:t xml:space="preserve">the </w:t>
      </w:r>
      <w:r w:rsidR="00D72DB6" w:rsidRPr="00FC50C0">
        <w:t>Communications Legislation (</w:t>
      </w:r>
      <w:r w:rsidRPr="00FC50C0">
        <w:t>Protected Symbols</w:t>
      </w:r>
      <w:r w:rsidR="00D72DB6" w:rsidRPr="00FC50C0">
        <w:t>)</w:t>
      </w:r>
      <w:r w:rsidRPr="00FC50C0">
        <w:t xml:space="preserve"> Determination 20</w:t>
      </w:r>
      <w:r w:rsidR="00DD7F06" w:rsidRPr="00FC50C0">
        <w:t>2</w:t>
      </w:r>
      <w:r w:rsidRPr="00FC50C0">
        <w:t>3</w:t>
      </w:r>
      <w:r w:rsidRPr="0097132E">
        <w:t>.</w:t>
      </w:r>
      <w:r>
        <w:t xml:space="preserve"> The only proposed change </w:t>
      </w:r>
      <w:r w:rsidR="00FF31D8">
        <w:t xml:space="preserve">to the current </w:t>
      </w:r>
      <w:r w:rsidR="000B3FF9">
        <w:t>d</w:t>
      </w:r>
      <w:r w:rsidR="00FF31D8">
        <w:t xml:space="preserve">etermination </w:t>
      </w:r>
      <w:r w:rsidR="008E75BA">
        <w:t>is</w:t>
      </w:r>
      <w:r>
        <w:t xml:space="preserve"> the removal of the C-Tick Mark and the A-Tick Mark as protected symbols</w:t>
      </w:r>
      <w:r w:rsidR="000B3FF9">
        <w:t>. T</w:t>
      </w:r>
      <w:r>
        <w:t xml:space="preserve">hese were phased out </w:t>
      </w:r>
      <w:r w:rsidR="000B3FF9">
        <w:t xml:space="preserve">at </w:t>
      </w:r>
      <w:r>
        <w:t>the end of February 2016</w:t>
      </w:r>
      <w:r w:rsidR="003C6DA6">
        <w:t xml:space="preserve"> and are no longer required</w:t>
      </w:r>
      <w:r>
        <w:t>.</w:t>
      </w:r>
      <w:r w:rsidR="00274E8A" w:rsidRPr="00483641">
        <w:t xml:space="preserve"> </w:t>
      </w:r>
    </w:p>
    <w:p w14:paraId="3D9A0F48" w14:textId="0C5BEF31" w:rsidR="00DD7F06" w:rsidRPr="00DD7F06" w:rsidRDefault="00DD7F06" w:rsidP="00FC50C0">
      <w:pPr>
        <w:pStyle w:val="Heading3"/>
      </w:pPr>
      <w:r w:rsidRPr="00DD7F06">
        <w:t xml:space="preserve">EME test </w:t>
      </w:r>
      <w:r>
        <w:t xml:space="preserve">method </w:t>
      </w:r>
      <w:r w:rsidRPr="00DD7F06">
        <w:t>standard</w:t>
      </w:r>
    </w:p>
    <w:p w14:paraId="16367884" w14:textId="4EE8798E" w:rsidR="001B32B6" w:rsidRDefault="00913BDF" w:rsidP="00FC50C0">
      <w:pPr>
        <w:pStyle w:val="Paragraphbeforelist"/>
      </w:pPr>
      <w:r>
        <w:t>We</w:t>
      </w:r>
      <w:r w:rsidR="00DD7F06">
        <w:t xml:space="preserve"> propose that the recently published </w:t>
      </w:r>
      <w:r>
        <w:t>e</w:t>
      </w:r>
      <w:r w:rsidR="005F30C3">
        <w:t xml:space="preserve">lectromagnetic </w:t>
      </w:r>
      <w:r>
        <w:t>e</w:t>
      </w:r>
      <w:r w:rsidR="005F30C3">
        <w:t>nergy (</w:t>
      </w:r>
      <w:r w:rsidR="00DD7F06">
        <w:t>EME</w:t>
      </w:r>
      <w:r w:rsidR="005F30C3">
        <w:t>)</w:t>
      </w:r>
      <w:r w:rsidR="00DD7F06">
        <w:t xml:space="preserve"> test method standard</w:t>
      </w:r>
      <w:r>
        <w:t xml:space="preserve">s be adopted in the EME requirements in Schedule 4 </w:t>
      </w:r>
      <w:r w:rsidR="00CD530A">
        <w:t xml:space="preserve">to </w:t>
      </w:r>
      <w:r>
        <w:t>the General Equipment Rules:</w:t>
      </w:r>
    </w:p>
    <w:p w14:paraId="11F5A6D8" w14:textId="2771F1FC" w:rsidR="001B32B6" w:rsidRDefault="00DD7F06" w:rsidP="001B32B6">
      <w:pPr>
        <w:pStyle w:val="Paragraph"/>
        <w:numPr>
          <w:ilvl w:val="0"/>
          <w:numId w:val="28"/>
        </w:numPr>
      </w:pPr>
      <w:r>
        <w:t>IEC/IEEE 63195</w:t>
      </w:r>
      <w:r w:rsidR="00D70F0D">
        <w:t>-1</w:t>
      </w:r>
      <w:r>
        <w:t xml:space="preserve">:2022 </w:t>
      </w:r>
      <w:r w:rsidR="001B32B6" w:rsidRPr="00FC50C0">
        <w:t xml:space="preserve">Assessment of power density of human exposure to radio frequency fields from wireless devices in close proximity to the head </w:t>
      </w:r>
      <w:r w:rsidRPr="00FC50C0">
        <w:t xml:space="preserve">and </w:t>
      </w:r>
      <w:r w:rsidR="001B32B6" w:rsidRPr="00FC50C0">
        <w:t xml:space="preserve">body (frequency range of 6 GHz to 300 GHz) </w:t>
      </w:r>
      <w:r w:rsidR="00913BDF">
        <w:t>–</w:t>
      </w:r>
      <w:r w:rsidR="001B32B6" w:rsidRPr="00FC50C0">
        <w:t xml:space="preserve"> Part 1: Measurement procedure</w:t>
      </w:r>
      <w:r w:rsidR="001B32B6">
        <w:t xml:space="preserve"> </w:t>
      </w:r>
    </w:p>
    <w:p w14:paraId="28101169" w14:textId="478C11EE" w:rsidR="001B32B6" w:rsidRPr="0097132E" w:rsidRDefault="00DD7F06" w:rsidP="001B32B6">
      <w:pPr>
        <w:pStyle w:val="Paragraph"/>
        <w:numPr>
          <w:ilvl w:val="0"/>
          <w:numId w:val="28"/>
        </w:numPr>
      </w:pPr>
      <w:r>
        <w:lastRenderedPageBreak/>
        <w:t>IEC/IEEE 63195</w:t>
      </w:r>
      <w:r w:rsidR="00D70F0D">
        <w:t>-2</w:t>
      </w:r>
      <w:r>
        <w:t xml:space="preserve">:2022 </w:t>
      </w:r>
      <w:r w:rsidR="001B32B6" w:rsidRPr="00FC50C0">
        <w:t xml:space="preserve">Assessment of power density of human exposure to radio frequency fields from wireless devices in close proximity to the head and body (frequency range of 6 GHz to 300 GHz) </w:t>
      </w:r>
      <w:r w:rsidR="00913BDF">
        <w:t>–</w:t>
      </w:r>
      <w:r w:rsidR="001B32B6" w:rsidRPr="007E6B0B">
        <w:t xml:space="preserve"> Part 2: Computational procedure</w:t>
      </w:r>
      <w:r w:rsidR="00792241" w:rsidRPr="007E6B0B">
        <w:t>.</w:t>
      </w:r>
    </w:p>
    <w:p w14:paraId="35E9803B" w14:textId="6398AD07" w:rsidR="00DD7F06" w:rsidRDefault="00DD7F06" w:rsidP="00DD7F06">
      <w:pPr>
        <w:pStyle w:val="Paragraph"/>
      </w:pPr>
      <w:r>
        <w:t xml:space="preserve">Schedule 4 </w:t>
      </w:r>
      <w:r w:rsidR="00CD530A">
        <w:t xml:space="preserve">to </w:t>
      </w:r>
      <w:r>
        <w:t xml:space="preserve">the General Equipment Rules will be amended to replace the interim test method IEC TR 63170 with this recently published test method standard. </w:t>
      </w:r>
      <w:r w:rsidRPr="00DD7F06">
        <w:t>This proposed amendment will allow suppliers to use both computational methods and physical measurements to determine compliance with ARPANSA’s EME limits</w:t>
      </w:r>
      <w:r w:rsidR="00956EB8">
        <w:t xml:space="preserve"> in the General Equipment Rules</w:t>
      </w:r>
      <w:r w:rsidR="00956EB8">
        <w:rPr>
          <w:rStyle w:val="FootnoteReference"/>
        </w:rPr>
        <w:footnoteReference w:id="4"/>
      </w:r>
      <w:r w:rsidRPr="00DD7F06">
        <w:t xml:space="preserve"> </w:t>
      </w:r>
      <w:r w:rsidR="00D70F0D">
        <w:t>for transmitter</w:t>
      </w:r>
      <w:r w:rsidR="000E2FDC">
        <w:t>s</w:t>
      </w:r>
      <w:r w:rsidR="00D70F0D">
        <w:t xml:space="preserve"> operating </w:t>
      </w:r>
      <w:r w:rsidRPr="00DD7F06">
        <w:t>above 6 GH</w:t>
      </w:r>
      <w:r w:rsidR="00D70F0D">
        <w:t>z.</w:t>
      </w:r>
    </w:p>
    <w:p w14:paraId="675542DB" w14:textId="184D01F5" w:rsidR="00DD7F06" w:rsidRPr="00DD7F06" w:rsidRDefault="00DD7F06" w:rsidP="00FC50C0">
      <w:pPr>
        <w:pStyle w:val="Heading3"/>
      </w:pPr>
      <w:r w:rsidRPr="00DD7F06">
        <w:t>Significant event provision</w:t>
      </w:r>
      <w:r w:rsidR="00F23EEF">
        <w:t>s</w:t>
      </w:r>
    </w:p>
    <w:p w14:paraId="12E34649" w14:textId="77777777" w:rsidR="0097132E" w:rsidRDefault="008E75BA" w:rsidP="00FC50C0">
      <w:pPr>
        <w:pStyle w:val="Paragraphbeforelist"/>
      </w:pPr>
      <w:r>
        <w:t>The ACMA proposes t</w:t>
      </w:r>
      <w:r w:rsidR="00D70F0D">
        <w:t>o</w:t>
      </w:r>
      <w:r>
        <w:t xml:space="preserve"> amend the significant event provision</w:t>
      </w:r>
      <w:r w:rsidR="00727B26">
        <w:t>s</w:t>
      </w:r>
      <w:r>
        <w:t xml:space="preserve"> in the ACMA </w:t>
      </w:r>
      <w:r w:rsidR="000266B4">
        <w:t xml:space="preserve">radiocommunications </w:t>
      </w:r>
      <w:r>
        <w:t>mandatory technical standards</w:t>
      </w:r>
      <w:r w:rsidR="0097132E">
        <w:t>:</w:t>
      </w:r>
    </w:p>
    <w:p w14:paraId="51A4EEB7" w14:textId="07B6C2A7" w:rsidR="0097132E" w:rsidRDefault="006F2C45" w:rsidP="0097132E">
      <w:pPr>
        <w:pStyle w:val="Bulletlevel1"/>
      </w:pPr>
      <w:r w:rsidRPr="00E30CDC">
        <w:t>Radiocommunications (Low Interference Potential Devices) Class Licence 2015</w:t>
      </w:r>
    </w:p>
    <w:p w14:paraId="4F8E7472" w14:textId="6B91CC95" w:rsidR="0097132E" w:rsidRDefault="008E75BA" w:rsidP="0097132E">
      <w:pPr>
        <w:pStyle w:val="Bulletlevel1"/>
      </w:pPr>
      <w:r w:rsidRPr="00E30CDC">
        <w:t>Telecommunications (Labelling Notice for Customer Equipment and Customer Cabling) Instrument 2015</w:t>
      </w:r>
    </w:p>
    <w:p w14:paraId="35E9A21A" w14:textId="0DCC4F94" w:rsidR="0097132E" w:rsidRDefault="008E75BA" w:rsidP="00FC50C0">
      <w:pPr>
        <w:pStyle w:val="Bulletlevel1last"/>
      </w:pPr>
      <w:r w:rsidRPr="00E30CDC">
        <w:t>Telecommunications (Types of Cabling Work) Declaration 2013</w:t>
      </w:r>
      <w:r>
        <w:t xml:space="preserve">. </w:t>
      </w:r>
    </w:p>
    <w:p w14:paraId="478F7645" w14:textId="13F85AA4" w:rsidR="00546EC1" w:rsidRDefault="00091736">
      <w:pPr>
        <w:pStyle w:val="Paragraph"/>
      </w:pPr>
      <w:r>
        <w:t>T</w:t>
      </w:r>
      <w:r w:rsidR="00F56B37">
        <w:t>he pow</w:t>
      </w:r>
      <w:r w:rsidR="009353B3">
        <w:t>er to declare a significant event</w:t>
      </w:r>
      <w:r w:rsidR="005E4995">
        <w:t xml:space="preserve"> </w:t>
      </w:r>
      <w:r w:rsidR="00382B2A">
        <w:t xml:space="preserve">under </w:t>
      </w:r>
      <w:r w:rsidR="000378BA">
        <w:t xml:space="preserve">each of </w:t>
      </w:r>
      <w:r w:rsidR="00382B2A">
        <w:t xml:space="preserve">those provisions </w:t>
      </w:r>
      <w:r w:rsidR="009353B3">
        <w:t>is conferred</w:t>
      </w:r>
      <w:r w:rsidR="003F4FEE">
        <w:t xml:space="preserve"> only</w:t>
      </w:r>
      <w:r w:rsidR="009353B3">
        <w:t xml:space="preserve"> on the Chair of the ACMA and is not delegable. </w:t>
      </w:r>
      <w:r w:rsidR="008E75BA">
        <w:t>The proposed amendment</w:t>
      </w:r>
      <w:r w:rsidR="00B257A3">
        <w:t>s</w:t>
      </w:r>
      <w:r w:rsidR="008E75BA">
        <w:t xml:space="preserve"> will</w:t>
      </w:r>
      <w:r w:rsidR="00B257A3">
        <w:t xml:space="preserve"> </w:t>
      </w:r>
      <w:r w:rsidR="009C3052">
        <w:t>confer the power to declare a significant event on the ACMA</w:t>
      </w:r>
      <w:r w:rsidR="0097132E">
        <w:t>. The</w:t>
      </w:r>
      <w:r w:rsidR="000A3469">
        <w:t xml:space="preserve"> changes</w:t>
      </w:r>
      <w:r w:rsidR="0097132E">
        <w:t xml:space="preserve"> will </w:t>
      </w:r>
      <w:r w:rsidR="008E75BA">
        <w:t xml:space="preserve">allow the power to be delegated to an ACMA member of staff under the </w:t>
      </w:r>
      <w:r w:rsidR="008E75BA" w:rsidRPr="00FC50C0">
        <w:rPr>
          <w:i/>
          <w:iCs/>
        </w:rPr>
        <w:t>Australian Communications and Media Authority Act 2005</w:t>
      </w:r>
      <w:r w:rsidR="008E75BA">
        <w:t xml:space="preserve">. </w:t>
      </w:r>
    </w:p>
    <w:p w14:paraId="7CBA80AD" w14:textId="5004EEA3" w:rsidR="00983A0B" w:rsidRPr="00983A0B" w:rsidRDefault="00983A0B" w:rsidP="00FC50C0">
      <w:pPr>
        <w:pStyle w:val="Heading3"/>
      </w:pPr>
      <w:r w:rsidRPr="00983A0B">
        <w:t>Invitation to comment</w:t>
      </w:r>
    </w:p>
    <w:p w14:paraId="7380AB10" w14:textId="2A2171FF" w:rsidR="00983A0B" w:rsidRDefault="002D76BD" w:rsidP="00983A0B">
      <w:pPr>
        <w:pStyle w:val="Paragraph"/>
      </w:pPr>
      <w:r>
        <w:t xml:space="preserve">Stakeholders are invited to provide </w:t>
      </w:r>
      <w:r w:rsidR="000A3469">
        <w:t>feedback</w:t>
      </w:r>
      <w:r>
        <w:t xml:space="preserve"> on the proposed changes and</w:t>
      </w:r>
      <w:r w:rsidR="00107DBD">
        <w:t xml:space="preserve"> </w:t>
      </w:r>
      <w:r w:rsidR="00E50275">
        <w:t xml:space="preserve">the </w:t>
      </w:r>
      <w:r>
        <w:t>questions raised in this consultation paper.</w:t>
      </w:r>
      <w:r w:rsidR="00983A0B">
        <w:t xml:space="preserve"> A summary of the proposed changes is set out in </w:t>
      </w:r>
      <w:hyperlink w:anchor="_Appendix_A:_Proposed" w:history="1">
        <w:r w:rsidR="00983A0B" w:rsidRPr="00FC50C0">
          <w:rPr>
            <w:rStyle w:val="Hyperlink"/>
          </w:rPr>
          <w:t>Appendix A</w:t>
        </w:r>
      </w:hyperlink>
      <w:r w:rsidR="00983A0B">
        <w:t>.</w:t>
      </w:r>
    </w:p>
    <w:p w14:paraId="0EEB2293" w14:textId="2A2F888A" w:rsidR="002D76BD" w:rsidRDefault="002D76BD" w:rsidP="003253EE">
      <w:pPr>
        <w:pStyle w:val="Paragraph"/>
      </w:pPr>
    </w:p>
    <w:p w14:paraId="4300DD0C" w14:textId="77777777" w:rsidR="00D0784C" w:rsidRDefault="00D0784C" w:rsidP="003253EE">
      <w:pPr>
        <w:pStyle w:val="Paragraph"/>
      </w:pPr>
    </w:p>
    <w:p w14:paraId="6D001A97" w14:textId="77777777" w:rsidR="00715722" w:rsidRPr="00E162C4" w:rsidRDefault="00715722" w:rsidP="00715722">
      <w:pPr>
        <w:pStyle w:val="Heading1"/>
      </w:pPr>
      <w:bookmarkStart w:id="3" w:name="_Toc92265082"/>
      <w:bookmarkStart w:id="4" w:name="_Toc118730998"/>
      <w:r w:rsidRPr="00E162C4">
        <w:lastRenderedPageBreak/>
        <w:t>Issue/s for comment</w:t>
      </w:r>
      <w:bookmarkEnd w:id="2"/>
      <w:bookmarkEnd w:id="3"/>
      <w:bookmarkEnd w:id="4"/>
    </w:p>
    <w:p w14:paraId="4E891FA4" w14:textId="68735666" w:rsidR="00715722" w:rsidRPr="009906CB" w:rsidRDefault="00827B87" w:rsidP="009A021C">
      <w:pPr>
        <w:pStyle w:val="Paragraphbeforelist"/>
      </w:pPr>
      <w:r>
        <w:t xml:space="preserve">We are </w:t>
      </w:r>
      <w:r w:rsidR="001035EE">
        <w:t xml:space="preserve">seeking </w:t>
      </w:r>
      <w:r>
        <w:t xml:space="preserve">your </w:t>
      </w:r>
      <w:r w:rsidR="001035EE">
        <w:t>comments on</w:t>
      </w:r>
      <w:r w:rsidR="00F23EEF">
        <w:t xml:space="preserve"> the</w:t>
      </w:r>
      <w:r w:rsidR="00FB4776">
        <w:t xml:space="preserve"> following</w:t>
      </w:r>
      <w:r w:rsidR="001035EE">
        <w:t>:</w:t>
      </w:r>
    </w:p>
    <w:p w14:paraId="2BF32599" w14:textId="5AF81B41" w:rsidR="00DD7F06" w:rsidRPr="00FC50C0" w:rsidRDefault="00261D72" w:rsidP="00DD7F06">
      <w:pPr>
        <w:pStyle w:val="Paragraphbeforelist"/>
        <w:numPr>
          <w:ilvl w:val="0"/>
          <w:numId w:val="26"/>
        </w:numPr>
      </w:pPr>
      <w:r>
        <w:t>Draft Radiocommunications Equipment (General) Amendment Rules 2023 (No.1)</w:t>
      </w:r>
    </w:p>
    <w:p w14:paraId="29F6313B" w14:textId="2BC671E7" w:rsidR="00DD7F06" w:rsidRPr="00FC50C0" w:rsidRDefault="00827B87" w:rsidP="00DD7F06">
      <w:pPr>
        <w:pStyle w:val="Paragraphbeforelist"/>
        <w:numPr>
          <w:ilvl w:val="0"/>
          <w:numId w:val="26"/>
        </w:numPr>
      </w:pPr>
      <w:r>
        <w:t>D</w:t>
      </w:r>
      <w:r w:rsidR="00DD7F06" w:rsidRPr="00FC50C0">
        <w:t xml:space="preserve">raft </w:t>
      </w:r>
      <w:r w:rsidR="00D169DC" w:rsidRPr="00FC50C0">
        <w:t>Communications Legislation (</w:t>
      </w:r>
      <w:r w:rsidR="00DD7F06" w:rsidRPr="00FC50C0">
        <w:t>Protected Symbols</w:t>
      </w:r>
      <w:r w:rsidR="00D169DC" w:rsidRPr="00FC50C0">
        <w:t>)</w:t>
      </w:r>
      <w:r w:rsidR="00DD7F06" w:rsidRPr="00FC50C0">
        <w:t xml:space="preserve"> Determination 2023</w:t>
      </w:r>
    </w:p>
    <w:p w14:paraId="01CE55D5" w14:textId="770C8581" w:rsidR="00E40ED2" w:rsidRPr="00FC50C0" w:rsidRDefault="00827B87" w:rsidP="00DD7F06">
      <w:pPr>
        <w:pStyle w:val="Paragraphbeforelist"/>
        <w:numPr>
          <w:ilvl w:val="0"/>
          <w:numId w:val="26"/>
        </w:numPr>
      </w:pPr>
      <w:r>
        <w:t>D</w:t>
      </w:r>
      <w:r w:rsidR="00DD7F06" w:rsidRPr="00FC50C0">
        <w:t>raft Telecommunications Legislation Amendment (Significant Event) Instrument (No. 1) 202</w:t>
      </w:r>
      <w:r w:rsidR="00FA065A" w:rsidRPr="00FC50C0">
        <w:t>3</w:t>
      </w:r>
    </w:p>
    <w:p w14:paraId="0DA1F192" w14:textId="366A96DB" w:rsidR="008B2516" w:rsidRPr="00FC50C0" w:rsidRDefault="00827B87" w:rsidP="00FC50C0">
      <w:pPr>
        <w:pStyle w:val="Paragraphbeforelist"/>
        <w:numPr>
          <w:ilvl w:val="0"/>
          <w:numId w:val="26"/>
        </w:numPr>
        <w:spacing w:after="240"/>
        <w:ind w:left="357" w:hanging="357"/>
      </w:pPr>
      <w:r>
        <w:t>D</w:t>
      </w:r>
      <w:r w:rsidR="008B2516" w:rsidRPr="00FC50C0">
        <w:t>raft Radiocommunications (Low Interference Potential Devices) Class Licence Variation 202</w:t>
      </w:r>
      <w:r w:rsidR="007B6A31" w:rsidRPr="00FC50C0">
        <w:t>3</w:t>
      </w:r>
      <w:r w:rsidR="008B2516" w:rsidRPr="00FC50C0">
        <w:t xml:space="preserve"> (No.</w:t>
      </w:r>
      <w:r w:rsidR="0016142F" w:rsidRPr="00FC50C0">
        <w:t xml:space="preserve"> 1</w:t>
      </w:r>
      <w:r w:rsidR="008B2516" w:rsidRPr="00FC50C0">
        <w:t>)</w:t>
      </w:r>
      <w:r w:rsidR="00CD530A">
        <w:t>.</w:t>
      </w:r>
    </w:p>
    <w:p w14:paraId="33723A56" w14:textId="7600EC68" w:rsidR="00E40ED2" w:rsidRDefault="00487EBE" w:rsidP="00E40ED2">
      <w:pPr>
        <w:pStyle w:val="Paragraphbeforelist"/>
      </w:pPr>
      <w:r>
        <w:t xml:space="preserve">We have provided </w:t>
      </w:r>
      <w:r w:rsidR="00F23EEF">
        <w:t xml:space="preserve">the following targeted questions to assist </w:t>
      </w:r>
      <w:r>
        <w:t xml:space="preserve">you </w:t>
      </w:r>
      <w:r w:rsidR="00F23EEF">
        <w:t xml:space="preserve">with </w:t>
      </w:r>
      <w:r>
        <w:t>your</w:t>
      </w:r>
      <w:r w:rsidR="00F23EEF">
        <w:t xml:space="preserve"> responses to this consultation</w:t>
      </w:r>
      <w:r w:rsidR="003F0BF0">
        <w:t>.</w:t>
      </w:r>
    </w:p>
    <w:p w14:paraId="4FB5D09B" w14:textId="05C01EBB" w:rsidR="003F0BF0" w:rsidRPr="00B72896" w:rsidRDefault="00591E1C" w:rsidP="00FC50C0">
      <w:pPr>
        <w:pStyle w:val="Paragraphbeforelist"/>
        <w:pBdr>
          <w:top w:val="single" w:sz="4" w:space="1" w:color="auto"/>
          <w:left w:val="single" w:sz="4" w:space="4" w:color="auto"/>
          <w:bottom w:val="single" w:sz="4" w:space="1" w:color="auto"/>
          <w:right w:val="single" w:sz="4" w:space="4" w:color="auto"/>
        </w:pBdr>
        <w:shd w:val="clear" w:color="auto" w:fill="F2F2F2" w:themeFill="background1" w:themeFillShade="F2"/>
        <w:spacing w:after="60"/>
        <w:rPr>
          <w:b/>
          <w:bCs/>
        </w:rPr>
      </w:pPr>
      <w:r w:rsidRPr="00B72896">
        <w:rPr>
          <w:b/>
          <w:bCs/>
        </w:rPr>
        <w:t>Question 1</w:t>
      </w:r>
    </w:p>
    <w:p w14:paraId="70515A5E" w14:textId="4766FED5" w:rsidR="00CF6F0D" w:rsidRDefault="00591E1C" w:rsidP="00FC50C0">
      <w:pPr>
        <w:pStyle w:val="Paragraphbeforelist"/>
        <w:pBdr>
          <w:top w:val="single" w:sz="4" w:space="1" w:color="auto"/>
          <w:left w:val="single" w:sz="4" w:space="4" w:color="auto"/>
          <w:bottom w:val="single" w:sz="4" w:space="1" w:color="auto"/>
          <w:right w:val="single" w:sz="4" w:space="4" w:color="auto"/>
        </w:pBdr>
        <w:shd w:val="clear" w:color="auto" w:fill="F2F2F2" w:themeFill="background1" w:themeFillShade="F2"/>
      </w:pPr>
      <w:r>
        <w:t xml:space="preserve">Do you have </w:t>
      </w:r>
      <w:r w:rsidR="00F544C2">
        <w:t xml:space="preserve">comments on the proposal to incorporate the content of the ACMA’s 13 </w:t>
      </w:r>
      <w:r w:rsidR="00391FD2">
        <w:t>radi</w:t>
      </w:r>
      <w:r w:rsidR="002037DF">
        <w:t>o</w:t>
      </w:r>
      <w:r w:rsidR="00391FD2">
        <w:t xml:space="preserve">communications </w:t>
      </w:r>
      <w:r w:rsidR="00F544C2">
        <w:t xml:space="preserve">mandatory </w:t>
      </w:r>
      <w:r w:rsidR="00F14F45">
        <w:t>technical standards and the RLN into the General Equipment Rules?</w:t>
      </w:r>
    </w:p>
    <w:p w14:paraId="3E95378D" w14:textId="7D80F9BB" w:rsidR="00E45C03" w:rsidRDefault="00E45C03" w:rsidP="00B72896">
      <w:pPr>
        <w:spacing w:after="0"/>
        <w:rPr>
          <w:rFonts w:cs="Arial"/>
        </w:rPr>
      </w:pPr>
    </w:p>
    <w:p w14:paraId="64523C0F" w14:textId="5FBBC1D7" w:rsidR="00E45C03" w:rsidRPr="00B72896" w:rsidRDefault="00E45C03" w:rsidP="00FC50C0">
      <w:pPr>
        <w:pStyle w:val="Paragraphbeforelist"/>
        <w:pBdr>
          <w:top w:val="single" w:sz="4" w:space="1" w:color="auto"/>
          <w:left w:val="single" w:sz="4" w:space="4" w:color="auto"/>
          <w:bottom w:val="single" w:sz="4" w:space="1" w:color="auto"/>
          <w:right w:val="single" w:sz="4" w:space="4" w:color="auto"/>
        </w:pBdr>
        <w:shd w:val="clear" w:color="auto" w:fill="F2F2F2" w:themeFill="background1" w:themeFillShade="F2"/>
        <w:spacing w:after="60"/>
        <w:rPr>
          <w:b/>
          <w:bCs/>
        </w:rPr>
      </w:pPr>
      <w:r w:rsidRPr="00B72896">
        <w:rPr>
          <w:b/>
          <w:bCs/>
        </w:rPr>
        <w:t>Question 2</w:t>
      </w:r>
    </w:p>
    <w:p w14:paraId="11E16FE0" w14:textId="1C7A5429" w:rsidR="00FA7FE0" w:rsidRDefault="001664BD" w:rsidP="00FC50C0">
      <w:pPr>
        <w:pStyle w:val="Paragraphbeforelist"/>
        <w:pBdr>
          <w:top w:val="single" w:sz="4" w:space="1" w:color="auto"/>
          <w:left w:val="single" w:sz="4" w:space="4" w:color="auto"/>
          <w:bottom w:val="single" w:sz="4" w:space="1" w:color="auto"/>
          <w:right w:val="single" w:sz="4" w:space="4" w:color="auto"/>
        </w:pBdr>
        <w:shd w:val="clear" w:color="auto" w:fill="F2F2F2" w:themeFill="background1" w:themeFillShade="F2"/>
      </w:pPr>
      <w:r>
        <w:t>Do you</w:t>
      </w:r>
      <w:r w:rsidR="00573F1E">
        <w:t xml:space="preserve"> have </w:t>
      </w:r>
      <w:r w:rsidR="00F2606C">
        <w:t xml:space="preserve">thoughts </w:t>
      </w:r>
      <w:r w:rsidR="00573F1E">
        <w:t>on</w:t>
      </w:r>
      <w:r>
        <w:t xml:space="preserve"> the proposal to repeal the </w:t>
      </w:r>
      <w:r w:rsidRPr="00E30CDC">
        <w:rPr>
          <w:i/>
          <w:iCs/>
        </w:rPr>
        <w:t>Radio</w:t>
      </w:r>
      <w:r w:rsidR="00056E5B" w:rsidRPr="00E30CDC">
        <w:rPr>
          <w:i/>
          <w:iCs/>
        </w:rPr>
        <w:t>communications</w:t>
      </w:r>
      <w:r w:rsidR="001B0161" w:rsidRPr="00E30CDC">
        <w:rPr>
          <w:i/>
          <w:iCs/>
        </w:rPr>
        <w:t xml:space="preserve"> (121.5 MHz and 243.0 MHz Emergency Position Indicating Radio Beac</w:t>
      </w:r>
      <w:r w:rsidR="00FC63B5" w:rsidRPr="00E30CDC">
        <w:rPr>
          <w:i/>
          <w:iCs/>
        </w:rPr>
        <w:t xml:space="preserve">ons) Standard </w:t>
      </w:r>
      <w:r w:rsidR="005506C0" w:rsidRPr="00E30CDC">
        <w:rPr>
          <w:i/>
          <w:iCs/>
        </w:rPr>
        <w:t>2014</w:t>
      </w:r>
      <w:r w:rsidR="005506C0">
        <w:t>?</w:t>
      </w:r>
    </w:p>
    <w:p w14:paraId="4B3A3203" w14:textId="3F1D9942" w:rsidR="005506C0" w:rsidRPr="00B72896" w:rsidRDefault="005506C0" w:rsidP="00B72896">
      <w:pPr>
        <w:spacing w:after="0"/>
        <w:rPr>
          <w:rFonts w:cs="Arial"/>
          <w:sz w:val="16"/>
          <w:szCs w:val="16"/>
        </w:rPr>
      </w:pPr>
    </w:p>
    <w:p w14:paraId="6D8D568F" w14:textId="4A032502" w:rsidR="005506C0" w:rsidRPr="00B72896" w:rsidRDefault="005B4B49" w:rsidP="00FC50C0">
      <w:pPr>
        <w:pStyle w:val="Paragraphbeforelist"/>
        <w:pBdr>
          <w:top w:val="single" w:sz="4" w:space="1" w:color="auto"/>
          <w:left w:val="single" w:sz="4" w:space="4" w:color="auto"/>
          <w:bottom w:val="single" w:sz="4" w:space="1" w:color="auto"/>
          <w:right w:val="single" w:sz="4" w:space="4" w:color="auto"/>
        </w:pBdr>
        <w:shd w:val="clear" w:color="auto" w:fill="F2F2F2" w:themeFill="background1" w:themeFillShade="F2"/>
        <w:spacing w:after="60"/>
        <w:rPr>
          <w:b/>
          <w:bCs/>
        </w:rPr>
      </w:pPr>
      <w:r w:rsidRPr="00B72896">
        <w:rPr>
          <w:b/>
          <w:bCs/>
        </w:rPr>
        <w:t>Question 3</w:t>
      </w:r>
    </w:p>
    <w:p w14:paraId="75AFA4D3" w14:textId="1BFB5E79" w:rsidR="00B72896" w:rsidRDefault="005B4B49" w:rsidP="00FC50C0">
      <w:pPr>
        <w:pStyle w:val="Paragraphbeforelist"/>
        <w:pBdr>
          <w:top w:val="single" w:sz="4" w:space="1" w:color="auto"/>
          <w:left w:val="single" w:sz="4" w:space="4" w:color="auto"/>
          <w:bottom w:val="single" w:sz="4" w:space="1" w:color="auto"/>
          <w:right w:val="single" w:sz="4" w:space="4" w:color="auto"/>
        </w:pBdr>
        <w:shd w:val="clear" w:color="auto" w:fill="F2F2F2" w:themeFill="background1" w:themeFillShade="F2"/>
        <w:spacing w:after="200"/>
      </w:pPr>
      <w:r>
        <w:t xml:space="preserve">Do </w:t>
      </w:r>
      <w:r w:rsidR="00870B1E">
        <w:t xml:space="preserve">you have </w:t>
      </w:r>
      <w:r w:rsidR="00F2606C">
        <w:t xml:space="preserve">any issues with </w:t>
      </w:r>
      <w:r w:rsidR="00415AD0">
        <w:t xml:space="preserve">the proposed </w:t>
      </w:r>
      <w:r w:rsidR="00AA018E">
        <w:t>adoption of the European Telecommunications</w:t>
      </w:r>
      <w:r w:rsidR="00A03BD6">
        <w:t xml:space="preserve"> Standards Institute standards specified in </w:t>
      </w:r>
      <w:hyperlink w:anchor="_Appendix_A:_Proposed" w:history="1">
        <w:r w:rsidR="00A03BD6" w:rsidRPr="00FC50C0">
          <w:rPr>
            <w:rStyle w:val="Hyperlink"/>
            <w:bCs/>
          </w:rPr>
          <w:t xml:space="preserve">Appendix </w:t>
        </w:r>
        <w:r w:rsidR="00983A0B" w:rsidRPr="00FC50C0">
          <w:rPr>
            <w:rStyle w:val="Hyperlink"/>
          </w:rPr>
          <w:t>A</w:t>
        </w:r>
      </w:hyperlink>
      <w:r w:rsidR="00983A0B">
        <w:t>?</w:t>
      </w:r>
    </w:p>
    <w:p w14:paraId="23676476" w14:textId="77777777" w:rsidR="009C17FA" w:rsidRPr="00B72896" w:rsidRDefault="009C17FA" w:rsidP="00FC50C0">
      <w:pPr>
        <w:pBdr>
          <w:top w:val="single" w:sz="4" w:space="0" w:color="auto"/>
          <w:left w:val="single" w:sz="4" w:space="4" w:color="auto"/>
          <w:bottom w:val="single" w:sz="4" w:space="1" w:color="auto"/>
          <w:right w:val="single" w:sz="4" w:space="4" w:color="auto"/>
        </w:pBdr>
        <w:shd w:val="clear" w:color="auto" w:fill="F2F2F2" w:themeFill="background1" w:themeFillShade="F2"/>
        <w:tabs>
          <w:tab w:val="left" w:pos="4921"/>
        </w:tabs>
        <w:spacing w:after="60"/>
        <w:rPr>
          <w:b/>
          <w:bCs/>
        </w:rPr>
      </w:pPr>
      <w:r w:rsidRPr="00B72896">
        <w:rPr>
          <w:b/>
          <w:bCs/>
        </w:rPr>
        <w:t>Question 4</w:t>
      </w:r>
    </w:p>
    <w:p w14:paraId="76CA471B" w14:textId="3666E08D" w:rsidR="00CF6F0D" w:rsidRDefault="009C17FA" w:rsidP="00FC50C0">
      <w:pPr>
        <w:pBdr>
          <w:top w:val="single" w:sz="4" w:space="0" w:color="auto"/>
          <w:left w:val="single" w:sz="4" w:space="4" w:color="auto"/>
          <w:bottom w:val="single" w:sz="4" w:space="1" w:color="auto"/>
          <w:right w:val="single" w:sz="4" w:space="4" w:color="auto"/>
        </w:pBdr>
        <w:shd w:val="clear" w:color="auto" w:fill="F2F2F2" w:themeFill="background1" w:themeFillShade="F2"/>
        <w:tabs>
          <w:tab w:val="left" w:pos="4921"/>
        </w:tabs>
      </w:pPr>
      <w:r>
        <w:t xml:space="preserve">Do you have comments on the proposed remaking of the </w:t>
      </w:r>
      <w:r w:rsidRPr="00FC50C0">
        <w:t>Protected Symbols Determination 2013</w:t>
      </w:r>
      <w:r w:rsidR="00F2606C">
        <w:t>,</w:t>
      </w:r>
      <w:r>
        <w:t xml:space="preserve"> including the removal of </w:t>
      </w:r>
      <w:r w:rsidR="007300D9">
        <w:t>reference to the C-Tick and A-Tick?</w:t>
      </w:r>
      <w:r w:rsidR="005506C0">
        <w:tab/>
      </w:r>
    </w:p>
    <w:p w14:paraId="5453EE30" w14:textId="77777777" w:rsidR="00FB4776" w:rsidRPr="00FC50C0" w:rsidRDefault="00FB4776" w:rsidP="00FC50C0">
      <w:pPr>
        <w:pBdr>
          <w:top w:val="single" w:sz="4" w:space="1" w:color="auto"/>
          <w:left w:val="single" w:sz="4" w:space="4" w:color="auto"/>
          <w:bottom w:val="single" w:sz="4" w:space="1" w:color="auto"/>
          <w:right w:val="single" w:sz="4" w:space="4" w:color="auto"/>
        </w:pBdr>
        <w:shd w:val="clear" w:color="auto" w:fill="F2F2F2" w:themeFill="background1" w:themeFillShade="F2"/>
        <w:spacing w:after="60"/>
        <w:rPr>
          <w:b/>
          <w:bCs/>
        </w:rPr>
      </w:pPr>
      <w:r w:rsidRPr="00FC50C0">
        <w:rPr>
          <w:b/>
          <w:bCs/>
        </w:rPr>
        <w:t>Question 5</w:t>
      </w:r>
    </w:p>
    <w:p w14:paraId="4D6595C9" w14:textId="52E91B64" w:rsidR="005506C0" w:rsidRDefault="00FB4776" w:rsidP="00FC50C0">
      <w:pPr>
        <w:pBdr>
          <w:top w:val="single" w:sz="4" w:space="1" w:color="auto"/>
          <w:left w:val="single" w:sz="4" w:space="4" w:color="auto"/>
          <w:bottom w:val="single" w:sz="4" w:space="1" w:color="auto"/>
          <w:right w:val="single" w:sz="4" w:space="4" w:color="auto"/>
        </w:pBdr>
        <w:shd w:val="clear" w:color="auto" w:fill="F2F2F2" w:themeFill="background1" w:themeFillShade="F2"/>
        <w:spacing w:after="0"/>
      </w:pPr>
      <w:r>
        <w:t xml:space="preserve">Do you have </w:t>
      </w:r>
      <w:r w:rsidR="00F2606C">
        <w:t>thoughts</w:t>
      </w:r>
      <w:r>
        <w:t xml:space="preserve"> on the proposed replacement of the interim EME Technical Report IEC TR 63170 in the General Equipment Rules with IEC/IEEE 63195-1 and IEC/IEEE 63195-2?</w:t>
      </w:r>
    </w:p>
    <w:p w14:paraId="6BF762F9" w14:textId="0C9CEE7C" w:rsidR="00B72896" w:rsidRDefault="00B72896" w:rsidP="00FC50C0">
      <w:pPr>
        <w:spacing w:after="0"/>
      </w:pPr>
    </w:p>
    <w:p w14:paraId="274DF67E" w14:textId="24B14AF5" w:rsidR="00FB4776" w:rsidRDefault="00B85C68" w:rsidP="00FC50C0">
      <w:pPr>
        <w:pBdr>
          <w:top w:val="single" w:sz="4" w:space="1" w:color="auto"/>
          <w:left w:val="single" w:sz="4" w:space="4" w:color="auto"/>
          <w:bottom w:val="single" w:sz="4" w:space="1" w:color="auto"/>
          <w:right w:val="single" w:sz="4" w:space="4" w:color="auto"/>
        </w:pBdr>
        <w:shd w:val="clear" w:color="auto" w:fill="F2F2F2" w:themeFill="background1" w:themeFillShade="F2"/>
        <w:tabs>
          <w:tab w:val="left" w:pos="2830"/>
        </w:tabs>
        <w:spacing w:after="60"/>
      </w:pPr>
      <w:r w:rsidRPr="00B72896">
        <w:rPr>
          <w:b/>
          <w:bCs/>
        </w:rPr>
        <w:t>Question 6</w:t>
      </w:r>
    </w:p>
    <w:p w14:paraId="5AD529BF" w14:textId="3ECB6C81" w:rsidR="00FA7FE0" w:rsidRPr="00FA7FE0" w:rsidRDefault="00B85C68" w:rsidP="00FC50C0">
      <w:pPr>
        <w:pBdr>
          <w:top w:val="single" w:sz="4" w:space="1" w:color="auto"/>
          <w:left w:val="single" w:sz="4" w:space="4" w:color="auto"/>
          <w:bottom w:val="single" w:sz="4" w:space="1" w:color="auto"/>
          <w:right w:val="single" w:sz="4" w:space="4" w:color="auto"/>
        </w:pBdr>
        <w:shd w:val="clear" w:color="auto" w:fill="F2F2F2" w:themeFill="background1" w:themeFillShade="F2"/>
        <w:tabs>
          <w:tab w:val="left" w:pos="2830"/>
        </w:tabs>
      </w:pPr>
      <w:r>
        <w:t xml:space="preserve">Do you have </w:t>
      </w:r>
      <w:r w:rsidR="00F2606C">
        <w:t xml:space="preserve">any issues with </w:t>
      </w:r>
      <w:r>
        <w:t>the proposed amendment</w:t>
      </w:r>
      <w:r w:rsidR="002E20CE">
        <w:t>s</w:t>
      </w:r>
      <w:r>
        <w:t xml:space="preserve"> to the significant event provisions to allow delegated ACMA staff to declare a significant event?</w:t>
      </w:r>
      <w:r>
        <w:tab/>
      </w:r>
      <w:r w:rsidR="00FA7FE0">
        <w:tab/>
      </w:r>
    </w:p>
    <w:p w14:paraId="751C6FBE" w14:textId="4AF4508C" w:rsidR="005E250B" w:rsidRPr="00E162C4" w:rsidRDefault="00911C12" w:rsidP="002C0530">
      <w:pPr>
        <w:pStyle w:val="Heading1"/>
      </w:pPr>
      <w:bookmarkStart w:id="5" w:name="_Toc118730999"/>
      <w:r>
        <w:lastRenderedPageBreak/>
        <w:t>Background</w:t>
      </w:r>
      <w:bookmarkEnd w:id="5"/>
    </w:p>
    <w:p w14:paraId="3F6E185B" w14:textId="1D22F5E1" w:rsidR="00BC2C77" w:rsidRDefault="00BC2C77" w:rsidP="00BC2C77">
      <w:pPr>
        <w:pStyle w:val="Heading2"/>
      </w:pPr>
      <w:bookmarkStart w:id="6" w:name="_Toc118731000"/>
      <w:bookmarkStart w:id="7" w:name="_Hlk26868779"/>
      <w:r w:rsidRPr="00BC2C77">
        <w:t xml:space="preserve">Incorporating the content of </w:t>
      </w:r>
      <w:r w:rsidR="006C61B4">
        <w:t>radiocommunications</w:t>
      </w:r>
      <w:r w:rsidRPr="00BC2C77">
        <w:t xml:space="preserve"> mandatory technical standards and RLN into </w:t>
      </w:r>
      <w:r w:rsidR="007E6B0B">
        <w:t xml:space="preserve">the </w:t>
      </w:r>
      <w:r w:rsidRPr="00BC2C77">
        <w:t>General Equipment Rules</w:t>
      </w:r>
      <w:bookmarkEnd w:id="6"/>
      <w:r w:rsidRPr="00BC2C77">
        <w:t xml:space="preserve"> </w:t>
      </w:r>
    </w:p>
    <w:p w14:paraId="2D992019" w14:textId="1A875B15" w:rsidR="00787E31" w:rsidRPr="00AB075B" w:rsidRDefault="00787E31" w:rsidP="00787E31">
      <w:pPr>
        <w:pStyle w:val="Heading3"/>
      </w:pPr>
      <w:r>
        <w:rPr>
          <w:b w:val="0"/>
          <w:bCs w:val="0"/>
        </w:rPr>
        <w:br/>
      </w:r>
      <w:r w:rsidRPr="00787E31">
        <w:t xml:space="preserve">Current </w:t>
      </w:r>
      <w:r w:rsidR="006C61B4">
        <w:t xml:space="preserve">radiocommunications </w:t>
      </w:r>
      <w:r w:rsidRPr="00787E31">
        <w:t>mandatory technical standards and RLN</w:t>
      </w:r>
    </w:p>
    <w:p w14:paraId="60BFD978" w14:textId="613F7E7F" w:rsidR="00787E31" w:rsidRPr="00787E31" w:rsidRDefault="00BC2C77" w:rsidP="00787E31">
      <w:pPr>
        <w:pStyle w:val="Paragraph"/>
        <w:rPr>
          <w:b/>
          <w:bCs/>
        </w:rPr>
      </w:pPr>
      <w:r w:rsidRPr="00BC2C77">
        <w:t>The current 14</w:t>
      </w:r>
      <w:r w:rsidR="00367E98">
        <w:t xml:space="preserve"> </w:t>
      </w:r>
      <w:r w:rsidR="002D5C8D">
        <w:t xml:space="preserve">radiocommunications </w:t>
      </w:r>
      <w:r w:rsidRPr="00BC2C77">
        <w:t xml:space="preserve">mandatory technical standards and the RLN </w:t>
      </w:r>
      <w:r>
        <w:t xml:space="preserve">were made under sections 162 and 182 of the </w:t>
      </w:r>
      <w:r w:rsidR="00932341" w:rsidRPr="00932341">
        <w:rPr>
          <w:i/>
          <w:iCs/>
        </w:rPr>
        <w:t xml:space="preserve">Radiocommunications </w:t>
      </w:r>
      <w:r w:rsidRPr="00932341">
        <w:rPr>
          <w:i/>
          <w:iCs/>
        </w:rPr>
        <w:t>Act</w:t>
      </w:r>
      <w:r>
        <w:t xml:space="preserve"> </w:t>
      </w:r>
      <w:r w:rsidR="00932341">
        <w:t xml:space="preserve">1992 </w:t>
      </w:r>
      <w:r>
        <w:t>respectively</w:t>
      </w:r>
      <w:r w:rsidR="00AA65C8">
        <w:t>,</w:t>
      </w:r>
      <w:r w:rsidR="005D30D5">
        <w:t xml:space="preserve"> prior to the Act’s amendment by the </w:t>
      </w:r>
      <w:r w:rsidR="005D30D5" w:rsidRPr="00B05F3D">
        <w:t>Reform and Modernisation Act</w:t>
      </w:r>
      <w:r>
        <w:t>. Collectively</w:t>
      </w:r>
      <w:r w:rsidR="008D310C">
        <w:t>,</w:t>
      </w:r>
      <w:r>
        <w:t xml:space="preserve"> they set out the </w:t>
      </w:r>
      <w:r w:rsidRPr="00BC2C77">
        <w:t xml:space="preserve">technical performance, labelling and record-keeping requirements </w:t>
      </w:r>
      <w:r w:rsidR="00903303">
        <w:t xml:space="preserve">on </w:t>
      </w:r>
      <w:r w:rsidRPr="00BC2C77">
        <w:t xml:space="preserve">suppliers of defined radiocommunications equipment </w:t>
      </w:r>
      <w:r w:rsidR="00CD530A">
        <w:t xml:space="preserve">when </w:t>
      </w:r>
      <w:r w:rsidRPr="00BC2C77">
        <w:t xml:space="preserve">it is supplied to the Australian market. </w:t>
      </w:r>
    </w:p>
    <w:p w14:paraId="08BC48AA" w14:textId="4F53A887" w:rsidR="00BC2C77" w:rsidRDefault="00313358" w:rsidP="003253EE">
      <w:pPr>
        <w:pStyle w:val="Paragraph"/>
      </w:pPr>
      <w:r w:rsidRPr="00313358">
        <w:t xml:space="preserve">The </w:t>
      </w:r>
      <w:r w:rsidR="001A5D07">
        <w:t xml:space="preserve">radiocommunications </w:t>
      </w:r>
      <w:r w:rsidR="00035DB8">
        <w:t xml:space="preserve">mandatory technical </w:t>
      </w:r>
      <w:r w:rsidR="00A43E74">
        <w:t xml:space="preserve">standards adopt </w:t>
      </w:r>
      <w:r w:rsidR="00F93993">
        <w:t>specified</w:t>
      </w:r>
      <w:r w:rsidR="000F7B17">
        <w:t xml:space="preserve"> industry standards</w:t>
      </w:r>
      <w:r>
        <w:t>, making them mandatory for the supply of certain radiocommunications equipment.</w:t>
      </w:r>
      <w:r w:rsidR="00B45426" w:rsidRPr="00B45426">
        <w:t xml:space="preserve"> </w:t>
      </w:r>
    </w:p>
    <w:p w14:paraId="3FB86913" w14:textId="4E552AD1" w:rsidR="00AB075B" w:rsidRPr="00AB075B" w:rsidRDefault="00AB075B" w:rsidP="00CD4BC2">
      <w:pPr>
        <w:pStyle w:val="Heading3"/>
      </w:pPr>
      <w:bookmarkStart w:id="8" w:name="_Toc92265084"/>
      <w:bookmarkEnd w:id="7"/>
      <w:r w:rsidRPr="00AB075B">
        <w:t xml:space="preserve">New </w:t>
      </w:r>
      <w:r w:rsidR="00DE7DCF">
        <w:t>e</w:t>
      </w:r>
      <w:r w:rsidR="006C078D">
        <w:t xml:space="preserve">quipment </w:t>
      </w:r>
      <w:r w:rsidR="00DE7DCF">
        <w:t>r</w:t>
      </w:r>
      <w:r w:rsidR="006C078D">
        <w:t>ules f</w:t>
      </w:r>
      <w:r w:rsidRPr="00AB075B">
        <w:t>ramework</w:t>
      </w:r>
    </w:p>
    <w:p w14:paraId="08B3637D" w14:textId="3ED11160" w:rsidR="00B05F3D" w:rsidRDefault="00B05F3D" w:rsidP="00B05F3D">
      <w:pPr>
        <w:pStyle w:val="Paragraph"/>
      </w:pPr>
      <w:r w:rsidRPr="00B05F3D">
        <w:t xml:space="preserve">The Reform and Modernisation Act introduced a new framework that enables </w:t>
      </w:r>
      <w:r w:rsidR="009906CB">
        <w:t xml:space="preserve">us </w:t>
      </w:r>
      <w:r w:rsidRPr="00B05F3D">
        <w:t xml:space="preserve">to make equipment rules related to the technical requirements of devices. Transitional arrangements have preserved </w:t>
      </w:r>
      <w:r w:rsidR="00A847D7">
        <w:t xml:space="preserve">the effect of </w:t>
      </w:r>
      <w:r w:rsidRPr="00B05F3D">
        <w:t xml:space="preserve">14 </w:t>
      </w:r>
      <w:r w:rsidR="003C207F">
        <w:t>rad</w:t>
      </w:r>
      <w:r w:rsidR="004358D3">
        <w:t xml:space="preserve">iocommunications </w:t>
      </w:r>
      <w:r w:rsidRPr="00B05F3D">
        <w:t xml:space="preserve">mandatory technical standards and the RLN as </w:t>
      </w:r>
      <w:r w:rsidR="00A847D7">
        <w:t xml:space="preserve">if they had been made as </w:t>
      </w:r>
      <w:r w:rsidRPr="00B05F3D">
        <w:t>equipment rules under the new framework</w:t>
      </w:r>
      <w:r w:rsidR="00A847D7">
        <w:t>.</w:t>
      </w:r>
    </w:p>
    <w:p w14:paraId="53B3C5AB" w14:textId="52524B35" w:rsidR="00D95C86" w:rsidRDefault="00E3765A" w:rsidP="00D95C86">
      <w:pPr>
        <w:pStyle w:val="Paragraph"/>
      </w:pPr>
      <w:r>
        <w:t xml:space="preserve">Along </w:t>
      </w:r>
      <w:r w:rsidR="00D95C86">
        <w:t xml:space="preserve">with the amendments to the Act, </w:t>
      </w:r>
      <w:r w:rsidR="00787E31">
        <w:t>on 17 June 2021</w:t>
      </w:r>
      <w:r>
        <w:t>,</w:t>
      </w:r>
      <w:r w:rsidR="00787E31">
        <w:t xml:space="preserve"> </w:t>
      </w:r>
      <w:r>
        <w:t xml:space="preserve">we </w:t>
      </w:r>
      <w:r w:rsidR="00D95C86">
        <w:t>made the General Equipment Rules</w:t>
      </w:r>
      <w:r>
        <w:t xml:space="preserve">. This </w:t>
      </w:r>
      <w:r w:rsidR="00D95C86">
        <w:t xml:space="preserve">facilitated the transition to the new framework, allowing </w:t>
      </w:r>
      <w:r>
        <w:t>us to</w:t>
      </w:r>
      <w:r w:rsidR="00B05F3D">
        <w:t>, among other things,</w:t>
      </w:r>
      <w:r w:rsidR="00D95C86">
        <w:t xml:space="preserve"> continue regulating the existing standards and labelling notices. </w:t>
      </w:r>
    </w:p>
    <w:p w14:paraId="3687B4CC" w14:textId="677ABED5" w:rsidR="00DA23C1" w:rsidRPr="00DA23C1" w:rsidRDefault="00A847D7" w:rsidP="00932341">
      <w:pPr>
        <w:pStyle w:val="Heading3"/>
        <w:rPr>
          <w:b w:val="0"/>
          <w:bCs w:val="0"/>
        </w:rPr>
      </w:pPr>
      <w:r>
        <w:t xml:space="preserve">A </w:t>
      </w:r>
      <w:r w:rsidR="00AF278B">
        <w:t>s</w:t>
      </w:r>
      <w:r>
        <w:t xml:space="preserve">taged </w:t>
      </w:r>
      <w:r w:rsidR="00AF278B">
        <w:t>p</w:t>
      </w:r>
      <w:r>
        <w:t xml:space="preserve">rogram of </w:t>
      </w:r>
      <w:r w:rsidR="00AF278B">
        <w:t>e</w:t>
      </w:r>
      <w:r w:rsidR="00DA23C1" w:rsidRPr="00DA23C1">
        <w:t xml:space="preserve">quipment </w:t>
      </w:r>
      <w:r w:rsidR="00AF278B">
        <w:t>r</w:t>
      </w:r>
      <w:r w:rsidR="00DA23C1" w:rsidRPr="00DA23C1">
        <w:t xml:space="preserve">egulation </w:t>
      </w:r>
      <w:r w:rsidR="00AF278B">
        <w:t>r</w:t>
      </w:r>
      <w:r w:rsidR="00DA23C1" w:rsidRPr="00DA23C1">
        <w:t>eform</w:t>
      </w:r>
    </w:p>
    <w:p w14:paraId="7E9C9534" w14:textId="067A8D51" w:rsidR="00052DD1" w:rsidRPr="00932341" w:rsidRDefault="00E3765A" w:rsidP="00BC4FCC">
      <w:pPr>
        <w:pStyle w:val="Paragraph"/>
        <w:rPr>
          <w:b/>
        </w:rPr>
      </w:pPr>
      <w:bookmarkStart w:id="9" w:name="_Hlk115775643"/>
      <w:r>
        <w:t xml:space="preserve">We </w:t>
      </w:r>
      <w:bookmarkEnd w:id="9"/>
      <w:r w:rsidR="00A847D7">
        <w:t xml:space="preserve">envisage </w:t>
      </w:r>
      <w:r w:rsidR="00052DD1">
        <w:t xml:space="preserve">the General Equipment Rules </w:t>
      </w:r>
      <w:r w:rsidR="00A847D7">
        <w:t xml:space="preserve">will become a </w:t>
      </w:r>
      <w:r>
        <w:t>‘</w:t>
      </w:r>
      <w:r w:rsidR="00787E31">
        <w:t>one-stop shop</w:t>
      </w:r>
      <w:r>
        <w:t>’</w:t>
      </w:r>
      <w:r w:rsidR="00787E31">
        <w:t xml:space="preserve"> </w:t>
      </w:r>
      <w:r w:rsidR="00A847D7">
        <w:t>for radiocommunications equipment regulation</w:t>
      </w:r>
      <w:r w:rsidR="00787E31">
        <w:t>.</w:t>
      </w:r>
      <w:r w:rsidR="009B06E7">
        <w:t xml:space="preserve"> The ACMA has a staged plan to review existing instruments and consider </w:t>
      </w:r>
      <w:r w:rsidR="00ED18CA">
        <w:t>incorporation of relevant matters into the new framework.</w:t>
      </w:r>
    </w:p>
    <w:tbl>
      <w:tblPr>
        <w:tblStyle w:val="ACMAtablestyle"/>
        <w:tblW w:w="7435" w:type="dxa"/>
        <w:tblInd w:w="-5" w:type="dxa"/>
        <w:tblLook w:val="04A0" w:firstRow="1" w:lastRow="0" w:firstColumn="1" w:lastColumn="0" w:noHBand="0" w:noVBand="1"/>
      </w:tblPr>
      <w:tblGrid>
        <w:gridCol w:w="725"/>
        <w:gridCol w:w="5087"/>
        <w:gridCol w:w="1623"/>
      </w:tblGrid>
      <w:tr w:rsidR="007E6B0B" w:rsidRPr="007E6B0B" w14:paraId="3AE4E84C" w14:textId="77777777" w:rsidTr="002F2DC9">
        <w:trPr>
          <w:cnfStyle w:val="100000000000" w:firstRow="1" w:lastRow="0" w:firstColumn="0" w:lastColumn="0" w:oddVBand="0" w:evenVBand="0" w:oddHBand="0" w:evenHBand="0" w:firstRowFirstColumn="0" w:firstRowLastColumn="0" w:lastRowFirstColumn="0" w:lastRowLastColumn="0"/>
        </w:trPr>
        <w:tc>
          <w:tcPr>
            <w:tcW w:w="725" w:type="dxa"/>
            <w:tcBorders>
              <w:right w:val="single" w:sz="4" w:space="0" w:color="auto"/>
            </w:tcBorders>
          </w:tcPr>
          <w:p w14:paraId="5C794C2F" w14:textId="31ED41EA" w:rsidR="00787E31" w:rsidRPr="007E6B0B" w:rsidRDefault="00787E31" w:rsidP="00BC4FCC">
            <w:pPr>
              <w:pStyle w:val="Paragraph"/>
              <w:rPr>
                <w:b/>
                <w:sz w:val="18"/>
                <w:szCs w:val="18"/>
              </w:rPr>
            </w:pPr>
            <w:r w:rsidRPr="007E6B0B">
              <w:rPr>
                <w:b/>
                <w:sz w:val="18"/>
                <w:szCs w:val="18"/>
              </w:rPr>
              <w:t>Project stage</w:t>
            </w:r>
          </w:p>
        </w:tc>
        <w:tc>
          <w:tcPr>
            <w:tcW w:w="5087" w:type="dxa"/>
            <w:tcBorders>
              <w:left w:val="single" w:sz="4" w:space="0" w:color="auto"/>
              <w:right w:val="single" w:sz="4" w:space="0" w:color="auto"/>
            </w:tcBorders>
          </w:tcPr>
          <w:p w14:paraId="346C9033" w14:textId="0125A5AD" w:rsidR="00787E31" w:rsidRPr="007E6B0B" w:rsidRDefault="00787E31" w:rsidP="00BC4FCC">
            <w:pPr>
              <w:pStyle w:val="Paragraph"/>
              <w:rPr>
                <w:b/>
                <w:sz w:val="18"/>
                <w:szCs w:val="18"/>
              </w:rPr>
            </w:pPr>
            <w:r w:rsidRPr="007E6B0B">
              <w:rPr>
                <w:b/>
                <w:sz w:val="18"/>
                <w:szCs w:val="18"/>
              </w:rPr>
              <w:t>Technical standard</w:t>
            </w:r>
            <w:r w:rsidR="00045630" w:rsidRPr="007E6B0B">
              <w:rPr>
                <w:b/>
                <w:sz w:val="18"/>
                <w:szCs w:val="18"/>
              </w:rPr>
              <w:t>(s)</w:t>
            </w:r>
            <w:r w:rsidRPr="007E6B0B">
              <w:rPr>
                <w:b/>
                <w:sz w:val="18"/>
                <w:szCs w:val="18"/>
              </w:rPr>
              <w:t xml:space="preserve"> and labelling notice</w:t>
            </w:r>
            <w:r w:rsidR="00AE3B43" w:rsidRPr="007E6B0B">
              <w:rPr>
                <w:b/>
                <w:sz w:val="18"/>
                <w:szCs w:val="18"/>
              </w:rPr>
              <w:t>(s)</w:t>
            </w:r>
            <w:r w:rsidRPr="007E6B0B">
              <w:rPr>
                <w:b/>
                <w:sz w:val="18"/>
                <w:szCs w:val="18"/>
              </w:rPr>
              <w:t xml:space="preserve"> to be incorporated</w:t>
            </w:r>
            <w:r w:rsidR="00355BBF" w:rsidRPr="007E6B0B">
              <w:rPr>
                <w:b/>
                <w:sz w:val="18"/>
                <w:szCs w:val="18"/>
              </w:rPr>
              <w:t xml:space="preserve"> in </w:t>
            </w:r>
            <w:r w:rsidR="00ED18CA" w:rsidRPr="007E6B0B">
              <w:rPr>
                <w:b/>
                <w:sz w:val="18"/>
                <w:szCs w:val="18"/>
              </w:rPr>
              <w:t xml:space="preserve">the </w:t>
            </w:r>
            <w:r w:rsidR="00355BBF" w:rsidRPr="007E6B0B">
              <w:rPr>
                <w:b/>
                <w:sz w:val="18"/>
                <w:szCs w:val="18"/>
              </w:rPr>
              <w:t>General Equipment Rules</w:t>
            </w:r>
          </w:p>
        </w:tc>
        <w:tc>
          <w:tcPr>
            <w:tcW w:w="1623" w:type="dxa"/>
            <w:tcBorders>
              <w:left w:val="single" w:sz="4" w:space="0" w:color="auto"/>
            </w:tcBorders>
          </w:tcPr>
          <w:p w14:paraId="43E4C84C" w14:textId="5DAF6DDA" w:rsidR="00787E31" w:rsidRPr="007E6B0B" w:rsidRDefault="00787E31" w:rsidP="00BC4FCC">
            <w:pPr>
              <w:pStyle w:val="Paragraph"/>
              <w:rPr>
                <w:b/>
                <w:sz w:val="18"/>
                <w:szCs w:val="18"/>
              </w:rPr>
            </w:pPr>
            <w:r w:rsidRPr="007E6B0B">
              <w:rPr>
                <w:b/>
                <w:sz w:val="18"/>
                <w:szCs w:val="18"/>
              </w:rPr>
              <w:t>Timeframe</w:t>
            </w:r>
          </w:p>
        </w:tc>
      </w:tr>
      <w:tr w:rsidR="00EE55FC" w14:paraId="7947BE79" w14:textId="77777777" w:rsidTr="002F2DC9">
        <w:trPr>
          <w:cnfStyle w:val="000000100000" w:firstRow="0" w:lastRow="0" w:firstColumn="0" w:lastColumn="0" w:oddVBand="0" w:evenVBand="0" w:oddHBand="1" w:evenHBand="0" w:firstRowFirstColumn="0" w:firstRowLastColumn="0" w:lastRowFirstColumn="0" w:lastRowLastColumn="0"/>
        </w:trPr>
        <w:tc>
          <w:tcPr>
            <w:tcW w:w="725" w:type="dxa"/>
          </w:tcPr>
          <w:p w14:paraId="7AB07988" w14:textId="36F397A6" w:rsidR="00787E31" w:rsidRPr="00261D72" w:rsidRDefault="00787E31" w:rsidP="00BC4FCC">
            <w:pPr>
              <w:pStyle w:val="Paragraph"/>
              <w:rPr>
                <w:b/>
                <w:bCs/>
                <w:sz w:val="18"/>
                <w:szCs w:val="18"/>
              </w:rPr>
            </w:pPr>
            <w:r w:rsidRPr="00261D72">
              <w:rPr>
                <w:b/>
                <w:bCs/>
                <w:sz w:val="18"/>
                <w:szCs w:val="18"/>
              </w:rPr>
              <w:t>Stage 1</w:t>
            </w:r>
          </w:p>
        </w:tc>
        <w:tc>
          <w:tcPr>
            <w:tcW w:w="5087" w:type="dxa"/>
          </w:tcPr>
          <w:p w14:paraId="5F335303" w14:textId="06169F33" w:rsidR="00787E31" w:rsidRPr="005F30C3" w:rsidRDefault="00932341" w:rsidP="00BC4FCC">
            <w:pPr>
              <w:pStyle w:val="Paragraph"/>
              <w:rPr>
                <w:sz w:val="18"/>
                <w:szCs w:val="18"/>
              </w:rPr>
            </w:pPr>
            <w:r w:rsidRPr="00261D72">
              <w:rPr>
                <w:sz w:val="18"/>
                <w:szCs w:val="18"/>
              </w:rPr>
              <w:t xml:space="preserve">Radiocommunications (Electromagnetic Radiation – Human Exposure) Standard </w:t>
            </w:r>
            <w:r w:rsidR="00A16F13" w:rsidRPr="00261D72">
              <w:rPr>
                <w:sz w:val="18"/>
                <w:szCs w:val="18"/>
              </w:rPr>
              <w:t>2014</w:t>
            </w:r>
            <w:r w:rsidR="00A16F13" w:rsidRPr="00CA1AA6">
              <w:rPr>
                <w:i/>
                <w:iCs/>
                <w:sz w:val="18"/>
                <w:szCs w:val="18"/>
              </w:rPr>
              <w:t xml:space="preserve"> </w:t>
            </w:r>
            <w:r w:rsidRPr="005F30C3">
              <w:rPr>
                <w:sz w:val="18"/>
                <w:szCs w:val="18"/>
              </w:rPr>
              <w:t xml:space="preserve">and </w:t>
            </w:r>
            <w:r w:rsidRPr="00261D72">
              <w:rPr>
                <w:sz w:val="18"/>
                <w:szCs w:val="18"/>
              </w:rPr>
              <w:t>Radiocommunications (Compliance Labelling – Electromagnetic Radiation) Notice 2014</w:t>
            </w:r>
          </w:p>
        </w:tc>
        <w:tc>
          <w:tcPr>
            <w:tcW w:w="1623" w:type="dxa"/>
          </w:tcPr>
          <w:p w14:paraId="4F0476A0" w14:textId="416C7752" w:rsidR="00787E31" w:rsidRPr="005F30C3" w:rsidRDefault="00787E31" w:rsidP="00BC4FCC">
            <w:pPr>
              <w:pStyle w:val="Paragraph"/>
              <w:rPr>
                <w:sz w:val="18"/>
                <w:szCs w:val="18"/>
              </w:rPr>
            </w:pPr>
            <w:r w:rsidRPr="005F30C3">
              <w:rPr>
                <w:sz w:val="18"/>
                <w:szCs w:val="18"/>
              </w:rPr>
              <w:t>Completed in November 2021</w:t>
            </w:r>
          </w:p>
        </w:tc>
      </w:tr>
      <w:tr w:rsidR="00EE55FC" w14:paraId="2009E2DE" w14:textId="77777777" w:rsidTr="002F2DC9">
        <w:trPr>
          <w:cnfStyle w:val="000000010000" w:firstRow="0" w:lastRow="0" w:firstColumn="0" w:lastColumn="0" w:oddVBand="0" w:evenVBand="0" w:oddHBand="0" w:evenHBand="1" w:firstRowFirstColumn="0" w:firstRowLastColumn="0" w:lastRowFirstColumn="0" w:lastRowLastColumn="0"/>
        </w:trPr>
        <w:tc>
          <w:tcPr>
            <w:tcW w:w="725" w:type="dxa"/>
          </w:tcPr>
          <w:p w14:paraId="50632CCE" w14:textId="0E1309ED" w:rsidR="00787E31" w:rsidRPr="00261D72" w:rsidRDefault="00787E31" w:rsidP="00BC4FCC">
            <w:pPr>
              <w:pStyle w:val="Paragraph"/>
              <w:rPr>
                <w:b/>
                <w:bCs/>
                <w:sz w:val="18"/>
                <w:szCs w:val="18"/>
              </w:rPr>
            </w:pPr>
            <w:r w:rsidRPr="00261D72">
              <w:rPr>
                <w:b/>
                <w:bCs/>
                <w:sz w:val="18"/>
                <w:szCs w:val="18"/>
              </w:rPr>
              <w:t>Stage 2</w:t>
            </w:r>
          </w:p>
        </w:tc>
        <w:tc>
          <w:tcPr>
            <w:tcW w:w="5087" w:type="dxa"/>
          </w:tcPr>
          <w:p w14:paraId="07BAB6A0" w14:textId="577DA598" w:rsidR="00787E31" w:rsidRPr="005F30C3" w:rsidRDefault="00787E31" w:rsidP="00BC4FCC">
            <w:pPr>
              <w:pStyle w:val="Paragraph"/>
              <w:rPr>
                <w:sz w:val="18"/>
                <w:szCs w:val="18"/>
              </w:rPr>
            </w:pPr>
            <w:r w:rsidRPr="005F30C3">
              <w:rPr>
                <w:sz w:val="18"/>
                <w:szCs w:val="18"/>
              </w:rPr>
              <w:t>1</w:t>
            </w:r>
            <w:r w:rsidR="00494680">
              <w:rPr>
                <w:sz w:val="18"/>
                <w:szCs w:val="18"/>
              </w:rPr>
              <w:t>3</w:t>
            </w:r>
            <w:r w:rsidRPr="005F30C3">
              <w:rPr>
                <w:sz w:val="18"/>
                <w:szCs w:val="18"/>
              </w:rPr>
              <w:t xml:space="preserve"> </w:t>
            </w:r>
            <w:r w:rsidR="009E08A4">
              <w:rPr>
                <w:sz w:val="18"/>
                <w:szCs w:val="18"/>
              </w:rPr>
              <w:t>radiocommunications</w:t>
            </w:r>
            <w:r w:rsidRPr="005F30C3">
              <w:rPr>
                <w:sz w:val="18"/>
                <w:szCs w:val="18"/>
              </w:rPr>
              <w:t xml:space="preserve"> mandatory technical standards and </w:t>
            </w:r>
            <w:r w:rsidR="00355BBF">
              <w:rPr>
                <w:sz w:val="18"/>
                <w:szCs w:val="18"/>
              </w:rPr>
              <w:t xml:space="preserve">the </w:t>
            </w:r>
            <w:r w:rsidRPr="005F30C3">
              <w:rPr>
                <w:sz w:val="18"/>
                <w:szCs w:val="18"/>
              </w:rPr>
              <w:t>RLN</w:t>
            </w:r>
          </w:p>
        </w:tc>
        <w:tc>
          <w:tcPr>
            <w:tcW w:w="1623" w:type="dxa"/>
          </w:tcPr>
          <w:p w14:paraId="20FCDF29" w14:textId="268C0FAE" w:rsidR="00787E31" w:rsidRPr="005F30C3" w:rsidRDefault="00787E31" w:rsidP="00BC4FCC">
            <w:pPr>
              <w:pStyle w:val="Paragraph"/>
              <w:rPr>
                <w:sz w:val="18"/>
                <w:szCs w:val="18"/>
              </w:rPr>
            </w:pPr>
            <w:r w:rsidRPr="005F30C3">
              <w:rPr>
                <w:sz w:val="18"/>
                <w:szCs w:val="18"/>
              </w:rPr>
              <w:t>Current proposal</w:t>
            </w:r>
            <w:r w:rsidR="00AD480B" w:rsidRPr="005F30C3">
              <w:rPr>
                <w:sz w:val="18"/>
                <w:szCs w:val="18"/>
              </w:rPr>
              <w:t xml:space="preserve"> (November 2022 </w:t>
            </w:r>
            <w:r w:rsidR="00D37990">
              <w:rPr>
                <w:sz w:val="18"/>
                <w:szCs w:val="18"/>
              </w:rPr>
              <w:t>to</w:t>
            </w:r>
            <w:r w:rsidR="00AD480B" w:rsidRPr="005F30C3">
              <w:rPr>
                <w:sz w:val="18"/>
                <w:szCs w:val="18"/>
              </w:rPr>
              <w:t xml:space="preserve"> </w:t>
            </w:r>
            <w:r w:rsidR="00355BBF">
              <w:rPr>
                <w:sz w:val="18"/>
                <w:szCs w:val="18"/>
              </w:rPr>
              <w:t>February</w:t>
            </w:r>
            <w:r w:rsidR="00355BBF" w:rsidRPr="005F30C3">
              <w:rPr>
                <w:sz w:val="18"/>
                <w:szCs w:val="18"/>
              </w:rPr>
              <w:t xml:space="preserve"> </w:t>
            </w:r>
            <w:r w:rsidR="00AD480B" w:rsidRPr="005F30C3">
              <w:rPr>
                <w:sz w:val="18"/>
                <w:szCs w:val="18"/>
              </w:rPr>
              <w:t>2023)</w:t>
            </w:r>
          </w:p>
        </w:tc>
      </w:tr>
      <w:tr w:rsidR="002F2DC9" w14:paraId="036D34D7" w14:textId="77777777" w:rsidTr="002F2DC9">
        <w:trPr>
          <w:cnfStyle w:val="000000100000" w:firstRow="0" w:lastRow="0" w:firstColumn="0" w:lastColumn="0" w:oddVBand="0" w:evenVBand="0" w:oddHBand="1" w:evenHBand="0" w:firstRowFirstColumn="0" w:firstRowLastColumn="0" w:lastRowFirstColumn="0" w:lastRowLastColumn="0"/>
        </w:trPr>
        <w:tc>
          <w:tcPr>
            <w:tcW w:w="725" w:type="dxa"/>
          </w:tcPr>
          <w:p w14:paraId="584BCCC6" w14:textId="7C1040F6" w:rsidR="002F2DC9" w:rsidRPr="00185753" w:rsidRDefault="002F2DC9" w:rsidP="00BC4FCC">
            <w:pPr>
              <w:pStyle w:val="Paragraph"/>
              <w:rPr>
                <w:b/>
                <w:bCs/>
                <w:sz w:val="18"/>
                <w:szCs w:val="18"/>
              </w:rPr>
            </w:pPr>
            <w:r>
              <w:rPr>
                <w:b/>
                <w:bCs/>
                <w:sz w:val="18"/>
                <w:szCs w:val="18"/>
              </w:rPr>
              <w:t>Stage 3</w:t>
            </w:r>
          </w:p>
        </w:tc>
        <w:tc>
          <w:tcPr>
            <w:tcW w:w="5087" w:type="dxa"/>
          </w:tcPr>
          <w:p w14:paraId="6EFBB58C" w14:textId="22827B85" w:rsidR="002F2DC9" w:rsidRPr="005F30C3" w:rsidRDefault="002F2DC9" w:rsidP="00BC4FCC">
            <w:pPr>
              <w:pStyle w:val="Paragraph"/>
              <w:rPr>
                <w:sz w:val="18"/>
                <w:szCs w:val="18"/>
              </w:rPr>
            </w:pPr>
            <w:r>
              <w:rPr>
                <w:sz w:val="18"/>
                <w:szCs w:val="18"/>
              </w:rPr>
              <w:t xml:space="preserve">Consideration of the </w:t>
            </w:r>
            <w:r w:rsidRPr="00D30BC6">
              <w:rPr>
                <w:sz w:val="18"/>
                <w:szCs w:val="18"/>
              </w:rPr>
              <w:t>Radiocommunications (Electromagnetic Compatibility) Standard 2017</w:t>
            </w:r>
            <w:r w:rsidRPr="005F30C3">
              <w:rPr>
                <w:sz w:val="18"/>
                <w:szCs w:val="18"/>
              </w:rPr>
              <w:t xml:space="preserve"> and </w:t>
            </w:r>
            <w:r w:rsidRPr="00D30BC6">
              <w:rPr>
                <w:sz w:val="18"/>
                <w:szCs w:val="18"/>
              </w:rPr>
              <w:t>Radiocommunications Labelling (Electromagnetic Compatibility) Notice 2017</w:t>
            </w:r>
          </w:p>
        </w:tc>
        <w:tc>
          <w:tcPr>
            <w:tcW w:w="1623" w:type="dxa"/>
          </w:tcPr>
          <w:p w14:paraId="4970B219" w14:textId="1DBC2B82" w:rsidR="002F2DC9" w:rsidRPr="005F30C3" w:rsidRDefault="002F2DC9" w:rsidP="00BC4FCC">
            <w:pPr>
              <w:pStyle w:val="Paragraph"/>
              <w:rPr>
                <w:sz w:val="18"/>
                <w:szCs w:val="18"/>
              </w:rPr>
            </w:pPr>
            <w:r>
              <w:rPr>
                <w:sz w:val="18"/>
                <w:szCs w:val="18"/>
              </w:rPr>
              <w:t>During 2023</w:t>
            </w:r>
          </w:p>
        </w:tc>
      </w:tr>
    </w:tbl>
    <w:p w14:paraId="790C3717" w14:textId="12DD4091" w:rsidR="001A0A5D" w:rsidRPr="00ED4578" w:rsidRDefault="001A0A5D" w:rsidP="00CD2F74">
      <w:pPr>
        <w:pStyle w:val="Heading2"/>
      </w:pPr>
      <w:bookmarkStart w:id="10" w:name="_Toc118731001"/>
      <w:r w:rsidRPr="00ED4578">
        <w:lastRenderedPageBreak/>
        <w:t xml:space="preserve">Protected </w:t>
      </w:r>
      <w:r w:rsidR="00D37990">
        <w:t>s</w:t>
      </w:r>
      <w:r w:rsidRPr="00ED4578">
        <w:t xml:space="preserve">ymbols </w:t>
      </w:r>
      <w:r w:rsidR="00D37990">
        <w:t>d</w:t>
      </w:r>
      <w:r w:rsidRPr="00ED4578">
        <w:t>etermination</w:t>
      </w:r>
      <w:bookmarkEnd w:id="10"/>
    </w:p>
    <w:p w14:paraId="6B2608AF" w14:textId="5D8B3308" w:rsidR="00BC4FCC" w:rsidRDefault="00FD3C8D" w:rsidP="00FD3C8D">
      <w:pPr>
        <w:pStyle w:val="Paragraph"/>
      </w:pPr>
      <w:r>
        <w:t xml:space="preserve">The </w:t>
      </w:r>
      <w:r w:rsidR="00BB5733">
        <w:t>d</w:t>
      </w:r>
      <w:r>
        <w:t>etermination</w:t>
      </w:r>
      <w:r w:rsidR="00AF278B">
        <w:t xml:space="preserve"> </w:t>
      </w:r>
      <w:r w:rsidR="006F2C45">
        <w:t xml:space="preserve">is made under the Act </w:t>
      </w:r>
      <w:r w:rsidR="00A03B5F">
        <w:t>and the</w:t>
      </w:r>
      <w:r>
        <w:t xml:space="preserve"> </w:t>
      </w:r>
      <w:r w:rsidRPr="00FD3C8D">
        <w:rPr>
          <w:i/>
          <w:iCs/>
        </w:rPr>
        <w:t>Telecommunications Act</w:t>
      </w:r>
      <w:r w:rsidR="00BC4FCC">
        <w:rPr>
          <w:i/>
          <w:iCs/>
        </w:rPr>
        <w:t xml:space="preserve"> </w:t>
      </w:r>
      <w:r w:rsidR="00BC4FCC" w:rsidRPr="00E30CDC">
        <w:rPr>
          <w:i/>
          <w:iCs/>
        </w:rPr>
        <w:t>1997</w:t>
      </w:r>
      <w:r w:rsidR="00BC4FCC">
        <w:rPr>
          <w:i/>
          <w:iCs/>
        </w:rPr>
        <w:t>.</w:t>
      </w:r>
      <w:r>
        <w:t xml:space="preserve"> The </w:t>
      </w:r>
      <w:r w:rsidR="00BB5733">
        <w:t>d</w:t>
      </w:r>
      <w:r>
        <w:t>etermination sets out the designs of specified protected symbols</w:t>
      </w:r>
      <w:r w:rsidR="00AF358F">
        <w:t>,</w:t>
      </w:r>
      <w:r>
        <w:t xml:space="preserve"> and</w:t>
      </w:r>
      <w:r w:rsidR="00A71627">
        <w:t xml:space="preserve"> </w:t>
      </w:r>
      <w:r>
        <w:t xml:space="preserve">provides that they can be applied to equipment to indicate compliance with the ACMA labelling arrangements. </w:t>
      </w:r>
    </w:p>
    <w:p w14:paraId="095039A8" w14:textId="4C73303A" w:rsidR="00FD3C8D" w:rsidRDefault="00FD3C8D" w:rsidP="00FD3C8D">
      <w:pPr>
        <w:pStyle w:val="Paragraph"/>
      </w:pPr>
      <w:r>
        <w:t xml:space="preserve">The specified protected symbols are the Regulatory Compliance Mark (RCM), </w:t>
      </w:r>
      <w:r w:rsidR="00030AB1">
        <w:t xml:space="preserve">the </w:t>
      </w:r>
      <w:r w:rsidR="0079541E">
        <w:br/>
      </w:r>
      <w:r>
        <w:t xml:space="preserve">A-Tick mark and </w:t>
      </w:r>
      <w:r w:rsidR="00030AB1">
        <w:t xml:space="preserve">the </w:t>
      </w:r>
      <w:r>
        <w:t xml:space="preserve">C-Tick mark. The RCM is also used to indicate compliance with electrical equipment safety requirements under Australian </w:t>
      </w:r>
      <w:r w:rsidR="0079541E">
        <w:t>s</w:t>
      </w:r>
      <w:r>
        <w:t xml:space="preserve">tate and </w:t>
      </w:r>
      <w:r w:rsidR="0079541E">
        <w:t>t</w:t>
      </w:r>
      <w:r>
        <w:t>erritory legislation.</w:t>
      </w:r>
    </w:p>
    <w:p w14:paraId="26FD1D82" w14:textId="1AE9218F" w:rsidR="006E77D2" w:rsidRDefault="006E77D2" w:rsidP="006E77D2">
      <w:pPr>
        <w:pStyle w:val="Paragraph"/>
      </w:pPr>
      <w:r w:rsidRPr="005C1C5F">
        <w:t>In 2013</w:t>
      </w:r>
      <w:r w:rsidR="00EC2286">
        <w:t>,</w:t>
      </w:r>
      <w:r w:rsidRPr="005C1C5F">
        <w:t xml:space="preserve"> the </w:t>
      </w:r>
      <w:r w:rsidR="00EC2286">
        <w:t>3</w:t>
      </w:r>
      <w:r w:rsidRPr="005C1C5F">
        <w:t xml:space="preserve"> existing compliance marks were consolidated into a single compliance mark – the RCM. There was a </w:t>
      </w:r>
      <w:r w:rsidR="00EC2286">
        <w:t>3</w:t>
      </w:r>
      <w:r w:rsidRPr="005C1C5F">
        <w:t>-year transition period</w:t>
      </w:r>
      <w:r w:rsidR="00EC2286">
        <w:t>,</w:t>
      </w:r>
      <w:r w:rsidRPr="005C1C5F">
        <w:t xml:space="preserve"> which ended in February 2016</w:t>
      </w:r>
      <w:r w:rsidR="00EC2286">
        <w:t>. S</w:t>
      </w:r>
      <w:r w:rsidRPr="00ED4578">
        <w:t>uppliers are now only permitted to use the RCM for newly</w:t>
      </w:r>
      <w:r w:rsidR="007E6B0B">
        <w:t xml:space="preserve"> </w:t>
      </w:r>
      <w:r w:rsidR="00456A9B">
        <w:t>labelled</w:t>
      </w:r>
      <w:r w:rsidRPr="00ED4578">
        <w:t xml:space="preserve"> equipment.</w:t>
      </w:r>
      <w:r w:rsidRPr="00BC4FCC">
        <w:t xml:space="preserve"> </w:t>
      </w:r>
      <w:r>
        <w:t>T</w:t>
      </w:r>
      <w:r w:rsidRPr="00CB3B9B">
        <w:t>he continued use of the</w:t>
      </w:r>
      <w:r>
        <w:t xml:space="preserve"> C-Tick and A-Tick</w:t>
      </w:r>
      <w:r w:rsidRPr="00CB3B9B">
        <w:t xml:space="preserve"> symbols for pre-2016 stock </w:t>
      </w:r>
      <w:r>
        <w:t>is permitted.</w:t>
      </w:r>
      <w:r w:rsidRPr="00CB3B9B">
        <w:t xml:space="preserve"> </w:t>
      </w:r>
      <w:r>
        <w:t xml:space="preserve">The </w:t>
      </w:r>
      <w:r w:rsidR="00EC2286">
        <w:t>d</w:t>
      </w:r>
      <w:r>
        <w:t>etermination is due to sunset on 1 April 2023.</w:t>
      </w:r>
    </w:p>
    <w:p w14:paraId="2EF84E68" w14:textId="23B703D1" w:rsidR="00ED4578" w:rsidRPr="004846E0" w:rsidRDefault="00ED4578" w:rsidP="00CD2F74">
      <w:pPr>
        <w:pStyle w:val="Heading2"/>
      </w:pPr>
      <w:bookmarkStart w:id="11" w:name="_Toc118731002"/>
      <w:r w:rsidRPr="004846E0">
        <w:t>E</w:t>
      </w:r>
      <w:r w:rsidR="00ED18CA">
        <w:t>lectro</w:t>
      </w:r>
      <w:r w:rsidR="00F35BB8">
        <w:t xml:space="preserve">magnetic energy (EME) </w:t>
      </w:r>
      <w:r w:rsidRPr="004846E0">
        <w:t xml:space="preserve">test method standard for </w:t>
      </w:r>
      <w:r w:rsidR="00ED18CA">
        <w:t xml:space="preserve">frequencies </w:t>
      </w:r>
      <w:r w:rsidRPr="004846E0">
        <w:t>above 6</w:t>
      </w:r>
      <w:r w:rsidR="001B7B0B">
        <w:t xml:space="preserve"> </w:t>
      </w:r>
      <w:r w:rsidRPr="004846E0">
        <w:t>GHz</w:t>
      </w:r>
      <w:bookmarkEnd w:id="11"/>
    </w:p>
    <w:p w14:paraId="16AA5B66" w14:textId="49F3E35D" w:rsidR="00D26863" w:rsidRPr="00D02E5D" w:rsidRDefault="00D26863" w:rsidP="00E805EE">
      <w:pPr>
        <w:pStyle w:val="Paragraph"/>
      </w:pPr>
      <w:r w:rsidRPr="00D26863">
        <w:t>In November 2021</w:t>
      </w:r>
      <w:r w:rsidR="0080598C">
        <w:t>,</w:t>
      </w:r>
      <w:r w:rsidRPr="00D26863">
        <w:t xml:space="preserve"> the General Equipment Rules were amended to incorporate the content of the </w:t>
      </w:r>
      <w:r w:rsidR="005F30C3" w:rsidRPr="00D30BC6">
        <w:t>Radiocommunications (Electromagnetic Radiation – Human Exposure) Standard</w:t>
      </w:r>
      <w:r w:rsidR="00197942" w:rsidRPr="00D30BC6">
        <w:t xml:space="preserve"> 2014</w:t>
      </w:r>
      <w:r w:rsidRPr="00D26863">
        <w:t xml:space="preserve"> and </w:t>
      </w:r>
      <w:r w:rsidR="005F30C3" w:rsidRPr="00D30BC6">
        <w:t>Radiocommunications (Compliance Labelling – Electromagnetic Radiation) Notice 2014</w:t>
      </w:r>
      <w:r w:rsidRPr="00D26863">
        <w:t xml:space="preserve">. However, </w:t>
      </w:r>
      <w:r w:rsidR="00F35BB8">
        <w:t xml:space="preserve">at that time </w:t>
      </w:r>
      <w:r w:rsidRPr="00D26863">
        <w:t>there was no test method standard for transmitters operating above 6</w:t>
      </w:r>
      <w:r w:rsidR="001B7B0B">
        <w:t xml:space="preserve"> </w:t>
      </w:r>
      <w:r w:rsidRPr="00D26863">
        <w:t>GHz</w:t>
      </w:r>
      <w:r w:rsidR="00F35BB8">
        <w:t>. An</w:t>
      </w:r>
      <w:r w:rsidRPr="00D26863">
        <w:t xml:space="preserve"> interim International Electrotechnical Commission (IEC) technical report was referenced</w:t>
      </w:r>
      <w:r w:rsidR="00D02E5D">
        <w:t xml:space="preserve"> –</w:t>
      </w:r>
      <w:r w:rsidR="00E805EE">
        <w:t xml:space="preserve"> IEC TR 63170:2018 </w:t>
      </w:r>
      <w:r w:rsidR="00E805EE" w:rsidRPr="00D30BC6">
        <w:t>Measurement procedure for the evaluation of power density related to human exposure to radio frequency fields from wireless communication devices operating between 6 GHz and 100 GHz</w:t>
      </w:r>
      <w:r w:rsidR="00E805EE" w:rsidRPr="00D02E5D">
        <w:t>.</w:t>
      </w:r>
      <w:r w:rsidRPr="00D02E5D">
        <w:t xml:space="preserve"> </w:t>
      </w:r>
    </w:p>
    <w:p w14:paraId="087DFA28" w14:textId="132B70C6" w:rsidR="00E805EE" w:rsidRDefault="00D26863" w:rsidP="00D30BC6">
      <w:pPr>
        <w:pStyle w:val="Paragraphbeforelist"/>
      </w:pPr>
      <w:r w:rsidRPr="00D26863">
        <w:t>In May 2022</w:t>
      </w:r>
      <w:r w:rsidR="00221F84">
        <w:t>,</w:t>
      </w:r>
      <w:r w:rsidRPr="00D26863">
        <w:t xml:space="preserve"> the IEC and the Institute of Electrical and Electronics Engineers (IEEE) published test method standard: </w:t>
      </w:r>
    </w:p>
    <w:p w14:paraId="56F9D52D" w14:textId="6F67D0E0" w:rsidR="00E805EE" w:rsidRDefault="00E805EE" w:rsidP="00D30BC6">
      <w:pPr>
        <w:pStyle w:val="Paragraph"/>
        <w:numPr>
          <w:ilvl w:val="0"/>
          <w:numId w:val="25"/>
        </w:numPr>
        <w:spacing w:after="60"/>
        <w:ind w:left="357" w:hanging="357"/>
      </w:pPr>
      <w:r>
        <w:t xml:space="preserve">IEC/IEEE 63195-1:2022 </w:t>
      </w:r>
      <w:r w:rsidRPr="00D30BC6">
        <w:t xml:space="preserve">Assessment of power density of human exposure to radio frequency fields from wireless devices in close proximity to the head and body (frequency range of 6 GHz to 300 GHz) </w:t>
      </w:r>
      <w:r w:rsidR="00D02E5D">
        <w:t>–</w:t>
      </w:r>
      <w:r w:rsidRPr="00D30BC6">
        <w:t xml:space="preserve"> Part 1: Measurement procedure</w:t>
      </w:r>
      <w:r w:rsidRPr="00D02E5D">
        <w:t xml:space="preserve"> </w:t>
      </w:r>
    </w:p>
    <w:p w14:paraId="5034E69A" w14:textId="7CC510A4" w:rsidR="00E805EE" w:rsidRPr="00D02E5D" w:rsidRDefault="00E805EE" w:rsidP="00E805EE">
      <w:pPr>
        <w:pStyle w:val="Paragraph"/>
        <w:numPr>
          <w:ilvl w:val="0"/>
          <w:numId w:val="25"/>
        </w:numPr>
      </w:pPr>
      <w:r>
        <w:t xml:space="preserve">IEC/IEEE 63195-2:2022 </w:t>
      </w:r>
      <w:r w:rsidRPr="00D30BC6">
        <w:t xml:space="preserve">Assessment of power density of human exposure to radio frequency fields from wireless devices in close proximity to the head and body (frequency range of 6 GHz to 300 GHz) </w:t>
      </w:r>
      <w:r w:rsidR="00D02E5D">
        <w:t>–</w:t>
      </w:r>
      <w:r w:rsidRPr="00D30BC6">
        <w:t xml:space="preserve"> Part 2: Computational procedure</w:t>
      </w:r>
      <w:r w:rsidRPr="00D02E5D">
        <w:t>.</w:t>
      </w:r>
    </w:p>
    <w:p w14:paraId="17C60832" w14:textId="3EE360D7" w:rsidR="00C932BF" w:rsidRPr="004846E0" w:rsidRDefault="00C932BF" w:rsidP="00D30BC6">
      <w:pPr>
        <w:pStyle w:val="Heading2"/>
        <w:keepLines/>
      </w:pPr>
      <w:bookmarkStart w:id="12" w:name="_Toc118731003"/>
      <w:r w:rsidRPr="004846E0">
        <w:t xml:space="preserve">Significant event </w:t>
      </w:r>
      <w:r>
        <w:t>provision</w:t>
      </w:r>
      <w:r w:rsidR="007F7791">
        <w:t>s</w:t>
      </w:r>
      <w:bookmarkEnd w:id="12"/>
    </w:p>
    <w:p w14:paraId="6F5A4B8A" w14:textId="7CB9216B" w:rsidR="00D26863" w:rsidRDefault="00D26863" w:rsidP="00D30BC6">
      <w:pPr>
        <w:pStyle w:val="Paragraph"/>
        <w:keepNext/>
        <w:keepLines/>
      </w:pPr>
      <w:r>
        <w:t>The 14</w:t>
      </w:r>
      <w:r w:rsidR="00E30CDC">
        <w:t xml:space="preserve"> </w:t>
      </w:r>
      <w:r>
        <w:t xml:space="preserve">mandatory </w:t>
      </w:r>
      <w:r w:rsidR="00F8668E">
        <w:t xml:space="preserve">radiocommunications </w:t>
      </w:r>
      <w:r>
        <w:t xml:space="preserve">technical standards, </w:t>
      </w:r>
      <w:r w:rsidR="00D365EC">
        <w:t xml:space="preserve">along with </w:t>
      </w:r>
      <w:r w:rsidR="006F2C45">
        <w:t xml:space="preserve">the </w:t>
      </w:r>
      <w:r w:rsidR="006F2C45" w:rsidRPr="00D30BC6">
        <w:t>Radiocommunications (Low Interference Potential Devices) Class Licence 2015</w:t>
      </w:r>
      <w:r w:rsidR="00D365EC">
        <w:t>;</w:t>
      </w:r>
      <w:r w:rsidR="00EF3721">
        <w:t xml:space="preserve"> </w:t>
      </w:r>
      <w:r>
        <w:t xml:space="preserve">the </w:t>
      </w:r>
      <w:r w:rsidRPr="00D30BC6">
        <w:t>Telecommunications (Labelling Notice for Customer Equipment and Customer Cabling) Instrument 2015</w:t>
      </w:r>
      <w:r w:rsidR="00D365EC">
        <w:t>,</w:t>
      </w:r>
      <w:r w:rsidRPr="00D365EC">
        <w:t xml:space="preserve"> and </w:t>
      </w:r>
      <w:r w:rsidR="00CD530A">
        <w:t xml:space="preserve">the </w:t>
      </w:r>
      <w:r w:rsidRPr="00D30BC6">
        <w:t xml:space="preserve">Telecommunications (Types of Cabling Work) Declaration </w:t>
      </w:r>
      <w:r w:rsidRPr="00D365EC">
        <w:t>2013</w:t>
      </w:r>
      <w:r>
        <w:t xml:space="preserve"> all contain a </w:t>
      </w:r>
      <w:r w:rsidR="00D365EC">
        <w:t>‘</w:t>
      </w:r>
      <w:r>
        <w:t>significant event</w:t>
      </w:r>
      <w:r w:rsidR="00D365EC">
        <w:t>’</w:t>
      </w:r>
      <w:r>
        <w:t xml:space="preserve"> provision</w:t>
      </w:r>
      <w:r w:rsidR="00D365EC">
        <w:t xml:space="preserve">. This </w:t>
      </w:r>
      <w:r>
        <w:t>exempts devices, equipment and cabling imported solely for use in connection with a significant event from</w:t>
      </w:r>
      <w:r w:rsidR="0060029A">
        <w:t xml:space="preserve"> compliance with the</w:t>
      </w:r>
      <w:r>
        <w:t xml:space="preserve"> relevant provisions.</w:t>
      </w:r>
    </w:p>
    <w:p w14:paraId="7610F234" w14:textId="19594395" w:rsidR="00D26863" w:rsidRDefault="00D26863" w:rsidP="00D30BC6">
      <w:pPr>
        <w:pStyle w:val="Paragraph"/>
        <w:keepNext/>
        <w:keepLines/>
      </w:pPr>
      <w:r>
        <w:t xml:space="preserve">The current definition of a </w:t>
      </w:r>
      <w:r w:rsidR="00D365EC">
        <w:t>‘</w:t>
      </w:r>
      <w:r>
        <w:t>significant event</w:t>
      </w:r>
      <w:r w:rsidR="00D365EC">
        <w:t>’</w:t>
      </w:r>
      <w:r>
        <w:t xml:space="preserve"> is limited in that it </w:t>
      </w:r>
      <w:r w:rsidR="00CD530A">
        <w:t xml:space="preserve">confers </w:t>
      </w:r>
      <w:r>
        <w:t xml:space="preserve">the power to declare a significant event </w:t>
      </w:r>
      <w:r w:rsidR="00CD530A">
        <w:t>on</w:t>
      </w:r>
      <w:r>
        <w:t xml:space="preserve"> the Chair of the ACMA</w:t>
      </w:r>
      <w:r w:rsidR="00D365EC">
        <w:t>,</w:t>
      </w:r>
      <w:r>
        <w:t xml:space="preserve"> which is not a delegable power. </w:t>
      </w:r>
    </w:p>
    <w:p w14:paraId="63CA008A" w14:textId="5CD3D3AD" w:rsidR="000B4664" w:rsidRPr="00E162C4" w:rsidRDefault="00B338E2" w:rsidP="000B4664">
      <w:pPr>
        <w:pStyle w:val="Heading1"/>
      </w:pPr>
      <w:bookmarkStart w:id="13" w:name="_Toc118731004"/>
      <w:bookmarkEnd w:id="8"/>
      <w:r>
        <w:lastRenderedPageBreak/>
        <w:t>Proposed changes</w:t>
      </w:r>
      <w:bookmarkEnd w:id="13"/>
    </w:p>
    <w:p w14:paraId="71343161" w14:textId="5490F048" w:rsidR="00C87E8A" w:rsidRDefault="00F907DD" w:rsidP="00CD2F74">
      <w:pPr>
        <w:pStyle w:val="Heading2"/>
        <w:rPr>
          <w:lang w:eastAsia="en-US"/>
        </w:rPr>
      </w:pPr>
      <w:bookmarkStart w:id="14" w:name="_Toc118731005"/>
      <w:r w:rsidRPr="00F907DD">
        <w:rPr>
          <w:lang w:eastAsia="en-US"/>
        </w:rPr>
        <w:t xml:space="preserve">Incorporating </w:t>
      </w:r>
      <w:r w:rsidRPr="00F907DD">
        <w:rPr>
          <w:lang w:eastAsia="en-US"/>
        </w:rPr>
        <w:t xml:space="preserve">the content of </w:t>
      </w:r>
      <w:r w:rsidR="006E7F73">
        <w:rPr>
          <w:lang w:eastAsia="en-US"/>
        </w:rPr>
        <w:t xml:space="preserve">mandatory </w:t>
      </w:r>
      <w:r w:rsidR="00351768">
        <w:rPr>
          <w:lang w:eastAsia="en-US"/>
        </w:rPr>
        <w:t xml:space="preserve">radiocommunications </w:t>
      </w:r>
      <w:r w:rsidRPr="00F907DD">
        <w:rPr>
          <w:lang w:eastAsia="en-US"/>
        </w:rPr>
        <w:t>technical standards and</w:t>
      </w:r>
      <w:r w:rsidR="00CD530A">
        <w:rPr>
          <w:lang w:eastAsia="en-US"/>
        </w:rPr>
        <w:t xml:space="preserve"> the</w:t>
      </w:r>
      <w:r w:rsidRPr="00F907DD">
        <w:rPr>
          <w:lang w:eastAsia="en-US"/>
        </w:rPr>
        <w:t xml:space="preserve"> RLN into the General Equipment Rules</w:t>
      </w:r>
      <w:bookmarkEnd w:id="14"/>
      <w:r w:rsidRPr="00F907DD">
        <w:rPr>
          <w:lang w:eastAsia="en-US"/>
        </w:rPr>
        <w:t xml:space="preserve"> </w:t>
      </w:r>
    </w:p>
    <w:p w14:paraId="7BE7BB1F" w14:textId="56270D43" w:rsidR="004724FF" w:rsidRDefault="005A68AC" w:rsidP="00D30BC6">
      <w:pPr>
        <w:pStyle w:val="Paragraphbeforelist"/>
      </w:pPr>
      <w:r>
        <w:br/>
      </w:r>
      <w:r w:rsidR="00BC4FCC">
        <w:t xml:space="preserve">This proposal comprises the second stage of </w:t>
      </w:r>
      <w:r w:rsidR="00087711">
        <w:t>a program of equipment regulation reform</w:t>
      </w:r>
      <w:r>
        <w:t xml:space="preserve">. </w:t>
      </w:r>
      <w:r w:rsidR="004724FF">
        <w:t>The proposal involves:</w:t>
      </w:r>
    </w:p>
    <w:p w14:paraId="5A581C4C" w14:textId="6AA865B0" w:rsidR="004724FF" w:rsidRDefault="004724FF" w:rsidP="00D30BC6">
      <w:pPr>
        <w:pStyle w:val="Paragraph"/>
        <w:numPr>
          <w:ilvl w:val="0"/>
          <w:numId w:val="23"/>
        </w:numPr>
        <w:spacing w:after="60"/>
        <w:ind w:left="357" w:hanging="357"/>
      </w:pPr>
      <w:r>
        <w:t xml:space="preserve">repealing the current 14 </w:t>
      </w:r>
      <w:r w:rsidR="00DB47A4">
        <w:t>ra</w:t>
      </w:r>
      <w:r w:rsidR="0081790A">
        <w:t>diocommunications</w:t>
      </w:r>
      <w:r>
        <w:t xml:space="preserve"> mandatory </w:t>
      </w:r>
      <w:r w:rsidR="0081790A">
        <w:t xml:space="preserve">technical </w:t>
      </w:r>
      <w:r>
        <w:t>standards and the RLN</w:t>
      </w:r>
    </w:p>
    <w:p w14:paraId="00DA3946" w14:textId="6439F679" w:rsidR="00BC4FCC" w:rsidRDefault="00BC4FCC" w:rsidP="004724FF">
      <w:pPr>
        <w:pStyle w:val="Paragraph"/>
        <w:numPr>
          <w:ilvl w:val="0"/>
          <w:numId w:val="23"/>
        </w:numPr>
      </w:pPr>
      <w:r>
        <w:t>incorporat</w:t>
      </w:r>
      <w:r w:rsidR="004724FF">
        <w:t>ing</w:t>
      </w:r>
      <w:r>
        <w:t xml:space="preserve"> the content of 13 </w:t>
      </w:r>
      <w:r w:rsidR="00EB6DAF">
        <w:t xml:space="preserve">radiocommunications </w:t>
      </w:r>
      <w:r>
        <w:t xml:space="preserve">mandatory technical standards and the RLN into the General Equipment Rules. </w:t>
      </w:r>
    </w:p>
    <w:p w14:paraId="00FBF3CC" w14:textId="5D956006" w:rsidR="004724FF" w:rsidRDefault="004724FF" w:rsidP="00BC4FCC">
      <w:pPr>
        <w:pStyle w:val="Paragraph"/>
      </w:pPr>
      <w:r>
        <w:t xml:space="preserve">The proposed content of the 13 </w:t>
      </w:r>
      <w:r w:rsidR="00EB6DAF">
        <w:t>radiocommunications</w:t>
      </w:r>
      <w:r>
        <w:t xml:space="preserve"> mandatory technical standards </w:t>
      </w:r>
      <w:r w:rsidR="00E84181">
        <w:t xml:space="preserve">is set out </w:t>
      </w:r>
      <w:r>
        <w:t>in</w:t>
      </w:r>
      <w:r w:rsidR="00E84181">
        <w:t xml:space="preserve"> the new</w:t>
      </w:r>
      <w:r>
        <w:t xml:space="preserve"> </w:t>
      </w:r>
      <w:r w:rsidRPr="00E30CDC">
        <w:t>Schedule 5</w:t>
      </w:r>
      <w:r w:rsidR="00D365EC">
        <w:t xml:space="preserve"> </w:t>
      </w:r>
      <w:r w:rsidR="00E84181" w:rsidRPr="008231B3">
        <w:rPr>
          <w:b/>
          <w:bCs/>
        </w:rPr>
        <w:t xml:space="preserve">– </w:t>
      </w:r>
      <w:r w:rsidR="00E84181" w:rsidRPr="00D30BC6">
        <w:t>General Standards</w:t>
      </w:r>
      <w:r>
        <w:t xml:space="preserve"> of the General Equipment Rules.</w:t>
      </w:r>
    </w:p>
    <w:p w14:paraId="220F5EF1" w14:textId="4691A962" w:rsidR="004724FF" w:rsidRDefault="004724FF" w:rsidP="00BC4FCC">
      <w:pPr>
        <w:pStyle w:val="Paragraph"/>
      </w:pPr>
      <w:r>
        <w:t xml:space="preserve">The proposed content of the RLN will be incorporated into </w:t>
      </w:r>
      <w:r w:rsidRPr="00E30CDC">
        <w:t>Schedule 3</w:t>
      </w:r>
      <w:r w:rsidR="00D365EC">
        <w:t xml:space="preserve"> </w:t>
      </w:r>
      <w:r w:rsidR="00E84181" w:rsidRPr="00D6171C">
        <w:rPr>
          <w:b/>
          <w:bCs/>
        </w:rPr>
        <w:t xml:space="preserve">– </w:t>
      </w:r>
      <w:r w:rsidR="00E84181" w:rsidRPr="00D30BC6">
        <w:t>Labelling Requirements</w:t>
      </w:r>
      <w:r>
        <w:t xml:space="preserve"> of the General Equipment Rules.</w:t>
      </w:r>
    </w:p>
    <w:p w14:paraId="4661E895" w14:textId="239D6CA2" w:rsidR="004724FF" w:rsidRDefault="006B50BD" w:rsidP="00BC4FCC">
      <w:pPr>
        <w:pStyle w:val="Paragraph"/>
      </w:pPr>
      <w:r>
        <w:t xml:space="preserve">Our </w:t>
      </w:r>
      <w:r w:rsidR="00E84181">
        <w:t>view is t</w:t>
      </w:r>
      <w:r w:rsidR="004724FF">
        <w:t xml:space="preserve">he </w:t>
      </w:r>
      <w:r w:rsidR="004724FF" w:rsidRPr="00D30BC6">
        <w:t>Radiocommunications (121.5 MHz and 243.0 MHz Emergency Position Indicating Radio Beacons) Standard 2014</w:t>
      </w:r>
      <w:r w:rsidR="004724FF" w:rsidRPr="004724FF">
        <w:t xml:space="preserve"> </w:t>
      </w:r>
      <w:r w:rsidR="004724FF">
        <w:t>is redundant</w:t>
      </w:r>
      <w:r>
        <w:t xml:space="preserve">. We </w:t>
      </w:r>
      <w:r w:rsidR="005F30C3">
        <w:t xml:space="preserve">propose that </w:t>
      </w:r>
      <w:r w:rsidR="004724FF">
        <w:t xml:space="preserve">its content will not be incorporated into </w:t>
      </w:r>
      <w:r w:rsidR="00E84181">
        <w:t xml:space="preserve">Schedule 5 – General Standards of the </w:t>
      </w:r>
      <w:r w:rsidR="004724FF">
        <w:t>General Equipment Rules</w:t>
      </w:r>
      <w:r>
        <w:t xml:space="preserve">. Please </w:t>
      </w:r>
      <w:r w:rsidR="00CC03F4">
        <w:t xml:space="preserve">see </w:t>
      </w:r>
      <w:r>
        <w:t xml:space="preserve">the </w:t>
      </w:r>
      <w:r w:rsidR="00CC03F4">
        <w:t>discussion in section (</w:t>
      </w:r>
      <w:proofErr w:type="spellStart"/>
      <w:r w:rsidR="00CC03F4">
        <w:t>i</w:t>
      </w:r>
      <w:proofErr w:type="spellEnd"/>
      <w:r w:rsidR="00CC03F4">
        <w:t>) below</w:t>
      </w:r>
      <w:r w:rsidR="004724FF">
        <w:t>.</w:t>
      </w:r>
    </w:p>
    <w:p w14:paraId="4FCD7838" w14:textId="4C4620BC" w:rsidR="00137B5E" w:rsidRDefault="00AF278B" w:rsidP="00BC4FCC">
      <w:pPr>
        <w:pStyle w:val="Paragraph"/>
      </w:pPr>
      <w:r>
        <w:t xml:space="preserve">With that exception, following </w:t>
      </w:r>
      <w:r w:rsidR="00BC4FCC">
        <w:t>review</w:t>
      </w:r>
      <w:r>
        <w:t xml:space="preserve"> of</w:t>
      </w:r>
      <w:r w:rsidR="00BC4FCC">
        <w:t xml:space="preserve"> the </w:t>
      </w:r>
      <w:r w:rsidR="005A68AC">
        <w:t>current</w:t>
      </w:r>
      <w:r w:rsidR="00BC4FCC">
        <w:t xml:space="preserve"> 14 ACMA </w:t>
      </w:r>
      <w:r w:rsidR="00A50AEF">
        <w:t xml:space="preserve">radiocommunications </w:t>
      </w:r>
      <w:r w:rsidR="00BC4FCC">
        <w:t>mandatory technical standards and the RLN</w:t>
      </w:r>
      <w:r>
        <w:t xml:space="preserve">, </w:t>
      </w:r>
      <w:r w:rsidR="00AF12A8">
        <w:t xml:space="preserve">our </w:t>
      </w:r>
      <w:r w:rsidR="00012C77">
        <w:t>view</w:t>
      </w:r>
      <w:r w:rsidR="00E84181">
        <w:t xml:space="preserve"> </w:t>
      </w:r>
      <w:r w:rsidR="00012C77">
        <w:t xml:space="preserve">is that </w:t>
      </w:r>
      <w:r w:rsidR="00E84181">
        <w:t>these equipment rules</w:t>
      </w:r>
      <w:r w:rsidR="00BC4FCC">
        <w:t xml:space="preserve"> remain relevant, </w:t>
      </w:r>
      <w:r w:rsidR="00A03B5F">
        <w:t>appropriate</w:t>
      </w:r>
      <w:r w:rsidR="00BC4FCC">
        <w:t xml:space="preserve"> and consistent with international regulatory regimes. </w:t>
      </w:r>
    </w:p>
    <w:p w14:paraId="624B4BFF" w14:textId="17FCA4DB" w:rsidR="00CC03F4" w:rsidRDefault="00AF12A8" w:rsidP="00BC4FCC">
      <w:pPr>
        <w:pStyle w:val="Paragraph"/>
      </w:pPr>
      <w:r>
        <w:t>We</w:t>
      </w:r>
      <w:r w:rsidR="00CC03F4">
        <w:t xml:space="preserve"> propose some minor clarifications</w:t>
      </w:r>
      <w:r w:rsidR="00137B5E">
        <w:t xml:space="preserve"> </w:t>
      </w:r>
      <w:r w:rsidR="00CC03F4">
        <w:t>to the 13 ACMA</w:t>
      </w:r>
      <w:r w:rsidR="00A50AEF">
        <w:t xml:space="preserve"> radiocommunications</w:t>
      </w:r>
      <w:r w:rsidR="00CC03F4">
        <w:t xml:space="preserve"> mandatory technical standards that are incorporated into the General Equipment Rules.</w:t>
      </w:r>
      <w:r w:rsidR="00012C77">
        <w:t xml:space="preserve"> </w:t>
      </w:r>
      <w:r w:rsidR="00CC03F4">
        <w:t xml:space="preserve">These </w:t>
      </w:r>
      <w:r w:rsidR="00063922">
        <w:t xml:space="preserve">clarifications include updating or removing outdated references and referencing the latest version of some industry standards. </w:t>
      </w:r>
    </w:p>
    <w:p w14:paraId="4ED3E8FA" w14:textId="74D72824" w:rsidR="00BC4FCC" w:rsidRDefault="00400473" w:rsidP="00BC4FCC">
      <w:pPr>
        <w:pStyle w:val="Paragraph"/>
      </w:pPr>
      <w:r>
        <w:t>The ACMA also proposes t</w:t>
      </w:r>
      <w:r w:rsidR="000B60A3">
        <w:t xml:space="preserve">o adopt </w:t>
      </w:r>
      <w:r>
        <w:t xml:space="preserve">some additional international standards </w:t>
      </w:r>
      <w:r w:rsidR="00CC03F4">
        <w:t xml:space="preserve">as an alternative to </w:t>
      </w:r>
      <w:r>
        <w:t xml:space="preserve">the </w:t>
      </w:r>
      <w:r w:rsidR="00CC03F4">
        <w:t>existing standards that are adopted</w:t>
      </w:r>
      <w:r w:rsidR="00AF12A8">
        <w:t xml:space="preserve">. Please </w:t>
      </w:r>
      <w:r>
        <w:t xml:space="preserve">see </w:t>
      </w:r>
      <w:r w:rsidR="00AF12A8">
        <w:t xml:space="preserve">the </w:t>
      </w:r>
      <w:r w:rsidR="00CC03F4">
        <w:t xml:space="preserve">discussion in </w:t>
      </w:r>
      <w:r>
        <w:t xml:space="preserve">section </w:t>
      </w:r>
      <w:r w:rsidR="00CC03F4">
        <w:t>(ii)</w:t>
      </w:r>
      <w:r>
        <w:t xml:space="preserve"> below.</w:t>
      </w:r>
    </w:p>
    <w:p w14:paraId="7B67D1C0" w14:textId="6B1A708E" w:rsidR="00063922" w:rsidRDefault="00063922" w:rsidP="00063922">
      <w:pPr>
        <w:pStyle w:val="Paragraph"/>
      </w:pPr>
      <w:r>
        <w:t xml:space="preserve">A summary of the proposed amendments is set out </w:t>
      </w:r>
      <w:r w:rsidR="007B165F">
        <w:t>at</w:t>
      </w:r>
      <w:r>
        <w:t xml:space="preserve"> </w:t>
      </w:r>
      <w:hyperlink w:anchor="_Appendix_A:_Proposed" w:history="1">
        <w:r w:rsidRPr="00D30BC6">
          <w:rPr>
            <w:rStyle w:val="Hyperlink"/>
          </w:rPr>
          <w:t>Appendix A</w:t>
        </w:r>
      </w:hyperlink>
      <w:r>
        <w:t xml:space="preserve">. </w:t>
      </w:r>
    </w:p>
    <w:p w14:paraId="329DA1A7" w14:textId="1A82662A" w:rsidR="00BC4FCC" w:rsidRDefault="00BC4FCC" w:rsidP="00BC4FCC">
      <w:pPr>
        <w:pStyle w:val="Paragraph"/>
      </w:pPr>
      <w:r>
        <w:t xml:space="preserve">While it is open to </w:t>
      </w:r>
      <w:r w:rsidR="00AF12A8">
        <w:t xml:space="preserve">us </w:t>
      </w:r>
      <w:r>
        <w:t>to simply remake these standards and the RLN as separate equipment rules</w:t>
      </w:r>
      <w:r w:rsidR="00FC433B">
        <w:t xml:space="preserve"> </w:t>
      </w:r>
      <w:r>
        <w:t xml:space="preserve">when they sunset </w:t>
      </w:r>
      <w:r w:rsidR="007E2D9C">
        <w:t xml:space="preserve">(at various dates from </w:t>
      </w:r>
      <w:r>
        <w:t xml:space="preserve">1 April 2023 </w:t>
      </w:r>
      <w:r w:rsidR="007E2D9C">
        <w:t xml:space="preserve">to </w:t>
      </w:r>
      <w:r>
        <w:t>1 April 2029</w:t>
      </w:r>
      <w:r w:rsidR="00AF12A8">
        <w:t>)</w:t>
      </w:r>
      <w:r w:rsidR="00AD08C6">
        <w:t>,</w:t>
      </w:r>
      <w:r>
        <w:t xml:space="preserve"> this proposal will </w:t>
      </w:r>
      <w:r w:rsidR="00047585">
        <w:t xml:space="preserve">incorporate them into a single legislative instrument, </w:t>
      </w:r>
      <w:r w:rsidR="00EE67A2">
        <w:t>the General Equipment Rules</w:t>
      </w:r>
      <w:r w:rsidR="00047585">
        <w:t xml:space="preserve">. </w:t>
      </w:r>
    </w:p>
    <w:p w14:paraId="1106A990" w14:textId="179609E4" w:rsidR="00DA23C1" w:rsidRDefault="00BC4FCC" w:rsidP="00BC4FCC">
      <w:pPr>
        <w:pStyle w:val="Paragraph"/>
      </w:pPr>
      <w:r>
        <w:t xml:space="preserve">A single legislative instrument with improved drafting and minor clarifications will simplify, </w:t>
      </w:r>
      <w:r w:rsidR="00A03B5F">
        <w:t>streamline</w:t>
      </w:r>
      <w:r>
        <w:t xml:space="preserve"> and align these provisions within the equipment rules framework set out in the Act. It </w:t>
      </w:r>
      <w:r w:rsidR="00DA23C1">
        <w:t>is expected to</w:t>
      </w:r>
      <w:r>
        <w:t xml:space="preserve"> reduce informational costs for suppliers and users from otherwise interpreting and applying separate legislative instruments</w:t>
      </w:r>
      <w:r w:rsidR="00DA23C1">
        <w:t>.</w:t>
      </w:r>
    </w:p>
    <w:p w14:paraId="6A471DA4" w14:textId="72061EE1" w:rsidR="00CC03F4" w:rsidRPr="00EE67A2" w:rsidRDefault="00CC03F4" w:rsidP="00CC03F4">
      <w:pPr>
        <w:pStyle w:val="Heading2"/>
        <w:numPr>
          <w:ilvl w:val="0"/>
          <w:numId w:val="29"/>
        </w:numPr>
        <w:rPr>
          <w:sz w:val="24"/>
          <w:szCs w:val="24"/>
        </w:rPr>
      </w:pPr>
      <w:bookmarkStart w:id="15" w:name="_Toc118731006"/>
      <w:r w:rsidRPr="00EE67A2">
        <w:rPr>
          <w:sz w:val="24"/>
          <w:szCs w:val="24"/>
        </w:rPr>
        <w:t>Repeal of 121.5 MHz and 243 MHz E</w:t>
      </w:r>
      <w:r>
        <w:rPr>
          <w:sz w:val="24"/>
          <w:szCs w:val="24"/>
        </w:rPr>
        <w:t>mergency Position Indicating Radio Beacons</w:t>
      </w:r>
      <w:r w:rsidRPr="00EE67A2">
        <w:rPr>
          <w:sz w:val="24"/>
          <w:szCs w:val="24"/>
        </w:rPr>
        <w:t xml:space="preserve"> </w:t>
      </w:r>
      <w:r w:rsidR="00AF12A8">
        <w:rPr>
          <w:sz w:val="24"/>
          <w:szCs w:val="24"/>
        </w:rPr>
        <w:t>S</w:t>
      </w:r>
      <w:r w:rsidRPr="00EE67A2">
        <w:rPr>
          <w:sz w:val="24"/>
          <w:szCs w:val="24"/>
        </w:rPr>
        <w:t>tandard</w:t>
      </w:r>
      <w:bookmarkEnd w:id="15"/>
    </w:p>
    <w:p w14:paraId="45491909" w14:textId="22FE91C5" w:rsidR="00CC03F4" w:rsidRDefault="00CC03F4" w:rsidP="00CC03F4">
      <w:pPr>
        <w:pStyle w:val="Paragraph"/>
      </w:pPr>
      <w:r>
        <w:t xml:space="preserve">The ACMA is proposing to repeal the </w:t>
      </w:r>
      <w:r w:rsidRPr="00D30BC6">
        <w:t>Radiocommunications (121.5 MHz and 243.0 MHz Emergency Position Indicating Radio Beacons) Standard 2014</w:t>
      </w:r>
      <w:r w:rsidRPr="00AF12A8">
        <w:t xml:space="preserve"> </w:t>
      </w:r>
      <w:r>
        <w:t xml:space="preserve">as 121.5 MHz </w:t>
      </w:r>
      <w:r w:rsidR="00592654">
        <w:lastRenderedPageBreak/>
        <w:t xml:space="preserve">and 243 MHz </w:t>
      </w:r>
      <w:r>
        <w:t>emergency position indicating radio beacons</w:t>
      </w:r>
      <w:r w:rsidR="00AF12A8">
        <w:t xml:space="preserve"> </w:t>
      </w:r>
      <w:r>
        <w:t xml:space="preserve">are no longer monitored by international satellites and no longer supplied </w:t>
      </w:r>
      <w:r w:rsidR="007B165F">
        <w:t xml:space="preserve">to </w:t>
      </w:r>
      <w:r>
        <w:t>the market.</w:t>
      </w:r>
    </w:p>
    <w:p w14:paraId="2D141636" w14:textId="7EDC2F04" w:rsidR="00533711" w:rsidRPr="00EE67A2" w:rsidRDefault="00533711" w:rsidP="00CC03F4">
      <w:pPr>
        <w:pStyle w:val="Heading2"/>
        <w:numPr>
          <w:ilvl w:val="0"/>
          <w:numId w:val="29"/>
        </w:numPr>
        <w:rPr>
          <w:sz w:val="24"/>
          <w:szCs w:val="24"/>
        </w:rPr>
      </w:pPr>
      <w:bookmarkStart w:id="16" w:name="_Toc118731007"/>
      <w:r w:rsidRPr="00EE67A2">
        <w:rPr>
          <w:sz w:val="24"/>
          <w:szCs w:val="24"/>
        </w:rPr>
        <w:t>Adopting further international standards</w:t>
      </w:r>
      <w:bookmarkEnd w:id="16"/>
      <w:r w:rsidRPr="00EE67A2">
        <w:rPr>
          <w:sz w:val="24"/>
          <w:szCs w:val="24"/>
        </w:rPr>
        <w:t xml:space="preserve"> </w:t>
      </w:r>
    </w:p>
    <w:p w14:paraId="213E170C" w14:textId="40C34490" w:rsidR="003F2A6F" w:rsidRPr="003F2A6F" w:rsidRDefault="003F2A6F" w:rsidP="00D30BC6">
      <w:pPr>
        <w:pStyle w:val="Paragraph"/>
      </w:pPr>
      <w:r>
        <w:rPr>
          <w:lang w:val="en-US"/>
        </w:rPr>
        <w:br/>
      </w:r>
      <w:r w:rsidR="00AF12A8">
        <w:rPr>
          <w:lang w:val="en-US"/>
        </w:rPr>
        <w:t xml:space="preserve">Our </w:t>
      </w:r>
      <w:r w:rsidRPr="003F2A6F">
        <w:rPr>
          <w:lang w:val="en-US"/>
        </w:rPr>
        <w:t xml:space="preserve">review of the 14 </w:t>
      </w:r>
      <w:r w:rsidR="00A50AEF">
        <w:rPr>
          <w:lang w:val="en-US"/>
        </w:rPr>
        <w:t>radiocommunications</w:t>
      </w:r>
      <w:r w:rsidRPr="003F2A6F">
        <w:rPr>
          <w:lang w:val="en-US"/>
        </w:rPr>
        <w:t xml:space="preserve"> mandatory technical standards sought to identify further international industry standards that c</w:t>
      </w:r>
      <w:r w:rsidR="00EE5C67">
        <w:rPr>
          <w:lang w:val="en-US"/>
        </w:rPr>
        <w:t>ould</w:t>
      </w:r>
      <w:r w:rsidRPr="003F2A6F">
        <w:rPr>
          <w:lang w:val="en-US"/>
        </w:rPr>
        <w:t xml:space="preserve"> be adopted to provide suppliers with greater flexibility to achieve compliance with technical performance requirements. </w:t>
      </w:r>
      <w:r w:rsidR="00DB7BB2">
        <w:rPr>
          <w:lang w:val="en-US"/>
        </w:rPr>
        <w:t>S</w:t>
      </w:r>
      <w:r w:rsidRPr="003F2A6F">
        <w:rPr>
          <w:lang w:val="en-US"/>
        </w:rPr>
        <w:t>uppliers</w:t>
      </w:r>
      <w:r w:rsidR="00DB7BB2">
        <w:rPr>
          <w:lang w:val="en-US"/>
        </w:rPr>
        <w:t xml:space="preserve"> that already comply with the international standard</w:t>
      </w:r>
      <w:r w:rsidR="009C703D">
        <w:rPr>
          <w:lang w:val="en-US"/>
        </w:rPr>
        <w:t>s</w:t>
      </w:r>
      <w:r w:rsidR="00DB7BB2">
        <w:rPr>
          <w:lang w:val="en-US"/>
        </w:rPr>
        <w:t xml:space="preserve"> in overseas markets will not have to test and document </w:t>
      </w:r>
      <w:r w:rsidR="00145D10">
        <w:rPr>
          <w:lang w:val="en-US"/>
        </w:rPr>
        <w:t>specifically for</w:t>
      </w:r>
      <w:r w:rsidR="00DB7BB2">
        <w:rPr>
          <w:lang w:val="en-US"/>
        </w:rPr>
        <w:t xml:space="preserve"> </w:t>
      </w:r>
      <w:r w:rsidR="00145D10">
        <w:rPr>
          <w:lang w:val="en-US"/>
        </w:rPr>
        <w:t xml:space="preserve">the </w:t>
      </w:r>
      <w:r w:rsidR="00DB7BB2">
        <w:rPr>
          <w:lang w:val="en-US"/>
        </w:rPr>
        <w:t>Australian standard</w:t>
      </w:r>
      <w:r w:rsidRPr="003F2A6F">
        <w:rPr>
          <w:lang w:val="en-US"/>
        </w:rPr>
        <w:t>.</w:t>
      </w:r>
    </w:p>
    <w:p w14:paraId="6606E180" w14:textId="7DC1DF9F" w:rsidR="003F2A6F" w:rsidRPr="003F2A6F" w:rsidRDefault="003F2A6F" w:rsidP="00D30BC6">
      <w:pPr>
        <w:pStyle w:val="Paragraph"/>
      </w:pPr>
      <w:r w:rsidRPr="003F2A6F">
        <w:rPr>
          <w:lang w:val="en-US"/>
        </w:rPr>
        <w:t>Allowing the use of international standards is consistent with Australia’s international obligations. As a member of the World Trade Organization, Australia is bound by the Technical Barriers to Trade Agreement</w:t>
      </w:r>
      <w:r w:rsidR="00F52D45">
        <w:rPr>
          <w:lang w:val="en-US"/>
        </w:rPr>
        <w:t>,</w:t>
      </w:r>
      <w:r w:rsidRPr="003F2A6F">
        <w:rPr>
          <w:rStyle w:val="FootnoteReference"/>
          <w:bCs/>
          <w:lang w:val="en-US"/>
        </w:rPr>
        <w:footnoteReference w:id="5"/>
      </w:r>
      <w:r w:rsidRPr="003F2A6F">
        <w:rPr>
          <w:lang w:val="en-US"/>
        </w:rPr>
        <w:t xml:space="preserve"> which seeks to remove unnecessary barriers to trade in the form of domestic specific technical restrictions which are not reasonably justifiable. </w:t>
      </w:r>
    </w:p>
    <w:p w14:paraId="60D973BF" w14:textId="00F6E078" w:rsidR="00CC03F4" w:rsidRDefault="00F52D45" w:rsidP="00D30BC6">
      <w:pPr>
        <w:pStyle w:val="Paragraph"/>
        <w:rPr>
          <w:lang w:val="en-US"/>
        </w:rPr>
      </w:pPr>
      <w:r>
        <w:rPr>
          <w:lang w:val="en-US"/>
        </w:rPr>
        <w:t xml:space="preserve">We have </w:t>
      </w:r>
      <w:r w:rsidR="003F2A6F" w:rsidRPr="003F2A6F">
        <w:rPr>
          <w:lang w:val="en-US"/>
        </w:rPr>
        <w:t xml:space="preserve">examined the regulatory arrangements of the European Commission, UK, </w:t>
      </w:r>
      <w:proofErr w:type="gramStart"/>
      <w:r w:rsidR="003F2A6F" w:rsidRPr="003F2A6F">
        <w:rPr>
          <w:lang w:val="en-US"/>
        </w:rPr>
        <w:t>USA</w:t>
      </w:r>
      <w:proofErr w:type="gramEnd"/>
      <w:r w:rsidR="003F2A6F" w:rsidRPr="003F2A6F">
        <w:rPr>
          <w:lang w:val="en-US"/>
        </w:rPr>
        <w:t xml:space="preserve"> and New Zealand and identified opportunities to adopt </w:t>
      </w:r>
      <w:r w:rsidR="0096782B">
        <w:rPr>
          <w:lang w:val="en-US"/>
        </w:rPr>
        <w:t>5</w:t>
      </w:r>
      <w:r w:rsidR="0096782B" w:rsidRPr="003F2A6F">
        <w:rPr>
          <w:lang w:val="en-US"/>
        </w:rPr>
        <w:t xml:space="preserve"> </w:t>
      </w:r>
      <w:r w:rsidR="003F2A6F" w:rsidRPr="003F2A6F">
        <w:rPr>
          <w:lang w:val="en-US"/>
        </w:rPr>
        <w:t xml:space="preserve">equivalent industry standards published by the European Telecommunications Standards Institute (ETSI) that may be used as an alternative to the existing Australian standards. </w:t>
      </w:r>
    </w:p>
    <w:p w14:paraId="3105E9E8" w14:textId="1A0E0721" w:rsidR="003F2A6F" w:rsidRPr="00CC03F4" w:rsidRDefault="0085194E" w:rsidP="00D30BC6">
      <w:pPr>
        <w:pStyle w:val="Paragraph"/>
        <w:rPr>
          <w:lang w:val="en-US"/>
        </w:rPr>
      </w:pPr>
      <w:r>
        <w:rPr>
          <w:lang w:val="en-US"/>
        </w:rPr>
        <w:t>The</w:t>
      </w:r>
      <w:r w:rsidR="009A62B0">
        <w:rPr>
          <w:lang w:val="en-US"/>
        </w:rPr>
        <w:t xml:space="preserve"> u</w:t>
      </w:r>
      <w:r>
        <w:rPr>
          <w:lang w:val="en-US"/>
        </w:rPr>
        <w:t xml:space="preserve">se </w:t>
      </w:r>
      <w:r w:rsidR="009A62B0">
        <w:rPr>
          <w:lang w:val="en-US"/>
        </w:rPr>
        <w:t>of</w:t>
      </w:r>
      <w:r>
        <w:rPr>
          <w:lang w:val="en-US"/>
        </w:rPr>
        <w:t xml:space="preserve"> ETSI standards </w:t>
      </w:r>
      <w:r w:rsidR="009A62B0">
        <w:rPr>
          <w:lang w:val="en-US"/>
        </w:rPr>
        <w:t>is consistent with t</w:t>
      </w:r>
      <w:r>
        <w:rPr>
          <w:lang w:val="en-US"/>
        </w:rPr>
        <w:t xml:space="preserve">he </w:t>
      </w:r>
      <w:r w:rsidRPr="003F2A6F">
        <w:rPr>
          <w:lang w:val="en-US"/>
        </w:rPr>
        <w:t xml:space="preserve">UK and New Zealand </w:t>
      </w:r>
      <w:r>
        <w:rPr>
          <w:lang w:val="en-US"/>
        </w:rPr>
        <w:t>regulatory arrangements</w:t>
      </w:r>
      <w:r w:rsidRPr="003F2A6F">
        <w:rPr>
          <w:lang w:val="en-US"/>
        </w:rPr>
        <w:t>.</w:t>
      </w:r>
      <w:r w:rsidR="00CC03F4">
        <w:rPr>
          <w:lang w:val="en-US"/>
        </w:rPr>
        <w:t xml:space="preserve"> </w:t>
      </w:r>
      <w:r w:rsidR="003F2A6F" w:rsidRPr="003F2A6F">
        <w:rPr>
          <w:lang w:val="en-US"/>
        </w:rPr>
        <w:t xml:space="preserve">The </w:t>
      </w:r>
      <w:r w:rsidR="0096782B">
        <w:rPr>
          <w:lang w:val="en-US"/>
        </w:rPr>
        <w:t xml:space="preserve">5 </w:t>
      </w:r>
      <w:r w:rsidR="003F2A6F" w:rsidRPr="003F2A6F">
        <w:rPr>
          <w:lang w:val="en-US"/>
        </w:rPr>
        <w:t xml:space="preserve">ETSI standards </w:t>
      </w:r>
      <w:r w:rsidR="003F2A6F">
        <w:rPr>
          <w:lang w:val="en-US"/>
        </w:rPr>
        <w:t xml:space="preserve">that are proposed to be adopted </w:t>
      </w:r>
      <w:r w:rsidR="003F2A6F" w:rsidRPr="003F2A6F">
        <w:rPr>
          <w:lang w:val="en-US"/>
        </w:rPr>
        <w:t xml:space="preserve">are listed in </w:t>
      </w:r>
      <w:hyperlink w:anchor="_Appendix_A:_Proposed" w:history="1">
        <w:r w:rsidR="003F2A6F" w:rsidRPr="00D30BC6">
          <w:rPr>
            <w:rStyle w:val="Hyperlink"/>
            <w:bCs/>
          </w:rPr>
          <w:t>Appendix A</w:t>
        </w:r>
      </w:hyperlink>
      <w:r w:rsidR="003F2A6F" w:rsidRPr="003F2A6F">
        <w:rPr>
          <w:lang w:val="en-US"/>
        </w:rPr>
        <w:t xml:space="preserve">. </w:t>
      </w:r>
    </w:p>
    <w:p w14:paraId="4AEB2D2A" w14:textId="21685174" w:rsidR="003F2A6F" w:rsidRPr="003F2A6F" w:rsidDel="000617D5" w:rsidRDefault="0096782B" w:rsidP="00D30BC6">
      <w:pPr>
        <w:pStyle w:val="Paragraph"/>
        <w:rPr>
          <w:lang w:val="en-US"/>
        </w:rPr>
      </w:pPr>
      <w:r>
        <w:rPr>
          <w:lang w:val="en-US"/>
        </w:rPr>
        <w:t>We note</w:t>
      </w:r>
      <w:r w:rsidR="003F2A6F" w:rsidRPr="003F2A6F">
        <w:rPr>
          <w:lang w:val="en-US"/>
        </w:rPr>
        <w:t xml:space="preserve"> that the Federal Communications Commission (FCC) rules in the USA </w:t>
      </w:r>
      <w:r w:rsidR="003F2A6F" w:rsidRPr="003F2A6F">
        <w:rPr>
          <w:bCs/>
          <w:lang w:val="en-US"/>
        </w:rPr>
        <w:t xml:space="preserve">currently </w:t>
      </w:r>
      <w:r w:rsidR="003F2A6F" w:rsidRPr="003F2A6F">
        <w:rPr>
          <w:lang w:val="en-US"/>
        </w:rPr>
        <w:t>only mandate transmitter and not receiver requirements</w:t>
      </w:r>
      <w:r w:rsidR="00EE5C67">
        <w:rPr>
          <w:lang w:val="en-US"/>
        </w:rPr>
        <w:t xml:space="preserve">. They </w:t>
      </w:r>
      <w:r w:rsidR="003F2A6F" w:rsidRPr="003F2A6F">
        <w:rPr>
          <w:lang w:val="en-US"/>
        </w:rPr>
        <w:t xml:space="preserve">are therefore different </w:t>
      </w:r>
      <w:r w:rsidR="00EE5C67">
        <w:rPr>
          <w:lang w:val="en-US"/>
        </w:rPr>
        <w:t>from</w:t>
      </w:r>
      <w:r w:rsidR="003F2A6F" w:rsidRPr="003F2A6F">
        <w:rPr>
          <w:lang w:val="en-US"/>
        </w:rPr>
        <w:t xml:space="preserve"> the standards from Standards Australia and ETSI. </w:t>
      </w:r>
      <w:r w:rsidR="003F2A6F" w:rsidRPr="003F2A6F" w:rsidDel="000617D5">
        <w:rPr>
          <w:lang w:val="en-US"/>
        </w:rPr>
        <w:t xml:space="preserve">The practical effect of </w:t>
      </w:r>
      <w:r w:rsidR="003F2A6F" w:rsidRPr="003F2A6F" w:rsidDel="000617D5">
        <w:rPr>
          <w:bCs/>
          <w:lang w:val="en-US"/>
        </w:rPr>
        <w:t>not</w:t>
      </w:r>
      <w:r w:rsidR="003F2A6F" w:rsidRPr="003F2A6F" w:rsidDel="000617D5">
        <w:rPr>
          <w:lang w:val="en-US"/>
        </w:rPr>
        <w:t xml:space="preserve"> specifying minimum receiver requirements is that the radio</w:t>
      </w:r>
      <w:r w:rsidR="00500B87">
        <w:rPr>
          <w:lang w:val="en-US"/>
        </w:rPr>
        <w:t>comm</w:t>
      </w:r>
      <w:r w:rsidR="002A6223">
        <w:rPr>
          <w:lang w:val="en-US"/>
        </w:rPr>
        <w:t>unications receiver</w:t>
      </w:r>
      <w:r w:rsidR="003F2A6F" w:rsidRPr="003F2A6F" w:rsidDel="000617D5">
        <w:rPr>
          <w:lang w:val="en-US"/>
        </w:rPr>
        <w:t xml:space="preserve"> may become </w:t>
      </w:r>
      <w:r w:rsidR="003F2A6F" w:rsidRPr="003F2A6F" w:rsidDel="000617D5">
        <w:rPr>
          <w:bCs/>
          <w:lang w:val="en-US"/>
        </w:rPr>
        <w:t xml:space="preserve">overwhelmed because it cannot </w:t>
      </w:r>
      <w:r w:rsidR="003F2A6F" w:rsidRPr="003F2A6F" w:rsidDel="000617D5">
        <w:rPr>
          <w:lang w:val="en-US"/>
        </w:rPr>
        <w:t xml:space="preserve">adequately discern </w:t>
      </w:r>
      <w:r w:rsidR="003F2A6F" w:rsidRPr="003F2A6F" w:rsidDel="000617D5">
        <w:rPr>
          <w:bCs/>
          <w:lang w:val="en-US"/>
        </w:rPr>
        <w:t>between the wanted and unwanted signal</w:t>
      </w:r>
      <w:r w:rsidR="003F2A6F" w:rsidRPr="003F2A6F">
        <w:rPr>
          <w:bCs/>
          <w:lang w:val="en-US"/>
        </w:rPr>
        <w:t>(</w:t>
      </w:r>
      <w:r w:rsidR="003F2A6F" w:rsidRPr="003F2A6F" w:rsidDel="000617D5">
        <w:rPr>
          <w:bCs/>
          <w:lang w:val="en-US"/>
        </w:rPr>
        <w:t>s</w:t>
      </w:r>
      <w:r w:rsidR="00FC433B">
        <w:rPr>
          <w:bCs/>
          <w:lang w:val="en-US"/>
        </w:rPr>
        <w:t>)</w:t>
      </w:r>
      <w:r w:rsidR="003F2A6F" w:rsidRPr="003F2A6F" w:rsidDel="000617D5">
        <w:rPr>
          <w:bCs/>
          <w:lang w:val="en-US"/>
        </w:rPr>
        <w:t>, adversely affecting its overall performance.</w:t>
      </w:r>
      <w:r w:rsidR="003F2A6F" w:rsidRPr="003F2A6F">
        <w:rPr>
          <w:bCs/>
          <w:lang w:val="en-US"/>
        </w:rPr>
        <w:t xml:space="preserve"> For this reason, </w:t>
      </w:r>
      <w:r>
        <w:rPr>
          <w:bCs/>
          <w:lang w:val="en-US"/>
        </w:rPr>
        <w:t xml:space="preserve">we </w:t>
      </w:r>
      <w:r w:rsidR="003F2A6F" w:rsidRPr="003F2A6F">
        <w:rPr>
          <w:bCs/>
          <w:lang w:val="en-US"/>
        </w:rPr>
        <w:t>do not propose adopting FCC rules.</w:t>
      </w:r>
    </w:p>
    <w:p w14:paraId="0081A770" w14:textId="526EE611" w:rsidR="00EE67A2" w:rsidRDefault="0040044E" w:rsidP="00EE67A2">
      <w:pPr>
        <w:pStyle w:val="Heading2"/>
        <w:rPr>
          <w:lang w:eastAsia="en-US"/>
        </w:rPr>
      </w:pPr>
      <w:bookmarkStart w:id="17" w:name="_Toc118731008"/>
      <w:r w:rsidRPr="0040044E">
        <w:rPr>
          <w:lang w:eastAsia="en-US"/>
        </w:rPr>
        <w:t xml:space="preserve">Remaking the </w:t>
      </w:r>
      <w:r w:rsidR="0096782B">
        <w:rPr>
          <w:lang w:eastAsia="en-US"/>
        </w:rPr>
        <w:t>p</w:t>
      </w:r>
      <w:r w:rsidRPr="0040044E">
        <w:rPr>
          <w:lang w:eastAsia="en-US"/>
        </w:rPr>
        <w:t xml:space="preserve">rotected </w:t>
      </w:r>
      <w:r w:rsidR="0096782B">
        <w:rPr>
          <w:lang w:eastAsia="en-US"/>
        </w:rPr>
        <w:t>s</w:t>
      </w:r>
      <w:r w:rsidRPr="0040044E">
        <w:rPr>
          <w:lang w:eastAsia="en-US"/>
        </w:rPr>
        <w:t xml:space="preserve">ymbols </w:t>
      </w:r>
      <w:r w:rsidR="0096782B">
        <w:rPr>
          <w:lang w:eastAsia="en-US"/>
        </w:rPr>
        <w:t>d</w:t>
      </w:r>
      <w:r w:rsidRPr="0040044E">
        <w:rPr>
          <w:lang w:eastAsia="en-US"/>
        </w:rPr>
        <w:t>etermination</w:t>
      </w:r>
      <w:bookmarkEnd w:id="17"/>
      <w:r w:rsidRPr="0040044E">
        <w:rPr>
          <w:lang w:eastAsia="en-US"/>
        </w:rPr>
        <w:t xml:space="preserve"> </w:t>
      </w:r>
    </w:p>
    <w:p w14:paraId="6E7FB1F8" w14:textId="647F7A7E" w:rsidR="005E1D8E" w:rsidRDefault="0040044E" w:rsidP="0040044E">
      <w:pPr>
        <w:pStyle w:val="Paragraph"/>
      </w:pPr>
      <w:r>
        <w:t>The ACMA is proposing to make the</w:t>
      </w:r>
      <w:r w:rsidR="006457C8">
        <w:t xml:space="preserve"> </w:t>
      </w:r>
      <w:r w:rsidR="006457C8" w:rsidRPr="00D30BC6">
        <w:t>Communications Legislation</w:t>
      </w:r>
      <w:r w:rsidRPr="00D30BC6">
        <w:t xml:space="preserve"> </w:t>
      </w:r>
      <w:r w:rsidR="006457C8" w:rsidRPr="00D30BC6">
        <w:t>(</w:t>
      </w:r>
      <w:r w:rsidRPr="00D30BC6">
        <w:t>Protected Symbols</w:t>
      </w:r>
      <w:r w:rsidR="006457C8" w:rsidRPr="00D30BC6">
        <w:t>)</w:t>
      </w:r>
      <w:r w:rsidRPr="00D30BC6">
        <w:t xml:space="preserve"> Determination 20</w:t>
      </w:r>
      <w:r w:rsidR="005E1D8E" w:rsidRPr="00D30BC6">
        <w:t>23</w:t>
      </w:r>
      <w:r>
        <w:t xml:space="preserve"> to preserve the effect of the </w:t>
      </w:r>
      <w:r w:rsidR="00FF1AE5">
        <w:t>d</w:t>
      </w:r>
      <w:r w:rsidR="003721D4">
        <w:t>etermination</w:t>
      </w:r>
      <w:r>
        <w:t xml:space="preserve"> that is sunsetting on </w:t>
      </w:r>
      <w:r w:rsidR="00FF1AE5">
        <w:br/>
      </w:r>
      <w:r>
        <w:t xml:space="preserve">1 April 2023. </w:t>
      </w:r>
    </w:p>
    <w:p w14:paraId="3C344987" w14:textId="78C40051" w:rsidR="00922758" w:rsidRDefault="00922758" w:rsidP="00922758">
      <w:pPr>
        <w:pStyle w:val="Paragraph"/>
      </w:pPr>
      <w:r>
        <w:t xml:space="preserve">The only proposed change to the current </w:t>
      </w:r>
      <w:r w:rsidR="00AC37E3">
        <w:t>d</w:t>
      </w:r>
      <w:r>
        <w:t xml:space="preserve">etermination is to remove the A-Tick and </w:t>
      </w:r>
      <w:r w:rsidR="00AC37E3">
        <w:br/>
      </w:r>
      <w:r>
        <w:t xml:space="preserve">C-Tick </w:t>
      </w:r>
      <w:r w:rsidR="00AC37E3">
        <w:t>m</w:t>
      </w:r>
      <w:r>
        <w:t xml:space="preserve">arks as protected symbols. </w:t>
      </w:r>
      <w:r w:rsidRPr="005C1C5F">
        <w:t>In 2013</w:t>
      </w:r>
      <w:r w:rsidR="00AC37E3">
        <w:t>,</w:t>
      </w:r>
      <w:r w:rsidRPr="005C1C5F">
        <w:t xml:space="preserve"> the</w:t>
      </w:r>
      <w:r>
        <w:t xml:space="preserve"> A-tick</w:t>
      </w:r>
      <w:r w:rsidR="009F3CF8">
        <w:t xml:space="preserve"> </w:t>
      </w:r>
      <w:r>
        <w:t>and C-Tick</w:t>
      </w:r>
      <w:r w:rsidRPr="005C1C5F">
        <w:t xml:space="preserve"> were consolidated into a single compliance mark – the RCM. There was a </w:t>
      </w:r>
      <w:r w:rsidR="00AC37E3">
        <w:t>3</w:t>
      </w:r>
      <w:r w:rsidRPr="005C1C5F">
        <w:t xml:space="preserve">-year transition period </w:t>
      </w:r>
      <w:r w:rsidR="002F55DF">
        <w:t>that</w:t>
      </w:r>
      <w:r w:rsidR="002F55DF" w:rsidRPr="005C1C5F">
        <w:t xml:space="preserve"> </w:t>
      </w:r>
      <w:r w:rsidRPr="005C1C5F">
        <w:t>ended in February 2016</w:t>
      </w:r>
      <w:r w:rsidR="002F55DF">
        <w:t>,</w:t>
      </w:r>
      <w:r>
        <w:t xml:space="preserve"> and suppliers are now only permitted to use the RCM for newly supplied equipment.</w:t>
      </w:r>
      <w:r w:rsidRPr="00483641">
        <w:t xml:space="preserve"> </w:t>
      </w:r>
      <w:r w:rsidR="002F55DF">
        <w:t>We</w:t>
      </w:r>
      <w:r w:rsidRPr="00483641">
        <w:t xml:space="preserve"> propose </w:t>
      </w:r>
      <w:r w:rsidR="002F55DF">
        <w:t xml:space="preserve">that </w:t>
      </w:r>
      <w:r w:rsidRPr="00483641">
        <w:t>the continued use of th</w:t>
      </w:r>
      <w:r>
        <w:t xml:space="preserve">e A-Tick and </w:t>
      </w:r>
      <w:r w:rsidR="002F55DF">
        <w:br/>
      </w:r>
      <w:r>
        <w:t xml:space="preserve">C-Tick </w:t>
      </w:r>
      <w:r w:rsidR="002F55DF">
        <w:t>m</w:t>
      </w:r>
      <w:r>
        <w:t>arks</w:t>
      </w:r>
      <w:r w:rsidRPr="00483641">
        <w:t xml:space="preserve"> for pre-2016 stock </w:t>
      </w:r>
      <w:r w:rsidR="002F55DF">
        <w:t>that</w:t>
      </w:r>
      <w:r w:rsidR="002F55DF" w:rsidRPr="00483641">
        <w:t xml:space="preserve"> </w:t>
      </w:r>
      <w:r w:rsidRPr="00483641">
        <w:t xml:space="preserve">is on hand will be enabled by transitional provisions in </w:t>
      </w:r>
      <w:r>
        <w:t xml:space="preserve">proposed </w:t>
      </w:r>
      <w:r w:rsidRPr="00483641">
        <w:t>Schedule 3 to the General Equipment Rules</w:t>
      </w:r>
      <w:r>
        <w:t>.</w:t>
      </w:r>
    </w:p>
    <w:p w14:paraId="304B83CA" w14:textId="00E1078F" w:rsidR="0040044E" w:rsidRDefault="0040044E" w:rsidP="0040044E">
      <w:pPr>
        <w:pStyle w:val="Paragraph"/>
      </w:pPr>
      <w:r>
        <w:t xml:space="preserve">The RCM would continue to remain as a protected symbol for complying with labelling requirements under the Act and </w:t>
      </w:r>
      <w:r w:rsidR="00F87F67">
        <w:t xml:space="preserve">the </w:t>
      </w:r>
      <w:r w:rsidRPr="00D30BC6">
        <w:rPr>
          <w:iCs/>
        </w:rPr>
        <w:t>Telecommunications Act</w:t>
      </w:r>
      <w:r w:rsidRPr="00686E00">
        <w:rPr>
          <w:iCs/>
        </w:rPr>
        <w:t>.</w:t>
      </w:r>
    </w:p>
    <w:p w14:paraId="161107C9" w14:textId="0BEFE89F" w:rsidR="00E44DFC" w:rsidRDefault="00E44DFC">
      <w:pPr>
        <w:spacing w:after="0" w:line="240" w:lineRule="auto"/>
        <w:rPr>
          <w:rFonts w:cs="Arial"/>
        </w:rPr>
      </w:pPr>
    </w:p>
    <w:p w14:paraId="181DD997" w14:textId="77777777" w:rsidR="0040044E" w:rsidRDefault="0040044E" w:rsidP="0040044E">
      <w:pPr>
        <w:pStyle w:val="Paragraph"/>
      </w:pPr>
    </w:p>
    <w:p w14:paraId="094B2769" w14:textId="1703A20D" w:rsidR="0040044E" w:rsidRPr="0040044E" w:rsidRDefault="0040044E" w:rsidP="00CD2F74">
      <w:pPr>
        <w:pStyle w:val="Heading2"/>
        <w:rPr>
          <w:lang w:eastAsia="en-US"/>
        </w:rPr>
      </w:pPr>
      <w:bookmarkStart w:id="18" w:name="_Toc118731009"/>
      <w:r w:rsidRPr="0040044E">
        <w:rPr>
          <w:lang w:eastAsia="en-US"/>
        </w:rPr>
        <w:t>Amending the EME test method in the General Equipment Rules</w:t>
      </w:r>
      <w:bookmarkEnd w:id="18"/>
    </w:p>
    <w:p w14:paraId="7A70BECA" w14:textId="32DB7A91" w:rsidR="0085194E" w:rsidRDefault="0064116F" w:rsidP="00E44DFC">
      <w:pPr>
        <w:pStyle w:val="Paragraph"/>
        <w:keepNext/>
      </w:pPr>
      <w:r>
        <w:t xml:space="preserve">We </w:t>
      </w:r>
      <w:r w:rsidR="005E1D8E" w:rsidRPr="005E1D8E">
        <w:t xml:space="preserve">propose that the </w:t>
      </w:r>
      <w:r w:rsidR="005E1D8E">
        <w:t xml:space="preserve">recently published </w:t>
      </w:r>
      <w:r w:rsidR="005E1D8E" w:rsidRPr="005E1D8E">
        <w:t>EME test method standard</w:t>
      </w:r>
      <w:r w:rsidR="00F87F67">
        <w:t>s</w:t>
      </w:r>
      <w:r w:rsidR="005E1D8E" w:rsidRPr="005E1D8E">
        <w:t xml:space="preserve"> </w:t>
      </w:r>
      <w:r w:rsidR="00D37CDF">
        <w:t>(</w:t>
      </w:r>
      <w:r w:rsidR="005E1D8E" w:rsidRPr="005E1D8E">
        <w:t>IEC/IEEE 63195</w:t>
      </w:r>
      <w:r w:rsidR="00C34F6D">
        <w:t>-1</w:t>
      </w:r>
      <w:r w:rsidR="005E1D8E" w:rsidRPr="005E1D8E">
        <w:t>:2022</w:t>
      </w:r>
      <w:r w:rsidR="00E805EE">
        <w:t xml:space="preserve"> and </w:t>
      </w:r>
      <w:r w:rsidR="00E805EE" w:rsidRPr="005E1D8E">
        <w:t xml:space="preserve">IEC/IEEE </w:t>
      </w:r>
      <w:r w:rsidR="00E805EE">
        <w:t>63195</w:t>
      </w:r>
      <w:r w:rsidR="00C34F6D">
        <w:t>-2</w:t>
      </w:r>
      <w:r w:rsidR="00E805EE">
        <w:t>:2022</w:t>
      </w:r>
      <w:r w:rsidR="00D37CDF">
        <w:t>)</w:t>
      </w:r>
      <w:r w:rsidR="00E805EE">
        <w:t xml:space="preserve"> </w:t>
      </w:r>
      <w:r w:rsidR="005E1D8E" w:rsidRPr="005E1D8E">
        <w:t>be adopted</w:t>
      </w:r>
      <w:r w:rsidR="005E1D8E">
        <w:t xml:space="preserve"> in Schedule 4</w:t>
      </w:r>
      <w:r w:rsidR="00CD530A">
        <w:t xml:space="preserve"> to </w:t>
      </w:r>
      <w:r w:rsidR="005E1D8E">
        <w:t>the General Equipment Rules</w:t>
      </w:r>
      <w:r w:rsidR="005E1D8E" w:rsidRPr="005E1D8E">
        <w:t xml:space="preserve">. </w:t>
      </w:r>
    </w:p>
    <w:p w14:paraId="6D5916F8" w14:textId="28F9D5CF" w:rsidR="0085194E" w:rsidRDefault="0085194E" w:rsidP="0040044E">
      <w:pPr>
        <w:pStyle w:val="Paragraph"/>
      </w:pPr>
      <w:r>
        <w:t xml:space="preserve">Schedule 4 </w:t>
      </w:r>
      <w:r w:rsidR="00CD530A">
        <w:t xml:space="preserve">to </w:t>
      </w:r>
      <w:r>
        <w:t xml:space="preserve">the General Equipment Rules will be amended to replace the interim test method </w:t>
      </w:r>
      <w:r w:rsidRPr="00D26863">
        <w:t>IEC TR 63170</w:t>
      </w:r>
      <w:r>
        <w:t xml:space="preserve"> with </w:t>
      </w:r>
      <w:r w:rsidRPr="005E1D8E">
        <w:t>IEC/IEEE 63195</w:t>
      </w:r>
      <w:r w:rsidR="00C34F6D">
        <w:t>-1</w:t>
      </w:r>
      <w:r w:rsidRPr="005E1D8E">
        <w:t>:2022</w:t>
      </w:r>
      <w:r>
        <w:t xml:space="preserve"> and </w:t>
      </w:r>
      <w:r w:rsidRPr="005E1D8E">
        <w:t xml:space="preserve">IEC/IEEE </w:t>
      </w:r>
      <w:r>
        <w:t>63195</w:t>
      </w:r>
      <w:r w:rsidR="00C34F6D">
        <w:t>-2</w:t>
      </w:r>
      <w:r>
        <w:t>:2022.</w:t>
      </w:r>
    </w:p>
    <w:p w14:paraId="769C65FC" w14:textId="1C79B590" w:rsidR="00294B36" w:rsidRDefault="005E1D8E" w:rsidP="0040044E">
      <w:pPr>
        <w:pStyle w:val="Paragraph"/>
      </w:pPr>
      <w:r w:rsidRPr="005E1D8E">
        <w:t>Th</w:t>
      </w:r>
      <w:r w:rsidR="0085194E">
        <w:t>is proposed amendment will allow</w:t>
      </w:r>
      <w:r w:rsidRPr="005E1D8E">
        <w:t xml:space="preserve"> suppliers to use both computational methods and physical measurements to determine compliance with ARPANSA’s EME limits </w:t>
      </w:r>
      <w:r w:rsidR="00C34F6D">
        <w:t xml:space="preserve">for transmitters operating </w:t>
      </w:r>
      <w:r>
        <w:t>above 6 GH</w:t>
      </w:r>
      <w:r w:rsidR="00F87F67">
        <w:t>z</w:t>
      </w:r>
      <w:r>
        <w:t xml:space="preserve">. </w:t>
      </w:r>
      <w:r w:rsidR="0085194E">
        <w:t>Under</w:t>
      </w:r>
      <w:r w:rsidR="0040044E">
        <w:t xml:space="preserve"> </w:t>
      </w:r>
      <w:r>
        <w:t xml:space="preserve">the interim test method </w:t>
      </w:r>
      <w:r w:rsidRPr="00D26863">
        <w:t>IEC TR 63170</w:t>
      </w:r>
      <w:r w:rsidR="00C71429">
        <w:t>,</w:t>
      </w:r>
      <w:r w:rsidR="0085194E">
        <w:t xml:space="preserve"> suppliers are</w:t>
      </w:r>
      <w:r>
        <w:t xml:space="preserve"> only permitted</w:t>
      </w:r>
      <w:r w:rsidR="0085194E">
        <w:t xml:space="preserve"> to use</w:t>
      </w:r>
      <w:r>
        <w:t xml:space="preserve"> physical measurements</w:t>
      </w:r>
      <w:r w:rsidR="00E805EE">
        <w:t xml:space="preserve"> </w:t>
      </w:r>
      <w:r w:rsidR="00E805EE" w:rsidRPr="00E805EE">
        <w:t>to determine compliance with ARPANSA’s EME limits</w:t>
      </w:r>
      <w:r w:rsidR="00E805EE">
        <w:t>.</w:t>
      </w:r>
    </w:p>
    <w:p w14:paraId="0D883BE0" w14:textId="3406DFAA" w:rsidR="0040044E" w:rsidRPr="0040044E" w:rsidRDefault="0040044E" w:rsidP="00CD2F74">
      <w:pPr>
        <w:pStyle w:val="Heading2"/>
        <w:rPr>
          <w:lang w:eastAsia="en-US"/>
        </w:rPr>
      </w:pPr>
      <w:bookmarkStart w:id="19" w:name="_Toc118731010"/>
      <w:r w:rsidRPr="0040044E">
        <w:rPr>
          <w:lang w:eastAsia="en-US"/>
        </w:rPr>
        <w:t>Significant event provision</w:t>
      </w:r>
      <w:r w:rsidR="007F7791">
        <w:rPr>
          <w:lang w:eastAsia="en-US"/>
        </w:rPr>
        <w:t>s</w:t>
      </w:r>
      <w:bookmarkEnd w:id="19"/>
    </w:p>
    <w:p w14:paraId="1DE0065F" w14:textId="795E165E" w:rsidR="00B25108" w:rsidRDefault="00E0035C" w:rsidP="00D30BC6">
      <w:pPr>
        <w:pStyle w:val="Paragraphbeforelist"/>
      </w:pPr>
      <w:r>
        <w:t xml:space="preserve">We </w:t>
      </w:r>
      <w:r w:rsidR="0085194E">
        <w:t>propose t</w:t>
      </w:r>
      <w:r w:rsidR="00C34F6D">
        <w:t>o</w:t>
      </w:r>
      <w:r w:rsidR="0085194E">
        <w:t xml:space="preserve"> amend the significant event provision in</w:t>
      </w:r>
      <w:r w:rsidR="00B25108">
        <w:t>:</w:t>
      </w:r>
    </w:p>
    <w:p w14:paraId="60AEEAD4" w14:textId="4E99D161" w:rsidR="00B25108" w:rsidRDefault="0085194E" w:rsidP="00B25108">
      <w:pPr>
        <w:pStyle w:val="Bulletlevel1"/>
      </w:pPr>
      <w:r>
        <w:t xml:space="preserve">13 ACMA </w:t>
      </w:r>
      <w:r w:rsidR="00605B61">
        <w:t xml:space="preserve">radiocommunications </w:t>
      </w:r>
      <w:r>
        <w:t>mandatory technical</w:t>
      </w:r>
      <w:r w:rsidR="0040044E">
        <w:t xml:space="preserve"> standards</w:t>
      </w:r>
    </w:p>
    <w:p w14:paraId="4F248419" w14:textId="3AFA7E90" w:rsidR="00B25108" w:rsidRDefault="006F2C45" w:rsidP="00B25108">
      <w:pPr>
        <w:pStyle w:val="Bulletlevel1"/>
      </w:pPr>
      <w:r>
        <w:t xml:space="preserve">the </w:t>
      </w:r>
      <w:r w:rsidRPr="00D30BC6">
        <w:t>Radiocommunications (Low Interference Potential Devices) Class Licence 2015</w:t>
      </w:r>
    </w:p>
    <w:p w14:paraId="2CBF92AF" w14:textId="5444FAB3" w:rsidR="00B25108" w:rsidRDefault="0040044E" w:rsidP="00B25108">
      <w:pPr>
        <w:pStyle w:val="Bulletlevel1"/>
      </w:pPr>
      <w:r>
        <w:t xml:space="preserve">the </w:t>
      </w:r>
      <w:r w:rsidRPr="00D30BC6">
        <w:t>Telecommunications (Labelling Notice for Customer Equipment and Customer Cabling) Instrument 2015</w:t>
      </w:r>
    </w:p>
    <w:p w14:paraId="52DB9588" w14:textId="7552824F" w:rsidR="00B25108" w:rsidRDefault="00B940C2" w:rsidP="00D30BC6">
      <w:pPr>
        <w:pStyle w:val="Bulletlevel1last"/>
      </w:pPr>
      <w:r>
        <w:t xml:space="preserve">the </w:t>
      </w:r>
      <w:r w:rsidR="0040044E" w:rsidRPr="00D30BC6">
        <w:t>Telecommunications (Types of Cabling Work) Declaration 2013</w:t>
      </w:r>
      <w:r w:rsidR="0040044E" w:rsidRPr="00B25108">
        <w:t>.</w:t>
      </w:r>
      <w:r w:rsidR="00470EB2" w:rsidRPr="00B25108">
        <w:t xml:space="preserve"> </w:t>
      </w:r>
    </w:p>
    <w:p w14:paraId="2EAF31DD" w14:textId="7DE199F0" w:rsidR="0085194E" w:rsidRDefault="009219C3">
      <w:pPr>
        <w:pStyle w:val="Paragraph"/>
      </w:pPr>
      <w:r>
        <w:t>T</w:t>
      </w:r>
      <w:r w:rsidR="00470EB2">
        <w:t>he power to declare a significant event</w:t>
      </w:r>
      <w:r w:rsidR="00883312">
        <w:t xml:space="preserve"> </w:t>
      </w:r>
      <w:r w:rsidR="00AF0963">
        <w:t xml:space="preserve">under </w:t>
      </w:r>
      <w:r w:rsidR="00ED2868">
        <w:t xml:space="preserve">each of </w:t>
      </w:r>
      <w:r w:rsidR="00AF0963">
        <w:t xml:space="preserve">those provisions </w:t>
      </w:r>
      <w:r w:rsidR="00470EB2">
        <w:t>is conferred only on the Chair of the ACMA and is not delegable.</w:t>
      </w:r>
      <w:r w:rsidR="0040044E">
        <w:t xml:space="preserve">  </w:t>
      </w:r>
    </w:p>
    <w:p w14:paraId="6FB4A963" w14:textId="170B67AE" w:rsidR="00012C77" w:rsidRPr="00E162C4" w:rsidRDefault="00012C77" w:rsidP="00012C77">
      <w:pPr>
        <w:pStyle w:val="Paragraph"/>
      </w:pPr>
      <w:r>
        <w:t xml:space="preserve">The proposed amendment will allow the power to be delegated to an ACMA member </w:t>
      </w:r>
      <w:r w:rsidR="007E6B0B">
        <w:t xml:space="preserve">or ACMA staff member </w:t>
      </w:r>
      <w:r>
        <w:t xml:space="preserve">under the </w:t>
      </w:r>
      <w:r w:rsidRPr="00012C77">
        <w:rPr>
          <w:i/>
          <w:iCs/>
        </w:rPr>
        <w:t>Australian Communications and Media Authority Act</w:t>
      </w:r>
      <w:r>
        <w:t xml:space="preserve"> </w:t>
      </w:r>
      <w:r w:rsidRPr="00D30BC6">
        <w:rPr>
          <w:i/>
          <w:iCs/>
        </w:rPr>
        <w:t>2005</w:t>
      </w:r>
      <w:r>
        <w:t xml:space="preserve">. </w:t>
      </w:r>
    </w:p>
    <w:p w14:paraId="3E6DB3C7" w14:textId="3C87BCE7" w:rsidR="0040044E" w:rsidRDefault="00012C77" w:rsidP="0040044E">
      <w:pPr>
        <w:pStyle w:val="Paragraph"/>
      </w:pPr>
      <w:r>
        <w:t>The proposed</w:t>
      </w:r>
      <w:r w:rsidR="0040044E">
        <w:t xml:space="preserve"> amendment </w:t>
      </w:r>
      <w:r>
        <w:t>will</w:t>
      </w:r>
      <w:r w:rsidR="0040044E">
        <w:t xml:space="preserve"> enable the ACMA to</w:t>
      </w:r>
      <w:r>
        <w:t xml:space="preserve"> have greater flexibility to</w:t>
      </w:r>
      <w:r w:rsidR="0040044E">
        <w:t xml:space="preserve"> administer the significant event provisions</w:t>
      </w:r>
      <w:r>
        <w:t xml:space="preserve"> under the relevant legislative instruments.</w:t>
      </w:r>
      <w:r w:rsidR="0040044E">
        <w:t xml:space="preserve"> </w:t>
      </w:r>
    </w:p>
    <w:p w14:paraId="52C3F708" w14:textId="77777777" w:rsidR="006C1631" w:rsidRPr="00E162C4" w:rsidRDefault="006C1631" w:rsidP="006C1631">
      <w:pPr>
        <w:pStyle w:val="Heading1"/>
      </w:pPr>
      <w:bookmarkStart w:id="20" w:name="_Toc92265098"/>
      <w:bookmarkStart w:id="21" w:name="_Toc118731011"/>
      <w:r w:rsidRPr="00E162C4">
        <w:lastRenderedPageBreak/>
        <w:t>Invitation to comment</w:t>
      </w:r>
      <w:bookmarkEnd w:id="20"/>
      <w:bookmarkEnd w:id="21"/>
    </w:p>
    <w:p w14:paraId="42E8C3B3" w14:textId="77777777" w:rsidR="006C1631" w:rsidRPr="00E162C4" w:rsidRDefault="006C1631" w:rsidP="006C1631">
      <w:pPr>
        <w:pStyle w:val="Heading2"/>
      </w:pPr>
      <w:bookmarkStart w:id="22" w:name="_Toc433122131"/>
      <w:bookmarkStart w:id="23" w:name="_Toc348105637"/>
      <w:bookmarkStart w:id="24" w:name="_Toc300909556"/>
      <w:bookmarkStart w:id="25" w:name="_Toc298924673"/>
      <w:bookmarkStart w:id="26" w:name="_Toc92265099"/>
      <w:bookmarkStart w:id="27" w:name="_Toc118731012"/>
      <w:bookmarkStart w:id="28" w:name="_Toc348105638"/>
      <w:bookmarkStart w:id="29" w:name="_Toc300909557"/>
      <w:bookmarkStart w:id="30" w:name="_Toc298924674"/>
      <w:bookmarkStart w:id="31" w:name="_Toc274296357"/>
      <w:r w:rsidRPr="00E162C4">
        <w:t>Making a submission</w:t>
      </w:r>
      <w:bookmarkEnd w:id="22"/>
      <w:bookmarkEnd w:id="23"/>
      <w:bookmarkEnd w:id="24"/>
      <w:bookmarkEnd w:id="25"/>
      <w:bookmarkEnd w:id="26"/>
      <w:bookmarkEnd w:id="27"/>
    </w:p>
    <w:p w14:paraId="76A8830A" w14:textId="78AE2CF8" w:rsidR="006C1631" w:rsidRPr="00E162C4" w:rsidRDefault="006C5FD4" w:rsidP="006C1631">
      <w:r w:rsidRPr="00E162C4">
        <w:t>We</w:t>
      </w:r>
      <w:r w:rsidR="006C1631" w:rsidRPr="00E162C4">
        <w:t xml:space="preserve"> invite comments on the issues set out in this </w:t>
      </w:r>
      <w:r w:rsidR="00161380">
        <w:t>consultatio</w:t>
      </w:r>
      <w:r w:rsidR="00161380" w:rsidRPr="00E162C4">
        <w:t xml:space="preserve">n </w:t>
      </w:r>
      <w:r w:rsidR="006C1631" w:rsidRPr="00E162C4">
        <w:t xml:space="preserve">paper. </w:t>
      </w:r>
    </w:p>
    <w:p w14:paraId="39B80EBE" w14:textId="77777777" w:rsidR="0070133D" w:rsidRPr="00E162C4" w:rsidRDefault="007B4D70" w:rsidP="0070133D">
      <w:pPr>
        <w:pStyle w:val="Bulletlevel1"/>
      </w:pPr>
      <w:hyperlink r:id="rId23" w:history="1">
        <w:r w:rsidR="0070133D" w:rsidRPr="00E162C4">
          <w:rPr>
            <w:rStyle w:val="Hyperlink"/>
          </w:rPr>
          <w:t>Online submissions</w:t>
        </w:r>
      </w:hyperlink>
      <w:r w:rsidR="0070133D" w:rsidRPr="00E162C4">
        <w:t xml:space="preserve"> can be made by uploading a document. Submissions in</w:t>
      </w:r>
      <w:r w:rsidR="00396DC2" w:rsidRPr="00E162C4">
        <w:t xml:space="preserve"> PDF, </w:t>
      </w:r>
      <w:r w:rsidR="0070133D" w:rsidRPr="00E162C4">
        <w:t>Microsoft Word or Rich Text Format are preferred.</w:t>
      </w:r>
    </w:p>
    <w:p w14:paraId="651A6F74" w14:textId="77777777" w:rsidR="006C1631" w:rsidRPr="00E162C4" w:rsidRDefault="006C1631" w:rsidP="0070133D">
      <w:pPr>
        <w:pStyle w:val="Bulletlevel1"/>
      </w:pPr>
      <w:r w:rsidRPr="00E162C4">
        <w:t xml:space="preserve">Submissions by post can be sent to: </w:t>
      </w:r>
    </w:p>
    <w:p w14:paraId="4232AC94" w14:textId="77777777" w:rsidR="006C1631" w:rsidRPr="004F0496" w:rsidRDefault="006C1631" w:rsidP="006C1631">
      <w:pPr>
        <w:tabs>
          <w:tab w:val="num" w:pos="295"/>
        </w:tabs>
        <w:spacing w:after="0"/>
        <w:ind w:left="295"/>
        <w:rPr>
          <w:szCs w:val="20"/>
        </w:rPr>
      </w:pPr>
      <w:r w:rsidRPr="004F0496">
        <w:rPr>
          <w:szCs w:val="20"/>
        </w:rPr>
        <w:t>The Manager</w:t>
      </w:r>
    </w:p>
    <w:p w14:paraId="2D1371C6" w14:textId="7878171D" w:rsidR="006C1631" w:rsidRPr="004F0496" w:rsidRDefault="004F0496" w:rsidP="006C1631">
      <w:pPr>
        <w:spacing w:after="0"/>
        <w:ind w:left="295"/>
        <w:rPr>
          <w:szCs w:val="20"/>
        </w:rPr>
      </w:pPr>
      <w:r>
        <w:rPr>
          <w:szCs w:val="20"/>
        </w:rPr>
        <w:t>Infrastructure and Equipment Safeguards Section</w:t>
      </w:r>
    </w:p>
    <w:p w14:paraId="5E0081C2" w14:textId="77777777" w:rsidR="006C1631" w:rsidRPr="004F0496" w:rsidRDefault="006C1631" w:rsidP="006C1631">
      <w:pPr>
        <w:spacing w:after="0"/>
        <w:ind w:left="295"/>
        <w:rPr>
          <w:szCs w:val="20"/>
        </w:rPr>
      </w:pPr>
      <w:r w:rsidRPr="004F0496">
        <w:rPr>
          <w:szCs w:val="20"/>
        </w:rPr>
        <w:t>Australian Communications and Media Authority</w:t>
      </w:r>
    </w:p>
    <w:p w14:paraId="547EDE98" w14:textId="01CA0E94" w:rsidR="006C1631" w:rsidRPr="004F0496" w:rsidRDefault="006C1631" w:rsidP="006C1631">
      <w:pPr>
        <w:spacing w:after="0"/>
        <w:ind w:left="295"/>
        <w:rPr>
          <w:szCs w:val="20"/>
        </w:rPr>
      </w:pPr>
      <w:r w:rsidRPr="004F0496">
        <w:rPr>
          <w:szCs w:val="20"/>
        </w:rPr>
        <w:t>PO Bo</w:t>
      </w:r>
      <w:r w:rsidR="009B7C9C">
        <w:rPr>
          <w:szCs w:val="20"/>
        </w:rPr>
        <w:t xml:space="preserve">x </w:t>
      </w:r>
      <w:r w:rsidR="00D02487">
        <w:rPr>
          <w:szCs w:val="20"/>
        </w:rPr>
        <w:t>13112 Law Courts</w:t>
      </w:r>
    </w:p>
    <w:p w14:paraId="222E555F" w14:textId="4822ECC6" w:rsidR="006C1631" w:rsidRPr="00E162C4" w:rsidRDefault="00D02487" w:rsidP="006C1631">
      <w:pPr>
        <w:ind w:left="295"/>
        <w:rPr>
          <w:szCs w:val="20"/>
        </w:rPr>
      </w:pPr>
      <w:r>
        <w:rPr>
          <w:szCs w:val="20"/>
        </w:rPr>
        <w:t>Melbourne Victoria 8010</w:t>
      </w:r>
    </w:p>
    <w:p w14:paraId="668DE36B" w14:textId="1A5A9FE0" w:rsidR="006C1631" w:rsidRPr="00E162C4" w:rsidRDefault="006C1631" w:rsidP="006C1631">
      <w:r w:rsidRPr="00E162C4">
        <w:t xml:space="preserve">The closing date for submissions is </w:t>
      </w:r>
      <w:r w:rsidRPr="00D30BC6">
        <w:rPr>
          <w:b/>
          <w:bCs/>
        </w:rPr>
        <w:t>COB</w:t>
      </w:r>
      <w:r w:rsidRPr="00E162C4">
        <w:t xml:space="preserve">, </w:t>
      </w:r>
      <w:r w:rsidR="00D30BC6">
        <w:rPr>
          <w:b/>
          <w:bCs/>
        </w:rPr>
        <w:t>15 December 2022</w:t>
      </w:r>
      <w:r w:rsidRPr="00E162C4">
        <w:t>.</w:t>
      </w:r>
    </w:p>
    <w:p w14:paraId="6C5A6BC4" w14:textId="4B610B07" w:rsidR="006C1631" w:rsidRDefault="006C1631" w:rsidP="006C1631">
      <w:r w:rsidRPr="00E162C4">
        <w:t xml:space="preserve">Consultation enquiries can be emailed </w:t>
      </w:r>
      <w:r w:rsidRPr="00E162C4">
        <w:rPr>
          <w:szCs w:val="20"/>
        </w:rPr>
        <w:t xml:space="preserve">to </w:t>
      </w:r>
      <w:hyperlink r:id="rId24" w:history="1">
        <w:r w:rsidR="00345CC5" w:rsidRPr="00DF33CD">
          <w:rPr>
            <w:rStyle w:val="Hyperlink"/>
          </w:rPr>
          <w:t>techreg@acma.gov.au</w:t>
        </w:r>
      </w:hyperlink>
      <w:r w:rsidR="00C55EBD" w:rsidRPr="00D30BC6">
        <w:rPr>
          <w:rStyle w:val="Hyperlink"/>
          <w:color w:val="auto"/>
          <w:u w:val="none"/>
        </w:rPr>
        <w:t>.</w:t>
      </w:r>
    </w:p>
    <w:p w14:paraId="63E52D9F" w14:textId="77777777" w:rsidR="006C1631" w:rsidRPr="00E162C4" w:rsidRDefault="006C1631" w:rsidP="005B2F0D">
      <w:pPr>
        <w:pStyle w:val="Heading4"/>
      </w:pPr>
      <w:bookmarkStart w:id="32" w:name="_Toc348105639"/>
      <w:bookmarkStart w:id="33" w:name="_Toc300909558"/>
      <w:bookmarkStart w:id="34" w:name="_Hlk59627494"/>
      <w:bookmarkEnd w:id="28"/>
      <w:bookmarkEnd w:id="29"/>
      <w:r w:rsidRPr="00E162C4">
        <w:t>Publication of submissions</w:t>
      </w:r>
      <w:bookmarkEnd w:id="30"/>
      <w:bookmarkEnd w:id="31"/>
      <w:bookmarkEnd w:id="32"/>
      <w:bookmarkEnd w:id="33"/>
    </w:p>
    <w:p w14:paraId="6A140A7F" w14:textId="77777777" w:rsidR="006C1631" w:rsidRPr="00E162C4" w:rsidRDefault="006C5FD4" w:rsidP="006C1631">
      <w:bookmarkStart w:id="35" w:name="_Toc348105640"/>
      <w:bookmarkStart w:id="36" w:name="_Toc300909559"/>
      <w:bookmarkStart w:id="37" w:name="_Toc265246234"/>
      <w:r w:rsidRPr="00E162C4">
        <w:t>We</w:t>
      </w:r>
      <w:r w:rsidR="006C1631" w:rsidRPr="00E162C4">
        <w:t xml:space="preserve"> publish submissions on our website</w:t>
      </w:r>
      <w:r w:rsidR="006C1631" w:rsidRPr="00E162C4">
        <w:rPr>
          <w:rFonts w:cs="Arial"/>
        </w:rPr>
        <w:t>, including personal information (such as names and contact details)</w:t>
      </w:r>
      <w:r w:rsidR="006C1631" w:rsidRPr="00E162C4">
        <w:t xml:space="preserve">, except for information that you have claimed (and we have accepted) is confidential. </w:t>
      </w:r>
    </w:p>
    <w:p w14:paraId="1DE38CE5" w14:textId="77777777" w:rsidR="006C1631" w:rsidRPr="00E162C4" w:rsidRDefault="006C1631" w:rsidP="006C1631">
      <w:r w:rsidRPr="00E162C4">
        <w:t>Confidential information will not be published or otherwise released unless required or authorised by law.</w:t>
      </w:r>
    </w:p>
    <w:p w14:paraId="3DA0F01A" w14:textId="77777777" w:rsidR="006C1631" w:rsidRPr="00E162C4" w:rsidRDefault="006C1631" w:rsidP="005B2F0D">
      <w:pPr>
        <w:pStyle w:val="Heading4"/>
      </w:pPr>
      <w:bookmarkStart w:id="38" w:name="_Privacy"/>
      <w:bookmarkEnd w:id="38"/>
      <w:r w:rsidRPr="00E162C4">
        <w:t>Privacy</w:t>
      </w:r>
    </w:p>
    <w:p w14:paraId="6227F726" w14:textId="77777777" w:rsidR="006C1631" w:rsidRPr="00E162C4" w:rsidRDefault="00E21056" w:rsidP="005B2F0D">
      <w:pPr>
        <w:pStyle w:val="Paragraph"/>
      </w:pPr>
      <w:r w:rsidRPr="00E162C4">
        <w:t>View</w:t>
      </w:r>
      <w:r w:rsidR="006C1631" w:rsidRPr="00E162C4">
        <w:t xml:space="preserve"> information about </w:t>
      </w:r>
      <w:r w:rsidRPr="00E162C4">
        <w:t xml:space="preserve">our policy on the </w:t>
      </w:r>
      <w:hyperlink r:id="rId25" w:history="1">
        <w:r w:rsidRPr="00E162C4">
          <w:rPr>
            <w:rStyle w:val="Hyperlink"/>
          </w:rPr>
          <w:t>publication of submissions</w:t>
        </w:r>
      </w:hyperlink>
      <w:r w:rsidRPr="00E162C4">
        <w:t xml:space="preserve">, including </w:t>
      </w:r>
      <w:r w:rsidR="006C1631" w:rsidRPr="00E162C4">
        <w:t>collection of personal information during consultation and how we handle that information</w:t>
      </w:r>
      <w:r w:rsidRPr="00E162C4">
        <w:t>.</w:t>
      </w:r>
    </w:p>
    <w:bookmarkEnd w:id="35"/>
    <w:bookmarkEnd w:id="36"/>
    <w:bookmarkEnd w:id="37"/>
    <w:p w14:paraId="19B8C2B9" w14:textId="40A53D0E" w:rsidR="00B72CC8" w:rsidRDefault="006C1631" w:rsidP="00BA777D">
      <w:pPr>
        <w:pStyle w:val="Paragraph"/>
      </w:pPr>
      <w:r w:rsidRPr="00E162C4">
        <w:t xml:space="preserve">Information on the </w:t>
      </w:r>
      <w:r w:rsidRPr="00E162C4">
        <w:rPr>
          <w:i/>
        </w:rPr>
        <w:t>Privacy Act 1988</w:t>
      </w:r>
      <w:r w:rsidR="006A4CCA" w:rsidRPr="00E162C4">
        <w:rPr>
          <w:i/>
        </w:rPr>
        <w:t xml:space="preserve">, </w:t>
      </w:r>
      <w:r w:rsidRPr="00E162C4">
        <w:t xml:space="preserve">how to access or correct personal information, how to make a privacy complaint and how we will deal with </w:t>
      </w:r>
      <w:r w:rsidR="006C5FD4" w:rsidRPr="00E162C4">
        <w:t xml:space="preserve">any </w:t>
      </w:r>
      <w:r w:rsidRPr="00E162C4">
        <w:t>complaint</w:t>
      </w:r>
      <w:r w:rsidR="006C5FD4" w:rsidRPr="00E162C4">
        <w:t>s</w:t>
      </w:r>
      <w:r w:rsidR="00BB6335" w:rsidRPr="00E162C4">
        <w:t>,</w:t>
      </w:r>
      <w:r w:rsidR="00CF0BFE" w:rsidRPr="00E162C4">
        <w:t xml:space="preserve"> </w:t>
      </w:r>
      <w:r w:rsidRPr="00E162C4">
        <w:t xml:space="preserve">is available </w:t>
      </w:r>
      <w:r w:rsidR="00E21056" w:rsidRPr="00E162C4">
        <w:t xml:space="preserve">in our </w:t>
      </w:r>
      <w:hyperlink r:id="rId26" w:history="1">
        <w:r w:rsidR="00E21056" w:rsidRPr="00E162C4">
          <w:rPr>
            <w:rStyle w:val="Hyperlink"/>
          </w:rPr>
          <w:t>privacy policy</w:t>
        </w:r>
      </w:hyperlink>
      <w:r w:rsidRPr="00E162C4">
        <w:t>.</w:t>
      </w:r>
      <w:r w:rsidR="00A4193E" w:rsidRPr="00E162C4">
        <w:t xml:space="preserve"> </w:t>
      </w:r>
      <w:bookmarkStart w:id="39" w:name="_Toc348105641"/>
      <w:bookmarkStart w:id="40" w:name="_Toc92265100"/>
      <w:bookmarkStart w:id="41" w:name="_Hlk115353447"/>
      <w:bookmarkEnd w:id="34"/>
    </w:p>
    <w:p w14:paraId="684B0CB7" w14:textId="2233BECB" w:rsidR="00B72CC8" w:rsidRPr="00B72CC8" w:rsidRDefault="00B72CC8" w:rsidP="00B72CC8">
      <w:pPr>
        <w:rPr>
          <w:rFonts w:cs="Arial"/>
          <w:bCs/>
          <w:color w:val="323232"/>
          <w:kern w:val="32"/>
          <w:sz w:val="16"/>
          <w:szCs w:val="16"/>
        </w:rPr>
      </w:pPr>
    </w:p>
    <w:p w14:paraId="373A79E6" w14:textId="429E8193" w:rsidR="00823483" w:rsidRDefault="006F1B3C" w:rsidP="00C81096">
      <w:pPr>
        <w:pStyle w:val="Heading1"/>
        <w:rPr>
          <w:rStyle w:val="Heading1Char"/>
        </w:rPr>
      </w:pPr>
      <w:bookmarkStart w:id="42" w:name="_Appendix_A:_Proposed"/>
      <w:bookmarkStart w:id="43" w:name="_Toc118731013"/>
      <w:bookmarkEnd w:id="42"/>
      <w:r>
        <w:rPr>
          <w:rStyle w:val="Heading1Char"/>
        </w:rPr>
        <w:lastRenderedPageBreak/>
        <w:t>Appendix A: Proposed changes</w:t>
      </w:r>
      <w:bookmarkEnd w:id="43"/>
    </w:p>
    <w:p w14:paraId="335A15EE" w14:textId="77777777" w:rsidR="00823483" w:rsidRDefault="00823483" w:rsidP="00823483">
      <w:pPr>
        <w:pStyle w:val="Paragraph"/>
        <w:rPr>
          <w:rStyle w:val="Heading1Char"/>
        </w:rPr>
      </w:pPr>
      <w:r>
        <w:rPr>
          <w:noProof/>
        </w:rPr>
        <mc:AlternateContent>
          <mc:Choice Requires="wps">
            <w:drawing>
              <wp:inline distT="0" distB="0" distL="0" distR="0" wp14:anchorId="4DA2241E" wp14:editId="323EB8F9">
                <wp:extent cx="285293" cy="146304"/>
                <wp:effectExtent l="0" t="0" r="635" b="6350"/>
                <wp:docPr id="3" name="Rectangle 3">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285293" cy="146304"/>
                        </a:xfrm>
                        <a:prstGeom prst="rect">
                          <a:avLst/>
                        </a:prstGeom>
                        <a:solidFill>
                          <a:srgbClr val="DDFEFF"/>
                        </a:solidFill>
                        <a:ln w="3175">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w14:anchorId="29283137" id="Rectangle 3" o:spid="_x0000_s1026" alt="&quot;&quot;" style="width:22.45pt;height:11.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" fillcolor="#ddfeff" stroked="f" strokeweight=".25pt">
                <w10:anchorlock/>
              </v:rect>
            </w:pict>
          </mc:Fallback>
        </mc:AlternateContent>
      </w:r>
      <w:r>
        <w:t xml:space="preserve"> </w:t>
      </w:r>
      <w:r w:rsidRPr="00096B4B">
        <w:rPr>
          <w:szCs w:val="20"/>
        </w:rPr>
        <w:t>=</w:t>
      </w:r>
      <w:r>
        <w:rPr>
          <w:sz w:val="16"/>
          <w:szCs w:val="16"/>
        </w:rPr>
        <w:t xml:space="preserve"> </w:t>
      </w:r>
      <w:r w:rsidRPr="00096B4B">
        <w:rPr>
          <w:szCs w:val="20"/>
        </w:rPr>
        <w:t>Proposed changes</w:t>
      </w:r>
      <w:r w:rsidRPr="00306519" w:rsidDel="00CA582A">
        <w:rPr>
          <w:rStyle w:val="Heading1Char"/>
        </w:rPr>
        <w:t xml:space="preserve"> </w:t>
      </w:r>
    </w:p>
    <w:p w14:paraId="0F69B3FD" w14:textId="4A21FDC3" w:rsidR="00B72CC8" w:rsidRPr="00297A5F" w:rsidRDefault="00BD746A" w:rsidP="00D30BC6">
      <w:pPr>
        <w:pStyle w:val="Paragraph"/>
        <w:numPr>
          <w:ilvl w:val="0"/>
          <w:numId w:val="33"/>
        </w:numPr>
        <w:rPr>
          <w:b/>
          <w:sz w:val="24"/>
        </w:rPr>
      </w:pPr>
      <w:r>
        <w:rPr>
          <w:rStyle w:val="Heading3Char"/>
        </w:rPr>
        <w:t xml:space="preserve">ACMA </w:t>
      </w:r>
      <w:r w:rsidR="00EB0483">
        <w:rPr>
          <w:rStyle w:val="Heading3Char"/>
        </w:rPr>
        <w:t xml:space="preserve">radiocommunications </w:t>
      </w:r>
      <w:r>
        <w:rPr>
          <w:rStyle w:val="Heading3Char"/>
        </w:rPr>
        <w:t>mandatory t</w:t>
      </w:r>
      <w:r w:rsidR="00306519" w:rsidRPr="00306519">
        <w:rPr>
          <w:rStyle w:val="Heading3Char"/>
        </w:rPr>
        <w:t>echnical</w:t>
      </w:r>
      <w:r w:rsidR="00A14AEE" w:rsidRPr="00306519">
        <w:rPr>
          <w:rStyle w:val="Heading3Char"/>
        </w:rPr>
        <w:t xml:space="preserve"> standards</w:t>
      </w:r>
      <w:r w:rsidR="00B72CC8">
        <w:t xml:space="preserve"> </w:t>
      </w:r>
      <w:r w:rsidR="00297A5F">
        <w:t xml:space="preserve">               </w:t>
      </w:r>
    </w:p>
    <w:tbl>
      <w:tblPr>
        <w:tblW w:w="10065" w:type="dxa"/>
        <w:tblBorders>
          <w:insideH w:val="single" w:sz="4" w:space="0" w:color="auto"/>
        </w:tblBorders>
        <w:tblLayout w:type="fixed"/>
        <w:tblLook w:val="04A0" w:firstRow="1" w:lastRow="0" w:firstColumn="1" w:lastColumn="0" w:noHBand="0" w:noVBand="1"/>
      </w:tblPr>
      <w:tblGrid>
        <w:gridCol w:w="416"/>
        <w:gridCol w:w="2126"/>
        <w:gridCol w:w="1569"/>
        <w:gridCol w:w="1985"/>
        <w:gridCol w:w="2126"/>
        <w:gridCol w:w="1843"/>
      </w:tblGrid>
      <w:tr w:rsidR="00B54B85" w:rsidRPr="00B72CC8" w14:paraId="2A78CC8F" w14:textId="77777777" w:rsidTr="00D30BC6">
        <w:trPr>
          <w:trHeight w:val="944"/>
          <w:tblHeader/>
        </w:trPr>
        <w:tc>
          <w:tcPr>
            <w:tcW w:w="416" w:type="dxa"/>
            <w:tcBorders>
              <w:top w:val="nil"/>
              <w:bottom w:val="single" w:sz="6" w:space="0" w:color="auto"/>
            </w:tcBorders>
            <w:shd w:val="clear" w:color="auto" w:fill="auto"/>
          </w:tcPr>
          <w:p w14:paraId="652AA79B" w14:textId="7F3A7B14" w:rsidR="00B72CC8" w:rsidRPr="00B72CC8" w:rsidRDefault="00B72CC8" w:rsidP="00D30BC6">
            <w:pPr>
              <w:spacing w:after="120"/>
              <w:jc w:val="center"/>
              <w:rPr>
                <w:rFonts w:eastAsia="Arial" w:cs="Arial"/>
                <w:b/>
                <w:bCs/>
                <w:color w:val="FFFFFF"/>
                <w:sz w:val="16"/>
                <w:szCs w:val="16"/>
              </w:rPr>
            </w:pPr>
          </w:p>
        </w:tc>
        <w:tc>
          <w:tcPr>
            <w:tcW w:w="2126" w:type="dxa"/>
            <w:tcBorders>
              <w:top w:val="nil"/>
              <w:bottom w:val="single" w:sz="6" w:space="0" w:color="auto"/>
            </w:tcBorders>
            <w:shd w:val="clear" w:color="auto" w:fill="FFFFFF" w:themeFill="background1"/>
          </w:tcPr>
          <w:p w14:paraId="306CD614" w14:textId="0D38AFEA" w:rsidR="00B72CC8" w:rsidRPr="00B72CC8" w:rsidRDefault="00EB0483" w:rsidP="00D30BC6">
            <w:pPr>
              <w:spacing w:after="120"/>
              <w:rPr>
                <w:sz w:val="16"/>
                <w:szCs w:val="16"/>
              </w:rPr>
            </w:pPr>
            <w:r>
              <w:rPr>
                <w:rFonts w:eastAsia="Arial" w:cs="Arial"/>
                <w:b/>
                <w:bCs/>
                <w:sz w:val="16"/>
                <w:szCs w:val="16"/>
              </w:rPr>
              <w:t>ACMA radiocommunications m</w:t>
            </w:r>
            <w:r w:rsidR="00A14AEE">
              <w:rPr>
                <w:rFonts w:eastAsia="Arial" w:cs="Arial"/>
                <w:b/>
                <w:bCs/>
                <w:sz w:val="16"/>
                <w:szCs w:val="16"/>
              </w:rPr>
              <w:t xml:space="preserve">andatory technical </w:t>
            </w:r>
            <w:r w:rsidR="00B72CC8" w:rsidRPr="00B72CC8">
              <w:rPr>
                <w:rFonts w:eastAsia="Arial" w:cs="Arial"/>
                <w:b/>
                <w:bCs/>
                <w:sz w:val="16"/>
                <w:szCs w:val="16"/>
              </w:rPr>
              <w:t xml:space="preserve">standard </w:t>
            </w:r>
          </w:p>
        </w:tc>
        <w:tc>
          <w:tcPr>
            <w:tcW w:w="1569" w:type="dxa"/>
            <w:tcBorders>
              <w:top w:val="nil"/>
              <w:bottom w:val="single" w:sz="6" w:space="0" w:color="auto"/>
            </w:tcBorders>
            <w:shd w:val="clear" w:color="auto" w:fill="FFFFFF" w:themeFill="background1"/>
          </w:tcPr>
          <w:p w14:paraId="5A5D7EE7" w14:textId="77777777" w:rsidR="00B72CC8" w:rsidRPr="00B72CC8" w:rsidRDefault="00B72CC8" w:rsidP="00D30BC6">
            <w:pPr>
              <w:spacing w:after="120"/>
              <w:rPr>
                <w:sz w:val="16"/>
                <w:szCs w:val="16"/>
              </w:rPr>
            </w:pPr>
            <w:r w:rsidRPr="00B72CC8">
              <w:rPr>
                <w:rFonts w:eastAsia="Arial" w:cs="Arial"/>
                <w:b/>
                <w:bCs/>
                <w:sz w:val="16"/>
                <w:szCs w:val="16"/>
              </w:rPr>
              <w:t>Industry standard(s) currently adopted</w:t>
            </w:r>
          </w:p>
        </w:tc>
        <w:tc>
          <w:tcPr>
            <w:tcW w:w="1985" w:type="dxa"/>
            <w:tcBorders>
              <w:top w:val="nil"/>
              <w:bottom w:val="single" w:sz="6" w:space="0" w:color="auto"/>
            </w:tcBorders>
            <w:shd w:val="clear" w:color="auto" w:fill="DDFEFF"/>
          </w:tcPr>
          <w:p w14:paraId="4FDA4241" w14:textId="658E4DD0" w:rsidR="00B72CC8" w:rsidRPr="00B72CC8" w:rsidRDefault="00137B5E" w:rsidP="00D30BC6">
            <w:pPr>
              <w:spacing w:after="120"/>
              <w:rPr>
                <w:rFonts w:eastAsia="Arial" w:cs="Arial"/>
                <w:b/>
                <w:bCs/>
                <w:sz w:val="16"/>
                <w:szCs w:val="16"/>
              </w:rPr>
            </w:pPr>
            <w:r>
              <w:rPr>
                <w:rFonts w:eastAsia="Arial" w:cs="Arial"/>
                <w:b/>
                <w:bCs/>
                <w:sz w:val="16"/>
                <w:szCs w:val="16"/>
              </w:rPr>
              <w:t>Incorporation</w:t>
            </w:r>
            <w:r w:rsidR="00B72CC8" w:rsidRPr="00B72CC8">
              <w:rPr>
                <w:rFonts w:eastAsia="Arial" w:cs="Arial"/>
                <w:b/>
                <w:bCs/>
                <w:sz w:val="16"/>
                <w:szCs w:val="16"/>
              </w:rPr>
              <w:t xml:space="preserve"> in</w:t>
            </w:r>
            <w:r>
              <w:rPr>
                <w:rFonts w:eastAsia="Arial" w:cs="Arial"/>
                <w:b/>
                <w:bCs/>
                <w:sz w:val="16"/>
                <w:szCs w:val="16"/>
              </w:rPr>
              <w:t>to</w:t>
            </w:r>
            <w:r w:rsidR="00B72CC8" w:rsidRPr="00B72CC8">
              <w:rPr>
                <w:rFonts w:eastAsia="Arial" w:cs="Arial"/>
                <w:b/>
                <w:bCs/>
                <w:sz w:val="16"/>
                <w:szCs w:val="16"/>
              </w:rPr>
              <w:t xml:space="preserve"> General Equipment Rules</w:t>
            </w:r>
          </w:p>
        </w:tc>
        <w:tc>
          <w:tcPr>
            <w:tcW w:w="2126" w:type="dxa"/>
            <w:tcBorders>
              <w:top w:val="nil"/>
              <w:bottom w:val="single" w:sz="6" w:space="0" w:color="auto"/>
            </w:tcBorders>
            <w:shd w:val="clear" w:color="auto" w:fill="DDFEFF"/>
          </w:tcPr>
          <w:p w14:paraId="032C8565" w14:textId="46CE0E36" w:rsidR="00B72CC8" w:rsidRPr="00B72CC8" w:rsidRDefault="00B72CC8" w:rsidP="00D30BC6">
            <w:pPr>
              <w:spacing w:after="120"/>
              <w:rPr>
                <w:sz w:val="16"/>
                <w:szCs w:val="16"/>
              </w:rPr>
            </w:pPr>
            <w:r w:rsidRPr="00B72CC8">
              <w:rPr>
                <w:rFonts w:eastAsia="Arial" w:cs="Arial"/>
                <w:b/>
                <w:bCs/>
                <w:sz w:val="16"/>
                <w:szCs w:val="16"/>
              </w:rPr>
              <w:t xml:space="preserve">Additional </w:t>
            </w:r>
            <w:r w:rsidR="00BD746A">
              <w:rPr>
                <w:rFonts w:eastAsia="Arial" w:cs="Arial"/>
                <w:b/>
                <w:bCs/>
                <w:sz w:val="16"/>
                <w:szCs w:val="16"/>
              </w:rPr>
              <w:t>overseas</w:t>
            </w:r>
            <w:r w:rsidRPr="00B72CC8">
              <w:rPr>
                <w:rFonts w:eastAsia="Arial" w:cs="Arial"/>
                <w:b/>
                <w:bCs/>
                <w:sz w:val="16"/>
                <w:szCs w:val="16"/>
              </w:rPr>
              <w:t xml:space="preserve"> industry standard to be adopted </w:t>
            </w:r>
          </w:p>
        </w:tc>
        <w:tc>
          <w:tcPr>
            <w:tcW w:w="1843" w:type="dxa"/>
            <w:tcBorders>
              <w:top w:val="nil"/>
              <w:bottom w:val="single" w:sz="6" w:space="0" w:color="auto"/>
            </w:tcBorders>
            <w:shd w:val="clear" w:color="auto" w:fill="DDFEFF"/>
          </w:tcPr>
          <w:p w14:paraId="5E0615A2" w14:textId="77777777" w:rsidR="00B72CC8" w:rsidRPr="00B72CC8" w:rsidRDefault="00B72CC8" w:rsidP="00D30BC6">
            <w:pPr>
              <w:spacing w:after="120"/>
              <w:rPr>
                <w:rFonts w:eastAsia="Arial" w:cs="Arial"/>
                <w:b/>
                <w:bCs/>
                <w:sz w:val="16"/>
                <w:szCs w:val="16"/>
              </w:rPr>
            </w:pPr>
            <w:r w:rsidRPr="00B72CC8">
              <w:rPr>
                <w:rFonts w:eastAsia="Arial" w:cs="Arial"/>
                <w:b/>
                <w:bCs/>
                <w:sz w:val="16"/>
                <w:szCs w:val="16"/>
              </w:rPr>
              <w:t>Other substantive changes</w:t>
            </w:r>
          </w:p>
        </w:tc>
      </w:tr>
      <w:tr w:rsidR="00B72CC8" w:rsidRPr="00B72CC8" w14:paraId="206C2520" w14:textId="77777777" w:rsidTr="00D30BC6">
        <w:trPr>
          <w:trHeight w:val="20"/>
        </w:trPr>
        <w:tc>
          <w:tcPr>
            <w:tcW w:w="416" w:type="dxa"/>
            <w:tcBorders>
              <w:top w:val="single" w:sz="6" w:space="0" w:color="auto"/>
            </w:tcBorders>
          </w:tcPr>
          <w:p w14:paraId="774C5938" w14:textId="311F4222" w:rsidR="00B72CC8" w:rsidRPr="00B72CC8" w:rsidRDefault="00B72CC8" w:rsidP="00D30BC6">
            <w:pPr>
              <w:spacing w:after="120"/>
              <w:rPr>
                <w:sz w:val="16"/>
                <w:szCs w:val="16"/>
              </w:rPr>
            </w:pPr>
            <w:r>
              <w:rPr>
                <w:sz w:val="16"/>
                <w:szCs w:val="16"/>
              </w:rPr>
              <w:t>1</w:t>
            </w:r>
          </w:p>
        </w:tc>
        <w:tc>
          <w:tcPr>
            <w:tcW w:w="2126" w:type="dxa"/>
            <w:tcBorders>
              <w:top w:val="single" w:sz="6" w:space="0" w:color="auto"/>
            </w:tcBorders>
            <w:shd w:val="clear" w:color="auto" w:fill="auto"/>
          </w:tcPr>
          <w:p w14:paraId="4707C04A" w14:textId="77777777" w:rsidR="00B72CC8" w:rsidRPr="00D30BC6" w:rsidRDefault="007B4D70" w:rsidP="00D30BC6">
            <w:pPr>
              <w:spacing w:after="120" w:line="240" w:lineRule="auto"/>
              <w:rPr>
                <w:rFonts w:ascii="Calibri" w:eastAsia="Calibri" w:hAnsi="Calibri"/>
                <w:color w:val="000000" w:themeColor="text1"/>
                <w:sz w:val="22"/>
                <w:szCs w:val="22"/>
                <w:lang w:eastAsia="en-US"/>
              </w:rPr>
            </w:pPr>
            <w:hyperlink r:id="rId27">
              <w:r w:rsidR="00B72CC8" w:rsidRPr="00D30BC6">
                <w:rPr>
                  <w:rFonts w:eastAsia="Arial" w:cs="Arial"/>
                  <w:color w:val="000000" w:themeColor="text1"/>
                  <w:sz w:val="16"/>
                  <w:szCs w:val="16"/>
                </w:rPr>
                <w:t>Radiocommunications (Analogue Speech (Angle Modulated) Equipment) Standard 2014</w:t>
              </w:r>
            </w:hyperlink>
          </w:p>
        </w:tc>
        <w:tc>
          <w:tcPr>
            <w:tcW w:w="1569" w:type="dxa"/>
            <w:tcBorders>
              <w:top w:val="single" w:sz="6" w:space="0" w:color="auto"/>
            </w:tcBorders>
            <w:shd w:val="clear" w:color="auto" w:fill="auto"/>
          </w:tcPr>
          <w:p w14:paraId="0F68B5F8" w14:textId="77777777" w:rsidR="00B72CC8" w:rsidRPr="00B72CC8" w:rsidRDefault="00B72CC8" w:rsidP="00D30BC6">
            <w:pPr>
              <w:spacing w:after="120" w:line="240" w:lineRule="auto"/>
              <w:rPr>
                <w:sz w:val="16"/>
                <w:szCs w:val="16"/>
              </w:rPr>
            </w:pPr>
            <w:r w:rsidRPr="00B72CC8">
              <w:rPr>
                <w:sz w:val="16"/>
                <w:szCs w:val="16"/>
              </w:rPr>
              <w:t>AS/NZS 4295:2015</w:t>
            </w:r>
          </w:p>
        </w:tc>
        <w:tc>
          <w:tcPr>
            <w:tcW w:w="1985" w:type="dxa"/>
            <w:tcBorders>
              <w:top w:val="single" w:sz="6" w:space="0" w:color="auto"/>
            </w:tcBorders>
            <w:shd w:val="clear" w:color="auto" w:fill="DDFEFF"/>
          </w:tcPr>
          <w:p w14:paraId="3F19B1D4" w14:textId="61C5C963" w:rsidR="00B72CC8" w:rsidRPr="00B72CC8" w:rsidRDefault="00B72CC8" w:rsidP="00D30BC6">
            <w:pPr>
              <w:spacing w:after="120"/>
              <w:rPr>
                <w:sz w:val="16"/>
                <w:szCs w:val="16"/>
              </w:rPr>
            </w:pPr>
            <w:r w:rsidRPr="00B72CC8">
              <w:rPr>
                <w:sz w:val="16"/>
                <w:szCs w:val="16"/>
              </w:rPr>
              <w:t>Analogue Speech (Angle Modulated) Equipment Standard</w:t>
            </w:r>
          </w:p>
          <w:p w14:paraId="57C7D779" w14:textId="77777777" w:rsidR="00B72CC8" w:rsidRPr="00B72CC8" w:rsidRDefault="00B72CC8" w:rsidP="00D30BC6">
            <w:pPr>
              <w:spacing w:after="120" w:line="240" w:lineRule="auto"/>
              <w:rPr>
                <w:sz w:val="16"/>
                <w:szCs w:val="16"/>
              </w:rPr>
            </w:pPr>
            <w:r w:rsidRPr="00B72CC8">
              <w:rPr>
                <w:sz w:val="16"/>
                <w:szCs w:val="16"/>
              </w:rPr>
              <w:t>(Part 3 of Schedule 5)</w:t>
            </w:r>
          </w:p>
        </w:tc>
        <w:tc>
          <w:tcPr>
            <w:tcW w:w="2126" w:type="dxa"/>
            <w:tcBorders>
              <w:top w:val="single" w:sz="6" w:space="0" w:color="auto"/>
            </w:tcBorders>
            <w:shd w:val="clear" w:color="auto" w:fill="DDFEFF"/>
          </w:tcPr>
          <w:p w14:paraId="28A22569" w14:textId="77777777" w:rsidR="00B72CC8" w:rsidRPr="00B72CC8" w:rsidRDefault="00B72CC8" w:rsidP="00D30BC6">
            <w:pPr>
              <w:spacing w:after="120"/>
              <w:rPr>
                <w:sz w:val="16"/>
                <w:szCs w:val="16"/>
              </w:rPr>
            </w:pPr>
            <w:r w:rsidRPr="00B72CC8">
              <w:rPr>
                <w:sz w:val="16"/>
                <w:szCs w:val="16"/>
              </w:rPr>
              <w:t>ETSI EN 300 086:2016</w:t>
            </w:r>
          </w:p>
          <w:p w14:paraId="6F81E88F" w14:textId="77777777" w:rsidR="00B72CC8" w:rsidRPr="00B72CC8" w:rsidRDefault="00B72CC8" w:rsidP="00D30BC6">
            <w:pPr>
              <w:spacing w:after="120" w:line="240" w:lineRule="auto"/>
              <w:rPr>
                <w:sz w:val="16"/>
                <w:szCs w:val="16"/>
              </w:rPr>
            </w:pPr>
            <w:r w:rsidRPr="00B72CC8">
              <w:rPr>
                <w:sz w:val="16"/>
                <w:szCs w:val="16"/>
              </w:rPr>
              <w:t>(As per essential requirements of Directive 2014/53/EU)</w:t>
            </w:r>
          </w:p>
        </w:tc>
        <w:tc>
          <w:tcPr>
            <w:tcW w:w="1843" w:type="dxa"/>
            <w:tcBorders>
              <w:top w:val="single" w:sz="6" w:space="0" w:color="auto"/>
            </w:tcBorders>
            <w:shd w:val="clear" w:color="auto" w:fill="DDFEFF"/>
          </w:tcPr>
          <w:p w14:paraId="65C3B7B9" w14:textId="77777777" w:rsidR="00B72CC8" w:rsidRPr="00B72CC8" w:rsidRDefault="00B72CC8" w:rsidP="00D30BC6">
            <w:pPr>
              <w:spacing w:after="120" w:line="240" w:lineRule="auto"/>
              <w:rPr>
                <w:sz w:val="16"/>
                <w:szCs w:val="16"/>
              </w:rPr>
            </w:pPr>
            <w:r w:rsidRPr="00B72CC8">
              <w:rPr>
                <w:sz w:val="16"/>
                <w:szCs w:val="16"/>
              </w:rPr>
              <w:t>N/A</w:t>
            </w:r>
          </w:p>
        </w:tc>
      </w:tr>
      <w:tr w:rsidR="00B72CC8" w:rsidRPr="00B72CC8" w14:paraId="6C967D98" w14:textId="77777777" w:rsidTr="00D30BC6">
        <w:trPr>
          <w:trHeight w:val="20"/>
        </w:trPr>
        <w:tc>
          <w:tcPr>
            <w:tcW w:w="416" w:type="dxa"/>
          </w:tcPr>
          <w:p w14:paraId="6FD90C32" w14:textId="1738DA5C" w:rsidR="00B72CC8" w:rsidRPr="00B72CC8" w:rsidRDefault="00B72CC8" w:rsidP="00D30BC6">
            <w:pPr>
              <w:spacing w:after="120"/>
              <w:rPr>
                <w:sz w:val="16"/>
                <w:szCs w:val="16"/>
              </w:rPr>
            </w:pPr>
            <w:r>
              <w:rPr>
                <w:sz w:val="16"/>
                <w:szCs w:val="16"/>
              </w:rPr>
              <w:t>2</w:t>
            </w:r>
          </w:p>
        </w:tc>
        <w:tc>
          <w:tcPr>
            <w:tcW w:w="2126" w:type="dxa"/>
            <w:shd w:val="clear" w:color="auto" w:fill="auto"/>
          </w:tcPr>
          <w:p w14:paraId="74B5D69E" w14:textId="77777777" w:rsidR="00B72CC8" w:rsidRPr="00D30BC6" w:rsidRDefault="007B4D70" w:rsidP="00D30BC6">
            <w:pPr>
              <w:spacing w:after="120" w:line="240" w:lineRule="auto"/>
              <w:rPr>
                <w:rFonts w:ascii="Calibri" w:eastAsia="Calibri" w:hAnsi="Calibri"/>
                <w:color w:val="000000" w:themeColor="text1"/>
                <w:sz w:val="22"/>
                <w:szCs w:val="22"/>
                <w:lang w:eastAsia="en-US"/>
              </w:rPr>
            </w:pPr>
            <w:hyperlink r:id="rId28">
              <w:r w:rsidR="00B72CC8" w:rsidRPr="00D30BC6">
                <w:rPr>
                  <w:rFonts w:eastAsia="Arial" w:cs="Arial"/>
                  <w:color w:val="000000" w:themeColor="text1"/>
                  <w:sz w:val="16"/>
                  <w:szCs w:val="16"/>
                </w:rPr>
                <w:t>Radiocommunications (HF CB and Handphone Equipment) Standard 2017</w:t>
              </w:r>
            </w:hyperlink>
          </w:p>
        </w:tc>
        <w:tc>
          <w:tcPr>
            <w:tcW w:w="1569" w:type="dxa"/>
            <w:shd w:val="clear" w:color="auto" w:fill="auto"/>
          </w:tcPr>
          <w:p w14:paraId="7EF7605C" w14:textId="77777777" w:rsidR="00B72CC8" w:rsidRPr="00B72CC8" w:rsidRDefault="00B72CC8" w:rsidP="00D30BC6">
            <w:pPr>
              <w:spacing w:after="120" w:line="240" w:lineRule="auto"/>
              <w:rPr>
                <w:sz w:val="16"/>
                <w:szCs w:val="16"/>
              </w:rPr>
            </w:pPr>
            <w:r w:rsidRPr="00B72CC8">
              <w:rPr>
                <w:sz w:val="16"/>
                <w:szCs w:val="16"/>
              </w:rPr>
              <w:t>AS/NZS 4355:2006</w:t>
            </w:r>
          </w:p>
        </w:tc>
        <w:tc>
          <w:tcPr>
            <w:tcW w:w="1985" w:type="dxa"/>
            <w:shd w:val="clear" w:color="auto" w:fill="DDFEFF"/>
          </w:tcPr>
          <w:p w14:paraId="73389817" w14:textId="7BCBC3C9" w:rsidR="00B72CC8" w:rsidRPr="00B72CC8" w:rsidRDefault="00B72CC8" w:rsidP="00D30BC6">
            <w:pPr>
              <w:spacing w:after="120"/>
              <w:rPr>
                <w:sz w:val="16"/>
                <w:szCs w:val="16"/>
              </w:rPr>
            </w:pPr>
            <w:r w:rsidRPr="00B72CC8">
              <w:rPr>
                <w:sz w:val="16"/>
                <w:szCs w:val="16"/>
              </w:rPr>
              <w:t>HF CB and Handphone Equipment Standard</w:t>
            </w:r>
          </w:p>
          <w:p w14:paraId="5D2F8F22" w14:textId="77777777" w:rsidR="00B72CC8" w:rsidRPr="00B72CC8" w:rsidRDefault="00B72CC8" w:rsidP="00D30BC6">
            <w:pPr>
              <w:spacing w:after="120" w:line="240" w:lineRule="auto"/>
              <w:rPr>
                <w:sz w:val="16"/>
                <w:szCs w:val="16"/>
              </w:rPr>
            </w:pPr>
            <w:r w:rsidRPr="00B72CC8">
              <w:rPr>
                <w:sz w:val="16"/>
                <w:szCs w:val="16"/>
              </w:rPr>
              <w:t>(Part 4 of Schedule 5)</w:t>
            </w:r>
          </w:p>
        </w:tc>
        <w:tc>
          <w:tcPr>
            <w:tcW w:w="2126" w:type="dxa"/>
            <w:shd w:val="clear" w:color="auto" w:fill="DDFEFF"/>
          </w:tcPr>
          <w:p w14:paraId="0492F109" w14:textId="77777777" w:rsidR="00B72CC8" w:rsidRPr="00B72CC8" w:rsidRDefault="00B72CC8" w:rsidP="00D30BC6">
            <w:pPr>
              <w:spacing w:after="120"/>
              <w:rPr>
                <w:sz w:val="16"/>
                <w:szCs w:val="16"/>
              </w:rPr>
            </w:pPr>
            <w:r w:rsidRPr="00B72CC8">
              <w:rPr>
                <w:sz w:val="16"/>
                <w:szCs w:val="16"/>
              </w:rPr>
              <w:t xml:space="preserve">ETSI EN 300 433:2016 </w:t>
            </w:r>
          </w:p>
          <w:p w14:paraId="1435860B" w14:textId="77777777" w:rsidR="00B72CC8" w:rsidRPr="00B72CC8" w:rsidRDefault="00B72CC8" w:rsidP="00D30BC6">
            <w:pPr>
              <w:spacing w:after="120" w:line="240" w:lineRule="auto"/>
              <w:rPr>
                <w:sz w:val="16"/>
                <w:szCs w:val="16"/>
              </w:rPr>
            </w:pPr>
            <w:r w:rsidRPr="00B72CC8">
              <w:rPr>
                <w:sz w:val="16"/>
                <w:szCs w:val="16"/>
              </w:rPr>
              <w:t>(As per essential requirements of Directive 2014/53/EU)</w:t>
            </w:r>
          </w:p>
        </w:tc>
        <w:tc>
          <w:tcPr>
            <w:tcW w:w="1843" w:type="dxa"/>
            <w:shd w:val="clear" w:color="auto" w:fill="DDFEFF"/>
          </w:tcPr>
          <w:p w14:paraId="64640812" w14:textId="77777777" w:rsidR="00B72CC8" w:rsidRPr="00B72CC8" w:rsidRDefault="00B72CC8" w:rsidP="00D30BC6">
            <w:pPr>
              <w:spacing w:after="120" w:line="240" w:lineRule="auto"/>
              <w:rPr>
                <w:sz w:val="16"/>
                <w:szCs w:val="16"/>
              </w:rPr>
            </w:pPr>
            <w:r w:rsidRPr="00B72CC8">
              <w:rPr>
                <w:sz w:val="16"/>
                <w:szCs w:val="16"/>
              </w:rPr>
              <w:t>N/A</w:t>
            </w:r>
          </w:p>
        </w:tc>
      </w:tr>
      <w:tr w:rsidR="00B72CC8" w:rsidRPr="00B72CC8" w14:paraId="0F4BF6B8" w14:textId="77777777" w:rsidTr="00D30BC6">
        <w:trPr>
          <w:trHeight w:val="1223"/>
        </w:trPr>
        <w:tc>
          <w:tcPr>
            <w:tcW w:w="416" w:type="dxa"/>
          </w:tcPr>
          <w:p w14:paraId="645D0F00" w14:textId="7B1DC440" w:rsidR="00B72CC8" w:rsidRPr="00B72CC8" w:rsidRDefault="00B72CC8" w:rsidP="00D30BC6">
            <w:pPr>
              <w:spacing w:after="120"/>
              <w:rPr>
                <w:sz w:val="16"/>
                <w:szCs w:val="16"/>
              </w:rPr>
            </w:pPr>
            <w:r>
              <w:rPr>
                <w:sz w:val="16"/>
                <w:szCs w:val="16"/>
              </w:rPr>
              <w:t>3</w:t>
            </w:r>
          </w:p>
        </w:tc>
        <w:tc>
          <w:tcPr>
            <w:tcW w:w="2126" w:type="dxa"/>
            <w:shd w:val="clear" w:color="auto" w:fill="auto"/>
          </w:tcPr>
          <w:p w14:paraId="61156AA9" w14:textId="77777777" w:rsidR="00B72CC8" w:rsidRPr="00D30BC6" w:rsidRDefault="007B4D70" w:rsidP="00D30BC6">
            <w:pPr>
              <w:spacing w:after="120" w:line="240" w:lineRule="auto"/>
              <w:rPr>
                <w:rFonts w:ascii="Calibri" w:eastAsia="Calibri" w:hAnsi="Calibri"/>
                <w:color w:val="000000" w:themeColor="text1"/>
                <w:sz w:val="22"/>
                <w:szCs w:val="22"/>
                <w:lang w:eastAsia="en-US"/>
              </w:rPr>
            </w:pPr>
            <w:hyperlink r:id="rId29">
              <w:r w:rsidR="00B72CC8" w:rsidRPr="00D30BC6">
                <w:rPr>
                  <w:rFonts w:eastAsia="Arial" w:cs="Arial"/>
                  <w:color w:val="000000" w:themeColor="text1"/>
                  <w:sz w:val="16"/>
                  <w:szCs w:val="16"/>
                </w:rPr>
                <w:t>Radiocommunications (MF and HF Equipment – Land Mobile Service) Standard 2014</w:t>
              </w:r>
            </w:hyperlink>
          </w:p>
        </w:tc>
        <w:tc>
          <w:tcPr>
            <w:tcW w:w="1569" w:type="dxa"/>
            <w:shd w:val="clear" w:color="auto" w:fill="FFFFFF"/>
          </w:tcPr>
          <w:p w14:paraId="0DA9B24F" w14:textId="77777777" w:rsidR="00B72CC8" w:rsidRPr="00B72CC8" w:rsidRDefault="00B72CC8" w:rsidP="00D30BC6">
            <w:pPr>
              <w:spacing w:after="120" w:line="240" w:lineRule="auto"/>
              <w:rPr>
                <w:sz w:val="16"/>
                <w:szCs w:val="16"/>
              </w:rPr>
            </w:pPr>
            <w:r w:rsidRPr="00B72CC8">
              <w:rPr>
                <w:sz w:val="16"/>
                <w:szCs w:val="16"/>
              </w:rPr>
              <w:t>AS/NZS 4770:2000</w:t>
            </w:r>
          </w:p>
        </w:tc>
        <w:tc>
          <w:tcPr>
            <w:tcW w:w="1985" w:type="dxa"/>
            <w:shd w:val="clear" w:color="auto" w:fill="DDFEFF"/>
          </w:tcPr>
          <w:p w14:paraId="422A3D2B" w14:textId="5322FAA4" w:rsidR="00B72CC8" w:rsidRPr="00B72CC8" w:rsidRDefault="00B72CC8" w:rsidP="00D30BC6">
            <w:pPr>
              <w:spacing w:after="120"/>
              <w:rPr>
                <w:sz w:val="16"/>
                <w:szCs w:val="16"/>
              </w:rPr>
            </w:pPr>
            <w:r w:rsidRPr="00B72CC8">
              <w:rPr>
                <w:sz w:val="16"/>
                <w:szCs w:val="16"/>
              </w:rPr>
              <w:t>MF and HF Equipment – Land Mobile Service Standard</w:t>
            </w:r>
          </w:p>
          <w:p w14:paraId="69796480" w14:textId="77777777" w:rsidR="00B72CC8" w:rsidRPr="00B72CC8" w:rsidRDefault="00B72CC8" w:rsidP="00D30BC6">
            <w:pPr>
              <w:spacing w:after="120" w:line="240" w:lineRule="auto"/>
              <w:rPr>
                <w:sz w:val="16"/>
                <w:szCs w:val="16"/>
              </w:rPr>
            </w:pPr>
            <w:r w:rsidRPr="00B72CC8">
              <w:rPr>
                <w:sz w:val="16"/>
                <w:szCs w:val="16"/>
              </w:rPr>
              <w:t xml:space="preserve">(Part 5 of Schedule 5) </w:t>
            </w:r>
          </w:p>
        </w:tc>
        <w:tc>
          <w:tcPr>
            <w:tcW w:w="2126" w:type="dxa"/>
            <w:shd w:val="clear" w:color="auto" w:fill="DDFEFF"/>
          </w:tcPr>
          <w:p w14:paraId="71116015" w14:textId="77777777" w:rsidR="00B72CC8" w:rsidRPr="00B72CC8" w:rsidRDefault="00B72CC8" w:rsidP="00D30BC6">
            <w:pPr>
              <w:spacing w:after="120" w:line="240" w:lineRule="auto"/>
              <w:rPr>
                <w:sz w:val="16"/>
                <w:szCs w:val="16"/>
              </w:rPr>
            </w:pPr>
            <w:r w:rsidRPr="00B72CC8">
              <w:rPr>
                <w:sz w:val="16"/>
                <w:szCs w:val="16"/>
              </w:rPr>
              <w:t>N/A</w:t>
            </w:r>
          </w:p>
        </w:tc>
        <w:tc>
          <w:tcPr>
            <w:tcW w:w="1843" w:type="dxa"/>
            <w:shd w:val="clear" w:color="auto" w:fill="DDFEFF"/>
          </w:tcPr>
          <w:p w14:paraId="42A000D0" w14:textId="77777777" w:rsidR="00B72CC8" w:rsidRPr="00B72CC8" w:rsidRDefault="00B72CC8" w:rsidP="00D30BC6">
            <w:pPr>
              <w:spacing w:after="120" w:line="240" w:lineRule="auto"/>
              <w:rPr>
                <w:sz w:val="16"/>
                <w:szCs w:val="16"/>
              </w:rPr>
            </w:pPr>
            <w:r w:rsidRPr="00B72CC8">
              <w:rPr>
                <w:sz w:val="16"/>
                <w:szCs w:val="16"/>
              </w:rPr>
              <w:t>N/A</w:t>
            </w:r>
          </w:p>
        </w:tc>
      </w:tr>
      <w:tr w:rsidR="00B72CC8" w:rsidRPr="00B72CC8" w14:paraId="07EB52F2" w14:textId="77777777" w:rsidTr="00D30BC6">
        <w:trPr>
          <w:trHeight w:val="20"/>
        </w:trPr>
        <w:tc>
          <w:tcPr>
            <w:tcW w:w="416" w:type="dxa"/>
          </w:tcPr>
          <w:p w14:paraId="7044AB6F" w14:textId="3FFEBA5E" w:rsidR="00B72CC8" w:rsidRPr="00B72CC8" w:rsidRDefault="00B72CC8" w:rsidP="00D30BC6">
            <w:pPr>
              <w:spacing w:after="120"/>
              <w:rPr>
                <w:sz w:val="16"/>
                <w:szCs w:val="16"/>
              </w:rPr>
            </w:pPr>
            <w:r>
              <w:rPr>
                <w:sz w:val="16"/>
                <w:szCs w:val="16"/>
              </w:rPr>
              <w:t>4</w:t>
            </w:r>
          </w:p>
        </w:tc>
        <w:tc>
          <w:tcPr>
            <w:tcW w:w="2126" w:type="dxa"/>
            <w:shd w:val="clear" w:color="auto" w:fill="auto"/>
          </w:tcPr>
          <w:p w14:paraId="1571C32E" w14:textId="77777777" w:rsidR="00B72CC8" w:rsidRPr="00D30BC6" w:rsidRDefault="007B4D70" w:rsidP="00D30BC6">
            <w:pPr>
              <w:spacing w:after="120" w:line="240" w:lineRule="auto"/>
              <w:rPr>
                <w:rFonts w:ascii="Calibri" w:eastAsia="Calibri" w:hAnsi="Calibri"/>
                <w:color w:val="000000" w:themeColor="text1"/>
                <w:sz w:val="22"/>
                <w:szCs w:val="22"/>
                <w:lang w:eastAsia="en-US"/>
              </w:rPr>
            </w:pPr>
            <w:hyperlink r:id="rId30">
              <w:r w:rsidR="00B72CC8" w:rsidRPr="00D30BC6">
                <w:rPr>
                  <w:rFonts w:eastAsia="Arial" w:cs="Arial"/>
                  <w:color w:val="000000" w:themeColor="text1"/>
                  <w:sz w:val="16"/>
                  <w:szCs w:val="16"/>
                </w:rPr>
                <w:t>Radiocommunications (Paging Service Equipment) Standard 2014</w:t>
              </w:r>
            </w:hyperlink>
          </w:p>
        </w:tc>
        <w:tc>
          <w:tcPr>
            <w:tcW w:w="1569" w:type="dxa"/>
            <w:shd w:val="clear" w:color="auto" w:fill="auto"/>
          </w:tcPr>
          <w:p w14:paraId="485966F2" w14:textId="77777777" w:rsidR="00B72CC8" w:rsidRPr="00B72CC8" w:rsidRDefault="00B72CC8" w:rsidP="00D30BC6">
            <w:pPr>
              <w:spacing w:after="120" w:line="240" w:lineRule="auto"/>
              <w:rPr>
                <w:sz w:val="16"/>
                <w:szCs w:val="16"/>
              </w:rPr>
            </w:pPr>
            <w:r w:rsidRPr="00B72CC8">
              <w:rPr>
                <w:sz w:val="16"/>
                <w:szCs w:val="16"/>
              </w:rPr>
              <w:t xml:space="preserve">AS/NZS 4769.1:2000 and AS/NZS 4769.2:2000 </w:t>
            </w:r>
          </w:p>
        </w:tc>
        <w:tc>
          <w:tcPr>
            <w:tcW w:w="1985" w:type="dxa"/>
            <w:shd w:val="clear" w:color="auto" w:fill="DDFEFF"/>
          </w:tcPr>
          <w:p w14:paraId="28CF2456" w14:textId="7FF652E5" w:rsidR="00B72CC8" w:rsidRPr="00B72CC8" w:rsidRDefault="00B72CC8" w:rsidP="00D30BC6">
            <w:pPr>
              <w:spacing w:after="120"/>
              <w:rPr>
                <w:sz w:val="16"/>
                <w:szCs w:val="16"/>
              </w:rPr>
            </w:pPr>
            <w:r w:rsidRPr="00B72CC8">
              <w:rPr>
                <w:sz w:val="16"/>
                <w:szCs w:val="16"/>
              </w:rPr>
              <w:t>Paging Service Equipment Standard</w:t>
            </w:r>
          </w:p>
          <w:p w14:paraId="2DB1C997" w14:textId="77777777" w:rsidR="00B72CC8" w:rsidRPr="00B72CC8" w:rsidRDefault="00B72CC8" w:rsidP="00D30BC6">
            <w:pPr>
              <w:spacing w:after="120" w:line="240" w:lineRule="auto"/>
              <w:rPr>
                <w:sz w:val="16"/>
                <w:szCs w:val="16"/>
              </w:rPr>
            </w:pPr>
            <w:r w:rsidRPr="00B72CC8">
              <w:rPr>
                <w:sz w:val="16"/>
                <w:szCs w:val="16"/>
              </w:rPr>
              <w:t>(Part 6 of Schedule 5)</w:t>
            </w:r>
          </w:p>
        </w:tc>
        <w:tc>
          <w:tcPr>
            <w:tcW w:w="2126" w:type="dxa"/>
            <w:shd w:val="clear" w:color="auto" w:fill="DDFEFF"/>
          </w:tcPr>
          <w:p w14:paraId="188F713C" w14:textId="77777777" w:rsidR="00B72CC8" w:rsidRPr="00B72CC8" w:rsidRDefault="00B72CC8" w:rsidP="00D30BC6">
            <w:pPr>
              <w:spacing w:after="120"/>
              <w:rPr>
                <w:sz w:val="16"/>
                <w:szCs w:val="16"/>
              </w:rPr>
            </w:pPr>
            <w:r w:rsidRPr="00B72CC8">
              <w:rPr>
                <w:sz w:val="16"/>
                <w:szCs w:val="16"/>
              </w:rPr>
              <w:t>ETSI EN 300 224:2017</w:t>
            </w:r>
          </w:p>
          <w:p w14:paraId="51F7DA4C" w14:textId="77777777" w:rsidR="00B72CC8" w:rsidRPr="00B72CC8" w:rsidRDefault="00B72CC8" w:rsidP="00D30BC6">
            <w:pPr>
              <w:spacing w:after="120" w:line="240" w:lineRule="auto"/>
              <w:rPr>
                <w:sz w:val="16"/>
                <w:szCs w:val="16"/>
              </w:rPr>
            </w:pPr>
            <w:r w:rsidRPr="00B72CC8">
              <w:rPr>
                <w:sz w:val="16"/>
                <w:szCs w:val="16"/>
              </w:rPr>
              <w:t>(As per essential requirements of Directive 2014/53/EU)</w:t>
            </w:r>
          </w:p>
        </w:tc>
        <w:tc>
          <w:tcPr>
            <w:tcW w:w="1843" w:type="dxa"/>
            <w:shd w:val="clear" w:color="auto" w:fill="DDFEFF"/>
          </w:tcPr>
          <w:p w14:paraId="2C7E64BC" w14:textId="73B2B214" w:rsidR="00B72CC8" w:rsidRPr="00B72CC8" w:rsidRDefault="00B72CC8" w:rsidP="00D30BC6">
            <w:pPr>
              <w:spacing w:after="120" w:line="240" w:lineRule="auto"/>
              <w:rPr>
                <w:sz w:val="16"/>
                <w:szCs w:val="16"/>
              </w:rPr>
            </w:pPr>
            <w:r w:rsidRPr="00B72CC8">
              <w:rPr>
                <w:sz w:val="16"/>
                <w:szCs w:val="16"/>
              </w:rPr>
              <w:t xml:space="preserve">AS/NZS 4769.1:2000 and AS/NZS 4769.2:2000 have been withdrawn by Standards Australia and </w:t>
            </w:r>
            <w:r w:rsidR="00C64123">
              <w:rPr>
                <w:sz w:val="16"/>
                <w:szCs w:val="16"/>
              </w:rPr>
              <w:t>will</w:t>
            </w:r>
            <w:r w:rsidRPr="00B72CC8">
              <w:rPr>
                <w:sz w:val="16"/>
                <w:szCs w:val="16"/>
              </w:rPr>
              <w:t xml:space="preserve"> not</w:t>
            </w:r>
            <w:r w:rsidR="00E9353C">
              <w:rPr>
                <w:sz w:val="16"/>
                <w:szCs w:val="16"/>
              </w:rPr>
              <w:t xml:space="preserve"> be</w:t>
            </w:r>
            <w:r w:rsidRPr="00B72CC8">
              <w:rPr>
                <w:sz w:val="16"/>
                <w:szCs w:val="16"/>
              </w:rPr>
              <w:t xml:space="preserve"> adopted in the General Equipment Rules </w:t>
            </w:r>
          </w:p>
        </w:tc>
      </w:tr>
      <w:tr w:rsidR="00B72CC8" w:rsidRPr="00B72CC8" w14:paraId="6D70CFD8" w14:textId="77777777" w:rsidTr="00D30BC6">
        <w:trPr>
          <w:trHeight w:val="20"/>
        </w:trPr>
        <w:tc>
          <w:tcPr>
            <w:tcW w:w="416" w:type="dxa"/>
          </w:tcPr>
          <w:p w14:paraId="69D9CECD" w14:textId="2A409060" w:rsidR="00B72CC8" w:rsidRPr="00B72CC8" w:rsidRDefault="00B72CC8" w:rsidP="00D30BC6">
            <w:pPr>
              <w:spacing w:after="120"/>
              <w:rPr>
                <w:sz w:val="16"/>
                <w:szCs w:val="16"/>
              </w:rPr>
            </w:pPr>
            <w:r>
              <w:rPr>
                <w:sz w:val="16"/>
                <w:szCs w:val="16"/>
              </w:rPr>
              <w:t>5</w:t>
            </w:r>
          </w:p>
        </w:tc>
        <w:tc>
          <w:tcPr>
            <w:tcW w:w="2126" w:type="dxa"/>
            <w:shd w:val="clear" w:color="auto" w:fill="auto"/>
          </w:tcPr>
          <w:p w14:paraId="63DF73D9" w14:textId="77777777" w:rsidR="00B72CC8" w:rsidRPr="00D30BC6" w:rsidRDefault="007B4D70" w:rsidP="00D30BC6">
            <w:pPr>
              <w:spacing w:after="120" w:line="240" w:lineRule="auto"/>
              <w:rPr>
                <w:rFonts w:ascii="Calibri" w:eastAsia="Calibri" w:hAnsi="Calibri"/>
                <w:color w:val="000000" w:themeColor="text1"/>
                <w:sz w:val="22"/>
                <w:szCs w:val="22"/>
                <w:lang w:eastAsia="en-US"/>
              </w:rPr>
            </w:pPr>
            <w:hyperlink r:id="rId31">
              <w:r w:rsidR="00B72CC8" w:rsidRPr="00D30BC6">
                <w:rPr>
                  <w:rFonts w:eastAsia="Arial" w:cs="Arial"/>
                  <w:color w:val="000000" w:themeColor="text1"/>
                  <w:sz w:val="16"/>
                  <w:szCs w:val="16"/>
                </w:rPr>
                <w:t>Radiocommunications (UHF CB Radio Equipment) Standard 2011 (No. 1)</w:t>
              </w:r>
            </w:hyperlink>
          </w:p>
        </w:tc>
        <w:tc>
          <w:tcPr>
            <w:tcW w:w="1569" w:type="dxa"/>
            <w:shd w:val="clear" w:color="auto" w:fill="FFFFFF"/>
          </w:tcPr>
          <w:p w14:paraId="0E6C42D2" w14:textId="77777777" w:rsidR="00B72CC8" w:rsidRPr="00B72CC8" w:rsidRDefault="00B72CC8" w:rsidP="00D30BC6">
            <w:pPr>
              <w:spacing w:after="120" w:line="240" w:lineRule="auto"/>
              <w:rPr>
                <w:sz w:val="16"/>
                <w:szCs w:val="16"/>
              </w:rPr>
            </w:pPr>
            <w:r w:rsidRPr="00B72CC8">
              <w:rPr>
                <w:sz w:val="16"/>
                <w:szCs w:val="16"/>
              </w:rPr>
              <w:t>AS/NZS 4365:2011</w:t>
            </w:r>
          </w:p>
        </w:tc>
        <w:tc>
          <w:tcPr>
            <w:tcW w:w="1985" w:type="dxa"/>
            <w:shd w:val="clear" w:color="auto" w:fill="DDFEFF"/>
          </w:tcPr>
          <w:p w14:paraId="6A4C36D9" w14:textId="27D71BEC" w:rsidR="00B72CC8" w:rsidRPr="00B72CC8" w:rsidRDefault="00B72CC8" w:rsidP="00D30BC6">
            <w:pPr>
              <w:spacing w:after="120"/>
              <w:rPr>
                <w:sz w:val="16"/>
                <w:szCs w:val="16"/>
              </w:rPr>
            </w:pPr>
            <w:r w:rsidRPr="00B72CC8">
              <w:rPr>
                <w:sz w:val="16"/>
                <w:szCs w:val="16"/>
              </w:rPr>
              <w:t>UHF CB Radio Equipment Standard</w:t>
            </w:r>
          </w:p>
          <w:p w14:paraId="08E10464" w14:textId="77777777" w:rsidR="00B72CC8" w:rsidRPr="00B72CC8" w:rsidRDefault="00B72CC8" w:rsidP="00D30BC6">
            <w:pPr>
              <w:spacing w:after="120" w:line="240" w:lineRule="auto"/>
              <w:rPr>
                <w:sz w:val="16"/>
                <w:szCs w:val="16"/>
              </w:rPr>
            </w:pPr>
            <w:r w:rsidRPr="00B72CC8">
              <w:rPr>
                <w:sz w:val="16"/>
                <w:szCs w:val="16"/>
              </w:rPr>
              <w:t>(Part 7 of Schedule 5)</w:t>
            </w:r>
          </w:p>
        </w:tc>
        <w:tc>
          <w:tcPr>
            <w:tcW w:w="2126" w:type="dxa"/>
            <w:shd w:val="clear" w:color="auto" w:fill="DDFEFF"/>
          </w:tcPr>
          <w:p w14:paraId="3B7236D6" w14:textId="77777777" w:rsidR="00B72CC8" w:rsidRPr="00B72CC8" w:rsidRDefault="00B72CC8" w:rsidP="00D30BC6">
            <w:pPr>
              <w:spacing w:after="120" w:line="240" w:lineRule="auto"/>
              <w:rPr>
                <w:sz w:val="16"/>
                <w:szCs w:val="16"/>
              </w:rPr>
            </w:pPr>
            <w:r w:rsidRPr="00B72CC8">
              <w:rPr>
                <w:sz w:val="16"/>
                <w:szCs w:val="16"/>
              </w:rPr>
              <w:t>N/A</w:t>
            </w:r>
          </w:p>
        </w:tc>
        <w:tc>
          <w:tcPr>
            <w:tcW w:w="1843" w:type="dxa"/>
            <w:shd w:val="clear" w:color="auto" w:fill="DDFEFF"/>
          </w:tcPr>
          <w:p w14:paraId="27AE86A9" w14:textId="77777777" w:rsidR="00B72CC8" w:rsidRPr="00B72CC8" w:rsidRDefault="00B72CC8" w:rsidP="00D30BC6">
            <w:pPr>
              <w:spacing w:after="120" w:line="240" w:lineRule="auto"/>
              <w:rPr>
                <w:sz w:val="16"/>
                <w:szCs w:val="16"/>
              </w:rPr>
            </w:pPr>
            <w:r w:rsidRPr="00B72CC8">
              <w:rPr>
                <w:sz w:val="16"/>
                <w:szCs w:val="16"/>
              </w:rPr>
              <w:t>N/A</w:t>
            </w:r>
          </w:p>
        </w:tc>
      </w:tr>
      <w:tr w:rsidR="00B72CC8" w:rsidRPr="00B72CC8" w14:paraId="59E41D1B" w14:textId="77777777" w:rsidTr="00D30BC6">
        <w:trPr>
          <w:trHeight w:val="20"/>
        </w:trPr>
        <w:tc>
          <w:tcPr>
            <w:tcW w:w="416" w:type="dxa"/>
          </w:tcPr>
          <w:p w14:paraId="1BE27221" w14:textId="09EF7FC1" w:rsidR="00B72CC8" w:rsidRPr="00B72CC8" w:rsidRDefault="00B72CC8" w:rsidP="00D30BC6">
            <w:pPr>
              <w:spacing w:after="120"/>
              <w:rPr>
                <w:sz w:val="16"/>
                <w:szCs w:val="16"/>
              </w:rPr>
            </w:pPr>
            <w:r>
              <w:rPr>
                <w:sz w:val="16"/>
                <w:szCs w:val="16"/>
              </w:rPr>
              <w:t>6</w:t>
            </w:r>
          </w:p>
        </w:tc>
        <w:tc>
          <w:tcPr>
            <w:tcW w:w="2126" w:type="dxa"/>
            <w:shd w:val="clear" w:color="auto" w:fill="auto"/>
          </w:tcPr>
          <w:p w14:paraId="59411BC0" w14:textId="77777777" w:rsidR="00B72CC8" w:rsidRPr="00D30BC6" w:rsidRDefault="007B4D70" w:rsidP="00D30BC6">
            <w:pPr>
              <w:spacing w:after="120" w:line="240" w:lineRule="auto"/>
              <w:rPr>
                <w:rFonts w:eastAsia="Arial" w:cs="Arial"/>
                <w:color w:val="000000" w:themeColor="text1"/>
                <w:sz w:val="16"/>
                <w:szCs w:val="16"/>
              </w:rPr>
            </w:pPr>
            <w:hyperlink r:id="rId32">
              <w:r w:rsidR="00B72CC8" w:rsidRPr="00D30BC6">
                <w:rPr>
                  <w:rFonts w:eastAsia="Arial" w:cs="Arial"/>
                  <w:color w:val="000000" w:themeColor="text1"/>
                  <w:sz w:val="16"/>
                  <w:szCs w:val="16"/>
                </w:rPr>
                <w:t>Radiocommunications (118MHz to 137MHz Amplitude Modulated Equipment — Aeronautical Radio Service) Standard 2012</w:t>
              </w:r>
            </w:hyperlink>
          </w:p>
        </w:tc>
        <w:tc>
          <w:tcPr>
            <w:tcW w:w="1569" w:type="dxa"/>
            <w:shd w:val="clear" w:color="auto" w:fill="auto"/>
          </w:tcPr>
          <w:p w14:paraId="31D284B2" w14:textId="77777777" w:rsidR="00B72CC8" w:rsidRPr="00B72CC8" w:rsidRDefault="00B72CC8" w:rsidP="00D30BC6">
            <w:pPr>
              <w:spacing w:after="120" w:line="240" w:lineRule="auto"/>
              <w:rPr>
                <w:sz w:val="16"/>
                <w:szCs w:val="16"/>
              </w:rPr>
            </w:pPr>
            <w:r w:rsidRPr="00B72CC8">
              <w:rPr>
                <w:sz w:val="16"/>
                <w:szCs w:val="16"/>
              </w:rPr>
              <w:t>AS/NZS 4583:2016</w:t>
            </w:r>
          </w:p>
        </w:tc>
        <w:tc>
          <w:tcPr>
            <w:tcW w:w="1985" w:type="dxa"/>
            <w:shd w:val="clear" w:color="auto" w:fill="DDFEFF"/>
          </w:tcPr>
          <w:p w14:paraId="74396260" w14:textId="0256E29D" w:rsidR="00B72CC8" w:rsidRPr="00B72CC8" w:rsidRDefault="00B72CC8" w:rsidP="00D30BC6">
            <w:pPr>
              <w:spacing w:after="120" w:line="240" w:lineRule="auto"/>
              <w:rPr>
                <w:sz w:val="16"/>
                <w:szCs w:val="16"/>
              </w:rPr>
            </w:pPr>
            <w:r w:rsidRPr="00B72CC8">
              <w:rPr>
                <w:sz w:val="16"/>
                <w:szCs w:val="16"/>
              </w:rPr>
              <w:t>118 MHz to 137 MHz Amplitude Modulated Equipment – Aeronautical Radio Service Standard</w:t>
            </w:r>
          </w:p>
          <w:p w14:paraId="587FE22D" w14:textId="77777777" w:rsidR="00B72CC8" w:rsidRPr="00B72CC8" w:rsidRDefault="00B72CC8" w:rsidP="00D30BC6">
            <w:pPr>
              <w:spacing w:after="120" w:line="240" w:lineRule="auto"/>
              <w:rPr>
                <w:sz w:val="16"/>
                <w:szCs w:val="16"/>
              </w:rPr>
            </w:pPr>
            <w:r w:rsidRPr="00B72CC8">
              <w:rPr>
                <w:sz w:val="16"/>
                <w:szCs w:val="16"/>
              </w:rPr>
              <w:t>(Part 8 of Schedule 5)</w:t>
            </w:r>
          </w:p>
          <w:p w14:paraId="3D14C85E" w14:textId="77777777" w:rsidR="00B72CC8" w:rsidRPr="00B72CC8" w:rsidRDefault="00B72CC8" w:rsidP="00D30BC6">
            <w:pPr>
              <w:spacing w:after="120" w:line="240" w:lineRule="auto"/>
              <w:rPr>
                <w:sz w:val="16"/>
                <w:szCs w:val="16"/>
              </w:rPr>
            </w:pPr>
          </w:p>
        </w:tc>
        <w:tc>
          <w:tcPr>
            <w:tcW w:w="2126" w:type="dxa"/>
            <w:shd w:val="clear" w:color="auto" w:fill="DDFEFF"/>
          </w:tcPr>
          <w:p w14:paraId="615786D4" w14:textId="77777777" w:rsidR="00B72CC8" w:rsidRPr="00B72CC8" w:rsidRDefault="00B72CC8" w:rsidP="00D30BC6">
            <w:pPr>
              <w:spacing w:after="120" w:line="240" w:lineRule="auto"/>
              <w:rPr>
                <w:sz w:val="16"/>
                <w:szCs w:val="16"/>
              </w:rPr>
            </w:pPr>
            <w:r w:rsidRPr="00B72CC8">
              <w:rPr>
                <w:sz w:val="16"/>
                <w:szCs w:val="16"/>
              </w:rPr>
              <w:t>ETSI EN 300 676-1:2011</w:t>
            </w:r>
          </w:p>
          <w:p w14:paraId="75DC5432" w14:textId="77777777" w:rsidR="00B72CC8" w:rsidRPr="00B72CC8" w:rsidRDefault="00B72CC8" w:rsidP="00D30BC6">
            <w:pPr>
              <w:spacing w:after="120" w:line="240" w:lineRule="auto"/>
              <w:rPr>
                <w:sz w:val="16"/>
                <w:szCs w:val="16"/>
              </w:rPr>
            </w:pPr>
            <w:r w:rsidRPr="00B72CC8">
              <w:rPr>
                <w:sz w:val="16"/>
                <w:szCs w:val="16"/>
              </w:rPr>
              <w:t>(As per essential requirements of Directive 2014/53/EU)</w:t>
            </w:r>
          </w:p>
        </w:tc>
        <w:tc>
          <w:tcPr>
            <w:tcW w:w="1843" w:type="dxa"/>
            <w:shd w:val="clear" w:color="auto" w:fill="DDFEFF"/>
          </w:tcPr>
          <w:p w14:paraId="2096F28F" w14:textId="77777777" w:rsidR="00B72CC8" w:rsidRPr="00B72CC8" w:rsidRDefault="00B72CC8" w:rsidP="00D30BC6">
            <w:pPr>
              <w:spacing w:after="120" w:line="240" w:lineRule="auto"/>
              <w:rPr>
                <w:sz w:val="16"/>
                <w:szCs w:val="16"/>
              </w:rPr>
            </w:pPr>
            <w:r w:rsidRPr="00B72CC8">
              <w:rPr>
                <w:sz w:val="16"/>
                <w:szCs w:val="16"/>
              </w:rPr>
              <w:t>N/A</w:t>
            </w:r>
          </w:p>
        </w:tc>
      </w:tr>
      <w:tr w:rsidR="00B72CC8" w:rsidRPr="00B72CC8" w14:paraId="01A2C444" w14:textId="77777777" w:rsidTr="00D30BC6">
        <w:trPr>
          <w:trHeight w:val="118"/>
        </w:trPr>
        <w:tc>
          <w:tcPr>
            <w:tcW w:w="416" w:type="dxa"/>
          </w:tcPr>
          <w:p w14:paraId="1F3D87C0" w14:textId="4404D087" w:rsidR="00B72CC8" w:rsidRPr="00B72CC8" w:rsidRDefault="00B72CC8" w:rsidP="00D30BC6">
            <w:pPr>
              <w:spacing w:after="120"/>
              <w:rPr>
                <w:sz w:val="16"/>
                <w:szCs w:val="16"/>
              </w:rPr>
            </w:pPr>
            <w:r>
              <w:rPr>
                <w:sz w:val="16"/>
                <w:szCs w:val="16"/>
              </w:rPr>
              <w:t>7</w:t>
            </w:r>
          </w:p>
        </w:tc>
        <w:tc>
          <w:tcPr>
            <w:tcW w:w="2126" w:type="dxa"/>
            <w:shd w:val="clear" w:color="auto" w:fill="auto"/>
          </w:tcPr>
          <w:p w14:paraId="168D9CA8" w14:textId="77777777" w:rsidR="00B72CC8" w:rsidRPr="00D30BC6" w:rsidRDefault="007B4D70" w:rsidP="00D30BC6">
            <w:pPr>
              <w:spacing w:after="120" w:line="240" w:lineRule="auto"/>
              <w:rPr>
                <w:color w:val="000000" w:themeColor="text1"/>
                <w:sz w:val="16"/>
                <w:szCs w:val="16"/>
              </w:rPr>
            </w:pPr>
            <w:hyperlink r:id="rId33">
              <w:r w:rsidR="00B72CC8" w:rsidRPr="00D30BC6">
                <w:rPr>
                  <w:rFonts w:eastAsia="Arial" w:cs="Arial"/>
                  <w:color w:val="000000" w:themeColor="text1"/>
                  <w:sz w:val="16"/>
                  <w:szCs w:val="16"/>
                </w:rPr>
                <w:t>Radiocommunications (406 MHz Satellite Distress Beacons) Standard 2014</w:t>
              </w:r>
            </w:hyperlink>
          </w:p>
        </w:tc>
        <w:tc>
          <w:tcPr>
            <w:tcW w:w="1569" w:type="dxa"/>
            <w:shd w:val="clear" w:color="auto" w:fill="FFFFFF"/>
          </w:tcPr>
          <w:p w14:paraId="51BF8C95" w14:textId="77777777" w:rsidR="00B72CC8" w:rsidRPr="00B72CC8" w:rsidRDefault="00B72CC8" w:rsidP="00D30BC6">
            <w:pPr>
              <w:spacing w:after="120"/>
              <w:rPr>
                <w:sz w:val="16"/>
                <w:szCs w:val="16"/>
              </w:rPr>
            </w:pPr>
            <w:r w:rsidRPr="00B72CC8">
              <w:rPr>
                <w:sz w:val="16"/>
                <w:szCs w:val="16"/>
              </w:rPr>
              <w:t xml:space="preserve">AS/NZS 4280.1:2017 and AS/NZS 4280.2:2017 </w:t>
            </w:r>
          </w:p>
        </w:tc>
        <w:tc>
          <w:tcPr>
            <w:tcW w:w="1985" w:type="dxa"/>
            <w:shd w:val="clear" w:color="auto" w:fill="DDFEFF"/>
          </w:tcPr>
          <w:p w14:paraId="3C8108C5" w14:textId="5A404526" w:rsidR="00B72CC8" w:rsidRPr="00B72CC8" w:rsidRDefault="00B72CC8" w:rsidP="00D30BC6">
            <w:pPr>
              <w:spacing w:after="120"/>
              <w:rPr>
                <w:sz w:val="16"/>
                <w:szCs w:val="16"/>
              </w:rPr>
            </w:pPr>
            <w:r w:rsidRPr="00B72CC8">
              <w:rPr>
                <w:sz w:val="16"/>
                <w:szCs w:val="16"/>
              </w:rPr>
              <w:t>406 MHz Satellite Distress Beacons Standard</w:t>
            </w:r>
          </w:p>
          <w:p w14:paraId="3D3A42D6" w14:textId="26381AE5" w:rsidR="00B72CC8" w:rsidRPr="00B72CC8" w:rsidRDefault="00B72CC8" w:rsidP="00D30BC6">
            <w:pPr>
              <w:spacing w:after="120"/>
              <w:rPr>
                <w:sz w:val="16"/>
                <w:szCs w:val="16"/>
              </w:rPr>
            </w:pPr>
            <w:r w:rsidRPr="00B72CC8">
              <w:rPr>
                <w:sz w:val="16"/>
                <w:szCs w:val="16"/>
              </w:rPr>
              <w:t>(Part 9 of Schedule 5)</w:t>
            </w:r>
          </w:p>
        </w:tc>
        <w:tc>
          <w:tcPr>
            <w:tcW w:w="2126" w:type="dxa"/>
            <w:shd w:val="clear" w:color="auto" w:fill="DDFEFF"/>
          </w:tcPr>
          <w:p w14:paraId="7F22DA57" w14:textId="77777777" w:rsidR="00B72CC8" w:rsidRPr="00B72CC8" w:rsidRDefault="00B72CC8" w:rsidP="00D30BC6">
            <w:pPr>
              <w:spacing w:after="120"/>
              <w:rPr>
                <w:sz w:val="16"/>
                <w:szCs w:val="16"/>
              </w:rPr>
            </w:pPr>
            <w:r w:rsidRPr="00B72CC8">
              <w:rPr>
                <w:sz w:val="16"/>
                <w:szCs w:val="16"/>
              </w:rPr>
              <w:t>N/A</w:t>
            </w:r>
          </w:p>
        </w:tc>
        <w:tc>
          <w:tcPr>
            <w:tcW w:w="1843" w:type="dxa"/>
            <w:shd w:val="clear" w:color="auto" w:fill="DDFEFF"/>
          </w:tcPr>
          <w:p w14:paraId="771F2A32" w14:textId="2966A832" w:rsidR="00B72CC8" w:rsidRPr="00B72CC8" w:rsidRDefault="00B72CC8" w:rsidP="00D30BC6">
            <w:pPr>
              <w:spacing w:after="120"/>
              <w:rPr>
                <w:sz w:val="16"/>
                <w:szCs w:val="16"/>
              </w:rPr>
            </w:pPr>
            <w:r w:rsidRPr="00B72CC8">
              <w:rPr>
                <w:sz w:val="16"/>
                <w:szCs w:val="16"/>
              </w:rPr>
              <w:t xml:space="preserve">AS/NZS 4280.1:2022 is </w:t>
            </w:r>
            <w:r w:rsidR="009F662A">
              <w:rPr>
                <w:sz w:val="16"/>
                <w:szCs w:val="16"/>
              </w:rPr>
              <w:t xml:space="preserve">to be </w:t>
            </w:r>
            <w:r w:rsidRPr="00B72CC8">
              <w:rPr>
                <w:sz w:val="16"/>
                <w:szCs w:val="16"/>
              </w:rPr>
              <w:t xml:space="preserve">adopted in the General Equipment Rules replacing the superseded 2017 version </w:t>
            </w:r>
          </w:p>
        </w:tc>
      </w:tr>
      <w:tr w:rsidR="00B72CC8" w:rsidRPr="00B72CC8" w14:paraId="0D6F66A4" w14:textId="77777777" w:rsidTr="00D30BC6">
        <w:trPr>
          <w:trHeight w:val="163"/>
        </w:trPr>
        <w:tc>
          <w:tcPr>
            <w:tcW w:w="416" w:type="dxa"/>
          </w:tcPr>
          <w:p w14:paraId="5C50212B" w14:textId="3E324644" w:rsidR="00B72CC8" w:rsidRPr="00B72CC8" w:rsidRDefault="00B72CC8" w:rsidP="00D30BC6">
            <w:pPr>
              <w:spacing w:after="120"/>
              <w:rPr>
                <w:sz w:val="16"/>
                <w:szCs w:val="16"/>
              </w:rPr>
            </w:pPr>
            <w:r>
              <w:rPr>
                <w:sz w:val="16"/>
                <w:szCs w:val="16"/>
              </w:rPr>
              <w:t>8</w:t>
            </w:r>
          </w:p>
        </w:tc>
        <w:tc>
          <w:tcPr>
            <w:tcW w:w="2126" w:type="dxa"/>
            <w:shd w:val="clear" w:color="auto" w:fill="auto"/>
          </w:tcPr>
          <w:p w14:paraId="09155EDE" w14:textId="77777777" w:rsidR="00B72CC8" w:rsidRPr="00D30BC6" w:rsidRDefault="007B4D70" w:rsidP="00D30BC6">
            <w:pPr>
              <w:spacing w:after="120" w:line="240" w:lineRule="auto"/>
              <w:rPr>
                <w:color w:val="000000" w:themeColor="text1"/>
                <w:sz w:val="16"/>
                <w:szCs w:val="16"/>
              </w:rPr>
            </w:pPr>
            <w:hyperlink r:id="rId34">
              <w:r w:rsidR="00B72CC8" w:rsidRPr="00D30BC6">
                <w:rPr>
                  <w:rFonts w:eastAsia="Arial" w:cs="Arial"/>
                  <w:color w:val="000000" w:themeColor="text1"/>
                  <w:sz w:val="16"/>
                  <w:szCs w:val="16"/>
                </w:rPr>
                <w:t>Radiocommunications (Devices Used in the Inshore Boating Radio Services Band) Standard 2017</w:t>
              </w:r>
            </w:hyperlink>
          </w:p>
        </w:tc>
        <w:tc>
          <w:tcPr>
            <w:tcW w:w="1569" w:type="dxa"/>
            <w:shd w:val="clear" w:color="auto" w:fill="FFFFFF"/>
          </w:tcPr>
          <w:p w14:paraId="13E52D56" w14:textId="77777777" w:rsidR="00B72CC8" w:rsidRPr="00B72CC8" w:rsidRDefault="00B72CC8" w:rsidP="00D30BC6">
            <w:pPr>
              <w:spacing w:after="120"/>
              <w:rPr>
                <w:sz w:val="16"/>
                <w:szCs w:val="16"/>
              </w:rPr>
            </w:pPr>
            <w:r w:rsidRPr="00B72CC8">
              <w:rPr>
                <w:sz w:val="16"/>
                <w:szCs w:val="16"/>
              </w:rPr>
              <w:t>AS 4376:2007</w:t>
            </w:r>
          </w:p>
        </w:tc>
        <w:tc>
          <w:tcPr>
            <w:tcW w:w="1985" w:type="dxa"/>
            <w:shd w:val="clear" w:color="auto" w:fill="DDFEFF"/>
          </w:tcPr>
          <w:p w14:paraId="5A09090B" w14:textId="6EA9B1C6" w:rsidR="00B72CC8" w:rsidRPr="00B72CC8" w:rsidRDefault="00B72CC8" w:rsidP="00D30BC6">
            <w:pPr>
              <w:spacing w:after="120"/>
              <w:rPr>
                <w:sz w:val="16"/>
                <w:szCs w:val="16"/>
              </w:rPr>
            </w:pPr>
            <w:r w:rsidRPr="00B72CC8">
              <w:rPr>
                <w:sz w:val="16"/>
                <w:szCs w:val="16"/>
              </w:rPr>
              <w:t>Equipment Used in the Inshore Boating Radio Services Band Standard</w:t>
            </w:r>
          </w:p>
          <w:p w14:paraId="27ACCBCE" w14:textId="516C8E92" w:rsidR="00B72CC8" w:rsidRPr="00B72CC8" w:rsidRDefault="00B72CC8" w:rsidP="00D30BC6">
            <w:pPr>
              <w:spacing w:after="120"/>
              <w:rPr>
                <w:sz w:val="16"/>
                <w:szCs w:val="16"/>
              </w:rPr>
            </w:pPr>
            <w:r w:rsidRPr="00B72CC8">
              <w:rPr>
                <w:sz w:val="16"/>
                <w:szCs w:val="16"/>
              </w:rPr>
              <w:t>(Part 10 of Schedule 5)</w:t>
            </w:r>
          </w:p>
        </w:tc>
        <w:tc>
          <w:tcPr>
            <w:tcW w:w="2126" w:type="dxa"/>
            <w:shd w:val="clear" w:color="auto" w:fill="DDFEFF"/>
          </w:tcPr>
          <w:p w14:paraId="2B136B63" w14:textId="77777777" w:rsidR="00B72CC8" w:rsidRPr="00B72CC8" w:rsidRDefault="00B72CC8" w:rsidP="00D30BC6">
            <w:pPr>
              <w:spacing w:after="120"/>
              <w:rPr>
                <w:sz w:val="16"/>
                <w:szCs w:val="16"/>
              </w:rPr>
            </w:pPr>
            <w:r w:rsidRPr="00B72CC8">
              <w:rPr>
                <w:sz w:val="16"/>
                <w:szCs w:val="16"/>
              </w:rPr>
              <w:t>N/A</w:t>
            </w:r>
          </w:p>
        </w:tc>
        <w:tc>
          <w:tcPr>
            <w:tcW w:w="1843" w:type="dxa"/>
            <w:shd w:val="clear" w:color="auto" w:fill="DDFEFF"/>
          </w:tcPr>
          <w:p w14:paraId="230B8EBB" w14:textId="77777777" w:rsidR="00B72CC8" w:rsidRPr="00B72CC8" w:rsidRDefault="00B72CC8" w:rsidP="00D30BC6">
            <w:pPr>
              <w:spacing w:after="120"/>
              <w:rPr>
                <w:sz w:val="16"/>
                <w:szCs w:val="16"/>
              </w:rPr>
            </w:pPr>
            <w:r w:rsidRPr="00B72CC8">
              <w:rPr>
                <w:sz w:val="16"/>
                <w:szCs w:val="16"/>
              </w:rPr>
              <w:t>N/A</w:t>
            </w:r>
          </w:p>
        </w:tc>
      </w:tr>
      <w:tr w:rsidR="00B72CC8" w:rsidRPr="00B72CC8" w14:paraId="20ABE5B2" w14:textId="77777777" w:rsidTr="00D30BC6">
        <w:trPr>
          <w:trHeight w:val="1141"/>
        </w:trPr>
        <w:tc>
          <w:tcPr>
            <w:tcW w:w="416" w:type="dxa"/>
          </w:tcPr>
          <w:p w14:paraId="05C158BB" w14:textId="29BE679D" w:rsidR="00B72CC8" w:rsidRPr="00B72CC8" w:rsidRDefault="00B72CC8" w:rsidP="00D30BC6">
            <w:pPr>
              <w:spacing w:after="120"/>
              <w:rPr>
                <w:sz w:val="16"/>
                <w:szCs w:val="16"/>
              </w:rPr>
            </w:pPr>
            <w:r>
              <w:rPr>
                <w:sz w:val="16"/>
                <w:szCs w:val="16"/>
              </w:rPr>
              <w:lastRenderedPageBreak/>
              <w:t>9</w:t>
            </w:r>
          </w:p>
        </w:tc>
        <w:tc>
          <w:tcPr>
            <w:tcW w:w="2126" w:type="dxa"/>
            <w:shd w:val="clear" w:color="auto" w:fill="auto"/>
          </w:tcPr>
          <w:p w14:paraId="6575A56B" w14:textId="77777777" w:rsidR="00B72CC8" w:rsidRPr="00D30BC6" w:rsidRDefault="007B4D70" w:rsidP="00D30BC6">
            <w:pPr>
              <w:spacing w:after="120" w:line="240" w:lineRule="auto"/>
              <w:rPr>
                <w:color w:val="000000" w:themeColor="text1"/>
                <w:sz w:val="16"/>
                <w:szCs w:val="16"/>
              </w:rPr>
            </w:pPr>
            <w:hyperlink r:id="rId35">
              <w:r w:rsidR="00B72CC8" w:rsidRPr="00D30BC6">
                <w:rPr>
                  <w:rFonts w:eastAsia="Arial" w:cs="Arial"/>
                  <w:color w:val="000000" w:themeColor="text1"/>
                  <w:sz w:val="16"/>
                  <w:szCs w:val="16"/>
                </w:rPr>
                <w:t>Radiocommunications (MF and HF Radiotelephone Equipment – International Maritime Mobile Service) Standard 2014</w:t>
              </w:r>
            </w:hyperlink>
          </w:p>
        </w:tc>
        <w:tc>
          <w:tcPr>
            <w:tcW w:w="1569" w:type="dxa"/>
            <w:shd w:val="clear" w:color="auto" w:fill="auto"/>
          </w:tcPr>
          <w:p w14:paraId="6D57EF82" w14:textId="77777777" w:rsidR="00B72CC8" w:rsidRPr="00B72CC8" w:rsidRDefault="00B72CC8" w:rsidP="00D30BC6">
            <w:pPr>
              <w:spacing w:after="120"/>
              <w:rPr>
                <w:sz w:val="16"/>
                <w:szCs w:val="16"/>
              </w:rPr>
            </w:pPr>
            <w:r w:rsidRPr="00B72CC8">
              <w:rPr>
                <w:sz w:val="16"/>
                <w:szCs w:val="16"/>
              </w:rPr>
              <w:t>AS/NZS 4582:2004</w:t>
            </w:r>
          </w:p>
        </w:tc>
        <w:tc>
          <w:tcPr>
            <w:tcW w:w="1985" w:type="dxa"/>
            <w:shd w:val="clear" w:color="auto" w:fill="DDFEFF"/>
          </w:tcPr>
          <w:p w14:paraId="618C2ECF" w14:textId="7F15EA25" w:rsidR="00B72CC8" w:rsidRPr="00B72CC8" w:rsidRDefault="00B72CC8" w:rsidP="00D30BC6">
            <w:pPr>
              <w:spacing w:after="120"/>
              <w:rPr>
                <w:sz w:val="16"/>
                <w:szCs w:val="16"/>
              </w:rPr>
            </w:pPr>
            <w:r w:rsidRPr="00B72CC8">
              <w:rPr>
                <w:sz w:val="16"/>
                <w:szCs w:val="16"/>
              </w:rPr>
              <w:t>MF and HF Radiotelephone Equipment – International Maritime Service Standard</w:t>
            </w:r>
          </w:p>
          <w:p w14:paraId="59EC9A48" w14:textId="77777777" w:rsidR="00B72CC8" w:rsidRPr="00B72CC8" w:rsidRDefault="00B72CC8" w:rsidP="00D30BC6">
            <w:pPr>
              <w:spacing w:after="120"/>
              <w:rPr>
                <w:sz w:val="16"/>
                <w:szCs w:val="16"/>
              </w:rPr>
            </w:pPr>
            <w:r w:rsidRPr="00B72CC8">
              <w:rPr>
                <w:sz w:val="16"/>
                <w:szCs w:val="16"/>
              </w:rPr>
              <w:t>(Part 11 of Schedule 5)</w:t>
            </w:r>
          </w:p>
        </w:tc>
        <w:tc>
          <w:tcPr>
            <w:tcW w:w="2126" w:type="dxa"/>
            <w:shd w:val="clear" w:color="auto" w:fill="DDFEFF"/>
          </w:tcPr>
          <w:p w14:paraId="64E7A940" w14:textId="77777777" w:rsidR="00B72CC8" w:rsidRPr="00B72CC8" w:rsidRDefault="00B72CC8" w:rsidP="00D30BC6">
            <w:pPr>
              <w:spacing w:after="120"/>
              <w:rPr>
                <w:sz w:val="16"/>
                <w:szCs w:val="16"/>
              </w:rPr>
            </w:pPr>
            <w:r w:rsidRPr="00B72CC8">
              <w:rPr>
                <w:sz w:val="16"/>
                <w:szCs w:val="16"/>
              </w:rPr>
              <w:t>ETSI EN 303 402:2017</w:t>
            </w:r>
          </w:p>
          <w:p w14:paraId="2654E813" w14:textId="77777777" w:rsidR="00B72CC8" w:rsidRPr="00B72CC8" w:rsidRDefault="00B72CC8" w:rsidP="00D30BC6">
            <w:pPr>
              <w:spacing w:after="120"/>
              <w:rPr>
                <w:sz w:val="16"/>
                <w:szCs w:val="16"/>
              </w:rPr>
            </w:pPr>
            <w:r w:rsidRPr="00B72CC8">
              <w:rPr>
                <w:sz w:val="16"/>
                <w:szCs w:val="16"/>
              </w:rPr>
              <w:t>(As per essential requirements of Directive 2014/53/EU)</w:t>
            </w:r>
          </w:p>
        </w:tc>
        <w:tc>
          <w:tcPr>
            <w:tcW w:w="1843" w:type="dxa"/>
            <w:shd w:val="clear" w:color="auto" w:fill="DDFEFF"/>
          </w:tcPr>
          <w:p w14:paraId="2257E2FE" w14:textId="624F549D" w:rsidR="00B72CC8" w:rsidRPr="00B72CC8" w:rsidRDefault="00B72CC8" w:rsidP="00D30BC6">
            <w:pPr>
              <w:spacing w:after="120"/>
              <w:rPr>
                <w:sz w:val="16"/>
                <w:szCs w:val="16"/>
              </w:rPr>
            </w:pPr>
            <w:r w:rsidRPr="00B72CC8">
              <w:rPr>
                <w:sz w:val="16"/>
                <w:szCs w:val="16"/>
              </w:rPr>
              <w:t xml:space="preserve">AS/NZS 4582:2004 has been withdrawn by Standards Australia and </w:t>
            </w:r>
            <w:r w:rsidR="0061566E">
              <w:rPr>
                <w:sz w:val="16"/>
                <w:szCs w:val="16"/>
              </w:rPr>
              <w:t>will</w:t>
            </w:r>
            <w:r w:rsidRPr="00B72CC8">
              <w:rPr>
                <w:sz w:val="16"/>
                <w:szCs w:val="16"/>
              </w:rPr>
              <w:t xml:space="preserve"> not </w:t>
            </w:r>
            <w:r w:rsidR="00483AD7">
              <w:rPr>
                <w:sz w:val="16"/>
                <w:szCs w:val="16"/>
              </w:rPr>
              <w:t xml:space="preserve">be </w:t>
            </w:r>
            <w:r w:rsidRPr="00B72CC8">
              <w:rPr>
                <w:sz w:val="16"/>
                <w:szCs w:val="16"/>
              </w:rPr>
              <w:t>adopted in the General Equipment Rules</w:t>
            </w:r>
          </w:p>
        </w:tc>
      </w:tr>
      <w:tr w:rsidR="00B72CC8" w:rsidRPr="00B72CC8" w14:paraId="190B05FA" w14:textId="77777777" w:rsidTr="00D30BC6">
        <w:trPr>
          <w:trHeight w:val="1141"/>
        </w:trPr>
        <w:tc>
          <w:tcPr>
            <w:tcW w:w="416" w:type="dxa"/>
            <w:shd w:val="clear" w:color="auto" w:fill="auto"/>
          </w:tcPr>
          <w:p w14:paraId="7D9792B6" w14:textId="0B5DCE05" w:rsidR="00B72CC8" w:rsidRPr="00B72CC8" w:rsidRDefault="00B72CC8" w:rsidP="00D30BC6">
            <w:pPr>
              <w:spacing w:after="120"/>
              <w:rPr>
                <w:sz w:val="16"/>
                <w:szCs w:val="16"/>
              </w:rPr>
            </w:pPr>
            <w:r>
              <w:rPr>
                <w:sz w:val="16"/>
                <w:szCs w:val="16"/>
              </w:rPr>
              <w:t>10</w:t>
            </w:r>
          </w:p>
        </w:tc>
        <w:tc>
          <w:tcPr>
            <w:tcW w:w="2126" w:type="dxa"/>
            <w:shd w:val="clear" w:color="auto" w:fill="auto"/>
          </w:tcPr>
          <w:p w14:paraId="3AE44109" w14:textId="77777777" w:rsidR="00B72CC8" w:rsidRPr="00D30BC6" w:rsidRDefault="007B4D70" w:rsidP="00D30BC6">
            <w:pPr>
              <w:spacing w:after="120" w:line="240" w:lineRule="auto"/>
              <w:rPr>
                <w:color w:val="000000" w:themeColor="text1"/>
                <w:sz w:val="16"/>
                <w:szCs w:val="16"/>
              </w:rPr>
            </w:pPr>
            <w:hyperlink r:id="rId36">
              <w:r w:rsidR="00B72CC8" w:rsidRPr="00D30BC6">
                <w:rPr>
                  <w:rFonts w:eastAsia="Arial" w:cs="Arial"/>
                  <w:color w:val="000000" w:themeColor="text1"/>
                  <w:sz w:val="16"/>
                  <w:szCs w:val="16"/>
                </w:rPr>
                <w:t>Radiocommunications (VHF Radiotelephone Equipment – Maritime Mobile Service) Standard 2018</w:t>
              </w:r>
            </w:hyperlink>
          </w:p>
        </w:tc>
        <w:tc>
          <w:tcPr>
            <w:tcW w:w="1569" w:type="dxa"/>
            <w:shd w:val="clear" w:color="auto" w:fill="FFFFFF"/>
          </w:tcPr>
          <w:p w14:paraId="619FC5EB" w14:textId="186DEBB2" w:rsidR="00B72CC8" w:rsidRPr="00B72CC8" w:rsidRDefault="00B72CC8" w:rsidP="00D30BC6">
            <w:pPr>
              <w:spacing w:after="120"/>
              <w:rPr>
                <w:sz w:val="16"/>
                <w:szCs w:val="16"/>
              </w:rPr>
            </w:pPr>
            <w:r w:rsidRPr="00B72CC8">
              <w:rPr>
                <w:sz w:val="16"/>
                <w:szCs w:val="16"/>
              </w:rPr>
              <w:t>AS/NZS ETSI EN 301 025:2018, AS/NZS ETSI EN 301 178:2018, and AS/NZS ETSI EN 302 885:2018</w:t>
            </w:r>
            <w:r w:rsidR="00AB6417">
              <w:rPr>
                <w:sz w:val="16"/>
                <w:szCs w:val="16"/>
              </w:rPr>
              <w:t>,</w:t>
            </w:r>
            <w:r w:rsidRPr="00B72CC8">
              <w:rPr>
                <w:sz w:val="16"/>
                <w:szCs w:val="16"/>
              </w:rPr>
              <w:t xml:space="preserve"> plus their identical ETSI EN counterparts</w:t>
            </w:r>
          </w:p>
        </w:tc>
        <w:tc>
          <w:tcPr>
            <w:tcW w:w="1985" w:type="dxa"/>
            <w:shd w:val="clear" w:color="auto" w:fill="DDFEFF"/>
          </w:tcPr>
          <w:p w14:paraId="4978A56F" w14:textId="06C478F8" w:rsidR="00B72CC8" w:rsidRPr="00B72CC8" w:rsidRDefault="00B72CC8" w:rsidP="00D30BC6">
            <w:pPr>
              <w:spacing w:after="120"/>
              <w:rPr>
                <w:sz w:val="16"/>
                <w:szCs w:val="16"/>
              </w:rPr>
            </w:pPr>
            <w:r w:rsidRPr="00B72CC8">
              <w:rPr>
                <w:sz w:val="16"/>
                <w:szCs w:val="16"/>
              </w:rPr>
              <w:t>VHF Radiotelephone Equipment – Maritime Mobile Service Standard (Part 1, Part 2 and Part 3)</w:t>
            </w:r>
          </w:p>
          <w:p w14:paraId="346F5DBB" w14:textId="4BF7CB47" w:rsidR="00B72CC8" w:rsidRPr="00B72CC8" w:rsidRDefault="00B72CC8" w:rsidP="00D30BC6">
            <w:pPr>
              <w:spacing w:after="120"/>
              <w:rPr>
                <w:sz w:val="16"/>
                <w:szCs w:val="16"/>
              </w:rPr>
            </w:pPr>
            <w:r w:rsidRPr="00B72CC8">
              <w:rPr>
                <w:sz w:val="16"/>
                <w:szCs w:val="16"/>
              </w:rPr>
              <w:t>(Part 12 of Schedule 5)</w:t>
            </w:r>
          </w:p>
        </w:tc>
        <w:tc>
          <w:tcPr>
            <w:tcW w:w="2126" w:type="dxa"/>
            <w:shd w:val="clear" w:color="auto" w:fill="DDFEFF"/>
          </w:tcPr>
          <w:p w14:paraId="2F6B9092" w14:textId="77777777" w:rsidR="00B72CC8" w:rsidRPr="00B72CC8" w:rsidRDefault="00B72CC8" w:rsidP="00D30BC6">
            <w:pPr>
              <w:spacing w:after="120"/>
              <w:rPr>
                <w:sz w:val="16"/>
                <w:szCs w:val="16"/>
              </w:rPr>
            </w:pPr>
            <w:r w:rsidRPr="00B72CC8">
              <w:rPr>
                <w:sz w:val="16"/>
                <w:szCs w:val="16"/>
              </w:rPr>
              <w:t>N/A</w:t>
            </w:r>
          </w:p>
        </w:tc>
        <w:tc>
          <w:tcPr>
            <w:tcW w:w="1843" w:type="dxa"/>
            <w:shd w:val="clear" w:color="auto" w:fill="DDFEFF"/>
          </w:tcPr>
          <w:p w14:paraId="4C960F60" w14:textId="73908F9D" w:rsidR="00B72CC8" w:rsidRPr="00B72CC8" w:rsidRDefault="00B72CC8" w:rsidP="00D30BC6">
            <w:pPr>
              <w:spacing w:after="120"/>
              <w:rPr>
                <w:sz w:val="16"/>
                <w:szCs w:val="16"/>
              </w:rPr>
            </w:pPr>
            <w:r w:rsidRPr="00B72CC8">
              <w:rPr>
                <w:sz w:val="16"/>
                <w:szCs w:val="16"/>
              </w:rPr>
              <w:t>The 2021 version of ETSI EN 301 025 is</w:t>
            </w:r>
            <w:r w:rsidR="006C372E">
              <w:rPr>
                <w:sz w:val="16"/>
                <w:szCs w:val="16"/>
              </w:rPr>
              <w:t xml:space="preserve"> to be</w:t>
            </w:r>
            <w:r w:rsidRPr="00B72CC8">
              <w:rPr>
                <w:sz w:val="16"/>
                <w:szCs w:val="16"/>
              </w:rPr>
              <w:t xml:space="preserve"> adopted in the General Equipment Rules replacing the superseded 2017 version.</w:t>
            </w:r>
          </w:p>
          <w:p w14:paraId="33D8A3A7" w14:textId="304ED83A" w:rsidR="00B72CC8" w:rsidRPr="00B72CC8" w:rsidRDefault="00B72CC8" w:rsidP="00D30BC6">
            <w:pPr>
              <w:spacing w:after="120"/>
              <w:rPr>
                <w:sz w:val="16"/>
                <w:szCs w:val="16"/>
              </w:rPr>
            </w:pPr>
            <w:r w:rsidRPr="00B72CC8">
              <w:rPr>
                <w:sz w:val="16"/>
                <w:szCs w:val="16"/>
              </w:rPr>
              <w:t xml:space="preserve">An error </w:t>
            </w:r>
            <w:r w:rsidR="00E87128">
              <w:rPr>
                <w:sz w:val="16"/>
                <w:szCs w:val="16"/>
              </w:rPr>
              <w:t xml:space="preserve">in the mandatory technical standard </w:t>
            </w:r>
            <w:r w:rsidRPr="00B72CC8">
              <w:rPr>
                <w:sz w:val="16"/>
                <w:szCs w:val="16"/>
              </w:rPr>
              <w:t>which inadvertently require</w:t>
            </w:r>
            <w:r w:rsidR="00005A5C">
              <w:rPr>
                <w:sz w:val="16"/>
                <w:szCs w:val="16"/>
              </w:rPr>
              <w:t>s</w:t>
            </w:r>
            <w:r w:rsidRPr="00B72CC8">
              <w:rPr>
                <w:sz w:val="16"/>
                <w:szCs w:val="16"/>
              </w:rPr>
              <w:t xml:space="preserve"> compliance with Clause 8.5 (Audio frequency response) </w:t>
            </w:r>
            <w:r w:rsidR="007E6DF4">
              <w:rPr>
                <w:sz w:val="16"/>
                <w:szCs w:val="16"/>
              </w:rPr>
              <w:t>of</w:t>
            </w:r>
            <w:r w:rsidRPr="00B72CC8">
              <w:rPr>
                <w:sz w:val="16"/>
                <w:szCs w:val="16"/>
              </w:rPr>
              <w:t xml:space="preserve"> AS/NZS ETSI 301 178 and ETSI 301 178 </w:t>
            </w:r>
            <w:r w:rsidR="007B51D4">
              <w:rPr>
                <w:sz w:val="16"/>
                <w:szCs w:val="16"/>
              </w:rPr>
              <w:t>is to</w:t>
            </w:r>
            <w:r w:rsidR="004746D2">
              <w:rPr>
                <w:sz w:val="16"/>
                <w:szCs w:val="16"/>
              </w:rPr>
              <w:t xml:space="preserve"> b</w:t>
            </w:r>
            <w:r w:rsidR="009D521B">
              <w:rPr>
                <w:sz w:val="16"/>
                <w:szCs w:val="16"/>
              </w:rPr>
              <w:t>e</w:t>
            </w:r>
            <w:r w:rsidRPr="00B72CC8">
              <w:rPr>
                <w:sz w:val="16"/>
                <w:szCs w:val="16"/>
              </w:rPr>
              <w:t xml:space="preserve"> corrected </w:t>
            </w:r>
            <w:r w:rsidR="00BD746A">
              <w:rPr>
                <w:sz w:val="16"/>
                <w:szCs w:val="16"/>
              </w:rPr>
              <w:t>so</w:t>
            </w:r>
            <w:r w:rsidRPr="00B72CC8">
              <w:rPr>
                <w:sz w:val="16"/>
                <w:szCs w:val="16"/>
              </w:rPr>
              <w:t xml:space="preserve"> it </w:t>
            </w:r>
            <w:r w:rsidR="00BD746A">
              <w:rPr>
                <w:sz w:val="16"/>
                <w:szCs w:val="16"/>
              </w:rPr>
              <w:t>will now</w:t>
            </w:r>
            <w:r w:rsidRPr="00B72CC8">
              <w:rPr>
                <w:sz w:val="16"/>
                <w:szCs w:val="16"/>
              </w:rPr>
              <w:t xml:space="preserve"> align with Directive 2014/53/EU</w:t>
            </w:r>
          </w:p>
        </w:tc>
      </w:tr>
      <w:tr w:rsidR="00B72CC8" w:rsidRPr="00B72CC8" w14:paraId="3FB03AE5" w14:textId="77777777" w:rsidTr="00D30BC6">
        <w:trPr>
          <w:trHeight w:val="1141"/>
        </w:trPr>
        <w:tc>
          <w:tcPr>
            <w:tcW w:w="416" w:type="dxa"/>
            <w:shd w:val="clear" w:color="auto" w:fill="auto"/>
          </w:tcPr>
          <w:p w14:paraId="56F10629" w14:textId="50BAB209" w:rsidR="00B72CC8" w:rsidRPr="00B72CC8" w:rsidRDefault="00B72CC8" w:rsidP="00D30BC6">
            <w:pPr>
              <w:spacing w:after="120"/>
              <w:rPr>
                <w:sz w:val="16"/>
                <w:szCs w:val="16"/>
              </w:rPr>
            </w:pPr>
            <w:r>
              <w:rPr>
                <w:sz w:val="16"/>
                <w:szCs w:val="16"/>
              </w:rPr>
              <w:t>11</w:t>
            </w:r>
          </w:p>
        </w:tc>
        <w:tc>
          <w:tcPr>
            <w:tcW w:w="2126" w:type="dxa"/>
            <w:shd w:val="clear" w:color="auto" w:fill="auto"/>
          </w:tcPr>
          <w:p w14:paraId="77863187" w14:textId="77777777" w:rsidR="00B72CC8" w:rsidRPr="00D30BC6" w:rsidRDefault="007B4D70" w:rsidP="00D30BC6">
            <w:pPr>
              <w:spacing w:after="120" w:line="240" w:lineRule="auto"/>
              <w:rPr>
                <w:color w:val="000000" w:themeColor="text1"/>
                <w:sz w:val="16"/>
                <w:szCs w:val="16"/>
              </w:rPr>
            </w:pPr>
            <w:hyperlink r:id="rId37">
              <w:r w:rsidR="00B72CC8" w:rsidRPr="00D30BC6">
                <w:rPr>
                  <w:rFonts w:eastAsia="Arial" w:cs="Arial"/>
                  <w:color w:val="000000" w:themeColor="text1"/>
                  <w:sz w:val="16"/>
                  <w:szCs w:val="16"/>
                </w:rPr>
                <w:t>Radiocommunications (Digital Cordless Communications Devices — DECT Devices) Standard 2017</w:t>
              </w:r>
            </w:hyperlink>
          </w:p>
        </w:tc>
        <w:tc>
          <w:tcPr>
            <w:tcW w:w="1569" w:type="dxa"/>
            <w:shd w:val="clear" w:color="auto" w:fill="FFFFFF"/>
          </w:tcPr>
          <w:p w14:paraId="7226F1B0" w14:textId="77777777" w:rsidR="00B72CC8" w:rsidRPr="00B72CC8" w:rsidRDefault="00B72CC8" w:rsidP="00D30BC6">
            <w:pPr>
              <w:spacing w:after="120"/>
              <w:rPr>
                <w:sz w:val="16"/>
                <w:szCs w:val="16"/>
              </w:rPr>
            </w:pPr>
            <w:r w:rsidRPr="00B72CC8">
              <w:rPr>
                <w:sz w:val="16"/>
                <w:szCs w:val="16"/>
              </w:rPr>
              <w:t xml:space="preserve"> ETSI EN 301 406 V2.2.2 (2016-09)</w:t>
            </w:r>
          </w:p>
        </w:tc>
        <w:tc>
          <w:tcPr>
            <w:tcW w:w="1985" w:type="dxa"/>
            <w:shd w:val="clear" w:color="auto" w:fill="DDFEFF"/>
          </w:tcPr>
          <w:p w14:paraId="5B12F1A2" w14:textId="3A616862" w:rsidR="00B72CC8" w:rsidRPr="00B72CC8" w:rsidRDefault="00B72CC8" w:rsidP="00D30BC6">
            <w:pPr>
              <w:spacing w:after="120"/>
              <w:rPr>
                <w:sz w:val="16"/>
                <w:szCs w:val="16"/>
              </w:rPr>
            </w:pPr>
            <w:r w:rsidRPr="00B72CC8">
              <w:rPr>
                <w:sz w:val="16"/>
                <w:szCs w:val="16"/>
              </w:rPr>
              <w:t>Digital Enhanced Cordless Telecommunications Equipment Standard</w:t>
            </w:r>
          </w:p>
          <w:p w14:paraId="00CCC812" w14:textId="5BCA00CF" w:rsidR="00B72CC8" w:rsidRPr="00B72CC8" w:rsidRDefault="00B72CC8" w:rsidP="00D30BC6">
            <w:pPr>
              <w:spacing w:after="120"/>
              <w:rPr>
                <w:sz w:val="16"/>
                <w:szCs w:val="16"/>
              </w:rPr>
            </w:pPr>
            <w:r w:rsidRPr="00B72CC8">
              <w:rPr>
                <w:sz w:val="16"/>
                <w:szCs w:val="16"/>
              </w:rPr>
              <w:t>(Part 13 of Schedule 5)</w:t>
            </w:r>
          </w:p>
        </w:tc>
        <w:tc>
          <w:tcPr>
            <w:tcW w:w="2126" w:type="dxa"/>
            <w:shd w:val="clear" w:color="auto" w:fill="DDFEFF"/>
          </w:tcPr>
          <w:p w14:paraId="4B240373" w14:textId="77777777" w:rsidR="00B72CC8" w:rsidRPr="00B72CC8" w:rsidRDefault="00B72CC8" w:rsidP="00D30BC6">
            <w:pPr>
              <w:spacing w:after="120"/>
              <w:jc w:val="center"/>
              <w:rPr>
                <w:sz w:val="16"/>
                <w:szCs w:val="16"/>
              </w:rPr>
            </w:pPr>
            <w:r w:rsidRPr="00B72CC8">
              <w:rPr>
                <w:sz w:val="16"/>
                <w:szCs w:val="16"/>
              </w:rPr>
              <w:t>N/A</w:t>
            </w:r>
          </w:p>
        </w:tc>
        <w:tc>
          <w:tcPr>
            <w:tcW w:w="1843" w:type="dxa"/>
            <w:shd w:val="clear" w:color="auto" w:fill="DDFEFF"/>
          </w:tcPr>
          <w:p w14:paraId="3FA5335D" w14:textId="77777777" w:rsidR="00B72CC8" w:rsidRPr="00B72CC8" w:rsidRDefault="00B72CC8" w:rsidP="00D30BC6">
            <w:pPr>
              <w:spacing w:after="120"/>
              <w:jc w:val="center"/>
              <w:rPr>
                <w:sz w:val="16"/>
                <w:szCs w:val="16"/>
              </w:rPr>
            </w:pPr>
            <w:r w:rsidRPr="00B72CC8">
              <w:rPr>
                <w:sz w:val="16"/>
                <w:szCs w:val="16"/>
              </w:rPr>
              <w:t>N/A</w:t>
            </w:r>
          </w:p>
        </w:tc>
      </w:tr>
      <w:tr w:rsidR="00B72CC8" w:rsidRPr="00B72CC8" w14:paraId="0E5827AF" w14:textId="77777777" w:rsidTr="00D30BC6">
        <w:trPr>
          <w:trHeight w:val="1141"/>
        </w:trPr>
        <w:tc>
          <w:tcPr>
            <w:tcW w:w="416" w:type="dxa"/>
            <w:shd w:val="clear" w:color="auto" w:fill="auto"/>
          </w:tcPr>
          <w:p w14:paraId="66D0414D" w14:textId="0FE55731" w:rsidR="00B72CC8" w:rsidRPr="00B72CC8" w:rsidRDefault="00B72CC8" w:rsidP="00D30BC6">
            <w:pPr>
              <w:spacing w:after="120"/>
              <w:rPr>
                <w:sz w:val="16"/>
                <w:szCs w:val="16"/>
              </w:rPr>
            </w:pPr>
            <w:r>
              <w:rPr>
                <w:sz w:val="16"/>
                <w:szCs w:val="16"/>
              </w:rPr>
              <w:t>12</w:t>
            </w:r>
          </w:p>
        </w:tc>
        <w:tc>
          <w:tcPr>
            <w:tcW w:w="2126" w:type="dxa"/>
            <w:shd w:val="clear" w:color="auto" w:fill="auto"/>
          </w:tcPr>
          <w:p w14:paraId="5E660634" w14:textId="77777777" w:rsidR="00B72CC8" w:rsidRPr="00D30BC6" w:rsidRDefault="007B4D70" w:rsidP="00D30BC6">
            <w:pPr>
              <w:spacing w:after="120" w:line="240" w:lineRule="auto"/>
              <w:rPr>
                <w:rFonts w:eastAsia="Arial" w:cs="Arial"/>
                <w:color w:val="000000" w:themeColor="text1"/>
                <w:sz w:val="16"/>
                <w:szCs w:val="16"/>
              </w:rPr>
            </w:pPr>
            <w:hyperlink r:id="rId38">
              <w:r w:rsidR="00B72CC8" w:rsidRPr="00D30BC6">
                <w:rPr>
                  <w:rFonts w:eastAsia="Arial" w:cs="Arial"/>
                  <w:color w:val="000000" w:themeColor="text1"/>
                  <w:sz w:val="16"/>
                  <w:szCs w:val="16"/>
                </w:rPr>
                <w:t>Radiocommunications (Intelligent Transport Systems) Standard 2018</w:t>
              </w:r>
            </w:hyperlink>
          </w:p>
        </w:tc>
        <w:tc>
          <w:tcPr>
            <w:tcW w:w="1569" w:type="dxa"/>
            <w:shd w:val="clear" w:color="auto" w:fill="FFFFFF"/>
          </w:tcPr>
          <w:p w14:paraId="0B08F3ED" w14:textId="77777777" w:rsidR="00B72CC8" w:rsidRPr="00B72CC8" w:rsidRDefault="00B72CC8" w:rsidP="00D30BC6">
            <w:pPr>
              <w:spacing w:after="120"/>
              <w:rPr>
                <w:sz w:val="16"/>
                <w:szCs w:val="16"/>
              </w:rPr>
            </w:pPr>
            <w:r w:rsidRPr="00B72CC8">
              <w:rPr>
                <w:sz w:val="16"/>
                <w:szCs w:val="16"/>
              </w:rPr>
              <w:t>ETSI EN 302 571</w:t>
            </w:r>
          </w:p>
        </w:tc>
        <w:tc>
          <w:tcPr>
            <w:tcW w:w="1985" w:type="dxa"/>
            <w:shd w:val="clear" w:color="auto" w:fill="DDFEFF"/>
          </w:tcPr>
          <w:p w14:paraId="71828850" w14:textId="45EE4A79" w:rsidR="00B72CC8" w:rsidRPr="00B72CC8" w:rsidRDefault="00B72CC8" w:rsidP="00D30BC6">
            <w:pPr>
              <w:spacing w:after="120"/>
              <w:rPr>
                <w:sz w:val="16"/>
                <w:szCs w:val="16"/>
              </w:rPr>
            </w:pPr>
            <w:r w:rsidRPr="00B72CC8">
              <w:rPr>
                <w:sz w:val="16"/>
                <w:szCs w:val="16"/>
              </w:rPr>
              <w:t>Intelligent Transport Systems Standard</w:t>
            </w:r>
          </w:p>
          <w:p w14:paraId="37B44E43" w14:textId="77777777" w:rsidR="00B72CC8" w:rsidRPr="00B72CC8" w:rsidRDefault="00B72CC8" w:rsidP="00D30BC6">
            <w:pPr>
              <w:spacing w:after="120"/>
              <w:rPr>
                <w:sz w:val="16"/>
                <w:szCs w:val="16"/>
              </w:rPr>
            </w:pPr>
            <w:r w:rsidRPr="00B72CC8">
              <w:rPr>
                <w:sz w:val="16"/>
                <w:szCs w:val="16"/>
              </w:rPr>
              <w:t>(Part 14 of Schedule 5)</w:t>
            </w:r>
          </w:p>
        </w:tc>
        <w:tc>
          <w:tcPr>
            <w:tcW w:w="2126" w:type="dxa"/>
            <w:shd w:val="clear" w:color="auto" w:fill="DDFEFF"/>
          </w:tcPr>
          <w:p w14:paraId="1B2B3B15" w14:textId="77777777" w:rsidR="00B72CC8" w:rsidRPr="00B72CC8" w:rsidRDefault="00B72CC8" w:rsidP="00D30BC6">
            <w:pPr>
              <w:spacing w:after="120"/>
              <w:jc w:val="center"/>
              <w:rPr>
                <w:sz w:val="16"/>
                <w:szCs w:val="16"/>
              </w:rPr>
            </w:pPr>
            <w:r w:rsidRPr="00B72CC8">
              <w:rPr>
                <w:sz w:val="16"/>
                <w:szCs w:val="16"/>
              </w:rPr>
              <w:t>N/A</w:t>
            </w:r>
          </w:p>
        </w:tc>
        <w:tc>
          <w:tcPr>
            <w:tcW w:w="1843" w:type="dxa"/>
            <w:shd w:val="clear" w:color="auto" w:fill="DDFEFF"/>
          </w:tcPr>
          <w:p w14:paraId="648646D4" w14:textId="77777777" w:rsidR="00B72CC8" w:rsidRPr="00B72CC8" w:rsidRDefault="00B72CC8" w:rsidP="00D30BC6">
            <w:pPr>
              <w:spacing w:after="120"/>
              <w:jc w:val="center"/>
              <w:rPr>
                <w:sz w:val="16"/>
                <w:szCs w:val="16"/>
              </w:rPr>
            </w:pPr>
            <w:r w:rsidRPr="00B72CC8">
              <w:rPr>
                <w:sz w:val="16"/>
                <w:szCs w:val="16"/>
              </w:rPr>
              <w:t>N/A</w:t>
            </w:r>
          </w:p>
        </w:tc>
      </w:tr>
      <w:tr w:rsidR="00B72CC8" w:rsidRPr="00B72CC8" w14:paraId="4D4FFDED" w14:textId="77777777" w:rsidTr="00D30BC6">
        <w:trPr>
          <w:trHeight w:val="1141"/>
        </w:trPr>
        <w:tc>
          <w:tcPr>
            <w:tcW w:w="416" w:type="dxa"/>
            <w:shd w:val="clear" w:color="auto" w:fill="auto"/>
          </w:tcPr>
          <w:p w14:paraId="66F710EE" w14:textId="23A65CEE" w:rsidR="00B72CC8" w:rsidRPr="00B72CC8" w:rsidRDefault="00B72CC8" w:rsidP="00D30BC6">
            <w:pPr>
              <w:spacing w:after="120"/>
              <w:rPr>
                <w:sz w:val="16"/>
                <w:szCs w:val="16"/>
              </w:rPr>
            </w:pPr>
            <w:r>
              <w:rPr>
                <w:sz w:val="16"/>
                <w:szCs w:val="16"/>
              </w:rPr>
              <w:t>13</w:t>
            </w:r>
          </w:p>
        </w:tc>
        <w:tc>
          <w:tcPr>
            <w:tcW w:w="2126" w:type="dxa"/>
            <w:shd w:val="clear" w:color="auto" w:fill="auto"/>
          </w:tcPr>
          <w:p w14:paraId="2F5168AF" w14:textId="77777777" w:rsidR="00B72CC8" w:rsidRPr="00D30BC6" w:rsidRDefault="007B4D70" w:rsidP="00D30BC6">
            <w:pPr>
              <w:spacing w:after="120" w:line="240" w:lineRule="auto"/>
              <w:rPr>
                <w:rFonts w:eastAsia="Arial" w:cs="Arial"/>
                <w:color w:val="000000" w:themeColor="text1"/>
                <w:sz w:val="16"/>
                <w:szCs w:val="16"/>
              </w:rPr>
            </w:pPr>
            <w:hyperlink r:id="rId39">
              <w:r w:rsidR="00B72CC8" w:rsidRPr="00D30BC6">
                <w:rPr>
                  <w:rFonts w:eastAsia="Arial" w:cs="Arial"/>
                  <w:color w:val="000000" w:themeColor="text1"/>
                  <w:sz w:val="16"/>
                  <w:szCs w:val="16"/>
                </w:rPr>
                <w:t>Radiocommunications (Short Range Devices) Standard 2014</w:t>
              </w:r>
            </w:hyperlink>
          </w:p>
        </w:tc>
        <w:tc>
          <w:tcPr>
            <w:tcW w:w="1569" w:type="dxa"/>
            <w:shd w:val="clear" w:color="auto" w:fill="FFFFFF"/>
          </w:tcPr>
          <w:p w14:paraId="6129BC77" w14:textId="01306097" w:rsidR="00B72CC8" w:rsidRPr="00B72CC8" w:rsidRDefault="00B72CC8" w:rsidP="00D30BC6">
            <w:pPr>
              <w:spacing w:after="120"/>
              <w:rPr>
                <w:sz w:val="16"/>
                <w:szCs w:val="16"/>
              </w:rPr>
            </w:pPr>
            <w:r w:rsidRPr="00B72CC8">
              <w:rPr>
                <w:sz w:val="16"/>
                <w:szCs w:val="16"/>
              </w:rPr>
              <w:t xml:space="preserve">AS/NZS 4268:2017, </w:t>
            </w:r>
            <w:r w:rsidRPr="00B72CC8">
              <w:rPr>
                <w:sz w:val="16"/>
                <w:szCs w:val="16"/>
              </w:rPr>
              <w:br/>
              <w:t>EN</w:t>
            </w:r>
            <w:r w:rsidR="004A20B8">
              <w:rPr>
                <w:sz w:val="16"/>
                <w:szCs w:val="16"/>
              </w:rPr>
              <w:t xml:space="preserve"> </w:t>
            </w:r>
            <w:r w:rsidRPr="00B72CC8">
              <w:rPr>
                <w:sz w:val="16"/>
                <w:szCs w:val="16"/>
              </w:rPr>
              <w:t>300 220-1, EN</w:t>
            </w:r>
            <w:r w:rsidR="00B71C0F">
              <w:rPr>
                <w:sz w:val="16"/>
                <w:szCs w:val="16"/>
              </w:rPr>
              <w:t xml:space="preserve"> </w:t>
            </w:r>
            <w:r w:rsidRPr="00B72CC8">
              <w:rPr>
                <w:sz w:val="16"/>
                <w:szCs w:val="16"/>
              </w:rPr>
              <w:t xml:space="preserve">300 330, EN 300 440, EN 305 550-1 and FCC Rules </w:t>
            </w:r>
            <w:r w:rsidR="00B71C0F">
              <w:rPr>
                <w:sz w:val="16"/>
                <w:szCs w:val="16"/>
              </w:rPr>
              <w:t xml:space="preserve">Title </w:t>
            </w:r>
            <w:r w:rsidRPr="00B72CC8">
              <w:rPr>
                <w:sz w:val="16"/>
                <w:szCs w:val="16"/>
              </w:rPr>
              <w:t>47 Part 15</w:t>
            </w:r>
          </w:p>
        </w:tc>
        <w:tc>
          <w:tcPr>
            <w:tcW w:w="1985" w:type="dxa"/>
            <w:shd w:val="clear" w:color="auto" w:fill="DDFEFF"/>
          </w:tcPr>
          <w:p w14:paraId="19301898" w14:textId="61ABD9C0" w:rsidR="00B72CC8" w:rsidRPr="00B72CC8" w:rsidRDefault="00B72CC8" w:rsidP="00D30BC6">
            <w:pPr>
              <w:spacing w:after="120"/>
              <w:rPr>
                <w:sz w:val="16"/>
                <w:szCs w:val="16"/>
              </w:rPr>
            </w:pPr>
            <w:r w:rsidRPr="00B72CC8">
              <w:rPr>
                <w:sz w:val="16"/>
                <w:szCs w:val="16"/>
              </w:rPr>
              <w:t>Short Range Equipment Standard</w:t>
            </w:r>
          </w:p>
          <w:p w14:paraId="652C4041" w14:textId="77777777" w:rsidR="00B72CC8" w:rsidRPr="00B72CC8" w:rsidRDefault="00B72CC8" w:rsidP="00D30BC6">
            <w:pPr>
              <w:spacing w:after="120"/>
              <w:rPr>
                <w:sz w:val="16"/>
                <w:szCs w:val="16"/>
              </w:rPr>
            </w:pPr>
            <w:r w:rsidRPr="00B72CC8">
              <w:rPr>
                <w:sz w:val="16"/>
                <w:szCs w:val="16"/>
              </w:rPr>
              <w:t>(Part 15 of Schedule 5)</w:t>
            </w:r>
          </w:p>
        </w:tc>
        <w:tc>
          <w:tcPr>
            <w:tcW w:w="2126" w:type="dxa"/>
            <w:shd w:val="clear" w:color="auto" w:fill="DDFEFF"/>
          </w:tcPr>
          <w:p w14:paraId="6DA9F0ED" w14:textId="77777777" w:rsidR="00B72CC8" w:rsidRPr="00B72CC8" w:rsidRDefault="00B72CC8" w:rsidP="00D30BC6">
            <w:pPr>
              <w:spacing w:after="120"/>
              <w:jc w:val="center"/>
              <w:rPr>
                <w:sz w:val="16"/>
                <w:szCs w:val="16"/>
              </w:rPr>
            </w:pPr>
            <w:r w:rsidRPr="00B72CC8">
              <w:rPr>
                <w:sz w:val="16"/>
                <w:szCs w:val="16"/>
              </w:rPr>
              <w:t>N/A</w:t>
            </w:r>
          </w:p>
        </w:tc>
        <w:tc>
          <w:tcPr>
            <w:tcW w:w="1843" w:type="dxa"/>
            <w:shd w:val="clear" w:color="auto" w:fill="DDFEFF"/>
          </w:tcPr>
          <w:p w14:paraId="2B8CA2D8" w14:textId="77777777" w:rsidR="00B72CC8" w:rsidRPr="00B72CC8" w:rsidRDefault="00B72CC8" w:rsidP="00D30BC6">
            <w:pPr>
              <w:spacing w:after="120"/>
              <w:jc w:val="center"/>
              <w:rPr>
                <w:sz w:val="16"/>
                <w:szCs w:val="16"/>
              </w:rPr>
            </w:pPr>
            <w:r w:rsidRPr="00B72CC8">
              <w:rPr>
                <w:sz w:val="16"/>
                <w:szCs w:val="16"/>
              </w:rPr>
              <w:t>N/A</w:t>
            </w:r>
          </w:p>
        </w:tc>
      </w:tr>
      <w:tr w:rsidR="00C044DC" w:rsidRPr="00B72CC8" w14:paraId="0A953D10" w14:textId="77777777" w:rsidTr="00D30BC6">
        <w:trPr>
          <w:trHeight w:val="1141"/>
        </w:trPr>
        <w:tc>
          <w:tcPr>
            <w:tcW w:w="416" w:type="dxa"/>
            <w:shd w:val="clear" w:color="auto" w:fill="D9D9D9" w:themeFill="background1" w:themeFillShade="D9"/>
          </w:tcPr>
          <w:p w14:paraId="76CCDBCF" w14:textId="3076C06A" w:rsidR="00306519" w:rsidRPr="00852546" w:rsidRDefault="00306519" w:rsidP="00D30BC6">
            <w:pPr>
              <w:spacing w:after="120" w:line="240" w:lineRule="auto"/>
              <w:rPr>
                <w:rFonts w:eastAsia="Arial" w:cs="Arial"/>
                <w:sz w:val="16"/>
                <w:szCs w:val="16"/>
              </w:rPr>
            </w:pPr>
            <w:r w:rsidRPr="00852546">
              <w:rPr>
                <w:rFonts w:eastAsia="Arial" w:cs="Arial"/>
                <w:sz w:val="16"/>
                <w:szCs w:val="16"/>
              </w:rPr>
              <w:t>14</w:t>
            </w:r>
          </w:p>
        </w:tc>
        <w:tc>
          <w:tcPr>
            <w:tcW w:w="2126" w:type="dxa"/>
            <w:shd w:val="clear" w:color="auto" w:fill="D9D9D9" w:themeFill="background1" w:themeFillShade="D9"/>
          </w:tcPr>
          <w:p w14:paraId="2C198352" w14:textId="0A877B3A" w:rsidR="00306519" w:rsidRPr="00D30BC6" w:rsidRDefault="007B4D70" w:rsidP="00D30BC6">
            <w:pPr>
              <w:spacing w:after="120" w:line="240" w:lineRule="auto"/>
              <w:rPr>
                <w:rFonts w:eastAsia="Arial" w:cs="Arial"/>
                <w:color w:val="000000" w:themeColor="text1"/>
                <w:sz w:val="16"/>
                <w:szCs w:val="16"/>
              </w:rPr>
            </w:pPr>
            <w:hyperlink r:id="rId40" w:history="1">
              <w:r w:rsidR="00306519" w:rsidRPr="00D30BC6">
                <w:rPr>
                  <w:rStyle w:val="Hyperlink"/>
                  <w:rFonts w:eastAsia="Arial" w:cs="Arial"/>
                  <w:color w:val="000000" w:themeColor="text1"/>
                  <w:sz w:val="16"/>
                  <w:szCs w:val="16"/>
                  <w:u w:val="none"/>
                </w:rPr>
                <w:t>Radiocommunications (121.5 MHz and 243.0 MHz Emergency Position Indicating Radio Beacons) Standard 2014</w:t>
              </w:r>
            </w:hyperlink>
          </w:p>
        </w:tc>
        <w:tc>
          <w:tcPr>
            <w:tcW w:w="1569" w:type="dxa"/>
            <w:shd w:val="clear" w:color="auto" w:fill="D9D9D9" w:themeFill="background1" w:themeFillShade="D9"/>
          </w:tcPr>
          <w:p w14:paraId="69CFA2A6" w14:textId="6F8DF9EF" w:rsidR="00306519" w:rsidRPr="00D30BC6" w:rsidRDefault="00D94282" w:rsidP="00D30BC6">
            <w:pPr>
              <w:spacing w:after="120" w:line="240" w:lineRule="auto"/>
              <w:rPr>
                <w:rFonts w:eastAsia="Arial" w:cs="Arial"/>
                <w:bCs/>
                <w:sz w:val="16"/>
                <w:szCs w:val="16"/>
              </w:rPr>
            </w:pPr>
            <w:r w:rsidRPr="00D30BC6">
              <w:rPr>
                <w:rFonts w:eastAsia="Arial" w:cs="Arial"/>
                <w:bCs/>
                <w:sz w:val="16"/>
                <w:szCs w:val="16"/>
              </w:rPr>
              <w:t xml:space="preserve">To be </w:t>
            </w:r>
            <w:r w:rsidR="007B51D4" w:rsidRPr="00D30BC6">
              <w:rPr>
                <w:rFonts w:eastAsia="Arial" w:cs="Arial"/>
                <w:bCs/>
                <w:sz w:val="16"/>
                <w:szCs w:val="16"/>
              </w:rPr>
              <w:t>r</w:t>
            </w:r>
            <w:r w:rsidR="00306519" w:rsidRPr="00D30BC6">
              <w:rPr>
                <w:rFonts w:eastAsia="Arial" w:cs="Arial"/>
                <w:bCs/>
                <w:sz w:val="16"/>
                <w:szCs w:val="16"/>
              </w:rPr>
              <w:t>epealed</w:t>
            </w:r>
          </w:p>
        </w:tc>
        <w:tc>
          <w:tcPr>
            <w:tcW w:w="1985" w:type="dxa"/>
            <w:shd w:val="clear" w:color="auto" w:fill="D9D9D9" w:themeFill="background1" w:themeFillShade="D9"/>
          </w:tcPr>
          <w:p w14:paraId="5D9FAD8B" w14:textId="34BA45E1" w:rsidR="00306519" w:rsidRPr="00D30BC6" w:rsidRDefault="007B51D4" w:rsidP="00D30BC6">
            <w:pPr>
              <w:spacing w:after="120" w:line="240" w:lineRule="auto"/>
              <w:rPr>
                <w:rFonts w:eastAsia="Arial" w:cs="Arial"/>
                <w:bCs/>
                <w:sz w:val="16"/>
                <w:szCs w:val="16"/>
              </w:rPr>
            </w:pPr>
            <w:r w:rsidRPr="00D30BC6">
              <w:rPr>
                <w:rFonts w:eastAsia="Arial" w:cs="Arial"/>
                <w:bCs/>
                <w:sz w:val="16"/>
                <w:szCs w:val="16"/>
              </w:rPr>
              <w:t>To be r</w:t>
            </w:r>
            <w:r w:rsidR="00306519" w:rsidRPr="00D30BC6">
              <w:rPr>
                <w:rFonts w:eastAsia="Arial" w:cs="Arial"/>
                <w:bCs/>
                <w:sz w:val="16"/>
                <w:szCs w:val="16"/>
              </w:rPr>
              <w:t>epealed</w:t>
            </w:r>
          </w:p>
        </w:tc>
        <w:tc>
          <w:tcPr>
            <w:tcW w:w="2126" w:type="dxa"/>
            <w:shd w:val="clear" w:color="auto" w:fill="D9D9D9" w:themeFill="background1" w:themeFillShade="D9"/>
          </w:tcPr>
          <w:p w14:paraId="51D19545" w14:textId="69178C8C" w:rsidR="00306519" w:rsidRPr="00D30BC6" w:rsidRDefault="007B51D4" w:rsidP="00D30BC6">
            <w:pPr>
              <w:spacing w:after="120" w:line="240" w:lineRule="auto"/>
              <w:rPr>
                <w:rFonts w:eastAsia="Arial" w:cs="Arial"/>
                <w:bCs/>
                <w:sz w:val="16"/>
                <w:szCs w:val="16"/>
              </w:rPr>
            </w:pPr>
            <w:r w:rsidRPr="00D30BC6">
              <w:rPr>
                <w:rFonts w:eastAsia="Arial" w:cs="Arial"/>
                <w:bCs/>
                <w:sz w:val="16"/>
                <w:szCs w:val="16"/>
              </w:rPr>
              <w:t>To be r</w:t>
            </w:r>
            <w:r w:rsidR="00306519" w:rsidRPr="00D30BC6">
              <w:rPr>
                <w:rFonts w:eastAsia="Arial" w:cs="Arial"/>
                <w:bCs/>
                <w:sz w:val="16"/>
                <w:szCs w:val="16"/>
              </w:rPr>
              <w:t>epealed</w:t>
            </w:r>
          </w:p>
        </w:tc>
        <w:tc>
          <w:tcPr>
            <w:tcW w:w="1843" w:type="dxa"/>
            <w:shd w:val="clear" w:color="auto" w:fill="D9D9D9" w:themeFill="background1" w:themeFillShade="D9"/>
          </w:tcPr>
          <w:p w14:paraId="705867DB" w14:textId="4777BF76" w:rsidR="00306519" w:rsidRPr="00D30BC6" w:rsidRDefault="007B51D4" w:rsidP="00D30BC6">
            <w:pPr>
              <w:spacing w:after="120" w:line="240" w:lineRule="auto"/>
              <w:rPr>
                <w:rFonts w:eastAsia="Arial" w:cs="Arial"/>
                <w:bCs/>
                <w:sz w:val="16"/>
                <w:szCs w:val="16"/>
              </w:rPr>
            </w:pPr>
            <w:r w:rsidRPr="00D30BC6">
              <w:rPr>
                <w:rFonts w:eastAsia="Arial" w:cs="Arial"/>
                <w:bCs/>
                <w:sz w:val="16"/>
                <w:szCs w:val="16"/>
              </w:rPr>
              <w:t>To be r</w:t>
            </w:r>
            <w:r w:rsidR="00306519" w:rsidRPr="00D30BC6">
              <w:rPr>
                <w:rFonts w:eastAsia="Arial" w:cs="Arial"/>
                <w:bCs/>
                <w:sz w:val="16"/>
                <w:szCs w:val="16"/>
              </w:rPr>
              <w:t>epealed</w:t>
            </w:r>
          </w:p>
        </w:tc>
      </w:tr>
    </w:tbl>
    <w:p w14:paraId="10CD558D" w14:textId="24F9FD45" w:rsidR="00B72CC8" w:rsidRDefault="00B72CC8" w:rsidP="00B72CC8">
      <w:pPr>
        <w:spacing w:line="240" w:lineRule="auto"/>
        <w:rPr>
          <w:rFonts w:ascii="Calibri" w:eastAsia="Calibri" w:hAnsi="Calibri"/>
          <w:sz w:val="22"/>
          <w:szCs w:val="22"/>
          <w:lang w:eastAsia="en-US"/>
        </w:rPr>
      </w:pPr>
    </w:p>
    <w:p w14:paraId="31F29408" w14:textId="57F8DB39" w:rsidR="00137B5E" w:rsidRPr="00297A5F" w:rsidRDefault="00137B5E" w:rsidP="00D30BC6">
      <w:pPr>
        <w:pStyle w:val="ListParagraph"/>
        <w:keepNext/>
        <w:keepLines/>
        <w:numPr>
          <w:ilvl w:val="0"/>
          <w:numId w:val="27"/>
        </w:numPr>
        <w:rPr>
          <w:b/>
          <w:bCs/>
        </w:rPr>
      </w:pPr>
      <w:r w:rsidRPr="00297A5F">
        <w:rPr>
          <w:b/>
          <w:bCs/>
        </w:rPr>
        <w:lastRenderedPageBreak/>
        <w:t>R</w:t>
      </w:r>
      <w:r w:rsidR="00815F68">
        <w:rPr>
          <w:b/>
          <w:bCs/>
        </w:rPr>
        <w:t xml:space="preserve">adiocommunications (Compliance Labelling – Devices) Notice </w:t>
      </w:r>
    </w:p>
    <w:tbl>
      <w:tblPr>
        <w:tblW w:w="10196" w:type="dxa"/>
        <w:tblBorders>
          <w:insideH w:val="single" w:sz="4" w:space="0" w:color="auto"/>
        </w:tblBorders>
        <w:tblLayout w:type="fixed"/>
        <w:tblLook w:val="04A0" w:firstRow="1" w:lastRow="0" w:firstColumn="1" w:lastColumn="0" w:noHBand="0" w:noVBand="1"/>
      </w:tblPr>
      <w:tblGrid>
        <w:gridCol w:w="3118"/>
        <w:gridCol w:w="3544"/>
        <w:gridCol w:w="3534"/>
      </w:tblGrid>
      <w:tr w:rsidR="00297A5F" w:rsidRPr="00B72CC8" w14:paraId="52D4911E" w14:textId="77777777" w:rsidTr="00D30BC6">
        <w:trPr>
          <w:trHeight w:val="76"/>
        </w:trPr>
        <w:tc>
          <w:tcPr>
            <w:tcW w:w="3118" w:type="dxa"/>
            <w:shd w:val="clear" w:color="auto" w:fill="FFFFFF" w:themeFill="background1"/>
          </w:tcPr>
          <w:p w14:paraId="0275C287" w14:textId="39EC624D" w:rsidR="00297A5F" w:rsidRPr="00B72CC8" w:rsidRDefault="00297A5F" w:rsidP="00D30BC6">
            <w:pPr>
              <w:keepNext/>
              <w:keepLines/>
              <w:rPr>
                <w:sz w:val="16"/>
                <w:szCs w:val="16"/>
              </w:rPr>
            </w:pPr>
            <w:r>
              <w:rPr>
                <w:rFonts w:eastAsia="Arial" w:cs="Arial"/>
                <w:b/>
                <w:bCs/>
                <w:sz w:val="16"/>
                <w:szCs w:val="16"/>
              </w:rPr>
              <w:t>Current legislative instrument</w:t>
            </w:r>
          </w:p>
        </w:tc>
        <w:tc>
          <w:tcPr>
            <w:tcW w:w="3544" w:type="dxa"/>
            <w:shd w:val="clear" w:color="auto" w:fill="DDFEFF"/>
          </w:tcPr>
          <w:p w14:paraId="764E45A9" w14:textId="44D610B5" w:rsidR="00297A5F" w:rsidRPr="00B72CC8" w:rsidRDefault="00297A5F" w:rsidP="00D30BC6">
            <w:pPr>
              <w:keepNext/>
              <w:keepLines/>
              <w:rPr>
                <w:rFonts w:eastAsia="Arial" w:cs="Arial"/>
                <w:b/>
                <w:bCs/>
                <w:sz w:val="16"/>
                <w:szCs w:val="16"/>
              </w:rPr>
            </w:pPr>
            <w:r>
              <w:rPr>
                <w:rFonts w:eastAsia="Arial" w:cs="Arial"/>
                <w:b/>
                <w:bCs/>
                <w:sz w:val="16"/>
                <w:szCs w:val="16"/>
              </w:rPr>
              <w:t>Incorporation</w:t>
            </w:r>
            <w:r w:rsidRPr="00B72CC8">
              <w:rPr>
                <w:rFonts w:eastAsia="Arial" w:cs="Arial"/>
                <w:b/>
                <w:bCs/>
                <w:sz w:val="16"/>
                <w:szCs w:val="16"/>
              </w:rPr>
              <w:t xml:space="preserve"> in</w:t>
            </w:r>
            <w:r>
              <w:rPr>
                <w:rFonts w:eastAsia="Arial" w:cs="Arial"/>
                <w:b/>
                <w:bCs/>
                <w:sz w:val="16"/>
                <w:szCs w:val="16"/>
              </w:rPr>
              <w:t>to</w:t>
            </w:r>
            <w:r w:rsidRPr="00B72CC8">
              <w:rPr>
                <w:rFonts w:eastAsia="Arial" w:cs="Arial"/>
                <w:b/>
                <w:bCs/>
                <w:sz w:val="16"/>
                <w:szCs w:val="16"/>
              </w:rPr>
              <w:t xml:space="preserve"> General Equipment Rules</w:t>
            </w:r>
          </w:p>
        </w:tc>
        <w:tc>
          <w:tcPr>
            <w:tcW w:w="3534" w:type="dxa"/>
            <w:shd w:val="clear" w:color="auto" w:fill="DDFEFF"/>
          </w:tcPr>
          <w:p w14:paraId="4DCD2A17" w14:textId="66123230" w:rsidR="00297A5F" w:rsidRPr="00B72CC8" w:rsidRDefault="00297A5F" w:rsidP="00D30BC6">
            <w:pPr>
              <w:keepNext/>
              <w:keepLines/>
              <w:rPr>
                <w:rFonts w:eastAsia="Arial" w:cs="Arial"/>
                <w:b/>
                <w:bCs/>
                <w:sz w:val="16"/>
                <w:szCs w:val="16"/>
              </w:rPr>
            </w:pPr>
            <w:r>
              <w:rPr>
                <w:rFonts w:eastAsia="Arial" w:cs="Arial"/>
                <w:b/>
                <w:bCs/>
                <w:sz w:val="16"/>
                <w:szCs w:val="16"/>
              </w:rPr>
              <w:t>Substantive</w:t>
            </w:r>
            <w:r w:rsidRPr="00B72CC8">
              <w:rPr>
                <w:rFonts w:eastAsia="Arial" w:cs="Arial"/>
                <w:b/>
                <w:bCs/>
                <w:sz w:val="16"/>
                <w:szCs w:val="16"/>
              </w:rPr>
              <w:t xml:space="preserve"> changes</w:t>
            </w:r>
          </w:p>
        </w:tc>
      </w:tr>
      <w:tr w:rsidR="00297A5F" w:rsidRPr="00B72CC8" w14:paraId="2E7A7981" w14:textId="77777777" w:rsidTr="00D30BC6">
        <w:trPr>
          <w:trHeight w:val="20"/>
        </w:trPr>
        <w:tc>
          <w:tcPr>
            <w:tcW w:w="3118" w:type="dxa"/>
          </w:tcPr>
          <w:p w14:paraId="29BB3DDF" w14:textId="00EB81FB" w:rsidR="00297A5F" w:rsidRPr="00D30BC6" w:rsidRDefault="007B4D70" w:rsidP="00D30BC6">
            <w:pPr>
              <w:keepNext/>
              <w:keepLines/>
              <w:spacing w:line="240" w:lineRule="auto"/>
              <w:rPr>
                <w:rFonts w:ascii="Calibri" w:eastAsia="Calibri" w:hAnsi="Calibri"/>
                <w:sz w:val="16"/>
                <w:szCs w:val="16"/>
                <w:lang w:eastAsia="en-US"/>
              </w:rPr>
            </w:pPr>
            <w:hyperlink r:id="rId41" w:history="1">
              <w:r w:rsidR="00297A5F" w:rsidRPr="00D30BC6">
                <w:rPr>
                  <w:rStyle w:val="Hyperlink"/>
                  <w:color w:val="000000" w:themeColor="text1"/>
                  <w:sz w:val="16"/>
                  <w:szCs w:val="16"/>
                  <w:u w:val="none"/>
                </w:rPr>
                <w:t>Radiocommunications (Compliance Labelling – Devices) Notice 2014</w:t>
              </w:r>
            </w:hyperlink>
          </w:p>
        </w:tc>
        <w:tc>
          <w:tcPr>
            <w:tcW w:w="3544" w:type="dxa"/>
            <w:shd w:val="clear" w:color="auto" w:fill="DDFEFF"/>
          </w:tcPr>
          <w:p w14:paraId="042082A6" w14:textId="5BBC7596" w:rsidR="00297A5F" w:rsidRPr="00B72CC8" w:rsidRDefault="00297A5F" w:rsidP="00D30BC6">
            <w:pPr>
              <w:keepNext/>
              <w:keepLines/>
              <w:spacing w:line="240" w:lineRule="auto"/>
              <w:rPr>
                <w:sz w:val="16"/>
                <w:szCs w:val="16"/>
              </w:rPr>
            </w:pPr>
            <w:r>
              <w:rPr>
                <w:sz w:val="16"/>
                <w:szCs w:val="16"/>
              </w:rPr>
              <w:t>Labelling Requirements</w:t>
            </w:r>
            <w:r>
              <w:rPr>
                <w:sz w:val="16"/>
                <w:szCs w:val="16"/>
              </w:rPr>
              <w:br/>
            </w:r>
            <w:r>
              <w:rPr>
                <w:sz w:val="16"/>
                <w:szCs w:val="16"/>
              </w:rPr>
              <w:br/>
              <w:t>Schedule 3</w:t>
            </w:r>
          </w:p>
        </w:tc>
        <w:tc>
          <w:tcPr>
            <w:tcW w:w="3534" w:type="dxa"/>
            <w:shd w:val="clear" w:color="auto" w:fill="DDFEFF"/>
          </w:tcPr>
          <w:p w14:paraId="113B6410" w14:textId="77777777" w:rsidR="00297A5F" w:rsidRPr="00B72CC8" w:rsidRDefault="00297A5F" w:rsidP="00D30BC6">
            <w:pPr>
              <w:keepNext/>
              <w:keepLines/>
              <w:spacing w:line="240" w:lineRule="auto"/>
              <w:rPr>
                <w:sz w:val="16"/>
                <w:szCs w:val="16"/>
              </w:rPr>
            </w:pPr>
            <w:r w:rsidRPr="00B72CC8">
              <w:rPr>
                <w:sz w:val="16"/>
                <w:szCs w:val="16"/>
              </w:rPr>
              <w:t>N/A</w:t>
            </w:r>
          </w:p>
        </w:tc>
      </w:tr>
    </w:tbl>
    <w:p w14:paraId="283893A5" w14:textId="3BAAAF09" w:rsidR="00137B5E" w:rsidRDefault="00137B5E" w:rsidP="00D30BC6">
      <w:pPr>
        <w:pStyle w:val="ListParagraph"/>
        <w:keepNext/>
        <w:keepLines/>
        <w:rPr>
          <w:b/>
          <w:bCs/>
        </w:rPr>
      </w:pPr>
    </w:p>
    <w:p w14:paraId="1E09C48A" w14:textId="77777777" w:rsidR="00A60FD3" w:rsidRDefault="00A60FD3" w:rsidP="00D30BC6">
      <w:pPr>
        <w:pStyle w:val="ListParagraph"/>
        <w:keepNext/>
        <w:keepLines/>
        <w:rPr>
          <w:b/>
          <w:bCs/>
        </w:rPr>
      </w:pPr>
    </w:p>
    <w:p w14:paraId="362B4451" w14:textId="0C16DE04" w:rsidR="00B72CC8" w:rsidRPr="00297A5F" w:rsidRDefault="004E1CCC" w:rsidP="00D30BC6">
      <w:pPr>
        <w:pStyle w:val="ListParagraph"/>
        <w:keepNext/>
        <w:keepLines/>
        <w:numPr>
          <w:ilvl w:val="0"/>
          <w:numId w:val="27"/>
        </w:numPr>
        <w:rPr>
          <w:b/>
          <w:bCs/>
        </w:rPr>
      </w:pPr>
      <w:r w:rsidRPr="00297A5F">
        <w:rPr>
          <w:b/>
          <w:bCs/>
        </w:rPr>
        <w:t xml:space="preserve">Remake of </w:t>
      </w:r>
      <w:r w:rsidRPr="00472246">
        <w:rPr>
          <w:b/>
          <w:bCs/>
        </w:rPr>
        <w:t>Protected Symbols Determination</w:t>
      </w:r>
      <w:r w:rsidR="00CE67D8" w:rsidRPr="00472246">
        <w:rPr>
          <w:b/>
          <w:bCs/>
        </w:rPr>
        <w:t xml:space="preserve"> </w:t>
      </w:r>
    </w:p>
    <w:tbl>
      <w:tblPr>
        <w:tblStyle w:val="TableGrid"/>
        <w:tblW w:w="10201" w:type="dxa"/>
        <w:tblBorders>
          <w:top w:val="none" w:sz="0" w:space="0" w:color="auto"/>
          <w:left w:val="none" w:sz="0" w:space="0" w:color="auto"/>
          <w:bottom w:val="none" w:sz="0" w:space="0" w:color="auto"/>
          <w:right w:val="none" w:sz="0" w:space="0" w:color="auto"/>
          <w:insideV w:val="none" w:sz="0" w:space="0" w:color="auto"/>
        </w:tblBorders>
        <w:tblLook w:val="04A0" w:firstRow="1" w:lastRow="0" w:firstColumn="1" w:lastColumn="0" w:noHBand="0" w:noVBand="1"/>
      </w:tblPr>
      <w:tblGrid>
        <w:gridCol w:w="2689"/>
        <w:gridCol w:w="2409"/>
        <w:gridCol w:w="2410"/>
        <w:gridCol w:w="2693"/>
      </w:tblGrid>
      <w:tr w:rsidR="004E1CCC" w14:paraId="2986873F" w14:textId="77777777" w:rsidTr="00D30BC6">
        <w:tc>
          <w:tcPr>
            <w:tcW w:w="2689" w:type="dxa"/>
          </w:tcPr>
          <w:p w14:paraId="1758C7F9" w14:textId="65C0BC45" w:rsidR="004E1CCC" w:rsidRPr="002A2E98" w:rsidRDefault="002A2E98" w:rsidP="00D30BC6">
            <w:pPr>
              <w:keepNext/>
              <w:keepLines/>
              <w:rPr>
                <w:b/>
                <w:sz w:val="16"/>
                <w:szCs w:val="16"/>
              </w:rPr>
            </w:pPr>
            <w:r w:rsidRPr="002A2E98">
              <w:rPr>
                <w:b/>
                <w:bCs/>
                <w:sz w:val="16"/>
                <w:szCs w:val="16"/>
              </w:rPr>
              <w:t>Instrument</w:t>
            </w:r>
          </w:p>
        </w:tc>
        <w:tc>
          <w:tcPr>
            <w:tcW w:w="2409" w:type="dxa"/>
          </w:tcPr>
          <w:p w14:paraId="43FC63FD" w14:textId="4F6C404C" w:rsidR="004E1CCC" w:rsidRPr="00DF43FF" w:rsidRDefault="004E1CCC" w:rsidP="00D30BC6">
            <w:pPr>
              <w:keepNext/>
              <w:keepLines/>
              <w:rPr>
                <w:b/>
                <w:bCs/>
                <w:sz w:val="16"/>
                <w:szCs w:val="16"/>
              </w:rPr>
            </w:pPr>
            <w:r w:rsidRPr="00DF43FF">
              <w:rPr>
                <w:b/>
                <w:bCs/>
                <w:sz w:val="16"/>
                <w:szCs w:val="16"/>
              </w:rPr>
              <w:t xml:space="preserve">RCM </w:t>
            </w:r>
            <w:r w:rsidR="00A228CF">
              <w:rPr>
                <w:b/>
                <w:bCs/>
                <w:sz w:val="16"/>
                <w:szCs w:val="16"/>
              </w:rPr>
              <w:t>i</w:t>
            </w:r>
            <w:r w:rsidR="00A228CF">
              <w:rPr>
                <w:b/>
                <w:sz w:val="16"/>
                <w:szCs w:val="16"/>
              </w:rPr>
              <w:t xml:space="preserve">s a </w:t>
            </w:r>
            <w:r w:rsidRPr="00DF43FF">
              <w:rPr>
                <w:b/>
                <w:bCs/>
                <w:sz w:val="16"/>
                <w:szCs w:val="16"/>
              </w:rPr>
              <w:t>protected symbol</w:t>
            </w:r>
          </w:p>
        </w:tc>
        <w:tc>
          <w:tcPr>
            <w:tcW w:w="2410" w:type="dxa"/>
          </w:tcPr>
          <w:p w14:paraId="4494B428" w14:textId="659784EA" w:rsidR="004E1CCC" w:rsidRPr="00DF43FF" w:rsidRDefault="004E1CCC" w:rsidP="00D30BC6">
            <w:pPr>
              <w:keepNext/>
              <w:keepLines/>
              <w:rPr>
                <w:b/>
                <w:bCs/>
                <w:sz w:val="16"/>
                <w:szCs w:val="16"/>
              </w:rPr>
            </w:pPr>
            <w:r w:rsidRPr="00DF43FF">
              <w:rPr>
                <w:b/>
                <w:bCs/>
                <w:sz w:val="16"/>
                <w:szCs w:val="16"/>
              </w:rPr>
              <w:t xml:space="preserve">A-Tick </w:t>
            </w:r>
            <w:r w:rsidR="00C22A16">
              <w:rPr>
                <w:b/>
                <w:bCs/>
                <w:sz w:val="16"/>
                <w:szCs w:val="16"/>
              </w:rPr>
              <w:t xml:space="preserve">mark </w:t>
            </w:r>
            <w:r w:rsidR="00A228CF">
              <w:rPr>
                <w:b/>
                <w:bCs/>
                <w:sz w:val="16"/>
                <w:szCs w:val="16"/>
              </w:rPr>
              <w:t>i</w:t>
            </w:r>
            <w:r w:rsidR="00A228CF">
              <w:rPr>
                <w:b/>
                <w:sz w:val="16"/>
                <w:szCs w:val="16"/>
              </w:rPr>
              <w:t xml:space="preserve">s a </w:t>
            </w:r>
            <w:r w:rsidRPr="00DF43FF">
              <w:rPr>
                <w:b/>
                <w:bCs/>
                <w:sz w:val="16"/>
                <w:szCs w:val="16"/>
              </w:rPr>
              <w:t xml:space="preserve">protected </w:t>
            </w:r>
            <w:r w:rsidR="00DF43FF" w:rsidRPr="00DF43FF">
              <w:rPr>
                <w:b/>
                <w:bCs/>
                <w:sz w:val="16"/>
                <w:szCs w:val="16"/>
              </w:rPr>
              <w:t>symbol</w:t>
            </w:r>
          </w:p>
        </w:tc>
        <w:tc>
          <w:tcPr>
            <w:tcW w:w="2693" w:type="dxa"/>
          </w:tcPr>
          <w:p w14:paraId="17D034CE" w14:textId="7955A6D6" w:rsidR="004E1CCC" w:rsidRPr="00DF43FF" w:rsidRDefault="00DF43FF" w:rsidP="00D30BC6">
            <w:pPr>
              <w:keepNext/>
              <w:keepLines/>
              <w:rPr>
                <w:b/>
                <w:bCs/>
                <w:sz w:val="16"/>
                <w:szCs w:val="16"/>
              </w:rPr>
            </w:pPr>
            <w:r w:rsidRPr="00DF43FF">
              <w:rPr>
                <w:b/>
                <w:bCs/>
                <w:sz w:val="16"/>
                <w:szCs w:val="16"/>
              </w:rPr>
              <w:t xml:space="preserve">C-Tick </w:t>
            </w:r>
            <w:r w:rsidR="00C22A16">
              <w:rPr>
                <w:b/>
                <w:bCs/>
                <w:sz w:val="16"/>
                <w:szCs w:val="16"/>
              </w:rPr>
              <w:t xml:space="preserve">mark </w:t>
            </w:r>
            <w:r w:rsidR="00A228CF">
              <w:rPr>
                <w:b/>
                <w:bCs/>
                <w:sz w:val="16"/>
                <w:szCs w:val="16"/>
              </w:rPr>
              <w:t>i</w:t>
            </w:r>
            <w:r w:rsidR="00A228CF">
              <w:rPr>
                <w:b/>
                <w:sz w:val="16"/>
                <w:szCs w:val="16"/>
              </w:rPr>
              <w:t xml:space="preserve">s a </w:t>
            </w:r>
            <w:r w:rsidRPr="00DF43FF">
              <w:rPr>
                <w:b/>
                <w:bCs/>
                <w:sz w:val="16"/>
                <w:szCs w:val="16"/>
              </w:rPr>
              <w:t>protected symbol</w:t>
            </w:r>
          </w:p>
        </w:tc>
      </w:tr>
      <w:tr w:rsidR="004E1CCC" w14:paraId="32614DED" w14:textId="77777777" w:rsidTr="00D30BC6">
        <w:trPr>
          <w:trHeight w:val="707"/>
        </w:trPr>
        <w:tc>
          <w:tcPr>
            <w:tcW w:w="2689" w:type="dxa"/>
          </w:tcPr>
          <w:p w14:paraId="28FF4F82" w14:textId="068CCC37" w:rsidR="004E1CCC" w:rsidRPr="00D30BC6" w:rsidRDefault="007B4D70" w:rsidP="00D30BC6">
            <w:pPr>
              <w:keepNext/>
              <w:keepLines/>
              <w:rPr>
                <w:sz w:val="16"/>
                <w:szCs w:val="16"/>
              </w:rPr>
            </w:pPr>
            <w:hyperlink r:id="rId42" w:history="1">
              <w:r w:rsidR="004E1CCC" w:rsidRPr="00D30BC6">
                <w:rPr>
                  <w:rStyle w:val="Hyperlink"/>
                  <w:color w:val="000000" w:themeColor="text1"/>
                  <w:sz w:val="16"/>
                  <w:szCs w:val="16"/>
                  <w:u w:val="none"/>
                </w:rPr>
                <w:t>Protected Symbols Determination 2013</w:t>
              </w:r>
            </w:hyperlink>
          </w:p>
        </w:tc>
        <w:tc>
          <w:tcPr>
            <w:tcW w:w="2409" w:type="dxa"/>
            <w:vAlign w:val="center"/>
          </w:tcPr>
          <w:p w14:paraId="6599FCF9" w14:textId="4E168F7E" w:rsidR="004E1CCC" w:rsidRPr="00DF43FF" w:rsidRDefault="00DF43FF" w:rsidP="00D30BC6">
            <w:pPr>
              <w:keepNext/>
              <w:keepLines/>
              <w:rPr>
                <w:sz w:val="36"/>
                <w:szCs w:val="36"/>
              </w:rPr>
            </w:pPr>
            <w:r w:rsidRPr="00DF43FF">
              <w:rPr>
                <w:sz w:val="36"/>
                <w:szCs w:val="36"/>
              </w:rPr>
              <w:sym w:font="Wingdings 2" w:char="F050"/>
            </w:r>
          </w:p>
        </w:tc>
        <w:tc>
          <w:tcPr>
            <w:tcW w:w="2410" w:type="dxa"/>
            <w:vAlign w:val="center"/>
          </w:tcPr>
          <w:p w14:paraId="5F8AD8FC" w14:textId="55D30489" w:rsidR="004E1CCC" w:rsidRPr="00DF43FF" w:rsidRDefault="00DF43FF" w:rsidP="00D30BC6">
            <w:pPr>
              <w:keepNext/>
              <w:keepLines/>
              <w:rPr>
                <w:sz w:val="16"/>
                <w:szCs w:val="16"/>
              </w:rPr>
            </w:pPr>
            <w:r w:rsidRPr="00DF43FF">
              <w:rPr>
                <w:sz w:val="36"/>
                <w:szCs w:val="36"/>
              </w:rPr>
              <w:sym w:font="Wingdings 2" w:char="F050"/>
            </w:r>
          </w:p>
        </w:tc>
        <w:tc>
          <w:tcPr>
            <w:tcW w:w="2693" w:type="dxa"/>
            <w:vAlign w:val="center"/>
          </w:tcPr>
          <w:p w14:paraId="6CB33767" w14:textId="681E7AB9" w:rsidR="004E1CCC" w:rsidRPr="00DF43FF" w:rsidRDefault="00DF43FF" w:rsidP="00D30BC6">
            <w:pPr>
              <w:keepNext/>
              <w:keepLines/>
              <w:rPr>
                <w:sz w:val="16"/>
                <w:szCs w:val="16"/>
              </w:rPr>
            </w:pPr>
            <w:r w:rsidRPr="00DF43FF">
              <w:rPr>
                <w:sz w:val="36"/>
                <w:szCs w:val="36"/>
              </w:rPr>
              <w:sym w:font="Wingdings 2" w:char="F050"/>
            </w:r>
          </w:p>
        </w:tc>
      </w:tr>
      <w:tr w:rsidR="004E1CCC" w14:paraId="11EF34E9" w14:textId="77777777" w:rsidTr="00D30BC6">
        <w:tc>
          <w:tcPr>
            <w:tcW w:w="2689" w:type="dxa"/>
            <w:shd w:val="clear" w:color="auto" w:fill="DDFEFF"/>
          </w:tcPr>
          <w:p w14:paraId="59F738F7" w14:textId="00FEECE2" w:rsidR="004E1CCC" w:rsidRPr="00DF43FF" w:rsidRDefault="00EA3CB2" w:rsidP="00D30BC6">
            <w:pPr>
              <w:keepNext/>
              <w:keepLines/>
              <w:rPr>
                <w:sz w:val="16"/>
                <w:szCs w:val="16"/>
              </w:rPr>
            </w:pPr>
            <w:r>
              <w:rPr>
                <w:sz w:val="16"/>
                <w:szCs w:val="16"/>
              </w:rPr>
              <w:t xml:space="preserve">Proposed </w:t>
            </w:r>
            <w:r w:rsidRPr="00D30BC6">
              <w:rPr>
                <w:sz w:val="16"/>
                <w:szCs w:val="16"/>
              </w:rPr>
              <w:t>Communications Legislation</w:t>
            </w:r>
            <w:r w:rsidR="00A228CF" w:rsidRPr="00D30BC6">
              <w:rPr>
                <w:sz w:val="16"/>
                <w:szCs w:val="16"/>
              </w:rPr>
              <w:t xml:space="preserve"> </w:t>
            </w:r>
            <w:r w:rsidRPr="00D30BC6">
              <w:rPr>
                <w:sz w:val="16"/>
                <w:szCs w:val="16"/>
              </w:rPr>
              <w:t>(</w:t>
            </w:r>
            <w:r w:rsidR="004E1CCC" w:rsidRPr="00D30BC6">
              <w:rPr>
                <w:sz w:val="16"/>
                <w:szCs w:val="16"/>
              </w:rPr>
              <w:t>Protected Symbols</w:t>
            </w:r>
            <w:r w:rsidRPr="00D30BC6">
              <w:rPr>
                <w:sz w:val="16"/>
                <w:szCs w:val="16"/>
              </w:rPr>
              <w:t>)</w:t>
            </w:r>
            <w:r w:rsidR="004E1CCC" w:rsidRPr="00D30BC6">
              <w:rPr>
                <w:sz w:val="16"/>
                <w:szCs w:val="16"/>
              </w:rPr>
              <w:t xml:space="preserve"> Determination 2023</w:t>
            </w:r>
          </w:p>
        </w:tc>
        <w:tc>
          <w:tcPr>
            <w:tcW w:w="2409" w:type="dxa"/>
            <w:vAlign w:val="center"/>
          </w:tcPr>
          <w:p w14:paraId="7C513A96" w14:textId="650F4F52" w:rsidR="004E1CCC" w:rsidRPr="00DF43FF" w:rsidRDefault="00DF43FF" w:rsidP="00D30BC6">
            <w:pPr>
              <w:keepNext/>
              <w:keepLines/>
              <w:rPr>
                <w:sz w:val="16"/>
                <w:szCs w:val="16"/>
              </w:rPr>
            </w:pPr>
            <w:r w:rsidRPr="00DF43FF">
              <w:rPr>
                <w:sz w:val="36"/>
                <w:szCs w:val="36"/>
              </w:rPr>
              <w:sym w:font="Wingdings 2" w:char="F050"/>
            </w:r>
          </w:p>
        </w:tc>
        <w:tc>
          <w:tcPr>
            <w:tcW w:w="2410" w:type="dxa"/>
            <w:shd w:val="clear" w:color="auto" w:fill="FFFFFF" w:themeFill="background1"/>
            <w:vAlign w:val="center"/>
          </w:tcPr>
          <w:p w14:paraId="53418B0C" w14:textId="67F7ED88" w:rsidR="004E1CCC" w:rsidRPr="00DF43FF" w:rsidRDefault="0071533D" w:rsidP="00D30BC6">
            <w:pPr>
              <w:keepNext/>
              <w:keepLines/>
              <w:rPr>
                <w:sz w:val="32"/>
                <w:szCs w:val="32"/>
              </w:rPr>
            </w:pPr>
            <w:r>
              <w:rPr>
                <w:sz w:val="32"/>
                <w:szCs w:val="32"/>
              </w:rPr>
              <w:t>x</w:t>
            </w:r>
          </w:p>
        </w:tc>
        <w:tc>
          <w:tcPr>
            <w:tcW w:w="2693" w:type="dxa"/>
            <w:shd w:val="clear" w:color="auto" w:fill="FFFFFF" w:themeFill="background1"/>
            <w:vAlign w:val="center"/>
          </w:tcPr>
          <w:p w14:paraId="14801D42" w14:textId="2D6065C8" w:rsidR="004E1CCC" w:rsidRPr="00DF43FF" w:rsidRDefault="0071533D" w:rsidP="00D30BC6">
            <w:pPr>
              <w:keepNext/>
              <w:keepLines/>
              <w:rPr>
                <w:sz w:val="32"/>
                <w:szCs w:val="32"/>
              </w:rPr>
            </w:pPr>
            <w:r>
              <w:rPr>
                <w:sz w:val="32"/>
                <w:szCs w:val="32"/>
              </w:rPr>
              <w:t>x</w:t>
            </w:r>
          </w:p>
        </w:tc>
      </w:tr>
    </w:tbl>
    <w:p w14:paraId="3EE3B093" w14:textId="628E6847" w:rsidR="00AE668F" w:rsidRDefault="00AE668F" w:rsidP="00AE668F">
      <w:pPr>
        <w:keepNext/>
        <w:keepLines/>
        <w:ind w:left="60"/>
      </w:pPr>
    </w:p>
    <w:p w14:paraId="06115E28" w14:textId="22DACC7E" w:rsidR="00DF43FF" w:rsidRPr="00D30BC6" w:rsidRDefault="002A2E98" w:rsidP="00D30BC6">
      <w:pPr>
        <w:pStyle w:val="ListParagraph"/>
        <w:keepNext/>
        <w:keepLines/>
        <w:numPr>
          <w:ilvl w:val="0"/>
          <w:numId w:val="27"/>
        </w:numPr>
        <w:rPr>
          <w:b/>
          <w:bCs/>
        </w:rPr>
      </w:pPr>
      <w:r w:rsidRPr="00D30BC6">
        <w:rPr>
          <w:b/>
          <w:bCs/>
        </w:rPr>
        <w:t>EME standard in General Equipment Rules</w:t>
      </w:r>
    </w:p>
    <w:tbl>
      <w:tblPr>
        <w:tblStyle w:val="TableGrid"/>
        <w:tblW w:w="10201" w:type="dxa"/>
        <w:tblBorders>
          <w:top w:val="none" w:sz="0" w:space="0" w:color="auto"/>
          <w:left w:val="none" w:sz="0" w:space="0" w:color="auto"/>
          <w:bottom w:val="none" w:sz="0" w:space="0" w:color="auto"/>
          <w:right w:val="none" w:sz="0" w:space="0" w:color="auto"/>
          <w:insideV w:val="none" w:sz="0" w:space="0" w:color="auto"/>
        </w:tblBorders>
        <w:tblLook w:val="04A0" w:firstRow="1" w:lastRow="0" w:firstColumn="1" w:lastColumn="0" w:noHBand="0" w:noVBand="1"/>
      </w:tblPr>
      <w:tblGrid>
        <w:gridCol w:w="3114"/>
        <w:gridCol w:w="3260"/>
        <w:gridCol w:w="3827"/>
      </w:tblGrid>
      <w:tr w:rsidR="002A2E98" w14:paraId="0EC7A26A" w14:textId="77777777" w:rsidTr="00D30BC6">
        <w:trPr>
          <w:trHeight w:val="917"/>
        </w:trPr>
        <w:tc>
          <w:tcPr>
            <w:tcW w:w="3114" w:type="dxa"/>
          </w:tcPr>
          <w:p w14:paraId="22193CCF" w14:textId="5CE0A260" w:rsidR="002A2E98" w:rsidRDefault="00DD4312" w:rsidP="00D30BC6">
            <w:pPr>
              <w:spacing w:after="0"/>
              <w:rPr>
                <w:b/>
                <w:bCs/>
                <w:sz w:val="16"/>
                <w:szCs w:val="16"/>
              </w:rPr>
            </w:pPr>
            <w:r w:rsidRPr="00DD4312">
              <w:rPr>
                <w:b/>
                <w:bCs/>
                <w:sz w:val="16"/>
                <w:szCs w:val="16"/>
              </w:rPr>
              <w:t>Transmitters operating 6 GHz to 100 GHz</w:t>
            </w:r>
          </w:p>
          <w:p w14:paraId="72E6F3ED" w14:textId="0614490F" w:rsidR="00DD4312" w:rsidRPr="00D30BC6" w:rsidRDefault="00DD4312" w:rsidP="00686E00">
            <w:pPr>
              <w:rPr>
                <w:sz w:val="16"/>
                <w:szCs w:val="16"/>
              </w:rPr>
            </w:pPr>
            <w:r w:rsidRPr="00D30BC6">
              <w:rPr>
                <w:sz w:val="16"/>
                <w:szCs w:val="16"/>
              </w:rPr>
              <w:t>(Used 20cm or less from human body, including close to human head and ear)</w:t>
            </w:r>
          </w:p>
        </w:tc>
        <w:tc>
          <w:tcPr>
            <w:tcW w:w="3260" w:type="dxa"/>
          </w:tcPr>
          <w:p w14:paraId="5EA46D89" w14:textId="46008D8B" w:rsidR="002A2E98" w:rsidRDefault="00F763DF" w:rsidP="00D30BC6">
            <w:pPr>
              <w:rPr>
                <w:b/>
                <w:bCs/>
                <w:sz w:val="16"/>
                <w:szCs w:val="16"/>
              </w:rPr>
            </w:pPr>
            <w:r w:rsidRPr="00DD4312">
              <w:rPr>
                <w:b/>
                <w:bCs/>
                <w:sz w:val="16"/>
                <w:szCs w:val="16"/>
              </w:rPr>
              <w:t>Current measurement method</w:t>
            </w:r>
          </w:p>
          <w:p w14:paraId="2128CEAD" w14:textId="650B0638" w:rsidR="00DD4312" w:rsidRPr="00DD4312" w:rsidRDefault="00DD4312" w:rsidP="00D30BC6">
            <w:pPr>
              <w:rPr>
                <w:b/>
                <w:bCs/>
                <w:sz w:val="16"/>
                <w:szCs w:val="16"/>
              </w:rPr>
            </w:pPr>
          </w:p>
        </w:tc>
        <w:tc>
          <w:tcPr>
            <w:tcW w:w="3827" w:type="dxa"/>
            <w:shd w:val="clear" w:color="auto" w:fill="DDFEFF"/>
          </w:tcPr>
          <w:p w14:paraId="358D74D3" w14:textId="7B5E89A0" w:rsidR="002A2E98" w:rsidRPr="00DD4312" w:rsidRDefault="00F763DF" w:rsidP="00D30BC6">
            <w:pPr>
              <w:rPr>
                <w:b/>
                <w:bCs/>
                <w:sz w:val="16"/>
                <w:szCs w:val="16"/>
              </w:rPr>
            </w:pPr>
            <w:r w:rsidRPr="00DD4312">
              <w:rPr>
                <w:b/>
                <w:bCs/>
                <w:sz w:val="16"/>
                <w:szCs w:val="16"/>
              </w:rPr>
              <w:t>New measurement method</w:t>
            </w:r>
          </w:p>
        </w:tc>
      </w:tr>
      <w:tr w:rsidR="002A2E98" w14:paraId="2BA439B8" w14:textId="77777777" w:rsidTr="00D30BC6">
        <w:trPr>
          <w:trHeight w:val="900"/>
        </w:trPr>
        <w:tc>
          <w:tcPr>
            <w:tcW w:w="3114" w:type="dxa"/>
          </w:tcPr>
          <w:p w14:paraId="1BAE753B" w14:textId="77777777" w:rsidR="002A2E98" w:rsidRPr="004C192D" w:rsidRDefault="002A2E98" w:rsidP="00686E00">
            <w:pPr>
              <w:rPr>
                <w:sz w:val="16"/>
                <w:szCs w:val="16"/>
              </w:rPr>
            </w:pPr>
          </w:p>
        </w:tc>
        <w:tc>
          <w:tcPr>
            <w:tcW w:w="3260" w:type="dxa"/>
          </w:tcPr>
          <w:p w14:paraId="02E0E2FB" w14:textId="77777777" w:rsidR="00B028AC" w:rsidRDefault="004C192D" w:rsidP="00D30BC6">
            <w:pPr>
              <w:spacing w:after="0"/>
              <w:rPr>
                <w:sz w:val="16"/>
                <w:szCs w:val="16"/>
              </w:rPr>
            </w:pPr>
            <w:r>
              <w:rPr>
                <w:sz w:val="16"/>
                <w:szCs w:val="16"/>
              </w:rPr>
              <w:t>IEC TR 63170 or</w:t>
            </w:r>
            <w:r w:rsidR="008C1FF3">
              <w:rPr>
                <w:sz w:val="16"/>
                <w:szCs w:val="16"/>
              </w:rPr>
              <w:t xml:space="preserve"> </w:t>
            </w:r>
            <w:r>
              <w:rPr>
                <w:sz w:val="16"/>
                <w:szCs w:val="16"/>
              </w:rPr>
              <w:t>SA TR IEC 63170</w:t>
            </w:r>
          </w:p>
          <w:p w14:paraId="0ED41F2B" w14:textId="682DBFBA" w:rsidR="00B028AC" w:rsidRPr="004C192D" w:rsidRDefault="00B028AC" w:rsidP="00D30BC6">
            <w:pPr>
              <w:spacing w:after="0"/>
              <w:rPr>
                <w:sz w:val="16"/>
                <w:szCs w:val="16"/>
              </w:rPr>
            </w:pPr>
            <w:r>
              <w:rPr>
                <w:sz w:val="16"/>
                <w:szCs w:val="16"/>
              </w:rPr>
              <w:t>(</w:t>
            </w:r>
            <w:r w:rsidR="001C284A">
              <w:rPr>
                <w:sz w:val="16"/>
                <w:szCs w:val="16"/>
              </w:rPr>
              <w:t>Only p</w:t>
            </w:r>
            <w:r>
              <w:rPr>
                <w:sz w:val="16"/>
                <w:szCs w:val="16"/>
              </w:rPr>
              <w:t>rovides</w:t>
            </w:r>
            <w:r w:rsidR="001C284A">
              <w:rPr>
                <w:sz w:val="16"/>
                <w:szCs w:val="16"/>
              </w:rPr>
              <w:t xml:space="preserve"> </w:t>
            </w:r>
            <w:r>
              <w:rPr>
                <w:sz w:val="16"/>
                <w:szCs w:val="16"/>
              </w:rPr>
              <w:t>measurement method)</w:t>
            </w:r>
          </w:p>
        </w:tc>
        <w:tc>
          <w:tcPr>
            <w:tcW w:w="3827" w:type="dxa"/>
            <w:shd w:val="clear" w:color="auto" w:fill="DDFEFF"/>
          </w:tcPr>
          <w:p w14:paraId="1E8442A3" w14:textId="77777777" w:rsidR="00B028AC" w:rsidRDefault="004C192D" w:rsidP="00D30BC6">
            <w:pPr>
              <w:spacing w:after="0"/>
              <w:rPr>
                <w:sz w:val="16"/>
                <w:szCs w:val="16"/>
              </w:rPr>
            </w:pPr>
            <w:r w:rsidRPr="004C192D">
              <w:rPr>
                <w:sz w:val="16"/>
                <w:szCs w:val="16"/>
              </w:rPr>
              <w:t>IEC/IEEE</w:t>
            </w:r>
            <w:r>
              <w:rPr>
                <w:sz w:val="16"/>
                <w:szCs w:val="16"/>
              </w:rPr>
              <w:t xml:space="preserve"> 63195-1 and</w:t>
            </w:r>
            <w:r w:rsidR="008C1FF3">
              <w:rPr>
                <w:sz w:val="16"/>
                <w:szCs w:val="16"/>
              </w:rPr>
              <w:t xml:space="preserve"> </w:t>
            </w:r>
            <w:r>
              <w:rPr>
                <w:sz w:val="16"/>
                <w:szCs w:val="16"/>
              </w:rPr>
              <w:t>IEC/IEEE 63195-2</w:t>
            </w:r>
          </w:p>
          <w:p w14:paraId="7ABC7A14" w14:textId="5D60BE2B" w:rsidR="00B028AC" w:rsidRPr="004C192D" w:rsidRDefault="00B028AC" w:rsidP="00D30BC6">
            <w:pPr>
              <w:spacing w:after="0"/>
              <w:rPr>
                <w:sz w:val="16"/>
                <w:szCs w:val="16"/>
              </w:rPr>
            </w:pPr>
            <w:r>
              <w:rPr>
                <w:sz w:val="16"/>
                <w:szCs w:val="16"/>
              </w:rPr>
              <w:t>(Provides both measurement and computational methods)</w:t>
            </w:r>
          </w:p>
        </w:tc>
      </w:tr>
    </w:tbl>
    <w:p w14:paraId="71E11527" w14:textId="77777777" w:rsidR="00A60FD3" w:rsidRDefault="00A60FD3">
      <w:pPr>
        <w:spacing w:after="0" w:line="240" w:lineRule="auto"/>
        <w:rPr>
          <w:b/>
          <w:bCs/>
        </w:rPr>
      </w:pPr>
    </w:p>
    <w:p w14:paraId="04E9699C" w14:textId="77777777" w:rsidR="00815F68" w:rsidRDefault="00815F68" w:rsidP="00815F68">
      <w:pPr>
        <w:pStyle w:val="ListParagraph"/>
        <w:rPr>
          <w:b/>
          <w:bCs/>
        </w:rPr>
      </w:pPr>
    </w:p>
    <w:p w14:paraId="74B37251" w14:textId="0FC3645F" w:rsidR="00B028AC" w:rsidRPr="006D6A98" w:rsidRDefault="00B028AC" w:rsidP="00E44DFC">
      <w:pPr>
        <w:pStyle w:val="ListParagraph"/>
        <w:keepNext/>
        <w:numPr>
          <w:ilvl w:val="0"/>
          <w:numId w:val="27"/>
        </w:numPr>
        <w:rPr>
          <w:b/>
          <w:bCs/>
        </w:rPr>
      </w:pPr>
      <w:r w:rsidRPr="006D6A98">
        <w:rPr>
          <w:b/>
          <w:bCs/>
        </w:rPr>
        <w:t>Significant event provision</w:t>
      </w:r>
      <w:r w:rsidR="00590627">
        <w:rPr>
          <w:b/>
          <w:bCs/>
        </w:rPr>
        <w:t>s</w:t>
      </w:r>
      <w:r w:rsidR="00E44DFC">
        <w:rPr>
          <w:b/>
          <w:bCs/>
        </w:rPr>
        <w:t xml:space="preserve">:  </w:t>
      </w:r>
      <w:r w:rsidR="00E44DFC" w:rsidRPr="00E44DFC">
        <w:rPr>
          <w:b/>
          <w:bCs/>
        </w:rPr>
        <w:t xml:space="preserve">13 ACMA </w:t>
      </w:r>
      <w:r w:rsidR="00B61729">
        <w:rPr>
          <w:b/>
          <w:bCs/>
        </w:rPr>
        <w:t xml:space="preserve">radiocommunications </w:t>
      </w:r>
      <w:r w:rsidR="00E44DFC" w:rsidRPr="00E44DFC">
        <w:rPr>
          <w:b/>
          <w:bCs/>
        </w:rPr>
        <w:t xml:space="preserve">mandatory technical standards, </w:t>
      </w:r>
      <w:r w:rsidR="006F2C45" w:rsidRPr="00A03B5F">
        <w:rPr>
          <w:b/>
          <w:bCs/>
        </w:rPr>
        <w:t xml:space="preserve">the </w:t>
      </w:r>
      <w:r w:rsidR="006F2C45" w:rsidRPr="00D30BC6">
        <w:rPr>
          <w:b/>
          <w:bCs/>
        </w:rPr>
        <w:t>Radiocommunications (Low Interference Potential Devices) Class Licence 2015</w:t>
      </w:r>
      <w:r w:rsidR="006F2C45">
        <w:rPr>
          <w:b/>
          <w:bCs/>
        </w:rPr>
        <w:t xml:space="preserve">, </w:t>
      </w:r>
      <w:r w:rsidR="00E44DFC" w:rsidRPr="00E44DFC">
        <w:rPr>
          <w:b/>
          <w:bCs/>
        </w:rPr>
        <w:t xml:space="preserve">the </w:t>
      </w:r>
      <w:r w:rsidR="00E44DFC" w:rsidRPr="00D30BC6">
        <w:rPr>
          <w:b/>
          <w:bCs/>
        </w:rPr>
        <w:t>Telecommunications (Labelling Notice for Customer Equipment and Customer Cabling) Instrument 2015</w:t>
      </w:r>
      <w:r w:rsidR="00E44DFC" w:rsidRPr="00B54B85">
        <w:rPr>
          <w:b/>
          <w:bCs/>
        </w:rPr>
        <w:t xml:space="preserve"> and </w:t>
      </w:r>
      <w:r w:rsidR="00E44DFC" w:rsidRPr="00D30BC6">
        <w:rPr>
          <w:b/>
          <w:bCs/>
        </w:rPr>
        <w:t>Telecommunications (Types of Cabling Work) Declaration 2013</w:t>
      </w:r>
    </w:p>
    <w:tbl>
      <w:tblPr>
        <w:tblStyle w:val="TableGrid"/>
        <w:tblW w:w="10201" w:type="dxa"/>
        <w:tblBorders>
          <w:top w:val="none" w:sz="0" w:space="0" w:color="auto"/>
          <w:left w:val="none" w:sz="0" w:space="0" w:color="auto"/>
          <w:bottom w:val="none" w:sz="0" w:space="0" w:color="auto"/>
          <w:right w:val="none" w:sz="0" w:space="0" w:color="auto"/>
          <w:insideV w:val="none" w:sz="0" w:space="0" w:color="auto"/>
        </w:tblBorders>
        <w:tblLook w:val="04A0" w:firstRow="1" w:lastRow="0" w:firstColumn="1" w:lastColumn="0" w:noHBand="0" w:noVBand="1"/>
      </w:tblPr>
      <w:tblGrid>
        <w:gridCol w:w="3114"/>
        <w:gridCol w:w="3260"/>
        <w:gridCol w:w="3827"/>
      </w:tblGrid>
      <w:tr w:rsidR="00B028AC" w14:paraId="168BA243" w14:textId="77777777" w:rsidTr="00D30BC6">
        <w:tc>
          <w:tcPr>
            <w:tcW w:w="3114" w:type="dxa"/>
          </w:tcPr>
          <w:p w14:paraId="56A91849" w14:textId="09E48331" w:rsidR="00B028AC" w:rsidRPr="00A03B5F" w:rsidRDefault="00E44DFC" w:rsidP="00686E00">
            <w:pPr>
              <w:keepNext/>
              <w:rPr>
                <w:b/>
                <w:sz w:val="16"/>
                <w:szCs w:val="16"/>
              </w:rPr>
            </w:pPr>
            <w:r w:rsidRPr="00A03B5F">
              <w:rPr>
                <w:b/>
                <w:sz w:val="16"/>
                <w:szCs w:val="16"/>
              </w:rPr>
              <w:t>Provision</w:t>
            </w:r>
          </w:p>
        </w:tc>
        <w:tc>
          <w:tcPr>
            <w:tcW w:w="3260" w:type="dxa"/>
          </w:tcPr>
          <w:p w14:paraId="30157AB8" w14:textId="5BDC528A" w:rsidR="00B028AC" w:rsidRPr="006D6A98" w:rsidRDefault="001C284A" w:rsidP="00D30BC6">
            <w:pPr>
              <w:keepNext/>
              <w:rPr>
                <w:b/>
                <w:bCs/>
                <w:sz w:val="16"/>
                <w:szCs w:val="16"/>
              </w:rPr>
            </w:pPr>
            <w:r w:rsidRPr="006D6A98">
              <w:rPr>
                <w:b/>
                <w:bCs/>
                <w:sz w:val="16"/>
                <w:szCs w:val="16"/>
              </w:rPr>
              <w:t xml:space="preserve">Current </w:t>
            </w:r>
            <w:r w:rsidR="006D6A98">
              <w:rPr>
                <w:b/>
                <w:bCs/>
                <w:sz w:val="16"/>
                <w:szCs w:val="16"/>
              </w:rPr>
              <w:t>arrangement</w:t>
            </w:r>
          </w:p>
        </w:tc>
        <w:tc>
          <w:tcPr>
            <w:tcW w:w="3827" w:type="dxa"/>
            <w:shd w:val="clear" w:color="auto" w:fill="DDFEFF"/>
          </w:tcPr>
          <w:p w14:paraId="4311A249" w14:textId="0D6846E6" w:rsidR="00B028AC" w:rsidRPr="006D6A98" w:rsidRDefault="006D6A98" w:rsidP="00D30BC6">
            <w:pPr>
              <w:keepNext/>
              <w:rPr>
                <w:b/>
                <w:bCs/>
                <w:sz w:val="16"/>
                <w:szCs w:val="16"/>
              </w:rPr>
            </w:pPr>
            <w:r w:rsidRPr="006D6A98">
              <w:rPr>
                <w:b/>
                <w:bCs/>
                <w:sz w:val="16"/>
                <w:szCs w:val="16"/>
              </w:rPr>
              <w:t>New</w:t>
            </w:r>
            <w:r w:rsidR="00A228CF">
              <w:rPr>
                <w:b/>
                <w:bCs/>
                <w:sz w:val="16"/>
                <w:szCs w:val="16"/>
              </w:rPr>
              <w:t xml:space="preserve"> arrangement</w:t>
            </w:r>
          </w:p>
        </w:tc>
      </w:tr>
      <w:tr w:rsidR="00B028AC" w14:paraId="575EF379" w14:textId="77777777" w:rsidTr="00D30BC6">
        <w:trPr>
          <w:trHeight w:val="449"/>
        </w:trPr>
        <w:tc>
          <w:tcPr>
            <w:tcW w:w="3114" w:type="dxa"/>
          </w:tcPr>
          <w:p w14:paraId="05DCB2B8" w14:textId="77777777" w:rsidR="00B028AC" w:rsidRPr="006D6A98" w:rsidRDefault="001C284A" w:rsidP="00686E00">
            <w:pPr>
              <w:keepNext/>
              <w:rPr>
                <w:sz w:val="16"/>
                <w:szCs w:val="16"/>
              </w:rPr>
            </w:pPr>
            <w:r w:rsidRPr="006D6A98">
              <w:rPr>
                <w:sz w:val="16"/>
                <w:szCs w:val="16"/>
              </w:rPr>
              <w:t xml:space="preserve">Declare event to be </w:t>
            </w:r>
            <w:r w:rsidR="00A228CF">
              <w:rPr>
                <w:sz w:val="16"/>
                <w:szCs w:val="16"/>
              </w:rPr>
              <w:t xml:space="preserve">a </w:t>
            </w:r>
            <w:r w:rsidRPr="006D6A98">
              <w:rPr>
                <w:sz w:val="16"/>
                <w:szCs w:val="16"/>
              </w:rPr>
              <w:t>significant event</w:t>
            </w:r>
          </w:p>
        </w:tc>
        <w:tc>
          <w:tcPr>
            <w:tcW w:w="3260" w:type="dxa"/>
          </w:tcPr>
          <w:p w14:paraId="7EC0F02B" w14:textId="16FABA23" w:rsidR="00B028AC" w:rsidRPr="006D6A98" w:rsidRDefault="006D6A98" w:rsidP="00D30BC6">
            <w:pPr>
              <w:keepNext/>
              <w:rPr>
                <w:sz w:val="16"/>
                <w:szCs w:val="16"/>
              </w:rPr>
            </w:pPr>
            <w:r w:rsidRPr="006D6A98">
              <w:rPr>
                <w:sz w:val="16"/>
                <w:szCs w:val="16"/>
              </w:rPr>
              <w:t xml:space="preserve">Chair of </w:t>
            </w:r>
            <w:r w:rsidR="005810BF">
              <w:rPr>
                <w:sz w:val="16"/>
                <w:szCs w:val="16"/>
              </w:rPr>
              <w:t xml:space="preserve">the </w:t>
            </w:r>
            <w:r w:rsidR="001C284A" w:rsidRPr="006D6A98">
              <w:rPr>
                <w:sz w:val="16"/>
                <w:szCs w:val="16"/>
              </w:rPr>
              <w:t>ACMA</w:t>
            </w:r>
            <w:r w:rsidR="007A01B0">
              <w:rPr>
                <w:sz w:val="16"/>
                <w:szCs w:val="16"/>
              </w:rPr>
              <w:t xml:space="preserve"> has the power to declare a significant event</w:t>
            </w:r>
          </w:p>
        </w:tc>
        <w:tc>
          <w:tcPr>
            <w:tcW w:w="3827" w:type="dxa"/>
            <w:shd w:val="clear" w:color="auto" w:fill="DDFEFF"/>
          </w:tcPr>
          <w:p w14:paraId="4ACA8BB8" w14:textId="55EE4436" w:rsidR="00B028AC" w:rsidRPr="006D6A98" w:rsidRDefault="00AF2914" w:rsidP="00D30BC6">
            <w:pPr>
              <w:keepNext/>
              <w:rPr>
                <w:sz w:val="16"/>
                <w:szCs w:val="16"/>
              </w:rPr>
            </w:pPr>
            <w:r>
              <w:rPr>
                <w:sz w:val="16"/>
                <w:szCs w:val="16"/>
              </w:rPr>
              <w:t>ACMA has the power to declare a significant event and may delegate that power to</w:t>
            </w:r>
            <w:r w:rsidR="00350622">
              <w:rPr>
                <w:sz w:val="16"/>
                <w:szCs w:val="16"/>
              </w:rPr>
              <w:t xml:space="preserve"> an</w:t>
            </w:r>
            <w:r>
              <w:rPr>
                <w:sz w:val="16"/>
                <w:szCs w:val="16"/>
              </w:rPr>
              <w:t xml:space="preserve"> </w:t>
            </w:r>
            <w:r w:rsidR="00A228CF">
              <w:rPr>
                <w:sz w:val="16"/>
                <w:szCs w:val="16"/>
              </w:rPr>
              <w:t>ACMA</w:t>
            </w:r>
            <w:r w:rsidR="003634BA">
              <w:rPr>
                <w:sz w:val="16"/>
                <w:szCs w:val="16"/>
              </w:rPr>
              <w:t xml:space="preserve"> member of</w:t>
            </w:r>
            <w:r w:rsidR="00A228CF">
              <w:rPr>
                <w:sz w:val="16"/>
                <w:szCs w:val="16"/>
              </w:rPr>
              <w:t xml:space="preserve"> staff</w:t>
            </w:r>
            <w:r w:rsidR="001A6439">
              <w:rPr>
                <w:sz w:val="16"/>
                <w:szCs w:val="16"/>
              </w:rPr>
              <w:t xml:space="preserve"> </w:t>
            </w:r>
            <w:r w:rsidR="00BD746A">
              <w:rPr>
                <w:sz w:val="16"/>
                <w:szCs w:val="16"/>
              </w:rPr>
              <w:t>under</w:t>
            </w:r>
            <w:r w:rsidR="00774C56">
              <w:rPr>
                <w:sz w:val="16"/>
                <w:szCs w:val="16"/>
              </w:rPr>
              <w:t xml:space="preserve"> the</w:t>
            </w:r>
            <w:r w:rsidR="00BD746A">
              <w:rPr>
                <w:sz w:val="16"/>
                <w:szCs w:val="16"/>
              </w:rPr>
              <w:t xml:space="preserve"> </w:t>
            </w:r>
            <w:r w:rsidR="00BD746A" w:rsidRPr="00BD746A">
              <w:rPr>
                <w:i/>
                <w:iCs/>
                <w:sz w:val="16"/>
                <w:szCs w:val="16"/>
              </w:rPr>
              <w:t>Australian Communications and Media Authority Act</w:t>
            </w:r>
            <w:r w:rsidR="00BD746A" w:rsidRPr="00FC433B">
              <w:rPr>
                <w:i/>
                <w:iCs/>
                <w:sz w:val="16"/>
                <w:szCs w:val="16"/>
              </w:rPr>
              <w:t xml:space="preserve"> 2005</w:t>
            </w:r>
            <w:r w:rsidR="00A228CF">
              <w:rPr>
                <w:sz w:val="16"/>
                <w:szCs w:val="16"/>
              </w:rPr>
              <w:t xml:space="preserve"> </w:t>
            </w:r>
          </w:p>
        </w:tc>
      </w:tr>
    </w:tbl>
    <w:p w14:paraId="6D5B80F3" w14:textId="77777777" w:rsidR="00DF43FF" w:rsidRDefault="00DF43FF" w:rsidP="00E44DFC">
      <w:pPr>
        <w:keepNext/>
      </w:pPr>
    </w:p>
    <w:p w14:paraId="1BB587B6" w14:textId="77777777" w:rsidR="003377A6" w:rsidRDefault="003377A6" w:rsidP="003377A6">
      <w:pPr>
        <w:pStyle w:val="ListParagraph"/>
        <w:rPr>
          <w:b/>
          <w:bCs/>
        </w:rPr>
      </w:pPr>
    </w:p>
    <w:bookmarkEnd w:id="39"/>
    <w:bookmarkEnd w:id="40"/>
    <w:bookmarkEnd w:id="41"/>
    <w:p w14:paraId="0BFC41F0" w14:textId="77777777" w:rsidR="00DF43FF" w:rsidRPr="00B72CC8" w:rsidRDefault="00DF43FF" w:rsidP="00E44DFC">
      <w:pPr>
        <w:keepNext/>
      </w:pPr>
    </w:p>
    <w:sectPr w:rsidR="00DF43FF" w:rsidRPr="00B72CC8" w:rsidSect="00750903">
      <w:headerReference w:type="even" r:id="rId43"/>
      <w:headerReference w:type="default" r:id="rId44"/>
      <w:footerReference w:type="even" r:id="rId45"/>
      <w:footerReference w:type="default" r:id="rId46"/>
      <w:pgSz w:w="11906" w:h="16838" w:code="9"/>
      <w:pgMar w:top="1945" w:right="3101" w:bottom="1134" w:left="1134" w:header="709" w:footer="119"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BA284F6" w14:textId="77777777" w:rsidR="009D1549" w:rsidRDefault="009D1549">
      <w:r>
        <w:separator/>
      </w:r>
    </w:p>
  </w:endnote>
  <w:endnote w:type="continuationSeparator" w:id="0">
    <w:p w14:paraId="060E70EE" w14:textId="77777777" w:rsidR="009D1549" w:rsidRDefault="009D1549">
      <w:r>
        <w:continuationSeparator/>
      </w:r>
    </w:p>
  </w:endnote>
  <w:endnote w:type="continuationNotice" w:id="1">
    <w:p w14:paraId="262BA41E" w14:textId="77777777" w:rsidR="009D1549" w:rsidRDefault="009D1549">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HelveticaNeueLT Std Lt">
    <w:altName w:val="Arial"/>
    <w:panose1 w:val="020B0403020202020204"/>
    <w:charset w:val="00"/>
    <w:family w:val="swiss"/>
    <w:notTrueType/>
    <w:pitch w:val="variable"/>
    <w:sig w:usb0="800000AF" w:usb1="4000204A" w:usb2="00000000" w:usb3="00000000" w:csb0="00000001"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HelveticaNeueLT Std">
    <w:panose1 w:val="020B0604020202020204"/>
    <w:charset w:val="00"/>
    <w:family w:val="swiss"/>
    <w:notTrueType/>
    <w:pitch w:val="variable"/>
    <w:sig w:usb0="800000AF" w:usb1="4000204A" w:usb2="00000000" w:usb3="00000000" w:csb0="00000001"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4002E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Wingdings 2">
    <w:panose1 w:val="05020102010507070707"/>
    <w:charset w:val="02"/>
    <w:family w:val="roman"/>
    <w:pitch w:val="variable"/>
    <w:sig w:usb0="00000000" w:usb1="10000000" w:usb2="00000000" w:usb3="00000000" w:csb0="80000000"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3EF087" w14:textId="77777777" w:rsidR="005E250B" w:rsidRDefault="005E250B" w:rsidP="005E250B">
    <w:pPr>
      <w:pStyle w:val="Footer"/>
      <w:jc w:val="right"/>
    </w:pPr>
    <w:r w:rsidRPr="005E250B">
      <w:rPr>
        <w:noProof/>
        <w:vertAlign w:val="subscript"/>
      </w:rPr>
      <w:drawing>
        <wp:inline distT="0" distB="0" distL="0" distR="0" wp14:anchorId="16B72047" wp14:editId="0A5DEEA8">
          <wp:extent cx="1066800" cy="277368"/>
          <wp:effectExtent l="0" t="0" r="0" b="0"/>
          <wp:docPr id="15" name="Picture 15" descr="acma.gov.au">
            <a:hlinkClick xmlns:a="http://schemas.openxmlformats.org/drawingml/2006/main" r:id="rId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Picture 15" descr="acma.gov.au">
                    <a:hlinkClick r:id="rId1"/>
                  </pic:cNvPr>
                  <pic:cNvPicPr/>
                </pic:nvPicPr>
                <pic:blipFill>
                  <a:blip r:embed="rId2"/>
                  <a:stretch>
                    <a:fillRect/>
                  </a:stretch>
                </pic:blipFill>
                <pic:spPr>
                  <a:xfrm>
                    <a:off x="0" y="0"/>
                    <a:ext cx="1133985" cy="294836"/>
                  </a:xfrm>
                  <a:prstGeom prst="rect">
                    <a:avLst/>
                  </a:prstGeom>
                </pic:spPr>
              </pic:pic>
            </a:graphicData>
          </a:graphic>
        </wp:inline>
      </w:drawing>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FE96DF8" w14:textId="77777777" w:rsidR="00C053A1" w:rsidRDefault="00C053A1">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6309FD" w14:textId="77777777" w:rsidR="00C053A1" w:rsidRDefault="00C053A1">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988867" w14:textId="77777777" w:rsidR="00971914" w:rsidRPr="00622A3B" w:rsidRDefault="00971914" w:rsidP="00971914">
    <w:pPr>
      <w:pStyle w:val="Footer"/>
      <w:framePr w:w="1334" w:h="357" w:hRule="exact" w:vSpace="425" w:wrap="around" w:vAnchor="page" w:hAnchor="page" w:x="1156" w:y="16166"/>
      <w:pBdr>
        <w:top w:val="single" w:sz="4" w:space="1" w:color="auto"/>
      </w:pBdr>
      <w:tabs>
        <w:tab w:val="clear" w:pos="113"/>
        <w:tab w:val="left" w:pos="284"/>
      </w:tabs>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sidR="000C6AB4">
      <w:rPr>
        <w:noProof/>
        <w:color w:val="505050"/>
      </w:rPr>
      <w:t>iv</w:t>
    </w:r>
    <w:r w:rsidRPr="002E4DDC">
      <w:rPr>
        <w:color w:val="505050"/>
      </w:rPr>
      <w:fldChar w:fldCharType="end"/>
    </w:r>
  </w:p>
  <w:p w14:paraId="22B5A233" w14:textId="77777777" w:rsidR="00C053A1" w:rsidRPr="00A5474E" w:rsidRDefault="00C053A1" w:rsidP="00A5474E">
    <w:pPr>
      <w:pStyle w:val="Foote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F4F4FAC" w14:textId="77777777" w:rsidR="00971914" w:rsidRPr="00622A3B" w:rsidRDefault="00971914" w:rsidP="00971914">
    <w:pPr>
      <w:pStyle w:val="Footer"/>
      <w:framePr w:w="1334" w:h="357" w:hRule="exact" w:vSpace="425" w:wrap="around" w:vAnchor="page" w:hAnchor="page" w:x="7335" w:y="16166"/>
      <w:pBdr>
        <w:top w:val="single" w:sz="4" w:space="1" w:color="auto"/>
      </w:pBdr>
      <w:tabs>
        <w:tab w:val="clear" w:pos="113"/>
        <w:tab w:val="left" w:pos="284"/>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sidR="000C6AB4">
      <w:rPr>
        <w:noProof/>
        <w:color w:val="505050"/>
      </w:rPr>
      <w:t>v</w:t>
    </w:r>
    <w:r w:rsidRPr="002E4DDC">
      <w:rPr>
        <w:color w:val="505050"/>
      </w:rPr>
      <w:fldChar w:fldCharType="end"/>
    </w:r>
  </w:p>
  <w:p w14:paraId="10B04923" w14:textId="77777777" w:rsidR="00C053A1" w:rsidRPr="00A5474E" w:rsidRDefault="00C053A1" w:rsidP="00A5474E">
    <w:pPr>
      <w:pStyle w:val="Footer"/>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4EFEE9" w14:textId="77777777" w:rsidR="00C053A1" w:rsidRPr="00622A3B" w:rsidRDefault="00C053A1" w:rsidP="0094078F">
    <w:pPr>
      <w:pStyle w:val="Footer"/>
      <w:framePr w:w="1334" w:h="357" w:hRule="exact" w:vSpace="425" w:wrap="around" w:vAnchor="page" w:hAnchor="page" w:x="7335" w:y="16166"/>
      <w:pBdr>
        <w:top w:val="single" w:sz="4" w:space="1" w:color="auto"/>
      </w:pBdr>
      <w:tabs>
        <w:tab w:val="clear" w:pos="113"/>
        <w:tab w:val="left" w:pos="284"/>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sidR="00DD1A43">
      <w:rPr>
        <w:noProof/>
        <w:color w:val="505050"/>
      </w:rPr>
      <w:t>iii</w:t>
    </w:r>
    <w:r w:rsidRPr="002E4DDC">
      <w:rPr>
        <w:color w:val="505050"/>
      </w:rPr>
      <w:fldChar w:fldCharType="end"/>
    </w:r>
  </w:p>
  <w:p w14:paraId="3B9618A5" w14:textId="77777777" w:rsidR="00C053A1" w:rsidRPr="00A5474E" w:rsidRDefault="00C053A1" w:rsidP="00A5474E">
    <w:pPr>
      <w:pStyle w:val="Footer"/>
    </w:pP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BCAB8D" w14:textId="77777777" w:rsidR="00C053A1" w:rsidRPr="00622A3B" w:rsidRDefault="00C053A1" w:rsidP="00B43262">
    <w:pPr>
      <w:pStyle w:val="FooterLeft"/>
      <w:framePr w:wrap="around" w:x="1141" w:y="16166"/>
      <w:tabs>
        <w:tab w:val="clear" w:pos="113"/>
        <w:tab w:val="right" w:pos="397"/>
      </w:tabs>
    </w:pPr>
    <w:r w:rsidRPr="00575AC5">
      <w:fldChar w:fldCharType="begin"/>
    </w:r>
    <w:r w:rsidRPr="00575AC5">
      <w:instrText xml:space="preserve"> PAGE  \* Arabic  \* MERGEFORMAT </w:instrText>
    </w:r>
    <w:r w:rsidRPr="00575AC5">
      <w:fldChar w:fldCharType="separate"/>
    </w:r>
    <w:r w:rsidR="00DD1A43">
      <w:rPr>
        <w:noProof/>
      </w:rPr>
      <w:t>6</w:t>
    </w:r>
    <w:r w:rsidRPr="00575AC5">
      <w:fldChar w:fldCharType="end"/>
    </w:r>
    <w:r w:rsidRPr="0094078F">
      <w:tab/>
    </w:r>
    <w:r w:rsidRPr="00622A3B">
      <w:t>|</w:t>
    </w:r>
    <w:r>
      <w:tab/>
    </w:r>
    <w:r w:rsidRPr="00622A3B">
      <w:rPr>
        <w:b/>
        <w:noProof/>
        <w:spacing w:val="-16"/>
        <w:sz w:val="20"/>
        <w:szCs w:val="20"/>
      </w:rPr>
      <w:t>a</w:t>
    </w:r>
    <w:r w:rsidRPr="00622A3B">
      <w:rPr>
        <w:b/>
        <w:noProof/>
        <w:spacing w:val="-15"/>
        <w:sz w:val="20"/>
        <w:szCs w:val="20"/>
      </w:rPr>
      <w:t>c</w:t>
    </w:r>
    <w:r w:rsidRPr="00622A3B">
      <w:rPr>
        <w:b/>
        <w:noProof/>
        <w:spacing w:val="-16"/>
        <w:sz w:val="20"/>
        <w:szCs w:val="20"/>
      </w:rPr>
      <w:t>m</w:t>
    </w:r>
    <w:r w:rsidRPr="00622A3B">
      <w:rPr>
        <w:b/>
        <w:noProof/>
        <w:spacing w:val="-14"/>
        <w:sz w:val="20"/>
        <w:szCs w:val="20"/>
      </w:rPr>
      <w:t>a</w:t>
    </w:r>
  </w:p>
  <w:p w14:paraId="0F0DF80C" w14:textId="77777777" w:rsidR="00C053A1" w:rsidRPr="00A5474E" w:rsidRDefault="00C053A1" w:rsidP="00A5474E">
    <w:pPr>
      <w:pStyle w:val="Footer"/>
    </w:pP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350913" w14:textId="77777777" w:rsidR="00C053A1" w:rsidRPr="00622A3B" w:rsidRDefault="00C053A1" w:rsidP="00447037">
    <w:pPr>
      <w:pStyle w:val="Footer"/>
      <w:framePr w:w="1440" w:h="357" w:hRule="exact" w:vSpace="425" w:wrap="around" w:vAnchor="page" w:hAnchor="page" w:x="7335" w:y="16166"/>
      <w:pBdr>
        <w:top w:val="single" w:sz="4" w:space="1" w:color="auto"/>
      </w:pBdr>
      <w:tabs>
        <w:tab w:val="clear" w:pos="113"/>
        <w:tab w:val="left" w:pos="397"/>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575AC5">
      <w:rPr>
        <w:color w:val="505050"/>
      </w:rPr>
      <w:fldChar w:fldCharType="begin"/>
    </w:r>
    <w:r w:rsidRPr="00575AC5">
      <w:rPr>
        <w:color w:val="505050"/>
      </w:rPr>
      <w:instrText xml:space="preserve"> PAGE  \* Arabic  \* MERGEFORMAT </w:instrText>
    </w:r>
    <w:r w:rsidRPr="00575AC5">
      <w:rPr>
        <w:color w:val="505050"/>
      </w:rPr>
      <w:fldChar w:fldCharType="separate"/>
    </w:r>
    <w:r w:rsidR="00DD1A43">
      <w:rPr>
        <w:noProof/>
        <w:color w:val="505050"/>
      </w:rPr>
      <w:t>1</w:t>
    </w:r>
    <w:r w:rsidRPr="00575AC5">
      <w:rPr>
        <w:color w:val="505050"/>
      </w:rPr>
      <w:fldChar w:fldCharType="end"/>
    </w:r>
  </w:p>
  <w:p w14:paraId="07AA01DC" w14:textId="77777777" w:rsidR="00C053A1" w:rsidRPr="00A5474E" w:rsidRDefault="00C053A1" w:rsidP="00A5474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5E95271" w14:textId="77777777" w:rsidR="009D1549" w:rsidRDefault="009D1549" w:rsidP="00EA0969">
      <w:pPr>
        <w:spacing w:after="0"/>
      </w:pPr>
      <w:r>
        <w:separator/>
      </w:r>
    </w:p>
  </w:footnote>
  <w:footnote w:type="continuationSeparator" w:id="0">
    <w:p w14:paraId="248E84F3" w14:textId="77777777" w:rsidR="009D1549" w:rsidRDefault="009D1549">
      <w:r>
        <w:continuationSeparator/>
      </w:r>
    </w:p>
  </w:footnote>
  <w:footnote w:type="continuationNotice" w:id="1">
    <w:p w14:paraId="31ADFC7D" w14:textId="77777777" w:rsidR="009D1549" w:rsidRDefault="009D1549">
      <w:pPr>
        <w:spacing w:after="0" w:line="240" w:lineRule="auto"/>
      </w:pPr>
    </w:p>
  </w:footnote>
  <w:footnote w:id="2">
    <w:p w14:paraId="23FD21D1" w14:textId="6544343D" w:rsidR="00D0784C" w:rsidRDefault="00D0784C" w:rsidP="00D0784C">
      <w:pPr>
        <w:pStyle w:val="FootnoteText"/>
      </w:pPr>
      <w:r>
        <w:rPr>
          <w:rStyle w:val="FootnoteReference"/>
        </w:rPr>
        <w:footnoteRef/>
      </w:r>
      <w:r>
        <w:t xml:space="preserve"> The </w:t>
      </w:r>
      <w:r w:rsidRPr="00FC50C0">
        <w:t>Radiocommunications (UHF CB Radio Equipment) Standard 2011 (No. 1)</w:t>
      </w:r>
      <w:r w:rsidRPr="0097132E">
        <w:t xml:space="preserve"> and </w:t>
      </w:r>
      <w:r w:rsidRPr="00FC50C0">
        <w:t>Radiocommunications (118</w:t>
      </w:r>
      <w:r w:rsidR="00913BDF">
        <w:t xml:space="preserve"> </w:t>
      </w:r>
      <w:r w:rsidRPr="00FC50C0">
        <w:t>MHz to 137</w:t>
      </w:r>
      <w:r w:rsidR="00913BDF">
        <w:t xml:space="preserve"> </w:t>
      </w:r>
      <w:r w:rsidRPr="00FC50C0">
        <w:t xml:space="preserve">MHz Amplitude Modulated Equipment </w:t>
      </w:r>
      <w:r w:rsidR="00913BDF">
        <w:t>–</w:t>
      </w:r>
      <w:r w:rsidRPr="00FC50C0">
        <w:t xml:space="preserve"> Aeronautical Radio Service) Standard 2012</w:t>
      </w:r>
      <w:r>
        <w:t xml:space="preserve"> are sunseting on 1 April 2023.</w:t>
      </w:r>
    </w:p>
  </w:footnote>
  <w:footnote w:id="3">
    <w:p w14:paraId="67732A39" w14:textId="18E23C50" w:rsidR="00FF31D8" w:rsidRDefault="00FF31D8">
      <w:pPr>
        <w:pStyle w:val="FootnoteText"/>
      </w:pPr>
      <w:r>
        <w:rPr>
          <w:rStyle w:val="FootnoteReference"/>
        </w:rPr>
        <w:footnoteRef/>
      </w:r>
      <w:r>
        <w:t xml:space="preserve"> </w:t>
      </w:r>
      <w:r w:rsidR="00EF497D">
        <w:t xml:space="preserve">The </w:t>
      </w:r>
      <w:r w:rsidRPr="00FC50C0">
        <w:t>Radiocommunications (121.5 MHz and 243.0 MHz Emergency Position Indicating Radio Beacons) Standard 2014</w:t>
      </w:r>
      <w:r w:rsidRPr="0097132E">
        <w:t>.</w:t>
      </w:r>
    </w:p>
  </w:footnote>
  <w:footnote w:id="4">
    <w:p w14:paraId="3054DCAA" w14:textId="3B9E9F16" w:rsidR="00956EB8" w:rsidRDefault="00956EB8">
      <w:pPr>
        <w:pStyle w:val="FootnoteText"/>
      </w:pPr>
      <w:r>
        <w:rPr>
          <w:rStyle w:val="FootnoteReference"/>
        </w:rPr>
        <w:footnoteRef/>
      </w:r>
      <w:r>
        <w:t xml:space="preserve"> </w:t>
      </w:r>
      <w:r w:rsidR="0047366D" w:rsidRPr="002D08EB">
        <w:rPr>
          <w:rFonts w:cs="Arial"/>
        </w:rPr>
        <w:t xml:space="preserve">The General Equipment Rules adopt </w:t>
      </w:r>
      <w:r w:rsidR="00A22741">
        <w:rPr>
          <w:rFonts w:cs="Arial"/>
        </w:rPr>
        <w:t xml:space="preserve">as </w:t>
      </w:r>
      <w:r w:rsidR="0047366D" w:rsidRPr="002D08EB">
        <w:rPr>
          <w:rFonts w:cs="Arial"/>
        </w:rPr>
        <w:t xml:space="preserve">the EME standard </w:t>
      </w:r>
      <w:r w:rsidR="00A22741">
        <w:rPr>
          <w:rFonts w:cs="Arial"/>
        </w:rPr>
        <w:t xml:space="preserve">the </w:t>
      </w:r>
      <w:r w:rsidR="00136CB2">
        <w:rPr>
          <w:rFonts w:cs="Arial"/>
        </w:rPr>
        <w:t>Radiation Protection Standard for Limiting Exposure to Radiofrequency Fields – 100 kHz to 300 GHz (2021),</w:t>
      </w:r>
      <w:r w:rsidR="00A22741">
        <w:rPr>
          <w:rFonts w:cs="Arial"/>
        </w:rPr>
        <w:t xml:space="preserve"> </w:t>
      </w:r>
      <w:r w:rsidR="0047366D" w:rsidRPr="002D08EB">
        <w:rPr>
          <w:rFonts w:cs="Arial"/>
        </w:rPr>
        <w:t>published by the Australian Radiation Protection and Nuclear Safety Agency (ARPANSA).</w:t>
      </w:r>
    </w:p>
  </w:footnote>
  <w:footnote w:id="5">
    <w:p w14:paraId="3B3093D4" w14:textId="4AFADC84" w:rsidR="003F2A6F" w:rsidRDefault="003F2A6F" w:rsidP="003F2A6F">
      <w:pPr>
        <w:pStyle w:val="FootnoteText"/>
      </w:pPr>
      <w:r>
        <w:rPr>
          <w:rStyle w:val="FootnoteReference"/>
        </w:rPr>
        <w:footnoteRef/>
      </w:r>
      <w:r>
        <w:t xml:space="preserve"> </w:t>
      </w:r>
      <w:hyperlink r:id="rId1" w:history="1">
        <w:r>
          <w:rPr>
            <w:rStyle w:val="Hyperlink"/>
          </w:rPr>
          <w:t>WTO | Technical Barriers to Trade</w:t>
        </w:r>
      </w:hyperlink>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0DA425" w14:textId="77777777" w:rsidR="00C053A1" w:rsidRPr="00A5474E" w:rsidRDefault="0021426C" w:rsidP="00A5474E">
    <w:pPr>
      <w:pStyle w:val="Header"/>
    </w:pPr>
    <w:r>
      <w:rPr>
        <w:noProof/>
      </w:rPr>
      <w:drawing>
        <wp:inline distT="0" distB="0" distL="0" distR="0" wp14:anchorId="1CE3CDB0" wp14:editId="6A5695A1">
          <wp:extent cx="6210300" cy="571134"/>
          <wp:effectExtent l="0" t="0" r="0" b="0"/>
          <wp:docPr id="14" name="Picture 14" descr="ACMA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iscussion-paper-header-block.pdf"/>
                  <pic:cNvPicPr/>
                </pic:nvPicPr>
                <pic:blipFill>
                  <a:blip r:embed="rId1"/>
                  <a:stretch>
                    <a:fillRect/>
                  </a:stretch>
                </pic:blipFill>
                <pic:spPr>
                  <a:xfrm>
                    <a:off x="0" y="0"/>
                    <a:ext cx="6210300" cy="571134"/>
                  </a:xfrm>
                  <a:prstGeom prst="rect">
                    <a:avLst/>
                  </a:prstGeom>
                </pic:spPr>
              </pic:pic>
            </a:graphicData>
          </a:graphic>
        </wp:inline>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33891A" w14:textId="77777777" w:rsidR="00C053A1" w:rsidRDefault="00C053A1">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34FA7A" w14:textId="77777777" w:rsidR="00C053A1" w:rsidRDefault="00C053A1">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678" w:type="dxa"/>
      <w:tblLayout w:type="fixed"/>
      <w:tblCellMar>
        <w:left w:w="0" w:type="dxa"/>
        <w:right w:w="0" w:type="dxa"/>
      </w:tblCellMar>
      <w:tblLook w:val="01E0" w:firstRow="1" w:lastRow="1" w:firstColumn="1" w:lastColumn="1" w:noHBand="0" w:noVBand="0"/>
    </w:tblPr>
    <w:tblGrid>
      <w:gridCol w:w="7678"/>
    </w:tblGrid>
    <w:tr w:rsidR="00971914" w14:paraId="25419915" w14:textId="77777777" w:rsidTr="003B0421">
      <w:trPr>
        <w:trHeight w:hRule="exact" w:val="988"/>
      </w:trPr>
      <w:tc>
        <w:tcPr>
          <w:tcW w:w="7678" w:type="dxa"/>
          <w:shd w:val="clear" w:color="auto" w:fill="auto"/>
        </w:tcPr>
        <w:p w14:paraId="7E83E6FE" w14:textId="77777777" w:rsidR="00971914" w:rsidRDefault="00971914" w:rsidP="00971914">
          <w:pPr>
            <w:pStyle w:val="Header"/>
          </w:pPr>
        </w:p>
      </w:tc>
    </w:tr>
    <w:tr w:rsidR="00971914" w14:paraId="23952468" w14:textId="77777777" w:rsidTr="003B0421">
      <w:tc>
        <w:tcPr>
          <w:tcW w:w="7678" w:type="dxa"/>
          <w:shd w:val="clear" w:color="auto" w:fill="auto"/>
        </w:tcPr>
        <w:p w14:paraId="609A8960" w14:textId="423A5527" w:rsidR="00971914" w:rsidRDefault="00971914" w:rsidP="00971914">
          <w:pPr>
            <w:pStyle w:val="GridTable31"/>
          </w:pPr>
        </w:p>
      </w:tc>
    </w:tr>
    <w:tr w:rsidR="00971914" w14:paraId="13F983F0" w14:textId="77777777" w:rsidTr="003B0421">
      <w:trPr>
        <w:trHeight w:val="1220"/>
      </w:trPr>
      <w:tc>
        <w:tcPr>
          <w:tcW w:w="7678" w:type="dxa"/>
          <w:shd w:val="clear" w:color="auto" w:fill="auto"/>
        </w:tcPr>
        <w:p w14:paraId="2BA27F47" w14:textId="77777777" w:rsidR="00971914" w:rsidRDefault="00971914" w:rsidP="00971914"/>
      </w:tc>
    </w:tr>
  </w:tbl>
  <w:p w14:paraId="66474A0E" w14:textId="77777777" w:rsidR="00971914" w:rsidRDefault="00971914" w:rsidP="00971914">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678" w:type="dxa"/>
      <w:tblLayout w:type="fixed"/>
      <w:tblCellMar>
        <w:left w:w="0" w:type="dxa"/>
        <w:right w:w="0" w:type="dxa"/>
      </w:tblCellMar>
      <w:tblLook w:val="01E0" w:firstRow="1" w:lastRow="1" w:firstColumn="1" w:lastColumn="1" w:noHBand="0" w:noVBand="0"/>
    </w:tblPr>
    <w:tblGrid>
      <w:gridCol w:w="7678"/>
    </w:tblGrid>
    <w:tr w:rsidR="00971914" w14:paraId="095F6AA2" w14:textId="77777777" w:rsidTr="003B0421">
      <w:trPr>
        <w:trHeight w:hRule="exact" w:val="988"/>
      </w:trPr>
      <w:tc>
        <w:tcPr>
          <w:tcW w:w="7678" w:type="dxa"/>
          <w:shd w:val="clear" w:color="auto" w:fill="auto"/>
        </w:tcPr>
        <w:p w14:paraId="4DE5F11B" w14:textId="77777777" w:rsidR="00971914" w:rsidRDefault="00971914" w:rsidP="00971914">
          <w:pPr>
            <w:pStyle w:val="Header"/>
          </w:pPr>
        </w:p>
      </w:tc>
    </w:tr>
    <w:tr w:rsidR="00971914" w14:paraId="59D5DCE8" w14:textId="77777777" w:rsidTr="003B0421">
      <w:tc>
        <w:tcPr>
          <w:tcW w:w="7678" w:type="dxa"/>
          <w:shd w:val="clear" w:color="auto" w:fill="auto"/>
        </w:tcPr>
        <w:p w14:paraId="2C8A89D1" w14:textId="77777777" w:rsidR="00971914" w:rsidRDefault="00971914" w:rsidP="00971914">
          <w:pPr>
            <w:pStyle w:val="GridTable31"/>
          </w:pPr>
          <w:r>
            <w:t xml:space="preserve">Contents </w:t>
          </w:r>
          <w:r w:rsidRPr="00915B1C">
            <w:rPr>
              <w:b w:val="0"/>
              <w:spacing w:val="0"/>
              <w:sz w:val="28"/>
              <w:szCs w:val="28"/>
            </w:rPr>
            <w:t>(Continued)</w:t>
          </w:r>
        </w:p>
      </w:tc>
    </w:tr>
    <w:tr w:rsidR="00971914" w14:paraId="20E7ADBE" w14:textId="77777777" w:rsidTr="003B0421">
      <w:trPr>
        <w:trHeight w:val="1220"/>
      </w:trPr>
      <w:tc>
        <w:tcPr>
          <w:tcW w:w="7678" w:type="dxa"/>
          <w:shd w:val="clear" w:color="auto" w:fill="auto"/>
        </w:tcPr>
        <w:p w14:paraId="7C88A325" w14:textId="77777777" w:rsidR="00971914" w:rsidRDefault="00971914" w:rsidP="00971914"/>
      </w:tc>
    </w:tr>
  </w:tbl>
  <w:p w14:paraId="730109B1" w14:textId="77777777" w:rsidR="00C053A1" w:rsidRPr="00A5474E" w:rsidRDefault="00C053A1" w:rsidP="00A5474E">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E08192" w14:textId="77777777" w:rsidR="00C053A1" w:rsidRDefault="00C053A1">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49C2AC" w14:textId="77777777" w:rsidR="00C053A1" w:rsidRDefault="00C053A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F"/>
    <w:multiLevelType w:val="singleLevel"/>
    <w:tmpl w:val="75F22F60"/>
    <w:lvl w:ilvl="0">
      <w:start w:val="1"/>
      <w:numFmt w:val="lowerRoman"/>
      <w:pStyle w:val="ListNumber2"/>
      <w:lvlText w:val="%1."/>
      <w:lvlJc w:val="right"/>
      <w:pPr>
        <w:ind w:left="717" w:hanging="360"/>
      </w:pPr>
      <w:rPr>
        <w:rFonts w:hint="default"/>
      </w:rPr>
    </w:lvl>
  </w:abstractNum>
  <w:abstractNum w:abstractNumId="1" w15:restartNumberingAfterBreak="0">
    <w:nsid w:val="FFFFFF83"/>
    <w:multiLevelType w:val="singleLevel"/>
    <w:tmpl w:val="909E78BC"/>
    <w:lvl w:ilvl="0">
      <w:start w:val="1"/>
      <w:numFmt w:val="bullet"/>
      <w:pStyle w:val="ListBullet2"/>
      <w:lvlText w:val="&gt;"/>
      <w:lvlJc w:val="left"/>
      <w:pPr>
        <w:tabs>
          <w:tab w:val="num" w:pos="845"/>
        </w:tabs>
        <w:ind w:left="845" w:hanging="544"/>
      </w:pPr>
      <w:rPr>
        <w:rFonts w:ascii="HelveticaNeueLT Std Lt" w:hAnsi="HelveticaNeueLT Std Lt" w:hint="default"/>
        <w:sz w:val="20"/>
      </w:rPr>
    </w:lvl>
  </w:abstractNum>
  <w:abstractNum w:abstractNumId="2" w15:restartNumberingAfterBreak="0">
    <w:nsid w:val="FFFFFF88"/>
    <w:multiLevelType w:val="singleLevel"/>
    <w:tmpl w:val="51B60EB2"/>
    <w:lvl w:ilvl="0">
      <w:start w:val="1"/>
      <w:numFmt w:val="decimal"/>
      <w:pStyle w:val="ListNumber"/>
      <w:lvlText w:val="%1."/>
      <w:lvlJc w:val="left"/>
      <w:pPr>
        <w:ind w:left="360" w:hanging="360"/>
      </w:pPr>
      <w:rPr>
        <w:rFonts w:hint="default"/>
        <w:b w:val="0"/>
        <w:bCs/>
        <w:caps/>
        <w:sz w:val="20"/>
      </w:rPr>
    </w:lvl>
  </w:abstractNum>
  <w:abstractNum w:abstractNumId="3" w15:restartNumberingAfterBreak="0">
    <w:nsid w:val="FFFFFF89"/>
    <w:multiLevelType w:val="singleLevel"/>
    <w:tmpl w:val="E552FEBA"/>
    <w:lvl w:ilvl="0">
      <w:start w:val="1"/>
      <w:numFmt w:val="bullet"/>
      <w:pStyle w:val="ListBullet"/>
      <w:lvlText w:val="&gt;"/>
      <w:lvlJc w:val="left"/>
      <w:pPr>
        <w:tabs>
          <w:tab w:val="num" w:pos="295"/>
        </w:tabs>
        <w:ind w:left="295" w:hanging="295"/>
      </w:pPr>
      <w:rPr>
        <w:rFonts w:ascii="HelveticaNeueLT Std Lt" w:hAnsi="HelveticaNeueLT Std Lt" w:hint="default"/>
        <w:sz w:val="20"/>
      </w:rPr>
    </w:lvl>
  </w:abstractNum>
  <w:abstractNum w:abstractNumId="4" w15:restartNumberingAfterBreak="0">
    <w:nsid w:val="02AF1222"/>
    <w:multiLevelType w:val="hybridMultilevel"/>
    <w:tmpl w:val="BC6E3CCC"/>
    <w:lvl w:ilvl="0" w:tplc="0C09000F">
      <w:start w:val="1"/>
      <w:numFmt w:val="decimal"/>
      <w:lvlText w:val="%1."/>
      <w:lvlJc w:val="left"/>
      <w:pPr>
        <w:ind w:left="720" w:hanging="360"/>
      </w:pPr>
      <w:rPr>
        <w:rFont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087C268C"/>
    <w:multiLevelType w:val="hybridMultilevel"/>
    <w:tmpl w:val="E0A6CA9A"/>
    <w:lvl w:ilvl="0" w:tplc="44EEC084">
      <w:start w:val="1"/>
      <w:numFmt w:val="bullet"/>
      <w:lvlText w:val="&gt;"/>
      <w:lvlJc w:val="left"/>
      <w:pPr>
        <w:ind w:left="720" w:hanging="360"/>
      </w:pPr>
      <w:rPr>
        <w:rFonts w:ascii="HelveticaNeueLT Std" w:hAnsi="HelveticaNeueLT Std"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1B000801"/>
    <w:multiLevelType w:val="hybridMultilevel"/>
    <w:tmpl w:val="A252BB20"/>
    <w:lvl w:ilvl="0" w:tplc="0C090019">
      <w:start w:val="1"/>
      <w:numFmt w:val="lowerLetter"/>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7" w15:restartNumberingAfterBreak="0">
    <w:nsid w:val="21335BC0"/>
    <w:multiLevelType w:val="hybridMultilevel"/>
    <w:tmpl w:val="4DFC34BA"/>
    <w:lvl w:ilvl="0" w:tplc="2954DC56">
      <w:start w:val="1"/>
      <w:numFmt w:val="lowerRoman"/>
      <w:lvlText w:val="(%1)"/>
      <w:lvlJc w:val="left"/>
      <w:pPr>
        <w:ind w:left="1080" w:hanging="72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8" w15:restartNumberingAfterBreak="0">
    <w:nsid w:val="22072A52"/>
    <w:multiLevelType w:val="hybridMultilevel"/>
    <w:tmpl w:val="8C8A0AC6"/>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 w15:restartNumberingAfterBreak="0">
    <w:nsid w:val="252E7F43"/>
    <w:multiLevelType w:val="hybridMultilevel"/>
    <w:tmpl w:val="0036844E"/>
    <w:lvl w:ilvl="0" w:tplc="0C090019">
      <w:start w:val="1"/>
      <w:numFmt w:val="lowerLetter"/>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0" w15:restartNumberingAfterBreak="0">
    <w:nsid w:val="281D1869"/>
    <w:multiLevelType w:val="hybridMultilevel"/>
    <w:tmpl w:val="44CCDBB4"/>
    <w:lvl w:ilvl="0" w:tplc="B4DE576E">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1" w15:restartNumberingAfterBreak="0">
    <w:nsid w:val="2E301DD4"/>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pStyle w:val="Heading5"/>
      <w:lvlText w:val="%5)"/>
      <w:lvlJc w:val="left"/>
      <w:pPr>
        <w:ind w:left="1008" w:hanging="432"/>
      </w:pPr>
    </w:lvl>
    <w:lvl w:ilvl="5">
      <w:start w:val="1"/>
      <w:numFmt w:val="lowerLetter"/>
      <w:pStyle w:val="Heading6"/>
      <w:lvlText w:val="%6)"/>
      <w:lvlJc w:val="left"/>
      <w:pPr>
        <w:ind w:left="1152" w:hanging="432"/>
      </w:pPr>
    </w:lvl>
    <w:lvl w:ilvl="6">
      <w:start w:val="1"/>
      <w:numFmt w:val="lowerRoman"/>
      <w:pStyle w:val="Heading7"/>
      <w:lvlText w:val="%7)"/>
      <w:lvlJc w:val="right"/>
      <w:pPr>
        <w:ind w:left="1296" w:hanging="288"/>
      </w:pPr>
    </w:lvl>
    <w:lvl w:ilvl="7">
      <w:start w:val="1"/>
      <w:numFmt w:val="lowerLetter"/>
      <w:pStyle w:val="Heading8"/>
      <w:lvlText w:val="%8."/>
      <w:lvlJc w:val="left"/>
      <w:pPr>
        <w:ind w:left="1440" w:hanging="432"/>
      </w:pPr>
    </w:lvl>
    <w:lvl w:ilvl="8">
      <w:start w:val="1"/>
      <w:numFmt w:val="lowerRoman"/>
      <w:pStyle w:val="Heading9"/>
      <w:lvlText w:val="%9."/>
      <w:lvlJc w:val="right"/>
      <w:pPr>
        <w:ind w:left="1584" w:hanging="144"/>
      </w:pPr>
    </w:lvl>
  </w:abstractNum>
  <w:abstractNum w:abstractNumId="12" w15:restartNumberingAfterBreak="0">
    <w:nsid w:val="2F5A5080"/>
    <w:multiLevelType w:val="hybridMultilevel"/>
    <w:tmpl w:val="BE2AF6CE"/>
    <w:lvl w:ilvl="0" w:tplc="D05E2434">
      <w:start w:val="1"/>
      <w:numFmt w:val="bullet"/>
      <w:lvlText w:val="●"/>
      <w:lvlJc w:val="left"/>
      <w:pPr>
        <w:ind w:left="357" w:hanging="357"/>
      </w:pPr>
      <w:rPr>
        <w:rFonts w:ascii="Arial" w:hAnsi="Arial" w:cs="Arial" w:hint="default"/>
        <w:sz w:val="20"/>
        <w:szCs w:val="20"/>
      </w:rPr>
    </w:lvl>
    <w:lvl w:ilvl="1" w:tplc="04090003">
      <w:start w:val="1"/>
      <w:numFmt w:val="bullet"/>
      <w:lvlText w:val="o"/>
      <w:lvlJc w:val="left"/>
      <w:pPr>
        <w:tabs>
          <w:tab w:val="num" w:pos="1728"/>
        </w:tabs>
        <w:ind w:left="1728" w:hanging="360"/>
      </w:pPr>
      <w:rPr>
        <w:rFonts w:ascii="Courier New" w:hAnsi="Courier New" w:cs="Times New Roman" w:hint="default"/>
      </w:rPr>
    </w:lvl>
    <w:lvl w:ilvl="2" w:tplc="04090005">
      <w:start w:val="1"/>
      <w:numFmt w:val="bullet"/>
      <w:lvlText w:val=""/>
      <w:lvlJc w:val="left"/>
      <w:pPr>
        <w:tabs>
          <w:tab w:val="num" w:pos="2448"/>
        </w:tabs>
        <w:ind w:left="2448" w:hanging="360"/>
      </w:pPr>
      <w:rPr>
        <w:rFonts w:ascii="Wingdings" w:hAnsi="Wingdings" w:hint="default"/>
      </w:rPr>
    </w:lvl>
    <w:lvl w:ilvl="3" w:tplc="04090001">
      <w:start w:val="1"/>
      <w:numFmt w:val="bullet"/>
      <w:lvlText w:val=""/>
      <w:lvlJc w:val="left"/>
      <w:pPr>
        <w:tabs>
          <w:tab w:val="num" w:pos="3168"/>
        </w:tabs>
        <w:ind w:left="3168" w:hanging="360"/>
      </w:pPr>
      <w:rPr>
        <w:rFonts w:ascii="Symbol" w:hAnsi="Symbol" w:hint="default"/>
      </w:rPr>
    </w:lvl>
    <w:lvl w:ilvl="4" w:tplc="04090003">
      <w:start w:val="1"/>
      <w:numFmt w:val="bullet"/>
      <w:lvlText w:val="o"/>
      <w:lvlJc w:val="left"/>
      <w:pPr>
        <w:tabs>
          <w:tab w:val="num" w:pos="3888"/>
        </w:tabs>
        <w:ind w:left="3888" w:hanging="360"/>
      </w:pPr>
      <w:rPr>
        <w:rFonts w:ascii="Courier New" w:hAnsi="Courier New" w:cs="Times New Roman" w:hint="default"/>
      </w:rPr>
    </w:lvl>
    <w:lvl w:ilvl="5" w:tplc="04090005">
      <w:start w:val="1"/>
      <w:numFmt w:val="bullet"/>
      <w:lvlText w:val=""/>
      <w:lvlJc w:val="left"/>
      <w:pPr>
        <w:tabs>
          <w:tab w:val="num" w:pos="4608"/>
        </w:tabs>
        <w:ind w:left="4608" w:hanging="360"/>
      </w:pPr>
      <w:rPr>
        <w:rFonts w:ascii="Wingdings" w:hAnsi="Wingdings" w:hint="default"/>
      </w:rPr>
    </w:lvl>
    <w:lvl w:ilvl="6" w:tplc="04090001">
      <w:start w:val="1"/>
      <w:numFmt w:val="bullet"/>
      <w:lvlText w:val=""/>
      <w:lvlJc w:val="left"/>
      <w:pPr>
        <w:tabs>
          <w:tab w:val="num" w:pos="5328"/>
        </w:tabs>
        <w:ind w:left="5328" w:hanging="360"/>
      </w:pPr>
      <w:rPr>
        <w:rFonts w:ascii="Symbol" w:hAnsi="Symbol" w:hint="default"/>
      </w:rPr>
    </w:lvl>
    <w:lvl w:ilvl="7" w:tplc="04090003">
      <w:start w:val="1"/>
      <w:numFmt w:val="bullet"/>
      <w:lvlText w:val="o"/>
      <w:lvlJc w:val="left"/>
      <w:pPr>
        <w:tabs>
          <w:tab w:val="num" w:pos="6048"/>
        </w:tabs>
        <w:ind w:left="6048" w:hanging="360"/>
      </w:pPr>
      <w:rPr>
        <w:rFonts w:ascii="Courier New" w:hAnsi="Courier New" w:cs="Times New Roman" w:hint="default"/>
      </w:rPr>
    </w:lvl>
    <w:lvl w:ilvl="8" w:tplc="04090005">
      <w:start w:val="1"/>
      <w:numFmt w:val="bullet"/>
      <w:lvlText w:val=""/>
      <w:lvlJc w:val="left"/>
      <w:pPr>
        <w:tabs>
          <w:tab w:val="num" w:pos="6768"/>
        </w:tabs>
        <w:ind w:left="6768" w:hanging="360"/>
      </w:pPr>
      <w:rPr>
        <w:rFonts w:ascii="Wingdings" w:hAnsi="Wingdings" w:hint="default"/>
      </w:rPr>
    </w:lvl>
  </w:abstractNum>
  <w:abstractNum w:abstractNumId="13" w15:restartNumberingAfterBreak="0">
    <w:nsid w:val="37020905"/>
    <w:multiLevelType w:val="hybridMultilevel"/>
    <w:tmpl w:val="7AAA3F74"/>
    <w:lvl w:ilvl="0" w:tplc="1316811E">
      <w:start w:val="1"/>
      <w:numFmt w:val="decimal"/>
      <w:lvlText w:val="%1."/>
      <w:lvlJc w:val="left"/>
      <w:pPr>
        <w:ind w:left="360" w:hanging="360"/>
      </w:pPr>
      <w:rPr>
        <w:rFonts w:ascii="Arial" w:hAnsi="Arial" w:cs="Arial" w:hint="default"/>
        <w:b w:val="0"/>
        <w:bCs w:val="0"/>
      </w:r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4" w15:restartNumberingAfterBreak="0">
    <w:nsid w:val="41D41FC2"/>
    <w:multiLevelType w:val="hybridMultilevel"/>
    <w:tmpl w:val="7FDEF9E2"/>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5" w15:restartNumberingAfterBreak="0">
    <w:nsid w:val="55AA21F0"/>
    <w:multiLevelType w:val="hybridMultilevel"/>
    <w:tmpl w:val="9B5CB936"/>
    <w:lvl w:ilvl="0" w:tplc="CCA08FFA">
      <w:start w:val="1"/>
      <w:numFmt w:val="decimal"/>
      <w:pStyle w:val="ACMATableHeader"/>
      <w:lvlText w:val="Table %1:"/>
      <w:lvlJc w:val="left"/>
      <w:pPr>
        <w:tabs>
          <w:tab w:val="num" w:pos="964"/>
        </w:tabs>
        <w:ind w:left="964" w:hanging="96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56AE21A2"/>
    <w:multiLevelType w:val="hybridMultilevel"/>
    <w:tmpl w:val="D69E08F0"/>
    <w:lvl w:ilvl="0" w:tplc="FFFFFFFF">
      <w:start w:val="2"/>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7" w15:restartNumberingAfterBreak="0">
    <w:nsid w:val="5DD2089B"/>
    <w:multiLevelType w:val="hybridMultilevel"/>
    <w:tmpl w:val="AFF83B00"/>
    <w:lvl w:ilvl="0" w:tplc="0C090019">
      <w:start w:val="1"/>
      <w:numFmt w:val="lowerLetter"/>
      <w:lvlText w:val="%1."/>
      <w:lvlJc w:val="left"/>
      <w:pPr>
        <w:ind w:left="360" w:hanging="360"/>
      </w:pPr>
    </w:lvl>
    <w:lvl w:ilvl="1" w:tplc="FFFFFFFF" w:tentative="1">
      <w:start w:val="1"/>
      <w:numFmt w:val="lowerLetter"/>
      <w:lvlText w:val="%2."/>
      <w:lvlJc w:val="left"/>
      <w:pPr>
        <w:ind w:left="1080" w:hanging="360"/>
      </w:pPr>
    </w:lvl>
    <w:lvl w:ilvl="2" w:tplc="FFFFFFFF" w:tentative="1">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18" w15:restartNumberingAfterBreak="0">
    <w:nsid w:val="60E44B4C"/>
    <w:multiLevelType w:val="hybridMultilevel"/>
    <w:tmpl w:val="E736BF16"/>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9" w15:restartNumberingAfterBreak="0">
    <w:nsid w:val="63C30333"/>
    <w:multiLevelType w:val="hybridMultilevel"/>
    <w:tmpl w:val="A5FC2D54"/>
    <w:lvl w:ilvl="0" w:tplc="65EA47EC">
      <w:start w:val="1"/>
      <w:numFmt w:val="decimal"/>
      <w:pStyle w:val="Captionfigure"/>
      <w:lvlText w:val="Figure %1:"/>
      <w:lvlJc w:val="left"/>
      <w:pPr>
        <w:tabs>
          <w:tab w:val="num" w:pos="1021"/>
        </w:tabs>
        <w:ind w:left="1021" w:hanging="1021"/>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65071478"/>
    <w:multiLevelType w:val="hybridMultilevel"/>
    <w:tmpl w:val="16D2B96E"/>
    <w:lvl w:ilvl="0" w:tplc="3A9CF91A">
      <w:start w:val="1"/>
      <w:numFmt w:val="decimal"/>
      <w:pStyle w:val="ACMAFigureHeader"/>
      <w:lvlText w:val="Figure %1: "/>
      <w:lvlJc w:val="left"/>
      <w:pPr>
        <w:tabs>
          <w:tab w:val="num" w:pos="1021"/>
        </w:tabs>
        <w:ind w:left="1021" w:hanging="1021"/>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6CC04132"/>
    <w:multiLevelType w:val="hybridMultilevel"/>
    <w:tmpl w:val="A21A29E0"/>
    <w:lvl w:ilvl="0" w:tplc="0C090015">
      <w:start w:val="1"/>
      <w:numFmt w:val="upperLetter"/>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2" w15:restartNumberingAfterBreak="0">
    <w:nsid w:val="6D757AE6"/>
    <w:multiLevelType w:val="hybridMultilevel"/>
    <w:tmpl w:val="4BAEE1E2"/>
    <w:lvl w:ilvl="0" w:tplc="0DA4929C">
      <w:start w:val="1"/>
      <w:numFmt w:val="decimal"/>
      <w:pStyle w:val="Caption"/>
      <w:lvlText w:val="Table %1:"/>
      <w:lvlJc w:val="left"/>
      <w:pPr>
        <w:tabs>
          <w:tab w:val="num" w:pos="964"/>
        </w:tabs>
        <w:ind w:left="964" w:hanging="96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79034C5D"/>
    <w:multiLevelType w:val="hybridMultilevel"/>
    <w:tmpl w:val="92460D2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15:restartNumberingAfterBreak="0">
    <w:nsid w:val="7C675633"/>
    <w:multiLevelType w:val="hybridMultilevel"/>
    <w:tmpl w:val="D69E08F0"/>
    <w:lvl w:ilvl="0" w:tplc="0C09000F">
      <w:start w:val="2"/>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5" w15:restartNumberingAfterBreak="0">
    <w:nsid w:val="7D0A2F42"/>
    <w:multiLevelType w:val="hybridMultilevel"/>
    <w:tmpl w:val="7FF2DD78"/>
    <w:lvl w:ilvl="0" w:tplc="08782966">
      <w:start w:val="1"/>
      <w:numFmt w:val="decimal"/>
      <w:lvlText w:val="%1."/>
      <w:lvlJc w:val="left"/>
      <w:pPr>
        <w:ind w:left="420" w:hanging="360"/>
      </w:pPr>
      <w:rPr>
        <w:rFonts w:hint="default"/>
        <w:sz w:val="20"/>
      </w:rPr>
    </w:lvl>
    <w:lvl w:ilvl="1" w:tplc="0C090019" w:tentative="1">
      <w:start w:val="1"/>
      <w:numFmt w:val="lowerLetter"/>
      <w:lvlText w:val="%2."/>
      <w:lvlJc w:val="left"/>
      <w:pPr>
        <w:ind w:left="1140" w:hanging="360"/>
      </w:pPr>
    </w:lvl>
    <w:lvl w:ilvl="2" w:tplc="0C09001B" w:tentative="1">
      <w:start w:val="1"/>
      <w:numFmt w:val="lowerRoman"/>
      <w:lvlText w:val="%3."/>
      <w:lvlJc w:val="right"/>
      <w:pPr>
        <w:ind w:left="1860" w:hanging="180"/>
      </w:pPr>
    </w:lvl>
    <w:lvl w:ilvl="3" w:tplc="0C09000F" w:tentative="1">
      <w:start w:val="1"/>
      <w:numFmt w:val="decimal"/>
      <w:lvlText w:val="%4."/>
      <w:lvlJc w:val="left"/>
      <w:pPr>
        <w:ind w:left="2580" w:hanging="360"/>
      </w:pPr>
    </w:lvl>
    <w:lvl w:ilvl="4" w:tplc="0C090019" w:tentative="1">
      <w:start w:val="1"/>
      <w:numFmt w:val="lowerLetter"/>
      <w:lvlText w:val="%5."/>
      <w:lvlJc w:val="left"/>
      <w:pPr>
        <w:ind w:left="3300" w:hanging="360"/>
      </w:pPr>
    </w:lvl>
    <w:lvl w:ilvl="5" w:tplc="0C09001B" w:tentative="1">
      <w:start w:val="1"/>
      <w:numFmt w:val="lowerRoman"/>
      <w:lvlText w:val="%6."/>
      <w:lvlJc w:val="right"/>
      <w:pPr>
        <w:ind w:left="4020" w:hanging="180"/>
      </w:pPr>
    </w:lvl>
    <w:lvl w:ilvl="6" w:tplc="0C09000F" w:tentative="1">
      <w:start w:val="1"/>
      <w:numFmt w:val="decimal"/>
      <w:lvlText w:val="%7."/>
      <w:lvlJc w:val="left"/>
      <w:pPr>
        <w:ind w:left="4740" w:hanging="360"/>
      </w:pPr>
    </w:lvl>
    <w:lvl w:ilvl="7" w:tplc="0C090019" w:tentative="1">
      <w:start w:val="1"/>
      <w:numFmt w:val="lowerLetter"/>
      <w:lvlText w:val="%8."/>
      <w:lvlJc w:val="left"/>
      <w:pPr>
        <w:ind w:left="5460" w:hanging="360"/>
      </w:pPr>
    </w:lvl>
    <w:lvl w:ilvl="8" w:tplc="0C09001B" w:tentative="1">
      <w:start w:val="1"/>
      <w:numFmt w:val="lowerRoman"/>
      <w:lvlText w:val="%9."/>
      <w:lvlJc w:val="right"/>
      <w:pPr>
        <w:ind w:left="6180" w:hanging="180"/>
      </w:pPr>
    </w:lvl>
  </w:abstractNum>
  <w:num w:numId="1">
    <w:abstractNumId w:val="3"/>
  </w:num>
  <w:num w:numId="2">
    <w:abstractNumId w:val="1"/>
  </w:num>
  <w:num w:numId="3">
    <w:abstractNumId w:val="2"/>
  </w:num>
  <w:num w:numId="4">
    <w:abstractNumId w:val="0"/>
  </w:num>
  <w:num w:numId="5">
    <w:abstractNumId w:val="11"/>
  </w:num>
  <w:num w:numId="6">
    <w:abstractNumId w:val="20"/>
  </w:num>
  <w:num w:numId="7">
    <w:abstractNumId w:val="15"/>
  </w:num>
  <w:num w:numId="8">
    <w:abstractNumId w:val="19"/>
  </w:num>
  <w:num w:numId="9">
    <w:abstractNumId w:val="22"/>
  </w:num>
  <w:num w:numId="10">
    <w:abstractNumId w:val="5"/>
  </w:num>
  <w:num w:numId="11">
    <w:abstractNumId w:val="4"/>
  </w:num>
  <w:num w:numId="12">
    <w:abstractNumId w:val="3"/>
  </w:num>
  <w:num w:numId="13">
    <w:abstractNumId w:val="2"/>
    <w:lvlOverride w:ilvl="0">
      <w:startOverride w:val="1"/>
    </w:lvlOverride>
  </w:num>
  <w:num w:numId="14">
    <w:abstractNumId w:val="2"/>
    <w:lvlOverride w:ilvl="0">
      <w:startOverride w:val="1"/>
    </w:lvlOverride>
  </w:num>
  <w:num w:numId="15">
    <w:abstractNumId w:val="2"/>
    <w:lvlOverride w:ilvl="0">
      <w:startOverride w:val="1"/>
    </w:lvlOverride>
  </w:num>
  <w:num w:numId="16">
    <w:abstractNumId w:val="12"/>
  </w:num>
  <w:num w:numId="17">
    <w:abstractNumId w:val="2"/>
    <w:lvlOverride w:ilvl="0">
      <w:startOverride w:val="1"/>
    </w:lvlOverride>
  </w:num>
  <w:num w:numId="18">
    <w:abstractNumId w:val="3"/>
  </w:num>
  <w:num w:numId="19">
    <w:abstractNumId w:val="3"/>
  </w:num>
  <w:num w:numId="20">
    <w:abstractNumId w:val="10"/>
  </w:num>
  <w:num w:numId="21">
    <w:abstractNumId w:val="18"/>
  </w:num>
  <w:num w:numId="22">
    <w:abstractNumId w:val="14"/>
  </w:num>
  <w:num w:numId="23">
    <w:abstractNumId w:val="17"/>
  </w:num>
  <w:num w:numId="24">
    <w:abstractNumId w:val="13"/>
  </w:num>
  <w:num w:numId="25">
    <w:abstractNumId w:val="9"/>
  </w:num>
  <w:num w:numId="26">
    <w:abstractNumId w:val="21"/>
  </w:num>
  <w:num w:numId="27">
    <w:abstractNumId w:val="24"/>
  </w:num>
  <w:num w:numId="28">
    <w:abstractNumId w:val="6"/>
  </w:num>
  <w:num w:numId="29">
    <w:abstractNumId w:val="7"/>
  </w:num>
  <w:num w:numId="30">
    <w:abstractNumId w:val="16"/>
  </w:num>
  <w:num w:numId="31">
    <w:abstractNumId w:val="23"/>
  </w:num>
  <w:num w:numId="32">
    <w:abstractNumId w:val="8"/>
  </w:num>
  <w:num w:numId="33">
    <w:abstractNumId w:val="25"/>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0"/>
  <w:removePersonalInformation/>
  <w:removeDateAndTime/>
  <w:proofState w:spelling="clean" w:grammar="clean"/>
  <w:stylePaneFormatFilter w:val="D004" w:allStyles="0" w:customStyles="0" w:latentStyles="1" w:stylesInUse="0" w:headingStyles="0" w:numberingStyles="0" w:tableStyles="0" w:directFormattingOnRuns="0" w:directFormattingOnParagraphs="0" w:directFormattingOnNumbering="0" w:directFormattingOnTables="0" w:clearFormatting="1" w:top3HeadingStyles="0" w:visibleStyles="1" w:alternateStyleNames="1"/>
  <w:defaultTabStop w:val="284"/>
  <w:evenAndOddHeaders/>
  <w:drawingGridHorizontalSpacing w:val="100"/>
  <w:displayHorizontalDrawingGridEvery w:val="2"/>
  <w:characterSpacingControl w:val="doNotCompress"/>
  <w:hdrShapeDefaults>
    <o:shapedefaults v:ext="edit" spidmax="2050">
      <o:colormru v:ext="edit" colors="red,#4d4d4f"/>
    </o:shapedefaults>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32B08"/>
    <w:rsid w:val="000008D8"/>
    <w:rsid w:val="0000156C"/>
    <w:rsid w:val="000017E8"/>
    <w:rsid w:val="000042AD"/>
    <w:rsid w:val="0000441F"/>
    <w:rsid w:val="0000520F"/>
    <w:rsid w:val="00005A5C"/>
    <w:rsid w:val="00010667"/>
    <w:rsid w:val="000129D5"/>
    <w:rsid w:val="00012B5B"/>
    <w:rsid w:val="00012C77"/>
    <w:rsid w:val="00015AE7"/>
    <w:rsid w:val="00016E21"/>
    <w:rsid w:val="0001719C"/>
    <w:rsid w:val="0002224E"/>
    <w:rsid w:val="00023A36"/>
    <w:rsid w:val="000242D0"/>
    <w:rsid w:val="000245E5"/>
    <w:rsid w:val="000266B4"/>
    <w:rsid w:val="00026F91"/>
    <w:rsid w:val="00027CD2"/>
    <w:rsid w:val="00027EBB"/>
    <w:rsid w:val="00030AB1"/>
    <w:rsid w:val="00032621"/>
    <w:rsid w:val="00035DB8"/>
    <w:rsid w:val="000378BA"/>
    <w:rsid w:val="00045630"/>
    <w:rsid w:val="00045ED6"/>
    <w:rsid w:val="00047585"/>
    <w:rsid w:val="0004764C"/>
    <w:rsid w:val="00047C2F"/>
    <w:rsid w:val="0005011A"/>
    <w:rsid w:val="0005045A"/>
    <w:rsid w:val="00050A4B"/>
    <w:rsid w:val="00050C6A"/>
    <w:rsid w:val="000510D3"/>
    <w:rsid w:val="000519B7"/>
    <w:rsid w:val="00051C1E"/>
    <w:rsid w:val="00052DD1"/>
    <w:rsid w:val="00052FB7"/>
    <w:rsid w:val="000539F9"/>
    <w:rsid w:val="00054C27"/>
    <w:rsid w:val="00055EC3"/>
    <w:rsid w:val="000563CE"/>
    <w:rsid w:val="00056E5B"/>
    <w:rsid w:val="0005737F"/>
    <w:rsid w:val="00063922"/>
    <w:rsid w:val="0006561A"/>
    <w:rsid w:val="000659B6"/>
    <w:rsid w:val="00065E4D"/>
    <w:rsid w:val="00066098"/>
    <w:rsid w:val="0006686F"/>
    <w:rsid w:val="0006722A"/>
    <w:rsid w:val="0007287F"/>
    <w:rsid w:val="0007329E"/>
    <w:rsid w:val="000732CF"/>
    <w:rsid w:val="00075B96"/>
    <w:rsid w:val="0008196A"/>
    <w:rsid w:val="00083F86"/>
    <w:rsid w:val="00084985"/>
    <w:rsid w:val="00085EB9"/>
    <w:rsid w:val="00087711"/>
    <w:rsid w:val="000915ED"/>
    <w:rsid w:val="00091736"/>
    <w:rsid w:val="0009209D"/>
    <w:rsid w:val="0009463C"/>
    <w:rsid w:val="000969BD"/>
    <w:rsid w:val="000969BF"/>
    <w:rsid w:val="000A0C22"/>
    <w:rsid w:val="000A1400"/>
    <w:rsid w:val="000A192B"/>
    <w:rsid w:val="000A3469"/>
    <w:rsid w:val="000A3693"/>
    <w:rsid w:val="000A3C43"/>
    <w:rsid w:val="000A4A51"/>
    <w:rsid w:val="000A525B"/>
    <w:rsid w:val="000A5D2B"/>
    <w:rsid w:val="000B01B6"/>
    <w:rsid w:val="000B25B4"/>
    <w:rsid w:val="000B2700"/>
    <w:rsid w:val="000B3CA0"/>
    <w:rsid w:val="000B3FF9"/>
    <w:rsid w:val="000B4664"/>
    <w:rsid w:val="000B55F1"/>
    <w:rsid w:val="000B5970"/>
    <w:rsid w:val="000B5DE3"/>
    <w:rsid w:val="000B60A3"/>
    <w:rsid w:val="000B7759"/>
    <w:rsid w:val="000C0A57"/>
    <w:rsid w:val="000C1FF1"/>
    <w:rsid w:val="000C230C"/>
    <w:rsid w:val="000C4199"/>
    <w:rsid w:val="000C6804"/>
    <w:rsid w:val="000C6AB4"/>
    <w:rsid w:val="000C7886"/>
    <w:rsid w:val="000D1BBC"/>
    <w:rsid w:val="000D4911"/>
    <w:rsid w:val="000D6636"/>
    <w:rsid w:val="000D71D9"/>
    <w:rsid w:val="000D76E0"/>
    <w:rsid w:val="000D7E8B"/>
    <w:rsid w:val="000E0417"/>
    <w:rsid w:val="000E2FDC"/>
    <w:rsid w:val="000E4449"/>
    <w:rsid w:val="000E5C51"/>
    <w:rsid w:val="000E5D2D"/>
    <w:rsid w:val="000E6097"/>
    <w:rsid w:val="000E65B4"/>
    <w:rsid w:val="000F53C3"/>
    <w:rsid w:val="000F7B17"/>
    <w:rsid w:val="00102A73"/>
    <w:rsid w:val="001035EE"/>
    <w:rsid w:val="00103829"/>
    <w:rsid w:val="00104F80"/>
    <w:rsid w:val="00105E7E"/>
    <w:rsid w:val="00107D3F"/>
    <w:rsid w:val="00107DBD"/>
    <w:rsid w:val="00110B89"/>
    <w:rsid w:val="00111FCE"/>
    <w:rsid w:val="00113490"/>
    <w:rsid w:val="001219E5"/>
    <w:rsid w:val="001229A5"/>
    <w:rsid w:val="0012489B"/>
    <w:rsid w:val="00124E82"/>
    <w:rsid w:val="00125D97"/>
    <w:rsid w:val="00126BDA"/>
    <w:rsid w:val="001271D9"/>
    <w:rsid w:val="00130017"/>
    <w:rsid w:val="00130F91"/>
    <w:rsid w:val="001311B0"/>
    <w:rsid w:val="00133626"/>
    <w:rsid w:val="001349ED"/>
    <w:rsid w:val="00135CEE"/>
    <w:rsid w:val="00136CB2"/>
    <w:rsid w:val="00137424"/>
    <w:rsid w:val="00137B5E"/>
    <w:rsid w:val="00140318"/>
    <w:rsid w:val="00141773"/>
    <w:rsid w:val="00141AD9"/>
    <w:rsid w:val="00145D10"/>
    <w:rsid w:val="00146CE6"/>
    <w:rsid w:val="001478BA"/>
    <w:rsid w:val="00152903"/>
    <w:rsid w:val="00152E2C"/>
    <w:rsid w:val="00153FD5"/>
    <w:rsid w:val="001542B8"/>
    <w:rsid w:val="0015614F"/>
    <w:rsid w:val="001577C2"/>
    <w:rsid w:val="00161380"/>
    <w:rsid w:val="0016142F"/>
    <w:rsid w:val="001633C4"/>
    <w:rsid w:val="0016610B"/>
    <w:rsid w:val="001664BD"/>
    <w:rsid w:val="001704D5"/>
    <w:rsid w:val="00171591"/>
    <w:rsid w:val="001719B5"/>
    <w:rsid w:val="00173981"/>
    <w:rsid w:val="0017719D"/>
    <w:rsid w:val="00183B73"/>
    <w:rsid w:val="00183FD7"/>
    <w:rsid w:val="0018410A"/>
    <w:rsid w:val="0018416C"/>
    <w:rsid w:val="00185753"/>
    <w:rsid w:val="00185CAB"/>
    <w:rsid w:val="001862BF"/>
    <w:rsid w:val="001875B7"/>
    <w:rsid w:val="00187CB3"/>
    <w:rsid w:val="0019050A"/>
    <w:rsid w:val="00190651"/>
    <w:rsid w:val="001910D4"/>
    <w:rsid w:val="00192CA9"/>
    <w:rsid w:val="001932E5"/>
    <w:rsid w:val="00193FCE"/>
    <w:rsid w:val="001945A3"/>
    <w:rsid w:val="001976E3"/>
    <w:rsid w:val="00197942"/>
    <w:rsid w:val="001A0A5D"/>
    <w:rsid w:val="001A3A43"/>
    <w:rsid w:val="001A44EC"/>
    <w:rsid w:val="001A4F5E"/>
    <w:rsid w:val="001A5D07"/>
    <w:rsid w:val="001A6439"/>
    <w:rsid w:val="001B0161"/>
    <w:rsid w:val="001B28E4"/>
    <w:rsid w:val="001B2DE2"/>
    <w:rsid w:val="001B32B6"/>
    <w:rsid w:val="001B3B00"/>
    <w:rsid w:val="001B58AA"/>
    <w:rsid w:val="001B5B82"/>
    <w:rsid w:val="001B781B"/>
    <w:rsid w:val="001B7B0B"/>
    <w:rsid w:val="001B7E48"/>
    <w:rsid w:val="001C0A90"/>
    <w:rsid w:val="001C17CE"/>
    <w:rsid w:val="001C284A"/>
    <w:rsid w:val="001C36CA"/>
    <w:rsid w:val="001C44D1"/>
    <w:rsid w:val="001C6AEE"/>
    <w:rsid w:val="001C7630"/>
    <w:rsid w:val="001D08CC"/>
    <w:rsid w:val="001D635D"/>
    <w:rsid w:val="001D6D15"/>
    <w:rsid w:val="001D730B"/>
    <w:rsid w:val="001D7B68"/>
    <w:rsid w:val="001E1B88"/>
    <w:rsid w:val="001F1EFE"/>
    <w:rsid w:val="001F215C"/>
    <w:rsid w:val="001F50F7"/>
    <w:rsid w:val="001F5808"/>
    <w:rsid w:val="001F7558"/>
    <w:rsid w:val="0020022D"/>
    <w:rsid w:val="0020057E"/>
    <w:rsid w:val="00201B2A"/>
    <w:rsid w:val="00201EE2"/>
    <w:rsid w:val="002037DF"/>
    <w:rsid w:val="00205749"/>
    <w:rsid w:val="00205B57"/>
    <w:rsid w:val="00210791"/>
    <w:rsid w:val="002121B4"/>
    <w:rsid w:val="00212FBD"/>
    <w:rsid w:val="0021426C"/>
    <w:rsid w:val="002157E0"/>
    <w:rsid w:val="00216A57"/>
    <w:rsid w:val="00217448"/>
    <w:rsid w:val="00221F84"/>
    <w:rsid w:val="00222DDA"/>
    <w:rsid w:val="002232E3"/>
    <w:rsid w:val="0022334F"/>
    <w:rsid w:val="00226819"/>
    <w:rsid w:val="00231B8B"/>
    <w:rsid w:val="00232260"/>
    <w:rsid w:val="00233101"/>
    <w:rsid w:val="00233817"/>
    <w:rsid w:val="0023539A"/>
    <w:rsid w:val="00235C33"/>
    <w:rsid w:val="00236067"/>
    <w:rsid w:val="002367FF"/>
    <w:rsid w:val="002371F4"/>
    <w:rsid w:val="00240CE9"/>
    <w:rsid w:val="00241CFB"/>
    <w:rsid w:val="002434BA"/>
    <w:rsid w:val="00246089"/>
    <w:rsid w:val="00246093"/>
    <w:rsid w:val="002464AE"/>
    <w:rsid w:val="00246702"/>
    <w:rsid w:val="00247C59"/>
    <w:rsid w:val="00247F2E"/>
    <w:rsid w:val="002505A2"/>
    <w:rsid w:val="00250ADC"/>
    <w:rsid w:val="00250B07"/>
    <w:rsid w:val="00250C5B"/>
    <w:rsid w:val="00252F23"/>
    <w:rsid w:val="0025346B"/>
    <w:rsid w:val="00254469"/>
    <w:rsid w:val="00257553"/>
    <w:rsid w:val="00260FB2"/>
    <w:rsid w:val="00261D72"/>
    <w:rsid w:val="00262128"/>
    <w:rsid w:val="002630B4"/>
    <w:rsid w:val="002636A0"/>
    <w:rsid w:val="00263CF5"/>
    <w:rsid w:val="00264C04"/>
    <w:rsid w:val="002707A8"/>
    <w:rsid w:val="00270D44"/>
    <w:rsid w:val="0027165D"/>
    <w:rsid w:val="00273CEB"/>
    <w:rsid w:val="00274E8A"/>
    <w:rsid w:val="00276A59"/>
    <w:rsid w:val="0028099D"/>
    <w:rsid w:val="00281C89"/>
    <w:rsid w:val="0028282F"/>
    <w:rsid w:val="002833DC"/>
    <w:rsid w:val="00283574"/>
    <w:rsid w:val="00286199"/>
    <w:rsid w:val="00291C0D"/>
    <w:rsid w:val="00293C76"/>
    <w:rsid w:val="00294B36"/>
    <w:rsid w:val="0029593B"/>
    <w:rsid w:val="0029706E"/>
    <w:rsid w:val="00297A5F"/>
    <w:rsid w:val="00297FC5"/>
    <w:rsid w:val="002A0417"/>
    <w:rsid w:val="002A16D8"/>
    <w:rsid w:val="002A1BC8"/>
    <w:rsid w:val="002A2E98"/>
    <w:rsid w:val="002A3EF2"/>
    <w:rsid w:val="002A6223"/>
    <w:rsid w:val="002B0DED"/>
    <w:rsid w:val="002B19A2"/>
    <w:rsid w:val="002B2F7C"/>
    <w:rsid w:val="002B381A"/>
    <w:rsid w:val="002B3A59"/>
    <w:rsid w:val="002B4FCC"/>
    <w:rsid w:val="002B7408"/>
    <w:rsid w:val="002B7CFD"/>
    <w:rsid w:val="002C0530"/>
    <w:rsid w:val="002C210F"/>
    <w:rsid w:val="002C2C6C"/>
    <w:rsid w:val="002D08EB"/>
    <w:rsid w:val="002D3600"/>
    <w:rsid w:val="002D577D"/>
    <w:rsid w:val="002D5C8D"/>
    <w:rsid w:val="002D69C6"/>
    <w:rsid w:val="002D76BD"/>
    <w:rsid w:val="002E20CE"/>
    <w:rsid w:val="002E4DDC"/>
    <w:rsid w:val="002E60A1"/>
    <w:rsid w:val="002E7A05"/>
    <w:rsid w:val="002F2DC9"/>
    <w:rsid w:val="002F377E"/>
    <w:rsid w:val="002F4A2F"/>
    <w:rsid w:val="002F55DF"/>
    <w:rsid w:val="00300400"/>
    <w:rsid w:val="00302480"/>
    <w:rsid w:val="00302758"/>
    <w:rsid w:val="00302AB6"/>
    <w:rsid w:val="00306519"/>
    <w:rsid w:val="0031175D"/>
    <w:rsid w:val="00311817"/>
    <w:rsid w:val="00313358"/>
    <w:rsid w:val="003165E6"/>
    <w:rsid w:val="003172ED"/>
    <w:rsid w:val="00317EFF"/>
    <w:rsid w:val="0032049C"/>
    <w:rsid w:val="003215B5"/>
    <w:rsid w:val="003221CF"/>
    <w:rsid w:val="003230F7"/>
    <w:rsid w:val="003233ED"/>
    <w:rsid w:val="00324D9F"/>
    <w:rsid w:val="003253EE"/>
    <w:rsid w:val="00327948"/>
    <w:rsid w:val="0033000F"/>
    <w:rsid w:val="00332011"/>
    <w:rsid w:val="00332518"/>
    <w:rsid w:val="00332925"/>
    <w:rsid w:val="00332B08"/>
    <w:rsid w:val="00332E3F"/>
    <w:rsid w:val="003332ED"/>
    <w:rsid w:val="003340A5"/>
    <w:rsid w:val="003352EA"/>
    <w:rsid w:val="0033639D"/>
    <w:rsid w:val="003368DC"/>
    <w:rsid w:val="00337499"/>
    <w:rsid w:val="003377A6"/>
    <w:rsid w:val="00340DBB"/>
    <w:rsid w:val="003436B2"/>
    <w:rsid w:val="0034490B"/>
    <w:rsid w:val="00345927"/>
    <w:rsid w:val="00345CC5"/>
    <w:rsid w:val="0034623C"/>
    <w:rsid w:val="00346F1D"/>
    <w:rsid w:val="00350184"/>
    <w:rsid w:val="00350584"/>
    <w:rsid w:val="00350622"/>
    <w:rsid w:val="00350B6E"/>
    <w:rsid w:val="00351768"/>
    <w:rsid w:val="00351857"/>
    <w:rsid w:val="0035209F"/>
    <w:rsid w:val="00353E19"/>
    <w:rsid w:val="00354162"/>
    <w:rsid w:val="003545E8"/>
    <w:rsid w:val="00355BBF"/>
    <w:rsid w:val="003577EE"/>
    <w:rsid w:val="003610E1"/>
    <w:rsid w:val="003634BA"/>
    <w:rsid w:val="003671BE"/>
    <w:rsid w:val="00367E98"/>
    <w:rsid w:val="003721D4"/>
    <w:rsid w:val="00372485"/>
    <w:rsid w:val="00372A10"/>
    <w:rsid w:val="00373200"/>
    <w:rsid w:val="00373357"/>
    <w:rsid w:val="00375EF5"/>
    <w:rsid w:val="003762D2"/>
    <w:rsid w:val="003767A5"/>
    <w:rsid w:val="003803BD"/>
    <w:rsid w:val="00380A3D"/>
    <w:rsid w:val="00381D15"/>
    <w:rsid w:val="00382095"/>
    <w:rsid w:val="00382B2A"/>
    <w:rsid w:val="00382DDB"/>
    <w:rsid w:val="003837E5"/>
    <w:rsid w:val="00385254"/>
    <w:rsid w:val="00385EA4"/>
    <w:rsid w:val="00386B50"/>
    <w:rsid w:val="00386F9E"/>
    <w:rsid w:val="00390D91"/>
    <w:rsid w:val="00391C46"/>
    <w:rsid w:val="00391FD2"/>
    <w:rsid w:val="003933E8"/>
    <w:rsid w:val="00394031"/>
    <w:rsid w:val="00396121"/>
    <w:rsid w:val="00396330"/>
    <w:rsid w:val="003965AA"/>
    <w:rsid w:val="00396DC2"/>
    <w:rsid w:val="003A04DB"/>
    <w:rsid w:val="003A13A3"/>
    <w:rsid w:val="003A2B7F"/>
    <w:rsid w:val="003A36FD"/>
    <w:rsid w:val="003A4E58"/>
    <w:rsid w:val="003A5F5B"/>
    <w:rsid w:val="003A789A"/>
    <w:rsid w:val="003B12EC"/>
    <w:rsid w:val="003B1B0B"/>
    <w:rsid w:val="003B1C06"/>
    <w:rsid w:val="003B370D"/>
    <w:rsid w:val="003B6E77"/>
    <w:rsid w:val="003C03B8"/>
    <w:rsid w:val="003C207F"/>
    <w:rsid w:val="003C2260"/>
    <w:rsid w:val="003C4672"/>
    <w:rsid w:val="003C6DA6"/>
    <w:rsid w:val="003C77E0"/>
    <w:rsid w:val="003C7D1E"/>
    <w:rsid w:val="003D17D7"/>
    <w:rsid w:val="003D2678"/>
    <w:rsid w:val="003D4235"/>
    <w:rsid w:val="003D48C2"/>
    <w:rsid w:val="003D711D"/>
    <w:rsid w:val="003D71A3"/>
    <w:rsid w:val="003E00E1"/>
    <w:rsid w:val="003E27CE"/>
    <w:rsid w:val="003E2B8A"/>
    <w:rsid w:val="003E41D1"/>
    <w:rsid w:val="003E4A4E"/>
    <w:rsid w:val="003E5A6E"/>
    <w:rsid w:val="003E7AD5"/>
    <w:rsid w:val="003F0A73"/>
    <w:rsid w:val="003F0BF0"/>
    <w:rsid w:val="003F10EE"/>
    <w:rsid w:val="003F16F6"/>
    <w:rsid w:val="003F2A6F"/>
    <w:rsid w:val="003F3A71"/>
    <w:rsid w:val="003F4DC7"/>
    <w:rsid w:val="003F4FEE"/>
    <w:rsid w:val="003F5235"/>
    <w:rsid w:val="0040044E"/>
    <w:rsid w:val="00400473"/>
    <w:rsid w:val="004027D3"/>
    <w:rsid w:val="004027E4"/>
    <w:rsid w:val="004051A1"/>
    <w:rsid w:val="0041071D"/>
    <w:rsid w:val="00414AFC"/>
    <w:rsid w:val="00414BB1"/>
    <w:rsid w:val="004151A7"/>
    <w:rsid w:val="00415310"/>
    <w:rsid w:val="00415AD0"/>
    <w:rsid w:val="00417560"/>
    <w:rsid w:val="00417B12"/>
    <w:rsid w:val="00417C26"/>
    <w:rsid w:val="00421288"/>
    <w:rsid w:val="00421709"/>
    <w:rsid w:val="00423763"/>
    <w:rsid w:val="004251F8"/>
    <w:rsid w:val="0042762F"/>
    <w:rsid w:val="00427D60"/>
    <w:rsid w:val="00427DC7"/>
    <w:rsid w:val="00431613"/>
    <w:rsid w:val="00431792"/>
    <w:rsid w:val="0043297A"/>
    <w:rsid w:val="00432EB2"/>
    <w:rsid w:val="004358D3"/>
    <w:rsid w:val="00435B7C"/>
    <w:rsid w:val="0043714F"/>
    <w:rsid w:val="00442540"/>
    <w:rsid w:val="004438B5"/>
    <w:rsid w:val="00447037"/>
    <w:rsid w:val="0045124D"/>
    <w:rsid w:val="00454596"/>
    <w:rsid w:val="00454B85"/>
    <w:rsid w:val="0045605D"/>
    <w:rsid w:val="00456A9B"/>
    <w:rsid w:val="0046135B"/>
    <w:rsid w:val="00461D47"/>
    <w:rsid w:val="00465898"/>
    <w:rsid w:val="0046712C"/>
    <w:rsid w:val="00470EB2"/>
    <w:rsid w:val="004718CC"/>
    <w:rsid w:val="00472246"/>
    <w:rsid w:val="004724FF"/>
    <w:rsid w:val="00473635"/>
    <w:rsid w:val="0047366D"/>
    <w:rsid w:val="004746D2"/>
    <w:rsid w:val="00481695"/>
    <w:rsid w:val="00483AD7"/>
    <w:rsid w:val="00485D08"/>
    <w:rsid w:val="00486FF6"/>
    <w:rsid w:val="00487EBE"/>
    <w:rsid w:val="00493E8F"/>
    <w:rsid w:val="00494680"/>
    <w:rsid w:val="00495A96"/>
    <w:rsid w:val="00495BB3"/>
    <w:rsid w:val="004A09EE"/>
    <w:rsid w:val="004A20B8"/>
    <w:rsid w:val="004A2F79"/>
    <w:rsid w:val="004A56BB"/>
    <w:rsid w:val="004A6591"/>
    <w:rsid w:val="004A70D6"/>
    <w:rsid w:val="004A7F40"/>
    <w:rsid w:val="004B1098"/>
    <w:rsid w:val="004B1751"/>
    <w:rsid w:val="004B1E2D"/>
    <w:rsid w:val="004B4CB6"/>
    <w:rsid w:val="004B5632"/>
    <w:rsid w:val="004C01EE"/>
    <w:rsid w:val="004C0253"/>
    <w:rsid w:val="004C192D"/>
    <w:rsid w:val="004C564E"/>
    <w:rsid w:val="004D0F86"/>
    <w:rsid w:val="004D3F35"/>
    <w:rsid w:val="004D56FF"/>
    <w:rsid w:val="004D6C7B"/>
    <w:rsid w:val="004E1CCC"/>
    <w:rsid w:val="004E39D3"/>
    <w:rsid w:val="004E3C8F"/>
    <w:rsid w:val="004E508A"/>
    <w:rsid w:val="004E5323"/>
    <w:rsid w:val="004E616D"/>
    <w:rsid w:val="004F0496"/>
    <w:rsid w:val="004F1BDE"/>
    <w:rsid w:val="004F2CEE"/>
    <w:rsid w:val="004F454D"/>
    <w:rsid w:val="004F556E"/>
    <w:rsid w:val="004F591C"/>
    <w:rsid w:val="004F67E0"/>
    <w:rsid w:val="004F7F44"/>
    <w:rsid w:val="00500B87"/>
    <w:rsid w:val="005014DB"/>
    <w:rsid w:val="005037B4"/>
    <w:rsid w:val="005076C1"/>
    <w:rsid w:val="005079BF"/>
    <w:rsid w:val="00510F44"/>
    <w:rsid w:val="0051269A"/>
    <w:rsid w:val="00513818"/>
    <w:rsid w:val="0051424D"/>
    <w:rsid w:val="00517E10"/>
    <w:rsid w:val="005219E7"/>
    <w:rsid w:val="00531B9A"/>
    <w:rsid w:val="00531D15"/>
    <w:rsid w:val="00533711"/>
    <w:rsid w:val="005339C3"/>
    <w:rsid w:val="0053750F"/>
    <w:rsid w:val="00537604"/>
    <w:rsid w:val="00537BA9"/>
    <w:rsid w:val="00542377"/>
    <w:rsid w:val="00546EC1"/>
    <w:rsid w:val="005476EB"/>
    <w:rsid w:val="005506C0"/>
    <w:rsid w:val="00551782"/>
    <w:rsid w:val="00560736"/>
    <w:rsid w:val="00563EF1"/>
    <w:rsid w:val="00564C6C"/>
    <w:rsid w:val="00566AB4"/>
    <w:rsid w:val="00566D29"/>
    <w:rsid w:val="00567CBC"/>
    <w:rsid w:val="00571644"/>
    <w:rsid w:val="00573812"/>
    <w:rsid w:val="00573F1E"/>
    <w:rsid w:val="00575AC5"/>
    <w:rsid w:val="0057605D"/>
    <w:rsid w:val="005810BF"/>
    <w:rsid w:val="00581347"/>
    <w:rsid w:val="00581AC9"/>
    <w:rsid w:val="00581CCB"/>
    <w:rsid w:val="00583F04"/>
    <w:rsid w:val="005849F8"/>
    <w:rsid w:val="00584B51"/>
    <w:rsid w:val="00584F60"/>
    <w:rsid w:val="00585A49"/>
    <w:rsid w:val="00590627"/>
    <w:rsid w:val="00591E1C"/>
    <w:rsid w:val="00592654"/>
    <w:rsid w:val="005938DF"/>
    <w:rsid w:val="00594E9C"/>
    <w:rsid w:val="00597910"/>
    <w:rsid w:val="005A099B"/>
    <w:rsid w:val="005A2D9C"/>
    <w:rsid w:val="005A2FC8"/>
    <w:rsid w:val="005A55FE"/>
    <w:rsid w:val="005A68AC"/>
    <w:rsid w:val="005A6A11"/>
    <w:rsid w:val="005B160B"/>
    <w:rsid w:val="005B17E2"/>
    <w:rsid w:val="005B2F0D"/>
    <w:rsid w:val="005B4AED"/>
    <w:rsid w:val="005B4B49"/>
    <w:rsid w:val="005B57E3"/>
    <w:rsid w:val="005C06B1"/>
    <w:rsid w:val="005C34EF"/>
    <w:rsid w:val="005D2502"/>
    <w:rsid w:val="005D30D5"/>
    <w:rsid w:val="005D40BB"/>
    <w:rsid w:val="005D47F3"/>
    <w:rsid w:val="005D49BF"/>
    <w:rsid w:val="005D4AA5"/>
    <w:rsid w:val="005D6F4E"/>
    <w:rsid w:val="005D7C73"/>
    <w:rsid w:val="005E1018"/>
    <w:rsid w:val="005E1D8E"/>
    <w:rsid w:val="005E250B"/>
    <w:rsid w:val="005E2539"/>
    <w:rsid w:val="005E3ACD"/>
    <w:rsid w:val="005E40CC"/>
    <w:rsid w:val="005E4995"/>
    <w:rsid w:val="005E55AF"/>
    <w:rsid w:val="005E7226"/>
    <w:rsid w:val="005E7410"/>
    <w:rsid w:val="005E7A57"/>
    <w:rsid w:val="005F24B0"/>
    <w:rsid w:val="005F30C3"/>
    <w:rsid w:val="005F32B8"/>
    <w:rsid w:val="005F7DCF"/>
    <w:rsid w:val="0060029A"/>
    <w:rsid w:val="006018D3"/>
    <w:rsid w:val="00603071"/>
    <w:rsid w:val="00604315"/>
    <w:rsid w:val="00604E26"/>
    <w:rsid w:val="0060523F"/>
    <w:rsid w:val="006052CF"/>
    <w:rsid w:val="00605B61"/>
    <w:rsid w:val="00607B8D"/>
    <w:rsid w:val="00611F5C"/>
    <w:rsid w:val="0061236E"/>
    <w:rsid w:val="00612623"/>
    <w:rsid w:val="0061566E"/>
    <w:rsid w:val="00616E09"/>
    <w:rsid w:val="00621A11"/>
    <w:rsid w:val="00622003"/>
    <w:rsid w:val="00622A3B"/>
    <w:rsid w:val="00622EEA"/>
    <w:rsid w:val="0062341C"/>
    <w:rsid w:val="0062396C"/>
    <w:rsid w:val="00623FF9"/>
    <w:rsid w:val="0062437D"/>
    <w:rsid w:val="00625804"/>
    <w:rsid w:val="00627381"/>
    <w:rsid w:val="00627D4E"/>
    <w:rsid w:val="00630773"/>
    <w:rsid w:val="00631BEB"/>
    <w:rsid w:val="00632B89"/>
    <w:rsid w:val="0063346D"/>
    <w:rsid w:val="00633A1F"/>
    <w:rsid w:val="00634478"/>
    <w:rsid w:val="0064116F"/>
    <w:rsid w:val="006421F4"/>
    <w:rsid w:val="00643B73"/>
    <w:rsid w:val="00644373"/>
    <w:rsid w:val="006457C8"/>
    <w:rsid w:val="00645915"/>
    <w:rsid w:val="00646931"/>
    <w:rsid w:val="00646CC4"/>
    <w:rsid w:val="00646DB8"/>
    <w:rsid w:val="00650371"/>
    <w:rsid w:val="006519C3"/>
    <w:rsid w:val="006524D4"/>
    <w:rsid w:val="00652B30"/>
    <w:rsid w:val="0065325A"/>
    <w:rsid w:val="00655522"/>
    <w:rsid w:val="00655C13"/>
    <w:rsid w:val="00656326"/>
    <w:rsid w:val="00656345"/>
    <w:rsid w:val="00656DC6"/>
    <w:rsid w:val="0065795B"/>
    <w:rsid w:val="00660EC6"/>
    <w:rsid w:val="00661A4F"/>
    <w:rsid w:val="00664110"/>
    <w:rsid w:val="00664D17"/>
    <w:rsid w:val="00666520"/>
    <w:rsid w:val="00667859"/>
    <w:rsid w:val="00667C5B"/>
    <w:rsid w:val="00667F7D"/>
    <w:rsid w:val="00672447"/>
    <w:rsid w:val="00676752"/>
    <w:rsid w:val="006769B2"/>
    <w:rsid w:val="00677245"/>
    <w:rsid w:val="00680A33"/>
    <w:rsid w:val="00683DFB"/>
    <w:rsid w:val="00684BA9"/>
    <w:rsid w:val="00685A93"/>
    <w:rsid w:val="00686E00"/>
    <w:rsid w:val="0068729D"/>
    <w:rsid w:val="00691EB8"/>
    <w:rsid w:val="00692CDE"/>
    <w:rsid w:val="00693073"/>
    <w:rsid w:val="006930CA"/>
    <w:rsid w:val="006977FF"/>
    <w:rsid w:val="006A01FA"/>
    <w:rsid w:val="006A0289"/>
    <w:rsid w:val="006A0E9E"/>
    <w:rsid w:val="006A25C7"/>
    <w:rsid w:val="006A3ECF"/>
    <w:rsid w:val="006A446A"/>
    <w:rsid w:val="006A4AAD"/>
    <w:rsid w:val="006A4CCA"/>
    <w:rsid w:val="006A6DA2"/>
    <w:rsid w:val="006A7AB2"/>
    <w:rsid w:val="006B0765"/>
    <w:rsid w:val="006B0912"/>
    <w:rsid w:val="006B178D"/>
    <w:rsid w:val="006B5021"/>
    <w:rsid w:val="006B50BD"/>
    <w:rsid w:val="006B52DE"/>
    <w:rsid w:val="006B5717"/>
    <w:rsid w:val="006B582F"/>
    <w:rsid w:val="006B5EB2"/>
    <w:rsid w:val="006B69B1"/>
    <w:rsid w:val="006C078D"/>
    <w:rsid w:val="006C0CEB"/>
    <w:rsid w:val="006C1631"/>
    <w:rsid w:val="006C372E"/>
    <w:rsid w:val="006C3B1E"/>
    <w:rsid w:val="006C47FD"/>
    <w:rsid w:val="006C5C19"/>
    <w:rsid w:val="006C5FD4"/>
    <w:rsid w:val="006C61B4"/>
    <w:rsid w:val="006C70A0"/>
    <w:rsid w:val="006D09D7"/>
    <w:rsid w:val="006D1BD2"/>
    <w:rsid w:val="006D27CB"/>
    <w:rsid w:val="006D2F08"/>
    <w:rsid w:val="006D36B6"/>
    <w:rsid w:val="006D370B"/>
    <w:rsid w:val="006D4378"/>
    <w:rsid w:val="006D576C"/>
    <w:rsid w:val="006D5865"/>
    <w:rsid w:val="006D6A98"/>
    <w:rsid w:val="006E2C4F"/>
    <w:rsid w:val="006E4B1B"/>
    <w:rsid w:val="006E5445"/>
    <w:rsid w:val="006E77D2"/>
    <w:rsid w:val="006E7D93"/>
    <w:rsid w:val="006E7F73"/>
    <w:rsid w:val="006F1B3C"/>
    <w:rsid w:val="006F1D7C"/>
    <w:rsid w:val="006F2C45"/>
    <w:rsid w:val="006F35A4"/>
    <w:rsid w:val="006F4531"/>
    <w:rsid w:val="006F549A"/>
    <w:rsid w:val="00700A45"/>
    <w:rsid w:val="00700C83"/>
    <w:rsid w:val="0070133D"/>
    <w:rsid w:val="007029A3"/>
    <w:rsid w:val="0070428A"/>
    <w:rsid w:val="007054CB"/>
    <w:rsid w:val="00705CA2"/>
    <w:rsid w:val="00706E4E"/>
    <w:rsid w:val="0070791C"/>
    <w:rsid w:val="00712E41"/>
    <w:rsid w:val="0071383C"/>
    <w:rsid w:val="007141A7"/>
    <w:rsid w:val="00714AA2"/>
    <w:rsid w:val="0071519A"/>
    <w:rsid w:val="0071533D"/>
    <w:rsid w:val="00715722"/>
    <w:rsid w:val="00715BAF"/>
    <w:rsid w:val="00717E0E"/>
    <w:rsid w:val="00721032"/>
    <w:rsid w:val="007214EE"/>
    <w:rsid w:val="00721B55"/>
    <w:rsid w:val="00722626"/>
    <w:rsid w:val="00726CE4"/>
    <w:rsid w:val="00727B26"/>
    <w:rsid w:val="007300D9"/>
    <w:rsid w:val="0073097F"/>
    <w:rsid w:val="00733A43"/>
    <w:rsid w:val="00734143"/>
    <w:rsid w:val="00737E47"/>
    <w:rsid w:val="00740EAC"/>
    <w:rsid w:val="00743DF2"/>
    <w:rsid w:val="00744956"/>
    <w:rsid w:val="007453F6"/>
    <w:rsid w:val="00745A5C"/>
    <w:rsid w:val="0074605F"/>
    <w:rsid w:val="00747E94"/>
    <w:rsid w:val="00750903"/>
    <w:rsid w:val="00754C83"/>
    <w:rsid w:val="00755421"/>
    <w:rsid w:val="00761E5C"/>
    <w:rsid w:val="00762690"/>
    <w:rsid w:val="007627B5"/>
    <w:rsid w:val="00764D94"/>
    <w:rsid w:val="00765DF8"/>
    <w:rsid w:val="00766749"/>
    <w:rsid w:val="00767C1B"/>
    <w:rsid w:val="00770B3F"/>
    <w:rsid w:val="007714A9"/>
    <w:rsid w:val="00773CA3"/>
    <w:rsid w:val="00774C56"/>
    <w:rsid w:val="00774F88"/>
    <w:rsid w:val="00774FDB"/>
    <w:rsid w:val="00776126"/>
    <w:rsid w:val="007769CA"/>
    <w:rsid w:val="00776B09"/>
    <w:rsid w:val="00777BA2"/>
    <w:rsid w:val="00781408"/>
    <w:rsid w:val="00782D56"/>
    <w:rsid w:val="00783317"/>
    <w:rsid w:val="00784E26"/>
    <w:rsid w:val="00784F7F"/>
    <w:rsid w:val="007878BD"/>
    <w:rsid w:val="00787905"/>
    <w:rsid w:val="00787E31"/>
    <w:rsid w:val="00791C6E"/>
    <w:rsid w:val="00791C8A"/>
    <w:rsid w:val="00792241"/>
    <w:rsid w:val="0079503E"/>
    <w:rsid w:val="0079541E"/>
    <w:rsid w:val="00796F25"/>
    <w:rsid w:val="007A01B0"/>
    <w:rsid w:val="007A2E98"/>
    <w:rsid w:val="007A3068"/>
    <w:rsid w:val="007A3BA3"/>
    <w:rsid w:val="007A5936"/>
    <w:rsid w:val="007A6CC0"/>
    <w:rsid w:val="007A7FEC"/>
    <w:rsid w:val="007B1499"/>
    <w:rsid w:val="007B165F"/>
    <w:rsid w:val="007B1BBF"/>
    <w:rsid w:val="007B2960"/>
    <w:rsid w:val="007B355D"/>
    <w:rsid w:val="007B4D70"/>
    <w:rsid w:val="007B51D4"/>
    <w:rsid w:val="007B6A31"/>
    <w:rsid w:val="007B7980"/>
    <w:rsid w:val="007C0B89"/>
    <w:rsid w:val="007C0DEF"/>
    <w:rsid w:val="007C30DF"/>
    <w:rsid w:val="007C5306"/>
    <w:rsid w:val="007C5D5A"/>
    <w:rsid w:val="007C607F"/>
    <w:rsid w:val="007C62E7"/>
    <w:rsid w:val="007C7518"/>
    <w:rsid w:val="007C76BF"/>
    <w:rsid w:val="007C79DD"/>
    <w:rsid w:val="007D1A97"/>
    <w:rsid w:val="007D2CD6"/>
    <w:rsid w:val="007D3063"/>
    <w:rsid w:val="007D3CEB"/>
    <w:rsid w:val="007D74C7"/>
    <w:rsid w:val="007E2D9C"/>
    <w:rsid w:val="007E6B0B"/>
    <w:rsid w:val="007E6B0E"/>
    <w:rsid w:val="007E6DF4"/>
    <w:rsid w:val="007E7683"/>
    <w:rsid w:val="007F03B8"/>
    <w:rsid w:val="007F03DE"/>
    <w:rsid w:val="007F3DFF"/>
    <w:rsid w:val="007F4508"/>
    <w:rsid w:val="007F49FA"/>
    <w:rsid w:val="007F4BE4"/>
    <w:rsid w:val="007F54C4"/>
    <w:rsid w:val="007F6E68"/>
    <w:rsid w:val="007F6E9A"/>
    <w:rsid w:val="007F7791"/>
    <w:rsid w:val="00800CCD"/>
    <w:rsid w:val="00801FEB"/>
    <w:rsid w:val="00803E65"/>
    <w:rsid w:val="008044D4"/>
    <w:rsid w:val="00805425"/>
    <w:rsid w:val="0080598C"/>
    <w:rsid w:val="00810AB4"/>
    <w:rsid w:val="00812970"/>
    <w:rsid w:val="00815F68"/>
    <w:rsid w:val="0081790A"/>
    <w:rsid w:val="00817B56"/>
    <w:rsid w:val="00821A88"/>
    <w:rsid w:val="008231B3"/>
    <w:rsid w:val="0082322E"/>
    <w:rsid w:val="00823483"/>
    <w:rsid w:val="0082495D"/>
    <w:rsid w:val="0082715D"/>
    <w:rsid w:val="008279C9"/>
    <w:rsid w:val="00827B87"/>
    <w:rsid w:val="00827CB1"/>
    <w:rsid w:val="00827EBC"/>
    <w:rsid w:val="00831029"/>
    <w:rsid w:val="00831AC3"/>
    <w:rsid w:val="00833D0A"/>
    <w:rsid w:val="008342AC"/>
    <w:rsid w:val="00836FCE"/>
    <w:rsid w:val="008408FF"/>
    <w:rsid w:val="00842DA4"/>
    <w:rsid w:val="00846C4B"/>
    <w:rsid w:val="00847090"/>
    <w:rsid w:val="0084772E"/>
    <w:rsid w:val="008505BE"/>
    <w:rsid w:val="0085194E"/>
    <w:rsid w:val="00851F3F"/>
    <w:rsid w:val="00852546"/>
    <w:rsid w:val="0085513C"/>
    <w:rsid w:val="00856B3C"/>
    <w:rsid w:val="00856EDC"/>
    <w:rsid w:val="008623B5"/>
    <w:rsid w:val="0086721B"/>
    <w:rsid w:val="00870ABA"/>
    <w:rsid w:val="00870B1E"/>
    <w:rsid w:val="008710E1"/>
    <w:rsid w:val="008714A6"/>
    <w:rsid w:val="008716E5"/>
    <w:rsid w:val="00881CA9"/>
    <w:rsid w:val="00883312"/>
    <w:rsid w:val="00883628"/>
    <w:rsid w:val="0088530D"/>
    <w:rsid w:val="00885544"/>
    <w:rsid w:val="0088634E"/>
    <w:rsid w:val="00892314"/>
    <w:rsid w:val="00892DF5"/>
    <w:rsid w:val="00893A24"/>
    <w:rsid w:val="00893AB8"/>
    <w:rsid w:val="00897BD2"/>
    <w:rsid w:val="00897E52"/>
    <w:rsid w:val="008A04C8"/>
    <w:rsid w:val="008A0AC4"/>
    <w:rsid w:val="008A3F19"/>
    <w:rsid w:val="008A4066"/>
    <w:rsid w:val="008A6913"/>
    <w:rsid w:val="008A73B8"/>
    <w:rsid w:val="008B2516"/>
    <w:rsid w:val="008B56A3"/>
    <w:rsid w:val="008B70F3"/>
    <w:rsid w:val="008B71C4"/>
    <w:rsid w:val="008B76DF"/>
    <w:rsid w:val="008B7F2C"/>
    <w:rsid w:val="008C10F4"/>
    <w:rsid w:val="008C1542"/>
    <w:rsid w:val="008C1FF3"/>
    <w:rsid w:val="008C2CB5"/>
    <w:rsid w:val="008C65F7"/>
    <w:rsid w:val="008C766B"/>
    <w:rsid w:val="008D0108"/>
    <w:rsid w:val="008D0242"/>
    <w:rsid w:val="008D0415"/>
    <w:rsid w:val="008D1E65"/>
    <w:rsid w:val="008D310C"/>
    <w:rsid w:val="008E0428"/>
    <w:rsid w:val="008E4767"/>
    <w:rsid w:val="008E503C"/>
    <w:rsid w:val="008E75BA"/>
    <w:rsid w:val="008E7A8C"/>
    <w:rsid w:val="00900059"/>
    <w:rsid w:val="009010CE"/>
    <w:rsid w:val="0090203B"/>
    <w:rsid w:val="00903285"/>
    <w:rsid w:val="00903303"/>
    <w:rsid w:val="009048E1"/>
    <w:rsid w:val="00904A90"/>
    <w:rsid w:val="00905483"/>
    <w:rsid w:val="00905847"/>
    <w:rsid w:val="009064B4"/>
    <w:rsid w:val="00906F40"/>
    <w:rsid w:val="0090731E"/>
    <w:rsid w:val="00911C12"/>
    <w:rsid w:val="00913400"/>
    <w:rsid w:val="00913BDF"/>
    <w:rsid w:val="00914D94"/>
    <w:rsid w:val="00915B1C"/>
    <w:rsid w:val="00916AFA"/>
    <w:rsid w:val="009174F3"/>
    <w:rsid w:val="0091797D"/>
    <w:rsid w:val="0092000F"/>
    <w:rsid w:val="009219C3"/>
    <w:rsid w:val="00922758"/>
    <w:rsid w:val="00922EE8"/>
    <w:rsid w:val="00922EEC"/>
    <w:rsid w:val="00923CBA"/>
    <w:rsid w:val="00924443"/>
    <w:rsid w:val="00926703"/>
    <w:rsid w:val="00927691"/>
    <w:rsid w:val="00927A5F"/>
    <w:rsid w:val="00927AAC"/>
    <w:rsid w:val="00930510"/>
    <w:rsid w:val="00930D03"/>
    <w:rsid w:val="009315C6"/>
    <w:rsid w:val="00932341"/>
    <w:rsid w:val="00932B97"/>
    <w:rsid w:val="00933863"/>
    <w:rsid w:val="00934305"/>
    <w:rsid w:val="009353B3"/>
    <w:rsid w:val="00935B63"/>
    <w:rsid w:val="00936E95"/>
    <w:rsid w:val="0094078F"/>
    <w:rsid w:val="00940FA3"/>
    <w:rsid w:val="009417F7"/>
    <w:rsid w:val="00941FB0"/>
    <w:rsid w:val="009426D4"/>
    <w:rsid w:val="00944EE8"/>
    <w:rsid w:val="009456E4"/>
    <w:rsid w:val="00947F25"/>
    <w:rsid w:val="00950159"/>
    <w:rsid w:val="00950521"/>
    <w:rsid w:val="009527F9"/>
    <w:rsid w:val="00952A21"/>
    <w:rsid w:val="00954028"/>
    <w:rsid w:val="0095490B"/>
    <w:rsid w:val="00955A30"/>
    <w:rsid w:val="00956EB8"/>
    <w:rsid w:val="00960A33"/>
    <w:rsid w:val="009646C5"/>
    <w:rsid w:val="009649A8"/>
    <w:rsid w:val="0096703F"/>
    <w:rsid w:val="0096782B"/>
    <w:rsid w:val="0097132E"/>
    <w:rsid w:val="00971914"/>
    <w:rsid w:val="00972513"/>
    <w:rsid w:val="00974363"/>
    <w:rsid w:val="0097649B"/>
    <w:rsid w:val="00980F27"/>
    <w:rsid w:val="00981898"/>
    <w:rsid w:val="00983A0B"/>
    <w:rsid w:val="009903BA"/>
    <w:rsid w:val="009906CB"/>
    <w:rsid w:val="0099577C"/>
    <w:rsid w:val="009972C2"/>
    <w:rsid w:val="009A021C"/>
    <w:rsid w:val="009A1210"/>
    <w:rsid w:val="009A25CC"/>
    <w:rsid w:val="009A3527"/>
    <w:rsid w:val="009A62B0"/>
    <w:rsid w:val="009A6D42"/>
    <w:rsid w:val="009B06E7"/>
    <w:rsid w:val="009B0BCE"/>
    <w:rsid w:val="009B24A5"/>
    <w:rsid w:val="009B2601"/>
    <w:rsid w:val="009B4E9E"/>
    <w:rsid w:val="009B7C9C"/>
    <w:rsid w:val="009C1690"/>
    <w:rsid w:val="009C17FA"/>
    <w:rsid w:val="009C1F53"/>
    <w:rsid w:val="009C302A"/>
    <w:rsid w:val="009C3052"/>
    <w:rsid w:val="009C51AB"/>
    <w:rsid w:val="009C6881"/>
    <w:rsid w:val="009C703D"/>
    <w:rsid w:val="009C7759"/>
    <w:rsid w:val="009D043D"/>
    <w:rsid w:val="009D07C8"/>
    <w:rsid w:val="009D1549"/>
    <w:rsid w:val="009D4C85"/>
    <w:rsid w:val="009D521B"/>
    <w:rsid w:val="009D678B"/>
    <w:rsid w:val="009D6C71"/>
    <w:rsid w:val="009D7228"/>
    <w:rsid w:val="009E0631"/>
    <w:rsid w:val="009E08A4"/>
    <w:rsid w:val="009E128C"/>
    <w:rsid w:val="009E16D0"/>
    <w:rsid w:val="009E2051"/>
    <w:rsid w:val="009E29AA"/>
    <w:rsid w:val="009E38FD"/>
    <w:rsid w:val="009E7DA8"/>
    <w:rsid w:val="009F13B6"/>
    <w:rsid w:val="009F13D6"/>
    <w:rsid w:val="009F3CF8"/>
    <w:rsid w:val="009F409E"/>
    <w:rsid w:val="009F4C6B"/>
    <w:rsid w:val="009F662A"/>
    <w:rsid w:val="009F78A8"/>
    <w:rsid w:val="00A00FB8"/>
    <w:rsid w:val="00A017E0"/>
    <w:rsid w:val="00A02AD6"/>
    <w:rsid w:val="00A02CAB"/>
    <w:rsid w:val="00A03B5F"/>
    <w:rsid w:val="00A03BD6"/>
    <w:rsid w:val="00A05C3D"/>
    <w:rsid w:val="00A06AC5"/>
    <w:rsid w:val="00A07096"/>
    <w:rsid w:val="00A07318"/>
    <w:rsid w:val="00A11370"/>
    <w:rsid w:val="00A113D2"/>
    <w:rsid w:val="00A13BAF"/>
    <w:rsid w:val="00A14AEE"/>
    <w:rsid w:val="00A16F13"/>
    <w:rsid w:val="00A224CE"/>
    <w:rsid w:val="00A22522"/>
    <w:rsid w:val="00A22741"/>
    <w:rsid w:val="00A228CF"/>
    <w:rsid w:val="00A24AFD"/>
    <w:rsid w:val="00A24F5C"/>
    <w:rsid w:val="00A271D3"/>
    <w:rsid w:val="00A32F96"/>
    <w:rsid w:val="00A353A0"/>
    <w:rsid w:val="00A40871"/>
    <w:rsid w:val="00A41227"/>
    <w:rsid w:val="00A412AB"/>
    <w:rsid w:val="00A418F2"/>
    <w:rsid w:val="00A4193E"/>
    <w:rsid w:val="00A41C45"/>
    <w:rsid w:val="00A434EB"/>
    <w:rsid w:val="00A43E74"/>
    <w:rsid w:val="00A440E0"/>
    <w:rsid w:val="00A442EF"/>
    <w:rsid w:val="00A47345"/>
    <w:rsid w:val="00A50AEF"/>
    <w:rsid w:val="00A512BE"/>
    <w:rsid w:val="00A513DC"/>
    <w:rsid w:val="00A51D1A"/>
    <w:rsid w:val="00A5418D"/>
    <w:rsid w:val="00A5463C"/>
    <w:rsid w:val="00A5474E"/>
    <w:rsid w:val="00A60FD3"/>
    <w:rsid w:val="00A63273"/>
    <w:rsid w:val="00A64021"/>
    <w:rsid w:val="00A64234"/>
    <w:rsid w:val="00A64857"/>
    <w:rsid w:val="00A66196"/>
    <w:rsid w:val="00A70ADF"/>
    <w:rsid w:val="00A71466"/>
    <w:rsid w:val="00A71627"/>
    <w:rsid w:val="00A737DD"/>
    <w:rsid w:val="00A74B5E"/>
    <w:rsid w:val="00A7526F"/>
    <w:rsid w:val="00A754C8"/>
    <w:rsid w:val="00A76358"/>
    <w:rsid w:val="00A775E4"/>
    <w:rsid w:val="00A81BED"/>
    <w:rsid w:val="00A81EC4"/>
    <w:rsid w:val="00A824E8"/>
    <w:rsid w:val="00A82661"/>
    <w:rsid w:val="00A847D7"/>
    <w:rsid w:val="00A85C35"/>
    <w:rsid w:val="00A94CEB"/>
    <w:rsid w:val="00A95B5F"/>
    <w:rsid w:val="00A967FD"/>
    <w:rsid w:val="00A97022"/>
    <w:rsid w:val="00A973CC"/>
    <w:rsid w:val="00AA018E"/>
    <w:rsid w:val="00AA2DE5"/>
    <w:rsid w:val="00AA65C8"/>
    <w:rsid w:val="00AB047C"/>
    <w:rsid w:val="00AB075B"/>
    <w:rsid w:val="00AB156C"/>
    <w:rsid w:val="00AB6417"/>
    <w:rsid w:val="00AB6814"/>
    <w:rsid w:val="00AB6F00"/>
    <w:rsid w:val="00AB741F"/>
    <w:rsid w:val="00AC04BA"/>
    <w:rsid w:val="00AC077B"/>
    <w:rsid w:val="00AC0E39"/>
    <w:rsid w:val="00AC14E0"/>
    <w:rsid w:val="00AC37E3"/>
    <w:rsid w:val="00AC4EB0"/>
    <w:rsid w:val="00AC5419"/>
    <w:rsid w:val="00AC61A7"/>
    <w:rsid w:val="00AD08C6"/>
    <w:rsid w:val="00AD2A18"/>
    <w:rsid w:val="00AD3082"/>
    <w:rsid w:val="00AD32B4"/>
    <w:rsid w:val="00AD3522"/>
    <w:rsid w:val="00AD480B"/>
    <w:rsid w:val="00AD4AD0"/>
    <w:rsid w:val="00AD5436"/>
    <w:rsid w:val="00AD5CC5"/>
    <w:rsid w:val="00AD60CD"/>
    <w:rsid w:val="00AD671E"/>
    <w:rsid w:val="00AD6C8C"/>
    <w:rsid w:val="00AE091D"/>
    <w:rsid w:val="00AE0A59"/>
    <w:rsid w:val="00AE109F"/>
    <w:rsid w:val="00AE3B43"/>
    <w:rsid w:val="00AE3B60"/>
    <w:rsid w:val="00AE4B3C"/>
    <w:rsid w:val="00AE4F6C"/>
    <w:rsid w:val="00AE53A1"/>
    <w:rsid w:val="00AE668F"/>
    <w:rsid w:val="00AF0963"/>
    <w:rsid w:val="00AF12A8"/>
    <w:rsid w:val="00AF12FB"/>
    <w:rsid w:val="00AF1A2D"/>
    <w:rsid w:val="00AF2484"/>
    <w:rsid w:val="00AF278B"/>
    <w:rsid w:val="00AF2914"/>
    <w:rsid w:val="00AF358F"/>
    <w:rsid w:val="00AF3C21"/>
    <w:rsid w:val="00AF4AA5"/>
    <w:rsid w:val="00AF63E7"/>
    <w:rsid w:val="00AF6E17"/>
    <w:rsid w:val="00B0165D"/>
    <w:rsid w:val="00B01B60"/>
    <w:rsid w:val="00B028AC"/>
    <w:rsid w:val="00B031F3"/>
    <w:rsid w:val="00B052A4"/>
    <w:rsid w:val="00B052C5"/>
    <w:rsid w:val="00B05B5E"/>
    <w:rsid w:val="00B05F3D"/>
    <w:rsid w:val="00B07171"/>
    <w:rsid w:val="00B07A65"/>
    <w:rsid w:val="00B115DF"/>
    <w:rsid w:val="00B125DE"/>
    <w:rsid w:val="00B12F7A"/>
    <w:rsid w:val="00B13FDD"/>
    <w:rsid w:val="00B22EB2"/>
    <w:rsid w:val="00B25108"/>
    <w:rsid w:val="00B257A3"/>
    <w:rsid w:val="00B25875"/>
    <w:rsid w:val="00B27442"/>
    <w:rsid w:val="00B30781"/>
    <w:rsid w:val="00B31167"/>
    <w:rsid w:val="00B329D8"/>
    <w:rsid w:val="00B32BB9"/>
    <w:rsid w:val="00B338E2"/>
    <w:rsid w:val="00B33AE1"/>
    <w:rsid w:val="00B35DBE"/>
    <w:rsid w:val="00B37C38"/>
    <w:rsid w:val="00B4288C"/>
    <w:rsid w:val="00B43262"/>
    <w:rsid w:val="00B43540"/>
    <w:rsid w:val="00B44100"/>
    <w:rsid w:val="00B45426"/>
    <w:rsid w:val="00B46845"/>
    <w:rsid w:val="00B46A66"/>
    <w:rsid w:val="00B46CBA"/>
    <w:rsid w:val="00B46F94"/>
    <w:rsid w:val="00B475B4"/>
    <w:rsid w:val="00B53377"/>
    <w:rsid w:val="00B54B85"/>
    <w:rsid w:val="00B55E40"/>
    <w:rsid w:val="00B568D7"/>
    <w:rsid w:val="00B57D15"/>
    <w:rsid w:val="00B6003C"/>
    <w:rsid w:val="00B61729"/>
    <w:rsid w:val="00B61F03"/>
    <w:rsid w:val="00B626E4"/>
    <w:rsid w:val="00B655D3"/>
    <w:rsid w:val="00B707E1"/>
    <w:rsid w:val="00B716BC"/>
    <w:rsid w:val="00B71C0F"/>
    <w:rsid w:val="00B72896"/>
    <w:rsid w:val="00B72CC8"/>
    <w:rsid w:val="00B72F4A"/>
    <w:rsid w:val="00B76E61"/>
    <w:rsid w:val="00B80305"/>
    <w:rsid w:val="00B80A23"/>
    <w:rsid w:val="00B831AD"/>
    <w:rsid w:val="00B83C27"/>
    <w:rsid w:val="00B83C72"/>
    <w:rsid w:val="00B84BC3"/>
    <w:rsid w:val="00B84BDD"/>
    <w:rsid w:val="00B85C68"/>
    <w:rsid w:val="00B92812"/>
    <w:rsid w:val="00B93964"/>
    <w:rsid w:val="00B940C2"/>
    <w:rsid w:val="00B946C6"/>
    <w:rsid w:val="00B9512C"/>
    <w:rsid w:val="00B95835"/>
    <w:rsid w:val="00B97574"/>
    <w:rsid w:val="00BA129B"/>
    <w:rsid w:val="00BA66BC"/>
    <w:rsid w:val="00BA777D"/>
    <w:rsid w:val="00BB2507"/>
    <w:rsid w:val="00BB45A1"/>
    <w:rsid w:val="00BB5733"/>
    <w:rsid w:val="00BB6335"/>
    <w:rsid w:val="00BB65C1"/>
    <w:rsid w:val="00BB7686"/>
    <w:rsid w:val="00BB7802"/>
    <w:rsid w:val="00BC22B4"/>
    <w:rsid w:val="00BC23F9"/>
    <w:rsid w:val="00BC2C77"/>
    <w:rsid w:val="00BC3421"/>
    <w:rsid w:val="00BC4A7C"/>
    <w:rsid w:val="00BC4FCC"/>
    <w:rsid w:val="00BC5160"/>
    <w:rsid w:val="00BC70CB"/>
    <w:rsid w:val="00BC732C"/>
    <w:rsid w:val="00BD1398"/>
    <w:rsid w:val="00BD3DAA"/>
    <w:rsid w:val="00BD4421"/>
    <w:rsid w:val="00BD56D7"/>
    <w:rsid w:val="00BD6FB0"/>
    <w:rsid w:val="00BD746A"/>
    <w:rsid w:val="00BE1F5E"/>
    <w:rsid w:val="00BE2033"/>
    <w:rsid w:val="00BE2580"/>
    <w:rsid w:val="00BE266D"/>
    <w:rsid w:val="00BE391A"/>
    <w:rsid w:val="00BE3938"/>
    <w:rsid w:val="00BE431B"/>
    <w:rsid w:val="00BE4B5A"/>
    <w:rsid w:val="00BE4C11"/>
    <w:rsid w:val="00BE5A18"/>
    <w:rsid w:val="00BE68DC"/>
    <w:rsid w:val="00BE71C0"/>
    <w:rsid w:val="00BF610C"/>
    <w:rsid w:val="00C0060B"/>
    <w:rsid w:val="00C00D24"/>
    <w:rsid w:val="00C01A6C"/>
    <w:rsid w:val="00C0277D"/>
    <w:rsid w:val="00C02F26"/>
    <w:rsid w:val="00C041D9"/>
    <w:rsid w:val="00C044DC"/>
    <w:rsid w:val="00C04986"/>
    <w:rsid w:val="00C053A1"/>
    <w:rsid w:val="00C07C8B"/>
    <w:rsid w:val="00C11FCA"/>
    <w:rsid w:val="00C12395"/>
    <w:rsid w:val="00C135E3"/>
    <w:rsid w:val="00C15C57"/>
    <w:rsid w:val="00C16198"/>
    <w:rsid w:val="00C178CC"/>
    <w:rsid w:val="00C2083D"/>
    <w:rsid w:val="00C22A16"/>
    <w:rsid w:val="00C24466"/>
    <w:rsid w:val="00C24A53"/>
    <w:rsid w:val="00C25362"/>
    <w:rsid w:val="00C3134B"/>
    <w:rsid w:val="00C31AC4"/>
    <w:rsid w:val="00C34A05"/>
    <w:rsid w:val="00C34F6D"/>
    <w:rsid w:val="00C35CCE"/>
    <w:rsid w:val="00C4032F"/>
    <w:rsid w:val="00C41F21"/>
    <w:rsid w:val="00C429C4"/>
    <w:rsid w:val="00C438D6"/>
    <w:rsid w:val="00C44047"/>
    <w:rsid w:val="00C45155"/>
    <w:rsid w:val="00C45D96"/>
    <w:rsid w:val="00C510C5"/>
    <w:rsid w:val="00C52206"/>
    <w:rsid w:val="00C52F9C"/>
    <w:rsid w:val="00C5498F"/>
    <w:rsid w:val="00C55235"/>
    <w:rsid w:val="00C55EBD"/>
    <w:rsid w:val="00C6212D"/>
    <w:rsid w:val="00C634D6"/>
    <w:rsid w:val="00C64123"/>
    <w:rsid w:val="00C64349"/>
    <w:rsid w:val="00C64CD0"/>
    <w:rsid w:val="00C65F61"/>
    <w:rsid w:val="00C6684F"/>
    <w:rsid w:val="00C66C50"/>
    <w:rsid w:val="00C703A4"/>
    <w:rsid w:val="00C70E70"/>
    <w:rsid w:val="00C71429"/>
    <w:rsid w:val="00C739FA"/>
    <w:rsid w:val="00C75F8D"/>
    <w:rsid w:val="00C76057"/>
    <w:rsid w:val="00C7622E"/>
    <w:rsid w:val="00C76C8E"/>
    <w:rsid w:val="00C77380"/>
    <w:rsid w:val="00C80CAE"/>
    <w:rsid w:val="00C81096"/>
    <w:rsid w:val="00C83971"/>
    <w:rsid w:val="00C85C5D"/>
    <w:rsid w:val="00C87E09"/>
    <w:rsid w:val="00C87E8A"/>
    <w:rsid w:val="00C913D6"/>
    <w:rsid w:val="00C932BF"/>
    <w:rsid w:val="00C94327"/>
    <w:rsid w:val="00C97736"/>
    <w:rsid w:val="00CA1AA6"/>
    <w:rsid w:val="00CA345A"/>
    <w:rsid w:val="00CA4860"/>
    <w:rsid w:val="00CA582A"/>
    <w:rsid w:val="00CA5D57"/>
    <w:rsid w:val="00CB1E82"/>
    <w:rsid w:val="00CB35D3"/>
    <w:rsid w:val="00CB3ACF"/>
    <w:rsid w:val="00CB4BA8"/>
    <w:rsid w:val="00CB52D7"/>
    <w:rsid w:val="00CB66EF"/>
    <w:rsid w:val="00CB71CB"/>
    <w:rsid w:val="00CC03F4"/>
    <w:rsid w:val="00CC0927"/>
    <w:rsid w:val="00CC2939"/>
    <w:rsid w:val="00CC2B61"/>
    <w:rsid w:val="00CC2ED9"/>
    <w:rsid w:val="00CC48F5"/>
    <w:rsid w:val="00CC4D87"/>
    <w:rsid w:val="00CC65F5"/>
    <w:rsid w:val="00CC6732"/>
    <w:rsid w:val="00CD2F74"/>
    <w:rsid w:val="00CD4BC2"/>
    <w:rsid w:val="00CD530A"/>
    <w:rsid w:val="00CD6ACF"/>
    <w:rsid w:val="00CE0B44"/>
    <w:rsid w:val="00CE3C96"/>
    <w:rsid w:val="00CE51A8"/>
    <w:rsid w:val="00CE62AD"/>
    <w:rsid w:val="00CE67D8"/>
    <w:rsid w:val="00CE689E"/>
    <w:rsid w:val="00CE7BD8"/>
    <w:rsid w:val="00CF093C"/>
    <w:rsid w:val="00CF0BFE"/>
    <w:rsid w:val="00CF2605"/>
    <w:rsid w:val="00CF369B"/>
    <w:rsid w:val="00CF3A97"/>
    <w:rsid w:val="00CF6F0D"/>
    <w:rsid w:val="00D00966"/>
    <w:rsid w:val="00D00E28"/>
    <w:rsid w:val="00D02487"/>
    <w:rsid w:val="00D0269E"/>
    <w:rsid w:val="00D02E5D"/>
    <w:rsid w:val="00D03276"/>
    <w:rsid w:val="00D044BA"/>
    <w:rsid w:val="00D04F84"/>
    <w:rsid w:val="00D05D6C"/>
    <w:rsid w:val="00D063E7"/>
    <w:rsid w:val="00D07824"/>
    <w:rsid w:val="00D0784C"/>
    <w:rsid w:val="00D11AAB"/>
    <w:rsid w:val="00D12108"/>
    <w:rsid w:val="00D12858"/>
    <w:rsid w:val="00D152D9"/>
    <w:rsid w:val="00D15810"/>
    <w:rsid w:val="00D169DC"/>
    <w:rsid w:val="00D16D4E"/>
    <w:rsid w:val="00D16FE3"/>
    <w:rsid w:val="00D247A7"/>
    <w:rsid w:val="00D26863"/>
    <w:rsid w:val="00D27EE1"/>
    <w:rsid w:val="00D27F41"/>
    <w:rsid w:val="00D30BC6"/>
    <w:rsid w:val="00D3260C"/>
    <w:rsid w:val="00D33CB1"/>
    <w:rsid w:val="00D36441"/>
    <w:rsid w:val="00D365EC"/>
    <w:rsid w:val="00D37890"/>
    <w:rsid w:val="00D37990"/>
    <w:rsid w:val="00D37CDF"/>
    <w:rsid w:val="00D4064E"/>
    <w:rsid w:val="00D43B47"/>
    <w:rsid w:val="00D44E9B"/>
    <w:rsid w:val="00D45250"/>
    <w:rsid w:val="00D45305"/>
    <w:rsid w:val="00D45674"/>
    <w:rsid w:val="00D45DC6"/>
    <w:rsid w:val="00D47519"/>
    <w:rsid w:val="00D476AD"/>
    <w:rsid w:val="00D47AEB"/>
    <w:rsid w:val="00D50DB9"/>
    <w:rsid w:val="00D51302"/>
    <w:rsid w:val="00D52C43"/>
    <w:rsid w:val="00D53067"/>
    <w:rsid w:val="00D53FF0"/>
    <w:rsid w:val="00D5501E"/>
    <w:rsid w:val="00D55204"/>
    <w:rsid w:val="00D61243"/>
    <w:rsid w:val="00D6171C"/>
    <w:rsid w:val="00D6507F"/>
    <w:rsid w:val="00D65D6B"/>
    <w:rsid w:val="00D70F0D"/>
    <w:rsid w:val="00D729F9"/>
    <w:rsid w:val="00D72DB6"/>
    <w:rsid w:val="00D730BC"/>
    <w:rsid w:val="00D73912"/>
    <w:rsid w:val="00D74B60"/>
    <w:rsid w:val="00D75C78"/>
    <w:rsid w:val="00D83F79"/>
    <w:rsid w:val="00D8481D"/>
    <w:rsid w:val="00D85226"/>
    <w:rsid w:val="00D86A97"/>
    <w:rsid w:val="00D87B94"/>
    <w:rsid w:val="00D90AAB"/>
    <w:rsid w:val="00D92D49"/>
    <w:rsid w:val="00D92EC1"/>
    <w:rsid w:val="00D92ECB"/>
    <w:rsid w:val="00D94282"/>
    <w:rsid w:val="00D95098"/>
    <w:rsid w:val="00D95C86"/>
    <w:rsid w:val="00D96716"/>
    <w:rsid w:val="00D96DEA"/>
    <w:rsid w:val="00DA1396"/>
    <w:rsid w:val="00DA23C1"/>
    <w:rsid w:val="00DA4E41"/>
    <w:rsid w:val="00DA70EE"/>
    <w:rsid w:val="00DB117A"/>
    <w:rsid w:val="00DB46F8"/>
    <w:rsid w:val="00DB47A4"/>
    <w:rsid w:val="00DB5173"/>
    <w:rsid w:val="00DB642C"/>
    <w:rsid w:val="00DB689F"/>
    <w:rsid w:val="00DB73B1"/>
    <w:rsid w:val="00DB7873"/>
    <w:rsid w:val="00DB7BB2"/>
    <w:rsid w:val="00DC1216"/>
    <w:rsid w:val="00DC187B"/>
    <w:rsid w:val="00DD07DE"/>
    <w:rsid w:val="00DD0C2B"/>
    <w:rsid w:val="00DD1A43"/>
    <w:rsid w:val="00DD4312"/>
    <w:rsid w:val="00DD73C2"/>
    <w:rsid w:val="00DD7F06"/>
    <w:rsid w:val="00DE319B"/>
    <w:rsid w:val="00DE698C"/>
    <w:rsid w:val="00DE69E9"/>
    <w:rsid w:val="00DE6EC5"/>
    <w:rsid w:val="00DE7DCF"/>
    <w:rsid w:val="00DF34FE"/>
    <w:rsid w:val="00DF43FF"/>
    <w:rsid w:val="00DF56AA"/>
    <w:rsid w:val="00DF56AF"/>
    <w:rsid w:val="00DF6A62"/>
    <w:rsid w:val="00DF6FE5"/>
    <w:rsid w:val="00DF78E7"/>
    <w:rsid w:val="00E0035C"/>
    <w:rsid w:val="00E01898"/>
    <w:rsid w:val="00E021FB"/>
    <w:rsid w:val="00E02232"/>
    <w:rsid w:val="00E03747"/>
    <w:rsid w:val="00E110E0"/>
    <w:rsid w:val="00E12066"/>
    <w:rsid w:val="00E13653"/>
    <w:rsid w:val="00E15371"/>
    <w:rsid w:val="00E162C4"/>
    <w:rsid w:val="00E167DC"/>
    <w:rsid w:val="00E21056"/>
    <w:rsid w:val="00E21F27"/>
    <w:rsid w:val="00E24104"/>
    <w:rsid w:val="00E302D0"/>
    <w:rsid w:val="00E30CDC"/>
    <w:rsid w:val="00E35707"/>
    <w:rsid w:val="00E36157"/>
    <w:rsid w:val="00E36AA1"/>
    <w:rsid w:val="00E3765A"/>
    <w:rsid w:val="00E40ED2"/>
    <w:rsid w:val="00E41ECB"/>
    <w:rsid w:val="00E42676"/>
    <w:rsid w:val="00E43BFC"/>
    <w:rsid w:val="00E441D0"/>
    <w:rsid w:val="00E44DFC"/>
    <w:rsid w:val="00E45302"/>
    <w:rsid w:val="00E45C03"/>
    <w:rsid w:val="00E50275"/>
    <w:rsid w:val="00E5426D"/>
    <w:rsid w:val="00E54FDB"/>
    <w:rsid w:val="00E55358"/>
    <w:rsid w:val="00E5617D"/>
    <w:rsid w:val="00E563D7"/>
    <w:rsid w:val="00E5665D"/>
    <w:rsid w:val="00E61B3F"/>
    <w:rsid w:val="00E63A10"/>
    <w:rsid w:val="00E64FE2"/>
    <w:rsid w:val="00E663F4"/>
    <w:rsid w:val="00E666F2"/>
    <w:rsid w:val="00E66DD4"/>
    <w:rsid w:val="00E705AB"/>
    <w:rsid w:val="00E71872"/>
    <w:rsid w:val="00E748CC"/>
    <w:rsid w:val="00E74F15"/>
    <w:rsid w:val="00E75415"/>
    <w:rsid w:val="00E775B1"/>
    <w:rsid w:val="00E77682"/>
    <w:rsid w:val="00E805EE"/>
    <w:rsid w:val="00E80B28"/>
    <w:rsid w:val="00E810A7"/>
    <w:rsid w:val="00E8152A"/>
    <w:rsid w:val="00E84181"/>
    <w:rsid w:val="00E87128"/>
    <w:rsid w:val="00E912CA"/>
    <w:rsid w:val="00E92F14"/>
    <w:rsid w:val="00E9353C"/>
    <w:rsid w:val="00E935D0"/>
    <w:rsid w:val="00E93629"/>
    <w:rsid w:val="00E93B5C"/>
    <w:rsid w:val="00E94CEC"/>
    <w:rsid w:val="00E95342"/>
    <w:rsid w:val="00EA04EF"/>
    <w:rsid w:val="00EA0969"/>
    <w:rsid w:val="00EA249B"/>
    <w:rsid w:val="00EA3CB2"/>
    <w:rsid w:val="00EA53C3"/>
    <w:rsid w:val="00EA67E1"/>
    <w:rsid w:val="00EA6C79"/>
    <w:rsid w:val="00EA6F19"/>
    <w:rsid w:val="00EB0483"/>
    <w:rsid w:val="00EB2FD7"/>
    <w:rsid w:val="00EB47E8"/>
    <w:rsid w:val="00EB4DC3"/>
    <w:rsid w:val="00EB592F"/>
    <w:rsid w:val="00EB6DAF"/>
    <w:rsid w:val="00EB7090"/>
    <w:rsid w:val="00EC1BBE"/>
    <w:rsid w:val="00EC2286"/>
    <w:rsid w:val="00EC2B68"/>
    <w:rsid w:val="00EC3AEF"/>
    <w:rsid w:val="00EC5222"/>
    <w:rsid w:val="00EC55A8"/>
    <w:rsid w:val="00EC589D"/>
    <w:rsid w:val="00EC5CD7"/>
    <w:rsid w:val="00EC730D"/>
    <w:rsid w:val="00EC7B57"/>
    <w:rsid w:val="00ED18CA"/>
    <w:rsid w:val="00ED24A6"/>
    <w:rsid w:val="00ED2868"/>
    <w:rsid w:val="00ED4578"/>
    <w:rsid w:val="00ED5E91"/>
    <w:rsid w:val="00ED70A0"/>
    <w:rsid w:val="00EE03C4"/>
    <w:rsid w:val="00EE3915"/>
    <w:rsid w:val="00EE4FFA"/>
    <w:rsid w:val="00EE55FC"/>
    <w:rsid w:val="00EE5C67"/>
    <w:rsid w:val="00EE5FB3"/>
    <w:rsid w:val="00EE67A2"/>
    <w:rsid w:val="00EE67E9"/>
    <w:rsid w:val="00EE775E"/>
    <w:rsid w:val="00EE7F79"/>
    <w:rsid w:val="00EE7FCE"/>
    <w:rsid w:val="00EF109F"/>
    <w:rsid w:val="00EF11C4"/>
    <w:rsid w:val="00EF3721"/>
    <w:rsid w:val="00EF497D"/>
    <w:rsid w:val="00EF715A"/>
    <w:rsid w:val="00F00A81"/>
    <w:rsid w:val="00F05EDA"/>
    <w:rsid w:val="00F06531"/>
    <w:rsid w:val="00F06E14"/>
    <w:rsid w:val="00F0751B"/>
    <w:rsid w:val="00F078F3"/>
    <w:rsid w:val="00F10DB0"/>
    <w:rsid w:val="00F144C3"/>
    <w:rsid w:val="00F14894"/>
    <w:rsid w:val="00F14F45"/>
    <w:rsid w:val="00F15E50"/>
    <w:rsid w:val="00F179D4"/>
    <w:rsid w:val="00F20064"/>
    <w:rsid w:val="00F20D90"/>
    <w:rsid w:val="00F22A23"/>
    <w:rsid w:val="00F23EEF"/>
    <w:rsid w:val="00F24444"/>
    <w:rsid w:val="00F24BFA"/>
    <w:rsid w:val="00F2606C"/>
    <w:rsid w:val="00F26688"/>
    <w:rsid w:val="00F27C56"/>
    <w:rsid w:val="00F31F02"/>
    <w:rsid w:val="00F324C4"/>
    <w:rsid w:val="00F32F1D"/>
    <w:rsid w:val="00F33C56"/>
    <w:rsid w:val="00F347C7"/>
    <w:rsid w:val="00F34848"/>
    <w:rsid w:val="00F35BB8"/>
    <w:rsid w:val="00F35F4A"/>
    <w:rsid w:val="00F361D7"/>
    <w:rsid w:val="00F36903"/>
    <w:rsid w:val="00F41C4F"/>
    <w:rsid w:val="00F41D00"/>
    <w:rsid w:val="00F42D46"/>
    <w:rsid w:val="00F4496C"/>
    <w:rsid w:val="00F44F3A"/>
    <w:rsid w:val="00F46481"/>
    <w:rsid w:val="00F51F10"/>
    <w:rsid w:val="00F529A5"/>
    <w:rsid w:val="00F52D45"/>
    <w:rsid w:val="00F5310D"/>
    <w:rsid w:val="00F53F4F"/>
    <w:rsid w:val="00F544C2"/>
    <w:rsid w:val="00F55250"/>
    <w:rsid w:val="00F554C0"/>
    <w:rsid w:val="00F5552C"/>
    <w:rsid w:val="00F563D8"/>
    <w:rsid w:val="00F56B37"/>
    <w:rsid w:val="00F573DD"/>
    <w:rsid w:val="00F60F00"/>
    <w:rsid w:val="00F614C0"/>
    <w:rsid w:val="00F63478"/>
    <w:rsid w:val="00F63807"/>
    <w:rsid w:val="00F64160"/>
    <w:rsid w:val="00F66306"/>
    <w:rsid w:val="00F74590"/>
    <w:rsid w:val="00F763DF"/>
    <w:rsid w:val="00F767EE"/>
    <w:rsid w:val="00F815B4"/>
    <w:rsid w:val="00F82445"/>
    <w:rsid w:val="00F83848"/>
    <w:rsid w:val="00F84C0C"/>
    <w:rsid w:val="00F8668E"/>
    <w:rsid w:val="00F87F67"/>
    <w:rsid w:val="00F907DD"/>
    <w:rsid w:val="00F93993"/>
    <w:rsid w:val="00F96873"/>
    <w:rsid w:val="00F975E9"/>
    <w:rsid w:val="00FA065A"/>
    <w:rsid w:val="00FA1B7D"/>
    <w:rsid w:val="00FA5FF3"/>
    <w:rsid w:val="00FA7FE0"/>
    <w:rsid w:val="00FB25F5"/>
    <w:rsid w:val="00FB4776"/>
    <w:rsid w:val="00FB6F0C"/>
    <w:rsid w:val="00FB7656"/>
    <w:rsid w:val="00FC07B9"/>
    <w:rsid w:val="00FC1063"/>
    <w:rsid w:val="00FC433B"/>
    <w:rsid w:val="00FC4E21"/>
    <w:rsid w:val="00FC50C0"/>
    <w:rsid w:val="00FC5F6D"/>
    <w:rsid w:val="00FC63B5"/>
    <w:rsid w:val="00FC6740"/>
    <w:rsid w:val="00FD0107"/>
    <w:rsid w:val="00FD0178"/>
    <w:rsid w:val="00FD0420"/>
    <w:rsid w:val="00FD2C2F"/>
    <w:rsid w:val="00FD3B31"/>
    <w:rsid w:val="00FD3C8D"/>
    <w:rsid w:val="00FE1823"/>
    <w:rsid w:val="00FE487A"/>
    <w:rsid w:val="00FF0569"/>
    <w:rsid w:val="00FF07F8"/>
    <w:rsid w:val="00FF1AE5"/>
    <w:rsid w:val="00FF1F65"/>
    <w:rsid w:val="00FF206E"/>
    <w:rsid w:val="00FF31D8"/>
    <w:rsid w:val="00FF3C69"/>
    <w:rsid w:val="00FF6E0A"/>
  </w:rsids>
  <m:mathPr>
    <m:mathFont m:val="Cambria Math"/>
    <m:brkBin m:val="before"/>
    <m:brkBinSub m:val="--"/>
    <m:smallFrac/>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colormru v:ext="edit" colors="red,#4d4d4f"/>
    </o:shapedefaults>
    <o:shapelayout v:ext="edit">
      <o:idmap v:ext="edit" data="2"/>
    </o:shapelayout>
  </w:shapeDefaults>
  <w:decimalSymbol w:val="."/>
  <w:listSeparator w:val=","/>
  <w14:docId w14:val="6E67319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sz w:val="24"/>
        <w:szCs w:val="24"/>
        <w:lang w:val="en-AU" w:eastAsia="en-AU" w:bidi="ar-SA"/>
      </w:rPr>
    </w:rPrDefault>
    <w:pPrDefault/>
  </w:docDefaults>
  <w:latentStyles w:defLockedState="0" w:defUIPriority="0" w:defSemiHidden="0" w:defUnhideWhenUsed="0" w:defQFormat="0" w:count="376">
    <w:lsdException w:name="heading 1" w:qFormat="1"/>
    <w:lsdException w:name="heading 2" w:qFormat="1"/>
    <w:lsdException w:name="heading 3" w:qFormat="1"/>
    <w:lsdException w:name="index 1" w:semiHidden="1" w:unhideWhenUsed="1"/>
    <w:lsdException w:name="index 2" w:semiHidden="1"/>
    <w:lsdException w:name="index 3" w:semiHidden="1"/>
    <w:lsdException w:name="index 4" w:semiHidden="1"/>
    <w:lsdException w:name="index 5" w:semiHidden="1"/>
    <w:lsdException w:name="index 6" w:semiHidden="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iPriority="99" w:unhideWhenUsed="1"/>
    <w:lsdException w:name="header" w:semiHidden="1" w:unhideWhenUsed="1"/>
    <w:lsdException w:name="footer" w:semiHidden="1" w:unhideWhenUsed="1"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Number" w:semiHidden="1" w:unhideWhenUsed="1"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qFormat="1"/>
    <w:lsdException w:name="List Bullet 3" w:semiHidden="1" w:unhideWhenUsed="1"/>
    <w:lsdException w:name="List Bullet 4" w:semiHidden="1" w:unhideWhenUsed="1"/>
    <w:lsdException w:name="List Bullet 5" w:semiHidden="1" w:unhideWhenUsed="1"/>
    <w:lsdException w:name="List Number 2" w:qFormat="1"/>
    <w:lsdException w:name="List Number 3" w:semiHidden="1" w:unhideWhenUsed="1"/>
    <w:lsdException w:name="List Number 4" w:semiHidden="1" w:unhideWhenUsed="1"/>
    <w:lsdException w:name="List Number 5" w:semiHidden="1"/>
    <w:lsdException w:name="Title" w:semiHidden="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lsdException w:name="Block Text" w:semiHidden="1"/>
    <w:lsdException w:name="Hyperlink" w:uiPriority="99" w:qFormat="1"/>
    <w:lsdException w:name="Strong" w:semiHidden="1"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lsdException w:name="No Spacing" w:semiHidden="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List Paragraph" w:semiHidden="1"/>
    <w:lsdException w:name="Quote" w:semiHidden="1"/>
    <w:lsdException w:name="Intense Quote" w:semiHidden="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Subtle Emphasis" w:semiHidden="1"/>
    <w:lsdException w:name="Intense Emphasis" w:semiHidden="1"/>
    <w:lsdException w:name="Subtle Reference" w:semiHidden="1"/>
    <w:lsdException w:name="Intense Reference" w:semiHidden="1"/>
    <w:lsdException w:name="Book Title" w:semiHidden="1"/>
    <w:lsdException w:name="Bibliography" w:semiHidden="1" w:unhideWhenUsed="1"/>
    <w:lsdException w:name="TOC Heading" w:semiHidden="1" w:uiPriority="39" w:unhideWhenUsed="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semiHidden/>
    <w:qFormat/>
    <w:rsid w:val="00390D91"/>
    <w:pPr>
      <w:spacing w:after="240" w:line="240" w:lineRule="atLeast"/>
    </w:pPr>
    <w:rPr>
      <w:rFonts w:ascii="Arial" w:hAnsi="Arial"/>
      <w:sz w:val="20"/>
    </w:rPr>
  </w:style>
  <w:style w:type="paragraph" w:styleId="Heading1">
    <w:name w:val="heading 1"/>
    <w:basedOn w:val="Normal"/>
    <w:next w:val="Normal"/>
    <w:link w:val="Heading1Char"/>
    <w:uiPriority w:val="1"/>
    <w:qFormat/>
    <w:rsid w:val="00C55235"/>
    <w:pPr>
      <w:keepNext/>
      <w:pageBreakBefore/>
      <w:widowControl w:val="0"/>
      <w:spacing w:after="360" w:line="550" w:lineRule="exact"/>
      <w:outlineLvl w:val="0"/>
    </w:pPr>
    <w:rPr>
      <w:rFonts w:cs="Arial"/>
      <w:bCs/>
      <w:color w:val="323232"/>
      <w:kern w:val="32"/>
      <w:sz w:val="53"/>
      <w:szCs w:val="32"/>
    </w:rPr>
  </w:style>
  <w:style w:type="paragraph" w:styleId="Heading2">
    <w:name w:val="heading 2"/>
    <w:basedOn w:val="Normal"/>
    <w:next w:val="Paragraph"/>
    <w:link w:val="Heading2Char"/>
    <w:uiPriority w:val="1"/>
    <w:qFormat/>
    <w:rsid w:val="00C55235"/>
    <w:pPr>
      <w:keepNext/>
      <w:spacing w:before="320" w:after="60"/>
      <w:outlineLvl w:val="1"/>
    </w:pPr>
    <w:rPr>
      <w:rFonts w:cs="Arial"/>
      <w:b/>
      <w:bCs/>
      <w:iCs/>
      <w:sz w:val="28"/>
      <w:szCs w:val="28"/>
    </w:rPr>
  </w:style>
  <w:style w:type="paragraph" w:styleId="Heading3">
    <w:name w:val="heading 3"/>
    <w:basedOn w:val="Normal"/>
    <w:next w:val="Normal"/>
    <w:link w:val="Heading3Char"/>
    <w:uiPriority w:val="2"/>
    <w:qFormat/>
    <w:rsid w:val="00C55235"/>
    <w:pPr>
      <w:keepNext/>
      <w:spacing w:before="60" w:after="60"/>
      <w:outlineLvl w:val="2"/>
    </w:pPr>
    <w:rPr>
      <w:rFonts w:cs="Arial"/>
      <w:b/>
      <w:bCs/>
      <w:szCs w:val="26"/>
    </w:rPr>
  </w:style>
  <w:style w:type="paragraph" w:styleId="Heading4">
    <w:name w:val="heading 4"/>
    <w:basedOn w:val="BodySubHeader"/>
    <w:next w:val="Normal"/>
    <w:uiPriority w:val="3"/>
    <w:qFormat/>
    <w:rsid w:val="005B2F0D"/>
    <w:pPr>
      <w:outlineLvl w:val="3"/>
    </w:pPr>
    <w:rPr>
      <w:rFonts w:cs="Arial"/>
    </w:rPr>
  </w:style>
  <w:style w:type="paragraph" w:styleId="Heading5">
    <w:name w:val="heading 5"/>
    <w:basedOn w:val="Normal"/>
    <w:next w:val="Normal"/>
    <w:semiHidden/>
    <w:qFormat/>
    <w:rsid w:val="00AD5436"/>
    <w:pPr>
      <w:numPr>
        <w:ilvl w:val="4"/>
        <w:numId w:val="5"/>
      </w:numPr>
      <w:spacing w:before="240" w:after="60"/>
      <w:outlineLvl w:val="4"/>
    </w:pPr>
    <w:rPr>
      <w:b/>
      <w:bCs/>
      <w:i/>
      <w:iCs/>
      <w:sz w:val="26"/>
      <w:szCs w:val="26"/>
    </w:rPr>
  </w:style>
  <w:style w:type="paragraph" w:styleId="Heading6">
    <w:name w:val="heading 6"/>
    <w:basedOn w:val="Normal"/>
    <w:next w:val="Normal"/>
    <w:semiHidden/>
    <w:qFormat/>
    <w:rsid w:val="00AD5436"/>
    <w:pPr>
      <w:numPr>
        <w:ilvl w:val="5"/>
        <w:numId w:val="5"/>
      </w:numPr>
      <w:spacing w:before="240" w:after="60"/>
      <w:outlineLvl w:val="5"/>
    </w:pPr>
    <w:rPr>
      <w:rFonts w:ascii="Times New Roman" w:hAnsi="Times New Roman"/>
      <w:b/>
      <w:bCs/>
      <w:sz w:val="22"/>
      <w:szCs w:val="22"/>
    </w:rPr>
  </w:style>
  <w:style w:type="paragraph" w:styleId="Heading7">
    <w:name w:val="heading 7"/>
    <w:basedOn w:val="Normal"/>
    <w:next w:val="Normal"/>
    <w:semiHidden/>
    <w:qFormat/>
    <w:rsid w:val="00AD5436"/>
    <w:pPr>
      <w:numPr>
        <w:ilvl w:val="6"/>
        <w:numId w:val="5"/>
      </w:numPr>
      <w:spacing w:before="240" w:after="60"/>
      <w:outlineLvl w:val="6"/>
    </w:pPr>
    <w:rPr>
      <w:rFonts w:ascii="Times New Roman" w:hAnsi="Times New Roman"/>
      <w:sz w:val="24"/>
    </w:rPr>
  </w:style>
  <w:style w:type="paragraph" w:styleId="Heading8">
    <w:name w:val="heading 8"/>
    <w:basedOn w:val="Normal"/>
    <w:next w:val="Normal"/>
    <w:semiHidden/>
    <w:qFormat/>
    <w:rsid w:val="00AD5436"/>
    <w:pPr>
      <w:numPr>
        <w:ilvl w:val="7"/>
        <w:numId w:val="5"/>
      </w:numPr>
      <w:spacing w:before="240" w:after="60"/>
      <w:outlineLvl w:val="7"/>
    </w:pPr>
    <w:rPr>
      <w:rFonts w:ascii="Times New Roman" w:hAnsi="Times New Roman"/>
      <w:i/>
      <w:iCs/>
      <w:sz w:val="24"/>
    </w:rPr>
  </w:style>
  <w:style w:type="paragraph" w:styleId="Heading9">
    <w:name w:val="heading 9"/>
    <w:basedOn w:val="Normal"/>
    <w:next w:val="Normal"/>
    <w:semiHidden/>
    <w:qFormat/>
    <w:rsid w:val="00AD5436"/>
    <w:pPr>
      <w:numPr>
        <w:ilvl w:val="8"/>
        <w:numId w:val="5"/>
      </w:numPr>
      <w:spacing w:before="240" w:after="60"/>
      <w:outlineLvl w:val="8"/>
    </w:pPr>
    <w:rPr>
      <w:rFonts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semiHidden/>
    <w:rsid w:val="0070791C"/>
    <w:pPr>
      <w:tabs>
        <w:tab w:val="center" w:pos="4153"/>
        <w:tab w:val="right" w:pos="8306"/>
      </w:tabs>
      <w:spacing w:line="240" w:lineRule="auto"/>
    </w:pPr>
    <w:rPr>
      <w:sz w:val="16"/>
    </w:rPr>
  </w:style>
  <w:style w:type="paragraph" w:styleId="Footer">
    <w:name w:val="footer"/>
    <w:basedOn w:val="Normal"/>
    <w:link w:val="FooterChar"/>
    <w:semiHidden/>
    <w:qFormat/>
    <w:rsid w:val="0094078F"/>
    <w:pPr>
      <w:tabs>
        <w:tab w:val="right" w:pos="113"/>
      </w:tabs>
      <w:spacing w:line="240" w:lineRule="auto"/>
    </w:pPr>
    <w:rPr>
      <w:color w:val="323232"/>
      <w:sz w:val="16"/>
    </w:rPr>
  </w:style>
  <w:style w:type="character" w:customStyle="1" w:styleId="FooterChar">
    <w:name w:val="Footer Char"/>
    <w:basedOn w:val="DefaultParagraphFont"/>
    <w:link w:val="Footer"/>
    <w:semiHidden/>
    <w:rsid w:val="00EC2B68"/>
    <w:rPr>
      <w:rFonts w:ascii="Arial" w:hAnsi="Arial"/>
      <w:color w:val="323232"/>
      <w:sz w:val="16"/>
    </w:rPr>
  </w:style>
  <w:style w:type="paragraph" w:customStyle="1" w:styleId="Reporttitle">
    <w:name w:val="Report title"/>
    <w:basedOn w:val="Normal"/>
    <w:uiPriority w:val="19"/>
    <w:qFormat/>
    <w:rsid w:val="00A51D1A"/>
    <w:pPr>
      <w:spacing w:after="0" w:line="560" w:lineRule="exact"/>
    </w:pPr>
    <w:rPr>
      <w:b/>
      <w:spacing w:val="-28"/>
      <w:sz w:val="53"/>
    </w:rPr>
  </w:style>
  <w:style w:type="paragraph" w:customStyle="1" w:styleId="Reportsubtitle">
    <w:name w:val="Report subtitle"/>
    <w:basedOn w:val="Normal"/>
    <w:uiPriority w:val="20"/>
    <w:qFormat/>
    <w:rsid w:val="00950159"/>
    <w:pPr>
      <w:spacing w:after="200" w:line="560" w:lineRule="exact"/>
    </w:pPr>
    <w:rPr>
      <w:color w:val="323232"/>
      <w:spacing w:val="-28"/>
      <w:sz w:val="53"/>
    </w:rPr>
  </w:style>
  <w:style w:type="table" w:styleId="TableGrid">
    <w:name w:val="Table Grid"/>
    <w:basedOn w:val="TableNormal"/>
    <w:uiPriority w:val="59"/>
    <w:rsid w:val="00226819"/>
    <w:pPr>
      <w:spacing w:line="240" w:lineRule="atLeas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Reportdate">
    <w:name w:val="Report date"/>
    <w:basedOn w:val="Reportsubtitle"/>
    <w:uiPriority w:val="21"/>
    <w:qFormat/>
    <w:rsid w:val="00950159"/>
    <w:pPr>
      <w:spacing w:after="1200" w:line="240" w:lineRule="auto"/>
    </w:pPr>
    <w:rPr>
      <w:caps/>
      <w:spacing w:val="-10"/>
      <w:sz w:val="20"/>
    </w:rPr>
  </w:style>
  <w:style w:type="paragraph" w:customStyle="1" w:styleId="Tableheaderrow">
    <w:name w:val="Table header row"/>
    <w:basedOn w:val="Normal"/>
    <w:uiPriority w:val="14"/>
    <w:qFormat/>
    <w:rsid w:val="00774FDB"/>
    <w:pPr>
      <w:spacing w:after="0"/>
    </w:pPr>
    <w:rPr>
      <w:b/>
    </w:rPr>
  </w:style>
  <w:style w:type="paragraph" w:customStyle="1" w:styleId="PageNumber">
    <w:name w:val="PageNumber"/>
    <w:basedOn w:val="Normal"/>
    <w:semiHidden/>
    <w:rsid w:val="0070791C"/>
    <w:pPr>
      <w:spacing w:line="240" w:lineRule="auto"/>
    </w:pPr>
    <w:rPr>
      <w:sz w:val="16"/>
    </w:rPr>
  </w:style>
  <w:style w:type="paragraph" w:customStyle="1" w:styleId="Copyright">
    <w:name w:val="Copyright"/>
    <w:basedOn w:val="Normal"/>
    <w:semiHidden/>
    <w:rsid w:val="00454596"/>
    <w:pPr>
      <w:spacing w:line="160" w:lineRule="exact"/>
    </w:pPr>
    <w:rPr>
      <w:color w:val="4D4D4F"/>
      <w:sz w:val="13"/>
    </w:rPr>
  </w:style>
  <w:style w:type="paragraph" w:styleId="TOCHeading">
    <w:name w:val="TOC Heading"/>
    <w:basedOn w:val="Normal"/>
    <w:uiPriority w:val="39"/>
    <w:qFormat/>
    <w:rsid w:val="00950159"/>
    <w:pPr>
      <w:spacing w:before="1200" w:line="240" w:lineRule="auto"/>
    </w:pPr>
    <w:rPr>
      <w:b/>
      <w:color w:val="323232"/>
      <w:spacing w:val="-28"/>
      <w:sz w:val="53"/>
    </w:rPr>
  </w:style>
  <w:style w:type="paragraph" w:styleId="Caption">
    <w:name w:val="caption"/>
    <w:aliases w:val="Caption table"/>
    <w:basedOn w:val="Normal"/>
    <w:next w:val="Normal"/>
    <w:semiHidden/>
    <w:qFormat/>
    <w:rsid w:val="00E8152A"/>
    <w:pPr>
      <w:numPr>
        <w:numId w:val="9"/>
      </w:numPr>
      <w:spacing w:after="0"/>
    </w:pPr>
    <w:rPr>
      <w:b/>
      <w:bCs/>
      <w:color w:val="323232"/>
      <w:szCs w:val="20"/>
    </w:rPr>
  </w:style>
  <w:style w:type="paragraph" w:customStyle="1" w:styleId="BodySubHeader">
    <w:name w:val="BodySubHeader"/>
    <w:basedOn w:val="Normal"/>
    <w:next w:val="Normal"/>
    <w:semiHidden/>
    <w:rsid w:val="00146CE6"/>
    <w:pPr>
      <w:spacing w:before="240" w:after="0"/>
    </w:pPr>
    <w:rPr>
      <w:b/>
      <w:i/>
    </w:rPr>
  </w:style>
  <w:style w:type="paragraph" w:styleId="ListBullet">
    <w:name w:val="List Bullet"/>
    <w:basedOn w:val="Normal"/>
    <w:semiHidden/>
    <w:qFormat/>
    <w:rsid w:val="001C6AEE"/>
    <w:pPr>
      <w:numPr>
        <w:numId w:val="1"/>
      </w:numPr>
      <w:spacing w:after="80"/>
    </w:pPr>
  </w:style>
  <w:style w:type="paragraph" w:styleId="ListBullet2">
    <w:name w:val="List Bullet 2"/>
    <w:basedOn w:val="Normal"/>
    <w:semiHidden/>
    <w:qFormat/>
    <w:rsid w:val="001C6AEE"/>
    <w:pPr>
      <w:numPr>
        <w:numId w:val="2"/>
      </w:numPr>
      <w:spacing w:after="80"/>
    </w:pPr>
  </w:style>
  <w:style w:type="paragraph" w:styleId="ListNumber">
    <w:name w:val="List Number"/>
    <w:basedOn w:val="Normal"/>
    <w:semiHidden/>
    <w:qFormat/>
    <w:rsid w:val="00C24A53"/>
    <w:pPr>
      <w:numPr>
        <w:numId w:val="3"/>
      </w:numPr>
      <w:spacing w:after="80"/>
    </w:pPr>
  </w:style>
  <w:style w:type="paragraph" w:styleId="ListNumber2">
    <w:name w:val="List Number 2"/>
    <w:basedOn w:val="Normal"/>
    <w:semiHidden/>
    <w:qFormat/>
    <w:rsid w:val="004A70D6"/>
    <w:pPr>
      <w:numPr>
        <w:numId w:val="4"/>
      </w:numPr>
      <w:spacing w:after="80"/>
      <w:ind w:left="828" w:hanging="357"/>
    </w:pPr>
  </w:style>
  <w:style w:type="paragraph" w:customStyle="1" w:styleId="URLEmail">
    <w:name w:val="URL/Email"/>
    <w:basedOn w:val="Normal"/>
    <w:semiHidden/>
    <w:rsid w:val="00302480"/>
    <w:rPr>
      <w:color w:val="4D4D4F"/>
      <w:spacing w:val="4"/>
    </w:rPr>
  </w:style>
  <w:style w:type="paragraph" w:customStyle="1" w:styleId="Execsummaryheading">
    <w:name w:val="Exec summary heading"/>
    <w:basedOn w:val="Normal"/>
    <w:uiPriority w:val="22"/>
    <w:qFormat/>
    <w:rsid w:val="006B52DE"/>
    <w:pPr>
      <w:pageBreakBefore/>
      <w:spacing w:after="1440" w:line="550" w:lineRule="exact"/>
    </w:pPr>
    <w:rPr>
      <w:b/>
      <w:color w:val="323232"/>
      <w:spacing w:val="-18"/>
      <w:sz w:val="53"/>
    </w:rPr>
  </w:style>
  <w:style w:type="character" w:styleId="PageNumber0">
    <w:name w:val="page number"/>
    <w:basedOn w:val="DefaultParagraphFont"/>
    <w:semiHidden/>
    <w:rsid w:val="00542377"/>
  </w:style>
  <w:style w:type="paragraph" w:styleId="ListContinue5">
    <w:name w:val="List Continue 5"/>
    <w:basedOn w:val="Normal"/>
    <w:semiHidden/>
    <w:rsid w:val="00EC2B68"/>
    <w:pPr>
      <w:spacing w:after="120"/>
      <w:ind w:left="1415"/>
      <w:contextualSpacing/>
    </w:pPr>
  </w:style>
  <w:style w:type="paragraph" w:customStyle="1" w:styleId="Paragraphbeforelist">
    <w:name w:val="Paragraph before list"/>
    <w:basedOn w:val="Paragraph"/>
    <w:uiPriority w:val="4"/>
    <w:qFormat/>
    <w:rsid w:val="00C87E8A"/>
    <w:pPr>
      <w:spacing w:after="80"/>
    </w:pPr>
  </w:style>
  <w:style w:type="paragraph" w:styleId="TOC1">
    <w:name w:val="toc 1"/>
    <w:basedOn w:val="Normal"/>
    <w:next w:val="Normal"/>
    <w:uiPriority w:val="39"/>
    <w:qFormat/>
    <w:rsid w:val="007A6CC0"/>
    <w:pPr>
      <w:tabs>
        <w:tab w:val="right" w:pos="7660"/>
      </w:tabs>
      <w:spacing w:before="280" w:after="80" w:line="320" w:lineRule="exact"/>
      <w:ind w:right="851"/>
    </w:pPr>
    <w:rPr>
      <w:b/>
      <w:noProof/>
      <w:spacing w:val="-14"/>
      <w:sz w:val="28"/>
    </w:rPr>
  </w:style>
  <w:style w:type="paragraph" w:styleId="TOC2">
    <w:name w:val="toc 2"/>
    <w:basedOn w:val="Normal"/>
    <w:next w:val="Normal"/>
    <w:uiPriority w:val="39"/>
    <w:qFormat/>
    <w:rsid w:val="007A6CC0"/>
    <w:pPr>
      <w:tabs>
        <w:tab w:val="right" w:pos="7660"/>
      </w:tabs>
      <w:spacing w:after="80" w:line="300" w:lineRule="exact"/>
      <w:ind w:left="885" w:hanging="885"/>
    </w:pPr>
    <w:rPr>
      <w:noProof/>
      <w:spacing w:val="-14"/>
      <w:sz w:val="26"/>
      <w:szCs w:val="26"/>
    </w:rPr>
  </w:style>
  <w:style w:type="paragraph" w:styleId="TableofFigures">
    <w:name w:val="table of figures"/>
    <w:basedOn w:val="Normal"/>
    <w:next w:val="Normal"/>
    <w:semiHidden/>
    <w:rsid w:val="00AD3082"/>
    <w:pPr>
      <w:tabs>
        <w:tab w:val="right" w:pos="7615"/>
      </w:tabs>
      <w:spacing w:line="320" w:lineRule="exact"/>
    </w:pPr>
    <w:rPr>
      <w:noProof/>
      <w:color w:val="808285"/>
      <w:sz w:val="28"/>
    </w:rPr>
  </w:style>
  <w:style w:type="paragraph" w:styleId="TOC3">
    <w:name w:val="toc 3"/>
    <w:basedOn w:val="Normal"/>
    <w:next w:val="Normal"/>
    <w:uiPriority w:val="39"/>
    <w:qFormat/>
    <w:rsid w:val="007A6CC0"/>
    <w:pPr>
      <w:tabs>
        <w:tab w:val="right" w:pos="7661"/>
      </w:tabs>
      <w:spacing w:after="80" w:line="240" w:lineRule="auto"/>
    </w:pPr>
    <w:rPr>
      <w:noProof/>
      <w:sz w:val="22"/>
      <w:szCs w:val="22"/>
    </w:rPr>
  </w:style>
  <w:style w:type="character" w:styleId="Hyperlink">
    <w:name w:val="Hyperlink"/>
    <w:basedOn w:val="DefaultParagraphFont"/>
    <w:uiPriority w:val="99"/>
    <w:qFormat/>
    <w:rsid w:val="00C35CCE"/>
    <w:rPr>
      <w:color w:val="0000FF"/>
      <w:u w:val="single" w:color="0000FF"/>
    </w:rPr>
  </w:style>
  <w:style w:type="character" w:styleId="FootnoteReference">
    <w:name w:val="footnote reference"/>
    <w:aliases w:val="Appel note de bas de p,Appel note de bas de p + 11 pt,Italic,Footnote,Style 12,(NECG) Footnote Reference,Style 124,o,fr,Style 3,Appel note de bas de p1,Appel note de bas de p2,Appel note de bas de p3,Footnote Reference/,Style 13,FR"/>
    <w:basedOn w:val="DefaultParagraphFont"/>
    <w:uiPriority w:val="99"/>
    <w:rsid w:val="00566AB4"/>
    <w:rPr>
      <w:rFonts w:ascii="Arial" w:hAnsi="Arial"/>
      <w:vertAlign w:val="superscript"/>
    </w:rPr>
  </w:style>
  <w:style w:type="paragraph" w:styleId="FootnoteText">
    <w:name w:val="footnote text"/>
    <w:aliases w:val="Footnote text,ACMA Footnote Text,footnote text,Footnote Text Char1,Footnote Text Char Char,Footnote Text Char1 Char Char,Footnote Text Char Char Char Char,Footnote Text Char1 Char Char Char Char,Footnote Text Char Char Char Char Char Char"/>
    <w:basedOn w:val="Normal"/>
    <w:link w:val="FootnoteTextChar"/>
    <w:rsid w:val="00C24466"/>
    <w:pPr>
      <w:spacing w:after="0" w:line="200" w:lineRule="atLeast"/>
    </w:pPr>
    <w:rPr>
      <w:sz w:val="16"/>
      <w:szCs w:val="16"/>
    </w:rPr>
  </w:style>
  <w:style w:type="paragraph" w:customStyle="1" w:styleId="TableBody">
    <w:name w:val="Table Body"/>
    <w:basedOn w:val="Normal"/>
    <w:uiPriority w:val="15"/>
    <w:qFormat/>
    <w:rsid w:val="00774FDB"/>
    <w:pPr>
      <w:spacing w:after="0" w:line="240" w:lineRule="auto"/>
    </w:pPr>
  </w:style>
  <w:style w:type="character" w:styleId="CommentReference">
    <w:name w:val="annotation reference"/>
    <w:basedOn w:val="DefaultParagraphFont"/>
    <w:uiPriority w:val="99"/>
    <w:semiHidden/>
    <w:rsid w:val="00EE7F79"/>
    <w:rPr>
      <w:sz w:val="16"/>
      <w:szCs w:val="16"/>
    </w:rPr>
  </w:style>
  <w:style w:type="paragraph" w:styleId="CommentText">
    <w:name w:val="annotation text"/>
    <w:basedOn w:val="Normal"/>
    <w:link w:val="CommentTextChar"/>
    <w:uiPriority w:val="99"/>
    <w:semiHidden/>
    <w:rsid w:val="00EE7F79"/>
    <w:pPr>
      <w:spacing w:line="240" w:lineRule="auto"/>
    </w:pPr>
    <w:rPr>
      <w:szCs w:val="20"/>
    </w:rPr>
  </w:style>
  <w:style w:type="character" w:customStyle="1" w:styleId="CommentTextChar">
    <w:name w:val="Comment Text Char"/>
    <w:basedOn w:val="DefaultParagraphFont"/>
    <w:link w:val="CommentText"/>
    <w:uiPriority w:val="99"/>
    <w:semiHidden/>
    <w:rsid w:val="00EE7F79"/>
    <w:rPr>
      <w:rFonts w:ascii="Arial" w:hAnsi="Arial"/>
    </w:rPr>
  </w:style>
  <w:style w:type="paragraph" w:styleId="CommentSubject">
    <w:name w:val="annotation subject"/>
    <w:basedOn w:val="CommentText"/>
    <w:next w:val="CommentText"/>
    <w:link w:val="CommentSubjectChar"/>
    <w:semiHidden/>
    <w:rsid w:val="00EE7F79"/>
    <w:rPr>
      <w:b/>
      <w:bCs/>
    </w:rPr>
  </w:style>
  <w:style w:type="character" w:customStyle="1" w:styleId="CommentSubjectChar">
    <w:name w:val="Comment Subject Char"/>
    <w:basedOn w:val="CommentTextChar"/>
    <w:link w:val="CommentSubject"/>
    <w:semiHidden/>
    <w:rsid w:val="00EE7F79"/>
    <w:rPr>
      <w:rFonts w:ascii="Arial" w:hAnsi="Arial"/>
      <w:b/>
      <w:bCs/>
    </w:rPr>
  </w:style>
  <w:style w:type="character" w:styleId="FollowedHyperlink">
    <w:name w:val="FollowedHyperlink"/>
    <w:basedOn w:val="DefaultParagraphFont"/>
    <w:semiHidden/>
    <w:rsid w:val="00F60F00"/>
    <w:rPr>
      <w:color w:val="800080" w:themeColor="followedHyperlink"/>
      <w:u w:val="single"/>
    </w:rPr>
  </w:style>
  <w:style w:type="character" w:styleId="PlaceholderText">
    <w:name w:val="Placeholder Text"/>
    <w:basedOn w:val="DefaultParagraphFont"/>
    <w:uiPriority w:val="99"/>
    <w:semiHidden/>
    <w:rsid w:val="00C97736"/>
    <w:rPr>
      <w:color w:val="808080"/>
    </w:rPr>
  </w:style>
  <w:style w:type="paragraph" w:customStyle="1" w:styleId="ACMAInstructions">
    <w:name w:val="ACMA_Instructions"/>
    <w:basedOn w:val="Normal"/>
    <w:semiHidden/>
    <w:unhideWhenUsed/>
    <w:qFormat/>
    <w:rsid w:val="00BF610C"/>
    <w:pPr>
      <w:spacing w:after="200"/>
    </w:pPr>
    <w:rPr>
      <w:rFonts w:cs="Arial"/>
      <w:b/>
      <w:vanish/>
      <w:sz w:val="24"/>
    </w:rPr>
  </w:style>
  <w:style w:type="paragraph" w:customStyle="1" w:styleId="CorporateAddresses">
    <w:name w:val="Corporate Addresses"/>
    <w:basedOn w:val="Normal"/>
    <w:semiHidden/>
    <w:rsid w:val="0005011A"/>
    <w:pPr>
      <w:spacing w:line="140" w:lineRule="exact"/>
    </w:pPr>
    <w:rPr>
      <w:color w:val="4D4D4F"/>
      <w:sz w:val="13"/>
    </w:rPr>
  </w:style>
  <w:style w:type="paragraph" w:customStyle="1" w:styleId="Bulletlevel1">
    <w:name w:val="Bullet level 1"/>
    <w:basedOn w:val="ListBullet"/>
    <w:uiPriority w:val="5"/>
    <w:qFormat/>
    <w:rsid w:val="00A824E8"/>
    <w:rPr>
      <w:rFonts w:cs="Arial"/>
    </w:rPr>
  </w:style>
  <w:style w:type="paragraph" w:customStyle="1" w:styleId="ACMACorporateAddressHeader">
    <w:name w:val="ACMA_CorporateAddressHeader"/>
    <w:basedOn w:val="Normal"/>
    <w:next w:val="ACMACorporateAddresses"/>
    <w:semiHidden/>
    <w:unhideWhenUsed/>
    <w:qFormat/>
    <w:rsid w:val="00FC07B9"/>
    <w:pPr>
      <w:tabs>
        <w:tab w:val="left" w:pos="142"/>
      </w:tabs>
      <w:spacing w:before="240" w:after="0" w:line="140" w:lineRule="exact"/>
    </w:pPr>
    <w:rPr>
      <w:b/>
      <w:sz w:val="13"/>
    </w:rPr>
  </w:style>
  <w:style w:type="paragraph" w:customStyle="1" w:styleId="ACMACorporateAddresses">
    <w:name w:val="ACMA_CorporateAddresses"/>
    <w:basedOn w:val="ACMACorporateAddressHeader"/>
    <w:semiHidden/>
    <w:unhideWhenUsed/>
    <w:qFormat/>
    <w:rsid w:val="00FC07B9"/>
    <w:pPr>
      <w:spacing w:before="0" w:after="120"/>
    </w:pPr>
    <w:rPr>
      <w:b w:val="0"/>
    </w:rPr>
  </w:style>
  <w:style w:type="paragraph" w:customStyle="1" w:styleId="ACMACopyrightHeader">
    <w:name w:val="ACMA_CopyrightHeader"/>
    <w:basedOn w:val="ACMACorporateAddressHeader"/>
    <w:semiHidden/>
    <w:unhideWhenUsed/>
    <w:qFormat/>
    <w:rsid w:val="00950159"/>
    <w:pPr>
      <w:spacing w:before="3000"/>
    </w:pPr>
  </w:style>
  <w:style w:type="paragraph" w:customStyle="1" w:styleId="ACMACClogo">
    <w:name w:val="ACMA_CClogo"/>
    <w:semiHidden/>
    <w:unhideWhenUsed/>
    <w:qFormat/>
    <w:rsid w:val="00623FF9"/>
    <w:pPr>
      <w:spacing w:before="160" w:after="120"/>
    </w:pPr>
    <w:rPr>
      <w:rFonts w:ascii="Arial" w:hAnsi="Arial"/>
      <w:b/>
      <w:sz w:val="13"/>
    </w:rPr>
  </w:style>
  <w:style w:type="paragraph" w:customStyle="1" w:styleId="ListBulletLast">
    <w:name w:val="List Bullet Last"/>
    <w:basedOn w:val="ListBullet"/>
    <w:semiHidden/>
    <w:qFormat/>
    <w:rsid w:val="00146CE6"/>
    <w:pPr>
      <w:spacing w:after="240"/>
    </w:pPr>
    <w:rPr>
      <w:rFonts w:cs="Arial"/>
    </w:rPr>
  </w:style>
  <w:style w:type="paragraph" w:customStyle="1" w:styleId="ListNumberLast">
    <w:name w:val="List Number Last"/>
    <w:basedOn w:val="ListNumber"/>
    <w:semiHidden/>
    <w:qFormat/>
    <w:rsid w:val="00C16198"/>
    <w:pPr>
      <w:spacing w:after="240"/>
      <w:ind w:left="357" w:hanging="357"/>
    </w:pPr>
    <w:rPr>
      <w:rFonts w:cs="Arial"/>
    </w:rPr>
  </w:style>
  <w:style w:type="paragraph" w:customStyle="1" w:styleId="ACMATableHeader">
    <w:name w:val="ACMA_TableHeader"/>
    <w:semiHidden/>
    <w:qFormat/>
    <w:rsid w:val="003F10EE"/>
    <w:pPr>
      <w:numPr>
        <w:numId w:val="7"/>
      </w:numPr>
      <w:spacing w:after="160"/>
    </w:pPr>
    <w:rPr>
      <w:rFonts w:ascii="Arial" w:hAnsi="Arial"/>
      <w:b/>
      <w:bCs/>
      <w:color w:val="323232"/>
      <w:sz w:val="20"/>
      <w:szCs w:val="20"/>
    </w:rPr>
  </w:style>
  <w:style w:type="paragraph" w:customStyle="1" w:styleId="ACMANotes">
    <w:name w:val="ACMA_Notes"/>
    <w:semiHidden/>
    <w:rsid w:val="00FF206E"/>
    <w:pPr>
      <w:spacing w:before="80"/>
    </w:pPr>
    <w:rPr>
      <w:rFonts w:ascii="Arial" w:hAnsi="Arial" w:cs="Arial"/>
      <w:i/>
      <w:sz w:val="16"/>
    </w:rPr>
  </w:style>
  <w:style w:type="paragraph" w:customStyle="1" w:styleId="Numberlistlevel1">
    <w:name w:val="Number list level 1"/>
    <w:basedOn w:val="ListNumber"/>
    <w:uiPriority w:val="9"/>
    <w:qFormat/>
    <w:rsid w:val="004A70D6"/>
  </w:style>
  <w:style w:type="character" w:styleId="Emphasis">
    <w:name w:val="Emphasis"/>
    <w:basedOn w:val="DefaultParagraphFont"/>
    <w:semiHidden/>
    <w:qFormat/>
    <w:rsid w:val="006D576C"/>
    <w:rPr>
      <w:i/>
      <w:iCs/>
    </w:rPr>
  </w:style>
  <w:style w:type="paragraph" w:customStyle="1" w:styleId="ListNumber2Last">
    <w:name w:val="List Number 2 Last"/>
    <w:basedOn w:val="ListNumber2"/>
    <w:semiHidden/>
    <w:qFormat/>
    <w:rsid w:val="00E35707"/>
    <w:pPr>
      <w:spacing w:after="240"/>
      <w:ind w:left="907"/>
    </w:pPr>
    <w:rPr>
      <w:rFonts w:cs="Arial"/>
    </w:rPr>
  </w:style>
  <w:style w:type="paragraph" w:customStyle="1" w:styleId="Spaceaftertable">
    <w:name w:val="Space after table"/>
    <w:basedOn w:val="Normal"/>
    <w:uiPriority w:val="99"/>
    <w:qFormat/>
    <w:rsid w:val="00C2083D"/>
    <w:rPr>
      <w:rFonts w:cs="Arial"/>
    </w:rPr>
  </w:style>
  <w:style w:type="paragraph" w:customStyle="1" w:styleId="FooterLeft">
    <w:name w:val="Footer Left"/>
    <w:basedOn w:val="Footer"/>
    <w:semiHidden/>
    <w:qFormat/>
    <w:rsid w:val="00950159"/>
    <w:pPr>
      <w:framePr w:w="1440" w:h="357" w:hRule="exact" w:vSpace="425" w:wrap="around" w:vAnchor="page" w:hAnchor="page" w:x="935" w:y="15871"/>
      <w:pBdr>
        <w:top w:val="single" w:sz="4" w:space="1" w:color="auto"/>
      </w:pBdr>
    </w:pPr>
    <w:rPr>
      <w:rFonts w:cs="Arial"/>
    </w:rPr>
  </w:style>
  <w:style w:type="paragraph" w:customStyle="1" w:styleId="ACMAFigureHeader">
    <w:name w:val="ACMA_FigureHeader"/>
    <w:semiHidden/>
    <w:qFormat/>
    <w:rsid w:val="003F10EE"/>
    <w:pPr>
      <w:numPr>
        <w:numId w:val="6"/>
      </w:numPr>
      <w:spacing w:after="160"/>
    </w:pPr>
    <w:rPr>
      <w:rFonts w:ascii="Arial" w:hAnsi="Arial"/>
      <w:b/>
      <w:bCs/>
      <w:color w:val="323232"/>
      <w:sz w:val="20"/>
      <w:szCs w:val="20"/>
    </w:rPr>
  </w:style>
  <w:style w:type="paragraph" w:customStyle="1" w:styleId="Captionfigure">
    <w:name w:val="Caption figure"/>
    <w:basedOn w:val="Caption"/>
    <w:semiHidden/>
    <w:qFormat/>
    <w:rsid w:val="00E8152A"/>
    <w:pPr>
      <w:keepNext/>
      <w:numPr>
        <w:numId w:val="8"/>
      </w:numPr>
    </w:pPr>
    <w:rPr>
      <w:rFonts w:cs="Arial"/>
    </w:rPr>
  </w:style>
  <w:style w:type="paragraph" w:customStyle="1" w:styleId="GridTable31">
    <w:name w:val="Grid Table 31"/>
    <w:basedOn w:val="Normal"/>
    <w:semiHidden/>
    <w:qFormat/>
    <w:rsid w:val="00971914"/>
    <w:pPr>
      <w:spacing w:after="0" w:line="240" w:lineRule="auto"/>
    </w:pPr>
    <w:rPr>
      <w:b/>
      <w:color w:val="4D4D4F"/>
      <w:spacing w:val="-28"/>
      <w:sz w:val="53"/>
    </w:rPr>
  </w:style>
  <w:style w:type="character" w:customStyle="1" w:styleId="HeaderChar">
    <w:name w:val="Header Char"/>
    <w:link w:val="Header"/>
    <w:semiHidden/>
    <w:rsid w:val="00971914"/>
    <w:rPr>
      <w:rFonts w:ascii="Arial" w:hAnsi="Arial"/>
      <w:sz w:val="16"/>
    </w:rPr>
  </w:style>
  <w:style w:type="character" w:customStyle="1" w:styleId="Heading1Char">
    <w:name w:val="Heading 1 Char"/>
    <w:basedOn w:val="DefaultParagraphFont"/>
    <w:link w:val="Heading1"/>
    <w:uiPriority w:val="1"/>
    <w:rsid w:val="00F5310D"/>
    <w:rPr>
      <w:rFonts w:ascii="Arial" w:hAnsi="Arial" w:cs="Arial"/>
      <w:bCs/>
      <w:color w:val="323232"/>
      <w:kern w:val="32"/>
      <w:sz w:val="53"/>
      <w:szCs w:val="32"/>
    </w:rPr>
  </w:style>
  <w:style w:type="character" w:customStyle="1" w:styleId="Heading2Char">
    <w:name w:val="Heading 2 Char"/>
    <w:basedOn w:val="DefaultParagraphFont"/>
    <w:link w:val="Heading2"/>
    <w:uiPriority w:val="1"/>
    <w:rsid w:val="00800CCD"/>
    <w:rPr>
      <w:rFonts w:ascii="Arial" w:hAnsi="Arial" w:cs="Arial"/>
      <w:b/>
      <w:bCs/>
      <w:iCs/>
      <w:sz w:val="28"/>
      <w:szCs w:val="28"/>
    </w:rPr>
  </w:style>
  <w:style w:type="character" w:styleId="UnresolvedMention">
    <w:name w:val="Unresolved Mention"/>
    <w:basedOn w:val="DefaultParagraphFont"/>
    <w:uiPriority w:val="99"/>
    <w:semiHidden/>
    <w:unhideWhenUsed/>
    <w:rsid w:val="006B52DE"/>
    <w:rPr>
      <w:color w:val="605E5C"/>
      <w:shd w:val="clear" w:color="auto" w:fill="E1DFDD"/>
    </w:rPr>
  </w:style>
  <w:style w:type="character" w:customStyle="1" w:styleId="Heading3Char">
    <w:name w:val="Heading 3 Char"/>
    <w:basedOn w:val="DefaultParagraphFont"/>
    <w:link w:val="Heading3"/>
    <w:uiPriority w:val="2"/>
    <w:rsid w:val="00390D91"/>
    <w:rPr>
      <w:rFonts w:ascii="Arial" w:hAnsi="Arial" w:cs="Arial"/>
      <w:b/>
      <w:bCs/>
      <w:sz w:val="20"/>
      <w:szCs w:val="26"/>
    </w:rPr>
  </w:style>
  <w:style w:type="paragraph" w:customStyle="1" w:styleId="Paragraph">
    <w:name w:val="Paragraph"/>
    <w:basedOn w:val="Normal"/>
    <w:qFormat/>
    <w:rsid w:val="00A824E8"/>
    <w:rPr>
      <w:rFonts w:cs="Arial"/>
    </w:rPr>
  </w:style>
  <w:style w:type="paragraph" w:customStyle="1" w:styleId="Bulletlevel2">
    <w:name w:val="Bullet level 2"/>
    <w:basedOn w:val="ListBullet2"/>
    <w:uiPriority w:val="7"/>
    <w:qFormat/>
    <w:rsid w:val="00D43B47"/>
    <w:pPr>
      <w:ind w:left="590" w:hanging="295"/>
    </w:pPr>
    <w:rPr>
      <w:rFonts w:cs="Arial"/>
    </w:rPr>
  </w:style>
  <w:style w:type="paragraph" w:customStyle="1" w:styleId="Bulletlevel1last">
    <w:name w:val="Bullet level 1 last"/>
    <w:basedOn w:val="ListBulletLast"/>
    <w:uiPriority w:val="6"/>
    <w:qFormat/>
    <w:rsid w:val="00A824E8"/>
  </w:style>
  <w:style w:type="paragraph" w:customStyle="1" w:styleId="Numberlistlevel2">
    <w:name w:val="Number list level 2"/>
    <w:basedOn w:val="ListNumber2"/>
    <w:uiPriority w:val="11"/>
    <w:qFormat/>
    <w:rsid w:val="00801FEB"/>
    <w:pPr>
      <w:ind w:left="766" w:hanging="295"/>
    </w:pPr>
  </w:style>
  <w:style w:type="paragraph" w:customStyle="1" w:styleId="Numberlistlast">
    <w:name w:val="Number list last"/>
    <w:basedOn w:val="ListNumberLast"/>
    <w:uiPriority w:val="10"/>
    <w:qFormat/>
    <w:rsid w:val="004A70D6"/>
  </w:style>
  <w:style w:type="paragraph" w:customStyle="1" w:styleId="Numberlistlevel2last">
    <w:name w:val="Number list level 2 last"/>
    <w:basedOn w:val="Numberlistlevel2"/>
    <w:uiPriority w:val="12"/>
    <w:qFormat/>
    <w:rsid w:val="004A70D6"/>
    <w:pPr>
      <w:spacing w:after="240"/>
    </w:pPr>
  </w:style>
  <w:style w:type="paragraph" w:customStyle="1" w:styleId="Bulletlevel2last">
    <w:name w:val="Bullet level 2 last"/>
    <w:basedOn w:val="Bulletlevel2"/>
    <w:uiPriority w:val="8"/>
    <w:qFormat/>
    <w:rsid w:val="004A70D6"/>
    <w:pPr>
      <w:spacing w:after="240"/>
    </w:pPr>
  </w:style>
  <w:style w:type="table" w:customStyle="1" w:styleId="ACMAtablestyle">
    <w:name w:val="ACMA table style"/>
    <w:basedOn w:val="TableNormal"/>
    <w:uiPriority w:val="99"/>
    <w:rsid w:val="003803BD"/>
    <w:rPr>
      <w:rFonts w:ascii="Arial" w:hAnsi="Arial"/>
      <w:sz w:val="20"/>
    </w:rPr>
    <w:tblPr>
      <w:tblStyleRow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85" w:type="dxa"/>
        <w:left w:w="57" w:type="dxa"/>
        <w:bottom w:w="85" w:type="dxa"/>
        <w:right w:w="57" w:type="dxa"/>
      </w:tblCellMar>
    </w:tblPr>
    <w:tblStylePr w:type="firstRow">
      <w:rPr>
        <w:rFonts w:ascii="Arial" w:hAnsi="Arial"/>
        <w:b w:val="0"/>
        <w:color w:val="FFFFFF" w:themeColor="background1"/>
        <w:sz w:val="20"/>
      </w:rPr>
      <w:tblPr/>
      <w:trPr>
        <w:tblHeader/>
      </w:trPr>
      <w:tcPr>
        <w:tcBorders>
          <w:top w:val="single" w:sz="4" w:space="0" w:color="auto"/>
          <w:left w:val="single" w:sz="4" w:space="0" w:color="auto"/>
          <w:bottom w:val="single" w:sz="4" w:space="0" w:color="auto"/>
          <w:right w:val="single" w:sz="4" w:space="0" w:color="auto"/>
          <w:insideH w:val="nil"/>
          <w:insideV w:val="nil"/>
        </w:tcBorders>
        <w:shd w:val="clear" w:color="auto" w:fill="404040" w:themeFill="text1" w:themeFillTint="BF"/>
      </w:tcPr>
    </w:tblStylePr>
    <w:tblStylePr w:type="band1Horz">
      <w:rPr>
        <w:rFonts w:ascii="Arial" w:hAnsi="Arial"/>
        <w:sz w:val="20"/>
      </w:rPr>
    </w:tblStylePr>
    <w:tblStylePr w:type="band2Horz">
      <w:rPr>
        <w:rFonts w:ascii="Arial" w:hAnsi="Arial"/>
        <w:sz w:val="20"/>
      </w:rPr>
      <w:tblPr/>
      <w:tcPr>
        <w:shd w:val="clear" w:color="auto" w:fill="F2F2F2" w:themeFill="background1" w:themeFillShade="F2"/>
      </w:tcPr>
    </w:tblStylePr>
  </w:style>
  <w:style w:type="paragraph" w:customStyle="1" w:styleId="Tableheading">
    <w:name w:val="Table heading"/>
    <w:basedOn w:val="ACMATableHeader"/>
    <w:next w:val="Paragraph"/>
    <w:uiPriority w:val="13"/>
    <w:qFormat/>
    <w:rsid w:val="0063346D"/>
    <w:pPr>
      <w:keepNext/>
      <w:spacing w:line="240" w:lineRule="atLeast"/>
    </w:pPr>
  </w:style>
  <w:style w:type="paragraph" w:customStyle="1" w:styleId="Tableorfigurenote">
    <w:name w:val="Table or figure note"/>
    <w:basedOn w:val="ACMANotes"/>
    <w:uiPriority w:val="17"/>
    <w:qFormat/>
    <w:rsid w:val="00930510"/>
    <w:pPr>
      <w:spacing w:after="240"/>
    </w:pPr>
  </w:style>
  <w:style w:type="paragraph" w:customStyle="1" w:styleId="Figureheading">
    <w:name w:val="Figure heading"/>
    <w:basedOn w:val="ACMAFigureHeader"/>
    <w:next w:val="Paragraph"/>
    <w:uiPriority w:val="16"/>
    <w:qFormat/>
    <w:rsid w:val="0063346D"/>
    <w:pPr>
      <w:keepNext/>
      <w:spacing w:line="240" w:lineRule="atLeast"/>
    </w:pPr>
  </w:style>
  <w:style w:type="paragraph" w:customStyle="1" w:styleId="Tableorfigurenotemultiple">
    <w:name w:val="Table or figure note multiple"/>
    <w:basedOn w:val="Tableorfigurenote"/>
    <w:uiPriority w:val="18"/>
    <w:qFormat/>
    <w:rsid w:val="00930510"/>
    <w:pPr>
      <w:spacing w:after="80"/>
    </w:pPr>
  </w:style>
  <w:style w:type="paragraph" w:styleId="BalloonText">
    <w:name w:val="Balloon Text"/>
    <w:basedOn w:val="Normal"/>
    <w:link w:val="BalloonTextChar"/>
    <w:semiHidden/>
    <w:unhideWhenUsed/>
    <w:rsid w:val="003933E8"/>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semiHidden/>
    <w:rsid w:val="003933E8"/>
    <w:rPr>
      <w:rFonts w:ascii="Segoe UI" w:hAnsi="Segoe UI" w:cs="Segoe UI"/>
      <w:sz w:val="18"/>
      <w:szCs w:val="18"/>
    </w:rPr>
  </w:style>
  <w:style w:type="paragraph" w:customStyle="1" w:styleId="Note">
    <w:name w:val="Note"/>
    <w:basedOn w:val="ACMANotes"/>
    <w:uiPriority w:val="23"/>
    <w:semiHidden/>
    <w:qFormat/>
    <w:rsid w:val="00D61243"/>
  </w:style>
  <w:style w:type="paragraph" w:customStyle="1" w:styleId="Protectivemarking">
    <w:name w:val="Protective marking"/>
    <w:basedOn w:val="Normal"/>
    <w:uiPriority w:val="99"/>
    <w:qFormat/>
    <w:rsid w:val="00390D91"/>
    <w:pPr>
      <w:tabs>
        <w:tab w:val="left" w:pos="720"/>
      </w:tabs>
      <w:spacing w:after="0" w:line="240" w:lineRule="auto"/>
      <w:jc w:val="center"/>
    </w:pPr>
    <w:rPr>
      <w:rFonts w:cs="Arial"/>
      <w:b/>
      <w:bCs/>
      <w:color w:val="FF0000"/>
      <w:sz w:val="32"/>
      <w:lang w:eastAsia="en-US"/>
    </w:rPr>
  </w:style>
  <w:style w:type="paragraph" w:styleId="Revision">
    <w:name w:val="Revision"/>
    <w:hidden/>
    <w:semiHidden/>
    <w:rsid w:val="00023A36"/>
    <w:rPr>
      <w:rFonts w:ascii="Arial" w:hAnsi="Arial"/>
      <w:sz w:val="20"/>
    </w:rPr>
  </w:style>
  <w:style w:type="paragraph" w:customStyle="1" w:styleId="ACMABodyText">
    <w:name w:val="ACMA Body Text"/>
    <w:rsid w:val="00E95342"/>
    <w:pPr>
      <w:suppressAutoHyphens/>
      <w:spacing w:before="80" w:after="120" w:line="280" w:lineRule="atLeast"/>
    </w:pPr>
    <w:rPr>
      <w:snapToGrid w:val="0"/>
      <w:szCs w:val="20"/>
      <w:lang w:eastAsia="en-US"/>
    </w:rPr>
  </w:style>
  <w:style w:type="paragraph" w:customStyle="1" w:styleId="ACMANumberedList">
    <w:name w:val="ACMA Numbered List"/>
    <w:rsid w:val="00ED4578"/>
    <w:pPr>
      <w:spacing w:before="20" w:after="20"/>
    </w:pPr>
    <w:rPr>
      <w:szCs w:val="20"/>
      <w:lang w:eastAsia="en-US"/>
    </w:rPr>
  </w:style>
  <w:style w:type="paragraph" w:styleId="ListParagraph">
    <w:name w:val="List Paragraph"/>
    <w:basedOn w:val="Normal"/>
    <w:semiHidden/>
    <w:rsid w:val="00306519"/>
    <w:pPr>
      <w:ind w:left="720"/>
      <w:contextualSpacing/>
    </w:pPr>
  </w:style>
  <w:style w:type="character" w:customStyle="1" w:styleId="FootnoteTextChar">
    <w:name w:val="Footnote Text Char"/>
    <w:aliases w:val="Footnote text Char,ACMA Footnote Text Char,footnote text Char,Footnote Text Char1 Char,Footnote Text Char Char Char,Footnote Text Char1 Char Char Char,Footnote Text Char Char Char Char Char,Footnote Text Char1 Char Char Char Char Char"/>
    <w:basedOn w:val="DefaultParagraphFont"/>
    <w:link w:val="FootnoteText"/>
    <w:rsid w:val="009646C5"/>
    <w:rPr>
      <w:rFonts w:ascii="Arial" w:hAnsi="Arial"/>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4157902">
      <w:bodyDiv w:val="1"/>
      <w:marLeft w:val="0"/>
      <w:marRight w:val="0"/>
      <w:marTop w:val="0"/>
      <w:marBottom w:val="0"/>
      <w:divBdr>
        <w:top w:val="none" w:sz="0" w:space="0" w:color="auto"/>
        <w:left w:val="none" w:sz="0" w:space="0" w:color="auto"/>
        <w:bottom w:val="none" w:sz="0" w:space="0" w:color="auto"/>
        <w:right w:val="none" w:sz="0" w:space="0" w:color="auto"/>
      </w:divBdr>
    </w:div>
    <w:div w:id="282813674">
      <w:bodyDiv w:val="1"/>
      <w:marLeft w:val="0"/>
      <w:marRight w:val="0"/>
      <w:marTop w:val="0"/>
      <w:marBottom w:val="0"/>
      <w:divBdr>
        <w:top w:val="none" w:sz="0" w:space="0" w:color="auto"/>
        <w:left w:val="none" w:sz="0" w:space="0" w:color="auto"/>
        <w:bottom w:val="none" w:sz="0" w:space="0" w:color="auto"/>
        <w:right w:val="none" w:sz="0" w:space="0" w:color="auto"/>
      </w:divBdr>
    </w:div>
    <w:div w:id="576784553">
      <w:bodyDiv w:val="1"/>
      <w:marLeft w:val="0"/>
      <w:marRight w:val="0"/>
      <w:marTop w:val="0"/>
      <w:marBottom w:val="0"/>
      <w:divBdr>
        <w:top w:val="none" w:sz="0" w:space="0" w:color="auto"/>
        <w:left w:val="none" w:sz="0" w:space="0" w:color="auto"/>
        <w:bottom w:val="none" w:sz="0" w:space="0" w:color="auto"/>
        <w:right w:val="none" w:sz="0" w:space="0" w:color="auto"/>
      </w:divBdr>
    </w:div>
    <w:div w:id="977150406">
      <w:bodyDiv w:val="1"/>
      <w:marLeft w:val="0"/>
      <w:marRight w:val="0"/>
      <w:marTop w:val="0"/>
      <w:marBottom w:val="0"/>
      <w:divBdr>
        <w:top w:val="none" w:sz="0" w:space="0" w:color="auto"/>
        <w:left w:val="none" w:sz="0" w:space="0" w:color="auto"/>
        <w:bottom w:val="none" w:sz="0" w:space="0" w:color="auto"/>
        <w:right w:val="none" w:sz="0" w:space="0" w:color="auto"/>
      </w:divBdr>
    </w:div>
    <w:div w:id="1409771268">
      <w:bodyDiv w:val="1"/>
      <w:marLeft w:val="0"/>
      <w:marRight w:val="0"/>
      <w:marTop w:val="0"/>
      <w:marBottom w:val="0"/>
      <w:divBdr>
        <w:top w:val="none" w:sz="0" w:space="0" w:color="auto"/>
        <w:left w:val="none" w:sz="0" w:space="0" w:color="auto"/>
        <w:bottom w:val="none" w:sz="0" w:space="0" w:color="auto"/>
        <w:right w:val="none" w:sz="0" w:space="0" w:color="auto"/>
      </w:divBdr>
    </w:div>
    <w:div w:id="1566910818">
      <w:bodyDiv w:val="1"/>
      <w:marLeft w:val="0"/>
      <w:marRight w:val="0"/>
      <w:marTop w:val="0"/>
      <w:marBottom w:val="0"/>
      <w:divBdr>
        <w:top w:val="none" w:sz="0" w:space="0" w:color="auto"/>
        <w:left w:val="none" w:sz="0" w:space="0" w:color="auto"/>
        <w:bottom w:val="none" w:sz="0" w:space="0" w:color="auto"/>
        <w:right w:val="none" w:sz="0" w:space="0" w:color="auto"/>
      </w:divBdr>
    </w:div>
    <w:div w:id="19259123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3" Type="http://schemas.openxmlformats.org/officeDocument/2006/relationships/hyperlink" Target="mailto:info@acma.gov.au" TargetMode="External"/><Relationship Id="rId18" Type="http://schemas.openxmlformats.org/officeDocument/2006/relationships/header" Target="header4.xml"/><Relationship Id="rId26" Type="http://schemas.openxmlformats.org/officeDocument/2006/relationships/hyperlink" Target="https://www.acma.gov.au/privacy-policy" TargetMode="External"/><Relationship Id="rId39" Type="http://schemas.openxmlformats.org/officeDocument/2006/relationships/hyperlink" Target="https://www.legislation.gov.au/Details/F2021C00399" TargetMode="External"/><Relationship Id="rId21" Type="http://schemas.openxmlformats.org/officeDocument/2006/relationships/footer" Target="footer5.xml"/><Relationship Id="rId34" Type="http://schemas.openxmlformats.org/officeDocument/2006/relationships/hyperlink" Target="https://www.legislation.gov.au/Details/F2017L01078" TargetMode="External"/><Relationship Id="rId42" Type="http://schemas.openxmlformats.org/officeDocument/2006/relationships/hyperlink" Target="https://www.legislation.gov.au/Details/F2013L00087" TargetMode="External"/><Relationship Id="rId47" Type="http://schemas.openxmlformats.org/officeDocument/2006/relationships/fontTable" Target="fontTable.xm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footer" Target="footer2.xml"/><Relationship Id="rId29" Type="http://schemas.openxmlformats.org/officeDocument/2006/relationships/hyperlink" Target="https://www.legislation.gov.au/Details/F2014L01251"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3.png"/><Relationship Id="rId24" Type="http://schemas.openxmlformats.org/officeDocument/2006/relationships/hyperlink" Target="mailto:techreg@acma.gov.au" TargetMode="External"/><Relationship Id="rId32" Type="http://schemas.openxmlformats.org/officeDocument/2006/relationships/hyperlink" Target="https://www.legislation.gov.au/Details/F2012L01728" TargetMode="External"/><Relationship Id="rId37" Type="http://schemas.openxmlformats.org/officeDocument/2006/relationships/hyperlink" Target="https://www.legislation.gov.au/Details/F2017L01079" TargetMode="External"/><Relationship Id="rId40" Type="http://schemas.openxmlformats.org/officeDocument/2006/relationships/hyperlink" Target="https://www.legislation.gov.au/Details/F2014L01249" TargetMode="External"/><Relationship Id="rId45" Type="http://schemas.openxmlformats.org/officeDocument/2006/relationships/footer" Target="footer7.xml"/><Relationship Id="rId5" Type="http://schemas.openxmlformats.org/officeDocument/2006/relationships/webSettings" Target="webSettings.xml"/><Relationship Id="rId15" Type="http://schemas.openxmlformats.org/officeDocument/2006/relationships/header" Target="header3.xml"/><Relationship Id="rId23" Type="http://schemas.openxmlformats.org/officeDocument/2006/relationships/hyperlink" Target="https://www.acma.gov.au/have-your-say" TargetMode="External"/><Relationship Id="rId28" Type="http://schemas.openxmlformats.org/officeDocument/2006/relationships/hyperlink" Target="https://www.legislation.gov.au/Details/F2017L01076" TargetMode="External"/><Relationship Id="rId36" Type="http://schemas.openxmlformats.org/officeDocument/2006/relationships/hyperlink" Target="https://www.legislation.gov.au/Details/F2018L01618" TargetMode="External"/><Relationship Id="rId10" Type="http://schemas.openxmlformats.org/officeDocument/2006/relationships/hyperlink" Target="http://i.creativecommons.org/l/by/3.0/88x31.png" TargetMode="External"/><Relationship Id="rId19" Type="http://schemas.openxmlformats.org/officeDocument/2006/relationships/header" Target="header5.xml"/><Relationship Id="rId31" Type="http://schemas.openxmlformats.org/officeDocument/2006/relationships/hyperlink" Target="https://www.legislation.gov.au/Details/F2011L00863" TargetMode="External"/><Relationship Id="rId44" Type="http://schemas.openxmlformats.org/officeDocument/2006/relationships/header" Target="header7.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header" Target="header2.xml"/><Relationship Id="rId22" Type="http://schemas.openxmlformats.org/officeDocument/2006/relationships/footer" Target="footer6.xml"/><Relationship Id="rId27" Type="http://schemas.openxmlformats.org/officeDocument/2006/relationships/hyperlink" Target="https://www.legislation.gov.au/Details/F2014L01254" TargetMode="External"/><Relationship Id="rId30" Type="http://schemas.openxmlformats.org/officeDocument/2006/relationships/hyperlink" Target="https://www.legislation.gov.au/Details/F2014L01247" TargetMode="External"/><Relationship Id="rId35" Type="http://schemas.openxmlformats.org/officeDocument/2006/relationships/hyperlink" Target="https://www.legislation.gov.au/Details/F2014L01248" TargetMode="External"/><Relationship Id="rId43" Type="http://schemas.openxmlformats.org/officeDocument/2006/relationships/header" Target="header6.xml"/><Relationship Id="rId48" Type="http://schemas.openxmlformats.org/officeDocument/2006/relationships/theme" Target="theme/theme1.xml"/><Relationship Id="rId8" Type="http://schemas.openxmlformats.org/officeDocument/2006/relationships/header" Target="header1.xml"/><Relationship Id="rId3" Type="http://schemas.openxmlformats.org/officeDocument/2006/relationships/styles" Target="styles.xml"/><Relationship Id="rId12" Type="http://schemas.openxmlformats.org/officeDocument/2006/relationships/hyperlink" Target="https://creativecommons.org/licenses/by/4.0/" TargetMode="External"/><Relationship Id="rId17" Type="http://schemas.openxmlformats.org/officeDocument/2006/relationships/footer" Target="footer3.xml"/><Relationship Id="rId25" Type="http://schemas.openxmlformats.org/officeDocument/2006/relationships/hyperlink" Target="https://www.acma.gov.au/publication-submissions" TargetMode="External"/><Relationship Id="rId33" Type="http://schemas.openxmlformats.org/officeDocument/2006/relationships/hyperlink" Target="https://www.legislation.gov.au/Details/F2014L01240" TargetMode="External"/><Relationship Id="rId38" Type="http://schemas.openxmlformats.org/officeDocument/2006/relationships/hyperlink" Target="https://www.legislation.gov.au/Details/F2018L01658" TargetMode="External"/><Relationship Id="rId46" Type="http://schemas.openxmlformats.org/officeDocument/2006/relationships/footer" Target="footer8.xml"/><Relationship Id="rId20" Type="http://schemas.openxmlformats.org/officeDocument/2006/relationships/footer" Target="footer4.xml"/><Relationship Id="rId41" Type="http://schemas.openxmlformats.org/officeDocument/2006/relationships/hyperlink" Target="https://www.legislation.gov.au/Details/F2021C01208" TargetMode="External"/></Relationships>
</file>

<file path=word/_rels/foot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hyperlink" Target="https://acma.gov.au/" TargetMode="External"/></Relationships>
</file>

<file path=word/_rels/footnotes.xml.rels><?xml version="1.0" encoding="UTF-8" standalone="yes"?>
<Relationships xmlns="http://schemas.openxmlformats.org/package/2006/relationships"><Relationship Id="rId1" Type="http://schemas.openxmlformats.org/officeDocument/2006/relationships/hyperlink" Target="https://www.wto.org/english/tratop_e/tbt_e/tbt_e.ht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A7F8262-1C21-46BC-9DE5-9254E2ABE8D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17</Pages>
  <Words>4368</Words>
  <Characters>25821</Characters>
  <Application>Microsoft Office Word</Application>
  <DocSecurity>0</DocSecurity>
  <Lines>832</Lines>
  <Paragraphs>407</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29782</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2022-11-09T02:50:00Z</dcterms:created>
  <dcterms:modified xsi:type="dcterms:W3CDTF">2022-11-09T02:51:00Z</dcterms:modified>
  <cp:category/>
</cp:coreProperties>
</file>