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66D91" w14:textId="1DE86E09" w:rsidR="00AD77F1" w:rsidRDefault="006E6C95" w:rsidP="004269C1">
      <w:pPr>
        <w:pStyle w:val="Reporttitle"/>
      </w:pPr>
      <w:r>
        <w:t xml:space="preserve">Replanning </w:t>
      </w:r>
      <w:r w:rsidR="005A1B79">
        <w:t xml:space="preserve">of the </w:t>
      </w:r>
      <w:r w:rsidR="009D02EA">
        <w:t>188</w:t>
      </w:r>
      <w:r w:rsidR="005A1B79">
        <w:t>0</w:t>
      </w:r>
      <w:r w:rsidR="00680DE3">
        <w:t>–</w:t>
      </w:r>
      <w:r w:rsidR="009D02EA">
        <w:t>192</w:t>
      </w:r>
      <w:r w:rsidR="005A1B79">
        <w:t>0 MHz band</w:t>
      </w:r>
      <w:r w:rsidR="00287A1B">
        <w:t xml:space="preserve"> </w:t>
      </w:r>
      <w:r w:rsidR="005A1B79" w:rsidRPr="001A3E27">
        <w:rPr>
          <w:b w:val="0"/>
          <w:bCs/>
        </w:rPr>
        <w:t>Options paper</w:t>
      </w:r>
      <w:r w:rsidR="00287A1B" w:rsidRPr="001A3E27">
        <w:rPr>
          <w:b w:val="0"/>
          <w:bCs/>
        </w:rPr>
        <w:t xml:space="preserve"> </w:t>
      </w:r>
    </w:p>
    <w:p w14:paraId="6613C76C" w14:textId="77777777" w:rsidR="00C97736" w:rsidRDefault="008024E0" w:rsidP="00BE29EE">
      <w:pPr>
        <w:pStyle w:val="Reportdate"/>
        <w:keepLines w:val="0"/>
      </w:pPr>
      <w:r>
        <w:t>November</w:t>
      </w:r>
      <w:r w:rsidR="00D6089A">
        <w:t xml:space="preserve"> </w:t>
      </w:r>
      <w:r w:rsidR="00BD4421">
        <w:t>20</w:t>
      </w:r>
      <w:r w:rsidR="005A1B79">
        <w:t>2</w:t>
      </w:r>
      <w:r>
        <w:t>2</w:t>
      </w:r>
    </w:p>
    <w:p w14:paraId="4F3932A5" w14:textId="77777777" w:rsidR="00B1045F" w:rsidRPr="001A3ED9" w:rsidRDefault="00B1045F" w:rsidP="001C6879"/>
    <w:p w14:paraId="4ABCCD91" w14:textId="77777777" w:rsidR="00B1045F" w:rsidRPr="001A3ED9" w:rsidRDefault="00B1045F" w:rsidP="001C6879"/>
    <w:p w14:paraId="1B10ABB7" w14:textId="77777777" w:rsidR="00B1045F" w:rsidRPr="001A3ED9" w:rsidRDefault="00B1045F" w:rsidP="001C6879"/>
    <w:p w14:paraId="1576D7D8" w14:textId="77777777" w:rsidR="00B1045F" w:rsidRPr="001A3ED9" w:rsidRDefault="00B1045F" w:rsidP="001C6879"/>
    <w:p w14:paraId="2DA9B45C" w14:textId="77777777" w:rsidR="00B1045F" w:rsidRPr="001A3ED9" w:rsidRDefault="00B1045F" w:rsidP="001C6879"/>
    <w:p w14:paraId="566EFA27" w14:textId="77777777" w:rsidR="00B1045F" w:rsidRPr="001A3ED9" w:rsidRDefault="00B1045F" w:rsidP="001C6879"/>
    <w:p w14:paraId="085159E7" w14:textId="77777777" w:rsidR="00B1045F" w:rsidRPr="001A3ED9" w:rsidRDefault="00B1045F" w:rsidP="001C6879"/>
    <w:p w14:paraId="002833E2" w14:textId="77777777" w:rsidR="00B1045F" w:rsidRPr="001A3ED9" w:rsidRDefault="00B1045F" w:rsidP="001C6879"/>
    <w:p w14:paraId="3E8B7A49" w14:textId="77777777" w:rsidR="00B1045F" w:rsidRDefault="00B1045F" w:rsidP="00B1045F">
      <w:pPr>
        <w:rPr>
          <w:caps/>
          <w:color w:val="323232"/>
          <w:spacing w:val="-10"/>
        </w:rPr>
      </w:pPr>
    </w:p>
    <w:p w14:paraId="13BD5934" w14:textId="2DC8CD03" w:rsidR="00B1045F" w:rsidRDefault="00B1045F" w:rsidP="001C6879">
      <w:pPr>
        <w:tabs>
          <w:tab w:val="left" w:pos="9055"/>
        </w:tabs>
        <w:rPr>
          <w:caps/>
          <w:color w:val="323232"/>
          <w:spacing w:val="-10"/>
        </w:rPr>
      </w:pPr>
      <w:r>
        <w:rPr>
          <w:caps/>
          <w:color w:val="323232"/>
          <w:spacing w:val="-10"/>
        </w:rPr>
        <w:tab/>
      </w:r>
    </w:p>
    <w:p w14:paraId="59AD724D" w14:textId="6213D46A" w:rsidR="00C97736" w:rsidRPr="001A3ED9" w:rsidRDefault="00B1045F" w:rsidP="001C6879">
      <w:pPr>
        <w:tabs>
          <w:tab w:val="left" w:pos="9055"/>
        </w:tabs>
        <w:rPr>
          <w:caps/>
        </w:rPr>
        <w:sectPr w:rsidR="00C97736" w:rsidRPr="001A3ED9"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b/>
      </w:r>
    </w:p>
    <w:p w14:paraId="6E06CD6F" w14:textId="77777777" w:rsidR="0005011A" w:rsidRPr="00F44F3A" w:rsidRDefault="0005011A" w:rsidP="00BE29EE">
      <w:pPr>
        <w:pStyle w:val="ACMACorporateAddressHeader"/>
        <w:keepLines w:val="0"/>
      </w:pPr>
      <w:r w:rsidRPr="00F44F3A">
        <w:lastRenderedPageBreak/>
        <w:t>Canberra</w:t>
      </w:r>
    </w:p>
    <w:p w14:paraId="160416E2" w14:textId="77777777" w:rsidR="0005011A" w:rsidRPr="00FC07B9" w:rsidRDefault="0005011A" w:rsidP="00BE29EE">
      <w:pPr>
        <w:pStyle w:val="ACMACorporateAddresses"/>
        <w:keepLines w:val="0"/>
      </w:pPr>
      <w:r w:rsidRPr="00FC07B9">
        <w:t xml:space="preserve">Red Building </w:t>
      </w:r>
      <w:r w:rsidRPr="00FC07B9">
        <w:br/>
        <w:t>Benjamin Offices</w:t>
      </w:r>
      <w:r w:rsidRPr="00FC07B9">
        <w:br/>
        <w:t xml:space="preserve">Chan Street </w:t>
      </w:r>
      <w:r w:rsidRPr="00FC07B9">
        <w:br/>
        <w:t>Belconnen ACT</w:t>
      </w:r>
    </w:p>
    <w:p w14:paraId="35EEA3CF" w14:textId="77777777" w:rsidR="0005011A" w:rsidRPr="00FC07B9" w:rsidRDefault="0005011A" w:rsidP="00BE29EE">
      <w:pPr>
        <w:pStyle w:val="ACMACorporateAddresses"/>
        <w:keepLines w:val="0"/>
      </w:pPr>
      <w:r w:rsidRPr="00FC07B9">
        <w:t>PO Box 78</w:t>
      </w:r>
      <w:r w:rsidRPr="00FC07B9">
        <w:br/>
        <w:t>Belconnen ACT 2616</w:t>
      </w:r>
    </w:p>
    <w:p w14:paraId="1F0F0F86" w14:textId="77777777" w:rsidR="00FE1823" w:rsidRPr="00FC07B9" w:rsidRDefault="0005011A" w:rsidP="00BE29EE">
      <w:pPr>
        <w:pStyle w:val="ACMACorporateAddresses"/>
        <w:keepLines w:val="0"/>
      </w:pPr>
      <w:r w:rsidRPr="00FC07B9">
        <w:t>T</w:t>
      </w:r>
      <w:r w:rsidR="00537604" w:rsidRPr="00FC07B9">
        <w:tab/>
      </w:r>
      <w:r w:rsidRPr="00FC07B9">
        <w:t>+61 2 6219 5555</w:t>
      </w:r>
      <w:r w:rsidRPr="00FC07B9">
        <w:br/>
        <w:t>F</w:t>
      </w:r>
      <w:r w:rsidR="00537604" w:rsidRPr="00FC07B9">
        <w:tab/>
      </w:r>
      <w:r w:rsidRPr="00FC07B9">
        <w:t>+61 2 6219 5353</w:t>
      </w:r>
    </w:p>
    <w:p w14:paraId="1FD33A8F" w14:textId="77777777" w:rsidR="0005011A" w:rsidRPr="00F44F3A" w:rsidRDefault="0005011A" w:rsidP="00BE29EE">
      <w:pPr>
        <w:pStyle w:val="ACMACorporateAddressHeader"/>
        <w:keepLines w:val="0"/>
      </w:pPr>
      <w:r w:rsidRPr="00F44F3A">
        <w:t>Melbourne</w:t>
      </w:r>
    </w:p>
    <w:p w14:paraId="057A403E" w14:textId="77777777" w:rsidR="0005011A" w:rsidRPr="00F44F3A" w:rsidRDefault="0005011A" w:rsidP="00BE29EE">
      <w:pPr>
        <w:pStyle w:val="ACMACorporateAddresses"/>
        <w:keepLines w:val="0"/>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DFF3828" w14:textId="77777777" w:rsidR="0005011A" w:rsidRPr="00F44F3A" w:rsidRDefault="0005011A" w:rsidP="00BE29EE">
      <w:pPr>
        <w:pStyle w:val="ACMACorporateAddresses"/>
        <w:keepLines w:val="0"/>
      </w:pPr>
      <w:r w:rsidRPr="00F44F3A">
        <w:t>PO Box 13112</w:t>
      </w:r>
      <w:r w:rsidRPr="00F44F3A">
        <w:br/>
        <w:t xml:space="preserve">Law Courts </w:t>
      </w:r>
      <w:r w:rsidRPr="00F44F3A">
        <w:br/>
        <w:t>Melbourne VIC 8010</w:t>
      </w:r>
    </w:p>
    <w:p w14:paraId="031A21C3" w14:textId="77777777" w:rsidR="0005011A" w:rsidRPr="00F44F3A" w:rsidRDefault="0005011A" w:rsidP="00BE29EE">
      <w:pPr>
        <w:pStyle w:val="ACMACorporateAddresses"/>
        <w:keepLines w:val="0"/>
      </w:pPr>
      <w:r w:rsidRPr="00F44F3A">
        <w:t>T</w:t>
      </w:r>
      <w:r w:rsidR="00140318" w:rsidRPr="00F44F3A">
        <w:tab/>
      </w:r>
      <w:r w:rsidRPr="00F44F3A">
        <w:t>+61 3 9963 6800</w:t>
      </w:r>
      <w:r w:rsidRPr="00F44F3A">
        <w:br/>
        <w:t>F</w:t>
      </w:r>
      <w:r w:rsidR="00140318" w:rsidRPr="00F44F3A">
        <w:tab/>
      </w:r>
      <w:r w:rsidRPr="00F44F3A">
        <w:t>+61 3 9963 6899</w:t>
      </w:r>
    </w:p>
    <w:p w14:paraId="1C8DF768" w14:textId="77777777" w:rsidR="0005011A" w:rsidRPr="00F44F3A" w:rsidRDefault="0005011A" w:rsidP="00BE29EE">
      <w:pPr>
        <w:pStyle w:val="ACMACorporateAddressHeader"/>
        <w:keepLines w:val="0"/>
      </w:pPr>
      <w:r w:rsidRPr="00F44F3A">
        <w:t>Sydney</w:t>
      </w:r>
    </w:p>
    <w:p w14:paraId="0D5901CA" w14:textId="77777777" w:rsidR="0005011A" w:rsidRPr="00F44F3A" w:rsidRDefault="0005011A" w:rsidP="00BE29EE">
      <w:pPr>
        <w:pStyle w:val="ACMACorporateAddresses"/>
        <w:keepLines w:val="0"/>
      </w:pPr>
      <w:r w:rsidRPr="00F44F3A">
        <w:t xml:space="preserve">Level 5 </w:t>
      </w:r>
      <w:r w:rsidRPr="00F44F3A">
        <w:br/>
        <w:t>The Bay Centre</w:t>
      </w:r>
      <w:r w:rsidRPr="00F44F3A">
        <w:br/>
        <w:t xml:space="preserve">65 Pirrama Road </w:t>
      </w:r>
      <w:r w:rsidRPr="00F44F3A">
        <w:br/>
        <w:t>Pyrmont NSW</w:t>
      </w:r>
    </w:p>
    <w:p w14:paraId="2AA664EC" w14:textId="77777777" w:rsidR="0005011A" w:rsidRPr="00F44F3A" w:rsidRDefault="0005011A" w:rsidP="00BE29EE">
      <w:pPr>
        <w:pStyle w:val="ACMACorporateAddresses"/>
        <w:keepLines w:val="0"/>
      </w:pPr>
      <w:r w:rsidRPr="00F44F3A">
        <w:t>PO Box Q500</w:t>
      </w:r>
      <w:r w:rsidRPr="00F44F3A">
        <w:br/>
        <w:t xml:space="preserve">Queen Victoria Building </w:t>
      </w:r>
      <w:r w:rsidRPr="00F44F3A">
        <w:br/>
        <w:t>NSW 1230</w:t>
      </w:r>
    </w:p>
    <w:p w14:paraId="4C7A7099" w14:textId="77777777" w:rsidR="0005011A" w:rsidRPr="00F44F3A" w:rsidRDefault="0005011A" w:rsidP="00BE29EE">
      <w:pPr>
        <w:pStyle w:val="ACMACorporateAddresses"/>
        <w:keepLines w:val="0"/>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03E86A2" w14:textId="77777777" w:rsidR="00140318" w:rsidRPr="006D46E5" w:rsidRDefault="00140318" w:rsidP="00BE29EE">
      <w:pPr>
        <w:pStyle w:val="ACMACopyrightHeader"/>
        <w:keepLines w:val="0"/>
      </w:pPr>
      <w:r w:rsidRPr="00140318">
        <w:t>Copyright notice</w:t>
      </w:r>
    </w:p>
    <w:p w14:paraId="49BFC1A7" w14:textId="77777777" w:rsidR="00140318" w:rsidRPr="006D46E5" w:rsidRDefault="00623FF9" w:rsidP="00BE29EE">
      <w:pPr>
        <w:pStyle w:val="ACMACClogo"/>
      </w:pPr>
      <w:r w:rsidRPr="00623FF9">
        <w:rPr>
          <w:noProof/>
        </w:rPr>
        <w:drawing>
          <wp:inline distT="0" distB="0" distL="0" distR="0" wp14:anchorId="7699F696" wp14:editId="0B95C3B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C750479" w14:textId="2230EFBF" w:rsidR="00AA2DE5" w:rsidRDefault="00615F77" w:rsidP="00BE29EE">
      <w:pPr>
        <w:pStyle w:val="ACMACorporateAddresses"/>
        <w:keepLines w:val="0"/>
        <w:rPr>
          <w:rStyle w:val="Hyperlink"/>
          <w:b/>
        </w:rPr>
      </w:pPr>
      <w:hyperlink r:id="rId13" w:history="1">
        <w:r w:rsidR="00AA2DE5">
          <w:rPr>
            <w:rStyle w:val="Hyperlink"/>
          </w:rPr>
          <w:t>https://creativecommons.org/licenses/by/4.0/</w:t>
        </w:r>
      </w:hyperlink>
    </w:p>
    <w:p w14:paraId="103989E0" w14:textId="77777777" w:rsidR="00AA2DE5" w:rsidRDefault="00AA2DE5" w:rsidP="00BE29EE">
      <w:pPr>
        <w:pStyle w:val="ACMACorporateAddresses"/>
        <w:keepLines w:val="0"/>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A6B09C8" w14:textId="791FEDE4" w:rsidR="00AA2DE5" w:rsidRDefault="00AA2DE5" w:rsidP="00BE29EE">
      <w:pPr>
        <w:pStyle w:val="ACMACorporateAddresses"/>
        <w:keepLines w:val="0"/>
      </w:pPr>
      <w:r>
        <w:t>We request attribution as © Commonwealth of Australia (Australian Communications and Media Authority) 20</w:t>
      </w:r>
      <w:r w:rsidR="0056436A">
        <w:t>2</w:t>
      </w:r>
      <w:r w:rsidR="00680DE3">
        <w:t>2</w:t>
      </w:r>
      <w:r w:rsidR="0056436A">
        <w:t>.</w:t>
      </w:r>
    </w:p>
    <w:p w14:paraId="4762E1FF" w14:textId="77777777" w:rsidR="00AA2DE5" w:rsidRDefault="00AA2DE5" w:rsidP="00BE29EE">
      <w:pPr>
        <w:pStyle w:val="ACMACorporateAddresses"/>
        <w:keepLines w:val="0"/>
      </w:pPr>
      <w:r>
        <w:t>All other rights are reserved.</w:t>
      </w:r>
    </w:p>
    <w:p w14:paraId="3784D126" w14:textId="77777777" w:rsidR="00AA2DE5" w:rsidRDefault="00AA2DE5" w:rsidP="00BE29EE">
      <w:pPr>
        <w:pStyle w:val="ACMACorporateAddresses"/>
        <w:keepLines w:val="0"/>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D586CA7" w14:textId="77777777" w:rsidR="00AA2DE5" w:rsidRDefault="00AA2DE5" w:rsidP="00BE29EE">
      <w:pPr>
        <w:pStyle w:val="ACMACorporateAddresses"/>
        <w:keepLines w:val="0"/>
      </w:pPr>
      <w:r>
        <w:t>Written enquiries may be sent to:</w:t>
      </w:r>
    </w:p>
    <w:p w14:paraId="444D384E" w14:textId="4A6A34D9" w:rsidR="00AA2DE5" w:rsidRDefault="00AA2DE5" w:rsidP="00BE29EE">
      <w:pPr>
        <w:pStyle w:val="ACMACorporateAddresses"/>
        <w:keepLines w:val="0"/>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6175E911" w14:textId="77777777" w:rsidR="00D16FE3" w:rsidRDefault="00D16FE3">
      <w:pPr>
        <w:pStyle w:val="ACMACorporateAddresses"/>
        <w:rPr>
          <w:rStyle w:val="Hyperlink"/>
        </w:rPr>
      </w:pPr>
    </w:p>
    <w:p w14:paraId="037B1E20" w14:textId="77777777" w:rsidR="00D16FE3" w:rsidRPr="00D16FE3" w:rsidRDefault="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AB52BA0" w14:textId="5B03E5FD" w:rsidR="00AC36EC" w:rsidRDefault="00B45E8C">
      <w:pPr>
        <w:pStyle w:val="TOC1"/>
        <w:rPr>
          <w:rFonts w:asciiTheme="minorHAnsi" w:eastAsiaTheme="minorEastAsia" w:hAnsiTheme="minorHAnsi" w:cstheme="minorBidi"/>
          <w:b w:val="0"/>
          <w:spacing w:val="0"/>
          <w:sz w:val="22"/>
          <w:szCs w:val="22"/>
        </w:rPr>
      </w:pPr>
      <w:r>
        <w:lastRenderedPageBreak/>
        <w:fldChar w:fldCharType="begin"/>
      </w:r>
      <w:r>
        <w:instrText xml:space="preserve"> TOC \o "1-2" \h \z \u </w:instrText>
      </w:r>
      <w:r>
        <w:fldChar w:fldCharType="separate"/>
      </w:r>
      <w:hyperlink w:anchor="_Toc120600039" w:history="1">
        <w:r w:rsidR="00AC36EC" w:rsidRPr="00ED0C27">
          <w:rPr>
            <w:rStyle w:val="Hyperlink"/>
          </w:rPr>
          <w:t>Issues for comment</w:t>
        </w:r>
        <w:r w:rsidR="00AC36EC">
          <w:rPr>
            <w:webHidden/>
          </w:rPr>
          <w:tab/>
        </w:r>
        <w:r w:rsidR="00AC36EC">
          <w:rPr>
            <w:webHidden/>
          </w:rPr>
          <w:fldChar w:fldCharType="begin"/>
        </w:r>
        <w:r w:rsidR="00AC36EC">
          <w:rPr>
            <w:webHidden/>
          </w:rPr>
          <w:instrText xml:space="preserve"> PAGEREF _Toc120600039 \h </w:instrText>
        </w:r>
        <w:r w:rsidR="00AC36EC">
          <w:rPr>
            <w:webHidden/>
          </w:rPr>
        </w:r>
        <w:r w:rsidR="00AC36EC">
          <w:rPr>
            <w:webHidden/>
          </w:rPr>
          <w:fldChar w:fldCharType="separate"/>
        </w:r>
        <w:r w:rsidR="00AC36EC">
          <w:rPr>
            <w:webHidden/>
          </w:rPr>
          <w:t>7</w:t>
        </w:r>
        <w:r w:rsidR="00AC36EC">
          <w:rPr>
            <w:webHidden/>
          </w:rPr>
          <w:fldChar w:fldCharType="end"/>
        </w:r>
      </w:hyperlink>
    </w:p>
    <w:p w14:paraId="1357A17F" w14:textId="1C77C12A" w:rsidR="00AC36EC" w:rsidRDefault="00615F77">
      <w:pPr>
        <w:pStyle w:val="TOC1"/>
        <w:rPr>
          <w:rFonts w:asciiTheme="minorHAnsi" w:eastAsiaTheme="minorEastAsia" w:hAnsiTheme="minorHAnsi" w:cstheme="minorBidi"/>
          <w:b w:val="0"/>
          <w:spacing w:val="0"/>
          <w:sz w:val="22"/>
          <w:szCs w:val="22"/>
        </w:rPr>
      </w:pPr>
      <w:hyperlink w:anchor="_Toc120600040" w:history="1">
        <w:r w:rsidR="00AC36EC" w:rsidRPr="00ED0C27">
          <w:rPr>
            <w:rStyle w:val="Hyperlink"/>
          </w:rPr>
          <w:t>Introduction</w:t>
        </w:r>
        <w:r w:rsidR="00AC36EC">
          <w:rPr>
            <w:webHidden/>
          </w:rPr>
          <w:tab/>
        </w:r>
        <w:r w:rsidR="00AC36EC">
          <w:rPr>
            <w:webHidden/>
          </w:rPr>
          <w:fldChar w:fldCharType="begin"/>
        </w:r>
        <w:r w:rsidR="00AC36EC">
          <w:rPr>
            <w:webHidden/>
          </w:rPr>
          <w:instrText xml:space="preserve"> PAGEREF _Toc120600040 \h </w:instrText>
        </w:r>
        <w:r w:rsidR="00AC36EC">
          <w:rPr>
            <w:webHidden/>
          </w:rPr>
        </w:r>
        <w:r w:rsidR="00AC36EC">
          <w:rPr>
            <w:webHidden/>
          </w:rPr>
          <w:fldChar w:fldCharType="separate"/>
        </w:r>
        <w:r w:rsidR="00AC36EC">
          <w:rPr>
            <w:webHidden/>
          </w:rPr>
          <w:t>8</w:t>
        </w:r>
        <w:r w:rsidR="00AC36EC">
          <w:rPr>
            <w:webHidden/>
          </w:rPr>
          <w:fldChar w:fldCharType="end"/>
        </w:r>
      </w:hyperlink>
    </w:p>
    <w:p w14:paraId="23DB4F18" w14:textId="5231049D" w:rsidR="00AC36EC" w:rsidRDefault="00615F77">
      <w:pPr>
        <w:pStyle w:val="TOC2"/>
        <w:rPr>
          <w:rFonts w:asciiTheme="minorHAnsi" w:eastAsiaTheme="minorEastAsia" w:hAnsiTheme="minorHAnsi" w:cstheme="minorBidi"/>
          <w:spacing w:val="0"/>
          <w:sz w:val="22"/>
          <w:szCs w:val="22"/>
        </w:rPr>
      </w:pPr>
      <w:hyperlink w:anchor="_Toc120600041" w:history="1">
        <w:r w:rsidR="00AC36EC" w:rsidRPr="00ED0C27">
          <w:rPr>
            <w:rStyle w:val="Hyperlink"/>
          </w:rPr>
          <w:t>Purpose of this paper</w:t>
        </w:r>
        <w:r w:rsidR="00AC36EC">
          <w:rPr>
            <w:webHidden/>
          </w:rPr>
          <w:tab/>
        </w:r>
        <w:r w:rsidR="00AC36EC">
          <w:rPr>
            <w:webHidden/>
          </w:rPr>
          <w:fldChar w:fldCharType="begin"/>
        </w:r>
        <w:r w:rsidR="00AC36EC">
          <w:rPr>
            <w:webHidden/>
          </w:rPr>
          <w:instrText xml:space="preserve"> PAGEREF _Toc120600041 \h </w:instrText>
        </w:r>
        <w:r w:rsidR="00AC36EC">
          <w:rPr>
            <w:webHidden/>
          </w:rPr>
        </w:r>
        <w:r w:rsidR="00AC36EC">
          <w:rPr>
            <w:webHidden/>
          </w:rPr>
          <w:fldChar w:fldCharType="separate"/>
        </w:r>
        <w:r w:rsidR="00AC36EC">
          <w:rPr>
            <w:webHidden/>
          </w:rPr>
          <w:t>8</w:t>
        </w:r>
        <w:r w:rsidR="00AC36EC">
          <w:rPr>
            <w:webHidden/>
          </w:rPr>
          <w:fldChar w:fldCharType="end"/>
        </w:r>
      </w:hyperlink>
    </w:p>
    <w:p w14:paraId="2F7609E9" w14:textId="6437FD3E" w:rsidR="00AC36EC" w:rsidRDefault="00615F77">
      <w:pPr>
        <w:pStyle w:val="TOC2"/>
        <w:rPr>
          <w:rFonts w:asciiTheme="minorHAnsi" w:eastAsiaTheme="minorEastAsia" w:hAnsiTheme="minorHAnsi" w:cstheme="minorBidi"/>
          <w:spacing w:val="0"/>
          <w:sz w:val="22"/>
          <w:szCs w:val="22"/>
        </w:rPr>
      </w:pPr>
      <w:hyperlink w:anchor="_Toc120600042" w:history="1">
        <w:r w:rsidR="00AC36EC" w:rsidRPr="00ED0C27">
          <w:rPr>
            <w:rStyle w:val="Hyperlink"/>
          </w:rPr>
          <w:t>Legislative and policy environment</w:t>
        </w:r>
        <w:r w:rsidR="00AC36EC">
          <w:rPr>
            <w:webHidden/>
          </w:rPr>
          <w:tab/>
        </w:r>
        <w:r w:rsidR="00AC36EC">
          <w:rPr>
            <w:webHidden/>
          </w:rPr>
          <w:fldChar w:fldCharType="begin"/>
        </w:r>
        <w:r w:rsidR="00AC36EC">
          <w:rPr>
            <w:webHidden/>
          </w:rPr>
          <w:instrText xml:space="preserve"> PAGEREF _Toc120600042 \h </w:instrText>
        </w:r>
        <w:r w:rsidR="00AC36EC">
          <w:rPr>
            <w:webHidden/>
          </w:rPr>
        </w:r>
        <w:r w:rsidR="00AC36EC">
          <w:rPr>
            <w:webHidden/>
          </w:rPr>
          <w:fldChar w:fldCharType="separate"/>
        </w:r>
        <w:r w:rsidR="00AC36EC">
          <w:rPr>
            <w:webHidden/>
          </w:rPr>
          <w:t>8</w:t>
        </w:r>
        <w:r w:rsidR="00AC36EC">
          <w:rPr>
            <w:webHidden/>
          </w:rPr>
          <w:fldChar w:fldCharType="end"/>
        </w:r>
      </w:hyperlink>
    </w:p>
    <w:p w14:paraId="5E670057" w14:textId="150D34AB" w:rsidR="00AC36EC" w:rsidRDefault="00615F77">
      <w:pPr>
        <w:pStyle w:val="TOC2"/>
        <w:rPr>
          <w:rFonts w:asciiTheme="minorHAnsi" w:eastAsiaTheme="minorEastAsia" w:hAnsiTheme="minorHAnsi" w:cstheme="minorBidi"/>
          <w:spacing w:val="0"/>
          <w:sz w:val="22"/>
          <w:szCs w:val="22"/>
        </w:rPr>
      </w:pPr>
      <w:hyperlink w:anchor="_Toc120600043" w:history="1">
        <w:r w:rsidR="00AC36EC" w:rsidRPr="00ED0C27">
          <w:rPr>
            <w:rStyle w:val="Hyperlink"/>
          </w:rPr>
          <w:t>Next steps</w:t>
        </w:r>
        <w:r w:rsidR="00AC36EC">
          <w:rPr>
            <w:webHidden/>
          </w:rPr>
          <w:tab/>
        </w:r>
        <w:r w:rsidR="00AC36EC">
          <w:rPr>
            <w:webHidden/>
          </w:rPr>
          <w:fldChar w:fldCharType="begin"/>
        </w:r>
        <w:r w:rsidR="00AC36EC">
          <w:rPr>
            <w:webHidden/>
          </w:rPr>
          <w:instrText xml:space="preserve"> PAGEREF _Toc120600043 \h </w:instrText>
        </w:r>
        <w:r w:rsidR="00AC36EC">
          <w:rPr>
            <w:webHidden/>
          </w:rPr>
        </w:r>
        <w:r w:rsidR="00AC36EC">
          <w:rPr>
            <w:webHidden/>
          </w:rPr>
          <w:fldChar w:fldCharType="separate"/>
        </w:r>
        <w:r w:rsidR="00AC36EC">
          <w:rPr>
            <w:webHidden/>
          </w:rPr>
          <w:t>10</w:t>
        </w:r>
        <w:r w:rsidR="00AC36EC">
          <w:rPr>
            <w:webHidden/>
          </w:rPr>
          <w:fldChar w:fldCharType="end"/>
        </w:r>
      </w:hyperlink>
    </w:p>
    <w:p w14:paraId="3084FB7F" w14:textId="43E88AE4" w:rsidR="00AC36EC" w:rsidRDefault="00615F77">
      <w:pPr>
        <w:pStyle w:val="TOC1"/>
        <w:rPr>
          <w:rFonts w:asciiTheme="minorHAnsi" w:eastAsiaTheme="minorEastAsia" w:hAnsiTheme="minorHAnsi" w:cstheme="minorBidi"/>
          <w:b w:val="0"/>
          <w:spacing w:val="0"/>
          <w:sz w:val="22"/>
          <w:szCs w:val="22"/>
        </w:rPr>
      </w:pPr>
      <w:hyperlink w:anchor="_Toc120600044" w:history="1">
        <w:r w:rsidR="00AC36EC" w:rsidRPr="00ED0C27">
          <w:rPr>
            <w:rStyle w:val="Hyperlink"/>
          </w:rPr>
          <w:t>The process to date</w:t>
        </w:r>
        <w:r w:rsidR="00AC36EC">
          <w:rPr>
            <w:webHidden/>
          </w:rPr>
          <w:tab/>
        </w:r>
        <w:r w:rsidR="00AC36EC">
          <w:rPr>
            <w:webHidden/>
          </w:rPr>
          <w:fldChar w:fldCharType="begin"/>
        </w:r>
        <w:r w:rsidR="00AC36EC">
          <w:rPr>
            <w:webHidden/>
          </w:rPr>
          <w:instrText xml:space="preserve"> PAGEREF _Toc120600044 \h </w:instrText>
        </w:r>
        <w:r w:rsidR="00AC36EC">
          <w:rPr>
            <w:webHidden/>
          </w:rPr>
        </w:r>
        <w:r w:rsidR="00AC36EC">
          <w:rPr>
            <w:webHidden/>
          </w:rPr>
          <w:fldChar w:fldCharType="separate"/>
        </w:r>
        <w:r w:rsidR="00AC36EC">
          <w:rPr>
            <w:webHidden/>
          </w:rPr>
          <w:t>12</w:t>
        </w:r>
        <w:r w:rsidR="00AC36EC">
          <w:rPr>
            <w:webHidden/>
          </w:rPr>
          <w:fldChar w:fldCharType="end"/>
        </w:r>
      </w:hyperlink>
    </w:p>
    <w:p w14:paraId="78B11492" w14:textId="227A1380" w:rsidR="00AC36EC" w:rsidRDefault="00615F77">
      <w:pPr>
        <w:pStyle w:val="TOC2"/>
        <w:rPr>
          <w:rFonts w:asciiTheme="minorHAnsi" w:eastAsiaTheme="minorEastAsia" w:hAnsiTheme="minorHAnsi" w:cstheme="minorBidi"/>
          <w:spacing w:val="0"/>
          <w:sz w:val="22"/>
          <w:szCs w:val="22"/>
        </w:rPr>
      </w:pPr>
      <w:hyperlink w:anchor="_Toc120600045" w:history="1">
        <w:r w:rsidR="00AC36EC" w:rsidRPr="00ED0C27">
          <w:rPr>
            <w:rStyle w:val="Hyperlink"/>
          </w:rPr>
          <w:t>Consultation</w:t>
        </w:r>
        <w:r w:rsidR="00AC36EC">
          <w:rPr>
            <w:webHidden/>
          </w:rPr>
          <w:tab/>
        </w:r>
        <w:r w:rsidR="00AC36EC">
          <w:rPr>
            <w:webHidden/>
          </w:rPr>
          <w:fldChar w:fldCharType="begin"/>
        </w:r>
        <w:r w:rsidR="00AC36EC">
          <w:rPr>
            <w:webHidden/>
          </w:rPr>
          <w:instrText xml:space="preserve"> PAGEREF _Toc120600045 \h </w:instrText>
        </w:r>
        <w:r w:rsidR="00AC36EC">
          <w:rPr>
            <w:webHidden/>
          </w:rPr>
        </w:r>
        <w:r w:rsidR="00AC36EC">
          <w:rPr>
            <w:webHidden/>
          </w:rPr>
          <w:fldChar w:fldCharType="separate"/>
        </w:r>
        <w:r w:rsidR="00AC36EC">
          <w:rPr>
            <w:webHidden/>
          </w:rPr>
          <w:t>12</w:t>
        </w:r>
        <w:r w:rsidR="00AC36EC">
          <w:rPr>
            <w:webHidden/>
          </w:rPr>
          <w:fldChar w:fldCharType="end"/>
        </w:r>
      </w:hyperlink>
    </w:p>
    <w:p w14:paraId="3C6F1249" w14:textId="60E58BDC" w:rsidR="00AC36EC" w:rsidRDefault="00615F77">
      <w:pPr>
        <w:pStyle w:val="TOC2"/>
        <w:rPr>
          <w:rFonts w:asciiTheme="minorHAnsi" w:eastAsiaTheme="minorEastAsia" w:hAnsiTheme="minorHAnsi" w:cstheme="minorBidi"/>
          <w:spacing w:val="0"/>
          <w:sz w:val="22"/>
          <w:szCs w:val="22"/>
        </w:rPr>
      </w:pPr>
      <w:hyperlink w:anchor="_Toc120600046" w:history="1">
        <w:r w:rsidR="00AC36EC" w:rsidRPr="00ED0C27">
          <w:rPr>
            <w:rStyle w:val="Hyperlink"/>
          </w:rPr>
          <w:t>Summary of submissions</w:t>
        </w:r>
        <w:r w:rsidR="00AC36EC">
          <w:rPr>
            <w:webHidden/>
          </w:rPr>
          <w:tab/>
        </w:r>
        <w:r w:rsidR="00AC36EC">
          <w:rPr>
            <w:webHidden/>
          </w:rPr>
          <w:fldChar w:fldCharType="begin"/>
        </w:r>
        <w:r w:rsidR="00AC36EC">
          <w:rPr>
            <w:webHidden/>
          </w:rPr>
          <w:instrText xml:space="preserve"> PAGEREF _Toc120600046 \h </w:instrText>
        </w:r>
        <w:r w:rsidR="00AC36EC">
          <w:rPr>
            <w:webHidden/>
          </w:rPr>
        </w:r>
        <w:r w:rsidR="00AC36EC">
          <w:rPr>
            <w:webHidden/>
          </w:rPr>
          <w:fldChar w:fldCharType="separate"/>
        </w:r>
        <w:r w:rsidR="00AC36EC">
          <w:rPr>
            <w:webHidden/>
          </w:rPr>
          <w:t>12</w:t>
        </w:r>
        <w:r w:rsidR="00AC36EC">
          <w:rPr>
            <w:webHidden/>
          </w:rPr>
          <w:fldChar w:fldCharType="end"/>
        </w:r>
      </w:hyperlink>
    </w:p>
    <w:p w14:paraId="0C1D4E11" w14:textId="44D5E43F" w:rsidR="00AC36EC" w:rsidRDefault="00615F77">
      <w:pPr>
        <w:pStyle w:val="TOC1"/>
        <w:rPr>
          <w:rFonts w:asciiTheme="minorHAnsi" w:eastAsiaTheme="minorEastAsia" w:hAnsiTheme="minorHAnsi" w:cstheme="minorBidi"/>
          <w:b w:val="0"/>
          <w:spacing w:val="0"/>
          <w:sz w:val="22"/>
          <w:szCs w:val="22"/>
        </w:rPr>
      </w:pPr>
      <w:hyperlink w:anchor="_Toc120600047" w:history="1">
        <w:r w:rsidR="00AC36EC" w:rsidRPr="00ED0C27">
          <w:rPr>
            <w:rStyle w:val="Hyperlink"/>
          </w:rPr>
          <w:t>The case for action</w:t>
        </w:r>
        <w:r w:rsidR="00AC36EC">
          <w:rPr>
            <w:webHidden/>
          </w:rPr>
          <w:tab/>
        </w:r>
        <w:r w:rsidR="00AC36EC">
          <w:rPr>
            <w:webHidden/>
          </w:rPr>
          <w:fldChar w:fldCharType="begin"/>
        </w:r>
        <w:r w:rsidR="00AC36EC">
          <w:rPr>
            <w:webHidden/>
          </w:rPr>
          <w:instrText xml:space="preserve"> PAGEREF _Toc120600047 \h </w:instrText>
        </w:r>
        <w:r w:rsidR="00AC36EC">
          <w:rPr>
            <w:webHidden/>
          </w:rPr>
        </w:r>
        <w:r w:rsidR="00AC36EC">
          <w:rPr>
            <w:webHidden/>
          </w:rPr>
          <w:fldChar w:fldCharType="separate"/>
        </w:r>
        <w:r w:rsidR="00AC36EC">
          <w:rPr>
            <w:webHidden/>
          </w:rPr>
          <w:t>16</w:t>
        </w:r>
        <w:r w:rsidR="00AC36EC">
          <w:rPr>
            <w:webHidden/>
          </w:rPr>
          <w:fldChar w:fldCharType="end"/>
        </w:r>
      </w:hyperlink>
    </w:p>
    <w:p w14:paraId="5B48A9F5" w14:textId="1B2C3293" w:rsidR="00AC36EC" w:rsidRDefault="00615F77">
      <w:pPr>
        <w:pStyle w:val="TOC2"/>
        <w:rPr>
          <w:rFonts w:asciiTheme="minorHAnsi" w:eastAsiaTheme="minorEastAsia" w:hAnsiTheme="minorHAnsi" w:cstheme="minorBidi"/>
          <w:spacing w:val="0"/>
          <w:sz w:val="22"/>
          <w:szCs w:val="22"/>
        </w:rPr>
      </w:pPr>
      <w:hyperlink w:anchor="_Toc120600048" w:history="1">
        <w:r w:rsidR="00AC36EC" w:rsidRPr="00ED0C27">
          <w:rPr>
            <w:rStyle w:val="Hyperlink"/>
          </w:rPr>
          <w:t>Technological developments and international harmonisation</w:t>
        </w:r>
        <w:r w:rsidR="00AC36EC">
          <w:rPr>
            <w:webHidden/>
          </w:rPr>
          <w:tab/>
        </w:r>
        <w:r w:rsidR="00AC36EC">
          <w:rPr>
            <w:webHidden/>
          </w:rPr>
          <w:fldChar w:fldCharType="begin"/>
        </w:r>
        <w:r w:rsidR="00AC36EC">
          <w:rPr>
            <w:webHidden/>
          </w:rPr>
          <w:instrText xml:space="preserve"> PAGEREF _Toc120600048 \h </w:instrText>
        </w:r>
        <w:r w:rsidR="00AC36EC">
          <w:rPr>
            <w:webHidden/>
          </w:rPr>
        </w:r>
        <w:r w:rsidR="00AC36EC">
          <w:rPr>
            <w:webHidden/>
          </w:rPr>
          <w:fldChar w:fldCharType="separate"/>
        </w:r>
        <w:r w:rsidR="00AC36EC">
          <w:rPr>
            <w:webHidden/>
          </w:rPr>
          <w:t>16</w:t>
        </w:r>
        <w:r w:rsidR="00AC36EC">
          <w:rPr>
            <w:webHidden/>
          </w:rPr>
          <w:fldChar w:fldCharType="end"/>
        </w:r>
      </w:hyperlink>
    </w:p>
    <w:p w14:paraId="0DACF64C" w14:textId="45A41F90" w:rsidR="00AC36EC" w:rsidRDefault="00615F77">
      <w:pPr>
        <w:pStyle w:val="TOC2"/>
        <w:rPr>
          <w:rFonts w:asciiTheme="minorHAnsi" w:eastAsiaTheme="minorEastAsia" w:hAnsiTheme="minorHAnsi" w:cstheme="minorBidi"/>
          <w:spacing w:val="0"/>
          <w:sz w:val="22"/>
          <w:szCs w:val="22"/>
        </w:rPr>
      </w:pPr>
      <w:hyperlink w:anchor="_Toc120600049" w:history="1">
        <w:r w:rsidR="00AC36EC" w:rsidRPr="00ED0C27">
          <w:rPr>
            <w:rStyle w:val="Hyperlink"/>
          </w:rPr>
          <w:t>Domestic considerations</w:t>
        </w:r>
        <w:r w:rsidR="00AC36EC">
          <w:rPr>
            <w:webHidden/>
          </w:rPr>
          <w:tab/>
        </w:r>
        <w:r w:rsidR="00AC36EC">
          <w:rPr>
            <w:webHidden/>
          </w:rPr>
          <w:fldChar w:fldCharType="begin"/>
        </w:r>
        <w:r w:rsidR="00AC36EC">
          <w:rPr>
            <w:webHidden/>
          </w:rPr>
          <w:instrText xml:space="preserve"> PAGEREF _Toc120600049 \h </w:instrText>
        </w:r>
        <w:r w:rsidR="00AC36EC">
          <w:rPr>
            <w:webHidden/>
          </w:rPr>
        </w:r>
        <w:r w:rsidR="00AC36EC">
          <w:rPr>
            <w:webHidden/>
          </w:rPr>
          <w:fldChar w:fldCharType="separate"/>
        </w:r>
        <w:r w:rsidR="00AC36EC">
          <w:rPr>
            <w:webHidden/>
          </w:rPr>
          <w:t>17</w:t>
        </w:r>
        <w:r w:rsidR="00AC36EC">
          <w:rPr>
            <w:webHidden/>
          </w:rPr>
          <w:fldChar w:fldCharType="end"/>
        </w:r>
      </w:hyperlink>
    </w:p>
    <w:p w14:paraId="3F71705D" w14:textId="027F222B" w:rsidR="00AC36EC" w:rsidRDefault="00615F77">
      <w:pPr>
        <w:pStyle w:val="TOC1"/>
        <w:rPr>
          <w:rFonts w:asciiTheme="minorHAnsi" w:eastAsiaTheme="minorEastAsia" w:hAnsiTheme="minorHAnsi" w:cstheme="minorBidi"/>
          <w:b w:val="0"/>
          <w:spacing w:val="0"/>
          <w:sz w:val="22"/>
          <w:szCs w:val="22"/>
        </w:rPr>
      </w:pPr>
      <w:hyperlink w:anchor="_Toc120600050" w:history="1">
        <w:r w:rsidR="00AC36EC" w:rsidRPr="00ED0C27">
          <w:rPr>
            <w:rStyle w:val="Hyperlink"/>
          </w:rPr>
          <w:t>Desirable planning outcomes for the 1.9 GHz band</w:t>
        </w:r>
        <w:r w:rsidR="00AC36EC">
          <w:rPr>
            <w:webHidden/>
          </w:rPr>
          <w:tab/>
        </w:r>
        <w:r w:rsidR="00AC36EC">
          <w:rPr>
            <w:webHidden/>
          </w:rPr>
          <w:fldChar w:fldCharType="begin"/>
        </w:r>
        <w:r w:rsidR="00AC36EC">
          <w:rPr>
            <w:webHidden/>
          </w:rPr>
          <w:instrText xml:space="preserve"> PAGEREF _Toc120600050 \h </w:instrText>
        </w:r>
        <w:r w:rsidR="00AC36EC">
          <w:rPr>
            <w:webHidden/>
          </w:rPr>
        </w:r>
        <w:r w:rsidR="00AC36EC">
          <w:rPr>
            <w:webHidden/>
          </w:rPr>
          <w:fldChar w:fldCharType="separate"/>
        </w:r>
        <w:r w:rsidR="00AC36EC">
          <w:rPr>
            <w:webHidden/>
          </w:rPr>
          <w:t>20</w:t>
        </w:r>
        <w:r w:rsidR="00AC36EC">
          <w:rPr>
            <w:webHidden/>
          </w:rPr>
          <w:fldChar w:fldCharType="end"/>
        </w:r>
      </w:hyperlink>
    </w:p>
    <w:p w14:paraId="7DF086CF" w14:textId="5628C794" w:rsidR="00AC36EC" w:rsidRDefault="00615F77">
      <w:pPr>
        <w:pStyle w:val="TOC1"/>
        <w:rPr>
          <w:rFonts w:asciiTheme="minorHAnsi" w:eastAsiaTheme="minorEastAsia" w:hAnsiTheme="minorHAnsi" w:cstheme="minorBidi"/>
          <w:b w:val="0"/>
          <w:spacing w:val="0"/>
          <w:sz w:val="22"/>
          <w:szCs w:val="22"/>
        </w:rPr>
      </w:pPr>
      <w:hyperlink w:anchor="_Toc120600051" w:history="1">
        <w:r w:rsidR="00AC36EC" w:rsidRPr="00ED0C27">
          <w:rPr>
            <w:rStyle w:val="Hyperlink"/>
          </w:rPr>
          <w:t>Replanning options</w:t>
        </w:r>
        <w:r w:rsidR="00AC36EC">
          <w:rPr>
            <w:webHidden/>
          </w:rPr>
          <w:tab/>
        </w:r>
        <w:r w:rsidR="00AC36EC">
          <w:rPr>
            <w:webHidden/>
          </w:rPr>
          <w:fldChar w:fldCharType="begin"/>
        </w:r>
        <w:r w:rsidR="00AC36EC">
          <w:rPr>
            <w:webHidden/>
          </w:rPr>
          <w:instrText xml:space="preserve"> PAGEREF _Toc120600051 \h </w:instrText>
        </w:r>
        <w:r w:rsidR="00AC36EC">
          <w:rPr>
            <w:webHidden/>
          </w:rPr>
        </w:r>
        <w:r w:rsidR="00AC36EC">
          <w:rPr>
            <w:webHidden/>
          </w:rPr>
          <w:fldChar w:fldCharType="separate"/>
        </w:r>
        <w:r w:rsidR="00AC36EC">
          <w:rPr>
            <w:webHidden/>
          </w:rPr>
          <w:t>22</w:t>
        </w:r>
        <w:r w:rsidR="00AC36EC">
          <w:rPr>
            <w:webHidden/>
          </w:rPr>
          <w:fldChar w:fldCharType="end"/>
        </w:r>
      </w:hyperlink>
    </w:p>
    <w:p w14:paraId="0F70AA0A" w14:textId="22F51540" w:rsidR="00AC36EC" w:rsidRDefault="00615F77">
      <w:pPr>
        <w:pStyle w:val="TOC2"/>
        <w:rPr>
          <w:rFonts w:asciiTheme="minorHAnsi" w:eastAsiaTheme="minorEastAsia" w:hAnsiTheme="minorHAnsi" w:cstheme="minorBidi"/>
          <w:spacing w:val="0"/>
          <w:sz w:val="22"/>
          <w:szCs w:val="22"/>
        </w:rPr>
      </w:pPr>
      <w:hyperlink w:anchor="_Toc120600052" w:history="1">
        <w:r w:rsidR="00AC36EC" w:rsidRPr="00ED0C27">
          <w:rPr>
            <w:rStyle w:val="Hyperlink"/>
          </w:rPr>
          <w:t>Option 1 (existing arrangements)</w:t>
        </w:r>
        <w:r w:rsidR="00AC36EC">
          <w:rPr>
            <w:webHidden/>
          </w:rPr>
          <w:tab/>
        </w:r>
        <w:r w:rsidR="00AC36EC">
          <w:rPr>
            <w:webHidden/>
          </w:rPr>
          <w:fldChar w:fldCharType="begin"/>
        </w:r>
        <w:r w:rsidR="00AC36EC">
          <w:rPr>
            <w:webHidden/>
          </w:rPr>
          <w:instrText xml:space="preserve"> PAGEREF _Toc120600052 \h </w:instrText>
        </w:r>
        <w:r w:rsidR="00AC36EC">
          <w:rPr>
            <w:webHidden/>
          </w:rPr>
        </w:r>
        <w:r w:rsidR="00AC36EC">
          <w:rPr>
            <w:webHidden/>
          </w:rPr>
          <w:fldChar w:fldCharType="separate"/>
        </w:r>
        <w:r w:rsidR="00AC36EC">
          <w:rPr>
            <w:webHidden/>
          </w:rPr>
          <w:t>22</w:t>
        </w:r>
        <w:r w:rsidR="00AC36EC">
          <w:rPr>
            <w:webHidden/>
          </w:rPr>
          <w:fldChar w:fldCharType="end"/>
        </w:r>
      </w:hyperlink>
    </w:p>
    <w:p w14:paraId="7037F867" w14:textId="1842543B" w:rsidR="00AC36EC" w:rsidRDefault="00615F77">
      <w:pPr>
        <w:pStyle w:val="TOC2"/>
        <w:rPr>
          <w:rFonts w:asciiTheme="minorHAnsi" w:eastAsiaTheme="minorEastAsia" w:hAnsiTheme="minorHAnsi" w:cstheme="minorBidi"/>
          <w:spacing w:val="0"/>
          <w:sz w:val="22"/>
          <w:szCs w:val="22"/>
        </w:rPr>
      </w:pPr>
      <w:hyperlink w:anchor="_Toc120600053" w:history="1">
        <w:r w:rsidR="00AC36EC" w:rsidRPr="00ED0C27">
          <w:rPr>
            <w:rStyle w:val="Hyperlink"/>
          </w:rPr>
          <w:t>Option 2 (expansion of SR WBB)</w:t>
        </w:r>
        <w:r w:rsidR="00AC36EC">
          <w:rPr>
            <w:webHidden/>
          </w:rPr>
          <w:tab/>
        </w:r>
        <w:r w:rsidR="00AC36EC">
          <w:rPr>
            <w:webHidden/>
          </w:rPr>
          <w:fldChar w:fldCharType="begin"/>
        </w:r>
        <w:r w:rsidR="00AC36EC">
          <w:rPr>
            <w:webHidden/>
          </w:rPr>
          <w:instrText xml:space="preserve"> PAGEREF _Toc120600053 \h </w:instrText>
        </w:r>
        <w:r w:rsidR="00AC36EC">
          <w:rPr>
            <w:webHidden/>
          </w:rPr>
        </w:r>
        <w:r w:rsidR="00AC36EC">
          <w:rPr>
            <w:webHidden/>
          </w:rPr>
          <w:fldChar w:fldCharType="separate"/>
        </w:r>
        <w:r w:rsidR="00AC36EC">
          <w:rPr>
            <w:webHidden/>
          </w:rPr>
          <w:t>24</w:t>
        </w:r>
        <w:r w:rsidR="00AC36EC">
          <w:rPr>
            <w:webHidden/>
          </w:rPr>
          <w:fldChar w:fldCharType="end"/>
        </w:r>
      </w:hyperlink>
    </w:p>
    <w:p w14:paraId="2E417F28" w14:textId="25D37FF5" w:rsidR="00AC36EC" w:rsidRDefault="00615F77">
      <w:pPr>
        <w:pStyle w:val="TOC2"/>
        <w:rPr>
          <w:rFonts w:asciiTheme="minorHAnsi" w:eastAsiaTheme="minorEastAsia" w:hAnsiTheme="minorHAnsi" w:cstheme="minorBidi"/>
          <w:spacing w:val="0"/>
          <w:sz w:val="22"/>
          <w:szCs w:val="22"/>
        </w:rPr>
      </w:pPr>
      <w:hyperlink w:anchor="_Toc120600054" w:history="1">
        <w:r w:rsidR="00AC36EC" w:rsidRPr="00ED0C27">
          <w:rPr>
            <w:rStyle w:val="Hyperlink"/>
          </w:rPr>
          <w:t>Option 3 (introduction of RMR)</w:t>
        </w:r>
        <w:r w:rsidR="00AC36EC">
          <w:rPr>
            <w:webHidden/>
          </w:rPr>
          <w:tab/>
        </w:r>
        <w:r w:rsidR="00AC36EC">
          <w:rPr>
            <w:webHidden/>
          </w:rPr>
          <w:fldChar w:fldCharType="begin"/>
        </w:r>
        <w:r w:rsidR="00AC36EC">
          <w:rPr>
            <w:webHidden/>
          </w:rPr>
          <w:instrText xml:space="preserve"> PAGEREF _Toc120600054 \h </w:instrText>
        </w:r>
        <w:r w:rsidR="00AC36EC">
          <w:rPr>
            <w:webHidden/>
          </w:rPr>
        </w:r>
        <w:r w:rsidR="00AC36EC">
          <w:rPr>
            <w:webHidden/>
          </w:rPr>
          <w:fldChar w:fldCharType="separate"/>
        </w:r>
        <w:r w:rsidR="00AC36EC">
          <w:rPr>
            <w:webHidden/>
          </w:rPr>
          <w:t>25</w:t>
        </w:r>
        <w:r w:rsidR="00AC36EC">
          <w:rPr>
            <w:webHidden/>
          </w:rPr>
          <w:fldChar w:fldCharType="end"/>
        </w:r>
      </w:hyperlink>
    </w:p>
    <w:p w14:paraId="21B7DF33" w14:textId="304FD886" w:rsidR="00AC36EC" w:rsidRDefault="00615F77">
      <w:pPr>
        <w:pStyle w:val="TOC2"/>
        <w:rPr>
          <w:rFonts w:asciiTheme="minorHAnsi" w:eastAsiaTheme="minorEastAsia" w:hAnsiTheme="minorHAnsi" w:cstheme="minorBidi"/>
          <w:spacing w:val="0"/>
          <w:sz w:val="22"/>
          <w:szCs w:val="22"/>
        </w:rPr>
      </w:pPr>
      <w:hyperlink w:anchor="_Toc120600055" w:history="1">
        <w:r w:rsidR="00AC36EC" w:rsidRPr="00ED0C27">
          <w:rPr>
            <w:rStyle w:val="Hyperlink"/>
          </w:rPr>
          <w:t>Option 4 (hybrid arrangements)</w:t>
        </w:r>
        <w:r w:rsidR="00AC36EC">
          <w:rPr>
            <w:webHidden/>
          </w:rPr>
          <w:tab/>
        </w:r>
        <w:r w:rsidR="00AC36EC">
          <w:rPr>
            <w:webHidden/>
          </w:rPr>
          <w:fldChar w:fldCharType="begin"/>
        </w:r>
        <w:r w:rsidR="00AC36EC">
          <w:rPr>
            <w:webHidden/>
          </w:rPr>
          <w:instrText xml:space="preserve"> PAGEREF _Toc120600055 \h </w:instrText>
        </w:r>
        <w:r w:rsidR="00AC36EC">
          <w:rPr>
            <w:webHidden/>
          </w:rPr>
        </w:r>
        <w:r w:rsidR="00AC36EC">
          <w:rPr>
            <w:webHidden/>
          </w:rPr>
          <w:fldChar w:fldCharType="separate"/>
        </w:r>
        <w:r w:rsidR="00AC36EC">
          <w:rPr>
            <w:webHidden/>
          </w:rPr>
          <w:t>26</w:t>
        </w:r>
        <w:r w:rsidR="00AC36EC">
          <w:rPr>
            <w:webHidden/>
          </w:rPr>
          <w:fldChar w:fldCharType="end"/>
        </w:r>
      </w:hyperlink>
    </w:p>
    <w:p w14:paraId="25FA6DD0" w14:textId="79DDFF15" w:rsidR="00AC36EC" w:rsidRDefault="00615F77">
      <w:pPr>
        <w:pStyle w:val="TOC2"/>
        <w:rPr>
          <w:rFonts w:asciiTheme="minorHAnsi" w:eastAsiaTheme="minorEastAsia" w:hAnsiTheme="minorHAnsi" w:cstheme="minorBidi"/>
          <w:spacing w:val="0"/>
          <w:sz w:val="22"/>
          <w:szCs w:val="22"/>
        </w:rPr>
      </w:pPr>
      <w:hyperlink w:anchor="_Toc120600056" w:history="1">
        <w:r w:rsidR="00AC36EC" w:rsidRPr="00ED0C27">
          <w:rPr>
            <w:rStyle w:val="Hyperlink"/>
          </w:rPr>
          <w:t>Summary of options</w:t>
        </w:r>
        <w:r w:rsidR="00AC36EC">
          <w:rPr>
            <w:webHidden/>
          </w:rPr>
          <w:tab/>
        </w:r>
        <w:r w:rsidR="00AC36EC">
          <w:rPr>
            <w:webHidden/>
          </w:rPr>
          <w:fldChar w:fldCharType="begin"/>
        </w:r>
        <w:r w:rsidR="00AC36EC">
          <w:rPr>
            <w:webHidden/>
          </w:rPr>
          <w:instrText xml:space="preserve"> PAGEREF _Toc120600056 \h </w:instrText>
        </w:r>
        <w:r w:rsidR="00AC36EC">
          <w:rPr>
            <w:webHidden/>
          </w:rPr>
        </w:r>
        <w:r w:rsidR="00AC36EC">
          <w:rPr>
            <w:webHidden/>
          </w:rPr>
          <w:fldChar w:fldCharType="separate"/>
        </w:r>
        <w:r w:rsidR="00AC36EC">
          <w:rPr>
            <w:webHidden/>
          </w:rPr>
          <w:t>27</w:t>
        </w:r>
        <w:r w:rsidR="00AC36EC">
          <w:rPr>
            <w:webHidden/>
          </w:rPr>
          <w:fldChar w:fldCharType="end"/>
        </w:r>
      </w:hyperlink>
    </w:p>
    <w:p w14:paraId="13538694" w14:textId="1416B24D" w:rsidR="00AC36EC" w:rsidRDefault="00615F77">
      <w:pPr>
        <w:pStyle w:val="TOC2"/>
        <w:rPr>
          <w:rFonts w:asciiTheme="minorHAnsi" w:eastAsiaTheme="minorEastAsia" w:hAnsiTheme="minorHAnsi" w:cstheme="minorBidi"/>
          <w:spacing w:val="0"/>
          <w:sz w:val="22"/>
          <w:szCs w:val="22"/>
        </w:rPr>
      </w:pPr>
      <w:hyperlink w:anchor="_Toc120600057" w:history="1">
        <w:r w:rsidR="00AC36EC" w:rsidRPr="00ED0C27">
          <w:rPr>
            <w:rStyle w:val="Hyperlink"/>
          </w:rPr>
          <w:t>Possible other changes to the current 1.9 GHz band spectrum arrangements</w:t>
        </w:r>
        <w:r w:rsidR="00AC36EC">
          <w:rPr>
            <w:webHidden/>
          </w:rPr>
          <w:tab/>
        </w:r>
        <w:r w:rsidR="00AC36EC">
          <w:rPr>
            <w:webHidden/>
          </w:rPr>
          <w:fldChar w:fldCharType="begin"/>
        </w:r>
        <w:r w:rsidR="00AC36EC">
          <w:rPr>
            <w:webHidden/>
          </w:rPr>
          <w:instrText xml:space="preserve"> PAGEREF _Toc120600057 \h </w:instrText>
        </w:r>
        <w:r w:rsidR="00AC36EC">
          <w:rPr>
            <w:webHidden/>
          </w:rPr>
        </w:r>
        <w:r w:rsidR="00AC36EC">
          <w:rPr>
            <w:webHidden/>
          </w:rPr>
          <w:fldChar w:fldCharType="separate"/>
        </w:r>
        <w:r w:rsidR="00AC36EC">
          <w:rPr>
            <w:webHidden/>
          </w:rPr>
          <w:t>28</w:t>
        </w:r>
        <w:r w:rsidR="00AC36EC">
          <w:rPr>
            <w:webHidden/>
          </w:rPr>
          <w:fldChar w:fldCharType="end"/>
        </w:r>
      </w:hyperlink>
    </w:p>
    <w:p w14:paraId="065E9038" w14:textId="513FEE88" w:rsidR="00AC36EC" w:rsidRDefault="00615F77">
      <w:pPr>
        <w:pStyle w:val="TOC2"/>
        <w:rPr>
          <w:rFonts w:asciiTheme="minorHAnsi" w:eastAsiaTheme="minorEastAsia" w:hAnsiTheme="minorHAnsi" w:cstheme="minorBidi"/>
          <w:spacing w:val="0"/>
          <w:sz w:val="22"/>
          <w:szCs w:val="22"/>
        </w:rPr>
      </w:pPr>
      <w:hyperlink w:anchor="_Toc120600058" w:history="1">
        <w:r w:rsidR="00AC36EC" w:rsidRPr="00ED0C27">
          <w:rPr>
            <w:rStyle w:val="Hyperlink"/>
          </w:rPr>
          <w:t>Implementation considerations</w:t>
        </w:r>
        <w:r w:rsidR="00AC36EC">
          <w:rPr>
            <w:webHidden/>
          </w:rPr>
          <w:tab/>
        </w:r>
        <w:r w:rsidR="00AC36EC">
          <w:rPr>
            <w:webHidden/>
          </w:rPr>
          <w:fldChar w:fldCharType="begin"/>
        </w:r>
        <w:r w:rsidR="00AC36EC">
          <w:rPr>
            <w:webHidden/>
          </w:rPr>
          <w:instrText xml:space="preserve"> PAGEREF _Toc120600058 \h </w:instrText>
        </w:r>
        <w:r w:rsidR="00AC36EC">
          <w:rPr>
            <w:webHidden/>
          </w:rPr>
        </w:r>
        <w:r w:rsidR="00AC36EC">
          <w:rPr>
            <w:webHidden/>
          </w:rPr>
          <w:fldChar w:fldCharType="separate"/>
        </w:r>
        <w:r w:rsidR="00AC36EC">
          <w:rPr>
            <w:webHidden/>
          </w:rPr>
          <w:t>29</w:t>
        </w:r>
        <w:r w:rsidR="00AC36EC">
          <w:rPr>
            <w:webHidden/>
          </w:rPr>
          <w:fldChar w:fldCharType="end"/>
        </w:r>
      </w:hyperlink>
    </w:p>
    <w:p w14:paraId="74CF6D83" w14:textId="7DE41B90" w:rsidR="00AC36EC" w:rsidRDefault="00615F77">
      <w:pPr>
        <w:pStyle w:val="TOC1"/>
        <w:rPr>
          <w:rFonts w:asciiTheme="minorHAnsi" w:eastAsiaTheme="minorEastAsia" w:hAnsiTheme="minorHAnsi" w:cstheme="minorBidi"/>
          <w:b w:val="0"/>
          <w:spacing w:val="0"/>
          <w:sz w:val="22"/>
          <w:szCs w:val="22"/>
        </w:rPr>
      </w:pPr>
      <w:hyperlink w:anchor="_Toc120600059" w:history="1">
        <w:r w:rsidR="00AC36EC" w:rsidRPr="00ED0C27">
          <w:rPr>
            <w:rStyle w:val="Hyperlink"/>
          </w:rPr>
          <w:t>Assessment of options</w:t>
        </w:r>
        <w:r w:rsidR="00AC36EC">
          <w:rPr>
            <w:webHidden/>
          </w:rPr>
          <w:tab/>
        </w:r>
        <w:r w:rsidR="00AC36EC">
          <w:rPr>
            <w:webHidden/>
          </w:rPr>
          <w:fldChar w:fldCharType="begin"/>
        </w:r>
        <w:r w:rsidR="00AC36EC">
          <w:rPr>
            <w:webHidden/>
          </w:rPr>
          <w:instrText xml:space="preserve"> PAGEREF _Toc120600059 \h </w:instrText>
        </w:r>
        <w:r w:rsidR="00AC36EC">
          <w:rPr>
            <w:webHidden/>
          </w:rPr>
        </w:r>
        <w:r w:rsidR="00AC36EC">
          <w:rPr>
            <w:webHidden/>
          </w:rPr>
          <w:fldChar w:fldCharType="separate"/>
        </w:r>
        <w:r w:rsidR="00AC36EC">
          <w:rPr>
            <w:webHidden/>
          </w:rPr>
          <w:t>31</w:t>
        </w:r>
        <w:r w:rsidR="00AC36EC">
          <w:rPr>
            <w:webHidden/>
          </w:rPr>
          <w:fldChar w:fldCharType="end"/>
        </w:r>
      </w:hyperlink>
    </w:p>
    <w:p w14:paraId="54A92B22" w14:textId="1BA67351" w:rsidR="00AC36EC" w:rsidRDefault="00615F77">
      <w:pPr>
        <w:pStyle w:val="TOC2"/>
        <w:rPr>
          <w:rFonts w:asciiTheme="minorHAnsi" w:eastAsiaTheme="minorEastAsia" w:hAnsiTheme="minorHAnsi" w:cstheme="minorBidi"/>
          <w:spacing w:val="0"/>
          <w:sz w:val="22"/>
          <w:szCs w:val="22"/>
        </w:rPr>
      </w:pPr>
      <w:hyperlink w:anchor="_Toc120600060" w:history="1">
        <w:r w:rsidR="00AC36EC" w:rsidRPr="00ED0C27">
          <w:rPr>
            <w:rStyle w:val="Hyperlink"/>
          </w:rPr>
          <w:t>Assessment against the desirable planning outcomes</w:t>
        </w:r>
        <w:r w:rsidR="00AC36EC">
          <w:rPr>
            <w:webHidden/>
          </w:rPr>
          <w:tab/>
        </w:r>
        <w:r w:rsidR="00AC36EC">
          <w:rPr>
            <w:webHidden/>
          </w:rPr>
          <w:fldChar w:fldCharType="begin"/>
        </w:r>
        <w:r w:rsidR="00AC36EC">
          <w:rPr>
            <w:webHidden/>
          </w:rPr>
          <w:instrText xml:space="preserve"> PAGEREF _Toc120600060 \h </w:instrText>
        </w:r>
        <w:r w:rsidR="00AC36EC">
          <w:rPr>
            <w:webHidden/>
          </w:rPr>
        </w:r>
        <w:r w:rsidR="00AC36EC">
          <w:rPr>
            <w:webHidden/>
          </w:rPr>
          <w:fldChar w:fldCharType="separate"/>
        </w:r>
        <w:r w:rsidR="00AC36EC">
          <w:rPr>
            <w:webHidden/>
          </w:rPr>
          <w:t>31</w:t>
        </w:r>
        <w:r w:rsidR="00AC36EC">
          <w:rPr>
            <w:webHidden/>
          </w:rPr>
          <w:fldChar w:fldCharType="end"/>
        </w:r>
      </w:hyperlink>
    </w:p>
    <w:p w14:paraId="78E88A98" w14:textId="35FF294A" w:rsidR="00AC36EC" w:rsidRDefault="00615F77">
      <w:pPr>
        <w:pStyle w:val="TOC2"/>
        <w:rPr>
          <w:rFonts w:asciiTheme="minorHAnsi" w:eastAsiaTheme="minorEastAsia" w:hAnsiTheme="minorHAnsi" w:cstheme="minorBidi"/>
          <w:spacing w:val="0"/>
          <w:sz w:val="22"/>
          <w:szCs w:val="22"/>
        </w:rPr>
      </w:pPr>
      <w:hyperlink w:anchor="_Toc120600061" w:history="1">
        <w:r w:rsidR="00AC36EC" w:rsidRPr="00ED0C27">
          <w:rPr>
            <w:rStyle w:val="Hyperlink"/>
          </w:rPr>
          <w:t>Summary of the assessment of the options</w:t>
        </w:r>
        <w:r w:rsidR="00AC36EC">
          <w:rPr>
            <w:webHidden/>
          </w:rPr>
          <w:tab/>
        </w:r>
        <w:r w:rsidR="00AC36EC">
          <w:rPr>
            <w:webHidden/>
          </w:rPr>
          <w:fldChar w:fldCharType="begin"/>
        </w:r>
        <w:r w:rsidR="00AC36EC">
          <w:rPr>
            <w:webHidden/>
          </w:rPr>
          <w:instrText xml:space="preserve"> PAGEREF _Toc120600061 \h </w:instrText>
        </w:r>
        <w:r w:rsidR="00AC36EC">
          <w:rPr>
            <w:webHidden/>
          </w:rPr>
        </w:r>
        <w:r w:rsidR="00AC36EC">
          <w:rPr>
            <w:webHidden/>
          </w:rPr>
          <w:fldChar w:fldCharType="separate"/>
        </w:r>
        <w:r w:rsidR="00AC36EC">
          <w:rPr>
            <w:webHidden/>
          </w:rPr>
          <w:t>35</w:t>
        </w:r>
        <w:r w:rsidR="00AC36EC">
          <w:rPr>
            <w:webHidden/>
          </w:rPr>
          <w:fldChar w:fldCharType="end"/>
        </w:r>
      </w:hyperlink>
    </w:p>
    <w:p w14:paraId="0C19E1DB" w14:textId="1F73968C" w:rsidR="00AC36EC" w:rsidRDefault="00615F77">
      <w:pPr>
        <w:pStyle w:val="TOC2"/>
        <w:rPr>
          <w:rFonts w:asciiTheme="minorHAnsi" w:eastAsiaTheme="minorEastAsia" w:hAnsiTheme="minorHAnsi" w:cstheme="minorBidi"/>
          <w:spacing w:val="0"/>
          <w:sz w:val="22"/>
          <w:szCs w:val="22"/>
        </w:rPr>
      </w:pPr>
      <w:hyperlink w:anchor="_Toc120600062" w:history="1">
        <w:r w:rsidR="00AC36EC" w:rsidRPr="00ED0C27">
          <w:rPr>
            <w:rStyle w:val="Hyperlink"/>
          </w:rPr>
          <w:t>Conclusion of the assessment of the options</w:t>
        </w:r>
        <w:r w:rsidR="00AC36EC">
          <w:rPr>
            <w:webHidden/>
          </w:rPr>
          <w:tab/>
        </w:r>
        <w:r w:rsidR="00AC36EC">
          <w:rPr>
            <w:webHidden/>
          </w:rPr>
          <w:fldChar w:fldCharType="begin"/>
        </w:r>
        <w:r w:rsidR="00AC36EC">
          <w:rPr>
            <w:webHidden/>
          </w:rPr>
          <w:instrText xml:space="preserve"> PAGEREF _Toc120600062 \h </w:instrText>
        </w:r>
        <w:r w:rsidR="00AC36EC">
          <w:rPr>
            <w:webHidden/>
          </w:rPr>
        </w:r>
        <w:r w:rsidR="00AC36EC">
          <w:rPr>
            <w:webHidden/>
          </w:rPr>
          <w:fldChar w:fldCharType="separate"/>
        </w:r>
        <w:r w:rsidR="00AC36EC">
          <w:rPr>
            <w:webHidden/>
          </w:rPr>
          <w:t>36</w:t>
        </w:r>
        <w:r w:rsidR="00AC36EC">
          <w:rPr>
            <w:webHidden/>
          </w:rPr>
          <w:fldChar w:fldCharType="end"/>
        </w:r>
      </w:hyperlink>
    </w:p>
    <w:p w14:paraId="57FA531E" w14:textId="439206F7" w:rsidR="00AC36EC" w:rsidRDefault="00615F77">
      <w:pPr>
        <w:pStyle w:val="TOC1"/>
        <w:rPr>
          <w:rFonts w:asciiTheme="minorHAnsi" w:eastAsiaTheme="minorEastAsia" w:hAnsiTheme="minorHAnsi" w:cstheme="minorBidi"/>
          <w:b w:val="0"/>
          <w:spacing w:val="0"/>
          <w:sz w:val="22"/>
          <w:szCs w:val="22"/>
        </w:rPr>
      </w:pPr>
      <w:hyperlink w:anchor="_Toc120600063" w:history="1">
        <w:r w:rsidR="00AC36EC" w:rsidRPr="00ED0C27">
          <w:rPr>
            <w:rStyle w:val="Hyperlink"/>
          </w:rPr>
          <w:t>Invitation to comment</w:t>
        </w:r>
        <w:r w:rsidR="00AC36EC">
          <w:rPr>
            <w:webHidden/>
          </w:rPr>
          <w:tab/>
        </w:r>
        <w:r w:rsidR="00AC36EC">
          <w:rPr>
            <w:webHidden/>
          </w:rPr>
          <w:fldChar w:fldCharType="begin"/>
        </w:r>
        <w:r w:rsidR="00AC36EC">
          <w:rPr>
            <w:webHidden/>
          </w:rPr>
          <w:instrText xml:space="preserve"> PAGEREF _Toc120600063 \h </w:instrText>
        </w:r>
        <w:r w:rsidR="00AC36EC">
          <w:rPr>
            <w:webHidden/>
          </w:rPr>
        </w:r>
        <w:r w:rsidR="00AC36EC">
          <w:rPr>
            <w:webHidden/>
          </w:rPr>
          <w:fldChar w:fldCharType="separate"/>
        </w:r>
        <w:r w:rsidR="00AC36EC">
          <w:rPr>
            <w:webHidden/>
          </w:rPr>
          <w:t>38</w:t>
        </w:r>
        <w:r w:rsidR="00AC36EC">
          <w:rPr>
            <w:webHidden/>
          </w:rPr>
          <w:fldChar w:fldCharType="end"/>
        </w:r>
      </w:hyperlink>
    </w:p>
    <w:p w14:paraId="39538775" w14:textId="4DA0EBD5" w:rsidR="00AC36EC" w:rsidRDefault="00615F77">
      <w:pPr>
        <w:pStyle w:val="TOC2"/>
        <w:rPr>
          <w:rFonts w:asciiTheme="minorHAnsi" w:eastAsiaTheme="minorEastAsia" w:hAnsiTheme="minorHAnsi" w:cstheme="minorBidi"/>
          <w:spacing w:val="0"/>
          <w:sz w:val="22"/>
          <w:szCs w:val="22"/>
        </w:rPr>
      </w:pPr>
      <w:hyperlink w:anchor="_Toc120600064" w:history="1">
        <w:r w:rsidR="00AC36EC" w:rsidRPr="00ED0C27">
          <w:rPr>
            <w:rStyle w:val="Hyperlink"/>
          </w:rPr>
          <w:t>Making a submission</w:t>
        </w:r>
        <w:r w:rsidR="00AC36EC">
          <w:rPr>
            <w:webHidden/>
          </w:rPr>
          <w:tab/>
        </w:r>
        <w:r w:rsidR="00AC36EC">
          <w:rPr>
            <w:webHidden/>
          </w:rPr>
          <w:fldChar w:fldCharType="begin"/>
        </w:r>
        <w:r w:rsidR="00AC36EC">
          <w:rPr>
            <w:webHidden/>
          </w:rPr>
          <w:instrText xml:space="preserve"> PAGEREF _Toc120600064 \h </w:instrText>
        </w:r>
        <w:r w:rsidR="00AC36EC">
          <w:rPr>
            <w:webHidden/>
          </w:rPr>
        </w:r>
        <w:r w:rsidR="00AC36EC">
          <w:rPr>
            <w:webHidden/>
          </w:rPr>
          <w:fldChar w:fldCharType="separate"/>
        </w:r>
        <w:r w:rsidR="00AC36EC">
          <w:rPr>
            <w:webHidden/>
          </w:rPr>
          <w:t>38</w:t>
        </w:r>
        <w:r w:rsidR="00AC36EC">
          <w:rPr>
            <w:webHidden/>
          </w:rPr>
          <w:fldChar w:fldCharType="end"/>
        </w:r>
      </w:hyperlink>
    </w:p>
    <w:p w14:paraId="54805A03" w14:textId="6C6284D5" w:rsidR="00AC36EC" w:rsidRDefault="00615F77">
      <w:pPr>
        <w:pStyle w:val="TOC1"/>
        <w:rPr>
          <w:rFonts w:asciiTheme="minorHAnsi" w:eastAsiaTheme="minorEastAsia" w:hAnsiTheme="minorHAnsi" w:cstheme="minorBidi"/>
          <w:b w:val="0"/>
          <w:spacing w:val="0"/>
          <w:sz w:val="22"/>
          <w:szCs w:val="22"/>
        </w:rPr>
      </w:pPr>
      <w:hyperlink w:anchor="_Toc120600065" w:history="1">
        <w:r w:rsidR="00AC36EC" w:rsidRPr="00ED0C27">
          <w:rPr>
            <w:rStyle w:val="Hyperlink"/>
          </w:rPr>
          <w:t>Glossary</w:t>
        </w:r>
        <w:r w:rsidR="00AC36EC">
          <w:rPr>
            <w:webHidden/>
          </w:rPr>
          <w:tab/>
        </w:r>
        <w:r w:rsidR="00AC36EC">
          <w:rPr>
            <w:webHidden/>
          </w:rPr>
          <w:fldChar w:fldCharType="begin"/>
        </w:r>
        <w:r w:rsidR="00AC36EC">
          <w:rPr>
            <w:webHidden/>
          </w:rPr>
          <w:instrText xml:space="preserve"> PAGEREF _Toc120600065 \h </w:instrText>
        </w:r>
        <w:r w:rsidR="00AC36EC">
          <w:rPr>
            <w:webHidden/>
          </w:rPr>
        </w:r>
        <w:r w:rsidR="00AC36EC">
          <w:rPr>
            <w:webHidden/>
          </w:rPr>
          <w:fldChar w:fldCharType="separate"/>
        </w:r>
        <w:r w:rsidR="00AC36EC">
          <w:rPr>
            <w:webHidden/>
          </w:rPr>
          <w:t>39</w:t>
        </w:r>
        <w:r w:rsidR="00AC36EC">
          <w:rPr>
            <w:webHidden/>
          </w:rPr>
          <w:fldChar w:fldCharType="end"/>
        </w:r>
      </w:hyperlink>
    </w:p>
    <w:p w14:paraId="5B09FC01" w14:textId="09DCBCA4" w:rsidR="00AC36EC" w:rsidRDefault="00615F77">
      <w:pPr>
        <w:pStyle w:val="TOC1"/>
        <w:rPr>
          <w:rFonts w:asciiTheme="minorHAnsi" w:eastAsiaTheme="minorEastAsia" w:hAnsiTheme="minorHAnsi" w:cstheme="minorBidi"/>
          <w:b w:val="0"/>
          <w:spacing w:val="0"/>
          <w:sz w:val="22"/>
          <w:szCs w:val="22"/>
        </w:rPr>
      </w:pPr>
      <w:hyperlink w:anchor="_Toc120600066" w:history="1">
        <w:r w:rsidR="00AC36EC" w:rsidRPr="00ED0C27">
          <w:rPr>
            <w:rStyle w:val="Hyperlink"/>
          </w:rPr>
          <w:t>Appendix A: List of respondents</w:t>
        </w:r>
        <w:r w:rsidR="00AC36EC">
          <w:rPr>
            <w:webHidden/>
          </w:rPr>
          <w:tab/>
        </w:r>
        <w:r w:rsidR="00AC36EC">
          <w:rPr>
            <w:webHidden/>
          </w:rPr>
          <w:fldChar w:fldCharType="begin"/>
        </w:r>
        <w:r w:rsidR="00AC36EC">
          <w:rPr>
            <w:webHidden/>
          </w:rPr>
          <w:instrText xml:space="preserve"> PAGEREF _Toc120600066 \h </w:instrText>
        </w:r>
        <w:r w:rsidR="00AC36EC">
          <w:rPr>
            <w:webHidden/>
          </w:rPr>
        </w:r>
        <w:r w:rsidR="00AC36EC">
          <w:rPr>
            <w:webHidden/>
          </w:rPr>
          <w:fldChar w:fldCharType="separate"/>
        </w:r>
        <w:r w:rsidR="00AC36EC">
          <w:rPr>
            <w:webHidden/>
          </w:rPr>
          <w:t>41</w:t>
        </w:r>
        <w:r w:rsidR="00AC36EC">
          <w:rPr>
            <w:webHidden/>
          </w:rPr>
          <w:fldChar w:fldCharType="end"/>
        </w:r>
      </w:hyperlink>
    </w:p>
    <w:p w14:paraId="2915A72E" w14:textId="5CE03C0E" w:rsidR="00AC36EC" w:rsidRDefault="00615F77">
      <w:pPr>
        <w:pStyle w:val="TOC1"/>
        <w:rPr>
          <w:rFonts w:asciiTheme="minorHAnsi" w:eastAsiaTheme="minorEastAsia" w:hAnsiTheme="minorHAnsi" w:cstheme="minorBidi"/>
          <w:b w:val="0"/>
          <w:spacing w:val="0"/>
          <w:sz w:val="22"/>
          <w:szCs w:val="22"/>
        </w:rPr>
      </w:pPr>
      <w:hyperlink w:anchor="_Toc120600067" w:history="1">
        <w:r w:rsidR="00AC36EC" w:rsidRPr="00ED0C27">
          <w:rPr>
            <w:rStyle w:val="Hyperlink"/>
          </w:rPr>
          <w:t>Appendix B: Fixed service analysis</w:t>
        </w:r>
        <w:r w:rsidR="00AC36EC">
          <w:rPr>
            <w:webHidden/>
          </w:rPr>
          <w:tab/>
        </w:r>
        <w:r w:rsidR="00AC36EC">
          <w:rPr>
            <w:webHidden/>
          </w:rPr>
          <w:fldChar w:fldCharType="begin"/>
        </w:r>
        <w:r w:rsidR="00AC36EC">
          <w:rPr>
            <w:webHidden/>
          </w:rPr>
          <w:instrText xml:space="preserve"> PAGEREF _Toc120600067 \h </w:instrText>
        </w:r>
        <w:r w:rsidR="00AC36EC">
          <w:rPr>
            <w:webHidden/>
          </w:rPr>
        </w:r>
        <w:r w:rsidR="00AC36EC">
          <w:rPr>
            <w:webHidden/>
          </w:rPr>
          <w:fldChar w:fldCharType="separate"/>
        </w:r>
        <w:r w:rsidR="00AC36EC">
          <w:rPr>
            <w:webHidden/>
          </w:rPr>
          <w:t>42</w:t>
        </w:r>
        <w:r w:rsidR="00AC36EC">
          <w:rPr>
            <w:webHidden/>
          </w:rPr>
          <w:fldChar w:fldCharType="end"/>
        </w:r>
      </w:hyperlink>
    </w:p>
    <w:p w14:paraId="3EBB4A01" w14:textId="5EF0F298" w:rsidR="00AC36EC" w:rsidRDefault="00615F77">
      <w:pPr>
        <w:pStyle w:val="TOC1"/>
        <w:rPr>
          <w:rFonts w:asciiTheme="minorHAnsi" w:eastAsiaTheme="minorEastAsia" w:hAnsiTheme="minorHAnsi" w:cstheme="minorBidi"/>
          <w:b w:val="0"/>
          <w:spacing w:val="0"/>
          <w:sz w:val="22"/>
          <w:szCs w:val="22"/>
        </w:rPr>
      </w:pPr>
      <w:hyperlink w:anchor="_Toc120600068" w:history="1">
        <w:r w:rsidR="00AC36EC" w:rsidRPr="00ED0C27">
          <w:rPr>
            <w:rStyle w:val="Hyperlink"/>
          </w:rPr>
          <w:t>Appendix C: Geographical area descriptions</w:t>
        </w:r>
        <w:r w:rsidR="00AC36EC">
          <w:rPr>
            <w:webHidden/>
          </w:rPr>
          <w:tab/>
        </w:r>
        <w:r w:rsidR="00AC36EC">
          <w:rPr>
            <w:webHidden/>
          </w:rPr>
          <w:fldChar w:fldCharType="begin"/>
        </w:r>
        <w:r w:rsidR="00AC36EC">
          <w:rPr>
            <w:webHidden/>
          </w:rPr>
          <w:instrText xml:space="preserve"> PAGEREF _Toc120600068 \h </w:instrText>
        </w:r>
        <w:r w:rsidR="00AC36EC">
          <w:rPr>
            <w:webHidden/>
          </w:rPr>
        </w:r>
        <w:r w:rsidR="00AC36EC">
          <w:rPr>
            <w:webHidden/>
          </w:rPr>
          <w:fldChar w:fldCharType="separate"/>
        </w:r>
        <w:r w:rsidR="00AC36EC">
          <w:rPr>
            <w:webHidden/>
          </w:rPr>
          <w:t>45</w:t>
        </w:r>
        <w:r w:rsidR="00AC36EC">
          <w:rPr>
            <w:webHidden/>
          </w:rPr>
          <w:fldChar w:fldCharType="end"/>
        </w:r>
      </w:hyperlink>
    </w:p>
    <w:p w14:paraId="6740FBFA" w14:textId="3212EE58" w:rsidR="004D56FF" w:rsidRPr="000D76E0" w:rsidRDefault="00B45E8C" w:rsidP="00C534EF">
      <w:pPr>
        <w:keepLines w:val="0"/>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fldChar w:fldCharType="end"/>
      </w:r>
    </w:p>
    <w:p w14:paraId="6CD64ED6" w14:textId="23C0E31E" w:rsidR="009D6C71" w:rsidRPr="009174F3" w:rsidRDefault="009D6C71" w:rsidP="007445E8">
      <w:pPr>
        <w:pStyle w:val="Execsummaryheading"/>
        <w:keepLines w:val="0"/>
        <w:pageBreakBefore w:val="0"/>
      </w:pPr>
      <w:bookmarkStart w:id="0" w:name="_Toc117870111"/>
      <w:bookmarkStart w:id="1" w:name="_Toc118785103"/>
      <w:r w:rsidRPr="007A6B51">
        <w:lastRenderedPageBreak/>
        <w:t>Executive summary</w:t>
      </w:r>
      <w:bookmarkEnd w:id="0"/>
      <w:bookmarkEnd w:id="1"/>
    </w:p>
    <w:p w14:paraId="2D8B5980" w14:textId="4023CE24" w:rsidR="00445095" w:rsidRDefault="00FA4051" w:rsidP="009B5150">
      <w:pPr>
        <w:keepLines w:val="0"/>
      </w:pPr>
      <w:bookmarkStart w:id="2" w:name="_Toc433122125"/>
      <w:r>
        <w:t xml:space="preserve">Spectrum in the </w:t>
      </w:r>
      <w:r w:rsidR="00EF2922">
        <w:t>1880–1920 MHz band (</w:t>
      </w:r>
      <w:r w:rsidR="00E750E0">
        <w:t xml:space="preserve">the </w:t>
      </w:r>
      <w:r w:rsidR="00F0264F">
        <w:t>1.9 GHz band</w:t>
      </w:r>
      <w:r w:rsidR="00EF2922">
        <w:t>)</w:t>
      </w:r>
      <w:r>
        <w:t xml:space="preserve"> is the subject of </w:t>
      </w:r>
      <w:r w:rsidR="00EF2922">
        <w:t xml:space="preserve">increasing </w:t>
      </w:r>
      <w:r w:rsidR="00F0264F">
        <w:t xml:space="preserve">domestic </w:t>
      </w:r>
      <w:r>
        <w:t>interest</w:t>
      </w:r>
      <w:r w:rsidR="00EF2922">
        <w:t xml:space="preserve"> </w:t>
      </w:r>
      <w:r>
        <w:t>for a range of applications</w:t>
      </w:r>
      <w:r w:rsidR="00680DE3">
        <w:t>,</w:t>
      </w:r>
      <w:r>
        <w:t xml:space="preserve"> including </w:t>
      </w:r>
      <w:r w:rsidR="00F0264F">
        <w:t xml:space="preserve">the evolution of </w:t>
      </w:r>
      <w:r w:rsidR="006B0360">
        <w:t>d</w:t>
      </w:r>
      <w:r w:rsidR="004E0EDA" w:rsidRPr="004E0EDA">
        <w:t xml:space="preserve">igital </w:t>
      </w:r>
      <w:r w:rsidR="006B0360">
        <w:t>e</w:t>
      </w:r>
      <w:r w:rsidR="004E0EDA" w:rsidRPr="004E0EDA">
        <w:t xml:space="preserve">nhanced </w:t>
      </w:r>
      <w:r w:rsidR="006B0360">
        <w:t>c</w:t>
      </w:r>
      <w:r w:rsidR="004E0EDA" w:rsidRPr="004E0EDA">
        <w:t xml:space="preserve">ordless </w:t>
      </w:r>
      <w:r w:rsidR="006B0360">
        <w:t>t</w:t>
      </w:r>
      <w:r w:rsidR="004E0EDA" w:rsidRPr="004E0EDA">
        <w:t>elecommunications</w:t>
      </w:r>
      <w:r w:rsidR="004E0EDA">
        <w:t xml:space="preserve"> (</w:t>
      </w:r>
      <w:r w:rsidR="00F0264F">
        <w:t>DECT</w:t>
      </w:r>
      <w:r w:rsidR="004E0EDA">
        <w:t>)</w:t>
      </w:r>
      <w:r>
        <w:t xml:space="preserve"> and </w:t>
      </w:r>
      <w:r w:rsidR="00F0264F">
        <w:t xml:space="preserve">railway </w:t>
      </w:r>
      <w:r w:rsidR="004E0EDA">
        <w:t xml:space="preserve">communications </w:t>
      </w:r>
      <w:r w:rsidR="00F0264F">
        <w:t>networks</w:t>
      </w:r>
      <w:r>
        <w:t xml:space="preserve">. </w:t>
      </w:r>
      <w:r w:rsidR="00C534EF">
        <w:t xml:space="preserve"> </w:t>
      </w:r>
    </w:p>
    <w:p w14:paraId="05F789F4" w14:textId="77777777" w:rsidR="004E0EDA" w:rsidRDefault="00445095" w:rsidP="001A3E27">
      <w:pPr>
        <w:pStyle w:val="Paragraphbeforelist"/>
      </w:pPr>
      <w:r>
        <w:t xml:space="preserve">Current regulatory arrangements in the </w:t>
      </w:r>
      <w:r w:rsidR="00F0264F">
        <w:t>1.9 GHz</w:t>
      </w:r>
      <w:r>
        <w:t xml:space="preserve"> band are optimised to support the </w:t>
      </w:r>
      <w:r w:rsidR="00105FDD">
        <w:t xml:space="preserve">existing </w:t>
      </w:r>
      <w:r>
        <w:t xml:space="preserve">mixture of uses in Australia: </w:t>
      </w:r>
    </w:p>
    <w:p w14:paraId="5E88960F" w14:textId="475527F8" w:rsidR="004E0EDA" w:rsidRDefault="00680DE3" w:rsidP="009B5150">
      <w:pPr>
        <w:pStyle w:val="ListBullet"/>
        <w:keepLines w:val="0"/>
      </w:pPr>
      <w:r w:rsidRPr="00201814">
        <w:t>C</w:t>
      </w:r>
      <w:r w:rsidR="002261CD" w:rsidRPr="00201814">
        <w:t>lass</w:t>
      </w:r>
      <w:r>
        <w:t>-</w:t>
      </w:r>
      <w:r w:rsidR="002261CD" w:rsidRPr="00201814">
        <w:t>licen</w:t>
      </w:r>
      <w:r w:rsidR="00A04776">
        <w:t>s</w:t>
      </w:r>
      <w:r w:rsidR="002261CD" w:rsidRPr="00201814">
        <w:t>ed cordless communication</w:t>
      </w:r>
      <w:r w:rsidR="00A04776">
        <w:t>s</w:t>
      </w:r>
      <w:r w:rsidR="002261CD" w:rsidRPr="00201814">
        <w:t xml:space="preserve"> devices</w:t>
      </w:r>
      <w:r w:rsidR="00F0264F" w:rsidRPr="00201814">
        <w:t xml:space="preserve"> </w:t>
      </w:r>
      <w:r w:rsidR="0058226C">
        <w:t>(including DECT)</w:t>
      </w:r>
      <w:r w:rsidR="00F0264F" w:rsidRPr="00201814">
        <w:t xml:space="preserve"> in the frequency range 1880–1900 MHz Australia</w:t>
      </w:r>
      <w:r w:rsidR="00ED026A">
        <w:t>-</w:t>
      </w:r>
      <w:r w:rsidR="00F0264F" w:rsidRPr="00201814">
        <w:t>wide</w:t>
      </w:r>
      <w:r>
        <w:t>.</w:t>
      </w:r>
    </w:p>
    <w:p w14:paraId="676DD318" w14:textId="08719212" w:rsidR="004E0EDA" w:rsidRDefault="00680DE3" w:rsidP="009B5150">
      <w:pPr>
        <w:pStyle w:val="ListBullet"/>
        <w:keepLines w:val="0"/>
      </w:pPr>
      <w:r>
        <w:t>A</w:t>
      </w:r>
      <w:r w:rsidR="00445095" w:rsidRPr="00201814">
        <w:t>pparatus</w:t>
      </w:r>
      <w:r>
        <w:t>-</w:t>
      </w:r>
      <w:r w:rsidR="00445095" w:rsidRPr="00201814">
        <w:t xml:space="preserve">licensed point-to-point </w:t>
      </w:r>
      <w:r w:rsidR="00704404">
        <w:t xml:space="preserve">(PTP) </w:t>
      </w:r>
      <w:r w:rsidR="00F0264F" w:rsidRPr="00201814">
        <w:t xml:space="preserve">and point-to-multipoint </w:t>
      </w:r>
      <w:r w:rsidR="00A04776">
        <w:t xml:space="preserve">(PMP) </w:t>
      </w:r>
      <w:r w:rsidR="004E0EDA">
        <w:t>systems</w:t>
      </w:r>
      <w:r w:rsidR="004E0EDA" w:rsidRPr="00201814">
        <w:t xml:space="preserve"> </w:t>
      </w:r>
      <w:r w:rsidR="00F0264F" w:rsidRPr="00201814">
        <w:t>in the frequency range 1900–1920 MHz in regional and remote areas</w:t>
      </w:r>
      <w:r w:rsidR="004E0EDA">
        <w:t>. Point</w:t>
      </w:r>
      <w:r>
        <w:t>-</w:t>
      </w:r>
      <w:r w:rsidR="004E0EDA">
        <w:t>to</w:t>
      </w:r>
      <w:r>
        <w:t>-</w:t>
      </w:r>
      <w:r w:rsidR="004E0EDA">
        <w:t>multipoint use is typically providing local</w:t>
      </w:r>
      <w:r w:rsidR="002B3C06">
        <w:t xml:space="preserve"> </w:t>
      </w:r>
      <w:r w:rsidR="004E0EDA">
        <w:t xml:space="preserve">area wireless broadband (LA WBB) </w:t>
      </w:r>
      <w:r w:rsidR="00A04776">
        <w:t>services</w:t>
      </w:r>
      <w:r w:rsidR="004E0EDA">
        <w:t>.</w:t>
      </w:r>
    </w:p>
    <w:p w14:paraId="37BEF7E2" w14:textId="7C177C39" w:rsidR="004E0EDA" w:rsidRDefault="00680DE3" w:rsidP="009B5150">
      <w:pPr>
        <w:pStyle w:val="ListBulletLast"/>
      </w:pPr>
      <w:r>
        <w:t>V</w:t>
      </w:r>
      <w:r w:rsidR="00445095" w:rsidRPr="00201814">
        <w:t>arious low</w:t>
      </w:r>
      <w:r w:rsidR="002B3C06">
        <w:t xml:space="preserve"> </w:t>
      </w:r>
      <w:r w:rsidR="00924292">
        <w:t xml:space="preserve">interference potential </w:t>
      </w:r>
      <w:r w:rsidR="00445095" w:rsidRPr="00201814">
        <w:t>class</w:t>
      </w:r>
      <w:r>
        <w:t>-</w:t>
      </w:r>
      <w:r w:rsidR="00445095" w:rsidRPr="00201814">
        <w:t>licensed devices</w:t>
      </w:r>
      <w:r w:rsidR="002261CD" w:rsidRPr="00201814">
        <w:t xml:space="preserve"> </w:t>
      </w:r>
      <w:r w:rsidR="00102B33">
        <w:t>permitted in</w:t>
      </w:r>
      <w:r w:rsidR="00102B33" w:rsidRPr="00201814">
        <w:t xml:space="preserve"> </w:t>
      </w:r>
      <w:r w:rsidR="002261CD" w:rsidRPr="00201814">
        <w:t xml:space="preserve">the </w:t>
      </w:r>
      <w:r w:rsidR="0058226C">
        <w:t>entire</w:t>
      </w:r>
      <w:r w:rsidR="002261CD" w:rsidRPr="00201814">
        <w:t xml:space="preserve"> band Australia</w:t>
      </w:r>
      <w:r w:rsidR="00ED026A">
        <w:t>-</w:t>
      </w:r>
      <w:r w:rsidR="002261CD" w:rsidRPr="00201814">
        <w:t>wide</w:t>
      </w:r>
      <w:r w:rsidR="00445095" w:rsidRPr="00201814">
        <w:t>.</w:t>
      </w:r>
      <w:r w:rsidR="00F0264F" w:rsidRPr="00201814">
        <w:t xml:space="preserve"> </w:t>
      </w:r>
    </w:p>
    <w:p w14:paraId="6BD92D50" w14:textId="311F224B" w:rsidR="001D11F9" w:rsidRDefault="006C7789" w:rsidP="001A3E27">
      <w:pPr>
        <w:pStyle w:val="Paragraph"/>
      </w:pPr>
      <w:r>
        <w:t xml:space="preserve">Increasing interest </w:t>
      </w:r>
      <w:r w:rsidR="00F20C1D">
        <w:t>in using</w:t>
      </w:r>
      <w:r w:rsidR="004639E9">
        <w:t xml:space="preserve"> new technologies in the 1.9 GHz band</w:t>
      </w:r>
      <w:r w:rsidR="00D47943">
        <w:t xml:space="preserve"> </w:t>
      </w:r>
      <w:r w:rsidR="004E0EDA">
        <w:t>tends to</w:t>
      </w:r>
      <w:r w:rsidR="00D47943">
        <w:t xml:space="preserve"> fall into </w:t>
      </w:r>
      <w:r w:rsidR="006B0360">
        <w:t xml:space="preserve">2 </w:t>
      </w:r>
      <w:r w:rsidR="004E0EDA">
        <w:t xml:space="preserve">categories </w:t>
      </w:r>
      <w:r w:rsidR="00D47943">
        <w:t>of use</w:t>
      </w:r>
      <w:r w:rsidR="009246FC">
        <w:t>:</w:t>
      </w:r>
      <w:r w:rsidR="00D47943">
        <w:t xml:space="preserve"> short range (SR) WBB</w:t>
      </w:r>
      <w:r w:rsidR="009246FC">
        <w:t xml:space="preserve"> and </w:t>
      </w:r>
      <w:r w:rsidR="004D48CE">
        <w:t>r</w:t>
      </w:r>
      <w:r w:rsidR="00E21966">
        <w:t>ailway</w:t>
      </w:r>
      <w:r w:rsidR="005E3C5D">
        <w:t xml:space="preserve"> </w:t>
      </w:r>
      <w:r w:rsidR="004D48CE">
        <w:t>m</w:t>
      </w:r>
      <w:r w:rsidR="005E3C5D">
        <w:t xml:space="preserve">obile </w:t>
      </w:r>
      <w:r w:rsidR="004D48CE">
        <w:t>r</w:t>
      </w:r>
      <w:r w:rsidR="005E3C5D">
        <w:t>adio (RMR)</w:t>
      </w:r>
      <w:r w:rsidR="009246FC">
        <w:t xml:space="preserve">. SR WBB </w:t>
      </w:r>
      <w:r w:rsidR="004E0EDA">
        <w:t>includes</w:t>
      </w:r>
      <w:r w:rsidR="009246FC">
        <w:t xml:space="preserve"> technologies for cordless communication</w:t>
      </w:r>
      <w:r w:rsidR="00A04776">
        <w:t>s</w:t>
      </w:r>
      <w:r w:rsidR="009246FC">
        <w:t xml:space="preserve"> devices</w:t>
      </w:r>
      <w:r w:rsidR="004D48CE">
        <w:t xml:space="preserve">; for example, </w:t>
      </w:r>
      <w:r w:rsidR="005622C9">
        <w:t xml:space="preserve">the </w:t>
      </w:r>
      <w:r w:rsidR="009246FC">
        <w:t xml:space="preserve">DECT </w:t>
      </w:r>
      <w:r w:rsidR="005622C9">
        <w:t xml:space="preserve">suite of technologies </w:t>
      </w:r>
      <w:r w:rsidR="009246FC">
        <w:t xml:space="preserve">and </w:t>
      </w:r>
      <w:r w:rsidR="00B17555">
        <w:t xml:space="preserve">the </w:t>
      </w:r>
      <w:r w:rsidR="009246FC">
        <w:t>Internet of Things (IoT) devices</w:t>
      </w:r>
      <w:r w:rsidR="004E0EDA">
        <w:t xml:space="preserve"> including</w:t>
      </w:r>
      <w:r w:rsidR="009246FC">
        <w:t xml:space="preserve"> </w:t>
      </w:r>
      <w:r w:rsidR="007145F8">
        <w:t xml:space="preserve">DECT </w:t>
      </w:r>
      <w:r w:rsidR="004D48CE">
        <w:t>e</w:t>
      </w:r>
      <w:r w:rsidR="007145F8">
        <w:t>volution</w:t>
      </w:r>
      <w:r w:rsidR="009246FC">
        <w:t xml:space="preserve"> </w:t>
      </w:r>
      <w:r w:rsidR="00363EF0">
        <w:t>and DECT-2020-</w:t>
      </w:r>
      <w:r w:rsidR="00E07FD6">
        <w:t>N</w:t>
      </w:r>
      <w:r w:rsidR="00363EF0">
        <w:t xml:space="preserve">R (together </w:t>
      </w:r>
      <w:r w:rsidR="004D48CE">
        <w:t>‘</w:t>
      </w:r>
      <w:r w:rsidR="00363EF0">
        <w:t>future DECT</w:t>
      </w:r>
      <w:r w:rsidR="004D48CE">
        <w:t>’</w:t>
      </w:r>
      <w:r w:rsidR="00363EF0">
        <w:t>)</w:t>
      </w:r>
      <w:r w:rsidR="009246FC">
        <w:t xml:space="preserve"> and </w:t>
      </w:r>
      <w:r w:rsidR="00B36CD1">
        <w:t>MulteFire</w:t>
      </w:r>
      <w:r w:rsidR="009246FC">
        <w:t xml:space="preserve">. </w:t>
      </w:r>
      <w:r w:rsidR="005E3C5D">
        <w:t>RMR</w:t>
      </w:r>
      <w:r w:rsidR="009246FC">
        <w:t xml:space="preserve"> </w:t>
      </w:r>
      <w:r w:rsidR="004E0EDA">
        <w:t>use includes</w:t>
      </w:r>
      <w:r w:rsidR="009246FC">
        <w:t xml:space="preserve"> railway communication technologies</w:t>
      </w:r>
      <w:r w:rsidR="004E0EDA">
        <w:t xml:space="preserve"> such as</w:t>
      </w:r>
      <w:r w:rsidR="009246FC">
        <w:t xml:space="preserve"> </w:t>
      </w:r>
      <w:r w:rsidR="00603C64">
        <w:t xml:space="preserve">the </w:t>
      </w:r>
      <w:r w:rsidR="004D48CE">
        <w:t>f</w:t>
      </w:r>
      <w:r w:rsidR="009246FC">
        <w:t xml:space="preserve">uture </w:t>
      </w:r>
      <w:r w:rsidR="004D48CE">
        <w:t>r</w:t>
      </w:r>
      <w:r w:rsidR="00DA20D1">
        <w:t xml:space="preserve">ailway </w:t>
      </w:r>
      <w:r w:rsidR="004D48CE">
        <w:t>m</w:t>
      </w:r>
      <w:r w:rsidR="009246FC">
        <w:t xml:space="preserve">obile </w:t>
      </w:r>
      <w:r w:rsidR="004D48CE">
        <w:t>c</w:t>
      </w:r>
      <w:r w:rsidR="009246FC">
        <w:t xml:space="preserve">ommunication </w:t>
      </w:r>
      <w:r w:rsidR="004D48CE">
        <w:t>s</w:t>
      </w:r>
      <w:r w:rsidR="009246FC">
        <w:t>ystems (FRMCS).</w:t>
      </w:r>
      <w:r w:rsidR="004639E9">
        <w:t xml:space="preserve"> </w:t>
      </w:r>
    </w:p>
    <w:p w14:paraId="0852FA7F" w14:textId="62395F9D" w:rsidR="004E0EDA" w:rsidRDefault="00296121" w:rsidP="001A3E27">
      <w:pPr>
        <w:pStyle w:val="Paragraph"/>
      </w:pPr>
      <w:r>
        <w:t>T</w:t>
      </w:r>
      <w:r w:rsidR="00445095">
        <w:t xml:space="preserve">he Australian Communication and Media Authority (ACMA) </w:t>
      </w:r>
      <w:r w:rsidR="00F1204E">
        <w:t>considers there is</w:t>
      </w:r>
      <w:r w:rsidR="00445095">
        <w:t xml:space="preserve"> a clear case for reviewing, and potentially changing, the spectrum management framework in the band. In considering any changes to </w:t>
      </w:r>
      <w:r w:rsidR="00B17555">
        <w:t>arrang</w:t>
      </w:r>
      <w:r w:rsidR="009B5150">
        <w:t>e</w:t>
      </w:r>
      <w:r w:rsidR="00B17555">
        <w:t xml:space="preserve">ments </w:t>
      </w:r>
      <w:r w:rsidR="00445095">
        <w:t>in the band</w:t>
      </w:r>
      <w:r w:rsidR="006C7789">
        <w:t xml:space="preserve">, </w:t>
      </w:r>
      <w:r w:rsidR="004D48CE">
        <w:t xml:space="preserve">we are </w:t>
      </w:r>
      <w:r w:rsidR="004E0EDA">
        <w:t>aware of the</w:t>
      </w:r>
      <w:r w:rsidR="00445095" w:rsidRPr="004E0793">
        <w:t xml:space="preserve"> needs of </w:t>
      </w:r>
      <w:r w:rsidR="004E0EDA">
        <w:t xml:space="preserve">existing </w:t>
      </w:r>
      <w:r w:rsidR="00A06FDF">
        <w:t>LA</w:t>
      </w:r>
      <w:r w:rsidR="00D47943">
        <w:t xml:space="preserve"> </w:t>
      </w:r>
      <w:r w:rsidR="00A06FDF">
        <w:t>WBB</w:t>
      </w:r>
      <w:r w:rsidR="00445095" w:rsidRPr="004E0793">
        <w:t xml:space="preserve"> and </w:t>
      </w:r>
      <w:r w:rsidR="00A04776">
        <w:t>PTP</w:t>
      </w:r>
      <w:r w:rsidR="00445095" w:rsidRPr="004E0793">
        <w:t xml:space="preserve"> use</w:t>
      </w:r>
      <w:r w:rsidR="0058226C">
        <w:t>r</w:t>
      </w:r>
      <w:r w:rsidR="00445095" w:rsidRPr="004E0793">
        <w:t xml:space="preserve">s, as well as the potential for </w:t>
      </w:r>
      <w:r w:rsidR="00A06FDF">
        <w:t>SR WBB</w:t>
      </w:r>
      <w:r w:rsidR="00445095" w:rsidRPr="004E0793">
        <w:t xml:space="preserve"> and </w:t>
      </w:r>
      <w:r w:rsidR="005E3C5D">
        <w:t>RMR</w:t>
      </w:r>
      <w:r w:rsidR="00445095">
        <w:t xml:space="preserve"> deployments.</w:t>
      </w:r>
      <w:r w:rsidR="004E0EDA">
        <w:t xml:space="preserve"> </w:t>
      </w:r>
      <w:r w:rsidR="00ED026A">
        <w:t xml:space="preserve">We are </w:t>
      </w:r>
      <w:r w:rsidR="00CC1D7E">
        <w:t xml:space="preserve">also aware of the need to </w:t>
      </w:r>
      <w:r w:rsidR="002C33E1">
        <w:t>consider</w:t>
      </w:r>
      <w:r w:rsidR="00CC1D7E">
        <w:t xml:space="preserve"> coexistence with the adjacent 1800 MHz and 2 GHz spectrum licen</w:t>
      </w:r>
      <w:r w:rsidR="003A7407">
        <w:t>s</w:t>
      </w:r>
      <w:r w:rsidR="00CC1D7E">
        <w:t xml:space="preserve">ed </w:t>
      </w:r>
      <w:r w:rsidR="00B17555">
        <w:t>services</w:t>
      </w:r>
      <w:r w:rsidR="00CC1D7E">
        <w:t xml:space="preserve">. </w:t>
      </w:r>
      <w:r w:rsidR="004E0EDA">
        <w:t xml:space="preserve">Consequently, the ACMA considers it timely to investigate future planning options by progressing the 1.9 GHz band to the </w:t>
      </w:r>
      <w:r w:rsidR="004E0EDA" w:rsidRPr="004346FA">
        <w:t>preliminary replanning stage</w:t>
      </w:r>
      <w:r w:rsidR="004E0EDA">
        <w:t xml:space="preserve">. </w:t>
      </w:r>
    </w:p>
    <w:p w14:paraId="41E77A02" w14:textId="3F2D8B3B" w:rsidR="00346037" w:rsidRDefault="00406440" w:rsidP="001A3E27">
      <w:pPr>
        <w:pStyle w:val="Paragraph"/>
      </w:pPr>
      <w:r>
        <w:t>This paper</w:t>
      </w:r>
      <w:r w:rsidR="004E0EDA">
        <w:t xml:space="preserve"> </w:t>
      </w:r>
      <w:r w:rsidR="00ED026A">
        <w:t xml:space="preserve">is </w:t>
      </w:r>
      <w:r>
        <w:t xml:space="preserve">the next step in </w:t>
      </w:r>
      <w:r w:rsidR="006A544C">
        <w:t xml:space="preserve">the </w:t>
      </w:r>
      <w:r>
        <w:t xml:space="preserve">review of planning arrangements in the </w:t>
      </w:r>
      <w:r w:rsidR="00692F9D">
        <w:t>1.9 GHz</w:t>
      </w:r>
      <w:r>
        <w:t xml:space="preserve"> band. </w:t>
      </w:r>
      <w:r w:rsidR="003C67A3">
        <w:t xml:space="preserve">It </w:t>
      </w:r>
      <w:r w:rsidR="00255A7E">
        <w:t>follows the</w:t>
      </w:r>
      <w:r w:rsidR="00255A7E" w:rsidRPr="00426BF5">
        <w:t xml:space="preserve"> </w:t>
      </w:r>
      <w:hyperlink r:id="rId24" w:history="1">
        <w:r w:rsidR="00BA1B4B" w:rsidRPr="00226549">
          <w:rPr>
            <w:rStyle w:val="Hyperlink"/>
          </w:rPr>
          <w:t>Exploring future use of the 1.9 GHz band</w:t>
        </w:r>
      </w:hyperlink>
      <w:r w:rsidR="00BB7729">
        <w:rPr>
          <w:iCs/>
        </w:rPr>
        <w:t xml:space="preserve"> discussion paper </w:t>
      </w:r>
      <w:r w:rsidR="00255A7E">
        <w:rPr>
          <w:szCs w:val="20"/>
        </w:rPr>
        <w:t>released</w:t>
      </w:r>
      <w:r w:rsidR="003B7553">
        <w:rPr>
          <w:szCs w:val="20"/>
        </w:rPr>
        <w:t xml:space="preserve"> </w:t>
      </w:r>
      <w:r w:rsidR="00255A7E">
        <w:rPr>
          <w:szCs w:val="20"/>
        </w:rPr>
        <w:t xml:space="preserve">in </w:t>
      </w:r>
      <w:r w:rsidR="00BA1B4B">
        <w:rPr>
          <w:szCs w:val="20"/>
        </w:rPr>
        <w:t xml:space="preserve">November </w:t>
      </w:r>
      <w:r w:rsidR="00692F9D">
        <w:rPr>
          <w:szCs w:val="20"/>
        </w:rPr>
        <w:t>2021</w:t>
      </w:r>
      <w:r w:rsidR="00255A7E">
        <w:rPr>
          <w:szCs w:val="20"/>
        </w:rPr>
        <w:t xml:space="preserve">. </w:t>
      </w:r>
      <w:r w:rsidR="00255A7E">
        <w:t xml:space="preserve">It </w:t>
      </w:r>
      <w:r w:rsidR="00130E20">
        <w:t>considers</w:t>
      </w:r>
      <w:r w:rsidR="00255A7E">
        <w:t xml:space="preserve"> feedback </w:t>
      </w:r>
      <w:r w:rsidR="004E0EDA">
        <w:t xml:space="preserve">provided in submissions and </w:t>
      </w:r>
      <w:r w:rsidR="00651F62">
        <w:t xml:space="preserve">looks at </w:t>
      </w:r>
      <w:r w:rsidR="00255A7E">
        <w:t>international trends</w:t>
      </w:r>
      <w:r w:rsidR="00346037">
        <w:t>, domestic factors and the wider legislative policy environment</w:t>
      </w:r>
      <w:r w:rsidR="00651F62">
        <w:t xml:space="preserve"> </w:t>
      </w:r>
      <w:r w:rsidR="005622C9">
        <w:t xml:space="preserve">to inform </w:t>
      </w:r>
      <w:r w:rsidR="00651F62">
        <w:t>any replanning decision</w:t>
      </w:r>
      <w:r w:rsidR="00346037">
        <w:t>.</w:t>
      </w:r>
    </w:p>
    <w:p w14:paraId="50C6CAA7" w14:textId="78DA9319" w:rsidR="00704404" w:rsidRDefault="00704404" w:rsidP="009B5150">
      <w:pPr>
        <w:pStyle w:val="Heading3"/>
        <w:keepLines w:val="0"/>
      </w:pPr>
      <w:r>
        <w:t>Desirable planning outcomes</w:t>
      </w:r>
    </w:p>
    <w:p w14:paraId="34A404AE" w14:textId="21C43058" w:rsidR="00D370F7" w:rsidRDefault="00BF2F2F" w:rsidP="001A3E27">
      <w:pPr>
        <w:pStyle w:val="Paragraphbeforelist"/>
      </w:pPr>
      <w:r w:rsidRPr="00BF2F2F">
        <w:t xml:space="preserve">In conducting its planning activities, </w:t>
      </w:r>
      <w:r w:rsidR="00ED026A">
        <w:t xml:space="preserve">we are </w:t>
      </w:r>
      <w:r w:rsidRPr="00BF2F2F">
        <w:t xml:space="preserve">informed by the object of the </w:t>
      </w:r>
      <w:hyperlink r:id="rId25" w:history="1">
        <w:r w:rsidR="00561A44" w:rsidRPr="00196418">
          <w:rPr>
            <w:rStyle w:val="Hyperlink"/>
            <w:i/>
          </w:rPr>
          <w:t>Radiocommunications Act 1992</w:t>
        </w:r>
      </w:hyperlink>
      <w:r w:rsidR="00561A44">
        <w:t xml:space="preserve"> (the </w:t>
      </w:r>
      <w:r w:rsidR="00561A44" w:rsidRPr="00A05EC9">
        <w:t>Act</w:t>
      </w:r>
      <w:r w:rsidR="00561A44">
        <w:t>)</w:t>
      </w:r>
      <w:r>
        <w:t xml:space="preserve">. Consistent with that object and after </w:t>
      </w:r>
      <w:r w:rsidR="00704404">
        <w:t xml:space="preserve">reviewing submissions to the </w:t>
      </w:r>
      <w:r w:rsidR="003B75B6">
        <w:t>discussion</w:t>
      </w:r>
      <w:r w:rsidR="00704404">
        <w:t xml:space="preserve"> paper, t</w:t>
      </w:r>
      <w:r w:rsidR="00942AD2">
        <w:t xml:space="preserve">his paper </w:t>
      </w:r>
      <w:r w:rsidR="00E828B6">
        <w:t xml:space="preserve">proposes the following </w:t>
      </w:r>
      <w:r w:rsidR="00346037">
        <w:t>desirable planning outco</w:t>
      </w:r>
      <w:r w:rsidR="009861FA">
        <w:t>m</w:t>
      </w:r>
      <w:r w:rsidR="00346037">
        <w:t xml:space="preserve">es for the </w:t>
      </w:r>
      <w:r w:rsidR="00E828B6">
        <w:t xml:space="preserve">review of the </w:t>
      </w:r>
      <w:r w:rsidR="00692F9D">
        <w:t>1.9 GHz</w:t>
      </w:r>
      <w:r w:rsidR="00346037">
        <w:t xml:space="preserve"> </w:t>
      </w:r>
      <w:r w:rsidR="00704404">
        <w:t>band</w:t>
      </w:r>
      <w:r w:rsidR="00920BAD">
        <w:t>:</w:t>
      </w:r>
      <w:r w:rsidR="00E6120E">
        <w:t xml:space="preserve"> </w:t>
      </w:r>
      <w:bookmarkStart w:id="3" w:name="_Hlk35868932"/>
      <w:bookmarkStart w:id="4" w:name="_Hlk29970089"/>
    </w:p>
    <w:p w14:paraId="4A053628" w14:textId="6F39C3A8" w:rsidR="001C6362" w:rsidRPr="002B5FEC" w:rsidRDefault="001C6362" w:rsidP="009B5150">
      <w:pPr>
        <w:pStyle w:val="ListNumber"/>
        <w:keepLines w:val="0"/>
        <w:numPr>
          <w:ilvl w:val="0"/>
          <w:numId w:val="14"/>
        </w:numPr>
        <w:ind w:right="1559"/>
      </w:pPr>
      <w:r w:rsidRPr="002B5FEC">
        <w:t xml:space="preserve">Maintain </w:t>
      </w:r>
      <w:r w:rsidR="00E828B6">
        <w:t xml:space="preserve">regulatory </w:t>
      </w:r>
      <w:r>
        <w:t xml:space="preserve">arrangements for </w:t>
      </w:r>
      <w:r w:rsidRPr="002B5FEC">
        <w:t xml:space="preserve">existing services </w:t>
      </w:r>
      <w:r w:rsidR="00E6120E">
        <w:t>within the 1.9 GHz band</w:t>
      </w:r>
      <w:r w:rsidR="00ED026A">
        <w:t>.</w:t>
      </w:r>
    </w:p>
    <w:p w14:paraId="44FB7792" w14:textId="762614A8" w:rsidR="001C6362" w:rsidRPr="002B5FEC" w:rsidRDefault="00D45134" w:rsidP="009B5150">
      <w:pPr>
        <w:pStyle w:val="ListNumber"/>
        <w:keepLines w:val="0"/>
        <w:numPr>
          <w:ilvl w:val="0"/>
          <w:numId w:val="14"/>
        </w:numPr>
        <w:ind w:right="1133"/>
      </w:pPr>
      <w:r>
        <w:lastRenderedPageBreak/>
        <w:t>E</w:t>
      </w:r>
      <w:r w:rsidR="001C6362" w:rsidRPr="002B5FEC">
        <w:t>xpan</w:t>
      </w:r>
      <w:r>
        <w:t>d</w:t>
      </w:r>
      <w:r w:rsidR="001C6362" w:rsidRPr="002B5FEC">
        <w:t xml:space="preserve"> </w:t>
      </w:r>
      <w:r w:rsidR="001C6362">
        <w:t>arrangements for</w:t>
      </w:r>
      <w:r w:rsidR="001C6362" w:rsidRPr="002B5FEC">
        <w:t xml:space="preserve"> </w:t>
      </w:r>
      <w:r w:rsidR="00ED026A">
        <w:t>s</w:t>
      </w:r>
      <w:r w:rsidR="001C6362" w:rsidRPr="002B5FEC">
        <w:t xml:space="preserve">hort </w:t>
      </w:r>
      <w:r w:rsidR="00ED026A">
        <w:t>r</w:t>
      </w:r>
      <w:r w:rsidR="001C6362" w:rsidRPr="002B5FEC">
        <w:t xml:space="preserve">ange </w:t>
      </w:r>
      <w:r w:rsidR="00ED026A">
        <w:t>w</w:t>
      </w:r>
      <w:r w:rsidR="001C6362" w:rsidRPr="002B5FEC">
        <w:t xml:space="preserve">ireless </w:t>
      </w:r>
      <w:r w:rsidR="00ED026A">
        <w:t>b</w:t>
      </w:r>
      <w:r w:rsidR="001C6362" w:rsidRPr="002B5FEC">
        <w:t>roadband (SR WBB</w:t>
      </w:r>
      <w:r>
        <w:t>)</w:t>
      </w:r>
      <w:r w:rsidR="001C6362" w:rsidRPr="002B5FEC">
        <w:t xml:space="preserve"> services</w:t>
      </w:r>
      <w:r w:rsidR="00ED026A">
        <w:t>.</w:t>
      </w:r>
    </w:p>
    <w:p w14:paraId="7E26EA1C" w14:textId="313BB389" w:rsidR="001C6362" w:rsidRPr="002B5FEC" w:rsidRDefault="00D45134" w:rsidP="009B5150">
      <w:pPr>
        <w:pStyle w:val="ListNumber"/>
        <w:keepLines w:val="0"/>
        <w:numPr>
          <w:ilvl w:val="0"/>
          <w:numId w:val="14"/>
        </w:numPr>
        <w:ind w:right="1559"/>
      </w:pPr>
      <w:r>
        <w:t>I</w:t>
      </w:r>
      <w:r w:rsidR="001C6362" w:rsidRPr="002B5FEC">
        <w:t>ntroduc</w:t>
      </w:r>
      <w:r>
        <w:t>e</w:t>
      </w:r>
      <w:r w:rsidR="001C6362" w:rsidRPr="002B5FEC">
        <w:t xml:space="preserve"> </w:t>
      </w:r>
      <w:r w:rsidR="001C6362">
        <w:t>arrangements for</w:t>
      </w:r>
      <w:r w:rsidR="001C6362" w:rsidRPr="002B5FEC">
        <w:t xml:space="preserve"> new </w:t>
      </w:r>
      <w:r w:rsidR="00ED026A">
        <w:t>r</w:t>
      </w:r>
      <w:r w:rsidR="00E21966">
        <w:t>ailway</w:t>
      </w:r>
      <w:r w:rsidR="005E3C5D">
        <w:t xml:space="preserve"> </w:t>
      </w:r>
      <w:r w:rsidR="00ED026A">
        <w:t>m</w:t>
      </w:r>
      <w:r w:rsidR="005E3C5D">
        <w:t xml:space="preserve">obile </w:t>
      </w:r>
      <w:r w:rsidR="00ED026A">
        <w:t>r</w:t>
      </w:r>
      <w:r w:rsidR="005E3C5D">
        <w:t>adio</w:t>
      </w:r>
      <w:r w:rsidRPr="002B5FEC">
        <w:t xml:space="preserve"> </w:t>
      </w:r>
      <w:r w:rsidR="001C6362" w:rsidRPr="002B5FEC">
        <w:t>(</w:t>
      </w:r>
      <w:r w:rsidR="005E3C5D">
        <w:t>RMR</w:t>
      </w:r>
      <w:r>
        <w:t>)</w:t>
      </w:r>
      <w:r w:rsidR="001C6362" w:rsidRPr="002B5FEC">
        <w:t xml:space="preserve"> services</w:t>
      </w:r>
      <w:r w:rsidR="00ED026A">
        <w:t>.</w:t>
      </w:r>
    </w:p>
    <w:p w14:paraId="35F03EB7" w14:textId="3F174085" w:rsidR="001C6362" w:rsidRPr="002B5FEC" w:rsidRDefault="00E6120E" w:rsidP="009B5150">
      <w:pPr>
        <w:pStyle w:val="ListNumber"/>
        <w:keepLines w:val="0"/>
        <w:numPr>
          <w:ilvl w:val="0"/>
          <w:numId w:val="14"/>
        </w:numPr>
        <w:ind w:right="1559"/>
      </w:pPr>
      <w:r>
        <w:t>Maintain</w:t>
      </w:r>
      <w:r w:rsidRPr="002B5FEC">
        <w:t xml:space="preserve"> </w:t>
      </w:r>
      <w:r w:rsidR="001C6362" w:rsidRPr="002B5FEC">
        <w:t>coexistence with 1.9 GHz band services</w:t>
      </w:r>
      <w:r w:rsidR="00ED026A">
        <w:t>.</w:t>
      </w:r>
    </w:p>
    <w:p w14:paraId="5CA2C6C6" w14:textId="7A12F379" w:rsidR="001C6362" w:rsidRPr="002B5FEC" w:rsidRDefault="00E6120E" w:rsidP="001A3E27">
      <w:pPr>
        <w:pStyle w:val="ListNumber"/>
        <w:keepLines w:val="0"/>
        <w:numPr>
          <w:ilvl w:val="0"/>
          <w:numId w:val="14"/>
        </w:numPr>
        <w:spacing w:after="240"/>
        <w:ind w:left="641" w:right="1559" w:hanging="357"/>
      </w:pPr>
      <w:r>
        <w:t>Maintain</w:t>
      </w:r>
      <w:r w:rsidRPr="002B5FEC">
        <w:t xml:space="preserve"> </w:t>
      </w:r>
      <w:r w:rsidR="001C6362" w:rsidRPr="002B5FEC">
        <w:t>coexistence with adjacent band services</w:t>
      </w:r>
      <w:r w:rsidR="00ED026A">
        <w:t>.</w:t>
      </w:r>
    </w:p>
    <w:p w14:paraId="2EB0B481" w14:textId="6E1E1E05" w:rsidR="00D80180" w:rsidRDefault="00AB3F8B" w:rsidP="001A3E27">
      <w:pPr>
        <w:pStyle w:val="Heading3"/>
        <w:keepNext/>
      </w:pPr>
      <w:r>
        <w:t>Replanning o</w:t>
      </w:r>
      <w:r w:rsidR="00D80180">
        <w:t>ptions</w:t>
      </w:r>
    </w:p>
    <w:p w14:paraId="37B6156D" w14:textId="5A634A56" w:rsidR="00C44AB9" w:rsidRDefault="003C67A3" w:rsidP="001A3E27">
      <w:pPr>
        <w:pStyle w:val="Paragraphbeforelist"/>
      </w:pPr>
      <w:r>
        <w:t xml:space="preserve">In the context of domestic and </w:t>
      </w:r>
      <w:r w:rsidR="00704404">
        <w:t xml:space="preserve">overseas </w:t>
      </w:r>
      <w:r>
        <w:t xml:space="preserve">developments and informed by </w:t>
      </w:r>
      <w:r w:rsidR="00774282">
        <w:t xml:space="preserve">the </w:t>
      </w:r>
      <w:r w:rsidR="00E828B6">
        <w:t xml:space="preserve">proposed </w:t>
      </w:r>
      <w:r w:rsidR="00774282">
        <w:t>desirable</w:t>
      </w:r>
      <w:r w:rsidR="009549DF">
        <w:t xml:space="preserve"> </w:t>
      </w:r>
      <w:r w:rsidR="006C7250">
        <w:t xml:space="preserve">planning </w:t>
      </w:r>
      <w:r w:rsidR="009549DF">
        <w:t xml:space="preserve">outcomes </w:t>
      </w:r>
      <w:r>
        <w:t xml:space="preserve">for the band, we have identified </w:t>
      </w:r>
      <w:r w:rsidR="00231C77">
        <w:t xml:space="preserve">4 </w:t>
      </w:r>
      <w:r w:rsidR="00255A7E">
        <w:t xml:space="preserve">broad </w:t>
      </w:r>
      <w:r w:rsidR="000C5DFB">
        <w:t>re</w:t>
      </w:r>
      <w:r w:rsidR="00255A7E">
        <w:t xml:space="preserve">planning options for the </w:t>
      </w:r>
      <w:r w:rsidR="00692F9D">
        <w:t>1.9 GHz</w:t>
      </w:r>
      <w:r w:rsidR="00B67EA0">
        <w:t xml:space="preserve"> </w:t>
      </w:r>
      <w:r w:rsidR="00255A7E">
        <w:t>band:</w:t>
      </w:r>
      <w:bookmarkEnd w:id="3"/>
    </w:p>
    <w:p w14:paraId="3F2299E1" w14:textId="4361BF88" w:rsidR="00A06FDF" w:rsidRDefault="00A06FDF" w:rsidP="001A3E27">
      <w:pPr>
        <w:pStyle w:val="ListBullet"/>
        <w:keepNext/>
      </w:pPr>
      <w:r w:rsidRPr="001A3E27">
        <w:rPr>
          <w:b/>
          <w:bCs/>
        </w:rPr>
        <w:t>Option 1:</w:t>
      </w:r>
      <w:r>
        <w:t xml:space="preserve"> </w:t>
      </w:r>
      <w:r w:rsidR="00ED026A">
        <w:t>M</w:t>
      </w:r>
      <w:r w:rsidR="0026085F">
        <w:t xml:space="preserve">aintaining </w:t>
      </w:r>
      <w:r>
        <w:t xml:space="preserve">existing arrangements. </w:t>
      </w:r>
      <w:r w:rsidR="002C33E1">
        <w:t>R</w:t>
      </w:r>
      <w:r w:rsidR="00BE18A3">
        <w:t>egulatory arrangements in the 1880</w:t>
      </w:r>
      <w:r w:rsidR="00ED026A">
        <w:t>–</w:t>
      </w:r>
      <w:r w:rsidR="00BE18A3">
        <w:t xml:space="preserve">1900 MHz frequency range may require </w:t>
      </w:r>
      <w:r w:rsidR="006D5AE3">
        <w:t xml:space="preserve">minor </w:t>
      </w:r>
      <w:r w:rsidR="00BE18A3">
        <w:t>amend</w:t>
      </w:r>
      <w:r w:rsidR="002C33E1">
        <w:t>ment</w:t>
      </w:r>
      <w:r w:rsidR="006D5AE3">
        <w:t>s</w:t>
      </w:r>
      <w:r w:rsidR="00BE18A3">
        <w:t xml:space="preserve"> to ensure </w:t>
      </w:r>
      <w:r w:rsidR="006D5AE3">
        <w:t xml:space="preserve">some new </w:t>
      </w:r>
      <w:r w:rsidR="00BE18A3">
        <w:t xml:space="preserve">SR WBB </w:t>
      </w:r>
      <w:r w:rsidR="002C33E1">
        <w:t xml:space="preserve">technologies </w:t>
      </w:r>
      <w:r w:rsidR="006D5AE3">
        <w:t>can be</w:t>
      </w:r>
      <w:r w:rsidR="002C33E1">
        <w:t xml:space="preserve"> accom</w:t>
      </w:r>
      <w:r w:rsidR="006D5AE3">
        <w:t>m</w:t>
      </w:r>
      <w:r w:rsidR="002C33E1">
        <w:t>odated</w:t>
      </w:r>
      <w:r w:rsidR="00BE18A3">
        <w:t xml:space="preserve"> in this segment.</w:t>
      </w:r>
    </w:p>
    <w:p w14:paraId="2D7612F3" w14:textId="5301677E" w:rsidR="00A06FDF" w:rsidRDefault="00A06FDF" w:rsidP="009B5150">
      <w:pPr>
        <w:pStyle w:val="ListBullet"/>
        <w:keepLines w:val="0"/>
      </w:pPr>
      <w:r w:rsidRPr="001A3E27">
        <w:rPr>
          <w:b/>
          <w:bCs/>
        </w:rPr>
        <w:t>Option 2:</w:t>
      </w:r>
      <w:r>
        <w:t xml:space="preserve"> </w:t>
      </w:r>
      <w:r w:rsidR="00ED026A">
        <w:t>E</w:t>
      </w:r>
      <w:r>
        <w:t>xpand</w:t>
      </w:r>
      <w:r w:rsidR="0026085F">
        <w:t>ing</w:t>
      </w:r>
      <w:r>
        <w:t xml:space="preserve"> SR WBB </w:t>
      </w:r>
      <w:r w:rsidR="00DF3BAE">
        <w:t xml:space="preserve">arrangements </w:t>
      </w:r>
      <w:r w:rsidR="005622C9">
        <w:t xml:space="preserve">from </w:t>
      </w:r>
      <w:r w:rsidR="0026085F">
        <w:t xml:space="preserve">exclusive use in </w:t>
      </w:r>
      <w:r>
        <w:t xml:space="preserve">1880–1900 MHz </w:t>
      </w:r>
      <w:r w:rsidR="005622C9">
        <w:t>to include</w:t>
      </w:r>
      <w:r>
        <w:t xml:space="preserve"> </w:t>
      </w:r>
      <w:r w:rsidR="0026085F">
        <w:t xml:space="preserve">shared use in </w:t>
      </w:r>
      <w:r w:rsidR="000019BF">
        <w:t xml:space="preserve">the </w:t>
      </w:r>
      <w:r>
        <w:t>1900–1920 MHz</w:t>
      </w:r>
      <w:r w:rsidR="007F2752">
        <w:t xml:space="preserve"> frequency range</w:t>
      </w:r>
      <w:r>
        <w:t xml:space="preserve"> Australia</w:t>
      </w:r>
      <w:r w:rsidR="00ED026A">
        <w:t>-</w:t>
      </w:r>
      <w:r w:rsidR="00DF3BAE">
        <w:t>w</w:t>
      </w:r>
      <w:r>
        <w:t xml:space="preserve">ide, with no </w:t>
      </w:r>
      <w:r w:rsidR="0026085F">
        <w:t xml:space="preserve">other </w:t>
      </w:r>
      <w:r>
        <w:t>change</w:t>
      </w:r>
      <w:r w:rsidR="0026085F">
        <w:t>s</w:t>
      </w:r>
      <w:r>
        <w:t xml:space="preserve"> to current arrangements.</w:t>
      </w:r>
    </w:p>
    <w:p w14:paraId="25C1AF53" w14:textId="131343AF" w:rsidR="00A06FDF" w:rsidRDefault="00A06FDF" w:rsidP="00CC5F96">
      <w:pPr>
        <w:pStyle w:val="ListBullet"/>
        <w:keepLines w:val="0"/>
      </w:pPr>
      <w:r w:rsidRPr="001A3E27">
        <w:rPr>
          <w:b/>
          <w:bCs/>
        </w:rPr>
        <w:t>Option 3:</w:t>
      </w:r>
      <w:r>
        <w:t xml:space="preserve"> </w:t>
      </w:r>
      <w:r w:rsidR="00ED026A">
        <w:t>I</w:t>
      </w:r>
      <w:r>
        <w:t>ntroduc</w:t>
      </w:r>
      <w:r w:rsidR="0026085F">
        <w:t>ing</w:t>
      </w:r>
      <w:r>
        <w:t xml:space="preserve"> arrangements to allow for </w:t>
      </w:r>
      <w:r w:rsidR="005E3C5D">
        <w:t>RMR</w:t>
      </w:r>
      <w:r>
        <w:t xml:space="preserve"> in the 1900</w:t>
      </w:r>
      <w:r w:rsidR="00ED026A">
        <w:t>–</w:t>
      </w:r>
      <w:r>
        <w:t xml:space="preserve">1910 MHz </w:t>
      </w:r>
      <w:r w:rsidR="00DF3BAE">
        <w:t xml:space="preserve">frequency </w:t>
      </w:r>
      <w:r>
        <w:t>range on an Australia</w:t>
      </w:r>
      <w:r w:rsidR="00ED026A">
        <w:t>-</w:t>
      </w:r>
      <w:r w:rsidR="00DF3BAE">
        <w:t>w</w:t>
      </w:r>
      <w:r>
        <w:t xml:space="preserve">ide basis, with no change to current arrangements in the </w:t>
      </w:r>
      <w:r w:rsidR="007F2752">
        <w:t xml:space="preserve">other </w:t>
      </w:r>
      <w:r>
        <w:t>segment</w:t>
      </w:r>
      <w:r w:rsidR="007F2752">
        <w:t>s</w:t>
      </w:r>
      <w:r>
        <w:t>.</w:t>
      </w:r>
    </w:p>
    <w:p w14:paraId="126FBBBA" w14:textId="28F69B02" w:rsidR="00A06FDF" w:rsidRDefault="00A06FDF" w:rsidP="009B5150">
      <w:pPr>
        <w:pStyle w:val="ListBulletLast"/>
      </w:pPr>
      <w:r w:rsidRPr="001A3E27">
        <w:rPr>
          <w:b/>
          <w:bCs/>
        </w:rPr>
        <w:t>Option 4:</w:t>
      </w:r>
      <w:r>
        <w:t xml:space="preserve"> </w:t>
      </w:r>
      <w:r w:rsidR="00ED026A">
        <w:t>E</w:t>
      </w:r>
      <w:r w:rsidR="00740345">
        <w:t>xtending arrangements for</w:t>
      </w:r>
      <w:r>
        <w:t xml:space="preserve"> SR WBB </w:t>
      </w:r>
      <w:r w:rsidR="00740345">
        <w:t xml:space="preserve">to </w:t>
      </w:r>
      <w:r w:rsidR="007F2752">
        <w:t xml:space="preserve">the </w:t>
      </w:r>
      <w:r>
        <w:t>1880–19</w:t>
      </w:r>
      <w:r w:rsidR="00740345">
        <w:t>2</w:t>
      </w:r>
      <w:r>
        <w:t xml:space="preserve">0 MHz </w:t>
      </w:r>
      <w:r w:rsidR="007F2752">
        <w:t xml:space="preserve">frequency range to allow </w:t>
      </w:r>
      <w:r w:rsidR="0026085F">
        <w:t xml:space="preserve">shared use </w:t>
      </w:r>
      <w:r w:rsidR="007F2752">
        <w:t>of the</w:t>
      </w:r>
      <w:r w:rsidR="0026085F">
        <w:t xml:space="preserve"> </w:t>
      </w:r>
      <w:r>
        <w:t xml:space="preserve">1900–1920 MHz </w:t>
      </w:r>
      <w:r w:rsidR="007F2752">
        <w:t xml:space="preserve">frequency range </w:t>
      </w:r>
      <w:r>
        <w:t>Australia</w:t>
      </w:r>
      <w:r w:rsidR="00ED026A">
        <w:t>-</w:t>
      </w:r>
      <w:r w:rsidR="00DF3BAE">
        <w:t>w</w:t>
      </w:r>
      <w:r>
        <w:t>ide</w:t>
      </w:r>
      <w:r w:rsidR="00E960BD">
        <w:t>. I</w:t>
      </w:r>
      <w:r>
        <w:t>ntroduc</w:t>
      </w:r>
      <w:r w:rsidR="00DF3BAE">
        <w:t>ing</w:t>
      </w:r>
      <w:r>
        <w:t xml:space="preserve"> arrangements to allow for </w:t>
      </w:r>
      <w:r w:rsidR="005E3C5D">
        <w:t>RMR</w:t>
      </w:r>
      <w:r>
        <w:t xml:space="preserve"> in the 1900</w:t>
      </w:r>
      <w:r w:rsidR="00E960BD">
        <w:t>–</w:t>
      </w:r>
      <w:r>
        <w:t>1910 MHz range</w:t>
      </w:r>
      <w:r w:rsidR="007F2752" w:rsidRPr="007F2752">
        <w:t xml:space="preserve"> </w:t>
      </w:r>
      <w:r w:rsidR="007F2752">
        <w:t>Australia</w:t>
      </w:r>
      <w:r w:rsidR="00ED026A">
        <w:t>-</w:t>
      </w:r>
      <w:r w:rsidR="007F2752">
        <w:t>wide</w:t>
      </w:r>
      <w:r w:rsidR="0026085F">
        <w:t>,</w:t>
      </w:r>
      <w:r>
        <w:t xml:space="preserve"> </w:t>
      </w:r>
      <w:r w:rsidR="00DF3BAE">
        <w:t xml:space="preserve">on a </w:t>
      </w:r>
      <w:r>
        <w:t xml:space="preserve">shared </w:t>
      </w:r>
      <w:r w:rsidR="00DF3BAE">
        <w:t xml:space="preserve">and coordinated basis </w:t>
      </w:r>
      <w:r>
        <w:t xml:space="preserve">with </w:t>
      </w:r>
      <w:r w:rsidR="007F2752">
        <w:t xml:space="preserve">other </w:t>
      </w:r>
      <w:r>
        <w:t>services</w:t>
      </w:r>
      <w:r w:rsidR="00920BAD">
        <w:t xml:space="preserve"> while m</w:t>
      </w:r>
      <w:r w:rsidR="007F2752">
        <w:t>aintaining arrangement</w:t>
      </w:r>
      <w:r w:rsidR="00040FB0">
        <w:t>s</w:t>
      </w:r>
      <w:r w:rsidR="007F2752">
        <w:t xml:space="preserve"> for LA WBB and PTP in regional and remote areas.</w:t>
      </w:r>
    </w:p>
    <w:p w14:paraId="40CBCEFB" w14:textId="034AA66D" w:rsidR="003C67A3" w:rsidRPr="00FD5C6B" w:rsidRDefault="0037515C" w:rsidP="00F1204E">
      <w:pPr>
        <w:pStyle w:val="Paragraph"/>
        <w:keepLines w:val="0"/>
      </w:pPr>
      <w:bookmarkStart w:id="5" w:name="_Hlk3970523"/>
      <w:bookmarkEnd w:id="4"/>
      <w:r w:rsidRPr="00A60914">
        <w:t>The ACMA view is that</w:t>
      </w:r>
      <w:r w:rsidR="00255A7E" w:rsidRPr="00A60914">
        <w:t xml:space="preserve"> </w:t>
      </w:r>
      <w:r w:rsidR="00024A91" w:rsidRPr="00A60914">
        <w:t xml:space="preserve">Option </w:t>
      </w:r>
      <w:r w:rsidR="00692F9D">
        <w:t>4</w:t>
      </w:r>
      <w:r w:rsidR="00692F9D" w:rsidRPr="00A60914">
        <w:t xml:space="preserve"> </w:t>
      </w:r>
      <w:r w:rsidRPr="00A60914">
        <w:t xml:space="preserve">is the </w:t>
      </w:r>
      <w:r w:rsidR="000601E6">
        <w:t>preliminary preferred option</w:t>
      </w:r>
      <w:r w:rsidR="00255A7E" w:rsidRPr="00A60914">
        <w:t xml:space="preserve"> for</w:t>
      </w:r>
      <w:r w:rsidR="0017433D">
        <w:t xml:space="preserve"> replanning</w:t>
      </w:r>
      <w:r w:rsidR="00255A7E" w:rsidRPr="00A60914">
        <w:t xml:space="preserve"> the </w:t>
      </w:r>
      <w:r w:rsidR="00692F9D">
        <w:t>1.9</w:t>
      </w:r>
      <w:r w:rsidR="006D5AE3">
        <w:t> </w:t>
      </w:r>
      <w:r w:rsidR="00692F9D">
        <w:t>G</w:t>
      </w:r>
      <w:r w:rsidR="0061663A" w:rsidRPr="00A60914">
        <w:t xml:space="preserve">Hz </w:t>
      </w:r>
      <w:r w:rsidR="00255A7E" w:rsidRPr="00A60914">
        <w:t xml:space="preserve">band. </w:t>
      </w:r>
      <w:bookmarkStart w:id="6" w:name="_Hlk42850059"/>
      <w:r w:rsidR="007C79BA" w:rsidRPr="00A60914">
        <w:t>This</w:t>
      </w:r>
      <w:r w:rsidR="007C79BA" w:rsidRPr="00E54183">
        <w:t xml:space="preserve"> option </w:t>
      </w:r>
      <w:r w:rsidR="007C79BA">
        <w:t xml:space="preserve">provides </w:t>
      </w:r>
      <w:r w:rsidR="0026085F">
        <w:t>for</w:t>
      </w:r>
      <w:r w:rsidR="007C79BA" w:rsidRPr="00E54183">
        <w:t xml:space="preserve"> </w:t>
      </w:r>
      <w:r w:rsidR="00692F9D">
        <w:t xml:space="preserve">SR WBB </w:t>
      </w:r>
      <w:r w:rsidR="003C67A3">
        <w:t xml:space="preserve">and </w:t>
      </w:r>
      <w:r w:rsidR="005E3C5D">
        <w:t>RMR</w:t>
      </w:r>
      <w:r w:rsidR="007C79BA" w:rsidRPr="00E54183">
        <w:t xml:space="preserve"> </w:t>
      </w:r>
      <w:r w:rsidR="007C79BA">
        <w:t xml:space="preserve">uses </w:t>
      </w:r>
      <w:r w:rsidR="007C79BA" w:rsidRPr="00E54183">
        <w:t>in all areas</w:t>
      </w:r>
      <w:r w:rsidR="00704404">
        <w:t xml:space="preserve"> while retaining use for existing</w:t>
      </w:r>
      <w:r w:rsidR="00024A91" w:rsidRPr="00E54183">
        <w:t xml:space="preserve"> PTP</w:t>
      </w:r>
      <w:r w:rsidR="003C67A3">
        <w:t xml:space="preserve"> </w:t>
      </w:r>
      <w:r w:rsidR="00692F9D">
        <w:t>and LA WBB</w:t>
      </w:r>
      <w:r w:rsidR="003C67A3">
        <w:t>.</w:t>
      </w:r>
      <w:r w:rsidR="00D6089A">
        <w:t xml:space="preserve"> </w:t>
      </w:r>
      <w:r>
        <w:t xml:space="preserve">It is likely to best achieve the </w:t>
      </w:r>
      <w:r w:rsidR="00E04052">
        <w:t>desir</w:t>
      </w:r>
      <w:r w:rsidR="00F94774">
        <w:t>able</w:t>
      </w:r>
      <w:r w:rsidR="00E04052">
        <w:t xml:space="preserve"> </w:t>
      </w:r>
      <w:r>
        <w:t xml:space="preserve">planning </w:t>
      </w:r>
      <w:r w:rsidR="00E04052">
        <w:t xml:space="preserve">outcomes </w:t>
      </w:r>
      <w:r w:rsidRPr="00FD5C6B">
        <w:t>identified for the band</w:t>
      </w:r>
      <w:r w:rsidR="00F1204E">
        <w:t xml:space="preserve"> and maximise the efficient use of the available spectrum</w:t>
      </w:r>
      <w:r w:rsidRPr="00FD5C6B">
        <w:t xml:space="preserve">. </w:t>
      </w:r>
    </w:p>
    <w:p w14:paraId="3B4AA8AB" w14:textId="3AB06842" w:rsidR="00F1204E" w:rsidRDefault="00653B75" w:rsidP="00F1204E">
      <w:pPr>
        <w:pStyle w:val="Paragraph"/>
        <w:keepLines w:val="0"/>
      </w:pPr>
      <w:bookmarkStart w:id="7" w:name="_Hlk118269876"/>
      <w:r w:rsidRPr="00FD5C6B">
        <w:t xml:space="preserve">The development of replanning options </w:t>
      </w:r>
      <w:r w:rsidR="00365AA9">
        <w:t>often</w:t>
      </w:r>
      <w:r w:rsidRPr="00FD5C6B">
        <w:t xml:space="preserve"> requires </w:t>
      </w:r>
      <w:r w:rsidR="00F1204E">
        <w:t xml:space="preserve">balancing separate considerations </w:t>
      </w:r>
      <w:r w:rsidRPr="00FD5C6B">
        <w:t xml:space="preserve">between providing for </w:t>
      </w:r>
      <w:r w:rsidR="00F1204E">
        <w:t xml:space="preserve">multiple and flexible spectrum </w:t>
      </w:r>
      <w:r w:rsidRPr="00FD5C6B">
        <w:t>use</w:t>
      </w:r>
      <w:r w:rsidR="00F1204E">
        <w:t>s</w:t>
      </w:r>
      <w:r w:rsidRPr="00FD5C6B">
        <w:t xml:space="preserve"> </w:t>
      </w:r>
      <w:r w:rsidR="00F1204E">
        <w:t>against</w:t>
      </w:r>
      <w:r w:rsidRPr="00FD5C6B">
        <w:t xml:space="preserve"> the complexity of technical and licensing frameworks that </w:t>
      </w:r>
      <w:r w:rsidR="00F1204E">
        <w:t>are</w:t>
      </w:r>
      <w:r w:rsidRPr="00FD5C6B">
        <w:t xml:space="preserve"> needed to support </w:t>
      </w:r>
      <w:r w:rsidR="00F1204E">
        <w:t xml:space="preserve">such </w:t>
      </w:r>
      <w:r w:rsidRPr="00FD5C6B">
        <w:t xml:space="preserve">increased utility. </w:t>
      </w:r>
      <w:r w:rsidR="00E960BD">
        <w:t xml:space="preserve">Our </w:t>
      </w:r>
      <w:r w:rsidR="00F1204E">
        <w:t xml:space="preserve">preliminary </w:t>
      </w:r>
      <w:r w:rsidR="001F2CD8" w:rsidRPr="00915142">
        <w:t xml:space="preserve">preferred </w:t>
      </w:r>
      <w:r w:rsidRPr="00FD5C6B">
        <w:t>Option</w:t>
      </w:r>
      <w:r w:rsidR="00D57D54">
        <w:t> </w:t>
      </w:r>
      <w:r w:rsidRPr="00FD5C6B">
        <w:t xml:space="preserve">4 </w:t>
      </w:r>
      <w:r w:rsidR="00365AA9">
        <w:t xml:space="preserve">seeks to maximise flexibility of use and hence utility, which therefore </w:t>
      </w:r>
      <w:r w:rsidR="00F1204E">
        <w:t>introduces complexity into the development of relevant technical and licensing arrangements</w:t>
      </w:r>
      <w:r w:rsidR="00365AA9">
        <w:t>.  Th</w:t>
      </w:r>
      <w:r w:rsidR="00F1204E">
        <w:t xml:space="preserve">e appropriate balance between </w:t>
      </w:r>
      <w:r w:rsidR="00E960BD">
        <w:br/>
      </w:r>
      <w:r w:rsidR="00F1204E">
        <w:t xml:space="preserve">these </w:t>
      </w:r>
      <w:r w:rsidR="006B0360">
        <w:t xml:space="preserve">2 </w:t>
      </w:r>
      <w:r w:rsidR="00F1204E">
        <w:t xml:space="preserve">concerns needs </w:t>
      </w:r>
      <w:r w:rsidRPr="00FD5C6B">
        <w:t xml:space="preserve">to be further considered to determine if </w:t>
      </w:r>
      <w:r w:rsidR="00F1204E">
        <w:t xml:space="preserve">this option </w:t>
      </w:r>
      <w:r w:rsidRPr="00FD5C6B">
        <w:t xml:space="preserve">represents the </w:t>
      </w:r>
      <w:r w:rsidR="00F1204E">
        <w:t>optimal use of the spectrum.</w:t>
      </w:r>
    </w:p>
    <w:bookmarkEnd w:id="7"/>
    <w:p w14:paraId="463069F7" w14:textId="7B888571" w:rsidR="006F36EE" w:rsidRDefault="00255A7E" w:rsidP="009B5150">
      <w:pPr>
        <w:keepLines w:val="0"/>
      </w:pPr>
      <w:r w:rsidRPr="00E54183">
        <w:t xml:space="preserve">Feedback on the issues presented in this paper will help inform </w:t>
      </w:r>
      <w:r w:rsidR="00261CD2">
        <w:t xml:space="preserve">us </w:t>
      </w:r>
      <w:r w:rsidR="00024A91" w:rsidRPr="00E54183">
        <w:t xml:space="preserve">whether </w:t>
      </w:r>
      <w:r w:rsidR="00543BB3">
        <w:t>an</w:t>
      </w:r>
      <w:r w:rsidR="00543BB3" w:rsidRPr="00E54183">
        <w:t xml:space="preserve"> </w:t>
      </w:r>
      <w:r w:rsidRPr="00E54183">
        <w:t xml:space="preserve">identified </w:t>
      </w:r>
      <w:r w:rsidR="003E321D" w:rsidRPr="00E54183">
        <w:t>option,</w:t>
      </w:r>
      <w:r w:rsidRPr="00E54183">
        <w:t xml:space="preserve"> </w:t>
      </w:r>
      <w:r w:rsidR="00024A91" w:rsidRPr="00E54183">
        <w:t xml:space="preserve">a </w:t>
      </w:r>
      <w:r w:rsidRPr="00E54183">
        <w:t>variant</w:t>
      </w:r>
      <w:r w:rsidR="00C91427">
        <w:t xml:space="preserve"> of</w:t>
      </w:r>
      <w:r w:rsidR="00920BAD">
        <w:t xml:space="preserve"> such an option</w:t>
      </w:r>
      <w:r w:rsidR="003E321D" w:rsidRPr="00E54183">
        <w:t>,</w:t>
      </w:r>
      <w:r w:rsidR="00C91427">
        <w:t xml:space="preserve"> or another option</w:t>
      </w:r>
      <w:r w:rsidRPr="00E54183">
        <w:t xml:space="preserve"> best meets the objective </w:t>
      </w:r>
      <w:r w:rsidR="00A55CA3">
        <w:t xml:space="preserve">to promote </w:t>
      </w:r>
      <w:r w:rsidR="00A55CA3" w:rsidRPr="003B75B6">
        <w:t>the long</w:t>
      </w:r>
      <w:r w:rsidR="00A55CA3" w:rsidRPr="003B75B6">
        <w:noBreakHyphen/>
        <w:t xml:space="preserve">term public interest derived from the use of </w:t>
      </w:r>
      <w:r w:rsidRPr="00E54183">
        <w:t xml:space="preserve">the </w:t>
      </w:r>
      <w:r w:rsidR="007A7A60">
        <w:br/>
      </w:r>
      <w:r w:rsidR="00692F9D">
        <w:t>1.9</w:t>
      </w:r>
      <w:r w:rsidR="00A55CA3">
        <w:t> </w:t>
      </w:r>
      <w:r w:rsidR="00692F9D">
        <w:t>G</w:t>
      </w:r>
      <w:r w:rsidR="0061663A">
        <w:t xml:space="preserve">Hz </w:t>
      </w:r>
      <w:r w:rsidRPr="00E54183">
        <w:t>band.</w:t>
      </w:r>
      <w:bookmarkEnd w:id="2"/>
      <w:bookmarkEnd w:id="5"/>
      <w:bookmarkEnd w:id="6"/>
    </w:p>
    <w:p w14:paraId="64F412DC" w14:textId="77777777" w:rsidR="002B34EF" w:rsidRDefault="002B34EF">
      <w:pPr>
        <w:keepLines w:val="0"/>
        <w:spacing w:after="0" w:line="240" w:lineRule="auto"/>
        <w:rPr>
          <w:rFonts w:cs="Arial"/>
          <w:b/>
          <w:bCs/>
          <w:iCs/>
          <w:sz w:val="28"/>
          <w:szCs w:val="28"/>
        </w:rPr>
      </w:pPr>
      <w:bookmarkStart w:id="8" w:name="_Toc16064477"/>
      <w:r>
        <w:br w:type="page"/>
      </w:r>
    </w:p>
    <w:p w14:paraId="4A3A67C5" w14:textId="77777777" w:rsidR="002B34EF" w:rsidRPr="00DB5756" w:rsidRDefault="002B34EF" w:rsidP="002B34EF">
      <w:pPr>
        <w:pStyle w:val="Heading1"/>
      </w:pPr>
      <w:bookmarkStart w:id="9" w:name="_Toc15973790"/>
      <w:bookmarkStart w:id="10" w:name="_Toc57376793"/>
      <w:bookmarkStart w:id="11" w:name="_Toc117870112"/>
      <w:bookmarkStart w:id="12" w:name="_Toc118785104"/>
      <w:bookmarkStart w:id="13" w:name="_Toc120600039"/>
      <w:r w:rsidRPr="0038741C">
        <w:lastRenderedPageBreak/>
        <w:t>Issues for comment</w:t>
      </w:r>
      <w:bookmarkEnd w:id="9"/>
      <w:bookmarkEnd w:id="10"/>
      <w:bookmarkEnd w:id="11"/>
      <w:bookmarkEnd w:id="12"/>
      <w:bookmarkEnd w:id="13"/>
    </w:p>
    <w:p w14:paraId="3DABD92B" w14:textId="035D2EEF" w:rsidR="002B34EF" w:rsidRPr="00602151" w:rsidRDefault="00E960BD" w:rsidP="009B5150">
      <w:pPr>
        <w:pStyle w:val="Paragraphbeforelist"/>
        <w:keepLines w:val="0"/>
        <w:widowControl w:val="0"/>
      </w:pPr>
      <w:r>
        <w:t xml:space="preserve">We invite </w:t>
      </w:r>
      <w:r w:rsidR="002B34EF" w:rsidRPr="006F7EDF">
        <w:t xml:space="preserve">comments on the issues set </w:t>
      </w:r>
      <w:r w:rsidR="002B34EF" w:rsidRPr="00602151">
        <w:t xml:space="preserve">out in this </w:t>
      </w:r>
      <w:r w:rsidR="002B34EF">
        <w:t>consultation</w:t>
      </w:r>
      <w:r w:rsidR="002B34EF" w:rsidRPr="00602151">
        <w:t xml:space="preserve"> paper</w:t>
      </w:r>
      <w:r w:rsidR="002B34EF">
        <w:t>:</w:t>
      </w:r>
    </w:p>
    <w:p w14:paraId="10FE8E88" w14:textId="6490185A" w:rsidR="00BF2F2F" w:rsidRDefault="00BF2F2F" w:rsidP="00BF2F2F">
      <w:pPr>
        <w:pStyle w:val="ListParagraph"/>
        <w:keepLines w:val="0"/>
        <w:widowControl w:val="0"/>
        <w:numPr>
          <w:ilvl w:val="0"/>
          <w:numId w:val="26"/>
        </w:numPr>
        <w:spacing w:before="120" w:after="240"/>
        <w:ind w:left="357" w:hanging="357"/>
      </w:pPr>
      <w:bookmarkStart w:id="14" w:name="_Hlk117870963"/>
      <w:bookmarkEnd w:id="8"/>
      <w:r w:rsidRPr="009D1EC5">
        <w:t xml:space="preserve">The </w:t>
      </w:r>
      <w:r w:rsidRPr="00907F01">
        <w:t xml:space="preserve">ACMA invites comments on the </w:t>
      </w:r>
      <w:r w:rsidR="00B17555">
        <w:t xml:space="preserve">proposed </w:t>
      </w:r>
      <w:r w:rsidR="005E0211">
        <w:t>d</w:t>
      </w:r>
      <w:r w:rsidRPr="00907F01">
        <w:t xml:space="preserve">esirable </w:t>
      </w:r>
      <w:r w:rsidR="005E0211">
        <w:t>p</w:t>
      </w:r>
      <w:r w:rsidRPr="00907F01">
        <w:t xml:space="preserve">lanning </w:t>
      </w:r>
      <w:r w:rsidR="005E0211">
        <w:t>o</w:t>
      </w:r>
      <w:r w:rsidRPr="00907F01">
        <w:t>utcomes</w:t>
      </w:r>
      <w:r w:rsidR="00D57D54">
        <w:t>.</w:t>
      </w:r>
    </w:p>
    <w:p w14:paraId="3EF595B8" w14:textId="0FBCA328" w:rsidR="002B34EF" w:rsidRDefault="003E77D0" w:rsidP="009B5150">
      <w:pPr>
        <w:pStyle w:val="ListParagraph"/>
        <w:keepLines w:val="0"/>
        <w:widowControl w:val="0"/>
        <w:numPr>
          <w:ilvl w:val="0"/>
          <w:numId w:val="26"/>
        </w:numPr>
        <w:spacing w:before="120" w:after="240"/>
        <w:ind w:left="357" w:hanging="357"/>
      </w:pPr>
      <w:r w:rsidRPr="003E77D0">
        <w:t>The ACMA seeks stakeholders’ views on any other applications we have not identified that could be accommodated under SR WBB.</w:t>
      </w:r>
      <w:bookmarkEnd w:id="14"/>
      <w:r w:rsidR="002B34EF" w:rsidRPr="00BF2F43" w:rsidDel="00BF2F43">
        <w:t xml:space="preserve"> </w:t>
      </w:r>
    </w:p>
    <w:p w14:paraId="6E7D855D" w14:textId="1EB1B750" w:rsidR="002B34EF" w:rsidRDefault="002B34EF" w:rsidP="009B5150">
      <w:pPr>
        <w:pStyle w:val="ListParagraph"/>
        <w:keepLines w:val="0"/>
        <w:widowControl w:val="0"/>
        <w:numPr>
          <w:ilvl w:val="0"/>
          <w:numId w:val="26"/>
        </w:numPr>
        <w:spacing w:before="120" w:after="240"/>
        <w:ind w:left="357" w:hanging="357"/>
      </w:pPr>
      <w:r w:rsidRPr="009D1EC5">
        <w:t xml:space="preserve">The </w:t>
      </w:r>
      <w:r w:rsidR="00907F01" w:rsidRPr="00907F01">
        <w:t>ACMA invites comments on</w:t>
      </w:r>
      <w:r w:rsidR="008D6D7B">
        <w:t xml:space="preserve"> the</w:t>
      </w:r>
      <w:r w:rsidR="00907F01" w:rsidRPr="00907F01">
        <w:t xml:space="preserve"> replanning options, </w:t>
      </w:r>
      <w:r w:rsidR="00243956">
        <w:t>especially</w:t>
      </w:r>
      <w:r w:rsidR="00920BAD" w:rsidRPr="00907F01">
        <w:t xml:space="preserve"> </w:t>
      </w:r>
      <w:r w:rsidR="00907F01" w:rsidRPr="00907F01">
        <w:t xml:space="preserve">the </w:t>
      </w:r>
      <w:r w:rsidR="00E828B6">
        <w:t xml:space="preserve">preliminary </w:t>
      </w:r>
      <w:r w:rsidR="00907F01" w:rsidRPr="00907F01">
        <w:t>preferred option presented in th</w:t>
      </w:r>
      <w:r w:rsidR="00920BAD">
        <w:t>is</w:t>
      </w:r>
      <w:r w:rsidR="00907F01" w:rsidRPr="00907F01">
        <w:t xml:space="preserve"> paper, and any alternative options</w:t>
      </w:r>
      <w:r w:rsidRPr="009D1EC5">
        <w:t>.</w:t>
      </w:r>
    </w:p>
    <w:p w14:paraId="180C147E" w14:textId="0CD2B33F" w:rsidR="002B34EF" w:rsidRDefault="002B34EF" w:rsidP="009B5150">
      <w:pPr>
        <w:pStyle w:val="ListParagraph"/>
        <w:keepLines w:val="0"/>
        <w:widowControl w:val="0"/>
        <w:numPr>
          <w:ilvl w:val="0"/>
          <w:numId w:val="26"/>
        </w:numPr>
        <w:spacing w:before="120" w:after="240"/>
        <w:ind w:left="357" w:hanging="357"/>
      </w:pPr>
      <w:r w:rsidRPr="001B51FC">
        <w:t xml:space="preserve">Is </w:t>
      </w:r>
      <w:r w:rsidR="00E960BD">
        <w:t>p</w:t>
      </w:r>
      <w:r w:rsidR="005D1BE6">
        <w:t xml:space="preserve">ersonal </w:t>
      </w:r>
      <w:r w:rsidR="00E960BD">
        <w:t>h</w:t>
      </w:r>
      <w:r w:rsidR="005D1BE6" w:rsidRPr="001B51FC">
        <w:t xml:space="preserve">andy </w:t>
      </w:r>
      <w:r w:rsidR="00E960BD">
        <w:t>p</w:t>
      </w:r>
      <w:r w:rsidRPr="001B51FC">
        <w:t xml:space="preserve">hone </w:t>
      </w:r>
      <w:r w:rsidR="00E960BD">
        <w:t>s</w:t>
      </w:r>
      <w:r w:rsidRPr="001B51FC">
        <w:t xml:space="preserve">ystem (PHS) technology still required to be included in the </w:t>
      </w:r>
      <w:r w:rsidR="00E960BD">
        <w:t>c</w:t>
      </w:r>
      <w:r w:rsidRPr="001B51FC">
        <w:t xml:space="preserve">ordless </w:t>
      </w:r>
      <w:r w:rsidR="00E960BD">
        <w:t>c</w:t>
      </w:r>
      <w:r w:rsidRPr="001B51FC">
        <w:t xml:space="preserve">ommunication </w:t>
      </w:r>
      <w:r w:rsidR="00E960BD">
        <w:t>d</w:t>
      </w:r>
      <w:r w:rsidRPr="001B51FC">
        <w:t xml:space="preserve">evices </w:t>
      </w:r>
      <w:r w:rsidR="00E960BD">
        <w:t>c</w:t>
      </w:r>
      <w:r w:rsidRPr="001B51FC">
        <w:t xml:space="preserve">lass </w:t>
      </w:r>
      <w:r w:rsidR="00E960BD">
        <w:t>l</w:t>
      </w:r>
      <w:r w:rsidRPr="001B51FC">
        <w:t>icence?</w:t>
      </w:r>
    </w:p>
    <w:p w14:paraId="227AD162" w14:textId="7C2E99A1" w:rsidR="002B34EF" w:rsidRDefault="00907F01" w:rsidP="009B5150">
      <w:pPr>
        <w:pStyle w:val="ListParagraph"/>
        <w:keepLines w:val="0"/>
        <w:widowControl w:val="0"/>
        <w:numPr>
          <w:ilvl w:val="0"/>
          <w:numId w:val="26"/>
        </w:numPr>
        <w:spacing w:before="120" w:after="240"/>
        <w:ind w:left="357" w:hanging="357"/>
      </w:pPr>
      <w:r w:rsidRPr="00907F01">
        <w:t xml:space="preserve">The </w:t>
      </w:r>
      <w:bookmarkStart w:id="15" w:name="_Hlk117870815"/>
      <w:r w:rsidRPr="00907F01">
        <w:t>1900</w:t>
      </w:r>
      <w:r w:rsidR="00E960BD">
        <w:t>–</w:t>
      </w:r>
      <w:r w:rsidRPr="00907F01">
        <w:t xml:space="preserve">1920 MHz </w:t>
      </w:r>
      <w:r w:rsidR="00E960BD">
        <w:t>f</w:t>
      </w:r>
      <w:r w:rsidRPr="00907F01">
        <w:t xml:space="preserve">requency </w:t>
      </w:r>
      <w:r w:rsidR="00E960BD">
        <w:t>b</w:t>
      </w:r>
      <w:r w:rsidRPr="00907F01">
        <w:t xml:space="preserve">and </w:t>
      </w:r>
      <w:r w:rsidR="00E960BD">
        <w:t>p</w:t>
      </w:r>
      <w:r w:rsidRPr="00907F01">
        <w:t xml:space="preserve">lan </w:t>
      </w:r>
      <w:r w:rsidR="005D1BE6">
        <w:t>will</w:t>
      </w:r>
      <w:r w:rsidRPr="00907F01">
        <w:t xml:space="preserve"> sunset on 1 April 2023. Is the band plan still </w:t>
      </w:r>
      <w:r w:rsidR="005D1BE6">
        <w:t>required</w:t>
      </w:r>
      <w:r w:rsidR="00E960BD">
        <w:t>,</w:t>
      </w:r>
      <w:r w:rsidRPr="00907F01">
        <w:t xml:space="preserve"> or can the band plan be allowed to sunset</w:t>
      </w:r>
      <w:bookmarkEnd w:id="15"/>
      <w:r>
        <w:t>?</w:t>
      </w:r>
    </w:p>
    <w:p w14:paraId="7BD510AA" w14:textId="50A9E929" w:rsidR="00907F01" w:rsidRDefault="00907F01" w:rsidP="00F1204E">
      <w:pPr>
        <w:pStyle w:val="ListParagraph"/>
        <w:keepLines w:val="0"/>
        <w:widowControl w:val="0"/>
        <w:numPr>
          <w:ilvl w:val="0"/>
          <w:numId w:val="26"/>
        </w:numPr>
        <w:spacing w:before="120" w:after="240"/>
        <w:ind w:left="357" w:hanging="357"/>
      </w:pPr>
      <w:bookmarkStart w:id="16" w:name="_Hlk117870763"/>
      <w:r w:rsidRPr="00907F01">
        <w:t>The ACMA invites comments on coexistence considerations</w:t>
      </w:r>
      <w:r w:rsidR="005D1BE6" w:rsidRPr="00907F01">
        <w:t>, and analysis</w:t>
      </w:r>
      <w:r w:rsidRPr="00907F01">
        <w:t xml:space="preserve"> </w:t>
      </w:r>
      <w:r w:rsidR="005D1BE6">
        <w:t xml:space="preserve">on coexistence issues </w:t>
      </w:r>
      <w:r w:rsidRPr="00907F01">
        <w:t>for</w:t>
      </w:r>
      <w:r w:rsidR="005D1BE6">
        <w:t xml:space="preserve"> </w:t>
      </w:r>
      <w:r w:rsidR="002D03B5">
        <w:t>the proposed options</w:t>
      </w:r>
      <w:r w:rsidR="005D1BE6">
        <w:t xml:space="preserve"> in</w:t>
      </w:r>
      <w:r w:rsidRPr="00907F01">
        <w:t xml:space="preserve"> this band.  </w:t>
      </w:r>
    </w:p>
    <w:p w14:paraId="11BCE01A" w14:textId="581E8271" w:rsidR="0098310E" w:rsidRDefault="0098310E" w:rsidP="00FD2C90">
      <w:pPr>
        <w:keepLines w:val="0"/>
        <w:spacing w:after="0" w:line="240" w:lineRule="auto"/>
      </w:pPr>
      <w:r>
        <w:br w:type="page"/>
      </w:r>
    </w:p>
    <w:p w14:paraId="17010524" w14:textId="77777777" w:rsidR="008E7761" w:rsidRPr="00A05EC9" w:rsidRDefault="008E7761" w:rsidP="009B5150">
      <w:pPr>
        <w:pStyle w:val="Heading1"/>
        <w:keepLines w:val="0"/>
        <w:pageBreakBefore w:val="0"/>
        <w:widowControl/>
        <w:ind w:right="1557"/>
      </w:pPr>
      <w:bookmarkStart w:id="17" w:name="_Toc5000060"/>
      <w:bookmarkStart w:id="18" w:name="_Toc117870113"/>
      <w:bookmarkStart w:id="19" w:name="_Toc118785105"/>
      <w:bookmarkStart w:id="20" w:name="_Toc120600040"/>
      <w:bookmarkEnd w:id="16"/>
      <w:r w:rsidRPr="00A05EC9">
        <w:lastRenderedPageBreak/>
        <w:t>Introduction</w:t>
      </w:r>
      <w:bookmarkEnd w:id="17"/>
      <w:bookmarkEnd w:id="18"/>
      <w:bookmarkEnd w:id="19"/>
      <w:bookmarkEnd w:id="20"/>
      <w:r w:rsidRPr="00A05EC9">
        <w:t xml:space="preserve"> </w:t>
      </w:r>
    </w:p>
    <w:p w14:paraId="1D2EEA15" w14:textId="36557674" w:rsidR="008E7761" w:rsidRPr="00A05EC9" w:rsidRDefault="008E7761" w:rsidP="009B5150">
      <w:pPr>
        <w:pStyle w:val="Heading2"/>
        <w:keepLines w:val="0"/>
        <w:ind w:right="1557"/>
      </w:pPr>
      <w:bookmarkStart w:id="21" w:name="_Toc5000061"/>
      <w:bookmarkStart w:id="22" w:name="_Toc117870114"/>
      <w:bookmarkStart w:id="23" w:name="_Toc118785106"/>
      <w:bookmarkStart w:id="24" w:name="_Toc120600041"/>
      <w:r w:rsidRPr="00A05EC9">
        <w:t>Purpose of this paper</w:t>
      </w:r>
      <w:bookmarkEnd w:id="21"/>
      <w:bookmarkEnd w:id="22"/>
      <w:bookmarkEnd w:id="23"/>
      <w:bookmarkEnd w:id="24"/>
    </w:p>
    <w:p w14:paraId="04E498F4" w14:textId="0D0FF8CA" w:rsidR="000B6E9D" w:rsidRDefault="00D07D73" w:rsidP="009B5150">
      <w:pPr>
        <w:pStyle w:val="Paragraph"/>
        <w:keepLines w:val="0"/>
      </w:pPr>
      <w:r w:rsidRPr="00C60091">
        <w:t xml:space="preserve">The ACMA released </w:t>
      </w:r>
      <w:r>
        <w:t>the</w:t>
      </w:r>
      <w:r w:rsidRPr="00426BF5">
        <w:t xml:space="preserve"> </w:t>
      </w:r>
      <w:hyperlink r:id="rId26" w:history="1">
        <w:r w:rsidR="00BA1B4B" w:rsidRPr="00226549">
          <w:rPr>
            <w:rStyle w:val="Hyperlink"/>
          </w:rPr>
          <w:t>Exploring future use of the 1.9 GHz band</w:t>
        </w:r>
      </w:hyperlink>
      <w:r w:rsidR="00450397">
        <w:rPr>
          <w:iCs/>
        </w:rPr>
        <w:t xml:space="preserve"> </w:t>
      </w:r>
      <w:r w:rsidR="00BA1B4B">
        <w:rPr>
          <w:iCs/>
        </w:rPr>
        <w:t xml:space="preserve">discussion paper </w:t>
      </w:r>
      <w:r w:rsidRPr="00C60091">
        <w:t>in November 2021</w:t>
      </w:r>
      <w:r>
        <w:t xml:space="preserve">. </w:t>
      </w:r>
      <w:r w:rsidR="000B6E9D" w:rsidRPr="00C60091">
        <w:t xml:space="preserve">The consultation closed on 11 February 2022. </w:t>
      </w:r>
      <w:r w:rsidR="00E960BD">
        <w:t>We</w:t>
      </w:r>
      <w:r w:rsidR="00E960BD" w:rsidRPr="00C60091">
        <w:t xml:space="preserve"> </w:t>
      </w:r>
      <w:r w:rsidR="000B6E9D" w:rsidRPr="00C60091">
        <w:t xml:space="preserve">received </w:t>
      </w:r>
      <w:r w:rsidR="000B6E9D">
        <w:t xml:space="preserve">22 </w:t>
      </w:r>
      <w:r w:rsidR="000B6E9D" w:rsidRPr="00C60091">
        <w:t>responses.</w:t>
      </w:r>
      <w:r w:rsidR="000B6E9D">
        <w:t xml:space="preserve"> </w:t>
      </w:r>
    </w:p>
    <w:p w14:paraId="4264576A" w14:textId="38C8174E" w:rsidR="000B6E9D" w:rsidRDefault="00D07D73" w:rsidP="009B5150">
      <w:pPr>
        <w:pStyle w:val="Paragraph"/>
        <w:keepLines w:val="0"/>
      </w:pPr>
      <w:r>
        <w:t>This paper</w:t>
      </w:r>
      <w:r w:rsidRPr="00C60091">
        <w:t xml:space="preserve"> identif</w:t>
      </w:r>
      <w:r>
        <w:t xml:space="preserve">ied </w:t>
      </w:r>
      <w:r w:rsidRPr="00C60091">
        <w:t xml:space="preserve">domestic and international considerations for the future </w:t>
      </w:r>
      <w:r w:rsidR="00234FF7">
        <w:t xml:space="preserve">use </w:t>
      </w:r>
      <w:r w:rsidRPr="00C60091">
        <w:t xml:space="preserve">of the 1.9 GHz </w:t>
      </w:r>
      <w:r w:rsidR="00E960BD">
        <w:br/>
      </w:r>
      <w:r w:rsidRPr="00C60091">
        <w:t>(1880</w:t>
      </w:r>
      <w:r w:rsidR="00E960BD">
        <w:t>–</w:t>
      </w:r>
      <w:r w:rsidRPr="00C60091">
        <w:t>1920 MHz) band</w:t>
      </w:r>
      <w:r w:rsidR="00E960BD">
        <w:t>,</w:t>
      </w:r>
      <w:r w:rsidR="003B75B6">
        <w:t xml:space="preserve"> and</w:t>
      </w:r>
      <w:r w:rsidRPr="00C60091">
        <w:t xml:space="preserve"> explor</w:t>
      </w:r>
      <w:r>
        <w:t>ed</w:t>
      </w:r>
      <w:r w:rsidRPr="00C60091">
        <w:t xml:space="preserve"> views on possible changes in planning arrangements for </w:t>
      </w:r>
      <w:r w:rsidR="00E960BD">
        <w:br/>
      </w:r>
      <w:r w:rsidRPr="00C60091">
        <w:t xml:space="preserve">the band. </w:t>
      </w:r>
    </w:p>
    <w:p w14:paraId="79FD78B2" w14:textId="33A04B38" w:rsidR="005E0344" w:rsidRDefault="0098310E" w:rsidP="009B5150">
      <w:pPr>
        <w:pStyle w:val="Paragraph"/>
        <w:keepLines w:val="0"/>
        <w:rPr>
          <w:iCs/>
        </w:rPr>
      </w:pPr>
      <w:r>
        <w:t xml:space="preserve">Informed by </w:t>
      </w:r>
      <w:r w:rsidR="005E0344">
        <w:t xml:space="preserve">the responses to </w:t>
      </w:r>
      <w:r w:rsidR="005E0344" w:rsidRPr="00C60091">
        <w:t>the discussion paper</w:t>
      </w:r>
      <w:r>
        <w:t xml:space="preserve">, </w:t>
      </w:r>
      <w:r w:rsidR="00E960BD">
        <w:t xml:space="preserve">we have </w:t>
      </w:r>
      <w:r w:rsidR="005E0344">
        <w:t>progressed</w:t>
      </w:r>
      <w:r w:rsidR="005E0344" w:rsidRPr="00C60091">
        <w:t xml:space="preserve"> </w:t>
      </w:r>
      <w:r w:rsidR="005E0344">
        <w:t>the review</w:t>
      </w:r>
      <w:r w:rsidR="005E0344" w:rsidRPr="00C60091">
        <w:t xml:space="preserve"> of arrangements in the </w:t>
      </w:r>
      <w:r w:rsidR="005E0344" w:rsidRPr="00C60091" w:rsidDel="00B17555">
        <w:t>1</w:t>
      </w:r>
      <w:r w:rsidR="00B17555">
        <w:t>.</w:t>
      </w:r>
      <w:r w:rsidR="005E0344" w:rsidRPr="00C60091">
        <w:t xml:space="preserve">9 </w:t>
      </w:r>
      <w:r w:rsidR="00B17555">
        <w:t>G</w:t>
      </w:r>
      <w:r w:rsidR="005E0344" w:rsidRPr="00C60091">
        <w:t xml:space="preserve">Hz band from the </w:t>
      </w:r>
      <w:r w:rsidR="005E0344" w:rsidRPr="00C60091">
        <w:rPr>
          <w:iCs/>
        </w:rPr>
        <w:t xml:space="preserve">initial investigation stage to the preliminary </w:t>
      </w:r>
      <w:r w:rsidR="00234FF7">
        <w:rPr>
          <w:iCs/>
        </w:rPr>
        <w:t>re</w:t>
      </w:r>
      <w:r w:rsidR="005E0344" w:rsidRPr="00C60091">
        <w:rPr>
          <w:iCs/>
        </w:rPr>
        <w:t xml:space="preserve">planning stage. </w:t>
      </w:r>
      <w:r w:rsidR="00692A19">
        <w:t xml:space="preserve">This includes reviewing current regulatory arrangements and </w:t>
      </w:r>
      <w:r w:rsidR="00692A19">
        <w:rPr>
          <w:iCs/>
        </w:rPr>
        <w:t xml:space="preserve">the proposal not to remake the </w:t>
      </w:r>
      <w:hyperlink r:id="rId27" w:history="1">
        <w:r w:rsidR="00692A19" w:rsidRPr="00F10BB9">
          <w:rPr>
            <w:rStyle w:val="Hyperlink"/>
          </w:rPr>
          <w:t>1900</w:t>
        </w:r>
        <w:r w:rsidR="0015459A">
          <w:rPr>
            <w:rStyle w:val="Hyperlink"/>
          </w:rPr>
          <w:t>–</w:t>
        </w:r>
        <w:r w:rsidR="00692A19" w:rsidRPr="00F10BB9">
          <w:rPr>
            <w:rStyle w:val="Hyperlink"/>
          </w:rPr>
          <w:t>1920 MHz Frequency Band Plan 2012</w:t>
        </w:r>
      </w:hyperlink>
      <w:r w:rsidR="0015459A">
        <w:t xml:space="preserve">, </w:t>
      </w:r>
      <w:r w:rsidR="00692A19">
        <w:t>which will sunset on 1 April 2023.</w:t>
      </w:r>
    </w:p>
    <w:p w14:paraId="4DAEECCB" w14:textId="054AAE66" w:rsidR="008E7761" w:rsidRPr="00F27DB4" w:rsidRDefault="008E7761" w:rsidP="009B5150">
      <w:pPr>
        <w:pStyle w:val="Paragraph"/>
        <w:keepLines w:val="0"/>
      </w:pPr>
      <w:r>
        <w:t>Comment is invited on the options</w:t>
      </w:r>
      <w:r w:rsidR="00E3592C">
        <w:t xml:space="preserve"> and their development</w:t>
      </w:r>
      <w:r>
        <w:t xml:space="preserve">, including </w:t>
      </w:r>
      <w:r w:rsidR="003B75B6">
        <w:t xml:space="preserve">the </w:t>
      </w:r>
      <w:r w:rsidR="000601E6">
        <w:t xml:space="preserve">preliminary </w:t>
      </w:r>
      <w:r>
        <w:t xml:space="preserve">preferred option, presented in this paper to </w:t>
      </w:r>
      <w:r w:rsidRPr="00A05EC9">
        <w:t xml:space="preserve">inform </w:t>
      </w:r>
      <w:r>
        <w:t xml:space="preserve">possible </w:t>
      </w:r>
      <w:r w:rsidRPr="00A05EC9">
        <w:t xml:space="preserve">progression of </w:t>
      </w:r>
      <w:r w:rsidR="004B4DCE">
        <w:t xml:space="preserve">the </w:t>
      </w:r>
      <w:r w:rsidR="00855B7D">
        <w:t>1.9 GHz</w:t>
      </w:r>
      <w:r w:rsidR="004B4DCE">
        <w:t xml:space="preserve"> band</w:t>
      </w:r>
      <w:r>
        <w:t xml:space="preserve"> to the </w:t>
      </w:r>
      <w:r w:rsidR="00281E1B" w:rsidRPr="004346FA">
        <w:t>replannin</w:t>
      </w:r>
      <w:r w:rsidR="00C6773A" w:rsidRPr="004346FA">
        <w:t>g</w:t>
      </w:r>
      <w:r>
        <w:t xml:space="preserve"> stage</w:t>
      </w:r>
      <w:r w:rsidRPr="00A05EC9">
        <w:t>.</w:t>
      </w:r>
    </w:p>
    <w:p w14:paraId="4ABF0149" w14:textId="4A14D873" w:rsidR="008E7761" w:rsidRPr="00F1614D" w:rsidRDefault="00425A25" w:rsidP="009B5150">
      <w:pPr>
        <w:pStyle w:val="Heading2"/>
        <w:keepLines w:val="0"/>
        <w:ind w:right="1557"/>
      </w:pPr>
      <w:bookmarkStart w:id="25" w:name="_Toc117870115"/>
      <w:bookmarkStart w:id="26" w:name="_Toc118785107"/>
      <w:bookmarkStart w:id="27" w:name="_Toc120600042"/>
      <w:bookmarkStart w:id="28" w:name="_Ref517343910"/>
      <w:bookmarkStart w:id="29" w:name="_Toc519765104"/>
      <w:bookmarkStart w:id="30" w:name="_Toc521585770"/>
      <w:bookmarkStart w:id="31" w:name="_Toc482886573"/>
      <w:bookmarkStart w:id="32" w:name="_Toc482886614"/>
      <w:bookmarkStart w:id="33" w:name="_Toc482888955"/>
      <w:bookmarkStart w:id="34" w:name="_Toc482891226"/>
      <w:bookmarkStart w:id="35" w:name="_Toc482891293"/>
      <w:bookmarkStart w:id="36" w:name="_Toc482956502"/>
      <w:bookmarkStart w:id="37" w:name="_Toc484011474"/>
      <w:bookmarkStart w:id="38" w:name="_Toc484511690"/>
      <w:bookmarkStart w:id="39" w:name="_Toc459906709"/>
      <w:bookmarkStart w:id="40" w:name="_Toc464480503"/>
      <w:r>
        <w:t xml:space="preserve">Legislative and </w:t>
      </w:r>
      <w:r w:rsidR="00E96D98">
        <w:t>p</w:t>
      </w:r>
      <w:r>
        <w:t>olicy</w:t>
      </w:r>
      <w:r w:rsidR="00B82C55">
        <w:t xml:space="preserve"> environment</w:t>
      </w:r>
      <w:bookmarkEnd w:id="25"/>
      <w:bookmarkEnd w:id="26"/>
      <w:bookmarkEnd w:id="27"/>
    </w:p>
    <w:p w14:paraId="451E93B0" w14:textId="11D5E325" w:rsidR="001D11F9" w:rsidRDefault="003B75B6" w:rsidP="009B5150">
      <w:pPr>
        <w:pStyle w:val="Paragraph"/>
        <w:keepLines w:val="0"/>
      </w:pPr>
      <w:r>
        <w:t>M</w:t>
      </w:r>
      <w:r w:rsidRPr="003B75B6">
        <w:t>aximising the economic and social benefits of communications infrastructure, content and services for Australia</w:t>
      </w:r>
      <w:r w:rsidR="001D11F9">
        <w:t xml:space="preserve"> </w:t>
      </w:r>
      <w:r>
        <w:t>is the key purpose</w:t>
      </w:r>
      <w:r w:rsidR="001D11F9">
        <w:t xml:space="preserve"> for the ACMA.</w:t>
      </w:r>
      <w:r w:rsidR="001D11F9" w:rsidRPr="004F5C32">
        <w:rPr>
          <w:vertAlign w:val="superscript"/>
        </w:rPr>
        <w:footnoteReference w:id="2"/>
      </w:r>
      <w:r w:rsidR="001D11F9">
        <w:t xml:space="preserve"> </w:t>
      </w:r>
    </w:p>
    <w:p w14:paraId="6DC8E215" w14:textId="7876CF13" w:rsidR="008E7761" w:rsidRPr="0026075D" w:rsidRDefault="008E7761" w:rsidP="009B5150">
      <w:pPr>
        <w:pStyle w:val="Heading3"/>
        <w:keepLines w:val="0"/>
        <w:ind w:right="1557"/>
      </w:pPr>
      <w:r w:rsidRPr="0026075D">
        <w:t>Guiding legislation</w:t>
      </w:r>
      <w:r w:rsidR="00C4133C" w:rsidRPr="0026075D">
        <w:t xml:space="preserve"> and policy</w:t>
      </w:r>
      <w:r w:rsidR="009C6974" w:rsidRPr="0026075D">
        <w:tab/>
      </w:r>
    </w:p>
    <w:p w14:paraId="5A17C85C" w14:textId="27726236" w:rsidR="003B75B6" w:rsidRPr="003B75B6" w:rsidRDefault="004A5ABD">
      <w:pPr>
        <w:pStyle w:val="Paragraph"/>
        <w:keepLines w:val="0"/>
      </w:pPr>
      <w:r>
        <w:t xml:space="preserve">The ACMA’s decisions are guided by the object of </w:t>
      </w:r>
      <w:r w:rsidR="00817D63">
        <w:t xml:space="preserve">the </w:t>
      </w:r>
      <w:r w:rsidR="00817D63" w:rsidRPr="00A05EC9">
        <w:t>Act</w:t>
      </w:r>
      <w:r w:rsidR="00833CA2">
        <w:t xml:space="preserve"> (extract shown below)</w:t>
      </w:r>
      <w:r w:rsidR="00D87625">
        <w:t xml:space="preserve">, which is </w:t>
      </w:r>
      <w:r w:rsidR="003B75B6" w:rsidRPr="003B75B6">
        <w:t>to promote the long</w:t>
      </w:r>
      <w:r w:rsidR="003B75B6" w:rsidRPr="003B75B6">
        <w:noBreakHyphen/>
        <w:t>term public interest derived from the use of the spectrum by providing for the management of the spectrum in a manner that</w:t>
      </w:r>
      <w:r w:rsidR="00670651">
        <w:t xml:space="preserve"> will</w:t>
      </w:r>
      <w:r w:rsidR="003B75B6" w:rsidRPr="003B75B6">
        <w:t>:</w:t>
      </w:r>
    </w:p>
    <w:p w14:paraId="5D6E45A4" w14:textId="6A6B27B2" w:rsidR="003B75B6" w:rsidRPr="00F10BB9" w:rsidRDefault="003B75B6" w:rsidP="00F10BB9">
      <w:pPr>
        <w:pStyle w:val="Paragraph"/>
        <w:keepLines w:val="0"/>
        <w:ind w:left="567"/>
        <w:rPr>
          <w:sz w:val="18"/>
          <w:szCs w:val="18"/>
        </w:rPr>
      </w:pPr>
      <w:r w:rsidRPr="003B75B6">
        <w:t xml:space="preserve">                     </w:t>
      </w:r>
      <w:r w:rsidRPr="00F10BB9">
        <w:rPr>
          <w:sz w:val="18"/>
          <w:szCs w:val="18"/>
        </w:rPr>
        <w:t xml:space="preserve">(a)  facilitate the efficient planning, </w:t>
      </w:r>
      <w:r w:rsidR="00AF5FF8" w:rsidRPr="00F10BB9">
        <w:rPr>
          <w:sz w:val="18"/>
          <w:szCs w:val="18"/>
        </w:rPr>
        <w:t>allocation,</w:t>
      </w:r>
      <w:r w:rsidRPr="00F10BB9">
        <w:rPr>
          <w:sz w:val="18"/>
          <w:szCs w:val="18"/>
        </w:rPr>
        <w:t xml:space="preserve"> and use of the spectrum; and</w:t>
      </w:r>
    </w:p>
    <w:p w14:paraId="6A7284B5" w14:textId="273892A2" w:rsidR="003B75B6" w:rsidRPr="00F10BB9" w:rsidRDefault="003B75B6" w:rsidP="00F10BB9">
      <w:pPr>
        <w:pStyle w:val="Paragraph"/>
        <w:keepLines w:val="0"/>
        <w:ind w:left="567"/>
        <w:rPr>
          <w:sz w:val="18"/>
          <w:szCs w:val="18"/>
        </w:rPr>
      </w:pPr>
      <w:r w:rsidRPr="00F10BB9">
        <w:rPr>
          <w:sz w:val="18"/>
          <w:szCs w:val="18"/>
        </w:rPr>
        <w:t>                     (b)  facilitate the use of the spectrum for:</w:t>
      </w:r>
    </w:p>
    <w:p w14:paraId="465A15AE" w14:textId="77777777" w:rsidR="003B75B6" w:rsidRPr="00F10BB9" w:rsidRDefault="003B75B6" w:rsidP="00F10BB9">
      <w:pPr>
        <w:pStyle w:val="Paragraph"/>
        <w:keepLines w:val="0"/>
        <w:ind w:left="567"/>
        <w:rPr>
          <w:sz w:val="18"/>
          <w:szCs w:val="18"/>
        </w:rPr>
      </w:pPr>
      <w:r w:rsidRPr="00F10BB9">
        <w:rPr>
          <w:sz w:val="18"/>
          <w:szCs w:val="18"/>
        </w:rPr>
        <w:t>                              (i)  commercial purposes; and</w:t>
      </w:r>
    </w:p>
    <w:p w14:paraId="08FE8CB4" w14:textId="77777777" w:rsidR="003B75B6" w:rsidRPr="00F10BB9" w:rsidRDefault="003B75B6" w:rsidP="00F10BB9">
      <w:pPr>
        <w:pStyle w:val="Paragraph"/>
        <w:keepLines w:val="0"/>
        <w:ind w:left="567" w:hanging="1474"/>
        <w:rPr>
          <w:sz w:val="18"/>
          <w:szCs w:val="18"/>
        </w:rPr>
      </w:pPr>
      <w:r w:rsidRPr="00F10BB9">
        <w:rPr>
          <w:sz w:val="18"/>
          <w:szCs w:val="18"/>
        </w:rPr>
        <w:t>                             (ii)  defence purposes, national security purposes and other non</w:t>
      </w:r>
      <w:r w:rsidRPr="00F10BB9">
        <w:rPr>
          <w:sz w:val="18"/>
          <w:szCs w:val="18"/>
        </w:rPr>
        <w:noBreakHyphen/>
        <w:t>commercial purposes (including public safety and community purposes); and</w:t>
      </w:r>
    </w:p>
    <w:p w14:paraId="28689CB9" w14:textId="405E200D" w:rsidR="003B75B6" w:rsidRPr="00F10BB9" w:rsidRDefault="003B75B6" w:rsidP="00F10BB9">
      <w:pPr>
        <w:pStyle w:val="Paragraph"/>
        <w:keepLines w:val="0"/>
        <w:ind w:left="567"/>
        <w:rPr>
          <w:sz w:val="18"/>
          <w:szCs w:val="18"/>
        </w:rPr>
      </w:pPr>
      <w:r w:rsidRPr="00F10BB9">
        <w:rPr>
          <w:sz w:val="18"/>
          <w:szCs w:val="18"/>
        </w:rPr>
        <w:t>                     (c)  support the communications policy objectives of the Commonwealth Government.</w:t>
      </w:r>
    </w:p>
    <w:p w14:paraId="0D898696" w14:textId="700C5E09" w:rsidR="00425A25" w:rsidRPr="0026075D" w:rsidRDefault="00425A25" w:rsidP="009B5150">
      <w:pPr>
        <w:pStyle w:val="Heading3"/>
        <w:keepLines w:val="0"/>
        <w:ind w:right="1557"/>
      </w:pPr>
      <w:r w:rsidRPr="0026075D">
        <w:t xml:space="preserve">Licensing </w:t>
      </w:r>
      <w:r w:rsidR="00651F62">
        <w:t>arrangements</w:t>
      </w:r>
    </w:p>
    <w:p w14:paraId="53BDCA26" w14:textId="4BA29C86" w:rsidR="005D0CF3" w:rsidRPr="00A05EC9" w:rsidRDefault="005D0CF3" w:rsidP="009B5150">
      <w:pPr>
        <w:pStyle w:val="Paragraph"/>
        <w:keepLines w:val="0"/>
      </w:pPr>
      <w:r w:rsidRPr="00A05EC9">
        <w:t xml:space="preserve">There are </w:t>
      </w:r>
      <w:r w:rsidR="00231C77">
        <w:t>3</w:t>
      </w:r>
      <w:r w:rsidR="00231C77" w:rsidRPr="00A05EC9">
        <w:t xml:space="preserve"> </w:t>
      </w:r>
      <w:r w:rsidRPr="00A05EC9">
        <w:t>licen</w:t>
      </w:r>
      <w:r>
        <w:t xml:space="preserve">sing approaches </w:t>
      </w:r>
      <w:r w:rsidRPr="00A05EC9">
        <w:t xml:space="preserve">available to </w:t>
      </w:r>
      <w:r w:rsidR="00833CA2">
        <w:t>us</w:t>
      </w:r>
      <w:r w:rsidR="00AF5FF8">
        <w:t xml:space="preserve"> to </w:t>
      </w:r>
      <w:r w:rsidRPr="00A05EC9">
        <w:t>authorise access to spectrum</w:t>
      </w:r>
      <w:r w:rsidR="00833CA2">
        <w:t xml:space="preserve"> – </w:t>
      </w:r>
      <w:r w:rsidRPr="00A05EC9">
        <w:t>spectrum, apparatus and class licences</w:t>
      </w:r>
      <w:r>
        <w:t xml:space="preserve">. These approaches influence how </w:t>
      </w:r>
      <w:r w:rsidR="00AF5FF8">
        <w:t>changes to spectrum use can</w:t>
      </w:r>
      <w:r>
        <w:t xml:space="preserve"> be developed and implemented</w:t>
      </w:r>
      <w:r w:rsidRPr="00A05EC9">
        <w:t xml:space="preserve">. </w:t>
      </w:r>
    </w:p>
    <w:p w14:paraId="33010433" w14:textId="64424C1C" w:rsidR="005D0CF3" w:rsidRPr="00A05EC9" w:rsidRDefault="005D0CF3" w:rsidP="009B5150">
      <w:pPr>
        <w:pStyle w:val="Paragraph"/>
        <w:keepLines w:val="0"/>
      </w:pPr>
      <w:r w:rsidRPr="00A05EC9">
        <w:lastRenderedPageBreak/>
        <w:t xml:space="preserve">A spectrum licence authorises </w:t>
      </w:r>
      <w:r>
        <w:t xml:space="preserve">the operation of devices within </w:t>
      </w:r>
      <w:r w:rsidRPr="00A05EC9">
        <w:t xml:space="preserve">a </w:t>
      </w:r>
      <w:r>
        <w:t xml:space="preserve">defined </w:t>
      </w:r>
      <w:r w:rsidRPr="00A05EC9">
        <w:t xml:space="preserve">frequency </w:t>
      </w:r>
      <w:r>
        <w:t>range</w:t>
      </w:r>
      <w:r w:rsidRPr="00A05EC9">
        <w:t xml:space="preserve"> </w:t>
      </w:r>
      <w:r>
        <w:t xml:space="preserve">and </w:t>
      </w:r>
      <w:r w:rsidRPr="00A05EC9">
        <w:t>geographic area</w:t>
      </w:r>
      <w:r>
        <w:t>, with a high degree of exclusivity</w:t>
      </w:r>
      <w:r w:rsidRPr="00F26E80">
        <w:t>. The geographic area can vary in size and comprise the</w:t>
      </w:r>
      <w:r w:rsidRPr="00A05EC9">
        <w:t xml:space="preserve"> entire country. Spectrum licences</w:t>
      </w:r>
      <w:r>
        <w:t xml:space="preserve"> are usually allocated by an auction</w:t>
      </w:r>
      <w:r w:rsidR="002E6D63">
        <w:t>,</w:t>
      </w:r>
      <w:r>
        <w:t xml:space="preserve"> and</w:t>
      </w:r>
      <w:r w:rsidRPr="00A05EC9">
        <w:t xml:space="preserve"> have historically been utilised for most bands used to deploy commercial mobile </w:t>
      </w:r>
      <w:r>
        <w:t xml:space="preserve">broadband </w:t>
      </w:r>
      <w:r w:rsidRPr="00A05EC9">
        <w:t xml:space="preserve">networks. </w:t>
      </w:r>
      <w:r>
        <w:t xml:space="preserve">Spectrum licences may be allocated for up to </w:t>
      </w:r>
      <w:r w:rsidR="008E53FC">
        <w:t xml:space="preserve">20 </w:t>
      </w:r>
      <w:r>
        <w:t>years.</w:t>
      </w:r>
    </w:p>
    <w:p w14:paraId="490ADDB0" w14:textId="5E6EB4E6" w:rsidR="005D0CF3" w:rsidRPr="005E6D37" w:rsidRDefault="005D0CF3" w:rsidP="009B5150">
      <w:pPr>
        <w:pStyle w:val="Paragraph"/>
        <w:keepLines w:val="0"/>
      </w:pPr>
      <w:r w:rsidRPr="00A05EC9">
        <w:t>An inherent feature of spectrum licensing is technological flexibility</w:t>
      </w:r>
      <w:r w:rsidR="00A60F57">
        <w:t xml:space="preserve"> – </w:t>
      </w:r>
      <w:r w:rsidRPr="00A05EC9">
        <w:t xml:space="preserve">that is, the </w:t>
      </w:r>
      <w:r>
        <w:t>licence conditions and associated technical framework</w:t>
      </w:r>
      <w:r w:rsidRPr="00A05EC9">
        <w:t xml:space="preserve">, while usually optimised for an expected technology, specify generic technical </w:t>
      </w:r>
      <w:r>
        <w:t>conditions</w:t>
      </w:r>
      <w:r w:rsidRPr="001E5818">
        <w:rPr>
          <w:vertAlign w:val="superscript"/>
        </w:rPr>
        <w:footnoteReference w:id="3"/>
      </w:r>
      <w:r>
        <w:t xml:space="preserve"> and do </w:t>
      </w:r>
      <w:r w:rsidRPr="001E5818">
        <w:t xml:space="preserve">not </w:t>
      </w:r>
      <w:r>
        <w:t xml:space="preserve">usually </w:t>
      </w:r>
      <w:r w:rsidRPr="001E5818">
        <w:t>expressly mandat</w:t>
      </w:r>
      <w:r>
        <w:t xml:space="preserve">e or limit specific </w:t>
      </w:r>
      <w:r w:rsidRPr="001E5818">
        <w:t>technolog</w:t>
      </w:r>
      <w:r>
        <w:t>ies</w:t>
      </w:r>
      <w:r w:rsidRPr="001E5818">
        <w:t xml:space="preserve"> or service</w:t>
      </w:r>
      <w:r>
        <w:t>s</w:t>
      </w:r>
      <w:r w:rsidRPr="001E5818">
        <w:t xml:space="preserve">. This allows a licensee to deploy any technology </w:t>
      </w:r>
      <w:r>
        <w:t xml:space="preserve">that </w:t>
      </w:r>
      <w:r w:rsidRPr="001E5818">
        <w:t xml:space="preserve">complies with the conditions of the licence. It is up to the licensee to manage interference between </w:t>
      </w:r>
      <w:r>
        <w:t xml:space="preserve">their </w:t>
      </w:r>
      <w:r w:rsidRPr="001E5818">
        <w:t>d</w:t>
      </w:r>
      <w:r w:rsidRPr="00A05EC9">
        <w:t>evices</w:t>
      </w:r>
      <w:r>
        <w:t xml:space="preserve"> (</w:t>
      </w:r>
      <w:r w:rsidR="002E6D63">
        <w:t xml:space="preserve">please </w:t>
      </w:r>
      <w:r>
        <w:t xml:space="preserve">note that </w:t>
      </w:r>
      <w:r w:rsidRPr="00A05EC9">
        <w:t xml:space="preserve">the adoption of international standards </w:t>
      </w:r>
      <w:r>
        <w:t xml:space="preserve">within the technical framework </w:t>
      </w:r>
      <w:r w:rsidRPr="00A05EC9">
        <w:t>mitigates the potential for interference between devices</w:t>
      </w:r>
      <w:r>
        <w:t>)</w:t>
      </w:r>
      <w:r w:rsidRPr="00A05EC9">
        <w:t>. S</w:t>
      </w:r>
      <w:r w:rsidRPr="005E6D37">
        <w:t xml:space="preserve">pectrum licences are more conducive to </w:t>
      </w:r>
      <w:r>
        <w:t xml:space="preserve">secondary </w:t>
      </w:r>
      <w:r w:rsidRPr="005E6D37">
        <w:t>trading than apparatus licences, due to design features such as their</w:t>
      </w:r>
      <w:r w:rsidR="008E53FC">
        <w:t xml:space="preserve"> generally</w:t>
      </w:r>
      <w:r w:rsidRPr="005E6D37">
        <w:t xml:space="preserve"> longer tenure and their ability to be sub-divided.</w:t>
      </w:r>
    </w:p>
    <w:p w14:paraId="40E77584" w14:textId="2D4CD36D" w:rsidR="005D0CF3" w:rsidRDefault="005D0CF3" w:rsidP="009B5150">
      <w:pPr>
        <w:pStyle w:val="Paragraph"/>
        <w:keepLines w:val="0"/>
      </w:pPr>
      <w:r w:rsidRPr="00A05EC9">
        <w:t xml:space="preserve">An apparatus licence authorises the use of a </w:t>
      </w:r>
      <w:r>
        <w:t xml:space="preserve">radiocommunications </w:t>
      </w:r>
      <w:r w:rsidRPr="00A05EC9">
        <w:t xml:space="preserve">device (or group of devices) operating under a </w:t>
      </w:r>
      <w:r>
        <w:t>specific</w:t>
      </w:r>
      <w:r w:rsidRPr="00A05EC9">
        <w:t xml:space="preserve"> radiocommunications service type, in a </w:t>
      </w:r>
      <w:r>
        <w:t>specific</w:t>
      </w:r>
      <w:r w:rsidRPr="00A05EC9">
        <w:t xml:space="preserve"> frequency range, and </w:t>
      </w:r>
      <w:r>
        <w:t xml:space="preserve">traditionally </w:t>
      </w:r>
      <w:r w:rsidRPr="00A05EC9">
        <w:t xml:space="preserve">at </w:t>
      </w:r>
      <w:r>
        <w:t>one or more</w:t>
      </w:r>
      <w:r w:rsidRPr="00A05EC9">
        <w:t xml:space="preserve"> </w:t>
      </w:r>
      <w:r>
        <w:t>specific</w:t>
      </w:r>
      <w:r w:rsidRPr="00A05EC9">
        <w:t xml:space="preserve"> geographic location</w:t>
      </w:r>
      <w:r>
        <w:t>s</w:t>
      </w:r>
      <w:r>
        <w:rPr>
          <w:szCs w:val="20"/>
        </w:rPr>
        <w:t xml:space="preserve"> </w:t>
      </w:r>
      <w:r w:rsidRPr="001E5818">
        <w:t xml:space="preserve">for a period of up to </w:t>
      </w:r>
      <w:r w:rsidR="008E53FC">
        <w:t>twenty</w:t>
      </w:r>
      <w:r w:rsidR="008E53FC" w:rsidRPr="001E5818">
        <w:t xml:space="preserve"> </w:t>
      </w:r>
      <w:r w:rsidRPr="001E5818">
        <w:t xml:space="preserve">years. </w:t>
      </w:r>
      <w:r>
        <w:t xml:space="preserve">They are typically issued ‘over-the-counter’ in accordance with coordination rules developed by the ACMA. </w:t>
      </w:r>
      <w:r w:rsidR="002E6D63">
        <w:t>We</w:t>
      </w:r>
      <w:r>
        <w:t xml:space="preserve"> </w:t>
      </w:r>
      <w:hyperlink r:id="rId28" w:history="1">
        <w:r>
          <w:rPr>
            <w:rStyle w:val="Hyperlink"/>
          </w:rPr>
          <w:t>charge f</w:t>
        </w:r>
        <w:r w:rsidRPr="00D870BC">
          <w:rPr>
            <w:rStyle w:val="Hyperlink"/>
          </w:rPr>
          <w:t>ee</w:t>
        </w:r>
        <w:r w:rsidR="00834F96">
          <w:rPr>
            <w:rStyle w:val="Hyperlink"/>
          </w:rPr>
          <w:t>s and taxes</w:t>
        </w:r>
      </w:hyperlink>
      <w:r>
        <w:t xml:space="preserve"> for apparatus licences, which </w:t>
      </w:r>
      <w:r w:rsidRPr="00D870BC">
        <w:t xml:space="preserve">cover our costs and </w:t>
      </w:r>
      <w:r w:rsidR="00B86ED3">
        <w:t xml:space="preserve">incentivise </w:t>
      </w:r>
      <w:r w:rsidRPr="00D870BC">
        <w:t xml:space="preserve">people </w:t>
      </w:r>
      <w:r w:rsidR="00B86ED3">
        <w:t xml:space="preserve">users </w:t>
      </w:r>
      <w:r w:rsidRPr="00D870BC">
        <w:t>to use spectrum efficiently.</w:t>
      </w:r>
    </w:p>
    <w:p w14:paraId="0A9414DC" w14:textId="1FACA79B" w:rsidR="005D0CF3" w:rsidRDefault="002E6D63" w:rsidP="009B5150">
      <w:pPr>
        <w:pStyle w:val="Paragraph"/>
        <w:keepLines w:val="0"/>
      </w:pPr>
      <w:r>
        <w:t xml:space="preserve">We </w:t>
      </w:r>
      <w:hyperlink r:id="rId29" w:history="1">
        <w:r>
          <w:rPr>
            <w:rStyle w:val="Hyperlink"/>
          </w:rPr>
          <w:t>have d</w:t>
        </w:r>
        <w:r w:rsidR="005D0CF3">
          <w:rPr>
            <w:rStyle w:val="Hyperlink"/>
          </w:rPr>
          <w:t>etermined</w:t>
        </w:r>
      </w:hyperlink>
      <w:r w:rsidR="005D0CF3">
        <w:t xml:space="preserve"> a new apparatus licence type called </w:t>
      </w:r>
      <w:r w:rsidR="00B86ED3">
        <w:t xml:space="preserve">an </w:t>
      </w:r>
      <w:r w:rsidR="005D0CF3">
        <w:t xml:space="preserve">area-wide licence (AWL). An AWL authorises </w:t>
      </w:r>
      <w:r w:rsidR="005D0CF3" w:rsidRPr="00E273C3">
        <w:t xml:space="preserve">the operation of one or more radiocommunications devices within a defined geographic area </w:t>
      </w:r>
      <w:r w:rsidR="005D0CF3">
        <w:t xml:space="preserve">within </w:t>
      </w:r>
      <w:r w:rsidR="005D0CF3" w:rsidRPr="00E273C3">
        <w:t xml:space="preserve">frequencies specified on the licence, subject to the conditions included </w:t>
      </w:r>
      <w:r w:rsidR="008E53FC">
        <w:t>i</w:t>
      </w:r>
      <w:r w:rsidR="008E53FC" w:rsidRPr="00E273C3">
        <w:t xml:space="preserve">n </w:t>
      </w:r>
      <w:r w:rsidR="005D0CF3" w:rsidRPr="00E273C3">
        <w:t xml:space="preserve">the licence. The licence type </w:t>
      </w:r>
      <w:r w:rsidR="005D0CF3">
        <w:t>is proposed to</w:t>
      </w:r>
      <w:r w:rsidR="005D0CF3" w:rsidRPr="00E273C3">
        <w:t xml:space="preserve"> be scalable, enabling its use for authorising different-sized geographic areas and bandwidths. Unlike </w:t>
      </w:r>
      <w:r w:rsidR="005D0CF3">
        <w:t>other</w:t>
      </w:r>
      <w:r w:rsidR="005D0CF3" w:rsidRPr="00E273C3">
        <w:t xml:space="preserve"> apparatus licence types</w:t>
      </w:r>
      <w:r w:rsidR="00B90DA2">
        <w:t xml:space="preserve"> – </w:t>
      </w:r>
      <w:r w:rsidR="005D0CF3" w:rsidRPr="00E273C3">
        <w:t>which typically align with specific uses and purposes</w:t>
      </w:r>
      <w:r w:rsidR="00B90DA2">
        <w:t xml:space="preserve"> – </w:t>
      </w:r>
      <w:r w:rsidR="005D0CF3" w:rsidRPr="00E273C3">
        <w:t xml:space="preserve">the AWL </w:t>
      </w:r>
      <w:r w:rsidR="00F10BB9">
        <w:t xml:space="preserve"> is </w:t>
      </w:r>
      <w:r w:rsidR="005D0CF3" w:rsidRPr="00E273C3">
        <w:t xml:space="preserve">capable of authorising a variety of services, uses, applications and technologies. </w:t>
      </w:r>
    </w:p>
    <w:p w14:paraId="6DF0EF78" w14:textId="77777777" w:rsidR="005D0CF3" w:rsidRDefault="005D0CF3" w:rsidP="009B5150">
      <w:pPr>
        <w:pStyle w:val="Paragraph"/>
        <w:keepLines w:val="0"/>
      </w:pPr>
      <w:r w:rsidRPr="00F26E80">
        <w:t>Class licen</w:t>
      </w:r>
      <w:r>
        <w:t>c</w:t>
      </w:r>
      <w:r w:rsidRPr="00F26E80">
        <w:t xml:space="preserve">es are a </w:t>
      </w:r>
      <w:r>
        <w:t>standing</w:t>
      </w:r>
      <w:r w:rsidRPr="00F26E80">
        <w:t xml:space="preserve"> authorisation to </w:t>
      </w:r>
      <w:r>
        <w:t>access</w:t>
      </w:r>
      <w:r w:rsidRPr="00F26E80">
        <w:t xml:space="preserve"> spe</w:t>
      </w:r>
      <w:r w:rsidRPr="00A05EC9">
        <w:t xml:space="preserve">ctrum without the need to apply to the ACMA for </w:t>
      </w:r>
      <w:r>
        <w:t>an individual licence (hence no fees or taxes are paid)</w:t>
      </w:r>
      <w:r w:rsidRPr="00A05EC9">
        <w:t xml:space="preserve">, </w:t>
      </w:r>
      <w:r>
        <w:t xml:space="preserve">subject to </w:t>
      </w:r>
      <w:r w:rsidRPr="00A05EC9">
        <w:t xml:space="preserve">the conditions of </w:t>
      </w:r>
      <w:r>
        <w:t>the</w:t>
      </w:r>
      <w:r w:rsidRPr="00A05EC9">
        <w:t xml:space="preserve"> </w:t>
      </w:r>
      <w:r>
        <w:t xml:space="preserve">relevant class </w:t>
      </w:r>
      <w:r w:rsidRPr="00A05EC9">
        <w:t>licence. These conditions can be</w:t>
      </w:r>
      <w:r>
        <w:t xml:space="preserve">, among others, </w:t>
      </w:r>
      <w:r w:rsidRPr="00A05EC9">
        <w:t xml:space="preserve">technical, geographic and/or pertain to the type of use or class of user. </w:t>
      </w:r>
    </w:p>
    <w:p w14:paraId="708E6F0E" w14:textId="4BD21428" w:rsidR="00425A25" w:rsidRPr="0026075D" w:rsidRDefault="00425A25" w:rsidP="00A04598">
      <w:pPr>
        <w:pStyle w:val="Heading3"/>
        <w:keepLines w:val="0"/>
        <w:ind w:right="1559"/>
      </w:pPr>
      <w:r>
        <w:t>Spectrum planning options</w:t>
      </w:r>
      <w:r w:rsidR="002413DD">
        <w:t xml:space="preserve"> development</w:t>
      </w:r>
    </w:p>
    <w:p w14:paraId="341D82BF" w14:textId="7AE7E447" w:rsidR="003C67A3" w:rsidRDefault="00B90DA2" w:rsidP="009B5150">
      <w:pPr>
        <w:pStyle w:val="Paragraph"/>
        <w:keepLines w:val="0"/>
      </w:pPr>
      <w:r>
        <w:t xml:space="preserve">We </w:t>
      </w:r>
      <w:r w:rsidR="005D0CF3">
        <w:t>promote</w:t>
      </w:r>
      <w:r w:rsidR="008E7761" w:rsidRPr="00A05EC9">
        <w:t xml:space="preserve"> the object of the Act and </w:t>
      </w:r>
      <w:r w:rsidR="00B82C55">
        <w:t xml:space="preserve">relevant government policy </w:t>
      </w:r>
      <w:r w:rsidR="008E7761" w:rsidRPr="00A05EC9">
        <w:t xml:space="preserve">through a balanced application of market and regulatory mechanisms. </w:t>
      </w:r>
    </w:p>
    <w:p w14:paraId="3745733E" w14:textId="14624CCF" w:rsidR="008E7761" w:rsidRDefault="008E7761" w:rsidP="009B5150">
      <w:pPr>
        <w:pStyle w:val="Paragraph"/>
        <w:keepLines w:val="0"/>
      </w:pPr>
      <w:r w:rsidRPr="00A05EC9">
        <w:t xml:space="preserve">Figure </w:t>
      </w:r>
      <w:r>
        <w:t>1</w:t>
      </w:r>
      <w:r w:rsidRPr="00A05EC9">
        <w:t xml:space="preserve"> describes </w:t>
      </w:r>
      <w:r w:rsidR="00576D79">
        <w:t xml:space="preserve">the approach the ACMA has </w:t>
      </w:r>
      <w:r w:rsidR="00AF5FF8">
        <w:t xml:space="preserve">been using recently </w:t>
      </w:r>
      <w:r w:rsidR="00576D79">
        <w:t xml:space="preserve">in developing and </w:t>
      </w:r>
      <w:r w:rsidR="005865ED">
        <w:t>assessing</w:t>
      </w:r>
      <w:r w:rsidR="00576D79">
        <w:t xml:space="preserve"> </w:t>
      </w:r>
      <w:r w:rsidR="00E97824">
        <w:t xml:space="preserve">preliminary </w:t>
      </w:r>
      <w:r w:rsidR="00993747">
        <w:t>re</w:t>
      </w:r>
      <w:r w:rsidR="00576D79">
        <w:t xml:space="preserve">planning options. </w:t>
      </w:r>
      <w:r w:rsidR="00B90DA2">
        <w:t>We</w:t>
      </w:r>
      <w:r w:rsidRPr="001E5818">
        <w:t xml:space="preserve"> will continue to apply </w:t>
      </w:r>
      <w:r w:rsidR="00576D79">
        <w:t>this general approach</w:t>
      </w:r>
      <w:r w:rsidRPr="00A05EC9">
        <w:t xml:space="preserve"> as </w:t>
      </w:r>
      <w:r w:rsidR="00B90DA2">
        <w:t>we</w:t>
      </w:r>
      <w:r w:rsidR="00B90DA2" w:rsidRPr="00A05EC9">
        <w:t xml:space="preserve"> </w:t>
      </w:r>
      <w:r w:rsidRPr="00A05EC9">
        <w:t>consider the responses to t</w:t>
      </w:r>
      <w:r w:rsidRPr="005E6D37">
        <w:t>his paper</w:t>
      </w:r>
      <w:r w:rsidR="00576D79">
        <w:t xml:space="preserve"> and decide on the outcomes for the </w:t>
      </w:r>
      <w:r w:rsidR="00692F9D">
        <w:t>1.9 GHz</w:t>
      </w:r>
      <w:r w:rsidR="00576D79">
        <w:t xml:space="preserve"> band</w:t>
      </w:r>
      <w:r w:rsidRPr="005E6D37">
        <w:t>.</w:t>
      </w:r>
    </w:p>
    <w:p w14:paraId="21AC601D" w14:textId="77777777" w:rsidR="00BF2F2F" w:rsidRDefault="00BF2F2F">
      <w:pPr>
        <w:keepLines w:val="0"/>
        <w:spacing w:after="0" w:line="240" w:lineRule="auto"/>
        <w:rPr>
          <w:b/>
          <w:bCs/>
          <w:color w:val="323232"/>
          <w:szCs w:val="20"/>
        </w:rPr>
      </w:pPr>
      <w:r>
        <w:br w:type="page"/>
      </w:r>
    </w:p>
    <w:p w14:paraId="332009A4" w14:textId="06E887BF" w:rsidR="008E7761" w:rsidRPr="005E6D37" w:rsidRDefault="008E7761" w:rsidP="007445E8">
      <w:pPr>
        <w:pStyle w:val="ACMAFigureHeader"/>
        <w:spacing w:before="240"/>
      </w:pPr>
      <w:r w:rsidRPr="005E6D37">
        <w:lastRenderedPageBreak/>
        <w:t xml:space="preserve">Spectrum </w:t>
      </w:r>
      <w:r w:rsidR="00DE3A23">
        <w:t>planning</w:t>
      </w:r>
      <w:r w:rsidR="00DE3A23" w:rsidRPr="005E6D37">
        <w:t xml:space="preserve"> </w:t>
      </w:r>
      <w:r w:rsidR="00535706">
        <w:t>options</w:t>
      </w:r>
      <w:r w:rsidR="00535706" w:rsidRPr="005E6D37">
        <w:t xml:space="preserve"> </w:t>
      </w:r>
      <w:r w:rsidRPr="005E6D37">
        <w:t>framework</w:t>
      </w:r>
    </w:p>
    <w:p w14:paraId="6815D80B" w14:textId="557BD263" w:rsidR="00ED0E6E" w:rsidRDefault="00C97A7B" w:rsidP="007445E8">
      <w:pPr>
        <w:pStyle w:val="ACMASpaceaftertable"/>
        <w:rPr>
          <w:szCs w:val="26"/>
        </w:rPr>
      </w:pPr>
      <w:bookmarkStart w:id="41" w:name="_Toc466017062"/>
      <w:bookmarkStart w:id="42" w:name="_Toc468438957"/>
      <w:bookmarkStart w:id="43" w:name="_Toc468705312"/>
      <w:bookmarkStart w:id="44" w:name="_Ref517340300"/>
      <w:r>
        <w:rPr>
          <w:noProof/>
        </w:rPr>
        <w:drawing>
          <wp:inline distT="0" distB="0" distL="0" distR="0" wp14:anchorId="0A430B1E" wp14:editId="6DEF448D">
            <wp:extent cx="6480000" cy="3567600"/>
            <wp:effectExtent l="0" t="0" r="0" b="0"/>
            <wp:docPr id="9" name="Picture 9" descr="Figure 1: Spectrum planning options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480000" cy="3567600"/>
                    </a:xfrm>
                    <a:prstGeom prst="rect">
                      <a:avLst/>
                    </a:prstGeom>
                  </pic:spPr>
                </pic:pic>
              </a:graphicData>
            </a:graphic>
          </wp:inline>
        </w:drawing>
      </w:r>
    </w:p>
    <w:p w14:paraId="1826EC19" w14:textId="79E23CA8" w:rsidR="003F1D16" w:rsidRDefault="003F1D16">
      <w:pPr>
        <w:keepLines w:val="0"/>
        <w:spacing w:after="0" w:line="240" w:lineRule="auto"/>
        <w:rPr>
          <w:rFonts w:cs="Arial"/>
          <w:b/>
          <w:bCs/>
          <w:iCs/>
          <w:sz w:val="28"/>
          <w:szCs w:val="28"/>
        </w:rPr>
      </w:pPr>
      <w:bookmarkStart w:id="45" w:name="_Toc5000064"/>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14:paraId="036822FE" w14:textId="174DA105" w:rsidR="008E7761" w:rsidRDefault="008E7761" w:rsidP="004346FA">
      <w:pPr>
        <w:pStyle w:val="Heading2"/>
        <w:keepLines w:val="0"/>
        <w:ind w:right="1371"/>
      </w:pPr>
      <w:bookmarkStart w:id="46" w:name="_Toc117870116"/>
      <w:bookmarkStart w:id="47" w:name="_Toc118785108"/>
      <w:bookmarkStart w:id="48" w:name="_Toc120600043"/>
      <w:r w:rsidRPr="001C3540">
        <w:t>Next steps</w:t>
      </w:r>
      <w:bookmarkEnd w:id="45"/>
      <w:bookmarkEnd w:id="46"/>
      <w:bookmarkEnd w:id="47"/>
      <w:bookmarkEnd w:id="48"/>
    </w:p>
    <w:p w14:paraId="74E42852" w14:textId="70D13EED" w:rsidR="00450397" w:rsidRDefault="00450397" w:rsidP="009B5150">
      <w:pPr>
        <w:pStyle w:val="Paragraph"/>
        <w:keepLines w:val="0"/>
      </w:pPr>
      <w:r>
        <w:t xml:space="preserve">As illustrated in Table 1, a decision on whether </w:t>
      </w:r>
      <w:r w:rsidR="0004772D">
        <w:t>any of the</w:t>
      </w:r>
      <w:r>
        <w:t xml:space="preserve"> 1.9 GHz band will be progressed to the </w:t>
      </w:r>
      <w:r w:rsidR="00C0030D">
        <w:t>implementation</w:t>
      </w:r>
      <w:r>
        <w:t xml:space="preserve"> stage is expected </w:t>
      </w:r>
      <w:r w:rsidR="00C0030D">
        <w:t>in</w:t>
      </w:r>
      <w:r>
        <w:t xml:space="preserve"> the </w:t>
      </w:r>
      <w:r w:rsidR="0098310E">
        <w:t>final</w:t>
      </w:r>
      <w:r w:rsidR="00C0030D">
        <w:t xml:space="preserve"> </w:t>
      </w:r>
      <w:r>
        <w:t xml:space="preserve">quarter of 2023. </w:t>
      </w:r>
      <w:r w:rsidR="00C0030D">
        <w:t>Th</w:t>
      </w:r>
      <w:r w:rsidR="0098310E">
        <w:t xml:space="preserve">is </w:t>
      </w:r>
      <w:r w:rsidR="00C0030D">
        <w:t>timeframe is dependent on several factors</w:t>
      </w:r>
      <w:r w:rsidR="00B90DA2">
        <w:t>,</w:t>
      </w:r>
      <w:r w:rsidR="00C0030D">
        <w:t xml:space="preserve"> including feedback to </w:t>
      </w:r>
      <w:r w:rsidR="00B90DA2">
        <w:t xml:space="preserve">the </w:t>
      </w:r>
      <w:r w:rsidR="00C0030D">
        <w:t xml:space="preserve">consultation, complexity of coexistence studies and prioritisation of work. </w:t>
      </w:r>
      <w:r w:rsidR="00C0030D" w:rsidRPr="00EC65B3">
        <w:t>A more detailed timeline will be developed following consultation</w:t>
      </w:r>
      <w:r w:rsidR="00C0030D">
        <w:t>.</w:t>
      </w:r>
    </w:p>
    <w:p w14:paraId="6D2492A8" w14:textId="60F12A9B" w:rsidR="003B373F" w:rsidRDefault="00B90DA2" w:rsidP="009B5150">
      <w:pPr>
        <w:pStyle w:val="Paragraph"/>
        <w:keepLines w:val="0"/>
      </w:pPr>
      <w:r>
        <w:t xml:space="preserve">We have </w:t>
      </w:r>
      <w:r w:rsidR="00C0030D">
        <w:t xml:space="preserve">adopted </w:t>
      </w:r>
      <w:r w:rsidR="008E53FC">
        <w:t xml:space="preserve">a </w:t>
      </w:r>
      <w:r w:rsidR="00C0030D">
        <w:t xml:space="preserve">new process for this consultation. </w:t>
      </w:r>
      <w:r w:rsidR="003B373F" w:rsidRPr="005C315E">
        <w:t>Following the consultation period</w:t>
      </w:r>
      <w:r w:rsidR="003B373F">
        <w:t xml:space="preserve"> where initial submissions </w:t>
      </w:r>
      <w:r>
        <w:t xml:space="preserve">were </w:t>
      </w:r>
      <w:r w:rsidR="003B373F">
        <w:t>received</w:t>
      </w:r>
      <w:r w:rsidR="003B373F" w:rsidRPr="005C315E">
        <w:t xml:space="preserve">, </w:t>
      </w:r>
      <w:r w:rsidR="003B373F">
        <w:t>a second period of 30 days will be</w:t>
      </w:r>
      <w:r w:rsidR="003B373F" w:rsidRPr="005C315E">
        <w:t xml:space="preserve"> provide</w:t>
      </w:r>
      <w:r w:rsidR="003B373F">
        <w:t>d</w:t>
      </w:r>
      <w:r>
        <w:t>,</w:t>
      </w:r>
      <w:r w:rsidR="003B373F" w:rsidRPr="005C315E">
        <w:t xml:space="preserve"> </w:t>
      </w:r>
      <w:r w:rsidR="003B373F">
        <w:t xml:space="preserve">called the </w:t>
      </w:r>
      <w:r w:rsidR="003B373F" w:rsidRPr="005C315E">
        <w:t>‘</w:t>
      </w:r>
      <w:r w:rsidR="003B373F" w:rsidRPr="003248E1">
        <w:t xml:space="preserve">reply </w:t>
      </w:r>
      <w:r w:rsidR="00D01597" w:rsidRPr="003248E1">
        <w:t xml:space="preserve">to </w:t>
      </w:r>
      <w:r w:rsidR="003B373F" w:rsidRPr="003248E1">
        <w:t>comment</w:t>
      </w:r>
      <w:r w:rsidR="003B373F" w:rsidRPr="005C315E">
        <w:t>’ period</w:t>
      </w:r>
      <w:r w:rsidR="003B373F">
        <w:t xml:space="preserve">. This </w:t>
      </w:r>
      <w:r>
        <w:t>will</w:t>
      </w:r>
      <w:r w:rsidR="003B373F">
        <w:t xml:space="preserve"> allow stakeholders to respond to the first set of submissions.</w:t>
      </w:r>
      <w:r w:rsidR="003B373F" w:rsidRPr="005C315E">
        <w:t xml:space="preserve"> </w:t>
      </w:r>
      <w:r w:rsidR="003B373F">
        <w:t xml:space="preserve">In </w:t>
      </w:r>
      <w:r w:rsidR="003B373F" w:rsidRPr="003248E1">
        <w:t>reply</w:t>
      </w:r>
      <w:r w:rsidR="00D01597" w:rsidRPr="003248E1">
        <w:t>ing</w:t>
      </w:r>
      <w:r w:rsidR="003B373F" w:rsidRPr="003248E1">
        <w:t xml:space="preserve"> </w:t>
      </w:r>
      <w:r w:rsidR="00D01597" w:rsidRPr="003248E1">
        <w:t xml:space="preserve">to </w:t>
      </w:r>
      <w:r w:rsidR="003B373F" w:rsidRPr="003248E1">
        <w:t>comments</w:t>
      </w:r>
      <w:r>
        <w:t>,</w:t>
      </w:r>
      <w:r w:rsidR="003B373F">
        <w:t xml:space="preserve"> stakeholders can review what others have said in their initial submissions and make a further submission that supports or </w:t>
      </w:r>
      <w:r>
        <w:t xml:space="preserve">even </w:t>
      </w:r>
      <w:r w:rsidR="003B373F">
        <w:t>disagrees with them</w:t>
      </w:r>
      <w:r w:rsidR="003B373F" w:rsidRPr="005C315E">
        <w:t xml:space="preserve">. The benefit of this approach is that it </w:t>
      </w:r>
      <w:r w:rsidR="00560D17">
        <w:t>emphasises</w:t>
      </w:r>
      <w:r w:rsidR="0098310E">
        <w:t xml:space="preserve"> transparency and</w:t>
      </w:r>
      <w:r w:rsidR="003B373F" w:rsidRPr="005C315E">
        <w:t xml:space="preserve"> allows </w:t>
      </w:r>
      <w:r w:rsidR="00560D17">
        <w:t xml:space="preserve">stakeholders </w:t>
      </w:r>
      <w:r w:rsidR="003B373F" w:rsidRPr="005C315E">
        <w:t xml:space="preserve">to test </w:t>
      </w:r>
      <w:r w:rsidR="0098310E">
        <w:t xml:space="preserve">the issues raised in submissions and </w:t>
      </w:r>
      <w:r w:rsidR="00560D17">
        <w:t xml:space="preserve">provide </w:t>
      </w:r>
      <w:r w:rsidR="0098310E">
        <w:t>any additional</w:t>
      </w:r>
      <w:r w:rsidR="00560D17">
        <w:t>, relevant</w:t>
      </w:r>
      <w:r w:rsidR="0098310E">
        <w:t xml:space="preserve"> information to the ACMA.</w:t>
      </w:r>
      <w:r w:rsidR="0098310E" w:rsidRPr="005C315E" w:rsidDel="0098310E">
        <w:t xml:space="preserve"> </w:t>
      </w:r>
      <w:r w:rsidR="003B373F">
        <w:br w:type="page"/>
      </w:r>
    </w:p>
    <w:p w14:paraId="3F841F43" w14:textId="77777777" w:rsidR="00560D17" w:rsidRDefault="00560D17" w:rsidP="009B5150">
      <w:pPr>
        <w:pStyle w:val="Paragraph"/>
        <w:keepLines w:val="0"/>
        <w:rPr>
          <w:b/>
          <w:bCs/>
          <w:color w:val="323232"/>
          <w:szCs w:val="20"/>
        </w:rPr>
      </w:pPr>
    </w:p>
    <w:p w14:paraId="730C915E" w14:textId="67E23BFF" w:rsidR="008E7761" w:rsidRDefault="00741638" w:rsidP="004346FA">
      <w:pPr>
        <w:pStyle w:val="ACMATableHeader"/>
        <w:ind w:right="1371"/>
      </w:pPr>
      <w:r>
        <w:t xml:space="preserve">Indicative </w:t>
      </w:r>
      <w:r w:rsidR="008E7761">
        <w:t xml:space="preserve">timeline for progressing consideration of the </w:t>
      </w:r>
      <w:r w:rsidR="00401C69">
        <w:br/>
      </w:r>
      <w:r w:rsidR="00692F9D">
        <w:t>1.9 GHz</w:t>
      </w:r>
      <w:r w:rsidR="008E7761">
        <w:t xml:space="preserve"> band</w:t>
      </w:r>
    </w:p>
    <w:tbl>
      <w:tblPr>
        <w:tblStyle w:val="ACMAtablestyle"/>
        <w:tblW w:w="8080" w:type="dxa"/>
        <w:tblLayout w:type="fixed"/>
        <w:tblLook w:val="04A0" w:firstRow="1" w:lastRow="0" w:firstColumn="1" w:lastColumn="0" w:noHBand="0" w:noVBand="1"/>
        <w:tblCaption w:val="Indicative timeline for the progression of one band through the process for consideration of additional spectrum for mobile borabdand services"/>
        <w:tblDescription w:val="includes stage, milestones and indicative timings."/>
      </w:tblPr>
      <w:tblGrid>
        <w:gridCol w:w="2694"/>
        <w:gridCol w:w="2693"/>
        <w:gridCol w:w="2693"/>
      </w:tblGrid>
      <w:tr w:rsidR="00D50F48" w:rsidRPr="00D50F48" w14:paraId="0BDE4458" w14:textId="77777777" w:rsidTr="00DF2D64">
        <w:trPr>
          <w:cnfStyle w:val="100000000000" w:firstRow="1" w:lastRow="0" w:firstColumn="0" w:lastColumn="0" w:oddVBand="0" w:evenVBand="0" w:oddHBand="0" w:evenHBand="0" w:firstRowFirstColumn="0" w:firstRowLastColumn="0" w:lastRowFirstColumn="0" w:lastRowLastColumn="0"/>
          <w:trHeight w:val="86"/>
        </w:trPr>
        <w:tc>
          <w:tcPr>
            <w:tcW w:w="0" w:type="dxa"/>
            <w:hideMark/>
          </w:tcPr>
          <w:p w14:paraId="3626E115" w14:textId="565EB39A" w:rsidR="00D50F48" w:rsidRPr="00D50F48" w:rsidRDefault="00D50F48" w:rsidP="00450397">
            <w:pPr>
              <w:pStyle w:val="Tableheaderrow"/>
            </w:pPr>
            <w:bookmarkStart w:id="49" w:name="_Toc484011477"/>
            <w:bookmarkStart w:id="50" w:name="_Toc484511693"/>
            <w:bookmarkStart w:id="51" w:name="_Toc485967355"/>
            <w:r w:rsidRPr="00D50F48">
              <w:t xml:space="preserve">Planning </w:t>
            </w:r>
            <w:r w:rsidR="004D48CE">
              <w:t>s</w:t>
            </w:r>
            <w:r w:rsidRPr="00D50F48">
              <w:t>tage</w:t>
            </w:r>
          </w:p>
        </w:tc>
        <w:tc>
          <w:tcPr>
            <w:tcW w:w="0" w:type="dxa"/>
            <w:hideMark/>
          </w:tcPr>
          <w:p w14:paraId="0C95B8E0" w14:textId="77777777" w:rsidR="00D50F48" w:rsidRPr="00D50F48" w:rsidRDefault="00D50F48" w:rsidP="00450397">
            <w:pPr>
              <w:pStyle w:val="Tableheaderrow"/>
            </w:pPr>
            <w:r w:rsidRPr="00D50F48">
              <w:t>Milestone</w:t>
            </w:r>
          </w:p>
        </w:tc>
        <w:tc>
          <w:tcPr>
            <w:tcW w:w="0" w:type="dxa"/>
            <w:hideMark/>
          </w:tcPr>
          <w:p w14:paraId="66E21F79" w14:textId="77777777" w:rsidR="00D50F48" w:rsidRPr="00D50F48" w:rsidRDefault="00D50F48" w:rsidP="00450397">
            <w:pPr>
              <w:pStyle w:val="Tableheaderrow"/>
            </w:pPr>
            <w:r w:rsidRPr="00D50F48">
              <w:t>Date</w:t>
            </w:r>
          </w:p>
        </w:tc>
      </w:tr>
      <w:tr w:rsidR="0045313E" w:rsidRPr="00D50F48" w14:paraId="0607E8B4" w14:textId="77777777" w:rsidTr="00DF2D64">
        <w:trPr>
          <w:cnfStyle w:val="000000100000" w:firstRow="0" w:lastRow="0" w:firstColumn="0" w:lastColumn="0" w:oddVBand="0" w:evenVBand="0" w:oddHBand="1" w:evenHBand="0" w:firstRowFirstColumn="0" w:firstRowLastColumn="0" w:lastRowFirstColumn="0" w:lastRowLastColumn="0"/>
        </w:trPr>
        <w:tc>
          <w:tcPr>
            <w:tcW w:w="0" w:type="dxa"/>
            <w:vMerge w:val="restart"/>
            <w:hideMark/>
          </w:tcPr>
          <w:p w14:paraId="68F0A035" w14:textId="7953CE53" w:rsidR="0045313E" w:rsidRPr="00D50F48" w:rsidRDefault="0045313E" w:rsidP="00450397">
            <w:pPr>
              <w:pStyle w:val="TableBody"/>
              <w:rPr>
                <w:rFonts w:cs="Arial"/>
              </w:rPr>
            </w:pPr>
            <w:r w:rsidRPr="00D50F48">
              <w:rPr>
                <w:rFonts w:cs="Arial"/>
              </w:rPr>
              <w:br/>
              <w:t xml:space="preserve">Preliminary </w:t>
            </w:r>
            <w:r>
              <w:rPr>
                <w:rFonts w:cs="Arial"/>
              </w:rPr>
              <w:t>re</w:t>
            </w:r>
            <w:r w:rsidRPr="00D50F48">
              <w:rPr>
                <w:rFonts w:cs="Arial"/>
              </w:rPr>
              <w:t>planning</w:t>
            </w:r>
          </w:p>
        </w:tc>
        <w:tc>
          <w:tcPr>
            <w:tcW w:w="0" w:type="dxa"/>
            <w:hideMark/>
          </w:tcPr>
          <w:p w14:paraId="723F12F4" w14:textId="1862868F" w:rsidR="0045313E" w:rsidRPr="00D50F48" w:rsidRDefault="0045313E" w:rsidP="00450397">
            <w:pPr>
              <w:pStyle w:val="TableBody"/>
              <w:rPr>
                <w:rFonts w:cs="Arial"/>
              </w:rPr>
            </w:pPr>
            <w:r>
              <w:rPr>
                <w:rFonts w:cs="Arial"/>
              </w:rPr>
              <w:t>Rep</w:t>
            </w:r>
            <w:r w:rsidRPr="00D50F48">
              <w:rPr>
                <w:rFonts w:cs="Arial"/>
              </w:rPr>
              <w:t xml:space="preserve">lanning of the </w:t>
            </w:r>
            <w:r>
              <w:rPr>
                <w:rFonts w:cs="Arial"/>
              </w:rPr>
              <w:t>1.9 GHz</w:t>
            </w:r>
            <w:r w:rsidRPr="00D50F48">
              <w:rPr>
                <w:rFonts w:cs="Arial"/>
              </w:rPr>
              <w:t xml:space="preserve"> band: </w:t>
            </w:r>
            <w:r w:rsidR="00CC5F96">
              <w:rPr>
                <w:rFonts w:cs="Arial"/>
              </w:rPr>
              <w:t>o</w:t>
            </w:r>
            <w:r w:rsidRPr="00D50F48">
              <w:rPr>
                <w:rFonts w:cs="Arial"/>
              </w:rPr>
              <w:t xml:space="preserve">ptions paper </w:t>
            </w:r>
            <w:r w:rsidR="00CC5F96">
              <w:rPr>
                <w:rFonts w:cs="Arial"/>
              </w:rPr>
              <w:t>c</w:t>
            </w:r>
            <w:r w:rsidRPr="00D50F48">
              <w:rPr>
                <w:rFonts w:cs="Arial"/>
              </w:rPr>
              <w:t>onsultation opens</w:t>
            </w:r>
          </w:p>
        </w:tc>
        <w:tc>
          <w:tcPr>
            <w:tcW w:w="0" w:type="dxa"/>
            <w:hideMark/>
          </w:tcPr>
          <w:p w14:paraId="78C70496" w14:textId="22B56BE4" w:rsidR="0045313E" w:rsidRPr="00D50F48" w:rsidRDefault="00CC5F96" w:rsidP="00450397">
            <w:pPr>
              <w:pStyle w:val="TableBody"/>
              <w:rPr>
                <w:rFonts w:cs="Arial"/>
                <w:highlight w:val="yellow"/>
              </w:rPr>
            </w:pPr>
            <w:r>
              <w:rPr>
                <w:rFonts w:cs="Arial"/>
              </w:rPr>
              <w:t xml:space="preserve">30 </w:t>
            </w:r>
            <w:r w:rsidR="0045313E">
              <w:rPr>
                <w:rFonts w:cs="Arial"/>
              </w:rPr>
              <w:t xml:space="preserve">November </w:t>
            </w:r>
            <w:r w:rsidR="0045313E" w:rsidRPr="00D50F48">
              <w:rPr>
                <w:rFonts w:cs="Arial"/>
              </w:rPr>
              <w:t>2022</w:t>
            </w:r>
          </w:p>
        </w:tc>
      </w:tr>
      <w:tr w:rsidR="0045313E" w:rsidRPr="00D50F48" w14:paraId="48DC06FF" w14:textId="77777777" w:rsidTr="00DF2D64">
        <w:trPr>
          <w:cnfStyle w:val="000000010000" w:firstRow="0" w:lastRow="0" w:firstColumn="0" w:lastColumn="0" w:oddVBand="0" w:evenVBand="0" w:oddHBand="0" w:evenHBand="1" w:firstRowFirstColumn="0" w:firstRowLastColumn="0" w:lastRowFirstColumn="0" w:lastRowLastColumn="0"/>
        </w:trPr>
        <w:tc>
          <w:tcPr>
            <w:tcW w:w="0" w:type="dxa"/>
            <w:vMerge/>
          </w:tcPr>
          <w:p w14:paraId="143B3EA3" w14:textId="77777777" w:rsidR="0045313E" w:rsidRPr="00D50F48" w:rsidRDefault="0045313E" w:rsidP="00450397">
            <w:pPr>
              <w:pStyle w:val="TableBody"/>
              <w:rPr>
                <w:rFonts w:cs="Arial"/>
              </w:rPr>
            </w:pPr>
          </w:p>
        </w:tc>
        <w:tc>
          <w:tcPr>
            <w:tcW w:w="0" w:type="dxa"/>
          </w:tcPr>
          <w:p w14:paraId="3FDEBB25" w14:textId="214F2270" w:rsidR="0045313E" w:rsidRPr="00954844" w:rsidRDefault="0045313E" w:rsidP="00450397">
            <w:pPr>
              <w:pStyle w:val="TableBody"/>
              <w:rPr>
                <w:rFonts w:cs="Arial"/>
              </w:rPr>
            </w:pPr>
            <w:r w:rsidRPr="00954844">
              <w:rPr>
                <w:rFonts w:cs="Arial"/>
              </w:rPr>
              <w:t>Consultation to options paper closes</w:t>
            </w:r>
          </w:p>
        </w:tc>
        <w:tc>
          <w:tcPr>
            <w:tcW w:w="0" w:type="dxa"/>
          </w:tcPr>
          <w:p w14:paraId="5EBE62AA" w14:textId="3AE6DE02" w:rsidR="0045313E" w:rsidRPr="00954844" w:rsidDel="00954844" w:rsidRDefault="00A623DC" w:rsidP="00450397">
            <w:pPr>
              <w:pStyle w:val="TableBody"/>
              <w:rPr>
                <w:rFonts w:cs="Arial"/>
              </w:rPr>
            </w:pPr>
            <w:r>
              <w:rPr>
                <w:rFonts w:cs="Arial"/>
              </w:rPr>
              <w:t xml:space="preserve">17 </w:t>
            </w:r>
            <w:r w:rsidR="0045313E">
              <w:rPr>
                <w:rFonts w:cs="Arial"/>
              </w:rPr>
              <w:t>March</w:t>
            </w:r>
            <w:r w:rsidR="0045313E" w:rsidRPr="00954844">
              <w:rPr>
                <w:rFonts w:cs="Arial"/>
              </w:rPr>
              <w:t xml:space="preserve"> 2023</w:t>
            </w:r>
          </w:p>
        </w:tc>
      </w:tr>
      <w:tr w:rsidR="0045313E" w:rsidRPr="00D50F48" w14:paraId="0E268E72" w14:textId="77777777" w:rsidTr="00DF2D64">
        <w:trPr>
          <w:cnfStyle w:val="000000100000" w:firstRow="0" w:lastRow="0" w:firstColumn="0" w:lastColumn="0" w:oddVBand="0" w:evenVBand="0" w:oddHBand="1" w:evenHBand="0" w:firstRowFirstColumn="0" w:firstRowLastColumn="0" w:lastRowFirstColumn="0" w:lastRowLastColumn="0"/>
        </w:trPr>
        <w:tc>
          <w:tcPr>
            <w:tcW w:w="0" w:type="dxa"/>
            <w:vMerge/>
            <w:hideMark/>
          </w:tcPr>
          <w:p w14:paraId="7876FEC1" w14:textId="77777777" w:rsidR="0045313E" w:rsidRPr="00D50F48" w:rsidRDefault="0045313E" w:rsidP="00450397">
            <w:pPr>
              <w:pStyle w:val="TableBody"/>
              <w:rPr>
                <w:rFonts w:cs="Arial"/>
              </w:rPr>
            </w:pPr>
          </w:p>
        </w:tc>
        <w:tc>
          <w:tcPr>
            <w:tcW w:w="0" w:type="dxa"/>
            <w:hideMark/>
          </w:tcPr>
          <w:p w14:paraId="08182941" w14:textId="080B2C5F" w:rsidR="0045313E" w:rsidRPr="00954844" w:rsidRDefault="0045313E" w:rsidP="00450397">
            <w:pPr>
              <w:pStyle w:val="TableBody"/>
              <w:rPr>
                <w:rFonts w:cs="Arial"/>
              </w:rPr>
            </w:pPr>
            <w:r w:rsidRPr="000135FE">
              <w:rPr>
                <w:rFonts w:cs="Arial"/>
              </w:rPr>
              <w:t xml:space="preserve">Reply </w:t>
            </w:r>
            <w:r w:rsidR="00DE7896" w:rsidRPr="000135FE">
              <w:rPr>
                <w:rFonts w:cs="Arial"/>
              </w:rPr>
              <w:t xml:space="preserve">to </w:t>
            </w:r>
            <w:r w:rsidRPr="000135FE">
              <w:rPr>
                <w:rFonts w:cs="Arial"/>
              </w:rPr>
              <w:t>comment</w:t>
            </w:r>
            <w:r>
              <w:rPr>
                <w:rFonts w:cs="Arial"/>
              </w:rPr>
              <w:t xml:space="preserve"> period opens</w:t>
            </w:r>
          </w:p>
        </w:tc>
        <w:tc>
          <w:tcPr>
            <w:tcW w:w="0" w:type="dxa"/>
            <w:hideMark/>
          </w:tcPr>
          <w:p w14:paraId="21F34EE6" w14:textId="6D69CA51" w:rsidR="0045313E" w:rsidRPr="00954844" w:rsidRDefault="00A623DC" w:rsidP="00450397">
            <w:pPr>
              <w:pStyle w:val="TableBody"/>
              <w:rPr>
                <w:rFonts w:cs="Arial"/>
              </w:rPr>
            </w:pPr>
            <w:r>
              <w:rPr>
                <w:rFonts w:cs="Arial"/>
              </w:rPr>
              <w:t xml:space="preserve">24 </w:t>
            </w:r>
            <w:r w:rsidR="008E53FC">
              <w:rPr>
                <w:rFonts w:cs="Arial"/>
              </w:rPr>
              <w:t>March</w:t>
            </w:r>
            <w:r w:rsidR="008E53FC" w:rsidRPr="00954844">
              <w:rPr>
                <w:rFonts w:cs="Arial"/>
              </w:rPr>
              <w:t xml:space="preserve"> </w:t>
            </w:r>
            <w:r w:rsidR="0045313E" w:rsidRPr="00954844">
              <w:rPr>
                <w:rFonts w:cs="Arial"/>
              </w:rPr>
              <w:t>202</w:t>
            </w:r>
            <w:r w:rsidR="0045313E">
              <w:rPr>
                <w:rFonts w:cs="Arial"/>
              </w:rPr>
              <w:t>3</w:t>
            </w:r>
          </w:p>
        </w:tc>
      </w:tr>
      <w:tr w:rsidR="0045313E" w:rsidRPr="00D50F48" w14:paraId="637B6503" w14:textId="77777777" w:rsidTr="00DF2D64">
        <w:trPr>
          <w:cnfStyle w:val="000000010000" w:firstRow="0" w:lastRow="0" w:firstColumn="0" w:lastColumn="0" w:oddVBand="0" w:evenVBand="0" w:oddHBand="0" w:evenHBand="1" w:firstRowFirstColumn="0" w:firstRowLastColumn="0" w:lastRowFirstColumn="0" w:lastRowLastColumn="0"/>
        </w:trPr>
        <w:tc>
          <w:tcPr>
            <w:tcW w:w="0" w:type="dxa"/>
            <w:vMerge/>
          </w:tcPr>
          <w:p w14:paraId="01A007A2" w14:textId="77777777" w:rsidR="0045313E" w:rsidRPr="00D50F48" w:rsidRDefault="0045313E" w:rsidP="002C33E1">
            <w:pPr>
              <w:pStyle w:val="TableBody"/>
              <w:rPr>
                <w:rFonts w:cs="Arial"/>
              </w:rPr>
            </w:pPr>
          </w:p>
        </w:tc>
        <w:tc>
          <w:tcPr>
            <w:tcW w:w="0" w:type="dxa"/>
          </w:tcPr>
          <w:p w14:paraId="7351767D" w14:textId="7F42AB2B" w:rsidR="0045313E" w:rsidRPr="003B373F" w:rsidRDefault="0045313E" w:rsidP="002C33E1">
            <w:pPr>
              <w:pStyle w:val="TableBody"/>
              <w:rPr>
                <w:rFonts w:cs="Arial"/>
              </w:rPr>
            </w:pPr>
            <w:r w:rsidRPr="000135FE">
              <w:rPr>
                <w:rFonts w:cs="Arial"/>
              </w:rPr>
              <w:t xml:space="preserve">Reply </w:t>
            </w:r>
            <w:r w:rsidR="00DE7896" w:rsidRPr="000135FE">
              <w:rPr>
                <w:rFonts w:cs="Arial"/>
              </w:rPr>
              <w:t xml:space="preserve">to </w:t>
            </w:r>
            <w:r w:rsidRPr="000135FE">
              <w:rPr>
                <w:rFonts w:cs="Arial"/>
              </w:rPr>
              <w:t>comment</w:t>
            </w:r>
            <w:r w:rsidRPr="003B373F">
              <w:rPr>
                <w:rFonts w:cs="Arial"/>
              </w:rPr>
              <w:t xml:space="preserve"> period closes</w:t>
            </w:r>
          </w:p>
        </w:tc>
        <w:tc>
          <w:tcPr>
            <w:tcW w:w="0" w:type="dxa"/>
          </w:tcPr>
          <w:p w14:paraId="173B92CC" w14:textId="15B50CF1" w:rsidR="0045313E" w:rsidRPr="003B373F" w:rsidDel="00954844" w:rsidRDefault="00A623DC" w:rsidP="002C33E1">
            <w:pPr>
              <w:pStyle w:val="TableBody"/>
              <w:rPr>
                <w:rFonts w:cs="Arial"/>
              </w:rPr>
            </w:pPr>
            <w:r>
              <w:rPr>
                <w:rFonts w:cs="Arial"/>
              </w:rPr>
              <w:t xml:space="preserve">21 </w:t>
            </w:r>
            <w:r w:rsidR="008E53FC">
              <w:rPr>
                <w:rFonts w:cs="Arial"/>
              </w:rPr>
              <w:t xml:space="preserve">April </w:t>
            </w:r>
            <w:r w:rsidR="0045313E" w:rsidRPr="003B373F">
              <w:rPr>
                <w:rFonts w:cs="Arial"/>
              </w:rPr>
              <w:t>2023</w:t>
            </w:r>
          </w:p>
        </w:tc>
      </w:tr>
      <w:tr w:rsidR="0045313E" w:rsidRPr="00D50F48" w14:paraId="33247548" w14:textId="77777777" w:rsidTr="00DF2D64">
        <w:trPr>
          <w:cnfStyle w:val="000000100000" w:firstRow="0" w:lastRow="0" w:firstColumn="0" w:lastColumn="0" w:oddVBand="0" w:evenVBand="0" w:oddHBand="1" w:evenHBand="0" w:firstRowFirstColumn="0" w:firstRowLastColumn="0" w:lastRowFirstColumn="0" w:lastRowLastColumn="0"/>
          <w:trHeight w:val="604"/>
        </w:trPr>
        <w:tc>
          <w:tcPr>
            <w:tcW w:w="0" w:type="dxa"/>
            <w:vMerge/>
          </w:tcPr>
          <w:p w14:paraId="78336A6D" w14:textId="77777777" w:rsidR="0045313E" w:rsidRPr="00D50F48" w:rsidRDefault="0045313E" w:rsidP="00450397">
            <w:pPr>
              <w:pStyle w:val="TableBody"/>
              <w:rPr>
                <w:rFonts w:cs="Arial"/>
              </w:rPr>
            </w:pPr>
          </w:p>
        </w:tc>
        <w:tc>
          <w:tcPr>
            <w:tcW w:w="0" w:type="dxa"/>
          </w:tcPr>
          <w:p w14:paraId="6786CE95" w14:textId="06CC4E23" w:rsidR="0045313E" w:rsidRPr="003B373F" w:rsidRDefault="0045313E" w:rsidP="00450397">
            <w:pPr>
              <w:pStyle w:val="TableBody"/>
              <w:rPr>
                <w:rFonts w:cs="Arial"/>
              </w:rPr>
            </w:pPr>
            <w:r w:rsidRPr="003B373F">
              <w:rPr>
                <w:rFonts w:cs="Arial"/>
              </w:rPr>
              <w:t xml:space="preserve">Release: Outcomes paper for the </w:t>
            </w:r>
            <w:r w:rsidR="00CC5F96">
              <w:rPr>
                <w:rFonts w:cs="Arial"/>
              </w:rPr>
              <w:br/>
            </w:r>
            <w:r w:rsidRPr="003B373F">
              <w:rPr>
                <w:rFonts w:cs="Arial"/>
              </w:rPr>
              <w:t>1.9 GHz band</w:t>
            </w:r>
          </w:p>
        </w:tc>
        <w:tc>
          <w:tcPr>
            <w:tcW w:w="0" w:type="dxa"/>
          </w:tcPr>
          <w:p w14:paraId="39B0150D" w14:textId="23D7BD38" w:rsidR="0045313E" w:rsidRPr="00915142" w:rsidRDefault="008E53FC" w:rsidP="00450397">
            <w:pPr>
              <w:pStyle w:val="TableBody"/>
              <w:rPr>
                <w:rFonts w:cs="Arial"/>
              </w:rPr>
            </w:pPr>
            <w:r w:rsidRPr="003B373F">
              <w:rPr>
                <w:rFonts w:cs="Arial"/>
              </w:rPr>
              <w:t>Q</w:t>
            </w:r>
            <w:r w:rsidR="0037065F">
              <w:rPr>
                <w:rFonts w:cs="Arial"/>
              </w:rPr>
              <w:t>4</w:t>
            </w:r>
            <w:r w:rsidRPr="003B373F">
              <w:rPr>
                <w:rFonts w:cs="Arial"/>
              </w:rPr>
              <w:t xml:space="preserve"> </w:t>
            </w:r>
            <w:r w:rsidR="0045313E" w:rsidRPr="003B373F">
              <w:rPr>
                <w:rFonts w:cs="Arial"/>
              </w:rPr>
              <w:t>2023</w:t>
            </w:r>
          </w:p>
        </w:tc>
      </w:tr>
      <w:tr w:rsidR="00D50F48" w:rsidRPr="00D50F48" w14:paraId="2DDD5845" w14:textId="77777777" w:rsidTr="00DF2D64">
        <w:trPr>
          <w:cnfStyle w:val="000000010000" w:firstRow="0" w:lastRow="0" w:firstColumn="0" w:lastColumn="0" w:oddVBand="0" w:evenVBand="0" w:oddHBand="0" w:evenHBand="1" w:firstRowFirstColumn="0" w:firstRowLastColumn="0" w:lastRowFirstColumn="0" w:lastRowLastColumn="0"/>
          <w:trHeight w:val="480"/>
        </w:trPr>
        <w:tc>
          <w:tcPr>
            <w:tcW w:w="0" w:type="dxa"/>
            <w:hideMark/>
          </w:tcPr>
          <w:p w14:paraId="18B411AB" w14:textId="6B96D81A" w:rsidR="00D50F48" w:rsidRPr="00D50F48" w:rsidRDefault="00C37DCF" w:rsidP="00450397">
            <w:pPr>
              <w:pStyle w:val="TableBody"/>
              <w:rPr>
                <w:rFonts w:cs="Arial"/>
              </w:rPr>
            </w:pPr>
            <w:r>
              <w:rPr>
                <w:rFonts w:cs="Arial"/>
              </w:rPr>
              <w:t>Implementation</w:t>
            </w:r>
          </w:p>
        </w:tc>
        <w:tc>
          <w:tcPr>
            <w:tcW w:w="0" w:type="dxa"/>
            <w:hideMark/>
          </w:tcPr>
          <w:p w14:paraId="4F167DAD" w14:textId="5055CDFD" w:rsidR="00D50F48" w:rsidRPr="003B373F" w:rsidRDefault="00D50F48" w:rsidP="00450397">
            <w:pPr>
              <w:pStyle w:val="TableBody"/>
              <w:rPr>
                <w:rFonts w:cs="Arial"/>
              </w:rPr>
            </w:pPr>
            <w:r w:rsidRPr="003B373F">
              <w:rPr>
                <w:rFonts w:cs="Arial"/>
              </w:rPr>
              <w:t xml:space="preserve">Commencement of </w:t>
            </w:r>
            <w:r w:rsidR="00C37DCF" w:rsidRPr="00DF2D64">
              <w:rPr>
                <w:rFonts w:cs="Arial"/>
                <w:iCs/>
              </w:rPr>
              <w:t>implementation</w:t>
            </w:r>
            <w:r w:rsidRPr="003B373F">
              <w:rPr>
                <w:rFonts w:cs="Arial"/>
              </w:rPr>
              <w:t xml:space="preserve"> stage, </w:t>
            </w:r>
            <w:r w:rsidR="00CC5F96">
              <w:rPr>
                <w:rFonts w:cs="Arial"/>
              </w:rPr>
              <w:br/>
            </w:r>
            <w:r w:rsidRPr="003B373F">
              <w:rPr>
                <w:rFonts w:cs="Arial"/>
              </w:rPr>
              <w:t>if applicable</w:t>
            </w:r>
          </w:p>
        </w:tc>
        <w:tc>
          <w:tcPr>
            <w:tcW w:w="0" w:type="dxa"/>
            <w:hideMark/>
          </w:tcPr>
          <w:p w14:paraId="2CE0244D" w14:textId="017106DC" w:rsidR="00D50F48" w:rsidRPr="00915142" w:rsidRDefault="00C91427" w:rsidP="00450397">
            <w:pPr>
              <w:pStyle w:val="TableBody"/>
              <w:rPr>
                <w:rFonts w:cs="Arial"/>
              </w:rPr>
            </w:pPr>
            <w:r w:rsidRPr="003B373F">
              <w:rPr>
                <w:rFonts w:cs="Arial"/>
              </w:rPr>
              <w:t>Q</w:t>
            </w:r>
            <w:r w:rsidR="008E53FC">
              <w:rPr>
                <w:rFonts w:cs="Arial"/>
              </w:rPr>
              <w:t>1</w:t>
            </w:r>
            <w:r w:rsidRPr="003B373F">
              <w:rPr>
                <w:rFonts w:cs="Arial"/>
              </w:rPr>
              <w:t xml:space="preserve"> </w:t>
            </w:r>
            <w:r w:rsidR="00D50F48" w:rsidRPr="003B373F">
              <w:rPr>
                <w:rFonts w:cs="Arial"/>
              </w:rPr>
              <w:t>202</w:t>
            </w:r>
            <w:r w:rsidR="008E53FC">
              <w:rPr>
                <w:rFonts w:cs="Arial"/>
              </w:rPr>
              <w:t>4</w:t>
            </w:r>
          </w:p>
        </w:tc>
      </w:tr>
    </w:tbl>
    <w:p w14:paraId="6E3BB93B" w14:textId="77777777" w:rsidR="00C37DCF" w:rsidRDefault="00C37DCF" w:rsidP="00C37DCF">
      <w:pPr>
        <w:keepLines w:val="0"/>
        <w:spacing w:after="240"/>
        <w:ind w:right="1372"/>
      </w:pPr>
    </w:p>
    <w:p w14:paraId="017A8706" w14:textId="66083F5E" w:rsidR="0046755B" w:rsidRDefault="0098310E">
      <w:pPr>
        <w:pStyle w:val="Paragraph"/>
      </w:pPr>
      <w:r>
        <w:t>A more detailed set of milestones will be set once</w:t>
      </w:r>
      <w:r w:rsidR="00FD5C6B">
        <w:t xml:space="preserve"> the</w:t>
      </w:r>
      <w:r w:rsidR="00C37DCF">
        <w:t xml:space="preserve"> </w:t>
      </w:r>
      <w:r>
        <w:t>preferred</w:t>
      </w:r>
      <w:r w:rsidR="00C37DCF" w:rsidDel="0098310E">
        <w:t xml:space="preserve"> </w:t>
      </w:r>
      <w:r w:rsidR="00C37DCF">
        <w:t>replanning option</w:t>
      </w:r>
      <w:r w:rsidR="00FD5C6B">
        <w:t xml:space="preserve"> has been </w:t>
      </w:r>
      <w:r>
        <w:t xml:space="preserve">identified. </w:t>
      </w:r>
      <w:r w:rsidR="00CC5F96">
        <w:t xml:space="preserve">We </w:t>
      </w:r>
      <w:r>
        <w:t>intend to develop</w:t>
      </w:r>
      <w:r w:rsidR="00C37DCF">
        <w:t xml:space="preserve"> any necessary technical frameworks and/or allocation instruments for the release of the spectrum by an administrative allocation of apparatus licences</w:t>
      </w:r>
      <w:r w:rsidR="0004772D">
        <w:t xml:space="preserve"> and/or modifications to any relevant class licen</w:t>
      </w:r>
      <w:r w:rsidR="00A55CA3">
        <w:t>s</w:t>
      </w:r>
      <w:r w:rsidR="0004772D">
        <w:t>ing instrument</w:t>
      </w:r>
      <w:r w:rsidR="00C37DCF">
        <w:t xml:space="preserve">. </w:t>
      </w:r>
    </w:p>
    <w:p w14:paraId="0BCE0A82" w14:textId="4922F02F" w:rsidR="00CD3BF9" w:rsidRDefault="00CD3BF9">
      <w:pPr>
        <w:keepLines w:val="0"/>
        <w:spacing w:after="0" w:line="240" w:lineRule="auto"/>
        <w:rPr>
          <w:rFonts w:cs="Arial"/>
        </w:rPr>
      </w:pPr>
      <w:r>
        <w:br w:type="page"/>
      </w:r>
    </w:p>
    <w:p w14:paraId="3F8B24F5" w14:textId="77777777" w:rsidR="008E7761" w:rsidRPr="002F66C9" w:rsidRDefault="008E7761" w:rsidP="00CD3BF9">
      <w:pPr>
        <w:pStyle w:val="Heading1"/>
        <w:keepLines w:val="0"/>
        <w:pageBreakBefore w:val="0"/>
        <w:widowControl/>
        <w:ind w:right="1371"/>
      </w:pPr>
      <w:bookmarkStart w:id="52" w:name="_Toc519765107"/>
      <w:bookmarkStart w:id="53" w:name="_Toc521585773"/>
      <w:bookmarkStart w:id="54" w:name="_Toc5000065"/>
      <w:bookmarkStart w:id="55" w:name="_Toc117870117"/>
      <w:bookmarkStart w:id="56" w:name="_Toc118785109"/>
      <w:bookmarkStart w:id="57" w:name="_Toc120600044"/>
      <w:bookmarkEnd w:id="49"/>
      <w:bookmarkEnd w:id="50"/>
      <w:bookmarkEnd w:id="51"/>
      <w:r w:rsidRPr="002F66C9">
        <w:lastRenderedPageBreak/>
        <w:t>The process to date</w:t>
      </w:r>
      <w:bookmarkEnd w:id="52"/>
      <w:bookmarkEnd w:id="53"/>
      <w:bookmarkEnd w:id="54"/>
      <w:bookmarkEnd w:id="55"/>
      <w:bookmarkEnd w:id="56"/>
      <w:bookmarkEnd w:id="57"/>
    </w:p>
    <w:p w14:paraId="5815A66A" w14:textId="77777777" w:rsidR="008E7761" w:rsidRPr="002F66C9" w:rsidRDefault="008E7761" w:rsidP="004346FA">
      <w:pPr>
        <w:pStyle w:val="Heading2"/>
        <w:keepLines w:val="0"/>
        <w:ind w:right="1371"/>
      </w:pPr>
      <w:bookmarkStart w:id="58" w:name="_Toc519765108"/>
      <w:bookmarkStart w:id="59" w:name="_Toc521585774"/>
      <w:bookmarkStart w:id="60" w:name="_Toc5000066"/>
      <w:bookmarkStart w:id="61" w:name="_Toc117870118"/>
      <w:bookmarkStart w:id="62" w:name="_Toc118785110"/>
      <w:bookmarkStart w:id="63" w:name="_Toc120600045"/>
      <w:bookmarkStart w:id="64" w:name="_Ref499046185"/>
      <w:bookmarkStart w:id="65" w:name="_Ref499046197"/>
      <w:bookmarkStart w:id="66" w:name="_Ref499109539"/>
      <w:r w:rsidRPr="002F66C9">
        <w:t>Consultation</w:t>
      </w:r>
      <w:bookmarkEnd w:id="58"/>
      <w:bookmarkEnd w:id="59"/>
      <w:bookmarkEnd w:id="60"/>
      <w:bookmarkEnd w:id="61"/>
      <w:bookmarkEnd w:id="62"/>
      <w:bookmarkEnd w:id="63"/>
      <w:r w:rsidRPr="002F66C9">
        <w:t xml:space="preserve"> </w:t>
      </w:r>
      <w:bookmarkEnd w:id="64"/>
      <w:bookmarkEnd w:id="65"/>
      <w:bookmarkEnd w:id="66"/>
    </w:p>
    <w:p w14:paraId="6B3701ED" w14:textId="6675F3E8" w:rsidR="00346812" w:rsidRDefault="00346812" w:rsidP="009B5150">
      <w:pPr>
        <w:pStyle w:val="Paragraph"/>
        <w:keepLines w:val="0"/>
      </w:pPr>
      <w:bookmarkStart w:id="67" w:name="_Ref498953609"/>
      <w:bookmarkStart w:id="68" w:name="_Toc519765109"/>
      <w:bookmarkStart w:id="69" w:name="_Toc521585775"/>
      <w:bookmarkStart w:id="70" w:name="_Toc5000067"/>
      <w:r>
        <w:t xml:space="preserve">On 11 November 2021, </w:t>
      </w:r>
      <w:r w:rsidR="00CC5F96">
        <w:t xml:space="preserve">We </w:t>
      </w:r>
      <w:r>
        <w:t xml:space="preserve">released the </w:t>
      </w:r>
      <w:hyperlink r:id="rId31" w:history="1">
        <w:r w:rsidRPr="00DF2D64">
          <w:rPr>
            <w:rStyle w:val="Hyperlink"/>
            <w:i/>
            <w:iCs/>
          </w:rPr>
          <w:t>Exploring future use of the 1.9 GHz band</w:t>
        </w:r>
      </w:hyperlink>
      <w:r w:rsidR="00CC5F96">
        <w:t xml:space="preserve"> discussion paper,</w:t>
      </w:r>
      <w:r>
        <w:t xml:space="preserve"> seeking industry views on the potential uses of the 1880</w:t>
      </w:r>
      <w:r w:rsidR="00CC5F96">
        <w:t>–</w:t>
      </w:r>
      <w:r>
        <w:t>1920 MHz band as part of</w:t>
      </w:r>
      <w:r w:rsidR="004D48CE">
        <w:t xml:space="preserve"> the</w:t>
      </w:r>
      <w:r>
        <w:t xml:space="preserve"> </w:t>
      </w:r>
      <w:hyperlink r:id="rId32" w:history="1">
        <w:r w:rsidR="004D48CE">
          <w:rPr>
            <w:rStyle w:val="Hyperlink"/>
          </w:rPr>
          <w:t>f</w:t>
        </w:r>
        <w:r w:rsidRPr="00226549">
          <w:rPr>
            <w:rStyle w:val="Hyperlink"/>
          </w:rPr>
          <w:t>ive-</w:t>
        </w:r>
        <w:r w:rsidR="00231C77">
          <w:rPr>
            <w:rStyle w:val="Hyperlink"/>
          </w:rPr>
          <w:t>y</w:t>
        </w:r>
        <w:r w:rsidRPr="00226549">
          <w:rPr>
            <w:rStyle w:val="Hyperlink"/>
          </w:rPr>
          <w:t xml:space="preserve">ear </w:t>
        </w:r>
        <w:r w:rsidR="00231C77">
          <w:rPr>
            <w:rStyle w:val="Hyperlink"/>
          </w:rPr>
          <w:t>s</w:t>
        </w:r>
        <w:r w:rsidRPr="00226549">
          <w:rPr>
            <w:rStyle w:val="Hyperlink"/>
          </w:rPr>
          <w:t xml:space="preserve">pectrum </w:t>
        </w:r>
        <w:r w:rsidR="00231C77">
          <w:rPr>
            <w:rStyle w:val="Hyperlink"/>
          </w:rPr>
          <w:t>o</w:t>
        </w:r>
        <w:r w:rsidRPr="00226549">
          <w:rPr>
            <w:rStyle w:val="Hyperlink"/>
          </w:rPr>
          <w:t>utlook</w:t>
        </w:r>
      </w:hyperlink>
      <w:r>
        <w:t xml:space="preserve"> (FYSO)</w:t>
      </w:r>
      <w:r w:rsidRPr="00226549">
        <w:t xml:space="preserve"> work program</w:t>
      </w:r>
      <w:r>
        <w:t>. The paper provided an overview of</w:t>
      </w:r>
      <w:r w:rsidRPr="008C62F2">
        <w:t xml:space="preserve"> current and potential new </w:t>
      </w:r>
      <w:r>
        <w:t xml:space="preserve">usage of the 1.9 GHz band </w:t>
      </w:r>
      <w:r w:rsidRPr="008C62F2">
        <w:t>domestically and internationally</w:t>
      </w:r>
      <w:r>
        <w:t>.</w:t>
      </w:r>
    </w:p>
    <w:p w14:paraId="3851C08F" w14:textId="1212471B" w:rsidR="00346812" w:rsidRPr="009D70B4" w:rsidRDefault="00346812" w:rsidP="00DF2D64">
      <w:pPr>
        <w:pStyle w:val="Paragraphbeforelist"/>
        <w:rPr>
          <w:szCs w:val="20"/>
        </w:rPr>
      </w:pPr>
      <w:r>
        <w:t xml:space="preserve">The discussion paper identified the following </w:t>
      </w:r>
      <w:r w:rsidR="00F75CD5">
        <w:t xml:space="preserve">existing </w:t>
      </w:r>
      <w:r w:rsidR="00980ECE">
        <w:t>and</w:t>
      </w:r>
      <w:r w:rsidDel="00980ECE">
        <w:t xml:space="preserve"> </w:t>
      </w:r>
      <w:r>
        <w:t xml:space="preserve">potential </w:t>
      </w:r>
      <w:r w:rsidR="00F75CD5">
        <w:t xml:space="preserve">new </w:t>
      </w:r>
      <w:r>
        <w:t xml:space="preserve">use cases and </w:t>
      </w:r>
      <w:r w:rsidR="00AB3B00">
        <w:t>trends</w:t>
      </w:r>
      <w:r>
        <w:t xml:space="preserve"> in the 1.9</w:t>
      </w:r>
      <w:r w:rsidR="00B86ED3">
        <w:rPr>
          <w:szCs w:val="20"/>
        </w:rPr>
        <w:t> </w:t>
      </w:r>
      <w:r w:rsidR="00AB3B00">
        <w:rPr>
          <w:szCs w:val="20"/>
        </w:rPr>
        <w:t>GHz band</w:t>
      </w:r>
      <w:r w:rsidRPr="009D70B4">
        <w:rPr>
          <w:szCs w:val="20"/>
        </w:rPr>
        <w:t>:</w:t>
      </w:r>
    </w:p>
    <w:p w14:paraId="3354F150" w14:textId="2857851D" w:rsidR="00346812" w:rsidRPr="008332FB" w:rsidRDefault="00346812" w:rsidP="009B5150">
      <w:pPr>
        <w:pStyle w:val="ListBullet"/>
        <w:keepLines w:val="0"/>
      </w:pPr>
      <w:r w:rsidRPr="00DF2D64">
        <w:rPr>
          <w:b/>
          <w:bCs/>
        </w:rPr>
        <w:t xml:space="preserve">DECT/ </w:t>
      </w:r>
      <w:r w:rsidR="00363EF0" w:rsidRPr="00DF2D64">
        <w:rPr>
          <w:b/>
          <w:bCs/>
        </w:rPr>
        <w:t>DECT Evolution/</w:t>
      </w:r>
      <w:r w:rsidRPr="00DF2D64">
        <w:rPr>
          <w:b/>
          <w:bCs/>
        </w:rPr>
        <w:t>DECT- 2020</w:t>
      </w:r>
      <w:r w:rsidR="0070430D" w:rsidRPr="00DF2D64">
        <w:rPr>
          <w:b/>
          <w:bCs/>
        </w:rPr>
        <w:t>-</w:t>
      </w:r>
      <w:r w:rsidRPr="00DF2D64">
        <w:rPr>
          <w:b/>
          <w:bCs/>
        </w:rPr>
        <w:t>NR applications.</w:t>
      </w:r>
      <w:r w:rsidRPr="008332FB">
        <w:t xml:space="preserve"> DECT is a local area wireless technology used predominantly in the 1.9 GHz band and widely adopted for cordless phones </w:t>
      </w:r>
      <w:r w:rsidR="002F313D">
        <w:t>,</w:t>
      </w:r>
      <w:r w:rsidRPr="008332FB">
        <w:t xml:space="preserve">as well as wireless microphones and headset use. The </w:t>
      </w:r>
      <w:r w:rsidR="00363EF0" w:rsidRPr="008332FB">
        <w:t>ne</w:t>
      </w:r>
      <w:r w:rsidR="00363EF0">
        <w:t>w</w:t>
      </w:r>
      <w:r w:rsidR="00363EF0" w:rsidRPr="008332FB">
        <w:t xml:space="preserve"> </w:t>
      </w:r>
      <w:r w:rsidRPr="008332FB">
        <w:t>generation</w:t>
      </w:r>
      <w:r w:rsidR="00363EF0">
        <w:t>s</w:t>
      </w:r>
      <w:r w:rsidRPr="008332FB">
        <w:t xml:space="preserve"> of DECT, DECT</w:t>
      </w:r>
      <w:r w:rsidR="00363EF0">
        <w:t xml:space="preserve"> </w:t>
      </w:r>
      <w:r w:rsidR="002F313D">
        <w:t>e</w:t>
      </w:r>
      <w:r w:rsidR="00363EF0">
        <w:t xml:space="preserve">volution and </w:t>
      </w:r>
      <w:r w:rsidRPr="008332FB">
        <w:t xml:space="preserve">DECT-2020 </w:t>
      </w:r>
      <w:r w:rsidR="002F313D">
        <w:t>n</w:t>
      </w:r>
      <w:r w:rsidR="00B21B70">
        <w:t xml:space="preserve">ew </w:t>
      </w:r>
      <w:r w:rsidR="002F313D">
        <w:t>r</w:t>
      </w:r>
      <w:r w:rsidR="00B21B70">
        <w:t>adio (</w:t>
      </w:r>
      <w:r w:rsidRPr="008332FB">
        <w:t>NR</w:t>
      </w:r>
      <w:r w:rsidR="00B21B70">
        <w:t>)</w:t>
      </w:r>
      <w:r w:rsidR="00363EF0">
        <w:t xml:space="preserve"> </w:t>
      </w:r>
      <w:r w:rsidR="002F313D">
        <w:t xml:space="preserve">– </w:t>
      </w:r>
      <w:r w:rsidR="00505FCB">
        <w:t xml:space="preserve">referred to as </w:t>
      </w:r>
      <w:r w:rsidR="002F313D">
        <w:t>‘</w:t>
      </w:r>
      <w:r w:rsidR="00363EF0">
        <w:t>future DECT</w:t>
      </w:r>
      <w:r w:rsidR="002F313D">
        <w:t>’</w:t>
      </w:r>
      <w:r w:rsidR="00363EF0">
        <w:t>)</w:t>
      </w:r>
      <w:r w:rsidR="00980ECE">
        <w:t>,</w:t>
      </w:r>
      <w:r w:rsidRPr="008332FB">
        <w:t xml:space="preserve"> </w:t>
      </w:r>
      <w:r w:rsidR="00980ECE">
        <w:t>will</w:t>
      </w:r>
      <w:r w:rsidR="00980ECE" w:rsidRPr="008332FB">
        <w:t xml:space="preserve"> </w:t>
      </w:r>
      <w:r w:rsidRPr="008332FB">
        <w:t xml:space="preserve">bring new applications to the entire 1880–1920 MHz </w:t>
      </w:r>
      <w:r w:rsidR="002C2375">
        <w:t>frequency range</w:t>
      </w:r>
      <w:r w:rsidR="002F313D">
        <w:t xml:space="preserve">. These </w:t>
      </w:r>
      <w:r w:rsidRPr="008332FB">
        <w:t>come</w:t>
      </w:r>
      <w:r w:rsidR="00417171">
        <w:t xml:space="preserve"> </w:t>
      </w:r>
      <w:r w:rsidRPr="008332FB">
        <w:t>with a very high level of co-existence.</w:t>
      </w:r>
    </w:p>
    <w:p w14:paraId="72A0EACA" w14:textId="6802EB31" w:rsidR="002D5B7D" w:rsidRDefault="00346812" w:rsidP="009B5150">
      <w:pPr>
        <w:pStyle w:val="ListBullet"/>
        <w:keepLines w:val="0"/>
      </w:pPr>
      <w:r w:rsidRPr="00DF2D64">
        <w:rPr>
          <w:b/>
          <w:bCs/>
        </w:rPr>
        <w:t>FMRCS/MCX services</w:t>
      </w:r>
      <w:r w:rsidR="002F313D" w:rsidRPr="00DF2D64">
        <w:rPr>
          <w:b/>
          <w:bCs/>
        </w:rPr>
        <w:t>.</w:t>
      </w:r>
      <w:r w:rsidR="002F313D">
        <w:t xml:space="preserve"> </w:t>
      </w:r>
      <w:r w:rsidR="002D5B7D">
        <w:t xml:space="preserve">Future </w:t>
      </w:r>
      <w:r w:rsidR="002F313D">
        <w:t>m</w:t>
      </w:r>
      <w:r w:rsidR="002D5B7D">
        <w:t xml:space="preserve">obile </w:t>
      </w:r>
      <w:r w:rsidR="002F313D">
        <w:t>r</w:t>
      </w:r>
      <w:r w:rsidR="002D5B7D">
        <w:t xml:space="preserve">ailway </w:t>
      </w:r>
      <w:r w:rsidR="002F313D">
        <w:t>c</w:t>
      </w:r>
      <w:r w:rsidR="002D5B7D">
        <w:t xml:space="preserve">ommunication </w:t>
      </w:r>
      <w:r w:rsidR="002F313D">
        <w:t>s</w:t>
      </w:r>
      <w:r w:rsidR="002D5B7D">
        <w:t xml:space="preserve">ystem (FRMCS) is an evolving technology that is being developed by </w:t>
      </w:r>
      <w:r w:rsidR="00C92EF2" w:rsidRPr="00FD2C90">
        <w:t xml:space="preserve">Conference of European Postal and Telecommunications </w:t>
      </w:r>
      <w:r w:rsidR="00C92EF2">
        <w:t>(</w:t>
      </w:r>
      <w:r w:rsidR="002D5B7D">
        <w:t>CEPT</w:t>
      </w:r>
      <w:r w:rsidR="00C92EF2">
        <w:t>)</w:t>
      </w:r>
      <w:r w:rsidR="002D5B7D">
        <w:t xml:space="preserve"> for the specialised requirements of rail services. FRMCS is being developed to operate in the </w:t>
      </w:r>
      <w:r w:rsidR="002F313D">
        <w:br/>
      </w:r>
      <w:r w:rsidR="002D5B7D">
        <w:t>1900</w:t>
      </w:r>
      <w:r w:rsidR="002F313D">
        <w:t>–</w:t>
      </w:r>
      <w:r w:rsidR="002D5B7D">
        <w:t>1910 MHz frequency range</w:t>
      </w:r>
      <w:r w:rsidR="002F313D">
        <w:t>,</w:t>
      </w:r>
      <w:r w:rsidR="002D5B7D">
        <w:t xml:space="preserve"> and is based on </w:t>
      </w:r>
      <w:r w:rsidR="006212A9">
        <w:t xml:space="preserve">the </w:t>
      </w:r>
      <w:r w:rsidR="002D5B7D">
        <w:t>3GPP Rel. 17 standard. Mission-critical services, known as MCX, ha</w:t>
      </w:r>
      <w:r w:rsidR="00417171">
        <w:t>ve</w:t>
      </w:r>
      <w:r w:rsidR="002D5B7D">
        <w:t xml:space="preserve"> been identified as a transitional technology between existing rail deployments and FRMCS</w:t>
      </w:r>
      <w:r w:rsidR="00CB27C1">
        <w:t>.</w:t>
      </w:r>
    </w:p>
    <w:p w14:paraId="48A58DEA" w14:textId="7CD9AD61" w:rsidR="00346812" w:rsidRDefault="00346812" w:rsidP="009B5150">
      <w:pPr>
        <w:pStyle w:val="ListBullet"/>
        <w:keepLines w:val="0"/>
      </w:pPr>
      <w:r w:rsidRPr="00DF2D64">
        <w:rPr>
          <w:b/>
          <w:bCs/>
        </w:rPr>
        <w:t xml:space="preserve">Fixed or </w:t>
      </w:r>
      <w:r w:rsidR="00680DE3" w:rsidRPr="00DF2D64">
        <w:rPr>
          <w:b/>
          <w:bCs/>
        </w:rPr>
        <w:t>m</w:t>
      </w:r>
      <w:r w:rsidRPr="00DF2D64">
        <w:rPr>
          <w:b/>
          <w:bCs/>
        </w:rPr>
        <w:t xml:space="preserve">obile </w:t>
      </w:r>
      <w:r w:rsidR="00680DE3" w:rsidRPr="00DF2D64">
        <w:rPr>
          <w:b/>
          <w:bCs/>
        </w:rPr>
        <w:t>w</w:t>
      </w:r>
      <w:r w:rsidRPr="00DF2D64">
        <w:rPr>
          <w:b/>
          <w:bCs/>
        </w:rPr>
        <w:t xml:space="preserve">ireless </w:t>
      </w:r>
      <w:r w:rsidR="00680DE3" w:rsidRPr="00DF2D64">
        <w:rPr>
          <w:b/>
          <w:bCs/>
        </w:rPr>
        <w:t>b</w:t>
      </w:r>
      <w:r w:rsidRPr="00DF2D64">
        <w:rPr>
          <w:b/>
          <w:bCs/>
        </w:rPr>
        <w:t xml:space="preserve">roadband </w:t>
      </w:r>
      <w:r w:rsidR="00BD1A7A" w:rsidRPr="00DF2D64">
        <w:rPr>
          <w:b/>
          <w:bCs/>
        </w:rPr>
        <w:t xml:space="preserve">(WBB) </w:t>
      </w:r>
      <w:r w:rsidR="0004772D" w:rsidRPr="00DF2D64">
        <w:rPr>
          <w:b/>
          <w:bCs/>
        </w:rPr>
        <w:t>services</w:t>
      </w:r>
      <w:r w:rsidR="002F313D" w:rsidRPr="00DF2D64">
        <w:rPr>
          <w:b/>
          <w:bCs/>
        </w:rPr>
        <w:t>.</w:t>
      </w:r>
      <w:r>
        <w:t xml:space="preserve"> The</w:t>
      </w:r>
      <w:r w:rsidR="00887182">
        <w:t>se are</w:t>
      </w:r>
      <w:r>
        <w:t xml:space="preserve"> </w:t>
      </w:r>
      <w:r w:rsidR="00680DE3">
        <w:t>p</w:t>
      </w:r>
      <w:r>
        <w:t>oint</w:t>
      </w:r>
      <w:r w:rsidR="00680DE3">
        <w:t>-</w:t>
      </w:r>
      <w:r>
        <w:t>to</w:t>
      </w:r>
      <w:r w:rsidR="00680DE3">
        <w:t>-m</w:t>
      </w:r>
      <w:r>
        <w:t xml:space="preserve">ultipoint (PMP) </w:t>
      </w:r>
      <w:r w:rsidR="00887182">
        <w:t>licen</w:t>
      </w:r>
      <w:r w:rsidR="0070430D">
        <w:t>c</w:t>
      </w:r>
      <w:r w:rsidR="00887182">
        <w:t xml:space="preserve">es </w:t>
      </w:r>
      <w:r>
        <w:t>predominantly</w:t>
      </w:r>
      <w:r w:rsidR="00417171">
        <w:t xml:space="preserve"> </w:t>
      </w:r>
      <w:r w:rsidR="00887182">
        <w:t xml:space="preserve">used by </w:t>
      </w:r>
      <w:r>
        <w:t xml:space="preserve">regional operators to provide </w:t>
      </w:r>
      <w:r w:rsidR="002F313D">
        <w:t>l</w:t>
      </w:r>
      <w:r w:rsidR="003E029E">
        <w:t xml:space="preserve">ocal </w:t>
      </w:r>
      <w:r w:rsidR="002F313D">
        <w:t>a</w:t>
      </w:r>
      <w:r w:rsidR="003E029E">
        <w:t xml:space="preserve">rea (LA) </w:t>
      </w:r>
      <w:r w:rsidR="00887182">
        <w:t>WBB</w:t>
      </w:r>
      <w:r>
        <w:t xml:space="preserve"> services</w:t>
      </w:r>
      <w:r w:rsidR="003E029E">
        <w:rPr>
          <w:rStyle w:val="FootnoteReference"/>
        </w:rPr>
        <w:footnoteReference w:id="4"/>
      </w:r>
      <w:r>
        <w:t>. The</w:t>
      </w:r>
      <w:r w:rsidR="0070430D">
        <w:t>r</w:t>
      </w:r>
      <w:r w:rsidR="00887182">
        <w:t>e are also</w:t>
      </w:r>
      <w:r>
        <w:t xml:space="preserve"> point-to-point </w:t>
      </w:r>
      <w:r w:rsidR="00887182">
        <w:t xml:space="preserve">licences </w:t>
      </w:r>
      <w:r>
        <w:t>in remote areas.</w:t>
      </w:r>
    </w:p>
    <w:p w14:paraId="15F2820C" w14:textId="31FC87D3" w:rsidR="00346812" w:rsidRDefault="00346812" w:rsidP="00DF2D64">
      <w:pPr>
        <w:pStyle w:val="ListBulletLast"/>
      </w:pPr>
      <w:r w:rsidRPr="00DF2D64">
        <w:rPr>
          <w:b/>
          <w:bCs/>
        </w:rPr>
        <w:t>MulteFire</w:t>
      </w:r>
      <w:r w:rsidR="002F313D" w:rsidRPr="00DF2D64">
        <w:rPr>
          <w:b/>
          <w:bCs/>
        </w:rPr>
        <w:t>.</w:t>
      </w:r>
      <w:r w:rsidR="002F313D">
        <w:t xml:space="preserve"> A</w:t>
      </w:r>
      <w:r>
        <w:t xml:space="preserve"> technology designed to create new wireless LTE-based technology networks that operate in class</w:t>
      </w:r>
      <w:r w:rsidR="00680DE3">
        <w:t>-</w:t>
      </w:r>
      <w:r>
        <w:t>licensed</w:t>
      </w:r>
      <w:r>
        <w:rPr>
          <w:rStyle w:val="FootnoteReference"/>
        </w:rPr>
        <w:footnoteReference w:id="5"/>
      </w:r>
      <w:r>
        <w:t xml:space="preserve"> spectrum. The MulteFire </w:t>
      </w:r>
      <w:r w:rsidR="00BC0D15">
        <w:t>r</w:t>
      </w:r>
      <w:r>
        <w:t>elease 1.0 supports the applications of 3GPP 4G/LTE and 5G wireless broadband systems</w:t>
      </w:r>
      <w:r w:rsidR="00BC0D15">
        <w:t>,</w:t>
      </w:r>
      <w:r>
        <w:t xml:space="preserve"> and the MulteFire Alliance released a </w:t>
      </w:r>
      <w:hyperlink r:id="rId33" w:history="1">
        <w:r w:rsidRPr="00413ABD">
          <w:rPr>
            <w:rStyle w:val="Hyperlink"/>
          </w:rPr>
          <w:t>white paper</w:t>
        </w:r>
      </w:hyperlink>
      <w:r>
        <w:t xml:space="preserve"> in 2019 identifying plans for expansion of MulteFire into the 1.9 GHz band.</w:t>
      </w:r>
    </w:p>
    <w:p w14:paraId="1373CF1E" w14:textId="474B5AD3" w:rsidR="00346812" w:rsidRPr="00B10C25" w:rsidRDefault="00346812" w:rsidP="009B5150">
      <w:pPr>
        <w:pStyle w:val="Paragraph"/>
        <w:keepLines w:val="0"/>
        <w:spacing w:after="120"/>
        <w:rPr>
          <w:szCs w:val="20"/>
        </w:rPr>
      </w:pPr>
      <w:r w:rsidRPr="00933A43">
        <w:t>ACMA invited responses from stakeholders</w:t>
      </w:r>
      <w:r w:rsidR="00417171">
        <w:t xml:space="preserve"> </w:t>
      </w:r>
      <w:r w:rsidRPr="00933A43">
        <w:t xml:space="preserve">on a range of questions in the discussion paper. A </w:t>
      </w:r>
      <w:r w:rsidR="00B727EE">
        <w:t>list of stakeholders who responded to the discussion paper</w:t>
      </w:r>
      <w:r w:rsidRPr="00933A43">
        <w:t xml:space="preserve"> is contained </w:t>
      </w:r>
      <w:r w:rsidR="00AA2410">
        <w:t>in</w:t>
      </w:r>
      <w:r w:rsidR="00AA2410" w:rsidRPr="00933A43">
        <w:t xml:space="preserve"> </w:t>
      </w:r>
      <w:hyperlink w:anchor="_Appendix_A:_List" w:history="1">
        <w:r w:rsidRPr="00BC0D15">
          <w:rPr>
            <w:rStyle w:val="Hyperlink"/>
          </w:rPr>
          <w:t>Appendix A</w:t>
        </w:r>
      </w:hyperlink>
      <w:r w:rsidRPr="00933A43">
        <w:t xml:space="preserve">. </w:t>
      </w:r>
    </w:p>
    <w:p w14:paraId="6DDE8A82" w14:textId="77777777" w:rsidR="008E7761" w:rsidRPr="00091F55" w:rsidRDefault="008E7761" w:rsidP="004346FA">
      <w:pPr>
        <w:pStyle w:val="Heading2"/>
        <w:keepLines w:val="0"/>
        <w:ind w:right="1371"/>
      </w:pPr>
      <w:bookmarkStart w:id="71" w:name="_Toc117870119"/>
      <w:bookmarkStart w:id="72" w:name="_Toc118785111"/>
      <w:bookmarkStart w:id="73" w:name="_Toc120600046"/>
      <w:r w:rsidRPr="001E5818">
        <w:t>Summary of sub</w:t>
      </w:r>
      <w:r w:rsidRPr="00A05EC9">
        <w:t>mission</w:t>
      </w:r>
      <w:r w:rsidRPr="005E6D37">
        <w:t>s</w:t>
      </w:r>
      <w:bookmarkEnd w:id="67"/>
      <w:bookmarkEnd w:id="68"/>
      <w:bookmarkEnd w:id="69"/>
      <w:bookmarkEnd w:id="70"/>
      <w:bookmarkEnd w:id="71"/>
      <w:bookmarkEnd w:id="72"/>
      <w:bookmarkEnd w:id="73"/>
    </w:p>
    <w:p w14:paraId="2C1699AD" w14:textId="3FF37841" w:rsidR="005D0CF3" w:rsidRDefault="005D0CF3" w:rsidP="009B5150">
      <w:pPr>
        <w:pStyle w:val="Paragraph"/>
        <w:keepLines w:val="0"/>
        <w:rPr>
          <w:lang w:val="en"/>
        </w:rPr>
      </w:pPr>
      <w:r>
        <w:rPr>
          <w:szCs w:val="20"/>
          <w:lang w:val="en"/>
        </w:rPr>
        <w:t>Twenty</w:t>
      </w:r>
      <w:r w:rsidR="00EF6888">
        <w:rPr>
          <w:szCs w:val="20"/>
          <w:lang w:val="en"/>
        </w:rPr>
        <w:t>-</w:t>
      </w:r>
      <w:r w:rsidR="005E0211">
        <w:rPr>
          <w:szCs w:val="20"/>
          <w:lang w:val="en"/>
        </w:rPr>
        <w:t xml:space="preserve">two </w:t>
      </w:r>
      <w:r>
        <w:rPr>
          <w:szCs w:val="20"/>
          <w:lang w:val="en"/>
        </w:rPr>
        <w:t xml:space="preserve">submissions were received, and </w:t>
      </w:r>
      <w:r>
        <w:t xml:space="preserve">can be found on the </w:t>
      </w:r>
      <w:hyperlink r:id="rId34" w:history="1">
        <w:r w:rsidRPr="00672B86">
          <w:rPr>
            <w:rStyle w:val="Hyperlink"/>
          </w:rPr>
          <w:t>ACMA website</w:t>
        </w:r>
      </w:hyperlink>
      <w:r>
        <w:t>.</w:t>
      </w:r>
      <w:r w:rsidRPr="00F26E80">
        <w:t xml:space="preserve"> </w:t>
      </w:r>
      <w:r>
        <w:rPr>
          <w:szCs w:val="20"/>
          <w:lang w:val="en"/>
        </w:rPr>
        <w:t>Several themes emerged from the consultation.</w:t>
      </w:r>
    </w:p>
    <w:p w14:paraId="2FC590DD" w14:textId="74799D61" w:rsidR="0070424E" w:rsidRDefault="0070424E" w:rsidP="00D51E3F">
      <w:pPr>
        <w:pStyle w:val="Heading3"/>
        <w:keepNext/>
        <w:ind w:right="1371"/>
      </w:pPr>
      <w:r>
        <w:lastRenderedPageBreak/>
        <w:t xml:space="preserve">Common </w:t>
      </w:r>
      <w:r w:rsidR="00EE3258">
        <w:t>themes</w:t>
      </w:r>
    </w:p>
    <w:p w14:paraId="6388387B" w14:textId="7A591DD7" w:rsidR="0070424E" w:rsidRDefault="0070424E" w:rsidP="00DF2D64">
      <w:pPr>
        <w:pStyle w:val="Paragraphbeforelist"/>
        <w:keepNext/>
      </w:pPr>
      <w:r w:rsidRPr="00244EFB">
        <w:t xml:space="preserve">The submissions </w:t>
      </w:r>
      <w:r w:rsidR="00CD3BF9">
        <w:t>raised</w:t>
      </w:r>
      <w:r>
        <w:t xml:space="preserve"> </w:t>
      </w:r>
      <w:r w:rsidR="006B0360">
        <w:t xml:space="preserve">2 </w:t>
      </w:r>
      <w:r w:rsidR="004E1229">
        <w:t>common</w:t>
      </w:r>
      <w:r w:rsidRPr="00244EFB">
        <w:t xml:space="preserve"> </w:t>
      </w:r>
      <w:r w:rsidR="00195D0C">
        <w:t>themes</w:t>
      </w:r>
      <w:r w:rsidR="00195D0C" w:rsidRPr="00244EFB">
        <w:t xml:space="preserve"> </w:t>
      </w:r>
      <w:r w:rsidRPr="00244EFB">
        <w:t>o</w:t>
      </w:r>
      <w:r>
        <w:t>n</w:t>
      </w:r>
      <w:r w:rsidRPr="00244EFB">
        <w:t xml:space="preserve"> the future planning of </w:t>
      </w:r>
      <w:r>
        <w:t>the</w:t>
      </w:r>
      <w:r w:rsidR="00AA2410">
        <w:t xml:space="preserve"> </w:t>
      </w:r>
      <w:r w:rsidR="00BC0D15">
        <w:br/>
      </w:r>
      <w:r w:rsidR="00855B7D">
        <w:t>1.9 GHz</w:t>
      </w:r>
      <w:r>
        <w:t xml:space="preserve"> band</w:t>
      </w:r>
      <w:r w:rsidRPr="00244EFB">
        <w:t>:</w:t>
      </w:r>
    </w:p>
    <w:p w14:paraId="26F72E94" w14:textId="47DAC534" w:rsidR="00B63671" w:rsidRDefault="00B63671" w:rsidP="00DF2D64">
      <w:pPr>
        <w:pStyle w:val="ListBullet"/>
        <w:keepNext/>
      </w:pPr>
      <w:r>
        <w:t xml:space="preserve">Maintain the existing </w:t>
      </w:r>
      <w:r w:rsidR="000B262A" w:rsidRPr="000B262A">
        <w:t>20 MHz (1880</w:t>
      </w:r>
      <w:r w:rsidR="00BC0D15">
        <w:t>–</w:t>
      </w:r>
      <w:r w:rsidR="000B262A" w:rsidRPr="000B262A">
        <w:t>1900 MHz) band for DECT</w:t>
      </w:r>
      <w:r w:rsidR="00305FB7">
        <w:t xml:space="preserve"> and </w:t>
      </w:r>
      <w:r w:rsidR="0004772D">
        <w:t xml:space="preserve">future </w:t>
      </w:r>
      <w:r w:rsidR="00305FB7">
        <w:t>DECT</w:t>
      </w:r>
      <w:r w:rsidR="000B0F07">
        <w:t xml:space="preserve"> </w:t>
      </w:r>
      <w:r w:rsidR="0004772D">
        <w:t>use</w:t>
      </w:r>
      <w:r w:rsidR="00C54BBC">
        <w:t>,</w:t>
      </w:r>
      <w:r w:rsidR="00517D1D">
        <w:t xml:space="preserve"> including cordless telephony, wireless microphone systems and new applications such as the Internet of Things (I</w:t>
      </w:r>
      <w:r w:rsidR="00505FCB">
        <w:t>o</w:t>
      </w:r>
      <w:r w:rsidR="00517D1D">
        <w:t>T)</w:t>
      </w:r>
      <w:r w:rsidR="007C499B">
        <w:t>.</w:t>
      </w:r>
    </w:p>
    <w:p w14:paraId="3DD4F175" w14:textId="2ECC3EB9" w:rsidR="000B262A" w:rsidRPr="00244EFB" w:rsidRDefault="00B63671" w:rsidP="00DF2D64">
      <w:pPr>
        <w:pStyle w:val="ListBullet"/>
        <w:keepNext/>
      </w:pPr>
      <w:r>
        <w:t xml:space="preserve">Maintain the existing </w:t>
      </w:r>
      <w:r w:rsidR="000B262A" w:rsidRPr="000B262A">
        <w:t>20 MHz (1900</w:t>
      </w:r>
      <w:r w:rsidR="00C54BBC">
        <w:t>–</w:t>
      </w:r>
      <w:r w:rsidR="000B262A" w:rsidRPr="000B262A">
        <w:t>1920 MHz) band for WBB, PMP and PTP services in rural or remote areas.</w:t>
      </w:r>
    </w:p>
    <w:p w14:paraId="28DC9F07" w14:textId="77777777" w:rsidR="0070424E" w:rsidRDefault="0070424E" w:rsidP="009B5150">
      <w:pPr>
        <w:pStyle w:val="ListBullet"/>
        <w:keepLines w:val="0"/>
        <w:numPr>
          <w:ilvl w:val="0"/>
          <w:numId w:val="0"/>
        </w:numPr>
        <w:ind w:left="295"/>
      </w:pPr>
    </w:p>
    <w:p w14:paraId="7A12540A" w14:textId="33671761" w:rsidR="005D0CF3" w:rsidRPr="0026075D" w:rsidRDefault="005D0CF3" w:rsidP="004346FA">
      <w:pPr>
        <w:pStyle w:val="Heading3"/>
        <w:keepLines w:val="0"/>
        <w:ind w:right="1371"/>
      </w:pPr>
      <w:r w:rsidRPr="0026075D">
        <w:t xml:space="preserve">Divergent views </w:t>
      </w:r>
    </w:p>
    <w:p w14:paraId="2C2F0DCD" w14:textId="790A3CF7" w:rsidR="005D0CF3" w:rsidRPr="00244EFB" w:rsidRDefault="005D0CF3" w:rsidP="00DF2D64">
      <w:pPr>
        <w:pStyle w:val="Paragraphbeforelist"/>
      </w:pPr>
      <w:r w:rsidRPr="00244EFB">
        <w:t xml:space="preserve">The submissions </w:t>
      </w:r>
      <w:r w:rsidR="00CD3BF9">
        <w:t>raised</w:t>
      </w:r>
      <w:r>
        <w:t xml:space="preserve"> </w:t>
      </w:r>
      <w:r w:rsidRPr="00244EFB">
        <w:t>diverge</w:t>
      </w:r>
      <w:r>
        <w:t>nt</w:t>
      </w:r>
      <w:r w:rsidRPr="00244EFB">
        <w:t xml:space="preserve"> opinions o</w:t>
      </w:r>
      <w:r>
        <w:t>n</w:t>
      </w:r>
      <w:r w:rsidRPr="00244EFB">
        <w:t xml:space="preserve"> the future planning of </w:t>
      </w:r>
      <w:r>
        <w:t xml:space="preserve">the </w:t>
      </w:r>
      <w:r w:rsidR="00855B7D">
        <w:t>1.9 GHz</w:t>
      </w:r>
      <w:r>
        <w:t xml:space="preserve"> band, but confirmed a strong interest in new applications being accommodated in </w:t>
      </w:r>
      <w:r w:rsidR="00C54BBC">
        <w:br/>
      </w:r>
      <w:r>
        <w:t>the band</w:t>
      </w:r>
      <w:r w:rsidRPr="00244EFB">
        <w:t>:</w:t>
      </w:r>
    </w:p>
    <w:p w14:paraId="6FA4C22E" w14:textId="6C8F0915" w:rsidR="00D1771C" w:rsidRDefault="003E004A" w:rsidP="009B5150">
      <w:pPr>
        <w:pStyle w:val="ListBullet"/>
        <w:keepLines w:val="0"/>
      </w:pPr>
      <w:r w:rsidRPr="003428AC">
        <w:t>Nokia</w:t>
      </w:r>
      <w:r>
        <w:t xml:space="preserve"> and</w:t>
      </w:r>
      <w:r w:rsidRPr="003428AC">
        <w:t xml:space="preserve"> ARA</w:t>
      </w:r>
      <w:r>
        <w:t xml:space="preserve"> for the rail industry </w:t>
      </w:r>
      <w:r w:rsidR="00D1771C">
        <w:t>have an</w:t>
      </w:r>
      <w:r w:rsidR="00CA3EE0" w:rsidRPr="00CA3EE0">
        <w:t xml:space="preserve"> interest in the use of the </w:t>
      </w:r>
      <w:r w:rsidR="00C54BBC">
        <w:br/>
      </w:r>
      <w:r w:rsidR="00CA3EE0" w:rsidRPr="00CA3EE0">
        <w:t>1900</w:t>
      </w:r>
      <w:r w:rsidR="00C54BBC">
        <w:t>–</w:t>
      </w:r>
      <w:r w:rsidR="00CA3EE0" w:rsidRPr="00CA3EE0">
        <w:t xml:space="preserve">1910 MHz </w:t>
      </w:r>
      <w:r w:rsidR="0004772D">
        <w:t>segment</w:t>
      </w:r>
      <w:r w:rsidR="0004772D" w:rsidRPr="00CA3EE0">
        <w:t xml:space="preserve"> </w:t>
      </w:r>
      <w:r w:rsidR="00CA3EE0" w:rsidRPr="00CA3EE0">
        <w:t>for FRMCS/MCX</w:t>
      </w:r>
      <w:r w:rsidR="00FC67E8">
        <w:t xml:space="preserve"> for railway </w:t>
      </w:r>
      <w:r w:rsidR="00131CE9">
        <w:t>communications</w:t>
      </w:r>
      <w:r w:rsidR="00C54BBC">
        <w:t>.</w:t>
      </w:r>
    </w:p>
    <w:p w14:paraId="3CD1D885" w14:textId="465C6E94" w:rsidR="00733B6F" w:rsidRDefault="00EA655A" w:rsidP="009B5150">
      <w:pPr>
        <w:pStyle w:val="ListBullet"/>
        <w:keepLines w:val="0"/>
      </w:pPr>
      <w:r w:rsidRPr="00EA655A">
        <w:t>Jands Pty Ltd</w:t>
      </w:r>
      <w:r w:rsidR="00CA3EE0" w:rsidRPr="00CA3EE0">
        <w:t xml:space="preserve"> expressed the view that FRMCS/MCX, 3GPP 4G/LTE and 5G wireless broadband systems are not compatible with current DECT technology in the 1880</w:t>
      </w:r>
      <w:r w:rsidR="00C54BBC">
        <w:t>–</w:t>
      </w:r>
      <w:r w:rsidR="00CA3EE0" w:rsidRPr="00CA3EE0">
        <w:t xml:space="preserve">1900 MHz </w:t>
      </w:r>
      <w:r w:rsidR="0004772D">
        <w:t>segment</w:t>
      </w:r>
      <w:r w:rsidR="00733B6F">
        <w:t>.</w:t>
      </w:r>
    </w:p>
    <w:p w14:paraId="3B3EFFB3" w14:textId="630AF8A8" w:rsidR="00452289" w:rsidRDefault="00CA3EE0" w:rsidP="009B5150">
      <w:pPr>
        <w:pStyle w:val="ListBullet"/>
        <w:keepLines w:val="0"/>
      </w:pPr>
      <w:r w:rsidRPr="00CA3EE0">
        <w:t xml:space="preserve">DECT </w:t>
      </w:r>
      <w:r w:rsidR="00C54BBC">
        <w:t>f</w:t>
      </w:r>
      <w:r w:rsidRPr="00CA3EE0">
        <w:t xml:space="preserve">orum’s view is that </w:t>
      </w:r>
      <w:r w:rsidR="00694E7B">
        <w:t>future</w:t>
      </w:r>
      <w:r w:rsidRPr="00CA3EE0">
        <w:t xml:space="preserve"> </w:t>
      </w:r>
      <w:r w:rsidR="007145F8">
        <w:t xml:space="preserve">DECT </w:t>
      </w:r>
      <w:r w:rsidRPr="00CA3EE0">
        <w:t xml:space="preserve">has been </w:t>
      </w:r>
      <w:r w:rsidR="004A2D1E">
        <w:t>specifically</w:t>
      </w:r>
      <w:r w:rsidR="004A2D1E" w:rsidRPr="00CA3EE0">
        <w:t xml:space="preserve"> </w:t>
      </w:r>
      <w:r w:rsidRPr="00CA3EE0">
        <w:t>designed with a very high level of co</w:t>
      </w:r>
      <w:r w:rsidR="00B86ED3">
        <w:noBreakHyphen/>
      </w:r>
      <w:r w:rsidRPr="00CA3EE0">
        <w:t>existence and would be able to share with other technologies and services</w:t>
      </w:r>
      <w:r w:rsidR="00FA40D5">
        <w:t xml:space="preserve"> if they share the same medium access principle</w:t>
      </w:r>
      <w:r w:rsidRPr="00CA3EE0">
        <w:t>.</w:t>
      </w:r>
    </w:p>
    <w:p w14:paraId="3540A88E" w14:textId="36F23D84" w:rsidR="00452289" w:rsidRDefault="003E004A" w:rsidP="00915142">
      <w:pPr>
        <w:pStyle w:val="Bulletlevel1"/>
        <w:keepLines w:val="0"/>
      </w:pPr>
      <w:r w:rsidRPr="003428AC">
        <w:t xml:space="preserve">Defence, Ericsson, FSG, Telstra, Pivotel, AMTA </w:t>
      </w:r>
      <w:r w:rsidR="004A2D1E">
        <w:t>and</w:t>
      </w:r>
      <w:r w:rsidR="004A2D1E" w:rsidRPr="003428AC">
        <w:t xml:space="preserve"> </w:t>
      </w:r>
      <w:r w:rsidRPr="003428AC">
        <w:t>Optus</w:t>
      </w:r>
      <w:r>
        <w:t xml:space="preserve"> showed their interest in using the </w:t>
      </w:r>
      <w:r w:rsidR="00452289">
        <w:t>1900</w:t>
      </w:r>
      <w:r w:rsidR="00C54BBC">
        <w:t>–</w:t>
      </w:r>
      <w:r w:rsidR="00452289">
        <w:t>1920 MHz band f</w:t>
      </w:r>
      <w:r>
        <w:t>or WBB</w:t>
      </w:r>
      <w:r w:rsidR="00567F6D">
        <w:t xml:space="preserve">, </w:t>
      </w:r>
      <w:r w:rsidR="00EA3FED">
        <w:t>PMP</w:t>
      </w:r>
      <w:r>
        <w:t xml:space="preserve"> </w:t>
      </w:r>
      <w:r w:rsidR="00AA2410">
        <w:t>and</w:t>
      </w:r>
      <w:r>
        <w:t xml:space="preserve"> </w:t>
      </w:r>
      <w:r w:rsidR="00EA3FED">
        <w:t>PTP</w:t>
      </w:r>
      <w:r w:rsidR="00EA3FED" w:rsidDel="00EA3FED">
        <w:t xml:space="preserve"> </w:t>
      </w:r>
      <w:r w:rsidR="00357E67">
        <w:t>services</w:t>
      </w:r>
      <w:r w:rsidR="00270CC7">
        <w:t>.</w:t>
      </w:r>
    </w:p>
    <w:p w14:paraId="4B03B4E5" w14:textId="13ACE90C" w:rsidR="00452289" w:rsidRDefault="00452289" w:rsidP="00DF2D64">
      <w:pPr>
        <w:pStyle w:val="Bulletlevel1last"/>
      </w:pPr>
      <w:r>
        <w:t>AMTA, MNOs and Ericsson</w:t>
      </w:r>
      <w:r w:rsidR="00EA3FED">
        <w:t xml:space="preserve">, </w:t>
      </w:r>
      <w:r>
        <w:t>expressed their concern about how adjacent band co</w:t>
      </w:r>
      <w:r w:rsidR="00B86ED3">
        <w:noBreakHyphen/>
      </w:r>
      <w:r>
        <w:t>existence would be managed with</w:t>
      </w:r>
      <w:r w:rsidR="00B86ED3">
        <w:t xml:space="preserve"> </w:t>
      </w:r>
      <w:r>
        <w:t>1.8 GHz and 2 GHz networks with</w:t>
      </w:r>
      <w:r w:rsidR="00EA3FED">
        <w:t xml:space="preserve"> the</w:t>
      </w:r>
      <w:r>
        <w:t xml:space="preserve"> introduction of high-power new services in the 1.9 GHz band</w:t>
      </w:r>
      <w:r w:rsidR="00B86ED3">
        <w:t>.</w:t>
      </w:r>
    </w:p>
    <w:p w14:paraId="59EF9861" w14:textId="062ECDCB" w:rsidR="0024268A" w:rsidRPr="00842BB4" w:rsidRDefault="006F41D9" w:rsidP="00CD3BF9">
      <w:pPr>
        <w:pStyle w:val="Heading3"/>
        <w:keepLines w:val="0"/>
        <w:ind w:right="1559"/>
      </w:pPr>
      <w:r w:rsidRPr="003428AC">
        <w:t xml:space="preserve">DECT </w:t>
      </w:r>
      <w:r w:rsidR="00C54BBC">
        <w:t>t</w:t>
      </w:r>
      <w:r w:rsidR="00C318DC">
        <w:t>echnologies</w:t>
      </w:r>
      <w:r w:rsidRPr="003428AC">
        <w:t xml:space="preserve"> </w:t>
      </w:r>
    </w:p>
    <w:p w14:paraId="42CA2D0C" w14:textId="25DECC40" w:rsidR="006F41D9" w:rsidRPr="00C42A65" w:rsidRDefault="003E004A" w:rsidP="00CD3BF9">
      <w:pPr>
        <w:pStyle w:val="Paragraph"/>
        <w:keepLines w:val="0"/>
        <w:rPr>
          <w:szCs w:val="20"/>
        </w:rPr>
      </w:pPr>
      <w:r>
        <w:rPr>
          <w:szCs w:val="20"/>
        </w:rPr>
        <w:t xml:space="preserve">DECT </w:t>
      </w:r>
      <w:r w:rsidR="00C54BBC">
        <w:rPr>
          <w:szCs w:val="20"/>
        </w:rPr>
        <w:t>s</w:t>
      </w:r>
      <w:r w:rsidR="006F41D9" w:rsidRPr="00C42A65">
        <w:rPr>
          <w:szCs w:val="20"/>
        </w:rPr>
        <w:t>takeholders</w:t>
      </w:r>
      <w:r>
        <w:rPr>
          <w:rStyle w:val="FootnoteReference"/>
          <w:szCs w:val="20"/>
        </w:rPr>
        <w:footnoteReference w:id="6"/>
      </w:r>
      <w:r w:rsidR="006F41D9" w:rsidRPr="00C42A65">
        <w:rPr>
          <w:szCs w:val="20"/>
        </w:rPr>
        <w:t xml:space="preserve"> </w:t>
      </w:r>
      <w:r w:rsidR="00956CB0">
        <w:rPr>
          <w:szCs w:val="20"/>
        </w:rPr>
        <w:t>hold</w:t>
      </w:r>
      <w:r w:rsidR="00D92176">
        <w:rPr>
          <w:szCs w:val="20"/>
        </w:rPr>
        <w:t xml:space="preserve"> a </w:t>
      </w:r>
      <w:r w:rsidR="006F41D9" w:rsidRPr="00C42A65">
        <w:rPr>
          <w:szCs w:val="20"/>
        </w:rPr>
        <w:t xml:space="preserve">view that </w:t>
      </w:r>
      <w:r w:rsidR="00C54BBC">
        <w:rPr>
          <w:szCs w:val="20"/>
        </w:rPr>
        <w:t>p</w:t>
      </w:r>
      <w:r w:rsidR="0066038B">
        <w:rPr>
          <w:szCs w:val="20"/>
        </w:rPr>
        <w:t xml:space="preserve">ersonal </w:t>
      </w:r>
      <w:r w:rsidR="00C54BBC">
        <w:rPr>
          <w:szCs w:val="20"/>
        </w:rPr>
        <w:t>h</w:t>
      </w:r>
      <w:r w:rsidR="0066038B">
        <w:rPr>
          <w:szCs w:val="20"/>
        </w:rPr>
        <w:t xml:space="preserve">andy </w:t>
      </w:r>
      <w:r w:rsidR="00C54BBC">
        <w:rPr>
          <w:szCs w:val="20"/>
        </w:rPr>
        <w:t>p</w:t>
      </w:r>
      <w:r w:rsidR="0066038B">
        <w:rPr>
          <w:szCs w:val="20"/>
        </w:rPr>
        <w:t xml:space="preserve">hone </w:t>
      </w:r>
      <w:r w:rsidR="00C54BBC">
        <w:rPr>
          <w:szCs w:val="20"/>
        </w:rPr>
        <w:t>s</w:t>
      </w:r>
      <w:r w:rsidR="0066038B" w:rsidRPr="00C42A65">
        <w:rPr>
          <w:szCs w:val="20"/>
        </w:rPr>
        <w:t>ystem</w:t>
      </w:r>
      <w:r w:rsidR="0066038B">
        <w:rPr>
          <w:szCs w:val="20"/>
        </w:rPr>
        <w:t>s</w:t>
      </w:r>
      <w:r w:rsidR="0066038B" w:rsidRPr="00C42A65">
        <w:rPr>
          <w:szCs w:val="20"/>
        </w:rPr>
        <w:t xml:space="preserve"> </w:t>
      </w:r>
      <w:r w:rsidR="0066038B">
        <w:rPr>
          <w:szCs w:val="20"/>
        </w:rPr>
        <w:t>(</w:t>
      </w:r>
      <w:r w:rsidR="006F41D9" w:rsidRPr="00C42A65">
        <w:rPr>
          <w:szCs w:val="20"/>
        </w:rPr>
        <w:t>PHS</w:t>
      </w:r>
      <w:r w:rsidR="0066038B">
        <w:rPr>
          <w:szCs w:val="20"/>
        </w:rPr>
        <w:t>)</w:t>
      </w:r>
      <w:r w:rsidR="006F41D9" w:rsidRPr="00C42A65">
        <w:rPr>
          <w:szCs w:val="20"/>
        </w:rPr>
        <w:t xml:space="preserve"> ha</w:t>
      </w:r>
      <w:r w:rsidR="0066038B">
        <w:rPr>
          <w:szCs w:val="20"/>
        </w:rPr>
        <w:t>ve</w:t>
      </w:r>
      <w:r w:rsidR="006F41D9" w:rsidRPr="00C42A65">
        <w:rPr>
          <w:szCs w:val="20"/>
        </w:rPr>
        <w:t xml:space="preserve"> been superseded by more modern technologies and </w:t>
      </w:r>
      <w:r w:rsidR="0037065F">
        <w:rPr>
          <w:szCs w:val="20"/>
        </w:rPr>
        <w:t xml:space="preserve">that </w:t>
      </w:r>
      <w:r w:rsidR="006F41D9" w:rsidRPr="00C42A65">
        <w:rPr>
          <w:szCs w:val="20"/>
        </w:rPr>
        <w:t>use of DECT</w:t>
      </w:r>
      <w:r w:rsidR="001B093E">
        <w:rPr>
          <w:szCs w:val="20"/>
        </w:rPr>
        <w:t xml:space="preserve"> and future DECT</w:t>
      </w:r>
      <w:r w:rsidR="006F41D9" w:rsidRPr="00C42A65">
        <w:rPr>
          <w:szCs w:val="20"/>
        </w:rPr>
        <w:t xml:space="preserve"> </w:t>
      </w:r>
      <w:r w:rsidR="006F41D9">
        <w:rPr>
          <w:szCs w:val="20"/>
        </w:rPr>
        <w:t>has been</w:t>
      </w:r>
      <w:r w:rsidR="006F41D9" w:rsidRPr="00C42A65">
        <w:rPr>
          <w:szCs w:val="20"/>
        </w:rPr>
        <w:t xml:space="preserve"> very successful in Australia. </w:t>
      </w:r>
      <w:r w:rsidR="007145F8">
        <w:rPr>
          <w:szCs w:val="20"/>
        </w:rPr>
        <w:t>DECT 2020-</w:t>
      </w:r>
      <w:r w:rsidR="006F41D9" w:rsidRPr="00C42A65">
        <w:rPr>
          <w:szCs w:val="20"/>
        </w:rPr>
        <w:t>NR is now part of Recommendation ITU-R M.2150</w:t>
      </w:r>
      <w:r w:rsidR="00856902">
        <w:rPr>
          <w:rStyle w:val="FootnoteReference"/>
          <w:szCs w:val="20"/>
        </w:rPr>
        <w:footnoteReference w:id="7"/>
      </w:r>
      <w:r w:rsidR="006F41D9" w:rsidRPr="00C42A65">
        <w:rPr>
          <w:szCs w:val="20"/>
        </w:rPr>
        <w:t xml:space="preserve"> (IMT-2020)</w:t>
      </w:r>
      <w:r w:rsidR="00856902">
        <w:rPr>
          <w:rStyle w:val="FootnoteReference"/>
          <w:szCs w:val="20"/>
        </w:rPr>
        <w:footnoteReference w:id="8"/>
      </w:r>
      <w:r w:rsidR="006F41D9" w:rsidRPr="00C42A65">
        <w:rPr>
          <w:szCs w:val="20"/>
        </w:rPr>
        <w:t xml:space="preserve"> and DECT/DECT </w:t>
      </w:r>
      <w:r w:rsidR="00C54BBC">
        <w:rPr>
          <w:szCs w:val="20"/>
        </w:rPr>
        <w:t>e</w:t>
      </w:r>
      <w:r w:rsidR="006F41D9" w:rsidRPr="00C42A65">
        <w:rPr>
          <w:szCs w:val="20"/>
        </w:rPr>
        <w:t>volution is recognised in Recommendation ITU-R M.1457</w:t>
      </w:r>
      <w:r w:rsidR="00856902">
        <w:rPr>
          <w:rStyle w:val="FootnoteReference"/>
          <w:szCs w:val="20"/>
        </w:rPr>
        <w:footnoteReference w:id="9"/>
      </w:r>
      <w:r w:rsidR="006F41D9" w:rsidRPr="00C42A65">
        <w:rPr>
          <w:szCs w:val="20"/>
        </w:rPr>
        <w:t xml:space="preserve"> (IMT-2000).</w:t>
      </w:r>
      <w:r w:rsidR="00032D86">
        <w:rPr>
          <w:szCs w:val="20"/>
        </w:rPr>
        <w:t xml:space="preserve">        </w:t>
      </w:r>
    </w:p>
    <w:p w14:paraId="40799085" w14:textId="070D6330" w:rsidR="00E152C5" w:rsidRDefault="00145B1D" w:rsidP="009B5150">
      <w:pPr>
        <w:pStyle w:val="Paragraph"/>
        <w:keepLines w:val="0"/>
        <w:rPr>
          <w:szCs w:val="20"/>
        </w:rPr>
      </w:pPr>
      <w:bookmarkStart w:id="74" w:name="_Hlk116214187"/>
      <w:bookmarkStart w:id="75" w:name="_Hlk113446425"/>
      <w:r>
        <w:rPr>
          <w:szCs w:val="20"/>
        </w:rPr>
        <w:t>They</w:t>
      </w:r>
      <w:r w:rsidR="009121C3">
        <w:rPr>
          <w:szCs w:val="20"/>
        </w:rPr>
        <w:t xml:space="preserve"> </w:t>
      </w:r>
      <w:bookmarkEnd w:id="74"/>
      <w:r w:rsidR="006F41D9" w:rsidRPr="00C42A65">
        <w:rPr>
          <w:szCs w:val="20"/>
        </w:rPr>
        <w:t xml:space="preserve">believe that </w:t>
      </w:r>
      <w:r w:rsidR="00B5174F">
        <w:rPr>
          <w:szCs w:val="20"/>
        </w:rPr>
        <w:t xml:space="preserve">expanding the </w:t>
      </w:r>
      <w:r w:rsidR="0036638C">
        <w:rPr>
          <w:szCs w:val="20"/>
        </w:rPr>
        <w:t>allocation</w:t>
      </w:r>
      <w:r w:rsidR="00B5174F">
        <w:rPr>
          <w:szCs w:val="20"/>
        </w:rPr>
        <w:t xml:space="preserve"> from 20 </w:t>
      </w:r>
      <w:r w:rsidR="0036638C">
        <w:rPr>
          <w:szCs w:val="20"/>
        </w:rPr>
        <w:t>MHz</w:t>
      </w:r>
      <w:r w:rsidR="00B5174F">
        <w:rPr>
          <w:szCs w:val="20"/>
        </w:rPr>
        <w:t xml:space="preserve"> to 40 MHz </w:t>
      </w:r>
      <w:r w:rsidR="00236411">
        <w:rPr>
          <w:szCs w:val="20"/>
        </w:rPr>
        <w:t>for</w:t>
      </w:r>
      <w:r w:rsidR="006F41D9" w:rsidRPr="00C42A65">
        <w:rPr>
          <w:szCs w:val="20"/>
        </w:rPr>
        <w:t xml:space="preserve"> DECT technologies</w:t>
      </w:r>
      <w:r w:rsidR="000F5F0C">
        <w:rPr>
          <w:szCs w:val="20"/>
        </w:rPr>
        <w:t xml:space="preserve"> </w:t>
      </w:r>
      <w:r w:rsidR="006F41D9" w:rsidRPr="00C42A65">
        <w:rPr>
          <w:szCs w:val="20"/>
        </w:rPr>
        <w:t>would help eas</w:t>
      </w:r>
      <w:r w:rsidR="006F41D9">
        <w:rPr>
          <w:szCs w:val="20"/>
        </w:rPr>
        <w:t>e</w:t>
      </w:r>
      <w:r w:rsidR="000F5F0C">
        <w:rPr>
          <w:szCs w:val="20"/>
        </w:rPr>
        <w:t xml:space="preserve"> </w:t>
      </w:r>
      <w:r w:rsidR="00C21A60">
        <w:rPr>
          <w:szCs w:val="20"/>
        </w:rPr>
        <w:t xml:space="preserve">the </w:t>
      </w:r>
      <w:r w:rsidR="00AB3B00">
        <w:rPr>
          <w:szCs w:val="20"/>
        </w:rPr>
        <w:t>congestion</w:t>
      </w:r>
      <w:r w:rsidR="00C21A60">
        <w:rPr>
          <w:szCs w:val="20"/>
        </w:rPr>
        <w:t xml:space="preserve"> </w:t>
      </w:r>
      <w:r w:rsidR="000F5F0C">
        <w:rPr>
          <w:szCs w:val="20"/>
        </w:rPr>
        <w:t xml:space="preserve">issues </w:t>
      </w:r>
      <w:r w:rsidR="00056B8A">
        <w:rPr>
          <w:szCs w:val="20"/>
        </w:rPr>
        <w:t xml:space="preserve">DECT users </w:t>
      </w:r>
      <w:r w:rsidR="000F5F0C" w:rsidRPr="00C42A65">
        <w:rPr>
          <w:szCs w:val="20"/>
        </w:rPr>
        <w:t xml:space="preserve">are </w:t>
      </w:r>
      <w:r w:rsidR="000F5F0C">
        <w:rPr>
          <w:szCs w:val="20"/>
        </w:rPr>
        <w:t>experiencing</w:t>
      </w:r>
      <w:r w:rsidR="00056B8A">
        <w:rPr>
          <w:szCs w:val="20"/>
        </w:rPr>
        <w:t xml:space="preserve">. </w:t>
      </w:r>
      <w:r w:rsidR="00AB3B00">
        <w:rPr>
          <w:szCs w:val="20"/>
        </w:rPr>
        <w:t>They</w:t>
      </w:r>
      <w:r w:rsidR="009121C3">
        <w:rPr>
          <w:szCs w:val="20"/>
        </w:rPr>
        <w:t xml:space="preserve"> </w:t>
      </w:r>
      <w:r w:rsidR="00C21A60">
        <w:rPr>
          <w:szCs w:val="20"/>
        </w:rPr>
        <w:t xml:space="preserve">believe </w:t>
      </w:r>
      <w:r w:rsidR="007D10C1">
        <w:rPr>
          <w:szCs w:val="20"/>
        </w:rPr>
        <w:t>this</w:t>
      </w:r>
      <w:r w:rsidR="00A13D50">
        <w:rPr>
          <w:szCs w:val="20"/>
        </w:rPr>
        <w:t xml:space="preserve"> would also help with the </w:t>
      </w:r>
      <w:r w:rsidR="006F41D9" w:rsidRPr="00C42A65">
        <w:rPr>
          <w:szCs w:val="20"/>
        </w:rPr>
        <w:t xml:space="preserve">introduction of </w:t>
      </w:r>
      <w:r w:rsidR="00AA2410">
        <w:rPr>
          <w:szCs w:val="20"/>
        </w:rPr>
        <w:t>f</w:t>
      </w:r>
      <w:r w:rsidR="007F23AE">
        <w:rPr>
          <w:szCs w:val="20"/>
        </w:rPr>
        <w:t>uture DECT</w:t>
      </w:r>
      <w:r w:rsidR="006F41D9" w:rsidRPr="00C42A65">
        <w:rPr>
          <w:szCs w:val="20"/>
        </w:rPr>
        <w:t xml:space="preserve"> to the Australian market</w:t>
      </w:r>
      <w:r w:rsidR="006F41D9">
        <w:rPr>
          <w:szCs w:val="20"/>
        </w:rPr>
        <w:t>.</w:t>
      </w:r>
      <w:r w:rsidR="006F41D9" w:rsidRPr="00C42A65">
        <w:rPr>
          <w:szCs w:val="20"/>
        </w:rPr>
        <w:t xml:space="preserve"> </w:t>
      </w:r>
    </w:p>
    <w:p w14:paraId="629F5D98" w14:textId="6F4E79FB" w:rsidR="006F41D9" w:rsidRPr="00C42A65" w:rsidRDefault="00145B1D" w:rsidP="009B5150">
      <w:pPr>
        <w:pStyle w:val="Paragraph"/>
        <w:keepLines w:val="0"/>
        <w:rPr>
          <w:rFonts w:eastAsiaTheme="minorHAnsi"/>
          <w:szCs w:val="20"/>
          <w:lang w:eastAsia="en-US"/>
        </w:rPr>
      </w:pPr>
      <w:r>
        <w:rPr>
          <w:szCs w:val="20"/>
        </w:rPr>
        <w:t>They</w:t>
      </w:r>
      <w:r w:rsidR="00FF7E83">
        <w:rPr>
          <w:szCs w:val="20"/>
        </w:rPr>
        <w:t xml:space="preserve"> </w:t>
      </w:r>
      <w:r w:rsidR="00874DA2">
        <w:rPr>
          <w:szCs w:val="20"/>
        </w:rPr>
        <w:t>also</w:t>
      </w:r>
      <w:r w:rsidR="00FF7E83">
        <w:rPr>
          <w:szCs w:val="20"/>
        </w:rPr>
        <w:t xml:space="preserve"> </w:t>
      </w:r>
      <w:r w:rsidR="004054F6">
        <w:rPr>
          <w:szCs w:val="20"/>
        </w:rPr>
        <w:t xml:space="preserve">have a shared </w:t>
      </w:r>
      <w:r w:rsidR="006F41D9" w:rsidRPr="00C42A65">
        <w:rPr>
          <w:szCs w:val="20"/>
        </w:rPr>
        <w:t>view that the use of the MulteFire or 3GPP 4G/LTE and 5G wireless broadband systems in the 18</w:t>
      </w:r>
      <w:r w:rsidR="006F41D9">
        <w:rPr>
          <w:szCs w:val="20"/>
        </w:rPr>
        <w:t>8</w:t>
      </w:r>
      <w:r w:rsidR="006F41D9" w:rsidRPr="00C42A65">
        <w:rPr>
          <w:szCs w:val="20"/>
        </w:rPr>
        <w:t>0</w:t>
      </w:r>
      <w:r w:rsidR="00C54BBC">
        <w:rPr>
          <w:szCs w:val="20"/>
        </w:rPr>
        <w:t>–</w:t>
      </w:r>
      <w:r w:rsidR="006F41D9" w:rsidRPr="00C42A65">
        <w:rPr>
          <w:szCs w:val="20"/>
        </w:rPr>
        <w:t xml:space="preserve">1900 MHz band is not compatible with current DECT technology. </w:t>
      </w:r>
      <w:r w:rsidR="004054F6">
        <w:rPr>
          <w:szCs w:val="20"/>
        </w:rPr>
        <w:t>Th</w:t>
      </w:r>
      <w:r w:rsidR="00952C31">
        <w:rPr>
          <w:szCs w:val="20"/>
        </w:rPr>
        <w:t>ey believe</w:t>
      </w:r>
      <w:r w:rsidR="006F41D9" w:rsidRPr="00C42A65">
        <w:rPr>
          <w:szCs w:val="20"/>
        </w:rPr>
        <w:t xml:space="preserve">, </w:t>
      </w:r>
      <w:r w:rsidR="006F41D9" w:rsidRPr="00C42A65">
        <w:rPr>
          <w:rFonts w:eastAsiaTheme="minorHAnsi"/>
          <w:szCs w:val="20"/>
          <w:lang w:eastAsia="en-US"/>
        </w:rPr>
        <w:t>as sXGP (MulteFire) uses LTE</w:t>
      </w:r>
      <w:r w:rsidR="002D5B7D">
        <w:rPr>
          <w:rFonts w:eastAsiaTheme="minorHAnsi"/>
          <w:szCs w:val="20"/>
          <w:lang w:eastAsia="en-US"/>
        </w:rPr>
        <w:t xml:space="preserve"> and DECT is based on 5G standards</w:t>
      </w:r>
      <w:r w:rsidR="006F41D9" w:rsidRPr="00C42A65" w:rsidDel="002D5B7D">
        <w:rPr>
          <w:rFonts w:eastAsiaTheme="minorHAnsi"/>
          <w:szCs w:val="20"/>
          <w:lang w:eastAsia="en-US"/>
        </w:rPr>
        <w:t>,</w:t>
      </w:r>
      <w:r w:rsidR="006F41D9" w:rsidRPr="00C42A65">
        <w:rPr>
          <w:rFonts w:eastAsiaTheme="minorHAnsi"/>
          <w:szCs w:val="20"/>
          <w:lang w:eastAsia="en-US"/>
        </w:rPr>
        <w:t xml:space="preserve"> </w:t>
      </w:r>
      <w:r w:rsidR="00225712">
        <w:rPr>
          <w:rFonts w:eastAsiaTheme="minorHAnsi"/>
          <w:szCs w:val="20"/>
          <w:lang w:eastAsia="en-US"/>
        </w:rPr>
        <w:t xml:space="preserve">that </w:t>
      </w:r>
      <w:r w:rsidR="006F41D9" w:rsidRPr="00C42A65">
        <w:rPr>
          <w:rFonts w:eastAsiaTheme="minorHAnsi"/>
          <w:szCs w:val="20"/>
          <w:lang w:eastAsia="en-US"/>
        </w:rPr>
        <w:t xml:space="preserve">spectrum sharing </w:t>
      </w:r>
      <w:r w:rsidR="00AB3B00">
        <w:rPr>
          <w:rFonts w:eastAsiaTheme="minorHAnsi"/>
          <w:szCs w:val="20"/>
          <w:lang w:eastAsia="en-US"/>
        </w:rPr>
        <w:t>would be extremely</w:t>
      </w:r>
      <w:r w:rsidR="006F41D9" w:rsidRPr="00C42A65">
        <w:rPr>
          <w:rFonts w:eastAsiaTheme="minorHAnsi"/>
          <w:szCs w:val="20"/>
          <w:lang w:eastAsia="en-US"/>
        </w:rPr>
        <w:t xml:space="preserve"> difficult. </w:t>
      </w:r>
      <w:bookmarkEnd w:id="75"/>
    </w:p>
    <w:p w14:paraId="5E6B4FA0" w14:textId="085ABA35" w:rsidR="003E004A" w:rsidRDefault="003E004A" w:rsidP="00CD3BF9">
      <w:pPr>
        <w:pStyle w:val="Paragraph"/>
        <w:keepLines w:val="0"/>
        <w:rPr>
          <w:lang w:val="en"/>
        </w:rPr>
      </w:pPr>
      <w:r>
        <w:rPr>
          <w:lang w:val="en"/>
        </w:rPr>
        <w:lastRenderedPageBreak/>
        <w:t>The wireless m</w:t>
      </w:r>
      <w:r w:rsidRPr="004D0F78">
        <w:rPr>
          <w:lang w:val="en"/>
        </w:rPr>
        <w:t xml:space="preserve">icrophone </w:t>
      </w:r>
      <w:r>
        <w:rPr>
          <w:lang w:val="en"/>
        </w:rPr>
        <w:t>t</w:t>
      </w:r>
      <w:r w:rsidRPr="004D0F78">
        <w:rPr>
          <w:lang w:val="en"/>
        </w:rPr>
        <w:t>echnology,</w:t>
      </w:r>
      <w:r>
        <w:rPr>
          <w:lang w:val="en"/>
        </w:rPr>
        <w:t xml:space="preserve"> </w:t>
      </w:r>
      <w:r w:rsidR="00A82F2E">
        <w:rPr>
          <w:lang w:val="en"/>
        </w:rPr>
        <w:t>a</w:t>
      </w:r>
      <w:r w:rsidRPr="004D0F78">
        <w:rPr>
          <w:lang w:val="en"/>
        </w:rPr>
        <w:t xml:space="preserve">udio and video </w:t>
      </w:r>
      <w:r w:rsidR="00A82F2E">
        <w:rPr>
          <w:lang w:val="en"/>
        </w:rPr>
        <w:t>production</w:t>
      </w:r>
      <w:r>
        <w:rPr>
          <w:lang w:val="en"/>
        </w:rPr>
        <w:t xml:space="preserve"> industry</w:t>
      </w:r>
      <w:r>
        <w:rPr>
          <w:rStyle w:val="FootnoteReference"/>
          <w:lang w:val="en"/>
        </w:rPr>
        <w:footnoteReference w:id="10"/>
      </w:r>
      <w:r>
        <w:rPr>
          <w:lang w:val="en"/>
        </w:rPr>
        <w:t xml:space="preserve"> showed interest in the use of the band for DECT.</w:t>
      </w:r>
      <w:r w:rsidRPr="00D674C1">
        <w:t xml:space="preserve"> </w:t>
      </w:r>
      <w:r w:rsidRPr="006D7CE7">
        <w:rPr>
          <w:lang w:val="en"/>
        </w:rPr>
        <w:t>Their view is that the DECT technologies are extensively used for cordless telephony, smart home</w:t>
      </w:r>
      <w:r w:rsidR="005B4EE9" w:rsidRPr="006D7CE7">
        <w:rPr>
          <w:lang w:val="en"/>
        </w:rPr>
        <w:t xml:space="preserve"> application</w:t>
      </w:r>
      <w:r w:rsidR="00F33E49" w:rsidRPr="006D7CE7">
        <w:rPr>
          <w:lang w:val="en"/>
        </w:rPr>
        <w:t>s</w:t>
      </w:r>
      <w:r w:rsidRPr="00915142">
        <w:rPr>
          <w:lang w:val="en"/>
        </w:rPr>
        <w:t>, IoT</w:t>
      </w:r>
      <w:r w:rsidR="005B4EE9" w:rsidRPr="00915142">
        <w:rPr>
          <w:lang w:val="en"/>
        </w:rPr>
        <w:t xml:space="preserve"> and wireless audio links for </w:t>
      </w:r>
      <w:r w:rsidRPr="00915142">
        <w:rPr>
          <w:lang w:val="en"/>
        </w:rPr>
        <w:t>conferencing, presentation</w:t>
      </w:r>
      <w:r w:rsidR="005B4EE9" w:rsidRPr="00915142">
        <w:rPr>
          <w:lang w:val="en"/>
        </w:rPr>
        <w:t>s</w:t>
      </w:r>
      <w:r w:rsidRPr="00915142">
        <w:rPr>
          <w:lang w:val="en"/>
        </w:rPr>
        <w:t>, and video</w:t>
      </w:r>
      <w:r w:rsidR="005B4EE9" w:rsidRPr="006D7CE7">
        <w:rPr>
          <w:lang w:val="en"/>
        </w:rPr>
        <w:t xml:space="preserve"> production</w:t>
      </w:r>
      <w:r w:rsidRPr="006D7CE7">
        <w:rPr>
          <w:lang w:val="en"/>
        </w:rPr>
        <w:t xml:space="preserve">. </w:t>
      </w:r>
      <w:r w:rsidR="001E2818">
        <w:rPr>
          <w:lang w:val="en"/>
        </w:rPr>
        <w:t>It is important to note that</w:t>
      </w:r>
      <w:r w:rsidRPr="00D674C1">
        <w:rPr>
          <w:lang w:val="en"/>
        </w:rPr>
        <w:t xml:space="preserve"> use of the DECT family of standards (DECT, DECT ULE, DECT evolution) is available and </w:t>
      </w:r>
      <w:r w:rsidR="00A82F2E">
        <w:rPr>
          <w:lang w:val="en"/>
        </w:rPr>
        <w:t xml:space="preserve">has been </w:t>
      </w:r>
      <w:r w:rsidRPr="00D674C1">
        <w:rPr>
          <w:lang w:val="en"/>
        </w:rPr>
        <w:t>very successful in Australia.</w:t>
      </w:r>
    </w:p>
    <w:p w14:paraId="46E391CA" w14:textId="57F057E2" w:rsidR="006F41D9" w:rsidRPr="003428AC" w:rsidRDefault="006F41D9" w:rsidP="009B5150">
      <w:pPr>
        <w:pStyle w:val="Heading3"/>
        <w:keepLines w:val="0"/>
        <w:ind w:right="1559"/>
        <w:rPr>
          <w:i/>
        </w:rPr>
      </w:pPr>
      <w:r w:rsidRPr="003428AC">
        <w:t>FRMCS</w:t>
      </w:r>
    </w:p>
    <w:p w14:paraId="1FF6E235" w14:textId="7F0931E3" w:rsidR="006F41D9" w:rsidRPr="00C42A65" w:rsidRDefault="006F41D9" w:rsidP="009B5150">
      <w:pPr>
        <w:pStyle w:val="Paragraph"/>
        <w:keepLines w:val="0"/>
        <w:rPr>
          <w:szCs w:val="20"/>
        </w:rPr>
      </w:pPr>
      <w:r w:rsidRPr="00C42A65">
        <w:rPr>
          <w:szCs w:val="20"/>
        </w:rPr>
        <w:t xml:space="preserve">Nokia and </w:t>
      </w:r>
      <w:r>
        <w:rPr>
          <w:szCs w:val="20"/>
        </w:rPr>
        <w:t xml:space="preserve">the </w:t>
      </w:r>
      <w:r w:rsidR="00A65415">
        <w:rPr>
          <w:szCs w:val="20"/>
        </w:rPr>
        <w:t>Australasian Railway Association (</w:t>
      </w:r>
      <w:r w:rsidRPr="00C42A65">
        <w:rPr>
          <w:szCs w:val="20"/>
        </w:rPr>
        <w:t>ARA</w:t>
      </w:r>
      <w:r w:rsidR="00A65415">
        <w:rPr>
          <w:szCs w:val="20"/>
        </w:rPr>
        <w:t>)</w:t>
      </w:r>
      <w:r w:rsidRPr="00C42A65">
        <w:rPr>
          <w:szCs w:val="20"/>
        </w:rPr>
        <w:t xml:space="preserve"> recommend</w:t>
      </w:r>
      <w:r>
        <w:rPr>
          <w:szCs w:val="20"/>
        </w:rPr>
        <w:t>ed</w:t>
      </w:r>
      <w:r w:rsidRPr="00C42A65">
        <w:rPr>
          <w:szCs w:val="20"/>
        </w:rPr>
        <w:t xml:space="preserve"> that </w:t>
      </w:r>
      <w:r w:rsidR="0006332A">
        <w:rPr>
          <w:szCs w:val="20"/>
        </w:rPr>
        <w:t xml:space="preserve">the </w:t>
      </w:r>
      <w:r w:rsidRPr="00C42A65">
        <w:rPr>
          <w:szCs w:val="20"/>
        </w:rPr>
        <w:t xml:space="preserve">ACMA </w:t>
      </w:r>
      <w:r>
        <w:rPr>
          <w:szCs w:val="20"/>
        </w:rPr>
        <w:t xml:space="preserve">should </w:t>
      </w:r>
      <w:r w:rsidRPr="00C42A65">
        <w:rPr>
          <w:szCs w:val="20"/>
        </w:rPr>
        <w:t xml:space="preserve">align any </w:t>
      </w:r>
      <w:r w:rsidR="00E87581">
        <w:rPr>
          <w:szCs w:val="20"/>
        </w:rPr>
        <w:t xml:space="preserve">railway implementation </w:t>
      </w:r>
      <w:r w:rsidRPr="00C42A65">
        <w:rPr>
          <w:szCs w:val="20"/>
        </w:rPr>
        <w:t>decision with global standards</w:t>
      </w:r>
      <w:r w:rsidR="00E87581">
        <w:rPr>
          <w:szCs w:val="20"/>
        </w:rPr>
        <w:t xml:space="preserve"> for railway services. </w:t>
      </w:r>
      <w:r w:rsidRPr="00C42A65">
        <w:rPr>
          <w:szCs w:val="20"/>
        </w:rPr>
        <w:t xml:space="preserve">From </w:t>
      </w:r>
      <w:r>
        <w:rPr>
          <w:szCs w:val="20"/>
        </w:rPr>
        <w:t xml:space="preserve">the </w:t>
      </w:r>
      <w:r w:rsidRPr="00C42A65">
        <w:rPr>
          <w:szCs w:val="20"/>
        </w:rPr>
        <w:t>Australian railway operators’ perspective, alignment with the larger European market means access to</w:t>
      </w:r>
      <w:r w:rsidR="001E2818">
        <w:rPr>
          <w:szCs w:val="20"/>
        </w:rPr>
        <w:t xml:space="preserve"> a</w:t>
      </w:r>
      <w:r w:rsidRPr="00C42A65">
        <w:rPr>
          <w:szCs w:val="20"/>
        </w:rPr>
        <w:t xml:space="preserve"> wider choice of suppliers and </w:t>
      </w:r>
      <w:r>
        <w:rPr>
          <w:szCs w:val="20"/>
        </w:rPr>
        <w:t>u</w:t>
      </w:r>
      <w:r w:rsidRPr="00C42A65">
        <w:rPr>
          <w:szCs w:val="20"/>
        </w:rPr>
        <w:t xml:space="preserve">ser </w:t>
      </w:r>
      <w:r>
        <w:rPr>
          <w:szCs w:val="20"/>
        </w:rPr>
        <w:t>e</w:t>
      </w:r>
      <w:r w:rsidRPr="00C42A65">
        <w:rPr>
          <w:szCs w:val="20"/>
        </w:rPr>
        <w:t>quipment.</w:t>
      </w:r>
    </w:p>
    <w:p w14:paraId="7ED71069" w14:textId="657B46B2" w:rsidR="006F41D9" w:rsidRPr="00C42A65" w:rsidRDefault="006F41D9" w:rsidP="009B5150">
      <w:pPr>
        <w:pStyle w:val="Paragraph"/>
        <w:keepLines w:val="0"/>
        <w:rPr>
          <w:rFonts w:eastAsiaTheme="minorHAnsi"/>
          <w:lang w:eastAsia="en-US"/>
        </w:rPr>
      </w:pPr>
      <w:r w:rsidRPr="00C42A65">
        <w:rPr>
          <w:szCs w:val="20"/>
        </w:rPr>
        <w:t xml:space="preserve">In </w:t>
      </w:r>
      <w:r w:rsidR="00A65415">
        <w:rPr>
          <w:szCs w:val="20"/>
        </w:rPr>
        <w:t xml:space="preserve">their </w:t>
      </w:r>
      <w:r w:rsidR="00CD3BF9">
        <w:rPr>
          <w:szCs w:val="20"/>
        </w:rPr>
        <w:t>submission</w:t>
      </w:r>
      <w:r w:rsidR="00DE33B6">
        <w:rPr>
          <w:szCs w:val="20"/>
        </w:rPr>
        <w:t>,</w:t>
      </w:r>
      <w:r w:rsidR="00A65415">
        <w:rPr>
          <w:szCs w:val="20"/>
        </w:rPr>
        <w:t xml:space="preserve"> they </w:t>
      </w:r>
      <w:r w:rsidR="001E2818">
        <w:rPr>
          <w:szCs w:val="20"/>
        </w:rPr>
        <w:t xml:space="preserve">noted </w:t>
      </w:r>
      <w:r w:rsidR="00A65415">
        <w:rPr>
          <w:szCs w:val="20"/>
        </w:rPr>
        <w:t>that</w:t>
      </w:r>
      <w:r w:rsidR="001E2818">
        <w:rPr>
          <w:szCs w:val="20"/>
        </w:rPr>
        <w:t xml:space="preserve"> through </w:t>
      </w:r>
      <w:r w:rsidRPr="00C42A65">
        <w:rPr>
          <w:szCs w:val="20"/>
        </w:rPr>
        <w:t>the ECC Decision 20(02)</w:t>
      </w:r>
      <w:r w:rsidR="00DE33B6">
        <w:rPr>
          <w:szCs w:val="20"/>
        </w:rPr>
        <w:t>,</w:t>
      </w:r>
      <w:r w:rsidRPr="00C42A65">
        <w:rPr>
          <w:rStyle w:val="FootnoteReference"/>
          <w:szCs w:val="20"/>
        </w:rPr>
        <w:footnoteReference w:id="11"/>
      </w:r>
      <w:r w:rsidRPr="00C42A65">
        <w:rPr>
          <w:szCs w:val="20"/>
        </w:rPr>
        <w:t xml:space="preserve"> </w:t>
      </w:r>
      <w:r>
        <w:rPr>
          <w:szCs w:val="20"/>
        </w:rPr>
        <w:t>the EU have allocated the</w:t>
      </w:r>
      <w:r w:rsidRPr="00C42A65">
        <w:rPr>
          <w:szCs w:val="20"/>
        </w:rPr>
        <w:t xml:space="preserve"> use of the unpaired frequency band 1900</w:t>
      </w:r>
      <w:r w:rsidR="00DE33B6">
        <w:rPr>
          <w:szCs w:val="20"/>
        </w:rPr>
        <w:t>–</w:t>
      </w:r>
      <w:r w:rsidRPr="00C42A65">
        <w:rPr>
          <w:szCs w:val="20"/>
        </w:rPr>
        <w:t xml:space="preserve">1910 MHz for </w:t>
      </w:r>
      <w:r w:rsidR="00DE33B6">
        <w:rPr>
          <w:szCs w:val="20"/>
        </w:rPr>
        <w:t>r</w:t>
      </w:r>
      <w:r w:rsidRPr="00C42A65">
        <w:rPr>
          <w:szCs w:val="20"/>
        </w:rPr>
        <w:t xml:space="preserve">ailway </w:t>
      </w:r>
      <w:r w:rsidR="00DE33B6">
        <w:rPr>
          <w:szCs w:val="20"/>
        </w:rPr>
        <w:t>m</w:t>
      </w:r>
      <w:r w:rsidRPr="00C42A65">
        <w:rPr>
          <w:szCs w:val="20"/>
        </w:rPr>
        <w:t xml:space="preserve">obile </w:t>
      </w:r>
      <w:r w:rsidR="00DE33B6">
        <w:rPr>
          <w:szCs w:val="20"/>
        </w:rPr>
        <w:t>r</w:t>
      </w:r>
      <w:r w:rsidRPr="00C42A65">
        <w:rPr>
          <w:szCs w:val="20"/>
        </w:rPr>
        <w:t xml:space="preserve">adio (RMR) </w:t>
      </w:r>
      <w:r w:rsidR="00AE641A">
        <w:rPr>
          <w:szCs w:val="20"/>
        </w:rPr>
        <w:t>that uses</w:t>
      </w:r>
      <w:r w:rsidR="00AE641A" w:rsidRPr="00C42A65">
        <w:rPr>
          <w:szCs w:val="20"/>
        </w:rPr>
        <w:t xml:space="preserve"> </w:t>
      </w:r>
      <w:r w:rsidRPr="00C42A65">
        <w:rPr>
          <w:szCs w:val="20"/>
        </w:rPr>
        <w:t>FRMCS based on 3GPP Rel. 17</w:t>
      </w:r>
      <w:r>
        <w:rPr>
          <w:rStyle w:val="FootnoteReference"/>
          <w:szCs w:val="20"/>
        </w:rPr>
        <w:footnoteReference w:id="12"/>
      </w:r>
      <w:r>
        <w:rPr>
          <w:szCs w:val="20"/>
        </w:rPr>
        <w:t xml:space="preserve">. </w:t>
      </w:r>
      <w:r w:rsidRPr="00C42A65">
        <w:rPr>
          <w:szCs w:val="20"/>
        </w:rPr>
        <w:t>3GPP</w:t>
      </w:r>
      <w:r>
        <w:rPr>
          <w:szCs w:val="20"/>
        </w:rPr>
        <w:t xml:space="preserve"> proposes using </w:t>
      </w:r>
      <w:r w:rsidRPr="00C42A65">
        <w:rPr>
          <w:szCs w:val="20"/>
        </w:rPr>
        <w:t>mission-critical services</w:t>
      </w:r>
      <w:r>
        <w:rPr>
          <w:szCs w:val="20"/>
        </w:rPr>
        <w:t xml:space="preserve"> </w:t>
      </w:r>
      <w:r w:rsidRPr="00C42A65">
        <w:rPr>
          <w:szCs w:val="20"/>
        </w:rPr>
        <w:t>MCX</w:t>
      </w:r>
      <w:r>
        <w:rPr>
          <w:szCs w:val="20"/>
        </w:rPr>
        <w:t>,</w:t>
      </w:r>
      <w:r w:rsidRPr="00C42A65">
        <w:rPr>
          <w:szCs w:val="20"/>
        </w:rPr>
        <w:t xml:space="preserve"> as a way forward for the initial planned deployment. According to </w:t>
      </w:r>
      <w:r>
        <w:rPr>
          <w:szCs w:val="20"/>
        </w:rPr>
        <w:t xml:space="preserve">the </w:t>
      </w:r>
      <w:r w:rsidRPr="00C42A65">
        <w:rPr>
          <w:szCs w:val="20"/>
        </w:rPr>
        <w:t xml:space="preserve">ARA, since MCX equipment is available now, and FRMCS equipment </w:t>
      </w:r>
      <w:r w:rsidR="00A65415">
        <w:rPr>
          <w:szCs w:val="20"/>
        </w:rPr>
        <w:t>is</w:t>
      </w:r>
      <w:r w:rsidR="00A65415" w:rsidRPr="00C42A65">
        <w:rPr>
          <w:szCs w:val="20"/>
        </w:rPr>
        <w:t xml:space="preserve"> </w:t>
      </w:r>
      <w:r w:rsidRPr="00C42A65">
        <w:rPr>
          <w:szCs w:val="20"/>
        </w:rPr>
        <w:t>expected to be ready by 2025, access certainty to adequate spectrum</w:t>
      </w:r>
      <w:r w:rsidR="0005101C">
        <w:rPr>
          <w:szCs w:val="20"/>
        </w:rPr>
        <w:t xml:space="preserve"> in the 1.9</w:t>
      </w:r>
      <w:r w:rsidR="00DE33B6">
        <w:rPr>
          <w:szCs w:val="20"/>
        </w:rPr>
        <w:t> </w:t>
      </w:r>
      <w:r w:rsidR="0005101C">
        <w:rPr>
          <w:szCs w:val="20"/>
        </w:rPr>
        <w:t>GHz band</w:t>
      </w:r>
      <w:r w:rsidRPr="00C42A65">
        <w:rPr>
          <w:szCs w:val="20"/>
        </w:rPr>
        <w:t xml:space="preserve"> would permit rail authorities to commence strategic network </w:t>
      </w:r>
      <w:r w:rsidR="00DE33B6">
        <w:rPr>
          <w:szCs w:val="20"/>
        </w:rPr>
        <w:br/>
      </w:r>
      <w:r w:rsidRPr="00C42A65">
        <w:rPr>
          <w:szCs w:val="20"/>
        </w:rPr>
        <w:t>planning activities.</w:t>
      </w:r>
    </w:p>
    <w:p w14:paraId="1B9D8D8C" w14:textId="455411E0" w:rsidR="006F41D9" w:rsidRPr="003428AC" w:rsidRDefault="008752E8" w:rsidP="009B5150">
      <w:pPr>
        <w:pStyle w:val="Paragraph"/>
        <w:keepLines w:val="0"/>
        <w:rPr>
          <w:rFonts w:eastAsiaTheme="minorHAnsi"/>
          <w:color w:val="000000"/>
          <w:sz w:val="24"/>
          <w:lang w:eastAsia="en-US"/>
        </w:rPr>
      </w:pPr>
      <w:r w:rsidRPr="00C42A65">
        <w:rPr>
          <w:rFonts w:eastAsiaTheme="minorHAnsi"/>
          <w:szCs w:val="20"/>
          <w:lang w:eastAsia="en-US"/>
        </w:rPr>
        <w:t>The DECT forum and Jands Pty Ltd also propose</w:t>
      </w:r>
      <w:r>
        <w:rPr>
          <w:rFonts w:eastAsiaTheme="minorHAnsi"/>
          <w:szCs w:val="20"/>
          <w:lang w:eastAsia="en-US"/>
        </w:rPr>
        <w:t>d</w:t>
      </w:r>
      <w:r w:rsidRPr="00C42A65">
        <w:rPr>
          <w:rFonts w:eastAsiaTheme="minorHAnsi"/>
          <w:szCs w:val="20"/>
          <w:lang w:eastAsia="en-US"/>
        </w:rPr>
        <w:t xml:space="preserve"> </w:t>
      </w:r>
      <w:r w:rsidR="00E87581">
        <w:rPr>
          <w:rFonts w:eastAsiaTheme="minorHAnsi"/>
          <w:szCs w:val="20"/>
          <w:lang w:eastAsia="en-US"/>
        </w:rPr>
        <w:t xml:space="preserve">allocating a </w:t>
      </w:r>
      <w:r w:rsidRPr="00C42A65">
        <w:rPr>
          <w:rFonts w:eastAsiaTheme="minorHAnsi"/>
          <w:szCs w:val="20"/>
          <w:lang w:eastAsia="en-US"/>
        </w:rPr>
        <w:t xml:space="preserve">10 MHz </w:t>
      </w:r>
      <w:r>
        <w:rPr>
          <w:rFonts w:eastAsiaTheme="minorHAnsi"/>
          <w:szCs w:val="20"/>
          <w:lang w:eastAsia="en-US"/>
        </w:rPr>
        <w:t>segment</w:t>
      </w:r>
      <w:r w:rsidRPr="00C42A65">
        <w:rPr>
          <w:rFonts w:eastAsiaTheme="minorHAnsi"/>
          <w:szCs w:val="20"/>
          <w:lang w:eastAsia="en-US"/>
        </w:rPr>
        <w:t xml:space="preserve"> (1900</w:t>
      </w:r>
      <w:r w:rsidR="00DE33B6">
        <w:rPr>
          <w:rFonts w:eastAsiaTheme="minorHAnsi"/>
          <w:szCs w:val="20"/>
          <w:lang w:eastAsia="en-US"/>
        </w:rPr>
        <w:t>–</w:t>
      </w:r>
      <w:r w:rsidRPr="00C42A65">
        <w:rPr>
          <w:rFonts w:eastAsiaTheme="minorHAnsi"/>
          <w:szCs w:val="20"/>
          <w:lang w:eastAsia="en-US"/>
        </w:rPr>
        <w:t>1910 MHz) for FRMCS</w:t>
      </w:r>
      <w:r>
        <w:rPr>
          <w:rFonts w:eastAsiaTheme="minorHAnsi"/>
          <w:szCs w:val="20"/>
          <w:lang w:eastAsia="en-US"/>
        </w:rPr>
        <w:t>, if FRMCS is accommodated in the 1.9 GHz band</w:t>
      </w:r>
      <w:r w:rsidRPr="00C42A65">
        <w:rPr>
          <w:rFonts w:eastAsiaTheme="minorHAnsi"/>
          <w:szCs w:val="20"/>
          <w:lang w:eastAsia="en-US"/>
        </w:rPr>
        <w:t>.</w:t>
      </w:r>
    </w:p>
    <w:p w14:paraId="064C0203" w14:textId="77777777" w:rsidR="006F41D9" w:rsidRPr="003428AC" w:rsidRDefault="006F41D9" w:rsidP="009B5150">
      <w:pPr>
        <w:pStyle w:val="Heading3"/>
        <w:keepLines w:val="0"/>
        <w:ind w:right="1559"/>
        <w:rPr>
          <w:i/>
        </w:rPr>
      </w:pPr>
      <w:r w:rsidRPr="003428AC">
        <w:rPr>
          <w:rFonts w:eastAsiaTheme="minorHAnsi"/>
          <w:color w:val="000000"/>
          <w:lang w:eastAsia="en-US"/>
        </w:rPr>
        <w:t>WBB</w:t>
      </w:r>
      <w:r w:rsidRPr="003428AC">
        <w:t xml:space="preserve">, PMP </w:t>
      </w:r>
      <w:r>
        <w:t>and</w:t>
      </w:r>
      <w:r w:rsidRPr="003428AC">
        <w:t xml:space="preserve"> PTP Services</w:t>
      </w:r>
    </w:p>
    <w:p w14:paraId="0C657878" w14:textId="4062480E" w:rsidR="006F41D9" w:rsidRPr="00C42A65" w:rsidRDefault="006F41D9" w:rsidP="009B5150">
      <w:pPr>
        <w:pStyle w:val="Paragraph"/>
        <w:keepLines w:val="0"/>
        <w:rPr>
          <w:szCs w:val="20"/>
        </w:rPr>
      </w:pPr>
      <w:r w:rsidRPr="00C42A65">
        <w:rPr>
          <w:szCs w:val="20"/>
        </w:rPr>
        <w:t>Defence, Ericsson, FSG, Telstra, AMTA</w:t>
      </w:r>
      <w:r w:rsidR="001E2818">
        <w:rPr>
          <w:szCs w:val="20"/>
        </w:rPr>
        <w:t>,</w:t>
      </w:r>
      <w:r w:rsidRPr="00C42A65">
        <w:rPr>
          <w:szCs w:val="20"/>
        </w:rPr>
        <w:t xml:space="preserve"> Optus and Pivotel indicated their interest in use of </w:t>
      </w:r>
      <w:r w:rsidR="00E87581">
        <w:rPr>
          <w:szCs w:val="20"/>
        </w:rPr>
        <w:t xml:space="preserve">part or the entire 1.9 GHz band </w:t>
      </w:r>
      <w:r w:rsidRPr="00C42A65">
        <w:rPr>
          <w:szCs w:val="20"/>
        </w:rPr>
        <w:t xml:space="preserve">for WBB, PMP and PTP </w:t>
      </w:r>
      <w:r w:rsidR="001E2818">
        <w:rPr>
          <w:szCs w:val="20"/>
        </w:rPr>
        <w:t>s</w:t>
      </w:r>
      <w:r w:rsidRPr="00C42A65">
        <w:rPr>
          <w:szCs w:val="20"/>
        </w:rPr>
        <w:t xml:space="preserve">ervices. </w:t>
      </w:r>
    </w:p>
    <w:p w14:paraId="302D5251" w14:textId="7C66E711" w:rsidR="006F41D9" w:rsidRPr="00C42A65" w:rsidRDefault="006F41D9" w:rsidP="009B5150">
      <w:pPr>
        <w:pStyle w:val="Paragraph"/>
        <w:keepLines w:val="0"/>
        <w:rPr>
          <w:szCs w:val="20"/>
        </w:rPr>
      </w:pPr>
      <w:r w:rsidRPr="00C42A65">
        <w:rPr>
          <w:szCs w:val="20"/>
        </w:rPr>
        <w:t xml:space="preserve">Ericsson </w:t>
      </w:r>
      <w:r w:rsidR="0085008C">
        <w:rPr>
          <w:szCs w:val="20"/>
        </w:rPr>
        <w:t>expressed concern</w:t>
      </w:r>
      <w:r w:rsidR="00A21890">
        <w:rPr>
          <w:szCs w:val="20"/>
        </w:rPr>
        <w:t xml:space="preserve"> on potential </w:t>
      </w:r>
      <w:r w:rsidRPr="00C42A65">
        <w:rPr>
          <w:szCs w:val="20"/>
        </w:rPr>
        <w:t xml:space="preserve">co-existence </w:t>
      </w:r>
      <w:r w:rsidR="00A21890">
        <w:rPr>
          <w:szCs w:val="20"/>
        </w:rPr>
        <w:t>issues</w:t>
      </w:r>
      <w:r w:rsidRPr="00C42A65">
        <w:rPr>
          <w:szCs w:val="20"/>
        </w:rPr>
        <w:t xml:space="preserve"> with 1.8 and 2 GHz spectrum licen</w:t>
      </w:r>
      <w:r w:rsidR="00A65415">
        <w:rPr>
          <w:szCs w:val="20"/>
        </w:rPr>
        <w:t>c</w:t>
      </w:r>
      <w:r w:rsidRPr="00C42A65">
        <w:rPr>
          <w:szCs w:val="20"/>
        </w:rPr>
        <w:t xml:space="preserve">e (SLs) </w:t>
      </w:r>
      <w:r w:rsidR="00A65415">
        <w:rPr>
          <w:szCs w:val="20"/>
        </w:rPr>
        <w:t>services</w:t>
      </w:r>
      <w:r w:rsidRPr="00C42A65">
        <w:rPr>
          <w:szCs w:val="20"/>
        </w:rPr>
        <w:t xml:space="preserve">. They </w:t>
      </w:r>
      <w:r w:rsidR="007243BE">
        <w:rPr>
          <w:szCs w:val="20"/>
        </w:rPr>
        <w:t>indicated that</w:t>
      </w:r>
      <w:r w:rsidRPr="00C42A65">
        <w:rPr>
          <w:szCs w:val="20"/>
        </w:rPr>
        <w:t xml:space="preserve"> no new compliance </w:t>
      </w:r>
      <w:r>
        <w:rPr>
          <w:szCs w:val="20"/>
        </w:rPr>
        <w:t>requirements</w:t>
      </w:r>
      <w:r w:rsidRPr="00C42A65">
        <w:rPr>
          <w:szCs w:val="20"/>
        </w:rPr>
        <w:t xml:space="preserve"> </w:t>
      </w:r>
      <w:r w:rsidR="000C2B67">
        <w:rPr>
          <w:szCs w:val="20"/>
        </w:rPr>
        <w:t>should be place</w:t>
      </w:r>
      <w:r w:rsidR="00A65415">
        <w:rPr>
          <w:szCs w:val="20"/>
        </w:rPr>
        <w:t>d</w:t>
      </w:r>
      <w:r w:rsidR="000C2B67">
        <w:rPr>
          <w:szCs w:val="20"/>
        </w:rPr>
        <w:t xml:space="preserve"> </w:t>
      </w:r>
      <w:r w:rsidRPr="00C42A65">
        <w:rPr>
          <w:szCs w:val="20"/>
        </w:rPr>
        <w:t>on 1.8 and 2 GHz SL holders</w:t>
      </w:r>
      <w:r>
        <w:rPr>
          <w:szCs w:val="20"/>
        </w:rPr>
        <w:t>.</w:t>
      </w:r>
      <w:r w:rsidRPr="00C42A65">
        <w:rPr>
          <w:szCs w:val="20"/>
        </w:rPr>
        <w:t xml:space="preserve"> To reduce the occurrences of coexistence issues with 1.8 and 2</w:t>
      </w:r>
      <w:r w:rsidR="00A05E86">
        <w:rPr>
          <w:szCs w:val="20"/>
        </w:rPr>
        <w:t xml:space="preserve"> </w:t>
      </w:r>
      <w:r w:rsidRPr="00C42A65">
        <w:rPr>
          <w:szCs w:val="20"/>
        </w:rPr>
        <w:t xml:space="preserve">GHz spectrum licence holders, </w:t>
      </w:r>
      <w:r>
        <w:rPr>
          <w:szCs w:val="20"/>
        </w:rPr>
        <w:t xml:space="preserve">they proposed that </w:t>
      </w:r>
      <w:r w:rsidRPr="00C42A65">
        <w:rPr>
          <w:szCs w:val="20"/>
        </w:rPr>
        <w:t xml:space="preserve">1.9 GHz WBB </w:t>
      </w:r>
      <w:r>
        <w:rPr>
          <w:szCs w:val="20"/>
        </w:rPr>
        <w:t xml:space="preserve">should be allocated </w:t>
      </w:r>
      <w:r w:rsidRPr="00C42A65">
        <w:rPr>
          <w:szCs w:val="20"/>
        </w:rPr>
        <w:t>in rural areas only</w:t>
      </w:r>
      <w:r>
        <w:rPr>
          <w:szCs w:val="20"/>
        </w:rPr>
        <w:t xml:space="preserve"> on a primary basis</w:t>
      </w:r>
      <w:r w:rsidRPr="00C42A65">
        <w:rPr>
          <w:szCs w:val="20"/>
        </w:rPr>
        <w:t xml:space="preserve">. </w:t>
      </w:r>
    </w:p>
    <w:p w14:paraId="1D5A2A16" w14:textId="453E97D7" w:rsidR="006F41D9" w:rsidRPr="00C42A65" w:rsidRDefault="006F41D9" w:rsidP="009B5150">
      <w:pPr>
        <w:pStyle w:val="Paragraph"/>
        <w:keepLines w:val="0"/>
        <w:rPr>
          <w:szCs w:val="20"/>
        </w:rPr>
      </w:pPr>
      <w:r w:rsidRPr="00433832">
        <w:rPr>
          <w:szCs w:val="20"/>
        </w:rPr>
        <w:t xml:space="preserve">Telstra </w:t>
      </w:r>
      <w:r w:rsidR="00C96189">
        <w:rPr>
          <w:szCs w:val="20"/>
        </w:rPr>
        <w:t xml:space="preserve">proposed removing the </w:t>
      </w:r>
      <w:r w:rsidR="00C96189" w:rsidRPr="00224C6A">
        <w:rPr>
          <w:szCs w:val="20"/>
        </w:rPr>
        <w:t xml:space="preserve">secondary status of fixed PTP links </w:t>
      </w:r>
      <w:r w:rsidR="00BA7A8B" w:rsidRPr="00433832">
        <w:rPr>
          <w:szCs w:val="20"/>
        </w:rPr>
        <w:t>outside of metropolitan areas in 1900</w:t>
      </w:r>
      <w:r w:rsidR="00DE33B6">
        <w:rPr>
          <w:szCs w:val="20"/>
        </w:rPr>
        <w:t>–</w:t>
      </w:r>
      <w:r w:rsidR="00BA7A8B" w:rsidRPr="00433832">
        <w:rPr>
          <w:szCs w:val="20"/>
        </w:rPr>
        <w:t>1920 MHz</w:t>
      </w:r>
      <w:r w:rsidR="00BA7A8B">
        <w:rPr>
          <w:szCs w:val="20"/>
        </w:rPr>
        <w:t xml:space="preserve">. This would </w:t>
      </w:r>
      <w:r w:rsidR="00F1407C">
        <w:rPr>
          <w:szCs w:val="20"/>
        </w:rPr>
        <w:t>encourage new PTP link</w:t>
      </w:r>
      <w:r w:rsidR="00A05E86">
        <w:rPr>
          <w:szCs w:val="20"/>
        </w:rPr>
        <w:t>s</w:t>
      </w:r>
      <w:r w:rsidR="00F1407C">
        <w:rPr>
          <w:szCs w:val="20"/>
        </w:rPr>
        <w:t xml:space="preserve"> </w:t>
      </w:r>
      <w:r w:rsidR="00701C45">
        <w:rPr>
          <w:szCs w:val="20"/>
        </w:rPr>
        <w:t>in this band</w:t>
      </w:r>
      <w:r w:rsidR="002D57ED">
        <w:rPr>
          <w:szCs w:val="20"/>
        </w:rPr>
        <w:t xml:space="preserve">. Telstra </w:t>
      </w:r>
      <w:r w:rsidRPr="00C42A65">
        <w:rPr>
          <w:szCs w:val="20"/>
        </w:rPr>
        <w:t xml:space="preserve">stated that the incumbent </w:t>
      </w:r>
      <w:r w:rsidR="00CF79EB">
        <w:rPr>
          <w:szCs w:val="20"/>
        </w:rPr>
        <w:t>assignments</w:t>
      </w:r>
      <w:r w:rsidRPr="00C42A65">
        <w:rPr>
          <w:szCs w:val="20"/>
        </w:rPr>
        <w:t xml:space="preserve"> in the 1.8</w:t>
      </w:r>
      <w:r w:rsidR="00A65415">
        <w:rPr>
          <w:szCs w:val="20"/>
        </w:rPr>
        <w:t xml:space="preserve"> </w:t>
      </w:r>
      <w:r w:rsidRPr="00C42A65">
        <w:rPr>
          <w:szCs w:val="20"/>
        </w:rPr>
        <w:t>GHz and 2</w:t>
      </w:r>
      <w:r w:rsidR="00A65415">
        <w:rPr>
          <w:szCs w:val="20"/>
        </w:rPr>
        <w:t xml:space="preserve"> </w:t>
      </w:r>
      <w:r w:rsidRPr="00C42A65">
        <w:rPr>
          <w:szCs w:val="20"/>
        </w:rPr>
        <w:t>GHz bands should be protected in planning of future use of the</w:t>
      </w:r>
      <w:r w:rsidR="00CF79EB">
        <w:rPr>
          <w:szCs w:val="20"/>
        </w:rPr>
        <w:t xml:space="preserve"> 1.9</w:t>
      </w:r>
      <w:r w:rsidR="00640484">
        <w:rPr>
          <w:szCs w:val="20"/>
        </w:rPr>
        <w:t> </w:t>
      </w:r>
      <w:r w:rsidR="00CF79EB">
        <w:rPr>
          <w:szCs w:val="20"/>
        </w:rPr>
        <w:t xml:space="preserve">GHz </w:t>
      </w:r>
      <w:r w:rsidRPr="00C42A65">
        <w:rPr>
          <w:szCs w:val="20"/>
        </w:rPr>
        <w:t>band.</w:t>
      </w:r>
    </w:p>
    <w:p w14:paraId="4763B2EA" w14:textId="00E87FC2" w:rsidR="006F41D9" w:rsidRPr="00C42A65" w:rsidRDefault="006F41D9" w:rsidP="009B5150">
      <w:pPr>
        <w:pStyle w:val="Paragraph"/>
        <w:keepLines w:val="0"/>
        <w:rPr>
          <w:rFonts w:eastAsiaTheme="minorHAnsi"/>
          <w:szCs w:val="20"/>
          <w:lang w:eastAsia="en-US"/>
        </w:rPr>
      </w:pPr>
      <w:r w:rsidRPr="00C42A65">
        <w:rPr>
          <w:szCs w:val="20"/>
        </w:rPr>
        <w:t xml:space="preserve">The </w:t>
      </w:r>
      <w:r>
        <w:rPr>
          <w:szCs w:val="20"/>
        </w:rPr>
        <w:t>Department of Defence</w:t>
      </w:r>
      <w:r w:rsidR="00297037">
        <w:rPr>
          <w:szCs w:val="20"/>
        </w:rPr>
        <w:t xml:space="preserve">, </w:t>
      </w:r>
      <w:r w:rsidR="00297037" w:rsidRPr="00C42A65">
        <w:rPr>
          <w:szCs w:val="20"/>
        </w:rPr>
        <w:t xml:space="preserve">Pivotel </w:t>
      </w:r>
      <w:r w:rsidR="00AB3B00">
        <w:rPr>
          <w:szCs w:val="20"/>
        </w:rPr>
        <w:t>a</w:t>
      </w:r>
      <w:r w:rsidR="00297037">
        <w:rPr>
          <w:szCs w:val="20"/>
        </w:rPr>
        <w:t xml:space="preserve">nd </w:t>
      </w:r>
      <w:r w:rsidR="00297037" w:rsidRPr="00C42A65">
        <w:rPr>
          <w:szCs w:val="20"/>
        </w:rPr>
        <w:t>Field Solution</w:t>
      </w:r>
      <w:r w:rsidR="005C41DB">
        <w:rPr>
          <w:szCs w:val="20"/>
        </w:rPr>
        <w:t>s</w:t>
      </w:r>
      <w:r w:rsidR="00297037" w:rsidRPr="00C42A65">
        <w:rPr>
          <w:szCs w:val="20"/>
        </w:rPr>
        <w:t xml:space="preserve"> </w:t>
      </w:r>
      <w:r w:rsidR="00297037">
        <w:rPr>
          <w:szCs w:val="20"/>
        </w:rPr>
        <w:t>Group</w:t>
      </w:r>
      <w:r w:rsidR="00297037" w:rsidRPr="00C42A65">
        <w:rPr>
          <w:szCs w:val="20"/>
        </w:rPr>
        <w:t xml:space="preserve"> (FSG)</w:t>
      </w:r>
      <w:r w:rsidR="00297037">
        <w:rPr>
          <w:szCs w:val="20"/>
        </w:rPr>
        <w:t xml:space="preserve"> all </w:t>
      </w:r>
      <w:r w:rsidRPr="00C42A65">
        <w:rPr>
          <w:szCs w:val="20"/>
        </w:rPr>
        <w:t>support</w:t>
      </w:r>
      <w:r>
        <w:rPr>
          <w:szCs w:val="20"/>
        </w:rPr>
        <w:t>ed</w:t>
      </w:r>
      <w:r w:rsidRPr="00C42A65">
        <w:rPr>
          <w:szCs w:val="20"/>
        </w:rPr>
        <w:t xml:space="preserve"> WBB service</w:t>
      </w:r>
      <w:r w:rsidR="00AB3B00">
        <w:rPr>
          <w:szCs w:val="20"/>
        </w:rPr>
        <w:t>s</w:t>
      </w:r>
      <w:r w:rsidRPr="00C42A65">
        <w:rPr>
          <w:szCs w:val="20"/>
        </w:rPr>
        <w:t xml:space="preserve"> across</w:t>
      </w:r>
      <w:r w:rsidR="00AB3B00">
        <w:rPr>
          <w:szCs w:val="20"/>
        </w:rPr>
        <w:t xml:space="preserve"> </w:t>
      </w:r>
      <w:r w:rsidR="00E7078C">
        <w:rPr>
          <w:szCs w:val="20"/>
        </w:rPr>
        <w:t xml:space="preserve">the entire </w:t>
      </w:r>
      <w:r w:rsidRPr="00C42A65">
        <w:rPr>
          <w:szCs w:val="20"/>
        </w:rPr>
        <w:t>1</w:t>
      </w:r>
      <w:r w:rsidR="0006332A">
        <w:rPr>
          <w:szCs w:val="20"/>
        </w:rPr>
        <w:t>.</w:t>
      </w:r>
      <w:r w:rsidRPr="00C42A65">
        <w:rPr>
          <w:szCs w:val="20"/>
        </w:rPr>
        <w:t xml:space="preserve">9 </w:t>
      </w:r>
      <w:r w:rsidR="0006332A">
        <w:rPr>
          <w:szCs w:val="20"/>
        </w:rPr>
        <w:t>G</w:t>
      </w:r>
      <w:r w:rsidRPr="00C42A65">
        <w:rPr>
          <w:szCs w:val="20"/>
        </w:rPr>
        <w:t>Hz</w:t>
      </w:r>
      <w:r w:rsidR="0006332A">
        <w:rPr>
          <w:szCs w:val="20"/>
        </w:rPr>
        <w:t xml:space="preserve"> band</w:t>
      </w:r>
      <w:r w:rsidR="00297037">
        <w:rPr>
          <w:szCs w:val="20"/>
        </w:rPr>
        <w:t>. Defence</w:t>
      </w:r>
      <w:r w:rsidRPr="00C42A65">
        <w:rPr>
          <w:szCs w:val="20"/>
        </w:rPr>
        <w:t xml:space="preserve"> </w:t>
      </w:r>
      <w:r w:rsidR="00AB3B00">
        <w:rPr>
          <w:szCs w:val="20"/>
        </w:rPr>
        <w:t xml:space="preserve">indicated an interest in </w:t>
      </w:r>
      <w:r>
        <w:rPr>
          <w:szCs w:val="20"/>
        </w:rPr>
        <w:t>gaining</w:t>
      </w:r>
      <w:r w:rsidRPr="00C42A65">
        <w:rPr>
          <w:szCs w:val="20"/>
        </w:rPr>
        <w:t xml:space="preserve"> access to the 1</w:t>
      </w:r>
      <w:r w:rsidR="0006332A">
        <w:rPr>
          <w:szCs w:val="20"/>
        </w:rPr>
        <w:t>.</w:t>
      </w:r>
      <w:r w:rsidRPr="00C42A65">
        <w:rPr>
          <w:szCs w:val="20"/>
        </w:rPr>
        <w:t xml:space="preserve">9 </w:t>
      </w:r>
      <w:r w:rsidR="0006332A">
        <w:rPr>
          <w:szCs w:val="20"/>
        </w:rPr>
        <w:t>G</w:t>
      </w:r>
      <w:r w:rsidRPr="00C42A65">
        <w:rPr>
          <w:szCs w:val="20"/>
        </w:rPr>
        <w:t xml:space="preserve">Hz band </w:t>
      </w:r>
      <w:r>
        <w:rPr>
          <w:szCs w:val="20"/>
        </w:rPr>
        <w:t>for</w:t>
      </w:r>
      <w:r w:rsidRPr="00C42A65">
        <w:rPr>
          <w:szCs w:val="20"/>
        </w:rPr>
        <w:t xml:space="preserve"> its training areas. Pivotel </w:t>
      </w:r>
      <w:r w:rsidR="00131CA7">
        <w:rPr>
          <w:szCs w:val="20"/>
        </w:rPr>
        <w:t>proposed</w:t>
      </w:r>
      <w:r w:rsidRPr="00C42A65">
        <w:rPr>
          <w:szCs w:val="20"/>
        </w:rPr>
        <w:t xml:space="preserve"> </w:t>
      </w:r>
      <w:r w:rsidR="00131CA7">
        <w:rPr>
          <w:szCs w:val="20"/>
        </w:rPr>
        <w:t xml:space="preserve">the </w:t>
      </w:r>
      <w:r w:rsidRPr="00C42A65">
        <w:rPr>
          <w:szCs w:val="20"/>
        </w:rPr>
        <w:t xml:space="preserve">entire band for 4G/5G/WBB services, in conjunction with DECT. </w:t>
      </w:r>
      <w:r w:rsidR="00AF677B">
        <w:rPr>
          <w:szCs w:val="20"/>
        </w:rPr>
        <w:t xml:space="preserve">FSG </w:t>
      </w:r>
      <w:r>
        <w:rPr>
          <w:szCs w:val="20"/>
        </w:rPr>
        <w:t xml:space="preserve">proposed </w:t>
      </w:r>
      <w:r w:rsidR="00E87581">
        <w:rPr>
          <w:szCs w:val="20"/>
        </w:rPr>
        <w:t xml:space="preserve">reducing DECT </w:t>
      </w:r>
      <w:r w:rsidR="009B4AAE">
        <w:rPr>
          <w:szCs w:val="20"/>
        </w:rPr>
        <w:t>arrangements</w:t>
      </w:r>
      <w:r w:rsidR="00E87581">
        <w:rPr>
          <w:szCs w:val="20"/>
        </w:rPr>
        <w:t xml:space="preserve"> from 20 MHz to </w:t>
      </w:r>
      <w:r w:rsidRPr="00C42A65">
        <w:rPr>
          <w:szCs w:val="20"/>
        </w:rPr>
        <w:t>10 MHz</w:t>
      </w:r>
      <w:r>
        <w:rPr>
          <w:szCs w:val="20"/>
        </w:rPr>
        <w:t xml:space="preserve"> and </w:t>
      </w:r>
      <w:r w:rsidR="00E87581">
        <w:rPr>
          <w:szCs w:val="20"/>
        </w:rPr>
        <w:t xml:space="preserve">introducing </w:t>
      </w:r>
      <w:r w:rsidR="00DE33B6">
        <w:rPr>
          <w:szCs w:val="20"/>
        </w:rPr>
        <w:t>p</w:t>
      </w:r>
      <w:r w:rsidR="00AB3B00">
        <w:rPr>
          <w:szCs w:val="20"/>
        </w:rPr>
        <w:t xml:space="preserve">ublic </w:t>
      </w:r>
      <w:r w:rsidR="00DE33B6">
        <w:rPr>
          <w:szCs w:val="20"/>
        </w:rPr>
        <w:t>t</w:t>
      </w:r>
      <w:r w:rsidR="00AB3B00">
        <w:rPr>
          <w:szCs w:val="20"/>
        </w:rPr>
        <w:t xml:space="preserve">elecommunications </w:t>
      </w:r>
      <w:r w:rsidR="00DE33B6">
        <w:rPr>
          <w:szCs w:val="20"/>
        </w:rPr>
        <w:t>s</w:t>
      </w:r>
      <w:r w:rsidR="00AB3B00">
        <w:rPr>
          <w:szCs w:val="20"/>
        </w:rPr>
        <w:t>ervice (</w:t>
      </w:r>
      <w:r>
        <w:rPr>
          <w:szCs w:val="20"/>
        </w:rPr>
        <w:t>PTS</w:t>
      </w:r>
      <w:r w:rsidR="00AB3B00">
        <w:rPr>
          <w:szCs w:val="20"/>
        </w:rPr>
        <w:t>)</w:t>
      </w:r>
      <w:r w:rsidR="00E87581">
        <w:rPr>
          <w:szCs w:val="20"/>
        </w:rPr>
        <w:t xml:space="preserve"> in the remaining 30 MHz. FSG also </w:t>
      </w:r>
      <w:r w:rsidR="002533D1">
        <w:rPr>
          <w:szCs w:val="20"/>
        </w:rPr>
        <w:t>suggested that PTS could share with</w:t>
      </w:r>
      <w:r w:rsidR="00E87581">
        <w:rPr>
          <w:szCs w:val="20"/>
        </w:rPr>
        <w:t xml:space="preserve"> </w:t>
      </w:r>
      <w:r>
        <w:rPr>
          <w:szCs w:val="20"/>
        </w:rPr>
        <w:t xml:space="preserve">FRMCS in </w:t>
      </w:r>
      <w:r w:rsidR="00A05E86">
        <w:rPr>
          <w:szCs w:val="20"/>
        </w:rPr>
        <w:t xml:space="preserve">the </w:t>
      </w:r>
      <w:r w:rsidRPr="0067501C">
        <w:rPr>
          <w:szCs w:val="20"/>
        </w:rPr>
        <w:t>1900</w:t>
      </w:r>
      <w:r w:rsidR="00DE33B6">
        <w:rPr>
          <w:szCs w:val="20"/>
        </w:rPr>
        <w:t>–</w:t>
      </w:r>
      <w:r w:rsidRPr="0067501C">
        <w:rPr>
          <w:szCs w:val="20"/>
        </w:rPr>
        <w:t>1910</w:t>
      </w:r>
      <w:r>
        <w:rPr>
          <w:szCs w:val="20"/>
        </w:rPr>
        <w:t xml:space="preserve"> MHz band as </w:t>
      </w:r>
      <w:r w:rsidR="00AF677B">
        <w:rPr>
          <w:szCs w:val="20"/>
        </w:rPr>
        <w:t>a</w:t>
      </w:r>
      <w:r>
        <w:rPr>
          <w:szCs w:val="20"/>
        </w:rPr>
        <w:t xml:space="preserve"> second </w:t>
      </w:r>
      <w:r w:rsidR="00AF677B">
        <w:rPr>
          <w:szCs w:val="20"/>
        </w:rPr>
        <w:t>option.</w:t>
      </w:r>
    </w:p>
    <w:p w14:paraId="4B51B1F4" w14:textId="77777777" w:rsidR="00DE33B6" w:rsidRDefault="006F41D9" w:rsidP="009B5150">
      <w:pPr>
        <w:pStyle w:val="Paragraph"/>
        <w:keepLines w:val="0"/>
        <w:rPr>
          <w:rFonts w:eastAsiaTheme="minorHAnsi"/>
          <w:color w:val="000000"/>
          <w:szCs w:val="20"/>
          <w:lang w:eastAsia="en-US"/>
        </w:rPr>
      </w:pPr>
      <w:r w:rsidRPr="00C42A65">
        <w:rPr>
          <w:rFonts w:eastAsiaTheme="minorHAnsi"/>
          <w:color w:val="000000"/>
          <w:szCs w:val="20"/>
          <w:lang w:eastAsia="en-US"/>
        </w:rPr>
        <w:t xml:space="preserve">AMTA </w:t>
      </w:r>
      <w:r w:rsidR="00A05E86">
        <w:rPr>
          <w:rFonts w:eastAsiaTheme="minorHAnsi"/>
          <w:color w:val="000000"/>
          <w:szCs w:val="20"/>
          <w:lang w:eastAsia="en-US"/>
        </w:rPr>
        <w:t>noted</w:t>
      </w:r>
      <w:r w:rsidR="00A05E86" w:rsidRPr="00C42A65">
        <w:rPr>
          <w:rFonts w:eastAsiaTheme="minorHAnsi"/>
          <w:color w:val="000000"/>
          <w:szCs w:val="20"/>
          <w:lang w:eastAsia="en-US"/>
        </w:rPr>
        <w:t xml:space="preserve"> </w:t>
      </w:r>
      <w:r w:rsidRPr="00C42A65">
        <w:rPr>
          <w:rFonts w:eastAsiaTheme="minorHAnsi"/>
          <w:color w:val="000000"/>
          <w:szCs w:val="20"/>
          <w:lang w:eastAsia="en-US"/>
        </w:rPr>
        <w:t xml:space="preserve">the importance </w:t>
      </w:r>
      <w:r w:rsidR="00AB3B00">
        <w:rPr>
          <w:rFonts w:eastAsiaTheme="minorHAnsi"/>
          <w:color w:val="000000"/>
          <w:szCs w:val="20"/>
          <w:lang w:eastAsia="en-US"/>
        </w:rPr>
        <w:t>of protecting the</w:t>
      </w:r>
      <w:r w:rsidRPr="00C42A65">
        <w:rPr>
          <w:rFonts w:eastAsiaTheme="minorHAnsi"/>
          <w:color w:val="000000"/>
          <w:szCs w:val="20"/>
          <w:lang w:eastAsia="en-US"/>
        </w:rPr>
        <w:t xml:space="preserve"> adjacent-band 1.8 GHz </w:t>
      </w:r>
      <w:r>
        <w:rPr>
          <w:rFonts w:eastAsiaTheme="minorHAnsi"/>
          <w:color w:val="000000"/>
          <w:szCs w:val="20"/>
          <w:lang w:eastAsia="en-US"/>
        </w:rPr>
        <w:t>and</w:t>
      </w:r>
      <w:r w:rsidRPr="00C42A65">
        <w:rPr>
          <w:rFonts w:eastAsiaTheme="minorHAnsi"/>
          <w:color w:val="000000"/>
          <w:szCs w:val="20"/>
          <w:lang w:eastAsia="en-US"/>
        </w:rPr>
        <w:t xml:space="preserve"> 2 GHz </w:t>
      </w:r>
      <w:r w:rsidR="0006332A">
        <w:rPr>
          <w:rFonts w:eastAsiaTheme="minorHAnsi"/>
          <w:color w:val="000000"/>
          <w:szCs w:val="20"/>
          <w:lang w:eastAsia="en-US"/>
        </w:rPr>
        <w:t xml:space="preserve">spectrum licensed </w:t>
      </w:r>
      <w:r w:rsidR="00140A25">
        <w:rPr>
          <w:rFonts w:eastAsiaTheme="minorHAnsi"/>
          <w:color w:val="000000"/>
          <w:szCs w:val="20"/>
          <w:lang w:eastAsia="en-US"/>
        </w:rPr>
        <w:t>services</w:t>
      </w:r>
      <w:r w:rsidR="00AB3B00">
        <w:rPr>
          <w:rFonts w:eastAsiaTheme="minorHAnsi"/>
          <w:color w:val="000000"/>
          <w:szCs w:val="20"/>
          <w:lang w:eastAsia="en-US"/>
        </w:rPr>
        <w:t>,</w:t>
      </w:r>
      <w:r w:rsidR="00140A25">
        <w:rPr>
          <w:rFonts w:eastAsiaTheme="minorHAnsi"/>
          <w:color w:val="000000"/>
          <w:szCs w:val="20"/>
          <w:lang w:eastAsia="en-US"/>
        </w:rPr>
        <w:t xml:space="preserve"> </w:t>
      </w:r>
      <w:r w:rsidRPr="00C42A65">
        <w:rPr>
          <w:rFonts w:eastAsiaTheme="minorHAnsi"/>
          <w:color w:val="000000"/>
          <w:szCs w:val="20"/>
          <w:lang w:eastAsia="en-US"/>
        </w:rPr>
        <w:t xml:space="preserve">and continued support for PTP links without any additional requirement to be </w:t>
      </w:r>
      <w:r>
        <w:rPr>
          <w:rFonts w:eastAsiaTheme="minorHAnsi"/>
          <w:color w:val="000000"/>
          <w:szCs w:val="20"/>
          <w:lang w:eastAsia="en-US"/>
        </w:rPr>
        <w:t>placed on</w:t>
      </w:r>
      <w:r w:rsidRPr="00C42A65">
        <w:rPr>
          <w:rFonts w:eastAsiaTheme="minorHAnsi"/>
          <w:color w:val="000000"/>
          <w:szCs w:val="20"/>
          <w:lang w:eastAsia="en-US"/>
        </w:rPr>
        <w:t xml:space="preserve"> network base station infrastructure. </w:t>
      </w:r>
      <w:r w:rsidR="00140A25">
        <w:rPr>
          <w:rFonts w:eastAsiaTheme="minorHAnsi"/>
          <w:color w:val="000000"/>
          <w:szCs w:val="20"/>
          <w:lang w:eastAsia="en-US"/>
        </w:rPr>
        <w:t xml:space="preserve">They </w:t>
      </w:r>
      <w:r w:rsidR="00140A25">
        <w:rPr>
          <w:rFonts w:eastAsiaTheme="minorHAnsi"/>
          <w:color w:val="000000"/>
          <w:szCs w:val="20"/>
          <w:lang w:eastAsia="en-US"/>
        </w:rPr>
        <w:lastRenderedPageBreak/>
        <w:t xml:space="preserve">indicated that </w:t>
      </w:r>
      <w:r w:rsidR="002533D1">
        <w:rPr>
          <w:rFonts w:eastAsiaTheme="minorHAnsi"/>
          <w:color w:val="000000"/>
          <w:szCs w:val="20"/>
          <w:lang w:eastAsia="en-US"/>
        </w:rPr>
        <w:t>any new arrangements in the</w:t>
      </w:r>
      <w:r w:rsidR="00640484">
        <w:rPr>
          <w:rFonts w:eastAsiaTheme="minorHAnsi"/>
          <w:color w:val="000000"/>
          <w:szCs w:val="20"/>
          <w:lang w:eastAsia="en-US"/>
        </w:rPr>
        <w:t xml:space="preserve"> </w:t>
      </w:r>
      <w:r w:rsidRPr="00C42A65">
        <w:rPr>
          <w:rFonts w:eastAsiaTheme="minorHAnsi"/>
          <w:color w:val="000000"/>
          <w:szCs w:val="20"/>
          <w:lang w:eastAsia="en-US"/>
        </w:rPr>
        <w:t xml:space="preserve">1.9 GHz </w:t>
      </w:r>
      <w:r w:rsidR="002B26F5">
        <w:rPr>
          <w:rFonts w:eastAsiaTheme="minorHAnsi"/>
          <w:color w:val="000000"/>
          <w:szCs w:val="20"/>
          <w:lang w:eastAsia="en-US"/>
        </w:rPr>
        <w:t>b</w:t>
      </w:r>
      <w:r w:rsidRPr="00C42A65">
        <w:rPr>
          <w:rFonts w:eastAsiaTheme="minorHAnsi"/>
          <w:color w:val="000000"/>
          <w:szCs w:val="20"/>
          <w:lang w:eastAsia="en-US"/>
        </w:rPr>
        <w:t>and</w:t>
      </w:r>
      <w:r w:rsidR="002533D1">
        <w:rPr>
          <w:rFonts w:eastAsiaTheme="minorHAnsi"/>
          <w:color w:val="000000"/>
          <w:szCs w:val="20"/>
          <w:lang w:eastAsia="en-US"/>
        </w:rPr>
        <w:t xml:space="preserve"> should require the 1.9 GHz band transmitter to meet unwanted emissions</w:t>
      </w:r>
      <w:r w:rsidRPr="00C42A65">
        <w:rPr>
          <w:rFonts w:eastAsiaTheme="minorHAnsi"/>
          <w:color w:val="000000"/>
          <w:szCs w:val="20"/>
          <w:lang w:eastAsia="en-US"/>
        </w:rPr>
        <w:t xml:space="preserve"> limit</w:t>
      </w:r>
      <w:r w:rsidR="002533D1">
        <w:rPr>
          <w:rFonts w:eastAsiaTheme="minorHAnsi"/>
          <w:color w:val="000000"/>
          <w:szCs w:val="20"/>
          <w:lang w:eastAsia="en-US"/>
        </w:rPr>
        <w:t>s and</w:t>
      </w:r>
      <w:r w:rsidRPr="00C42A65">
        <w:rPr>
          <w:rFonts w:eastAsiaTheme="minorHAnsi"/>
          <w:color w:val="000000"/>
          <w:szCs w:val="20"/>
          <w:lang w:eastAsia="en-US"/>
        </w:rPr>
        <w:t xml:space="preserve"> may need to be separated from </w:t>
      </w:r>
      <w:r w:rsidR="0006332A">
        <w:rPr>
          <w:rFonts w:eastAsiaTheme="minorHAnsi"/>
          <w:color w:val="000000"/>
          <w:szCs w:val="20"/>
          <w:lang w:eastAsia="en-US"/>
        </w:rPr>
        <w:t xml:space="preserve">the </w:t>
      </w:r>
      <w:r w:rsidRPr="00C42A65">
        <w:rPr>
          <w:rFonts w:eastAsiaTheme="minorHAnsi"/>
          <w:color w:val="000000"/>
          <w:szCs w:val="20"/>
          <w:lang w:eastAsia="en-US"/>
        </w:rPr>
        <w:t xml:space="preserve">1920 MHz </w:t>
      </w:r>
      <w:r w:rsidR="0006332A">
        <w:rPr>
          <w:rFonts w:eastAsiaTheme="minorHAnsi"/>
          <w:color w:val="000000"/>
          <w:szCs w:val="20"/>
          <w:lang w:eastAsia="en-US"/>
        </w:rPr>
        <w:t xml:space="preserve">frequency boundary </w:t>
      </w:r>
      <w:r w:rsidRPr="00C42A65">
        <w:rPr>
          <w:rFonts w:eastAsiaTheme="minorHAnsi"/>
          <w:color w:val="000000"/>
          <w:szCs w:val="20"/>
          <w:lang w:eastAsia="en-US"/>
        </w:rPr>
        <w:t>by a significant guard band</w:t>
      </w:r>
      <w:r w:rsidR="002533D1">
        <w:rPr>
          <w:rFonts w:eastAsiaTheme="minorHAnsi"/>
          <w:color w:val="000000"/>
          <w:szCs w:val="20"/>
          <w:lang w:eastAsia="en-US"/>
        </w:rPr>
        <w:t xml:space="preserve">. </w:t>
      </w:r>
      <w:r w:rsidR="00CD3BF9">
        <w:rPr>
          <w:rFonts w:eastAsiaTheme="minorHAnsi"/>
          <w:color w:val="000000"/>
          <w:szCs w:val="20"/>
          <w:lang w:eastAsia="en-US"/>
        </w:rPr>
        <w:t>AMTA</w:t>
      </w:r>
      <w:r w:rsidR="002533D1">
        <w:rPr>
          <w:rFonts w:eastAsiaTheme="minorHAnsi"/>
          <w:color w:val="000000"/>
          <w:szCs w:val="20"/>
          <w:lang w:eastAsia="en-US"/>
        </w:rPr>
        <w:t xml:space="preserve"> suggested that the unwanted emission limits placed on new 1.9 GHz transmitter</w:t>
      </w:r>
      <w:r w:rsidR="00A05E86">
        <w:rPr>
          <w:rFonts w:eastAsiaTheme="minorHAnsi"/>
          <w:color w:val="000000"/>
          <w:szCs w:val="20"/>
          <w:lang w:eastAsia="en-US"/>
        </w:rPr>
        <w:t>s</w:t>
      </w:r>
      <w:r w:rsidR="002533D1">
        <w:rPr>
          <w:rFonts w:eastAsiaTheme="minorHAnsi"/>
          <w:color w:val="000000"/>
          <w:szCs w:val="20"/>
          <w:lang w:eastAsia="en-US"/>
        </w:rPr>
        <w:t xml:space="preserve"> should be m</w:t>
      </w:r>
      <w:r w:rsidRPr="00C42A65">
        <w:rPr>
          <w:rFonts w:eastAsiaTheme="minorHAnsi"/>
          <w:color w:val="000000"/>
          <w:szCs w:val="20"/>
          <w:lang w:eastAsia="en-US"/>
        </w:rPr>
        <w:t xml:space="preserve">ore stringent than 3GPP. </w:t>
      </w:r>
    </w:p>
    <w:p w14:paraId="0E1359BB" w14:textId="5EDA3F8C" w:rsidR="006F41D9" w:rsidRPr="00C42A65" w:rsidRDefault="006F41D9" w:rsidP="009B5150">
      <w:pPr>
        <w:pStyle w:val="Paragraph"/>
        <w:keepLines w:val="0"/>
        <w:rPr>
          <w:rFonts w:eastAsiaTheme="minorHAnsi"/>
          <w:color w:val="000000"/>
          <w:szCs w:val="20"/>
          <w:lang w:eastAsia="en-US"/>
        </w:rPr>
      </w:pPr>
      <w:r w:rsidRPr="00C42A65">
        <w:rPr>
          <w:rFonts w:eastAsiaTheme="minorHAnsi"/>
          <w:color w:val="000000"/>
          <w:szCs w:val="20"/>
          <w:lang w:eastAsia="en-US"/>
        </w:rPr>
        <w:t xml:space="preserve">AMTA’s view is that to address the 2 GHz </w:t>
      </w:r>
      <w:r w:rsidR="00AB3B00">
        <w:rPr>
          <w:rFonts w:eastAsiaTheme="minorHAnsi"/>
          <w:color w:val="000000"/>
          <w:szCs w:val="20"/>
          <w:lang w:eastAsia="en-US"/>
        </w:rPr>
        <w:t>base station (</w:t>
      </w:r>
      <w:r w:rsidRPr="00C42A65">
        <w:rPr>
          <w:rFonts w:eastAsiaTheme="minorHAnsi"/>
          <w:color w:val="000000"/>
          <w:szCs w:val="20"/>
          <w:lang w:eastAsia="en-US"/>
        </w:rPr>
        <w:t>BS</w:t>
      </w:r>
      <w:r w:rsidR="00AB3B00">
        <w:rPr>
          <w:rFonts w:eastAsiaTheme="minorHAnsi"/>
          <w:color w:val="000000"/>
          <w:szCs w:val="20"/>
          <w:lang w:eastAsia="en-US"/>
        </w:rPr>
        <w:t>)</w:t>
      </w:r>
      <w:r w:rsidRPr="00C42A65">
        <w:rPr>
          <w:rFonts w:eastAsiaTheme="minorHAnsi"/>
          <w:color w:val="000000"/>
          <w:szCs w:val="20"/>
          <w:lang w:eastAsia="en-US"/>
        </w:rPr>
        <w:t xml:space="preserve"> receiver blocking, it is unlikely that any high-power 1.9 GHz transmitters would be able to operate without a significant guard band (10 MHz). </w:t>
      </w:r>
      <w:r w:rsidR="00140A25">
        <w:rPr>
          <w:rFonts w:eastAsiaTheme="minorHAnsi"/>
          <w:color w:val="000000"/>
          <w:szCs w:val="20"/>
          <w:lang w:eastAsia="en-US"/>
        </w:rPr>
        <w:t>They</w:t>
      </w:r>
      <w:r w:rsidRPr="00C42A65">
        <w:rPr>
          <w:rFonts w:eastAsiaTheme="minorHAnsi"/>
          <w:color w:val="000000"/>
          <w:szCs w:val="20"/>
          <w:lang w:eastAsia="en-US"/>
        </w:rPr>
        <w:t xml:space="preserve"> </w:t>
      </w:r>
      <w:r>
        <w:rPr>
          <w:rFonts w:eastAsiaTheme="minorHAnsi"/>
          <w:color w:val="000000"/>
          <w:szCs w:val="20"/>
          <w:lang w:eastAsia="en-US"/>
        </w:rPr>
        <w:t>proposed</w:t>
      </w:r>
      <w:r w:rsidRPr="00C42A65">
        <w:rPr>
          <w:rFonts w:eastAsiaTheme="minorHAnsi"/>
          <w:color w:val="000000"/>
          <w:szCs w:val="20"/>
          <w:lang w:eastAsia="en-US"/>
        </w:rPr>
        <w:t xml:space="preserve"> that metro areas could potentially be made available for WBB, either under </w:t>
      </w:r>
      <w:r w:rsidR="002E6D63">
        <w:rPr>
          <w:rFonts w:eastAsiaTheme="minorHAnsi"/>
          <w:color w:val="000000"/>
          <w:szCs w:val="20"/>
          <w:lang w:eastAsia="en-US"/>
        </w:rPr>
        <w:t>a</w:t>
      </w:r>
      <w:r w:rsidRPr="00C42A65">
        <w:rPr>
          <w:rFonts w:eastAsiaTheme="minorHAnsi"/>
          <w:color w:val="000000"/>
          <w:szCs w:val="20"/>
          <w:lang w:eastAsia="en-US"/>
        </w:rPr>
        <w:t>rea</w:t>
      </w:r>
      <w:r w:rsidR="002E6D63">
        <w:rPr>
          <w:rFonts w:eastAsiaTheme="minorHAnsi"/>
          <w:color w:val="000000"/>
          <w:szCs w:val="20"/>
          <w:lang w:eastAsia="en-US"/>
        </w:rPr>
        <w:t>-w</w:t>
      </w:r>
      <w:r w:rsidRPr="00C42A65">
        <w:rPr>
          <w:rFonts w:eastAsiaTheme="minorHAnsi"/>
          <w:color w:val="000000"/>
          <w:szCs w:val="20"/>
          <w:lang w:eastAsia="en-US"/>
        </w:rPr>
        <w:t xml:space="preserve">ide </w:t>
      </w:r>
      <w:r w:rsidR="002E6D63">
        <w:rPr>
          <w:rFonts w:eastAsiaTheme="minorHAnsi"/>
          <w:color w:val="000000"/>
          <w:szCs w:val="20"/>
          <w:lang w:eastAsia="en-US"/>
        </w:rPr>
        <w:t>l</w:t>
      </w:r>
      <w:r w:rsidRPr="00C42A65">
        <w:rPr>
          <w:rFonts w:eastAsiaTheme="minorHAnsi"/>
          <w:color w:val="000000"/>
          <w:szCs w:val="20"/>
          <w:lang w:eastAsia="en-US"/>
        </w:rPr>
        <w:t xml:space="preserve">icenses (AWLs) or </w:t>
      </w:r>
      <w:r w:rsidR="002E6D63">
        <w:rPr>
          <w:rFonts w:eastAsiaTheme="minorHAnsi"/>
          <w:color w:val="000000"/>
          <w:szCs w:val="20"/>
          <w:lang w:eastAsia="en-US"/>
        </w:rPr>
        <w:t>s</w:t>
      </w:r>
      <w:r w:rsidRPr="00C42A65">
        <w:rPr>
          <w:rFonts w:eastAsiaTheme="minorHAnsi"/>
          <w:color w:val="000000"/>
          <w:szCs w:val="20"/>
          <w:lang w:eastAsia="en-US"/>
        </w:rPr>
        <w:t xml:space="preserve">pectrum </w:t>
      </w:r>
      <w:r w:rsidR="002E6D63">
        <w:rPr>
          <w:rFonts w:eastAsiaTheme="minorHAnsi"/>
          <w:color w:val="000000"/>
          <w:szCs w:val="20"/>
          <w:lang w:eastAsia="en-US"/>
        </w:rPr>
        <w:t>l</w:t>
      </w:r>
      <w:r w:rsidRPr="00C42A65">
        <w:rPr>
          <w:rFonts w:eastAsiaTheme="minorHAnsi"/>
          <w:color w:val="000000"/>
          <w:szCs w:val="20"/>
          <w:lang w:eastAsia="en-US"/>
        </w:rPr>
        <w:t>icen</w:t>
      </w:r>
      <w:r w:rsidR="00140A25">
        <w:rPr>
          <w:rFonts w:eastAsiaTheme="minorHAnsi"/>
          <w:color w:val="000000"/>
          <w:szCs w:val="20"/>
          <w:lang w:eastAsia="en-US"/>
        </w:rPr>
        <w:t>c</w:t>
      </w:r>
      <w:r w:rsidRPr="00C42A65">
        <w:rPr>
          <w:rFonts w:eastAsiaTheme="minorHAnsi"/>
          <w:color w:val="000000"/>
          <w:szCs w:val="20"/>
          <w:lang w:eastAsia="en-US"/>
        </w:rPr>
        <w:t>es (SLs). It also suggest</w:t>
      </w:r>
      <w:r>
        <w:rPr>
          <w:rFonts w:eastAsiaTheme="minorHAnsi"/>
          <w:color w:val="000000"/>
          <w:szCs w:val="20"/>
          <w:lang w:eastAsia="en-US"/>
        </w:rPr>
        <w:t>ed</w:t>
      </w:r>
      <w:r w:rsidRPr="00C42A65">
        <w:rPr>
          <w:rFonts w:eastAsiaTheme="minorHAnsi"/>
          <w:color w:val="000000"/>
          <w:szCs w:val="20"/>
          <w:lang w:eastAsia="en-US"/>
        </w:rPr>
        <w:t xml:space="preserve"> MulteFire </w:t>
      </w:r>
      <w:r>
        <w:rPr>
          <w:rFonts w:eastAsiaTheme="minorHAnsi"/>
          <w:color w:val="000000"/>
          <w:szCs w:val="20"/>
          <w:lang w:eastAsia="en-US"/>
        </w:rPr>
        <w:t>and</w:t>
      </w:r>
      <w:r w:rsidRPr="00C42A65">
        <w:rPr>
          <w:rFonts w:eastAsiaTheme="minorHAnsi"/>
          <w:color w:val="000000"/>
          <w:szCs w:val="20"/>
          <w:lang w:eastAsia="en-US"/>
        </w:rPr>
        <w:t xml:space="preserve"> DECT operate only in 1880</w:t>
      </w:r>
      <w:r w:rsidR="00DE33B6">
        <w:rPr>
          <w:rFonts w:eastAsiaTheme="minorHAnsi"/>
          <w:color w:val="000000"/>
          <w:szCs w:val="20"/>
          <w:lang w:eastAsia="en-US"/>
        </w:rPr>
        <w:t>–</w:t>
      </w:r>
      <w:r w:rsidRPr="00C42A65">
        <w:rPr>
          <w:rFonts w:eastAsiaTheme="minorHAnsi"/>
          <w:color w:val="000000"/>
          <w:szCs w:val="20"/>
          <w:lang w:eastAsia="en-US"/>
        </w:rPr>
        <w:t>1900 MHz</w:t>
      </w:r>
      <w:r>
        <w:rPr>
          <w:rFonts w:eastAsiaTheme="minorHAnsi"/>
          <w:color w:val="000000"/>
          <w:szCs w:val="20"/>
          <w:lang w:eastAsia="en-US"/>
        </w:rPr>
        <w:t>,</w:t>
      </w:r>
      <w:r w:rsidRPr="00C42A65">
        <w:rPr>
          <w:rFonts w:eastAsiaTheme="minorHAnsi"/>
          <w:color w:val="000000"/>
          <w:szCs w:val="20"/>
          <w:lang w:eastAsia="en-US"/>
        </w:rPr>
        <w:t xml:space="preserve"> fixed P</w:t>
      </w:r>
      <w:r>
        <w:rPr>
          <w:rFonts w:eastAsiaTheme="minorHAnsi"/>
          <w:color w:val="000000"/>
          <w:szCs w:val="20"/>
          <w:lang w:eastAsia="en-US"/>
        </w:rPr>
        <w:t>T</w:t>
      </w:r>
      <w:r w:rsidRPr="00C42A65">
        <w:rPr>
          <w:rFonts w:eastAsiaTheme="minorHAnsi"/>
          <w:color w:val="000000"/>
          <w:szCs w:val="20"/>
          <w:lang w:eastAsia="en-US"/>
        </w:rPr>
        <w:t xml:space="preserve">P links </w:t>
      </w:r>
      <w:r>
        <w:rPr>
          <w:rFonts w:eastAsiaTheme="minorHAnsi"/>
          <w:color w:val="000000"/>
          <w:szCs w:val="20"/>
          <w:lang w:eastAsia="en-US"/>
        </w:rPr>
        <w:t>and</w:t>
      </w:r>
      <w:r w:rsidRPr="00C42A65">
        <w:rPr>
          <w:rFonts w:eastAsiaTheme="minorHAnsi"/>
          <w:color w:val="000000"/>
          <w:szCs w:val="20"/>
          <w:lang w:eastAsia="en-US"/>
        </w:rPr>
        <w:t xml:space="preserve"> WBB services</w:t>
      </w:r>
      <w:r>
        <w:rPr>
          <w:rFonts w:eastAsiaTheme="minorHAnsi"/>
          <w:color w:val="000000"/>
          <w:szCs w:val="20"/>
          <w:lang w:eastAsia="en-US"/>
        </w:rPr>
        <w:t xml:space="preserve"> only</w:t>
      </w:r>
      <w:r w:rsidRPr="00C42A65">
        <w:rPr>
          <w:rFonts w:eastAsiaTheme="minorHAnsi"/>
          <w:color w:val="000000"/>
          <w:szCs w:val="20"/>
          <w:lang w:eastAsia="en-US"/>
        </w:rPr>
        <w:t xml:space="preserve"> in 1900</w:t>
      </w:r>
      <w:r w:rsidR="00DE33B6">
        <w:rPr>
          <w:rFonts w:eastAsiaTheme="minorHAnsi"/>
          <w:color w:val="000000"/>
          <w:szCs w:val="20"/>
          <w:lang w:eastAsia="en-US"/>
        </w:rPr>
        <w:t>–</w:t>
      </w:r>
      <w:r w:rsidRPr="00C42A65">
        <w:rPr>
          <w:rFonts w:eastAsiaTheme="minorHAnsi"/>
          <w:color w:val="000000"/>
          <w:szCs w:val="20"/>
          <w:lang w:eastAsia="en-US"/>
        </w:rPr>
        <w:t>1920 MHz</w:t>
      </w:r>
      <w:r>
        <w:rPr>
          <w:rFonts w:eastAsiaTheme="minorHAnsi"/>
          <w:color w:val="000000"/>
          <w:szCs w:val="20"/>
          <w:lang w:eastAsia="en-US"/>
        </w:rPr>
        <w:t xml:space="preserve">, and </w:t>
      </w:r>
      <w:r w:rsidR="0006332A">
        <w:rPr>
          <w:rFonts w:eastAsiaTheme="minorHAnsi"/>
          <w:color w:val="000000"/>
          <w:szCs w:val="20"/>
          <w:lang w:eastAsia="en-US"/>
        </w:rPr>
        <w:t xml:space="preserve">that </w:t>
      </w:r>
      <w:r w:rsidRPr="00C42A65">
        <w:rPr>
          <w:rFonts w:eastAsiaTheme="minorHAnsi"/>
          <w:color w:val="000000"/>
          <w:szCs w:val="20"/>
          <w:lang w:eastAsia="en-US"/>
        </w:rPr>
        <w:t>private WBB networks limited to the operator’s premises could also possibly share with DECT</w:t>
      </w:r>
      <w:r w:rsidR="00A05E86">
        <w:rPr>
          <w:rFonts w:eastAsiaTheme="minorHAnsi"/>
          <w:color w:val="000000"/>
          <w:szCs w:val="20"/>
          <w:lang w:eastAsia="en-US"/>
        </w:rPr>
        <w:t>.</w:t>
      </w:r>
    </w:p>
    <w:p w14:paraId="17661B99" w14:textId="4FEFE4F8" w:rsidR="006F41D9" w:rsidRPr="00C42A65" w:rsidRDefault="006F41D9" w:rsidP="00BC175B">
      <w:pPr>
        <w:pStyle w:val="Paragraphbeforelist"/>
        <w:rPr>
          <w:rFonts w:eastAsiaTheme="minorHAnsi"/>
          <w:lang w:eastAsia="en-US"/>
        </w:rPr>
      </w:pPr>
      <w:r w:rsidRPr="00C42A65">
        <w:rPr>
          <w:rFonts w:eastAsiaTheme="minorHAnsi"/>
          <w:lang w:eastAsia="en-US"/>
        </w:rPr>
        <w:t xml:space="preserve">Optus </w:t>
      </w:r>
      <w:r w:rsidR="006D3A26">
        <w:rPr>
          <w:rFonts w:eastAsiaTheme="minorHAnsi"/>
          <w:lang w:eastAsia="en-US"/>
        </w:rPr>
        <w:t xml:space="preserve">stated </w:t>
      </w:r>
      <w:r w:rsidR="00A05E86">
        <w:rPr>
          <w:rFonts w:eastAsiaTheme="minorHAnsi"/>
          <w:lang w:eastAsia="en-US"/>
        </w:rPr>
        <w:t xml:space="preserve">its </w:t>
      </w:r>
      <w:r w:rsidRPr="00C42A65">
        <w:rPr>
          <w:rFonts w:eastAsiaTheme="minorHAnsi"/>
          <w:lang w:eastAsia="en-US"/>
        </w:rPr>
        <w:t xml:space="preserve">concern that high-power services in the 1.9 GHz </w:t>
      </w:r>
      <w:r w:rsidR="00A05E86">
        <w:rPr>
          <w:rFonts w:eastAsiaTheme="minorHAnsi"/>
          <w:lang w:eastAsia="en-US"/>
        </w:rPr>
        <w:t xml:space="preserve">band </w:t>
      </w:r>
      <w:r w:rsidRPr="00C42A65">
        <w:rPr>
          <w:rFonts w:eastAsiaTheme="minorHAnsi"/>
          <w:lang w:eastAsia="en-US"/>
        </w:rPr>
        <w:t xml:space="preserve">have the potential to undermine the utility of </w:t>
      </w:r>
      <w:r w:rsidR="00A05E86">
        <w:rPr>
          <w:rFonts w:eastAsiaTheme="minorHAnsi"/>
          <w:lang w:eastAsia="en-US"/>
        </w:rPr>
        <w:t xml:space="preserve">the </w:t>
      </w:r>
      <w:r w:rsidRPr="00C42A65">
        <w:rPr>
          <w:rFonts w:eastAsiaTheme="minorHAnsi"/>
          <w:lang w:eastAsia="en-US"/>
        </w:rPr>
        <w:t xml:space="preserve">1.8 GHz and 2 GHz bands. The coexistence of </w:t>
      </w:r>
      <w:r w:rsidR="00DE33B6">
        <w:t>t</w:t>
      </w:r>
      <w:r w:rsidR="007E54C3" w:rsidRPr="00525860">
        <w:t xml:space="preserve">ime </w:t>
      </w:r>
      <w:r w:rsidR="00DE33B6">
        <w:t>d</w:t>
      </w:r>
      <w:r w:rsidR="007E54C3" w:rsidRPr="00525860">
        <w:t xml:space="preserve">ivision </w:t>
      </w:r>
      <w:r w:rsidR="00DE33B6">
        <w:t>d</w:t>
      </w:r>
      <w:r w:rsidR="007E54C3" w:rsidRPr="00525860">
        <w:t xml:space="preserve">uplex </w:t>
      </w:r>
      <w:r w:rsidR="007E54C3">
        <w:t>(</w:t>
      </w:r>
      <w:r w:rsidRPr="00C42A65">
        <w:rPr>
          <w:rFonts w:eastAsiaTheme="minorHAnsi"/>
          <w:lang w:eastAsia="en-US"/>
        </w:rPr>
        <w:t>TDD</w:t>
      </w:r>
      <w:r w:rsidR="007E54C3">
        <w:rPr>
          <w:rFonts w:eastAsiaTheme="minorHAnsi"/>
          <w:lang w:eastAsia="en-US"/>
        </w:rPr>
        <w:t>)</w:t>
      </w:r>
      <w:r w:rsidRPr="00C42A65">
        <w:rPr>
          <w:rFonts w:eastAsiaTheme="minorHAnsi"/>
          <w:lang w:eastAsia="en-US"/>
        </w:rPr>
        <w:t xml:space="preserve"> systems in the 1.9</w:t>
      </w:r>
      <w:r w:rsidR="00640484">
        <w:rPr>
          <w:rFonts w:eastAsiaTheme="minorHAnsi"/>
          <w:lang w:eastAsia="en-US"/>
        </w:rPr>
        <w:t> </w:t>
      </w:r>
      <w:r w:rsidRPr="00C42A65">
        <w:rPr>
          <w:rFonts w:eastAsiaTheme="minorHAnsi"/>
          <w:lang w:eastAsia="en-US"/>
        </w:rPr>
        <w:t xml:space="preserve">GHz band with the adjacent FDD systems will present challenges to effective interference management. Optus has stated that there has not been a successful case of coexistence of these </w:t>
      </w:r>
      <w:r w:rsidR="00231C77">
        <w:rPr>
          <w:rFonts w:eastAsiaTheme="minorHAnsi"/>
          <w:lang w:eastAsia="en-US"/>
        </w:rPr>
        <w:t>3</w:t>
      </w:r>
      <w:r w:rsidR="00231C77" w:rsidRPr="00C42A65">
        <w:rPr>
          <w:rFonts w:eastAsiaTheme="minorHAnsi"/>
          <w:lang w:eastAsia="en-US"/>
        </w:rPr>
        <w:t xml:space="preserve"> </w:t>
      </w:r>
      <w:r w:rsidRPr="00C42A65">
        <w:rPr>
          <w:rFonts w:eastAsiaTheme="minorHAnsi"/>
          <w:lang w:eastAsia="en-US"/>
        </w:rPr>
        <w:t>3GPP bands</w:t>
      </w:r>
      <w:r w:rsidR="0006332A">
        <w:rPr>
          <w:rFonts w:eastAsiaTheme="minorHAnsi"/>
          <w:lang w:eastAsia="en-US"/>
        </w:rPr>
        <w:t>:</w:t>
      </w:r>
    </w:p>
    <w:p w14:paraId="433D8D0E" w14:textId="670DD45E" w:rsidR="006F41D9" w:rsidRPr="00450397" w:rsidRDefault="002B26F5" w:rsidP="009B5150">
      <w:pPr>
        <w:pStyle w:val="ListBullet"/>
        <w:keepLines w:val="0"/>
        <w:rPr>
          <w:rFonts w:eastAsiaTheme="minorHAnsi"/>
        </w:rPr>
      </w:pPr>
      <w:r w:rsidRPr="00BC175B">
        <w:rPr>
          <w:rFonts w:eastAsiaTheme="minorHAnsi"/>
          <w:b/>
          <w:bCs/>
        </w:rPr>
        <w:t>B</w:t>
      </w:r>
      <w:r w:rsidR="006F41D9" w:rsidRPr="00BC175B">
        <w:rPr>
          <w:rFonts w:eastAsiaTheme="minorHAnsi"/>
          <w:b/>
          <w:bCs/>
        </w:rPr>
        <w:t>and 1:</w:t>
      </w:r>
      <w:r w:rsidR="006F41D9" w:rsidRPr="00450397">
        <w:rPr>
          <w:rFonts w:eastAsiaTheme="minorHAnsi"/>
        </w:rPr>
        <w:t xml:space="preserve"> 2.1 GHz (1920–1980 MHz): FDD mode, </w:t>
      </w:r>
      <w:r w:rsidR="00C7592D">
        <w:rPr>
          <w:rFonts w:eastAsiaTheme="minorHAnsi"/>
        </w:rPr>
        <w:t>uplink</w:t>
      </w:r>
      <w:r w:rsidR="00DE33B6">
        <w:rPr>
          <w:rFonts w:eastAsiaTheme="minorHAnsi"/>
        </w:rPr>
        <w:t>.</w:t>
      </w:r>
    </w:p>
    <w:p w14:paraId="2B592F13" w14:textId="4397CBBF" w:rsidR="006F41D9" w:rsidRPr="00450397" w:rsidRDefault="002B26F5" w:rsidP="009B5150">
      <w:pPr>
        <w:pStyle w:val="ListBullet"/>
        <w:keepLines w:val="0"/>
        <w:rPr>
          <w:rFonts w:eastAsiaTheme="minorHAnsi"/>
        </w:rPr>
      </w:pPr>
      <w:r w:rsidRPr="00BC175B">
        <w:rPr>
          <w:rFonts w:eastAsiaTheme="minorHAnsi"/>
          <w:b/>
          <w:bCs/>
        </w:rPr>
        <w:t>B</w:t>
      </w:r>
      <w:r w:rsidR="006F41D9" w:rsidRPr="00BC175B">
        <w:rPr>
          <w:rFonts w:eastAsiaTheme="minorHAnsi"/>
          <w:b/>
          <w:bCs/>
        </w:rPr>
        <w:t>and 3:</w:t>
      </w:r>
      <w:r w:rsidR="006F41D9" w:rsidRPr="00450397">
        <w:rPr>
          <w:rFonts w:eastAsiaTheme="minorHAnsi"/>
        </w:rPr>
        <w:t xml:space="preserve"> 1.8 GHz (1805–1880 MHz): FDD mode, </w:t>
      </w:r>
      <w:r w:rsidR="00C7592D">
        <w:rPr>
          <w:rFonts w:eastAsiaTheme="minorHAnsi"/>
        </w:rPr>
        <w:t>downlink</w:t>
      </w:r>
      <w:r w:rsidR="00DE33B6">
        <w:rPr>
          <w:rFonts w:eastAsiaTheme="minorHAnsi"/>
        </w:rPr>
        <w:t>.</w:t>
      </w:r>
    </w:p>
    <w:p w14:paraId="176FAF57" w14:textId="3BB37D84" w:rsidR="006F41D9" w:rsidRPr="00450397" w:rsidRDefault="002B26F5" w:rsidP="009B5150">
      <w:pPr>
        <w:pStyle w:val="ListBullet"/>
        <w:keepLines w:val="0"/>
        <w:rPr>
          <w:rFonts w:eastAsiaTheme="minorHAnsi"/>
        </w:rPr>
      </w:pPr>
      <w:r w:rsidRPr="00BC175B">
        <w:rPr>
          <w:rFonts w:eastAsiaTheme="minorHAnsi"/>
          <w:b/>
          <w:bCs/>
        </w:rPr>
        <w:t>B</w:t>
      </w:r>
      <w:r w:rsidR="006F41D9" w:rsidRPr="00BC175B">
        <w:rPr>
          <w:rFonts w:eastAsiaTheme="minorHAnsi"/>
          <w:b/>
          <w:bCs/>
        </w:rPr>
        <w:t>and 39:</w:t>
      </w:r>
      <w:r w:rsidR="006F41D9" w:rsidRPr="00450397">
        <w:rPr>
          <w:rFonts w:eastAsiaTheme="minorHAnsi"/>
        </w:rPr>
        <w:t xml:space="preserve"> 1.9 GHz (1880–1920 MHz): TDD mode</w:t>
      </w:r>
      <w:r w:rsidR="00A05E86">
        <w:rPr>
          <w:rFonts w:eastAsiaTheme="minorHAnsi"/>
        </w:rPr>
        <w:t>.</w:t>
      </w:r>
      <w:r w:rsidR="006F41D9" w:rsidRPr="00450397">
        <w:rPr>
          <w:rFonts w:eastAsiaTheme="minorHAnsi"/>
        </w:rPr>
        <w:t xml:space="preserve"> </w:t>
      </w:r>
    </w:p>
    <w:p w14:paraId="32A6625D" w14:textId="77777777" w:rsidR="006F41D9" w:rsidRPr="00C42A65" w:rsidRDefault="006F41D9" w:rsidP="000F37CD">
      <w:pPr>
        <w:keepLines w:val="0"/>
        <w:autoSpaceDE w:val="0"/>
        <w:autoSpaceDN w:val="0"/>
        <w:adjustRightInd w:val="0"/>
        <w:spacing w:after="0" w:line="240" w:lineRule="auto"/>
        <w:ind w:left="720" w:right="1559"/>
        <w:rPr>
          <w:rFonts w:eastAsiaTheme="minorHAnsi" w:cs="Arial"/>
          <w:color w:val="000000"/>
          <w:szCs w:val="20"/>
          <w:lang w:eastAsia="en-US"/>
        </w:rPr>
      </w:pPr>
    </w:p>
    <w:p w14:paraId="341867BF" w14:textId="207AFC79" w:rsidR="006F41D9" w:rsidRPr="00C42A65" w:rsidRDefault="006F41D9" w:rsidP="009B5150">
      <w:pPr>
        <w:pStyle w:val="Paragraph"/>
        <w:keepLines w:val="0"/>
        <w:rPr>
          <w:rFonts w:eastAsiaTheme="minorHAnsi"/>
          <w:lang w:eastAsia="en-US"/>
        </w:rPr>
      </w:pPr>
      <w:r w:rsidRPr="00C42A65">
        <w:rPr>
          <w:rFonts w:eastAsiaTheme="minorHAnsi"/>
          <w:lang w:eastAsia="en-US"/>
        </w:rPr>
        <w:t xml:space="preserve">Optus supports </w:t>
      </w:r>
      <w:r w:rsidR="00363EF0">
        <w:rPr>
          <w:rFonts w:eastAsiaTheme="minorHAnsi"/>
          <w:lang w:eastAsia="en-US"/>
        </w:rPr>
        <w:t xml:space="preserve">future </w:t>
      </w:r>
      <w:r w:rsidR="00694E7B">
        <w:rPr>
          <w:rFonts w:eastAsiaTheme="minorHAnsi"/>
          <w:lang w:eastAsia="en-US"/>
        </w:rPr>
        <w:t>DECT</w:t>
      </w:r>
      <w:r w:rsidRPr="00C42A65">
        <w:rPr>
          <w:rFonts w:eastAsiaTheme="minorHAnsi"/>
          <w:lang w:eastAsia="en-US"/>
        </w:rPr>
        <w:t xml:space="preserve"> in 1880–1900 MHz, FRMCS in 1900</w:t>
      </w:r>
      <w:r w:rsidR="00DE33B6">
        <w:rPr>
          <w:rFonts w:eastAsiaTheme="minorHAnsi"/>
          <w:lang w:eastAsia="en-US"/>
        </w:rPr>
        <w:t>–</w:t>
      </w:r>
      <w:r w:rsidRPr="00C42A65">
        <w:rPr>
          <w:rFonts w:eastAsiaTheme="minorHAnsi"/>
          <w:lang w:eastAsia="en-US"/>
        </w:rPr>
        <w:t xml:space="preserve">1910 MHz </w:t>
      </w:r>
      <w:r>
        <w:rPr>
          <w:rFonts w:eastAsiaTheme="minorHAnsi"/>
          <w:lang w:eastAsia="en-US"/>
        </w:rPr>
        <w:t>and</w:t>
      </w:r>
      <w:r w:rsidRPr="00C42A65">
        <w:rPr>
          <w:rFonts w:eastAsiaTheme="minorHAnsi"/>
          <w:lang w:eastAsia="en-US"/>
        </w:rPr>
        <w:t xml:space="preserve"> PTP </w:t>
      </w:r>
      <w:r>
        <w:rPr>
          <w:rFonts w:eastAsiaTheme="minorHAnsi"/>
          <w:lang w:eastAsia="en-US"/>
        </w:rPr>
        <w:t>and</w:t>
      </w:r>
      <w:r w:rsidRPr="00C42A65">
        <w:rPr>
          <w:rFonts w:eastAsiaTheme="minorHAnsi"/>
          <w:lang w:eastAsia="en-US"/>
        </w:rPr>
        <w:t xml:space="preserve"> PMP services in </w:t>
      </w:r>
      <w:r w:rsidR="00A73AE5" w:rsidRPr="00C42A65">
        <w:rPr>
          <w:rFonts w:eastAsiaTheme="minorHAnsi"/>
          <w:lang w:eastAsia="en-US"/>
        </w:rPr>
        <w:t>19</w:t>
      </w:r>
      <w:r w:rsidR="00A73AE5">
        <w:rPr>
          <w:rFonts w:eastAsiaTheme="minorHAnsi"/>
          <w:lang w:eastAsia="en-US"/>
        </w:rPr>
        <w:t>0</w:t>
      </w:r>
      <w:r w:rsidR="00A73AE5" w:rsidRPr="00C42A65">
        <w:rPr>
          <w:rFonts w:eastAsiaTheme="minorHAnsi"/>
          <w:lang w:eastAsia="en-US"/>
        </w:rPr>
        <w:t>0</w:t>
      </w:r>
      <w:r w:rsidRPr="00C42A65">
        <w:rPr>
          <w:rFonts w:eastAsiaTheme="minorHAnsi"/>
          <w:lang w:eastAsia="en-US"/>
        </w:rPr>
        <w:t>–1920 MHz in regional and remote areas.</w:t>
      </w:r>
    </w:p>
    <w:p w14:paraId="2750DBB0" w14:textId="77777777" w:rsidR="006F41D9" w:rsidRPr="003428AC" w:rsidRDefault="006F41D9" w:rsidP="000F37CD">
      <w:pPr>
        <w:keepLines w:val="0"/>
        <w:autoSpaceDE w:val="0"/>
        <w:autoSpaceDN w:val="0"/>
        <w:adjustRightInd w:val="0"/>
        <w:spacing w:after="0" w:line="240" w:lineRule="auto"/>
        <w:ind w:right="1559"/>
        <w:rPr>
          <w:rFonts w:eastAsiaTheme="minorHAnsi" w:cs="Arial"/>
          <w:color w:val="000000"/>
          <w:sz w:val="24"/>
          <w:lang w:eastAsia="en-US"/>
        </w:rPr>
      </w:pPr>
    </w:p>
    <w:p w14:paraId="51724A57" w14:textId="2C9797BF" w:rsidR="00847314" w:rsidRDefault="00847314">
      <w:pPr>
        <w:keepLines w:val="0"/>
        <w:spacing w:after="0" w:line="240" w:lineRule="auto"/>
        <w:rPr>
          <w:rFonts w:cs="Arial"/>
          <w:b/>
          <w:bCs/>
          <w:iCs/>
          <w:sz w:val="28"/>
          <w:szCs w:val="28"/>
        </w:rPr>
      </w:pPr>
      <w:bookmarkStart w:id="76" w:name="_International_developments"/>
      <w:bookmarkEnd w:id="76"/>
    </w:p>
    <w:p w14:paraId="6C002B49" w14:textId="3E13A97B" w:rsidR="00FC040F" w:rsidRPr="00A05EC9" w:rsidRDefault="00A848FD" w:rsidP="00054A66">
      <w:pPr>
        <w:pStyle w:val="Heading1"/>
        <w:ind w:right="1559"/>
      </w:pPr>
      <w:bookmarkStart w:id="77" w:name="_Toc117870122"/>
      <w:bookmarkStart w:id="78" w:name="_Toc118785112"/>
      <w:bookmarkStart w:id="79" w:name="_Toc120600047"/>
      <w:bookmarkStart w:id="80" w:name="_Toc5000068"/>
      <w:r>
        <w:lastRenderedPageBreak/>
        <w:t>The case for action</w:t>
      </w:r>
      <w:bookmarkEnd w:id="77"/>
      <w:bookmarkEnd w:id="78"/>
      <w:bookmarkEnd w:id="79"/>
    </w:p>
    <w:p w14:paraId="597A3273" w14:textId="367E0570" w:rsidR="00C74D1F" w:rsidRDefault="00C74D1F" w:rsidP="009B5150">
      <w:pPr>
        <w:pStyle w:val="Paragraph"/>
        <w:keepLines w:val="0"/>
      </w:pPr>
      <w:bookmarkStart w:id="81" w:name="_Ref507493397"/>
      <w:r>
        <w:t xml:space="preserve">Identifying </w:t>
      </w:r>
      <w:r w:rsidR="005054B2">
        <w:t>spectrum use</w:t>
      </w:r>
      <w:r w:rsidR="00A8670B">
        <w:t>(</w:t>
      </w:r>
      <w:r w:rsidR="005054B2">
        <w:t xml:space="preserve">s) </w:t>
      </w:r>
      <w:r>
        <w:t xml:space="preserve">most likely to </w:t>
      </w:r>
      <w:r w:rsidR="00EC02A5">
        <w:t>promote</w:t>
      </w:r>
      <w:r>
        <w:t xml:space="preserve"> the </w:t>
      </w:r>
      <w:r w:rsidR="00EC02A5">
        <w:t>long</w:t>
      </w:r>
      <w:r w:rsidR="00EC02A5">
        <w:rPr>
          <w:rFonts w:ascii="Cambria Math" w:hAnsi="Cambria Math" w:cs="Cambria Math"/>
        </w:rPr>
        <w:t>‑</w:t>
      </w:r>
      <w:r w:rsidR="00EC02A5">
        <w:t xml:space="preserve">term </w:t>
      </w:r>
      <w:r w:rsidR="005054B2">
        <w:t xml:space="preserve">public </w:t>
      </w:r>
      <w:r w:rsidR="00EC02A5">
        <w:t>interest</w:t>
      </w:r>
      <w:r w:rsidR="005054B2">
        <w:t xml:space="preserve"> derived from the </w:t>
      </w:r>
      <w:r w:rsidR="00EC02A5">
        <w:t xml:space="preserve">use of the </w:t>
      </w:r>
      <w:r w:rsidR="005054B2">
        <w:t xml:space="preserve">band </w:t>
      </w:r>
      <w:r>
        <w:t>is informed by an a</w:t>
      </w:r>
      <w:r w:rsidR="005054B2">
        <w:t xml:space="preserve">nalysis </w:t>
      </w:r>
      <w:r w:rsidR="00A907E2">
        <w:t xml:space="preserve">of </w:t>
      </w:r>
      <w:r w:rsidR="005054B2">
        <w:t>existing arrangements</w:t>
      </w:r>
      <w:r w:rsidR="003E61A7">
        <w:t xml:space="preserve"> to either </w:t>
      </w:r>
      <w:r w:rsidR="00E065A9">
        <w:t>add</w:t>
      </w:r>
      <w:r w:rsidR="003E61A7">
        <w:t xml:space="preserve">, maintain or </w:t>
      </w:r>
      <w:r w:rsidR="00E065A9">
        <w:t>remove</w:t>
      </w:r>
      <w:r w:rsidR="003E61A7">
        <w:t xml:space="preserve"> </w:t>
      </w:r>
      <w:r w:rsidR="00E065A9">
        <w:t>arrangements</w:t>
      </w:r>
      <w:r w:rsidR="003E61A7">
        <w:t xml:space="preserve"> </w:t>
      </w:r>
      <w:r w:rsidR="005054B2">
        <w:t>in the band</w:t>
      </w:r>
      <w:r w:rsidR="00CF0F52">
        <w:t xml:space="preserve">. This </w:t>
      </w:r>
      <w:r w:rsidR="00CD3BF9">
        <w:t>includ</w:t>
      </w:r>
      <w:r w:rsidR="00CF0F52">
        <w:t>es</w:t>
      </w:r>
      <w:r w:rsidR="005054B2">
        <w:t xml:space="preserve"> </w:t>
      </w:r>
      <w:r>
        <w:t xml:space="preserve">whether potential future uses of the band can be accommodated. </w:t>
      </w:r>
      <w:r w:rsidR="00CF0F52">
        <w:t>A</w:t>
      </w:r>
      <w:r>
        <w:t>nalysis is informed by technology developments occurring in the international environment</w:t>
      </w:r>
      <w:r w:rsidR="00CF0F52">
        <w:t>,</w:t>
      </w:r>
      <w:r>
        <w:t xml:space="preserve"> as well as changes in spectrum demand occurring in the Australian market.</w:t>
      </w:r>
    </w:p>
    <w:p w14:paraId="0A63669B" w14:textId="678E3F7B" w:rsidR="001C6879" w:rsidRDefault="001C6879" w:rsidP="009B5150">
      <w:pPr>
        <w:pStyle w:val="Paragraph"/>
        <w:keepLines w:val="0"/>
      </w:pPr>
      <w:r w:rsidRPr="00A74C64">
        <w:t xml:space="preserve">Given the </w:t>
      </w:r>
      <w:r>
        <w:t>technological trends and domestic considerations</w:t>
      </w:r>
      <w:r w:rsidRPr="00A74C64">
        <w:t xml:space="preserve"> </w:t>
      </w:r>
      <w:r>
        <w:t>for</w:t>
      </w:r>
      <w:r w:rsidRPr="00A74C64">
        <w:t xml:space="preserve"> use cases in the band, </w:t>
      </w:r>
      <w:r w:rsidR="00CF0F52">
        <w:t>we</w:t>
      </w:r>
      <w:r>
        <w:t xml:space="preserve"> consider the current arrangements may not </w:t>
      </w:r>
      <w:r w:rsidRPr="00A74C64">
        <w:t xml:space="preserve">promote the long-term </w:t>
      </w:r>
      <w:r w:rsidRPr="00A74C64" w:rsidDel="00B80858">
        <w:t>public interest</w:t>
      </w:r>
      <w:r>
        <w:t>. Consequently, t</w:t>
      </w:r>
      <w:r w:rsidRPr="00A74C64">
        <w:t>he</w:t>
      </w:r>
      <w:r>
        <w:t xml:space="preserve">re is </w:t>
      </w:r>
      <w:r w:rsidRPr="00A74C64">
        <w:t xml:space="preserve">a case for </w:t>
      </w:r>
      <w:r>
        <w:t xml:space="preserve">current </w:t>
      </w:r>
      <w:r w:rsidRPr="00A74C64">
        <w:t>arrangements to be reviewed</w:t>
      </w:r>
      <w:r>
        <w:t>.</w:t>
      </w:r>
    </w:p>
    <w:p w14:paraId="64BD4F99" w14:textId="75746255" w:rsidR="003E61A7" w:rsidRDefault="00CF0F52" w:rsidP="009B5150">
      <w:pPr>
        <w:pStyle w:val="Paragraph"/>
        <w:keepLines w:val="0"/>
      </w:pPr>
      <w:r>
        <w:t xml:space="preserve">We have </w:t>
      </w:r>
      <w:r w:rsidR="003E61A7" w:rsidRPr="00C50231">
        <w:t xml:space="preserve">decided to change the planning status of the band to </w:t>
      </w:r>
      <w:r>
        <w:t>‘</w:t>
      </w:r>
      <w:r w:rsidR="003E61A7" w:rsidRPr="00C50231">
        <w:t>preliminary replanning</w:t>
      </w:r>
      <w:r>
        <w:t>’</w:t>
      </w:r>
      <w:r w:rsidR="003E61A7" w:rsidRPr="00C50231">
        <w:t>. This will consider the needs of</w:t>
      </w:r>
      <w:r w:rsidR="00CD3BF9">
        <w:t>,</w:t>
      </w:r>
      <w:r w:rsidR="003E61A7" w:rsidRPr="00C50231">
        <w:t xml:space="preserve"> and options for</w:t>
      </w:r>
      <w:r w:rsidR="00CD3BF9">
        <w:t>,</w:t>
      </w:r>
      <w:r w:rsidR="003E61A7" w:rsidRPr="00C50231">
        <w:t xml:space="preserve"> existing services in the 1.9 GHz band</w:t>
      </w:r>
      <w:r>
        <w:t>,</w:t>
      </w:r>
      <w:r w:rsidR="003E61A7" w:rsidRPr="00C50231">
        <w:t xml:space="preserve"> as well as arrangements to support new services. The planning stages are</w:t>
      </w:r>
      <w:r w:rsidR="003E61A7">
        <w:t xml:space="preserve"> </w:t>
      </w:r>
      <w:hyperlink r:id="rId35" w:history="1">
        <w:r>
          <w:rPr>
            <w:rStyle w:val="Hyperlink"/>
          </w:rPr>
          <w:t>outlined in the F</w:t>
        </w:r>
        <w:r w:rsidR="003E61A7" w:rsidRPr="005D0CF3">
          <w:rPr>
            <w:rStyle w:val="Hyperlink"/>
          </w:rPr>
          <w:t>YSO</w:t>
        </w:r>
      </w:hyperlink>
      <w:r w:rsidR="003E61A7">
        <w:t>.</w:t>
      </w:r>
    </w:p>
    <w:p w14:paraId="18C59C03" w14:textId="06574510" w:rsidR="00747FE6" w:rsidRPr="00A958BB" w:rsidRDefault="001E3445" w:rsidP="00054A66">
      <w:pPr>
        <w:pStyle w:val="Heading2"/>
        <w:keepLines w:val="0"/>
        <w:ind w:right="1559"/>
      </w:pPr>
      <w:bookmarkStart w:id="82" w:name="_Toc117870123"/>
      <w:bookmarkStart w:id="83" w:name="_Toc118785113"/>
      <w:bookmarkStart w:id="84" w:name="_Toc120600048"/>
      <w:r w:rsidRPr="00A958BB">
        <w:t>Technological developments and international harmonisation</w:t>
      </w:r>
      <w:bookmarkEnd w:id="82"/>
      <w:bookmarkEnd w:id="83"/>
      <w:bookmarkEnd w:id="84"/>
    </w:p>
    <w:p w14:paraId="680E9EE5" w14:textId="07859504" w:rsidR="00747FE6" w:rsidRDefault="00747FE6" w:rsidP="009B5150">
      <w:pPr>
        <w:pStyle w:val="Paragraph"/>
        <w:keepLines w:val="0"/>
      </w:pPr>
      <w:r>
        <w:t>Evolution in wireless communication technologies continues to improve the productive capability of the radiofrequency spectrum by allowing for more efficient use (for example</w:t>
      </w:r>
      <w:r w:rsidR="008B4ED2">
        <w:t>,</w:t>
      </w:r>
      <w:r>
        <w:t xml:space="preserve"> by greater spectral efficiency and enabling new services to be delivered). By using the spectrum more efficiently, </w:t>
      </w:r>
      <w:r w:rsidR="007655BF">
        <w:t xml:space="preserve">there is potential for </w:t>
      </w:r>
      <w:r>
        <w:t xml:space="preserve">more value </w:t>
      </w:r>
      <w:r w:rsidR="007655BF">
        <w:t xml:space="preserve">to be </w:t>
      </w:r>
      <w:r>
        <w:t>derived from its use. Technology standards often drive these changes and are important in enabling economies of scale to be developed.</w:t>
      </w:r>
    </w:p>
    <w:p w14:paraId="6696B609" w14:textId="188E337B" w:rsidR="00EB4183" w:rsidRDefault="00747FE6" w:rsidP="009B5150">
      <w:pPr>
        <w:pStyle w:val="Paragraph"/>
        <w:keepLines w:val="0"/>
      </w:pPr>
      <w:r>
        <w:t xml:space="preserve">International spectrum harmonisation decisions of </w:t>
      </w:r>
      <w:r w:rsidR="00234491">
        <w:t xml:space="preserve">the </w:t>
      </w:r>
      <w:r w:rsidR="003E61A7">
        <w:t>ITU-R</w:t>
      </w:r>
      <w:r>
        <w:t xml:space="preserve"> and decisions by national regulators reflect the extent to which spectrum is used for common purposes globally</w:t>
      </w:r>
      <w:r w:rsidR="00234491">
        <w:t xml:space="preserve"> or regionally</w:t>
      </w:r>
      <w:r>
        <w:t xml:space="preserve">. </w:t>
      </w:r>
      <w:r w:rsidR="00EB4183">
        <w:t xml:space="preserve">Collectively, harmonisation, standardisation and international regulatory developments are important indicators of global trends informing factors such as economies of scale and global roaming. </w:t>
      </w:r>
    </w:p>
    <w:p w14:paraId="1BAFF3DD" w14:textId="736A19FA" w:rsidR="00A8670B" w:rsidRDefault="006B0D0B" w:rsidP="009B5150">
      <w:pPr>
        <w:pStyle w:val="Paragraph"/>
        <w:keepLines w:val="0"/>
        <w:rPr>
          <w:szCs w:val="20"/>
        </w:rPr>
      </w:pPr>
      <w:r>
        <w:t xml:space="preserve">While the international trends are moving towards possibilities for use of the band in </w:t>
      </w:r>
      <w:r w:rsidR="00234491">
        <w:t xml:space="preserve">a </w:t>
      </w:r>
      <w:r>
        <w:t>harmonised way</w:t>
      </w:r>
      <w:r>
        <w:rPr>
          <w:szCs w:val="20"/>
        </w:rPr>
        <w:t xml:space="preserve">, </w:t>
      </w:r>
      <w:r w:rsidRPr="00576242">
        <w:rPr>
          <w:szCs w:val="20"/>
        </w:rPr>
        <w:t xml:space="preserve">there is no single harmonised arrangement </w:t>
      </w:r>
      <w:r>
        <w:rPr>
          <w:szCs w:val="20"/>
        </w:rPr>
        <w:t xml:space="preserve">yet </w:t>
      </w:r>
      <w:r w:rsidRPr="00576242">
        <w:rPr>
          <w:szCs w:val="20"/>
        </w:rPr>
        <w:t>for the 1.9 GHz band</w:t>
      </w:r>
      <w:r>
        <w:rPr>
          <w:szCs w:val="20"/>
        </w:rPr>
        <w:t xml:space="preserve"> globally.</w:t>
      </w:r>
    </w:p>
    <w:p w14:paraId="01130AEE" w14:textId="0CED4481" w:rsidR="003200B1" w:rsidRPr="00CB5F7E" w:rsidRDefault="003200B1" w:rsidP="009B5150">
      <w:pPr>
        <w:pStyle w:val="Heading3"/>
        <w:keepLines w:val="0"/>
        <w:ind w:right="1559"/>
      </w:pPr>
      <w:r w:rsidRPr="00CB5F7E">
        <w:t xml:space="preserve">DECT and </w:t>
      </w:r>
      <w:r w:rsidR="00AD610F">
        <w:t>f</w:t>
      </w:r>
      <w:r>
        <w:t>uture DECT</w:t>
      </w:r>
    </w:p>
    <w:p w14:paraId="046CDCCE" w14:textId="42EFB859" w:rsidR="003200B1" w:rsidRPr="00C42A65" w:rsidRDefault="003200B1" w:rsidP="009B5150">
      <w:pPr>
        <w:pStyle w:val="Paragraph"/>
        <w:keepLines w:val="0"/>
        <w:rPr>
          <w:szCs w:val="20"/>
        </w:rPr>
      </w:pPr>
      <w:r w:rsidRPr="00C42A65">
        <w:rPr>
          <w:szCs w:val="20"/>
        </w:rPr>
        <w:t>The European Conference of Postal and Telecommunications Administrations (CEPT), Recommendation T/R 22-02</w:t>
      </w:r>
      <w:r w:rsidRPr="00C42A65">
        <w:rPr>
          <w:rStyle w:val="FootnoteReference"/>
          <w:szCs w:val="20"/>
        </w:rPr>
        <w:footnoteReference w:id="13"/>
      </w:r>
      <w:r w:rsidRPr="00C42A65">
        <w:rPr>
          <w:szCs w:val="20"/>
        </w:rPr>
        <w:t>, recommends European countries designate the frequency range 1880</w:t>
      </w:r>
      <w:r w:rsidR="00AD610F">
        <w:rPr>
          <w:szCs w:val="20"/>
        </w:rPr>
        <w:t>–</w:t>
      </w:r>
      <w:r w:rsidRPr="00C42A65">
        <w:rPr>
          <w:szCs w:val="20"/>
        </w:rPr>
        <w:t>1900 MHz for DECT services. The 2015 CEPT Report 52</w:t>
      </w:r>
      <w:r w:rsidRPr="00C42A65">
        <w:rPr>
          <w:rStyle w:val="FootnoteReference"/>
          <w:szCs w:val="20"/>
        </w:rPr>
        <w:footnoteReference w:id="14"/>
      </w:r>
      <w:r w:rsidRPr="00C42A65">
        <w:rPr>
          <w:szCs w:val="20"/>
        </w:rPr>
        <w:t xml:space="preserve"> assessed and identified alternative uses for the frequency range 1900–1920 MHz</w:t>
      </w:r>
      <w:r w:rsidR="00505FCB">
        <w:rPr>
          <w:szCs w:val="20"/>
        </w:rPr>
        <w:t xml:space="preserve"> concluding that </w:t>
      </w:r>
      <w:r w:rsidR="00505FCB" w:rsidRPr="00505FCB">
        <w:rPr>
          <w:szCs w:val="20"/>
        </w:rPr>
        <w:t>DECT/S</w:t>
      </w:r>
      <w:r w:rsidR="00505FCB">
        <w:rPr>
          <w:szCs w:val="20"/>
        </w:rPr>
        <w:t xml:space="preserve">hort </w:t>
      </w:r>
      <w:r w:rsidR="00505FCB" w:rsidRPr="00505FCB">
        <w:rPr>
          <w:szCs w:val="20"/>
        </w:rPr>
        <w:t>R</w:t>
      </w:r>
      <w:r w:rsidR="00505FCB">
        <w:rPr>
          <w:szCs w:val="20"/>
        </w:rPr>
        <w:t xml:space="preserve">ange </w:t>
      </w:r>
      <w:r w:rsidR="00505FCB" w:rsidRPr="00505FCB">
        <w:rPr>
          <w:szCs w:val="20"/>
        </w:rPr>
        <w:t>D</w:t>
      </w:r>
      <w:r w:rsidR="00505FCB">
        <w:rPr>
          <w:szCs w:val="20"/>
        </w:rPr>
        <w:t>evice</w:t>
      </w:r>
      <w:r w:rsidR="00505FCB" w:rsidRPr="00505FCB">
        <w:rPr>
          <w:szCs w:val="20"/>
        </w:rPr>
        <w:t xml:space="preserve"> usage in the band 1900</w:t>
      </w:r>
      <w:r w:rsidR="00AD610F">
        <w:rPr>
          <w:szCs w:val="20"/>
        </w:rPr>
        <w:t>–</w:t>
      </w:r>
      <w:r w:rsidR="00505FCB" w:rsidRPr="00505FCB">
        <w:rPr>
          <w:szCs w:val="20"/>
        </w:rPr>
        <w:t>1920 MHz is possible with certain mitigation techniques and restrictions yet to be determined</w:t>
      </w:r>
      <w:r w:rsidRPr="00C42A65">
        <w:rPr>
          <w:szCs w:val="20"/>
        </w:rPr>
        <w:t xml:space="preserve">. </w:t>
      </w:r>
    </w:p>
    <w:p w14:paraId="5F5F8C19" w14:textId="6E78FE99" w:rsidR="003200B1" w:rsidRDefault="003200B1" w:rsidP="00BC175B">
      <w:pPr>
        <w:pStyle w:val="Paragraph"/>
        <w:keepNext/>
        <w:rPr>
          <w:szCs w:val="20"/>
          <w:shd w:val="clear" w:color="auto" w:fill="FEFEFE"/>
        </w:rPr>
      </w:pPr>
      <w:r>
        <w:rPr>
          <w:szCs w:val="20"/>
          <w:shd w:val="clear" w:color="auto" w:fill="FEFEFE"/>
        </w:rPr>
        <w:lastRenderedPageBreak/>
        <w:t xml:space="preserve">The </w:t>
      </w:r>
      <w:r w:rsidRPr="00C42A65">
        <w:rPr>
          <w:szCs w:val="20"/>
          <w:shd w:val="clear" w:color="auto" w:fill="FEFEFE"/>
        </w:rPr>
        <w:t>International Telecommunication Union’s Radiocommunication Sector (ITU-R) has recently approved</w:t>
      </w:r>
      <w:r w:rsidRPr="00C42A65">
        <w:rPr>
          <w:rStyle w:val="FootnoteReference"/>
          <w:szCs w:val="20"/>
          <w:shd w:val="clear" w:color="auto" w:fill="FEFEFE"/>
        </w:rPr>
        <w:footnoteReference w:id="15"/>
      </w:r>
      <w:r w:rsidRPr="00C42A65">
        <w:rPr>
          <w:szCs w:val="20"/>
          <w:shd w:val="clear" w:color="auto" w:fill="FEFEFE"/>
          <w:vertAlign w:val="superscript"/>
        </w:rPr>
        <w:t>,</w:t>
      </w:r>
      <w:r w:rsidRPr="00C42A65">
        <w:rPr>
          <w:rStyle w:val="FootnoteReference"/>
          <w:szCs w:val="20"/>
          <w:shd w:val="clear" w:color="auto" w:fill="FEFEFE"/>
        </w:rPr>
        <w:footnoteReference w:id="16"/>
      </w:r>
      <w:r w:rsidRPr="00C42A65">
        <w:rPr>
          <w:szCs w:val="20"/>
          <w:shd w:val="clear" w:color="auto" w:fill="FEFEFE"/>
        </w:rPr>
        <w:t xml:space="preserve"> DECT-2020 as part of the 5G technology standards. This decision recogni</w:t>
      </w:r>
      <w:r>
        <w:rPr>
          <w:szCs w:val="20"/>
          <w:shd w:val="clear" w:color="auto" w:fill="FEFEFE"/>
        </w:rPr>
        <w:t>s</w:t>
      </w:r>
      <w:r w:rsidRPr="00C42A65">
        <w:rPr>
          <w:szCs w:val="20"/>
          <w:shd w:val="clear" w:color="auto" w:fill="FEFEFE"/>
        </w:rPr>
        <w:t xml:space="preserve">es DECT-2020 as the first global non-cellular 5G technology. The DECT Forum will be promoting the new standard under the name NR+ (New </w:t>
      </w:r>
      <w:r w:rsidR="00AD610F">
        <w:rPr>
          <w:szCs w:val="20"/>
          <w:shd w:val="clear" w:color="auto" w:fill="FEFEFE"/>
        </w:rPr>
        <w:br/>
      </w:r>
      <w:r w:rsidRPr="00C42A65">
        <w:rPr>
          <w:szCs w:val="20"/>
          <w:shd w:val="clear" w:color="auto" w:fill="FEFEFE"/>
        </w:rPr>
        <w:t>Radio plus</w:t>
      </w:r>
      <w:r>
        <w:rPr>
          <w:rStyle w:val="FootnoteReference"/>
          <w:szCs w:val="20"/>
          <w:shd w:val="clear" w:color="auto" w:fill="FEFEFE"/>
        </w:rPr>
        <w:footnoteReference w:id="17"/>
      </w:r>
      <w:r w:rsidRPr="00C42A65">
        <w:rPr>
          <w:szCs w:val="20"/>
          <w:shd w:val="clear" w:color="auto" w:fill="FEFEFE"/>
        </w:rPr>
        <w:t>).</w:t>
      </w:r>
    </w:p>
    <w:p w14:paraId="6F8E7CF0" w14:textId="14ED51A9" w:rsidR="003200B1" w:rsidRPr="00CB5F7E" w:rsidRDefault="003200B1" w:rsidP="00FD2C90">
      <w:pPr>
        <w:pStyle w:val="Heading3"/>
        <w:keepLines w:val="0"/>
        <w:ind w:right="1559"/>
      </w:pPr>
      <w:r w:rsidRPr="00CB5F7E">
        <w:t>FRMCS</w:t>
      </w:r>
    </w:p>
    <w:p w14:paraId="485BE591" w14:textId="77777777" w:rsidR="003200B1" w:rsidRPr="00244EFB" w:rsidRDefault="003200B1" w:rsidP="009B5150">
      <w:pPr>
        <w:pStyle w:val="Paragraph"/>
        <w:keepLines w:val="0"/>
      </w:pPr>
      <w:r w:rsidRPr="00525860">
        <w:rPr>
          <w:szCs w:val="20"/>
        </w:rPr>
        <w:t xml:space="preserve">The European Telecommunications Standards Institute (ETSI) technical committees identified ongoing challenges in </w:t>
      </w:r>
      <w:hyperlink r:id="rId36" w:history="1">
        <w:r w:rsidRPr="00525860">
          <w:rPr>
            <w:rStyle w:val="Hyperlink"/>
            <w:szCs w:val="20"/>
          </w:rPr>
          <w:t>FRMCS</w:t>
        </w:r>
      </w:hyperlink>
      <w:r w:rsidRPr="00525860">
        <w:rPr>
          <w:szCs w:val="20"/>
        </w:rPr>
        <w:t>, including the integration of rail frequency spectrum for the use of 3GPP radio technologies, and other spectrum issues related to FRMCS. FRMCS will rely on the defined Mission Critical (</w:t>
      </w:r>
      <w:hyperlink r:id="rId37" w:history="1">
        <w:r w:rsidRPr="00525860">
          <w:rPr>
            <w:rStyle w:val="Hyperlink"/>
            <w:szCs w:val="20"/>
          </w:rPr>
          <w:t>M</w:t>
        </w:r>
        <w:r>
          <w:rPr>
            <w:rStyle w:val="Hyperlink"/>
            <w:szCs w:val="20"/>
          </w:rPr>
          <w:t>CX</w:t>
        </w:r>
      </w:hyperlink>
      <w:r w:rsidRPr="00525860">
        <w:rPr>
          <w:szCs w:val="20"/>
        </w:rPr>
        <w:t>) Service functionality. CEPT Report 74</w:t>
      </w:r>
      <w:r w:rsidRPr="00525860">
        <w:rPr>
          <w:rStyle w:val="FootnoteReference"/>
          <w:szCs w:val="20"/>
        </w:rPr>
        <w:footnoteReference w:id="18"/>
      </w:r>
      <w:r w:rsidRPr="00525860">
        <w:rPr>
          <w:szCs w:val="20"/>
        </w:rPr>
        <w:t xml:space="preserve"> answers to the mandate from the European Commission to CEPT on FRMCS. The 2020 ECC Report 314</w:t>
      </w:r>
      <w:r w:rsidRPr="00525860">
        <w:rPr>
          <w:rStyle w:val="FootnoteReference"/>
          <w:szCs w:val="20"/>
        </w:rPr>
        <w:footnoteReference w:id="19"/>
      </w:r>
      <w:r w:rsidRPr="00525860">
        <w:rPr>
          <w:szCs w:val="20"/>
        </w:rPr>
        <w:t xml:space="preserve"> considered the possibility of introducing a 10 MHz TDD</w:t>
      </w:r>
      <w:r w:rsidRPr="00525860" w:rsidDel="0091189E">
        <w:rPr>
          <w:szCs w:val="20"/>
        </w:rPr>
        <w:t xml:space="preserve"> </w:t>
      </w:r>
      <w:r w:rsidRPr="00525860">
        <w:rPr>
          <w:szCs w:val="20"/>
        </w:rPr>
        <w:t>channel in the 1900–1910 MHz band for FRMCS, using either 4G LTE or 5G NR technology.</w:t>
      </w:r>
    </w:p>
    <w:p w14:paraId="7B3791FF" w14:textId="7A4A9E83" w:rsidR="0074261A" w:rsidRPr="002B79C8" w:rsidRDefault="0074261A" w:rsidP="00054A66">
      <w:pPr>
        <w:pStyle w:val="Heading2"/>
        <w:keepLines w:val="0"/>
        <w:ind w:right="1559"/>
        <w:rPr>
          <w:b w:val="0"/>
        </w:rPr>
      </w:pPr>
      <w:bookmarkStart w:id="85" w:name="_Toc117870124"/>
      <w:bookmarkStart w:id="86" w:name="_Toc118785114"/>
      <w:bookmarkStart w:id="87" w:name="_Toc120600049"/>
      <w:r w:rsidRPr="00A958BB">
        <w:t xml:space="preserve">Domestic </w:t>
      </w:r>
      <w:r w:rsidR="00E732F0" w:rsidRPr="00A958BB">
        <w:t>considerations</w:t>
      </w:r>
      <w:bookmarkEnd w:id="85"/>
      <w:bookmarkEnd w:id="86"/>
      <w:bookmarkEnd w:id="87"/>
    </w:p>
    <w:p w14:paraId="672B2497" w14:textId="28BD8689" w:rsidR="003200B1" w:rsidRPr="007F6C96" w:rsidRDefault="003200B1" w:rsidP="009B5150">
      <w:pPr>
        <w:pStyle w:val="Heading3"/>
        <w:keepLines w:val="0"/>
        <w:ind w:right="1559"/>
      </w:pPr>
      <w:r>
        <w:t xml:space="preserve">Fixed </w:t>
      </w:r>
      <w:r w:rsidR="00984990">
        <w:t>s</w:t>
      </w:r>
      <w:r>
        <w:t xml:space="preserve">ervices </w:t>
      </w:r>
    </w:p>
    <w:p w14:paraId="4D071AB5" w14:textId="4BF6C166" w:rsidR="005D0CF3" w:rsidRDefault="005D0CF3" w:rsidP="009B5150">
      <w:pPr>
        <w:pStyle w:val="Paragraph"/>
        <w:keepLines w:val="0"/>
      </w:pPr>
      <w:r w:rsidRPr="00C50231">
        <w:t xml:space="preserve">Current regulatory arrangements in the </w:t>
      </w:r>
      <w:r w:rsidR="002E25B2" w:rsidRPr="00C50231">
        <w:t>1.9 GHz band</w:t>
      </w:r>
      <w:r w:rsidRPr="00C50231">
        <w:t xml:space="preserve"> are </w:t>
      </w:r>
      <w:r w:rsidR="002E25B2" w:rsidRPr="00C50231">
        <w:t xml:space="preserve">designed </w:t>
      </w:r>
      <w:r w:rsidRPr="00C50231">
        <w:t>to support the current mixture of uses in Australia: apparatus</w:t>
      </w:r>
      <w:r w:rsidR="00680DE3">
        <w:t>-</w:t>
      </w:r>
      <w:r w:rsidRPr="00C50231">
        <w:t xml:space="preserve">licensed PTP </w:t>
      </w:r>
      <w:r w:rsidR="00B421AA" w:rsidRPr="00C50231">
        <w:t xml:space="preserve">and PMP </w:t>
      </w:r>
      <w:r w:rsidRPr="00C50231">
        <w:t>links and various low power class</w:t>
      </w:r>
      <w:r w:rsidR="00680DE3">
        <w:t>-</w:t>
      </w:r>
      <w:r w:rsidRPr="00C50231">
        <w:t>licensed devices</w:t>
      </w:r>
      <w:r w:rsidR="00E3077A" w:rsidRPr="00C50231">
        <w:t>, including DECT.</w:t>
      </w:r>
      <w:r w:rsidRPr="00C50231">
        <w:t xml:space="preserve"> Given the discussion </w:t>
      </w:r>
      <w:r w:rsidR="00E3077A" w:rsidRPr="00C50231">
        <w:t>in this paper</w:t>
      </w:r>
      <w:r w:rsidRPr="00C50231">
        <w:t xml:space="preserve">, it appears that the mix of uses that </w:t>
      </w:r>
      <w:r w:rsidR="00965BAA">
        <w:t>is</w:t>
      </w:r>
      <w:r w:rsidR="00965BAA" w:rsidRPr="00C50231">
        <w:t xml:space="preserve"> </w:t>
      </w:r>
      <w:r w:rsidRPr="00C50231">
        <w:t xml:space="preserve">likely to </w:t>
      </w:r>
      <w:r w:rsidR="00EC02A5">
        <w:t>promote</w:t>
      </w:r>
      <w:r w:rsidRPr="00C50231">
        <w:t xml:space="preserve"> the </w:t>
      </w:r>
      <w:r w:rsidR="00EC02A5">
        <w:t>long</w:t>
      </w:r>
      <w:r w:rsidR="00EC02A5">
        <w:rPr>
          <w:rFonts w:ascii="Cambria Math" w:hAnsi="Cambria Math" w:cs="Cambria Math"/>
        </w:rPr>
        <w:t>‑</w:t>
      </w:r>
      <w:r w:rsidR="00EC02A5">
        <w:t>term</w:t>
      </w:r>
      <w:r w:rsidRPr="00C50231">
        <w:t xml:space="preserve"> public </w:t>
      </w:r>
      <w:r w:rsidR="00EC02A5">
        <w:t>interest derived from the use of</w:t>
      </w:r>
      <w:r w:rsidRPr="00C50231">
        <w:t xml:space="preserve"> the band is changing to include different types of </w:t>
      </w:r>
      <w:r w:rsidR="00AD33BC">
        <w:t xml:space="preserve">applications and </w:t>
      </w:r>
      <w:r w:rsidR="003E4292" w:rsidRPr="00C50231">
        <w:t>services</w:t>
      </w:r>
      <w:r w:rsidRPr="00C50231">
        <w:t xml:space="preserve">. </w:t>
      </w:r>
    </w:p>
    <w:p w14:paraId="0F6AEB69" w14:textId="725ECDF2" w:rsidR="00C50231" w:rsidRDefault="002523F0" w:rsidP="009B5150">
      <w:pPr>
        <w:pStyle w:val="Paragraph"/>
        <w:keepLines w:val="0"/>
        <w:rPr>
          <w:rStyle w:val="Hyperlink"/>
        </w:rPr>
      </w:pPr>
      <w:r>
        <w:rPr>
          <w:szCs w:val="20"/>
        </w:rPr>
        <w:t>We</w:t>
      </w:r>
      <w:r w:rsidR="00C50231" w:rsidRPr="00576242">
        <w:rPr>
          <w:szCs w:val="20"/>
        </w:rPr>
        <w:t xml:space="preserve"> understand that planning of the 1</w:t>
      </w:r>
      <w:r w:rsidR="00140A25">
        <w:rPr>
          <w:szCs w:val="20"/>
        </w:rPr>
        <w:t>.</w:t>
      </w:r>
      <w:r w:rsidR="00C50231" w:rsidRPr="00576242">
        <w:rPr>
          <w:szCs w:val="20"/>
        </w:rPr>
        <w:t xml:space="preserve">9 </w:t>
      </w:r>
      <w:r w:rsidR="00140A25">
        <w:rPr>
          <w:szCs w:val="20"/>
        </w:rPr>
        <w:t>G</w:t>
      </w:r>
      <w:r w:rsidR="00C50231" w:rsidRPr="00576242">
        <w:rPr>
          <w:szCs w:val="20"/>
        </w:rPr>
        <w:t xml:space="preserve">Hz </w:t>
      </w:r>
      <w:r w:rsidR="00140A25">
        <w:rPr>
          <w:szCs w:val="20"/>
        </w:rPr>
        <w:t>band</w:t>
      </w:r>
      <w:r w:rsidR="00C50231" w:rsidRPr="00576242">
        <w:rPr>
          <w:szCs w:val="20"/>
        </w:rPr>
        <w:t xml:space="preserve"> may have an impact on existing uses and users operating in the band and its adjacent bands. </w:t>
      </w:r>
      <w:r w:rsidR="00C50231">
        <w:t xml:space="preserve">There are apparatus licensing arrangements in the 1900–1920 MHz frequency range for point-to-multipoint services on a primary basis and point-to-point services </w:t>
      </w:r>
      <w:r w:rsidR="00F34944">
        <w:t xml:space="preserve">currently </w:t>
      </w:r>
      <w:r w:rsidR="00C50231">
        <w:t xml:space="preserve">on a secondary basis, </w:t>
      </w:r>
      <w:r w:rsidR="00C50231" w:rsidRPr="003F4B36">
        <w:t>in regional and remote areas</w:t>
      </w:r>
      <w:r w:rsidR="00C50231" w:rsidRPr="00BE3B1C">
        <w:t>.</w:t>
      </w:r>
      <w:r w:rsidR="00C50231">
        <w:t xml:space="preserve"> In the 1880–1900 MHz frequency range, the use o</w:t>
      </w:r>
      <w:r w:rsidR="00C50231" w:rsidRPr="007A72E8">
        <w:t xml:space="preserve">f </w:t>
      </w:r>
      <w:r w:rsidR="00AD33BC">
        <w:t>cordless telephone services</w:t>
      </w:r>
      <w:r w:rsidR="00AD33BC" w:rsidRPr="001E65C3">
        <w:t xml:space="preserve"> </w:t>
      </w:r>
      <w:r w:rsidR="00C50231" w:rsidRPr="001E65C3">
        <w:t>including DECT and P</w:t>
      </w:r>
      <w:r w:rsidR="00C50231">
        <w:t xml:space="preserve">HS is authorised under the </w:t>
      </w:r>
      <w:hyperlink r:id="rId38" w:history="1">
        <w:r w:rsidR="00C50231" w:rsidRPr="004878E5">
          <w:rPr>
            <w:rStyle w:val="Hyperlink"/>
          </w:rPr>
          <w:t>Radiocommunications (Cordless Communications Devices) Class Licence 2014</w:t>
        </w:r>
      </w:hyperlink>
      <w:r w:rsidR="00C50231">
        <w:rPr>
          <w:rStyle w:val="Hyperlink"/>
        </w:rPr>
        <w:t>.</w:t>
      </w:r>
    </w:p>
    <w:p w14:paraId="173058C7" w14:textId="3067C324" w:rsidR="004E7E2F" w:rsidRDefault="00C50231" w:rsidP="009B5150">
      <w:pPr>
        <w:pStyle w:val="Paragraph"/>
        <w:keepLines w:val="0"/>
      </w:pPr>
      <w:r>
        <w:t xml:space="preserve">As of 1 </w:t>
      </w:r>
      <w:r w:rsidR="00160393">
        <w:t xml:space="preserve">November </w:t>
      </w:r>
      <w:r>
        <w:t>2022, there are 252 fixed service assignments Australia</w:t>
      </w:r>
      <w:r w:rsidR="00013E99">
        <w:t>-</w:t>
      </w:r>
      <w:r>
        <w:t xml:space="preserve">wide </w:t>
      </w:r>
      <w:r w:rsidR="002523F0">
        <w:br/>
      </w:r>
      <w:r>
        <w:t>(118 point-to-point and 134 point-to-multipoint assignments). These assignments include both in-band assignments (centre frequency is inside 1880–1920 MHz) and adjacent band assignments (centre frequency is outside 1880–1920 MHz, but part of its bandwidth lies within 1880–1920 MHz). A numerical breakdown of fixed services in the 1880</w:t>
      </w:r>
      <w:r w:rsidR="002523F0">
        <w:t>–</w:t>
      </w:r>
      <w:r>
        <w:t>1920 MHz band is provided in Table </w:t>
      </w:r>
      <w:r w:rsidR="00A97C95">
        <w:t>2</w:t>
      </w:r>
      <w:r w:rsidR="002523F0">
        <w:t xml:space="preserve"> below</w:t>
      </w:r>
      <w:r>
        <w:t xml:space="preserve">. </w:t>
      </w:r>
    </w:p>
    <w:p w14:paraId="79F258ED" w14:textId="0125A81C" w:rsidR="00C50231" w:rsidRDefault="00C50231" w:rsidP="00BC175B">
      <w:pPr>
        <w:pStyle w:val="Tableheading"/>
        <w:keepLines/>
        <w:numPr>
          <w:ilvl w:val="0"/>
          <w:numId w:val="6"/>
        </w:numPr>
      </w:pPr>
      <w:r w:rsidRPr="002D35F4">
        <w:lastRenderedPageBreak/>
        <w:t xml:space="preserve">Number of </w:t>
      </w:r>
      <w:r w:rsidR="000F0AAE">
        <w:t>f</w:t>
      </w:r>
      <w:r w:rsidRPr="002D35F4">
        <w:t xml:space="preserve">ixed </w:t>
      </w:r>
      <w:r w:rsidR="000F0AAE">
        <w:t>s</w:t>
      </w:r>
      <w:r w:rsidRPr="002D35F4">
        <w:t>ervices in 1880</w:t>
      </w:r>
      <w:r w:rsidR="00680DE3">
        <w:t>–</w:t>
      </w:r>
      <w:r w:rsidRPr="002D35F4">
        <w:t>1920 MHz band</w:t>
      </w:r>
    </w:p>
    <w:tbl>
      <w:tblPr>
        <w:tblW w:w="9209" w:type="dxa"/>
        <w:tblCellMar>
          <w:top w:w="57" w:type="dxa"/>
          <w:bottom w:w="57" w:type="dxa"/>
        </w:tblCellMar>
        <w:tblLook w:val="04A0" w:firstRow="1" w:lastRow="0" w:firstColumn="1" w:lastColumn="0" w:noHBand="0" w:noVBand="1"/>
      </w:tblPr>
      <w:tblGrid>
        <w:gridCol w:w="3146"/>
        <w:gridCol w:w="4931"/>
        <w:gridCol w:w="1132"/>
      </w:tblGrid>
      <w:tr w:rsidR="00184D19" w:rsidRPr="003915DF" w14:paraId="7F686851" w14:textId="77777777" w:rsidTr="00BC175B">
        <w:trPr>
          <w:trHeight w:val="283"/>
        </w:trPr>
        <w:tc>
          <w:tcPr>
            <w:tcW w:w="3146" w:type="dxa"/>
            <w:tcBorders>
              <w:top w:val="single" w:sz="4" w:space="0" w:color="auto"/>
              <w:left w:val="single" w:sz="4" w:space="0" w:color="auto"/>
              <w:bottom w:val="single" w:sz="4" w:space="0" w:color="auto"/>
              <w:right w:val="single" w:sz="4" w:space="0" w:color="auto"/>
            </w:tcBorders>
            <w:shd w:val="clear" w:color="auto" w:fill="000000" w:themeFill="text1"/>
            <w:noWrap/>
            <w:vAlign w:val="bottom"/>
            <w:hideMark/>
          </w:tcPr>
          <w:p w14:paraId="2135122C" w14:textId="07499D19" w:rsidR="003915DF" w:rsidRPr="003915DF" w:rsidRDefault="003915DF" w:rsidP="00BC175B">
            <w:pPr>
              <w:pStyle w:val="Tableheaderrow"/>
              <w:keepNext/>
            </w:pPr>
            <w:r w:rsidRPr="003915DF">
              <w:t xml:space="preserve">Service </w:t>
            </w:r>
            <w:r w:rsidR="00680DE3">
              <w:t>t</w:t>
            </w:r>
            <w:r w:rsidRPr="003915DF">
              <w:t xml:space="preserve">ype and </w:t>
            </w:r>
            <w:r w:rsidR="00680DE3">
              <w:t>d</w:t>
            </w:r>
            <w:r w:rsidRPr="003915DF">
              <w:t xml:space="preserve">ensity </w:t>
            </w:r>
            <w:r w:rsidR="00680DE3">
              <w:t>a</w:t>
            </w:r>
            <w:r w:rsidRPr="003915DF">
              <w:t>rea</w:t>
            </w:r>
          </w:p>
        </w:tc>
        <w:tc>
          <w:tcPr>
            <w:tcW w:w="6063" w:type="dxa"/>
            <w:gridSpan w:val="2"/>
            <w:tcBorders>
              <w:top w:val="single" w:sz="4" w:space="0" w:color="auto"/>
              <w:left w:val="nil"/>
              <w:bottom w:val="single" w:sz="4" w:space="0" w:color="auto"/>
              <w:right w:val="single" w:sz="4" w:space="0" w:color="auto"/>
            </w:tcBorders>
            <w:shd w:val="clear" w:color="auto" w:fill="000000" w:themeFill="text1"/>
            <w:noWrap/>
            <w:vAlign w:val="bottom"/>
            <w:hideMark/>
          </w:tcPr>
          <w:p w14:paraId="0C06E413" w14:textId="2E1C6AED" w:rsidR="003915DF" w:rsidRPr="003915DF" w:rsidRDefault="003915DF" w:rsidP="00BC175B">
            <w:pPr>
              <w:pStyle w:val="Tableheaderrow"/>
              <w:keepNext/>
            </w:pPr>
            <w:r w:rsidRPr="003915DF">
              <w:t>Number of assignments in any part of 1880</w:t>
            </w:r>
            <w:r w:rsidR="00680DE3">
              <w:t>–</w:t>
            </w:r>
            <w:r w:rsidRPr="003915DF">
              <w:t>1920 MHz band</w:t>
            </w:r>
          </w:p>
        </w:tc>
      </w:tr>
      <w:tr w:rsidR="00985966" w:rsidRPr="003915DF" w14:paraId="07CCDFAB" w14:textId="7DDAB7EB" w:rsidTr="00BC175B">
        <w:trPr>
          <w:trHeight w:val="283"/>
        </w:trPr>
        <w:tc>
          <w:tcPr>
            <w:tcW w:w="3146" w:type="dxa"/>
            <w:tcBorders>
              <w:top w:val="nil"/>
              <w:left w:val="single" w:sz="4" w:space="0" w:color="auto"/>
              <w:bottom w:val="single" w:sz="4" w:space="0" w:color="auto"/>
              <w:right w:val="single" w:sz="4" w:space="0" w:color="auto"/>
            </w:tcBorders>
            <w:shd w:val="clear" w:color="auto" w:fill="auto"/>
            <w:noWrap/>
            <w:vAlign w:val="center"/>
            <w:hideMark/>
          </w:tcPr>
          <w:p w14:paraId="368B3201" w14:textId="2BF2D061" w:rsidR="00985966" w:rsidRPr="003915DF" w:rsidRDefault="00985966" w:rsidP="00BC175B">
            <w:pPr>
              <w:keepNext/>
              <w:spacing w:after="0" w:line="240" w:lineRule="auto"/>
              <w:ind w:firstLineChars="174" w:firstLine="314"/>
              <w:rPr>
                <w:rFonts w:cs="Arial"/>
                <w:b/>
                <w:bCs/>
                <w:color w:val="000000"/>
                <w:sz w:val="18"/>
                <w:szCs w:val="18"/>
              </w:rPr>
            </w:pPr>
            <w:r w:rsidRPr="003915DF">
              <w:rPr>
                <w:rFonts w:cs="Arial"/>
                <w:b/>
                <w:bCs/>
                <w:color w:val="000000"/>
                <w:sz w:val="18"/>
                <w:szCs w:val="18"/>
              </w:rPr>
              <w:t>Point</w:t>
            </w:r>
            <w:r w:rsidR="00680DE3">
              <w:rPr>
                <w:rFonts w:cs="Arial"/>
                <w:b/>
                <w:bCs/>
                <w:color w:val="000000"/>
                <w:sz w:val="18"/>
                <w:szCs w:val="18"/>
              </w:rPr>
              <w:t>-</w:t>
            </w:r>
            <w:r w:rsidRPr="003915DF">
              <w:rPr>
                <w:rFonts w:cs="Arial"/>
                <w:b/>
                <w:bCs/>
                <w:color w:val="000000"/>
                <w:sz w:val="18"/>
                <w:szCs w:val="18"/>
              </w:rPr>
              <w:t>to</w:t>
            </w:r>
            <w:r w:rsidR="00680DE3">
              <w:rPr>
                <w:rFonts w:cs="Arial"/>
                <w:b/>
                <w:bCs/>
                <w:color w:val="000000"/>
                <w:sz w:val="18"/>
                <w:szCs w:val="18"/>
              </w:rPr>
              <w:t>-m</w:t>
            </w:r>
            <w:r w:rsidRPr="003915DF">
              <w:rPr>
                <w:rFonts w:cs="Arial"/>
                <w:b/>
                <w:bCs/>
                <w:color w:val="000000"/>
                <w:sz w:val="18"/>
                <w:szCs w:val="18"/>
              </w:rPr>
              <w:t>ultipoint</w:t>
            </w:r>
          </w:p>
        </w:tc>
        <w:tc>
          <w:tcPr>
            <w:tcW w:w="4931" w:type="dxa"/>
            <w:tcBorders>
              <w:top w:val="single" w:sz="4" w:space="0" w:color="auto"/>
              <w:left w:val="single" w:sz="4" w:space="0" w:color="auto"/>
              <w:bottom w:val="single" w:sz="4" w:space="0" w:color="auto"/>
            </w:tcBorders>
            <w:shd w:val="clear" w:color="auto" w:fill="auto"/>
            <w:noWrap/>
            <w:vAlign w:val="center"/>
          </w:tcPr>
          <w:p w14:paraId="150A1EE4" w14:textId="0D96FD62" w:rsidR="00985966" w:rsidRPr="003915DF" w:rsidRDefault="00985966" w:rsidP="00BC175B">
            <w:pPr>
              <w:keepNext/>
              <w:spacing w:after="0" w:line="240" w:lineRule="auto"/>
              <w:jc w:val="center"/>
              <w:rPr>
                <w:rFonts w:cs="Arial"/>
                <w:b/>
                <w:bCs/>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auto"/>
            <w:vAlign w:val="center"/>
          </w:tcPr>
          <w:p w14:paraId="4ACEAC94" w14:textId="35799049" w:rsidR="00985966" w:rsidRPr="003915DF" w:rsidRDefault="00985966" w:rsidP="00BC175B">
            <w:pPr>
              <w:keepNext/>
              <w:spacing w:after="0" w:line="240" w:lineRule="auto"/>
              <w:ind w:left="-110" w:right="179"/>
              <w:jc w:val="center"/>
              <w:rPr>
                <w:rFonts w:cs="Arial"/>
                <w:b/>
                <w:bCs/>
                <w:color w:val="000000"/>
                <w:sz w:val="18"/>
                <w:szCs w:val="18"/>
              </w:rPr>
            </w:pPr>
            <w:r>
              <w:rPr>
                <w:rFonts w:cs="Arial"/>
                <w:b/>
                <w:bCs/>
                <w:color w:val="000000"/>
                <w:sz w:val="18"/>
                <w:szCs w:val="18"/>
              </w:rPr>
              <w:t>134</w:t>
            </w:r>
          </w:p>
        </w:tc>
      </w:tr>
      <w:tr w:rsidR="00985966" w:rsidRPr="003915DF" w14:paraId="3C3CA66F" w14:textId="01A47DCA" w:rsidTr="00BC175B">
        <w:trPr>
          <w:trHeight w:val="283"/>
        </w:trPr>
        <w:tc>
          <w:tcPr>
            <w:tcW w:w="3146"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513B9E36" w14:textId="16D87AB5" w:rsidR="00985966" w:rsidRPr="003915DF" w:rsidRDefault="00985966" w:rsidP="00BC175B">
            <w:pPr>
              <w:keepNext/>
              <w:spacing w:after="0" w:line="240" w:lineRule="auto"/>
              <w:ind w:firstLineChars="175" w:firstLine="315"/>
              <w:rPr>
                <w:rFonts w:cs="Arial"/>
                <w:color w:val="000000"/>
                <w:sz w:val="18"/>
                <w:szCs w:val="18"/>
              </w:rPr>
            </w:pPr>
            <w:r w:rsidRPr="003915DF">
              <w:rPr>
                <w:rFonts w:cs="Arial"/>
                <w:color w:val="000000"/>
                <w:sz w:val="18"/>
                <w:szCs w:val="18"/>
              </w:rPr>
              <w:t>Low</w:t>
            </w:r>
            <w:r w:rsidR="00680DE3">
              <w:rPr>
                <w:rFonts w:cs="Arial"/>
                <w:color w:val="000000"/>
                <w:sz w:val="18"/>
                <w:szCs w:val="18"/>
              </w:rPr>
              <w:t xml:space="preserve"> d</w:t>
            </w:r>
            <w:r w:rsidRPr="003915DF">
              <w:rPr>
                <w:rFonts w:cs="Arial"/>
                <w:color w:val="000000"/>
                <w:sz w:val="18"/>
                <w:szCs w:val="18"/>
              </w:rPr>
              <w:t xml:space="preserve">ensity </w:t>
            </w:r>
            <w:r w:rsidR="00680DE3">
              <w:rPr>
                <w:rFonts w:cs="Arial"/>
                <w:color w:val="000000"/>
                <w:sz w:val="18"/>
                <w:szCs w:val="18"/>
              </w:rPr>
              <w:t>a</w:t>
            </w:r>
            <w:r w:rsidRPr="003915DF">
              <w:rPr>
                <w:rFonts w:cs="Arial"/>
                <w:color w:val="000000"/>
                <w:sz w:val="18"/>
                <w:szCs w:val="18"/>
              </w:rPr>
              <w:t>rea</w:t>
            </w:r>
          </w:p>
        </w:tc>
        <w:tc>
          <w:tcPr>
            <w:tcW w:w="4931" w:type="dxa"/>
            <w:tcBorders>
              <w:top w:val="single" w:sz="4" w:space="0" w:color="auto"/>
              <w:left w:val="single" w:sz="4" w:space="0" w:color="auto"/>
              <w:bottom w:val="single" w:sz="4" w:space="0" w:color="auto"/>
            </w:tcBorders>
            <w:shd w:val="clear" w:color="auto" w:fill="D9D9D9" w:themeFill="background1" w:themeFillShade="D9"/>
            <w:noWrap/>
            <w:vAlign w:val="center"/>
          </w:tcPr>
          <w:p w14:paraId="77315FFF" w14:textId="32296CC5" w:rsidR="00985966" w:rsidRPr="003915DF" w:rsidRDefault="00985966" w:rsidP="00BC175B">
            <w:pPr>
              <w:keepNext/>
              <w:spacing w:after="0" w:line="240" w:lineRule="auto"/>
              <w:jc w:val="right"/>
              <w:rPr>
                <w:rFonts w:cs="Arial"/>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E7A4E88" w14:textId="77777777" w:rsidR="00985966" w:rsidRPr="003915DF" w:rsidRDefault="00985966" w:rsidP="00BC175B">
            <w:pPr>
              <w:keepNext/>
              <w:spacing w:after="0" w:line="240" w:lineRule="auto"/>
              <w:ind w:left="-110" w:right="179"/>
              <w:jc w:val="center"/>
              <w:rPr>
                <w:rFonts w:cs="Arial"/>
                <w:color w:val="000000"/>
                <w:sz w:val="18"/>
                <w:szCs w:val="18"/>
              </w:rPr>
            </w:pPr>
            <w:r w:rsidRPr="003915DF">
              <w:rPr>
                <w:rFonts w:cs="Arial"/>
                <w:color w:val="000000"/>
                <w:sz w:val="18"/>
                <w:szCs w:val="18"/>
              </w:rPr>
              <w:t>62</w:t>
            </w:r>
          </w:p>
        </w:tc>
      </w:tr>
      <w:tr w:rsidR="00985966" w:rsidRPr="003915DF" w14:paraId="5E8CB06E" w14:textId="2B60F9F5" w:rsidTr="00BC175B">
        <w:trPr>
          <w:trHeight w:val="283"/>
        </w:trPr>
        <w:tc>
          <w:tcPr>
            <w:tcW w:w="3146" w:type="dxa"/>
            <w:tcBorders>
              <w:top w:val="nil"/>
              <w:left w:val="single" w:sz="4" w:space="0" w:color="auto"/>
              <w:bottom w:val="single" w:sz="4" w:space="0" w:color="auto"/>
              <w:right w:val="single" w:sz="4" w:space="0" w:color="auto"/>
            </w:tcBorders>
            <w:shd w:val="clear" w:color="auto" w:fill="auto"/>
            <w:noWrap/>
            <w:vAlign w:val="center"/>
            <w:hideMark/>
          </w:tcPr>
          <w:p w14:paraId="7DC9C045" w14:textId="28A168DA" w:rsidR="00985966" w:rsidRPr="003915DF" w:rsidRDefault="00985966" w:rsidP="00BC175B">
            <w:pPr>
              <w:keepNext/>
              <w:spacing w:after="0" w:line="240" w:lineRule="auto"/>
              <w:ind w:firstLineChars="175" w:firstLine="315"/>
              <w:rPr>
                <w:rFonts w:cs="Arial"/>
                <w:color w:val="000000"/>
                <w:sz w:val="18"/>
                <w:szCs w:val="18"/>
              </w:rPr>
            </w:pPr>
            <w:r w:rsidRPr="003915DF">
              <w:rPr>
                <w:rFonts w:cs="Arial"/>
                <w:color w:val="000000"/>
                <w:sz w:val="18"/>
                <w:szCs w:val="18"/>
              </w:rPr>
              <w:t>Medium</w:t>
            </w:r>
            <w:r w:rsidR="00680DE3">
              <w:rPr>
                <w:rFonts w:cs="Arial"/>
                <w:color w:val="000000"/>
                <w:sz w:val="18"/>
                <w:szCs w:val="18"/>
              </w:rPr>
              <w:t xml:space="preserve"> d</w:t>
            </w:r>
            <w:r w:rsidRPr="003915DF">
              <w:rPr>
                <w:rFonts w:cs="Arial"/>
                <w:color w:val="000000"/>
                <w:sz w:val="18"/>
                <w:szCs w:val="18"/>
              </w:rPr>
              <w:t xml:space="preserve">ensity </w:t>
            </w:r>
            <w:r w:rsidR="000F0AAE">
              <w:rPr>
                <w:rFonts w:cs="Arial"/>
                <w:color w:val="000000"/>
                <w:sz w:val="18"/>
                <w:szCs w:val="18"/>
              </w:rPr>
              <w:t>a</w:t>
            </w:r>
            <w:r w:rsidRPr="003915DF">
              <w:rPr>
                <w:rFonts w:cs="Arial"/>
                <w:color w:val="000000"/>
                <w:sz w:val="18"/>
                <w:szCs w:val="18"/>
              </w:rPr>
              <w:t>rea</w:t>
            </w:r>
          </w:p>
        </w:tc>
        <w:tc>
          <w:tcPr>
            <w:tcW w:w="4931" w:type="dxa"/>
            <w:tcBorders>
              <w:top w:val="single" w:sz="4" w:space="0" w:color="auto"/>
              <w:left w:val="single" w:sz="4" w:space="0" w:color="auto"/>
              <w:bottom w:val="single" w:sz="4" w:space="0" w:color="auto"/>
            </w:tcBorders>
            <w:shd w:val="clear" w:color="auto" w:fill="auto"/>
            <w:noWrap/>
            <w:vAlign w:val="center"/>
          </w:tcPr>
          <w:p w14:paraId="3FE21000" w14:textId="1D2AF04E" w:rsidR="00985966" w:rsidRPr="003915DF" w:rsidRDefault="00985966" w:rsidP="00BC175B">
            <w:pPr>
              <w:keepNext/>
              <w:spacing w:after="0" w:line="240" w:lineRule="auto"/>
              <w:jc w:val="right"/>
              <w:rPr>
                <w:rFonts w:cs="Arial"/>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auto"/>
            <w:vAlign w:val="center"/>
          </w:tcPr>
          <w:p w14:paraId="426202B2" w14:textId="77777777" w:rsidR="00985966" w:rsidRPr="003915DF" w:rsidRDefault="00985966" w:rsidP="00BC175B">
            <w:pPr>
              <w:keepNext/>
              <w:spacing w:after="0" w:line="240" w:lineRule="auto"/>
              <w:ind w:left="-110" w:right="179"/>
              <w:jc w:val="center"/>
              <w:rPr>
                <w:rFonts w:cs="Arial"/>
                <w:color w:val="000000"/>
                <w:sz w:val="18"/>
                <w:szCs w:val="18"/>
              </w:rPr>
            </w:pPr>
            <w:r w:rsidRPr="003915DF">
              <w:rPr>
                <w:rFonts w:cs="Arial"/>
                <w:color w:val="000000"/>
                <w:sz w:val="18"/>
                <w:szCs w:val="18"/>
              </w:rPr>
              <w:t>2</w:t>
            </w:r>
          </w:p>
        </w:tc>
      </w:tr>
      <w:tr w:rsidR="00985966" w:rsidRPr="003915DF" w14:paraId="460D16A5" w14:textId="23ABE32E" w:rsidTr="00BC175B">
        <w:trPr>
          <w:trHeight w:val="283"/>
        </w:trPr>
        <w:tc>
          <w:tcPr>
            <w:tcW w:w="3146"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56596365" w14:textId="607156A3" w:rsidR="00985966" w:rsidRPr="003915DF" w:rsidRDefault="00985966" w:rsidP="00BC175B">
            <w:pPr>
              <w:keepNext/>
              <w:spacing w:after="0" w:line="240" w:lineRule="auto"/>
              <w:ind w:firstLineChars="175" w:firstLine="315"/>
              <w:rPr>
                <w:rFonts w:cs="Arial"/>
                <w:color w:val="000000"/>
                <w:sz w:val="18"/>
                <w:szCs w:val="18"/>
              </w:rPr>
            </w:pPr>
            <w:r w:rsidRPr="003915DF">
              <w:rPr>
                <w:rFonts w:cs="Arial"/>
                <w:color w:val="000000"/>
                <w:sz w:val="18"/>
                <w:szCs w:val="18"/>
              </w:rPr>
              <w:t xml:space="preserve">Remote </w:t>
            </w:r>
            <w:r w:rsidR="00680DE3">
              <w:rPr>
                <w:rFonts w:cs="Arial"/>
                <w:color w:val="000000"/>
                <w:sz w:val="18"/>
                <w:szCs w:val="18"/>
              </w:rPr>
              <w:t>d</w:t>
            </w:r>
            <w:r w:rsidRPr="003915DF">
              <w:rPr>
                <w:rFonts w:cs="Arial"/>
                <w:color w:val="000000"/>
                <w:sz w:val="18"/>
                <w:szCs w:val="18"/>
              </w:rPr>
              <w:t xml:space="preserve">ensity </w:t>
            </w:r>
            <w:r w:rsidR="000F0AAE">
              <w:rPr>
                <w:rFonts w:cs="Arial"/>
                <w:color w:val="000000"/>
                <w:sz w:val="18"/>
                <w:szCs w:val="18"/>
              </w:rPr>
              <w:t>a</w:t>
            </w:r>
            <w:r w:rsidRPr="003915DF">
              <w:rPr>
                <w:rFonts w:cs="Arial"/>
                <w:color w:val="000000"/>
                <w:sz w:val="18"/>
                <w:szCs w:val="18"/>
              </w:rPr>
              <w:t>rea</w:t>
            </w:r>
          </w:p>
        </w:tc>
        <w:tc>
          <w:tcPr>
            <w:tcW w:w="4931" w:type="dxa"/>
            <w:tcBorders>
              <w:top w:val="single" w:sz="4" w:space="0" w:color="auto"/>
              <w:left w:val="single" w:sz="4" w:space="0" w:color="auto"/>
              <w:bottom w:val="single" w:sz="4" w:space="0" w:color="auto"/>
            </w:tcBorders>
            <w:shd w:val="clear" w:color="auto" w:fill="D9D9D9" w:themeFill="background1" w:themeFillShade="D9"/>
            <w:noWrap/>
            <w:vAlign w:val="center"/>
          </w:tcPr>
          <w:p w14:paraId="3E470810" w14:textId="174CB018" w:rsidR="00985966" w:rsidRPr="003915DF" w:rsidRDefault="00985966" w:rsidP="00BC175B">
            <w:pPr>
              <w:keepNext/>
              <w:spacing w:after="0" w:line="240" w:lineRule="auto"/>
              <w:jc w:val="right"/>
              <w:rPr>
                <w:rFonts w:cs="Arial"/>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14371E2D" w14:textId="77777777" w:rsidR="00985966" w:rsidRPr="003915DF" w:rsidRDefault="00985966" w:rsidP="00BC175B">
            <w:pPr>
              <w:keepNext/>
              <w:spacing w:after="0" w:line="240" w:lineRule="auto"/>
              <w:ind w:left="-110" w:right="179"/>
              <w:jc w:val="center"/>
              <w:rPr>
                <w:rFonts w:cs="Arial"/>
                <w:color w:val="000000"/>
                <w:sz w:val="18"/>
                <w:szCs w:val="18"/>
              </w:rPr>
            </w:pPr>
            <w:r w:rsidRPr="003915DF">
              <w:rPr>
                <w:rFonts w:cs="Arial"/>
                <w:color w:val="000000"/>
                <w:sz w:val="18"/>
                <w:szCs w:val="18"/>
              </w:rPr>
              <w:t>70</w:t>
            </w:r>
          </w:p>
        </w:tc>
      </w:tr>
      <w:tr w:rsidR="00985966" w:rsidRPr="003915DF" w14:paraId="7289CE28" w14:textId="03659EAE" w:rsidTr="00BC175B">
        <w:trPr>
          <w:trHeight w:val="283"/>
        </w:trPr>
        <w:tc>
          <w:tcPr>
            <w:tcW w:w="3146" w:type="dxa"/>
            <w:tcBorders>
              <w:top w:val="nil"/>
              <w:left w:val="single" w:sz="4" w:space="0" w:color="auto"/>
              <w:bottom w:val="single" w:sz="4" w:space="0" w:color="auto"/>
              <w:right w:val="single" w:sz="4" w:space="0" w:color="auto"/>
            </w:tcBorders>
            <w:shd w:val="clear" w:color="auto" w:fill="auto"/>
            <w:noWrap/>
            <w:vAlign w:val="center"/>
            <w:hideMark/>
          </w:tcPr>
          <w:p w14:paraId="7F2A80B1" w14:textId="102DF54B" w:rsidR="00985966" w:rsidRPr="003915DF" w:rsidRDefault="00985966" w:rsidP="00BC175B">
            <w:pPr>
              <w:keepNext/>
              <w:spacing w:after="0" w:line="240" w:lineRule="auto"/>
              <w:ind w:firstLineChars="174" w:firstLine="314"/>
              <w:rPr>
                <w:rFonts w:cs="Arial"/>
                <w:b/>
                <w:bCs/>
                <w:color w:val="000000"/>
                <w:sz w:val="18"/>
                <w:szCs w:val="18"/>
              </w:rPr>
            </w:pPr>
            <w:r w:rsidRPr="003915DF">
              <w:rPr>
                <w:rFonts w:cs="Arial"/>
                <w:b/>
                <w:bCs/>
                <w:color w:val="000000"/>
                <w:sz w:val="18"/>
                <w:szCs w:val="18"/>
              </w:rPr>
              <w:t>Point</w:t>
            </w:r>
            <w:r w:rsidR="002523F0">
              <w:rPr>
                <w:rFonts w:cs="Arial"/>
                <w:b/>
                <w:bCs/>
                <w:color w:val="000000"/>
                <w:sz w:val="18"/>
                <w:szCs w:val="18"/>
              </w:rPr>
              <w:t>-</w:t>
            </w:r>
            <w:r w:rsidRPr="003915DF">
              <w:rPr>
                <w:rFonts w:cs="Arial"/>
                <w:b/>
                <w:bCs/>
                <w:color w:val="000000"/>
                <w:sz w:val="18"/>
                <w:szCs w:val="18"/>
              </w:rPr>
              <w:t>to</w:t>
            </w:r>
            <w:r w:rsidR="002523F0">
              <w:rPr>
                <w:rFonts w:cs="Arial"/>
                <w:b/>
                <w:bCs/>
                <w:color w:val="000000"/>
                <w:sz w:val="18"/>
                <w:szCs w:val="18"/>
              </w:rPr>
              <w:t>-p</w:t>
            </w:r>
            <w:r w:rsidRPr="003915DF">
              <w:rPr>
                <w:rFonts w:cs="Arial"/>
                <w:b/>
                <w:bCs/>
                <w:color w:val="000000"/>
                <w:sz w:val="18"/>
                <w:szCs w:val="18"/>
              </w:rPr>
              <w:t>oint</w:t>
            </w:r>
          </w:p>
        </w:tc>
        <w:tc>
          <w:tcPr>
            <w:tcW w:w="4931" w:type="dxa"/>
            <w:tcBorders>
              <w:top w:val="single" w:sz="4" w:space="0" w:color="auto"/>
              <w:left w:val="single" w:sz="4" w:space="0" w:color="auto"/>
              <w:bottom w:val="single" w:sz="4" w:space="0" w:color="auto"/>
            </w:tcBorders>
            <w:shd w:val="clear" w:color="auto" w:fill="auto"/>
            <w:noWrap/>
            <w:vAlign w:val="center"/>
          </w:tcPr>
          <w:p w14:paraId="1C9814D1" w14:textId="7483567D" w:rsidR="00985966" w:rsidRPr="003915DF" w:rsidRDefault="00985966" w:rsidP="00BC175B">
            <w:pPr>
              <w:keepNext/>
              <w:spacing w:after="0" w:line="240" w:lineRule="auto"/>
              <w:jc w:val="center"/>
              <w:rPr>
                <w:rFonts w:cs="Arial"/>
                <w:b/>
                <w:bCs/>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auto"/>
            <w:vAlign w:val="center"/>
          </w:tcPr>
          <w:p w14:paraId="6C852D5C" w14:textId="77B8CEFF" w:rsidR="00985966" w:rsidRPr="003915DF" w:rsidRDefault="00985966" w:rsidP="00BC175B">
            <w:pPr>
              <w:keepNext/>
              <w:spacing w:after="0" w:line="240" w:lineRule="auto"/>
              <w:ind w:left="-110" w:right="179"/>
              <w:jc w:val="center"/>
              <w:rPr>
                <w:rFonts w:cs="Arial"/>
                <w:b/>
                <w:bCs/>
                <w:color w:val="000000"/>
                <w:sz w:val="18"/>
                <w:szCs w:val="18"/>
              </w:rPr>
            </w:pPr>
            <w:r>
              <w:rPr>
                <w:rFonts w:cs="Arial"/>
                <w:b/>
                <w:bCs/>
                <w:color w:val="000000"/>
                <w:sz w:val="18"/>
                <w:szCs w:val="18"/>
              </w:rPr>
              <w:t>118</w:t>
            </w:r>
          </w:p>
        </w:tc>
      </w:tr>
      <w:tr w:rsidR="00985966" w:rsidRPr="003915DF" w14:paraId="4448D4E6" w14:textId="4D9A7F0F" w:rsidTr="00BC175B">
        <w:trPr>
          <w:trHeight w:val="283"/>
        </w:trPr>
        <w:tc>
          <w:tcPr>
            <w:tcW w:w="3146"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14:paraId="2BCCA605" w14:textId="70FD6F02" w:rsidR="00985966" w:rsidRPr="003915DF" w:rsidRDefault="00985966" w:rsidP="00BC175B">
            <w:pPr>
              <w:keepNext/>
              <w:spacing w:after="0" w:line="240" w:lineRule="auto"/>
              <w:ind w:firstLineChars="175" w:firstLine="315"/>
              <w:rPr>
                <w:rFonts w:cs="Arial"/>
                <w:color w:val="000000"/>
                <w:sz w:val="18"/>
                <w:szCs w:val="18"/>
              </w:rPr>
            </w:pPr>
            <w:r w:rsidRPr="003915DF">
              <w:rPr>
                <w:rFonts w:cs="Arial"/>
                <w:color w:val="000000"/>
                <w:sz w:val="18"/>
                <w:szCs w:val="18"/>
              </w:rPr>
              <w:t xml:space="preserve">Low </w:t>
            </w:r>
            <w:r w:rsidR="000F0AAE">
              <w:rPr>
                <w:rFonts w:cs="Arial"/>
                <w:color w:val="000000"/>
                <w:sz w:val="18"/>
                <w:szCs w:val="18"/>
              </w:rPr>
              <w:t>d</w:t>
            </w:r>
            <w:r w:rsidRPr="003915DF">
              <w:rPr>
                <w:rFonts w:cs="Arial"/>
                <w:color w:val="000000"/>
                <w:sz w:val="18"/>
                <w:szCs w:val="18"/>
              </w:rPr>
              <w:t xml:space="preserve">ensity </w:t>
            </w:r>
            <w:r w:rsidR="000F0AAE">
              <w:rPr>
                <w:rFonts w:cs="Arial"/>
                <w:color w:val="000000"/>
                <w:sz w:val="18"/>
                <w:szCs w:val="18"/>
              </w:rPr>
              <w:t>a</w:t>
            </w:r>
            <w:r w:rsidRPr="003915DF">
              <w:rPr>
                <w:rFonts w:cs="Arial"/>
                <w:color w:val="000000"/>
                <w:sz w:val="18"/>
                <w:szCs w:val="18"/>
              </w:rPr>
              <w:t>rea</w:t>
            </w:r>
          </w:p>
        </w:tc>
        <w:tc>
          <w:tcPr>
            <w:tcW w:w="4931" w:type="dxa"/>
            <w:tcBorders>
              <w:top w:val="single" w:sz="4" w:space="0" w:color="auto"/>
              <w:left w:val="single" w:sz="4" w:space="0" w:color="auto"/>
              <w:bottom w:val="single" w:sz="4" w:space="0" w:color="auto"/>
            </w:tcBorders>
            <w:shd w:val="clear" w:color="auto" w:fill="D9D9D9" w:themeFill="background1" w:themeFillShade="D9"/>
            <w:noWrap/>
            <w:vAlign w:val="center"/>
          </w:tcPr>
          <w:p w14:paraId="6509CEA1" w14:textId="58464131" w:rsidR="00985966" w:rsidRPr="00915142" w:rsidRDefault="00985966" w:rsidP="00BC175B">
            <w:pPr>
              <w:keepNext/>
              <w:spacing w:after="0" w:line="240" w:lineRule="auto"/>
              <w:jc w:val="right"/>
              <w:rPr>
                <w:rFonts w:cs="Arial"/>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3B093373" w14:textId="77777777" w:rsidR="00985966" w:rsidRPr="00985966" w:rsidRDefault="00985966" w:rsidP="00BC175B">
            <w:pPr>
              <w:keepNext/>
              <w:spacing w:after="0" w:line="240" w:lineRule="auto"/>
              <w:ind w:left="-110" w:right="179"/>
              <w:jc w:val="center"/>
              <w:rPr>
                <w:rFonts w:cs="Arial"/>
                <w:color w:val="000000"/>
                <w:sz w:val="18"/>
                <w:szCs w:val="18"/>
              </w:rPr>
            </w:pPr>
            <w:r w:rsidRPr="00915142">
              <w:rPr>
                <w:rFonts w:cs="Arial"/>
                <w:color w:val="000000"/>
                <w:sz w:val="18"/>
                <w:szCs w:val="18"/>
              </w:rPr>
              <w:t>11</w:t>
            </w:r>
          </w:p>
        </w:tc>
      </w:tr>
      <w:tr w:rsidR="00985966" w:rsidRPr="003915DF" w14:paraId="0C5DA323" w14:textId="39DF4BF1" w:rsidTr="00BC175B">
        <w:trPr>
          <w:trHeight w:val="283"/>
        </w:trPr>
        <w:tc>
          <w:tcPr>
            <w:tcW w:w="3146" w:type="dxa"/>
            <w:tcBorders>
              <w:top w:val="nil"/>
              <w:left w:val="single" w:sz="4" w:space="0" w:color="auto"/>
              <w:bottom w:val="single" w:sz="4" w:space="0" w:color="auto"/>
              <w:right w:val="single" w:sz="4" w:space="0" w:color="auto"/>
            </w:tcBorders>
            <w:shd w:val="clear" w:color="auto" w:fill="auto"/>
            <w:noWrap/>
            <w:vAlign w:val="center"/>
            <w:hideMark/>
          </w:tcPr>
          <w:p w14:paraId="391C504D" w14:textId="0B7B7C5E" w:rsidR="00985966" w:rsidRPr="003915DF" w:rsidRDefault="00985966" w:rsidP="00BC175B">
            <w:pPr>
              <w:keepNext/>
              <w:spacing w:after="0" w:line="240" w:lineRule="auto"/>
              <w:ind w:firstLineChars="175" w:firstLine="315"/>
              <w:rPr>
                <w:rFonts w:cs="Arial"/>
                <w:color w:val="000000"/>
                <w:sz w:val="18"/>
                <w:szCs w:val="18"/>
              </w:rPr>
            </w:pPr>
            <w:r w:rsidRPr="003915DF">
              <w:rPr>
                <w:rFonts w:cs="Arial"/>
                <w:color w:val="000000"/>
                <w:sz w:val="18"/>
                <w:szCs w:val="18"/>
              </w:rPr>
              <w:t xml:space="preserve">Medium </w:t>
            </w:r>
            <w:r w:rsidR="000F0AAE">
              <w:rPr>
                <w:rFonts w:cs="Arial"/>
                <w:color w:val="000000"/>
                <w:sz w:val="18"/>
                <w:szCs w:val="18"/>
              </w:rPr>
              <w:t>d</w:t>
            </w:r>
            <w:r w:rsidRPr="003915DF">
              <w:rPr>
                <w:rFonts w:cs="Arial"/>
                <w:color w:val="000000"/>
                <w:sz w:val="18"/>
                <w:szCs w:val="18"/>
              </w:rPr>
              <w:t xml:space="preserve">ensity </w:t>
            </w:r>
            <w:r w:rsidR="000F0AAE">
              <w:rPr>
                <w:rFonts w:cs="Arial"/>
                <w:color w:val="000000"/>
                <w:sz w:val="18"/>
                <w:szCs w:val="18"/>
              </w:rPr>
              <w:t>a</w:t>
            </w:r>
            <w:r w:rsidRPr="003915DF">
              <w:rPr>
                <w:rFonts w:cs="Arial"/>
                <w:color w:val="000000"/>
                <w:sz w:val="18"/>
                <w:szCs w:val="18"/>
              </w:rPr>
              <w:t>rea</w:t>
            </w:r>
          </w:p>
        </w:tc>
        <w:tc>
          <w:tcPr>
            <w:tcW w:w="4931" w:type="dxa"/>
            <w:tcBorders>
              <w:top w:val="single" w:sz="4" w:space="0" w:color="auto"/>
              <w:left w:val="single" w:sz="4" w:space="0" w:color="auto"/>
              <w:bottom w:val="single" w:sz="4" w:space="0" w:color="auto"/>
            </w:tcBorders>
            <w:shd w:val="clear" w:color="auto" w:fill="auto"/>
            <w:noWrap/>
            <w:vAlign w:val="center"/>
          </w:tcPr>
          <w:p w14:paraId="0E415E29" w14:textId="18B819C5" w:rsidR="00985966" w:rsidRPr="00915142" w:rsidRDefault="00985966" w:rsidP="00BC175B">
            <w:pPr>
              <w:keepNext/>
              <w:spacing w:after="0" w:line="240" w:lineRule="auto"/>
              <w:jc w:val="right"/>
              <w:rPr>
                <w:rFonts w:cs="Arial"/>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auto"/>
            <w:vAlign w:val="center"/>
          </w:tcPr>
          <w:p w14:paraId="4671418E" w14:textId="77777777" w:rsidR="00985966" w:rsidRPr="00985966" w:rsidRDefault="00985966" w:rsidP="00BC175B">
            <w:pPr>
              <w:keepNext/>
              <w:spacing w:after="0" w:line="240" w:lineRule="auto"/>
              <w:ind w:left="-110" w:right="179"/>
              <w:jc w:val="center"/>
              <w:rPr>
                <w:rFonts w:cs="Arial"/>
                <w:color w:val="000000"/>
                <w:sz w:val="18"/>
                <w:szCs w:val="18"/>
              </w:rPr>
            </w:pPr>
            <w:r w:rsidRPr="00915142">
              <w:rPr>
                <w:rFonts w:cs="Arial"/>
                <w:color w:val="000000"/>
                <w:sz w:val="18"/>
                <w:szCs w:val="18"/>
              </w:rPr>
              <w:t>0</w:t>
            </w:r>
          </w:p>
        </w:tc>
      </w:tr>
      <w:tr w:rsidR="00985966" w:rsidRPr="003915DF" w14:paraId="7A97A82F" w14:textId="628D82B1" w:rsidTr="00BC175B">
        <w:trPr>
          <w:trHeight w:val="283"/>
        </w:trPr>
        <w:tc>
          <w:tcPr>
            <w:tcW w:w="3146" w:type="dxa"/>
            <w:tcBorders>
              <w:top w:val="nil"/>
              <w:left w:val="single" w:sz="4" w:space="0" w:color="auto"/>
              <w:bottom w:val="single" w:sz="4" w:space="0" w:color="auto"/>
              <w:right w:val="single" w:sz="4" w:space="0" w:color="auto"/>
            </w:tcBorders>
            <w:shd w:val="clear" w:color="auto" w:fill="D9D9D9" w:themeFill="background1" w:themeFillShade="D9"/>
            <w:noWrap/>
            <w:vAlign w:val="center"/>
          </w:tcPr>
          <w:p w14:paraId="3305D8B7" w14:textId="1F19999A" w:rsidR="00985966" w:rsidRPr="003915DF" w:rsidRDefault="00985966" w:rsidP="00BC175B">
            <w:pPr>
              <w:keepNext/>
              <w:spacing w:after="0" w:line="240" w:lineRule="auto"/>
              <w:ind w:firstLineChars="175" w:firstLine="315"/>
              <w:rPr>
                <w:rFonts w:cs="Arial"/>
                <w:color w:val="000000"/>
                <w:sz w:val="18"/>
                <w:szCs w:val="18"/>
              </w:rPr>
            </w:pPr>
            <w:r w:rsidRPr="003915DF">
              <w:rPr>
                <w:rFonts w:cs="Arial"/>
                <w:color w:val="000000"/>
                <w:sz w:val="18"/>
                <w:szCs w:val="18"/>
              </w:rPr>
              <w:t xml:space="preserve">Remote </w:t>
            </w:r>
            <w:r w:rsidR="000F0AAE">
              <w:rPr>
                <w:rFonts w:cs="Arial"/>
                <w:color w:val="000000"/>
                <w:sz w:val="18"/>
                <w:szCs w:val="18"/>
              </w:rPr>
              <w:t>d</w:t>
            </w:r>
            <w:r w:rsidRPr="003915DF">
              <w:rPr>
                <w:rFonts w:cs="Arial"/>
                <w:color w:val="000000"/>
                <w:sz w:val="18"/>
                <w:szCs w:val="18"/>
              </w:rPr>
              <w:t xml:space="preserve">ensity </w:t>
            </w:r>
            <w:r w:rsidR="000F0AAE">
              <w:rPr>
                <w:rFonts w:cs="Arial"/>
                <w:color w:val="000000"/>
                <w:sz w:val="18"/>
                <w:szCs w:val="18"/>
              </w:rPr>
              <w:t>a</w:t>
            </w:r>
            <w:r w:rsidRPr="003915DF">
              <w:rPr>
                <w:rFonts w:cs="Arial"/>
                <w:color w:val="000000"/>
                <w:sz w:val="18"/>
                <w:szCs w:val="18"/>
              </w:rPr>
              <w:t>rea</w:t>
            </w:r>
          </w:p>
        </w:tc>
        <w:tc>
          <w:tcPr>
            <w:tcW w:w="4931" w:type="dxa"/>
            <w:tcBorders>
              <w:top w:val="single" w:sz="4" w:space="0" w:color="auto"/>
              <w:left w:val="single" w:sz="4" w:space="0" w:color="auto"/>
              <w:bottom w:val="single" w:sz="4" w:space="0" w:color="auto"/>
            </w:tcBorders>
            <w:shd w:val="clear" w:color="auto" w:fill="D9D9D9" w:themeFill="background1" w:themeFillShade="D9"/>
            <w:noWrap/>
            <w:vAlign w:val="center"/>
          </w:tcPr>
          <w:p w14:paraId="0257BA6D" w14:textId="3C08A66F" w:rsidR="00985966" w:rsidRPr="003915DF" w:rsidRDefault="00985966" w:rsidP="00BC175B">
            <w:pPr>
              <w:keepNext/>
              <w:spacing w:after="0" w:line="240" w:lineRule="auto"/>
              <w:jc w:val="right"/>
              <w:rPr>
                <w:rFonts w:cs="Arial"/>
                <w:b/>
                <w:bCs/>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69DBA30E" w14:textId="77777777" w:rsidR="00985966" w:rsidRPr="003915DF" w:rsidRDefault="00985966" w:rsidP="00BC175B">
            <w:pPr>
              <w:keepNext/>
              <w:spacing w:after="0" w:line="240" w:lineRule="auto"/>
              <w:ind w:left="-110" w:right="179"/>
              <w:jc w:val="center"/>
              <w:rPr>
                <w:rFonts w:cs="Arial"/>
                <w:b/>
                <w:bCs/>
                <w:color w:val="000000"/>
                <w:sz w:val="18"/>
                <w:szCs w:val="18"/>
              </w:rPr>
            </w:pPr>
            <w:r>
              <w:rPr>
                <w:rFonts w:cs="Arial"/>
                <w:color w:val="000000"/>
                <w:sz w:val="18"/>
                <w:szCs w:val="18"/>
              </w:rPr>
              <w:t>107</w:t>
            </w:r>
          </w:p>
        </w:tc>
      </w:tr>
      <w:tr w:rsidR="00985966" w:rsidRPr="003915DF" w14:paraId="7FC969DE" w14:textId="2B98E4B3" w:rsidTr="00BC175B">
        <w:trPr>
          <w:trHeight w:val="306"/>
        </w:trPr>
        <w:tc>
          <w:tcPr>
            <w:tcW w:w="3146"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14:paraId="546B80C9" w14:textId="34267453" w:rsidR="00985966" w:rsidRPr="003915DF" w:rsidRDefault="00985966" w:rsidP="00BC175B">
            <w:pPr>
              <w:keepNext/>
              <w:spacing w:after="0" w:line="240" w:lineRule="auto"/>
              <w:ind w:left="316"/>
              <w:rPr>
                <w:rFonts w:cs="Arial"/>
                <w:b/>
                <w:bCs/>
                <w:color w:val="000000"/>
                <w:sz w:val="18"/>
                <w:szCs w:val="18"/>
              </w:rPr>
            </w:pPr>
            <w:r w:rsidRPr="003915DF">
              <w:rPr>
                <w:rFonts w:cs="Arial"/>
                <w:b/>
                <w:bCs/>
                <w:color w:val="000000"/>
                <w:sz w:val="18"/>
                <w:szCs w:val="18"/>
              </w:rPr>
              <w:t>Total</w:t>
            </w:r>
          </w:p>
        </w:tc>
        <w:tc>
          <w:tcPr>
            <w:tcW w:w="4931" w:type="dxa"/>
            <w:tcBorders>
              <w:top w:val="single" w:sz="4" w:space="0" w:color="auto"/>
              <w:left w:val="single" w:sz="4" w:space="0" w:color="auto"/>
              <w:bottom w:val="single" w:sz="4" w:space="0" w:color="auto"/>
            </w:tcBorders>
            <w:shd w:val="clear" w:color="auto" w:fill="FFFFFF" w:themeFill="background1"/>
            <w:noWrap/>
            <w:vAlign w:val="bottom"/>
          </w:tcPr>
          <w:p w14:paraId="3B387410" w14:textId="6D99FAF5" w:rsidR="00985966" w:rsidRPr="00915142" w:rsidRDefault="00985966" w:rsidP="00BC175B">
            <w:pPr>
              <w:keepNext/>
              <w:spacing w:after="0" w:line="240" w:lineRule="auto"/>
              <w:jc w:val="center"/>
              <w:rPr>
                <w:rFonts w:cs="Arial"/>
                <w:b/>
                <w:bCs/>
                <w:color w:val="000000"/>
                <w:sz w:val="18"/>
                <w:szCs w:val="18"/>
              </w:rPr>
            </w:pPr>
          </w:p>
        </w:tc>
        <w:tc>
          <w:tcPr>
            <w:tcW w:w="1132" w:type="dxa"/>
            <w:tcBorders>
              <w:top w:val="single" w:sz="4" w:space="0" w:color="auto"/>
              <w:left w:val="nil"/>
              <w:bottom w:val="single" w:sz="4" w:space="0" w:color="auto"/>
              <w:right w:val="single" w:sz="4" w:space="0" w:color="auto"/>
            </w:tcBorders>
            <w:shd w:val="clear" w:color="auto" w:fill="FFFFFF" w:themeFill="background1"/>
            <w:vAlign w:val="bottom"/>
          </w:tcPr>
          <w:p w14:paraId="238A793A" w14:textId="670F8F48" w:rsidR="00985966" w:rsidRPr="00985966" w:rsidRDefault="00985966" w:rsidP="00BC175B">
            <w:pPr>
              <w:keepNext/>
              <w:spacing w:after="0" w:line="240" w:lineRule="auto"/>
              <w:ind w:left="-110" w:right="179"/>
              <w:jc w:val="center"/>
              <w:rPr>
                <w:rFonts w:cs="Arial"/>
                <w:b/>
                <w:bCs/>
                <w:color w:val="000000"/>
                <w:sz w:val="18"/>
                <w:szCs w:val="18"/>
              </w:rPr>
            </w:pPr>
            <w:r>
              <w:rPr>
                <w:rFonts w:cs="Arial"/>
                <w:b/>
                <w:bCs/>
                <w:color w:val="000000"/>
                <w:sz w:val="18"/>
                <w:szCs w:val="18"/>
              </w:rPr>
              <w:t>252</w:t>
            </w:r>
          </w:p>
        </w:tc>
      </w:tr>
    </w:tbl>
    <w:p w14:paraId="2E6B3044" w14:textId="119ED51C" w:rsidR="00C50231" w:rsidRDefault="00C50231" w:rsidP="00BC175B">
      <w:pPr>
        <w:keepNext/>
        <w:spacing w:before="240"/>
        <w:rPr>
          <w:i/>
          <w:sz w:val="16"/>
          <w:szCs w:val="16"/>
        </w:rPr>
      </w:pPr>
      <w:r w:rsidRPr="0035130C">
        <w:rPr>
          <w:i/>
          <w:sz w:val="16"/>
          <w:szCs w:val="16"/>
        </w:rPr>
        <w:t xml:space="preserve">Data taken from </w:t>
      </w:r>
      <w:r>
        <w:rPr>
          <w:i/>
          <w:sz w:val="16"/>
          <w:szCs w:val="16"/>
        </w:rPr>
        <w:t>RRL</w:t>
      </w:r>
      <w:r w:rsidR="00E94B4D">
        <w:rPr>
          <w:rStyle w:val="FootnoteReference"/>
          <w:i/>
          <w:sz w:val="16"/>
          <w:szCs w:val="16"/>
        </w:rPr>
        <w:footnoteReference w:id="20"/>
      </w:r>
      <w:r w:rsidRPr="0035130C">
        <w:rPr>
          <w:i/>
          <w:sz w:val="16"/>
          <w:szCs w:val="16"/>
        </w:rPr>
        <w:t xml:space="preserve"> as of 1 </w:t>
      </w:r>
      <w:r w:rsidR="00160393">
        <w:rPr>
          <w:i/>
          <w:sz w:val="16"/>
          <w:szCs w:val="16"/>
        </w:rPr>
        <w:t>November</w:t>
      </w:r>
      <w:r w:rsidR="00160393" w:rsidRPr="0035130C">
        <w:rPr>
          <w:i/>
          <w:sz w:val="16"/>
          <w:szCs w:val="16"/>
        </w:rPr>
        <w:t xml:space="preserve"> </w:t>
      </w:r>
      <w:r w:rsidRPr="0035130C">
        <w:rPr>
          <w:i/>
          <w:sz w:val="16"/>
          <w:szCs w:val="16"/>
        </w:rPr>
        <w:t>2022</w:t>
      </w:r>
    </w:p>
    <w:p w14:paraId="612772AC" w14:textId="59DB35CF" w:rsidR="00C50231" w:rsidRDefault="00233856" w:rsidP="009B5150">
      <w:pPr>
        <w:pStyle w:val="Paragraph"/>
        <w:keepLines w:val="0"/>
      </w:pPr>
      <w:r>
        <w:t>Appendix B examines fixed service use of the 1.9 GHz band</w:t>
      </w:r>
      <w:r w:rsidR="008848EB">
        <w:t xml:space="preserve"> in Australia</w:t>
      </w:r>
      <w:r>
        <w:t xml:space="preserve">. </w:t>
      </w:r>
      <w:r w:rsidR="00C50231">
        <w:t xml:space="preserve">Figure 6 and Figure 7 </w:t>
      </w:r>
      <w:r w:rsidR="006574A3">
        <w:t xml:space="preserve">in </w:t>
      </w:r>
      <w:hyperlink w:anchor="_Appendix_B:_Fixed" w:history="1">
        <w:r w:rsidR="006574A3" w:rsidRPr="002523F0">
          <w:rPr>
            <w:rStyle w:val="Hyperlink"/>
          </w:rPr>
          <w:t>Appendix B</w:t>
        </w:r>
      </w:hyperlink>
      <w:r w:rsidR="00C50231">
        <w:t xml:space="preserve"> illustrate the trend of fixed services for the last 8 years. While there has been a decline in point-to-point assignments since 2015, over the last </w:t>
      </w:r>
      <w:r w:rsidR="002523F0">
        <w:br/>
      </w:r>
      <w:r w:rsidR="00C50231">
        <w:t xml:space="preserve">2 years the number of point-to-point assignments has stayed relatively stable. </w:t>
      </w:r>
      <w:r w:rsidR="00D10CDB">
        <w:br/>
      </w:r>
      <w:r w:rsidR="00C50231">
        <w:t xml:space="preserve">Point-to-multipoint assignments </w:t>
      </w:r>
      <w:r w:rsidR="00965BAA">
        <w:t xml:space="preserve">have </w:t>
      </w:r>
      <w:r w:rsidR="00C50231">
        <w:t xml:space="preserve">had an overall increase in assignments over the last 5 years, but like point-to-point links, the number of point-to-multipoint assignments has been relatively stable over the last 2 years. </w:t>
      </w:r>
    </w:p>
    <w:p w14:paraId="416725BF" w14:textId="1480CCCC" w:rsidR="00C50231" w:rsidRDefault="00C50231" w:rsidP="009B5150">
      <w:pPr>
        <w:pStyle w:val="Paragraph"/>
        <w:keepLines w:val="0"/>
        <w:rPr>
          <w:szCs w:val="20"/>
        </w:rPr>
      </w:pPr>
      <w:r>
        <w:t xml:space="preserve">With a total number of 252 fixed services Australia-wide and no significant growth over the last 2 years, </w:t>
      </w:r>
      <w:r w:rsidR="00D10CDB">
        <w:t xml:space="preserve">we </w:t>
      </w:r>
      <w:r>
        <w:t xml:space="preserve">consider </w:t>
      </w:r>
      <w:r w:rsidRPr="00490A01">
        <w:t>that</w:t>
      </w:r>
      <w:r w:rsidRPr="00812B32">
        <w:t xml:space="preserve"> </w:t>
      </w:r>
      <w:r>
        <w:t>the</w:t>
      </w:r>
      <w:r w:rsidRPr="00812B32">
        <w:t xml:space="preserve"> band </w:t>
      </w:r>
      <w:r w:rsidR="0031481F">
        <w:t xml:space="preserve">may be able to accommodate new </w:t>
      </w:r>
      <w:r w:rsidR="00450C6C">
        <w:t>services</w:t>
      </w:r>
      <w:r w:rsidR="0031481F">
        <w:t xml:space="preserve"> to help meet</w:t>
      </w:r>
      <w:r>
        <w:t xml:space="preserve"> the government policy objective of maximising spectrum utility.</w:t>
      </w:r>
    </w:p>
    <w:p w14:paraId="5C3BDC40" w14:textId="45943425" w:rsidR="003200B1" w:rsidRPr="007F6C96" w:rsidRDefault="003200B1" w:rsidP="009B5150">
      <w:pPr>
        <w:pStyle w:val="Heading3"/>
        <w:keepLines w:val="0"/>
        <w:ind w:right="1559"/>
      </w:pPr>
      <w:r w:rsidRPr="007F6C96">
        <w:t xml:space="preserve">Australian </w:t>
      </w:r>
      <w:r w:rsidR="00D10CDB">
        <w:t>r</w:t>
      </w:r>
      <w:r w:rsidRPr="007F6C96">
        <w:t xml:space="preserve">ailway </w:t>
      </w:r>
      <w:r w:rsidR="00D10CDB">
        <w:t>t</w:t>
      </w:r>
      <w:r w:rsidRPr="007F6C96">
        <w:t xml:space="preserve">ransport </w:t>
      </w:r>
      <w:r w:rsidR="00D10CDB">
        <w:t>s</w:t>
      </w:r>
      <w:r w:rsidRPr="007F6C96">
        <w:t xml:space="preserve">ystem </w:t>
      </w:r>
    </w:p>
    <w:p w14:paraId="7F7D6733" w14:textId="02BDFF8B" w:rsidR="003200B1" w:rsidRDefault="003200B1" w:rsidP="009B5150">
      <w:pPr>
        <w:pStyle w:val="Paragraph"/>
        <w:keepLines w:val="0"/>
      </w:pPr>
      <w:r>
        <w:t xml:space="preserve">In </w:t>
      </w:r>
      <w:r w:rsidR="00965BAA">
        <w:t>B</w:t>
      </w:r>
      <w:r>
        <w:t xml:space="preserve">udget </w:t>
      </w:r>
      <w:r w:rsidR="00965BAA">
        <w:t>P</w:t>
      </w:r>
      <w:r>
        <w:t>aper #2 of 2019</w:t>
      </w:r>
      <w:r w:rsidR="00D10CDB">
        <w:t>–</w:t>
      </w:r>
      <w:r>
        <w:t>20</w:t>
      </w:r>
      <w:r w:rsidR="00D10CDB">
        <w:t>,</w:t>
      </w:r>
      <w:r>
        <w:t xml:space="preserve"> the then Australian Government estimated that </w:t>
      </w:r>
      <w:r w:rsidRPr="00FF475A">
        <w:t>the</w:t>
      </w:r>
      <w:r>
        <w:t xml:space="preserve"> t</w:t>
      </w:r>
      <w:r w:rsidRPr="006B42D2">
        <w:t xml:space="preserve">otal expenditure on transport and communications is expected to grow by 15 </w:t>
      </w:r>
      <w:r w:rsidR="00D10CDB">
        <w:t>%</w:t>
      </w:r>
      <w:r w:rsidRPr="006B42D2">
        <w:t xml:space="preserve"> in real terms between 2019–20 and 2022–23</w:t>
      </w:r>
      <w:r w:rsidRPr="001C6879">
        <w:rPr>
          <w:rStyle w:val="FootnoteReference"/>
        </w:rPr>
        <w:footnoteReference w:id="21"/>
      </w:r>
      <w:r w:rsidRPr="001C6879">
        <w:rPr>
          <w:vertAlign w:val="superscript"/>
        </w:rPr>
        <w:t>.</w:t>
      </w:r>
      <w:r>
        <w:t xml:space="preserve"> </w:t>
      </w:r>
      <w:r w:rsidRPr="00FF475A">
        <w:t>This</w:t>
      </w:r>
      <w:r>
        <w:t xml:space="preserve"> expected increase is supported by the increase</w:t>
      </w:r>
      <w:r w:rsidRPr="006B42D2">
        <w:t xml:space="preserve"> in funding for rail and roads infrastructure. Rail transport funding is expected to grow by </w:t>
      </w:r>
      <w:r>
        <w:t>70</w:t>
      </w:r>
      <w:r w:rsidRPr="006B42D2">
        <w:t xml:space="preserve"> </w:t>
      </w:r>
      <w:r w:rsidR="00D10CDB">
        <w:t>%</w:t>
      </w:r>
      <w:r w:rsidRPr="006B42D2">
        <w:t xml:space="preserve"> in real terms between 2019–20 and 2022–23</w:t>
      </w:r>
      <w:r>
        <w:t>.</w:t>
      </w:r>
    </w:p>
    <w:p w14:paraId="08ED1B92" w14:textId="4E013995" w:rsidR="00D10CDB" w:rsidRDefault="003200B1" w:rsidP="003200B1">
      <w:pPr>
        <w:keepLines w:val="0"/>
        <w:autoSpaceDE w:val="0"/>
        <w:autoSpaceDN w:val="0"/>
        <w:adjustRightInd w:val="0"/>
        <w:spacing w:after="0" w:line="240" w:lineRule="auto"/>
        <w:rPr>
          <w:rFonts w:cs="Arial"/>
          <w:color w:val="000000"/>
          <w:szCs w:val="20"/>
        </w:rPr>
      </w:pPr>
      <w:r w:rsidRPr="00BE005F">
        <w:rPr>
          <w:rFonts w:cs="Arial"/>
          <w:color w:val="000000"/>
          <w:szCs w:val="20"/>
        </w:rPr>
        <w:t xml:space="preserve">Australian </w:t>
      </w:r>
      <w:r>
        <w:rPr>
          <w:rFonts w:cs="Arial"/>
          <w:color w:val="000000"/>
          <w:szCs w:val="20"/>
        </w:rPr>
        <w:t>r</w:t>
      </w:r>
      <w:r w:rsidRPr="00BE005F">
        <w:rPr>
          <w:rFonts w:cs="Arial"/>
          <w:color w:val="000000"/>
          <w:szCs w:val="20"/>
        </w:rPr>
        <w:t xml:space="preserve">ailway operators </w:t>
      </w:r>
      <w:r>
        <w:rPr>
          <w:rFonts w:cs="Arial"/>
          <w:color w:val="000000"/>
          <w:szCs w:val="20"/>
        </w:rPr>
        <w:t xml:space="preserve">of </w:t>
      </w:r>
      <w:r w:rsidRPr="00BE005F">
        <w:rPr>
          <w:rFonts w:cs="Arial"/>
          <w:color w:val="000000"/>
          <w:szCs w:val="20"/>
        </w:rPr>
        <w:t xml:space="preserve">passenger rail networks in capital cities </w:t>
      </w:r>
      <w:r>
        <w:rPr>
          <w:rFonts w:cs="Arial"/>
          <w:color w:val="000000"/>
          <w:szCs w:val="20"/>
        </w:rPr>
        <w:t xml:space="preserve">have spectrum licences for </w:t>
      </w:r>
      <w:r w:rsidRPr="00BE005F">
        <w:rPr>
          <w:rFonts w:cs="Arial"/>
          <w:color w:val="000000"/>
          <w:szCs w:val="20"/>
        </w:rPr>
        <w:t>1</w:t>
      </w:r>
      <w:r>
        <w:rPr>
          <w:rFonts w:cs="Arial"/>
          <w:color w:val="000000"/>
          <w:szCs w:val="20"/>
        </w:rPr>
        <w:t>0</w:t>
      </w:r>
      <w:r w:rsidR="008C6863">
        <w:rPr>
          <w:rFonts w:cs="Arial"/>
          <w:color w:val="000000"/>
          <w:szCs w:val="20"/>
        </w:rPr>
        <w:noBreakHyphen/>
      </w:r>
      <w:r>
        <w:rPr>
          <w:rFonts w:cs="Arial"/>
          <w:color w:val="000000"/>
          <w:szCs w:val="20"/>
        </w:rPr>
        <w:t>15</w:t>
      </w:r>
      <w:r w:rsidRPr="00BE005F">
        <w:rPr>
          <w:rFonts w:cs="Arial"/>
          <w:color w:val="000000"/>
          <w:szCs w:val="20"/>
        </w:rPr>
        <w:t xml:space="preserve"> MHz of </w:t>
      </w:r>
      <w:r>
        <w:rPr>
          <w:rFonts w:cs="Arial"/>
          <w:color w:val="000000"/>
          <w:szCs w:val="20"/>
        </w:rPr>
        <w:t xml:space="preserve">spectrum in the </w:t>
      </w:r>
      <w:r w:rsidRPr="00BE005F">
        <w:rPr>
          <w:rFonts w:cs="Arial"/>
          <w:color w:val="000000"/>
          <w:szCs w:val="20"/>
        </w:rPr>
        <w:t>18</w:t>
      </w:r>
      <w:r>
        <w:rPr>
          <w:rFonts w:cs="Arial"/>
          <w:color w:val="000000"/>
          <w:szCs w:val="20"/>
        </w:rPr>
        <w:t>0</w:t>
      </w:r>
      <w:r w:rsidRPr="00BE005F">
        <w:rPr>
          <w:rFonts w:cs="Arial"/>
          <w:color w:val="000000"/>
          <w:szCs w:val="20"/>
        </w:rPr>
        <w:t xml:space="preserve">0 MHz </w:t>
      </w:r>
      <w:r>
        <w:rPr>
          <w:rFonts w:cs="Arial"/>
          <w:color w:val="000000"/>
          <w:szCs w:val="20"/>
        </w:rPr>
        <w:t>band used for</w:t>
      </w:r>
      <w:r w:rsidRPr="00BE005F">
        <w:rPr>
          <w:rFonts w:cs="Arial"/>
          <w:color w:val="000000"/>
          <w:szCs w:val="20"/>
        </w:rPr>
        <w:t xml:space="preserve"> rail safety systems</w:t>
      </w:r>
      <w:r>
        <w:rPr>
          <w:rFonts w:cs="Arial"/>
          <w:color w:val="000000"/>
          <w:szCs w:val="20"/>
        </w:rPr>
        <w:t xml:space="preserve">. Table </w:t>
      </w:r>
      <w:r w:rsidR="00A17526">
        <w:rPr>
          <w:rFonts w:cs="Arial"/>
          <w:color w:val="000000"/>
          <w:szCs w:val="20"/>
        </w:rPr>
        <w:t>3</w:t>
      </w:r>
      <w:r>
        <w:rPr>
          <w:rFonts w:cs="Arial"/>
          <w:color w:val="000000"/>
          <w:szCs w:val="20"/>
        </w:rPr>
        <w:t xml:space="preserve"> summarises the number of </w:t>
      </w:r>
      <w:r w:rsidR="00AD33BC">
        <w:rPr>
          <w:rFonts w:cs="Arial"/>
          <w:color w:val="000000"/>
          <w:szCs w:val="20"/>
        </w:rPr>
        <w:t>registrations</w:t>
      </w:r>
      <w:r>
        <w:rPr>
          <w:rFonts w:cs="Arial"/>
          <w:color w:val="000000"/>
          <w:szCs w:val="20"/>
        </w:rPr>
        <w:t xml:space="preserve"> in the </w:t>
      </w:r>
      <w:r w:rsidR="00A17526">
        <w:rPr>
          <w:rFonts w:cs="Arial"/>
          <w:color w:val="000000"/>
          <w:szCs w:val="20"/>
        </w:rPr>
        <w:t>upper</w:t>
      </w:r>
      <w:r>
        <w:rPr>
          <w:rFonts w:cs="Arial"/>
          <w:color w:val="000000"/>
          <w:szCs w:val="20"/>
        </w:rPr>
        <w:t xml:space="preserve"> 1800 MHz band (186</w:t>
      </w:r>
      <w:r w:rsidR="00A17526">
        <w:rPr>
          <w:rFonts w:cs="Arial"/>
          <w:color w:val="000000"/>
          <w:szCs w:val="20"/>
        </w:rPr>
        <w:t>5</w:t>
      </w:r>
      <w:r w:rsidR="00D10CDB">
        <w:rPr>
          <w:rFonts w:cs="Arial"/>
          <w:color w:val="000000"/>
          <w:szCs w:val="20"/>
        </w:rPr>
        <w:t>–</w:t>
      </w:r>
      <w:r>
        <w:rPr>
          <w:rFonts w:cs="Arial"/>
          <w:color w:val="000000"/>
          <w:szCs w:val="20"/>
        </w:rPr>
        <w:t>18</w:t>
      </w:r>
      <w:r w:rsidR="00A17526">
        <w:rPr>
          <w:rFonts w:cs="Arial"/>
          <w:color w:val="000000"/>
          <w:szCs w:val="20"/>
        </w:rPr>
        <w:t>80</w:t>
      </w:r>
      <w:r>
        <w:rPr>
          <w:rFonts w:cs="Arial"/>
          <w:color w:val="000000"/>
          <w:szCs w:val="20"/>
        </w:rPr>
        <w:t xml:space="preserve"> MHz) available to the rail operators in Australia.</w:t>
      </w:r>
      <w:r w:rsidRPr="00BE005F">
        <w:rPr>
          <w:rFonts w:cs="Arial"/>
          <w:color w:val="000000"/>
          <w:szCs w:val="20"/>
        </w:rPr>
        <w:t xml:space="preserve"> </w:t>
      </w:r>
    </w:p>
    <w:p w14:paraId="098EEDDD" w14:textId="77777777" w:rsidR="00D10CDB" w:rsidRDefault="00D10CDB">
      <w:pPr>
        <w:keepLines w:val="0"/>
        <w:spacing w:after="0" w:line="240" w:lineRule="auto"/>
        <w:rPr>
          <w:rFonts w:cs="Arial"/>
          <w:color w:val="000000"/>
          <w:szCs w:val="20"/>
        </w:rPr>
      </w:pPr>
      <w:r>
        <w:rPr>
          <w:rFonts w:cs="Arial"/>
          <w:color w:val="000000"/>
          <w:szCs w:val="20"/>
        </w:rPr>
        <w:br w:type="page"/>
      </w:r>
    </w:p>
    <w:p w14:paraId="4F90304B" w14:textId="795E7F30" w:rsidR="003200B1" w:rsidRPr="00303364" w:rsidRDefault="003200B1" w:rsidP="00BC175B">
      <w:pPr>
        <w:pStyle w:val="ACMATableHeader"/>
        <w:keepNext/>
        <w:keepLines/>
        <w:rPr>
          <w:rFonts w:cs="Arial"/>
          <w:color w:val="000000"/>
        </w:rPr>
      </w:pPr>
      <w:r w:rsidRPr="00201814">
        <w:rPr>
          <w:rFonts w:cs="Arial"/>
        </w:rPr>
        <w:lastRenderedPageBreak/>
        <w:t xml:space="preserve">Number of </w:t>
      </w:r>
      <w:r w:rsidR="00D10CDB">
        <w:rPr>
          <w:rFonts w:cs="Arial"/>
        </w:rPr>
        <w:t>r</w:t>
      </w:r>
      <w:r w:rsidR="00AD33BC">
        <w:rPr>
          <w:rFonts w:cs="Arial"/>
        </w:rPr>
        <w:t>egistrations</w:t>
      </w:r>
      <w:r w:rsidRPr="00201814">
        <w:rPr>
          <w:rFonts w:cs="Arial"/>
        </w:rPr>
        <w:t xml:space="preserve"> in 1865</w:t>
      </w:r>
      <w:r w:rsidR="00D10CDB">
        <w:rPr>
          <w:rFonts w:cs="Arial"/>
        </w:rPr>
        <w:t>–</w:t>
      </w:r>
      <w:r w:rsidRPr="00201814">
        <w:rPr>
          <w:rFonts w:cs="Arial"/>
        </w:rPr>
        <w:t>18</w:t>
      </w:r>
      <w:r w:rsidR="00965BAA">
        <w:rPr>
          <w:rFonts w:cs="Arial"/>
        </w:rPr>
        <w:t>80</w:t>
      </w:r>
      <w:r w:rsidRPr="00201814">
        <w:rPr>
          <w:rFonts w:cs="Arial"/>
        </w:rPr>
        <w:t xml:space="preserve"> MHz by </w:t>
      </w:r>
      <w:r w:rsidR="00D10CDB">
        <w:rPr>
          <w:rFonts w:cs="Arial"/>
        </w:rPr>
        <w:t>r</w:t>
      </w:r>
      <w:r w:rsidRPr="00201814">
        <w:rPr>
          <w:rFonts w:cs="Arial"/>
        </w:rPr>
        <w:t>ail</w:t>
      </w:r>
    </w:p>
    <w:tbl>
      <w:tblPr>
        <w:tblpPr w:leftFromText="180" w:rightFromText="180" w:vertAnchor="text" w:horzAnchor="margin" w:tblpY="53"/>
        <w:tblW w:w="8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00" w:firstRow="0" w:lastRow="0" w:firstColumn="0" w:lastColumn="0" w:noHBand="1" w:noVBand="1"/>
      </w:tblPr>
      <w:tblGrid>
        <w:gridCol w:w="4815"/>
        <w:gridCol w:w="3544"/>
      </w:tblGrid>
      <w:tr w:rsidR="003200B1" w:rsidRPr="006C754D" w14:paraId="1A38FBB7" w14:textId="77777777" w:rsidTr="0030333C">
        <w:trPr>
          <w:trHeight w:val="299"/>
        </w:trPr>
        <w:tc>
          <w:tcPr>
            <w:tcW w:w="4815" w:type="dxa"/>
            <w:shd w:val="clear" w:color="auto" w:fill="000000" w:themeFill="text1"/>
            <w:noWrap/>
            <w:vAlign w:val="center"/>
            <w:hideMark/>
          </w:tcPr>
          <w:p w14:paraId="69998C2E" w14:textId="39423CE3" w:rsidR="003200B1" w:rsidRPr="00BC175B" w:rsidRDefault="003200B1" w:rsidP="00BC175B">
            <w:pPr>
              <w:keepNext/>
              <w:spacing w:after="0" w:line="240" w:lineRule="auto"/>
              <w:rPr>
                <w:rFonts w:cs="Arial"/>
                <w:b/>
                <w:bCs/>
              </w:rPr>
            </w:pPr>
            <w:r w:rsidRPr="00BC175B">
              <w:rPr>
                <w:rFonts w:cs="Arial"/>
                <w:b/>
                <w:bCs/>
              </w:rPr>
              <w:t xml:space="preserve">Rail operator / </w:t>
            </w:r>
            <w:r w:rsidR="00D10CDB" w:rsidRPr="00BC175B">
              <w:rPr>
                <w:rFonts w:cs="Arial"/>
                <w:b/>
                <w:bCs/>
              </w:rPr>
              <w:t>r</w:t>
            </w:r>
            <w:r w:rsidRPr="00BC175B">
              <w:rPr>
                <w:rFonts w:cs="Arial"/>
                <w:b/>
                <w:bCs/>
              </w:rPr>
              <w:t>egion</w:t>
            </w:r>
          </w:p>
        </w:tc>
        <w:tc>
          <w:tcPr>
            <w:tcW w:w="3544" w:type="dxa"/>
            <w:shd w:val="clear" w:color="auto" w:fill="000000" w:themeFill="text1"/>
            <w:noWrap/>
            <w:vAlign w:val="center"/>
            <w:hideMark/>
          </w:tcPr>
          <w:p w14:paraId="0FAEE95E" w14:textId="77777777" w:rsidR="00AD33BC" w:rsidRPr="00BC175B" w:rsidRDefault="003200B1" w:rsidP="00BC175B">
            <w:pPr>
              <w:keepNext/>
              <w:spacing w:after="0" w:line="240" w:lineRule="auto"/>
              <w:rPr>
                <w:rFonts w:cs="Arial"/>
                <w:b/>
                <w:bCs/>
              </w:rPr>
            </w:pPr>
            <w:r w:rsidRPr="00BC175B">
              <w:rPr>
                <w:rFonts w:cs="Arial"/>
                <w:b/>
                <w:bCs/>
              </w:rPr>
              <w:t xml:space="preserve">Number of </w:t>
            </w:r>
            <w:r w:rsidR="009B4AAE" w:rsidRPr="00BC175B">
              <w:rPr>
                <w:rFonts w:cs="Arial"/>
                <w:b/>
                <w:bCs/>
              </w:rPr>
              <w:t>registrations</w:t>
            </w:r>
            <w:r w:rsidRPr="00BC175B">
              <w:rPr>
                <w:rFonts w:cs="Arial"/>
                <w:b/>
                <w:bCs/>
              </w:rPr>
              <w:t xml:space="preserve"> in </w:t>
            </w:r>
            <w:r w:rsidR="00AD33BC" w:rsidRPr="00BC175B">
              <w:rPr>
                <w:rFonts w:cs="Arial"/>
                <w:b/>
                <w:bCs/>
              </w:rPr>
              <w:t xml:space="preserve">the </w:t>
            </w:r>
          </w:p>
          <w:p w14:paraId="42A39FDF" w14:textId="3D26B266" w:rsidR="003200B1" w:rsidRPr="00201814" w:rsidRDefault="003200B1" w:rsidP="00BC175B">
            <w:pPr>
              <w:keepNext/>
              <w:spacing w:after="0" w:line="240" w:lineRule="auto"/>
              <w:rPr>
                <w:rFonts w:cs="Arial"/>
              </w:rPr>
            </w:pPr>
            <w:r w:rsidRPr="00BC175B">
              <w:rPr>
                <w:rFonts w:cs="Arial"/>
                <w:b/>
                <w:bCs/>
              </w:rPr>
              <w:t>1865</w:t>
            </w:r>
            <w:r w:rsidR="00D10CDB" w:rsidRPr="00BC175B">
              <w:rPr>
                <w:rFonts w:cs="Arial"/>
                <w:b/>
                <w:bCs/>
              </w:rPr>
              <w:t>–</w:t>
            </w:r>
            <w:r w:rsidRPr="00BC175B">
              <w:rPr>
                <w:rFonts w:cs="Arial"/>
                <w:b/>
                <w:bCs/>
              </w:rPr>
              <w:t>18</w:t>
            </w:r>
            <w:r w:rsidR="009B4AAE" w:rsidRPr="00BC175B">
              <w:rPr>
                <w:rFonts w:cs="Arial"/>
                <w:b/>
                <w:bCs/>
              </w:rPr>
              <w:t>80</w:t>
            </w:r>
            <w:r w:rsidRPr="00BC175B">
              <w:rPr>
                <w:rFonts w:cs="Arial"/>
                <w:b/>
                <w:bCs/>
              </w:rPr>
              <w:t xml:space="preserve"> MHz band</w:t>
            </w:r>
          </w:p>
        </w:tc>
      </w:tr>
      <w:tr w:rsidR="00D10CDB" w:rsidRPr="006C754D" w14:paraId="01CFF204" w14:textId="77777777" w:rsidTr="00BC175B">
        <w:trPr>
          <w:trHeight w:val="299"/>
        </w:trPr>
        <w:tc>
          <w:tcPr>
            <w:tcW w:w="4815" w:type="dxa"/>
            <w:shd w:val="clear" w:color="auto" w:fill="D9D9D9" w:themeFill="background1" w:themeFillShade="D9"/>
            <w:noWrap/>
            <w:vAlign w:val="bottom"/>
            <w:hideMark/>
          </w:tcPr>
          <w:p w14:paraId="171D5CD2" w14:textId="1096B60B" w:rsidR="00D10CDB" w:rsidRPr="001C6879" w:rsidRDefault="00D10CDB" w:rsidP="00D10CDB">
            <w:pPr>
              <w:keepNext/>
              <w:spacing w:after="0" w:line="240" w:lineRule="auto"/>
              <w:rPr>
                <w:rFonts w:cs="Arial"/>
                <w:b/>
                <w:color w:val="000000"/>
                <w:sz w:val="22"/>
                <w:szCs w:val="22"/>
              </w:rPr>
            </w:pPr>
            <w:r w:rsidRPr="001C6879">
              <w:rPr>
                <w:rFonts w:cs="Arial"/>
                <w:color w:val="000000"/>
                <w:sz w:val="22"/>
                <w:szCs w:val="22"/>
              </w:rPr>
              <w:t>Queensland Rail Limited</w:t>
            </w:r>
          </w:p>
        </w:tc>
        <w:tc>
          <w:tcPr>
            <w:tcW w:w="3544" w:type="dxa"/>
            <w:shd w:val="clear" w:color="auto" w:fill="D9D9D9" w:themeFill="background1" w:themeFillShade="D9"/>
            <w:noWrap/>
            <w:vAlign w:val="bottom"/>
            <w:hideMark/>
          </w:tcPr>
          <w:p w14:paraId="5C7EA6C0" w14:textId="00D28650" w:rsidR="00D10CDB" w:rsidRPr="001C6879" w:rsidRDefault="00D10CDB" w:rsidP="00BC175B">
            <w:pPr>
              <w:keepNext/>
              <w:spacing w:after="0" w:line="240" w:lineRule="auto"/>
              <w:jc w:val="center"/>
              <w:rPr>
                <w:rFonts w:cs="Arial"/>
                <w:b/>
                <w:color w:val="000000"/>
                <w:sz w:val="22"/>
                <w:szCs w:val="22"/>
              </w:rPr>
            </w:pPr>
            <w:r w:rsidRPr="001C6879">
              <w:rPr>
                <w:rFonts w:cs="Arial"/>
                <w:color w:val="000000"/>
                <w:sz w:val="22"/>
                <w:szCs w:val="22"/>
              </w:rPr>
              <w:t>33</w:t>
            </w:r>
          </w:p>
        </w:tc>
      </w:tr>
      <w:tr w:rsidR="00D10CDB" w:rsidRPr="006C754D" w14:paraId="7AE66A83" w14:textId="77777777" w:rsidTr="00BC175B">
        <w:trPr>
          <w:trHeight w:val="299"/>
        </w:trPr>
        <w:tc>
          <w:tcPr>
            <w:tcW w:w="4815" w:type="dxa"/>
            <w:shd w:val="clear" w:color="auto" w:fill="auto"/>
            <w:noWrap/>
            <w:vAlign w:val="bottom"/>
            <w:hideMark/>
          </w:tcPr>
          <w:p w14:paraId="218423E6" w14:textId="27775506" w:rsidR="00D10CDB" w:rsidRPr="001C6879" w:rsidRDefault="00D10CDB" w:rsidP="00BC175B">
            <w:pPr>
              <w:keepNext/>
              <w:spacing w:after="0" w:line="240" w:lineRule="auto"/>
              <w:rPr>
                <w:rFonts w:cs="Arial"/>
                <w:color w:val="000000"/>
                <w:sz w:val="22"/>
                <w:szCs w:val="22"/>
              </w:rPr>
            </w:pPr>
            <w:r w:rsidRPr="001C6879">
              <w:rPr>
                <w:rFonts w:cs="Arial"/>
                <w:color w:val="000000"/>
                <w:sz w:val="22"/>
                <w:szCs w:val="22"/>
              </w:rPr>
              <w:t>Public Transport Authority of Western Australia</w:t>
            </w:r>
          </w:p>
        </w:tc>
        <w:tc>
          <w:tcPr>
            <w:tcW w:w="3544" w:type="dxa"/>
            <w:shd w:val="clear" w:color="auto" w:fill="auto"/>
            <w:noWrap/>
            <w:vAlign w:val="bottom"/>
            <w:hideMark/>
          </w:tcPr>
          <w:p w14:paraId="6561FAFB" w14:textId="2805963B" w:rsidR="00D10CDB" w:rsidRPr="001C6879" w:rsidRDefault="00D10CDB" w:rsidP="00BC175B">
            <w:pPr>
              <w:keepNext/>
              <w:spacing w:after="0" w:line="240" w:lineRule="auto"/>
              <w:jc w:val="center"/>
              <w:rPr>
                <w:rFonts w:cs="Arial"/>
                <w:color w:val="000000"/>
                <w:sz w:val="22"/>
                <w:szCs w:val="22"/>
              </w:rPr>
            </w:pPr>
            <w:r w:rsidRPr="001C6879">
              <w:rPr>
                <w:rFonts w:cs="Arial"/>
                <w:color w:val="000000"/>
                <w:sz w:val="22"/>
                <w:szCs w:val="22"/>
              </w:rPr>
              <w:t>25</w:t>
            </w:r>
          </w:p>
        </w:tc>
      </w:tr>
      <w:tr w:rsidR="00D10CDB" w:rsidRPr="006C754D" w14:paraId="5FEE434C" w14:textId="77777777" w:rsidTr="00BC175B">
        <w:trPr>
          <w:trHeight w:val="299"/>
        </w:trPr>
        <w:tc>
          <w:tcPr>
            <w:tcW w:w="4815" w:type="dxa"/>
            <w:shd w:val="clear" w:color="auto" w:fill="D9D9D9" w:themeFill="background1" w:themeFillShade="D9"/>
            <w:noWrap/>
            <w:vAlign w:val="bottom"/>
            <w:hideMark/>
          </w:tcPr>
          <w:p w14:paraId="7491230A" w14:textId="79612C9C" w:rsidR="00D10CDB" w:rsidRPr="001C6879" w:rsidRDefault="00D10CDB" w:rsidP="00BC175B">
            <w:pPr>
              <w:keepNext/>
              <w:spacing w:after="0" w:line="240" w:lineRule="auto"/>
              <w:rPr>
                <w:rFonts w:cs="Arial"/>
                <w:b/>
                <w:color w:val="000000"/>
                <w:sz w:val="22"/>
                <w:szCs w:val="22"/>
              </w:rPr>
            </w:pPr>
            <w:r w:rsidRPr="00A17526">
              <w:rPr>
                <w:rFonts w:cs="Arial"/>
                <w:color w:val="000000"/>
                <w:sz w:val="22"/>
                <w:szCs w:val="22"/>
              </w:rPr>
              <w:t>Sydney Trains</w:t>
            </w:r>
          </w:p>
        </w:tc>
        <w:tc>
          <w:tcPr>
            <w:tcW w:w="3544" w:type="dxa"/>
            <w:shd w:val="clear" w:color="auto" w:fill="D9D9D9" w:themeFill="background1" w:themeFillShade="D9"/>
            <w:noWrap/>
            <w:vAlign w:val="bottom"/>
            <w:hideMark/>
          </w:tcPr>
          <w:p w14:paraId="7EFA35C8" w14:textId="1FF956B2" w:rsidR="00D10CDB" w:rsidRPr="001C6879" w:rsidRDefault="00D10CDB" w:rsidP="00BC175B">
            <w:pPr>
              <w:keepNext/>
              <w:spacing w:after="0" w:line="240" w:lineRule="auto"/>
              <w:jc w:val="center"/>
              <w:rPr>
                <w:rFonts w:cs="Arial"/>
                <w:b/>
                <w:color w:val="000000"/>
                <w:sz w:val="22"/>
                <w:szCs w:val="22"/>
              </w:rPr>
            </w:pPr>
            <w:r>
              <w:rPr>
                <w:rFonts w:cs="Arial"/>
                <w:color w:val="000000"/>
                <w:sz w:val="22"/>
                <w:szCs w:val="22"/>
              </w:rPr>
              <w:t>2993</w:t>
            </w:r>
          </w:p>
        </w:tc>
      </w:tr>
      <w:tr w:rsidR="00D10CDB" w:rsidRPr="006C754D" w14:paraId="61322056" w14:textId="77777777" w:rsidTr="00BC175B">
        <w:trPr>
          <w:trHeight w:val="299"/>
        </w:trPr>
        <w:tc>
          <w:tcPr>
            <w:tcW w:w="4815" w:type="dxa"/>
            <w:shd w:val="clear" w:color="auto" w:fill="auto"/>
            <w:noWrap/>
            <w:vAlign w:val="bottom"/>
          </w:tcPr>
          <w:p w14:paraId="5298AE5F" w14:textId="3B7FA9D4" w:rsidR="00D10CDB" w:rsidRPr="001C6879" w:rsidRDefault="00D10CDB" w:rsidP="00BC175B">
            <w:pPr>
              <w:keepNext/>
              <w:spacing w:after="0" w:line="240" w:lineRule="auto"/>
              <w:rPr>
                <w:rFonts w:cs="Arial"/>
                <w:color w:val="000000"/>
                <w:sz w:val="22"/>
                <w:szCs w:val="22"/>
              </w:rPr>
            </w:pPr>
            <w:r w:rsidRPr="001C6879">
              <w:rPr>
                <w:rFonts w:cs="Arial"/>
                <w:color w:val="000000"/>
                <w:sz w:val="22"/>
                <w:szCs w:val="22"/>
              </w:rPr>
              <w:t>Victorian Rail Track</w:t>
            </w:r>
          </w:p>
        </w:tc>
        <w:tc>
          <w:tcPr>
            <w:tcW w:w="3544" w:type="dxa"/>
            <w:shd w:val="clear" w:color="auto" w:fill="auto"/>
            <w:noWrap/>
            <w:vAlign w:val="bottom"/>
          </w:tcPr>
          <w:p w14:paraId="466664B4" w14:textId="2BA30894" w:rsidR="00D10CDB" w:rsidRPr="001C6879" w:rsidRDefault="00D10CDB" w:rsidP="00BC175B">
            <w:pPr>
              <w:keepNext/>
              <w:spacing w:after="0" w:line="240" w:lineRule="auto"/>
              <w:jc w:val="center"/>
              <w:rPr>
                <w:rFonts w:cs="Arial"/>
                <w:color w:val="000000"/>
                <w:sz w:val="22"/>
                <w:szCs w:val="22"/>
              </w:rPr>
            </w:pPr>
            <w:r w:rsidRPr="001C6879">
              <w:rPr>
                <w:rFonts w:cs="Arial"/>
                <w:color w:val="000000"/>
                <w:sz w:val="22"/>
                <w:szCs w:val="22"/>
              </w:rPr>
              <w:t>510</w:t>
            </w:r>
          </w:p>
        </w:tc>
      </w:tr>
      <w:tr w:rsidR="00D10CDB" w:rsidRPr="006C754D" w14:paraId="55024519" w14:textId="77777777" w:rsidTr="00BC175B">
        <w:trPr>
          <w:trHeight w:val="299"/>
        </w:trPr>
        <w:tc>
          <w:tcPr>
            <w:tcW w:w="4815" w:type="dxa"/>
            <w:shd w:val="clear" w:color="auto" w:fill="D9D9D9" w:themeFill="background1" w:themeFillShade="D9"/>
            <w:noWrap/>
            <w:vAlign w:val="bottom"/>
            <w:hideMark/>
          </w:tcPr>
          <w:p w14:paraId="5B0F6001" w14:textId="288CD216" w:rsidR="00D10CDB" w:rsidRPr="001C6879" w:rsidRDefault="00D10CDB" w:rsidP="00BC175B">
            <w:pPr>
              <w:keepNext/>
              <w:spacing w:after="0" w:line="240" w:lineRule="auto"/>
              <w:rPr>
                <w:rFonts w:cs="Arial"/>
                <w:b/>
                <w:color w:val="000000"/>
                <w:sz w:val="22"/>
                <w:szCs w:val="22"/>
              </w:rPr>
            </w:pPr>
            <w:r w:rsidRPr="001C6879">
              <w:rPr>
                <w:rFonts w:cs="Arial"/>
                <w:b/>
                <w:color w:val="000000"/>
                <w:sz w:val="22"/>
                <w:szCs w:val="22"/>
              </w:rPr>
              <w:t>Total</w:t>
            </w:r>
          </w:p>
        </w:tc>
        <w:tc>
          <w:tcPr>
            <w:tcW w:w="3544" w:type="dxa"/>
            <w:shd w:val="clear" w:color="auto" w:fill="D9D9D9" w:themeFill="background1" w:themeFillShade="D9"/>
            <w:noWrap/>
            <w:vAlign w:val="bottom"/>
            <w:hideMark/>
          </w:tcPr>
          <w:p w14:paraId="77E2DB41" w14:textId="3D6451EF" w:rsidR="00D10CDB" w:rsidRPr="001C6879" w:rsidRDefault="00D10CDB" w:rsidP="00BC175B">
            <w:pPr>
              <w:keepNext/>
              <w:spacing w:after="0" w:line="240" w:lineRule="auto"/>
              <w:jc w:val="center"/>
              <w:rPr>
                <w:rFonts w:cs="Arial"/>
                <w:b/>
                <w:color w:val="000000"/>
                <w:sz w:val="22"/>
                <w:szCs w:val="22"/>
              </w:rPr>
            </w:pPr>
            <w:r>
              <w:rPr>
                <w:rFonts w:cs="Arial"/>
                <w:b/>
                <w:color w:val="000000"/>
                <w:sz w:val="22"/>
                <w:szCs w:val="22"/>
              </w:rPr>
              <w:t>3</w:t>
            </w:r>
            <w:r w:rsidRPr="001C6879">
              <w:rPr>
                <w:rFonts w:cs="Arial"/>
                <w:b/>
                <w:color w:val="000000"/>
                <w:sz w:val="22"/>
                <w:szCs w:val="22"/>
              </w:rPr>
              <w:t>56</w:t>
            </w:r>
            <w:r>
              <w:rPr>
                <w:rFonts w:cs="Arial"/>
                <w:b/>
                <w:color w:val="000000"/>
                <w:sz w:val="22"/>
                <w:szCs w:val="22"/>
              </w:rPr>
              <w:t>1</w:t>
            </w:r>
          </w:p>
        </w:tc>
      </w:tr>
    </w:tbl>
    <w:p w14:paraId="7CEDABF5" w14:textId="77777777" w:rsidR="00A17526" w:rsidRDefault="00A17526" w:rsidP="00BC175B">
      <w:pPr>
        <w:keepNext/>
        <w:autoSpaceDE w:val="0"/>
        <w:autoSpaceDN w:val="0"/>
        <w:adjustRightInd w:val="0"/>
        <w:spacing w:after="0" w:line="240" w:lineRule="auto"/>
        <w:rPr>
          <w:rFonts w:cs="Arial"/>
          <w:color w:val="000000"/>
          <w:szCs w:val="20"/>
        </w:rPr>
      </w:pPr>
    </w:p>
    <w:p w14:paraId="4FCF5D8D" w14:textId="4F259350" w:rsidR="00FC78F0" w:rsidRPr="00915142" w:rsidRDefault="00AB1CBE" w:rsidP="00BC175B">
      <w:pPr>
        <w:pStyle w:val="Paragraph"/>
        <w:keepNext/>
      </w:pPr>
      <w:r w:rsidRPr="00915142">
        <w:t>With 1800 MHz band spectrum licences due to expire in 2028</w:t>
      </w:r>
      <w:r w:rsidRPr="006D7CE7">
        <w:t xml:space="preserve">, </w:t>
      </w:r>
      <w:r w:rsidRPr="00915142">
        <w:t>t</w:t>
      </w:r>
      <w:r w:rsidR="003200B1" w:rsidRPr="00915142">
        <w:t>he review of the 1.9</w:t>
      </w:r>
      <w:r w:rsidR="00D10CDB">
        <w:t> </w:t>
      </w:r>
      <w:r w:rsidR="003200B1" w:rsidRPr="00915142">
        <w:t xml:space="preserve">GHz band provides an opportunity </w:t>
      </w:r>
      <w:r w:rsidRPr="00915142">
        <w:t>to</w:t>
      </w:r>
      <w:r w:rsidR="00EC3878" w:rsidRPr="00915142">
        <w:t xml:space="preserve"> take a holistic approach in considering arrangements </w:t>
      </w:r>
      <w:r w:rsidRPr="00915142">
        <w:t xml:space="preserve">for </w:t>
      </w:r>
      <w:r w:rsidR="00965BAA">
        <w:t xml:space="preserve">the </w:t>
      </w:r>
      <w:r w:rsidRPr="006D7CE7">
        <w:t xml:space="preserve">domestic rail industry </w:t>
      </w:r>
      <w:r w:rsidR="00EC3878" w:rsidRPr="006D7CE7">
        <w:t>in both the 1800 MHz and 1.9 GHz band</w:t>
      </w:r>
      <w:r w:rsidRPr="00915142">
        <w:t>s</w:t>
      </w:r>
      <w:r w:rsidR="00EC3878" w:rsidRPr="006D7CE7">
        <w:t xml:space="preserve">. </w:t>
      </w:r>
      <w:r w:rsidRPr="00915142">
        <w:t xml:space="preserve">The 1.9 GHz band could potentially complement </w:t>
      </w:r>
      <w:r w:rsidR="00FC78F0" w:rsidRPr="00915142">
        <w:t xml:space="preserve">1800 MHz </w:t>
      </w:r>
      <w:r w:rsidRPr="00915142">
        <w:t>band</w:t>
      </w:r>
      <w:r w:rsidR="003E579B" w:rsidRPr="00915142">
        <w:t xml:space="preserve"> </w:t>
      </w:r>
      <w:r w:rsidR="00FC78F0" w:rsidRPr="006D7CE7">
        <w:t>spectrum</w:t>
      </w:r>
      <w:r w:rsidR="003E579B" w:rsidRPr="00915142">
        <w:t xml:space="preserve"> licences in the short term and perhaps replace them in the longer term. This is especially </w:t>
      </w:r>
      <w:r w:rsidR="00965BAA">
        <w:t xml:space="preserve">so </w:t>
      </w:r>
      <w:r w:rsidR="003E579B" w:rsidRPr="00915142">
        <w:t>considering that</w:t>
      </w:r>
      <w:r w:rsidR="00FC78F0" w:rsidRPr="00915142">
        <w:t xml:space="preserve"> </w:t>
      </w:r>
      <w:r w:rsidR="003E579B" w:rsidRPr="00915142">
        <w:t xml:space="preserve">1800 MHz </w:t>
      </w:r>
      <w:r w:rsidR="00FC78F0" w:rsidRPr="00915142">
        <w:t xml:space="preserve">spectrum licence boundaries in some cities do not cover all areas of interest to rail, preventing the implementation of 1800 MHz </w:t>
      </w:r>
      <w:r w:rsidR="003E579B" w:rsidRPr="00915142">
        <w:t xml:space="preserve">band </w:t>
      </w:r>
      <w:r w:rsidR="00FC78F0" w:rsidRPr="00915142">
        <w:t>rail safety systems outside the areas of the spectrum licence boundaries</w:t>
      </w:r>
      <w:r w:rsidR="00965BAA">
        <w:t>, w</w:t>
      </w:r>
      <w:r w:rsidR="003E579B" w:rsidRPr="00915142">
        <w:t>hereas</w:t>
      </w:r>
      <w:r w:rsidR="00FC78F0" w:rsidRPr="00915142">
        <w:t xml:space="preserve"> </w:t>
      </w:r>
      <w:r w:rsidR="003E579B" w:rsidRPr="00915142">
        <w:t>the</w:t>
      </w:r>
      <w:r w:rsidR="00FC78F0" w:rsidRPr="006D7CE7">
        <w:t xml:space="preserve"> 1.9 GHz band </w:t>
      </w:r>
      <w:r w:rsidR="00FC78F0" w:rsidRPr="00915142">
        <w:t>could allow access to rail corridors Australia</w:t>
      </w:r>
      <w:r w:rsidR="00ED026A">
        <w:t>-</w:t>
      </w:r>
      <w:r w:rsidR="00FC78F0" w:rsidRPr="00915142">
        <w:t>wide.</w:t>
      </w:r>
    </w:p>
    <w:p w14:paraId="21E2E8E2" w14:textId="337DF6BF" w:rsidR="003200B1" w:rsidRDefault="00FC78F0" w:rsidP="009B5150">
      <w:pPr>
        <w:pStyle w:val="Paragraph"/>
        <w:keepLines w:val="0"/>
      </w:pPr>
      <w:r w:rsidRPr="003A5332">
        <w:t>Any consideration will also take into account t</w:t>
      </w:r>
      <w:r w:rsidR="003200B1" w:rsidRPr="003A5332">
        <w:t xml:space="preserve">he EU’s decision </w:t>
      </w:r>
      <w:r w:rsidR="003E579B" w:rsidRPr="003A5332">
        <w:t>on the</w:t>
      </w:r>
      <w:r w:rsidR="003200B1" w:rsidRPr="003A5332">
        <w:t xml:space="preserve"> 1</w:t>
      </w:r>
      <w:r w:rsidR="00AB1CBE" w:rsidRPr="003A5332">
        <w:t>.</w:t>
      </w:r>
      <w:r w:rsidR="003200B1" w:rsidRPr="003A5332">
        <w:t xml:space="preserve">9 </w:t>
      </w:r>
      <w:r w:rsidR="00AB1CBE" w:rsidRPr="003A5332">
        <w:t>G</w:t>
      </w:r>
      <w:r w:rsidR="003200B1" w:rsidRPr="003A5332">
        <w:t xml:space="preserve">Hz band, </w:t>
      </w:r>
      <w:r w:rsidRPr="003A5332">
        <w:t xml:space="preserve">which </w:t>
      </w:r>
      <w:r w:rsidR="003200B1" w:rsidRPr="003A5332">
        <w:t xml:space="preserve">would help Australian transport authorities to source standard equipment for rail operation. </w:t>
      </w:r>
      <w:r w:rsidR="00CD3BF9">
        <w:t xml:space="preserve">The ACMA understands </w:t>
      </w:r>
      <w:r w:rsidR="003200B1" w:rsidRPr="003A5332">
        <w:t xml:space="preserve">that Australian transport authorities prefer to harmonise spectrum arrangements with Europe to take advantage of common equipment leading to reduced costs. MCX equipment is available now, and FRMCS equipment is expected to be available around 2025. The review of the 1.9 GHz band provides the opportunity for the Australian rail industry to consider strategic network planning activities in </w:t>
      </w:r>
      <w:r w:rsidR="00832002">
        <w:t xml:space="preserve">the </w:t>
      </w:r>
      <w:r w:rsidR="003200B1" w:rsidRPr="003A5332">
        <w:t>1.9 GHz band for potential railway use of MCX and FRMCS.</w:t>
      </w:r>
    </w:p>
    <w:p w14:paraId="2B79E194" w14:textId="56FF7D12" w:rsidR="00233856" w:rsidRDefault="00233856" w:rsidP="00BC175B">
      <w:pPr>
        <w:pStyle w:val="Heading3"/>
      </w:pPr>
      <w:r>
        <w:t>DECT</w:t>
      </w:r>
    </w:p>
    <w:p w14:paraId="161A5B41" w14:textId="3150C8B7" w:rsidR="00233856" w:rsidRDefault="00832002" w:rsidP="009B5150">
      <w:pPr>
        <w:pStyle w:val="Paragraph"/>
        <w:keepLines w:val="0"/>
      </w:pPr>
      <w:r>
        <w:t>D</w:t>
      </w:r>
      <w:r w:rsidR="00233856" w:rsidRPr="00697D79">
        <w:t>evices operating under class licences</w:t>
      </w:r>
      <w:r w:rsidR="00233856">
        <w:t xml:space="preserve"> </w:t>
      </w:r>
      <w:r w:rsidR="003E579B">
        <w:t xml:space="preserve">are not registered </w:t>
      </w:r>
      <w:r>
        <w:t>and so</w:t>
      </w:r>
      <w:r w:rsidR="00233856">
        <w:t xml:space="preserve"> it is difficult to determine the </w:t>
      </w:r>
      <w:r>
        <w:t xml:space="preserve">amount or location </w:t>
      </w:r>
      <w:r w:rsidR="00233856">
        <w:t xml:space="preserve">of </w:t>
      </w:r>
      <w:r w:rsidR="00233856" w:rsidRPr="00697D79">
        <w:t>DECT devices that have been deployed in the 1.9 GHz band</w:t>
      </w:r>
      <w:r w:rsidR="00233856">
        <w:t>. However</w:t>
      </w:r>
      <w:r w:rsidR="00233856" w:rsidRPr="00697D79">
        <w:t xml:space="preserve">, </w:t>
      </w:r>
      <w:r w:rsidR="00233856">
        <w:t xml:space="preserve">based on the number of submissions to the consultation </w:t>
      </w:r>
      <w:r w:rsidR="00984990">
        <w:br/>
      </w:r>
      <w:r w:rsidR="00233856">
        <w:t>from stakeholders</w:t>
      </w:r>
      <w:r w:rsidR="001355B9">
        <w:t>,</w:t>
      </w:r>
      <w:r w:rsidR="00233856">
        <w:t xml:space="preserve"> </w:t>
      </w:r>
      <w:r w:rsidR="00233856" w:rsidRPr="00697D79">
        <w:t>the</w:t>
      </w:r>
      <w:r w:rsidR="003E579B">
        <w:t xml:space="preserve">re appears to be </w:t>
      </w:r>
      <w:r w:rsidR="00233856">
        <w:t xml:space="preserve">strong industry support for DECT use of the </w:t>
      </w:r>
      <w:r w:rsidR="00984990">
        <w:br/>
      </w:r>
      <w:r w:rsidR="00233856">
        <w:t xml:space="preserve">1.9 GHz band in Australia. </w:t>
      </w:r>
    </w:p>
    <w:p w14:paraId="2D9EFDAE" w14:textId="77777777" w:rsidR="00233856" w:rsidRDefault="00233856" w:rsidP="009B5150">
      <w:pPr>
        <w:pStyle w:val="Paragraph"/>
        <w:keepLines w:val="0"/>
      </w:pPr>
      <w:r>
        <w:t>Feedback from the wireless microphone industry, including submissions to the FYSO 2021–26 from the Australian Commercial and Entertainment Technologies Association, and the submissions to the discussion paper indicate an interest in ensuring ongoing support for DECT in the 1880–1900 MHz frequency range and a possible expansion of arrangements into the 1900–1920 MHz frequency range for future DECT.</w:t>
      </w:r>
    </w:p>
    <w:p w14:paraId="54C4CA1F" w14:textId="79CE6A27" w:rsidR="00233856" w:rsidRPr="001C6879" w:rsidRDefault="00233856" w:rsidP="009B5150">
      <w:pPr>
        <w:pStyle w:val="Heading3"/>
        <w:keepLines w:val="0"/>
      </w:pPr>
      <w:r>
        <w:t xml:space="preserve">Low </w:t>
      </w:r>
      <w:r w:rsidR="00696A34">
        <w:t>i</w:t>
      </w:r>
      <w:r>
        <w:t xml:space="preserve">nterference </w:t>
      </w:r>
      <w:r w:rsidR="00696A34">
        <w:t>p</w:t>
      </w:r>
      <w:r>
        <w:t xml:space="preserve">otential </w:t>
      </w:r>
      <w:r w:rsidR="00696A34">
        <w:t>d</w:t>
      </w:r>
      <w:r>
        <w:t xml:space="preserve">evice </w:t>
      </w:r>
      <w:r w:rsidR="00696A34">
        <w:t>u</w:t>
      </w:r>
      <w:r>
        <w:t>se</w:t>
      </w:r>
    </w:p>
    <w:p w14:paraId="1C8ADF15" w14:textId="2963165B" w:rsidR="00233856" w:rsidRPr="008E6F1B" w:rsidRDefault="00233856" w:rsidP="009B5150">
      <w:pPr>
        <w:keepLines w:val="0"/>
        <w:rPr>
          <w:rFonts w:cs="Arial"/>
          <w:color w:val="242424"/>
          <w:szCs w:val="20"/>
          <w:shd w:val="clear" w:color="auto" w:fill="FFFFFF"/>
        </w:rPr>
      </w:pPr>
      <w:r>
        <w:rPr>
          <w:rFonts w:cs="Arial"/>
          <w:color w:val="242424"/>
          <w:szCs w:val="20"/>
          <w:shd w:val="clear" w:color="auto" w:fill="FFFFFF"/>
        </w:rPr>
        <w:t xml:space="preserve">Radio-determination transmitters such as </w:t>
      </w:r>
      <w:r w:rsidR="00696A34">
        <w:rPr>
          <w:rFonts w:cs="Arial"/>
          <w:color w:val="242424"/>
          <w:szCs w:val="20"/>
          <w:shd w:val="clear" w:color="auto" w:fill="FFFFFF"/>
        </w:rPr>
        <w:t>g</w:t>
      </w:r>
      <w:r w:rsidRPr="00FC31C4">
        <w:rPr>
          <w:rFonts w:cs="Arial"/>
          <w:color w:val="242424"/>
          <w:szCs w:val="20"/>
          <w:shd w:val="clear" w:color="auto" w:fill="FFFFFF"/>
        </w:rPr>
        <w:t xml:space="preserve">round </w:t>
      </w:r>
      <w:r w:rsidR="00696A34">
        <w:rPr>
          <w:rFonts w:cs="Arial"/>
          <w:color w:val="242424"/>
          <w:szCs w:val="20"/>
          <w:shd w:val="clear" w:color="auto" w:fill="FFFFFF"/>
        </w:rPr>
        <w:t>p</w:t>
      </w:r>
      <w:r w:rsidRPr="00FC31C4">
        <w:rPr>
          <w:rFonts w:cs="Arial"/>
          <w:color w:val="242424"/>
          <w:szCs w:val="20"/>
          <w:shd w:val="clear" w:color="auto" w:fill="FFFFFF"/>
        </w:rPr>
        <w:t xml:space="preserve">enetrating </w:t>
      </w:r>
      <w:r w:rsidR="00696A34">
        <w:rPr>
          <w:rFonts w:cs="Arial"/>
          <w:color w:val="242424"/>
          <w:szCs w:val="20"/>
          <w:shd w:val="clear" w:color="auto" w:fill="FFFFFF"/>
        </w:rPr>
        <w:t>r</w:t>
      </w:r>
      <w:r w:rsidRPr="00FC31C4">
        <w:rPr>
          <w:rFonts w:cs="Arial"/>
          <w:color w:val="242424"/>
          <w:szCs w:val="20"/>
          <w:shd w:val="clear" w:color="auto" w:fill="FFFFFF"/>
        </w:rPr>
        <w:t xml:space="preserve">adars </w:t>
      </w:r>
      <w:r>
        <w:rPr>
          <w:rFonts w:cs="Arial"/>
          <w:color w:val="242424"/>
          <w:szCs w:val="20"/>
          <w:shd w:val="clear" w:color="auto" w:fill="FFFFFF"/>
        </w:rPr>
        <w:t>(</w:t>
      </w:r>
      <w:r w:rsidRPr="007C4168">
        <w:rPr>
          <w:rFonts w:cs="Arial"/>
          <w:color w:val="242424"/>
          <w:szCs w:val="20"/>
          <w:shd w:val="clear" w:color="auto" w:fill="FFFFFF"/>
        </w:rPr>
        <w:t>GPR</w:t>
      </w:r>
      <w:r>
        <w:rPr>
          <w:rFonts w:cs="Arial"/>
          <w:color w:val="242424"/>
          <w:szCs w:val="20"/>
          <w:shd w:val="clear" w:color="auto" w:fill="FFFFFF"/>
        </w:rPr>
        <w:t xml:space="preserve">) and </w:t>
      </w:r>
      <w:r w:rsidR="00696A34">
        <w:rPr>
          <w:rFonts w:cs="Arial"/>
          <w:color w:val="242424"/>
          <w:szCs w:val="20"/>
          <w:shd w:val="clear" w:color="auto" w:fill="FFFFFF"/>
        </w:rPr>
        <w:t>w</w:t>
      </w:r>
      <w:r w:rsidRPr="00FC31C4">
        <w:rPr>
          <w:rFonts w:cs="Arial"/>
          <w:color w:val="242424"/>
          <w:szCs w:val="20"/>
          <w:shd w:val="clear" w:color="auto" w:fill="FFFFFF"/>
        </w:rPr>
        <w:t xml:space="preserve">all </w:t>
      </w:r>
      <w:r w:rsidR="00696A34">
        <w:rPr>
          <w:rFonts w:cs="Arial"/>
          <w:color w:val="242424"/>
          <w:szCs w:val="20"/>
          <w:shd w:val="clear" w:color="auto" w:fill="FFFFFF"/>
        </w:rPr>
        <w:t>i</w:t>
      </w:r>
      <w:r w:rsidRPr="00FC31C4">
        <w:rPr>
          <w:rFonts w:cs="Arial"/>
          <w:color w:val="242424"/>
          <w:szCs w:val="20"/>
          <w:shd w:val="clear" w:color="auto" w:fill="FFFFFF"/>
        </w:rPr>
        <w:t xml:space="preserve">maging </w:t>
      </w:r>
      <w:r w:rsidR="00696A34">
        <w:rPr>
          <w:rFonts w:cs="Arial"/>
          <w:color w:val="242424"/>
          <w:szCs w:val="20"/>
          <w:shd w:val="clear" w:color="auto" w:fill="FFFFFF"/>
        </w:rPr>
        <w:t>s</w:t>
      </w:r>
      <w:r w:rsidRPr="00FC31C4">
        <w:rPr>
          <w:rFonts w:cs="Arial"/>
          <w:color w:val="242424"/>
          <w:szCs w:val="20"/>
          <w:shd w:val="clear" w:color="auto" w:fill="FFFFFF"/>
        </w:rPr>
        <w:t xml:space="preserve">ystems </w:t>
      </w:r>
      <w:r>
        <w:rPr>
          <w:rFonts w:cs="Arial"/>
          <w:color w:val="242424"/>
          <w:szCs w:val="20"/>
          <w:shd w:val="clear" w:color="auto" w:fill="FFFFFF"/>
        </w:rPr>
        <w:t>(</w:t>
      </w:r>
      <w:r w:rsidRPr="007C4168">
        <w:rPr>
          <w:rFonts w:cs="Arial"/>
          <w:color w:val="242424"/>
          <w:szCs w:val="20"/>
          <w:shd w:val="clear" w:color="auto" w:fill="FFFFFF"/>
        </w:rPr>
        <w:t>WIS</w:t>
      </w:r>
      <w:r>
        <w:rPr>
          <w:rFonts w:cs="Arial"/>
          <w:color w:val="242424"/>
          <w:szCs w:val="20"/>
          <w:shd w:val="clear" w:color="auto" w:fill="FFFFFF"/>
        </w:rPr>
        <w:t>)</w:t>
      </w:r>
      <w:r w:rsidR="00E32A42">
        <w:rPr>
          <w:rFonts w:cs="Arial"/>
          <w:color w:val="242424"/>
          <w:szCs w:val="20"/>
          <w:shd w:val="clear" w:color="auto" w:fill="FFFFFF"/>
        </w:rPr>
        <w:t xml:space="preserve"> </w:t>
      </w:r>
      <w:r>
        <w:rPr>
          <w:rFonts w:cs="Arial"/>
          <w:color w:val="242424"/>
          <w:szCs w:val="20"/>
          <w:shd w:val="clear" w:color="auto" w:fill="FFFFFF"/>
        </w:rPr>
        <w:t xml:space="preserve">are currently permitted to be used in the band under the </w:t>
      </w:r>
      <w:hyperlink r:id="rId39" w:history="1">
        <w:r w:rsidRPr="00B12CFB">
          <w:rPr>
            <w:rStyle w:val="Hyperlink"/>
            <w:rFonts w:cs="Arial"/>
            <w:szCs w:val="20"/>
            <w:shd w:val="clear" w:color="auto" w:fill="FFFFFF"/>
          </w:rPr>
          <w:t>Radiocommunications (Low Interference Potential Devices) Class Licence 2015</w:t>
        </w:r>
        <w:r w:rsidRPr="00BC175B">
          <w:rPr>
            <w:rStyle w:val="Hyperlink"/>
            <w:rFonts w:cs="Arial"/>
            <w:color w:val="auto"/>
            <w:szCs w:val="20"/>
            <w:u w:val="none"/>
            <w:shd w:val="clear" w:color="auto" w:fill="FFFFFF"/>
          </w:rPr>
          <w:t>.</w:t>
        </w:r>
      </w:hyperlink>
      <w:r>
        <w:rPr>
          <w:rFonts w:cs="Arial"/>
          <w:color w:val="242424"/>
          <w:szCs w:val="20"/>
          <w:shd w:val="clear" w:color="auto" w:fill="FFFFFF"/>
        </w:rPr>
        <w:t xml:space="preserve"> The class licence includes several limitations on use</w:t>
      </w:r>
      <w:r w:rsidR="00696A34">
        <w:rPr>
          <w:rFonts w:cs="Arial"/>
          <w:color w:val="242424"/>
          <w:szCs w:val="20"/>
          <w:shd w:val="clear" w:color="auto" w:fill="FFFFFF"/>
        </w:rPr>
        <w:t>,</w:t>
      </w:r>
      <w:r>
        <w:rPr>
          <w:rFonts w:cs="Arial"/>
          <w:color w:val="242424"/>
          <w:szCs w:val="20"/>
          <w:shd w:val="clear" w:color="auto" w:fill="FFFFFF"/>
        </w:rPr>
        <w:t xml:space="preserve"> including compliance with certain standards. </w:t>
      </w:r>
      <w:r w:rsidR="00696A34">
        <w:rPr>
          <w:rFonts w:cs="Arial"/>
          <w:color w:val="242424"/>
          <w:szCs w:val="20"/>
          <w:shd w:val="clear" w:color="auto" w:fill="FFFFFF"/>
        </w:rPr>
        <w:t xml:space="preserve">We are </w:t>
      </w:r>
      <w:r>
        <w:rPr>
          <w:rFonts w:cs="Arial"/>
          <w:color w:val="242424"/>
          <w:szCs w:val="20"/>
          <w:shd w:val="clear" w:color="auto" w:fill="FFFFFF"/>
        </w:rPr>
        <w:t>not proposing any changes to these arrangements.</w:t>
      </w:r>
    </w:p>
    <w:p w14:paraId="6A89E750" w14:textId="77777777" w:rsidR="00233856" w:rsidRDefault="00233856" w:rsidP="00FC78F0">
      <w:pPr>
        <w:pStyle w:val="Paragraph"/>
      </w:pPr>
    </w:p>
    <w:p w14:paraId="624F3A95" w14:textId="7A666909" w:rsidR="003200B1" w:rsidRDefault="003200B1" w:rsidP="00450397">
      <w:pPr>
        <w:pStyle w:val="Paragraph"/>
      </w:pPr>
    </w:p>
    <w:p w14:paraId="12912371" w14:textId="08BEF73F" w:rsidR="009D52BC" w:rsidRDefault="005C5763" w:rsidP="00BC175B">
      <w:pPr>
        <w:pStyle w:val="Heading1"/>
      </w:pPr>
      <w:bookmarkStart w:id="88" w:name="_Desirable_planning_outcomes"/>
      <w:bookmarkStart w:id="89" w:name="_Ref45697675"/>
      <w:bookmarkStart w:id="90" w:name="_Toc117870125"/>
      <w:bookmarkStart w:id="91" w:name="_Toc118785115"/>
      <w:bookmarkStart w:id="92" w:name="_Toc120600050"/>
      <w:bookmarkStart w:id="93" w:name="_Toc40092328"/>
      <w:bookmarkEnd w:id="88"/>
      <w:r>
        <w:lastRenderedPageBreak/>
        <w:t>Desirable planning outcomes</w:t>
      </w:r>
      <w:r w:rsidR="009D52BC" w:rsidRPr="009D52BC">
        <w:t xml:space="preserve"> for the </w:t>
      </w:r>
      <w:r w:rsidR="009E57F8">
        <w:t>1.9 GHz</w:t>
      </w:r>
      <w:r w:rsidR="009D52BC" w:rsidRPr="009D52BC">
        <w:t xml:space="preserve"> band</w:t>
      </w:r>
      <w:bookmarkEnd w:id="89"/>
      <w:bookmarkEnd w:id="90"/>
      <w:bookmarkEnd w:id="91"/>
      <w:bookmarkEnd w:id="92"/>
    </w:p>
    <w:bookmarkEnd w:id="93"/>
    <w:p w14:paraId="6383CB13" w14:textId="77777777" w:rsidR="006E0CC6" w:rsidRDefault="00841C10" w:rsidP="006E0CC6">
      <w:pPr>
        <w:pStyle w:val="Paragraph"/>
        <w:keepLines w:val="0"/>
      </w:pPr>
      <w:r>
        <w:t xml:space="preserve">The ACMA has formed the </w:t>
      </w:r>
      <w:r w:rsidR="009710E1">
        <w:t>preliminary</w:t>
      </w:r>
      <w:r>
        <w:t xml:space="preserve"> view that a</w:t>
      </w:r>
      <w:r w:rsidR="00CA3467">
        <w:t xml:space="preserve"> </w:t>
      </w:r>
      <w:r w:rsidR="00580DC2">
        <w:t>mix of uses</w:t>
      </w:r>
      <w:r w:rsidR="00D83F28">
        <w:t xml:space="preserve"> </w:t>
      </w:r>
      <w:r w:rsidR="00580DC2">
        <w:t xml:space="preserve">is </w:t>
      </w:r>
      <w:r w:rsidR="00B82F48">
        <w:t xml:space="preserve">most </w:t>
      </w:r>
      <w:r w:rsidR="00580DC2">
        <w:t xml:space="preserve">likely to </w:t>
      </w:r>
      <w:r w:rsidR="00EC02A5">
        <w:t>promote the long</w:t>
      </w:r>
      <w:r w:rsidR="00EC02A5">
        <w:rPr>
          <w:rFonts w:ascii="Cambria Math" w:hAnsi="Cambria Math" w:cs="Cambria Math"/>
        </w:rPr>
        <w:t>‑</w:t>
      </w:r>
      <w:r w:rsidR="00EC02A5">
        <w:t xml:space="preserve">term </w:t>
      </w:r>
      <w:r w:rsidR="00CA3467">
        <w:t xml:space="preserve">public </w:t>
      </w:r>
      <w:r w:rsidR="00EC02A5">
        <w:t>interest derived</w:t>
      </w:r>
      <w:r w:rsidR="00CA3467">
        <w:t xml:space="preserve"> from </w:t>
      </w:r>
      <w:r w:rsidR="00EC02A5">
        <w:t xml:space="preserve">the </w:t>
      </w:r>
      <w:r w:rsidR="00CA3467">
        <w:t xml:space="preserve">use of the </w:t>
      </w:r>
      <w:r w:rsidR="009E57F8">
        <w:t>1.9 GHz</w:t>
      </w:r>
      <w:r w:rsidR="00D9578A">
        <w:t xml:space="preserve"> band</w:t>
      </w:r>
      <w:r w:rsidR="00CA3467">
        <w:t xml:space="preserve">. </w:t>
      </w:r>
    </w:p>
    <w:p w14:paraId="243C520E" w14:textId="63CDA6C5" w:rsidR="000E51AA" w:rsidRDefault="00841C10" w:rsidP="009B5150">
      <w:pPr>
        <w:pStyle w:val="Paragraph"/>
        <w:keepLines w:val="0"/>
      </w:pPr>
      <w:r>
        <w:t>However, e</w:t>
      </w:r>
      <w:r w:rsidR="000E51AA" w:rsidRPr="002B79C8">
        <w:t xml:space="preserve">xisting and new uses identified for the </w:t>
      </w:r>
      <w:r w:rsidR="009E57F8">
        <w:t>1.9 GHz</w:t>
      </w:r>
      <w:r w:rsidR="000E51AA" w:rsidRPr="002B79C8">
        <w:t xml:space="preserve"> band</w:t>
      </w:r>
      <w:r w:rsidR="00B82F48">
        <w:t xml:space="preserve"> </w:t>
      </w:r>
      <w:r w:rsidR="000E51AA" w:rsidRPr="002B79C8">
        <w:t>present potentially competing demands for access. This is particularly the case in areas of high demand for access to spectrum</w:t>
      </w:r>
      <w:r w:rsidR="00936AFE">
        <w:t xml:space="preserve">. </w:t>
      </w:r>
      <w:r w:rsidR="000E51AA" w:rsidRPr="002B79C8">
        <w:t xml:space="preserve">The reason is </w:t>
      </w:r>
      <w:r w:rsidR="00FC59D9">
        <w:t>that</w:t>
      </w:r>
      <w:r w:rsidR="00FC59D9" w:rsidRPr="002B79C8">
        <w:t xml:space="preserve"> </w:t>
      </w:r>
      <w:r w:rsidR="000E51AA" w:rsidRPr="002B79C8">
        <w:t xml:space="preserve">deployments of one service can affect the ability of another service to deploy in the same or nearby area (referred to as spectrum denial). So, while options for sharing are generally </w:t>
      </w:r>
      <w:r w:rsidR="000E51AA">
        <w:t>considered</w:t>
      </w:r>
      <w:r w:rsidR="000E51AA" w:rsidRPr="002B79C8">
        <w:t xml:space="preserve"> when </w:t>
      </w:r>
      <w:r w:rsidR="000E51AA">
        <w:t>introducing</w:t>
      </w:r>
      <w:r w:rsidR="000E51AA" w:rsidRPr="002B79C8">
        <w:t xml:space="preserve"> new services, this needs to be weighed against the potential reduction in utility and access to spectrum it could cause to both existing and </w:t>
      </w:r>
      <w:r w:rsidR="00BC426A">
        <w:t xml:space="preserve">other </w:t>
      </w:r>
      <w:r w:rsidR="000E51AA" w:rsidRPr="002B79C8">
        <w:t>new services.</w:t>
      </w:r>
      <w:r w:rsidR="00CA3467">
        <w:t xml:space="preserve"> </w:t>
      </w:r>
    </w:p>
    <w:p w14:paraId="606D2172" w14:textId="307C27D5" w:rsidR="00CA3467" w:rsidRDefault="00B319DF" w:rsidP="009B5150">
      <w:pPr>
        <w:pStyle w:val="Paragraph"/>
        <w:keepLines w:val="0"/>
      </w:pPr>
      <w:r>
        <w:t xml:space="preserve">We have </w:t>
      </w:r>
      <w:r w:rsidR="00096002">
        <w:t xml:space="preserve">proposed </w:t>
      </w:r>
      <w:r w:rsidR="000E51AA">
        <w:t xml:space="preserve">several </w:t>
      </w:r>
      <w:r w:rsidR="00D238D5">
        <w:t xml:space="preserve">desirable </w:t>
      </w:r>
      <w:r w:rsidR="005C5763">
        <w:t>planning outcomes</w:t>
      </w:r>
      <w:r w:rsidR="00B97BFC">
        <w:t xml:space="preserve"> for the band</w:t>
      </w:r>
      <w:r w:rsidR="000A4409">
        <w:t xml:space="preserve">. In forming these </w:t>
      </w:r>
      <w:r w:rsidR="005C5763">
        <w:t>desir</w:t>
      </w:r>
      <w:r w:rsidR="00F94774">
        <w:t>abl</w:t>
      </w:r>
      <w:r w:rsidR="005C5763">
        <w:t>e planning outcomes</w:t>
      </w:r>
      <w:r w:rsidR="000A4409">
        <w:t xml:space="preserve">, </w:t>
      </w:r>
      <w:r>
        <w:t xml:space="preserve">we </w:t>
      </w:r>
      <w:r w:rsidR="000A4409">
        <w:t>considered the legislative and policy environment</w:t>
      </w:r>
      <w:r w:rsidR="001355B9">
        <w:t>,</w:t>
      </w:r>
      <w:r w:rsidR="000A4409">
        <w:t xml:space="preserve"> </w:t>
      </w:r>
      <w:r w:rsidR="00613399">
        <w:t>technological developments</w:t>
      </w:r>
      <w:r w:rsidR="001355B9">
        <w:t>,</w:t>
      </w:r>
      <w:r w:rsidR="00613399">
        <w:t xml:space="preserve"> international harmonisation</w:t>
      </w:r>
      <w:r w:rsidR="000E51AA">
        <w:t xml:space="preserve"> issues</w:t>
      </w:r>
      <w:r w:rsidR="002B5EB7">
        <w:t>,</w:t>
      </w:r>
      <w:r w:rsidR="00613399">
        <w:t xml:space="preserve"> relevant domestic considerations </w:t>
      </w:r>
      <w:r w:rsidR="000A4409" w:rsidDel="002B5EB7">
        <w:t xml:space="preserve">and </w:t>
      </w:r>
      <w:r w:rsidR="00613399">
        <w:t>submissions to the discussion paper</w:t>
      </w:r>
      <w:r w:rsidR="00CA3467">
        <w:t>.</w:t>
      </w:r>
    </w:p>
    <w:p w14:paraId="647B76D7" w14:textId="77777777" w:rsidR="006E0CC6" w:rsidRPr="002B5FEC" w:rsidRDefault="006E0CC6" w:rsidP="00BC175B">
      <w:pPr>
        <w:pStyle w:val="Paragraph"/>
        <w:keepLines w:val="0"/>
        <w:spacing w:after="60"/>
      </w:pPr>
      <w:r w:rsidRPr="002B5FEC">
        <w:t xml:space="preserve">The </w:t>
      </w:r>
      <w:r>
        <w:t xml:space="preserve">proposed </w:t>
      </w:r>
      <w:r w:rsidRPr="002B5FEC">
        <w:t xml:space="preserve">desirable planning outcomes for the review of the 1.9 GHz band </w:t>
      </w:r>
      <w:r>
        <w:t>were identified as:</w:t>
      </w:r>
    </w:p>
    <w:p w14:paraId="6F8B03F3" w14:textId="41141DCB" w:rsidR="006E0CC6" w:rsidRPr="002B5FEC" w:rsidRDefault="006E0CC6" w:rsidP="00BC175B">
      <w:pPr>
        <w:pStyle w:val="ListNumber"/>
        <w:keepLines w:val="0"/>
        <w:numPr>
          <w:ilvl w:val="0"/>
          <w:numId w:val="27"/>
        </w:numPr>
        <w:ind w:left="284" w:right="1559" w:hanging="284"/>
      </w:pPr>
      <w:r w:rsidRPr="002B5FEC">
        <w:t xml:space="preserve">Maintain </w:t>
      </w:r>
      <w:r>
        <w:t xml:space="preserve">arrangements for </w:t>
      </w:r>
      <w:r w:rsidRPr="002B5FEC">
        <w:t>existing services</w:t>
      </w:r>
      <w:r w:rsidR="001355B9">
        <w:t>.</w:t>
      </w:r>
      <w:r w:rsidRPr="002B5FEC">
        <w:t xml:space="preserve"> </w:t>
      </w:r>
    </w:p>
    <w:p w14:paraId="4323660E" w14:textId="3CDCF9CE" w:rsidR="006E0CC6" w:rsidRPr="002B5FEC" w:rsidRDefault="006E0CC6" w:rsidP="00BC175B">
      <w:pPr>
        <w:pStyle w:val="ListNumber"/>
        <w:keepLines w:val="0"/>
        <w:numPr>
          <w:ilvl w:val="0"/>
          <w:numId w:val="27"/>
        </w:numPr>
        <w:ind w:left="284" w:right="1559" w:hanging="284"/>
      </w:pPr>
      <w:r>
        <w:t>E</w:t>
      </w:r>
      <w:r w:rsidRPr="002B5FEC">
        <w:t>xpan</w:t>
      </w:r>
      <w:r>
        <w:t>d</w:t>
      </w:r>
      <w:r w:rsidRPr="002B5FEC">
        <w:t xml:space="preserve"> </w:t>
      </w:r>
      <w:r>
        <w:t>arrangements for</w:t>
      </w:r>
      <w:r w:rsidRPr="002B5FEC">
        <w:t xml:space="preserve"> </w:t>
      </w:r>
      <w:r w:rsidR="00B319DF">
        <w:t>s</w:t>
      </w:r>
      <w:r w:rsidRPr="002B5FEC">
        <w:t xml:space="preserve">hort </w:t>
      </w:r>
      <w:r w:rsidR="00B319DF">
        <w:t>r</w:t>
      </w:r>
      <w:r w:rsidRPr="002B5FEC">
        <w:t xml:space="preserve">ange </w:t>
      </w:r>
      <w:r w:rsidR="00B319DF">
        <w:t>w</w:t>
      </w:r>
      <w:r w:rsidRPr="002B5FEC">
        <w:t xml:space="preserve">ireless </w:t>
      </w:r>
      <w:r w:rsidR="00B319DF">
        <w:t>b</w:t>
      </w:r>
      <w:r w:rsidRPr="002B5FEC">
        <w:t>roadband (SR WBB) services</w:t>
      </w:r>
      <w:r w:rsidR="001355B9">
        <w:t>.</w:t>
      </w:r>
    </w:p>
    <w:p w14:paraId="400F0CC4" w14:textId="64215BCD" w:rsidR="006E0CC6" w:rsidRPr="002B5FEC" w:rsidRDefault="006E0CC6" w:rsidP="00BC175B">
      <w:pPr>
        <w:pStyle w:val="ListNumber"/>
        <w:keepLines w:val="0"/>
        <w:numPr>
          <w:ilvl w:val="0"/>
          <w:numId w:val="27"/>
        </w:numPr>
        <w:ind w:left="284" w:right="1559" w:hanging="284"/>
      </w:pPr>
      <w:r>
        <w:t>I</w:t>
      </w:r>
      <w:r w:rsidRPr="002B5FEC">
        <w:t>ntroduc</w:t>
      </w:r>
      <w:r>
        <w:t>e</w:t>
      </w:r>
      <w:r w:rsidRPr="002B5FEC">
        <w:t xml:space="preserve"> </w:t>
      </w:r>
      <w:r>
        <w:t>arrangements for</w:t>
      </w:r>
      <w:r w:rsidRPr="002B5FEC">
        <w:t xml:space="preserve"> new </w:t>
      </w:r>
      <w:r w:rsidR="00B319DF">
        <w:t>r</w:t>
      </w:r>
      <w:r>
        <w:t xml:space="preserve">ailway </w:t>
      </w:r>
      <w:r w:rsidR="00B319DF">
        <w:t>m</w:t>
      </w:r>
      <w:r>
        <w:t xml:space="preserve">obile </w:t>
      </w:r>
      <w:r w:rsidR="00B319DF">
        <w:t>r</w:t>
      </w:r>
      <w:r>
        <w:t>adio (RMR)</w:t>
      </w:r>
      <w:r w:rsidRPr="002B5FEC">
        <w:t xml:space="preserve"> services</w:t>
      </w:r>
      <w:r w:rsidR="001355B9">
        <w:t>.</w:t>
      </w:r>
    </w:p>
    <w:p w14:paraId="1C698157" w14:textId="7B0E1E1F" w:rsidR="006E0CC6" w:rsidRPr="002B5FEC" w:rsidRDefault="006E0CC6" w:rsidP="00BC175B">
      <w:pPr>
        <w:pStyle w:val="ListNumber"/>
        <w:keepLines w:val="0"/>
        <w:numPr>
          <w:ilvl w:val="0"/>
          <w:numId w:val="27"/>
        </w:numPr>
        <w:ind w:left="284" w:right="1559" w:hanging="284"/>
      </w:pPr>
      <w:r>
        <w:t>Maintain</w:t>
      </w:r>
      <w:r w:rsidRPr="002B5FEC">
        <w:t xml:space="preserve"> coexistence with 1.9 GHz band services</w:t>
      </w:r>
      <w:r w:rsidR="001355B9">
        <w:t>.</w:t>
      </w:r>
    </w:p>
    <w:p w14:paraId="16939AAF" w14:textId="67A67548" w:rsidR="006E0CC6" w:rsidRPr="002B5FEC" w:rsidRDefault="006E0CC6" w:rsidP="00BC175B">
      <w:pPr>
        <w:pStyle w:val="ListNumber"/>
        <w:keepLines w:val="0"/>
        <w:numPr>
          <w:ilvl w:val="0"/>
          <w:numId w:val="27"/>
        </w:numPr>
        <w:spacing w:after="240"/>
        <w:ind w:left="284" w:right="1559" w:hanging="284"/>
      </w:pPr>
      <w:r>
        <w:t>Maintain</w:t>
      </w:r>
      <w:r w:rsidRPr="002B5FEC">
        <w:t xml:space="preserve"> coexistence with adjacent band services</w:t>
      </w:r>
      <w:r w:rsidR="001355B9">
        <w:t>.</w:t>
      </w:r>
    </w:p>
    <w:p w14:paraId="37A1E844" w14:textId="77777777" w:rsidR="006E0CC6" w:rsidRPr="002B79C8" w:rsidRDefault="006E0CC6" w:rsidP="00BC175B">
      <w:pPr>
        <w:pStyle w:val="Paragraphbeforelist"/>
        <w:rPr>
          <w:b/>
          <w:bCs/>
        </w:rPr>
      </w:pPr>
      <w:r>
        <w:t>These desirable planning outcomes are consistent with the legislative and policy framework by:</w:t>
      </w:r>
    </w:p>
    <w:p w14:paraId="5958577C" w14:textId="77EE4C41" w:rsidR="006E0CC6" w:rsidRDefault="006E0CC6" w:rsidP="006E0CC6">
      <w:pPr>
        <w:pStyle w:val="ListNumber"/>
        <w:keepLines w:val="0"/>
        <w:numPr>
          <w:ilvl w:val="0"/>
          <w:numId w:val="13"/>
        </w:numPr>
        <w:ind w:right="1559"/>
      </w:pPr>
      <w:r>
        <w:t>Promoting the long</w:t>
      </w:r>
      <w:r>
        <w:rPr>
          <w:rFonts w:ascii="Cambria Math" w:hAnsi="Cambria Math" w:cs="Cambria Math"/>
        </w:rPr>
        <w:t>‑</w:t>
      </w:r>
      <w:r>
        <w:t xml:space="preserve">term public interest derived from the use of the spectrum </w:t>
      </w:r>
      <w:r w:rsidR="001355B9">
        <w:t>(</w:t>
      </w:r>
      <w:r>
        <w:t>paragraph 3 of the Act).</w:t>
      </w:r>
    </w:p>
    <w:p w14:paraId="2D2127A2" w14:textId="77777777" w:rsidR="006E0CC6" w:rsidRDefault="006E0CC6" w:rsidP="006E0CC6">
      <w:pPr>
        <w:pStyle w:val="Numberlistlevel1"/>
        <w:numPr>
          <w:ilvl w:val="0"/>
          <w:numId w:val="13"/>
        </w:numPr>
        <w:ind w:right="1559"/>
      </w:pPr>
      <w:r>
        <w:t>Facilitating the efficient planning, allocation and use of the spectrum (paragraph 3(a) of the Act).</w:t>
      </w:r>
    </w:p>
    <w:p w14:paraId="6BFA47CB" w14:textId="77777777" w:rsidR="006E0CC6" w:rsidRDefault="006E0CC6" w:rsidP="006E0CC6">
      <w:pPr>
        <w:pStyle w:val="Numberlistlevel1"/>
        <w:numPr>
          <w:ilvl w:val="0"/>
          <w:numId w:val="13"/>
        </w:numPr>
        <w:ind w:right="1559"/>
      </w:pPr>
      <w:r>
        <w:t>Facilitating the use of the spectrum for commercial and non-commercial purposes (paragraph 3(b) of the Act).</w:t>
      </w:r>
    </w:p>
    <w:p w14:paraId="7BA11DB2" w14:textId="77777777" w:rsidR="006E0CC6" w:rsidRDefault="006E0CC6" w:rsidP="00BC175B">
      <w:pPr>
        <w:pStyle w:val="Numberlistlevel1"/>
        <w:numPr>
          <w:ilvl w:val="0"/>
          <w:numId w:val="13"/>
        </w:numPr>
        <w:spacing w:after="240"/>
        <w:ind w:left="357" w:right="1559" w:hanging="357"/>
      </w:pPr>
      <w:r>
        <w:t>Supporting the communications policy objectives of the Government (paragraph 3(c) of the Act.)</w:t>
      </w:r>
    </w:p>
    <w:p w14:paraId="06C5A83A" w14:textId="685AF187" w:rsidR="00372500" w:rsidRDefault="00B319DF" w:rsidP="009B5150">
      <w:pPr>
        <w:pStyle w:val="Paragraph"/>
        <w:keepLines w:val="0"/>
      </w:pPr>
      <w:r>
        <w:t>We</w:t>
      </w:r>
      <w:r w:rsidR="0033695B">
        <w:t xml:space="preserve"> acknowledge that </w:t>
      </w:r>
      <w:r w:rsidR="00580DC2">
        <w:t xml:space="preserve">any </w:t>
      </w:r>
      <w:r w:rsidR="0033695B">
        <w:t>c</w:t>
      </w:r>
      <w:r w:rsidR="00E732F0">
        <w:t xml:space="preserve">hanges in spectrum management arrangements </w:t>
      </w:r>
      <w:r w:rsidR="00D160F1">
        <w:t>may</w:t>
      </w:r>
      <w:r w:rsidR="00E732F0">
        <w:t xml:space="preserve"> impact existing </w:t>
      </w:r>
      <w:r w:rsidR="0033695B">
        <w:t>uses and users (</w:t>
      </w:r>
      <w:r w:rsidR="00931B92">
        <w:t xml:space="preserve">such as </w:t>
      </w:r>
      <w:r w:rsidR="00E732F0">
        <w:t>licensees</w:t>
      </w:r>
      <w:r w:rsidR="0033695B">
        <w:t>)</w:t>
      </w:r>
      <w:r w:rsidR="000E51AA">
        <w:t xml:space="preserve"> operating in the </w:t>
      </w:r>
      <w:r w:rsidR="009E57F8">
        <w:t>1.9 GHz</w:t>
      </w:r>
      <w:r w:rsidR="000E51AA">
        <w:t xml:space="preserve"> band</w:t>
      </w:r>
      <w:r w:rsidR="00E732F0">
        <w:t>. In</w:t>
      </w:r>
      <w:r w:rsidR="00372500">
        <w:t xml:space="preserve"> assessing options, </w:t>
      </w:r>
      <w:r w:rsidR="00E732F0">
        <w:t>the ACMA identifies</w:t>
      </w:r>
      <w:r w:rsidR="00B97BFC">
        <w:t xml:space="preserve"> impacts on existing users and uses</w:t>
      </w:r>
      <w:r w:rsidR="00D6089A">
        <w:t xml:space="preserve"> </w:t>
      </w:r>
      <w:r w:rsidR="00E732F0">
        <w:t>and</w:t>
      </w:r>
      <w:r w:rsidR="00221DEE">
        <w:t>,</w:t>
      </w:r>
      <w:r w:rsidR="00E732F0">
        <w:t xml:space="preserve"> where possible</w:t>
      </w:r>
      <w:r w:rsidR="00221DEE">
        <w:t>,</w:t>
      </w:r>
      <w:r w:rsidR="00E732F0">
        <w:t xml:space="preserve"> </w:t>
      </w:r>
      <w:r w:rsidR="00580DC2">
        <w:t>consider</w:t>
      </w:r>
      <w:r w:rsidR="00B97BFC">
        <w:t xml:space="preserve">s </w:t>
      </w:r>
      <w:r w:rsidR="00580DC2">
        <w:t xml:space="preserve">options for sharing or </w:t>
      </w:r>
      <w:r w:rsidR="00E732F0">
        <w:t xml:space="preserve">alternative arrangements that could enable the continued provision of these </w:t>
      </w:r>
      <w:r w:rsidR="00580DC2">
        <w:t>services</w:t>
      </w:r>
      <w:r w:rsidR="00E732F0">
        <w:t xml:space="preserve"> (albeit potentially in a </w:t>
      </w:r>
      <w:r w:rsidR="0033695B">
        <w:t>different way</w:t>
      </w:r>
      <w:r w:rsidR="00E732F0">
        <w:t xml:space="preserve"> </w:t>
      </w:r>
      <w:r w:rsidR="00B97BFC">
        <w:t>in the band or in another band</w:t>
      </w:r>
      <w:r w:rsidR="00E732F0">
        <w:t xml:space="preserve">). If an option does foresee </w:t>
      </w:r>
      <w:r w:rsidR="00444CBA">
        <w:t>loss</w:t>
      </w:r>
      <w:r w:rsidR="00E732F0">
        <w:t xml:space="preserve"> of access </w:t>
      </w:r>
      <w:r w:rsidR="00444CBA">
        <w:t xml:space="preserve">for </w:t>
      </w:r>
      <w:r w:rsidR="00E732F0">
        <w:t xml:space="preserve">incumbent licensees, </w:t>
      </w:r>
      <w:r>
        <w:t>we</w:t>
      </w:r>
      <w:r w:rsidR="00E732F0">
        <w:t xml:space="preserve"> can consider </w:t>
      </w:r>
      <w:r w:rsidR="007655BF">
        <w:t>implementing any changes over time</w:t>
      </w:r>
      <w:r w:rsidR="00E732F0">
        <w:t xml:space="preserve"> to reduce the impact </w:t>
      </w:r>
      <w:r w:rsidR="005D0CF3">
        <w:t xml:space="preserve">so that </w:t>
      </w:r>
      <w:r w:rsidR="00E732F0">
        <w:t xml:space="preserve">incumbent licensees are provided with a clearly defined and adequate </w:t>
      </w:r>
      <w:r w:rsidR="00A636ED">
        <w:t>period</w:t>
      </w:r>
      <w:r w:rsidR="00E732F0">
        <w:t xml:space="preserve"> to make the changes.</w:t>
      </w:r>
      <w:r w:rsidR="005E1080" w:rsidRPr="005E1080">
        <w:rPr>
          <w:highlight w:val="yellow"/>
        </w:rPr>
        <w:t xml:space="preserve"> </w:t>
      </w:r>
    </w:p>
    <w:p w14:paraId="34CAC487" w14:textId="7E4BA25D" w:rsidR="00DD0489" w:rsidRDefault="00DD0489" w:rsidP="00BC175B">
      <w:pPr>
        <w:pStyle w:val="Paragraph"/>
        <w:keepNext/>
        <w:spacing w:after="60"/>
        <w:rPr>
          <w:szCs w:val="20"/>
        </w:rPr>
      </w:pPr>
      <w:r>
        <w:rPr>
          <w:szCs w:val="20"/>
        </w:rPr>
        <w:lastRenderedPageBreak/>
        <w:t>The planning options use the following terms</w:t>
      </w:r>
      <w:r w:rsidR="00774813">
        <w:rPr>
          <w:szCs w:val="20"/>
        </w:rPr>
        <w:t xml:space="preserve"> </w:t>
      </w:r>
      <w:r>
        <w:rPr>
          <w:szCs w:val="20"/>
        </w:rPr>
        <w:t xml:space="preserve">to </w:t>
      </w:r>
      <w:r w:rsidR="00785EB3">
        <w:rPr>
          <w:szCs w:val="20"/>
        </w:rPr>
        <w:t xml:space="preserve">help </w:t>
      </w:r>
      <w:r>
        <w:rPr>
          <w:szCs w:val="20"/>
        </w:rPr>
        <w:t xml:space="preserve">identify potential use </w:t>
      </w:r>
      <w:r w:rsidR="00785EB3">
        <w:rPr>
          <w:szCs w:val="20"/>
        </w:rPr>
        <w:t>cases</w:t>
      </w:r>
      <w:r>
        <w:rPr>
          <w:szCs w:val="20"/>
        </w:rPr>
        <w:t>:</w:t>
      </w:r>
    </w:p>
    <w:p w14:paraId="61E233AD" w14:textId="2EECABF9" w:rsidR="00DD0489" w:rsidRDefault="00DD0489" w:rsidP="00BC175B">
      <w:pPr>
        <w:pStyle w:val="ListBullet"/>
        <w:keepNext/>
      </w:pPr>
      <w:r>
        <w:t xml:space="preserve">Short </w:t>
      </w:r>
      <w:r w:rsidR="00B319DF">
        <w:t>r</w:t>
      </w:r>
      <w:r>
        <w:t xml:space="preserve">ange </w:t>
      </w:r>
      <w:r w:rsidR="00B319DF">
        <w:t>w</w:t>
      </w:r>
      <w:r>
        <w:t xml:space="preserve">ireless </w:t>
      </w:r>
      <w:r w:rsidR="00B319DF">
        <w:t>b</w:t>
      </w:r>
      <w:r>
        <w:t xml:space="preserve">roadband (SR WBB) </w:t>
      </w:r>
      <w:r w:rsidR="00785EB3">
        <w:t>is for</w:t>
      </w:r>
      <w:r w:rsidRPr="00B52F66">
        <w:t xml:space="preserve"> communication distance</w:t>
      </w:r>
      <w:r w:rsidR="00785EB3">
        <w:t>s</w:t>
      </w:r>
      <w:r w:rsidRPr="00B52F66">
        <w:t xml:space="preserve"> of </w:t>
      </w:r>
      <w:r w:rsidR="001D576A">
        <w:t>up to</w:t>
      </w:r>
      <w:r w:rsidRPr="00B52F66">
        <w:t xml:space="preserve"> 100</w:t>
      </w:r>
      <w:r w:rsidR="00B319DF">
        <w:t xml:space="preserve"> </w:t>
      </w:r>
      <w:r w:rsidRPr="00B52F66">
        <w:t>m</w:t>
      </w:r>
      <w:r w:rsidR="00C16587">
        <w:t>,</w:t>
      </w:r>
      <w:r w:rsidRPr="00B52F66">
        <w:t xml:space="preserve"> for implement</w:t>
      </w:r>
      <w:r w:rsidR="00785EB3">
        <w:t>at</w:t>
      </w:r>
      <w:r w:rsidRPr="00B52F66">
        <w:t>i</w:t>
      </w:r>
      <w:r w:rsidR="00785EB3">
        <w:t>o</w:t>
      </w:r>
      <w:r w:rsidRPr="00B52F66">
        <w:t xml:space="preserve">n </w:t>
      </w:r>
      <w:r w:rsidR="00785EB3">
        <w:t>of</w:t>
      </w:r>
      <w:r w:rsidRPr="00B52F66">
        <w:t xml:space="preserve"> </w:t>
      </w:r>
      <w:r w:rsidR="00D53B39">
        <w:t>cordless communication devices</w:t>
      </w:r>
      <w:r>
        <w:t xml:space="preserve"> using technologies such as </w:t>
      </w:r>
      <w:r w:rsidRPr="00046F8F">
        <w:t xml:space="preserve">DECT </w:t>
      </w:r>
      <w:r w:rsidR="009B43C7">
        <w:t xml:space="preserve">for cordless communications </w:t>
      </w:r>
      <w:r w:rsidRPr="00046F8F">
        <w:t>services/applications</w:t>
      </w:r>
      <w:r w:rsidR="00D53B39">
        <w:t xml:space="preserve"> and</w:t>
      </w:r>
      <w:r>
        <w:t xml:space="preserve"> </w:t>
      </w:r>
      <w:r w:rsidRPr="00046F8F">
        <w:t>private wireless broadband networks</w:t>
      </w:r>
      <w:r w:rsidR="00D53B39">
        <w:t>.</w:t>
      </w:r>
    </w:p>
    <w:p w14:paraId="7289F552" w14:textId="1D09B210" w:rsidR="00D72D43" w:rsidRDefault="005E3C5D" w:rsidP="00BC175B">
      <w:pPr>
        <w:pStyle w:val="ListBullet"/>
        <w:keepNext/>
        <w:spacing w:after="0" w:line="240" w:lineRule="auto"/>
      </w:pPr>
      <w:r>
        <w:t xml:space="preserve">Railway </w:t>
      </w:r>
      <w:r w:rsidR="00B319DF">
        <w:t>m</w:t>
      </w:r>
      <w:r>
        <w:t xml:space="preserve">obile </w:t>
      </w:r>
      <w:r w:rsidR="00B319DF">
        <w:t>r</w:t>
      </w:r>
      <w:r>
        <w:t>adio</w:t>
      </w:r>
      <w:r w:rsidR="00DD0489">
        <w:t xml:space="preserve"> (</w:t>
      </w:r>
      <w:r>
        <w:t>RMR</w:t>
      </w:r>
      <w:r w:rsidR="00DD0489">
        <w:t xml:space="preserve">) </w:t>
      </w:r>
      <w:r w:rsidR="00785EB3">
        <w:t>is</w:t>
      </w:r>
      <w:r w:rsidR="00DD0489" w:rsidRPr="00B52F66">
        <w:t xml:space="preserve"> </w:t>
      </w:r>
      <w:r w:rsidR="00785EB3">
        <w:t xml:space="preserve">for </w:t>
      </w:r>
      <w:r w:rsidR="00DD0489" w:rsidRPr="00B52F66">
        <w:t>communication distance</w:t>
      </w:r>
      <w:r w:rsidR="00785EB3">
        <w:t>s</w:t>
      </w:r>
      <w:r w:rsidR="00DD0489" w:rsidRPr="00B52F66">
        <w:t xml:space="preserve"> of about </w:t>
      </w:r>
      <w:r w:rsidR="00DD0489">
        <w:t>1</w:t>
      </w:r>
      <w:r w:rsidR="00B319DF">
        <w:t>–</w:t>
      </w:r>
      <w:r w:rsidR="00DD0489">
        <w:t>2 km</w:t>
      </w:r>
      <w:r w:rsidR="00DD0489" w:rsidRPr="00B52F66">
        <w:t>, for implement</w:t>
      </w:r>
      <w:r w:rsidR="00785EB3">
        <w:t>at</w:t>
      </w:r>
      <w:r w:rsidR="00DD0489" w:rsidRPr="00B52F66">
        <w:t>i</w:t>
      </w:r>
      <w:r w:rsidR="00785EB3">
        <w:t>o</w:t>
      </w:r>
      <w:r w:rsidR="00DD0489" w:rsidRPr="00B52F66">
        <w:t>n</w:t>
      </w:r>
      <w:r w:rsidR="00785EB3">
        <w:t xml:space="preserve"> of</w:t>
      </w:r>
      <w:r w:rsidR="00DD0489" w:rsidRPr="00B52F66">
        <w:t xml:space="preserve"> wireless </w:t>
      </w:r>
      <w:r w:rsidR="00DD0489">
        <w:t xml:space="preserve">broadband </w:t>
      </w:r>
      <w:r w:rsidR="00F5317D">
        <w:t xml:space="preserve">applications </w:t>
      </w:r>
      <w:r w:rsidR="00785EB3">
        <w:t xml:space="preserve">for </w:t>
      </w:r>
      <w:r w:rsidR="000B14E0">
        <w:t xml:space="preserve">the express purpose of </w:t>
      </w:r>
      <w:r w:rsidR="00DD0489">
        <w:t>rail</w:t>
      </w:r>
      <w:r w:rsidR="00F5317D">
        <w:t>way</w:t>
      </w:r>
      <w:r w:rsidR="00DD0489">
        <w:t xml:space="preserve"> </w:t>
      </w:r>
      <w:r w:rsidR="00F5317D">
        <w:t>communications.</w:t>
      </w:r>
      <w:r w:rsidR="00DD0489">
        <w:t xml:space="preserve"> </w:t>
      </w:r>
    </w:p>
    <w:p w14:paraId="72A1BE2C" w14:textId="25511400" w:rsidR="005418F1" w:rsidRDefault="005418F1" w:rsidP="00BC175B">
      <w:pPr>
        <w:pStyle w:val="ListBullet"/>
        <w:keepNext/>
        <w:numPr>
          <w:ilvl w:val="0"/>
          <w:numId w:val="0"/>
        </w:numPr>
        <w:spacing w:after="0" w:line="240" w:lineRule="auto"/>
        <w:ind w:left="295"/>
      </w:pPr>
    </w:p>
    <w:p w14:paraId="0724B5EB" w14:textId="77777777" w:rsidR="008D6D7B" w:rsidRDefault="008D6D7B" w:rsidP="00BC175B">
      <w:pPr>
        <w:keepNext/>
      </w:pPr>
    </w:p>
    <w:p w14:paraId="1E2A05B5" w14:textId="1DBA76A9" w:rsidR="006E0CC6" w:rsidRDefault="008D6D7B" w:rsidP="00BC175B">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1</w:t>
      </w:r>
    </w:p>
    <w:p w14:paraId="4D29B5FD" w14:textId="4F2C9A5D" w:rsidR="006E0CC6" w:rsidRDefault="006E0CC6" w:rsidP="00BC175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w:t>
      </w:r>
      <w:r w:rsidRPr="003B2347">
        <w:t xml:space="preserve">ACMA invites comments on the </w:t>
      </w:r>
      <w:r w:rsidR="005E0211">
        <w:t xml:space="preserve">proposed </w:t>
      </w:r>
      <w:r>
        <w:t>desirable planning outcomes.</w:t>
      </w:r>
    </w:p>
    <w:p w14:paraId="2663BA76" w14:textId="2FD5C5BD" w:rsidR="008D6D7B" w:rsidRDefault="006E0CC6" w:rsidP="00BC175B">
      <w:pPr>
        <w:pStyle w:val="Heading3"/>
        <w:keepLines w:val="0"/>
        <w:pBdr>
          <w:top w:val="single" w:sz="4" w:space="1" w:color="auto"/>
          <w:left w:val="single" w:sz="4" w:space="4" w:color="auto"/>
          <w:bottom w:val="single" w:sz="4" w:space="1" w:color="auto"/>
          <w:right w:val="single" w:sz="4" w:space="4" w:color="auto"/>
        </w:pBdr>
        <w:shd w:val="clear" w:color="auto" w:fill="F2F2F2" w:themeFill="background1" w:themeFillShade="F2"/>
      </w:pPr>
      <w:r>
        <w:t>Question 2</w:t>
      </w:r>
    </w:p>
    <w:p w14:paraId="5AF4FC49" w14:textId="77777777" w:rsidR="008D6D7B" w:rsidRPr="00915142" w:rsidRDefault="008D6D7B" w:rsidP="00BC175B">
      <w:pPr>
        <w:pStyle w:val="Paragraph"/>
        <w:keepLines w:val="0"/>
        <w:pBdr>
          <w:top w:val="single" w:sz="4" w:space="1" w:color="auto"/>
          <w:left w:val="single" w:sz="4" w:space="4" w:color="auto"/>
          <w:bottom w:val="single" w:sz="4" w:space="1" w:color="auto"/>
          <w:right w:val="single" w:sz="4" w:space="4" w:color="auto"/>
        </w:pBdr>
        <w:shd w:val="clear" w:color="auto" w:fill="F2F2F2" w:themeFill="background1" w:themeFillShade="F2"/>
      </w:pPr>
      <w:r w:rsidRPr="00915142">
        <w:t>The ACMA seeks stakeholders’ views on any other applications we have not identified that could be accommodated under SR WBB.</w:t>
      </w:r>
    </w:p>
    <w:p w14:paraId="753C6743" w14:textId="77777777" w:rsidR="00AC09D8" w:rsidRDefault="00AC09D8" w:rsidP="001C6879">
      <w:pPr>
        <w:pStyle w:val="ListBullet"/>
        <w:keepLines w:val="0"/>
        <w:numPr>
          <w:ilvl w:val="0"/>
          <w:numId w:val="0"/>
        </w:numPr>
        <w:spacing w:after="0" w:line="240" w:lineRule="auto"/>
      </w:pPr>
    </w:p>
    <w:p w14:paraId="2CFEC1E2" w14:textId="73587986" w:rsidR="001B51FC" w:rsidRDefault="001B51FC" w:rsidP="0061383D"/>
    <w:p w14:paraId="6674D0C7" w14:textId="10E15282" w:rsidR="00F41B85" w:rsidRDefault="00F41B85" w:rsidP="001C6879"/>
    <w:p w14:paraId="2F271208" w14:textId="77777777" w:rsidR="00F41B85" w:rsidRPr="0061383D" w:rsidRDefault="00F41B85" w:rsidP="001C6879"/>
    <w:p w14:paraId="2AA4D169" w14:textId="793D8AF6" w:rsidR="008E7761" w:rsidRPr="00A05EC9" w:rsidRDefault="00AE44EE" w:rsidP="004346FA">
      <w:pPr>
        <w:pStyle w:val="Heading1"/>
        <w:ind w:right="1371"/>
      </w:pPr>
      <w:bookmarkStart w:id="94" w:name="_Toc482886588"/>
      <w:bookmarkStart w:id="95" w:name="_Toc482886630"/>
      <w:bookmarkStart w:id="96" w:name="_Toc482888971"/>
      <w:bookmarkStart w:id="97" w:name="_Toc482891242"/>
      <w:bookmarkStart w:id="98" w:name="_Toc482891309"/>
      <w:bookmarkStart w:id="99" w:name="_Toc482956517"/>
      <w:bookmarkStart w:id="100" w:name="_Toc484011490"/>
      <w:bookmarkStart w:id="101" w:name="_Toc484511706"/>
      <w:bookmarkStart w:id="102" w:name="_Ref498420399"/>
      <w:bookmarkStart w:id="103" w:name="_Ref498436527"/>
      <w:bookmarkStart w:id="104" w:name="_Ref498952581"/>
      <w:bookmarkStart w:id="105" w:name="_Toc5000079"/>
      <w:bookmarkStart w:id="106" w:name="_Toc117870126"/>
      <w:bookmarkStart w:id="107" w:name="_Toc118785116"/>
      <w:bookmarkStart w:id="108" w:name="_Toc120600051"/>
      <w:bookmarkStart w:id="109" w:name="_Ref517342491"/>
      <w:bookmarkStart w:id="110" w:name="_Toc519765119"/>
      <w:bookmarkStart w:id="111" w:name="_Toc521585785"/>
      <w:bookmarkStart w:id="112" w:name="_Hlk29973692"/>
      <w:bookmarkEnd w:id="80"/>
      <w:bookmarkEnd w:id="81"/>
      <w:r>
        <w:lastRenderedPageBreak/>
        <w:t xml:space="preserve">Replanning </w:t>
      </w:r>
      <w:r w:rsidR="008E7761" w:rsidRPr="00A05EC9">
        <w:t>options</w:t>
      </w:r>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r w:rsidR="008E7761" w:rsidRPr="00A05EC9">
        <w:t xml:space="preserve"> </w:t>
      </w:r>
      <w:bookmarkEnd w:id="109"/>
      <w:bookmarkEnd w:id="110"/>
      <w:bookmarkEnd w:id="111"/>
    </w:p>
    <w:p w14:paraId="70D5F94C" w14:textId="1A9B0023" w:rsidR="00D9578A" w:rsidRDefault="00B319DF" w:rsidP="00D51E3F">
      <w:pPr>
        <w:pStyle w:val="Paragraphbeforelist"/>
      </w:pPr>
      <w:r>
        <w:t xml:space="preserve">We have </w:t>
      </w:r>
      <w:r w:rsidR="008E7761">
        <w:t xml:space="preserve">identified </w:t>
      </w:r>
      <w:r w:rsidR="0079453B">
        <w:t>several</w:t>
      </w:r>
      <w:r w:rsidR="008E7761" w:rsidRPr="00A05EC9">
        <w:t xml:space="preserve"> options for replanning </w:t>
      </w:r>
      <w:r w:rsidR="004B4DCE">
        <w:t xml:space="preserve">the </w:t>
      </w:r>
      <w:r w:rsidR="00CB633F">
        <w:t>1.9 GHz</w:t>
      </w:r>
      <w:r w:rsidR="004B4DCE">
        <w:t xml:space="preserve"> band</w:t>
      </w:r>
      <w:r w:rsidR="005C5763">
        <w:t xml:space="preserve"> that </w:t>
      </w:r>
      <w:r w:rsidR="003646BD">
        <w:t xml:space="preserve">aim </w:t>
      </w:r>
      <w:r w:rsidR="005C5763">
        <w:t xml:space="preserve">to </w:t>
      </w:r>
      <w:r w:rsidR="00AA247C">
        <w:t>address</w:t>
      </w:r>
      <w:r w:rsidR="003646BD">
        <w:t xml:space="preserve"> </w:t>
      </w:r>
      <w:r w:rsidR="005C5763">
        <w:t xml:space="preserve">the </w:t>
      </w:r>
      <w:r w:rsidR="00AA247C">
        <w:t xml:space="preserve">identified </w:t>
      </w:r>
      <w:r w:rsidR="000C5DFB">
        <w:t>desir</w:t>
      </w:r>
      <w:r w:rsidR="00F94774">
        <w:t>abl</w:t>
      </w:r>
      <w:r w:rsidR="000C5DFB">
        <w:t>e planning</w:t>
      </w:r>
      <w:r w:rsidR="00AA247C">
        <w:t xml:space="preserve"> outcomes</w:t>
      </w:r>
      <w:r w:rsidR="000C5DFB">
        <w:t>:</w:t>
      </w:r>
      <w:r w:rsidR="00F94774">
        <w:t xml:space="preserve"> </w:t>
      </w:r>
    </w:p>
    <w:p w14:paraId="273DBA38" w14:textId="2F77C156" w:rsidR="002D5B7D" w:rsidRDefault="002D5B7D" w:rsidP="009B5150">
      <w:pPr>
        <w:pStyle w:val="ListBullet"/>
        <w:keepLines w:val="0"/>
      </w:pPr>
      <w:bookmarkStart w:id="113" w:name="_Hlk116468777"/>
      <w:r w:rsidRPr="00D51E3F">
        <w:rPr>
          <w:b/>
          <w:bCs/>
        </w:rPr>
        <w:t>Option 1:</w:t>
      </w:r>
      <w:r>
        <w:t xml:space="preserve"> </w:t>
      </w:r>
      <w:r w:rsidR="003108C3">
        <w:t>Maintain</w:t>
      </w:r>
      <w:r>
        <w:t xml:space="preserve"> existing arrangements. </w:t>
      </w:r>
    </w:p>
    <w:p w14:paraId="061DC7CB" w14:textId="24764A07" w:rsidR="002D5B7D" w:rsidRDefault="002D5B7D" w:rsidP="009B5150">
      <w:pPr>
        <w:pStyle w:val="ListBullet"/>
        <w:keepLines w:val="0"/>
      </w:pPr>
      <w:r w:rsidRPr="00D51E3F">
        <w:rPr>
          <w:b/>
          <w:bCs/>
        </w:rPr>
        <w:t>Option 2:</w:t>
      </w:r>
      <w:r>
        <w:t xml:space="preserve"> </w:t>
      </w:r>
      <w:r w:rsidR="00FB48AC">
        <w:t>Maintain</w:t>
      </w:r>
      <w:r>
        <w:t xml:space="preserve"> </w:t>
      </w:r>
      <w:r w:rsidR="00FB48AC">
        <w:t xml:space="preserve">exclusive </w:t>
      </w:r>
      <w:r>
        <w:t xml:space="preserve">SR WBB </w:t>
      </w:r>
      <w:r w:rsidR="00FB48AC">
        <w:t xml:space="preserve">access </w:t>
      </w:r>
      <w:r>
        <w:t xml:space="preserve">to 1880–1900 MHz and </w:t>
      </w:r>
      <w:r w:rsidR="00FB48AC">
        <w:t xml:space="preserve">allow SR WBB access to </w:t>
      </w:r>
      <w:r>
        <w:t xml:space="preserve">1900–1920 MHz </w:t>
      </w:r>
      <w:r w:rsidR="00FB48AC">
        <w:t xml:space="preserve">on a </w:t>
      </w:r>
      <w:r>
        <w:t xml:space="preserve">shared </w:t>
      </w:r>
      <w:r w:rsidR="00FB48AC">
        <w:t xml:space="preserve">basis </w:t>
      </w:r>
      <w:r>
        <w:t>Australia</w:t>
      </w:r>
      <w:r w:rsidR="003108C3">
        <w:t>-w</w:t>
      </w:r>
      <w:r>
        <w:t xml:space="preserve">ide, with no </w:t>
      </w:r>
      <w:r w:rsidR="00FB48AC">
        <w:t xml:space="preserve">other </w:t>
      </w:r>
      <w:r>
        <w:t>change to current arrangements.</w:t>
      </w:r>
    </w:p>
    <w:p w14:paraId="2170C6F5" w14:textId="6902A889" w:rsidR="002D5B7D" w:rsidRDefault="002D5B7D" w:rsidP="009B5150">
      <w:pPr>
        <w:pStyle w:val="ListBullet"/>
        <w:keepLines w:val="0"/>
      </w:pPr>
      <w:r w:rsidRPr="00D51E3F">
        <w:rPr>
          <w:b/>
          <w:bCs/>
        </w:rPr>
        <w:t>Option 3:</w:t>
      </w:r>
      <w:r>
        <w:t xml:space="preserve"> Introduce arrangements for </w:t>
      </w:r>
      <w:r w:rsidR="005E3C5D">
        <w:t>RMR</w:t>
      </w:r>
      <w:r>
        <w:t xml:space="preserve"> in the 1900</w:t>
      </w:r>
      <w:r w:rsidR="00B319DF">
        <w:t>–</w:t>
      </w:r>
      <w:r>
        <w:t>1910 MHz range</w:t>
      </w:r>
      <w:r w:rsidR="00B319DF">
        <w:t>,</w:t>
      </w:r>
      <w:r>
        <w:t xml:space="preserve"> </w:t>
      </w:r>
      <w:r w:rsidRPr="00E2643C">
        <w:t xml:space="preserve">both exclusively and shared with existing services </w:t>
      </w:r>
      <w:r>
        <w:t>on an Australia</w:t>
      </w:r>
      <w:r w:rsidR="00FB48AC">
        <w:t>-w</w:t>
      </w:r>
      <w:r>
        <w:t>ide basis, with no change to current arrangements in the re</w:t>
      </w:r>
      <w:r w:rsidR="00D1555A">
        <w:t>st of the band</w:t>
      </w:r>
      <w:r>
        <w:t>.</w:t>
      </w:r>
    </w:p>
    <w:p w14:paraId="3F867B3B" w14:textId="0D5F382D" w:rsidR="002D5B7D" w:rsidRDefault="002D5B7D" w:rsidP="00F655E2">
      <w:pPr>
        <w:pStyle w:val="ListBulletLast"/>
      </w:pPr>
      <w:r w:rsidRPr="00D51E3F">
        <w:rPr>
          <w:b/>
          <w:bCs/>
        </w:rPr>
        <w:t>Option 4:</w:t>
      </w:r>
      <w:r>
        <w:t xml:space="preserve"> </w:t>
      </w:r>
      <w:r w:rsidR="00D1555A">
        <w:t xml:space="preserve">Maintain exclusive SR WBB access to 1880–1900 MHz and allow </w:t>
      </w:r>
      <w:r w:rsidR="00B319DF">
        <w:br/>
      </w:r>
      <w:r w:rsidR="00D1555A">
        <w:t>SR WBB access to 1900–1920 MHz on a shared basis Australia-wide</w:t>
      </w:r>
      <w:r w:rsidR="00B319DF">
        <w:t>. In</w:t>
      </w:r>
      <w:r>
        <w:t xml:space="preserve">troduce arrangements to allow for </w:t>
      </w:r>
      <w:r w:rsidR="005E3C5D">
        <w:t>RMR</w:t>
      </w:r>
      <w:r>
        <w:t xml:space="preserve"> in the 1900</w:t>
      </w:r>
      <w:r w:rsidR="00B319DF">
        <w:t>–</w:t>
      </w:r>
      <w:r>
        <w:t>1910 MHz range</w:t>
      </w:r>
      <w:r w:rsidRPr="002D5B7D">
        <w:t xml:space="preserve"> </w:t>
      </w:r>
      <w:r w:rsidR="00D1555A">
        <w:t>on a</w:t>
      </w:r>
      <w:r w:rsidRPr="002D5B7D">
        <w:t xml:space="preserve"> shared </w:t>
      </w:r>
      <w:r w:rsidR="00D1555A">
        <w:t xml:space="preserve">basis </w:t>
      </w:r>
      <w:r w:rsidRPr="002D5B7D">
        <w:t xml:space="preserve">with </w:t>
      </w:r>
      <w:r w:rsidR="00D1555A">
        <w:t>other</w:t>
      </w:r>
      <w:r w:rsidRPr="002D5B7D">
        <w:t xml:space="preserve"> services </w:t>
      </w:r>
      <w:r>
        <w:t>on an Australia</w:t>
      </w:r>
      <w:r w:rsidR="00D1555A">
        <w:t>-w</w:t>
      </w:r>
      <w:r>
        <w:t>ide basis.</w:t>
      </w:r>
    </w:p>
    <w:bookmarkEnd w:id="113"/>
    <w:p w14:paraId="6DE1E4E4" w14:textId="175183DF" w:rsidR="008E7761" w:rsidRPr="00A05EC9" w:rsidRDefault="008E7761" w:rsidP="00D51E3F">
      <w:pPr>
        <w:pStyle w:val="Paragraphbeforelist"/>
      </w:pPr>
      <w:r w:rsidRPr="00A05EC9">
        <w:t xml:space="preserve">Each option </w:t>
      </w:r>
      <w:r w:rsidR="009B5150">
        <w:t xml:space="preserve">represents </w:t>
      </w:r>
      <w:r w:rsidRPr="00A05EC9">
        <w:t xml:space="preserve">a different combination of </w:t>
      </w:r>
      <w:r w:rsidR="00553EC3">
        <w:t>the same</w:t>
      </w:r>
      <w:r w:rsidRPr="00A05EC9">
        <w:t xml:space="preserve"> variables, which </w:t>
      </w:r>
      <w:r w:rsidR="00504A08">
        <w:t>are</w:t>
      </w:r>
      <w:r w:rsidRPr="00A05EC9">
        <w:t>:</w:t>
      </w:r>
    </w:p>
    <w:p w14:paraId="6558A41A" w14:textId="115A6943" w:rsidR="00F66EB5" w:rsidRDefault="008E7761" w:rsidP="009B5150">
      <w:pPr>
        <w:pStyle w:val="ListBullet"/>
        <w:keepLines w:val="0"/>
      </w:pPr>
      <w:r>
        <w:t xml:space="preserve">the services or applications that </w:t>
      </w:r>
      <w:r w:rsidR="00F37BB6">
        <w:t xml:space="preserve">may </w:t>
      </w:r>
      <w:r>
        <w:t>be allocated</w:t>
      </w:r>
      <w:r w:rsidR="00553EC3">
        <w:t>, either new or existing</w:t>
      </w:r>
      <w:r w:rsidR="00E15BEB">
        <w:t>,</w:t>
      </w:r>
      <w:r>
        <w:t xml:space="preserve"> </w:t>
      </w:r>
      <w:r w:rsidR="00F37BB6">
        <w:t>considering</w:t>
      </w:r>
      <w:r>
        <w:t xml:space="preserve"> </w:t>
      </w:r>
      <w:r w:rsidR="00A40C47">
        <w:t>SR WBB</w:t>
      </w:r>
      <w:r w:rsidR="00397D92">
        <w:t xml:space="preserve"> applications,</w:t>
      </w:r>
      <w:r w:rsidR="001A2913">
        <w:t xml:space="preserve"> </w:t>
      </w:r>
      <w:r w:rsidR="005E3C5D">
        <w:t>RMR</w:t>
      </w:r>
      <w:r w:rsidR="002A1B94">
        <w:t xml:space="preserve"> application</w:t>
      </w:r>
      <w:r w:rsidR="007B7E55">
        <w:t>s</w:t>
      </w:r>
      <w:r w:rsidR="003C1E71">
        <w:t>, LA WBB applications</w:t>
      </w:r>
      <w:r w:rsidR="00480C2C">
        <w:t xml:space="preserve"> and </w:t>
      </w:r>
      <w:r w:rsidR="00312493">
        <w:t xml:space="preserve">point to point </w:t>
      </w:r>
      <w:r w:rsidR="00397D92">
        <w:t>links</w:t>
      </w:r>
    </w:p>
    <w:p w14:paraId="49066AA3" w14:textId="2B0BB33E" w:rsidR="008E7761" w:rsidRDefault="00F66EB5" w:rsidP="009B5150">
      <w:pPr>
        <w:pStyle w:val="ListBullet"/>
        <w:keepLines w:val="0"/>
      </w:pPr>
      <w:r>
        <w:t xml:space="preserve">whether allocations </w:t>
      </w:r>
      <w:r w:rsidR="00BC426A">
        <w:t xml:space="preserve">and use </w:t>
      </w:r>
      <w:r>
        <w:t xml:space="preserve">are </w:t>
      </w:r>
      <w:r w:rsidR="00DB436B">
        <w:t xml:space="preserve">proposed to be </w:t>
      </w:r>
      <w:r>
        <w:t xml:space="preserve">exclusive or shared </w:t>
      </w:r>
    </w:p>
    <w:p w14:paraId="0E4211B0" w14:textId="7D85AAD9" w:rsidR="00F66EB5" w:rsidRDefault="00F04B25" w:rsidP="009B5150">
      <w:pPr>
        <w:pStyle w:val="ListBullet"/>
        <w:keepLines w:val="0"/>
      </w:pPr>
      <w:r>
        <w:t xml:space="preserve">potential </w:t>
      </w:r>
      <w:r w:rsidR="00F66EB5">
        <w:t>licensing mechanisms</w:t>
      </w:r>
    </w:p>
    <w:p w14:paraId="1635BFEA" w14:textId="455EB9DB" w:rsidR="008E7761" w:rsidRPr="00A05EC9" w:rsidRDefault="008E7761" w:rsidP="009B5150">
      <w:pPr>
        <w:pStyle w:val="ListBullet"/>
        <w:keepLines w:val="0"/>
      </w:pPr>
      <w:r>
        <w:t>t</w:t>
      </w:r>
      <w:r w:rsidRPr="00A05EC9">
        <w:t xml:space="preserve">he geographic area(s) within which </w:t>
      </w:r>
      <w:r w:rsidR="00587E0F">
        <w:t xml:space="preserve">a service or services </w:t>
      </w:r>
      <w:r w:rsidR="00DB436B">
        <w:t>may</w:t>
      </w:r>
      <w:r w:rsidR="00DB436B" w:rsidRPr="00A05EC9">
        <w:t xml:space="preserve"> </w:t>
      </w:r>
      <w:r w:rsidRPr="00A05EC9">
        <w:t>be allocated</w:t>
      </w:r>
    </w:p>
    <w:p w14:paraId="7CA25608" w14:textId="6D221692" w:rsidR="00810418" w:rsidRDefault="008E7761" w:rsidP="00FD2C90">
      <w:pPr>
        <w:pStyle w:val="ListBulletLast"/>
      </w:pPr>
      <w:r>
        <w:t>the f</w:t>
      </w:r>
      <w:r w:rsidRPr="00A05EC9">
        <w:t xml:space="preserve">requency range(s) </w:t>
      </w:r>
      <w:r w:rsidR="00BC426A">
        <w:t xml:space="preserve">or segments </w:t>
      </w:r>
      <w:r w:rsidR="001355B9">
        <w:t xml:space="preserve">in </w:t>
      </w:r>
      <w:r w:rsidR="00DB436B">
        <w:t xml:space="preserve">which </w:t>
      </w:r>
      <w:r w:rsidR="00581FCD">
        <w:t>any new arrangements apply</w:t>
      </w:r>
      <w:r>
        <w:t>.</w:t>
      </w:r>
    </w:p>
    <w:p w14:paraId="1678E024" w14:textId="03AD8855" w:rsidR="008E7761" w:rsidRPr="00F2242C" w:rsidRDefault="008E7761" w:rsidP="00D51E3F">
      <w:pPr>
        <w:pStyle w:val="Paragraphbeforelist"/>
      </w:pPr>
      <w:r w:rsidRPr="00F2242C">
        <w:t xml:space="preserve">When reading this section, </w:t>
      </w:r>
      <w:r w:rsidR="00B319DF">
        <w:t xml:space="preserve">please </w:t>
      </w:r>
      <w:r w:rsidR="00C542AB">
        <w:t>note</w:t>
      </w:r>
      <w:r w:rsidRPr="00F2242C">
        <w:t xml:space="preserve"> that: </w:t>
      </w:r>
    </w:p>
    <w:p w14:paraId="28FCBB07" w14:textId="7553906C" w:rsidR="009F1690" w:rsidRDefault="00013772" w:rsidP="009B5150">
      <w:pPr>
        <w:pStyle w:val="ListBullet"/>
        <w:keepLines w:val="0"/>
      </w:pPr>
      <w:r>
        <w:t>T</w:t>
      </w:r>
      <w:r w:rsidR="009F1690" w:rsidRPr="000870D9">
        <w:t xml:space="preserve">he </w:t>
      </w:r>
      <w:r w:rsidR="009F1690">
        <w:t xml:space="preserve">geographic area </w:t>
      </w:r>
      <w:r w:rsidR="009F1690" w:rsidRPr="000870D9">
        <w:t>term</w:t>
      </w:r>
      <w:r w:rsidR="009F1690">
        <w:t>s</w:t>
      </w:r>
      <w:r w:rsidR="009F1690" w:rsidRPr="000870D9">
        <w:t xml:space="preserve"> ‘metro centres’, ‘regional areas’ and ‘remote areas’ are defined in </w:t>
      </w:r>
      <w:hyperlink w:anchor="_Appendix_C:_Geographical" w:history="1">
        <w:r w:rsidR="009F1690" w:rsidRPr="00B319DF">
          <w:rPr>
            <w:rStyle w:val="Hyperlink"/>
          </w:rPr>
          <w:t xml:space="preserve">Appendix </w:t>
        </w:r>
        <w:r w:rsidR="0035542B" w:rsidRPr="00B319DF">
          <w:rPr>
            <w:rStyle w:val="Hyperlink"/>
          </w:rPr>
          <w:t>C</w:t>
        </w:r>
      </w:hyperlink>
      <w:r w:rsidR="009F1690" w:rsidRPr="000870D9">
        <w:t xml:space="preserve">. These </w:t>
      </w:r>
      <w:r w:rsidR="009F1690">
        <w:t xml:space="preserve">definitions are the same as </w:t>
      </w:r>
      <w:r w:rsidR="009F1690" w:rsidRPr="00F2242C">
        <w:t>those identified</w:t>
      </w:r>
      <w:r w:rsidR="009F1690">
        <w:t xml:space="preserve"> </w:t>
      </w:r>
      <w:r w:rsidR="009F1690" w:rsidRPr="00F2242C">
        <w:t xml:space="preserve">for spectrum licensing in </w:t>
      </w:r>
      <w:r w:rsidR="009F1690">
        <w:t xml:space="preserve">the </w:t>
      </w:r>
      <w:r w:rsidR="00486FE9">
        <w:t>18</w:t>
      </w:r>
      <w:r w:rsidR="00BD639D">
        <w:t>00</w:t>
      </w:r>
      <w:r w:rsidR="008C6863">
        <w:t> </w:t>
      </w:r>
      <w:r w:rsidR="00BD639D">
        <w:t>M</w:t>
      </w:r>
      <w:r w:rsidR="009F1690">
        <w:t xml:space="preserve">Hz band and, </w:t>
      </w:r>
      <w:r w:rsidR="009F1690" w:rsidRPr="00F2242C">
        <w:t xml:space="preserve">while indicative of the ACMA’s thinking, may </w:t>
      </w:r>
      <w:r w:rsidR="009F1690">
        <w:t>subsequently change</w:t>
      </w:r>
      <w:r w:rsidR="009F1690" w:rsidRPr="00F2242C">
        <w:t xml:space="preserve"> because of information provided in submissions</w:t>
      </w:r>
      <w:r w:rsidR="009F1690">
        <w:t xml:space="preserve"> to this paper.</w:t>
      </w:r>
    </w:p>
    <w:p w14:paraId="48AD31F4" w14:textId="62A26491" w:rsidR="009F1690" w:rsidRDefault="00013772" w:rsidP="009B5150">
      <w:pPr>
        <w:pStyle w:val="ListBulletLast"/>
      </w:pPr>
      <w:r>
        <w:t>T</w:t>
      </w:r>
      <w:r w:rsidR="009F1690">
        <w:t>he existing arrangements for building material analysis transmitters/ground penetrating radar</w:t>
      </w:r>
      <w:r w:rsidR="00DE58C4">
        <w:t>s</w:t>
      </w:r>
      <w:r w:rsidR="009F1690">
        <w:t xml:space="preserve"> operating in the </w:t>
      </w:r>
      <w:r w:rsidR="00486FE9">
        <w:t>1.9 GHz</w:t>
      </w:r>
      <w:r w:rsidR="009F1690">
        <w:t xml:space="preserve"> band, set out in the </w:t>
      </w:r>
      <w:r w:rsidR="002B3C06">
        <w:t>low interference potential device (</w:t>
      </w:r>
      <w:hyperlink r:id="rId40" w:history="1">
        <w:r w:rsidR="009F1690" w:rsidRPr="00450397">
          <w:rPr>
            <w:rStyle w:val="Hyperlink"/>
            <w:color w:val="auto"/>
            <w:u w:val="none"/>
          </w:rPr>
          <w:t>LIPD</w:t>
        </w:r>
        <w:r w:rsidR="002B3C06">
          <w:rPr>
            <w:rStyle w:val="Hyperlink"/>
            <w:color w:val="auto"/>
            <w:u w:val="none"/>
          </w:rPr>
          <w:t>)</w:t>
        </w:r>
        <w:r w:rsidR="009F1690" w:rsidRPr="00450397">
          <w:rPr>
            <w:rStyle w:val="Hyperlink"/>
            <w:color w:val="auto"/>
            <w:u w:val="none"/>
          </w:rPr>
          <w:t xml:space="preserve"> </w:t>
        </w:r>
        <w:r w:rsidR="002B3C06">
          <w:rPr>
            <w:rStyle w:val="Hyperlink"/>
            <w:color w:val="auto"/>
            <w:u w:val="none"/>
          </w:rPr>
          <w:t>c</w:t>
        </w:r>
        <w:r w:rsidR="009F1690" w:rsidRPr="00450397">
          <w:rPr>
            <w:rStyle w:val="Hyperlink"/>
            <w:color w:val="auto"/>
            <w:u w:val="none"/>
          </w:rPr>
          <w:t xml:space="preserve">lass </w:t>
        </w:r>
        <w:r w:rsidR="002B3C06">
          <w:rPr>
            <w:rStyle w:val="Hyperlink"/>
            <w:color w:val="auto"/>
            <w:u w:val="none"/>
          </w:rPr>
          <w:t>l</w:t>
        </w:r>
        <w:r w:rsidR="009F1690" w:rsidRPr="00450397">
          <w:rPr>
            <w:rStyle w:val="Hyperlink"/>
            <w:color w:val="auto"/>
            <w:u w:val="none"/>
          </w:rPr>
          <w:t>icence</w:t>
        </w:r>
      </w:hyperlink>
      <w:r w:rsidR="009F1690">
        <w:t xml:space="preserve">, are considered to be appropriate and therefore are proposed to be maintained under all options considered for the </w:t>
      </w:r>
      <w:r w:rsidR="00486FE9">
        <w:t>1.9</w:t>
      </w:r>
      <w:r w:rsidR="00FD3823">
        <w:t> </w:t>
      </w:r>
      <w:r w:rsidR="00486FE9">
        <w:t xml:space="preserve">GHz </w:t>
      </w:r>
      <w:r w:rsidR="009F1690">
        <w:t>band.</w:t>
      </w:r>
    </w:p>
    <w:p w14:paraId="0F32BC7C" w14:textId="6F7E1745" w:rsidR="003D16A8" w:rsidRDefault="00621B24" w:rsidP="00FD2C90">
      <w:pPr>
        <w:pStyle w:val="Paragraph"/>
        <w:keepLines w:val="0"/>
      </w:pPr>
      <w:bookmarkStart w:id="114" w:name="_Ref29821416"/>
      <w:r>
        <w:t>Comment</w:t>
      </w:r>
      <w:r w:rsidR="00C31E2C">
        <w:t xml:space="preserve"> is</w:t>
      </w:r>
      <w:r>
        <w:t xml:space="preserve"> sought</w:t>
      </w:r>
      <w:r w:rsidR="008E7761">
        <w:t xml:space="preserve"> on the </w:t>
      </w:r>
      <w:r>
        <w:t xml:space="preserve">proposed </w:t>
      </w:r>
      <w:r w:rsidR="008E7761">
        <w:t>options</w:t>
      </w:r>
      <w:r>
        <w:t>,</w:t>
      </w:r>
      <w:r w:rsidR="008E7761">
        <w:t xml:space="preserve"> </w:t>
      </w:r>
      <w:r w:rsidR="00E45461">
        <w:t>including appropriate values for frequency segment breakpoints</w:t>
      </w:r>
      <w:r>
        <w:t xml:space="preserve"> as well as any alternative options.</w:t>
      </w:r>
      <w:bookmarkEnd w:id="114"/>
      <w:r w:rsidR="00BA1B4B">
        <w:t xml:space="preserve"> A summary of the options is provided in Table </w:t>
      </w:r>
      <w:r w:rsidR="001355B9">
        <w:t>4</w:t>
      </w:r>
      <w:r w:rsidR="00BA1B4B">
        <w:t>.</w:t>
      </w:r>
    </w:p>
    <w:p w14:paraId="0F8E5EAB" w14:textId="28B59771" w:rsidR="003D16A8" w:rsidRDefault="003D16A8" w:rsidP="00FD2C90">
      <w:pPr>
        <w:pStyle w:val="Heading2"/>
        <w:keepLines w:val="0"/>
      </w:pPr>
      <w:bookmarkStart w:id="115" w:name="_Toc113626363"/>
      <w:bookmarkStart w:id="116" w:name="_Toc117870127"/>
      <w:bookmarkStart w:id="117" w:name="_Toc118785117"/>
      <w:bookmarkStart w:id="118" w:name="_Toc120600052"/>
      <w:r w:rsidRPr="003428AC">
        <w:t xml:space="preserve">Option </w:t>
      </w:r>
      <w:r>
        <w:t>1</w:t>
      </w:r>
      <w:bookmarkEnd w:id="115"/>
      <w:r w:rsidR="00896B77">
        <w:t xml:space="preserve"> </w:t>
      </w:r>
      <w:r w:rsidR="00896B77" w:rsidRPr="00AC4C06">
        <w:t>(</w:t>
      </w:r>
      <w:r w:rsidR="00A82F2E">
        <w:t>e</w:t>
      </w:r>
      <w:r w:rsidR="00896B77" w:rsidRPr="00AC4C06">
        <w:t>xisting arrangement</w:t>
      </w:r>
      <w:r w:rsidR="00A82F2E">
        <w:t>s</w:t>
      </w:r>
      <w:r w:rsidR="00896B77" w:rsidRPr="00AC4C06">
        <w:t>)</w:t>
      </w:r>
      <w:bookmarkEnd w:id="116"/>
      <w:bookmarkEnd w:id="117"/>
      <w:bookmarkEnd w:id="118"/>
    </w:p>
    <w:p w14:paraId="3464AA8C" w14:textId="77777777" w:rsidR="0078059A" w:rsidRDefault="003D16A8" w:rsidP="0078059A">
      <w:pPr>
        <w:pStyle w:val="Paragraph"/>
        <w:keepLines w:val="0"/>
      </w:pPr>
      <w:bookmarkStart w:id="119" w:name="_Hlk107919825"/>
      <w:r w:rsidRPr="00576242">
        <w:t xml:space="preserve">Option </w:t>
      </w:r>
      <w:r>
        <w:t>1</w:t>
      </w:r>
      <w:r w:rsidRPr="00576242">
        <w:t xml:space="preserve"> </w:t>
      </w:r>
      <w:r>
        <w:t>maintains the existing arrangement</w:t>
      </w:r>
      <w:r w:rsidR="00987CE7">
        <w:t>s</w:t>
      </w:r>
      <w:r>
        <w:t xml:space="preserve"> with different </w:t>
      </w:r>
      <w:r w:rsidRPr="00576242">
        <w:t xml:space="preserve">services </w:t>
      </w:r>
      <w:r>
        <w:t>authorised by different licence types (</w:t>
      </w:r>
      <w:r w:rsidR="00EC0AD6">
        <w:t>i.e.</w:t>
      </w:r>
      <w:r>
        <w:t xml:space="preserve"> class </w:t>
      </w:r>
      <w:r w:rsidRPr="00576242">
        <w:t xml:space="preserve">and </w:t>
      </w:r>
      <w:r>
        <w:t xml:space="preserve">apparatus licences) in </w:t>
      </w:r>
      <w:r w:rsidR="00D41A32">
        <w:t xml:space="preserve">separate </w:t>
      </w:r>
      <w:r>
        <w:t>frequency</w:t>
      </w:r>
      <w:r w:rsidR="00D41A32">
        <w:t xml:space="preserve"> segments</w:t>
      </w:r>
      <w:r w:rsidRPr="00576242">
        <w:t xml:space="preserve">. </w:t>
      </w:r>
    </w:p>
    <w:p w14:paraId="4583AD90" w14:textId="5F69388D" w:rsidR="0078059A" w:rsidRDefault="003D16A8" w:rsidP="0078059A">
      <w:pPr>
        <w:pStyle w:val="Paragraph"/>
        <w:keepLines w:val="0"/>
      </w:pPr>
      <w:r>
        <w:t xml:space="preserve">These </w:t>
      </w:r>
      <w:r w:rsidRPr="00576242">
        <w:t xml:space="preserve">arrangements allow for </w:t>
      </w:r>
      <w:r>
        <w:t>SR WBB services</w:t>
      </w:r>
      <w:r w:rsidRPr="00576242">
        <w:t xml:space="preserve"> in the 1880</w:t>
      </w:r>
      <w:r w:rsidR="00FD3823">
        <w:t>–</w:t>
      </w:r>
      <w:r w:rsidRPr="00576242">
        <w:t xml:space="preserve">1900 MHz </w:t>
      </w:r>
      <w:r w:rsidR="0070430D">
        <w:t>frequency range</w:t>
      </w:r>
      <w:r w:rsidR="0070430D" w:rsidRPr="00576242">
        <w:t xml:space="preserve"> </w:t>
      </w:r>
      <w:r w:rsidRPr="00576242">
        <w:t xml:space="preserve">with </w:t>
      </w:r>
      <w:r>
        <w:t>LA</w:t>
      </w:r>
      <w:r w:rsidRPr="00576242">
        <w:t xml:space="preserve"> </w:t>
      </w:r>
      <w:r>
        <w:t xml:space="preserve">WBB and PTP </w:t>
      </w:r>
      <w:r w:rsidRPr="00576242">
        <w:t>services in the 1900</w:t>
      </w:r>
      <w:r w:rsidR="00077503">
        <w:t>–</w:t>
      </w:r>
      <w:r w:rsidRPr="00576242">
        <w:t>1920 MHz</w:t>
      </w:r>
      <w:r w:rsidR="00D41A32">
        <w:t xml:space="preserve"> </w:t>
      </w:r>
      <w:r w:rsidR="0070430D">
        <w:t>frequency range</w:t>
      </w:r>
      <w:r w:rsidR="0070430D" w:rsidRPr="00576242">
        <w:t xml:space="preserve"> </w:t>
      </w:r>
      <w:r w:rsidR="00D41A32">
        <w:t>in regional and remote areas</w:t>
      </w:r>
      <w:r>
        <w:t xml:space="preserve">. </w:t>
      </w:r>
    </w:p>
    <w:p w14:paraId="7115B410" w14:textId="47311ACB" w:rsidR="0078059A" w:rsidRDefault="003D16A8" w:rsidP="0078059A">
      <w:pPr>
        <w:pStyle w:val="Paragraph"/>
        <w:keepLines w:val="0"/>
      </w:pPr>
      <w:r>
        <w:lastRenderedPageBreak/>
        <w:t>The SR WBB services</w:t>
      </w:r>
      <w:r w:rsidRPr="00576242">
        <w:t xml:space="preserve"> </w:t>
      </w:r>
      <w:r w:rsidR="001B5A7A">
        <w:t>allow the use</w:t>
      </w:r>
      <w:r>
        <w:t xml:space="preserve"> of </w:t>
      </w:r>
      <w:r w:rsidR="00077503">
        <w:t>c</w:t>
      </w:r>
      <w:r w:rsidR="003E1FC7" w:rsidRPr="003E1FC7">
        <w:t xml:space="preserve">ordless </w:t>
      </w:r>
      <w:r w:rsidR="00077503">
        <w:t>c</w:t>
      </w:r>
      <w:r w:rsidR="003E1FC7" w:rsidRPr="003E1FC7">
        <w:t xml:space="preserve">ommunications </w:t>
      </w:r>
      <w:r w:rsidR="00077503">
        <w:t>d</w:t>
      </w:r>
      <w:r w:rsidR="003E1FC7" w:rsidRPr="003E1FC7">
        <w:t xml:space="preserve">evices </w:t>
      </w:r>
      <w:r w:rsidR="003E1FC7">
        <w:t>(</w:t>
      </w:r>
      <w:r w:rsidRPr="001B46CE">
        <w:t>CCD</w:t>
      </w:r>
      <w:r w:rsidR="003E1FC7">
        <w:t>)</w:t>
      </w:r>
      <w:r w:rsidRPr="001B46CE">
        <w:t xml:space="preserve"> technologies such as PHS, DECT </w:t>
      </w:r>
      <w:r w:rsidR="00E32A42">
        <w:t>(and could be modified to allow f</w:t>
      </w:r>
      <w:r w:rsidR="00694E7B">
        <w:t>or</w:t>
      </w:r>
      <w:r w:rsidR="00363EF0">
        <w:t xml:space="preserve"> future DECT</w:t>
      </w:r>
      <w:r w:rsidR="00E32A42">
        <w:t>)</w:t>
      </w:r>
      <w:r w:rsidR="0070430D">
        <w:t xml:space="preserve"> </w:t>
      </w:r>
      <w:r w:rsidRPr="001B46CE">
        <w:t xml:space="preserve">and </w:t>
      </w:r>
      <w:r w:rsidR="00077503">
        <w:t>l</w:t>
      </w:r>
      <w:r w:rsidRPr="001B46CE">
        <w:t xml:space="preserve">ow </w:t>
      </w:r>
      <w:r w:rsidR="00077503">
        <w:t>i</w:t>
      </w:r>
      <w:r w:rsidRPr="001B46CE">
        <w:t xml:space="preserve">nterference </w:t>
      </w:r>
      <w:r w:rsidR="00077503">
        <w:t>p</w:t>
      </w:r>
      <w:r w:rsidRPr="001B46CE">
        <w:t xml:space="preserve">otential </w:t>
      </w:r>
      <w:r w:rsidR="00077503">
        <w:t>d</w:t>
      </w:r>
      <w:r w:rsidRPr="001B46CE">
        <w:t xml:space="preserve">evices such as wall imaging systems. </w:t>
      </w:r>
    </w:p>
    <w:p w14:paraId="63D28DD3" w14:textId="67A64799" w:rsidR="003D16A8" w:rsidRDefault="003D16A8" w:rsidP="00FD2C90">
      <w:pPr>
        <w:pStyle w:val="Paragraph"/>
        <w:keepLines w:val="0"/>
      </w:pPr>
      <w:r w:rsidRPr="001B46CE">
        <w:t xml:space="preserve">There </w:t>
      </w:r>
      <w:r w:rsidR="001B5A7A">
        <w:t xml:space="preserve">are currently no arrangements for the licensing of </w:t>
      </w:r>
      <w:r w:rsidRPr="001B46CE">
        <w:t xml:space="preserve">services in </w:t>
      </w:r>
      <w:r>
        <w:t>m</w:t>
      </w:r>
      <w:r w:rsidRPr="001B46CE">
        <w:t>etropolitan areas</w:t>
      </w:r>
      <w:r>
        <w:t>. These arrangements are illustrated in Figure 2.</w:t>
      </w:r>
      <w:bookmarkEnd w:id="119"/>
    </w:p>
    <w:p w14:paraId="1F97D157" w14:textId="534F992B" w:rsidR="003D16A8" w:rsidRDefault="001355B9" w:rsidP="00FD2C90">
      <w:pPr>
        <w:pStyle w:val="Figureheading"/>
        <w:keepNext w:val="0"/>
      </w:pPr>
      <w:r>
        <w:t xml:space="preserve">Illustration of </w:t>
      </w:r>
      <w:r w:rsidR="003D16A8" w:rsidRPr="00AC4C06">
        <w:t>Option 1 (Existing arrangement)</w:t>
      </w:r>
    </w:p>
    <w:tbl>
      <w:tblPr>
        <w:tblpPr w:leftFromText="180" w:rightFromText="180" w:vertAnchor="text" w:horzAnchor="page" w:tblpX="406" w:tblpY="105"/>
        <w:tblW w:w="10639" w:type="dxa"/>
        <w:tblLayout w:type="fixed"/>
        <w:tblLook w:val="04A0" w:firstRow="1" w:lastRow="0" w:firstColumn="1" w:lastColumn="0" w:noHBand="0" w:noVBand="1"/>
        <w:tblDescription w:val="Figure 2: Illustration of Option 1 (Existing arrangement)"/>
      </w:tblPr>
      <w:tblGrid>
        <w:gridCol w:w="518"/>
        <w:gridCol w:w="1604"/>
        <w:gridCol w:w="2121"/>
        <w:gridCol w:w="485"/>
        <w:gridCol w:w="1630"/>
        <w:gridCol w:w="2140"/>
        <w:gridCol w:w="2141"/>
      </w:tblGrid>
      <w:tr w:rsidR="009B15A4" w:rsidRPr="009B15A4" w14:paraId="2D9B0C00" w14:textId="77777777" w:rsidTr="003868DF">
        <w:trPr>
          <w:trHeight w:val="1124"/>
        </w:trPr>
        <w:tc>
          <w:tcPr>
            <w:tcW w:w="2122" w:type="dxa"/>
            <w:gridSpan w:val="2"/>
            <w:tcBorders>
              <w:top w:val="nil"/>
              <w:left w:val="nil"/>
              <w:right w:val="nil"/>
            </w:tcBorders>
            <w:shd w:val="clear" w:color="auto" w:fill="auto"/>
            <w:textDirection w:val="btLr"/>
            <w:vAlign w:val="bottom"/>
            <w:hideMark/>
          </w:tcPr>
          <w:p w14:paraId="454C0ACB" w14:textId="77777777" w:rsidR="009B15A4" w:rsidRPr="009B15A4" w:rsidRDefault="009B15A4" w:rsidP="009B15A4">
            <w:pPr>
              <w:keepLines w:val="0"/>
              <w:spacing w:after="0" w:line="240" w:lineRule="auto"/>
              <w:jc w:val="right"/>
              <w:rPr>
                <w:rFonts w:ascii="Calibri" w:hAnsi="Calibri" w:cs="Calibri"/>
                <w:b/>
                <w:bCs/>
                <w:color w:val="000000"/>
                <w:sz w:val="22"/>
                <w:szCs w:val="22"/>
              </w:rPr>
            </w:pPr>
            <w:r w:rsidRPr="009B15A4">
              <w:rPr>
                <w:rFonts w:ascii="Calibri" w:hAnsi="Calibri" w:cs="Calibri"/>
                <w:b/>
                <w:bCs/>
                <w:color w:val="000000"/>
                <w:sz w:val="22"/>
                <w:szCs w:val="22"/>
              </w:rPr>
              <w:t>1880 MHz</w:t>
            </w:r>
          </w:p>
        </w:tc>
        <w:tc>
          <w:tcPr>
            <w:tcW w:w="2121" w:type="dxa"/>
            <w:tcBorders>
              <w:top w:val="nil"/>
              <w:left w:val="nil"/>
              <w:right w:val="nil"/>
            </w:tcBorders>
            <w:shd w:val="clear" w:color="auto" w:fill="auto"/>
            <w:textDirection w:val="btLr"/>
            <w:vAlign w:val="bottom"/>
            <w:hideMark/>
          </w:tcPr>
          <w:p w14:paraId="7410B3DA" w14:textId="77777777" w:rsidR="009B15A4" w:rsidRPr="009B15A4" w:rsidRDefault="009B15A4" w:rsidP="009B15A4">
            <w:pPr>
              <w:keepLines w:val="0"/>
              <w:spacing w:after="0" w:line="240" w:lineRule="auto"/>
              <w:jc w:val="right"/>
              <w:rPr>
                <w:rFonts w:ascii="Calibri" w:hAnsi="Calibri" w:cs="Calibri"/>
                <w:b/>
                <w:bCs/>
                <w:color w:val="000000"/>
                <w:sz w:val="22"/>
                <w:szCs w:val="22"/>
              </w:rPr>
            </w:pPr>
          </w:p>
        </w:tc>
        <w:tc>
          <w:tcPr>
            <w:tcW w:w="2115" w:type="dxa"/>
            <w:gridSpan w:val="2"/>
            <w:tcBorders>
              <w:top w:val="nil"/>
              <w:left w:val="nil"/>
              <w:right w:val="nil"/>
            </w:tcBorders>
            <w:shd w:val="clear" w:color="auto" w:fill="auto"/>
            <w:textDirection w:val="btLr"/>
            <w:vAlign w:val="bottom"/>
            <w:hideMark/>
          </w:tcPr>
          <w:p w14:paraId="3FD0A24A" w14:textId="77777777" w:rsidR="009B15A4" w:rsidRPr="009B15A4" w:rsidRDefault="009B15A4" w:rsidP="009B15A4">
            <w:pPr>
              <w:keepLines w:val="0"/>
              <w:spacing w:after="0" w:line="240" w:lineRule="auto"/>
              <w:jc w:val="right"/>
              <w:rPr>
                <w:rFonts w:ascii="Calibri" w:hAnsi="Calibri" w:cs="Calibri"/>
                <w:b/>
                <w:bCs/>
                <w:color w:val="000000"/>
                <w:sz w:val="22"/>
                <w:szCs w:val="22"/>
              </w:rPr>
            </w:pPr>
            <w:r w:rsidRPr="009B15A4">
              <w:rPr>
                <w:rFonts w:ascii="Calibri" w:hAnsi="Calibri" w:cs="Calibri"/>
                <w:b/>
                <w:bCs/>
                <w:color w:val="000000"/>
                <w:sz w:val="22"/>
                <w:szCs w:val="22"/>
              </w:rPr>
              <w:t>1900 MHz</w:t>
            </w:r>
          </w:p>
        </w:tc>
        <w:tc>
          <w:tcPr>
            <w:tcW w:w="2140" w:type="dxa"/>
            <w:tcBorders>
              <w:top w:val="nil"/>
              <w:left w:val="nil"/>
            </w:tcBorders>
            <w:shd w:val="clear" w:color="auto" w:fill="auto"/>
            <w:textDirection w:val="btLr"/>
            <w:vAlign w:val="bottom"/>
          </w:tcPr>
          <w:p w14:paraId="41EEC088" w14:textId="77777777" w:rsidR="009B15A4" w:rsidRPr="009B15A4" w:rsidRDefault="009B15A4" w:rsidP="009B15A4">
            <w:pPr>
              <w:keepLines w:val="0"/>
              <w:spacing w:after="0" w:line="240" w:lineRule="auto"/>
              <w:jc w:val="right"/>
              <w:rPr>
                <w:rFonts w:ascii="Calibri" w:hAnsi="Calibri" w:cs="Calibri"/>
                <w:b/>
                <w:bCs/>
                <w:color w:val="000000"/>
                <w:sz w:val="22"/>
                <w:szCs w:val="22"/>
              </w:rPr>
            </w:pPr>
            <w:r w:rsidRPr="009B15A4">
              <w:rPr>
                <w:rFonts w:ascii="Calibri" w:hAnsi="Calibri" w:cs="Calibri"/>
                <w:b/>
                <w:bCs/>
                <w:color w:val="000000"/>
                <w:sz w:val="22"/>
                <w:szCs w:val="22"/>
              </w:rPr>
              <w:t>1910 MHz</w:t>
            </w:r>
          </w:p>
        </w:tc>
        <w:tc>
          <w:tcPr>
            <w:tcW w:w="2141" w:type="dxa"/>
            <w:tcBorders>
              <w:top w:val="nil"/>
              <w:right w:val="nil"/>
            </w:tcBorders>
            <w:shd w:val="clear" w:color="auto" w:fill="auto"/>
            <w:textDirection w:val="btLr"/>
            <w:vAlign w:val="bottom"/>
            <w:hideMark/>
          </w:tcPr>
          <w:p w14:paraId="7F5CFE77" w14:textId="77777777" w:rsidR="009B15A4" w:rsidRPr="009B15A4" w:rsidRDefault="009B15A4" w:rsidP="009B15A4">
            <w:pPr>
              <w:keepLines w:val="0"/>
              <w:spacing w:after="0" w:line="240" w:lineRule="auto"/>
              <w:jc w:val="right"/>
              <w:rPr>
                <w:rFonts w:ascii="Calibri" w:hAnsi="Calibri" w:cs="Calibri"/>
                <w:b/>
                <w:bCs/>
                <w:color w:val="000000"/>
                <w:sz w:val="22"/>
                <w:szCs w:val="22"/>
              </w:rPr>
            </w:pPr>
            <w:r w:rsidRPr="009B15A4">
              <w:rPr>
                <w:rFonts w:ascii="Calibri" w:hAnsi="Calibri" w:cs="Calibri"/>
                <w:b/>
                <w:bCs/>
                <w:color w:val="000000"/>
                <w:sz w:val="22"/>
                <w:szCs w:val="22"/>
              </w:rPr>
              <w:t>1920 MHz</w:t>
            </w:r>
          </w:p>
        </w:tc>
      </w:tr>
      <w:tr w:rsidR="009B15A4" w:rsidRPr="009B15A4" w14:paraId="1B817A1A" w14:textId="77777777" w:rsidTr="003868DF">
        <w:trPr>
          <w:trHeight w:val="266"/>
        </w:trPr>
        <w:tc>
          <w:tcPr>
            <w:tcW w:w="518" w:type="dxa"/>
            <w:tcBorders>
              <w:left w:val="nil"/>
              <w:bottom w:val="nil"/>
              <w:right w:val="single" w:sz="8" w:space="0" w:color="auto"/>
            </w:tcBorders>
            <w:shd w:val="clear" w:color="auto" w:fill="auto"/>
            <w:noWrap/>
            <w:vAlign w:val="bottom"/>
          </w:tcPr>
          <w:p w14:paraId="30281DB7" w14:textId="77777777" w:rsidR="009B15A4" w:rsidRPr="009B15A4" w:rsidRDefault="009B15A4" w:rsidP="009B15A4">
            <w:pPr>
              <w:keepLines w:val="0"/>
              <w:spacing w:after="0" w:line="240" w:lineRule="auto"/>
              <w:rPr>
                <w:rFonts w:ascii="Calibri" w:hAnsi="Calibri" w:cs="Calibri"/>
                <w:b/>
                <w:bCs/>
                <w:color w:val="000000"/>
                <w:sz w:val="22"/>
                <w:szCs w:val="22"/>
              </w:rPr>
            </w:pPr>
          </w:p>
        </w:tc>
        <w:tc>
          <w:tcPr>
            <w:tcW w:w="4210" w:type="dxa"/>
            <w:gridSpan w:val="3"/>
            <w:tcBorders>
              <w:top w:val="single" w:sz="4" w:space="0" w:color="auto"/>
              <w:left w:val="single" w:sz="8" w:space="0" w:color="auto"/>
              <w:right w:val="single" w:sz="8" w:space="0" w:color="auto"/>
            </w:tcBorders>
            <w:shd w:val="clear" w:color="auto" w:fill="E2EFD9"/>
          </w:tcPr>
          <w:p w14:paraId="0E08B46C" w14:textId="7054B89F" w:rsidR="009B15A4" w:rsidRPr="009B15A4" w:rsidRDefault="009B15A4" w:rsidP="009B15A4">
            <w:pPr>
              <w:keepLines w:val="0"/>
              <w:spacing w:after="0" w:line="240" w:lineRule="auto"/>
              <w:jc w:val="center"/>
              <w:rPr>
                <w:rFonts w:ascii="Calibri" w:hAnsi="Calibri" w:cs="Calibri"/>
                <w:b/>
                <w:bCs/>
                <w:color w:val="000000"/>
                <w:sz w:val="24"/>
              </w:rPr>
            </w:pPr>
            <w:r w:rsidRPr="009B15A4">
              <w:rPr>
                <w:rFonts w:ascii="Calibri" w:hAnsi="Calibri" w:cs="Calibri"/>
                <w:b/>
                <w:bCs/>
                <w:color w:val="000000"/>
                <w:sz w:val="24"/>
              </w:rPr>
              <w:t>Australia</w:t>
            </w:r>
            <w:r w:rsidR="00ED026A">
              <w:rPr>
                <w:rFonts w:ascii="Calibri" w:hAnsi="Calibri" w:cs="Calibri"/>
                <w:b/>
                <w:bCs/>
                <w:color w:val="000000"/>
                <w:sz w:val="24"/>
              </w:rPr>
              <w:t>-w</w:t>
            </w:r>
            <w:r w:rsidRPr="009B15A4">
              <w:rPr>
                <w:rFonts w:ascii="Calibri" w:hAnsi="Calibri" w:cs="Calibri"/>
                <w:b/>
                <w:bCs/>
                <w:color w:val="000000"/>
                <w:sz w:val="24"/>
              </w:rPr>
              <w:t>ide</w:t>
            </w:r>
          </w:p>
        </w:tc>
        <w:tc>
          <w:tcPr>
            <w:tcW w:w="5911" w:type="dxa"/>
            <w:gridSpan w:val="3"/>
            <w:vMerge w:val="restart"/>
            <w:tcBorders>
              <w:top w:val="single" w:sz="4" w:space="0" w:color="auto"/>
              <w:left w:val="single" w:sz="8" w:space="0" w:color="auto"/>
              <w:bottom w:val="single" w:sz="8" w:space="0" w:color="auto"/>
              <w:right w:val="single" w:sz="8" w:space="0" w:color="auto"/>
            </w:tcBorders>
            <w:shd w:val="clear" w:color="auto" w:fill="D9D9D9"/>
            <w:vAlign w:val="center"/>
          </w:tcPr>
          <w:p w14:paraId="7EFE5CE3" w14:textId="7D3B9868" w:rsidR="009B15A4" w:rsidRPr="009B15A4" w:rsidRDefault="009B15A4" w:rsidP="009B15A4">
            <w:pPr>
              <w:keepLines w:val="0"/>
              <w:spacing w:after="0" w:line="240" w:lineRule="auto"/>
              <w:jc w:val="center"/>
              <w:rPr>
                <w:rFonts w:ascii="Calibri" w:hAnsi="Calibri" w:cs="Calibri"/>
                <w:b/>
                <w:bCs/>
                <w:color w:val="000000"/>
                <w:sz w:val="24"/>
              </w:rPr>
            </w:pPr>
            <w:r w:rsidRPr="009B15A4">
              <w:rPr>
                <w:rFonts w:ascii="Calibri" w:hAnsi="Calibri" w:cs="Calibri"/>
                <w:b/>
                <w:bCs/>
                <w:color w:val="000000"/>
                <w:sz w:val="24"/>
              </w:rPr>
              <w:t xml:space="preserve">Metropolitan </w:t>
            </w:r>
            <w:r w:rsidR="00ED026A">
              <w:rPr>
                <w:rFonts w:ascii="Calibri" w:hAnsi="Calibri" w:cs="Calibri"/>
                <w:b/>
                <w:bCs/>
                <w:color w:val="000000"/>
                <w:sz w:val="24"/>
              </w:rPr>
              <w:t>a</w:t>
            </w:r>
            <w:r w:rsidRPr="009B15A4">
              <w:rPr>
                <w:rFonts w:ascii="Calibri" w:hAnsi="Calibri" w:cs="Calibri"/>
                <w:b/>
                <w:bCs/>
                <w:color w:val="000000"/>
                <w:sz w:val="24"/>
              </w:rPr>
              <w:t xml:space="preserve">rea </w:t>
            </w:r>
          </w:p>
          <w:p w14:paraId="7F3E5F81" w14:textId="77777777" w:rsidR="009B15A4" w:rsidRPr="009B15A4" w:rsidRDefault="009B15A4" w:rsidP="009B15A4">
            <w:pPr>
              <w:keepLines w:val="0"/>
              <w:spacing w:after="0" w:line="240" w:lineRule="auto"/>
              <w:jc w:val="center"/>
              <w:rPr>
                <w:rFonts w:ascii="Calibri" w:hAnsi="Calibri" w:cs="Calibri"/>
                <w:b/>
                <w:bCs/>
                <w:color w:val="000000"/>
                <w:sz w:val="24"/>
              </w:rPr>
            </w:pPr>
          </w:p>
          <w:p w14:paraId="16E2DF90" w14:textId="77777777" w:rsidR="009B15A4" w:rsidRPr="009B15A4" w:rsidRDefault="009B15A4" w:rsidP="009B15A4">
            <w:pPr>
              <w:keepLines w:val="0"/>
              <w:spacing w:after="0" w:line="240" w:lineRule="auto"/>
              <w:rPr>
                <w:rFonts w:cs="Arial"/>
                <w:color w:val="000000"/>
                <w:szCs w:val="20"/>
              </w:rPr>
            </w:pPr>
            <w:r w:rsidRPr="009B15A4">
              <w:rPr>
                <w:rFonts w:cs="Arial"/>
                <w:b/>
                <w:bCs/>
                <w:color w:val="000000"/>
                <w:szCs w:val="20"/>
              </w:rPr>
              <w:t>Planned uses:</w:t>
            </w:r>
            <w:r w:rsidRPr="009B15A4">
              <w:rPr>
                <w:rFonts w:cs="Arial"/>
                <w:color w:val="000000"/>
                <w:szCs w:val="20"/>
              </w:rPr>
              <w:t xml:space="preserve"> No arrangements</w:t>
            </w:r>
          </w:p>
          <w:p w14:paraId="18A748FE" w14:textId="77777777" w:rsidR="009B15A4" w:rsidRPr="009B15A4" w:rsidRDefault="009B15A4" w:rsidP="009B15A4">
            <w:pPr>
              <w:keepLines w:val="0"/>
              <w:spacing w:after="0" w:line="240" w:lineRule="auto"/>
              <w:rPr>
                <w:rFonts w:cs="Arial"/>
                <w:color w:val="000000"/>
                <w:szCs w:val="20"/>
              </w:rPr>
            </w:pPr>
            <w:r w:rsidRPr="009B15A4">
              <w:rPr>
                <w:rFonts w:cs="Arial"/>
                <w:b/>
                <w:bCs/>
                <w:color w:val="000000"/>
                <w:szCs w:val="20"/>
              </w:rPr>
              <w:t>Licence type:</w:t>
            </w:r>
            <w:r w:rsidRPr="009B15A4">
              <w:rPr>
                <w:rFonts w:cs="Arial"/>
                <w:color w:val="000000"/>
                <w:szCs w:val="20"/>
              </w:rPr>
              <w:t xml:space="preserve"> N/A</w:t>
            </w:r>
          </w:p>
          <w:p w14:paraId="64A7FC28" w14:textId="77777777" w:rsidR="009B15A4" w:rsidRPr="009B15A4" w:rsidRDefault="009B15A4" w:rsidP="009B15A4">
            <w:pPr>
              <w:keepLines w:val="0"/>
              <w:spacing w:after="0" w:line="240" w:lineRule="auto"/>
              <w:rPr>
                <w:rFonts w:ascii="Calibri" w:hAnsi="Calibri" w:cs="Calibri"/>
                <w:b/>
                <w:bCs/>
                <w:color w:val="000000"/>
                <w:sz w:val="24"/>
              </w:rPr>
            </w:pPr>
          </w:p>
        </w:tc>
      </w:tr>
      <w:tr w:rsidR="009B15A4" w:rsidRPr="009B15A4" w14:paraId="4D376102" w14:textId="77777777" w:rsidTr="003C1A67">
        <w:trPr>
          <w:trHeight w:val="683"/>
        </w:trPr>
        <w:tc>
          <w:tcPr>
            <w:tcW w:w="518" w:type="dxa"/>
            <w:vMerge w:val="restart"/>
            <w:tcBorders>
              <w:top w:val="nil"/>
              <w:left w:val="nil"/>
              <w:bottom w:val="nil"/>
              <w:right w:val="nil"/>
            </w:tcBorders>
            <w:shd w:val="clear" w:color="auto" w:fill="auto"/>
            <w:noWrap/>
            <w:vAlign w:val="bottom"/>
            <w:hideMark/>
          </w:tcPr>
          <w:p w14:paraId="5135FCAE" w14:textId="77777777" w:rsidR="009B15A4" w:rsidRPr="009B15A4" w:rsidRDefault="009B15A4" w:rsidP="009B15A4">
            <w:pPr>
              <w:keepLines w:val="0"/>
              <w:spacing w:after="0" w:line="240" w:lineRule="auto"/>
              <w:rPr>
                <w:rFonts w:ascii="Times New Roman" w:hAnsi="Times New Roman"/>
                <w:szCs w:val="20"/>
              </w:rPr>
            </w:pPr>
          </w:p>
        </w:tc>
        <w:tc>
          <w:tcPr>
            <w:tcW w:w="4210" w:type="dxa"/>
            <w:gridSpan w:val="3"/>
            <w:vMerge w:val="restart"/>
            <w:tcBorders>
              <w:top w:val="nil"/>
              <w:left w:val="single" w:sz="8" w:space="0" w:color="auto"/>
              <w:bottom w:val="single" w:sz="8" w:space="0" w:color="auto"/>
              <w:right w:val="single" w:sz="8" w:space="0" w:color="auto"/>
            </w:tcBorders>
            <w:shd w:val="clear" w:color="auto" w:fill="E2EFD9"/>
            <w:noWrap/>
            <w:hideMark/>
          </w:tcPr>
          <w:p w14:paraId="1F2B72C2" w14:textId="77777777" w:rsidR="009B15A4" w:rsidRPr="009B15A4" w:rsidRDefault="009B15A4" w:rsidP="009B15A4">
            <w:pPr>
              <w:keepLines w:val="0"/>
              <w:spacing w:after="0" w:line="240" w:lineRule="auto"/>
              <w:rPr>
                <w:rFonts w:cs="Arial"/>
                <w:b/>
                <w:bCs/>
                <w:color w:val="000000"/>
                <w:szCs w:val="20"/>
              </w:rPr>
            </w:pPr>
          </w:p>
          <w:p w14:paraId="60DE4442" w14:textId="77777777" w:rsidR="009B15A4" w:rsidRPr="009B15A4" w:rsidRDefault="009B15A4" w:rsidP="009B15A4">
            <w:pPr>
              <w:keepLines w:val="0"/>
              <w:spacing w:after="0" w:line="240" w:lineRule="auto"/>
              <w:rPr>
                <w:rFonts w:cs="Arial"/>
                <w:b/>
                <w:bCs/>
                <w:color w:val="000000"/>
                <w:szCs w:val="20"/>
              </w:rPr>
            </w:pPr>
          </w:p>
          <w:p w14:paraId="49ED7244" w14:textId="77777777" w:rsidR="009B15A4" w:rsidRPr="009B15A4" w:rsidRDefault="009B15A4" w:rsidP="009B15A4">
            <w:pPr>
              <w:keepLines w:val="0"/>
              <w:spacing w:after="0" w:line="240" w:lineRule="auto"/>
              <w:rPr>
                <w:rFonts w:cs="Arial"/>
                <w:b/>
                <w:bCs/>
                <w:color w:val="000000"/>
                <w:szCs w:val="20"/>
              </w:rPr>
            </w:pPr>
          </w:p>
          <w:p w14:paraId="35456FD3" w14:textId="77777777" w:rsidR="009B15A4" w:rsidRPr="009B15A4" w:rsidRDefault="009B15A4" w:rsidP="009B15A4">
            <w:pPr>
              <w:keepLines w:val="0"/>
              <w:spacing w:after="0" w:line="240" w:lineRule="auto"/>
              <w:rPr>
                <w:rFonts w:cs="Arial"/>
                <w:b/>
                <w:bCs/>
                <w:color w:val="000000"/>
                <w:szCs w:val="20"/>
              </w:rPr>
            </w:pPr>
          </w:p>
          <w:p w14:paraId="43DFB251" w14:textId="77777777" w:rsidR="009B15A4" w:rsidRPr="009B15A4" w:rsidRDefault="009B15A4" w:rsidP="009B15A4">
            <w:pPr>
              <w:keepLines w:val="0"/>
              <w:spacing w:after="0" w:line="240" w:lineRule="auto"/>
              <w:rPr>
                <w:rFonts w:cs="Arial"/>
                <w:color w:val="000000"/>
                <w:szCs w:val="20"/>
              </w:rPr>
            </w:pPr>
            <w:r w:rsidRPr="009B15A4">
              <w:rPr>
                <w:rFonts w:cs="Arial"/>
                <w:b/>
                <w:bCs/>
                <w:color w:val="000000"/>
                <w:szCs w:val="20"/>
              </w:rPr>
              <w:t>Planned uses:</w:t>
            </w:r>
            <w:r w:rsidRPr="009B15A4">
              <w:rPr>
                <w:rFonts w:cs="Arial"/>
                <w:color w:val="000000"/>
                <w:szCs w:val="20"/>
              </w:rPr>
              <w:t xml:space="preserve"> SR WBB</w:t>
            </w:r>
          </w:p>
          <w:p w14:paraId="77C89DE5" w14:textId="77777777" w:rsidR="009B15A4" w:rsidRPr="009B15A4" w:rsidRDefault="009B15A4" w:rsidP="009B15A4">
            <w:pPr>
              <w:keepLines w:val="0"/>
              <w:spacing w:after="0" w:line="240" w:lineRule="auto"/>
              <w:rPr>
                <w:rFonts w:ascii="Calibri" w:hAnsi="Calibri" w:cs="Calibri"/>
                <w:color w:val="000000"/>
                <w:sz w:val="24"/>
              </w:rPr>
            </w:pPr>
            <w:r w:rsidRPr="009B15A4">
              <w:rPr>
                <w:rFonts w:cs="Arial"/>
                <w:b/>
                <w:bCs/>
                <w:color w:val="000000"/>
                <w:szCs w:val="20"/>
              </w:rPr>
              <w:t>Licence type:</w:t>
            </w:r>
            <w:r w:rsidRPr="009B15A4">
              <w:rPr>
                <w:rFonts w:cs="Arial"/>
                <w:color w:val="000000"/>
                <w:szCs w:val="20"/>
              </w:rPr>
              <w:t xml:space="preserve"> Class licence</w:t>
            </w:r>
            <w:r w:rsidRPr="009B15A4">
              <w:rPr>
                <w:rFonts w:ascii="Calibri" w:hAnsi="Calibri" w:cs="Calibri"/>
                <w:color w:val="000000"/>
                <w:sz w:val="24"/>
              </w:rPr>
              <w:t> </w:t>
            </w:r>
          </w:p>
        </w:tc>
        <w:tc>
          <w:tcPr>
            <w:tcW w:w="5911" w:type="dxa"/>
            <w:gridSpan w:val="3"/>
            <w:vMerge/>
            <w:tcBorders>
              <w:top w:val="single" w:sz="4" w:space="0" w:color="auto"/>
              <w:left w:val="single" w:sz="8" w:space="0" w:color="auto"/>
              <w:bottom w:val="single" w:sz="8" w:space="0" w:color="auto"/>
              <w:right w:val="single" w:sz="8" w:space="0" w:color="auto"/>
            </w:tcBorders>
            <w:shd w:val="clear" w:color="auto" w:fill="D9D9D9"/>
            <w:noWrap/>
            <w:vAlign w:val="bottom"/>
          </w:tcPr>
          <w:p w14:paraId="665E5D8A" w14:textId="77777777" w:rsidR="009B15A4" w:rsidRPr="009B15A4" w:rsidRDefault="009B15A4" w:rsidP="009B15A4">
            <w:pPr>
              <w:spacing w:after="0" w:line="240" w:lineRule="auto"/>
              <w:rPr>
                <w:rFonts w:ascii="Calibri" w:hAnsi="Calibri" w:cs="Calibri"/>
                <w:color w:val="000000"/>
                <w:sz w:val="22"/>
                <w:szCs w:val="22"/>
              </w:rPr>
            </w:pPr>
          </w:p>
        </w:tc>
      </w:tr>
      <w:tr w:rsidR="009B15A4" w:rsidRPr="009B15A4" w14:paraId="555FE1C2" w14:textId="77777777" w:rsidTr="003C1A67">
        <w:trPr>
          <w:trHeight w:val="266"/>
        </w:trPr>
        <w:tc>
          <w:tcPr>
            <w:tcW w:w="518" w:type="dxa"/>
            <w:vMerge/>
            <w:tcBorders>
              <w:left w:val="nil"/>
              <w:bottom w:val="nil"/>
              <w:right w:val="single" w:sz="8" w:space="0" w:color="auto"/>
            </w:tcBorders>
            <w:shd w:val="clear" w:color="auto" w:fill="auto"/>
            <w:noWrap/>
            <w:vAlign w:val="bottom"/>
            <w:hideMark/>
          </w:tcPr>
          <w:p w14:paraId="60915674" w14:textId="77777777" w:rsidR="009B15A4" w:rsidRPr="009B15A4" w:rsidRDefault="009B15A4" w:rsidP="009B15A4">
            <w:pPr>
              <w:keepLines w:val="0"/>
              <w:spacing w:after="0" w:line="240" w:lineRule="auto"/>
              <w:rPr>
                <w:rFonts w:ascii="Times New Roman" w:hAnsi="Times New Roman"/>
                <w:szCs w:val="20"/>
              </w:rPr>
            </w:pPr>
          </w:p>
        </w:tc>
        <w:tc>
          <w:tcPr>
            <w:tcW w:w="4210" w:type="dxa"/>
            <w:gridSpan w:val="3"/>
            <w:vMerge/>
            <w:tcBorders>
              <w:left w:val="single" w:sz="8" w:space="0" w:color="auto"/>
              <w:bottom w:val="single" w:sz="8" w:space="0" w:color="auto"/>
              <w:right w:val="single" w:sz="8" w:space="0" w:color="auto"/>
            </w:tcBorders>
            <w:shd w:val="clear" w:color="auto" w:fill="E2EFD9"/>
            <w:noWrap/>
            <w:vAlign w:val="bottom"/>
            <w:hideMark/>
          </w:tcPr>
          <w:p w14:paraId="42AE79FB" w14:textId="77777777" w:rsidR="009B15A4" w:rsidRPr="009B15A4" w:rsidRDefault="009B15A4" w:rsidP="009B15A4">
            <w:pPr>
              <w:keepLines w:val="0"/>
              <w:spacing w:after="0" w:line="240" w:lineRule="auto"/>
              <w:rPr>
                <w:rFonts w:ascii="Times New Roman" w:hAnsi="Times New Roman"/>
                <w:szCs w:val="20"/>
              </w:rPr>
            </w:pPr>
          </w:p>
        </w:tc>
        <w:tc>
          <w:tcPr>
            <w:tcW w:w="5911" w:type="dxa"/>
            <w:gridSpan w:val="3"/>
            <w:tcBorders>
              <w:top w:val="single" w:sz="8" w:space="0" w:color="auto"/>
              <w:left w:val="single" w:sz="8" w:space="0" w:color="auto"/>
              <w:bottom w:val="single" w:sz="4" w:space="0" w:color="auto"/>
              <w:right w:val="single" w:sz="8" w:space="0" w:color="auto"/>
            </w:tcBorders>
            <w:shd w:val="clear" w:color="auto" w:fill="FFE599"/>
            <w:vAlign w:val="center"/>
            <w:hideMark/>
          </w:tcPr>
          <w:p w14:paraId="3A8A63DB" w14:textId="6A28B729" w:rsidR="009B15A4" w:rsidRPr="009B15A4" w:rsidRDefault="009B15A4" w:rsidP="009B15A4">
            <w:pPr>
              <w:spacing w:after="0" w:line="240" w:lineRule="auto"/>
              <w:jc w:val="center"/>
              <w:rPr>
                <w:rFonts w:ascii="Calibri" w:hAnsi="Calibri" w:cs="Calibri"/>
                <w:b/>
                <w:bCs/>
                <w:color w:val="000000"/>
                <w:sz w:val="24"/>
              </w:rPr>
            </w:pPr>
            <w:r w:rsidRPr="009B15A4">
              <w:rPr>
                <w:rFonts w:ascii="Calibri" w:hAnsi="Calibri" w:cs="Calibri"/>
                <w:b/>
                <w:bCs/>
                <w:color w:val="000000"/>
                <w:sz w:val="24"/>
              </w:rPr>
              <w:t xml:space="preserve">Regional and </w:t>
            </w:r>
            <w:r w:rsidR="00ED026A">
              <w:rPr>
                <w:rFonts w:ascii="Calibri" w:hAnsi="Calibri" w:cs="Calibri"/>
                <w:b/>
                <w:bCs/>
                <w:color w:val="000000"/>
                <w:sz w:val="24"/>
              </w:rPr>
              <w:t>r</w:t>
            </w:r>
            <w:r w:rsidRPr="009B15A4">
              <w:rPr>
                <w:rFonts w:ascii="Calibri" w:hAnsi="Calibri" w:cs="Calibri"/>
                <w:b/>
                <w:bCs/>
                <w:color w:val="000000"/>
                <w:sz w:val="24"/>
              </w:rPr>
              <w:t xml:space="preserve">emote </w:t>
            </w:r>
            <w:r w:rsidR="00ED026A">
              <w:rPr>
                <w:rFonts w:ascii="Calibri" w:hAnsi="Calibri" w:cs="Calibri"/>
                <w:b/>
                <w:bCs/>
                <w:color w:val="000000"/>
                <w:sz w:val="24"/>
              </w:rPr>
              <w:t>A</w:t>
            </w:r>
            <w:r w:rsidRPr="009B15A4">
              <w:rPr>
                <w:rFonts w:ascii="Calibri" w:hAnsi="Calibri" w:cs="Calibri"/>
                <w:b/>
                <w:bCs/>
                <w:color w:val="000000"/>
                <w:sz w:val="24"/>
              </w:rPr>
              <w:t>ustralia</w:t>
            </w:r>
          </w:p>
          <w:p w14:paraId="6A25A1F2" w14:textId="77777777" w:rsidR="009B15A4" w:rsidRPr="009B15A4" w:rsidRDefault="009B15A4" w:rsidP="009B15A4">
            <w:pPr>
              <w:spacing w:after="0" w:line="240" w:lineRule="auto"/>
              <w:rPr>
                <w:rFonts w:ascii="Calibri" w:hAnsi="Calibri" w:cs="Calibri"/>
                <w:b/>
                <w:bCs/>
                <w:color w:val="000000"/>
                <w:sz w:val="24"/>
              </w:rPr>
            </w:pPr>
            <w:r w:rsidRPr="009B15A4">
              <w:rPr>
                <w:rFonts w:ascii="Calibri" w:hAnsi="Calibri" w:cs="Calibri"/>
                <w:color w:val="000000"/>
                <w:sz w:val="24"/>
              </w:rPr>
              <w:t> </w:t>
            </w:r>
          </w:p>
          <w:p w14:paraId="40C2B581" w14:textId="77777777" w:rsidR="009B15A4" w:rsidRPr="009B15A4" w:rsidRDefault="009B15A4" w:rsidP="009B15A4">
            <w:pPr>
              <w:keepLines w:val="0"/>
              <w:spacing w:after="0" w:line="240" w:lineRule="auto"/>
              <w:rPr>
                <w:rFonts w:cs="Arial"/>
                <w:color w:val="000000"/>
                <w:szCs w:val="20"/>
              </w:rPr>
            </w:pPr>
            <w:r w:rsidRPr="009B15A4">
              <w:rPr>
                <w:rFonts w:cs="Arial"/>
                <w:b/>
                <w:bCs/>
                <w:color w:val="000000"/>
                <w:szCs w:val="20"/>
              </w:rPr>
              <w:t>Planned uses:</w:t>
            </w:r>
            <w:r w:rsidRPr="009B15A4">
              <w:rPr>
                <w:rFonts w:cs="Arial"/>
                <w:color w:val="000000"/>
                <w:szCs w:val="20"/>
              </w:rPr>
              <w:t xml:space="preserve"> LA WBB, PTP</w:t>
            </w:r>
          </w:p>
          <w:p w14:paraId="08B9E19F" w14:textId="77777777" w:rsidR="009B15A4" w:rsidRPr="009B15A4" w:rsidRDefault="009B15A4" w:rsidP="009B15A4">
            <w:pPr>
              <w:keepLines w:val="0"/>
              <w:spacing w:after="0" w:line="240" w:lineRule="auto"/>
              <w:rPr>
                <w:rFonts w:cs="Arial"/>
                <w:color w:val="000000"/>
                <w:szCs w:val="20"/>
              </w:rPr>
            </w:pPr>
            <w:r w:rsidRPr="009B15A4">
              <w:rPr>
                <w:rFonts w:cs="Arial"/>
                <w:b/>
                <w:bCs/>
                <w:color w:val="000000"/>
                <w:szCs w:val="20"/>
              </w:rPr>
              <w:t>Licence type:</w:t>
            </w:r>
            <w:r w:rsidRPr="009B15A4">
              <w:rPr>
                <w:rFonts w:cs="Arial"/>
                <w:color w:val="000000"/>
                <w:szCs w:val="20"/>
              </w:rPr>
              <w:t xml:space="preserve"> Apparatus licence</w:t>
            </w:r>
          </w:p>
          <w:p w14:paraId="5E113660" w14:textId="77777777" w:rsidR="009B15A4" w:rsidRPr="009B15A4" w:rsidRDefault="009B15A4" w:rsidP="009B15A4">
            <w:pPr>
              <w:keepLines w:val="0"/>
              <w:spacing w:after="0" w:line="240" w:lineRule="auto"/>
              <w:rPr>
                <w:rFonts w:ascii="Calibri" w:hAnsi="Calibri" w:cs="Calibri"/>
                <w:b/>
                <w:bCs/>
                <w:color w:val="000000"/>
                <w:sz w:val="24"/>
              </w:rPr>
            </w:pPr>
          </w:p>
        </w:tc>
      </w:tr>
    </w:tbl>
    <w:p w14:paraId="45CFFFE8" w14:textId="77777777" w:rsidR="003D16A8" w:rsidRDefault="003D16A8" w:rsidP="003D16A8">
      <w:pPr>
        <w:rPr>
          <w:rFonts w:cs="Arial"/>
          <w:szCs w:val="20"/>
        </w:rPr>
      </w:pPr>
    </w:p>
    <w:p w14:paraId="1CE2C0F2" w14:textId="77777777" w:rsidR="003D16A8" w:rsidRDefault="003D16A8" w:rsidP="00FD2C90">
      <w:pPr>
        <w:pStyle w:val="Heading3"/>
        <w:keepLines w:val="0"/>
      </w:pPr>
      <w:r w:rsidRPr="00830FC6">
        <w:t>Changes by frequency segment</w:t>
      </w:r>
    </w:p>
    <w:p w14:paraId="4210D729" w14:textId="35826B36" w:rsidR="003D16A8" w:rsidRPr="00830FC6" w:rsidRDefault="003D16A8" w:rsidP="00FD2C90">
      <w:pPr>
        <w:pStyle w:val="Heading4"/>
        <w:keepLines w:val="0"/>
        <w:rPr>
          <w:b w:val="0"/>
          <w:bCs/>
          <w:szCs w:val="20"/>
        </w:rPr>
      </w:pPr>
      <w:r w:rsidRPr="00830FC6">
        <w:t>1880</w:t>
      </w:r>
      <w:r w:rsidR="00077503">
        <w:t>–</w:t>
      </w:r>
      <w:r w:rsidRPr="00830FC6">
        <w:t>1900 MHz</w:t>
      </w:r>
    </w:p>
    <w:p w14:paraId="5444609E" w14:textId="2C444871" w:rsidR="004C42AD" w:rsidRPr="00830FC6" w:rsidRDefault="004C42AD" w:rsidP="00FD2C90">
      <w:pPr>
        <w:pStyle w:val="ListBullet"/>
        <w:keepLines w:val="0"/>
      </w:pPr>
      <w:r>
        <w:t>Continue</w:t>
      </w:r>
      <w:r w:rsidRPr="00830FC6">
        <w:t xml:space="preserve"> </w:t>
      </w:r>
      <w:r>
        <w:t>exclusive</w:t>
      </w:r>
      <w:r w:rsidRPr="00830FC6">
        <w:t xml:space="preserve"> arrangements for </w:t>
      </w:r>
      <w:r>
        <w:t xml:space="preserve">SR WBB via </w:t>
      </w:r>
      <w:r w:rsidR="00077503">
        <w:t>c</w:t>
      </w:r>
      <w:r w:rsidRPr="00830FC6">
        <w:t xml:space="preserve">lass </w:t>
      </w:r>
      <w:r w:rsidR="00077503">
        <w:t>l</w:t>
      </w:r>
      <w:r w:rsidRPr="00830FC6">
        <w:t>icence</w:t>
      </w:r>
      <w:r>
        <w:t>s</w:t>
      </w:r>
      <w:r w:rsidR="004E78F1">
        <w:t>, which:</w:t>
      </w:r>
    </w:p>
    <w:p w14:paraId="5BDD25FE" w14:textId="529BCF52" w:rsidR="004C42AD" w:rsidRDefault="004C42AD" w:rsidP="00FD2C90">
      <w:pPr>
        <w:pStyle w:val="ListBullet2"/>
        <w:keepLines w:val="0"/>
      </w:pPr>
      <w:r w:rsidRPr="00830FC6">
        <w:t>support</w:t>
      </w:r>
      <w:r w:rsidR="004E78F1">
        <w:t xml:space="preserve"> use of</w:t>
      </w:r>
      <w:r>
        <w:t xml:space="preserve"> technologies such as</w:t>
      </w:r>
      <w:r w:rsidRPr="00830FC6">
        <w:t xml:space="preserve"> DECT</w:t>
      </w:r>
      <w:r w:rsidR="00A13647">
        <w:t xml:space="preserve"> and </w:t>
      </w:r>
      <w:r w:rsidRPr="00830FC6">
        <w:t>PHS</w:t>
      </w:r>
    </w:p>
    <w:p w14:paraId="42A7F7CB" w14:textId="3E6D6670" w:rsidR="003D16A8" w:rsidRPr="00830FC6" w:rsidRDefault="004E78F1" w:rsidP="00D51E3F">
      <w:pPr>
        <w:pStyle w:val="ListBullet2"/>
        <w:keepLines w:val="0"/>
        <w:spacing w:after="240"/>
        <w:rPr>
          <w:rFonts w:cs="Arial"/>
          <w:szCs w:val="20"/>
        </w:rPr>
      </w:pPr>
      <w:bookmarkStart w:id="120" w:name="_Hlk118731476"/>
      <w:r>
        <w:t xml:space="preserve">could </w:t>
      </w:r>
      <w:r w:rsidR="004C42AD" w:rsidRPr="00EE7780">
        <w:t xml:space="preserve">accommodate </w:t>
      </w:r>
      <w:r w:rsidR="004C42AD" w:rsidRPr="00B85436">
        <w:t>new technologies such as</w:t>
      </w:r>
      <w:r w:rsidR="00363EF0">
        <w:t xml:space="preserve"> future</w:t>
      </w:r>
      <w:r w:rsidR="004C42AD" w:rsidRPr="00B85436">
        <w:t xml:space="preserve"> </w:t>
      </w:r>
      <w:r w:rsidR="00056002" w:rsidDel="007145F8">
        <w:t xml:space="preserve">DECT </w:t>
      </w:r>
      <w:r w:rsidR="004C42AD" w:rsidRPr="00B85436">
        <w:t>and MulteFire, Australia</w:t>
      </w:r>
      <w:r w:rsidR="00ED026A">
        <w:t>-</w:t>
      </w:r>
      <w:r w:rsidR="004C42AD" w:rsidRPr="00B85436">
        <w:t>wide</w:t>
      </w:r>
      <w:r w:rsidR="00BE1532">
        <w:t xml:space="preserve"> pending </w:t>
      </w:r>
      <w:r w:rsidR="00F5317D">
        <w:t xml:space="preserve">a </w:t>
      </w:r>
      <w:r w:rsidR="00BE1532">
        <w:t>review of the class licence</w:t>
      </w:r>
      <w:bookmarkEnd w:id="120"/>
      <w:r>
        <w:t>.</w:t>
      </w:r>
    </w:p>
    <w:p w14:paraId="40D9FCFD" w14:textId="3DCAB537" w:rsidR="003D16A8" w:rsidRPr="00915142" w:rsidRDefault="003D16A8" w:rsidP="003D16A8">
      <w:pPr>
        <w:keepLines w:val="0"/>
        <w:spacing w:after="0" w:line="240" w:lineRule="auto"/>
        <w:rPr>
          <w:rFonts w:cs="Arial"/>
          <w:b/>
          <w:bCs/>
          <w:i/>
          <w:iCs/>
          <w:szCs w:val="20"/>
        </w:rPr>
      </w:pPr>
      <w:r w:rsidRPr="00915142">
        <w:rPr>
          <w:rFonts w:cs="Arial"/>
          <w:b/>
          <w:bCs/>
          <w:i/>
          <w:iCs/>
          <w:szCs w:val="20"/>
        </w:rPr>
        <w:t>1900</w:t>
      </w:r>
      <w:r w:rsidR="00077503">
        <w:rPr>
          <w:rFonts w:cs="Arial"/>
          <w:b/>
          <w:bCs/>
          <w:i/>
          <w:iCs/>
          <w:szCs w:val="20"/>
        </w:rPr>
        <w:t>–</w:t>
      </w:r>
      <w:r w:rsidRPr="00915142">
        <w:rPr>
          <w:rFonts w:cs="Arial"/>
          <w:b/>
          <w:bCs/>
          <w:i/>
          <w:iCs/>
          <w:szCs w:val="20"/>
        </w:rPr>
        <w:t>1920 MHz</w:t>
      </w:r>
    </w:p>
    <w:p w14:paraId="05CB5260" w14:textId="48A451FF" w:rsidR="003D16A8" w:rsidRPr="00830FC6" w:rsidRDefault="003D16A8" w:rsidP="00FD2C90">
      <w:pPr>
        <w:pStyle w:val="ListBullet"/>
        <w:keepLines w:val="0"/>
      </w:pPr>
      <w:r w:rsidRPr="00830FC6">
        <w:t>Continue shared</w:t>
      </w:r>
      <w:r>
        <w:t xml:space="preserve">, </w:t>
      </w:r>
      <w:r w:rsidRPr="00385FCC">
        <w:t>coordinated, first-in-time</w:t>
      </w:r>
      <w:r>
        <w:t xml:space="preserve"> </w:t>
      </w:r>
      <w:r w:rsidRPr="00830FC6">
        <w:t xml:space="preserve">arrangements for </w:t>
      </w:r>
      <w:r w:rsidR="00013E99">
        <w:t>PMP</w:t>
      </w:r>
      <w:r>
        <w:t xml:space="preserve"> and PTP services via </w:t>
      </w:r>
      <w:r w:rsidR="00077503">
        <w:t>a</w:t>
      </w:r>
      <w:r w:rsidRPr="00830FC6">
        <w:t xml:space="preserve">pparatus </w:t>
      </w:r>
      <w:r w:rsidR="00077503">
        <w:t>l</w:t>
      </w:r>
      <w:r w:rsidRPr="00830FC6">
        <w:t>icence</w:t>
      </w:r>
      <w:r>
        <w:t>s</w:t>
      </w:r>
      <w:r w:rsidR="004E78F1">
        <w:t>, which:</w:t>
      </w:r>
    </w:p>
    <w:p w14:paraId="6423E5E5" w14:textId="595B4F32" w:rsidR="003D16A8" w:rsidRPr="00830FC6" w:rsidRDefault="003D16A8" w:rsidP="00FD2C90">
      <w:pPr>
        <w:pStyle w:val="ListBullet2"/>
        <w:keepLines w:val="0"/>
      </w:pPr>
      <w:r w:rsidRPr="00830FC6">
        <w:t xml:space="preserve">support </w:t>
      </w:r>
      <w:r>
        <w:t>LA</w:t>
      </w:r>
      <w:r w:rsidRPr="00830FC6">
        <w:t xml:space="preserve"> WBB</w:t>
      </w:r>
      <w:r>
        <w:t xml:space="preserve"> </w:t>
      </w:r>
      <w:r w:rsidR="0070430D">
        <w:t>and</w:t>
      </w:r>
      <w:r w:rsidRPr="00830FC6">
        <w:t xml:space="preserve"> PTP</w:t>
      </w:r>
      <w:r>
        <w:t xml:space="preserve"> </w:t>
      </w:r>
      <w:r w:rsidRPr="00830FC6">
        <w:t xml:space="preserve">in regional and remote areas, </w:t>
      </w:r>
      <w:r>
        <w:t xml:space="preserve">with </w:t>
      </w:r>
      <w:r w:rsidRPr="00830FC6">
        <w:t>coordinated arrangements</w:t>
      </w:r>
      <w:r w:rsidR="0070430D">
        <w:t>.</w:t>
      </w:r>
      <w:r w:rsidRPr="00830FC6">
        <w:t xml:space="preserve"> </w:t>
      </w:r>
    </w:p>
    <w:p w14:paraId="06600972" w14:textId="77777777" w:rsidR="007472A5" w:rsidRDefault="007472A5">
      <w:pPr>
        <w:keepLines w:val="0"/>
        <w:spacing w:after="0" w:line="240" w:lineRule="auto"/>
        <w:rPr>
          <w:rFonts w:cs="Arial"/>
          <w:b/>
          <w:bCs/>
          <w:iCs/>
          <w:sz w:val="28"/>
          <w:szCs w:val="28"/>
        </w:rPr>
      </w:pPr>
      <w:bookmarkStart w:id="121" w:name="_Toc113626364"/>
      <w:bookmarkStart w:id="122" w:name="_Toc117870128"/>
      <w:bookmarkStart w:id="123" w:name="_Toc118785118"/>
      <w:r>
        <w:br w:type="page"/>
      </w:r>
    </w:p>
    <w:p w14:paraId="503764CC" w14:textId="33315393" w:rsidR="003D16A8" w:rsidRDefault="003D16A8" w:rsidP="00FD2C90">
      <w:pPr>
        <w:pStyle w:val="Heading2"/>
        <w:keepLines w:val="0"/>
      </w:pPr>
      <w:bookmarkStart w:id="124" w:name="_Toc120600053"/>
      <w:r w:rsidRPr="003428AC">
        <w:lastRenderedPageBreak/>
        <w:t xml:space="preserve">Option </w:t>
      </w:r>
      <w:r>
        <w:t>2</w:t>
      </w:r>
      <w:bookmarkEnd w:id="121"/>
      <w:r w:rsidR="00896B77">
        <w:t xml:space="preserve"> (</w:t>
      </w:r>
      <w:bookmarkStart w:id="125" w:name="_Hlk117863113"/>
      <w:r w:rsidR="00896B77">
        <w:t>expansion of SR WBB</w:t>
      </w:r>
      <w:bookmarkEnd w:id="125"/>
      <w:r w:rsidR="00896B77">
        <w:t>)</w:t>
      </w:r>
      <w:bookmarkEnd w:id="122"/>
      <w:bookmarkEnd w:id="123"/>
      <w:bookmarkEnd w:id="124"/>
    </w:p>
    <w:p w14:paraId="088CD218" w14:textId="62EA8950" w:rsidR="0078059A" w:rsidRDefault="003D16A8" w:rsidP="0078059A">
      <w:pPr>
        <w:pStyle w:val="Paragraph"/>
        <w:keepLines w:val="0"/>
      </w:pPr>
      <w:r w:rsidRPr="00576242">
        <w:t xml:space="preserve">Option </w:t>
      </w:r>
      <w:r>
        <w:t>2</w:t>
      </w:r>
      <w:r w:rsidRPr="00576242">
        <w:t xml:space="preserve"> </w:t>
      </w:r>
      <w:r>
        <w:t xml:space="preserve">maintains the existing </w:t>
      </w:r>
      <w:r w:rsidR="00FB48AC">
        <w:t xml:space="preserve">exclusive </w:t>
      </w:r>
      <w:r>
        <w:t>arrangement</w:t>
      </w:r>
      <w:r w:rsidR="00FB48AC">
        <w:t>s</w:t>
      </w:r>
      <w:r>
        <w:t xml:space="preserve"> </w:t>
      </w:r>
      <w:r w:rsidR="00FB48AC">
        <w:t xml:space="preserve">for SR WBB services </w:t>
      </w:r>
      <w:r w:rsidR="00080C04">
        <w:t xml:space="preserve">in </w:t>
      </w:r>
      <w:r w:rsidR="00077503">
        <w:br/>
      </w:r>
      <w:r w:rsidR="00080C04">
        <w:t xml:space="preserve">1880–1900 MHz </w:t>
      </w:r>
      <w:r>
        <w:t>whil</w:t>
      </w:r>
      <w:r w:rsidR="00FB48AC">
        <w:t xml:space="preserve">e also allowing SR WBB access </w:t>
      </w:r>
      <w:r>
        <w:t>to the 1</w:t>
      </w:r>
      <w:r w:rsidR="00FB48AC">
        <w:t>900</w:t>
      </w:r>
      <w:r w:rsidR="00077503">
        <w:t>–</w:t>
      </w:r>
      <w:r>
        <w:t>1920 MHz band</w:t>
      </w:r>
      <w:r w:rsidR="00FB48AC">
        <w:t xml:space="preserve"> on a shared basis</w:t>
      </w:r>
      <w:r>
        <w:t xml:space="preserve">. </w:t>
      </w:r>
    </w:p>
    <w:p w14:paraId="68641C5C" w14:textId="5AA2AE8F" w:rsidR="003D16A8" w:rsidRDefault="003D16A8" w:rsidP="00FD2C90">
      <w:pPr>
        <w:pStyle w:val="Paragraph"/>
        <w:keepLines w:val="0"/>
      </w:pPr>
      <w:r w:rsidRPr="00576242">
        <w:t>It m</w:t>
      </w:r>
      <w:r>
        <w:t xml:space="preserve">aintains </w:t>
      </w:r>
      <w:r w:rsidRPr="00576242">
        <w:t xml:space="preserve">arrangements for </w:t>
      </w:r>
      <w:r>
        <w:t>LA</w:t>
      </w:r>
      <w:r w:rsidRPr="00576242">
        <w:t xml:space="preserve"> </w:t>
      </w:r>
      <w:r>
        <w:t xml:space="preserve">WBB and PTP </w:t>
      </w:r>
      <w:r w:rsidRPr="00576242">
        <w:t xml:space="preserve">services in </w:t>
      </w:r>
      <w:r>
        <w:t>the</w:t>
      </w:r>
      <w:r w:rsidRPr="00576242">
        <w:t xml:space="preserve"> 1900</w:t>
      </w:r>
      <w:r w:rsidR="00077503">
        <w:t>–</w:t>
      </w:r>
      <w:r w:rsidRPr="00576242">
        <w:t xml:space="preserve">1920 MHz </w:t>
      </w:r>
      <w:r w:rsidR="00013E99">
        <w:t>frequency range</w:t>
      </w:r>
      <w:r w:rsidR="00013E99" w:rsidRPr="00576242" w:rsidDel="00013E99">
        <w:t xml:space="preserve"> </w:t>
      </w:r>
      <w:r>
        <w:t>with</w:t>
      </w:r>
      <w:r w:rsidR="00FB48AC">
        <w:t>in the currently allowed</w:t>
      </w:r>
      <w:r>
        <w:t xml:space="preserve"> geographic </w:t>
      </w:r>
      <w:r w:rsidR="00FB48AC">
        <w:t>area</w:t>
      </w:r>
      <w:r>
        <w:t>. These arrangements are illustrated in Figure 3.</w:t>
      </w:r>
    </w:p>
    <w:p w14:paraId="63A0EFA1" w14:textId="54D65846" w:rsidR="003D16A8" w:rsidRPr="00590CBD" w:rsidRDefault="003D16A8" w:rsidP="00FD2C90">
      <w:pPr>
        <w:pStyle w:val="Figureheading"/>
        <w:keepNext w:val="0"/>
      </w:pPr>
      <w:r>
        <w:t xml:space="preserve"> </w:t>
      </w:r>
      <w:r w:rsidRPr="009E3CEE">
        <w:t xml:space="preserve">Illustration of Option </w:t>
      </w:r>
      <w:r>
        <w:t>2</w:t>
      </w:r>
      <w:r w:rsidR="00222F21">
        <w:t xml:space="preserve"> (expansion of SR WBB)</w:t>
      </w:r>
    </w:p>
    <w:tbl>
      <w:tblPr>
        <w:tblpPr w:leftFromText="180" w:rightFromText="180" w:vertAnchor="text" w:horzAnchor="page" w:tblpX="406" w:tblpY="105"/>
        <w:tblW w:w="10639" w:type="dxa"/>
        <w:tblLayout w:type="fixed"/>
        <w:tblLook w:val="04A0" w:firstRow="1" w:lastRow="0" w:firstColumn="1" w:lastColumn="0" w:noHBand="0" w:noVBand="1"/>
        <w:tblDescription w:val="Figure 3: Illustration of Option 2 (expansion of SR WBB)"/>
      </w:tblPr>
      <w:tblGrid>
        <w:gridCol w:w="576"/>
        <w:gridCol w:w="2506"/>
        <w:gridCol w:w="2498"/>
        <w:gridCol w:w="2529"/>
        <w:gridCol w:w="2530"/>
      </w:tblGrid>
      <w:tr w:rsidR="00B036C7" w:rsidRPr="00B036C7" w14:paraId="714478BC" w14:textId="77777777" w:rsidTr="008A65A2">
        <w:trPr>
          <w:trHeight w:val="1124"/>
        </w:trPr>
        <w:tc>
          <w:tcPr>
            <w:tcW w:w="576" w:type="dxa"/>
            <w:tcBorders>
              <w:top w:val="nil"/>
              <w:left w:val="nil"/>
              <w:bottom w:val="nil"/>
              <w:right w:val="nil"/>
            </w:tcBorders>
            <w:shd w:val="clear" w:color="auto" w:fill="auto"/>
            <w:noWrap/>
            <w:textDirection w:val="btLr"/>
            <w:vAlign w:val="bottom"/>
            <w:hideMark/>
          </w:tcPr>
          <w:p w14:paraId="7FEE61BA" w14:textId="77777777" w:rsidR="00B036C7" w:rsidRPr="00B036C7" w:rsidRDefault="00B036C7" w:rsidP="00B036C7">
            <w:pPr>
              <w:keepLines w:val="0"/>
              <w:spacing w:after="0" w:line="240" w:lineRule="auto"/>
              <w:jc w:val="right"/>
              <w:rPr>
                <w:rFonts w:ascii="Calibri" w:hAnsi="Calibri" w:cs="Calibri"/>
                <w:b/>
                <w:bCs/>
                <w:color w:val="000000"/>
                <w:sz w:val="22"/>
                <w:szCs w:val="22"/>
              </w:rPr>
            </w:pPr>
            <w:r w:rsidRPr="00B036C7">
              <w:rPr>
                <w:rFonts w:ascii="Calibri" w:hAnsi="Calibri" w:cs="Calibri"/>
                <w:b/>
                <w:bCs/>
                <w:color w:val="000000"/>
                <w:sz w:val="22"/>
                <w:szCs w:val="22"/>
              </w:rPr>
              <w:t>1880 MHz</w:t>
            </w:r>
          </w:p>
        </w:tc>
        <w:tc>
          <w:tcPr>
            <w:tcW w:w="2506" w:type="dxa"/>
            <w:tcBorders>
              <w:top w:val="nil"/>
              <w:left w:val="nil"/>
              <w:bottom w:val="single" w:sz="8" w:space="0" w:color="auto"/>
              <w:right w:val="nil"/>
            </w:tcBorders>
            <w:shd w:val="clear" w:color="auto" w:fill="auto"/>
            <w:textDirection w:val="btLr"/>
            <w:vAlign w:val="bottom"/>
            <w:hideMark/>
          </w:tcPr>
          <w:p w14:paraId="77280C96" w14:textId="77777777" w:rsidR="00B036C7" w:rsidRPr="00B036C7" w:rsidRDefault="00B036C7" w:rsidP="00B036C7">
            <w:pPr>
              <w:keepLines w:val="0"/>
              <w:spacing w:after="0" w:line="240" w:lineRule="auto"/>
              <w:jc w:val="right"/>
              <w:rPr>
                <w:rFonts w:ascii="Calibri" w:hAnsi="Calibri" w:cs="Calibri"/>
                <w:b/>
                <w:bCs/>
                <w:color w:val="000000"/>
                <w:sz w:val="22"/>
                <w:szCs w:val="22"/>
              </w:rPr>
            </w:pPr>
          </w:p>
        </w:tc>
        <w:tc>
          <w:tcPr>
            <w:tcW w:w="2498" w:type="dxa"/>
            <w:tcBorders>
              <w:top w:val="nil"/>
              <w:left w:val="nil"/>
              <w:bottom w:val="single" w:sz="8" w:space="0" w:color="auto"/>
              <w:right w:val="nil"/>
            </w:tcBorders>
            <w:shd w:val="clear" w:color="auto" w:fill="auto"/>
            <w:textDirection w:val="btLr"/>
            <w:vAlign w:val="bottom"/>
            <w:hideMark/>
          </w:tcPr>
          <w:p w14:paraId="5677C59C" w14:textId="77777777" w:rsidR="00B036C7" w:rsidRPr="00B036C7" w:rsidRDefault="00B036C7" w:rsidP="00B036C7">
            <w:pPr>
              <w:keepLines w:val="0"/>
              <w:spacing w:after="0" w:line="240" w:lineRule="auto"/>
              <w:jc w:val="right"/>
              <w:rPr>
                <w:rFonts w:ascii="Calibri" w:hAnsi="Calibri" w:cs="Calibri"/>
                <w:b/>
                <w:bCs/>
                <w:color w:val="000000"/>
                <w:sz w:val="22"/>
                <w:szCs w:val="22"/>
              </w:rPr>
            </w:pPr>
            <w:r w:rsidRPr="00B036C7">
              <w:rPr>
                <w:rFonts w:ascii="Calibri" w:hAnsi="Calibri" w:cs="Calibri"/>
                <w:b/>
                <w:bCs/>
                <w:color w:val="000000"/>
                <w:sz w:val="22"/>
                <w:szCs w:val="22"/>
              </w:rPr>
              <w:t>1900 MHz</w:t>
            </w:r>
          </w:p>
        </w:tc>
        <w:tc>
          <w:tcPr>
            <w:tcW w:w="2529" w:type="dxa"/>
            <w:tcBorders>
              <w:top w:val="nil"/>
              <w:left w:val="nil"/>
              <w:bottom w:val="single" w:sz="4" w:space="0" w:color="auto"/>
            </w:tcBorders>
            <w:shd w:val="clear" w:color="auto" w:fill="auto"/>
            <w:textDirection w:val="btLr"/>
            <w:vAlign w:val="bottom"/>
          </w:tcPr>
          <w:p w14:paraId="4BE4D9E6" w14:textId="77777777" w:rsidR="00B036C7" w:rsidRPr="00B036C7" w:rsidRDefault="00B036C7" w:rsidP="00B036C7">
            <w:pPr>
              <w:keepLines w:val="0"/>
              <w:spacing w:after="0" w:line="240" w:lineRule="auto"/>
              <w:jc w:val="right"/>
              <w:rPr>
                <w:rFonts w:ascii="Calibri" w:hAnsi="Calibri" w:cs="Calibri"/>
                <w:b/>
                <w:bCs/>
                <w:color w:val="000000"/>
                <w:sz w:val="22"/>
                <w:szCs w:val="22"/>
              </w:rPr>
            </w:pPr>
            <w:r w:rsidRPr="00B036C7">
              <w:rPr>
                <w:rFonts w:ascii="Calibri" w:hAnsi="Calibri" w:cs="Calibri"/>
                <w:b/>
                <w:bCs/>
                <w:color w:val="000000"/>
                <w:sz w:val="22"/>
                <w:szCs w:val="22"/>
              </w:rPr>
              <w:t>1910 MHz</w:t>
            </w:r>
          </w:p>
        </w:tc>
        <w:tc>
          <w:tcPr>
            <w:tcW w:w="2530" w:type="dxa"/>
            <w:tcBorders>
              <w:top w:val="nil"/>
              <w:bottom w:val="single" w:sz="4" w:space="0" w:color="auto"/>
              <w:right w:val="nil"/>
            </w:tcBorders>
            <w:shd w:val="clear" w:color="auto" w:fill="auto"/>
            <w:textDirection w:val="btLr"/>
            <w:vAlign w:val="bottom"/>
            <w:hideMark/>
          </w:tcPr>
          <w:p w14:paraId="2588196F" w14:textId="77777777" w:rsidR="00B036C7" w:rsidRPr="00B036C7" w:rsidRDefault="00B036C7" w:rsidP="00B036C7">
            <w:pPr>
              <w:keepLines w:val="0"/>
              <w:spacing w:after="0" w:line="240" w:lineRule="auto"/>
              <w:jc w:val="right"/>
              <w:rPr>
                <w:rFonts w:ascii="Calibri" w:hAnsi="Calibri" w:cs="Calibri"/>
                <w:b/>
                <w:bCs/>
                <w:color w:val="000000"/>
                <w:sz w:val="22"/>
                <w:szCs w:val="22"/>
              </w:rPr>
            </w:pPr>
            <w:r w:rsidRPr="00B036C7">
              <w:rPr>
                <w:rFonts w:ascii="Calibri" w:hAnsi="Calibri" w:cs="Calibri"/>
                <w:b/>
                <w:bCs/>
                <w:color w:val="000000"/>
                <w:sz w:val="22"/>
                <w:szCs w:val="22"/>
              </w:rPr>
              <w:t>1920 MHz</w:t>
            </w:r>
          </w:p>
        </w:tc>
      </w:tr>
      <w:tr w:rsidR="00B036C7" w:rsidRPr="00B036C7" w14:paraId="61555884" w14:textId="77777777" w:rsidTr="00B036C7">
        <w:trPr>
          <w:trHeight w:val="266"/>
        </w:trPr>
        <w:tc>
          <w:tcPr>
            <w:tcW w:w="576" w:type="dxa"/>
            <w:tcBorders>
              <w:top w:val="nil"/>
              <w:left w:val="nil"/>
              <w:bottom w:val="nil"/>
              <w:right w:val="single" w:sz="8" w:space="0" w:color="auto"/>
            </w:tcBorders>
            <w:shd w:val="clear" w:color="auto" w:fill="auto"/>
            <w:noWrap/>
            <w:vAlign w:val="bottom"/>
          </w:tcPr>
          <w:p w14:paraId="6AD8B416" w14:textId="77777777" w:rsidR="00B036C7" w:rsidRPr="00B036C7" w:rsidRDefault="00B036C7" w:rsidP="00B036C7">
            <w:pPr>
              <w:keepLines w:val="0"/>
              <w:spacing w:after="0" w:line="240" w:lineRule="auto"/>
              <w:rPr>
                <w:rFonts w:ascii="Calibri" w:hAnsi="Calibri" w:cs="Calibri"/>
                <w:b/>
                <w:bCs/>
                <w:color w:val="000000"/>
                <w:sz w:val="22"/>
                <w:szCs w:val="22"/>
              </w:rPr>
            </w:pPr>
          </w:p>
        </w:tc>
        <w:tc>
          <w:tcPr>
            <w:tcW w:w="5004" w:type="dxa"/>
            <w:gridSpan w:val="2"/>
            <w:vMerge w:val="restart"/>
            <w:tcBorders>
              <w:top w:val="single" w:sz="8" w:space="0" w:color="auto"/>
              <w:left w:val="single" w:sz="8" w:space="0" w:color="auto"/>
              <w:right w:val="single" w:sz="8" w:space="0" w:color="auto"/>
            </w:tcBorders>
            <w:shd w:val="clear" w:color="auto" w:fill="E2EFD9"/>
          </w:tcPr>
          <w:p w14:paraId="1681B07F" w14:textId="2E0F7E64" w:rsidR="00B036C7" w:rsidRPr="00B036C7" w:rsidRDefault="00B036C7" w:rsidP="00B036C7">
            <w:pPr>
              <w:keepLines w:val="0"/>
              <w:spacing w:after="0" w:line="240" w:lineRule="auto"/>
              <w:jc w:val="center"/>
              <w:rPr>
                <w:rFonts w:ascii="Calibri" w:hAnsi="Calibri" w:cs="Calibri"/>
                <w:b/>
                <w:bCs/>
                <w:color w:val="000000"/>
                <w:sz w:val="24"/>
              </w:rPr>
            </w:pPr>
            <w:r w:rsidRPr="00B036C7">
              <w:rPr>
                <w:rFonts w:ascii="Calibri" w:hAnsi="Calibri" w:cs="Calibri"/>
                <w:b/>
                <w:bCs/>
                <w:color w:val="000000"/>
                <w:sz w:val="24"/>
              </w:rPr>
              <w:t>Australia</w:t>
            </w:r>
            <w:r w:rsidR="00ED026A">
              <w:rPr>
                <w:rFonts w:ascii="Calibri" w:hAnsi="Calibri" w:cs="Calibri"/>
                <w:b/>
                <w:bCs/>
                <w:color w:val="000000"/>
                <w:sz w:val="24"/>
              </w:rPr>
              <w:t>-w</w:t>
            </w:r>
            <w:r w:rsidRPr="00B036C7">
              <w:rPr>
                <w:rFonts w:ascii="Calibri" w:hAnsi="Calibri" w:cs="Calibri"/>
                <w:b/>
                <w:bCs/>
                <w:color w:val="000000"/>
                <w:sz w:val="24"/>
              </w:rPr>
              <w:t>ide</w:t>
            </w:r>
          </w:p>
          <w:p w14:paraId="085CBF66" w14:textId="77777777" w:rsidR="00B036C7" w:rsidRPr="00B036C7" w:rsidRDefault="00B036C7" w:rsidP="00B036C7">
            <w:pPr>
              <w:keepLines w:val="0"/>
              <w:spacing w:after="0" w:line="240" w:lineRule="auto"/>
              <w:rPr>
                <w:rFonts w:cs="Arial"/>
                <w:b/>
                <w:bCs/>
                <w:color w:val="000000"/>
                <w:szCs w:val="20"/>
              </w:rPr>
            </w:pPr>
          </w:p>
          <w:p w14:paraId="69275590" w14:textId="77777777" w:rsidR="00B036C7" w:rsidRPr="00B036C7" w:rsidRDefault="00B036C7" w:rsidP="00B036C7">
            <w:pPr>
              <w:keepLines w:val="0"/>
              <w:spacing w:after="0" w:line="240" w:lineRule="auto"/>
              <w:rPr>
                <w:rFonts w:cs="Arial"/>
                <w:b/>
                <w:bCs/>
                <w:color w:val="000000"/>
                <w:szCs w:val="20"/>
              </w:rPr>
            </w:pPr>
          </w:p>
          <w:p w14:paraId="250A6748" w14:textId="77777777" w:rsidR="00B036C7" w:rsidRPr="00B036C7" w:rsidRDefault="00B036C7" w:rsidP="00B036C7">
            <w:pPr>
              <w:keepLines w:val="0"/>
              <w:spacing w:after="0" w:line="240" w:lineRule="auto"/>
              <w:rPr>
                <w:rFonts w:cs="Arial"/>
                <w:b/>
                <w:bCs/>
                <w:color w:val="000000"/>
                <w:szCs w:val="20"/>
              </w:rPr>
            </w:pPr>
          </w:p>
          <w:p w14:paraId="1B28F333" w14:textId="5F5BC289" w:rsidR="00B036C7" w:rsidRDefault="00B036C7" w:rsidP="00B036C7">
            <w:pPr>
              <w:keepLines w:val="0"/>
              <w:spacing w:after="0" w:line="240" w:lineRule="auto"/>
              <w:rPr>
                <w:rFonts w:cs="Arial"/>
                <w:b/>
                <w:bCs/>
                <w:color w:val="000000"/>
                <w:szCs w:val="20"/>
              </w:rPr>
            </w:pPr>
          </w:p>
          <w:p w14:paraId="5E42FDB3" w14:textId="77777777" w:rsidR="00B036C7" w:rsidRPr="00B036C7" w:rsidRDefault="00B036C7" w:rsidP="00B036C7">
            <w:pPr>
              <w:keepLines w:val="0"/>
              <w:spacing w:after="0" w:line="240" w:lineRule="auto"/>
              <w:rPr>
                <w:rFonts w:cs="Arial"/>
                <w:b/>
                <w:bCs/>
                <w:color w:val="000000"/>
                <w:szCs w:val="20"/>
              </w:rPr>
            </w:pPr>
          </w:p>
          <w:p w14:paraId="0D06AE4B" w14:textId="77777777" w:rsidR="00B036C7" w:rsidRPr="00B036C7" w:rsidRDefault="00B036C7" w:rsidP="00B036C7">
            <w:pPr>
              <w:keepLines w:val="0"/>
              <w:spacing w:after="0" w:line="240" w:lineRule="auto"/>
              <w:rPr>
                <w:rFonts w:cs="Arial"/>
                <w:color w:val="000000"/>
                <w:szCs w:val="20"/>
              </w:rPr>
            </w:pPr>
            <w:r w:rsidRPr="00B036C7">
              <w:rPr>
                <w:rFonts w:cs="Arial"/>
                <w:b/>
                <w:bCs/>
                <w:color w:val="000000"/>
                <w:szCs w:val="20"/>
              </w:rPr>
              <w:t>Planned uses:</w:t>
            </w:r>
            <w:r w:rsidRPr="00B036C7">
              <w:rPr>
                <w:rFonts w:cs="Arial"/>
                <w:color w:val="000000"/>
                <w:szCs w:val="20"/>
              </w:rPr>
              <w:t xml:space="preserve"> SR WBB</w:t>
            </w:r>
          </w:p>
          <w:p w14:paraId="545920A7" w14:textId="77777777" w:rsidR="00B036C7" w:rsidRPr="00B036C7" w:rsidRDefault="00B036C7" w:rsidP="00B036C7">
            <w:pPr>
              <w:spacing w:after="0" w:line="240" w:lineRule="auto"/>
              <w:rPr>
                <w:rFonts w:ascii="Calibri" w:hAnsi="Calibri" w:cs="Calibri"/>
                <w:b/>
                <w:bCs/>
                <w:color w:val="000000"/>
                <w:sz w:val="24"/>
              </w:rPr>
            </w:pPr>
            <w:r w:rsidRPr="00B036C7">
              <w:rPr>
                <w:rFonts w:cs="Arial"/>
                <w:b/>
                <w:bCs/>
                <w:color w:val="000000"/>
                <w:szCs w:val="20"/>
              </w:rPr>
              <w:t>Licence type:</w:t>
            </w:r>
            <w:r w:rsidRPr="00B036C7">
              <w:rPr>
                <w:rFonts w:cs="Arial"/>
                <w:color w:val="000000"/>
                <w:szCs w:val="20"/>
              </w:rPr>
              <w:t xml:space="preserve"> Class licence</w:t>
            </w:r>
          </w:p>
        </w:tc>
        <w:tc>
          <w:tcPr>
            <w:tcW w:w="5059" w:type="dxa"/>
            <w:gridSpan w:val="2"/>
            <w:vMerge w:val="restart"/>
            <w:tcBorders>
              <w:top w:val="single" w:sz="8" w:space="0" w:color="auto"/>
              <w:left w:val="single" w:sz="8" w:space="0" w:color="auto"/>
              <w:bottom w:val="single" w:sz="4" w:space="0" w:color="auto"/>
              <w:right w:val="single" w:sz="8" w:space="0" w:color="auto"/>
            </w:tcBorders>
            <w:shd w:val="clear" w:color="auto" w:fill="D9D9D9"/>
          </w:tcPr>
          <w:p w14:paraId="7A46835A" w14:textId="23707F06" w:rsidR="00B036C7" w:rsidRPr="00B036C7" w:rsidRDefault="00B036C7" w:rsidP="00B036C7">
            <w:pPr>
              <w:keepLines w:val="0"/>
              <w:spacing w:after="0" w:line="240" w:lineRule="auto"/>
              <w:jc w:val="center"/>
              <w:rPr>
                <w:rFonts w:ascii="Calibri" w:hAnsi="Calibri" w:cs="Calibri"/>
                <w:b/>
                <w:bCs/>
                <w:color w:val="000000"/>
                <w:sz w:val="24"/>
              </w:rPr>
            </w:pPr>
            <w:r w:rsidRPr="00B036C7">
              <w:rPr>
                <w:rFonts w:ascii="Calibri" w:hAnsi="Calibri" w:cs="Calibri"/>
                <w:b/>
                <w:bCs/>
                <w:color w:val="000000"/>
                <w:sz w:val="24"/>
              </w:rPr>
              <w:t xml:space="preserve">Metropolitan </w:t>
            </w:r>
            <w:r w:rsidR="00ED026A">
              <w:rPr>
                <w:rFonts w:ascii="Calibri" w:hAnsi="Calibri" w:cs="Calibri"/>
                <w:b/>
                <w:bCs/>
                <w:color w:val="000000"/>
                <w:sz w:val="24"/>
              </w:rPr>
              <w:t>a</w:t>
            </w:r>
            <w:r w:rsidRPr="00B036C7">
              <w:rPr>
                <w:rFonts w:ascii="Calibri" w:hAnsi="Calibri" w:cs="Calibri"/>
                <w:b/>
                <w:bCs/>
                <w:color w:val="000000"/>
                <w:sz w:val="24"/>
              </w:rPr>
              <w:t>rea</w:t>
            </w:r>
          </w:p>
          <w:p w14:paraId="7E2A07FB" w14:textId="77777777" w:rsidR="00B036C7" w:rsidRPr="00B036C7" w:rsidRDefault="00B036C7" w:rsidP="00B036C7">
            <w:pPr>
              <w:keepLines w:val="0"/>
              <w:spacing w:after="0" w:line="240" w:lineRule="auto"/>
              <w:rPr>
                <w:rFonts w:ascii="Calibri" w:hAnsi="Calibri" w:cs="Calibri"/>
                <w:b/>
                <w:bCs/>
                <w:color w:val="000000"/>
                <w:sz w:val="24"/>
              </w:rPr>
            </w:pPr>
          </w:p>
          <w:p w14:paraId="2D8124CA" w14:textId="77777777" w:rsidR="00B036C7" w:rsidRPr="00B036C7" w:rsidRDefault="00B036C7" w:rsidP="00B036C7">
            <w:pPr>
              <w:keepLines w:val="0"/>
              <w:spacing w:after="0" w:line="240" w:lineRule="auto"/>
              <w:rPr>
                <w:rFonts w:cs="Arial"/>
                <w:color w:val="000000"/>
                <w:szCs w:val="20"/>
              </w:rPr>
            </w:pPr>
            <w:r w:rsidRPr="00B036C7">
              <w:rPr>
                <w:rFonts w:cs="Arial"/>
                <w:b/>
                <w:bCs/>
                <w:color w:val="000000"/>
                <w:szCs w:val="20"/>
              </w:rPr>
              <w:t>Planned uses:</w:t>
            </w:r>
            <w:r w:rsidRPr="00B036C7">
              <w:rPr>
                <w:rFonts w:cs="Arial"/>
                <w:color w:val="000000"/>
                <w:szCs w:val="20"/>
              </w:rPr>
              <w:t xml:space="preserve"> SR WBB</w:t>
            </w:r>
          </w:p>
          <w:p w14:paraId="4E6D35EB" w14:textId="77777777" w:rsidR="00B036C7" w:rsidRPr="00B036C7" w:rsidRDefault="00B036C7" w:rsidP="00B036C7">
            <w:pPr>
              <w:keepLines w:val="0"/>
              <w:spacing w:after="0" w:line="240" w:lineRule="auto"/>
              <w:rPr>
                <w:rFonts w:cs="Arial"/>
                <w:color w:val="000000"/>
                <w:szCs w:val="20"/>
              </w:rPr>
            </w:pPr>
            <w:r w:rsidRPr="00B036C7">
              <w:rPr>
                <w:rFonts w:cs="Arial"/>
                <w:b/>
                <w:bCs/>
                <w:color w:val="000000"/>
                <w:szCs w:val="20"/>
              </w:rPr>
              <w:t>Licence type:</w:t>
            </w:r>
            <w:r w:rsidRPr="00B036C7">
              <w:rPr>
                <w:rFonts w:cs="Arial"/>
                <w:color w:val="000000"/>
                <w:szCs w:val="20"/>
              </w:rPr>
              <w:t xml:space="preserve"> Class licence</w:t>
            </w:r>
          </w:p>
          <w:p w14:paraId="4EBA5EB9" w14:textId="77777777" w:rsidR="00B036C7" w:rsidRPr="00B036C7" w:rsidRDefault="00B036C7" w:rsidP="00B036C7">
            <w:pPr>
              <w:keepLines w:val="0"/>
              <w:spacing w:after="0" w:line="240" w:lineRule="auto"/>
              <w:rPr>
                <w:rFonts w:cs="Arial"/>
                <w:color w:val="000000"/>
                <w:szCs w:val="20"/>
              </w:rPr>
            </w:pPr>
          </w:p>
          <w:p w14:paraId="5ED0BDB1" w14:textId="77777777" w:rsidR="00B036C7" w:rsidRPr="00B036C7" w:rsidRDefault="00B036C7" w:rsidP="00B036C7">
            <w:pPr>
              <w:keepLines w:val="0"/>
              <w:spacing w:after="0" w:line="240" w:lineRule="auto"/>
              <w:rPr>
                <w:rFonts w:cs="Arial"/>
                <w:color w:val="000000"/>
                <w:szCs w:val="20"/>
              </w:rPr>
            </w:pPr>
          </w:p>
          <w:p w14:paraId="090A0B04" w14:textId="77777777" w:rsidR="00B036C7" w:rsidRPr="00B036C7" w:rsidRDefault="00B036C7" w:rsidP="00B036C7">
            <w:pPr>
              <w:keepLines w:val="0"/>
              <w:spacing w:after="0" w:line="240" w:lineRule="auto"/>
              <w:rPr>
                <w:rFonts w:ascii="Calibri" w:hAnsi="Calibri" w:cs="Calibri"/>
                <w:b/>
                <w:bCs/>
                <w:color w:val="000000"/>
                <w:sz w:val="24"/>
              </w:rPr>
            </w:pPr>
          </w:p>
        </w:tc>
      </w:tr>
      <w:tr w:rsidR="00B036C7" w:rsidRPr="00B036C7" w14:paraId="06D163FF" w14:textId="77777777" w:rsidTr="00B036C7">
        <w:trPr>
          <w:trHeight w:val="984"/>
        </w:trPr>
        <w:tc>
          <w:tcPr>
            <w:tcW w:w="576" w:type="dxa"/>
            <w:vMerge w:val="restart"/>
            <w:tcBorders>
              <w:top w:val="nil"/>
              <w:left w:val="nil"/>
              <w:bottom w:val="nil"/>
              <w:right w:val="nil"/>
            </w:tcBorders>
            <w:shd w:val="clear" w:color="auto" w:fill="auto"/>
            <w:noWrap/>
            <w:vAlign w:val="bottom"/>
            <w:hideMark/>
          </w:tcPr>
          <w:p w14:paraId="2231A568" w14:textId="77777777" w:rsidR="00B036C7" w:rsidRPr="00B036C7" w:rsidRDefault="00B036C7" w:rsidP="00B036C7">
            <w:pPr>
              <w:keepLines w:val="0"/>
              <w:spacing w:after="0" w:line="240" w:lineRule="auto"/>
              <w:rPr>
                <w:rFonts w:ascii="Times New Roman" w:hAnsi="Times New Roman"/>
                <w:szCs w:val="20"/>
              </w:rPr>
            </w:pPr>
          </w:p>
        </w:tc>
        <w:tc>
          <w:tcPr>
            <w:tcW w:w="5004" w:type="dxa"/>
            <w:gridSpan w:val="2"/>
            <w:vMerge/>
            <w:tcBorders>
              <w:left w:val="single" w:sz="8" w:space="0" w:color="auto"/>
              <w:right w:val="single" w:sz="8" w:space="0" w:color="auto"/>
            </w:tcBorders>
            <w:shd w:val="clear" w:color="auto" w:fill="E2EFD9"/>
            <w:noWrap/>
            <w:hideMark/>
          </w:tcPr>
          <w:p w14:paraId="65A35E5F" w14:textId="77777777" w:rsidR="00B036C7" w:rsidRPr="00B036C7" w:rsidRDefault="00B036C7" w:rsidP="00B036C7">
            <w:pPr>
              <w:keepLines w:val="0"/>
              <w:spacing w:after="0" w:line="240" w:lineRule="auto"/>
              <w:rPr>
                <w:rFonts w:ascii="Calibri" w:hAnsi="Calibri" w:cs="Calibri"/>
                <w:color w:val="000000"/>
                <w:sz w:val="24"/>
              </w:rPr>
            </w:pPr>
          </w:p>
        </w:tc>
        <w:tc>
          <w:tcPr>
            <w:tcW w:w="5059" w:type="dxa"/>
            <w:gridSpan w:val="2"/>
            <w:vMerge/>
            <w:tcBorders>
              <w:top w:val="single" w:sz="4" w:space="0" w:color="auto"/>
              <w:left w:val="single" w:sz="8" w:space="0" w:color="auto"/>
              <w:bottom w:val="single" w:sz="8" w:space="0" w:color="auto"/>
              <w:right w:val="single" w:sz="8" w:space="0" w:color="auto"/>
            </w:tcBorders>
            <w:shd w:val="clear" w:color="auto" w:fill="D9D9D9"/>
            <w:noWrap/>
            <w:vAlign w:val="bottom"/>
          </w:tcPr>
          <w:p w14:paraId="47684950" w14:textId="77777777" w:rsidR="00B036C7" w:rsidRPr="00B036C7" w:rsidRDefault="00B036C7" w:rsidP="00B036C7">
            <w:pPr>
              <w:spacing w:after="0" w:line="240" w:lineRule="auto"/>
              <w:rPr>
                <w:rFonts w:ascii="Calibri" w:hAnsi="Calibri" w:cs="Calibri"/>
                <w:color w:val="000000"/>
                <w:sz w:val="22"/>
                <w:szCs w:val="22"/>
              </w:rPr>
            </w:pPr>
          </w:p>
        </w:tc>
      </w:tr>
      <w:tr w:rsidR="00B036C7" w:rsidRPr="00B036C7" w14:paraId="08FCDF29" w14:textId="77777777" w:rsidTr="00B036C7">
        <w:trPr>
          <w:trHeight w:val="1718"/>
        </w:trPr>
        <w:tc>
          <w:tcPr>
            <w:tcW w:w="576" w:type="dxa"/>
            <w:vMerge/>
            <w:tcBorders>
              <w:left w:val="nil"/>
              <w:bottom w:val="nil"/>
              <w:right w:val="single" w:sz="8" w:space="0" w:color="auto"/>
            </w:tcBorders>
            <w:shd w:val="clear" w:color="auto" w:fill="auto"/>
            <w:noWrap/>
            <w:vAlign w:val="bottom"/>
            <w:hideMark/>
          </w:tcPr>
          <w:p w14:paraId="29F5F0A0" w14:textId="77777777" w:rsidR="00B036C7" w:rsidRPr="00B036C7" w:rsidRDefault="00B036C7" w:rsidP="00B036C7">
            <w:pPr>
              <w:keepLines w:val="0"/>
              <w:spacing w:after="0" w:line="240" w:lineRule="auto"/>
              <w:rPr>
                <w:rFonts w:ascii="Times New Roman" w:hAnsi="Times New Roman"/>
                <w:szCs w:val="20"/>
              </w:rPr>
            </w:pPr>
          </w:p>
        </w:tc>
        <w:tc>
          <w:tcPr>
            <w:tcW w:w="5004" w:type="dxa"/>
            <w:gridSpan w:val="2"/>
            <w:vMerge/>
            <w:tcBorders>
              <w:left w:val="single" w:sz="8" w:space="0" w:color="auto"/>
              <w:bottom w:val="single" w:sz="8" w:space="0" w:color="auto"/>
              <w:right w:val="single" w:sz="8" w:space="0" w:color="auto"/>
            </w:tcBorders>
            <w:shd w:val="clear" w:color="auto" w:fill="E2EFD9"/>
            <w:noWrap/>
            <w:vAlign w:val="bottom"/>
            <w:hideMark/>
          </w:tcPr>
          <w:p w14:paraId="5B1CEC6F" w14:textId="77777777" w:rsidR="00B036C7" w:rsidRPr="00B036C7" w:rsidRDefault="00B036C7" w:rsidP="00B036C7">
            <w:pPr>
              <w:keepLines w:val="0"/>
              <w:spacing w:after="0" w:line="240" w:lineRule="auto"/>
              <w:rPr>
                <w:rFonts w:ascii="Times New Roman" w:hAnsi="Times New Roman"/>
                <w:szCs w:val="20"/>
              </w:rPr>
            </w:pPr>
          </w:p>
        </w:tc>
        <w:tc>
          <w:tcPr>
            <w:tcW w:w="5059" w:type="dxa"/>
            <w:gridSpan w:val="2"/>
            <w:tcBorders>
              <w:top w:val="single" w:sz="8" w:space="0" w:color="auto"/>
              <w:left w:val="single" w:sz="8" w:space="0" w:color="auto"/>
              <w:bottom w:val="single" w:sz="8" w:space="0" w:color="auto"/>
              <w:right w:val="single" w:sz="8" w:space="0" w:color="auto"/>
            </w:tcBorders>
            <w:shd w:val="clear" w:color="auto" w:fill="FFE599"/>
            <w:vAlign w:val="center"/>
            <w:hideMark/>
          </w:tcPr>
          <w:p w14:paraId="7FA75502" w14:textId="16A1022C" w:rsidR="00B036C7" w:rsidRPr="00B036C7" w:rsidRDefault="00B036C7" w:rsidP="00B036C7">
            <w:pPr>
              <w:spacing w:after="0" w:line="240" w:lineRule="auto"/>
              <w:jc w:val="center"/>
              <w:rPr>
                <w:rFonts w:ascii="Calibri" w:hAnsi="Calibri" w:cs="Calibri"/>
                <w:b/>
                <w:bCs/>
                <w:color w:val="000000"/>
                <w:sz w:val="24"/>
              </w:rPr>
            </w:pPr>
            <w:r w:rsidRPr="00B036C7">
              <w:rPr>
                <w:rFonts w:ascii="Calibri" w:hAnsi="Calibri" w:cs="Calibri"/>
                <w:b/>
                <w:bCs/>
                <w:color w:val="000000"/>
                <w:sz w:val="24"/>
              </w:rPr>
              <w:t xml:space="preserve">Regional and </w:t>
            </w:r>
            <w:r w:rsidR="00ED026A">
              <w:rPr>
                <w:rFonts w:ascii="Calibri" w:hAnsi="Calibri" w:cs="Calibri"/>
                <w:b/>
                <w:bCs/>
                <w:color w:val="000000"/>
                <w:sz w:val="24"/>
              </w:rPr>
              <w:t>r</w:t>
            </w:r>
            <w:r w:rsidRPr="00B036C7">
              <w:rPr>
                <w:rFonts w:ascii="Calibri" w:hAnsi="Calibri" w:cs="Calibri"/>
                <w:b/>
                <w:bCs/>
                <w:color w:val="000000"/>
                <w:sz w:val="24"/>
              </w:rPr>
              <w:t xml:space="preserve">emote </w:t>
            </w:r>
            <w:r w:rsidR="00ED026A">
              <w:rPr>
                <w:rFonts w:ascii="Calibri" w:hAnsi="Calibri" w:cs="Calibri"/>
                <w:b/>
                <w:bCs/>
                <w:color w:val="000000"/>
                <w:sz w:val="24"/>
              </w:rPr>
              <w:t>A</w:t>
            </w:r>
            <w:r w:rsidRPr="00B036C7">
              <w:rPr>
                <w:rFonts w:ascii="Calibri" w:hAnsi="Calibri" w:cs="Calibri"/>
                <w:b/>
                <w:bCs/>
                <w:color w:val="000000"/>
                <w:sz w:val="24"/>
              </w:rPr>
              <w:t>ustralia</w:t>
            </w:r>
          </w:p>
          <w:p w14:paraId="51752323" w14:textId="77777777" w:rsidR="00B036C7" w:rsidRPr="00B036C7" w:rsidRDefault="00B036C7" w:rsidP="00B036C7">
            <w:pPr>
              <w:spacing w:after="0" w:line="240" w:lineRule="auto"/>
              <w:rPr>
                <w:rFonts w:ascii="Calibri" w:hAnsi="Calibri" w:cs="Calibri"/>
                <w:b/>
                <w:bCs/>
                <w:color w:val="000000"/>
                <w:sz w:val="24"/>
              </w:rPr>
            </w:pPr>
            <w:r w:rsidRPr="00B036C7">
              <w:rPr>
                <w:rFonts w:ascii="Calibri" w:hAnsi="Calibri" w:cs="Calibri"/>
                <w:color w:val="000000"/>
                <w:sz w:val="24"/>
              </w:rPr>
              <w:t> </w:t>
            </w:r>
          </w:p>
          <w:p w14:paraId="15D1E7D5" w14:textId="77777777" w:rsidR="00B036C7" w:rsidRPr="00B036C7" w:rsidRDefault="00B036C7" w:rsidP="00B036C7">
            <w:pPr>
              <w:keepLines w:val="0"/>
              <w:spacing w:after="0" w:line="240" w:lineRule="auto"/>
              <w:rPr>
                <w:rFonts w:cs="Arial"/>
                <w:color w:val="000000"/>
                <w:szCs w:val="20"/>
              </w:rPr>
            </w:pPr>
            <w:r w:rsidRPr="00B036C7">
              <w:rPr>
                <w:rFonts w:cs="Arial"/>
                <w:b/>
                <w:bCs/>
                <w:color w:val="000000"/>
                <w:szCs w:val="20"/>
              </w:rPr>
              <w:t>Planned uses:</w:t>
            </w:r>
            <w:r w:rsidRPr="00B036C7">
              <w:rPr>
                <w:rFonts w:cs="Arial"/>
                <w:color w:val="000000"/>
                <w:szCs w:val="20"/>
              </w:rPr>
              <w:t xml:space="preserve"> LA WBB, PTP</w:t>
            </w:r>
          </w:p>
          <w:p w14:paraId="30B7A25C" w14:textId="77777777" w:rsidR="00B036C7" w:rsidRPr="00B036C7" w:rsidRDefault="00B036C7" w:rsidP="00B036C7">
            <w:pPr>
              <w:keepLines w:val="0"/>
              <w:spacing w:after="0" w:line="240" w:lineRule="auto"/>
              <w:rPr>
                <w:rFonts w:cs="Arial"/>
                <w:color w:val="000000"/>
                <w:szCs w:val="20"/>
              </w:rPr>
            </w:pPr>
            <w:r w:rsidRPr="00B036C7">
              <w:rPr>
                <w:rFonts w:cs="Arial"/>
                <w:b/>
                <w:bCs/>
                <w:color w:val="000000"/>
                <w:szCs w:val="20"/>
              </w:rPr>
              <w:t>Licence type:</w:t>
            </w:r>
            <w:r w:rsidRPr="00B036C7">
              <w:rPr>
                <w:rFonts w:cs="Arial"/>
                <w:color w:val="000000"/>
                <w:szCs w:val="20"/>
              </w:rPr>
              <w:t xml:space="preserve"> Apparatus licence</w:t>
            </w:r>
          </w:p>
          <w:p w14:paraId="0FDC5DF2" w14:textId="77777777" w:rsidR="00B036C7" w:rsidRPr="00B036C7" w:rsidRDefault="00B036C7" w:rsidP="00B036C7">
            <w:pPr>
              <w:keepLines w:val="0"/>
              <w:spacing w:after="0" w:line="240" w:lineRule="auto"/>
              <w:rPr>
                <w:rFonts w:cs="Arial"/>
                <w:color w:val="000000"/>
                <w:szCs w:val="20"/>
              </w:rPr>
            </w:pPr>
          </w:p>
          <w:p w14:paraId="140CBB13" w14:textId="77777777" w:rsidR="00B036C7" w:rsidRPr="00B036C7" w:rsidRDefault="00B036C7" w:rsidP="00B036C7">
            <w:pPr>
              <w:keepLines w:val="0"/>
              <w:spacing w:after="0" w:line="240" w:lineRule="auto"/>
              <w:rPr>
                <w:rFonts w:cs="Arial"/>
                <w:color w:val="000000"/>
                <w:szCs w:val="20"/>
              </w:rPr>
            </w:pPr>
            <w:r w:rsidRPr="00B036C7">
              <w:rPr>
                <w:rFonts w:cs="Arial"/>
                <w:b/>
                <w:bCs/>
                <w:color w:val="000000"/>
                <w:szCs w:val="20"/>
              </w:rPr>
              <w:t>Planned uses:</w:t>
            </w:r>
            <w:r w:rsidRPr="00B036C7">
              <w:rPr>
                <w:rFonts w:cs="Arial"/>
                <w:color w:val="000000"/>
                <w:szCs w:val="20"/>
              </w:rPr>
              <w:t xml:space="preserve"> SR WBB</w:t>
            </w:r>
          </w:p>
          <w:p w14:paraId="4771772F" w14:textId="77777777" w:rsidR="00B036C7" w:rsidRPr="00B036C7" w:rsidRDefault="00B036C7" w:rsidP="00B036C7">
            <w:pPr>
              <w:keepLines w:val="0"/>
              <w:spacing w:after="0" w:line="240" w:lineRule="auto"/>
              <w:rPr>
                <w:rFonts w:cs="Arial"/>
                <w:color w:val="000000"/>
                <w:szCs w:val="20"/>
              </w:rPr>
            </w:pPr>
            <w:r w:rsidRPr="00B036C7">
              <w:rPr>
                <w:rFonts w:cs="Arial"/>
                <w:b/>
                <w:bCs/>
                <w:color w:val="000000"/>
                <w:szCs w:val="20"/>
              </w:rPr>
              <w:t>Licence type:</w:t>
            </w:r>
            <w:r w:rsidRPr="00B036C7">
              <w:rPr>
                <w:rFonts w:cs="Arial"/>
                <w:color w:val="000000"/>
                <w:szCs w:val="20"/>
              </w:rPr>
              <w:t xml:space="preserve"> Class licence</w:t>
            </w:r>
          </w:p>
          <w:p w14:paraId="66F61126" w14:textId="77777777" w:rsidR="00B036C7" w:rsidRPr="00B036C7" w:rsidRDefault="00B036C7" w:rsidP="00B036C7">
            <w:pPr>
              <w:keepLines w:val="0"/>
              <w:spacing w:after="0" w:line="240" w:lineRule="auto"/>
              <w:rPr>
                <w:rFonts w:ascii="Calibri" w:hAnsi="Calibri" w:cs="Calibri"/>
                <w:b/>
                <w:bCs/>
                <w:color w:val="000000"/>
                <w:sz w:val="24"/>
              </w:rPr>
            </w:pPr>
          </w:p>
        </w:tc>
      </w:tr>
    </w:tbl>
    <w:p w14:paraId="7B9EFB3B" w14:textId="77777777" w:rsidR="003D16A8" w:rsidRDefault="003D16A8" w:rsidP="003D16A8">
      <w:pPr>
        <w:keepLines w:val="0"/>
        <w:autoSpaceDE w:val="0"/>
        <w:autoSpaceDN w:val="0"/>
        <w:adjustRightInd w:val="0"/>
        <w:spacing w:after="0" w:line="240" w:lineRule="auto"/>
        <w:rPr>
          <w:rFonts w:cs="Arial"/>
          <w:szCs w:val="20"/>
        </w:rPr>
      </w:pPr>
    </w:p>
    <w:p w14:paraId="6249022B" w14:textId="77777777" w:rsidR="003D16A8" w:rsidRDefault="003D16A8" w:rsidP="00FD2C90">
      <w:pPr>
        <w:pStyle w:val="Heading3"/>
        <w:keepLines w:val="0"/>
      </w:pPr>
      <w:r w:rsidRPr="00830FC6">
        <w:t>Changes by frequency segment</w:t>
      </w:r>
    </w:p>
    <w:p w14:paraId="25E523A8" w14:textId="39DD0191" w:rsidR="003D16A8" w:rsidRPr="00830FC6" w:rsidRDefault="003D16A8" w:rsidP="00FD2C90">
      <w:pPr>
        <w:pStyle w:val="Heading4"/>
        <w:keepLines w:val="0"/>
        <w:rPr>
          <w:b w:val="0"/>
          <w:bCs/>
          <w:szCs w:val="20"/>
        </w:rPr>
      </w:pPr>
      <w:r w:rsidRPr="00830FC6">
        <w:t>1880</w:t>
      </w:r>
      <w:r w:rsidR="00077503">
        <w:t>–</w:t>
      </w:r>
      <w:r w:rsidRPr="00830FC6">
        <w:t>1900 MHz</w:t>
      </w:r>
    </w:p>
    <w:p w14:paraId="6295BD6B" w14:textId="6C227235" w:rsidR="003D16A8" w:rsidRPr="00830FC6" w:rsidRDefault="003D16A8" w:rsidP="00FD2C90">
      <w:pPr>
        <w:pStyle w:val="ListBullet"/>
        <w:keepLines w:val="0"/>
      </w:pPr>
      <w:r>
        <w:t>Continue</w:t>
      </w:r>
      <w:r w:rsidRPr="00830FC6">
        <w:t xml:space="preserve"> </w:t>
      </w:r>
      <w:r>
        <w:t>exclusive</w:t>
      </w:r>
      <w:r w:rsidRPr="00830FC6">
        <w:t xml:space="preserve"> arrangements for </w:t>
      </w:r>
      <w:r>
        <w:t xml:space="preserve">SR WBB </w:t>
      </w:r>
      <w:r w:rsidR="008025FA">
        <w:t xml:space="preserve">via </w:t>
      </w:r>
      <w:r w:rsidR="005015C7">
        <w:t>c</w:t>
      </w:r>
      <w:r w:rsidRPr="00830FC6">
        <w:t xml:space="preserve">lass </w:t>
      </w:r>
      <w:r w:rsidR="005015C7">
        <w:t>l</w:t>
      </w:r>
      <w:r w:rsidRPr="00830FC6">
        <w:t>icence</w:t>
      </w:r>
      <w:r w:rsidR="00AE0182">
        <w:t>s</w:t>
      </w:r>
      <w:r w:rsidR="004E78F1">
        <w:t>, which:</w:t>
      </w:r>
    </w:p>
    <w:p w14:paraId="2590A676" w14:textId="00843C71" w:rsidR="003D16A8" w:rsidRDefault="003D16A8" w:rsidP="00FD2C90">
      <w:pPr>
        <w:pStyle w:val="ListBullet2"/>
        <w:keepLines w:val="0"/>
      </w:pPr>
      <w:r w:rsidRPr="00830FC6">
        <w:t>support</w:t>
      </w:r>
      <w:r>
        <w:t xml:space="preserve"> technologies such as</w:t>
      </w:r>
      <w:r w:rsidRPr="00830FC6">
        <w:t xml:space="preserve"> DECT</w:t>
      </w:r>
      <w:r w:rsidR="00A13647">
        <w:t xml:space="preserve"> and</w:t>
      </w:r>
      <w:r w:rsidRPr="00830FC6">
        <w:t xml:space="preserve"> PHS</w:t>
      </w:r>
    </w:p>
    <w:p w14:paraId="1E7347BE" w14:textId="6C0F5ECA" w:rsidR="003D16A8" w:rsidRPr="00830FC6" w:rsidRDefault="003D16A8" w:rsidP="00D51E3F">
      <w:pPr>
        <w:pStyle w:val="ListBullet2"/>
        <w:keepLines w:val="0"/>
        <w:spacing w:after="240" w:line="240" w:lineRule="auto"/>
        <w:rPr>
          <w:rFonts w:cs="Arial"/>
          <w:szCs w:val="20"/>
        </w:rPr>
      </w:pPr>
      <w:r w:rsidRPr="00EE7780">
        <w:t xml:space="preserve">accommodate </w:t>
      </w:r>
      <w:r w:rsidR="00B85436" w:rsidRPr="00B85436">
        <w:t>new technologies such as</w:t>
      </w:r>
      <w:r w:rsidR="00363EF0">
        <w:t xml:space="preserve"> future </w:t>
      </w:r>
      <w:r w:rsidR="00056002" w:rsidDel="007145F8">
        <w:t xml:space="preserve">DECT </w:t>
      </w:r>
      <w:r w:rsidR="00B85436" w:rsidRPr="00B85436">
        <w:t>and MulteFire, Australia</w:t>
      </w:r>
      <w:r w:rsidR="00ED026A">
        <w:t>-</w:t>
      </w:r>
      <w:r w:rsidR="00B85436" w:rsidRPr="00B85436">
        <w:t>wide</w:t>
      </w:r>
      <w:r w:rsidR="00B60C9D">
        <w:t>.</w:t>
      </w:r>
    </w:p>
    <w:p w14:paraId="4793FE8B" w14:textId="24B45DE0" w:rsidR="003D16A8" w:rsidRPr="00915142" w:rsidRDefault="003D16A8" w:rsidP="003D16A8">
      <w:pPr>
        <w:keepLines w:val="0"/>
        <w:spacing w:after="0" w:line="240" w:lineRule="auto"/>
        <w:rPr>
          <w:rFonts w:cs="Arial"/>
          <w:b/>
          <w:bCs/>
          <w:i/>
          <w:iCs/>
          <w:szCs w:val="20"/>
        </w:rPr>
      </w:pPr>
      <w:r w:rsidRPr="00915142">
        <w:rPr>
          <w:rFonts w:cs="Arial"/>
          <w:b/>
          <w:bCs/>
          <w:i/>
          <w:iCs/>
          <w:szCs w:val="20"/>
        </w:rPr>
        <w:t>1900</w:t>
      </w:r>
      <w:r w:rsidR="005015C7">
        <w:rPr>
          <w:rFonts w:cs="Arial"/>
          <w:b/>
          <w:bCs/>
          <w:i/>
          <w:iCs/>
          <w:szCs w:val="20"/>
        </w:rPr>
        <w:t>–</w:t>
      </w:r>
      <w:r w:rsidRPr="00915142">
        <w:rPr>
          <w:rFonts w:cs="Arial"/>
          <w:b/>
          <w:bCs/>
          <w:i/>
          <w:iCs/>
          <w:szCs w:val="20"/>
        </w:rPr>
        <w:t>1920 MHz</w:t>
      </w:r>
    </w:p>
    <w:p w14:paraId="1398EF05" w14:textId="3B39BDBE" w:rsidR="003D16A8" w:rsidRPr="00830FC6" w:rsidRDefault="003D16A8" w:rsidP="00FD2C90">
      <w:pPr>
        <w:pStyle w:val="ListBullet"/>
        <w:keepLines w:val="0"/>
      </w:pPr>
      <w:r w:rsidRPr="00830FC6">
        <w:t>Continue shared</w:t>
      </w:r>
      <w:r>
        <w:t xml:space="preserve">, </w:t>
      </w:r>
      <w:r w:rsidRPr="00385FCC">
        <w:t>coordinated, first-in-time</w:t>
      </w:r>
      <w:r>
        <w:t xml:space="preserve"> </w:t>
      </w:r>
      <w:r w:rsidRPr="00830FC6">
        <w:t xml:space="preserve">arrangements for </w:t>
      </w:r>
      <w:r w:rsidR="00013E99">
        <w:t>PMP</w:t>
      </w:r>
      <w:r>
        <w:t xml:space="preserve"> and PTP services </w:t>
      </w:r>
      <w:r w:rsidR="00B22778">
        <w:t xml:space="preserve">via </w:t>
      </w:r>
      <w:r w:rsidR="005015C7">
        <w:t>a</w:t>
      </w:r>
      <w:r w:rsidRPr="00830FC6">
        <w:t xml:space="preserve">pparatus </w:t>
      </w:r>
      <w:r w:rsidR="005015C7">
        <w:t>l</w:t>
      </w:r>
      <w:r w:rsidRPr="00830FC6">
        <w:t>icence</w:t>
      </w:r>
      <w:r w:rsidR="00B22778">
        <w:t>s</w:t>
      </w:r>
      <w:r w:rsidR="004E78F1">
        <w:t>, which</w:t>
      </w:r>
      <w:r w:rsidR="00EC1A3B">
        <w:t>:</w:t>
      </w:r>
    </w:p>
    <w:p w14:paraId="6D164218" w14:textId="71DF83A8" w:rsidR="003D16A8" w:rsidRDefault="003D16A8" w:rsidP="00FD2C90">
      <w:pPr>
        <w:pStyle w:val="ListBullet2"/>
        <w:keepLines w:val="0"/>
      </w:pPr>
      <w:r w:rsidRPr="00830FC6">
        <w:t xml:space="preserve">support </w:t>
      </w:r>
      <w:r>
        <w:t>LA</w:t>
      </w:r>
      <w:r w:rsidRPr="00830FC6">
        <w:t xml:space="preserve"> WBB</w:t>
      </w:r>
      <w:r>
        <w:t xml:space="preserve"> </w:t>
      </w:r>
      <w:r w:rsidR="00013E99">
        <w:t>and</w:t>
      </w:r>
      <w:r w:rsidRPr="00830FC6">
        <w:t xml:space="preserve"> PTP</w:t>
      </w:r>
      <w:r>
        <w:t xml:space="preserve"> </w:t>
      </w:r>
      <w:r w:rsidRPr="00830FC6">
        <w:t xml:space="preserve">in regional and remote areas, </w:t>
      </w:r>
      <w:r>
        <w:t xml:space="preserve">with </w:t>
      </w:r>
      <w:r w:rsidRPr="00830FC6">
        <w:t xml:space="preserve">coordinated arrangements </w:t>
      </w:r>
    </w:p>
    <w:p w14:paraId="09F2842A" w14:textId="3B97C8DC" w:rsidR="003D16A8" w:rsidRPr="00F77040" w:rsidRDefault="003D16A8" w:rsidP="00FD2C90">
      <w:pPr>
        <w:pStyle w:val="ListBullet"/>
        <w:keepLines w:val="0"/>
      </w:pPr>
      <w:r>
        <w:t>Extend</w:t>
      </w:r>
      <w:r w:rsidRPr="00830FC6">
        <w:t xml:space="preserve"> shared</w:t>
      </w:r>
      <w:r>
        <w:t xml:space="preserve"> arrangements for SR WBB </w:t>
      </w:r>
      <w:r w:rsidR="00B22778">
        <w:t xml:space="preserve">via the </w:t>
      </w:r>
      <w:r>
        <w:t xml:space="preserve">CCD </w:t>
      </w:r>
      <w:r w:rsidR="005015C7">
        <w:t>c</w:t>
      </w:r>
      <w:r>
        <w:t xml:space="preserve">lass </w:t>
      </w:r>
      <w:r w:rsidR="005015C7">
        <w:t>l</w:t>
      </w:r>
      <w:r>
        <w:t>icence</w:t>
      </w:r>
      <w:r w:rsidR="004E78F1">
        <w:t>, which:</w:t>
      </w:r>
    </w:p>
    <w:p w14:paraId="37C4F309" w14:textId="1C45F118" w:rsidR="003D16A8" w:rsidRPr="001C6879" w:rsidRDefault="00896B77" w:rsidP="00FD2C90">
      <w:pPr>
        <w:pStyle w:val="ListBullet2"/>
        <w:keepLines w:val="0"/>
      </w:pPr>
      <w:r w:rsidRPr="00830FC6">
        <w:t xml:space="preserve">support </w:t>
      </w:r>
      <w:r>
        <w:t xml:space="preserve">new technologies such as future </w:t>
      </w:r>
      <w:r w:rsidDel="007F23AE">
        <w:t>DECT</w:t>
      </w:r>
      <w:r>
        <w:t xml:space="preserve"> and Multefire</w:t>
      </w:r>
      <w:r w:rsidR="00B60C9D">
        <w:t>.</w:t>
      </w:r>
    </w:p>
    <w:p w14:paraId="19AC6774" w14:textId="3C4E8DAC" w:rsidR="003D16A8" w:rsidRDefault="003D16A8" w:rsidP="003D16A8">
      <w:pPr>
        <w:keepLines w:val="0"/>
        <w:spacing w:after="0" w:line="240" w:lineRule="auto"/>
        <w:rPr>
          <w:rFonts w:cs="Arial"/>
          <w:b/>
          <w:bCs/>
          <w:iCs/>
          <w:sz w:val="28"/>
          <w:szCs w:val="28"/>
        </w:rPr>
      </w:pPr>
    </w:p>
    <w:p w14:paraId="336838C6" w14:textId="77777777" w:rsidR="007472A5" w:rsidRDefault="007472A5">
      <w:pPr>
        <w:keepLines w:val="0"/>
        <w:spacing w:after="0" w:line="240" w:lineRule="auto"/>
        <w:rPr>
          <w:rFonts w:cs="Arial"/>
          <w:b/>
          <w:bCs/>
          <w:iCs/>
          <w:sz w:val="28"/>
          <w:szCs w:val="28"/>
        </w:rPr>
      </w:pPr>
      <w:bookmarkStart w:id="126" w:name="_Toc113626365"/>
      <w:bookmarkStart w:id="127" w:name="_Toc117870129"/>
      <w:bookmarkStart w:id="128" w:name="_Toc118785119"/>
      <w:r>
        <w:br w:type="page"/>
      </w:r>
    </w:p>
    <w:p w14:paraId="0609960D" w14:textId="28D94CE8" w:rsidR="003D16A8" w:rsidRPr="003428AC" w:rsidRDefault="003D16A8" w:rsidP="00FD2C90">
      <w:pPr>
        <w:pStyle w:val="Heading2"/>
        <w:keepLines w:val="0"/>
      </w:pPr>
      <w:bookmarkStart w:id="129" w:name="_Toc120600054"/>
      <w:r w:rsidRPr="003428AC">
        <w:lastRenderedPageBreak/>
        <w:t xml:space="preserve">Option </w:t>
      </w:r>
      <w:r>
        <w:t>3</w:t>
      </w:r>
      <w:bookmarkEnd w:id="126"/>
      <w:r w:rsidR="00896B77">
        <w:t xml:space="preserve"> (</w:t>
      </w:r>
      <w:bookmarkStart w:id="130" w:name="_Hlk117863155"/>
      <w:r w:rsidR="00896B77" w:rsidRPr="00222F21">
        <w:t xml:space="preserve">introduction of </w:t>
      </w:r>
      <w:r w:rsidR="005E3C5D">
        <w:t>RMR</w:t>
      </w:r>
      <w:r w:rsidR="00896B77">
        <w:t>)</w:t>
      </w:r>
      <w:bookmarkEnd w:id="127"/>
      <w:bookmarkEnd w:id="128"/>
      <w:bookmarkEnd w:id="130"/>
      <w:bookmarkEnd w:id="129"/>
    </w:p>
    <w:p w14:paraId="007D811D" w14:textId="54572E73" w:rsidR="0078059A" w:rsidRDefault="003D16A8" w:rsidP="0078059A">
      <w:pPr>
        <w:pStyle w:val="Paragraph"/>
        <w:keepLines w:val="0"/>
      </w:pPr>
      <w:bookmarkStart w:id="131" w:name="_Hlk107919852"/>
      <w:r w:rsidRPr="00576242">
        <w:t xml:space="preserve">Option </w:t>
      </w:r>
      <w:r>
        <w:t xml:space="preserve">3 </w:t>
      </w:r>
      <w:r w:rsidR="00386090">
        <w:t xml:space="preserve">maintains the existing arrangement with different </w:t>
      </w:r>
      <w:r w:rsidR="00386090" w:rsidRPr="00576242">
        <w:t xml:space="preserve">services </w:t>
      </w:r>
      <w:r w:rsidR="00386090">
        <w:t>authorised by different licence types (</w:t>
      </w:r>
      <w:r w:rsidR="00931B92">
        <w:t xml:space="preserve">such as </w:t>
      </w:r>
      <w:r w:rsidR="00386090">
        <w:t xml:space="preserve">class </w:t>
      </w:r>
      <w:r w:rsidR="00386090" w:rsidRPr="00576242">
        <w:t xml:space="preserve">and </w:t>
      </w:r>
      <w:r w:rsidR="00386090">
        <w:t>apparatus licences) in separate frequency segments</w:t>
      </w:r>
      <w:r w:rsidRPr="00576242">
        <w:t xml:space="preserve">. </w:t>
      </w:r>
      <w:r>
        <w:t>While i</w:t>
      </w:r>
      <w:r w:rsidRPr="00576242">
        <w:t xml:space="preserve">t </w:t>
      </w:r>
      <w:r>
        <w:t>maintains</w:t>
      </w:r>
      <w:r w:rsidRPr="00576242">
        <w:t xml:space="preserve"> arrangements for </w:t>
      </w:r>
      <w:r>
        <w:t>SR WBB</w:t>
      </w:r>
      <w:r w:rsidRPr="00576242">
        <w:t xml:space="preserve"> in</w:t>
      </w:r>
      <w:r>
        <w:t xml:space="preserve"> the</w:t>
      </w:r>
      <w:r w:rsidRPr="00576242">
        <w:t xml:space="preserve"> 1880</w:t>
      </w:r>
      <w:r w:rsidR="003306A7">
        <w:t>–</w:t>
      </w:r>
      <w:r w:rsidRPr="00576242">
        <w:t>1900 MHz</w:t>
      </w:r>
      <w:r w:rsidR="00386090" w:rsidRPr="00386090">
        <w:t xml:space="preserve"> </w:t>
      </w:r>
      <w:r w:rsidR="00386090">
        <w:t>frequency range</w:t>
      </w:r>
      <w:r>
        <w:t>, it also allow</w:t>
      </w:r>
      <w:r w:rsidR="0078059A">
        <w:t>s</w:t>
      </w:r>
      <w:r>
        <w:t xml:space="preserve"> for this frequency range to accommodate</w:t>
      </w:r>
      <w:r w:rsidR="004E78F1">
        <w:t xml:space="preserve"> new technologies such as</w:t>
      </w:r>
      <w:r>
        <w:t xml:space="preserve"> </w:t>
      </w:r>
      <w:r w:rsidR="00363EF0">
        <w:t xml:space="preserve">future </w:t>
      </w:r>
      <w:r w:rsidR="007145F8">
        <w:t>DECT</w:t>
      </w:r>
      <w:r>
        <w:t xml:space="preserve">. </w:t>
      </w:r>
    </w:p>
    <w:p w14:paraId="3F6F650D" w14:textId="2F9DCBEB" w:rsidR="0078059A" w:rsidRDefault="00386090" w:rsidP="0078059A">
      <w:pPr>
        <w:pStyle w:val="Paragraph"/>
        <w:keepLines w:val="0"/>
      </w:pPr>
      <w:r>
        <w:t xml:space="preserve">Arrangements for </w:t>
      </w:r>
      <w:r w:rsidR="005E3C5D">
        <w:t>RMR</w:t>
      </w:r>
      <w:r>
        <w:t xml:space="preserve"> services </w:t>
      </w:r>
      <w:r w:rsidR="00080C04">
        <w:t xml:space="preserve">would </w:t>
      </w:r>
      <w:r>
        <w:t xml:space="preserve">be introduced in the </w:t>
      </w:r>
      <w:r w:rsidR="003D16A8">
        <w:t>19</w:t>
      </w:r>
      <w:r w:rsidR="00D41A32">
        <w:t>0</w:t>
      </w:r>
      <w:r w:rsidR="003D16A8">
        <w:t>0</w:t>
      </w:r>
      <w:r w:rsidR="003306A7">
        <w:t>–</w:t>
      </w:r>
      <w:r w:rsidR="003D16A8">
        <w:t xml:space="preserve">1910 MHz </w:t>
      </w:r>
      <w:r>
        <w:t>frequency range</w:t>
      </w:r>
      <w:r w:rsidDel="00386090">
        <w:t xml:space="preserve"> </w:t>
      </w:r>
      <w:r w:rsidR="003D16A8">
        <w:t>on an Australia</w:t>
      </w:r>
      <w:r w:rsidR="00B22778">
        <w:t>-</w:t>
      </w:r>
      <w:r w:rsidR="003D16A8">
        <w:t xml:space="preserve">wide basis for </w:t>
      </w:r>
      <w:r>
        <w:t>services</w:t>
      </w:r>
      <w:r w:rsidR="003D16A8">
        <w:t xml:space="preserve"> </w:t>
      </w:r>
      <w:r w:rsidR="00B22778">
        <w:t xml:space="preserve">such as </w:t>
      </w:r>
      <w:r w:rsidR="003D16A8" w:rsidRPr="0006342B">
        <w:t xml:space="preserve">rail applications </w:t>
      </w:r>
      <w:r w:rsidR="00B22778">
        <w:t>using</w:t>
      </w:r>
      <w:r w:rsidR="003D16A8" w:rsidRPr="0006342B">
        <w:t xml:space="preserve"> MCX or 5G FRMCS </w:t>
      </w:r>
      <w:r w:rsidR="00B22778">
        <w:t>technologies</w:t>
      </w:r>
      <w:r w:rsidR="003D16A8">
        <w:t xml:space="preserve">. </w:t>
      </w:r>
    </w:p>
    <w:p w14:paraId="55CB7BA8" w14:textId="7208B97D" w:rsidR="003D16A8" w:rsidRDefault="003D16A8" w:rsidP="00FD2C90">
      <w:pPr>
        <w:pStyle w:val="Paragraph"/>
        <w:keepLines w:val="0"/>
      </w:pPr>
      <w:r>
        <w:t>The existing PTP and LA</w:t>
      </w:r>
      <w:r w:rsidRPr="00576242">
        <w:t xml:space="preserve"> </w:t>
      </w:r>
      <w:r>
        <w:t xml:space="preserve">WBB service arrangements will be maintained in the </w:t>
      </w:r>
      <w:r w:rsidR="003306A7">
        <w:br/>
      </w:r>
      <w:r w:rsidRPr="00576242">
        <w:t>1900</w:t>
      </w:r>
      <w:r w:rsidR="003306A7">
        <w:t>–</w:t>
      </w:r>
      <w:r w:rsidRPr="00576242">
        <w:t>1920 MHz</w:t>
      </w:r>
      <w:r>
        <w:t xml:space="preserve"> </w:t>
      </w:r>
      <w:r w:rsidR="00386090">
        <w:t xml:space="preserve">frequency range </w:t>
      </w:r>
      <w:r>
        <w:t>in regi</w:t>
      </w:r>
      <w:r w:rsidR="00B22778">
        <w:t>o</w:t>
      </w:r>
      <w:r>
        <w:t xml:space="preserve">nal and remote areas. </w:t>
      </w:r>
      <w:r w:rsidR="00620F82">
        <w:t>We</w:t>
      </w:r>
      <w:r>
        <w:t xml:space="preserve"> note </w:t>
      </w:r>
      <w:r w:rsidR="00386090">
        <w:t>access to</w:t>
      </w:r>
      <w:r>
        <w:t xml:space="preserve"> the 1900–1910 MHz </w:t>
      </w:r>
      <w:r w:rsidR="00386090">
        <w:t xml:space="preserve">frequency </w:t>
      </w:r>
      <w:r>
        <w:t>range would be on a shared basis and require coordination. These arrangements are illustrated in Figure 4.</w:t>
      </w:r>
      <w:r w:rsidRPr="00576242">
        <w:t xml:space="preserve"> </w:t>
      </w:r>
      <w:bookmarkEnd w:id="131"/>
    </w:p>
    <w:p w14:paraId="2B045701" w14:textId="63C5741D" w:rsidR="003D16A8" w:rsidRDefault="003D16A8" w:rsidP="00FD2C90">
      <w:pPr>
        <w:pStyle w:val="Figureheading"/>
        <w:keepNext w:val="0"/>
      </w:pPr>
      <w:r w:rsidRPr="00EA5CAB">
        <w:t xml:space="preserve">Illustration of Option </w:t>
      </w:r>
      <w:r>
        <w:t>3 (</w:t>
      </w:r>
      <w:r w:rsidR="00222F21" w:rsidRPr="00222F21">
        <w:t xml:space="preserve">introduction of </w:t>
      </w:r>
      <w:r w:rsidR="005E3C5D">
        <w:t>RMR</w:t>
      </w:r>
      <w:r>
        <w:t>)</w:t>
      </w:r>
    </w:p>
    <w:tbl>
      <w:tblPr>
        <w:tblpPr w:leftFromText="180" w:rightFromText="180" w:vertAnchor="text" w:horzAnchor="page" w:tblpX="406" w:tblpY="105"/>
        <w:tblW w:w="10639" w:type="dxa"/>
        <w:tblLayout w:type="fixed"/>
        <w:tblLook w:val="04A0" w:firstRow="1" w:lastRow="0" w:firstColumn="1" w:lastColumn="0" w:noHBand="0" w:noVBand="1"/>
        <w:tblDescription w:val="Figure 4: Illustration of Option 3 (introduction of RMR)"/>
      </w:tblPr>
      <w:tblGrid>
        <w:gridCol w:w="576"/>
        <w:gridCol w:w="2506"/>
        <w:gridCol w:w="2498"/>
        <w:gridCol w:w="2529"/>
        <w:gridCol w:w="2530"/>
      </w:tblGrid>
      <w:tr w:rsidR="00C55790" w:rsidRPr="00C55790" w14:paraId="185DA45F" w14:textId="77777777" w:rsidTr="008A65A2">
        <w:trPr>
          <w:trHeight w:val="1124"/>
        </w:trPr>
        <w:tc>
          <w:tcPr>
            <w:tcW w:w="576" w:type="dxa"/>
            <w:tcBorders>
              <w:top w:val="nil"/>
              <w:left w:val="nil"/>
              <w:bottom w:val="nil"/>
              <w:right w:val="nil"/>
            </w:tcBorders>
            <w:shd w:val="clear" w:color="auto" w:fill="auto"/>
            <w:noWrap/>
            <w:textDirection w:val="btLr"/>
            <w:vAlign w:val="bottom"/>
            <w:hideMark/>
          </w:tcPr>
          <w:p w14:paraId="0E4C2E13"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1880 MHz</w:t>
            </w:r>
          </w:p>
        </w:tc>
        <w:tc>
          <w:tcPr>
            <w:tcW w:w="2506" w:type="dxa"/>
            <w:tcBorders>
              <w:top w:val="nil"/>
              <w:left w:val="nil"/>
              <w:bottom w:val="single" w:sz="8" w:space="0" w:color="auto"/>
              <w:right w:val="nil"/>
            </w:tcBorders>
            <w:shd w:val="clear" w:color="auto" w:fill="auto"/>
            <w:textDirection w:val="btLr"/>
            <w:vAlign w:val="bottom"/>
            <w:hideMark/>
          </w:tcPr>
          <w:p w14:paraId="1B9054BD" w14:textId="77777777" w:rsidR="00C55790" w:rsidRPr="00C55790" w:rsidRDefault="00C55790" w:rsidP="00C55790">
            <w:pPr>
              <w:keepLines w:val="0"/>
              <w:spacing w:after="0" w:line="240" w:lineRule="auto"/>
              <w:jc w:val="right"/>
              <w:rPr>
                <w:rFonts w:ascii="Calibri" w:hAnsi="Calibri" w:cs="Calibri"/>
                <w:b/>
                <w:bCs/>
                <w:color w:val="000000"/>
                <w:sz w:val="22"/>
                <w:szCs w:val="22"/>
              </w:rPr>
            </w:pPr>
          </w:p>
        </w:tc>
        <w:tc>
          <w:tcPr>
            <w:tcW w:w="2498" w:type="dxa"/>
            <w:tcBorders>
              <w:top w:val="nil"/>
              <w:left w:val="nil"/>
              <w:bottom w:val="single" w:sz="8" w:space="0" w:color="auto"/>
              <w:right w:val="nil"/>
            </w:tcBorders>
            <w:shd w:val="clear" w:color="auto" w:fill="auto"/>
            <w:textDirection w:val="btLr"/>
            <w:vAlign w:val="bottom"/>
            <w:hideMark/>
          </w:tcPr>
          <w:p w14:paraId="0B0F953B"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1900 MHz</w:t>
            </w:r>
          </w:p>
        </w:tc>
        <w:tc>
          <w:tcPr>
            <w:tcW w:w="2529" w:type="dxa"/>
            <w:tcBorders>
              <w:top w:val="nil"/>
              <w:left w:val="nil"/>
              <w:bottom w:val="single" w:sz="8" w:space="0" w:color="auto"/>
            </w:tcBorders>
            <w:shd w:val="clear" w:color="auto" w:fill="auto"/>
            <w:textDirection w:val="btLr"/>
            <w:vAlign w:val="bottom"/>
          </w:tcPr>
          <w:p w14:paraId="6FDC9F3E"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1910 MHz</w:t>
            </w:r>
          </w:p>
        </w:tc>
        <w:tc>
          <w:tcPr>
            <w:tcW w:w="2530" w:type="dxa"/>
            <w:tcBorders>
              <w:top w:val="nil"/>
              <w:bottom w:val="single" w:sz="8" w:space="0" w:color="auto"/>
              <w:right w:val="nil"/>
            </w:tcBorders>
            <w:shd w:val="clear" w:color="auto" w:fill="auto"/>
            <w:textDirection w:val="btLr"/>
            <w:vAlign w:val="bottom"/>
            <w:hideMark/>
          </w:tcPr>
          <w:p w14:paraId="7DD6112B"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1920 MHz</w:t>
            </w:r>
          </w:p>
        </w:tc>
      </w:tr>
      <w:tr w:rsidR="00C55790" w:rsidRPr="00C55790" w14:paraId="53C73F4F" w14:textId="77777777" w:rsidTr="00C55790">
        <w:trPr>
          <w:trHeight w:val="276"/>
        </w:trPr>
        <w:tc>
          <w:tcPr>
            <w:tcW w:w="576" w:type="dxa"/>
            <w:vMerge w:val="restart"/>
            <w:tcBorders>
              <w:top w:val="nil"/>
              <w:left w:val="nil"/>
              <w:right w:val="single" w:sz="8" w:space="0" w:color="auto"/>
            </w:tcBorders>
            <w:shd w:val="clear" w:color="auto" w:fill="auto"/>
            <w:noWrap/>
            <w:vAlign w:val="bottom"/>
          </w:tcPr>
          <w:p w14:paraId="5B778CD4" w14:textId="77777777" w:rsidR="00C55790" w:rsidRPr="00C55790" w:rsidRDefault="00C55790" w:rsidP="00C55790">
            <w:pPr>
              <w:keepLines w:val="0"/>
              <w:spacing w:after="0" w:line="240" w:lineRule="auto"/>
              <w:rPr>
                <w:rFonts w:ascii="Calibri" w:hAnsi="Calibri" w:cs="Calibri"/>
                <w:b/>
                <w:bCs/>
                <w:color w:val="000000"/>
                <w:sz w:val="22"/>
                <w:szCs w:val="22"/>
              </w:rPr>
            </w:pPr>
          </w:p>
        </w:tc>
        <w:tc>
          <w:tcPr>
            <w:tcW w:w="5004" w:type="dxa"/>
            <w:gridSpan w:val="2"/>
            <w:vMerge w:val="restart"/>
            <w:tcBorders>
              <w:top w:val="single" w:sz="8" w:space="0" w:color="auto"/>
              <w:left w:val="single" w:sz="8" w:space="0" w:color="auto"/>
              <w:right w:val="single" w:sz="8" w:space="0" w:color="auto"/>
            </w:tcBorders>
            <w:shd w:val="clear" w:color="auto" w:fill="E2EFD9"/>
          </w:tcPr>
          <w:p w14:paraId="14628353" w14:textId="3CF65722" w:rsidR="00C55790" w:rsidRPr="00C55790" w:rsidRDefault="00C55790" w:rsidP="00C55790">
            <w:pPr>
              <w:keepLines w:val="0"/>
              <w:spacing w:after="0" w:line="240" w:lineRule="auto"/>
              <w:jc w:val="center"/>
              <w:rPr>
                <w:rFonts w:ascii="Calibri" w:hAnsi="Calibri" w:cs="Calibri"/>
                <w:b/>
                <w:bCs/>
                <w:color w:val="000000"/>
                <w:sz w:val="24"/>
              </w:rPr>
            </w:pPr>
            <w:r w:rsidRPr="00C55790">
              <w:rPr>
                <w:rFonts w:ascii="Calibri" w:hAnsi="Calibri" w:cs="Calibri"/>
                <w:b/>
                <w:bCs/>
                <w:color w:val="000000"/>
                <w:sz w:val="24"/>
              </w:rPr>
              <w:t>Australia</w:t>
            </w:r>
            <w:r w:rsidR="00ED026A">
              <w:rPr>
                <w:rFonts w:ascii="Calibri" w:hAnsi="Calibri" w:cs="Calibri"/>
                <w:b/>
                <w:bCs/>
                <w:color w:val="000000"/>
                <w:sz w:val="24"/>
              </w:rPr>
              <w:t>-w</w:t>
            </w:r>
            <w:r w:rsidRPr="00C55790">
              <w:rPr>
                <w:rFonts w:ascii="Calibri" w:hAnsi="Calibri" w:cs="Calibri"/>
                <w:b/>
                <w:bCs/>
                <w:color w:val="000000"/>
                <w:sz w:val="24"/>
              </w:rPr>
              <w:t>ide</w:t>
            </w:r>
          </w:p>
          <w:p w14:paraId="2254C69E" w14:textId="77777777" w:rsidR="00C55790" w:rsidRPr="00C55790" w:rsidRDefault="00C55790" w:rsidP="00C55790">
            <w:pPr>
              <w:keepLines w:val="0"/>
              <w:spacing w:after="0" w:line="240" w:lineRule="auto"/>
              <w:rPr>
                <w:rFonts w:cs="Arial"/>
                <w:b/>
                <w:bCs/>
                <w:color w:val="000000"/>
                <w:szCs w:val="20"/>
              </w:rPr>
            </w:pPr>
          </w:p>
          <w:p w14:paraId="29546F78" w14:textId="77777777" w:rsidR="00C55790" w:rsidRPr="00C55790" w:rsidRDefault="00C55790" w:rsidP="00C55790">
            <w:pPr>
              <w:keepLines w:val="0"/>
              <w:spacing w:after="0" w:line="240" w:lineRule="auto"/>
              <w:rPr>
                <w:rFonts w:cs="Arial"/>
                <w:b/>
                <w:bCs/>
                <w:color w:val="000000"/>
                <w:szCs w:val="20"/>
              </w:rPr>
            </w:pPr>
          </w:p>
          <w:p w14:paraId="274520CB" w14:textId="77777777" w:rsidR="00C55790" w:rsidRPr="00C55790" w:rsidRDefault="00C55790" w:rsidP="00C55790">
            <w:pPr>
              <w:keepLines w:val="0"/>
              <w:spacing w:after="0" w:line="240" w:lineRule="auto"/>
              <w:rPr>
                <w:rFonts w:cs="Arial"/>
                <w:b/>
                <w:bCs/>
                <w:color w:val="000000"/>
                <w:szCs w:val="20"/>
              </w:rPr>
            </w:pPr>
          </w:p>
          <w:p w14:paraId="2207C930" w14:textId="77777777" w:rsidR="00C55790" w:rsidRPr="00C55790" w:rsidRDefault="00C55790" w:rsidP="00C55790">
            <w:pPr>
              <w:keepLines w:val="0"/>
              <w:spacing w:after="0" w:line="240" w:lineRule="auto"/>
              <w:rPr>
                <w:rFonts w:cs="Arial"/>
                <w:b/>
                <w:bCs/>
                <w:color w:val="000000"/>
                <w:szCs w:val="20"/>
              </w:rPr>
            </w:pPr>
          </w:p>
          <w:p w14:paraId="1FBE0E2E"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SR WBB</w:t>
            </w:r>
          </w:p>
          <w:p w14:paraId="5932C916" w14:textId="77777777" w:rsidR="00C55790" w:rsidRPr="00C55790" w:rsidRDefault="00C55790" w:rsidP="00C55790">
            <w:pPr>
              <w:spacing w:after="0" w:line="240" w:lineRule="auto"/>
              <w:rPr>
                <w:rFonts w:ascii="Calibri" w:hAnsi="Calibri" w:cs="Calibri"/>
                <w:b/>
                <w:bCs/>
                <w:color w:val="000000"/>
                <w:sz w:val="24"/>
              </w:rPr>
            </w:pPr>
            <w:r w:rsidRPr="00C55790">
              <w:rPr>
                <w:rFonts w:cs="Arial"/>
                <w:b/>
                <w:bCs/>
                <w:color w:val="000000"/>
                <w:szCs w:val="20"/>
              </w:rPr>
              <w:t>Licence type:</w:t>
            </w:r>
            <w:r w:rsidRPr="00C55790">
              <w:rPr>
                <w:rFonts w:cs="Arial"/>
                <w:color w:val="000000"/>
                <w:szCs w:val="20"/>
              </w:rPr>
              <w:t xml:space="preserve"> Class licence</w:t>
            </w:r>
            <w:r w:rsidRPr="00C55790">
              <w:rPr>
                <w:rFonts w:ascii="Calibri" w:hAnsi="Calibri" w:cs="Calibri"/>
                <w:color w:val="000000"/>
                <w:sz w:val="24"/>
              </w:rPr>
              <w:t> </w:t>
            </w:r>
          </w:p>
        </w:tc>
        <w:tc>
          <w:tcPr>
            <w:tcW w:w="5059" w:type="dxa"/>
            <w:gridSpan w:val="2"/>
            <w:tcBorders>
              <w:top w:val="single" w:sz="8" w:space="0" w:color="auto"/>
              <w:left w:val="single" w:sz="8" w:space="0" w:color="auto"/>
              <w:bottom w:val="single" w:sz="8" w:space="0" w:color="auto"/>
              <w:right w:val="single" w:sz="8" w:space="0" w:color="auto"/>
            </w:tcBorders>
            <w:shd w:val="clear" w:color="auto" w:fill="D9D9D9"/>
            <w:vAlign w:val="center"/>
          </w:tcPr>
          <w:p w14:paraId="0C592AAF" w14:textId="517999DA" w:rsidR="00C55790" w:rsidRPr="00C55790" w:rsidRDefault="00C55790" w:rsidP="00C55790">
            <w:pPr>
              <w:keepLines w:val="0"/>
              <w:spacing w:after="0" w:line="240" w:lineRule="auto"/>
              <w:jc w:val="center"/>
              <w:rPr>
                <w:rFonts w:ascii="Calibri" w:hAnsi="Calibri" w:cs="Calibri"/>
                <w:b/>
                <w:bCs/>
                <w:color w:val="000000"/>
                <w:sz w:val="24"/>
              </w:rPr>
            </w:pPr>
            <w:r w:rsidRPr="00C55790">
              <w:rPr>
                <w:rFonts w:ascii="Calibri" w:hAnsi="Calibri" w:cs="Calibri"/>
                <w:b/>
                <w:bCs/>
                <w:color w:val="000000"/>
                <w:sz w:val="24"/>
              </w:rPr>
              <w:t xml:space="preserve">Metropolitan </w:t>
            </w:r>
            <w:r w:rsidR="00ED026A">
              <w:rPr>
                <w:rFonts w:ascii="Calibri" w:hAnsi="Calibri" w:cs="Calibri"/>
                <w:b/>
                <w:bCs/>
                <w:color w:val="000000"/>
                <w:sz w:val="24"/>
              </w:rPr>
              <w:t>a</w:t>
            </w:r>
            <w:r w:rsidRPr="00C55790">
              <w:rPr>
                <w:rFonts w:ascii="Calibri" w:hAnsi="Calibri" w:cs="Calibri"/>
                <w:b/>
                <w:bCs/>
                <w:color w:val="000000"/>
                <w:sz w:val="24"/>
              </w:rPr>
              <w:t xml:space="preserve">rea </w:t>
            </w:r>
          </w:p>
        </w:tc>
      </w:tr>
      <w:tr w:rsidR="00C55790" w:rsidRPr="00C55790" w14:paraId="3C8244A9" w14:textId="77777777" w:rsidTr="00C55790">
        <w:trPr>
          <w:trHeight w:val="1188"/>
        </w:trPr>
        <w:tc>
          <w:tcPr>
            <w:tcW w:w="576" w:type="dxa"/>
            <w:vMerge/>
            <w:tcBorders>
              <w:left w:val="nil"/>
              <w:right w:val="single" w:sz="8" w:space="0" w:color="auto"/>
            </w:tcBorders>
            <w:shd w:val="clear" w:color="auto" w:fill="auto"/>
            <w:noWrap/>
            <w:vAlign w:val="bottom"/>
            <w:hideMark/>
          </w:tcPr>
          <w:p w14:paraId="1DD49B55" w14:textId="77777777" w:rsidR="00C55790" w:rsidRPr="00C55790" w:rsidRDefault="00C55790" w:rsidP="00C55790">
            <w:pPr>
              <w:keepLines w:val="0"/>
              <w:spacing w:after="0" w:line="240" w:lineRule="auto"/>
              <w:rPr>
                <w:rFonts w:ascii="Times New Roman" w:hAnsi="Times New Roman"/>
                <w:szCs w:val="20"/>
              </w:rPr>
            </w:pPr>
          </w:p>
        </w:tc>
        <w:tc>
          <w:tcPr>
            <w:tcW w:w="5004" w:type="dxa"/>
            <w:gridSpan w:val="2"/>
            <w:vMerge/>
            <w:tcBorders>
              <w:left w:val="single" w:sz="8" w:space="0" w:color="auto"/>
              <w:right w:val="single" w:sz="8" w:space="0" w:color="auto"/>
            </w:tcBorders>
            <w:shd w:val="clear" w:color="auto" w:fill="E2EFD9"/>
            <w:noWrap/>
            <w:hideMark/>
          </w:tcPr>
          <w:p w14:paraId="0057D95C" w14:textId="77777777" w:rsidR="00C55790" w:rsidRPr="00C55790" w:rsidRDefault="00C55790" w:rsidP="00C55790">
            <w:pPr>
              <w:keepLines w:val="0"/>
              <w:spacing w:after="0" w:line="240" w:lineRule="auto"/>
              <w:rPr>
                <w:rFonts w:ascii="Calibri" w:hAnsi="Calibri" w:cs="Calibri"/>
                <w:color w:val="000000"/>
                <w:sz w:val="24"/>
              </w:rPr>
            </w:pPr>
          </w:p>
        </w:tc>
        <w:tc>
          <w:tcPr>
            <w:tcW w:w="2529" w:type="dxa"/>
            <w:tcBorders>
              <w:top w:val="single" w:sz="8" w:space="0" w:color="auto"/>
              <w:left w:val="single" w:sz="8" w:space="0" w:color="auto"/>
              <w:bottom w:val="single" w:sz="8" w:space="0" w:color="auto"/>
              <w:right w:val="single" w:sz="8" w:space="0" w:color="auto"/>
            </w:tcBorders>
            <w:shd w:val="clear" w:color="auto" w:fill="D9D9D9"/>
            <w:noWrap/>
            <w:vAlign w:val="bottom"/>
          </w:tcPr>
          <w:p w14:paraId="453A4ADB" w14:textId="77777777" w:rsidR="00C55790" w:rsidRPr="00C55790" w:rsidRDefault="00C55790" w:rsidP="00C55790">
            <w:pPr>
              <w:keepLines w:val="0"/>
              <w:spacing w:after="0" w:line="240" w:lineRule="auto"/>
              <w:rPr>
                <w:rFonts w:cs="Arial"/>
                <w:b/>
                <w:bCs/>
                <w:color w:val="000000"/>
                <w:szCs w:val="20"/>
              </w:rPr>
            </w:pPr>
          </w:p>
          <w:p w14:paraId="68568262" w14:textId="4A690670"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w:t>
            </w:r>
            <w:r w:rsidR="005E3C5D">
              <w:rPr>
                <w:rFonts w:cs="Arial"/>
                <w:color w:val="000000"/>
                <w:szCs w:val="20"/>
              </w:rPr>
              <w:t>RMR</w:t>
            </w:r>
          </w:p>
          <w:p w14:paraId="59D4D51F"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Apparatus licence</w:t>
            </w:r>
          </w:p>
          <w:p w14:paraId="5500F933" w14:textId="77777777" w:rsidR="00C55790" w:rsidRPr="00C55790" w:rsidRDefault="00C55790" w:rsidP="00C55790">
            <w:pPr>
              <w:spacing w:after="0" w:line="240" w:lineRule="auto"/>
              <w:rPr>
                <w:rFonts w:ascii="Calibri" w:hAnsi="Calibri" w:cs="Calibri"/>
                <w:color w:val="000000"/>
                <w:sz w:val="22"/>
                <w:szCs w:val="22"/>
              </w:rPr>
            </w:pPr>
          </w:p>
        </w:tc>
        <w:tc>
          <w:tcPr>
            <w:tcW w:w="2530" w:type="dxa"/>
            <w:tcBorders>
              <w:top w:val="single" w:sz="8" w:space="0" w:color="auto"/>
              <w:left w:val="single" w:sz="8" w:space="0" w:color="auto"/>
              <w:bottom w:val="single" w:sz="8" w:space="0" w:color="auto"/>
              <w:right w:val="single" w:sz="8" w:space="0" w:color="auto"/>
            </w:tcBorders>
            <w:shd w:val="clear" w:color="auto" w:fill="D9D9D9"/>
            <w:vAlign w:val="bottom"/>
          </w:tcPr>
          <w:p w14:paraId="21650BCC" w14:textId="77777777" w:rsidR="00C55790" w:rsidRPr="00C55790" w:rsidRDefault="00C55790" w:rsidP="00C55790">
            <w:pPr>
              <w:spacing w:after="0" w:line="240" w:lineRule="auto"/>
              <w:rPr>
                <w:rFonts w:ascii="Calibri" w:hAnsi="Calibri" w:cs="Calibri"/>
                <w:color w:val="000000"/>
                <w:sz w:val="22"/>
                <w:szCs w:val="22"/>
              </w:rPr>
            </w:pPr>
          </w:p>
        </w:tc>
      </w:tr>
      <w:tr w:rsidR="00C55790" w:rsidRPr="00C55790" w14:paraId="1125E260" w14:textId="77777777" w:rsidTr="00C55790">
        <w:trPr>
          <w:trHeight w:val="1303"/>
        </w:trPr>
        <w:tc>
          <w:tcPr>
            <w:tcW w:w="576" w:type="dxa"/>
            <w:vMerge/>
            <w:tcBorders>
              <w:left w:val="nil"/>
              <w:right w:val="single" w:sz="8" w:space="0" w:color="auto"/>
            </w:tcBorders>
            <w:shd w:val="clear" w:color="auto" w:fill="auto"/>
            <w:noWrap/>
            <w:vAlign w:val="bottom"/>
            <w:hideMark/>
          </w:tcPr>
          <w:p w14:paraId="6C90E008" w14:textId="77777777" w:rsidR="00C55790" w:rsidRPr="00C55790" w:rsidRDefault="00C55790" w:rsidP="00C55790">
            <w:pPr>
              <w:keepLines w:val="0"/>
              <w:spacing w:after="0" w:line="240" w:lineRule="auto"/>
              <w:rPr>
                <w:rFonts w:ascii="Times New Roman" w:hAnsi="Times New Roman"/>
                <w:szCs w:val="20"/>
              </w:rPr>
            </w:pPr>
          </w:p>
        </w:tc>
        <w:tc>
          <w:tcPr>
            <w:tcW w:w="5004" w:type="dxa"/>
            <w:gridSpan w:val="2"/>
            <w:vMerge/>
            <w:tcBorders>
              <w:left w:val="single" w:sz="8" w:space="0" w:color="auto"/>
              <w:right w:val="single" w:sz="8" w:space="0" w:color="auto"/>
            </w:tcBorders>
            <w:shd w:val="clear" w:color="auto" w:fill="E2EFD9"/>
            <w:noWrap/>
            <w:vAlign w:val="bottom"/>
            <w:hideMark/>
          </w:tcPr>
          <w:p w14:paraId="0CEF8E8B" w14:textId="77777777" w:rsidR="00C55790" w:rsidRPr="00C55790" w:rsidRDefault="00C55790" w:rsidP="00C55790">
            <w:pPr>
              <w:keepLines w:val="0"/>
              <w:spacing w:after="0" w:line="240" w:lineRule="auto"/>
              <w:rPr>
                <w:rFonts w:ascii="Times New Roman" w:hAnsi="Times New Roman"/>
                <w:szCs w:val="20"/>
              </w:rPr>
            </w:pPr>
          </w:p>
        </w:tc>
        <w:tc>
          <w:tcPr>
            <w:tcW w:w="5059" w:type="dxa"/>
            <w:gridSpan w:val="2"/>
            <w:tcBorders>
              <w:top w:val="single" w:sz="8" w:space="0" w:color="auto"/>
              <w:left w:val="single" w:sz="8" w:space="0" w:color="auto"/>
              <w:bottom w:val="single" w:sz="8" w:space="0" w:color="auto"/>
              <w:right w:val="single" w:sz="8" w:space="0" w:color="auto"/>
            </w:tcBorders>
            <w:shd w:val="clear" w:color="auto" w:fill="FFE599"/>
            <w:vAlign w:val="center"/>
            <w:hideMark/>
          </w:tcPr>
          <w:p w14:paraId="5D3C12E2" w14:textId="41102C9E" w:rsidR="00C55790" w:rsidRPr="00C55790" w:rsidRDefault="00C55790" w:rsidP="00C55790">
            <w:pPr>
              <w:spacing w:after="0" w:line="240" w:lineRule="auto"/>
              <w:jc w:val="center"/>
              <w:rPr>
                <w:rFonts w:ascii="Calibri" w:hAnsi="Calibri" w:cs="Calibri"/>
                <w:b/>
                <w:bCs/>
                <w:color w:val="000000"/>
                <w:sz w:val="24"/>
              </w:rPr>
            </w:pPr>
            <w:r w:rsidRPr="00C55790">
              <w:rPr>
                <w:rFonts w:ascii="Calibri" w:hAnsi="Calibri" w:cs="Calibri"/>
                <w:b/>
                <w:bCs/>
                <w:color w:val="000000"/>
                <w:sz w:val="24"/>
              </w:rPr>
              <w:t xml:space="preserve">Regional and </w:t>
            </w:r>
            <w:r w:rsidR="00ED026A">
              <w:rPr>
                <w:rFonts w:ascii="Calibri" w:hAnsi="Calibri" w:cs="Calibri"/>
                <w:b/>
                <w:bCs/>
                <w:color w:val="000000"/>
                <w:sz w:val="24"/>
              </w:rPr>
              <w:t>r</w:t>
            </w:r>
            <w:r w:rsidRPr="00C55790">
              <w:rPr>
                <w:rFonts w:ascii="Calibri" w:hAnsi="Calibri" w:cs="Calibri"/>
                <w:b/>
                <w:bCs/>
                <w:color w:val="000000"/>
                <w:sz w:val="24"/>
              </w:rPr>
              <w:t>emote Australia</w:t>
            </w:r>
          </w:p>
          <w:p w14:paraId="64AD3E44" w14:textId="77777777" w:rsidR="00C55790" w:rsidRPr="00C55790" w:rsidRDefault="00C55790" w:rsidP="00C55790">
            <w:pPr>
              <w:spacing w:after="0" w:line="240" w:lineRule="auto"/>
              <w:rPr>
                <w:rFonts w:ascii="Calibri" w:hAnsi="Calibri" w:cs="Calibri"/>
                <w:b/>
                <w:bCs/>
                <w:color w:val="000000"/>
                <w:sz w:val="24"/>
              </w:rPr>
            </w:pPr>
            <w:r w:rsidRPr="00C55790">
              <w:rPr>
                <w:rFonts w:ascii="Calibri" w:hAnsi="Calibri" w:cs="Calibri"/>
                <w:color w:val="000000"/>
                <w:sz w:val="24"/>
              </w:rPr>
              <w:t> </w:t>
            </w:r>
          </w:p>
          <w:p w14:paraId="653AB28F"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LA WBB, PTP</w:t>
            </w:r>
          </w:p>
          <w:p w14:paraId="17E0FB75"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Apparatus licence</w:t>
            </w:r>
          </w:p>
          <w:p w14:paraId="2D1B7360" w14:textId="77777777" w:rsidR="00C55790" w:rsidRPr="00C55790" w:rsidRDefault="00C55790" w:rsidP="00C55790">
            <w:pPr>
              <w:keepLines w:val="0"/>
              <w:spacing w:after="0" w:line="240" w:lineRule="auto"/>
              <w:rPr>
                <w:rFonts w:ascii="Calibri" w:hAnsi="Calibri" w:cs="Calibri"/>
                <w:b/>
                <w:bCs/>
                <w:color w:val="000000"/>
                <w:sz w:val="24"/>
              </w:rPr>
            </w:pPr>
          </w:p>
        </w:tc>
      </w:tr>
      <w:tr w:rsidR="00C55790" w:rsidRPr="00C55790" w14:paraId="64390E7A" w14:textId="77777777" w:rsidTr="00C55790">
        <w:trPr>
          <w:trHeight w:val="225"/>
        </w:trPr>
        <w:tc>
          <w:tcPr>
            <w:tcW w:w="576" w:type="dxa"/>
            <w:vMerge/>
            <w:tcBorders>
              <w:left w:val="nil"/>
              <w:bottom w:val="nil"/>
              <w:right w:val="single" w:sz="8" w:space="0" w:color="auto"/>
            </w:tcBorders>
            <w:shd w:val="clear" w:color="auto" w:fill="auto"/>
            <w:noWrap/>
            <w:vAlign w:val="bottom"/>
          </w:tcPr>
          <w:p w14:paraId="756A2EB3" w14:textId="77777777" w:rsidR="00C55790" w:rsidRPr="00C55790" w:rsidRDefault="00C55790" w:rsidP="00C55790">
            <w:pPr>
              <w:keepLines w:val="0"/>
              <w:spacing w:after="0" w:line="240" w:lineRule="auto"/>
              <w:rPr>
                <w:rFonts w:ascii="Times New Roman" w:hAnsi="Times New Roman"/>
                <w:szCs w:val="20"/>
              </w:rPr>
            </w:pPr>
          </w:p>
        </w:tc>
        <w:tc>
          <w:tcPr>
            <w:tcW w:w="5004" w:type="dxa"/>
            <w:gridSpan w:val="2"/>
            <w:vMerge/>
            <w:tcBorders>
              <w:left w:val="single" w:sz="8" w:space="0" w:color="auto"/>
              <w:bottom w:val="single" w:sz="4" w:space="0" w:color="auto"/>
              <w:right w:val="single" w:sz="8" w:space="0" w:color="auto"/>
            </w:tcBorders>
            <w:shd w:val="clear" w:color="auto" w:fill="E2EFD9"/>
            <w:noWrap/>
            <w:vAlign w:val="bottom"/>
          </w:tcPr>
          <w:p w14:paraId="058E8137" w14:textId="77777777" w:rsidR="00C55790" w:rsidRPr="00C55790" w:rsidRDefault="00C55790" w:rsidP="00C55790">
            <w:pPr>
              <w:keepLines w:val="0"/>
              <w:spacing w:after="0" w:line="240" w:lineRule="auto"/>
              <w:rPr>
                <w:rFonts w:ascii="Times New Roman" w:hAnsi="Times New Roman"/>
                <w:szCs w:val="20"/>
              </w:rPr>
            </w:pPr>
          </w:p>
        </w:tc>
        <w:tc>
          <w:tcPr>
            <w:tcW w:w="2529" w:type="dxa"/>
            <w:tcBorders>
              <w:top w:val="single" w:sz="8" w:space="0" w:color="auto"/>
              <w:left w:val="single" w:sz="8" w:space="0" w:color="auto"/>
              <w:bottom w:val="single" w:sz="8" w:space="0" w:color="auto"/>
              <w:right w:val="single" w:sz="8" w:space="0" w:color="auto"/>
            </w:tcBorders>
            <w:shd w:val="clear" w:color="auto" w:fill="FFE599"/>
            <w:noWrap/>
            <w:vAlign w:val="bottom"/>
          </w:tcPr>
          <w:p w14:paraId="46FFDBF1" w14:textId="77777777" w:rsidR="00C55790" w:rsidRPr="00C55790" w:rsidRDefault="00C55790" w:rsidP="00C55790">
            <w:pPr>
              <w:spacing w:after="0" w:line="240" w:lineRule="auto"/>
              <w:rPr>
                <w:rFonts w:ascii="Calibri" w:hAnsi="Calibri" w:cs="Calibri"/>
                <w:b/>
                <w:bCs/>
                <w:color w:val="000000"/>
                <w:sz w:val="22"/>
                <w:szCs w:val="22"/>
              </w:rPr>
            </w:pPr>
          </w:p>
          <w:p w14:paraId="60A598E5" w14:textId="3A28D420"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w:t>
            </w:r>
            <w:r w:rsidR="005E3C5D">
              <w:rPr>
                <w:rFonts w:cs="Arial"/>
                <w:color w:val="000000"/>
                <w:szCs w:val="20"/>
              </w:rPr>
              <w:t>RMR</w:t>
            </w:r>
          </w:p>
          <w:p w14:paraId="4BE77C0E"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Apparatus licence</w:t>
            </w:r>
          </w:p>
          <w:p w14:paraId="0A8F1063" w14:textId="77777777" w:rsidR="00C55790" w:rsidRPr="00C55790" w:rsidRDefault="00C55790" w:rsidP="00C55790">
            <w:pPr>
              <w:spacing w:after="0" w:line="240" w:lineRule="auto"/>
              <w:rPr>
                <w:rFonts w:ascii="Calibri" w:hAnsi="Calibri" w:cs="Calibri"/>
                <w:color w:val="000000"/>
                <w:sz w:val="22"/>
                <w:szCs w:val="22"/>
              </w:rPr>
            </w:pPr>
          </w:p>
        </w:tc>
        <w:tc>
          <w:tcPr>
            <w:tcW w:w="2530" w:type="dxa"/>
            <w:tcBorders>
              <w:top w:val="single" w:sz="8" w:space="0" w:color="auto"/>
              <w:left w:val="single" w:sz="8" w:space="0" w:color="auto"/>
              <w:bottom w:val="single" w:sz="8" w:space="0" w:color="auto"/>
              <w:right w:val="single" w:sz="8" w:space="0" w:color="auto"/>
            </w:tcBorders>
            <w:shd w:val="clear" w:color="auto" w:fill="FFE599"/>
            <w:vAlign w:val="bottom"/>
          </w:tcPr>
          <w:p w14:paraId="2D745DA3" w14:textId="77777777" w:rsidR="00C55790" w:rsidRPr="00C55790" w:rsidRDefault="00C55790" w:rsidP="00C55790">
            <w:pPr>
              <w:spacing w:after="0" w:line="240" w:lineRule="auto"/>
              <w:rPr>
                <w:rFonts w:ascii="Calibri" w:hAnsi="Calibri" w:cs="Calibri"/>
                <w:color w:val="000000"/>
                <w:sz w:val="22"/>
                <w:szCs w:val="22"/>
              </w:rPr>
            </w:pPr>
          </w:p>
        </w:tc>
      </w:tr>
    </w:tbl>
    <w:p w14:paraId="608A79B5" w14:textId="77777777" w:rsidR="003D16A8" w:rsidRPr="0008685B" w:rsidRDefault="003D16A8" w:rsidP="003D16A8"/>
    <w:p w14:paraId="3A16E794" w14:textId="77777777" w:rsidR="003D16A8" w:rsidRDefault="003D16A8" w:rsidP="00FD2C90">
      <w:pPr>
        <w:pStyle w:val="Heading3"/>
        <w:keepLines w:val="0"/>
      </w:pPr>
      <w:r w:rsidRPr="00830FC6">
        <w:t>Changes by frequency segment</w:t>
      </w:r>
    </w:p>
    <w:p w14:paraId="0396E237" w14:textId="248C7CDF" w:rsidR="003D16A8" w:rsidRPr="00830FC6" w:rsidRDefault="003D16A8" w:rsidP="00FD2C90">
      <w:pPr>
        <w:pStyle w:val="Heading4"/>
        <w:keepLines w:val="0"/>
        <w:rPr>
          <w:b w:val="0"/>
          <w:bCs/>
          <w:szCs w:val="20"/>
        </w:rPr>
      </w:pPr>
      <w:r w:rsidRPr="00830FC6">
        <w:t>1880</w:t>
      </w:r>
      <w:r w:rsidR="003306A7">
        <w:t>–</w:t>
      </w:r>
      <w:r w:rsidRPr="00830FC6">
        <w:t>1900 MHz</w:t>
      </w:r>
    </w:p>
    <w:p w14:paraId="2A9446C2" w14:textId="432D7810" w:rsidR="00B85436" w:rsidRPr="00830FC6" w:rsidRDefault="00AE0182" w:rsidP="00FD2C90">
      <w:pPr>
        <w:pStyle w:val="ListBullet"/>
        <w:keepLines w:val="0"/>
      </w:pPr>
      <w:r>
        <w:t>Continue</w:t>
      </w:r>
      <w:r w:rsidRPr="00830FC6">
        <w:t xml:space="preserve"> </w:t>
      </w:r>
      <w:r>
        <w:t>exclusive</w:t>
      </w:r>
      <w:r w:rsidRPr="00830FC6">
        <w:t xml:space="preserve"> arrangements for </w:t>
      </w:r>
      <w:r>
        <w:t xml:space="preserve">SR WBB via </w:t>
      </w:r>
      <w:r w:rsidR="003306A7">
        <w:t>c</w:t>
      </w:r>
      <w:r w:rsidRPr="00830FC6">
        <w:t xml:space="preserve">lass </w:t>
      </w:r>
      <w:r w:rsidR="003306A7">
        <w:t>l</w:t>
      </w:r>
      <w:r w:rsidR="00B85436" w:rsidRPr="00830FC6">
        <w:t>icence</w:t>
      </w:r>
      <w:r w:rsidR="00B85436">
        <w:t>s</w:t>
      </w:r>
      <w:r w:rsidR="004E78F1">
        <w:t>, which:</w:t>
      </w:r>
    </w:p>
    <w:p w14:paraId="156B4CFB" w14:textId="395C11EA" w:rsidR="00B85436" w:rsidRDefault="00B85436" w:rsidP="00FD2C90">
      <w:pPr>
        <w:pStyle w:val="ListBullet2"/>
        <w:keepLines w:val="0"/>
      </w:pPr>
      <w:r w:rsidRPr="00830FC6">
        <w:t>support</w:t>
      </w:r>
      <w:r>
        <w:t xml:space="preserve"> technologies such as</w:t>
      </w:r>
      <w:r w:rsidRPr="00830FC6">
        <w:t xml:space="preserve"> DECT</w:t>
      </w:r>
      <w:r w:rsidR="00A13647">
        <w:t xml:space="preserve"> and</w:t>
      </w:r>
      <w:r w:rsidRPr="00830FC6">
        <w:t xml:space="preserve"> PHS</w:t>
      </w:r>
    </w:p>
    <w:p w14:paraId="5AF27936" w14:textId="4263D28E" w:rsidR="00B85436" w:rsidRPr="00B85436" w:rsidRDefault="00B85436" w:rsidP="00FD2C90">
      <w:pPr>
        <w:pStyle w:val="ListBullet2"/>
        <w:keepLines w:val="0"/>
      </w:pPr>
      <w:r w:rsidRPr="00EE7780">
        <w:t xml:space="preserve">accommodate </w:t>
      </w:r>
      <w:r w:rsidRPr="00B85436">
        <w:t>new technologies such as</w:t>
      </w:r>
      <w:r w:rsidR="00363EF0">
        <w:t xml:space="preserve"> future</w:t>
      </w:r>
      <w:r w:rsidRPr="00B85436">
        <w:t xml:space="preserve"> </w:t>
      </w:r>
      <w:r w:rsidR="00056002" w:rsidDel="007145F8">
        <w:t>DECT</w:t>
      </w:r>
      <w:r w:rsidR="007E68F2">
        <w:t xml:space="preserve"> </w:t>
      </w:r>
      <w:r w:rsidRPr="00B85436">
        <w:t>and MulteFire, Australia</w:t>
      </w:r>
      <w:r w:rsidR="00ED026A">
        <w:t>-</w:t>
      </w:r>
      <w:r w:rsidRPr="00B85436">
        <w:t>wide</w:t>
      </w:r>
      <w:r w:rsidR="00B60C9D">
        <w:t>.</w:t>
      </w:r>
    </w:p>
    <w:p w14:paraId="68D5040B" w14:textId="77777777" w:rsidR="003D16A8" w:rsidRPr="00830FC6" w:rsidRDefault="003D16A8" w:rsidP="00FD2C90">
      <w:pPr>
        <w:pStyle w:val="Heading4"/>
        <w:keepLines w:val="0"/>
        <w:rPr>
          <w:b w:val="0"/>
          <w:bCs/>
          <w:szCs w:val="20"/>
        </w:rPr>
      </w:pPr>
      <w:r w:rsidRPr="00830FC6">
        <w:t>1900–1910 MHz</w:t>
      </w:r>
    </w:p>
    <w:p w14:paraId="4F09007F" w14:textId="0A917C23" w:rsidR="003D16A8" w:rsidRPr="00830FC6" w:rsidRDefault="003D16A8" w:rsidP="00FD2C90">
      <w:pPr>
        <w:pStyle w:val="ListBullet"/>
        <w:keepLines w:val="0"/>
      </w:pPr>
      <w:r w:rsidRPr="00830FC6">
        <w:t xml:space="preserve">Introduce </w:t>
      </w:r>
      <w:r w:rsidR="00B60C9D">
        <w:t xml:space="preserve">exclusive and </w:t>
      </w:r>
      <w:r w:rsidRPr="00830FC6">
        <w:t xml:space="preserve">shared arrangements for </w:t>
      </w:r>
      <w:r w:rsidR="005E3C5D">
        <w:t>RMR</w:t>
      </w:r>
      <w:r>
        <w:t xml:space="preserve"> Australia</w:t>
      </w:r>
      <w:r w:rsidR="00ED026A">
        <w:t>-</w:t>
      </w:r>
      <w:r>
        <w:t xml:space="preserve">wide </w:t>
      </w:r>
      <w:r w:rsidR="00B60C9D">
        <w:t xml:space="preserve">via </w:t>
      </w:r>
      <w:r w:rsidRPr="00830FC6">
        <w:t>Apparatus Licence</w:t>
      </w:r>
      <w:r w:rsidR="00B60C9D">
        <w:t>s, which:</w:t>
      </w:r>
    </w:p>
    <w:p w14:paraId="2764F48F" w14:textId="761EECF8" w:rsidR="003D16A8" w:rsidRPr="00830FC6" w:rsidRDefault="00B60C9D" w:rsidP="00FD2C90">
      <w:pPr>
        <w:pStyle w:val="ListBullet2"/>
        <w:keepLines w:val="0"/>
      </w:pPr>
      <w:r>
        <w:t>s</w:t>
      </w:r>
      <w:r w:rsidR="003D16A8" w:rsidRPr="00830FC6">
        <w:t xml:space="preserve">upport </w:t>
      </w:r>
      <w:r w:rsidR="003D16A8">
        <w:t xml:space="preserve">rail applications </w:t>
      </w:r>
      <w:r w:rsidR="003D16A8" w:rsidRPr="00830FC6">
        <w:t>services such as FRMCS</w:t>
      </w:r>
      <w:r w:rsidR="003D16A8">
        <w:t>/MCX or 5G FRMCS solutions</w:t>
      </w:r>
      <w:r>
        <w:t>.</w:t>
      </w:r>
    </w:p>
    <w:p w14:paraId="6706E56B" w14:textId="27192B0C" w:rsidR="003D16A8" w:rsidRPr="00830FC6" w:rsidRDefault="003D16A8" w:rsidP="00FD2C90">
      <w:pPr>
        <w:pStyle w:val="Heading4"/>
        <w:keepLines w:val="0"/>
        <w:rPr>
          <w:b w:val="0"/>
          <w:bCs/>
          <w:szCs w:val="20"/>
        </w:rPr>
      </w:pPr>
      <w:r w:rsidRPr="00830FC6">
        <w:lastRenderedPageBreak/>
        <w:t>1900-1920 MHz</w:t>
      </w:r>
    </w:p>
    <w:p w14:paraId="0E9C210D" w14:textId="1B75E71F" w:rsidR="003D16A8" w:rsidRPr="00830FC6" w:rsidRDefault="003D16A8" w:rsidP="00FD2C90">
      <w:pPr>
        <w:pStyle w:val="ListBullet"/>
        <w:keepLines w:val="0"/>
      </w:pPr>
      <w:r w:rsidRPr="00830FC6">
        <w:t xml:space="preserve">Continue shared arrangements for </w:t>
      </w:r>
      <w:r>
        <w:t xml:space="preserve">WBB and PTP services </w:t>
      </w:r>
      <w:r w:rsidR="00B60C9D">
        <w:t xml:space="preserve">via </w:t>
      </w:r>
      <w:r w:rsidRPr="00830FC6">
        <w:t>Apparatus Licence</w:t>
      </w:r>
      <w:r w:rsidR="00B60C9D">
        <w:t>s, which:</w:t>
      </w:r>
    </w:p>
    <w:p w14:paraId="1986B54C" w14:textId="658178F8" w:rsidR="003306A7" w:rsidRPr="00A30B06" w:rsidRDefault="00B60C9D" w:rsidP="00FD2C90">
      <w:pPr>
        <w:pStyle w:val="ListBullet2"/>
        <w:keepLines w:val="0"/>
      </w:pPr>
      <w:r>
        <w:t>s</w:t>
      </w:r>
      <w:r w:rsidR="003D16A8" w:rsidRPr="00830FC6">
        <w:t>upport</w:t>
      </w:r>
      <w:r w:rsidR="003D16A8">
        <w:t>s</w:t>
      </w:r>
      <w:r w:rsidR="003D16A8" w:rsidRPr="00830FC6">
        <w:t xml:space="preserve"> </w:t>
      </w:r>
      <w:r w:rsidR="003D16A8">
        <w:t>LA</w:t>
      </w:r>
      <w:r w:rsidR="003D16A8" w:rsidRPr="00830FC6">
        <w:t xml:space="preserve"> WBB</w:t>
      </w:r>
      <w:r w:rsidR="003D16A8">
        <w:t xml:space="preserve"> and</w:t>
      </w:r>
      <w:r w:rsidR="003D16A8" w:rsidRPr="00830FC6">
        <w:t xml:space="preserve"> PTP</w:t>
      </w:r>
      <w:r w:rsidR="003D16A8">
        <w:t xml:space="preserve"> </w:t>
      </w:r>
      <w:r w:rsidR="003D16A8" w:rsidRPr="00830FC6">
        <w:t xml:space="preserve">in regional and remote areas, </w:t>
      </w:r>
      <w:r w:rsidR="003D16A8">
        <w:t xml:space="preserve">with </w:t>
      </w:r>
      <w:r w:rsidR="003D16A8" w:rsidRPr="00830FC6">
        <w:t>coordinated arrangements</w:t>
      </w:r>
      <w:r>
        <w:t>.</w:t>
      </w:r>
    </w:p>
    <w:p w14:paraId="78AD054F" w14:textId="5CDE6118" w:rsidR="003D16A8" w:rsidRPr="00576242" w:rsidRDefault="003D16A8" w:rsidP="00D51E3F">
      <w:pPr>
        <w:pStyle w:val="Heading2"/>
      </w:pPr>
      <w:bookmarkStart w:id="132" w:name="_Toc113626366"/>
      <w:bookmarkStart w:id="133" w:name="_Toc117870130"/>
      <w:bookmarkStart w:id="134" w:name="_Toc118785120"/>
      <w:bookmarkStart w:id="135" w:name="_Toc120600055"/>
      <w:r w:rsidRPr="00576242">
        <w:t xml:space="preserve">Option </w:t>
      </w:r>
      <w:r>
        <w:t>4</w:t>
      </w:r>
      <w:bookmarkEnd w:id="132"/>
      <w:r w:rsidR="00896B77">
        <w:t xml:space="preserve"> (</w:t>
      </w:r>
      <w:bookmarkStart w:id="136" w:name="_Hlk117863201"/>
      <w:r w:rsidR="00A82F2E">
        <w:t>h</w:t>
      </w:r>
      <w:r w:rsidR="00896B77">
        <w:t xml:space="preserve">ybrid </w:t>
      </w:r>
      <w:r w:rsidR="00A82F2E">
        <w:t>arrangements</w:t>
      </w:r>
      <w:bookmarkEnd w:id="136"/>
      <w:r w:rsidR="00896B77">
        <w:t>)</w:t>
      </w:r>
      <w:bookmarkEnd w:id="133"/>
      <w:bookmarkEnd w:id="134"/>
      <w:bookmarkEnd w:id="135"/>
    </w:p>
    <w:p w14:paraId="7E6B21AB" w14:textId="77777777" w:rsidR="0078059A" w:rsidRDefault="003D16A8" w:rsidP="0078059A">
      <w:pPr>
        <w:pStyle w:val="Paragraph"/>
        <w:keepLines w:val="0"/>
      </w:pPr>
      <w:bookmarkStart w:id="137" w:name="_Hlk107919837"/>
      <w:r>
        <w:t>Option 4 is</w:t>
      </w:r>
      <w:r w:rsidR="00EC0AD6">
        <w:t>, effectively,</w:t>
      </w:r>
      <w:r w:rsidRPr="00B04023">
        <w:t xml:space="preserve"> a hybrid arrangement </w:t>
      </w:r>
      <w:r w:rsidR="00EC0AD6">
        <w:t>of</w:t>
      </w:r>
      <w:r>
        <w:t xml:space="preserve"> Option 2 and Option 3. </w:t>
      </w:r>
    </w:p>
    <w:p w14:paraId="29E5C726" w14:textId="277E4906" w:rsidR="0078059A" w:rsidRDefault="003D16A8" w:rsidP="0078059A">
      <w:pPr>
        <w:pStyle w:val="Paragraph"/>
        <w:keepLines w:val="0"/>
      </w:pPr>
      <w:r>
        <w:t xml:space="preserve">It extends the </w:t>
      </w:r>
      <w:r w:rsidRPr="00B04023">
        <w:t>SR WBB</w:t>
      </w:r>
      <w:r w:rsidR="00376411">
        <w:t xml:space="preserve"> arrangements</w:t>
      </w:r>
      <w:r>
        <w:t xml:space="preserve"> to</w:t>
      </w:r>
      <w:r w:rsidRPr="00B04023">
        <w:t xml:space="preserve"> </w:t>
      </w:r>
      <w:r w:rsidR="00376411">
        <w:t xml:space="preserve">the </w:t>
      </w:r>
      <w:r w:rsidRPr="00B04023">
        <w:t>1880</w:t>
      </w:r>
      <w:r w:rsidR="003306A7">
        <w:t>–</w:t>
      </w:r>
      <w:r w:rsidRPr="00B04023">
        <w:t xml:space="preserve">1920 MHz </w:t>
      </w:r>
      <w:r w:rsidR="00376411">
        <w:t>frequency range via</w:t>
      </w:r>
      <w:r w:rsidRPr="00B04023">
        <w:t xml:space="preserve"> </w:t>
      </w:r>
      <w:r>
        <w:t>class licen</w:t>
      </w:r>
      <w:r w:rsidR="0019522F">
        <w:t>sing</w:t>
      </w:r>
      <w:r>
        <w:t xml:space="preserve"> </w:t>
      </w:r>
      <w:r w:rsidR="00B60C9D">
        <w:t>arrangements</w:t>
      </w:r>
      <w:r w:rsidR="003306A7">
        <w:t>;</w:t>
      </w:r>
      <w:r>
        <w:t xml:space="preserve"> </w:t>
      </w:r>
      <w:r w:rsidR="0055689C">
        <w:t xml:space="preserve">introduces </w:t>
      </w:r>
      <w:r w:rsidR="005E3C5D">
        <w:t>RMR</w:t>
      </w:r>
      <w:r w:rsidRPr="00B04023">
        <w:t xml:space="preserve"> services in the 1900</w:t>
      </w:r>
      <w:r w:rsidR="003306A7">
        <w:t>–</w:t>
      </w:r>
      <w:r w:rsidRPr="00B04023">
        <w:t xml:space="preserve">1910 MHz frequency </w:t>
      </w:r>
      <w:r w:rsidR="00376411">
        <w:t>range</w:t>
      </w:r>
      <w:r w:rsidR="00376411" w:rsidRPr="00B04023">
        <w:t xml:space="preserve"> </w:t>
      </w:r>
      <w:r w:rsidR="00B60C9D">
        <w:t>via</w:t>
      </w:r>
      <w:r w:rsidR="00B60C9D" w:rsidRPr="00B04023">
        <w:t xml:space="preserve"> </w:t>
      </w:r>
      <w:r w:rsidRPr="00B04023">
        <w:t>apparatus licen</w:t>
      </w:r>
      <w:r w:rsidR="000F4717">
        <w:t>s</w:t>
      </w:r>
      <w:r w:rsidR="0019522F">
        <w:t>ing</w:t>
      </w:r>
      <w:r w:rsidRPr="00B04023">
        <w:t xml:space="preserve"> </w:t>
      </w:r>
      <w:r w:rsidR="00B60C9D">
        <w:t>arrangements</w:t>
      </w:r>
      <w:r w:rsidR="003306A7">
        <w:t>,</w:t>
      </w:r>
      <w:r w:rsidR="00B60C9D">
        <w:t xml:space="preserve"> </w:t>
      </w:r>
      <w:r>
        <w:t xml:space="preserve">and maintains the existing </w:t>
      </w:r>
      <w:r w:rsidRPr="00B04023">
        <w:t xml:space="preserve">PTP and LA WBB services in </w:t>
      </w:r>
      <w:r>
        <w:t>the</w:t>
      </w:r>
      <w:r w:rsidRPr="00B04023">
        <w:t xml:space="preserve"> frequency </w:t>
      </w:r>
      <w:r>
        <w:t>range</w:t>
      </w:r>
      <w:r w:rsidRPr="00B04023">
        <w:t xml:space="preserve"> of 1900</w:t>
      </w:r>
      <w:r w:rsidR="003306A7">
        <w:t>–</w:t>
      </w:r>
      <w:r w:rsidRPr="00B04023">
        <w:t>1920 MHz</w:t>
      </w:r>
      <w:bookmarkEnd w:id="137"/>
      <w:r w:rsidR="00B60C9D">
        <w:t xml:space="preserve"> in regional and remote areas</w:t>
      </w:r>
      <w:r>
        <w:t xml:space="preserve">. </w:t>
      </w:r>
    </w:p>
    <w:p w14:paraId="5744601D" w14:textId="6EF78CE9" w:rsidR="003D16A8" w:rsidRPr="00B04023" w:rsidRDefault="00080C04" w:rsidP="00FD2C90">
      <w:pPr>
        <w:pStyle w:val="Paragraph"/>
        <w:keepLines w:val="0"/>
      </w:pPr>
      <w:r>
        <w:t xml:space="preserve">The coexistence issues </w:t>
      </w:r>
      <w:r w:rsidR="003E1FC7">
        <w:t>raised in Option 3 are relevant to this option.</w:t>
      </w:r>
      <w:r>
        <w:t xml:space="preserve"> </w:t>
      </w:r>
      <w:r w:rsidR="003D16A8">
        <w:t>These arrangements are illustrated in Figure 5.</w:t>
      </w:r>
      <w:r w:rsidR="003D16A8" w:rsidRPr="00B04023">
        <w:t xml:space="preserve"> </w:t>
      </w:r>
    </w:p>
    <w:p w14:paraId="75282195" w14:textId="42153FA0" w:rsidR="003D16A8" w:rsidRDefault="003D16A8" w:rsidP="00FD2C90">
      <w:pPr>
        <w:pStyle w:val="Figureheading"/>
        <w:keepNext w:val="0"/>
      </w:pPr>
      <w:r w:rsidRPr="001B5313">
        <w:t xml:space="preserve">Illustration of Option </w:t>
      </w:r>
      <w:r>
        <w:t xml:space="preserve">4 (Hybrid </w:t>
      </w:r>
      <w:r w:rsidR="004F303F">
        <w:t>arrangements</w:t>
      </w:r>
      <w:r>
        <w:t>)</w:t>
      </w:r>
    </w:p>
    <w:tbl>
      <w:tblPr>
        <w:tblpPr w:leftFromText="180" w:rightFromText="180" w:vertAnchor="text" w:horzAnchor="page" w:tblpX="406" w:tblpY="105"/>
        <w:tblW w:w="10639" w:type="dxa"/>
        <w:tblLayout w:type="fixed"/>
        <w:tblLook w:val="04A0" w:firstRow="1" w:lastRow="0" w:firstColumn="1" w:lastColumn="0" w:noHBand="0" w:noVBand="1"/>
        <w:tblDescription w:val="Figure 5: Illustration of Option 4 (Hybrid arrangements)"/>
      </w:tblPr>
      <w:tblGrid>
        <w:gridCol w:w="576"/>
        <w:gridCol w:w="2506"/>
        <w:gridCol w:w="2498"/>
        <w:gridCol w:w="2529"/>
        <w:gridCol w:w="2530"/>
      </w:tblGrid>
      <w:tr w:rsidR="00C55790" w:rsidRPr="00C55790" w14:paraId="115C3A17" w14:textId="77777777" w:rsidTr="008A65A2">
        <w:trPr>
          <w:trHeight w:val="1124"/>
        </w:trPr>
        <w:tc>
          <w:tcPr>
            <w:tcW w:w="576" w:type="dxa"/>
            <w:tcBorders>
              <w:top w:val="nil"/>
              <w:left w:val="nil"/>
              <w:bottom w:val="nil"/>
              <w:right w:val="nil"/>
            </w:tcBorders>
            <w:shd w:val="clear" w:color="auto" w:fill="auto"/>
            <w:noWrap/>
            <w:textDirection w:val="btLr"/>
            <w:vAlign w:val="bottom"/>
            <w:hideMark/>
          </w:tcPr>
          <w:p w14:paraId="4D648989"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1880 MHz</w:t>
            </w:r>
          </w:p>
        </w:tc>
        <w:tc>
          <w:tcPr>
            <w:tcW w:w="2506" w:type="dxa"/>
            <w:tcBorders>
              <w:top w:val="nil"/>
              <w:left w:val="nil"/>
              <w:bottom w:val="single" w:sz="8" w:space="0" w:color="auto"/>
              <w:right w:val="nil"/>
            </w:tcBorders>
            <w:shd w:val="clear" w:color="auto" w:fill="auto"/>
            <w:textDirection w:val="btLr"/>
            <w:vAlign w:val="bottom"/>
            <w:hideMark/>
          </w:tcPr>
          <w:p w14:paraId="24FD1CDF" w14:textId="77777777" w:rsidR="00C55790" w:rsidRPr="00C55790" w:rsidRDefault="00C55790" w:rsidP="00C55790">
            <w:pPr>
              <w:keepLines w:val="0"/>
              <w:spacing w:after="0" w:line="240" w:lineRule="auto"/>
              <w:jc w:val="right"/>
              <w:rPr>
                <w:rFonts w:ascii="Calibri" w:hAnsi="Calibri" w:cs="Calibri"/>
                <w:b/>
                <w:bCs/>
                <w:color w:val="000000"/>
                <w:sz w:val="22"/>
                <w:szCs w:val="22"/>
              </w:rPr>
            </w:pPr>
          </w:p>
        </w:tc>
        <w:tc>
          <w:tcPr>
            <w:tcW w:w="2498" w:type="dxa"/>
            <w:tcBorders>
              <w:top w:val="nil"/>
              <w:left w:val="nil"/>
              <w:bottom w:val="single" w:sz="8" w:space="0" w:color="auto"/>
              <w:right w:val="nil"/>
            </w:tcBorders>
            <w:shd w:val="clear" w:color="auto" w:fill="auto"/>
            <w:textDirection w:val="btLr"/>
            <w:vAlign w:val="bottom"/>
            <w:hideMark/>
          </w:tcPr>
          <w:p w14:paraId="1D495129"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1900 MHz</w:t>
            </w:r>
          </w:p>
        </w:tc>
        <w:tc>
          <w:tcPr>
            <w:tcW w:w="2529" w:type="dxa"/>
            <w:tcBorders>
              <w:top w:val="nil"/>
              <w:left w:val="nil"/>
              <w:bottom w:val="single" w:sz="8" w:space="0" w:color="auto"/>
            </w:tcBorders>
            <w:shd w:val="clear" w:color="auto" w:fill="auto"/>
            <w:textDirection w:val="btLr"/>
            <w:vAlign w:val="bottom"/>
          </w:tcPr>
          <w:p w14:paraId="20BB4393"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1910 MHz</w:t>
            </w:r>
          </w:p>
        </w:tc>
        <w:tc>
          <w:tcPr>
            <w:tcW w:w="2530" w:type="dxa"/>
            <w:tcBorders>
              <w:top w:val="nil"/>
              <w:bottom w:val="single" w:sz="8" w:space="0" w:color="auto"/>
              <w:right w:val="nil"/>
            </w:tcBorders>
            <w:shd w:val="clear" w:color="auto" w:fill="auto"/>
            <w:textDirection w:val="btLr"/>
            <w:vAlign w:val="bottom"/>
            <w:hideMark/>
          </w:tcPr>
          <w:p w14:paraId="4B1C2249" w14:textId="77777777" w:rsidR="00C55790" w:rsidRPr="00C55790" w:rsidRDefault="00C55790" w:rsidP="00C55790">
            <w:pPr>
              <w:keepLines w:val="0"/>
              <w:spacing w:after="0" w:line="240" w:lineRule="auto"/>
              <w:jc w:val="right"/>
              <w:rPr>
                <w:rFonts w:ascii="Calibri" w:hAnsi="Calibri" w:cs="Calibri"/>
                <w:b/>
                <w:bCs/>
                <w:color w:val="000000"/>
                <w:sz w:val="22"/>
                <w:szCs w:val="22"/>
              </w:rPr>
            </w:pPr>
            <w:r w:rsidRPr="00C55790">
              <w:rPr>
                <w:rFonts w:ascii="Calibri" w:hAnsi="Calibri" w:cs="Calibri"/>
                <w:b/>
                <w:bCs/>
                <w:color w:val="000000"/>
                <w:sz w:val="22"/>
                <w:szCs w:val="22"/>
              </w:rPr>
              <w:t>1920 MHz</w:t>
            </w:r>
          </w:p>
        </w:tc>
      </w:tr>
      <w:tr w:rsidR="00C55790" w:rsidRPr="00C55790" w14:paraId="1E6CE25D" w14:textId="77777777" w:rsidTr="00C55790">
        <w:trPr>
          <w:trHeight w:val="266"/>
        </w:trPr>
        <w:tc>
          <w:tcPr>
            <w:tcW w:w="576" w:type="dxa"/>
            <w:tcBorders>
              <w:top w:val="nil"/>
              <w:left w:val="nil"/>
              <w:bottom w:val="nil"/>
              <w:right w:val="single" w:sz="8" w:space="0" w:color="auto"/>
            </w:tcBorders>
            <w:shd w:val="clear" w:color="auto" w:fill="auto"/>
            <w:noWrap/>
            <w:vAlign w:val="bottom"/>
          </w:tcPr>
          <w:p w14:paraId="1A2D4998" w14:textId="77777777" w:rsidR="00C55790" w:rsidRPr="00C55790" w:rsidRDefault="00C55790" w:rsidP="00C55790">
            <w:pPr>
              <w:keepLines w:val="0"/>
              <w:spacing w:after="0" w:line="240" w:lineRule="auto"/>
              <w:rPr>
                <w:rFonts w:ascii="Calibri" w:hAnsi="Calibri" w:cs="Calibri"/>
                <w:b/>
                <w:bCs/>
                <w:color w:val="000000"/>
                <w:sz w:val="22"/>
                <w:szCs w:val="22"/>
              </w:rPr>
            </w:pPr>
          </w:p>
        </w:tc>
        <w:tc>
          <w:tcPr>
            <w:tcW w:w="5004" w:type="dxa"/>
            <w:gridSpan w:val="2"/>
            <w:vMerge w:val="restart"/>
            <w:tcBorders>
              <w:top w:val="single" w:sz="8" w:space="0" w:color="auto"/>
              <w:left w:val="single" w:sz="8" w:space="0" w:color="auto"/>
              <w:right w:val="single" w:sz="8" w:space="0" w:color="auto"/>
            </w:tcBorders>
            <w:shd w:val="clear" w:color="auto" w:fill="E2EFD9"/>
          </w:tcPr>
          <w:p w14:paraId="566CF966" w14:textId="0A81820E" w:rsidR="00C55790" w:rsidRPr="00C55790" w:rsidRDefault="00C55790" w:rsidP="00C55790">
            <w:pPr>
              <w:keepLines w:val="0"/>
              <w:spacing w:after="0" w:line="240" w:lineRule="auto"/>
              <w:jc w:val="center"/>
              <w:rPr>
                <w:rFonts w:ascii="Calibri" w:hAnsi="Calibri" w:cs="Calibri"/>
                <w:b/>
                <w:bCs/>
                <w:color w:val="000000"/>
                <w:sz w:val="24"/>
              </w:rPr>
            </w:pPr>
            <w:r w:rsidRPr="00C55790">
              <w:rPr>
                <w:rFonts w:ascii="Calibri" w:hAnsi="Calibri" w:cs="Calibri"/>
                <w:b/>
                <w:bCs/>
                <w:color w:val="000000"/>
                <w:sz w:val="24"/>
              </w:rPr>
              <w:t>Australia</w:t>
            </w:r>
            <w:r w:rsidR="00ED026A">
              <w:rPr>
                <w:rFonts w:ascii="Calibri" w:hAnsi="Calibri" w:cs="Calibri"/>
                <w:b/>
                <w:bCs/>
                <w:color w:val="000000"/>
                <w:sz w:val="24"/>
              </w:rPr>
              <w:t>-w</w:t>
            </w:r>
            <w:r w:rsidRPr="00C55790">
              <w:rPr>
                <w:rFonts w:ascii="Calibri" w:hAnsi="Calibri" w:cs="Calibri"/>
                <w:b/>
                <w:bCs/>
                <w:color w:val="000000"/>
                <w:sz w:val="24"/>
              </w:rPr>
              <w:t>ide</w:t>
            </w:r>
          </w:p>
          <w:p w14:paraId="2DA8AC33" w14:textId="77777777" w:rsidR="00C55790" w:rsidRPr="00C55790" w:rsidRDefault="00C55790" w:rsidP="00C55790">
            <w:pPr>
              <w:keepLines w:val="0"/>
              <w:spacing w:after="0" w:line="240" w:lineRule="auto"/>
              <w:rPr>
                <w:rFonts w:cs="Arial"/>
                <w:b/>
                <w:bCs/>
                <w:color w:val="000000"/>
                <w:szCs w:val="20"/>
              </w:rPr>
            </w:pPr>
          </w:p>
          <w:p w14:paraId="3AE2FAD1" w14:textId="77777777" w:rsidR="00C55790" w:rsidRPr="00C55790" w:rsidRDefault="00C55790" w:rsidP="00C55790">
            <w:pPr>
              <w:keepLines w:val="0"/>
              <w:spacing w:after="0" w:line="240" w:lineRule="auto"/>
              <w:rPr>
                <w:rFonts w:cs="Arial"/>
                <w:b/>
                <w:bCs/>
                <w:color w:val="000000"/>
                <w:szCs w:val="20"/>
              </w:rPr>
            </w:pPr>
          </w:p>
          <w:p w14:paraId="30BCF90C" w14:textId="77777777" w:rsidR="00C55790" w:rsidRPr="00C55790" w:rsidRDefault="00C55790" w:rsidP="00C55790">
            <w:pPr>
              <w:keepLines w:val="0"/>
              <w:spacing w:after="0" w:line="240" w:lineRule="auto"/>
              <w:rPr>
                <w:rFonts w:cs="Arial"/>
                <w:b/>
                <w:bCs/>
                <w:color w:val="000000"/>
                <w:szCs w:val="20"/>
              </w:rPr>
            </w:pPr>
          </w:p>
          <w:p w14:paraId="5CAB0205" w14:textId="77777777" w:rsidR="00C55790" w:rsidRPr="00C55790" w:rsidRDefault="00C55790" w:rsidP="00C55790">
            <w:pPr>
              <w:keepLines w:val="0"/>
              <w:spacing w:after="0" w:line="240" w:lineRule="auto"/>
              <w:rPr>
                <w:rFonts w:cs="Arial"/>
                <w:b/>
                <w:bCs/>
                <w:color w:val="000000"/>
                <w:szCs w:val="20"/>
              </w:rPr>
            </w:pPr>
          </w:p>
          <w:p w14:paraId="277970A8" w14:textId="77777777" w:rsidR="00C55790" w:rsidRPr="00C55790" w:rsidRDefault="00C55790" w:rsidP="00C55790">
            <w:pPr>
              <w:keepLines w:val="0"/>
              <w:spacing w:after="0" w:line="240" w:lineRule="auto"/>
              <w:rPr>
                <w:rFonts w:cs="Arial"/>
                <w:b/>
                <w:bCs/>
                <w:color w:val="000000"/>
                <w:szCs w:val="20"/>
              </w:rPr>
            </w:pPr>
          </w:p>
          <w:p w14:paraId="78E393A7" w14:textId="77777777" w:rsidR="00C55790" w:rsidRPr="00C55790" w:rsidRDefault="00C55790" w:rsidP="00C55790">
            <w:pPr>
              <w:keepLines w:val="0"/>
              <w:spacing w:after="0" w:line="240" w:lineRule="auto"/>
              <w:rPr>
                <w:rFonts w:cs="Arial"/>
                <w:b/>
                <w:bCs/>
                <w:color w:val="000000"/>
                <w:szCs w:val="20"/>
              </w:rPr>
            </w:pPr>
          </w:p>
          <w:p w14:paraId="4DA45777" w14:textId="77777777" w:rsidR="00C55790" w:rsidRPr="00C55790" w:rsidRDefault="00C55790" w:rsidP="00C55790">
            <w:pPr>
              <w:keepLines w:val="0"/>
              <w:spacing w:after="0" w:line="240" w:lineRule="auto"/>
              <w:rPr>
                <w:rFonts w:cs="Arial"/>
                <w:b/>
                <w:bCs/>
                <w:color w:val="000000"/>
                <w:szCs w:val="20"/>
              </w:rPr>
            </w:pPr>
          </w:p>
          <w:p w14:paraId="34BC5C5A" w14:textId="77777777" w:rsidR="00C55790" w:rsidRPr="00C55790" w:rsidRDefault="00C55790" w:rsidP="00C55790">
            <w:pPr>
              <w:keepLines w:val="0"/>
              <w:spacing w:after="0" w:line="240" w:lineRule="auto"/>
              <w:rPr>
                <w:rFonts w:cs="Arial"/>
                <w:b/>
                <w:bCs/>
                <w:color w:val="000000"/>
                <w:szCs w:val="20"/>
              </w:rPr>
            </w:pPr>
          </w:p>
          <w:p w14:paraId="392FC6A8" w14:textId="77777777" w:rsidR="00C55790" w:rsidRPr="00C55790" w:rsidRDefault="00C55790" w:rsidP="00C55790">
            <w:pPr>
              <w:keepLines w:val="0"/>
              <w:spacing w:after="0" w:line="240" w:lineRule="auto"/>
              <w:rPr>
                <w:rFonts w:cs="Arial"/>
                <w:b/>
                <w:bCs/>
                <w:color w:val="000000"/>
                <w:szCs w:val="20"/>
              </w:rPr>
            </w:pPr>
          </w:p>
          <w:p w14:paraId="78E4EC53"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SR WBB</w:t>
            </w:r>
          </w:p>
          <w:p w14:paraId="014B2F6E" w14:textId="77777777" w:rsidR="00C55790" w:rsidRPr="00C55790" w:rsidRDefault="00C55790" w:rsidP="00C55790">
            <w:pPr>
              <w:spacing w:after="0" w:line="240" w:lineRule="auto"/>
              <w:rPr>
                <w:rFonts w:ascii="Calibri" w:hAnsi="Calibri" w:cs="Calibri"/>
                <w:b/>
                <w:bCs/>
                <w:color w:val="000000"/>
                <w:sz w:val="24"/>
              </w:rPr>
            </w:pPr>
            <w:r w:rsidRPr="00C55790">
              <w:rPr>
                <w:rFonts w:cs="Arial"/>
                <w:b/>
                <w:bCs/>
                <w:color w:val="000000"/>
                <w:szCs w:val="20"/>
              </w:rPr>
              <w:t>Licence type:</w:t>
            </w:r>
            <w:r w:rsidRPr="00C55790">
              <w:rPr>
                <w:rFonts w:cs="Arial"/>
                <w:color w:val="000000"/>
                <w:szCs w:val="20"/>
              </w:rPr>
              <w:t xml:space="preserve"> Class licence</w:t>
            </w:r>
            <w:r w:rsidRPr="00C55790">
              <w:rPr>
                <w:rFonts w:ascii="Calibri" w:hAnsi="Calibri" w:cs="Calibri"/>
                <w:color w:val="000000"/>
                <w:sz w:val="24"/>
              </w:rPr>
              <w:t> </w:t>
            </w:r>
          </w:p>
        </w:tc>
        <w:tc>
          <w:tcPr>
            <w:tcW w:w="5059" w:type="dxa"/>
            <w:gridSpan w:val="2"/>
            <w:tcBorders>
              <w:top w:val="single" w:sz="8" w:space="0" w:color="auto"/>
              <w:left w:val="single" w:sz="8" w:space="0" w:color="auto"/>
              <w:bottom w:val="single" w:sz="8" w:space="0" w:color="auto"/>
              <w:right w:val="single" w:sz="8" w:space="0" w:color="auto"/>
            </w:tcBorders>
            <w:shd w:val="clear" w:color="auto" w:fill="D9D9D9"/>
            <w:vAlign w:val="center"/>
          </w:tcPr>
          <w:p w14:paraId="3C674B6E" w14:textId="25671241" w:rsidR="00C55790" w:rsidRPr="00C55790" w:rsidRDefault="00C55790" w:rsidP="00C55790">
            <w:pPr>
              <w:keepLines w:val="0"/>
              <w:spacing w:after="0" w:line="240" w:lineRule="auto"/>
              <w:jc w:val="center"/>
              <w:rPr>
                <w:rFonts w:ascii="Calibri" w:hAnsi="Calibri" w:cs="Calibri"/>
                <w:b/>
                <w:bCs/>
                <w:color w:val="000000"/>
                <w:sz w:val="24"/>
              </w:rPr>
            </w:pPr>
            <w:r w:rsidRPr="00C55790">
              <w:rPr>
                <w:rFonts w:ascii="Calibri" w:hAnsi="Calibri" w:cs="Calibri"/>
                <w:b/>
                <w:bCs/>
                <w:color w:val="000000"/>
                <w:sz w:val="24"/>
              </w:rPr>
              <w:t xml:space="preserve">Metropolitan </w:t>
            </w:r>
            <w:r w:rsidR="00ED026A">
              <w:rPr>
                <w:rFonts w:ascii="Calibri" w:hAnsi="Calibri" w:cs="Calibri"/>
                <w:b/>
                <w:bCs/>
                <w:color w:val="000000"/>
                <w:sz w:val="24"/>
              </w:rPr>
              <w:t>a</w:t>
            </w:r>
            <w:r w:rsidRPr="00C55790">
              <w:rPr>
                <w:rFonts w:ascii="Calibri" w:hAnsi="Calibri" w:cs="Calibri"/>
                <w:b/>
                <w:bCs/>
                <w:color w:val="000000"/>
                <w:sz w:val="24"/>
              </w:rPr>
              <w:t xml:space="preserve">rea </w:t>
            </w:r>
          </w:p>
          <w:p w14:paraId="61C584D7" w14:textId="77777777" w:rsidR="00C55790" w:rsidRPr="00C55790" w:rsidRDefault="00C55790" w:rsidP="00C55790">
            <w:pPr>
              <w:keepLines w:val="0"/>
              <w:spacing w:after="0" w:line="240" w:lineRule="auto"/>
              <w:jc w:val="center"/>
              <w:rPr>
                <w:rFonts w:ascii="Calibri" w:hAnsi="Calibri" w:cs="Calibri"/>
                <w:b/>
                <w:bCs/>
                <w:color w:val="000000"/>
                <w:sz w:val="24"/>
              </w:rPr>
            </w:pPr>
          </w:p>
          <w:p w14:paraId="71861527"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SR WBB</w:t>
            </w:r>
          </w:p>
          <w:p w14:paraId="3FE66C55"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Class licence</w:t>
            </w:r>
          </w:p>
          <w:p w14:paraId="05D6D9C4" w14:textId="77777777" w:rsidR="00C55790" w:rsidRPr="00C55790" w:rsidRDefault="00C55790" w:rsidP="00C55790">
            <w:pPr>
              <w:keepLines w:val="0"/>
              <w:spacing w:after="0" w:line="240" w:lineRule="auto"/>
              <w:rPr>
                <w:rFonts w:ascii="Calibri" w:hAnsi="Calibri" w:cs="Calibri"/>
                <w:b/>
                <w:bCs/>
                <w:color w:val="000000"/>
                <w:sz w:val="24"/>
              </w:rPr>
            </w:pPr>
          </w:p>
        </w:tc>
      </w:tr>
      <w:tr w:rsidR="00C55790" w:rsidRPr="00C55790" w14:paraId="4FBD8D35" w14:textId="77777777" w:rsidTr="001C6879">
        <w:trPr>
          <w:trHeight w:val="1033"/>
        </w:trPr>
        <w:tc>
          <w:tcPr>
            <w:tcW w:w="576" w:type="dxa"/>
            <w:vMerge w:val="restart"/>
            <w:tcBorders>
              <w:top w:val="nil"/>
              <w:left w:val="nil"/>
              <w:bottom w:val="nil"/>
              <w:right w:val="nil"/>
            </w:tcBorders>
            <w:shd w:val="clear" w:color="auto" w:fill="auto"/>
            <w:noWrap/>
            <w:vAlign w:val="bottom"/>
            <w:hideMark/>
          </w:tcPr>
          <w:p w14:paraId="5234B910" w14:textId="77777777" w:rsidR="00C55790" w:rsidRPr="00C55790" w:rsidRDefault="00C55790" w:rsidP="00C55790">
            <w:pPr>
              <w:keepLines w:val="0"/>
              <w:spacing w:after="0" w:line="240" w:lineRule="auto"/>
              <w:rPr>
                <w:rFonts w:ascii="Times New Roman" w:hAnsi="Times New Roman"/>
                <w:szCs w:val="20"/>
              </w:rPr>
            </w:pPr>
          </w:p>
        </w:tc>
        <w:tc>
          <w:tcPr>
            <w:tcW w:w="5004" w:type="dxa"/>
            <w:gridSpan w:val="2"/>
            <w:vMerge/>
            <w:tcBorders>
              <w:left w:val="single" w:sz="8" w:space="0" w:color="auto"/>
              <w:right w:val="single" w:sz="8" w:space="0" w:color="auto"/>
            </w:tcBorders>
            <w:shd w:val="clear" w:color="auto" w:fill="E2EFD9"/>
            <w:noWrap/>
            <w:hideMark/>
          </w:tcPr>
          <w:p w14:paraId="4BAC8C41" w14:textId="77777777" w:rsidR="00C55790" w:rsidRPr="00C55790" w:rsidRDefault="00C55790" w:rsidP="00C55790">
            <w:pPr>
              <w:keepLines w:val="0"/>
              <w:spacing w:after="0" w:line="240" w:lineRule="auto"/>
              <w:rPr>
                <w:rFonts w:ascii="Calibri" w:hAnsi="Calibri" w:cs="Calibri"/>
                <w:color w:val="000000"/>
                <w:sz w:val="24"/>
              </w:rPr>
            </w:pPr>
          </w:p>
        </w:tc>
        <w:tc>
          <w:tcPr>
            <w:tcW w:w="2529" w:type="dxa"/>
            <w:tcBorders>
              <w:top w:val="single" w:sz="8" w:space="0" w:color="auto"/>
              <w:left w:val="single" w:sz="8" w:space="0" w:color="auto"/>
              <w:bottom w:val="single" w:sz="8" w:space="0" w:color="auto"/>
              <w:right w:val="single" w:sz="8" w:space="0" w:color="auto"/>
            </w:tcBorders>
            <w:shd w:val="clear" w:color="auto" w:fill="D9D9D9"/>
            <w:noWrap/>
            <w:vAlign w:val="bottom"/>
          </w:tcPr>
          <w:p w14:paraId="0E98BA8F" w14:textId="4436B17F"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w:t>
            </w:r>
            <w:r w:rsidR="005E3C5D">
              <w:rPr>
                <w:rFonts w:cs="Arial"/>
                <w:color w:val="000000"/>
                <w:szCs w:val="20"/>
              </w:rPr>
              <w:t>RMR</w:t>
            </w:r>
          </w:p>
          <w:p w14:paraId="1439AABC"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Apparatus licence</w:t>
            </w:r>
          </w:p>
          <w:p w14:paraId="0357BD46" w14:textId="77777777" w:rsidR="00C55790" w:rsidRPr="00C55790" w:rsidRDefault="00C55790" w:rsidP="00C55790">
            <w:pPr>
              <w:spacing w:after="0" w:line="240" w:lineRule="auto"/>
              <w:rPr>
                <w:rFonts w:ascii="Calibri" w:hAnsi="Calibri" w:cs="Calibri"/>
                <w:color w:val="000000"/>
                <w:sz w:val="22"/>
                <w:szCs w:val="22"/>
              </w:rPr>
            </w:pPr>
          </w:p>
        </w:tc>
        <w:tc>
          <w:tcPr>
            <w:tcW w:w="2530" w:type="dxa"/>
            <w:tcBorders>
              <w:top w:val="single" w:sz="8" w:space="0" w:color="auto"/>
              <w:left w:val="single" w:sz="8" w:space="0" w:color="auto"/>
              <w:bottom w:val="single" w:sz="8" w:space="0" w:color="auto"/>
              <w:right w:val="single" w:sz="8" w:space="0" w:color="auto"/>
            </w:tcBorders>
            <w:shd w:val="clear" w:color="auto" w:fill="D9D9D9"/>
            <w:vAlign w:val="bottom"/>
          </w:tcPr>
          <w:p w14:paraId="5804EB23" w14:textId="77777777" w:rsidR="00C55790" w:rsidRPr="00C55790" w:rsidRDefault="00C55790" w:rsidP="00C55790">
            <w:pPr>
              <w:spacing w:after="0" w:line="240" w:lineRule="auto"/>
              <w:rPr>
                <w:rFonts w:ascii="Calibri" w:hAnsi="Calibri" w:cs="Calibri"/>
                <w:color w:val="000000"/>
                <w:sz w:val="22"/>
                <w:szCs w:val="22"/>
              </w:rPr>
            </w:pPr>
          </w:p>
        </w:tc>
      </w:tr>
      <w:tr w:rsidR="00C55790" w:rsidRPr="00C55790" w14:paraId="062930AA" w14:textId="77777777" w:rsidTr="00C55790">
        <w:trPr>
          <w:trHeight w:val="2244"/>
        </w:trPr>
        <w:tc>
          <w:tcPr>
            <w:tcW w:w="576" w:type="dxa"/>
            <w:vMerge/>
            <w:tcBorders>
              <w:left w:val="nil"/>
              <w:bottom w:val="nil"/>
              <w:right w:val="single" w:sz="8" w:space="0" w:color="auto"/>
            </w:tcBorders>
            <w:shd w:val="clear" w:color="auto" w:fill="auto"/>
            <w:noWrap/>
            <w:vAlign w:val="bottom"/>
            <w:hideMark/>
          </w:tcPr>
          <w:p w14:paraId="35DF0EE2" w14:textId="77777777" w:rsidR="00C55790" w:rsidRPr="00C55790" w:rsidRDefault="00C55790" w:rsidP="00C55790">
            <w:pPr>
              <w:keepLines w:val="0"/>
              <w:spacing w:after="0" w:line="240" w:lineRule="auto"/>
              <w:rPr>
                <w:rFonts w:ascii="Times New Roman" w:hAnsi="Times New Roman"/>
                <w:szCs w:val="20"/>
              </w:rPr>
            </w:pPr>
          </w:p>
        </w:tc>
        <w:tc>
          <w:tcPr>
            <w:tcW w:w="5004" w:type="dxa"/>
            <w:gridSpan w:val="2"/>
            <w:vMerge/>
            <w:tcBorders>
              <w:left w:val="single" w:sz="8" w:space="0" w:color="auto"/>
              <w:right w:val="single" w:sz="8" w:space="0" w:color="auto"/>
            </w:tcBorders>
            <w:shd w:val="clear" w:color="auto" w:fill="E2EFD9"/>
            <w:noWrap/>
            <w:vAlign w:val="bottom"/>
            <w:hideMark/>
          </w:tcPr>
          <w:p w14:paraId="494ACBC4" w14:textId="77777777" w:rsidR="00C55790" w:rsidRPr="00C55790" w:rsidRDefault="00C55790" w:rsidP="00C55790">
            <w:pPr>
              <w:keepLines w:val="0"/>
              <w:spacing w:after="0" w:line="240" w:lineRule="auto"/>
              <w:rPr>
                <w:rFonts w:ascii="Times New Roman" w:hAnsi="Times New Roman"/>
                <w:szCs w:val="20"/>
              </w:rPr>
            </w:pPr>
          </w:p>
        </w:tc>
        <w:tc>
          <w:tcPr>
            <w:tcW w:w="5059" w:type="dxa"/>
            <w:gridSpan w:val="2"/>
            <w:tcBorders>
              <w:top w:val="single" w:sz="8" w:space="0" w:color="auto"/>
              <w:left w:val="single" w:sz="8" w:space="0" w:color="auto"/>
              <w:bottom w:val="single" w:sz="8" w:space="0" w:color="auto"/>
              <w:right w:val="single" w:sz="8" w:space="0" w:color="auto"/>
            </w:tcBorders>
            <w:shd w:val="clear" w:color="auto" w:fill="FFE599"/>
            <w:vAlign w:val="center"/>
            <w:hideMark/>
          </w:tcPr>
          <w:p w14:paraId="55780BF9" w14:textId="7E33FFCE" w:rsidR="00C55790" w:rsidRPr="00C55790" w:rsidRDefault="00C55790" w:rsidP="00C55790">
            <w:pPr>
              <w:spacing w:after="0" w:line="240" w:lineRule="auto"/>
              <w:jc w:val="center"/>
              <w:rPr>
                <w:rFonts w:ascii="Calibri" w:hAnsi="Calibri" w:cs="Calibri"/>
                <w:b/>
                <w:bCs/>
                <w:color w:val="000000"/>
                <w:sz w:val="24"/>
              </w:rPr>
            </w:pPr>
            <w:r w:rsidRPr="00C55790">
              <w:rPr>
                <w:rFonts w:ascii="Calibri" w:hAnsi="Calibri" w:cs="Calibri"/>
                <w:b/>
                <w:bCs/>
                <w:color w:val="000000"/>
                <w:sz w:val="24"/>
              </w:rPr>
              <w:t xml:space="preserve">Regional and </w:t>
            </w:r>
            <w:r w:rsidR="00ED026A">
              <w:rPr>
                <w:rFonts w:ascii="Calibri" w:hAnsi="Calibri" w:cs="Calibri"/>
                <w:b/>
                <w:bCs/>
                <w:color w:val="000000"/>
                <w:sz w:val="24"/>
              </w:rPr>
              <w:t>r</w:t>
            </w:r>
            <w:r w:rsidRPr="00C55790">
              <w:rPr>
                <w:rFonts w:ascii="Calibri" w:hAnsi="Calibri" w:cs="Calibri"/>
                <w:b/>
                <w:bCs/>
                <w:color w:val="000000"/>
                <w:sz w:val="24"/>
              </w:rPr>
              <w:t>emote Australia</w:t>
            </w:r>
          </w:p>
          <w:p w14:paraId="79702D44" w14:textId="77777777" w:rsidR="00C55790" w:rsidRPr="00C55790" w:rsidRDefault="00C55790" w:rsidP="00C55790">
            <w:pPr>
              <w:spacing w:after="0" w:line="240" w:lineRule="auto"/>
              <w:rPr>
                <w:rFonts w:ascii="Calibri" w:hAnsi="Calibri" w:cs="Calibri"/>
                <w:b/>
                <w:bCs/>
                <w:color w:val="000000"/>
                <w:sz w:val="24"/>
              </w:rPr>
            </w:pPr>
            <w:r w:rsidRPr="00C55790">
              <w:rPr>
                <w:rFonts w:ascii="Calibri" w:hAnsi="Calibri" w:cs="Calibri"/>
                <w:color w:val="000000"/>
                <w:sz w:val="24"/>
              </w:rPr>
              <w:t> </w:t>
            </w:r>
          </w:p>
          <w:p w14:paraId="5F85736D"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LA WBB, PTP</w:t>
            </w:r>
          </w:p>
          <w:p w14:paraId="1DAA01D4"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Apparatus licence</w:t>
            </w:r>
          </w:p>
          <w:p w14:paraId="1E14E4B4" w14:textId="77777777" w:rsidR="00C55790" w:rsidRPr="00C55790" w:rsidRDefault="00C55790" w:rsidP="00C55790">
            <w:pPr>
              <w:keepLines w:val="0"/>
              <w:spacing w:after="0" w:line="240" w:lineRule="auto"/>
              <w:rPr>
                <w:rFonts w:cs="Arial"/>
                <w:color w:val="000000"/>
                <w:szCs w:val="20"/>
              </w:rPr>
            </w:pPr>
          </w:p>
          <w:p w14:paraId="22969A32"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SR WBB</w:t>
            </w:r>
          </w:p>
          <w:p w14:paraId="06A62A9D"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Class licence</w:t>
            </w:r>
          </w:p>
          <w:p w14:paraId="2FBD7039" w14:textId="77777777" w:rsidR="00C55790" w:rsidRPr="00C55790" w:rsidRDefault="00C55790" w:rsidP="00C55790">
            <w:pPr>
              <w:keepLines w:val="0"/>
              <w:spacing w:after="0" w:line="240" w:lineRule="auto"/>
              <w:rPr>
                <w:rFonts w:cs="Arial"/>
                <w:color w:val="000000"/>
                <w:szCs w:val="20"/>
              </w:rPr>
            </w:pPr>
          </w:p>
          <w:p w14:paraId="11871479" w14:textId="77777777" w:rsidR="00C55790" w:rsidRPr="00C55790" w:rsidRDefault="00C55790" w:rsidP="00C55790">
            <w:pPr>
              <w:spacing w:after="0" w:line="240" w:lineRule="auto"/>
              <w:rPr>
                <w:rFonts w:ascii="Calibri" w:hAnsi="Calibri" w:cs="Calibri"/>
                <w:b/>
                <w:bCs/>
                <w:color w:val="000000"/>
                <w:sz w:val="24"/>
              </w:rPr>
            </w:pPr>
            <w:r w:rsidRPr="00C55790">
              <w:rPr>
                <w:rFonts w:ascii="Calibri" w:hAnsi="Calibri" w:cs="Calibri"/>
                <w:color w:val="000000"/>
                <w:sz w:val="22"/>
                <w:szCs w:val="22"/>
              </w:rPr>
              <w:t> </w:t>
            </w:r>
          </w:p>
        </w:tc>
      </w:tr>
      <w:tr w:rsidR="00C55790" w:rsidRPr="00C55790" w14:paraId="0CD4F378" w14:textId="77777777" w:rsidTr="00C55790">
        <w:trPr>
          <w:trHeight w:val="225"/>
        </w:trPr>
        <w:tc>
          <w:tcPr>
            <w:tcW w:w="576" w:type="dxa"/>
            <w:vMerge/>
            <w:tcBorders>
              <w:left w:val="nil"/>
              <w:bottom w:val="nil"/>
              <w:right w:val="single" w:sz="8" w:space="0" w:color="auto"/>
            </w:tcBorders>
            <w:shd w:val="clear" w:color="auto" w:fill="auto"/>
            <w:noWrap/>
            <w:vAlign w:val="bottom"/>
          </w:tcPr>
          <w:p w14:paraId="753CA0E7" w14:textId="77777777" w:rsidR="00C55790" w:rsidRPr="00C55790" w:rsidRDefault="00C55790" w:rsidP="00C55790">
            <w:pPr>
              <w:keepLines w:val="0"/>
              <w:spacing w:after="0" w:line="240" w:lineRule="auto"/>
              <w:rPr>
                <w:rFonts w:ascii="Times New Roman" w:hAnsi="Times New Roman"/>
                <w:szCs w:val="20"/>
              </w:rPr>
            </w:pPr>
          </w:p>
        </w:tc>
        <w:tc>
          <w:tcPr>
            <w:tcW w:w="5004" w:type="dxa"/>
            <w:gridSpan w:val="2"/>
            <w:vMerge/>
            <w:tcBorders>
              <w:left w:val="single" w:sz="8" w:space="0" w:color="auto"/>
              <w:bottom w:val="single" w:sz="4" w:space="0" w:color="auto"/>
              <w:right w:val="single" w:sz="8" w:space="0" w:color="auto"/>
            </w:tcBorders>
            <w:shd w:val="clear" w:color="auto" w:fill="E2EFD9"/>
            <w:noWrap/>
            <w:vAlign w:val="bottom"/>
          </w:tcPr>
          <w:p w14:paraId="31F5B222" w14:textId="77777777" w:rsidR="00C55790" w:rsidRPr="00C55790" w:rsidRDefault="00C55790" w:rsidP="00C55790">
            <w:pPr>
              <w:keepLines w:val="0"/>
              <w:spacing w:after="0" w:line="240" w:lineRule="auto"/>
              <w:rPr>
                <w:rFonts w:ascii="Times New Roman" w:hAnsi="Times New Roman"/>
                <w:szCs w:val="20"/>
              </w:rPr>
            </w:pPr>
          </w:p>
        </w:tc>
        <w:tc>
          <w:tcPr>
            <w:tcW w:w="2529" w:type="dxa"/>
            <w:tcBorders>
              <w:top w:val="single" w:sz="8" w:space="0" w:color="auto"/>
              <w:left w:val="single" w:sz="8" w:space="0" w:color="auto"/>
              <w:bottom w:val="single" w:sz="8" w:space="0" w:color="auto"/>
              <w:right w:val="single" w:sz="8" w:space="0" w:color="auto"/>
            </w:tcBorders>
            <w:shd w:val="clear" w:color="auto" w:fill="FFE599"/>
            <w:noWrap/>
            <w:vAlign w:val="bottom"/>
          </w:tcPr>
          <w:p w14:paraId="05456795" w14:textId="01441CD9"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Planned uses:</w:t>
            </w:r>
            <w:r w:rsidRPr="00C55790">
              <w:rPr>
                <w:rFonts w:cs="Arial"/>
                <w:color w:val="000000"/>
                <w:szCs w:val="20"/>
              </w:rPr>
              <w:t xml:space="preserve"> </w:t>
            </w:r>
            <w:r w:rsidR="005E3C5D">
              <w:rPr>
                <w:rFonts w:cs="Arial"/>
                <w:color w:val="000000"/>
                <w:szCs w:val="20"/>
              </w:rPr>
              <w:t>RMR</w:t>
            </w:r>
          </w:p>
          <w:p w14:paraId="52A373A7" w14:textId="77777777" w:rsidR="00C55790" w:rsidRPr="00C55790" w:rsidRDefault="00C55790" w:rsidP="00C55790">
            <w:pPr>
              <w:keepLines w:val="0"/>
              <w:spacing w:after="0" w:line="240" w:lineRule="auto"/>
              <w:rPr>
                <w:rFonts w:cs="Arial"/>
                <w:color w:val="000000"/>
                <w:szCs w:val="20"/>
              </w:rPr>
            </w:pPr>
            <w:r w:rsidRPr="00C55790">
              <w:rPr>
                <w:rFonts w:cs="Arial"/>
                <w:b/>
                <w:bCs/>
                <w:color w:val="000000"/>
                <w:szCs w:val="20"/>
              </w:rPr>
              <w:t>Licence type:</w:t>
            </w:r>
            <w:r w:rsidRPr="00C55790">
              <w:rPr>
                <w:rFonts w:cs="Arial"/>
                <w:color w:val="000000"/>
                <w:szCs w:val="20"/>
              </w:rPr>
              <w:t xml:space="preserve"> Apparatus licence</w:t>
            </w:r>
          </w:p>
          <w:p w14:paraId="6398B42B" w14:textId="77777777" w:rsidR="00C55790" w:rsidRPr="00C55790" w:rsidRDefault="00C55790" w:rsidP="00C55790">
            <w:pPr>
              <w:spacing w:after="0" w:line="240" w:lineRule="auto"/>
              <w:rPr>
                <w:rFonts w:ascii="Calibri" w:hAnsi="Calibri" w:cs="Calibri"/>
                <w:color w:val="000000"/>
                <w:sz w:val="22"/>
                <w:szCs w:val="22"/>
              </w:rPr>
            </w:pPr>
          </w:p>
        </w:tc>
        <w:tc>
          <w:tcPr>
            <w:tcW w:w="2530" w:type="dxa"/>
            <w:tcBorders>
              <w:top w:val="single" w:sz="8" w:space="0" w:color="auto"/>
              <w:left w:val="single" w:sz="8" w:space="0" w:color="auto"/>
              <w:bottom w:val="single" w:sz="8" w:space="0" w:color="auto"/>
              <w:right w:val="single" w:sz="8" w:space="0" w:color="auto"/>
            </w:tcBorders>
            <w:shd w:val="clear" w:color="auto" w:fill="FFE599"/>
            <w:vAlign w:val="bottom"/>
          </w:tcPr>
          <w:p w14:paraId="7444C20A" w14:textId="77777777" w:rsidR="00C55790" w:rsidRPr="00C55790" w:rsidRDefault="00C55790" w:rsidP="00C55790">
            <w:pPr>
              <w:spacing w:after="0" w:line="240" w:lineRule="auto"/>
              <w:rPr>
                <w:rFonts w:ascii="Calibri" w:hAnsi="Calibri" w:cs="Calibri"/>
                <w:color w:val="000000"/>
                <w:sz w:val="22"/>
                <w:szCs w:val="22"/>
              </w:rPr>
            </w:pPr>
          </w:p>
        </w:tc>
      </w:tr>
    </w:tbl>
    <w:p w14:paraId="48BA3610" w14:textId="77777777" w:rsidR="003D16A8" w:rsidRDefault="003D16A8" w:rsidP="00D51E3F">
      <w:pPr>
        <w:pStyle w:val="Heading3"/>
        <w:keepNext/>
      </w:pPr>
      <w:r w:rsidRPr="00830FC6">
        <w:lastRenderedPageBreak/>
        <w:t>Changes by frequency segment</w:t>
      </w:r>
    </w:p>
    <w:p w14:paraId="105B8A02" w14:textId="2BE98AE2" w:rsidR="003D16A8" w:rsidRPr="00830FC6" w:rsidRDefault="003D16A8" w:rsidP="00D51E3F">
      <w:pPr>
        <w:pStyle w:val="Heading4"/>
        <w:keepNext/>
        <w:rPr>
          <w:b w:val="0"/>
          <w:bCs/>
          <w:szCs w:val="20"/>
        </w:rPr>
      </w:pPr>
      <w:r w:rsidRPr="00830FC6">
        <w:t>1880</w:t>
      </w:r>
      <w:r w:rsidR="003306A7">
        <w:t>–</w:t>
      </w:r>
      <w:r w:rsidRPr="00830FC6">
        <w:t>1900 MHz</w:t>
      </w:r>
    </w:p>
    <w:p w14:paraId="7C832ED6" w14:textId="411AB7B2" w:rsidR="00B85436" w:rsidRPr="00830FC6" w:rsidRDefault="00A76811" w:rsidP="00D51E3F">
      <w:pPr>
        <w:pStyle w:val="ListBullet"/>
        <w:keepNext/>
      </w:pPr>
      <w:r>
        <w:t xml:space="preserve">Continue </w:t>
      </w:r>
      <w:r w:rsidR="003D16A8">
        <w:t>exclusive</w:t>
      </w:r>
      <w:r w:rsidR="003D16A8" w:rsidRPr="00830FC6">
        <w:t xml:space="preserve"> arrangements for </w:t>
      </w:r>
      <w:r w:rsidR="003D16A8">
        <w:t xml:space="preserve">SR WBB </w:t>
      </w:r>
      <w:r w:rsidR="008025FA">
        <w:t>via</w:t>
      </w:r>
      <w:r w:rsidR="003D16A8">
        <w:t xml:space="preserve"> </w:t>
      </w:r>
      <w:r w:rsidR="00270903">
        <w:t>c</w:t>
      </w:r>
      <w:r w:rsidR="003D16A8" w:rsidRPr="00830FC6">
        <w:t xml:space="preserve">lass </w:t>
      </w:r>
      <w:r w:rsidR="00270903">
        <w:t>l</w:t>
      </w:r>
      <w:r w:rsidR="00B85436" w:rsidRPr="00830FC6">
        <w:t>icence</w:t>
      </w:r>
      <w:r w:rsidR="00B85436">
        <w:t>s</w:t>
      </w:r>
      <w:r w:rsidR="00B60C9D">
        <w:t>, which:</w:t>
      </w:r>
    </w:p>
    <w:p w14:paraId="4FA8CDA3" w14:textId="3905F79D" w:rsidR="00B85436" w:rsidRDefault="00B85436" w:rsidP="00D51E3F">
      <w:pPr>
        <w:pStyle w:val="ListBullet2"/>
        <w:keepNext/>
      </w:pPr>
      <w:r w:rsidRPr="00830FC6">
        <w:t>support</w:t>
      </w:r>
      <w:r>
        <w:t xml:space="preserve"> technologies such as</w:t>
      </w:r>
      <w:r w:rsidRPr="00830FC6">
        <w:t xml:space="preserve"> DECT</w:t>
      </w:r>
      <w:r w:rsidR="005D4EC9">
        <w:t xml:space="preserve"> </w:t>
      </w:r>
      <w:r w:rsidR="00EC663F">
        <w:t>and</w:t>
      </w:r>
      <w:r w:rsidR="00EC663F" w:rsidRPr="00830FC6">
        <w:t xml:space="preserve"> </w:t>
      </w:r>
      <w:r w:rsidRPr="00830FC6">
        <w:t>PHS</w:t>
      </w:r>
    </w:p>
    <w:p w14:paraId="7689C403" w14:textId="34F9149B" w:rsidR="00B85436" w:rsidRDefault="00B85436" w:rsidP="00D51E3F">
      <w:pPr>
        <w:pStyle w:val="ListBullet2"/>
        <w:keepNext/>
        <w:spacing w:after="240"/>
      </w:pPr>
      <w:r w:rsidRPr="00EE7780">
        <w:t xml:space="preserve">accommodate </w:t>
      </w:r>
      <w:r w:rsidRPr="00B85436">
        <w:t>new technologies such as</w:t>
      </w:r>
      <w:r w:rsidR="00363EF0">
        <w:t xml:space="preserve"> future</w:t>
      </w:r>
      <w:r w:rsidRPr="00B85436">
        <w:t xml:space="preserve"> </w:t>
      </w:r>
      <w:r w:rsidR="007145F8">
        <w:t xml:space="preserve">DECT </w:t>
      </w:r>
      <w:r w:rsidRPr="00B85436">
        <w:t>and MulteFire, Australia</w:t>
      </w:r>
      <w:r w:rsidR="00ED026A">
        <w:t>-</w:t>
      </w:r>
      <w:r w:rsidRPr="00B85436">
        <w:t>wide</w:t>
      </w:r>
      <w:r w:rsidR="00B60C9D">
        <w:t>.</w:t>
      </w:r>
    </w:p>
    <w:p w14:paraId="56B71750" w14:textId="52985E97" w:rsidR="003D16A8" w:rsidRPr="00915142" w:rsidRDefault="003D16A8" w:rsidP="00D51E3F">
      <w:pPr>
        <w:keepNext/>
        <w:spacing w:after="0" w:line="240" w:lineRule="auto"/>
        <w:ind w:right="1559"/>
        <w:rPr>
          <w:rFonts w:cs="Arial"/>
          <w:b/>
          <w:bCs/>
          <w:i/>
          <w:iCs/>
          <w:szCs w:val="20"/>
        </w:rPr>
      </w:pPr>
      <w:r w:rsidRPr="00915142">
        <w:rPr>
          <w:rFonts w:cs="Arial"/>
          <w:b/>
          <w:bCs/>
          <w:i/>
          <w:iCs/>
          <w:szCs w:val="20"/>
        </w:rPr>
        <w:t>1900</w:t>
      </w:r>
      <w:r w:rsidR="00270903">
        <w:rPr>
          <w:rFonts w:cs="Arial"/>
          <w:b/>
          <w:bCs/>
          <w:i/>
          <w:iCs/>
          <w:szCs w:val="20"/>
        </w:rPr>
        <w:t>–</w:t>
      </w:r>
      <w:r w:rsidRPr="00915142">
        <w:rPr>
          <w:rFonts w:cs="Arial"/>
          <w:b/>
          <w:bCs/>
          <w:i/>
          <w:iCs/>
          <w:szCs w:val="20"/>
        </w:rPr>
        <w:t>1920 MHz</w:t>
      </w:r>
    </w:p>
    <w:p w14:paraId="490649E1" w14:textId="08B75B10" w:rsidR="003D16A8" w:rsidRPr="00830FC6" w:rsidRDefault="003D16A8" w:rsidP="00D51E3F">
      <w:pPr>
        <w:pStyle w:val="ListBullet"/>
        <w:keepNext/>
      </w:pPr>
      <w:r>
        <w:t>Extend</w:t>
      </w:r>
      <w:r w:rsidRPr="00830FC6">
        <w:t xml:space="preserve"> arrangements for </w:t>
      </w:r>
      <w:r>
        <w:t xml:space="preserve">SR WBB </w:t>
      </w:r>
      <w:r w:rsidR="00634325">
        <w:t>via</w:t>
      </w:r>
      <w:r>
        <w:t xml:space="preserve"> </w:t>
      </w:r>
      <w:r w:rsidRPr="00830FC6">
        <w:t>Class Licence</w:t>
      </w:r>
      <w:r w:rsidR="00376411">
        <w:t>s</w:t>
      </w:r>
      <w:r w:rsidR="00B60C9D">
        <w:t>, which:</w:t>
      </w:r>
    </w:p>
    <w:p w14:paraId="114D1335" w14:textId="3A71B05B" w:rsidR="003D16A8" w:rsidRPr="00830FC6" w:rsidRDefault="003D16A8" w:rsidP="00D51E3F">
      <w:pPr>
        <w:pStyle w:val="ListBullet2"/>
        <w:keepNext/>
      </w:pPr>
      <w:r w:rsidRPr="00830FC6">
        <w:t xml:space="preserve">support </w:t>
      </w:r>
      <w:r w:rsidR="000A5B36">
        <w:t xml:space="preserve">new technologies such as </w:t>
      </w:r>
      <w:r w:rsidR="00694E7B">
        <w:t xml:space="preserve">future </w:t>
      </w:r>
      <w:r w:rsidR="007145F8">
        <w:t xml:space="preserve">DECT </w:t>
      </w:r>
      <w:r w:rsidR="00694E7B">
        <w:t>and Multe</w:t>
      </w:r>
      <w:r w:rsidR="000562F4">
        <w:t>F</w:t>
      </w:r>
      <w:r w:rsidR="00694E7B">
        <w:t>ire</w:t>
      </w:r>
      <w:r w:rsidR="00B60C9D">
        <w:t>.</w:t>
      </w:r>
      <w:r w:rsidR="00694E7B">
        <w:t xml:space="preserve"> </w:t>
      </w:r>
    </w:p>
    <w:p w14:paraId="54E6A342" w14:textId="1B97B5B8" w:rsidR="003D16A8" w:rsidRPr="00830FC6" w:rsidRDefault="003D16A8" w:rsidP="00FD2C90">
      <w:pPr>
        <w:pStyle w:val="ListBullet"/>
        <w:keepLines w:val="0"/>
      </w:pPr>
      <w:r w:rsidRPr="00830FC6">
        <w:t xml:space="preserve">Continue shared arrangements for </w:t>
      </w:r>
      <w:r w:rsidR="00DF3BAE">
        <w:t xml:space="preserve">LA </w:t>
      </w:r>
      <w:r>
        <w:t xml:space="preserve">WBB and PTP services </w:t>
      </w:r>
      <w:r w:rsidR="00DF3BAE">
        <w:t xml:space="preserve">via </w:t>
      </w:r>
      <w:r w:rsidRPr="00830FC6">
        <w:t>Apparatus Licence</w:t>
      </w:r>
      <w:r w:rsidR="00B60C9D">
        <w:t>s, which:</w:t>
      </w:r>
    </w:p>
    <w:p w14:paraId="2F11EE00" w14:textId="262318DB" w:rsidR="003D16A8" w:rsidRPr="00830FC6" w:rsidRDefault="003D16A8" w:rsidP="00FD2C90">
      <w:pPr>
        <w:pStyle w:val="ListBullet2"/>
        <w:keepLines w:val="0"/>
      </w:pPr>
      <w:r w:rsidRPr="00830FC6">
        <w:t xml:space="preserve">support </w:t>
      </w:r>
      <w:r>
        <w:t>LA</w:t>
      </w:r>
      <w:r w:rsidRPr="00830FC6">
        <w:t xml:space="preserve"> WBB</w:t>
      </w:r>
      <w:r>
        <w:t xml:space="preserve"> and</w:t>
      </w:r>
      <w:r w:rsidRPr="00830FC6">
        <w:t xml:space="preserve"> PTP</w:t>
      </w:r>
      <w:r>
        <w:t xml:space="preserve"> services with shared, </w:t>
      </w:r>
      <w:r w:rsidRPr="00830FC6">
        <w:t xml:space="preserve">coordinated </w:t>
      </w:r>
      <w:r>
        <w:t>and first-in</w:t>
      </w:r>
      <w:r w:rsidR="00B60C9D">
        <w:t>-</w:t>
      </w:r>
      <w:r>
        <w:t xml:space="preserve">time </w:t>
      </w:r>
      <w:r w:rsidRPr="00830FC6">
        <w:t>arrangements in regional and remote areas</w:t>
      </w:r>
      <w:r w:rsidR="00B60C9D">
        <w:t>.</w:t>
      </w:r>
    </w:p>
    <w:p w14:paraId="5DE4335D" w14:textId="77777777" w:rsidR="003D16A8" w:rsidRPr="00915142" w:rsidRDefault="003D16A8" w:rsidP="00E54965">
      <w:pPr>
        <w:keepLines w:val="0"/>
        <w:spacing w:after="0" w:line="240" w:lineRule="auto"/>
        <w:ind w:right="1559"/>
        <w:rPr>
          <w:rFonts w:cs="Arial"/>
          <w:b/>
          <w:bCs/>
          <w:i/>
          <w:iCs/>
          <w:szCs w:val="20"/>
        </w:rPr>
      </w:pPr>
      <w:r w:rsidRPr="00915142">
        <w:rPr>
          <w:rFonts w:cs="Arial"/>
          <w:b/>
          <w:bCs/>
          <w:i/>
          <w:iCs/>
          <w:szCs w:val="20"/>
        </w:rPr>
        <w:t>1900–1910 MHz</w:t>
      </w:r>
    </w:p>
    <w:p w14:paraId="16936DED" w14:textId="3687634F" w:rsidR="003D16A8" w:rsidRPr="00830FC6" w:rsidRDefault="003D16A8" w:rsidP="0078059A">
      <w:pPr>
        <w:pStyle w:val="ListBullet"/>
        <w:keepLines w:val="0"/>
      </w:pPr>
      <w:r w:rsidRPr="00830FC6">
        <w:t xml:space="preserve">Introduce shared arrangements for </w:t>
      </w:r>
      <w:r w:rsidR="005E3C5D">
        <w:t>RMR</w:t>
      </w:r>
      <w:r>
        <w:t xml:space="preserve"> Australia</w:t>
      </w:r>
      <w:r w:rsidR="00ED026A">
        <w:t>-</w:t>
      </w:r>
      <w:r>
        <w:t xml:space="preserve">wide </w:t>
      </w:r>
      <w:r w:rsidR="00EC02A5">
        <w:t>via</w:t>
      </w:r>
      <w:r>
        <w:t xml:space="preserve"> </w:t>
      </w:r>
      <w:r w:rsidRPr="00830FC6">
        <w:t>Apparatus Licence</w:t>
      </w:r>
      <w:r w:rsidR="00EC02A5">
        <w:t>s</w:t>
      </w:r>
    </w:p>
    <w:p w14:paraId="30ECC93B" w14:textId="77777777" w:rsidR="003D16A8" w:rsidRPr="00830FC6" w:rsidRDefault="003D16A8" w:rsidP="00D51E3F">
      <w:pPr>
        <w:pStyle w:val="ListBullet2"/>
        <w:keepLines w:val="0"/>
        <w:spacing w:after="0"/>
      </w:pPr>
      <w:r w:rsidRPr="00830FC6">
        <w:t xml:space="preserve">This would support </w:t>
      </w:r>
      <w:r>
        <w:t xml:space="preserve">rail applications </w:t>
      </w:r>
      <w:r w:rsidRPr="00830FC6">
        <w:t>services such as FRMCS</w:t>
      </w:r>
      <w:r>
        <w:t>/MCX or 5G FRMCS solutions</w:t>
      </w:r>
    </w:p>
    <w:p w14:paraId="4EB389E9" w14:textId="0759B236" w:rsidR="003278F4" w:rsidRDefault="003278F4" w:rsidP="00D51E3F">
      <w:pPr>
        <w:pStyle w:val="Heading2"/>
        <w:keepLines w:val="0"/>
        <w:spacing w:before="200"/>
      </w:pPr>
      <w:bookmarkStart w:id="138" w:name="_Toc117870131"/>
      <w:bookmarkStart w:id="139" w:name="_Toc118785121"/>
      <w:bookmarkStart w:id="140" w:name="_Toc120600056"/>
      <w:r>
        <w:t xml:space="preserve">Summary of </w:t>
      </w:r>
      <w:r w:rsidR="00270903">
        <w:t>o</w:t>
      </w:r>
      <w:r>
        <w:t>ptions</w:t>
      </w:r>
      <w:bookmarkEnd w:id="138"/>
      <w:bookmarkEnd w:id="139"/>
      <w:bookmarkEnd w:id="140"/>
    </w:p>
    <w:p w14:paraId="5010654D" w14:textId="5F929904" w:rsidR="003278F4" w:rsidRDefault="003E1FC7" w:rsidP="00270903">
      <w:pPr>
        <w:pStyle w:val="Tableheading"/>
        <w:keepNext w:val="0"/>
        <w:numPr>
          <w:ilvl w:val="0"/>
          <w:numId w:val="6"/>
        </w:numPr>
        <w:spacing w:after="80"/>
      </w:pPr>
      <w:r>
        <w:t>S</w:t>
      </w:r>
      <w:r w:rsidR="003278F4" w:rsidRPr="003428AC">
        <w:t>ummary of options by service</w:t>
      </w:r>
      <w:r w:rsidR="00D508E7">
        <w:t>/application</w:t>
      </w:r>
      <w:r w:rsidR="003278F4" w:rsidRPr="003428AC">
        <w:t xml:space="preserve"> type</w:t>
      </w:r>
    </w:p>
    <w:p w14:paraId="160513FC" w14:textId="77777777" w:rsidR="00D17D56" w:rsidRPr="00F655E2" w:rsidRDefault="00D17D56" w:rsidP="00D51E3F">
      <w:pPr>
        <w:pStyle w:val="Paragraph"/>
      </w:pPr>
    </w:p>
    <w:p w14:paraId="752164B2" w14:textId="77777777" w:rsidR="00D17D56" w:rsidRPr="0075616D" w:rsidRDefault="00D17D56" w:rsidP="00D51E3F">
      <w:pPr>
        <w:pStyle w:val="Paragraph"/>
      </w:pPr>
    </w:p>
    <w:tbl>
      <w:tblPr>
        <w:tblStyle w:val="TableGrid"/>
        <w:tblpPr w:leftFromText="180" w:rightFromText="180" w:vertAnchor="page" w:horzAnchor="margin" w:tblpY="8231"/>
        <w:tblW w:w="10060" w:type="dxa"/>
        <w:tblLayout w:type="fixed"/>
        <w:tblLook w:val="04A0" w:firstRow="1" w:lastRow="0" w:firstColumn="1" w:lastColumn="0" w:noHBand="0" w:noVBand="1"/>
      </w:tblPr>
      <w:tblGrid>
        <w:gridCol w:w="1413"/>
        <w:gridCol w:w="2161"/>
        <w:gridCol w:w="2162"/>
        <w:gridCol w:w="2162"/>
        <w:gridCol w:w="2162"/>
      </w:tblGrid>
      <w:tr w:rsidR="00270903" w:rsidRPr="003428AC" w:rsidDel="005C41DB" w14:paraId="03849A30" w14:textId="77777777" w:rsidTr="00270903">
        <w:trPr>
          <w:trHeight w:val="304"/>
        </w:trPr>
        <w:tc>
          <w:tcPr>
            <w:tcW w:w="1413" w:type="dxa"/>
            <w:shd w:val="clear" w:color="auto" w:fill="262626" w:themeFill="text1" w:themeFillTint="D9"/>
            <w:vAlign w:val="center"/>
          </w:tcPr>
          <w:p w14:paraId="45E2266E" w14:textId="77777777" w:rsidR="00270903" w:rsidRPr="00295343" w:rsidDel="005C41DB" w:rsidRDefault="00270903" w:rsidP="00270903">
            <w:pPr>
              <w:keepLines w:val="0"/>
              <w:jc w:val="center"/>
              <w:rPr>
                <w:b/>
                <w:bCs/>
              </w:rPr>
            </w:pPr>
            <w:r w:rsidRPr="00295343" w:rsidDel="005C41DB">
              <w:rPr>
                <w:b/>
                <w:bCs/>
              </w:rPr>
              <w:t>Option</w:t>
            </w:r>
          </w:p>
        </w:tc>
        <w:tc>
          <w:tcPr>
            <w:tcW w:w="2161" w:type="dxa"/>
            <w:shd w:val="clear" w:color="auto" w:fill="262626" w:themeFill="text1" w:themeFillTint="D9"/>
            <w:vAlign w:val="center"/>
          </w:tcPr>
          <w:p w14:paraId="0FE910FF" w14:textId="77777777" w:rsidR="00270903" w:rsidRPr="00295343" w:rsidDel="005C41DB" w:rsidRDefault="00270903" w:rsidP="00270903">
            <w:pPr>
              <w:keepLines w:val="0"/>
              <w:jc w:val="center"/>
              <w:rPr>
                <w:b/>
                <w:bCs/>
                <w:szCs w:val="20"/>
              </w:rPr>
            </w:pPr>
            <w:r w:rsidRPr="00295343" w:rsidDel="005C41DB">
              <w:rPr>
                <w:b/>
                <w:bCs/>
              </w:rPr>
              <w:t xml:space="preserve">SR WBB </w:t>
            </w:r>
          </w:p>
        </w:tc>
        <w:tc>
          <w:tcPr>
            <w:tcW w:w="2162" w:type="dxa"/>
            <w:shd w:val="clear" w:color="auto" w:fill="262626" w:themeFill="text1" w:themeFillTint="D9"/>
            <w:vAlign w:val="center"/>
          </w:tcPr>
          <w:p w14:paraId="7B3DC19A" w14:textId="77777777" w:rsidR="00270903" w:rsidRPr="00295343" w:rsidDel="005C41DB" w:rsidRDefault="00270903" w:rsidP="00270903">
            <w:pPr>
              <w:keepLines w:val="0"/>
              <w:jc w:val="center"/>
              <w:rPr>
                <w:b/>
                <w:bCs/>
              </w:rPr>
            </w:pPr>
            <w:r w:rsidRPr="00295343" w:rsidDel="005C41DB">
              <w:rPr>
                <w:b/>
                <w:bCs/>
              </w:rPr>
              <w:t>LA WBB</w:t>
            </w:r>
          </w:p>
        </w:tc>
        <w:tc>
          <w:tcPr>
            <w:tcW w:w="2162" w:type="dxa"/>
            <w:tcBorders>
              <w:left w:val="single" w:sz="4" w:space="0" w:color="auto"/>
            </w:tcBorders>
            <w:shd w:val="clear" w:color="auto" w:fill="262626" w:themeFill="text1" w:themeFillTint="D9"/>
            <w:vAlign w:val="center"/>
          </w:tcPr>
          <w:p w14:paraId="0B392F47" w14:textId="77777777" w:rsidR="00270903" w:rsidRPr="00295343" w:rsidDel="005C41DB" w:rsidRDefault="00270903" w:rsidP="00270903">
            <w:pPr>
              <w:keepLines w:val="0"/>
              <w:jc w:val="center"/>
              <w:rPr>
                <w:b/>
                <w:bCs/>
              </w:rPr>
            </w:pPr>
            <w:r w:rsidRPr="00295343" w:rsidDel="005C41DB">
              <w:rPr>
                <w:b/>
                <w:bCs/>
              </w:rPr>
              <w:t>PTP</w:t>
            </w:r>
          </w:p>
        </w:tc>
        <w:tc>
          <w:tcPr>
            <w:tcW w:w="2162" w:type="dxa"/>
            <w:tcBorders>
              <w:right w:val="single" w:sz="4" w:space="0" w:color="auto"/>
            </w:tcBorders>
            <w:shd w:val="clear" w:color="auto" w:fill="262626" w:themeFill="text1" w:themeFillTint="D9"/>
            <w:vAlign w:val="center"/>
          </w:tcPr>
          <w:p w14:paraId="2BD773DC" w14:textId="77777777" w:rsidR="00270903" w:rsidRPr="00295343" w:rsidDel="005C41DB" w:rsidRDefault="00270903" w:rsidP="00270903">
            <w:pPr>
              <w:keepLines w:val="0"/>
              <w:jc w:val="center"/>
              <w:rPr>
                <w:b/>
                <w:bCs/>
                <w:vertAlign w:val="superscript"/>
              </w:rPr>
            </w:pPr>
            <w:r w:rsidRPr="00295343" w:rsidDel="005C41DB">
              <w:rPr>
                <w:b/>
                <w:bCs/>
              </w:rPr>
              <w:t xml:space="preserve">RMR </w:t>
            </w:r>
          </w:p>
        </w:tc>
      </w:tr>
      <w:tr w:rsidR="00270903" w:rsidRPr="003428AC" w:rsidDel="005C41DB" w14:paraId="27B36717" w14:textId="77777777" w:rsidTr="00270903">
        <w:trPr>
          <w:trHeight w:hRule="exact" w:val="1162"/>
        </w:trPr>
        <w:tc>
          <w:tcPr>
            <w:tcW w:w="1413" w:type="dxa"/>
            <w:shd w:val="clear" w:color="auto" w:fill="auto"/>
            <w:vAlign w:val="center"/>
          </w:tcPr>
          <w:p w14:paraId="111BE00F" w14:textId="77777777" w:rsidR="00270903" w:rsidDel="005C41DB" w:rsidRDefault="00270903" w:rsidP="00270903">
            <w:pPr>
              <w:pStyle w:val="TableBody"/>
              <w:keepLines w:val="0"/>
              <w:rPr>
                <w:rFonts w:cs="Arial"/>
                <w:szCs w:val="20"/>
              </w:rPr>
            </w:pPr>
            <w:r w:rsidRPr="003428AC" w:rsidDel="005C41DB">
              <w:rPr>
                <w:rFonts w:cs="Arial"/>
                <w:szCs w:val="20"/>
              </w:rPr>
              <w:t xml:space="preserve">Option </w:t>
            </w:r>
            <w:r w:rsidDel="005C41DB">
              <w:rPr>
                <w:rFonts w:cs="Arial"/>
                <w:szCs w:val="20"/>
              </w:rPr>
              <w:t>1</w:t>
            </w:r>
          </w:p>
          <w:p w14:paraId="756F50E6" w14:textId="77777777" w:rsidR="00270903" w:rsidRPr="003428AC" w:rsidDel="005C41DB" w:rsidRDefault="00270903" w:rsidP="00270903">
            <w:pPr>
              <w:pStyle w:val="TableBody"/>
              <w:keepLines w:val="0"/>
              <w:rPr>
                <w:rFonts w:cs="Arial"/>
                <w:szCs w:val="20"/>
              </w:rPr>
            </w:pPr>
          </w:p>
        </w:tc>
        <w:tc>
          <w:tcPr>
            <w:tcW w:w="2161" w:type="dxa"/>
            <w:shd w:val="clear" w:color="auto" w:fill="auto"/>
            <w:tcMar>
              <w:left w:w="57" w:type="dxa"/>
              <w:right w:w="57" w:type="dxa"/>
            </w:tcMar>
            <w:vAlign w:val="center"/>
          </w:tcPr>
          <w:p w14:paraId="4A7F8343" w14:textId="7A7874AE" w:rsidR="00270903" w:rsidRPr="003428AC" w:rsidDel="005C41DB" w:rsidRDefault="00270903" w:rsidP="00270903">
            <w:pPr>
              <w:pStyle w:val="TableBody"/>
              <w:keepLines w:val="0"/>
              <w:rPr>
                <w:rFonts w:cs="Arial"/>
                <w:szCs w:val="20"/>
                <w:u w:val="single"/>
              </w:rPr>
            </w:pPr>
            <w:r w:rsidRPr="003428AC" w:rsidDel="005C41DB">
              <w:rPr>
                <w:rFonts w:cs="Arial"/>
                <w:b/>
                <w:bCs/>
                <w:szCs w:val="20"/>
                <w:u w:val="single"/>
              </w:rPr>
              <w:t>1880</w:t>
            </w:r>
            <w:r w:rsidR="00F655E2">
              <w:rPr>
                <w:rFonts w:cs="Arial"/>
                <w:b/>
                <w:bCs/>
                <w:szCs w:val="20"/>
                <w:u w:val="single"/>
              </w:rPr>
              <w:t>–</w:t>
            </w:r>
            <w:r w:rsidRPr="003428AC" w:rsidDel="005C41DB">
              <w:rPr>
                <w:rFonts w:cs="Arial"/>
                <w:b/>
                <w:bCs/>
                <w:szCs w:val="20"/>
                <w:u w:val="single"/>
              </w:rPr>
              <w:t>1900 MHz</w:t>
            </w:r>
            <w:r w:rsidRPr="003428AC" w:rsidDel="005C41DB">
              <w:rPr>
                <w:rFonts w:cs="Arial"/>
                <w:szCs w:val="20"/>
                <w:u w:val="single"/>
              </w:rPr>
              <w:t xml:space="preserve"> </w:t>
            </w:r>
          </w:p>
          <w:p w14:paraId="18DB76FC" w14:textId="5A582FB8" w:rsidR="00270903" w:rsidRPr="003428AC" w:rsidDel="005C41DB" w:rsidRDefault="00270903" w:rsidP="00270903">
            <w:pPr>
              <w:pStyle w:val="TableBody"/>
              <w:keepLines w:val="0"/>
              <w:rPr>
                <w:rFonts w:cs="Arial"/>
                <w:szCs w:val="20"/>
              </w:rPr>
            </w:pPr>
            <w:r w:rsidRPr="003428AC" w:rsidDel="005C41DB">
              <w:rPr>
                <w:rFonts w:cs="Arial"/>
                <w:szCs w:val="20"/>
              </w:rPr>
              <w:t>Australia</w:t>
            </w:r>
            <w:r>
              <w:rPr>
                <w:rFonts w:cs="Arial"/>
                <w:szCs w:val="20"/>
              </w:rPr>
              <w:t>-</w:t>
            </w:r>
            <w:r w:rsidRPr="003428AC" w:rsidDel="005C41DB">
              <w:rPr>
                <w:rFonts w:cs="Arial"/>
                <w:szCs w:val="20"/>
              </w:rPr>
              <w:t xml:space="preserve">wide </w:t>
            </w:r>
            <w:r w:rsidDel="005C41DB">
              <w:rPr>
                <w:rFonts w:cs="Arial"/>
                <w:szCs w:val="20"/>
              </w:rPr>
              <w:t>via</w:t>
            </w:r>
            <w:r w:rsidRPr="003428AC" w:rsidDel="005C41DB">
              <w:rPr>
                <w:rFonts w:cs="Arial"/>
                <w:szCs w:val="20"/>
              </w:rPr>
              <w:t xml:space="preserve"> </w:t>
            </w:r>
            <w:r w:rsidR="00F655E2">
              <w:rPr>
                <w:rFonts w:cs="Arial"/>
                <w:szCs w:val="20"/>
              </w:rPr>
              <w:t>c</w:t>
            </w:r>
            <w:r w:rsidRPr="003428AC" w:rsidDel="005C41DB">
              <w:rPr>
                <w:rFonts w:cs="Arial"/>
                <w:szCs w:val="20"/>
              </w:rPr>
              <w:t xml:space="preserve">lass </w:t>
            </w:r>
            <w:r w:rsidR="00F655E2">
              <w:rPr>
                <w:rFonts w:cs="Arial"/>
                <w:szCs w:val="20"/>
              </w:rPr>
              <w:t>l</w:t>
            </w:r>
            <w:r w:rsidRPr="003428AC" w:rsidDel="005C41DB">
              <w:rPr>
                <w:rFonts w:cs="Arial"/>
                <w:szCs w:val="20"/>
              </w:rPr>
              <w:t>icen</w:t>
            </w:r>
            <w:r w:rsidDel="005C41DB">
              <w:rPr>
                <w:rFonts w:cs="Arial"/>
                <w:szCs w:val="20"/>
              </w:rPr>
              <w:t>c</w:t>
            </w:r>
            <w:r w:rsidRPr="003428AC" w:rsidDel="005C41DB">
              <w:rPr>
                <w:rFonts w:cs="Arial"/>
                <w:szCs w:val="20"/>
              </w:rPr>
              <w:t>e</w:t>
            </w:r>
          </w:p>
        </w:tc>
        <w:tc>
          <w:tcPr>
            <w:tcW w:w="2162" w:type="dxa"/>
            <w:shd w:val="clear" w:color="auto" w:fill="auto"/>
            <w:vAlign w:val="center"/>
          </w:tcPr>
          <w:p w14:paraId="36706CA0" w14:textId="6882A1CD" w:rsidR="00270903" w:rsidDel="005C41DB" w:rsidRDefault="00270903" w:rsidP="00270903">
            <w:pPr>
              <w:pStyle w:val="TableBody"/>
              <w:keepLines w:val="0"/>
              <w:rPr>
                <w:rFonts w:cs="Arial"/>
                <w:szCs w:val="20"/>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p>
          <w:p w14:paraId="1204101E" w14:textId="19CF7D6A" w:rsidR="00270903" w:rsidRPr="003428AC" w:rsidDel="005C41DB" w:rsidRDefault="00270903" w:rsidP="00270903">
            <w:pPr>
              <w:pStyle w:val="TableBody"/>
              <w:keepLines w:val="0"/>
              <w:rPr>
                <w:rFonts w:cs="Arial"/>
                <w:b/>
                <w:bCs/>
                <w:szCs w:val="20"/>
                <w:u w:val="single"/>
              </w:rPr>
            </w:pPr>
            <w:r w:rsidDel="005C41DB">
              <w:rPr>
                <w:rFonts w:cs="Arial"/>
                <w:szCs w:val="20"/>
              </w:rPr>
              <w:t>R</w:t>
            </w:r>
            <w:r w:rsidRPr="003428AC" w:rsidDel="005C41DB">
              <w:rPr>
                <w:rFonts w:cs="Arial"/>
                <w:szCs w:val="20"/>
              </w:rPr>
              <w:t xml:space="preserve">egional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c>
          <w:tcPr>
            <w:tcW w:w="2162" w:type="dxa"/>
            <w:tcBorders>
              <w:left w:val="single" w:sz="4" w:space="0" w:color="auto"/>
            </w:tcBorders>
            <w:shd w:val="clear" w:color="auto" w:fill="auto"/>
            <w:vAlign w:val="center"/>
          </w:tcPr>
          <w:p w14:paraId="40EB0825" w14:textId="3BAD82DD" w:rsidR="00270903" w:rsidDel="005C41DB" w:rsidRDefault="00270903" w:rsidP="00270903">
            <w:pPr>
              <w:pStyle w:val="TableBody"/>
              <w:keepLines w:val="0"/>
              <w:rPr>
                <w:rFonts w:cs="Arial"/>
                <w:szCs w:val="20"/>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p>
          <w:p w14:paraId="13A44497" w14:textId="3B83354E" w:rsidR="00270903" w:rsidRPr="003428AC" w:rsidDel="005C41DB" w:rsidRDefault="00270903" w:rsidP="00270903">
            <w:pPr>
              <w:pStyle w:val="TableBody"/>
              <w:keepLines w:val="0"/>
              <w:rPr>
                <w:rFonts w:cs="Arial"/>
                <w:szCs w:val="20"/>
              </w:rPr>
            </w:pPr>
            <w:r w:rsidDel="005C41DB">
              <w:rPr>
                <w:rFonts w:cs="Arial"/>
                <w:szCs w:val="20"/>
              </w:rPr>
              <w:t>R</w:t>
            </w:r>
            <w:r w:rsidRPr="003428AC" w:rsidDel="005C41DB">
              <w:rPr>
                <w:rFonts w:cs="Arial"/>
                <w:szCs w:val="20"/>
              </w:rPr>
              <w:t xml:space="preserve">egional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c>
          <w:tcPr>
            <w:tcW w:w="2162" w:type="dxa"/>
            <w:tcBorders>
              <w:right w:val="single" w:sz="4" w:space="0" w:color="auto"/>
            </w:tcBorders>
            <w:shd w:val="clear" w:color="auto" w:fill="auto"/>
            <w:tcMar>
              <w:left w:w="57" w:type="dxa"/>
              <w:right w:w="57" w:type="dxa"/>
            </w:tcMar>
            <w:vAlign w:val="center"/>
          </w:tcPr>
          <w:p w14:paraId="1FE823D5" w14:textId="230A8DD9" w:rsidR="00270903" w:rsidRPr="003428AC" w:rsidDel="005C41DB" w:rsidRDefault="0010492B" w:rsidP="00270903">
            <w:pPr>
              <w:pStyle w:val="TableBody"/>
              <w:keepLines w:val="0"/>
              <w:rPr>
                <w:rFonts w:cs="Arial"/>
                <w:szCs w:val="20"/>
              </w:rPr>
            </w:pPr>
            <w:r>
              <w:rPr>
                <w:rFonts w:cs="Arial"/>
                <w:szCs w:val="20"/>
              </w:rPr>
              <w:t>No</w:t>
            </w:r>
            <w:r w:rsidR="003248E1">
              <w:rPr>
                <w:rFonts w:cs="Arial"/>
                <w:szCs w:val="20"/>
              </w:rPr>
              <w:t xml:space="preserve"> arrangements</w:t>
            </w:r>
            <w:r>
              <w:rPr>
                <w:rFonts w:cs="Arial"/>
                <w:szCs w:val="20"/>
              </w:rPr>
              <w:t xml:space="preserve"> </w:t>
            </w:r>
          </w:p>
        </w:tc>
      </w:tr>
      <w:tr w:rsidR="00270903" w:rsidRPr="003428AC" w:rsidDel="005C41DB" w14:paraId="1AD1BDB3" w14:textId="77777777" w:rsidTr="00D51E3F">
        <w:trPr>
          <w:trHeight w:hRule="exact" w:val="1169"/>
        </w:trPr>
        <w:tc>
          <w:tcPr>
            <w:tcW w:w="1413" w:type="dxa"/>
            <w:shd w:val="clear" w:color="auto" w:fill="D9D9D9" w:themeFill="background1" w:themeFillShade="D9"/>
            <w:vAlign w:val="center"/>
          </w:tcPr>
          <w:p w14:paraId="2886A67D" w14:textId="77777777" w:rsidR="00270903" w:rsidRPr="003428AC" w:rsidDel="005C41DB" w:rsidRDefault="00270903" w:rsidP="00270903">
            <w:pPr>
              <w:pStyle w:val="TableBody"/>
              <w:keepLines w:val="0"/>
              <w:rPr>
                <w:rFonts w:cs="Arial"/>
                <w:szCs w:val="20"/>
              </w:rPr>
            </w:pPr>
            <w:r w:rsidRPr="003428AC" w:rsidDel="005C41DB">
              <w:rPr>
                <w:rFonts w:cs="Arial"/>
                <w:szCs w:val="20"/>
              </w:rPr>
              <w:t xml:space="preserve">Option </w:t>
            </w:r>
            <w:r w:rsidDel="005C41DB">
              <w:rPr>
                <w:rFonts w:cs="Arial"/>
                <w:szCs w:val="20"/>
              </w:rPr>
              <w:t>2</w:t>
            </w:r>
          </w:p>
        </w:tc>
        <w:tc>
          <w:tcPr>
            <w:tcW w:w="2161" w:type="dxa"/>
            <w:shd w:val="clear" w:color="auto" w:fill="D9D9D9" w:themeFill="background1" w:themeFillShade="D9"/>
            <w:tcMar>
              <w:left w:w="57" w:type="dxa"/>
              <w:right w:w="57" w:type="dxa"/>
            </w:tcMar>
            <w:vAlign w:val="center"/>
          </w:tcPr>
          <w:p w14:paraId="50ADC7AD" w14:textId="455A54D6" w:rsidR="00270903" w:rsidRPr="003428AC" w:rsidDel="005C41DB" w:rsidRDefault="00270903" w:rsidP="00270903">
            <w:pPr>
              <w:pStyle w:val="TableBody"/>
              <w:keepLines w:val="0"/>
              <w:rPr>
                <w:rFonts w:cs="Arial"/>
                <w:szCs w:val="20"/>
                <w:u w:val="single"/>
              </w:rPr>
            </w:pPr>
            <w:r w:rsidRPr="003428AC" w:rsidDel="005C41DB">
              <w:rPr>
                <w:rFonts w:cs="Arial"/>
                <w:b/>
                <w:bCs/>
                <w:szCs w:val="20"/>
                <w:u w:val="single"/>
              </w:rPr>
              <w:t>1880</w:t>
            </w:r>
            <w:r w:rsidR="00F655E2">
              <w:rPr>
                <w:rFonts w:cs="Arial"/>
                <w:b/>
                <w:bCs/>
                <w:szCs w:val="20"/>
                <w:u w:val="single"/>
              </w:rPr>
              <w:t>–</w:t>
            </w:r>
            <w:r w:rsidRPr="003428AC" w:rsidDel="005C41DB">
              <w:rPr>
                <w:rFonts w:cs="Arial"/>
                <w:b/>
                <w:bCs/>
                <w:szCs w:val="20"/>
                <w:u w:val="single"/>
              </w:rPr>
              <w:t>19</w:t>
            </w:r>
            <w:r w:rsidDel="005C41DB">
              <w:rPr>
                <w:rFonts w:cs="Arial"/>
                <w:b/>
                <w:bCs/>
                <w:szCs w:val="20"/>
                <w:u w:val="single"/>
              </w:rPr>
              <w:t>2</w:t>
            </w:r>
            <w:r w:rsidRPr="003428AC" w:rsidDel="005C41DB">
              <w:rPr>
                <w:rFonts w:cs="Arial"/>
                <w:b/>
                <w:bCs/>
                <w:szCs w:val="20"/>
                <w:u w:val="single"/>
              </w:rPr>
              <w:t>0 MHz</w:t>
            </w:r>
            <w:r w:rsidRPr="003428AC" w:rsidDel="005C41DB">
              <w:rPr>
                <w:rFonts w:cs="Arial"/>
                <w:szCs w:val="20"/>
                <w:u w:val="single"/>
              </w:rPr>
              <w:t xml:space="preserve"> </w:t>
            </w:r>
          </w:p>
          <w:p w14:paraId="35D20F84" w14:textId="5FACC5F6" w:rsidR="00270903" w:rsidRPr="003428AC" w:rsidDel="005C41DB" w:rsidRDefault="00270903" w:rsidP="00270903">
            <w:pPr>
              <w:pStyle w:val="TableBody"/>
              <w:keepLines w:val="0"/>
              <w:rPr>
                <w:rFonts w:cs="Arial"/>
                <w:b/>
                <w:bCs/>
                <w:szCs w:val="20"/>
                <w:u w:val="single"/>
              </w:rPr>
            </w:pPr>
            <w:r w:rsidRPr="003428AC" w:rsidDel="005C41DB">
              <w:rPr>
                <w:rFonts w:cs="Arial"/>
                <w:szCs w:val="20"/>
              </w:rPr>
              <w:t>Australia</w:t>
            </w:r>
            <w:r>
              <w:rPr>
                <w:rFonts w:cs="Arial"/>
                <w:szCs w:val="20"/>
              </w:rPr>
              <w:t>-</w:t>
            </w:r>
            <w:r w:rsidRPr="003428AC" w:rsidDel="005C41DB">
              <w:rPr>
                <w:rFonts w:cs="Arial"/>
                <w:szCs w:val="20"/>
              </w:rPr>
              <w:t xml:space="preserve">wide </w:t>
            </w:r>
            <w:r w:rsidDel="005C41DB">
              <w:rPr>
                <w:rFonts w:cs="Arial"/>
                <w:szCs w:val="20"/>
              </w:rPr>
              <w:t>via</w:t>
            </w:r>
            <w:r w:rsidRPr="003428AC" w:rsidDel="005C41DB">
              <w:rPr>
                <w:rFonts w:cs="Arial"/>
                <w:szCs w:val="20"/>
              </w:rPr>
              <w:t xml:space="preserve"> </w:t>
            </w:r>
            <w:r w:rsidR="00F655E2">
              <w:rPr>
                <w:rFonts w:cs="Arial"/>
                <w:szCs w:val="20"/>
              </w:rPr>
              <w:t>c</w:t>
            </w:r>
            <w:r w:rsidRPr="003428AC" w:rsidDel="005C41DB">
              <w:rPr>
                <w:rFonts w:cs="Arial"/>
                <w:szCs w:val="20"/>
              </w:rPr>
              <w:t xml:space="preserve">lass </w:t>
            </w:r>
            <w:r w:rsidR="00F655E2">
              <w:rPr>
                <w:rFonts w:cs="Arial"/>
                <w:szCs w:val="20"/>
              </w:rPr>
              <w:t>l</w:t>
            </w:r>
            <w:r w:rsidRPr="003428AC" w:rsidDel="005C41DB">
              <w:rPr>
                <w:rFonts w:cs="Arial"/>
                <w:szCs w:val="20"/>
              </w:rPr>
              <w:t>icen</w:t>
            </w:r>
            <w:r w:rsidDel="005C41DB">
              <w:rPr>
                <w:rFonts w:cs="Arial"/>
                <w:szCs w:val="20"/>
              </w:rPr>
              <w:t>c</w:t>
            </w:r>
            <w:r w:rsidRPr="003428AC" w:rsidDel="005C41DB">
              <w:rPr>
                <w:rFonts w:cs="Arial"/>
                <w:szCs w:val="20"/>
              </w:rPr>
              <w:t>e</w:t>
            </w:r>
          </w:p>
        </w:tc>
        <w:tc>
          <w:tcPr>
            <w:tcW w:w="2162" w:type="dxa"/>
            <w:shd w:val="clear" w:color="auto" w:fill="D9D9D9" w:themeFill="background1" w:themeFillShade="D9"/>
            <w:vAlign w:val="center"/>
          </w:tcPr>
          <w:p w14:paraId="56AA025C" w14:textId="731E91A1" w:rsidR="00270903" w:rsidDel="005C41DB" w:rsidRDefault="00270903" w:rsidP="00270903">
            <w:pPr>
              <w:pStyle w:val="TableBody"/>
              <w:keepLines w:val="0"/>
              <w:rPr>
                <w:rFonts w:cs="Arial"/>
                <w:szCs w:val="20"/>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p>
          <w:p w14:paraId="5329613B" w14:textId="4A9C5FAF" w:rsidR="00270903" w:rsidRPr="003428AC" w:rsidDel="005C41DB" w:rsidRDefault="00270903" w:rsidP="00270903">
            <w:pPr>
              <w:pStyle w:val="TableBody"/>
              <w:keepLines w:val="0"/>
              <w:rPr>
                <w:rFonts w:cs="Arial"/>
                <w:b/>
                <w:bCs/>
                <w:szCs w:val="20"/>
                <w:u w:val="single"/>
              </w:rPr>
            </w:pPr>
            <w:r w:rsidRPr="003428AC" w:rsidDel="005C41DB">
              <w:rPr>
                <w:rFonts w:cs="Arial"/>
                <w:szCs w:val="20"/>
              </w:rPr>
              <w:t xml:space="preserve">Regional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c>
          <w:tcPr>
            <w:tcW w:w="2162" w:type="dxa"/>
            <w:tcBorders>
              <w:left w:val="single" w:sz="4" w:space="0" w:color="auto"/>
            </w:tcBorders>
            <w:shd w:val="clear" w:color="auto" w:fill="D9D9D9" w:themeFill="background1" w:themeFillShade="D9"/>
            <w:vAlign w:val="center"/>
          </w:tcPr>
          <w:p w14:paraId="7583FE28" w14:textId="1B37AAA8" w:rsidR="00270903" w:rsidDel="005C41DB" w:rsidRDefault="00270903" w:rsidP="00270903">
            <w:pPr>
              <w:pStyle w:val="TableBody"/>
              <w:keepLines w:val="0"/>
              <w:rPr>
                <w:rFonts w:cs="Arial"/>
                <w:szCs w:val="20"/>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p>
          <w:p w14:paraId="63BA29AF" w14:textId="61A9A7A5" w:rsidR="00270903" w:rsidRPr="003428AC" w:rsidDel="005C41DB" w:rsidRDefault="00270903" w:rsidP="00270903">
            <w:pPr>
              <w:pStyle w:val="TableBody"/>
              <w:keepLines w:val="0"/>
              <w:rPr>
                <w:rFonts w:cs="Arial"/>
                <w:b/>
                <w:bCs/>
                <w:szCs w:val="20"/>
                <w:u w:val="single"/>
              </w:rPr>
            </w:pPr>
            <w:r w:rsidDel="005C41DB">
              <w:rPr>
                <w:rFonts w:cs="Arial"/>
                <w:szCs w:val="20"/>
              </w:rPr>
              <w:t>R</w:t>
            </w:r>
            <w:r w:rsidRPr="003428AC" w:rsidDel="005C41DB">
              <w:rPr>
                <w:rFonts w:cs="Arial"/>
                <w:szCs w:val="20"/>
              </w:rPr>
              <w:t xml:space="preserve">egional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5D4EC9" w:rsidDel="005C41DB">
              <w:rPr>
                <w:rFonts w:cs="Arial"/>
                <w:szCs w:val="20"/>
              </w:rPr>
              <w:t>licences</w:t>
            </w:r>
          </w:p>
        </w:tc>
        <w:tc>
          <w:tcPr>
            <w:tcW w:w="2162" w:type="dxa"/>
            <w:tcBorders>
              <w:right w:val="single" w:sz="4" w:space="0" w:color="auto"/>
            </w:tcBorders>
            <w:shd w:val="clear" w:color="auto" w:fill="D9D9D9" w:themeFill="background1" w:themeFillShade="D9"/>
            <w:tcMar>
              <w:left w:w="57" w:type="dxa"/>
              <w:right w:w="57" w:type="dxa"/>
            </w:tcMar>
            <w:vAlign w:val="center"/>
          </w:tcPr>
          <w:p w14:paraId="77DE00CD" w14:textId="12C376E6" w:rsidR="00270903" w:rsidRPr="003042FC" w:rsidDel="005C41DB" w:rsidRDefault="0010492B" w:rsidP="00270903">
            <w:pPr>
              <w:pStyle w:val="TableBody"/>
              <w:keepLines w:val="0"/>
              <w:rPr>
                <w:rFonts w:cs="Arial"/>
                <w:szCs w:val="20"/>
              </w:rPr>
            </w:pPr>
            <w:r w:rsidRPr="003042FC">
              <w:rPr>
                <w:rFonts w:cs="Arial"/>
                <w:szCs w:val="20"/>
              </w:rPr>
              <w:t>No</w:t>
            </w:r>
            <w:r w:rsidR="003248E1">
              <w:rPr>
                <w:rFonts w:cs="Arial"/>
                <w:szCs w:val="20"/>
              </w:rPr>
              <w:t xml:space="preserve"> arrangements</w:t>
            </w:r>
          </w:p>
        </w:tc>
      </w:tr>
      <w:tr w:rsidR="00270903" w:rsidRPr="003428AC" w:rsidDel="005C41DB" w14:paraId="6E22E556" w14:textId="77777777" w:rsidTr="00270903">
        <w:trPr>
          <w:trHeight w:hRule="exact" w:val="1464"/>
        </w:trPr>
        <w:tc>
          <w:tcPr>
            <w:tcW w:w="1413" w:type="dxa"/>
            <w:shd w:val="clear" w:color="auto" w:fill="auto"/>
            <w:vAlign w:val="center"/>
          </w:tcPr>
          <w:p w14:paraId="7B672E00" w14:textId="77777777" w:rsidR="00270903" w:rsidRPr="003428AC" w:rsidDel="005C41DB" w:rsidRDefault="00270903" w:rsidP="00270903">
            <w:pPr>
              <w:pStyle w:val="TableBody"/>
              <w:keepLines w:val="0"/>
              <w:rPr>
                <w:rFonts w:cs="Arial"/>
                <w:szCs w:val="20"/>
              </w:rPr>
            </w:pPr>
            <w:r w:rsidRPr="003428AC" w:rsidDel="005C41DB">
              <w:rPr>
                <w:rFonts w:cs="Arial"/>
                <w:szCs w:val="20"/>
              </w:rPr>
              <w:t xml:space="preserve">Option </w:t>
            </w:r>
            <w:r w:rsidDel="005C41DB">
              <w:rPr>
                <w:rFonts w:cs="Arial"/>
                <w:szCs w:val="20"/>
              </w:rPr>
              <w:t>3</w:t>
            </w:r>
          </w:p>
        </w:tc>
        <w:tc>
          <w:tcPr>
            <w:tcW w:w="2161" w:type="dxa"/>
            <w:shd w:val="clear" w:color="auto" w:fill="auto"/>
            <w:tcMar>
              <w:left w:w="57" w:type="dxa"/>
              <w:right w:w="57" w:type="dxa"/>
            </w:tcMar>
            <w:vAlign w:val="center"/>
          </w:tcPr>
          <w:p w14:paraId="405CBC1F" w14:textId="44C3FB03" w:rsidR="00270903" w:rsidRPr="003428AC" w:rsidDel="005C41DB" w:rsidRDefault="00270903" w:rsidP="00270903">
            <w:pPr>
              <w:pStyle w:val="TableBody"/>
              <w:keepLines w:val="0"/>
              <w:rPr>
                <w:rFonts w:cs="Arial"/>
                <w:szCs w:val="20"/>
                <w:u w:val="single"/>
              </w:rPr>
            </w:pPr>
            <w:r w:rsidRPr="003428AC" w:rsidDel="005C41DB">
              <w:rPr>
                <w:rFonts w:cs="Arial"/>
                <w:b/>
                <w:bCs/>
                <w:szCs w:val="20"/>
                <w:u w:val="single"/>
              </w:rPr>
              <w:t>1880</w:t>
            </w:r>
            <w:r w:rsidR="00F655E2">
              <w:rPr>
                <w:rFonts w:cs="Arial"/>
                <w:b/>
                <w:bCs/>
                <w:szCs w:val="20"/>
                <w:u w:val="single"/>
              </w:rPr>
              <w:t>–</w:t>
            </w:r>
            <w:r w:rsidRPr="003428AC" w:rsidDel="005C41DB">
              <w:rPr>
                <w:rFonts w:cs="Arial"/>
                <w:b/>
                <w:bCs/>
                <w:szCs w:val="20"/>
                <w:u w:val="single"/>
              </w:rPr>
              <w:t>1900 MHz</w:t>
            </w:r>
            <w:r w:rsidRPr="003428AC" w:rsidDel="005C41DB">
              <w:rPr>
                <w:rFonts w:cs="Arial"/>
                <w:szCs w:val="20"/>
                <w:u w:val="single"/>
              </w:rPr>
              <w:t xml:space="preserve"> </w:t>
            </w:r>
          </w:p>
          <w:p w14:paraId="40A9D07F" w14:textId="5A90A9E2" w:rsidR="00270903" w:rsidRPr="003428AC" w:rsidDel="005C41DB" w:rsidRDefault="00270903" w:rsidP="00270903">
            <w:pPr>
              <w:pStyle w:val="TableBody"/>
              <w:keepLines w:val="0"/>
              <w:rPr>
                <w:rFonts w:cs="Arial"/>
                <w:b/>
                <w:bCs/>
                <w:szCs w:val="20"/>
                <w:u w:val="single"/>
              </w:rPr>
            </w:pPr>
            <w:r w:rsidRPr="003428AC" w:rsidDel="005C41DB">
              <w:rPr>
                <w:rFonts w:cs="Arial"/>
                <w:szCs w:val="20"/>
              </w:rPr>
              <w:t>Australia</w:t>
            </w:r>
            <w:r>
              <w:rPr>
                <w:rFonts w:cs="Arial"/>
                <w:szCs w:val="20"/>
              </w:rPr>
              <w:t>-</w:t>
            </w:r>
            <w:r w:rsidRPr="003428AC" w:rsidDel="005C41DB">
              <w:rPr>
                <w:rFonts w:cs="Arial"/>
                <w:szCs w:val="20"/>
              </w:rPr>
              <w:t xml:space="preserve">wide </w:t>
            </w:r>
            <w:r w:rsidDel="005C41DB">
              <w:rPr>
                <w:rFonts w:cs="Arial"/>
                <w:szCs w:val="20"/>
              </w:rPr>
              <w:t>via</w:t>
            </w:r>
            <w:r w:rsidRPr="003428AC" w:rsidDel="005C41DB">
              <w:rPr>
                <w:rFonts w:cs="Arial"/>
                <w:szCs w:val="20"/>
              </w:rPr>
              <w:t xml:space="preserve"> </w:t>
            </w:r>
            <w:r w:rsidR="00F655E2">
              <w:rPr>
                <w:rFonts w:cs="Arial"/>
                <w:szCs w:val="20"/>
              </w:rPr>
              <w:t>c</w:t>
            </w:r>
            <w:r w:rsidRPr="003428AC" w:rsidDel="005C41DB">
              <w:rPr>
                <w:rFonts w:cs="Arial"/>
                <w:szCs w:val="20"/>
              </w:rPr>
              <w:t xml:space="preserve">lass </w:t>
            </w:r>
            <w:r w:rsidR="00F655E2">
              <w:rPr>
                <w:rFonts w:cs="Arial"/>
                <w:szCs w:val="20"/>
              </w:rPr>
              <w:t>l</w:t>
            </w:r>
            <w:r w:rsidRPr="003428AC" w:rsidDel="005C41DB">
              <w:rPr>
                <w:rFonts w:cs="Arial"/>
                <w:szCs w:val="20"/>
              </w:rPr>
              <w:t>icen</w:t>
            </w:r>
            <w:r w:rsidDel="005C41DB">
              <w:rPr>
                <w:rFonts w:cs="Arial"/>
                <w:szCs w:val="20"/>
              </w:rPr>
              <w:t>c</w:t>
            </w:r>
            <w:r w:rsidRPr="003428AC" w:rsidDel="005C41DB">
              <w:rPr>
                <w:rFonts w:cs="Arial"/>
                <w:szCs w:val="20"/>
              </w:rPr>
              <w:t>e</w:t>
            </w:r>
          </w:p>
        </w:tc>
        <w:tc>
          <w:tcPr>
            <w:tcW w:w="2162" w:type="dxa"/>
            <w:shd w:val="clear" w:color="auto" w:fill="auto"/>
            <w:vAlign w:val="center"/>
          </w:tcPr>
          <w:p w14:paraId="4DB06CCE" w14:textId="5B956122" w:rsidR="00270903" w:rsidDel="005C41DB" w:rsidRDefault="00270903" w:rsidP="00270903">
            <w:pPr>
              <w:pStyle w:val="TableBody"/>
              <w:keepLines w:val="0"/>
              <w:rPr>
                <w:rFonts w:cs="Arial"/>
                <w:szCs w:val="20"/>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p>
          <w:p w14:paraId="044AFE6B" w14:textId="6F9C71DF" w:rsidR="00270903" w:rsidRPr="003428AC" w:rsidDel="005C41DB" w:rsidRDefault="00270903" w:rsidP="00270903">
            <w:pPr>
              <w:pStyle w:val="TableBody"/>
              <w:keepLines w:val="0"/>
              <w:rPr>
                <w:rFonts w:cs="Arial"/>
                <w:b/>
                <w:bCs/>
                <w:szCs w:val="20"/>
                <w:u w:val="single"/>
              </w:rPr>
            </w:pPr>
            <w:r w:rsidRPr="003428AC" w:rsidDel="005C41DB">
              <w:rPr>
                <w:rFonts w:cs="Arial"/>
                <w:szCs w:val="20"/>
              </w:rPr>
              <w:t xml:space="preserve">Regional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c>
          <w:tcPr>
            <w:tcW w:w="2162" w:type="dxa"/>
            <w:tcBorders>
              <w:left w:val="single" w:sz="4" w:space="0" w:color="auto"/>
            </w:tcBorders>
            <w:shd w:val="clear" w:color="auto" w:fill="auto"/>
            <w:vAlign w:val="center"/>
          </w:tcPr>
          <w:p w14:paraId="4C0F11B5" w14:textId="2CE0C027" w:rsidR="00270903" w:rsidRPr="003428AC" w:rsidDel="005C41DB" w:rsidRDefault="00270903" w:rsidP="00270903">
            <w:pPr>
              <w:pStyle w:val="TableBody"/>
              <w:keepLines w:val="0"/>
              <w:rPr>
                <w:rFonts w:cs="Arial"/>
                <w:b/>
                <w:bCs/>
                <w:szCs w:val="20"/>
                <w:u w:val="single"/>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r w:rsidDel="005C41DB">
              <w:rPr>
                <w:rFonts w:cs="Arial"/>
                <w:szCs w:val="20"/>
              </w:rPr>
              <w:t>Regional</w:t>
            </w:r>
            <w:r w:rsidRPr="003428AC" w:rsidDel="005C41DB">
              <w:rPr>
                <w:rFonts w:cs="Arial"/>
                <w:szCs w:val="20"/>
              </w:rPr>
              <w:t xml:space="preserve">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c>
          <w:tcPr>
            <w:tcW w:w="2162" w:type="dxa"/>
            <w:tcBorders>
              <w:right w:val="single" w:sz="4" w:space="0" w:color="auto"/>
            </w:tcBorders>
            <w:shd w:val="clear" w:color="auto" w:fill="auto"/>
            <w:tcMar>
              <w:left w:w="57" w:type="dxa"/>
              <w:right w:w="57" w:type="dxa"/>
            </w:tcMar>
            <w:vAlign w:val="center"/>
          </w:tcPr>
          <w:p w14:paraId="7927277D" w14:textId="1FDBF975" w:rsidR="00270903" w:rsidRPr="003428AC" w:rsidDel="005C41DB" w:rsidRDefault="00270903" w:rsidP="00270903">
            <w:pPr>
              <w:pStyle w:val="TableBody"/>
              <w:keepLines w:val="0"/>
              <w:rPr>
                <w:rFonts w:cs="Arial"/>
                <w:b/>
                <w:bCs/>
                <w:szCs w:val="20"/>
                <w:u w:val="single"/>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w:t>
            </w:r>
            <w:r w:rsidDel="005C41DB">
              <w:rPr>
                <w:rFonts w:cs="Arial"/>
                <w:b/>
                <w:bCs/>
                <w:szCs w:val="20"/>
                <w:u w:val="single"/>
              </w:rPr>
              <w:t>1</w:t>
            </w:r>
            <w:r w:rsidRPr="003428AC" w:rsidDel="005C41DB">
              <w:rPr>
                <w:rFonts w:cs="Arial"/>
                <w:b/>
                <w:bCs/>
                <w:szCs w:val="20"/>
                <w:u w:val="single"/>
              </w:rPr>
              <w:t>0 MHz</w:t>
            </w:r>
            <w:r w:rsidRPr="003428AC" w:rsidDel="005C41DB">
              <w:rPr>
                <w:rFonts w:cs="Arial"/>
                <w:szCs w:val="20"/>
              </w:rPr>
              <w:t xml:space="preserve"> </w:t>
            </w:r>
            <w:r w:rsidDel="005C41DB">
              <w:rPr>
                <w:rFonts w:cs="Arial"/>
                <w:szCs w:val="20"/>
              </w:rPr>
              <w:t>Restricted to rail applications</w:t>
            </w:r>
            <w:r w:rsidRPr="003428AC" w:rsidDel="005C41DB">
              <w:rPr>
                <w:rFonts w:cs="Arial"/>
                <w:szCs w:val="20"/>
              </w:rPr>
              <w:t xml:space="preserve"> Australia</w:t>
            </w:r>
            <w:r>
              <w:rPr>
                <w:rFonts w:cs="Arial"/>
                <w:szCs w:val="20"/>
              </w:rPr>
              <w:t>-</w:t>
            </w:r>
            <w:r w:rsidDel="005C41DB">
              <w:rPr>
                <w:rFonts w:cs="Arial"/>
                <w:szCs w:val="20"/>
              </w:rPr>
              <w:t xml:space="preserve">wide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r>
      <w:tr w:rsidR="00270903" w:rsidRPr="003428AC" w:rsidDel="005C41DB" w14:paraId="47301C9A" w14:textId="77777777" w:rsidTr="00D51E3F">
        <w:trPr>
          <w:trHeight w:hRule="exact" w:val="1366"/>
        </w:trPr>
        <w:tc>
          <w:tcPr>
            <w:tcW w:w="1413" w:type="dxa"/>
            <w:shd w:val="clear" w:color="auto" w:fill="D9D9D9" w:themeFill="background1" w:themeFillShade="D9"/>
            <w:vAlign w:val="center"/>
          </w:tcPr>
          <w:p w14:paraId="4BC5090E" w14:textId="77777777" w:rsidR="00270903" w:rsidRPr="003428AC" w:rsidDel="005C41DB" w:rsidRDefault="00270903" w:rsidP="00270903">
            <w:pPr>
              <w:pStyle w:val="TableBody"/>
              <w:keepLines w:val="0"/>
              <w:rPr>
                <w:rFonts w:cs="Arial"/>
                <w:szCs w:val="20"/>
              </w:rPr>
            </w:pPr>
            <w:r w:rsidRPr="003428AC" w:rsidDel="005C41DB">
              <w:rPr>
                <w:rFonts w:cs="Arial"/>
                <w:szCs w:val="20"/>
              </w:rPr>
              <w:t xml:space="preserve">Option </w:t>
            </w:r>
            <w:r w:rsidDel="005C41DB">
              <w:rPr>
                <w:rFonts w:cs="Arial"/>
                <w:szCs w:val="20"/>
              </w:rPr>
              <w:t>4</w:t>
            </w:r>
          </w:p>
        </w:tc>
        <w:tc>
          <w:tcPr>
            <w:tcW w:w="2161" w:type="dxa"/>
            <w:shd w:val="clear" w:color="auto" w:fill="D9D9D9" w:themeFill="background1" w:themeFillShade="D9"/>
            <w:tcMar>
              <w:left w:w="57" w:type="dxa"/>
              <w:right w:w="57" w:type="dxa"/>
            </w:tcMar>
            <w:vAlign w:val="center"/>
          </w:tcPr>
          <w:p w14:paraId="60F93ED1" w14:textId="2735B3EC" w:rsidR="00270903" w:rsidDel="005C41DB" w:rsidRDefault="00270903" w:rsidP="00270903">
            <w:pPr>
              <w:pStyle w:val="TableBody"/>
              <w:keepLines w:val="0"/>
              <w:rPr>
                <w:rFonts w:cs="Arial"/>
                <w:szCs w:val="20"/>
              </w:rPr>
            </w:pPr>
            <w:r w:rsidRPr="003428AC" w:rsidDel="005C41DB">
              <w:rPr>
                <w:rFonts w:cs="Arial"/>
                <w:b/>
                <w:bCs/>
                <w:szCs w:val="20"/>
                <w:u w:val="single"/>
              </w:rPr>
              <w:t>1880</w:t>
            </w:r>
            <w:r w:rsidR="00F655E2">
              <w:rPr>
                <w:rFonts w:cs="Arial"/>
                <w:b/>
                <w:bCs/>
                <w:szCs w:val="20"/>
                <w:u w:val="single"/>
              </w:rPr>
              <w:t>–</w:t>
            </w:r>
            <w:r w:rsidRPr="003428AC" w:rsidDel="005C41DB">
              <w:rPr>
                <w:rFonts w:cs="Arial"/>
                <w:b/>
                <w:bCs/>
                <w:szCs w:val="20"/>
                <w:u w:val="single"/>
              </w:rPr>
              <w:t>19</w:t>
            </w:r>
            <w:r w:rsidDel="005C41DB">
              <w:rPr>
                <w:rFonts w:cs="Arial"/>
                <w:b/>
                <w:bCs/>
                <w:szCs w:val="20"/>
                <w:u w:val="single"/>
              </w:rPr>
              <w:t>2</w:t>
            </w:r>
            <w:r w:rsidRPr="003428AC" w:rsidDel="005C41DB">
              <w:rPr>
                <w:rFonts w:cs="Arial"/>
                <w:b/>
                <w:bCs/>
                <w:szCs w:val="20"/>
                <w:u w:val="single"/>
              </w:rPr>
              <w:t>0 MHz</w:t>
            </w:r>
            <w:r w:rsidRPr="003428AC" w:rsidDel="005C41DB">
              <w:rPr>
                <w:rFonts w:cs="Arial"/>
                <w:szCs w:val="20"/>
              </w:rPr>
              <w:t xml:space="preserve"> </w:t>
            </w:r>
          </w:p>
          <w:p w14:paraId="54EBC4DF" w14:textId="25316978" w:rsidR="00270903" w:rsidRPr="003428AC" w:rsidDel="005C41DB" w:rsidRDefault="00270903" w:rsidP="00270903">
            <w:pPr>
              <w:pStyle w:val="TableBody"/>
              <w:keepLines w:val="0"/>
              <w:rPr>
                <w:rFonts w:cs="Arial"/>
                <w:szCs w:val="20"/>
              </w:rPr>
            </w:pPr>
            <w:r w:rsidRPr="003428AC" w:rsidDel="005C41DB">
              <w:rPr>
                <w:rFonts w:cs="Arial"/>
                <w:szCs w:val="20"/>
              </w:rPr>
              <w:t>Australia</w:t>
            </w:r>
            <w:r>
              <w:rPr>
                <w:rFonts w:cs="Arial"/>
                <w:szCs w:val="20"/>
              </w:rPr>
              <w:t>-</w:t>
            </w:r>
            <w:r w:rsidRPr="003428AC" w:rsidDel="005C41DB">
              <w:rPr>
                <w:rFonts w:cs="Arial"/>
                <w:szCs w:val="20"/>
              </w:rPr>
              <w:t xml:space="preserve">wide </w:t>
            </w:r>
            <w:r w:rsidDel="005C41DB">
              <w:rPr>
                <w:rFonts w:cs="Arial"/>
                <w:szCs w:val="20"/>
              </w:rPr>
              <w:t>via</w:t>
            </w:r>
            <w:r w:rsidRPr="003428AC" w:rsidDel="005C41DB">
              <w:rPr>
                <w:rFonts w:cs="Arial"/>
                <w:szCs w:val="20"/>
              </w:rPr>
              <w:t xml:space="preserve"> </w:t>
            </w:r>
            <w:r w:rsidR="00F655E2">
              <w:rPr>
                <w:rFonts w:cs="Arial"/>
                <w:szCs w:val="20"/>
              </w:rPr>
              <w:t>c</w:t>
            </w:r>
            <w:r w:rsidRPr="003428AC" w:rsidDel="005C41DB">
              <w:rPr>
                <w:rFonts w:cs="Arial"/>
                <w:szCs w:val="20"/>
              </w:rPr>
              <w:t xml:space="preserve">lass </w:t>
            </w:r>
            <w:r w:rsidR="00F655E2">
              <w:rPr>
                <w:rFonts w:cs="Arial"/>
                <w:szCs w:val="20"/>
              </w:rPr>
              <w:t>l</w:t>
            </w:r>
            <w:r w:rsidRPr="003428AC" w:rsidDel="005C41DB">
              <w:rPr>
                <w:rFonts w:cs="Arial"/>
                <w:szCs w:val="20"/>
              </w:rPr>
              <w:t>icen</w:t>
            </w:r>
            <w:r w:rsidDel="005C41DB">
              <w:rPr>
                <w:rFonts w:cs="Arial"/>
                <w:szCs w:val="20"/>
              </w:rPr>
              <w:t>c</w:t>
            </w:r>
            <w:r w:rsidRPr="003428AC" w:rsidDel="005C41DB">
              <w:rPr>
                <w:rFonts w:cs="Arial"/>
                <w:szCs w:val="20"/>
              </w:rPr>
              <w:t>e</w:t>
            </w:r>
          </w:p>
        </w:tc>
        <w:tc>
          <w:tcPr>
            <w:tcW w:w="2162" w:type="dxa"/>
            <w:shd w:val="clear" w:color="auto" w:fill="D9D9D9" w:themeFill="background1" w:themeFillShade="D9"/>
            <w:vAlign w:val="center"/>
          </w:tcPr>
          <w:p w14:paraId="73EC7CE5" w14:textId="02029F52" w:rsidR="00270903" w:rsidDel="005C41DB" w:rsidRDefault="00270903" w:rsidP="00270903">
            <w:pPr>
              <w:pStyle w:val="TableBody"/>
              <w:keepLines w:val="0"/>
              <w:rPr>
                <w:rFonts w:cs="Arial"/>
                <w:szCs w:val="20"/>
              </w:rPr>
            </w:pPr>
            <w:r w:rsidRPr="003428AC" w:rsidDel="005C41DB">
              <w:rPr>
                <w:rFonts w:cs="Arial"/>
                <w:b/>
                <w:bCs/>
                <w:szCs w:val="20"/>
                <w:u w:val="single"/>
              </w:rPr>
              <w:t>1</w:t>
            </w:r>
            <w:r w:rsidDel="005C41DB">
              <w:rPr>
                <w:rFonts w:cs="Arial"/>
                <w:b/>
                <w:bCs/>
                <w:szCs w:val="20"/>
                <w:u w:val="single"/>
              </w:rPr>
              <w:t>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p>
          <w:p w14:paraId="52804DE2" w14:textId="476BD03A" w:rsidR="00270903" w:rsidRPr="003428AC" w:rsidDel="005C41DB" w:rsidRDefault="00270903" w:rsidP="00270903">
            <w:pPr>
              <w:pStyle w:val="TableBody"/>
              <w:keepLines w:val="0"/>
              <w:rPr>
                <w:rFonts w:cs="Arial"/>
                <w:b/>
                <w:bCs/>
                <w:szCs w:val="20"/>
                <w:u w:val="single"/>
              </w:rPr>
            </w:pPr>
            <w:r w:rsidRPr="003428AC" w:rsidDel="005C41DB">
              <w:rPr>
                <w:rFonts w:cs="Arial"/>
                <w:szCs w:val="20"/>
              </w:rPr>
              <w:t xml:space="preserve">Regional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c>
          <w:tcPr>
            <w:tcW w:w="2162" w:type="dxa"/>
            <w:tcBorders>
              <w:left w:val="single" w:sz="4" w:space="0" w:color="auto"/>
            </w:tcBorders>
            <w:shd w:val="clear" w:color="auto" w:fill="D9D9D9" w:themeFill="background1" w:themeFillShade="D9"/>
            <w:vAlign w:val="center"/>
          </w:tcPr>
          <w:p w14:paraId="1F38B823" w14:textId="38D2FA72" w:rsidR="00270903" w:rsidRPr="003428AC" w:rsidDel="005C41DB" w:rsidRDefault="00270903" w:rsidP="00270903">
            <w:pPr>
              <w:pStyle w:val="TableBody"/>
              <w:keepLines w:val="0"/>
              <w:rPr>
                <w:rFonts w:cs="Arial"/>
                <w:szCs w:val="20"/>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1920 MHz</w:t>
            </w:r>
            <w:r w:rsidRPr="003428AC" w:rsidDel="005C41DB">
              <w:rPr>
                <w:rFonts w:cs="Arial"/>
                <w:szCs w:val="20"/>
              </w:rPr>
              <w:t xml:space="preserve"> </w:t>
            </w:r>
            <w:r w:rsidDel="005C41DB">
              <w:rPr>
                <w:rFonts w:cs="Arial"/>
                <w:szCs w:val="20"/>
              </w:rPr>
              <w:t>Regional</w:t>
            </w:r>
            <w:r w:rsidRPr="003428AC" w:rsidDel="005C41DB">
              <w:rPr>
                <w:rFonts w:cs="Arial"/>
                <w:szCs w:val="20"/>
              </w:rPr>
              <w:t xml:space="preserve"> and remote </w:t>
            </w:r>
            <w:r w:rsidDel="005C41DB">
              <w:rPr>
                <w:rFonts w:cs="Arial"/>
                <w:szCs w:val="20"/>
              </w:rPr>
              <w:t xml:space="preserve">areas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c>
          <w:tcPr>
            <w:tcW w:w="2162" w:type="dxa"/>
            <w:tcBorders>
              <w:right w:val="single" w:sz="4" w:space="0" w:color="auto"/>
            </w:tcBorders>
            <w:shd w:val="clear" w:color="auto" w:fill="D9D9D9" w:themeFill="background1" w:themeFillShade="D9"/>
            <w:tcMar>
              <w:left w:w="57" w:type="dxa"/>
              <w:right w:w="57" w:type="dxa"/>
            </w:tcMar>
            <w:vAlign w:val="center"/>
          </w:tcPr>
          <w:p w14:paraId="5DFCD2CE" w14:textId="0EA68A2C" w:rsidR="00270903" w:rsidRPr="003428AC" w:rsidDel="005C41DB" w:rsidRDefault="00270903" w:rsidP="00270903">
            <w:pPr>
              <w:pStyle w:val="TableBody"/>
              <w:keepLines w:val="0"/>
              <w:rPr>
                <w:rFonts w:cs="Arial"/>
                <w:szCs w:val="20"/>
              </w:rPr>
            </w:pPr>
            <w:r w:rsidRPr="003428AC" w:rsidDel="005C41DB">
              <w:rPr>
                <w:rFonts w:cs="Arial"/>
                <w:b/>
                <w:bCs/>
                <w:szCs w:val="20"/>
                <w:u w:val="single"/>
              </w:rPr>
              <w:t>1900</w:t>
            </w:r>
            <w:r w:rsidR="00F655E2">
              <w:rPr>
                <w:rFonts w:cs="Arial"/>
                <w:b/>
                <w:bCs/>
                <w:szCs w:val="20"/>
                <w:u w:val="single"/>
              </w:rPr>
              <w:t>–</w:t>
            </w:r>
            <w:r w:rsidRPr="003428AC" w:rsidDel="005C41DB">
              <w:rPr>
                <w:rFonts w:cs="Arial"/>
                <w:b/>
                <w:bCs/>
                <w:szCs w:val="20"/>
                <w:u w:val="single"/>
              </w:rPr>
              <w:t>19</w:t>
            </w:r>
            <w:r w:rsidDel="005C41DB">
              <w:rPr>
                <w:rFonts w:cs="Arial"/>
                <w:b/>
                <w:bCs/>
                <w:szCs w:val="20"/>
                <w:u w:val="single"/>
              </w:rPr>
              <w:t>1</w:t>
            </w:r>
            <w:r w:rsidRPr="003428AC" w:rsidDel="005C41DB">
              <w:rPr>
                <w:rFonts w:cs="Arial"/>
                <w:b/>
                <w:bCs/>
                <w:szCs w:val="20"/>
                <w:u w:val="single"/>
              </w:rPr>
              <w:t>0 MHz</w:t>
            </w:r>
            <w:r w:rsidRPr="003428AC" w:rsidDel="005C41DB">
              <w:rPr>
                <w:rFonts w:cs="Arial"/>
                <w:szCs w:val="20"/>
              </w:rPr>
              <w:t xml:space="preserve"> </w:t>
            </w:r>
            <w:r w:rsidDel="005C41DB">
              <w:rPr>
                <w:rFonts w:cs="Arial"/>
                <w:szCs w:val="20"/>
              </w:rPr>
              <w:t>Restricted to rail applications</w:t>
            </w:r>
            <w:r w:rsidRPr="003428AC" w:rsidDel="005C41DB">
              <w:rPr>
                <w:rFonts w:cs="Arial"/>
                <w:szCs w:val="20"/>
              </w:rPr>
              <w:t xml:space="preserve"> Australia</w:t>
            </w:r>
            <w:r>
              <w:rPr>
                <w:rFonts w:cs="Arial"/>
                <w:szCs w:val="20"/>
              </w:rPr>
              <w:t>-</w:t>
            </w:r>
            <w:r w:rsidDel="005C41DB">
              <w:rPr>
                <w:rFonts w:cs="Arial"/>
                <w:szCs w:val="20"/>
              </w:rPr>
              <w:t xml:space="preserve">wide via </w:t>
            </w:r>
            <w:r w:rsidR="00F655E2">
              <w:rPr>
                <w:rFonts w:cs="Arial"/>
                <w:szCs w:val="20"/>
              </w:rPr>
              <w:t>a</w:t>
            </w:r>
            <w:r w:rsidDel="005C41DB">
              <w:rPr>
                <w:rFonts w:cs="Arial"/>
                <w:szCs w:val="20"/>
              </w:rPr>
              <w:t xml:space="preserve">pparatus </w:t>
            </w:r>
            <w:r w:rsidR="00F655E2">
              <w:rPr>
                <w:rFonts w:cs="Arial"/>
                <w:szCs w:val="20"/>
              </w:rPr>
              <w:t>l</w:t>
            </w:r>
            <w:r w:rsidDel="005C41DB">
              <w:rPr>
                <w:rFonts w:cs="Arial"/>
                <w:szCs w:val="20"/>
              </w:rPr>
              <w:t>icences</w:t>
            </w:r>
          </w:p>
        </w:tc>
      </w:tr>
    </w:tbl>
    <w:p w14:paraId="1BC60BC6" w14:textId="77777777" w:rsidR="00270903" w:rsidRDefault="00270903" w:rsidP="00D51E3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t>Question 3</w:t>
      </w:r>
    </w:p>
    <w:p w14:paraId="17BE7DE1" w14:textId="77777777" w:rsidR="00270903" w:rsidRDefault="00270903" w:rsidP="00D51E3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rPr>
          <w:b w:val="0"/>
          <w:bCs w:val="0"/>
        </w:rPr>
      </w:pPr>
      <w:r>
        <w:rPr>
          <w:b w:val="0"/>
          <w:bCs w:val="0"/>
        </w:rPr>
        <w:t xml:space="preserve">The </w:t>
      </w:r>
      <w:r w:rsidRPr="003B2347">
        <w:rPr>
          <w:b w:val="0"/>
          <w:bCs w:val="0"/>
        </w:rPr>
        <w:t xml:space="preserve">ACMA invites comments on the replanning options, </w:t>
      </w:r>
      <w:r>
        <w:rPr>
          <w:b w:val="0"/>
          <w:bCs w:val="0"/>
        </w:rPr>
        <w:t>especially</w:t>
      </w:r>
      <w:r w:rsidRPr="003B2347">
        <w:rPr>
          <w:b w:val="0"/>
          <w:bCs w:val="0"/>
        </w:rPr>
        <w:t xml:space="preserve"> the </w:t>
      </w:r>
      <w:r>
        <w:rPr>
          <w:b w:val="0"/>
          <w:bCs w:val="0"/>
        </w:rPr>
        <w:t xml:space="preserve">preliminary </w:t>
      </w:r>
      <w:r w:rsidRPr="003B2347">
        <w:rPr>
          <w:b w:val="0"/>
          <w:bCs w:val="0"/>
        </w:rPr>
        <w:t>preferred option presented in th</w:t>
      </w:r>
      <w:r>
        <w:rPr>
          <w:b w:val="0"/>
          <w:bCs w:val="0"/>
        </w:rPr>
        <w:t>is</w:t>
      </w:r>
      <w:r w:rsidRPr="003B2347">
        <w:rPr>
          <w:b w:val="0"/>
          <w:bCs w:val="0"/>
        </w:rPr>
        <w:t xml:space="preserve"> paper</w:t>
      </w:r>
      <w:r>
        <w:rPr>
          <w:b w:val="0"/>
          <w:bCs w:val="0"/>
        </w:rPr>
        <w:t xml:space="preserve"> (see p.36 below) </w:t>
      </w:r>
      <w:r w:rsidRPr="003B2347">
        <w:rPr>
          <w:b w:val="0"/>
          <w:bCs w:val="0"/>
        </w:rPr>
        <w:t>and any alternative options</w:t>
      </w:r>
      <w:r w:rsidRPr="001C6879">
        <w:rPr>
          <w:b w:val="0"/>
          <w:bCs w:val="0"/>
        </w:rPr>
        <w:t>.</w:t>
      </w:r>
    </w:p>
    <w:p w14:paraId="62CC125A" w14:textId="77777777" w:rsidR="003278F4" w:rsidRDefault="003278F4" w:rsidP="004C42AD">
      <w:pPr>
        <w:pStyle w:val="Paragraph"/>
      </w:pPr>
    </w:p>
    <w:p w14:paraId="10882958" w14:textId="65FE2B32" w:rsidR="003D16A8" w:rsidRPr="003278F4" w:rsidRDefault="003D16A8" w:rsidP="001C6879">
      <w:pPr>
        <w:pStyle w:val="Paragraph"/>
        <w:sectPr w:rsidR="003D16A8" w:rsidRPr="003278F4" w:rsidSect="00D10CDB">
          <w:headerReference w:type="even" r:id="rId41"/>
          <w:headerReference w:type="default" r:id="rId42"/>
          <w:footerReference w:type="even" r:id="rId43"/>
          <w:footerReference w:type="default" r:id="rId44"/>
          <w:pgSz w:w="11906" w:h="16838" w:code="9"/>
          <w:pgMar w:top="1945" w:right="3117" w:bottom="1134" w:left="1134" w:header="709" w:footer="119" w:gutter="0"/>
          <w:cols w:space="708"/>
          <w:docGrid w:linePitch="360"/>
        </w:sectPr>
      </w:pPr>
    </w:p>
    <w:p w14:paraId="52A6D64E" w14:textId="41378F03" w:rsidR="003D16A8" w:rsidRPr="003428AC" w:rsidRDefault="003D16A8" w:rsidP="003D16A8">
      <w:pPr>
        <w:pStyle w:val="Heading2"/>
        <w:keepLines w:val="0"/>
      </w:pPr>
      <w:bookmarkStart w:id="141" w:name="_Toc43389527"/>
      <w:bookmarkStart w:id="142" w:name="_Toc113626368"/>
      <w:bookmarkStart w:id="143" w:name="_Toc117870132"/>
      <w:bookmarkStart w:id="144" w:name="_Toc118785122"/>
      <w:bookmarkStart w:id="145" w:name="_Toc120600057"/>
      <w:r w:rsidRPr="003428AC">
        <w:lastRenderedPageBreak/>
        <w:t xml:space="preserve">Possible </w:t>
      </w:r>
      <w:bookmarkEnd w:id="141"/>
      <w:r w:rsidR="00FD3BB4">
        <w:t>other changes</w:t>
      </w:r>
      <w:r w:rsidR="00FD3BB4" w:rsidRPr="003428AC">
        <w:t xml:space="preserve"> </w:t>
      </w:r>
      <w:r w:rsidRPr="003428AC">
        <w:t xml:space="preserve">to </w:t>
      </w:r>
      <w:r w:rsidR="00201218">
        <w:t xml:space="preserve">the </w:t>
      </w:r>
      <w:r w:rsidRPr="003428AC">
        <w:t xml:space="preserve">current 1.9 GHz </w:t>
      </w:r>
      <w:r w:rsidR="00B21B70">
        <w:t xml:space="preserve">band </w:t>
      </w:r>
      <w:r w:rsidRPr="003428AC">
        <w:t>spectrum arrangements</w:t>
      </w:r>
      <w:bookmarkEnd w:id="142"/>
      <w:bookmarkEnd w:id="143"/>
      <w:bookmarkEnd w:id="144"/>
      <w:bookmarkEnd w:id="145"/>
    </w:p>
    <w:p w14:paraId="2A735261" w14:textId="77777777" w:rsidR="000E612D" w:rsidRDefault="003D16A8" w:rsidP="000E612D">
      <w:pPr>
        <w:pStyle w:val="Paragraph"/>
        <w:keepLines w:val="0"/>
      </w:pPr>
      <w:r w:rsidRPr="00576242">
        <w:t xml:space="preserve">Current spectrum arrangements in the 1.9 GHz </w:t>
      </w:r>
      <w:r w:rsidR="00EC1A3B">
        <w:t>band</w:t>
      </w:r>
      <w:r w:rsidR="00EC1A3B" w:rsidRPr="00576242">
        <w:t xml:space="preserve"> </w:t>
      </w:r>
      <w:r w:rsidRPr="00576242">
        <w:t xml:space="preserve">support the operation of </w:t>
      </w:r>
      <w:r w:rsidR="00C442D7">
        <w:t>cordless telecommunications services</w:t>
      </w:r>
      <w:r w:rsidR="00C442D7" w:rsidRPr="00576242">
        <w:t xml:space="preserve"> </w:t>
      </w:r>
      <w:r w:rsidRPr="00576242">
        <w:t xml:space="preserve">using DECT </w:t>
      </w:r>
      <w:r w:rsidR="003278F4">
        <w:t xml:space="preserve">and PHS </w:t>
      </w:r>
      <w:r w:rsidRPr="00576242">
        <w:t xml:space="preserve">technologies. </w:t>
      </w:r>
    </w:p>
    <w:p w14:paraId="28281844" w14:textId="41EB45E8" w:rsidR="000E612D" w:rsidRDefault="003D16A8" w:rsidP="000E612D">
      <w:pPr>
        <w:pStyle w:val="Paragraph"/>
        <w:keepLines w:val="0"/>
      </w:pPr>
      <w:r w:rsidRPr="00576242">
        <w:t xml:space="preserve">To preserve the utility of the 1.9 GHz band for use by </w:t>
      </w:r>
      <w:r w:rsidR="00C442D7">
        <w:t>cordless telecommunications services</w:t>
      </w:r>
      <w:r>
        <w:t xml:space="preserve">, </w:t>
      </w:r>
      <w:r w:rsidR="00EC1A3B">
        <w:t xml:space="preserve">it is proposed that </w:t>
      </w:r>
      <w:r w:rsidRPr="00576242">
        <w:t>no new licences for other services will be authorised to operate in the 1880</w:t>
      </w:r>
      <w:r w:rsidR="00004F8D">
        <w:t>–</w:t>
      </w:r>
      <w:r w:rsidRPr="00576242">
        <w:t xml:space="preserve">1900 MHz frequency range. </w:t>
      </w:r>
    </w:p>
    <w:p w14:paraId="4D91CCF2" w14:textId="10D0F652" w:rsidR="003B717D" w:rsidRPr="00576242" w:rsidRDefault="003B717D" w:rsidP="00FD2C90">
      <w:pPr>
        <w:pStyle w:val="Paragraph"/>
        <w:keepLines w:val="0"/>
      </w:pPr>
      <w:r>
        <w:t>While t</w:t>
      </w:r>
      <w:r w:rsidRPr="00576242">
        <w:t>he proposed options</w:t>
      </w:r>
      <w:r>
        <w:t xml:space="preserve"> will</w:t>
      </w:r>
      <w:r w:rsidRPr="00576242">
        <w:t xml:space="preserve"> continue to support DECT technologies</w:t>
      </w:r>
      <w:r>
        <w:t xml:space="preserve"> in </w:t>
      </w:r>
      <w:r w:rsidR="00004F8D">
        <w:br/>
      </w:r>
      <w:r>
        <w:t>1880–1900 MHz, based on industry submission</w:t>
      </w:r>
      <w:r w:rsidR="00EC1A3B">
        <w:t>s</w:t>
      </w:r>
      <w:r>
        <w:t xml:space="preserve"> the ACMA is considering removing</w:t>
      </w:r>
      <w:r w:rsidR="00004F8D">
        <w:t> </w:t>
      </w:r>
      <w:r>
        <w:t xml:space="preserve">PHS technologies from the CCD </w:t>
      </w:r>
      <w:r w:rsidR="00004F8D">
        <w:t>c</w:t>
      </w:r>
      <w:r>
        <w:t xml:space="preserve">lass </w:t>
      </w:r>
      <w:r w:rsidR="00004F8D">
        <w:t>l</w:t>
      </w:r>
      <w:r>
        <w:t>icence. Additionally, spectrum arrangements may need to be modified to allow for</w:t>
      </w:r>
      <w:r w:rsidRPr="00576242">
        <w:t xml:space="preserve"> </w:t>
      </w:r>
      <w:r w:rsidR="00694E7B">
        <w:t>f</w:t>
      </w:r>
      <w:r w:rsidR="007F23AE">
        <w:t>uture DECT</w:t>
      </w:r>
      <w:r>
        <w:t xml:space="preserve"> and potentially MulteFire</w:t>
      </w:r>
      <w:r w:rsidRPr="00576242">
        <w:t xml:space="preserve"> in the same segment of the 1.9</w:t>
      </w:r>
      <w:r w:rsidR="0009389C">
        <w:t xml:space="preserve"> </w:t>
      </w:r>
      <w:r w:rsidRPr="00576242">
        <w:t xml:space="preserve">GHz band. </w:t>
      </w:r>
    </w:p>
    <w:p w14:paraId="182C78B9" w14:textId="5938290D" w:rsidR="003B717D" w:rsidRDefault="003B717D" w:rsidP="00D51E3F">
      <w:pPr>
        <w:pStyle w:val="Heading3"/>
        <w:keepLines w:val="0"/>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Question </w:t>
      </w:r>
      <w:r w:rsidR="008D6D7B">
        <w:t>4</w:t>
      </w:r>
    </w:p>
    <w:p w14:paraId="7D201BC2" w14:textId="636DEEC4" w:rsidR="003B717D" w:rsidRPr="00C02F26" w:rsidRDefault="003B717D" w:rsidP="00D51E3F">
      <w:pPr>
        <w:pStyle w:val="Paragraph"/>
        <w:keepLines w:val="0"/>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Is </w:t>
      </w:r>
      <w:r w:rsidR="00004F8D">
        <w:t>p</w:t>
      </w:r>
      <w:r w:rsidR="003B2347" w:rsidRPr="003B2347">
        <w:t xml:space="preserve">ersonal </w:t>
      </w:r>
      <w:r w:rsidR="00004F8D">
        <w:t>h</w:t>
      </w:r>
      <w:r w:rsidR="003B2347" w:rsidRPr="003B2347">
        <w:t xml:space="preserve">andy </w:t>
      </w:r>
      <w:r w:rsidR="00004F8D">
        <w:t>p</w:t>
      </w:r>
      <w:r w:rsidR="003B2347" w:rsidRPr="003B2347">
        <w:t xml:space="preserve">hone </w:t>
      </w:r>
      <w:r w:rsidR="00004F8D">
        <w:t>s</w:t>
      </w:r>
      <w:r w:rsidR="003B2347" w:rsidRPr="003B2347">
        <w:t xml:space="preserve">ystem (PHS) technology still required to be included in the </w:t>
      </w:r>
      <w:r w:rsidR="00004F8D">
        <w:t>c</w:t>
      </w:r>
      <w:r w:rsidR="003B2347" w:rsidRPr="003B2347">
        <w:t xml:space="preserve">ordless </w:t>
      </w:r>
      <w:r w:rsidR="00004F8D">
        <w:t>c</w:t>
      </w:r>
      <w:r w:rsidR="003B2347" w:rsidRPr="003B2347">
        <w:t xml:space="preserve">ommunication </w:t>
      </w:r>
      <w:r w:rsidR="00004F8D">
        <w:t>d</w:t>
      </w:r>
      <w:r w:rsidR="003B2347" w:rsidRPr="003B2347">
        <w:t xml:space="preserve">evices </w:t>
      </w:r>
      <w:r w:rsidR="00004F8D">
        <w:t>c</w:t>
      </w:r>
      <w:r w:rsidR="003B2347" w:rsidRPr="003B2347">
        <w:t xml:space="preserve">lass </w:t>
      </w:r>
      <w:r w:rsidR="00004F8D">
        <w:t>l</w:t>
      </w:r>
      <w:r w:rsidR="003B2347" w:rsidRPr="003B2347">
        <w:t>icence</w:t>
      </w:r>
      <w:r w:rsidRPr="00F60068">
        <w:t>?</w:t>
      </w:r>
    </w:p>
    <w:p w14:paraId="7EB9A88D" w14:textId="7B474429" w:rsidR="00810418" w:rsidRDefault="00810418" w:rsidP="00FD2C90">
      <w:pPr>
        <w:pStyle w:val="Paragraph"/>
        <w:keepLines w:val="0"/>
      </w:pPr>
      <w:r>
        <w:t xml:space="preserve">Together with the release of this options paper, </w:t>
      </w:r>
      <w:r w:rsidR="00004F8D">
        <w:t xml:space="preserve">we </w:t>
      </w:r>
      <w:r>
        <w:t>intend</w:t>
      </w:r>
      <w:r w:rsidR="008C6863">
        <w:t xml:space="preserve"> to</w:t>
      </w:r>
      <w:r>
        <w:t xml:space="preserve"> </w:t>
      </w:r>
      <w:r w:rsidR="00DF3BAE">
        <w:t xml:space="preserve">consider </w:t>
      </w:r>
      <w:r w:rsidR="00FD3BB4">
        <w:t>whether to remake or repeal the</w:t>
      </w:r>
      <w:r>
        <w:t xml:space="preserve"> </w:t>
      </w:r>
      <w:hyperlink r:id="rId45" w:history="1">
        <w:r w:rsidR="00C52CDB" w:rsidRPr="00FD3BB4">
          <w:rPr>
            <w:rStyle w:val="Hyperlink"/>
          </w:rPr>
          <w:t>1900</w:t>
        </w:r>
        <w:r w:rsidR="00004F8D">
          <w:rPr>
            <w:rStyle w:val="Hyperlink"/>
          </w:rPr>
          <w:t>–</w:t>
        </w:r>
        <w:r w:rsidR="00C52CDB" w:rsidRPr="00FD3BB4">
          <w:rPr>
            <w:rStyle w:val="Hyperlink"/>
          </w:rPr>
          <w:t>1920 MHz Frequency Band Plan 2012</w:t>
        </w:r>
      </w:hyperlink>
      <w:r w:rsidR="00C52CDB">
        <w:t>.</w:t>
      </w:r>
    </w:p>
    <w:p w14:paraId="637772B2" w14:textId="1E6E29C7" w:rsidR="00833C96" w:rsidRDefault="00810418" w:rsidP="00FD2C90">
      <w:pPr>
        <w:pStyle w:val="Paragraph"/>
        <w:keepLines w:val="0"/>
      </w:pPr>
      <w:r w:rsidRPr="00576242">
        <w:t xml:space="preserve">Before October 2017, the 1900–1920 MHz frequency range in metropolitan areas was subject to spectrum licensing. </w:t>
      </w:r>
      <w:r>
        <w:t xml:space="preserve">Leading up to the </w:t>
      </w:r>
      <w:r w:rsidRPr="00576242">
        <w:t>licence expiry, licen</w:t>
      </w:r>
      <w:r>
        <w:t xml:space="preserve">sees indicated that they </w:t>
      </w:r>
      <w:r w:rsidR="00967698">
        <w:t xml:space="preserve">would </w:t>
      </w:r>
      <w:r>
        <w:t>not seek renewal of their licences.</w:t>
      </w:r>
      <w:r w:rsidRPr="00576242">
        <w:t xml:space="preserve"> Consequently, the </w:t>
      </w:r>
      <w:bookmarkStart w:id="146" w:name="_Hlk83812261"/>
      <w:r w:rsidRPr="00576242">
        <w:t xml:space="preserve">frequency range was </w:t>
      </w:r>
      <w:r w:rsidR="00967698">
        <w:t xml:space="preserve">no longer </w:t>
      </w:r>
      <w:r>
        <w:t>re-</w:t>
      </w:r>
      <w:r w:rsidRPr="00576242">
        <w:t xml:space="preserve">allocated </w:t>
      </w:r>
      <w:r w:rsidR="00967698">
        <w:t>for spectrum</w:t>
      </w:r>
      <w:r>
        <w:t xml:space="preserve"> licensing and</w:t>
      </w:r>
      <w:r w:rsidRPr="00576242">
        <w:t xml:space="preserve"> </w:t>
      </w:r>
      <w:hyperlink r:id="rId46" w:history="1">
        <w:r w:rsidRPr="001C6879">
          <w:t>Embargo 76</w:t>
        </w:r>
      </w:hyperlink>
      <w:r w:rsidRPr="001A076A">
        <w:t xml:space="preserve"> was put in place in metropolitan areas pending a planning review of the band. </w:t>
      </w:r>
      <w:r w:rsidR="0019522F">
        <w:t>Consequently, there are no arrangements in place in this segment of the band in these areas</w:t>
      </w:r>
      <w:r w:rsidR="00D508E7">
        <w:t>.</w:t>
      </w:r>
    </w:p>
    <w:p w14:paraId="21A478EF" w14:textId="132859BC" w:rsidR="00D508E7" w:rsidRDefault="00833C96" w:rsidP="00FD2C90">
      <w:pPr>
        <w:pStyle w:val="Paragraph"/>
        <w:keepLines w:val="0"/>
      </w:pPr>
      <w:r w:rsidRPr="00833C96">
        <w:t xml:space="preserve">The purpose of the </w:t>
      </w:r>
      <w:r w:rsidRPr="00D51E3F">
        <w:t>1900-1920 MHz Frequency Band Plan</w:t>
      </w:r>
      <w:r w:rsidRPr="00833C96">
        <w:t xml:space="preserve"> was to allow the operation of cordless telecommunications services as well ensure that no new licences were issued for fixed point-to-point links (which operated in the 1.9 GHz band at that time). The band plan also </w:t>
      </w:r>
      <w:r w:rsidR="00F5317D">
        <w:t>made</w:t>
      </w:r>
      <w:r w:rsidR="00F5317D" w:rsidRPr="00833C96">
        <w:t xml:space="preserve"> </w:t>
      </w:r>
      <w:r w:rsidRPr="00833C96">
        <w:t>point-to-multipoint links a primary service and point-to-point links a secondary service in the band. The introduction of spectrum licences in the 18</w:t>
      </w:r>
      <w:r w:rsidR="00C442D7">
        <w:t>00</w:t>
      </w:r>
      <w:r w:rsidRPr="00833C96">
        <w:t xml:space="preserve"> </w:t>
      </w:r>
      <w:r w:rsidR="00C442D7">
        <w:t>M</w:t>
      </w:r>
      <w:r w:rsidRPr="00833C96">
        <w:t>Hz and 2 GHz frequency bands resulted in most fixed links being cleared from the 1.9 GHz band. While there are some fixed point-to-point links remaining in the 1.9</w:t>
      </w:r>
      <w:r w:rsidR="00C442D7">
        <w:t> </w:t>
      </w:r>
      <w:r w:rsidRPr="00833C96">
        <w:t xml:space="preserve">GHz band in regional and remote areas, they </w:t>
      </w:r>
      <w:r w:rsidR="00C442D7">
        <w:t>are unlikely to</w:t>
      </w:r>
      <w:r w:rsidRPr="00833C96">
        <w:t xml:space="preserve"> affect the operation of cordless telecommunications services. </w:t>
      </w:r>
    </w:p>
    <w:p w14:paraId="16FD38EF" w14:textId="4AB68DD2" w:rsidR="00CC1D7E" w:rsidRDefault="00CC1D7E" w:rsidP="00FD2C90">
      <w:pPr>
        <w:pStyle w:val="Paragraph"/>
        <w:keepLines w:val="0"/>
      </w:pPr>
      <w:r>
        <w:t xml:space="preserve">Under Part 4 of Chapter 3 of the </w:t>
      </w:r>
      <w:hyperlink r:id="rId47" w:history="1">
        <w:r w:rsidRPr="00D51E3F">
          <w:rPr>
            <w:rStyle w:val="Hyperlink"/>
          </w:rPr>
          <w:t>Legislation Act 2003</w:t>
        </w:r>
      </w:hyperlink>
      <w:r w:rsidR="006D7C78">
        <w:t xml:space="preserve"> and the </w:t>
      </w:r>
      <w:hyperlink r:id="rId48" w:history="1">
        <w:r w:rsidR="006D7C78" w:rsidRPr="00D51E3F">
          <w:rPr>
            <w:rStyle w:val="Hyperlink"/>
          </w:rPr>
          <w:t>Legislation (Radiocommunications Instruments) Sunset-altering Declaration 2018</w:t>
        </w:r>
      </w:hyperlink>
      <w:r w:rsidR="00004F8D">
        <w:t xml:space="preserve">, </w:t>
      </w:r>
      <w:r>
        <w:t>t</w:t>
      </w:r>
      <w:r w:rsidR="00833C96" w:rsidRPr="00833C96">
        <w:t xml:space="preserve">he </w:t>
      </w:r>
      <w:r w:rsidR="00004F8D">
        <w:br/>
      </w:r>
      <w:r w:rsidR="00833C96" w:rsidRPr="00833C96">
        <w:t>1900</w:t>
      </w:r>
      <w:r w:rsidR="00004F8D">
        <w:t>–</w:t>
      </w:r>
      <w:r w:rsidR="00833C96" w:rsidRPr="00833C96">
        <w:t>1920 MHz Frequency Band Plan will sunset on 1 April 2023.</w:t>
      </w:r>
      <w:r>
        <w:t xml:space="preserve"> </w:t>
      </w:r>
      <w:r w:rsidR="00004F8D">
        <w:t>W</w:t>
      </w:r>
      <w:r>
        <w:t>e can decide to revoke and remake the band plan or allow it to sunset. If the band plan is still required, the ACMA would revoke the existing band plan and remake it, after consultation. If the band plan is not require</w:t>
      </w:r>
      <w:r w:rsidR="009B4AAE">
        <w:t>d</w:t>
      </w:r>
      <w:r>
        <w:t xml:space="preserve">, </w:t>
      </w:r>
      <w:r w:rsidR="00004F8D">
        <w:t>we</w:t>
      </w:r>
      <w:r>
        <w:t xml:space="preserve"> will allow the band plan to sunset.</w:t>
      </w:r>
    </w:p>
    <w:p w14:paraId="09483078" w14:textId="2E865C87" w:rsidR="00B1429E" w:rsidRPr="001A076A" w:rsidRDefault="00833C96" w:rsidP="00FD2C90">
      <w:pPr>
        <w:pStyle w:val="Paragraph"/>
        <w:keepLines w:val="0"/>
      </w:pPr>
      <w:r w:rsidRPr="00833C96">
        <w:t>The ACMA is seeking stakeholder feedback on whether the band plan is still required</w:t>
      </w:r>
      <w:r w:rsidR="00004F8D">
        <w:t>,</w:t>
      </w:r>
      <w:r w:rsidRPr="00833C96">
        <w:t xml:space="preserve"> or could be allowed to sunset to aid innovation in this band by removing restrictions. </w:t>
      </w:r>
      <w:r w:rsidR="00004F8D">
        <w:t xml:space="preserve">Our </w:t>
      </w:r>
      <w:r w:rsidRPr="00833C96">
        <w:t>preliminary view is that PTP services no longer need to remain as secondary services</w:t>
      </w:r>
      <w:r w:rsidR="00004F8D">
        <w:t>;</w:t>
      </w:r>
      <w:r w:rsidRPr="00833C96">
        <w:t xml:space="preserve"> consequently</w:t>
      </w:r>
      <w:r w:rsidR="00004F8D">
        <w:t>,</w:t>
      </w:r>
      <w:r w:rsidRPr="00833C96">
        <w:t xml:space="preserve"> the band plan should be allowed to sunset.</w:t>
      </w:r>
    </w:p>
    <w:bookmarkEnd w:id="146"/>
    <w:p w14:paraId="7E6D2423" w14:textId="442D30DD" w:rsidR="00B1429E" w:rsidRDefault="00B1429E" w:rsidP="00D51E3F">
      <w:pPr>
        <w:pStyle w:val="Heading3"/>
        <w:keepNext/>
        <w:pBdr>
          <w:top w:val="single" w:sz="4" w:space="1" w:color="auto"/>
          <w:left w:val="single" w:sz="4" w:space="4" w:color="auto"/>
          <w:bottom w:val="single" w:sz="4" w:space="1" w:color="auto"/>
          <w:right w:val="single" w:sz="4" w:space="4" w:color="auto"/>
        </w:pBdr>
        <w:shd w:val="clear" w:color="auto" w:fill="F2F2F2" w:themeFill="background1" w:themeFillShade="F2"/>
      </w:pPr>
      <w:r>
        <w:lastRenderedPageBreak/>
        <w:t xml:space="preserve">Question </w:t>
      </w:r>
      <w:r w:rsidR="008D6D7B">
        <w:t>5</w:t>
      </w:r>
    </w:p>
    <w:p w14:paraId="1A501378" w14:textId="73986CA6" w:rsidR="006633A6" w:rsidRDefault="00907F01" w:rsidP="00D51E3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rPr>
          <w:sz w:val="28"/>
          <w:szCs w:val="28"/>
        </w:rPr>
      </w:pPr>
      <w:r w:rsidRPr="00907F01">
        <w:t xml:space="preserve">The </w:t>
      </w:r>
      <w:r w:rsidR="003B2347" w:rsidRPr="003B2347">
        <w:t>1900</w:t>
      </w:r>
      <w:r w:rsidR="00004F8D">
        <w:t>–</w:t>
      </w:r>
      <w:r w:rsidR="003B2347" w:rsidRPr="003B2347">
        <w:t>1920 MHz Frequency Band Plan will sunset on 1 April 2023. Is the band plan still required or can the band plan be allowed to sunset</w:t>
      </w:r>
      <w:r w:rsidRPr="00907F01">
        <w:t>?</w:t>
      </w:r>
    </w:p>
    <w:p w14:paraId="15B7686E" w14:textId="01AC04BF" w:rsidR="003D16A8" w:rsidRPr="004C0141" w:rsidRDefault="003D16A8" w:rsidP="003D16A8">
      <w:pPr>
        <w:pStyle w:val="Heading2"/>
        <w:keepLines w:val="0"/>
      </w:pPr>
      <w:bookmarkStart w:id="147" w:name="_Toc113626369"/>
      <w:bookmarkStart w:id="148" w:name="_Toc117870133"/>
      <w:bookmarkStart w:id="149" w:name="_Toc118785123"/>
      <w:bookmarkStart w:id="150" w:name="_Toc120600058"/>
      <w:r>
        <w:t>Implementation considerations</w:t>
      </w:r>
      <w:bookmarkEnd w:id="147"/>
      <w:bookmarkEnd w:id="148"/>
      <w:bookmarkEnd w:id="149"/>
      <w:bookmarkEnd w:id="150"/>
    </w:p>
    <w:p w14:paraId="4FA87972" w14:textId="77777777" w:rsidR="000E612D" w:rsidRDefault="003D16A8" w:rsidP="000E612D">
      <w:pPr>
        <w:pStyle w:val="Paragraph"/>
        <w:keepLines w:val="0"/>
      </w:pPr>
      <w:r w:rsidRPr="00576242">
        <w:t xml:space="preserve">The ACMA acknowledges that any changes in spectrum management arrangements </w:t>
      </w:r>
      <w:r>
        <w:t>have the potential to impact</w:t>
      </w:r>
      <w:r w:rsidRPr="00576242">
        <w:t xml:space="preserve"> existing uses and users operating in the 1</w:t>
      </w:r>
      <w:r w:rsidR="00EC1A3B">
        <w:t>.</w:t>
      </w:r>
      <w:r w:rsidRPr="00576242">
        <w:t xml:space="preserve">9 </w:t>
      </w:r>
      <w:r w:rsidR="00EC1A3B">
        <w:t>G</w:t>
      </w:r>
      <w:r w:rsidRPr="00576242">
        <w:t xml:space="preserve">Hz band and its adjacent bands specifically </w:t>
      </w:r>
      <w:r w:rsidR="00EC1A3B">
        <w:t xml:space="preserve">the </w:t>
      </w:r>
      <w:r w:rsidRPr="00576242">
        <w:rPr>
          <w:rFonts w:eastAsiaTheme="minorHAnsi"/>
          <w:color w:val="000000"/>
          <w:lang w:eastAsia="en-US"/>
        </w:rPr>
        <w:t xml:space="preserve">adjacent 1.8 GHz </w:t>
      </w:r>
      <w:r>
        <w:rPr>
          <w:rFonts w:eastAsiaTheme="minorHAnsi"/>
          <w:color w:val="000000"/>
          <w:lang w:eastAsia="en-US"/>
        </w:rPr>
        <w:t>and</w:t>
      </w:r>
      <w:r w:rsidRPr="00576242">
        <w:rPr>
          <w:rFonts w:eastAsiaTheme="minorHAnsi"/>
          <w:color w:val="000000"/>
          <w:lang w:eastAsia="en-US"/>
        </w:rPr>
        <w:t xml:space="preserve"> 2 GHz</w:t>
      </w:r>
      <w:r w:rsidR="00DD1E3D">
        <w:rPr>
          <w:rFonts w:eastAsiaTheme="minorHAnsi"/>
          <w:color w:val="000000"/>
          <w:lang w:eastAsia="en-US"/>
        </w:rPr>
        <w:t xml:space="preserve"> bands</w:t>
      </w:r>
      <w:r w:rsidRPr="00576242">
        <w:rPr>
          <w:rFonts w:eastAsiaTheme="minorHAnsi"/>
          <w:color w:val="000000"/>
          <w:lang w:eastAsia="en-US"/>
        </w:rPr>
        <w:t>.</w:t>
      </w:r>
      <w:r w:rsidRPr="00576242">
        <w:t xml:space="preserve"> </w:t>
      </w:r>
    </w:p>
    <w:p w14:paraId="5A4029E8" w14:textId="36B16CD2" w:rsidR="003D16A8" w:rsidRDefault="00C442D7" w:rsidP="00FD2C90">
      <w:pPr>
        <w:pStyle w:val="Paragraph"/>
        <w:keepLines w:val="0"/>
      </w:pPr>
      <w:r>
        <w:t>It is envisaged that</w:t>
      </w:r>
      <w:r w:rsidR="002E4013">
        <w:t xml:space="preserve"> there</w:t>
      </w:r>
      <w:r>
        <w:t xml:space="preserve"> will be no</w:t>
      </w:r>
      <w:r w:rsidR="003D16A8">
        <w:t xml:space="preserve"> </w:t>
      </w:r>
      <w:r>
        <w:rPr>
          <w:rFonts w:eastAsiaTheme="minorHAnsi"/>
          <w:color w:val="000000"/>
          <w:lang w:eastAsia="en-US"/>
        </w:rPr>
        <w:t>additional requirements</w:t>
      </w:r>
      <w:r>
        <w:t xml:space="preserve"> </w:t>
      </w:r>
      <w:r w:rsidR="00DD1E3D">
        <w:t xml:space="preserve">for </w:t>
      </w:r>
      <w:r w:rsidR="003D16A8">
        <w:rPr>
          <w:rFonts w:eastAsiaTheme="minorHAnsi"/>
          <w:color w:val="000000"/>
          <w:lang w:eastAsia="en-US"/>
        </w:rPr>
        <w:t>the</w:t>
      </w:r>
      <w:r w:rsidR="003D16A8" w:rsidRPr="00576242">
        <w:rPr>
          <w:rFonts w:eastAsiaTheme="minorHAnsi"/>
          <w:color w:val="000000"/>
          <w:lang w:eastAsia="en-US"/>
        </w:rPr>
        <w:t xml:space="preserve"> 1.8 GHz </w:t>
      </w:r>
      <w:r w:rsidR="003D16A8">
        <w:rPr>
          <w:rFonts w:eastAsiaTheme="minorHAnsi"/>
          <w:color w:val="000000"/>
          <w:lang w:eastAsia="en-US"/>
        </w:rPr>
        <w:t>and</w:t>
      </w:r>
      <w:r w:rsidR="003D16A8" w:rsidRPr="00576242">
        <w:rPr>
          <w:rFonts w:eastAsiaTheme="minorHAnsi"/>
          <w:color w:val="000000"/>
          <w:lang w:eastAsia="en-US"/>
        </w:rPr>
        <w:t xml:space="preserve"> 2 GHz</w:t>
      </w:r>
      <w:r w:rsidR="003D16A8">
        <w:rPr>
          <w:rFonts w:eastAsiaTheme="minorHAnsi"/>
          <w:color w:val="000000"/>
          <w:lang w:eastAsia="en-US"/>
        </w:rPr>
        <w:t xml:space="preserve"> spectrum licen</w:t>
      </w:r>
      <w:r w:rsidR="00DD1E3D">
        <w:rPr>
          <w:rFonts w:eastAsiaTheme="minorHAnsi"/>
          <w:color w:val="000000"/>
          <w:lang w:eastAsia="en-US"/>
        </w:rPr>
        <w:t>s</w:t>
      </w:r>
      <w:r w:rsidR="003D16A8">
        <w:rPr>
          <w:rFonts w:eastAsiaTheme="minorHAnsi"/>
          <w:color w:val="000000"/>
          <w:lang w:eastAsia="en-US"/>
        </w:rPr>
        <w:t xml:space="preserve">ed bands </w:t>
      </w:r>
      <w:r>
        <w:rPr>
          <w:rFonts w:eastAsiaTheme="minorHAnsi"/>
          <w:color w:val="000000"/>
          <w:lang w:eastAsia="en-US"/>
        </w:rPr>
        <w:t>as a result of changes in the 1.9 GHz band arrangements.</w:t>
      </w:r>
      <w:r w:rsidR="003D16A8">
        <w:rPr>
          <w:rFonts w:eastAsiaTheme="minorHAnsi"/>
          <w:color w:val="000000"/>
          <w:lang w:eastAsia="en-US"/>
        </w:rPr>
        <w:t xml:space="preserve"> </w:t>
      </w:r>
      <w:r>
        <w:rPr>
          <w:rFonts w:eastAsiaTheme="minorHAnsi"/>
          <w:color w:val="000000"/>
          <w:lang w:eastAsia="en-US"/>
        </w:rPr>
        <w:t>Manag</w:t>
      </w:r>
      <w:r w:rsidR="002E4013">
        <w:rPr>
          <w:rFonts w:eastAsiaTheme="minorHAnsi"/>
          <w:color w:val="000000"/>
          <w:lang w:eastAsia="en-US"/>
        </w:rPr>
        <w:t xml:space="preserve">ement of </w:t>
      </w:r>
      <w:r w:rsidR="003D16A8">
        <w:t xml:space="preserve">the interference environment </w:t>
      </w:r>
      <w:r w:rsidR="00DD1E3D">
        <w:t xml:space="preserve">for </w:t>
      </w:r>
      <w:r w:rsidR="003D16A8">
        <w:rPr>
          <w:rFonts w:eastAsiaTheme="minorHAnsi"/>
          <w:color w:val="000000"/>
          <w:lang w:eastAsia="en-US"/>
        </w:rPr>
        <w:t>the</w:t>
      </w:r>
      <w:r w:rsidR="003D16A8" w:rsidRPr="00576242">
        <w:rPr>
          <w:rFonts w:eastAsiaTheme="minorHAnsi"/>
          <w:color w:val="000000"/>
          <w:lang w:eastAsia="en-US"/>
        </w:rPr>
        <w:t xml:space="preserve"> 1.8 GHz </w:t>
      </w:r>
      <w:r w:rsidR="003D16A8">
        <w:rPr>
          <w:rFonts w:eastAsiaTheme="minorHAnsi"/>
          <w:color w:val="000000"/>
          <w:lang w:eastAsia="en-US"/>
        </w:rPr>
        <w:t>and</w:t>
      </w:r>
      <w:r w:rsidR="003D16A8" w:rsidRPr="00576242">
        <w:rPr>
          <w:rFonts w:eastAsiaTheme="minorHAnsi"/>
          <w:color w:val="000000"/>
          <w:lang w:eastAsia="en-US"/>
        </w:rPr>
        <w:t xml:space="preserve"> 2 GHz</w:t>
      </w:r>
      <w:r w:rsidR="003D16A8">
        <w:rPr>
          <w:rFonts w:eastAsiaTheme="minorHAnsi"/>
          <w:color w:val="000000"/>
          <w:lang w:eastAsia="en-US"/>
        </w:rPr>
        <w:t xml:space="preserve"> spectrum licen</w:t>
      </w:r>
      <w:r w:rsidR="00DD1E3D">
        <w:rPr>
          <w:rFonts w:eastAsiaTheme="minorHAnsi"/>
          <w:color w:val="000000"/>
          <w:lang w:eastAsia="en-US"/>
        </w:rPr>
        <w:t>s</w:t>
      </w:r>
      <w:r w:rsidR="003D16A8">
        <w:rPr>
          <w:rFonts w:eastAsiaTheme="minorHAnsi"/>
          <w:color w:val="000000"/>
          <w:lang w:eastAsia="en-US"/>
        </w:rPr>
        <w:t xml:space="preserve">ed bands, will be </w:t>
      </w:r>
      <w:r w:rsidR="00DD1E3D">
        <w:rPr>
          <w:rFonts w:eastAsiaTheme="minorHAnsi"/>
          <w:color w:val="000000"/>
          <w:lang w:eastAsia="en-US"/>
        </w:rPr>
        <w:t xml:space="preserve">considered when developing </w:t>
      </w:r>
      <w:r w:rsidR="003D16A8">
        <w:rPr>
          <w:rFonts w:eastAsiaTheme="minorHAnsi"/>
          <w:color w:val="000000"/>
          <w:lang w:eastAsia="en-US"/>
        </w:rPr>
        <w:t xml:space="preserve">the arrangements required to implement the chosen </w:t>
      </w:r>
      <w:r w:rsidR="00EC1A3B">
        <w:rPr>
          <w:rFonts w:eastAsiaTheme="minorHAnsi"/>
          <w:color w:val="000000"/>
          <w:lang w:eastAsia="en-US"/>
        </w:rPr>
        <w:t>o</w:t>
      </w:r>
      <w:r w:rsidR="003D16A8">
        <w:rPr>
          <w:rFonts w:eastAsiaTheme="minorHAnsi"/>
          <w:color w:val="000000"/>
          <w:lang w:eastAsia="en-US"/>
        </w:rPr>
        <w:t>ption.</w:t>
      </w:r>
    </w:p>
    <w:p w14:paraId="6A947F12" w14:textId="78836864" w:rsidR="003D16A8" w:rsidRPr="00576242" w:rsidRDefault="003D16A8" w:rsidP="00FD2C90">
      <w:pPr>
        <w:pStyle w:val="Paragraph"/>
        <w:keepLines w:val="0"/>
      </w:pPr>
      <w:r>
        <w:t>For incumbent services within the 1880</w:t>
      </w:r>
      <w:r w:rsidR="00EC1A3B">
        <w:t>–</w:t>
      </w:r>
      <w:r>
        <w:t xml:space="preserve">1920 MHz </w:t>
      </w:r>
      <w:r w:rsidR="00EC1A3B">
        <w:t xml:space="preserve">frequency </w:t>
      </w:r>
      <w:r>
        <w:t>range, i</w:t>
      </w:r>
      <w:r w:rsidRPr="00576242">
        <w:t xml:space="preserve">f </w:t>
      </w:r>
      <w:r>
        <w:t>any new service</w:t>
      </w:r>
      <w:r w:rsidR="00EC1A3B">
        <w:t>s are introduce</w:t>
      </w:r>
      <w:r w:rsidR="00601DBE">
        <w:t>d</w:t>
      </w:r>
      <w:r w:rsidR="00EC1A3B">
        <w:t xml:space="preserve">, coexistence issues would need to be examined and </w:t>
      </w:r>
      <w:r w:rsidR="00601DBE">
        <w:t xml:space="preserve">conditions of use and </w:t>
      </w:r>
      <w:r w:rsidR="00EC1A3B">
        <w:t>coordination arrangements developed</w:t>
      </w:r>
      <w:r w:rsidR="00601DBE">
        <w:t xml:space="preserve"> as appropriate</w:t>
      </w:r>
      <w:r>
        <w:t>.</w:t>
      </w:r>
      <w:r w:rsidRPr="00576242">
        <w:rPr>
          <w:highlight w:val="yellow"/>
        </w:rPr>
        <w:t xml:space="preserve"> </w:t>
      </w:r>
    </w:p>
    <w:p w14:paraId="172DA463" w14:textId="7728173C" w:rsidR="00772F28" w:rsidRDefault="00772F28" w:rsidP="00772F28">
      <w:pPr>
        <w:keepLines w:val="0"/>
        <w:rPr>
          <w:rFonts w:cs="Arial"/>
          <w:szCs w:val="20"/>
        </w:rPr>
      </w:pPr>
      <w:r>
        <w:rPr>
          <w:rFonts w:cs="Arial"/>
          <w:szCs w:val="20"/>
        </w:rPr>
        <w:t xml:space="preserve">As well as internal analysis on coexistence, the ACMA also reviews international coexistence studies on the proposed </w:t>
      </w:r>
      <w:r w:rsidR="00601DBE">
        <w:rPr>
          <w:rFonts w:cs="Arial"/>
          <w:szCs w:val="20"/>
        </w:rPr>
        <w:t>o</w:t>
      </w:r>
      <w:r>
        <w:rPr>
          <w:rFonts w:cs="Arial"/>
          <w:szCs w:val="20"/>
        </w:rPr>
        <w:t xml:space="preserve">ptions. The following international studies </w:t>
      </w:r>
      <w:r w:rsidR="00601DBE">
        <w:rPr>
          <w:rFonts w:cs="Arial"/>
          <w:szCs w:val="20"/>
        </w:rPr>
        <w:t xml:space="preserve">have </w:t>
      </w:r>
      <w:r>
        <w:rPr>
          <w:rFonts w:cs="Arial"/>
          <w:szCs w:val="20"/>
        </w:rPr>
        <w:t xml:space="preserve">provided relevant analysis to </w:t>
      </w:r>
      <w:r w:rsidR="00601DBE">
        <w:rPr>
          <w:rFonts w:cs="Arial"/>
          <w:szCs w:val="20"/>
        </w:rPr>
        <w:t xml:space="preserve">assist </w:t>
      </w:r>
      <w:r>
        <w:rPr>
          <w:rFonts w:cs="Arial"/>
          <w:szCs w:val="20"/>
        </w:rPr>
        <w:t xml:space="preserve">the ACMA’s </w:t>
      </w:r>
      <w:r w:rsidR="00601DBE">
        <w:rPr>
          <w:rFonts w:cs="Arial"/>
          <w:szCs w:val="20"/>
        </w:rPr>
        <w:t>considerations in the review</w:t>
      </w:r>
      <w:r>
        <w:rPr>
          <w:rFonts w:cs="Arial"/>
          <w:szCs w:val="20"/>
        </w:rPr>
        <w:t xml:space="preserve"> of the 1.9</w:t>
      </w:r>
      <w:r w:rsidR="006D7C78">
        <w:rPr>
          <w:rFonts w:cs="Arial"/>
          <w:szCs w:val="20"/>
        </w:rPr>
        <w:t> </w:t>
      </w:r>
      <w:r>
        <w:rPr>
          <w:rFonts w:cs="Arial"/>
          <w:szCs w:val="20"/>
        </w:rPr>
        <w:t>GHz band.</w:t>
      </w:r>
    </w:p>
    <w:p w14:paraId="77B7B77D" w14:textId="3BB96D4C" w:rsidR="00772F28" w:rsidRPr="001C6879" w:rsidRDefault="00615F77" w:rsidP="00D51E3F">
      <w:pPr>
        <w:pStyle w:val="Bulletlevel1"/>
        <w:rPr>
          <w:rStyle w:val="Hyperlink"/>
          <w:rFonts w:cs="Times New Roman"/>
          <w:color w:val="auto"/>
          <w:u w:val="none"/>
        </w:rPr>
      </w:pPr>
      <w:hyperlink r:id="rId49" w:history="1">
        <w:r w:rsidR="00521A0D" w:rsidRPr="00521A0D">
          <w:rPr>
            <w:rStyle w:val="Hyperlink"/>
          </w:rPr>
          <w:t>ECC Report 314</w:t>
        </w:r>
      </w:hyperlink>
      <w:r w:rsidR="00D369C5">
        <w:t>:</w:t>
      </w:r>
      <w:r w:rsidR="00521A0D">
        <w:t xml:space="preserve"> </w:t>
      </w:r>
      <w:r w:rsidR="00521A0D" w:rsidRPr="00915142">
        <w:t xml:space="preserve">Co-existence between </w:t>
      </w:r>
      <w:r w:rsidR="00D369C5">
        <w:t>f</w:t>
      </w:r>
      <w:r w:rsidR="00521A0D" w:rsidRPr="00915142">
        <w:t xml:space="preserve">uture </w:t>
      </w:r>
      <w:r w:rsidR="00D369C5">
        <w:t>r</w:t>
      </w:r>
      <w:r w:rsidR="00521A0D" w:rsidRPr="00915142">
        <w:t xml:space="preserve">ailway </w:t>
      </w:r>
      <w:r w:rsidR="00D369C5">
        <w:t>m</w:t>
      </w:r>
      <w:r w:rsidR="00521A0D" w:rsidRPr="00915142">
        <w:t xml:space="preserve">obile </w:t>
      </w:r>
      <w:r w:rsidR="00D369C5">
        <w:t>c</w:t>
      </w:r>
      <w:r w:rsidR="00521A0D" w:rsidRPr="00915142">
        <w:t xml:space="preserve">ommunication </w:t>
      </w:r>
      <w:r w:rsidR="00D369C5">
        <w:t>s</w:t>
      </w:r>
      <w:r w:rsidR="00521A0D" w:rsidRPr="00915142">
        <w:t>ystem (FRMCS) in the frequency range 1900</w:t>
      </w:r>
      <w:r w:rsidR="00D369C5">
        <w:t>–</w:t>
      </w:r>
      <w:r w:rsidR="00521A0D" w:rsidRPr="00915142">
        <w:t>1920 MHz and other applications in adjacent bands</w:t>
      </w:r>
      <w:r w:rsidR="00D369C5">
        <w:t>.</w:t>
      </w:r>
    </w:p>
    <w:p w14:paraId="6F3DAD92" w14:textId="5867AA4A" w:rsidR="00101FCF" w:rsidRPr="001C6879" w:rsidRDefault="00615F77" w:rsidP="00D51E3F">
      <w:pPr>
        <w:pStyle w:val="Bulletlevel1"/>
        <w:rPr>
          <w:rStyle w:val="Hyperlink"/>
          <w:color w:val="auto"/>
          <w:u w:val="none"/>
        </w:rPr>
      </w:pPr>
      <w:hyperlink r:id="rId50" w:history="1">
        <w:r w:rsidR="00101FCF" w:rsidRPr="00735A74">
          <w:rPr>
            <w:rStyle w:val="Hyperlink"/>
          </w:rPr>
          <w:t>ECC Report 318</w:t>
        </w:r>
      </w:hyperlink>
      <w:r w:rsidR="00D369C5">
        <w:t>:</w:t>
      </w:r>
      <w:r w:rsidR="00735A74">
        <w:t xml:space="preserve"> </w:t>
      </w:r>
      <w:r w:rsidR="00735A74" w:rsidRPr="00735A74">
        <w:t>Compatibility between RMR</w:t>
      </w:r>
      <w:r w:rsidR="00B33B0E">
        <w:rPr>
          <w:rStyle w:val="FootnoteReference"/>
        </w:rPr>
        <w:footnoteReference w:id="22"/>
      </w:r>
      <w:r w:rsidR="00735A74" w:rsidRPr="00735A74">
        <w:t xml:space="preserve"> and MFCN</w:t>
      </w:r>
      <w:r w:rsidR="00B33B0E">
        <w:rPr>
          <w:rStyle w:val="FootnoteReference"/>
        </w:rPr>
        <w:footnoteReference w:id="23"/>
      </w:r>
      <w:r w:rsidR="00735A74" w:rsidRPr="00735A74">
        <w:t xml:space="preserve"> in the 900 MHz range, the 1900</w:t>
      </w:r>
      <w:r w:rsidR="00D369C5">
        <w:t>–</w:t>
      </w:r>
      <w:r w:rsidR="00735A74" w:rsidRPr="00735A74">
        <w:t>1920 MHz band and the 2290</w:t>
      </w:r>
      <w:r w:rsidR="00D369C5">
        <w:t>–</w:t>
      </w:r>
      <w:r w:rsidR="00735A74" w:rsidRPr="00735A74">
        <w:t>2300 MHz band</w:t>
      </w:r>
      <w:r w:rsidR="00D369C5">
        <w:t>.</w:t>
      </w:r>
    </w:p>
    <w:p w14:paraId="1D7D8CB5" w14:textId="1BFCB87E" w:rsidR="0028774F" w:rsidRPr="001C6879" w:rsidRDefault="00615F77" w:rsidP="00D51E3F">
      <w:pPr>
        <w:pStyle w:val="Bulletlevel1"/>
        <w:rPr>
          <w:rStyle w:val="Hyperlink"/>
          <w:rFonts w:cs="Times New Roman"/>
          <w:color w:val="auto"/>
          <w:u w:val="none"/>
        </w:rPr>
      </w:pPr>
      <w:hyperlink r:id="rId51" w:history="1">
        <w:r w:rsidR="0028774F" w:rsidRPr="00EA4CFC">
          <w:rPr>
            <w:rStyle w:val="Hyperlink"/>
          </w:rPr>
          <w:t>ETSI TR 103 149 V1.2.1 (2019-07)</w:t>
        </w:r>
      </w:hyperlink>
      <w:r w:rsidR="00D369C5" w:rsidRPr="00D369C5">
        <w:t>:</w:t>
      </w:r>
      <w:r w:rsidR="0028774F">
        <w:t xml:space="preserve"> DECT operating in the </w:t>
      </w:r>
      <w:r w:rsidR="00D369C5">
        <w:br/>
      </w:r>
      <w:r w:rsidR="0028774F">
        <w:t>1900 MHz</w:t>
      </w:r>
      <w:r w:rsidR="00101FCF">
        <w:t>–</w:t>
      </w:r>
      <w:r w:rsidR="0028774F">
        <w:t>1920 MHz band</w:t>
      </w:r>
    </w:p>
    <w:p w14:paraId="5C309B20" w14:textId="493E8AEC" w:rsidR="00772F28" w:rsidRPr="0028774F" w:rsidRDefault="00615F77" w:rsidP="00FD2C90">
      <w:pPr>
        <w:pStyle w:val="Bulletlevel1last"/>
        <w:keepLines w:val="0"/>
      </w:pPr>
      <w:hyperlink r:id="rId52" w:history="1">
        <w:r w:rsidR="00772F28" w:rsidRPr="00EA4CFC">
          <w:rPr>
            <w:rStyle w:val="Hyperlink"/>
          </w:rPr>
          <w:t xml:space="preserve">Multefire </w:t>
        </w:r>
        <w:r w:rsidR="00EA4CFC" w:rsidRPr="00EA4CFC">
          <w:rPr>
            <w:rStyle w:val="Hyperlink"/>
          </w:rPr>
          <w:t xml:space="preserve">in 1.9 GHz </w:t>
        </w:r>
        <w:r w:rsidR="00772F28" w:rsidRPr="00EA4CFC">
          <w:rPr>
            <w:rStyle w:val="Hyperlink"/>
          </w:rPr>
          <w:t>report</w:t>
        </w:r>
      </w:hyperlink>
      <w:r w:rsidR="00D369C5">
        <w:rPr>
          <w:rStyle w:val="Hyperlink"/>
          <w:u w:val="none"/>
        </w:rPr>
        <w:t>:</w:t>
      </w:r>
      <w:r w:rsidR="00EA4CFC" w:rsidRPr="00EA4CFC">
        <w:t xml:space="preserve"> </w:t>
      </w:r>
      <w:proofErr w:type="spellStart"/>
      <w:r w:rsidR="00EA4CFC">
        <w:t>Multefire</w:t>
      </w:r>
      <w:proofErr w:type="spellEnd"/>
      <w:r w:rsidR="00521A0D">
        <w:t xml:space="preserve"> White Paper</w:t>
      </w:r>
      <w:r w:rsidR="00BD67E1">
        <w:t>.</w:t>
      </w:r>
    </w:p>
    <w:p w14:paraId="4439E947" w14:textId="101B749F" w:rsidR="00772F28" w:rsidRDefault="00EA4CFC" w:rsidP="00FD2C90">
      <w:pPr>
        <w:pStyle w:val="Heading3"/>
        <w:keepLines w:val="0"/>
      </w:pPr>
      <w:r w:rsidRPr="00EA4CFC">
        <w:t>ECC Report 314</w:t>
      </w:r>
    </w:p>
    <w:p w14:paraId="24A2A667" w14:textId="462C60D4" w:rsidR="00101FCF" w:rsidRDefault="00F13709" w:rsidP="00D51E3F">
      <w:pPr>
        <w:pStyle w:val="Paragraph"/>
      </w:pPr>
      <w:r>
        <w:t xml:space="preserve">The ECC Report 314 </w:t>
      </w:r>
      <w:r w:rsidRPr="00F13709">
        <w:t>considers the possibility</w:t>
      </w:r>
      <w:r>
        <w:t xml:space="preserve"> </w:t>
      </w:r>
      <w:r w:rsidRPr="00F13709">
        <w:t xml:space="preserve">of introducing </w:t>
      </w:r>
      <w:r>
        <w:t>FRMCS</w:t>
      </w:r>
      <w:r w:rsidRPr="00F13709">
        <w:t xml:space="preserve"> in the </w:t>
      </w:r>
      <w:r w:rsidR="00D369C5">
        <w:br/>
      </w:r>
      <w:r w:rsidRPr="00F13709">
        <w:t>1900</w:t>
      </w:r>
      <w:r w:rsidR="00D369C5">
        <w:t>–</w:t>
      </w:r>
      <w:r w:rsidRPr="00F13709">
        <w:t>1910</w:t>
      </w:r>
      <w:r>
        <w:t xml:space="preserve"> </w:t>
      </w:r>
      <w:r w:rsidRPr="00F13709">
        <w:t>MHz band using either 4G LTE or 5G NR technology.</w:t>
      </w:r>
      <w:r>
        <w:t xml:space="preserve"> The report considers coexistence between FRMCS and DECT operating in 1880</w:t>
      </w:r>
      <w:r w:rsidR="00D369C5">
        <w:t>–</w:t>
      </w:r>
      <w:r w:rsidR="00101FCF">
        <w:t xml:space="preserve">1900 MHz and mobile </w:t>
      </w:r>
      <w:r w:rsidR="00833B2C">
        <w:t xml:space="preserve">network </w:t>
      </w:r>
      <w:r w:rsidR="00101FCF">
        <w:t>user equipment transmitting in 1920–1980 MHz.</w:t>
      </w:r>
    </w:p>
    <w:p w14:paraId="4C10C291" w14:textId="3F57AA73" w:rsidR="00BE6BD7" w:rsidRDefault="00101FCF" w:rsidP="000E612D">
      <w:pPr>
        <w:keepLines w:val="0"/>
        <w:rPr>
          <w:rFonts w:cs="Arial"/>
          <w:szCs w:val="20"/>
        </w:rPr>
      </w:pPr>
      <w:r>
        <w:rPr>
          <w:rFonts w:cs="Arial"/>
          <w:szCs w:val="20"/>
        </w:rPr>
        <w:t xml:space="preserve">The report indicated that interference to FRMCS from </w:t>
      </w:r>
      <w:r w:rsidR="00BD67E1">
        <w:rPr>
          <w:rFonts w:cs="Arial"/>
          <w:szCs w:val="20"/>
        </w:rPr>
        <w:t>m</w:t>
      </w:r>
      <w:r>
        <w:rPr>
          <w:rFonts w:cs="Arial"/>
          <w:szCs w:val="20"/>
        </w:rPr>
        <w:t xml:space="preserve">obile </w:t>
      </w:r>
      <w:r w:rsidR="00601DBE">
        <w:rPr>
          <w:rFonts w:cs="Arial"/>
          <w:szCs w:val="20"/>
        </w:rPr>
        <w:t>handsets or user equipment (</w:t>
      </w:r>
      <w:r>
        <w:rPr>
          <w:rFonts w:cs="Arial"/>
          <w:szCs w:val="20"/>
        </w:rPr>
        <w:t>UE</w:t>
      </w:r>
      <w:r w:rsidR="00601DBE">
        <w:rPr>
          <w:rFonts w:cs="Arial"/>
          <w:szCs w:val="20"/>
        </w:rPr>
        <w:t>)</w:t>
      </w:r>
      <w:r>
        <w:rPr>
          <w:rFonts w:cs="Arial"/>
          <w:szCs w:val="20"/>
        </w:rPr>
        <w:t xml:space="preserve"> would be </w:t>
      </w:r>
      <w:r w:rsidR="005D0733">
        <w:rPr>
          <w:rFonts w:cs="Arial"/>
          <w:szCs w:val="20"/>
        </w:rPr>
        <w:t>negligible</w:t>
      </w:r>
      <w:r>
        <w:rPr>
          <w:rFonts w:cs="Arial"/>
          <w:szCs w:val="20"/>
        </w:rPr>
        <w:t xml:space="preserve">. </w:t>
      </w:r>
      <w:r w:rsidR="005D0733">
        <w:rPr>
          <w:rFonts w:cs="Arial"/>
          <w:szCs w:val="20"/>
        </w:rPr>
        <w:t xml:space="preserve">The report found that the </w:t>
      </w:r>
      <w:r w:rsidR="005D0733" w:rsidRPr="005D0733">
        <w:rPr>
          <w:rFonts w:cs="Arial"/>
          <w:szCs w:val="20"/>
        </w:rPr>
        <w:t xml:space="preserve">desensitisation of the FRMCS </w:t>
      </w:r>
      <w:r w:rsidR="005D0733">
        <w:rPr>
          <w:rFonts w:cs="Arial"/>
          <w:szCs w:val="20"/>
        </w:rPr>
        <w:t xml:space="preserve">from DECT </w:t>
      </w:r>
      <w:r w:rsidR="005D0733" w:rsidRPr="005D0733">
        <w:rPr>
          <w:rFonts w:cs="Arial"/>
          <w:szCs w:val="20"/>
        </w:rPr>
        <w:t>is generally negligible, apart from exceptional cases where it can</w:t>
      </w:r>
      <w:r w:rsidR="005D0733">
        <w:rPr>
          <w:rFonts w:cs="Arial"/>
          <w:szCs w:val="20"/>
        </w:rPr>
        <w:t xml:space="preserve"> </w:t>
      </w:r>
      <w:r w:rsidR="005D0733" w:rsidRPr="005D0733">
        <w:rPr>
          <w:rFonts w:cs="Arial"/>
          <w:szCs w:val="20"/>
        </w:rPr>
        <w:t>reach up to 10 dB for a few seconds, noting that in these situations the wanted signal remains 30 dB above</w:t>
      </w:r>
      <w:r w:rsidR="005D0733">
        <w:rPr>
          <w:rFonts w:cs="Arial"/>
          <w:szCs w:val="20"/>
        </w:rPr>
        <w:t xml:space="preserve"> </w:t>
      </w:r>
      <w:r w:rsidR="005D0733" w:rsidRPr="005D0733">
        <w:rPr>
          <w:rFonts w:cs="Arial"/>
          <w:szCs w:val="20"/>
        </w:rPr>
        <w:t>the interference level</w:t>
      </w:r>
      <w:r w:rsidR="005D0733">
        <w:rPr>
          <w:rFonts w:cs="Arial"/>
          <w:szCs w:val="20"/>
        </w:rPr>
        <w:t xml:space="preserve">. Most cases showed DECT systems would only require a separation </w:t>
      </w:r>
      <w:r w:rsidR="00FB716C">
        <w:rPr>
          <w:rFonts w:cs="Arial"/>
          <w:szCs w:val="20"/>
        </w:rPr>
        <w:t xml:space="preserve">distance from FRMCS cab radios </w:t>
      </w:r>
      <w:r w:rsidR="005D0733">
        <w:rPr>
          <w:rFonts w:cs="Arial"/>
          <w:szCs w:val="20"/>
        </w:rPr>
        <w:t xml:space="preserve">of up to 50 m depending on the deployment of DECT. </w:t>
      </w:r>
      <w:r w:rsidR="00FB716C">
        <w:rPr>
          <w:rFonts w:cs="Arial"/>
          <w:szCs w:val="20"/>
        </w:rPr>
        <w:t>This distance increase</w:t>
      </w:r>
      <w:r w:rsidR="00601DBE">
        <w:rPr>
          <w:rFonts w:cs="Arial"/>
          <w:szCs w:val="20"/>
        </w:rPr>
        <w:t>s</w:t>
      </w:r>
      <w:r w:rsidR="00FB716C">
        <w:rPr>
          <w:rFonts w:cs="Arial"/>
          <w:szCs w:val="20"/>
        </w:rPr>
        <w:t xml:space="preserve"> for FRMCS base </w:t>
      </w:r>
      <w:r w:rsidR="00EA5961">
        <w:rPr>
          <w:rFonts w:cs="Arial"/>
          <w:szCs w:val="20"/>
        </w:rPr>
        <w:t>stations</w:t>
      </w:r>
      <w:r w:rsidR="00FB716C">
        <w:rPr>
          <w:rFonts w:cs="Arial"/>
          <w:szCs w:val="20"/>
        </w:rPr>
        <w:t xml:space="preserve"> which could see the required separation distance increase up to 165 m. </w:t>
      </w:r>
      <w:r w:rsidR="005D0733">
        <w:rPr>
          <w:rFonts w:cs="Arial"/>
          <w:szCs w:val="20"/>
        </w:rPr>
        <w:t>In cases where DECT was deployed outdoor</w:t>
      </w:r>
      <w:r w:rsidR="00601DBE">
        <w:rPr>
          <w:rFonts w:cs="Arial"/>
          <w:szCs w:val="20"/>
        </w:rPr>
        <w:t>s</w:t>
      </w:r>
      <w:r w:rsidR="00D369C5">
        <w:rPr>
          <w:rFonts w:cs="Arial"/>
          <w:szCs w:val="20"/>
        </w:rPr>
        <w:t>,</w:t>
      </w:r>
      <w:r w:rsidR="005D0733">
        <w:rPr>
          <w:rFonts w:cs="Arial"/>
          <w:szCs w:val="20"/>
        </w:rPr>
        <w:t xml:space="preserve"> </w:t>
      </w:r>
      <w:r w:rsidR="00FB716C">
        <w:rPr>
          <w:rFonts w:cs="Arial"/>
          <w:szCs w:val="20"/>
        </w:rPr>
        <w:t>the required separation distance could be as high as 900 m.</w:t>
      </w:r>
      <w:r w:rsidR="000E612D" w:rsidRPr="00F13709" w:rsidDel="000E612D">
        <w:rPr>
          <w:rFonts w:cs="Arial"/>
          <w:szCs w:val="20"/>
        </w:rPr>
        <w:t xml:space="preserve"> </w:t>
      </w:r>
    </w:p>
    <w:p w14:paraId="54AEA6D4" w14:textId="13EED291" w:rsidR="00735A74" w:rsidRDefault="00735A74" w:rsidP="00B45E8C">
      <w:pPr>
        <w:pStyle w:val="Heading3"/>
      </w:pPr>
      <w:r w:rsidRPr="00EA4CFC">
        <w:lastRenderedPageBreak/>
        <w:t>ECC Report 31</w:t>
      </w:r>
      <w:r>
        <w:t>8</w:t>
      </w:r>
    </w:p>
    <w:p w14:paraId="520264D6" w14:textId="72580218" w:rsidR="00E65D8C" w:rsidRDefault="00833B2C" w:rsidP="00FD2C90">
      <w:pPr>
        <w:pStyle w:val="Paragraph"/>
        <w:keepLines w:val="0"/>
      </w:pPr>
      <w:r>
        <w:rPr>
          <w:szCs w:val="20"/>
        </w:rPr>
        <w:t>This report considered the coexistence between FRMCS operating in 1900</w:t>
      </w:r>
      <w:r w:rsidR="009070E6">
        <w:rPr>
          <w:szCs w:val="20"/>
        </w:rPr>
        <w:t>–</w:t>
      </w:r>
      <w:r>
        <w:rPr>
          <w:szCs w:val="20"/>
        </w:rPr>
        <w:t>1910 MHz and mobile network base station</w:t>
      </w:r>
      <w:r w:rsidR="00601DBE">
        <w:rPr>
          <w:szCs w:val="20"/>
        </w:rPr>
        <w:t>s</w:t>
      </w:r>
      <w:r>
        <w:rPr>
          <w:szCs w:val="20"/>
        </w:rPr>
        <w:t xml:space="preserve"> receiving in 1920–1980 MHz. The report concluded that FRMCS base stations operating at higher powers may cause interference to mobile network base station receiver</w:t>
      </w:r>
      <w:r w:rsidR="00601DBE">
        <w:rPr>
          <w:szCs w:val="20"/>
        </w:rPr>
        <w:t>s</w:t>
      </w:r>
      <w:r>
        <w:rPr>
          <w:szCs w:val="20"/>
        </w:rPr>
        <w:t>.</w:t>
      </w:r>
      <w:r w:rsidR="00AA2C98">
        <w:rPr>
          <w:szCs w:val="20"/>
        </w:rPr>
        <w:t xml:space="preserve"> </w:t>
      </w:r>
      <w:r>
        <w:rPr>
          <w:szCs w:val="20"/>
        </w:rPr>
        <w:t>This issue may be mitigated by limiting the</w:t>
      </w:r>
      <w:r w:rsidR="00601DBE">
        <w:rPr>
          <w:szCs w:val="20"/>
        </w:rPr>
        <w:t xml:space="preserve"> transmitter</w:t>
      </w:r>
      <w:r>
        <w:rPr>
          <w:szCs w:val="20"/>
        </w:rPr>
        <w:t xml:space="preserve"> power of an FRMCS base station</w:t>
      </w:r>
      <w:r w:rsidR="00601DBE">
        <w:rPr>
          <w:szCs w:val="20"/>
        </w:rPr>
        <w:t>s</w:t>
      </w:r>
      <w:r>
        <w:rPr>
          <w:szCs w:val="20"/>
        </w:rPr>
        <w:t>. Further analysis will need to be undertaken</w:t>
      </w:r>
      <w:r w:rsidRPr="00833B2C">
        <w:rPr>
          <w:szCs w:val="20"/>
        </w:rPr>
        <w:t>.</w:t>
      </w:r>
      <w:r w:rsidR="00AA2C98">
        <w:rPr>
          <w:szCs w:val="20"/>
        </w:rPr>
        <w:t xml:space="preserve"> While FRMCS cab radios have less potential </w:t>
      </w:r>
      <w:r w:rsidR="00601DBE">
        <w:rPr>
          <w:szCs w:val="20"/>
        </w:rPr>
        <w:t>to cause</w:t>
      </w:r>
      <w:r w:rsidR="00AA2C98">
        <w:rPr>
          <w:szCs w:val="20"/>
        </w:rPr>
        <w:t xml:space="preserve"> interference, the report concludes that </w:t>
      </w:r>
      <w:r w:rsidR="00AA2C98" w:rsidRPr="00AA2C98">
        <w:rPr>
          <w:szCs w:val="20"/>
        </w:rPr>
        <w:t xml:space="preserve">FRMCS cab-radios </w:t>
      </w:r>
      <w:r w:rsidR="00AA2C98">
        <w:rPr>
          <w:szCs w:val="20"/>
        </w:rPr>
        <w:t>should</w:t>
      </w:r>
      <w:r w:rsidR="00AA2C98" w:rsidRPr="00AA2C98">
        <w:rPr>
          <w:szCs w:val="20"/>
        </w:rPr>
        <w:t xml:space="preserve"> implement and activate uplink power control </w:t>
      </w:r>
      <w:r w:rsidR="00AA2C98">
        <w:rPr>
          <w:szCs w:val="20"/>
        </w:rPr>
        <w:t>and</w:t>
      </w:r>
      <w:r w:rsidR="00AA2C98" w:rsidRPr="00AA2C98">
        <w:rPr>
          <w:szCs w:val="20"/>
        </w:rPr>
        <w:t xml:space="preserve"> </w:t>
      </w:r>
      <w:r w:rsidR="00601DBE">
        <w:rPr>
          <w:szCs w:val="20"/>
        </w:rPr>
        <w:t xml:space="preserve">that </w:t>
      </w:r>
      <w:r w:rsidR="00AA2C98" w:rsidRPr="00AA2C98">
        <w:rPr>
          <w:szCs w:val="20"/>
        </w:rPr>
        <w:t xml:space="preserve">FRMCS high-power cab-radios </w:t>
      </w:r>
      <w:r w:rsidR="00AA2C98">
        <w:rPr>
          <w:szCs w:val="20"/>
        </w:rPr>
        <w:t>can</w:t>
      </w:r>
      <w:r w:rsidR="00AA2C98" w:rsidRPr="00AA2C98">
        <w:rPr>
          <w:szCs w:val="20"/>
        </w:rPr>
        <w:t xml:space="preserve">not </w:t>
      </w:r>
      <w:r w:rsidR="00AA2C98">
        <w:rPr>
          <w:szCs w:val="20"/>
        </w:rPr>
        <w:t xml:space="preserve">be </w:t>
      </w:r>
      <w:r w:rsidR="00AA2C98" w:rsidRPr="00AA2C98">
        <w:rPr>
          <w:szCs w:val="20"/>
        </w:rPr>
        <w:t>permitted to operate without uplink power control.</w:t>
      </w:r>
    </w:p>
    <w:p w14:paraId="231584EB" w14:textId="4ED9F7AE" w:rsidR="00434242" w:rsidRDefault="00E65D8C" w:rsidP="00FD2C90">
      <w:pPr>
        <w:pStyle w:val="Heading3"/>
        <w:keepLines w:val="0"/>
      </w:pPr>
      <w:r w:rsidRPr="00E65D8C">
        <w:t>ETSI TR 103 149 V1.2.1 (2019-07)</w:t>
      </w:r>
    </w:p>
    <w:p w14:paraId="66E0899F" w14:textId="355540DD" w:rsidR="00434242" w:rsidRDefault="00434242" w:rsidP="00FD2C90">
      <w:pPr>
        <w:pStyle w:val="Paragraph"/>
        <w:keepLines w:val="0"/>
      </w:pPr>
      <w:r>
        <w:t>This report provides an outline on future DECT operating in the 1900</w:t>
      </w:r>
      <w:r w:rsidR="009070E6">
        <w:t>–</w:t>
      </w:r>
      <w:r>
        <w:t xml:space="preserve">1920 MHz. While this report does not analyse coexistence with other </w:t>
      </w:r>
      <w:r w:rsidR="00735A74">
        <w:t>services</w:t>
      </w:r>
      <w:r>
        <w:t xml:space="preserve">, it does reference other coexistence reports. The report indicates that DECT is able to co-exist with other </w:t>
      </w:r>
      <w:r w:rsidR="00735A74">
        <w:t>service</w:t>
      </w:r>
      <w:r w:rsidR="003B31F1">
        <w:t>s</w:t>
      </w:r>
      <w:r>
        <w:t>.</w:t>
      </w:r>
    </w:p>
    <w:p w14:paraId="10806254" w14:textId="5DDAF443" w:rsidR="00E65D8C" w:rsidRDefault="00434242" w:rsidP="00FD2C90">
      <w:pPr>
        <w:pStyle w:val="Heading3"/>
        <w:keepLines w:val="0"/>
      </w:pPr>
      <w:r w:rsidRPr="00434242">
        <w:t xml:space="preserve">Multefire in 1.9 GHz </w:t>
      </w:r>
      <w:r w:rsidR="004C312B">
        <w:t>–</w:t>
      </w:r>
      <w:r w:rsidR="0012515B">
        <w:t xml:space="preserve"> </w:t>
      </w:r>
      <w:r w:rsidR="00F80816">
        <w:t>white paper</w:t>
      </w:r>
    </w:p>
    <w:p w14:paraId="3A14C147" w14:textId="1CEE849C" w:rsidR="00F41B85" w:rsidRDefault="00434242" w:rsidP="00FD2C90">
      <w:pPr>
        <w:pStyle w:val="Paragraph"/>
        <w:keepLines w:val="0"/>
      </w:pPr>
      <w:r>
        <w:t xml:space="preserve">This white paper provides an outline </w:t>
      </w:r>
      <w:r w:rsidR="0012515B">
        <w:t xml:space="preserve">of </w:t>
      </w:r>
      <w:r>
        <w:t>Multefire operati</w:t>
      </w:r>
      <w:r w:rsidR="0012515B">
        <w:t>o</w:t>
      </w:r>
      <w:r>
        <w:t>n in the 1.9 GHz band. The paper proposes that co-existence between 1.9 GHz MulteFire system</w:t>
      </w:r>
      <w:r w:rsidR="0012515B">
        <w:t>s</w:t>
      </w:r>
      <w:r>
        <w:t xml:space="preserve"> and DECT system</w:t>
      </w:r>
      <w:r w:rsidR="0012515B">
        <w:t>s</w:t>
      </w:r>
      <w:r>
        <w:t xml:space="preserve"> can be achieved. It cites a Japanese co-existence study where common frequency use of </w:t>
      </w:r>
      <w:r w:rsidR="0012515B">
        <w:t xml:space="preserve">a </w:t>
      </w:r>
      <w:r>
        <w:t>1.9 GHz MulteFire system, a DECT system and PHS system were evaluated</w:t>
      </w:r>
      <w:r w:rsidR="009070E6">
        <w:t>.</w:t>
      </w:r>
      <w:r>
        <w:rPr>
          <w:rStyle w:val="FootnoteReference"/>
        </w:rPr>
        <w:footnoteReference w:id="24"/>
      </w:r>
      <w:r>
        <w:t xml:space="preserve"> The evaluation considered </w:t>
      </w:r>
      <w:r w:rsidR="00231C77">
        <w:t xml:space="preserve">3 </w:t>
      </w:r>
      <w:r>
        <w:t xml:space="preserve">different deployment models where all models show that the call failure rate is less than 1%. </w:t>
      </w:r>
    </w:p>
    <w:p w14:paraId="2B5BCE5A" w14:textId="2308A024" w:rsidR="00312B29" w:rsidRDefault="00312B29" w:rsidP="00D51E3F">
      <w:pPr>
        <w:pStyle w:val="Heading3"/>
        <w:keepLines w:val="0"/>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Question </w:t>
      </w:r>
      <w:r w:rsidR="008D6D7B">
        <w:t>6</w:t>
      </w:r>
    </w:p>
    <w:p w14:paraId="5FFA534D" w14:textId="351B97FE" w:rsidR="00312B29" w:rsidRPr="00C02F26" w:rsidRDefault="00F41B85" w:rsidP="00D51E3F">
      <w:pPr>
        <w:pStyle w:val="Paragraph"/>
        <w:keepLines w:val="0"/>
        <w:pBdr>
          <w:top w:val="single" w:sz="4" w:space="1" w:color="auto"/>
          <w:left w:val="single" w:sz="4" w:space="4" w:color="auto"/>
          <w:bottom w:val="single" w:sz="4" w:space="1" w:color="auto"/>
          <w:right w:val="single" w:sz="4" w:space="4" w:color="auto"/>
        </w:pBdr>
        <w:shd w:val="clear" w:color="auto" w:fill="F2F2F2" w:themeFill="background1" w:themeFillShade="F2"/>
      </w:pPr>
      <w:r w:rsidRPr="00F41B85">
        <w:t xml:space="preserve">The </w:t>
      </w:r>
      <w:r w:rsidR="003B2347" w:rsidRPr="003B2347">
        <w:t>ACMA invites comments on coexistence considerations, and analysis on coexistence issues for the proposed options in this band</w:t>
      </w:r>
      <w:r>
        <w:t xml:space="preserve">.  </w:t>
      </w:r>
    </w:p>
    <w:p w14:paraId="578B35EC" w14:textId="77777777" w:rsidR="00312B29" w:rsidRDefault="00312B29" w:rsidP="00450397">
      <w:pPr>
        <w:pStyle w:val="Paragraph"/>
      </w:pPr>
    </w:p>
    <w:p w14:paraId="2C5BABDA" w14:textId="65E4A0A8" w:rsidR="008E7761" w:rsidRPr="00BE29EE" w:rsidRDefault="008E7761" w:rsidP="00BE29EE">
      <w:pPr>
        <w:pStyle w:val="Heading1"/>
      </w:pPr>
      <w:bookmarkStart w:id="151" w:name="_Ref517344931"/>
      <w:bookmarkStart w:id="152" w:name="_Toc519765122"/>
      <w:bookmarkStart w:id="153" w:name="_Toc521585788"/>
      <w:bookmarkStart w:id="154" w:name="_Toc525132250"/>
      <w:bookmarkStart w:id="155" w:name="_Toc5000085"/>
      <w:bookmarkStart w:id="156" w:name="_Ref39650010"/>
      <w:bookmarkStart w:id="157" w:name="_Toc117870134"/>
      <w:bookmarkStart w:id="158" w:name="_Toc118785124"/>
      <w:bookmarkStart w:id="159" w:name="_Toc120600059"/>
      <w:bookmarkEnd w:id="112"/>
      <w:r w:rsidRPr="00BE29EE">
        <w:lastRenderedPageBreak/>
        <w:t>Assessment of options</w:t>
      </w:r>
      <w:bookmarkEnd w:id="151"/>
      <w:bookmarkEnd w:id="152"/>
      <w:bookmarkEnd w:id="153"/>
      <w:bookmarkEnd w:id="154"/>
      <w:bookmarkEnd w:id="155"/>
      <w:bookmarkEnd w:id="156"/>
      <w:bookmarkEnd w:id="157"/>
      <w:bookmarkEnd w:id="158"/>
      <w:bookmarkEnd w:id="159"/>
    </w:p>
    <w:p w14:paraId="6DA721EE" w14:textId="46B17803" w:rsidR="00D44413" w:rsidRDefault="002F004C" w:rsidP="00FD2C90">
      <w:pPr>
        <w:pStyle w:val="Paragraph"/>
        <w:keepLines w:val="0"/>
      </w:pPr>
      <w:r>
        <w:t xml:space="preserve">We have </w:t>
      </w:r>
      <w:r w:rsidR="00D44413">
        <w:t>undertaken a preliminary assessment of the options against the</w:t>
      </w:r>
      <w:r>
        <w:t xml:space="preserve"> </w:t>
      </w:r>
      <w:hyperlink w:anchor="_Desirable_planning_outcomes" w:history="1">
        <w:r w:rsidRPr="002F004C">
          <w:rPr>
            <w:rStyle w:val="Hyperlink"/>
          </w:rPr>
          <w:t>Desirable planning outcomes for the 1.9 GHz band</w:t>
        </w:r>
      </w:hyperlink>
      <w:r>
        <w:t>.</w:t>
      </w:r>
      <w:r w:rsidR="00D44413">
        <w:t xml:space="preserve"> </w:t>
      </w:r>
    </w:p>
    <w:p w14:paraId="216F95F5" w14:textId="516CC708" w:rsidR="008E7761" w:rsidRDefault="00B90AFB" w:rsidP="000E612D">
      <w:pPr>
        <w:pStyle w:val="Paragraph"/>
        <w:keepLines w:val="0"/>
      </w:pPr>
      <w:bookmarkStart w:id="160" w:name="_Ref42254140"/>
      <w:bookmarkStart w:id="161" w:name="_Ref29821445"/>
      <w:bookmarkStart w:id="162" w:name="_Hlk3989768"/>
      <w:r>
        <w:t>Comment</w:t>
      </w:r>
      <w:r w:rsidR="00DE3316">
        <w:t xml:space="preserve"> is</w:t>
      </w:r>
      <w:r>
        <w:t xml:space="preserve"> sought</w:t>
      </w:r>
      <w:r w:rsidR="008E7761">
        <w:t xml:space="preserve"> on the discussion and outcomes of the assessment of option</w:t>
      </w:r>
      <w:r>
        <w:t>s</w:t>
      </w:r>
      <w:r w:rsidR="00FD3BB4">
        <w:t>.</w:t>
      </w:r>
      <w:r>
        <w:t xml:space="preserve"> This includes any evidence for the value placed on the band for </w:t>
      </w:r>
      <w:r w:rsidR="00084B09">
        <w:t>SR WBB</w:t>
      </w:r>
      <w:r>
        <w:t xml:space="preserve"> and </w:t>
      </w:r>
      <w:r w:rsidR="005E3C5D">
        <w:t>RMR</w:t>
      </w:r>
      <w:r>
        <w:t xml:space="preserve"> use.</w:t>
      </w:r>
      <w:r w:rsidR="000E612D">
        <w:t xml:space="preserve"> Feedback received to this assessment will inform the ACMA’s further consideration of the replanning options. </w:t>
      </w:r>
      <w:bookmarkEnd w:id="160"/>
      <w:bookmarkEnd w:id="161"/>
    </w:p>
    <w:p w14:paraId="200EC233" w14:textId="73C5E811" w:rsidR="008E7761" w:rsidRDefault="000D026A" w:rsidP="00BE29EE">
      <w:pPr>
        <w:pStyle w:val="Heading2"/>
        <w:keepLines w:val="0"/>
      </w:pPr>
      <w:bookmarkStart w:id="163" w:name="_Toc117870135"/>
      <w:bookmarkStart w:id="164" w:name="_Toc118785125"/>
      <w:bookmarkStart w:id="165" w:name="_Toc120600060"/>
      <w:bookmarkStart w:id="166" w:name="_Hlk4489431"/>
      <w:bookmarkEnd w:id="162"/>
      <w:r>
        <w:t>Assessment against the desir</w:t>
      </w:r>
      <w:r w:rsidR="003E6672">
        <w:t>abl</w:t>
      </w:r>
      <w:r>
        <w:t>e planning outcomes</w:t>
      </w:r>
      <w:bookmarkEnd w:id="163"/>
      <w:bookmarkEnd w:id="164"/>
      <w:bookmarkEnd w:id="165"/>
    </w:p>
    <w:bookmarkEnd w:id="166"/>
    <w:p w14:paraId="50835B10" w14:textId="58CC7D8D" w:rsidR="00D674BE" w:rsidRDefault="00FD3BB4" w:rsidP="00FD2C90">
      <w:pPr>
        <w:pStyle w:val="Paragraph"/>
        <w:keepLines w:val="0"/>
      </w:pPr>
      <w:r>
        <w:t xml:space="preserve">How each option meets each desirable planning outcome is </w:t>
      </w:r>
      <w:r w:rsidR="00F0633C">
        <w:t xml:space="preserve">discussed </w:t>
      </w:r>
      <w:r w:rsidR="000D026A">
        <w:t xml:space="preserve">in detail </w:t>
      </w:r>
      <w:r w:rsidR="00F0633C">
        <w:t>below.</w:t>
      </w:r>
      <w:r w:rsidR="00D6089A">
        <w:t xml:space="preserve"> </w:t>
      </w:r>
    </w:p>
    <w:p w14:paraId="6F181195" w14:textId="2155DA84" w:rsidR="0088143D" w:rsidRPr="00447A6A" w:rsidRDefault="0088143D" w:rsidP="00FD2C90">
      <w:pPr>
        <w:pStyle w:val="Heading3"/>
        <w:keepLines w:val="0"/>
      </w:pPr>
      <w:r w:rsidRPr="00447A6A">
        <w:t>Option 1: No change to current arrangements in the 1880</w:t>
      </w:r>
      <w:r w:rsidR="007D55DB">
        <w:t>–</w:t>
      </w:r>
      <w:r w:rsidRPr="00447A6A">
        <w:t>1920 MHz band</w:t>
      </w:r>
    </w:p>
    <w:p w14:paraId="09676F21" w14:textId="4A50BA49" w:rsidR="0088143D" w:rsidRDefault="0088143D" w:rsidP="00D51E3F">
      <w:pPr>
        <w:pStyle w:val="Paragraphbeforelist"/>
      </w:pPr>
      <w:r w:rsidRPr="008025FA">
        <w:t xml:space="preserve">The main elements </w:t>
      </w:r>
      <w:r w:rsidR="00652F4E">
        <w:t>of</w:t>
      </w:r>
      <w:r w:rsidRPr="008025FA">
        <w:t xml:space="preserve"> Option 1 are</w:t>
      </w:r>
      <w:r>
        <w:t>:</w:t>
      </w:r>
    </w:p>
    <w:p w14:paraId="601EEAFA" w14:textId="75ACC21B" w:rsidR="0088143D" w:rsidRDefault="0088143D" w:rsidP="00D51E3F">
      <w:pPr>
        <w:pStyle w:val="ListBullet"/>
      </w:pPr>
      <w:r>
        <w:t>Maintain</w:t>
      </w:r>
      <w:r w:rsidR="00652F4E">
        <w:t>ing</w:t>
      </w:r>
      <w:r>
        <w:t xml:space="preserve"> SR WBB uses under </w:t>
      </w:r>
      <w:r w:rsidR="00BD67E1">
        <w:t xml:space="preserve">the </w:t>
      </w:r>
      <w:r>
        <w:t>CCD class licence across 1880</w:t>
      </w:r>
      <w:r w:rsidR="007D55DB">
        <w:t>–</w:t>
      </w:r>
      <w:r>
        <w:t>1900 MHz</w:t>
      </w:r>
      <w:r w:rsidR="007D55DB">
        <w:t>.</w:t>
      </w:r>
    </w:p>
    <w:p w14:paraId="1D29562F" w14:textId="15CE5D79" w:rsidR="0088143D" w:rsidRDefault="0088143D" w:rsidP="00D51E3F">
      <w:pPr>
        <w:pStyle w:val="ListBulletLast"/>
      </w:pPr>
      <w:r>
        <w:t>Maintain</w:t>
      </w:r>
      <w:r w:rsidR="00652F4E">
        <w:t>ing</w:t>
      </w:r>
      <w:r>
        <w:t xml:space="preserve"> LA WBB and PTP access arrangements across 1900–1920 MHz in regional and remote areas</w:t>
      </w:r>
      <w:r w:rsidR="007D55DB">
        <w:t>.</w:t>
      </w:r>
    </w:p>
    <w:p w14:paraId="58DD9A6E" w14:textId="6EBC98B2" w:rsidR="0088143D" w:rsidRDefault="0088143D" w:rsidP="00FD2C90">
      <w:pPr>
        <w:pStyle w:val="Paragraph"/>
        <w:keepLines w:val="0"/>
      </w:pPr>
      <w:r>
        <w:t>Option 1 maintains the current arrangement</w:t>
      </w:r>
      <w:r w:rsidR="00685645">
        <w:t>s in the band</w:t>
      </w:r>
      <w:r w:rsidR="00BD67E1">
        <w:t>. T</w:t>
      </w:r>
      <w:r w:rsidR="00685645">
        <w:t>his</w:t>
      </w:r>
      <w:r>
        <w:t xml:space="preserve"> provides a high level of certainty to incumbent users to continue operating, and where possible expanding, their services. It is also financially beneficial to incumbent users as no displacement costs associate</w:t>
      </w:r>
      <w:r w:rsidR="00685645">
        <w:t>d</w:t>
      </w:r>
      <w:r>
        <w:t xml:space="preserve"> with moving to different spectrum </w:t>
      </w:r>
      <w:r w:rsidR="00685645">
        <w:t xml:space="preserve">would </w:t>
      </w:r>
      <w:r>
        <w:t xml:space="preserve">be incurred. </w:t>
      </w:r>
    </w:p>
    <w:p w14:paraId="487A5417" w14:textId="16FFC0F7" w:rsidR="0088143D" w:rsidRDefault="0088143D" w:rsidP="00FD2C90">
      <w:pPr>
        <w:pStyle w:val="Paragraph"/>
        <w:keepLines w:val="0"/>
      </w:pPr>
      <w:r>
        <w:t>Option 1 does not introduce any new arrangements to support existing technology enhancements or new technology developments</w:t>
      </w:r>
      <w:r w:rsidR="00032280">
        <w:t xml:space="preserve"> other than potentially in the current SR WBB via minor changes to the class licence</w:t>
      </w:r>
      <w:r>
        <w:t xml:space="preserve">. While this option does provide certainty for incumbent users, it does not support opportunities for new uses </w:t>
      </w:r>
      <w:r w:rsidR="005425C5">
        <w:t xml:space="preserve">in other parts of </w:t>
      </w:r>
      <w:r>
        <w:t xml:space="preserve">the band. </w:t>
      </w:r>
    </w:p>
    <w:p w14:paraId="17F8BFF0" w14:textId="6F787850" w:rsidR="0088143D" w:rsidRDefault="0088143D" w:rsidP="00FD2C90">
      <w:pPr>
        <w:pStyle w:val="Paragraph"/>
        <w:keepLines w:val="0"/>
      </w:pPr>
      <w:r>
        <w:t xml:space="preserve">This option </w:t>
      </w:r>
      <w:r w:rsidR="002F10BB">
        <w:t>therefore</w:t>
      </w:r>
      <w:r>
        <w:t xml:space="preserve"> does not </w:t>
      </w:r>
      <w:r w:rsidR="00B21B70">
        <w:t xml:space="preserve">increase </w:t>
      </w:r>
      <w:r>
        <w:t>the overall spectrum utility of the band. In the 1880–1900 MHz portion of the band, the DECT technology is over 20 years old</w:t>
      </w:r>
      <w:r w:rsidR="007D55DB">
        <w:t>. T</w:t>
      </w:r>
      <w:r>
        <w:t>he technology</w:t>
      </w:r>
      <w:r w:rsidR="004D25BB">
        <w:t xml:space="preserve"> has</w:t>
      </w:r>
      <w:r>
        <w:t xml:space="preserve"> evolve</w:t>
      </w:r>
      <w:r w:rsidR="004D25BB">
        <w:t xml:space="preserve">d over the last </w:t>
      </w:r>
      <w:r w:rsidR="00231C77">
        <w:t xml:space="preserve">5 </w:t>
      </w:r>
      <w:r w:rsidR="004D25BB">
        <w:t>years</w:t>
      </w:r>
      <w:r>
        <w:t xml:space="preserve">, with the latest version of </w:t>
      </w:r>
      <w:r w:rsidR="00694E7B">
        <w:t>f</w:t>
      </w:r>
      <w:r w:rsidR="007F23AE">
        <w:t>uture DECT</w:t>
      </w:r>
      <w:r>
        <w:t xml:space="preserve"> being adopted globally. Similarly in the 1900</w:t>
      </w:r>
      <w:r w:rsidR="007D55DB">
        <w:t>–</w:t>
      </w:r>
      <w:r>
        <w:t xml:space="preserve">1920 MHz portion of the band, only 164 assignments (20 PTP and 144 PMP) </w:t>
      </w:r>
      <w:r w:rsidR="004D25BB">
        <w:t xml:space="preserve">occupy this band </w:t>
      </w:r>
      <w:r>
        <w:t>Australia</w:t>
      </w:r>
      <w:r w:rsidR="004D25BB">
        <w:t>-</w:t>
      </w:r>
      <w:r>
        <w:t>wide. This low</w:t>
      </w:r>
      <w:r w:rsidR="004D25BB">
        <w:t xml:space="preserve"> </w:t>
      </w:r>
      <w:r>
        <w:t xml:space="preserve">level </w:t>
      </w:r>
      <w:r w:rsidR="00B21B70">
        <w:t xml:space="preserve">of </w:t>
      </w:r>
      <w:r>
        <w:t xml:space="preserve">usage indicates the utility of this band is not being maximised. This will not improve without changing the arrangements in the band to </w:t>
      </w:r>
      <w:r w:rsidR="002F10BB">
        <w:t xml:space="preserve">enable </w:t>
      </w:r>
      <w:r>
        <w:t xml:space="preserve">innovation in using the band by existing or new users. </w:t>
      </w:r>
      <w:bookmarkStart w:id="167" w:name="_Hlk113358637"/>
    </w:p>
    <w:p w14:paraId="3CE81BE6" w14:textId="543AE338" w:rsidR="0088143D" w:rsidRDefault="0088143D" w:rsidP="00FD2C90">
      <w:pPr>
        <w:pStyle w:val="Paragraph"/>
        <w:keepLines w:val="0"/>
      </w:pPr>
      <w:r w:rsidRPr="001C4642">
        <w:t xml:space="preserve">As there are no changes to the planning arrangements under this option, there will be no changes to either the in band or adjacent band coexistence environment. Currently, there </w:t>
      </w:r>
      <w:r w:rsidR="00BD67E1">
        <w:t xml:space="preserve">are </w:t>
      </w:r>
      <w:r w:rsidRPr="001C4642">
        <w:t xml:space="preserve">no known coexistence issues regarding in band or adjacent services. </w:t>
      </w:r>
    </w:p>
    <w:p w14:paraId="2F832BDC" w14:textId="722BAD3D" w:rsidR="0088143D" w:rsidRDefault="0088143D" w:rsidP="00FD2C90">
      <w:pPr>
        <w:pStyle w:val="Paragraph"/>
        <w:keepLines w:val="0"/>
      </w:pPr>
      <w:r w:rsidRPr="001C4642">
        <w:t>Table</w:t>
      </w:r>
      <w:r w:rsidRPr="001C4642" w:rsidDel="00077E69">
        <w:t xml:space="preserve"> </w:t>
      </w:r>
      <w:r w:rsidR="00077E69">
        <w:t>5</w:t>
      </w:r>
      <w:r w:rsidR="00077E69" w:rsidRPr="001C4642">
        <w:t xml:space="preserve"> </w:t>
      </w:r>
      <w:r w:rsidRPr="001C4642">
        <w:t>summarises the analysis of Option 1 against each desirable planning outcome.</w:t>
      </w:r>
    </w:p>
    <w:bookmarkEnd w:id="167"/>
    <w:p w14:paraId="56366093" w14:textId="77777777" w:rsidR="0088143D" w:rsidRPr="00A27209" w:rsidRDefault="0088143D" w:rsidP="0088143D">
      <w:pPr>
        <w:keepLines w:val="0"/>
        <w:spacing w:after="0" w:line="240" w:lineRule="auto"/>
        <w:rPr>
          <w:rFonts w:cs="Arial"/>
          <w:szCs w:val="20"/>
        </w:rPr>
      </w:pPr>
    </w:p>
    <w:tbl>
      <w:tblPr>
        <w:tblStyle w:val="TableGrid"/>
        <w:tblpPr w:leftFromText="180" w:rightFromText="180" w:vertAnchor="text" w:horzAnchor="margin" w:tblpY="382"/>
        <w:tblW w:w="8394" w:type="dxa"/>
        <w:tblLayout w:type="fixed"/>
        <w:tblLook w:val="04A0" w:firstRow="1" w:lastRow="0" w:firstColumn="1" w:lastColumn="0" w:noHBand="0" w:noVBand="1"/>
      </w:tblPr>
      <w:tblGrid>
        <w:gridCol w:w="1678"/>
        <w:gridCol w:w="1678"/>
        <w:gridCol w:w="1678"/>
        <w:gridCol w:w="1680"/>
        <w:gridCol w:w="1680"/>
      </w:tblGrid>
      <w:tr w:rsidR="0063626F" w:rsidRPr="007D55DB" w14:paraId="071A8A62" w14:textId="77777777" w:rsidTr="00FD2C90">
        <w:trPr>
          <w:trHeight w:hRule="exact" w:val="959"/>
        </w:trPr>
        <w:tc>
          <w:tcPr>
            <w:tcW w:w="1678" w:type="dxa"/>
            <w:shd w:val="clear" w:color="auto" w:fill="262626" w:themeFill="text1" w:themeFillTint="D9"/>
            <w:vAlign w:val="center"/>
          </w:tcPr>
          <w:p w14:paraId="7F23D671" w14:textId="7BAC818E" w:rsidR="0063626F" w:rsidRPr="00D51E3F" w:rsidRDefault="0063626F" w:rsidP="00FD2C90">
            <w:pPr>
              <w:pStyle w:val="TableBody"/>
              <w:keepLines w:val="0"/>
              <w:rPr>
                <w:b/>
                <w:bCs/>
              </w:rPr>
            </w:pPr>
            <w:r w:rsidRPr="00D51E3F">
              <w:rPr>
                <w:b/>
                <w:bCs/>
              </w:rPr>
              <w:lastRenderedPageBreak/>
              <w:t xml:space="preserve">Maintain exclusive </w:t>
            </w:r>
            <w:r w:rsidR="007D55DB">
              <w:rPr>
                <w:b/>
                <w:bCs/>
              </w:rPr>
              <w:t>e</w:t>
            </w:r>
            <w:r w:rsidRPr="00D51E3F">
              <w:rPr>
                <w:b/>
                <w:bCs/>
              </w:rPr>
              <w:t>xisting services</w:t>
            </w:r>
          </w:p>
        </w:tc>
        <w:tc>
          <w:tcPr>
            <w:tcW w:w="1678" w:type="dxa"/>
            <w:shd w:val="clear" w:color="auto" w:fill="262626" w:themeFill="text1" w:themeFillTint="D9"/>
            <w:vAlign w:val="center"/>
          </w:tcPr>
          <w:p w14:paraId="1CE6B499" w14:textId="41EE2A18" w:rsidR="0063626F" w:rsidRPr="00D51E3F" w:rsidRDefault="0063626F" w:rsidP="00FD2C90">
            <w:pPr>
              <w:pStyle w:val="TableBody"/>
              <w:keepLines w:val="0"/>
              <w:rPr>
                <w:b/>
                <w:bCs/>
              </w:rPr>
            </w:pPr>
            <w:r w:rsidRPr="00D51E3F">
              <w:rPr>
                <w:b/>
                <w:bCs/>
              </w:rPr>
              <w:t xml:space="preserve">Expand shared </w:t>
            </w:r>
            <w:r w:rsidR="007D55DB">
              <w:rPr>
                <w:b/>
                <w:bCs/>
              </w:rPr>
              <w:t>s</w:t>
            </w:r>
            <w:r w:rsidRPr="00D51E3F">
              <w:rPr>
                <w:b/>
                <w:bCs/>
              </w:rPr>
              <w:t xml:space="preserve">hort </w:t>
            </w:r>
            <w:r w:rsidR="007D55DB">
              <w:rPr>
                <w:b/>
                <w:bCs/>
              </w:rPr>
              <w:t>r</w:t>
            </w:r>
            <w:r w:rsidRPr="00D51E3F">
              <w:rPr>
                <w:b/>
                <w:bCs/>
              </w:rPr>
              <w:t>ange (SR) WBB</w:t>
            </w:r>
          </w:p>
        </w:tc>
        <w:tc>
          <w:tcPr>
            <w:tcW w:w="1678" w:type="dxa"/>
            <w:shd w:val="clear" w:color="auto" w:fill="262626" w:themeFill="text1" w:themeFillTint="D9"/>
            <w:vAlign w:val="center"/>
          </w:tcPr>
          <w:p w14:paraId="59AB1BAF" w14:textId="7435A8C4" w:rsidR="0063626F" w:rsidRPr="00D51E3F" w:rsidRDefault="0063626F" w:rsidP="00FD2C90">
            <w:pPr>
              <w:pStyle w:val="TableBody"/>
              <w:keepLines w:val="0"/>
              <w:rPr>
                <w:b/>
                <w:bCs/>
              </w:rPr>
            </w:pPr>
            <w:r w:rsidRPr="00D51E3F">
              <w:rPr>
                <w:b/>
                <w:bCs/>
              </w:rPr>
              <w:t xml:space="preserve">Introduce </w:t>
            </w:r>
            <w:r w:rsidR="007D55DB">
              <w:rPr>
                <w:b/>
                <w:bCs/>
              </w:rPr>
              <w:t>r</w:t>
            </w:r>
            <w:r w:rsidRPr="00D51E3F">
              <w:rPr>
                <w:b/>
                <w:bCs/>
              </w:rPr>
              <w:t xml:space="preserve">ailway </w:t>
            </w:r>
            <w:r w:rsidR="007D55DB">
              <w:rPr>
                <w:b/>
                <w:bCs/>
              </w:rPr>
              <w:t>m</w:t>
            </w:r>
            <w:r w:rsidRPr="00D51E3F">
              <w:rPr>
                <w:b/>
                <w:bCs/>
              </w:rPr>
              <w:t xml:space="preserve">obile </w:t>
            </w:r>
            <w:r w:rsidR="007D55DB">
              <w:rPr>
                <w:b/>
                <w:bCs/>
              </w:rPr>
              <w:t>r</w:t>
            </w:r>
            <w:r w:rsidRPr="00D51E3F">
              <w:rPr>
                <w:b/>
                <w:bCs/>
              </w:rPr>
              <w:t>adio (RMR)</w:t>
            </w:r>
          </w:p>
        </w:tc>
        <w:tc>
          <w:tcPr>
            <w:tcW w:w="1680" w:type="dxa"/>
            <w:shd w:val="clear" w:color="auto" w:fill="262626" w:themeFill="text1" w:themeFillTint="D9"/>
            <w:vAlign w:val="center"/>
          </w:tcPr>
          <w:p w14:paraId="1451FB11" w14:textId="77777777" w:rsidR="0063626F" w:rsidRPr="00D51E3F" w:rsidRDefault="0063626F" w:rsidP="00FD2C90">
            <w:pPr>
              <w:pStyle w:val="TableBody"/>
              <w:keepLines w:val="0"/>
              <w:rPr>
                <w:b/>
                <w:bCs/>
              </w:rPr>
            </w:pPr>
            <w:r w:rsidRPr="00D51E3F">
              <w:rPr>
                <w:b/>
                <w:bCs/>
              </w:rPr>
              <w:t>Ensure coexistence with 1.9 GHz band services</w:t>
            </w:r>
          </w:p>
        </w:tc>
        <w:tc>
          <w:tcPr>
            <w:tcW w:w="1680" w:type="dxa"/>
            <w:shd w:val="clear" w:color="auto" w:fill="262626" w:themeFill="text1" w:themeFillTint="D9"/>
            <w:vAlign w:val="center"/>
          </w:tcPr>
          <w:p w14:paraId="281983A2" w14:textId="77777777" w:rsidR="0063626F" w:rsidRPr="00D51E3F" w:rsidRDefault="0063626F" w:rsidP="00FD2C90">
            <w:pPr>
              <w:pStyle w:val="TableBody"/>
              <w:keepLines w:val="0"/>
              <w:rPr>
                <w:b/>
                <w:bCs/>
              </w:rPr>
            </w:pPr>
            <w:r w:rsidRPr="00D51E3F">
              <w:rPr>
                <w:b/>
                <w:bCs/>
              </w:rPr>
              <w:t>Ensure coexistence with adjacent band services</w:t>
            </w:r>
          </w:p>
        </w:tc>
      </w:tr>
      <w:tr w:rsidR="0063626F" w:rsidRPr="00CA4735" w14:paraId="7D28C95B" w14:textId="77777777" w:rsidTr="00FD2C90">
        <w:trPr>
          <w:trHeight w:val="517"/>
        </w:trPr>
        <w:tc>
          <w:tcPr>
            <w:tcW w:w="1678" w:type="dxa"/>
            <w:shd w:val="clear" w:color="auto" w:fill="auto"/>
            <w:vAlign w:val="center"/>
          </w:tcPr>
          <w:p w14:paraId="203B95B7" w14:textId="40B1EE80" w:rsidR="0063626F" w:rsidRPr="0006320A" w:rsidRDefault="0063626F" w:rsidP="00FD2C90">
            <w:pPr>
              <w:pStyle w:val="TableBody"/>
              <w:keepLines w:val="0"/>
              <w:jc w:val="center"/>
            </w:pPr>
            <w:r w:rsidRPr="0006320A">
              <w:sym w:font="Wingdings" w:char="F0FC"/>
            </w:r>
          </w:p>
        </w:tc>
        <w:tc>
          <w:tcPr>
            <w:tcW w:w="1678" w:type="dxa"/>
            <w:shd w:val="clear" w:color="auto" w:fill="auto"/>
            <w:vAlign w:val="center"/>
          </w:tcPr>
          <w:p w14:paraId="28EB453B" w14:textId="6EBBBF47" w:rsidR="0063626F" w:rsidRPr="0006320A" w:rsidRDefault="0063626F" w:rsidP="00FD2C90">
            <w:pPr>
              <w:pStyle w:val="TableBody"/>
              <w:keepLines w:val="0"/>
              <w:jc w:val="center"/>
            </w:pPr>
            <w:r>
              <w:t>X</w:t>
            </w:r>
          </w:p>
        </w:tc>
        <w:tc>
          <w:tcPr>
            <w:tcW w:w="1678" w:type="dxa"/>
            <w:shd w:val="clear" w:color="auto" w:fill="auto"/>
            <w:vAlign w:val="center"/>
          </w:tcPr>
          <w:p w14:paraId="64CBA14D" w14:textId="02E2FC56" w:rsidR="0063626F" w:rsidRPr="0006320A" w:rsidRDefault="0063626F" w:rsidP="00FD2C90">
            <w:pPr>
              <w:pStyle w:val="TableBody"/>
              <w:keepLines w:val="0"/>
              <w:jc w:val="center"/>
            </w:pPr>
            <w:r>
              <w:t>X</w:t>
            </w:r>
          </w:p>
        </w:tc>
        <w:tc>
          <w:tcPr>
            <w:tcW w:w="1680" w:type="dxa"/>
            <w:shd w:val="clear" w:color="auto" w:fill="auto"/>
            <w:vAlign w:val="center"/>
          </w:tcPr>
          <w:p w14:paraId="72F80201" w14:textId="5C509F62" w:rsidR="0063626F" w:rsidRPr="0006320A" w:rsidRDefault="0063626F" w:rsidP="00FD2C90">
            <w:pPr>
              <w:pStyle w:val="TableBody"/>
              <w:keepLines w:val="0"/>
              <w:jc w:val="center"/>
            </w:pPr>
            <w:r w:rsidRPr="0006320A">
              <w:sym w:font="Wingdings" w:char="F0FC"/>
            </w:r>
            <w:r>
              <w:t xml:space="preserve"> </w:t>
            </w:r>
          </w:p>
        </w:tc>
        <w:tc>
          <w:tcPr>
            <w:tcW w:w="1680" w:type="dxa"/>
            <w:shd w:val="clear" w:color="auto" w:fill="auto"/>
            <w:vAlign w:val="center"/>
          </w:tcPr>
          <w:p w14:paraId="2F71C3F2" w14:textId="474C740A" w:rsidR="0063626F" w:rsidRPr="0006320A" w:rsidRDefault="0063626F" w:rsidP="00FD2C90">
            <w:pPr>
              <w:pStyle w:val="TableBody"/>
              <w:keepLines w:val="0"/>
              <w:jc w:val="center"/>
            </w:pPr>
            <w:r w:rsidRPr="0006320A">
              <w:sym w:font="Wingdings" w:char="F0FC"/>
            </w:r>
          </w:p>
        </w:tc>
      </w:tr>
    </w:tbl>
    <w:p w14:paraId="20C1A2DE" w14:textId="6B2E54BC" w:rsidR="0088143D" w:rsidRDefault="0088143D" w:rsidP="00FD2C90">
      <w:pPr>
        <w:pStyle w:val="Tableheading"/>
        <w:keepNext w:val="0"/>
        <w:numPr>
          <w:ilvl w:val="0"/>
          <w:numId w:val="6"/>
        </w:numPr>
      </w:pPr>
      <w:r>
        <w:t>Option 1 ratings against outcomes</w:t>
      </w:r>
    </w:p>
    <w:p w14:paraId="3F91ED66" w14:textId="77777777" w:rsidR="0088143D" w:rsidRDefault="0088143D" w:rsidP="00FD2C90">
      <w:pPr>
        <w:pStyle w:val="Paragraph"/>
        <w:keepLines w:val="0"/>
      </w:pPr>
    </w:p>
    <w:p w14:paraId="1972B834" w14:textId="72740430" w:rsidR="0088143D" w:rsidRDefault="0088143D" w:rsidP="00FD2C90">
      <w:pPr>
        <w:pStyle w:val="Heading3"/>
        <w:keepLines w:val="0"/>
      </w:pPr>
      <w:r w:rsidRPr="00B95326">
        <w:t xml:space="preserve">Option 2: </w:t>
      </w:r>
      <w:r w:rsidR="004A4F2D">
        <w:t>SR WBB in 1880–1920 MHz</w:t>
      </w:r>
    </w:p>
    <w:p w14:paraId="61116008" w14:textId="16076B0C" w:rsidR="0088143D" w:rsidRPr="00B95326" w:rsidRDefault="0088143D" w:rsidP="00D51E3F">
      <w:pPr>
        <w:pStyle w:val="Paragraphbeforelist"/>
        <w:rPr>
          <w:b/>
          <w:bCs/>
        </w:rPr>
      </w:pPr>
      <w:r>
        <w:t xml:space="preserve">The main </w:t>
      </w:r>
      <w:r w:rsidR="00652F4E">
        <w:t>elements</w:t>
      </w:r>
      <w:r>
        <w:t xml:space="preserve"> of Option 2 are</w:t>
      </w:r>
      <w:r w:rsidR="00681B5D">
        <w:t>:</w:t>
      </w:r>
    </w:p>
    <w:p w14:paraId="729DF522" w14:textId="0F7779E3" w:rsidR="0088143D" w:rsidRDefault="0088143D" w:rsidP="00D51E3F">
      <w:pPr>
        <w:pStyle w:val="ListBullet"/>
      </w:pPr>
      <w:r>
        <w:t>Maintain</w:t>
      </w:r>
      <w:r w:rsidR="00652F4E">
        <w:t>ing</w:t>
      </w:r>
      <w:r>
        <w:t xml:space="preserve"> and </w:t>
      </w:r>
      <w:r w:rsidR="00A04776">
        <w:t>e</w:t>
      </w:r>
      <w:r>
        <w:t>xpand</w:t>
      </w:r>
      <w:r w:rsidR="00652F4E">
        <w:t>ing</w:t>
      </w:r>
      <w:r>
        <w:t xml:space="preserve"> SR WBB </w:t>
      </w:r>
      <w:r w:rsidR="00A04776">
        <w:t xml:space="preserve">access </w:t>
      </w:r>
      <w:r>
        <w:t>under class licen</w:t>
      </w:r>
      <w:r w:rsidR="00A04776">
        <w:t>sing arrangements</w:t>
      </w:r>
      <w:r>
        <w:t xml:space="preserve"> across </w:t>
      </w:r>
      <w:r w:rsidR="00A04776">
        <w:t xml:space="preserve">the </w:t>
      </w:r>
      <w:r>
        <w:t>entire 1</w:t>
      </w:r>
      <w:r w:rsidR="00A04776">
        <w:t>.</w:t>
      </w:r>
      <w:r>
        <w:t xml:space="preserve">9 </w:t>
      </w:r>
      <w:r w:rsidR="00A04776">
        <w:t>G</w:t>
      </w:r>
      <w:r>
        <w:t>Hz</w:t>
      </w:r>
      <w:r w:rsidR="00A04776" w:rsidRPr="00A04776">
        <w:t xml:space="preserve"> </w:t>
      </w:r>
      <w:r w:rsidR="00A04776">
        <w:t>band</w:t>
      </w:r>
      <w:r w:rsidR="00191082">
        <w:t xml:space="preserve"> e</w:t>
      </w:r>
      <w:r>
        <w:t>nabl</w:t>
      </w:r>
      <w:r w:rsidR="00652F4E">
        <w:t>ing</w:t>
      </w:r>
      <w:r>
        <w:t xml:space="preserve"> access to new uses includ</w:t>
      </w:r>
      <w:r w:rsidR="00A04776">
        <w:t>ing</w:t>
      </w:r>
      <w:r>
        <w:t xml:space="preserve"> </w:t>
      </w:r>
      <w:r w:rsidR="006633A6">
        <w:t xml:space="preserve">future </w:t>
      </w:r>
      <w:r>
        <w:t>DECT</w:t>
      </w:r>
      <w:r w:rsidR="00652F4E">
        <w:t xml:space="preserve"> </w:t>
      </w:r>
      <w:r w:rsidR="006633A6">
        <w:t>and</w:t>
      </w:r>
      <w:r>
        <w:t xml:space="preserve"> MulteFire in the whole band</w:t>
      </w:r>
      <w:r w:rsidR="00A04776">
        <w:t>.</w:t>
      </w:r>
    </w:p>
    <w:p w14:paraId="30D21E93" w14:textId="668C18E0" w:rsidR="0088143D" w:rsidRDefault="0088143D" w:rsidP="00D51E3F">
      <w:pPr>
        <w:pStyle w:val="ListBulletLast"/>
      </w:pPr>
      <w:r>
        <w:t>Maintain</w:t>
      </w:r>
      <w:r w:rsidR="00652F4E">
        <w:t>ing</w:t>
      </w:r>
      <w:r>
        <w:t xml:space="preserve"> LA WBB and PTP access arrangements across 1900–1920 MHz in regional and remote areas</w:t>
      </w:r>
      <w:r w:rsidR="004D25BB">
        <w:t>.</w:t>
      </w:r>
    </w:p>
    <w:p w14:paraId="5FCE7CBD" w14:textId="735917E1" w:rsidR="0088143D" w:rsidRDefault="000E612D" w:rsidP="00FD2C90">
      <w:pPr>
        <w:pStyle w:val="Paragraph"/>
        <w:keepLines w:val="0"/>
      </w:pPr>
      <w:r>
        <w:t>As with</w:t>
      </w:r>
      <w:r w:rsidR="0088143D">
        <w:t xml:space="preserve"> Option 1, </w:t>
      </w:r>
      <w:r w:rsidR="0088143D" w:rsidRPr="00B95326">
        <w:t xml:space="preserve">Option 2 </w:t>
      </w:r>
      <w:r w:rsidR="0088143D">
        <w:t xml:space="preserve">maintains all current </w:t>
      </w:r>
      <w:r w:rsidR="0088143D" w:rsidRPr="00B95326">
        <w:t xml:space="preserve">incumbent </w:t>
      </w:r>
      <w:r w:rsidR="0088143D">
        <w:t>SR WBB,</w:t>
      </w:r>
      <w:r w:rsidR="0088143D" w:rsidRPr="00B95326">
        <w:t xml:space="preserve"> </w:t>
      </w:r>
      <w:r w:rsidR="0088143D">
        <w:t xml:space="preserve">LA </w:t>
      </w:r>
      <w:r w:rsidR="0088143D" w:rsidRPr="00B95326">
        <w:t>WBB and PTP services</w:t>
      </w:r>
      <w:r w:rsidR="0088143D">
        <w:t xml:space="preserve">. Similarly, the analysis of Option 1 against the desirable planning outcome 1 is valid for Option 2. </w:t>
      </w:r>
    </w:p>
    <w:p w14:paraId="0F944BD5" w14:textId="7A6A94DA" w:rsidR="0088143D" w:rsidRDefault="0088143D" w:rsidP="00FD2C90">
      <w:pPr>
        <w:pStyle w:val="Paragraph"/>
        <w:keepLines w:val="0"/>
      </w:pPr>
      <w:r>
        <w:t xml:space="preserve">Option 2 proposes to ensure the evolution of SR WBB technologies </w:t>
      </w:r>
      <w:r w:rsidR="00191082">
        <w:t xml:space="preserve">is </w:t>
      </w:r>
      <w:r>
        <w:t>included in the 1880–1900 MHz</w:t>
      </w:r>
      <w:r w:rsidR="00191082">
        <w:t xml:space="preserve"> band</w:t>
      </w:r>
      <w:r>
        <w:t xml:space="preserve">. The proposed changes would aim to allow the evolution of </w:t>
      </w:r>
      <w:r w:rsidR="006633A6">
        <w:t>D</w:t>
      </w:r>
      <w:r>
        <w:t xml:space="preserve">ECT, </w:t>
      </w:r>
      <w:r w:rsidR="00A4360A">
        <w:t xml:space="preserve">future </w:t>
      </w:r>
      <w:r w:rsidR="007145F8">
        <w:t xml:space="preserve">DECT </w:t>
      </w:r>
      <w:r w:rsidR="00A4360A">
        <w:t>and</w:t>
      </w:r>
      <w:r>
        <w:t xml:space="preserve"> </w:t>
      </w:r>
      <w:r w:rsidR="006633A6">
        <w:t>potentially include</w:t>
      </w:r>
      <w:r>
        <w:t xml:space="preserve"> the use </w:t>
      </w:r>
      <w:r w:rsidR="006633A6">
        <w:t xml:space="preserve">of other </w:t>
      </w:r>
      <w:r>
        <w:t xml:space="preserve">new technologies such as </w:t>
      </w:r>
      <w:proofErr w:type="spellStart"/>
      <w:r>
        <w:t>Mult</w:t>
      </w:r>
      <w:r w:rsidR="005D4EC9">
        <w:t>e</w:t>
      </w:r>
      <w:r>
        <w:t>fire</w:t>
      </w:r>
      <w:proofErr w:type="spellEnd"/>
      <w:r>
        <w:t xml:space="preserve">. </w:t>
      </w:r>
    </w:p>
    <w:p w14:paraId="472DF6CE" w14:textId="1EAE17A6" w:rsidR="0088143D" w:rsidRDefault="0088143D" w:rsidP="00FD2C90">
      <w:pPr>
        <w:pStyle w:val="Paragraph"/>
        <w:keepLines w:val="0"/>
        <w:rPr>
          <w:szCs w:val="20"/>
        </w:rPr>
      </w:pPr>
      <w:r>
        <w:t xml:space="preserve">Option 2 also proposes to expand the use of SR WBB to the frequency range </w:t>
      </w:r>
      <w:r w:rsidR="00723D4A">
        <w:br/>
      </w:r>
      <w:r>
        <w:t>1900</w:t>
      </w:r>
      <w:r w:rsidR="00723D4A">
        <w:t>–</w:t>
      </w:r>
      <w:r>
        <w:t>1920 MHz Australia</w:t>
      </w:r>
      <w:r w:rsidR="00ED026A">
        <w:t>-</w:t>
      </w:r>
      <w:r>
        <w:t xml:space="preserve">wide. </w:t>
      </w:r>
      <w:r w:rsidRPr="004647BD">
        <w:rPr>
          <w:szCs w:val="20"/>
        </w:rPr>
        <w:t xml:space="preserve">Extending the bandwidth </w:t>
      </w:r>
      <w:r>
        <w:rPr>
          <w:szCs w:val="20"/>
        </w:rPr>
        <w:t xml:space="preserve">to </w:t>
      </w:r>
      <w:r w:rsidR="00191082">
        <w:rPr>
          <w:szCs w:val="20"/>
        </w:rPr>
        <w:t xml:space="preserve">the </w:t>
      </w:r>
      <w:r w:rsidRPr="004647BD">
        <w:rPr>
          <w:szCs w:val="20"/>
        </w:rPr>
        <w:t>1900</w:t>
      </w:r>
      <w:r w:rsidR="00723D4A">
        <w:rPr>
          <w:szCs w:val="20"/>
        </w:rPr>
        <w:t>–</w:t>
      </w:r>
      <w:r w:rsidRPr="004647BD">
        <w:rPr>
          <w:szCs w:val="20"/>
        </w:rPr>
        <w:t>1920</w:t>
      </w:r>
      <w:r w:rsidR="004D25BB">
        <w:rPr>
          <w:szCs w:val="20"/>
        </w:rPr>
        <w:t xml:space="preserve"> </w:t>
      </w:r>
      <w:r w:rsidRPr="004647BD">
        <w:rPr>
          <w:szCs w:val="20"/>
        </w:rPr>
        <w:t>MHz</w:t>
      </w:r>
      <w:r>
        <w:rPr>
          <w:szCs w:val="20"/>
        </w:rPr>
        <w:t xml:space="preserve"> segment</w:t>
      </w:r>
      <w:r w:rsidRPr="004647BD">
        <w:rPr>
          <w:szCs w:val="20"/>
        </w:rPr>
        <w:t xml:space="preserve"> would serve to substantially improve DECT service</w:t>
      </w:r>
      <w:r>
        <w:rPr>
          <w:szCs w:val="20"/>
        </w:rPr>
        <w:t>s</w:t>
      </w:r>
      <w:r w:rsidRPr="004647BD">
        <w:rPr>
          <w:szCs w:val="20"/>
        </w:rPr>
        <w:t xml:space="preserve"> and </w:t>
      </w:r>
      <w:r>
        <w:rPr>
          <w:szCs w:val="20"/>
        </w:rPr>
        <w:t xml:space="preserve">to introduce </w:t>
      </w:r>
      <w:r w:rsidR="006633A6">
        <w:rPr>
          <w:szCs w:val="20"/>
        </w:rPr>
        <w:t xml:space="preserve">future </w:t>
      </w:r>
      <w:r w:rsidR="007145F8">
        <w:rPr>
          <w:szCs w:val="20"/>
        </w:rPr>
        <w:t xml:space="preserve">DECT </w:t>
      </w:r>
      <w:r>
        <w:rPr>
          <w:szCs w:val="20"/>
        </w:rPr>
        <w:t xml:space="preserve">with </w:t>
      </w:r>
      <w:r w:rsidRPr="004647BD">
        <w:rPr>
          <w:szCs w:val="20"/>
        </w:rPr>
        <w:t xml:space="preserve">a whole new range of applications. </w:t>
      </w:r>
    </w:p>
    <w:p w14:paraId="4962212A" w14:textId="0FEA44F5" w:rsidR="0088143D" w:rsidRDefault="0088143D" w:rsidP="00FD2C90">
      <w:pPr>
        <w:pStyle w:val="Paragraph"/>
        <w:keepLines w:val="0"/>
      </w:pPr>
      <w:r>
        <w:t>Option 2 does not increase access to spectrum for LA WBB and PTP services. As indicated in Option 1, there is a limited number of LA WBB and PTP assignments</w:t>
      </w:r>
      <w:r w:rsidR="00077E69">
        <w:t xml:space="preserve"> in</w:t>
      </w:r>
      <w:r>
        <w:t xml:space="preserve"> this band. By not amending the allocation rules for LA WBB and PTP, an increase in utility of the band by these services is unlikely. </w:t>
      </w:r>
    </w:p>
    <w:p w14:paraId="549F2A6A" w14:textId="54FD416B" w:rsidR="0088143D" w:rsidRDefault="0088143D" w:rsidP="00FD2C90">
      <w:pPr>
        <w:pStyle w:val="Paragraph"/>
        <w:keepLines w:val="0"/>
      </w:pPr>
      <w:r>
        <w:t>The expansion of SR WBB will require the consideration of potential coexistence issues between different SR WBB services and between class licenced SR WBB and apparatus</w:t>
      </w:r>
      <w:r w:rsidR="00680DE3">
        <w:t>-</w:t>
      </w:r>
      <w:r>
        <w:t>licensed fixed services. As discussed in the DECT</w:t>
      </w:r>
      <w:r w:rsidR="00AE6657">
        <w:t xml:space="preserve">/future </w:t>
      </w:r>
      <w:r w:rsidR="007145F8">
        <w:t xml:space="preserve">DECT </w:t>
      </w:r>
      <w:r>
        <w:t>section, p</w:t>
      </w:r>
      <w:r w:rsidRPr="00EB3ECB">
        <w:t>roponents</w:t>
      </w:r>
      <w:r>
        <w:t xml:space="preserve"> of DECT</w:t>
      </w:r>
      <w:r w:rsidRPr="00EB3ECB">
        <w:t xml:space="preserve"> </w:t>
      </w:r>
      <w:r>
        <w:t>believe that</w:t>
      </w:r>
      <w:r w:rsidRPr="00EB3ECB">
        <w:t xml:space="preserve"> the use of the MulteFire or 3GPP 4G/LTE and 5G wireless broadband systems in the 1</w:t>
      </w:r>
      <w:r>
        <w:t>880</w:t>
      </w:r>
      <w:r w:rsidR="000562F4">
        <w:t>–</w:t>
      </w:r>
      <w:r w:rsidRPr="00EB3ECB">
        <w:t>1900 MHz band is not compatible with current DECT technology. Consequently, as sXGP (MulteFire) uses LTE, spectrum sharing of DECT with MulteFire, in their view, is difficult.</w:t>
      </w:r>
      <w:r>
        <w:t xml:space="preserve"> </w:t>
      </w:r>
    </w:p>
    <w:p w14:paraId="792AFC65" w14:textId="72D605F7" w:rsidR="0088143D" w:rsidRDefault="0088143D" w:rsidP="00FD2C90">
      <w:pPr>
        <w:pStyle w:val="Paragraph"/>
        <w:keepLines w:val="0"/>
      </w:pPr>
      <w:r>
        <w:t xml:space="preserve">Similarly, the coexistence with SR WBB services and fixed services in the </w:t>
      </w:r>
      <w:r w:rsidR="000562F4">
        <w:br/>
      </w:r>
      <w:r>
        <w:t>1900</w:t>
      </w:r>
      <w:r w:rsidR="000562F4">
        <w:t>–</w:t>
      </w:r>
      <w:r>
        <w:t>1920 MHz will also require consideration. Pending further coexistence analysis, additional requirements may need to be placed on the class licenced SR WBB services to ensure the protection of apparatus</w:t>
      </w:r>
      <w:r w:rsidR="00680DE3">
        <w:t>-</w:t>
      </w:r>
      <w:r>
        <w:t>licensed fixed services.</w:t>
      </w:r>
    </w:p>
    <w:p w14:paraId="0121B15F" w14:textId="107B55BE" w:rsidR="0088143D" w:rsidRDefault="0088143D" w:rsidP="00FD2C90">
      <w:pPr>
        <w:pStyle w:val="Paragraph"/>
        <w:keepLines w:val="0"/>
      </w:pPr>
      <w:r>
        <w:t>There are coexistence issues that will need to be considered for the expansion of SR WBB. However, these appear to be issues that the ACMA regularly face</w:t>
      </w:r>
      <w:r w:rsidR="00631A35">
        <w:t>s</w:t>
      </w:r>
      <w:r>
        <w:t xml:space="preserve"> in the introduction of new services to a band with incumbent services. The complexity of </w:t>
      </w:r>
      <w:r>
        <w:lastRenderedPageBreak/>
        <w:t xml:space="preserve">coexistence will be reduced by prioritising the introduction of </w:t>
      </w:r>
      <w:r w:rsidR="00AE6657">
        <w:t xml:space="preserve">future </w:t>
      </w:r>
      <w:r w:rsidR="007145F8">
        <w:t>DECT</w:t>
      </w:r>
      <w:r>
        <w:t xml:space="preserve">, with other technologies considered pending coexistence consideration. </w:t>
      </w:r>
    </w:p>
    <w:p w14:paraId="049E3499" w14:textId="09907593" w:rsidR="0088143D" w:rsidRDefault="0088143D" w:rsidP="00FD2C90">
      <w:pPr>
        <w:pStyle w:val="Paragraph"/>
        <w:keepLines w:val="0"/>
      </w:pPr>
      <w:r>
        <w:t xml:space="preserve">The expansion of SR WBB does not intend to change the adjacent band coexistence environment. Any potential increase to the interference environment will be mitigated through rules placed on the SR WBB services. Currently, there </w:t>
      </w:r>
      <w:r w:rsidR="00631A35">
        <w:t xml:space="preserve">are </w:t>
      </w:r>
      <w:r>
        <w:t xml:space="preserve">no known coexistence issues regarding adjacent services. </w:t>
      </w:r>
    </w:p>
    <w:p w14:paraId="44549611" w14:textId="05FB2BFF" w:rsidR="0088143D" w:rsidRDefault="0088143D" w:rsidP="00FD2C90">
      <w:pPr>
        <w:pStyle w:val="Paragraph"/>
        <w:keepLines w:val="0"/>
      </w:pPr>
      <w:r>
        <w:t>Table</w:t>
      </w:r>
      <w:r w:rsidDel="007717C9">
        <w:t xml:space="preserve"> </w:t>
      </w:r>
      <w:r w:rsidR="007717C9">
        <w:t xml:space="preserve">6 </w:t>
      </w:r>
      <w:r>
        <w:t>summarises the benefits or disadvantages against each desirable planning outcome.</w:t>
      </w:r>
    </w:p>
    <w:tbl>
      <w:tblPr>
        <w:tblStyle w:val="TableGrid"/>
        <w:tblpPr w:leftFromText="180" w:rightFromText="180" w:vertAnchor="text" w:horzAnchor="margin" w:tblpY="508"/>
        <w:tblW w:w="8394" w:type="dxa"/>
        <w:tblLayout w:type="fixed"/>
        <w:tblLook w:val="04A0" w:firstRow="1" w:lastRow="0" w:firstColumn="1" w:lastColumn="0" w:noHBand="0" w:noVBand="1"/>
      </w:tblPr>
      <w:tblGrid>
        <w:gridCol w:w="1678"/>
        <w:gridCol w:w="1678"/>
        <w:gridCol w:w="1678"/>
        <w:gridCol w:w="1680"/>
        <w:gridCol w:w="1680"/>
      </w:tblGrid>
      <w:tr w:rsidR="009E6118" w:rsidRPr="00CA4735" w14:paraId="60769D86" w14:textId="77777777" w:rsidTr="00FD2C90">
        <w:trPr>
          <w:trHeight w:hRule="exact" w:val="959"/>
        </w:trPr>
        <w:tc>
          <w:tcPr>
            <w:tcW w:w="1678" w:type="dxa"/>
            <w:shd w:val="clear" w:color="auto" w:fill="262626" w:themeFill="text1" w:themeFillTint="D9"/>
            <w:vAlign w:val="center"/>
          </w:tcPr>
          <w:p w14:paraId="7C0DF042" w14:textId="0FD393D5" w:rsidR="009E6118" w:rsidRPr="00D51E3F" w:rsidRDefault="009E6118" w:rsidP="00FD2C90">
            <w:pPr>
              <w:pStyle w:val="TableBody"/>
              <w:keepLines w:val="0"/>
              <w:rPr>
                <w:b/>
                <w:bCs/>
              </w:rPr>
            </w:pPr>
            <w:r w:rsidRPr="00D51E3F">
              <w:rPr>
                <w:b/>
                <w:bCs/>
              </w:rPr>
              <w:t xml:space="preserve">Maintain exclusive </w:t>
            </w:r>
            <w:r w:rsidR="00B8158D" w:rsidRPr="00D51E3F">
              <w:rPr>
                <w:b/>
                <w:bCs/>
              </w:rPr>
              <w:t>e</w:t>
            </w:r>
            <w:r w:rsidRPr="00D51E3F">
              <w:rPr>
                <w:b/>
                <w:bCs/>
              </w:rPr>
              <w:t>xisting services</w:t>
            </w:r>
          </w:p>
        </w:tc>
        <w:tc>
          <w:tcPr>
            <w:tcW w:w="1678" w:type="dxa"/>
            <w:shd w:val="clear" w:color="auto" w:fill="262626" w:themeFill="text1" w:themeFillTint="D9"/>
            <w:vAlign w:val="center"/>
          </w:tcPr>
          <w:p w14:paraId="3DC70C03" w14:textId="4DC55AF3" w:rsidR="009E6118" w:rsidRPr="00D51E3F" w:rsidRDefault="009E6118" w:rsidP="00FD2C90">
            <w:pPr>
              <w:pStyle w:val="TableBody"/>
              <w:keepLines w:val="0"/>
              <w:rPr>
                <w:b/>
                <w:bCs/>
              </w:rPr>
            </w:pPr>
            <w:r w:rsidRPr="00D51E3F">
              <w:rPr>
                <w:b/>
                <w:bCs/>
              </w:rPr>
              <w:t xml:space="preserve">Expand shared </w:t>
            </w:r>
            <w:r w:rsidR="00864921">
              <w:rPr>
                <w:b/>
                <w:bCs/>
              </w:rPr>
              <w:t>s</w:t>
            </w:r>
            <w:r w:rsidRPr="00D51E3F">
              <w:rPr>
                <w:b/>
                <w:bCs/>
              </w:rPr>
              <w:t xml:space="preserve">hort </w:t>
            </w:r>
            <w:r w:rsidR="00864921">
              <w:rPr>
                <w:b/>
                <w:bCs/>
              </w:rPr>
              <w:t>r</w:t>
            </w:r>
            <w:r w:rsidRPr="00D51E3F">
              <w:rPr>
                <w:b/>
                <w:bCs/>
              </w:rPr>
              <w:t>ange (SR) WBB</w:t>
            </w:r>
          </w:p>
        </w:tc>
        <w:tc>
          <w:tcPr>
            <w:tcW w:w="1678" w:type="dxa"/>
            <w:shd w:val="clear" w:color="auto" w:fill="262626" w:themeFill="text1" w:themeFillTint="D9"/>
            <w:vAlign w:val="center"/>
          </w:tcPr>
          <w:p w14:paraId="1824A8A2" w14:textId="28E1DA4B" w:rsidR="009E6118" w:rsidRPr="00D51E3F" w:rsidRDefault="009E6118" w:rsidP="00FD2C90">
            <w:pPr>
              <w:pStyle w:val="TableBody"/>
              <w:keepLines w:val="0"/>
              <w:rPr>
                <w:b/>
                <w:bCs/>
              </w:rPr>
            </w:pPr>
            <w:r w:rsidRPr="00D51E3F">
              <w:rPr>
                <w:b/>
                <w:bCs/>
              </w:rPr>
              <w:t xml:space="preserve">Introduce </w:t>
            </w:r>
            <w:r w:rsidR="00864921">
              <w:rPr>
                <w:b/>
                <w:bCs/>
              </w:rPr>
              <w:t>r</w:t>
            </w:r>
            <w:r w:rsidRPr="00D51E3F">
              <w:rPr>
                <w:b/>
                <w:bCs/>
              </w:rPr>
              <w:t xml:space="preserve">ailway </w:t>
            </w:r>
            <w:r w:rsidR="00864921">
              <w:rPr>
                <w:b/>
                <w:bCs/>
              </w:rPr>
              <w:t>m</w:t>
            </w:r>
            <w:r w:rsidRPr="00D51E3F">
              <w:rPr>
                <w:b/>
                <w:bCs/>
              </w:rPr>
              <w:t xml:space="preserve">obile </w:t>
            </w:r>
            <w:r w:rsidR="00864921">
              <w:rPr>
                <w:b/>
                <w:bCs/>
              </w:rPr>
              <w:t>r</w:t>
            </w:r>
            <w:r w:rsidRPr="00D51E3F">
              <w:rPr>
                <w:b/>
                <w:bCs/>
              </w:rPr>
              <w:t>adio (RMR)</w:t>
            </w:r>
          </w:p>
        </w:tc>
        <w:tc>
          <w:tcPr>
            <w:tcW w:w="1680" w:type="dxa"/>
            <w:shd w:val="clear" w:color="auto" w:fill="262626" w:themeFill="text1" w:themeFillTint="D9"/>
            <w:vAlign w:val="center"/>
          </w:tcPr>
          <w:p w14:paraId="516604A6" w14:textId="77777777" w:rsidR="009E6118" w:rsidRPr="00D51E3F" w:rsidRDefault="009E6118" w:rsidP="00FD2C90">
            <w:pPr>
              <w:pStyle w:val="TableBody"/>
              <w:keepLines w:val="0"/>
              <w:rPr>
                <w:b/>
                <w:bCs/>
              </w:rPr>
            </w:pPr>
            <w:r w:rsidRPr="00D51E3F">
              <w:rPr>
                <w:b/>
                <w:bCs/>
              </w:rPr>
              <w:t>Ensure coexistence with 1.9 GHz band services</w:t>
            </w:r>
          </w:p>
        </w:tc>
        <w:tc>
          <w:tcPr>
            <w:tcW w:w="1680" w:type="dxa"/>
            <w:shd w:val="clear" w:color="auto" w:fill="262626" w:themeFill="text1" w:themeFillTint="D9"/>
            <w:vAlign w:val="center"/>
          </w:tcPr>
          <w:p w14:paraId="51CD3E2D" w14:textId="77777777" w:rsidR="009E6118" w:rsidRPr="00D51E3F" w:rsidRDefault="009E6118" w:rsidP="00FD2C90">
            <w:pPr>
              <w:pStyle w:val="TableBody"/>
              <w:keepLines w:val="0"/>
              <w:rPr>
                <w:b/>
                <w:bCs/>
              </w:rPr>
            </w:pPr>
            <w:r w:rsidRPr="00D51E3F">
              <w:rPr>
                <w:b/>
                <w:bCs/>
              </w:rPr>
              <w:t>Ensure coexistence with adjacent band services</w:t>
            </w:r>
          </w:p>
        </w:tc>
      </w:tr>
      <w:tr w:rsidR="009E6118" w:rsidRPr="0006320A" w14:paraId="40C7C27B" w14:textId="77777777" w:rsidTr="00FD2C90">
        <w:trPr>
          <w:trHeight w:val="517"/>
        </w:trPr>
        <w:tc>
          <w:tcPr>
            <w:tcW w:w="1678" w:type="dxa"/>
            <w:shd w:val="clear" w:color="auto" w:fill="auto"/>
            <w:vAlign w:val="center"/>
          </w:tcPr>
          <w:p w14:paraId="418615B7" w14:textId="7BDEC024" w:rsidR="009E6118" w:rsidRPr="0006320A" w:rsidRDefault="009E6118" w:rsidP="00FD2C90">
            <w:pPr>
              <w:pStyle w:val="TableBody"/>
              <w:keepLines w:val="0"/>
              <w:jc w:val="center"/>
            </w:pPr>
            <w:r w:rsidRPr="0006320A">
              <w:sym w:font="Wingdings" w:char="F0FC"/>
            </w:r>
          </w:p>
        </w:tc>
        <w:tc>
          <w:tcPr>
            <w:tcW w:w="1678" w:type="dxa"/>
            <w:shd w:val="clear" w:color="auto" w:fill="auto"/>
            <w:vAlign w:val="center"/>
          </w:tcPr>
          <w:p w14:paraId="4FFBE6DF" w14:textId="21606D38" w:rsidR="009E6118" w:rsidRPr="0006320A" w:rsidRDefault="009E6118" w:rsidP="00FD2C90">
            <w:pPr>
              <w:pStyle w:val="TableBody"/>
              <w:keepLines w:val="0"/>
              <w:jc w:val="center"/>
            </w:pPr>
            <w:r w:rsidRPr="0006320A">
              <w:sym w:font="Wingdings" w:char="F0FC"/>
            </w:r>
          </w:p>
        </w:tc>
        <w:tc>
          <w:tcPr>
            <w:tcW w:w="1678" w:type="dxa"/>
            <w:shd w:val="clear" w:color="auto" w:fill="auto"/>
            <w:vAlign w:val="center"/>
          </w:tcPr>
          <w:p w14:paraId="0DD4C73E" w14:textId="0B4ABCBD" w:rsidR="009E6118" w:rsidRPr="0006320A" w:rsidRDefault="009E6118" w:rsidP="00FD2C90">
            <w:pPr>
              <w:pStyle w:val="TableBody"/>
              <w:keepLines w:val="0"/>
              <w:jc w:val="center"/>
            </w:pPr>
            <w:r w:rsidRPr="0006320A">
              <w:sym w:font="Wingdings" w:char="F0FB"/>
            </w:r>
          </w:p>
        </w:tc>
        <w:tc>
          <w:tcPr>
            <w:tcW w:w="1680" w:type="dxa"/>
            <w:shd w:val="clear" w:color="auto" w:fill="auto"/>
            <w:vAlign w:val="center"/>
          </w:tcPr>
          <w:p w14:paraId="36EC3AEA" w14:textId="1EF55E2A" w:rsidR="009E6118" w:rsidRPr="0006320A" w:rsidRDefault="00B8158D" w:rsidP="00FD2C90">
            <w:pPr>
              <w:pStyle w:val="TableBody"/>
              <w:keepLines w:val="0"/>
              <w:jc w:val="center"/>
            </w:pPr>
            <w:r>
              <w:t>p</w:t>
            </w:r>
            <w:r w:rsidR="009E6118">
              <w:t>artial</w:t>
            </w:r>
          </w:p>
        </w:tc>
        <w:tc>
          <w:tcPr>
            <w:tcW w:w="1680" w:type="dxa"/>
            <w:shd w:val="clear" w:color="auto" w:fill="auto"/>
            <w:vAlign w:val="center"/>
          </w:tcPr>
          <w:p w14:paraId="1F9CEEFD" w14:textId="7D5DE367" w:rsidR="009E6118" w:rsidRPr="0006320A" w:rsidRDefault="009E6118" w:rsidP="00FD2C90">
            <w:pPr>
              <w:pStyle w:val="TableBody"/>
              <w:keepLines w:val="0"/>
              <w:jc w:val="center"/>
            </w:pPr>
            <w:r w:rsidRPr="0006320A">
              <w:sym w:font="Wingdings" w:char="F0FC"/>
            </w:r>
          </w:p>
        </w:tc>
      </w:tr>
    </w:tbl>
    <w:p w14:paraId="4A7CBE54" w14:textId="77777777" w:rsidR="0088143D" w:rsidRDefault="0088143D" w:rsidP="00FD2C90">
      <w:pPr>
        <w:pStyle w:val="Tableheading"/>
        <w:keepNext w:val="0"/>
        <w:numPr>
          <w:ilvl w:val="0"/>
          <w:numId w:val="6"/>
        </w:numPr>
      </w:pPr>
      <w:r w:rsidRPr="003B6A0F">
        <w:t xml:space="preserve">Option </w:t>
      </w:r>
      <w:r>
        <w:t>2</w:t>
      </w:r>
      <w:r w:rsidRPr="003B6A0F">
        <w:t xml:space="preserve"> ratings against outcomes</w:t>
      </w:r>
    </w:p>
    <w:p w14:paraId="2E9E6798" w14:textId="77777777" w:rsidR="0088143D" w:rsidRDefault="0088143D" w:rsidP="0088143D">
      <w:pPr>
        <w:keepLines w:val="0"/>
        <w:spacing w:after="240"/>
      </w:pPr>
    </w:p>
    <w:p w14:paraId="0DF90C36" w14:textId="4C8C8210" w:rsidR="0088143D" w:rsidRDefault="0088143D" w:rsidP="00FD2C90">
      <w:pPr>
        <w:pStyle w:val="Heading3"/>
        <w:keepLines w:val="0"/>
      </w:pPr>
      <w:r w:rsidRPr="00B95326">
        <w:t xml:space="preserve">Option </w:t>
      </w:r>
      <w:r>
        <w:t>3</w:t>
      </w:r>
      <w:r w:rsidRPr="00B95326">
        <w:t xml:space="preserve">: </w:t>
      </w:r>
      <w:r w:rsidR="004A4F2D">
        <w:t>SR WBB in 1880–1900 MHz and</w:t>
      </w:r>
      <w:r w:rsidR="003E08F7">
        <w:t xml:space="preserve"> </w:t>
      </w:r>
      <w:r w:rsidR="005E3C5D">
        <w:t>RMR</w:t>
      </w:r>
      <w:r w:rsidR="003E08F7">
        <w:t xml:space="preserve"> in 1900</w:t>
      </w:r>
      <w:r w:rsidR="004A4F2D">
        <w:t>–</w:t>
      </w:r>
      <w:r w:rsidR="003E08F7">
        <w:t>1</w:t>
      </w:r>
      <w:r w:rsidR="004A4F2D">
        <w:t>910 MHz</w:t>
      </w:r>
    </w:p>
    <w:p w14:paraId="26562CDD" w14:textId="3E54D3A5" w:rsidR="0088143D" w:rsidRPr="00B95326" w:rsidRDefault="0088143D" w:rsidP="00D51E3F">
      <w:pPr>
        <w:pStyle w:val="Paragraphbeforelist"/>
        <w:rPr>
          <w:b/>
          <w:bCs/>
        </w:rPr>
      </w:pPr>
      <w:r>
        <w:t xml:space="preserve">The main </w:t>
      </w:r>
      <w:r w:rsidR="00652F4E">
        <w:t>elements</w:t>
      </w:r>
      <w:r>
        <w:t xml:space="preserve"> of Option 3 </w:t>
      </w:r>
      <w:r w:rsidR="00681B5D">
        <w:t>are:</w:t>
      </w:r>
    </w:p>
    <w:p w14:paraId="5303EB6F" w14:textId="4566851E" w:rsidR="0088143D" w:rsidRDefault="0088143D" w:rsidP="00D51E3F">
      <w:pPr>
        <w:pStyle w:val="ListBullet"/>
      </w:pPr>
      <w:r>
        <w:t>Maintain</w:t>
      </w:r>
      <w:r w:rsidR="00652F4E">
        <w:t>ing</w:t>
      </w:r>
      <w:r>
        <w:t xml:space="preserve"> SR WBB uses </w:t>
      </w:r>
      <w:bookmarkStart w:id="168" w:name="_Hlk112924078"/>
      <w:r>
        <w:t>under class licen</w:t>
      </w:r>
      <w:r w:rsidR="00DF13C6">
        <w:t>sing arrangements</w:t>
      </w:r>
      <w:r>
        <w:t xml:space="preserve"> across </w:t>
      </w:r>
      <w:r w:rsidR="00DD09CD">
        <w:br/>
      </w:r>
      <w:r>
        <w:t>1880</w:t>
      </w:r>
      <w:r w:rsidR="00DD09CD">
        <w:t>–</w:t>
      </w:r>
      <w:r>
        <w:t>1900 MHz</w:t>
      </w:r>
      <w:bookmarkEnd w:id="168"/>
      <w:r w:rsidR="00DD09CD">
        <w:t>.</w:t>
      </w:r>
    </w:p>
    <w:p w14:paraId="586BD04C" w14:textId="090D998E" w:rsidR="0088143D" w:rsidRDefault="0088143D" w:rsidP="00D51E3F">
      <w:pPr>
        <w:pStyle w:val="ListBullet"/>
      </w:pPr>
      <w:r>
        <w:t>Enabl</w:t>
      </w:r>
      <w:r w:rsidR="00652F4E">
        <w:t>ing</w:t>
      </w:r>
      <w:r>
        <w:t xml:space="preserve"> access to new uses include </w:t>
      </w:r>
      <w:r w:rsidR="00AE6657">
        <w:t>f</w:t>
      </w:r>
      <w:r w:rsidR="007F23AE">
        <w:t>uture DECT</w:t>
      </w:r>
      <w:r>
        <w:t>, MulteFire under class licen</w:t>
      </w:r>
      <w:r w:rsidR="00DF13C6">
        <w:t>sing arrangements</w:t>
      </w:r>
      <w:r>
        <w:t xml:space="preserve"> across 1880</w:t>
      </w:r>
      <w:r w:rsidR="00DD09CD">
        <w:t>–</w:t>
      </w:r>
      <w:r>
        <w:t>1900 MHz</w:t>
      </w:r>
      <w:r w:rsidR="00DD09CD">
        <w:t>.</w:t>
      </w:r>
    </w:p>
    <w:p w14:paraId="3B22DEAF" w14:textId="6761DB27" w:rsidR="0088143D" w:rsidRDefault="0088143D" w:rsidP="00D51E3F">
      <w:pPr>
        <w:pStyle w:val="ListBullet"/>
      </w:pPr>
      <w:r>
        <w:t>Maintain</w:t>
      </w:r>
      <w:r w:rsidR="00652F4E">
        <w:t>ing</w:t>
      </w:r>
      <w:r>
        <w:t xml:space="preserve"> LA WBB and PTP access arrangements across 1900–1920 MHz in regional and remote areas</w:t>
      </w:r>
      <w:r w:rsidR="00DD09CD">
        <w:t>.</w:t>
      </w:r>
    </w:p>
    <w:p w14:paraId="43C5A8B4" w14:textId="69C8A544" w:rsidR="0088143D" w:rsidRDefault="00652F4E" w:rsidP="00D51E3F">
      <w:pPr>
        <w:pStyle w:val="ListBulletLast"/>
      </w:pPr>
      <w:r>
        <w:t>I</w:t>
      </w:r>
      <w:r w:rsidR="0088143D">
        <w:t xml:space="preserve">ntroducing </w:t>
      </w:r>
      <w:r w:rsidR="005E3C5D">
        <w:t>RMR</w:t>
      </w:r>
      <w:r w:rsidR="0088143D">
        <w:t xml:space="preserve"> services in the 1900</w:t>
      </w:r>
      <w:r w:rsidR="00DD09CD">
        <w:t>–</w:t>
      </w:r>
      <w:r w:rsidR="0088143D">
        <w:t>1910 MHz segment of the band for new uses and applications such as rail applications.</w:t>
      </w:r>
    </w:p>
    <w:p w14:paraId="0CC8CD75" w14:textId="462A3824" w:rsidR="0088143D" w:rsidRDefault="0088143D" w:rsidP="00FD2C90">
      <w:pPr>
        <w:pStyle w:val="Paragraph"/>
        <w:keepLines w:val="0"/>
      </w:pPr>
      <w:r>
        <w:t xml:space="preserve">As </w:t>
      </w:r>
      <w:r w:rsidR="00064680">
        <w:t>with</w:t>
      </w:r>
      <w:r>
        <w:t xml:space="preserve"> Option 1, </w:t>
      </w:r>
      <w:r w:rsidRPr="00B95326">
        <w:t xml:space="preserve">Option </w:t>
      </w:r>
      <w:r>
        <w:t xml:space="preserve">3 maintains all current </w:t>
      </w:r>
      <w:r w:rsidRPr="00B95326">
        <w:t xml:space="preserve">incumbent </w:t>
      </w:r>
      <w:r>
        <w:t>SR WBB,</w:t>
      </w:r>
      <w:r w:rsidRPr="00B95326">
        <w:t xml:space="preserve"> </w:t>
      </w:r>
      <w:r>
        <w:t xml:space="preserve">LA </w:t>
      </w:r>
      <w:r w:rsidRPr="00B95326">
        <w:t>WBB and PTP services</w:t>
      </w:r>
      <w:r>
        <w:t xml:space="preserve">. Similarly, the analysis of Option 1 against desirable planning outcome 1 is valid for Option 3. </w:t>
      </w:r>
    </w:p>
    <w:p w14:paraId="0E7EB8F4" w14:textId="33C44E3C" w:rsidR="0088143D" w:rsidRDefault="0088143D" w:rsidP="00FD2C90">
      <w:pPr>
        <w:pStyle w:val="Paragraph"/>
        <w:keepLines w:val="0"/>
      </w:pPr>
      <w:r w:rsidRPr="007A2B9E">
        <w:t xml:space="preserve">Option </w:t>
      </w:r>
      <w:r w:rsidR="00DF13C6">
        <w:t>3</w:t>
      </w:r>
      <w:r w:rsidRPr="007A2B9E">
        <w:t xml:space="preserve"> proposes to </w:t>
      </w:r>
      <w:r w:rsidR="00681B5D">
        <w:t>limit</w:t>
      </w:r>
      <w:r w:rsidRPr="007A2B9E">
        <w:t xml:space="preserve"> SR WBB technologies </w:t>
      </w:r>
      <w:r>
        <w:t>to</w:t>
      </w:r>
      <w:r w:rsidRPr="007A2B9E">
        <w:t xml:space="preserve"> the 1880–1900 MHz</w:t>
      </w:r>
      <w:r>
        <w:t xml:space="preserve"> frequency range</w:t>
      </w:r>
      <w:r w:rsidRPr="007A2B9E">
        <w:t xml:space="preserve">. The proposed changes would aim to allow the evolution of technologies like DECT, </w:t>
      </w:r>
      <w:r w:rsidR="00931B92">
        <w:t>such as</w:t>
      </w:r>
      <w:r w:rsidR="00DD09CD">
        <w:t xml:space="preserve"> </w:t>
      </w:r>
      <w:r w:rsidR="007F23AE">
        <w:t>Future DECT</w:t>
      </w:r>
      <w:r w:rsidRPr="007A2B9E">
        <w:t>, and expand the use</w:t>
      </w:r>
      <w:r w:rsidR="008B1A9C">
        <w:t xml:space="preserve"> of</w:t>
      </w:r>
      <w:r w:rsidRPr="007A2B9E">
        <w:t xml:space="preserve"> new technologies such as Mult</w:t>
      </w:r>
      <w:r w:rsidR="005D4EC9">
        <w:t>eF</w:t>
      </w:r>
      <w:r w:rsidRPr="007A2B9E">
        <w:t>ire.</w:t>
      </w:r>
      <w:r>
        <w:t xml:space="preserve"> This option does not include </w:t>
      </w:r>
      <w:r w:rsidR="008B1A9C">
        <w:t xml:space="preserve">allowance </w:t>
      </w:r>
      <w:r>
        <w:t xml:space="preserve">for SR WBB services in the </w:t>
      </w:r>
      <w:r w:rsidR="00DD09CD">
        <w:br/>
      </w:r>
      <w:r>
        <w:t xml:space="preserve">1900–1920 MHz frequency range. </w:t>
      </w:r>
    </w:p>
    <w:p w14:paraId="3A7B5212" w14:textId="706B8949" w:rsidR="00BD382F" w:rsidRDefault="0088143D" w:rsidP="00FD2C90">
      <w:pPr>
        <w:pStyle w:val="Paragraph"/>
        <w:keepLines w:val="0"/>
      </w:pPr>
      <w:r>
        <w:t xml:space="preserve">Option 3 proposes to introduce a </w:t>
      </w:r>
      <w:r w:rsidR="005E3C5D">
        <w:t>RMR</w:t>
      </w:r>
      <w:r>
        <w:t xml:space="preserve"> allocation in the 1900</w:t>
      </w:r>
      <w:r w:rsidR="00246FDE">
        <w:t>–</w:t>
      </w:r>
      <w:r>
        <w:t>1910 MHz frequency range on an Australia</w:t>
      </w:r>
      <w:r w:rsidR="00ED026A">
        <w:t>-</w:t>
      </w:r>
      <w:r>
        <w:t xml:space="preserve">wide basis. The primary purpose of this allocation would be to support railway communication </w:t>
      </w:r>
      <w:r>
        <w:rPr>
          <w:szCs w:val="20"/>
        </w:rPr>
        <w:t>using</w:t>
      </w:r>
      <w:r w:rsidRPr="00C42A65">
        <w:rPr>
          <w:szCs w:val="20"/>
        </w:rPr>
        <w:t xml:space="preserve"> FRMCS</w:t>
      </w:r>
      <w:r>
        <w:t xml:space="preserve">. </w:t>
      </w:r>
    </w:p>
    <w:p w14:paraId="253E283B" w14:textId="687EB69E" w:rsidR="0030326A" w:rsidRPr="00C02F26" w:rsidRDefault="0030326A" w:rsidP="00FD2C90">
      <w:pPr>
        <w:pStyle w:val="Paragraph"/>
        <w:keepLines w:val="0"/>
      </w:pPr>
      <w:r w:rsidRPr="0030326A">
        <w:t xml:space="preserve">The ACMA is seeking stakeholder feedback on </w:t>
      </w:r>
      <w:r w:rsidR="004B368C">
        <w:t xml:space="preserve">coexistence </w:t>
      </w:r>
      <w:r>
        <w:t xml:space="preserve">of DECT and </w:t>
      </w:r>
      <w:r w:rsidR="004B368C">
        <w:t xml:space="preserve">future DECT </w:t>
      </w:r>
      <w:r>
        <w:t>services by introducing FRMCS in the 1900</w:t>
      </w:r>
      <w:r w:rsidR="00246FDE">
        <w:t>–</w:t>
      </w:r>
      <w:r>
        <w:t>1910 MHz band.</w:t>
      </w:r>
    </w:p>
    <w:p w14:paraId="05C6E128" w14:textId="4AD1A6B0" w:rsidR="0088143D" w:rsidRDefault="0088143D" w:rsidP="00FD2C90">
      <w:pPr>
        <w:pStyle w:val="Paragraph"/>
        <w:keepLines w:val="0"/>
      </w:pPr>
      <w:r>
        <w:t>Similar</w:t>
      </w:r>
      <w:r w:rsidR="008B1A9C">
        <w:t>ly</w:t>
      </w:r>
      <w:r>
        <w:t xml:space="preserve"> to Option 2, Option 3 will need to consider the potential coexistence </w:t>
      </w:r>
      <w:r w:rsidR="00246FDE">
        <w:br/>
      </w:r>
      <w:r>
        <w:t xml:space="preserve">issues between the different proposed SR WBB services that could operate in the </w:t>
      </w:r>
      <w:r w:rsidR="00246FDE">
        <w:br/>
      </w:r>
      <w:r>
        <w:t>1880–1900 MHz frequency range.</w:t>
      </w:r>
    </w:p>
    <w:p w14:paraId="39B87740" w14:textId="36555C13" w:rsidR="0088143D" w:rsidRDefault="0088143D" w:rsidP="00FD2C90">
      <w:pPr>
        <w:pStyle w:val="Paragraph"/>
        <w:keepLines w:val="0"/>
      </w:pPr>
      <w:r>
        <w:lastRenderedPageBreak/>
        <w:t xml:space="preserve">Options 3 will also need to consider the potential coexistence issues between the LA WBB and the proposed </w:t>
      </w:r>
      <w:r w:rsidR="005E3C5D">
        <w:t>RMR</w:t>
      </w:r>
      <w:r>
        <w:t xml:space="preserve"> services that could operate in the </w:t>
      </w:r>
      <w:r w:rsidR="004B368C">
        <w:t>1900</w:t>
      </w:r>
      <w:r>
        <w:t>–</w:t>
      </w:r>
      <w:r w:rsidR="004B368C">
        <w:t xml:space="preserve">1910 </w:t>
      </w:r>
      <w:r>
        <w:t xml:space="preserve">MHz frequency range outside metropolitan areas. Given the relatively low number of assignments currently in the band (170 assignments), </w:t>
      </w:r>
      <w:r w:rsidR="00864921">
        <w:t>we</w:t>
      </w:r>
      <w:r>
        <w:t xml:space="preserve"> believe creating allocation requirements to ensure certainty for rail communications while maintaining the utility of the band for LA WBB services is achievable. </w:t>
      </w:r>
    </w:p>
    <w:p w14:paraId="74C3A32B" w14:textId="01406384" w:rsidR="0088143D" w:rsidRDefault="0088143D" w:rsidP="00FD2C90">
      <w:pPr>
        <w:pStyle w:val="Paragraph"/>
        <w:keepLines w:val="0"/>
      </w:pPr>
      <w:r>
        <w:t xml:space="preserve">The expansion of </w:t>
      </w:r>
      <w:r w:rsidR="005E3C5D">
        <w:t>RMR</w:t>
      </w:r>
      <w:r>
        <w:t xml:space="preserve"> does not</w:t>
      </w:r>
      <w:r w:rsidR="008B1A9C">
        <w:t xml:space="preserve"> include any intention</w:t>
      </w:r>
      <w:r>
        <w:t xml:space="preserve"> to change the coexistence environment</w:t>
      </w:r>
      <w:r w:rsidR="004B368C">
        <w:t xml:space="preserve"> with services adjacent to the 1.9 GHz band</w:t>
      </w:r>
      <w:r>
        <w:t xml:space="preserve">. Any potential interference has been mitigated by limiting the allocation to 1900–1910 MHz. Any further analysis </w:t>
      </w:r>
      <w:r w:rsidR="00864921">
        <w:t xml:space="preserve">that </w:t>
      </w:r>
      <w:r>
        <w:t xml:space="preserve">indicates an increase to </w:t>
      </w:r>
      <w:r w:rsidR="004B368C">
        <w:t xml:space="preserve">the </w:t>
      </w:r>
      <w:r>
        <w:t xml:space="preserve">adjacent channel interference environment will be mitigated by assignment rules to the </w:t>
      </w:r>
      <w:r w:rsidR="005E3C5D">
        <w:t>RMR</w:t>
      </w:r>
      <w:r>
        <w:t xml:space="preserve"> allocation. Currently, there </w:t>
      </w:r>
      <w:r w:rsidR="008B1A9C">
        <w:t xml:space="preserve">are </w:t>
      </w:r>
      <w:r>
        <w:t xml:space="preserve">no known coexistence issues regarding adjacent services. </w:t>
      </w:r>
    </w:p>
    <w:p w14:paraId="1057AF6C" w14:textId="27BDD4C1" w:rsidR="0088143D" w:rsidRDefault="0088143D" w:rsidP="00FD2C90">
      <w:pPr>
        <w:pStyle w:val="Paragraph"/>
        <w:keepLines w:val="0"/>
      </w:pPr>
      <w:r>
        <w:t>Table</w:t>
      </w:r>
      <w:r w:rsidDel="007717C9">
        <w:t xml:space="preserve"> </w:t>
      </w:r>
      <w:r w:rsidR="007717C9">
        <w:t xml:space="preserve">7 </w:t>
      </w:r>
      <w:r>
        <w:t>summarises the benefits or disadvantages against each desirable planning outcome.</w:t>
      </w:r>
    </w:p>
    <w:p w14:paraId="0EF16D06" w14:textId="77777777" w:rsidR="0088143D" w:rsidRDefault="0088143D" w:rsidP="00FD2C90">
      <w:pPr>
        <w:pStyle w:val="Tableheading"/>
        <w:keepNext w:val="0"/>
        <w:numPr>
          <w:ilvl w:val="0"/>
          <w:numId w:val="6"/>
        </w:numPr>
      </w:pPr>
      <w:r w:rsidRPr="00074DC4">
        <w:t>Option</w:t>
      </w:r>
      <w:r>
        <w:t xml:space="preserve"> 3</w:t>
      </w:r>
      <w:r w:rsidRPr="00074DC4">
        <w:t xml:space="preserve"> ratings against outcomes</w:t>
      </w:r>
    </w:p>
    <w:tbl>
      <w:tblPr>
        <w:tblStyle w:val="TableGrid"/>
        <w:tblpPr w:leftFromText="180" w:rightFromText="180" w:vertAnchor="text" w:horzAnchor="margin" w:tblpY="-54"/>
        <w:tblW w:w="8394" w:type="dxa"/>
        <w:tblLayout w:type="fixed"/>
        <w:tblLook w:val="04A0" w:firstRow="1" w:lastRow="0" w:firstColumn="1" w:lastColumn="0" w:noHBand="0" w:noVBand="1"/>
      </w:tblPr>
      <w:tblGrid>
        <w:gridCol w:w="1678"/>
        <w:gridCol w:w="1678"/>
        <w:gridCol w:w="1678"/>
        <w:gridCol w:w="1680"/>
        <w:gridCol w:w="1680"/>
      </w:tblGrid>
      <w:tr w:rsidR="009E6118" w:rsidRPr="00CA4735" w14:paraId="14F7A455" w14:textId="77777777" w:rsidTr="00FD2C90">
        <w:trPr>
          <w:trHeight w:hRule="exact" w:val="959"/>
        </w:trPr>
        <w:tc>
          <w:tcPr>
            <w:tcW w:w="1678" w:type="dxa"/>
            <w:shd w:val="clear" w:color="auto" w:fill="262626" w:themeFill="text1" w:themeFillTint="D9"/>
            <w:vAlign w:val="center"/>
          </w:tcPr>
          <w:p w14:paraId="5EF027CA" w14:textId="3897B7D2" w:rsidR="009E6118" w:rsidRPr="00D51E3F" w:rsidRDefault="009E6118" w:rsidP="00FD2C90">
            <w:pPr>
              <w:pStyle w:val="TableBody"/>
              <w:keepLines w:val="0"/>
              <w:rPr>
                <w:b/>
                <w:bCs/>
              </w:rPr>
            </w:pPr>
            <w:r w:rsidRPr="00D51E3F">
              <w:rPr>
                <w:b/>
                <w:bCs/>
              </w:rPr>
              <w:t xml:space="preserve">Maintain exclusive </w:t>
            </w:r>
            <w:r w:rsidR="008B1A9C" w:rsidRPr="00D51E3F">
              <w:rPr>
                <w:b/>
                <w:bCs/>
              </w:rPr>
              <w:t>e</w:t>
            </w:r>
            <w:r w:rsidRPr="00D51E3F">
              <w:rPr>
                <w:b/>
                <w:bCs/>
              </w:rPr>
              <w:t>xisting services</w:t>
            </w:r>
          </w:p>
        </w:tc>
        <w:tc>
          <w:tcPr>
            <w:tcW w:w="1678" w:type="dxa"/>
            <w:shd w:val="clear" w:color="auto" w:fill="262626" w:themeFill="text1" w:themeFillTint="D9"/>
            <w:vAlign w:val="center"/>
          </w:tcPr>
          <w:p w14:paraId="3E335B75" w14:textId="28246AE8" w:rsidR="009E6118" w:rsidRPr="00D51E3F" w:rsidRDefault="009E6118" w:rsidP="00FD2C90">
            <w:pPr>
              <w:pStyle w:val="TableBody"/>
              <w:keepLines w:val="0"/>
              <w:rPr>
                <w:b/>
                <w:bCs/>
              </w:rPr>
            </w:pPr>
            <w:r w:rsidRPr="00D51E3F">
              <w:rPr>
                <w:b/>
                <w:bCs/>
              </w:rPr>
              <w:t xml:space="preserve">Expand shared </w:t>
            </w:r>
            <w:r w:rsidR="00864921">
              <w:rPr>
                <w:b/>
                <w:bCs/>
              </w:rPr>
              <w:t>s</w:t>
            </w:r>
            <w:r w:rsidRPr="00D51E3F">
              <w:rPr>
                <w:b/>
                <w:bCs/>
              </w:rPr>
              <w:t xml:space="preserve">hort </w:t>
            </w:r>
            <w:r w:rsidR="00864921">
              <w:rPr>
                <w:b/>
                <w:bCs/>
              </w:rPr>
              <w:t>r</w:t>
            </w:r>
            <w:r w:rsidRPr="00D51E3F">
              <w:rPr>
                <w:b/>
                <w:bCs/>
              </w:rPr>
              <w:t>ange (SR) WBB</w:t>
            </w:r>
          </w:p>
        </w:tc>
        <w:tc>
          <w:tcPr>
            <w:tcW w:w="1678" w:type="dxa"/>
            <w:shd w:val="clear" w:color="auto" w:fill="262626" w:themeFill="text1" w:themeFillTint="D9"/>
            <w:vAlign w:val="center"/>
          </w:tcPr>
          <w:p w14:paraId="534860A2" w14:textId="4B2D20BD" w:rsidR="009E6118" w:rsidRPr="00D51E3F" w:rsidRDefault="009E6118" w:rsidP="00FD2C90">
            <w:pPr>
              <w:pStyle w:val="TableBody"/>
              <w:keepLines w:val="0"/>
              <w:rPr>
                <w:b/>
                <w:bCs/>
              </w:rPr>
            </w:pPr>
            <w:r w:rsidRPr="00D51E3F">
              <w:rPr>
                <w:b/>
                <w:bCs/>
              </w:rPr>
              <w:t xml:space="preserve">Introduce </w:t>
            </w:r>
            <w:r w:rsidR="00864921">
              <w:rPr>
                <w:b/>
                <w:bCs/>
              </w:rPr>
              <w:t>r</w:t>
            </w:r>
            <w:r w:rsidRPr="00D51E3F">
              <w:rPr>
                <w:b/>
                <w:bCs/>
              </w:rPr>
              <w:t xml:space="preserve">ailway </w:t>
            </w:r>
            <w:r w:rsidR="00864921">
              <w:rPr>
                <w:b/>
                <w:bCs/>
              </w:rPr>
              <w:t>m</w:t>
            </w:r>
            <w:r w:rsidRPr="00D51E3F">
              <w:rPr>
                <w:b/>
                <w:bCs/>
              </w:rPr>
              <w:t xml:space="preserve">obile </w:t>
            </w:r>
            <w:r w:rsidR="00864921">
              <w:rPr>
                <w:b/>
                <w:bCs/>
              </w:rPr>
              <w:t>r</w:t>
            </w:r>
            <w:r w:rsidRPr="00D51E3F">
              <w:rPr>
                <w:b/>
                <w:bCs/>
              </w:rPr>
              <w:t>adio (RMR)</w:t>
            </w:r>
          </w:p>
        </w:tc>
        <w:tc>
          <w:tcPr>
            <w:tcW w:w="1680" w:type="dxa"/>
            <w:shd w:val="clear" w:color="auto" w:fill="262626" w:themeFill="text1" w:themeFillTint="D9"/>
            <w:vAlign w:val="center"/>
          </w:tcPr>
          <w:p w14:paraId="1AB00B7C" w14:textId="77777777" w:rsidR="009E6118" w:rsidRPr="00D51E3F" w:rsidRDefault="009E6118" w:rsidP="00FD2C90">
            <w:pPr>
              <w:pStyle w:val="TableBody"/>
              <w:keepLines w:val="0"/>
              <w:rPr>
                <w:b/>
                <w:bCs/>
              </w:rPr>
            </w:pPr>
            <w:r w:rsidRPr="00D51E3F">
              <w:rPr>
                <w:b/>
                <w:bCs/>
              </w:rPr>
              <w:t>Ensure coexistence with 1.9 GHz band services</w:t>
            </w:r>
          </w:p>
        </w:tc>
        <w:tc>
          <w:tcPr>
            <w:tcW w:w="1680" w:type="dxa"/>
            <w:shd w:val="clear" w:color="auto" w:fill="262626" w:themeFill="text1" w:themeFillTint="D9"/>
            <w:vAlign w:val="center"/>
          </w:tcPr>
          <w:p w14:paraId="6EB54559" w14:textId="77777777" w:rsidR="009E6118" w:rsidRPr="00D51E3F" w:rsidRDefault="009E6118" w:rsidP="00FD2C90">
            <w:pPr>
              <w:pStyle w:val="TableBody"/>
              <w:keepLines w:val="0"/>
              <w:rPr>
                <w:b/>
                <w:bCs/>
              </w:rPr>
            </w:pPr>
            <w:r w:rsidRPr="00D51E3F">
              <w:rPr>
                <w:b/>
                <w:bCs/>
              </w:rPr>
              <w:t>Ensure coexistence with adjacent band services</w:t>
            </w:r>
          </w:p>
        </w:tc>
      </w:tr>
      <w:tr w:rsidR="009E6118" w:rsidRPr="0006320A" w14:paraId="0AB2FF65" w14:textId="77777777" w:rsidTr="00FD2C90">
        <w:trPr>
          <w:trHeight w:val="517"/>
        </w:trPr>
        <w:tc>
          <w:tcPr>
            <w:tcW w:w="1678" w:type="dxa"/>
            <w:shd w:val="clear" w:color="auto" w:fill="auto"/>
            <w:vAlign w:val="center"/>
          </w:tcPr>
          <w:p w14:paraId="7B681B34" w14:textId="646497E7" w:rsidR="009E6118" w:rsidRPr="0006320A" w:rsidRDefault="009E6118" w:rsidP="00FD2C90">
            <w:pPr>
              <w:pStyle w:val="TableBody"/>
              <w:keepLines w:val="0"/>
              <w:jc w:val="center"/>
            </w:pPr>
            <w:r w:rsidRPr="0006320A">
              <w:sym w:font="Wingdings" w:char="F0FC"/>
            </w:r>
          </w:p>
        </w:tc>
        <w:tc>
          <w:tcPr>
            <w:tcW w:w="1678" w:type="dxa"/>
            <w:shd w:val="clear" w:color="auto" w:fill="auto"/>
            <w:vAlign w:val="center"/>
          </w:tcPr>
          <w:p w14:paraId="63E8A149" w14:textId="29D30204" w:rsidR="009E6118" w:rsidRPr="0006320A" w:rsidRDefault="009E6118" w:rsidP="00FD2C90">
            <w:pPr>
              <w:pStyle w:val="TableBody"/>
              <w:keepLines w:val="0"/>
              <w:jc w:val="center"/>
            </w:pPr>
            <w:r>
              <w:t>partial</w:t>
            </w:r>
          </w:p>
        </w:tc>
        <w:tc>
          <w:tcPr>
            <w:tcW w:w="1678" w:type="dxa"/>
            <w:shd w:val="clear" w:color="auto" w:fill="auto"/>
            <w:vAlign w:val="center"/>
          </w:tcPr>
          <w:p w14:paraId="6E80500C" w14:textId="09421E4C" w:rsidR="009E6118" w:rsidRPr="0006320A" w:rsidRDefault="009E6118" w:rsidP="00FD2C90">
            <w:pPr>
              <w:pStyle w:val="TableBody"/>
              <w:keepLines w:val="0"/>
              <w:jc w:val="center"/>
            </w:pPr>
            <w:r w:rsidRPr="0006320A">
              <w:sym w:font="Wingdings" w:char="F0FC"/>
            </w:r>
          </w:p>
        </w:tc>
        <w:tc>
          <w:tcPr>
            <w:tcW w:w="1680" w:type="dxa"/>
            <w:shd w:val="clear" w:color="auto" w:fill="auto"/>
            <w:vAlign w:val="center"/>
          </w:tcPr>
          <w:p w14:paraId="4B8BD717" w14:textId="46B44997" w:rsidR="009E6118" w:rsidRPr="0006320A" w:rsidRDefault="009E6118" w:rsidP="00FD2C90">
            <w:pPr>
              <w:pStyle w:val="TableBody"/>
              <w:keepLines w:val="0"/>
              <w:jc w:val="center"/>
            </w:pPr>
            <w:r>
              <w:t>partial</w:t>
            </w:r>
          </w:p>
        </w:tc>
        <w:tc>
          <w:tcPr>
            <w:tcW w:w="1680" w:type="dxa"/>
            <w:shd w:val="clear" w:color="auto" w:fill="auto"/>
            <w:vAlign w:val="center"/>
          </w:tcPr>
          <w:p w14:paraId="4EC77B93" w14:textId="46BE6F59" w:rsidR="009E6118" w:rsidRPr="0006320A" w:rsidRDefault="009E6118" w:rsidP="00FD2C90">
            <w:pPr>
              <w:pStyle w:val="TableBody"/>
              <w:keepLines w:val="0"/>
              <w:jc w:val="center"/>
            </w:pPr>
            <w:r w:rsidRPr="0006320A">
              <w:sym w:font="Wingdings" w:char="F0FC"/>
            </w:r>
          </w:p>
        </w:tc>
      </w:tr>
    </w:tbl>
    <w:p w14:paraId="0FFC86BC" w14:textId="77777777" w:rsidR="0088143D" w:rsidRDefault="0088143D" w:rsidP="0088143D">
      <w:pPr>
        <w:keepLines w:val="0"/>
        <w:spacing w:after="240"/>
      </w:pPr>
    </w:p>
    <w:p w14:paraId="65C980E2" w14:textId="4F163862" w:rsidR="0088143D" w:rsidRDefault="0088143D" w:rsidP="00FD2C90">
      <w:pPr>
        <w:pStyle w:val="Heading3"/>
        <w:keepLines w:val="0"/>
      </w:pPr>
      <w:r w:rsidRPr="009F3780">
        <w:t xml:space="preserve">Option </w:t>
      </w:r>
      <w:r>
        <w:t>4</w:t>
      </w:r>
      <w:r w:rsidRPr="009F3780">
        <w:t xml:space="preserve">: </w:t>
      </w:r>
      <w:r w:rsidR="004A4F2D">
        <w:t xml:space="preserve">SR WBB in 1880–1920 MHz and </w:t>
      </w:r>
      <w:r w:rsidR="005E3C5D">
        <w:t>RMR</w:t>
      </w:r>
      <w:r w:rsidR="004A4F2D">
        <w:t xml:space="preserve"> in 1900–1910 MHz</w:t>
      </w:r>
      <w:r>
        <w:t xml:space="preserve"> </w:t>
      </w:r>
    </w:p>
    <w:p w14:paraId="7E624CD8" w14:textId="079727EA" w:rsidR="0088143D" w:rsidRDefault="0088143D" w:rsidP="00D51E3F">
      <w:pPr>
        <w:pStyle w:val="Paragraphbeforelist"/>
      </w:pPr>
      <w:r w:rsidRPr="00FC71B1">
        <w:t xml:space="preserve">The </w:t>
      </w:r>
      <w:r>
        <w:t xml:space="preserve">main </w:t>
      </w:r>
      <w:r w:rsidR="00652F4E">
        <w:t>elements</w:t>
      </w:r>
      <w:r w:rsidRPr="00FC71B1">
        <w:t xml:space="preserve"> of Option </w:t>
      </w:r>
      <w:r w:rsidR="008B1A9C">
        <w:t>4</w:t>
      </w:r>
      <w:r w:rsidR="008B1A9C" w:rsidRPr="00FC71B1">
        <w:t xml:space="preserve"> </w:t>
      </w:r>
      <w:r w:rsidR="00681B5D">
        <w:t>are:</w:t>
      </w:r>
    </w:p>
    <w:p w14:paraId="1C2AE625" w14:textId="227DD95A" w:rsidR="0088143D" w:rsidRDefault="0088143D" w:rsidP="00D51E3F">
      <w:pPr>
        <w:pStyle w:val="ListBullet"/>
      </w:pPr>
      <w:r>
        <w:t>Maintain</w:t>
      </w:r>
      <w:r w:rsidR="00652F4E">
        <w:t>ing</w:t>
      </w:r>
      <w:r>
        <w:t xml:space="preserve"> and </w:t>
      </w:r>
      <w:r w:rsidR="00BD639D">
        <w:t>e</w:t>
      </w:r>
      <w:r>
        <w:t>xpand</w:t>
      </w:r>
      <w:r w:rsidR="00652F4E">
        <w:t>ing</w:t>
      </w:r>
      <w:r>
        <w:t xml:space="preserve"> SR WBB uses under class </w:t>
      </w:r>
      <w:r w:rsidR="00DF13C6">
        <w:t xml:space="preserve">licensing arrangements </w:t>
      </w:r>
      <w:r>
        <w:t xml:space="preserve">across </w:t>
      </w:r>
      <w:r w:rsidR="00652F4E">
        <w:t xml:space="preserve">the </w:t>
      </w:r>
      <w:r>
        <w:t>entire 1880</w:t>
      </w:r>
      <w:r w:rsidR="00864921">
        <w:t>–</w:t>
      </w:r>
      <w:r>
        <w:t xml:space="preserve">1920 </w:t>
      </w:r>
      <w:r w:rsidR="00652F4E">
        <w:t>MHz frequency range</w:t>
      </w:r>
      <w:r w:rsidR="00864921">
        <w:t>.</w:t>
      </w:r>
    </w:p>
    <w:p w14:paraId="34CBCDAB" w14:textId="3C647838" w:rsidR="0088143D" w:rsidRDefault="0088143D" w:rsidP="00D51E3F">
      <w:pPr>
        <w:pStyle w:val="ListBullet"/>
      </w:pPr>
      <w:r>
        <w:t>Maintain</w:t>
      </w:r>
      <w:r w:rsidR="00652F4E">
        <w:t>ing</w:t>
      </w:r>
      <w:r>
        <w:t xml:space="preserve"> LA </w:t>
      </w:r>
      <w:r w:rsidRPr="00CE3160">
        <w:t>WBB</w:t>
      </w:r>
      <w:r>
        <w:t xml:space="preserve"> and PTP</w:t>
      </w:r>
      <w:r w:rsidRPr="00CE3160">
        <w:t xml:space="preserve"> </w:t>
      </w:r>
      <w:r w:rsidRPr="00FC71B1">
        <w:t xml:space="preserve">access arrangements across </w:t>
      </w:r>
      <w:r w:rsidR="00652F4E">
        <w:t xml:space="preserve">the </w:t>
      </w:r>
      <w:r>
        <w:t>1900–1920</w:t>
      </w:r>
      <w:r w:rsidRPr="00FC71B1">
        <w:t xml:space="preserve"> MHz </w:t>
      </w:r>
      <w:r w:rsidR="00652F4E">
        <w:t xml:space="preserve">segment </w:t>
      </w:r>
      <w:r w:rsidRPr="00FC71B1">
        <w:t xml:space="preserve">in </w:t>
      </w:r>
      <w:r>
        <w:t>regional</w:t>
      </w:r>
      <w:r w:rsidRPr="00FC71B1">
        <w:t xml:space="preserve"> and </w:t>
      </w:r>
      <w:r>
        <w:t>remote areas</w:t>
      </w:r>
      <w:r w:rsidR="00864921">
        <w:t>.</w:t>
      </w:r>
    </w:p>
    <w:p w14:paraId="099DE3C1" w14:textId="51080BB0" w:rsidR="0088143D" w:rsidRDefault="00BD639D" w:rsidP="00D51E3F">
      <w:pPr>
        <w:pStyle w:val="ListBulletLast"/>
      </w:pPr>
      <w:r>
        <w:t>I</w:t>
      </w:r>
      <w:r w:rsidR="0088143D">
        <w:t xml:space="preserve">ntroducing </w:t>
      </w:r>
      <w:r w:rsidR="005E3C5D">
        <w:t>RMR</w:t>
      </w:r>
      <w:r w:rsidR="0088143D">
        <w:t xml:space="preserve"> services in the 1900</w:t>
      </w:r>
      <w:r w:rsidR="00864921">
        <w:t>–</w:t>
      </w:r>
      <w:r w:rsidR="0088143D">
        <w:t>1910 MHz segment of the band for new uses and applications such as rail applications.</w:t>
      </w:r>
    </w:p>
    <w:p w14:paraId="1751913F" w14:textId="75DCFDB8" w:rsidR="0088143D" w:rsidRDefault="0088143D" w:rsidP="00FD2C90">
      <w:pPr>
        <w:pStyle w:val="Paragraph"/>
        <w:keepLines w:val="0"/>
      </w:pPr>
      <w:r>
        <w:t xml:space="preserve">As </w:t>
      </w:r>
      <w:r w:rsidR="00406FEF">
        <w:t>with</w:t>
      </w:r>
      <w:r>
        <w:t xml:space="preserve"> Option 1, </w:t>
      </w:r>
      <w:r w:rsidRPr="00B95326">
        <w:t xml:space="preserve">Option </w:t>
      </w:r>
      <w:r>
        <w:t xml:space="preserve">4 maintains all current </w:t>
      </w:r>
      <w:r w:rsidRPr="00B95326">
        <w:t xml:space="preserve">incumbent </w:t>
      </w:r>
      <w:r w:rsidR="009D103C">
        <w:t>SR WBB</w:t>
      </w:r>
      <w:r>
        <w:t>,</w:t>
      </w:r>
      <w:r w:rsidRPr="00B95326">
        <w:t xml:space="preserve"> </w:t>
      </w:r>
      <w:r>
        <w:t xml:space="preserve">LA </w:t>
      </w:r>
      <w:r w:rsidRPr="00B95326">
        <w:t>WBB and PTP services</w:t>
      </w:r>
      <w:r>
        <w:t xml:space="preserve">. Similarly, the analysis of Option 1 against the desirable planning outcome 1 is valid for Option 4. </w:t>
      </w:r>
    </w:p>
    <w:p w14:paraId="2F3DDBA1" w14:textId="12B414E9" w:rsidR="0088143D" w:rsidRDefault="0088143D" w:rsidP="00FD2C90">
      <w:pPr>
        <w:pStyle w:val="Paragraph"/>
        <w:keepLines w:val="0"/>
      </w:pPr>
      <w:r w:rsidRPr="00B95326">
        <w:t xml:space="preserve">Option </w:t>
      </w:r>
      <w:r>
        <w:t>4 expands</w:t>
      </w:r>
      <w:r w:rsidRPr="00B95326">
        <w:t xml:space="preserve"> </w:t>
      </w:r>
      <w:r>
        <w:t>the SR WBB allocation across the entire 1880–1920 MHz frequency range</w:t>
      </w:r>
      <w:r w:rsidR="00406FEF">
        <w:t>, similar to Option 2</w:t>
      </w:r>
      <w:r>
        <w:t xml:space="preserve">. Similarly, the analysis of Option </w:t>
      </w:r>
      <w:r w:rsidR="0063626F">
        <w:t xml:space="preserve">2 </w:t>
      </w:r>
      <w:r>
        <w:t xml:space="preserve">against desirable planning outcome 2 is valid for Option 4. </w:t>
      </w:r>
    </w:p>
    <w:p w14:paraId="731F7CBD" w14:textId="1E1E6CBA" w:rsidR="0088143D" w:rsidRDefault="0088143D" w:rsidP="00FD2C90">
      <w:pPr>
        <w:pStyle w:val="Paragraph"/>
        <w:keepLines w:val="0"/>
      </w:pPr>
      <w:r>
        <w:t xml:space="preserve">As </w:t>
      </w:r>
      <w:r w:rsidR="00406FEF">
        <w:t>with</w:t>
      </w:r>
      <w:r>
        <w:t xml:space="preserve"> Option 3, </w:t>
      </w:r>
      <w:r w:rsidRPr="00B95326">
        <w:t xml:space="preserve">Option </w:t>
      </w:r>
      <w:r>
        <w:t>4 introduces</w:t>
      </w:r>
      <w:r w:rsidRPr="00B95326">
        <w:t xml:space="preserve"> </w:t>
      </w:r>
      <w:r>
        <w:t xml:space="preserve">the </w:t>
      </w:r>
      <w:r w:rsidR="005E3C5D">
        <w:t>RMR</w:t>
      </w:r>
      <w:r>
        <w:t xml:space="preserve"> allocation </w:t>
      </w:r>
      <w:r w:rsidR="009A6BA1">
        <w:t>for</w:t>
      </w:r>
      <w:r>
        <w:t xml:space="preserve"> rail communications in the 1900–1910 MHz frequency range. Similarly, the analysis of Option 3 against the desirable planning outcome 3 is valid for Option 4. </w:t>
      </w:r>
    </w:p>
    <w:p w14:paraId="3D70E659" w14:textId="08E25BB3" w:rsidR="0088143D" w:rsidRDefault="008B1A9C" w:rsidP="00FD2C90">
      <w:pPr>
        <w:pStyle w:val="Paragraph"/>
        <w:keepLines w:val="0"/>
      </w:pPr>
      <w:r>
        <w:t>T</w:t>
      </w:r>
      <w:r w:rsidR="0088143D">
        <w:t xml:space="preserve">he coexistence considerations raised in </w:t>
      </w:r>
      <w:r>
        <w:t xml:space="preserve">both </w:t>
      </w:r>
      <w:r w:rsidR="0088143D">
        <w:t xml:space="preserve">Option 2 and Option 3 are relevant for Option 4. Option 4 will also need to consider the potential coexistence issue of SR WBB and </w:t>
      </w:r>
      <w:r w:rsidR="005E3C5D">
        <w:t>RMR</w:t>
      </w:r>
      <w:r w:rsidR="0088143D">
        <w:t xml:space="preserve"> operating co-channel. As SR WBB are ubiquitous class licenced services, the ACMA will need to consider the various deployment scenarios of SR WBB to determine if these 2 services can operate co-channel. There is some potential </w:t>
      </w:r>
      <w:r w:rsidR="0088143D">
        <w:lastRenderedPageBreak/>
        <w:t>that the ACMA may be able to leverage coexistence studies already undertaken by another international regulatory body</w:t>
      </w:r>
      <w:r>
        <w:t xml:space="preserve"> or bodies.</w:t>
      </w:r>
      <w:r w:rsidR="0088143D">
        <w:t xml:space="preserve"> </w:t>
      </w:r>
    </w:p>
    <w:p w14:paraId="2F41A7EB" w14:textId="10513D83" w:rsidR="0088143D" w:rsidRDefault="0088143D" w:rsidP="00FD2C90">
      <w:pPr>
        <w:pStyle w:val="Paragraph"/>
        <w:keepLines w:val="0"/>
      </w:pPr>
      <w:r w:rsidRPr="00AD462B">
        <w:t xml:space="preserve">Option 4 expands SR WBB to the 1880–1920 MHz frequency range and introduces a </w:t>
      </w:r>
      <w:r w:rsidR="005E3C5D">
        <w:t>RMR</w:t>
      </w:r>
      <w:r w:rsidRPr="00AD462B">
        <w:t xml:space="preserve"> allocation for rail communications in the 1900–1910 MHz frequency range. Similarly, the analysis of Option 2 for SR WBB and Option 3 for </w:t>
      </w:r>
      <w:r w:rsidR="005E3C5D">
        <w:t>RMR</w:t>
      </w:r>
      <w:r w:rsidRPr="00AD462B">
        <w:t xml:space="preserve"> against desirable planning outcome 5 is valid for Option 4. </w:t>
      </w:r>
    </w:p>
    <w:p w14:paraId="04D3B612" w14:textId="51E9774E" w:rsidR="0088143D" w:rsidRDefault="0088143D" w:rsidP="00FD2C90">
      <w:pPr>
        <w:pStyle w:val="Paragraph"/>
        <w:keepLines w:val="0"/>
      </w:pPr>
      <w:r w:rsidRPr="00AD462B">
        <w:t>Table</w:t>
      </w:r>
      <w:r w:rsidRPr="00AD462B" w:rsidDel="007717C9">
        <w:t xml:space="preserve"> </w:t>
      </w:r>
      <w:r w:rsidR="007717C9">
        <w:t>8</w:t>
      </w:r>
      <w:r w:rsidR="007717C9" w:rsidRPr="00AD462B">
        <w:t xml:space="preserve"> </w:t>
      </w:r>
      <w:r w:rsidRPr="00AD462B">
        <w:t>summarises the benefits or disadvantages against each desirable planning outcome.</w:t>
      </w:r>
    </w:p>
    <w:p w14:paraId="48FC7FE5" w14:textId="77777777" w:rsidR="0088143D" w:rsidRDefault="0088143D" w:rsidP="00303364">
      <w:pPr>
        <w:pStyle w:val="ACMATableHeader"/>
      </w:pPr>
      <w:r w:rsidRPr="00A16938">
        <w:t xml:space="preserve">Option </w:t>
      </w:r>
      <w:r>
        <w:t>4</w:t>
      </w:r>
      <w:r w:rsidRPr="00A16938">
        <w:t xml:space="preserve"> ratings against outcomes</w:t>
      </w:r>
    </w:p>
    <w:tbl>
      <w:tblPr>
        <w:tblStyle w:val="TableGrid"/>
        <w:tblpPr w:leftFromText="180" w:rightFromText="180" w:vertAnchor="text" w:horzAnchor="margin" w:tblpY="-54"/>
        <w:tblW w:w="8394" w:type="dxa"/>
        <w:tblLayout w:type="fixed"/>
        <w:tblLook w:val="04A0" w:firstRow="1" w:lastRow="0" w:firstColumn="1" w:lastColumn="0" w:noHBand="0" w:noVBand="1"/>
      </w:tblPr>
      <w:tblGrid>
        <w:gridCol w:w="1678"/>
        <w:gridCol w:w="1678"/>
        <w:gridCol w:w="1678"/>
        <w:gridCol w:w="1680"/>
        <w:gridCol w:w="1680"/>
      </w:tblGrid>
      <w:tr w:rsidR="009E6118" w:rsidRPr="00CA4735" w14:paraId="4C52672A" w14:textId="77777777" w:rsidTr="00FD2C90">
        <w:trPr>
          <w:trHeight w:hRule="exact" w:val="959"/>
        </w:trPr>
        <w:tc>
          <w:tcPr>
            <w:tcW w:w="1678" w:type="dxa"/>
            <w:shd w:val="clear" w:color="auto" w:fill="262626" w:themeFill="text1" w:themeFillTint="D9"/>
            <w:vAlign w:val="center"/>
          </w:tcPr>
          <w:p w14:paraId="19C3463E" w14:textId="0492C208" w:rsidR="009E6118" w:rsidRPr="00D51E3F" w:rsidRDefault="009E6118" w:rsidP="00FD2C90">
            <w:pPr>
              <w:pStyle w:val="TableBody"/>
              <w:keepLines w:val="0"/>
              <w:rPr>
                <w:b/>
                <w:bCs/>
              </w:rPr>
            </w:pPr>
            <w:r w:rsidRPr="00D51E3F">
              <w:rPr>
                <w:b/>
                <w:bCs/>
              </w:rPr>
              <w:t xml:space="preserve">Maintain exclusive </w:t>
            </w:r>
            <w:r w:rsidR="008B1A9C" w:rsidRPr="00D51E3F">
              <w:rPr>
                <w:b/>
                <w:bCs/>
              </w:rPr>
              <w:t>e</w:t>
            </w:r>
            <w:r w:rsidRPr="00D51E3F">
              <w:rPr>
                <w:b/>
                <w:bCs/>
              </w:rPr>
              <w:t>xisting services</w:t>
            </w:r>
          </w:p>
        </w:tc>
        <w:tc>
          <w:tcPr>
            <w:tcW w:w="1678" w:type="dxa"/>
            <w:shd w:val="clear" w:color="auto" w:fill="262626" w:themeFill="text1" w:themeFillTint="D9"/>
            <w:vAlign w:val="center"/>
          </w:tcPr>
          <w:p w14:paraId="736A6806" w14:textId="0E696D6C" w:rsidR="009E6118" w:rsidRPr="00D51E3F" w:rsidRDefault="009E6118" w:rsidP="00FD2C90">
            <w:pPr>
              <w:pStyle w:val="TableBody"/>
              <w:keepLines w:val="0"/>
              <w:rPr>
                <w:b/>
                <w:bCs/>
              </w:rPr>
            </w:pPr>
            <w:r w:rsidRPr="00D51E3F">
              <w:rPr>
                <w:b/>
                <w:bCs/>
              </w:rPr>
              <w:t xml:space="preserve">Expand shared </w:t>
            </w:r>
            <w:r w:rsidR="002B12EA">
              <w:rPr>
                <w:b/>
                <w:bCs/>
              </w:rPr>
              <w:t>s</w:t>
            </w:r>
            <w:r w:rsidRPr="00D51E3F">
              <w:rPr>
                <w:b/>
                <w:bCs/>
              </w:rPr>
              <w:t xml:space="preserve">hort </w:t>
            </w:r>
            <w:r w:rsidR="002B12EA">
              <w:rPr>
                <w:b/>
                <w:bCs/>
              </w:rPr>
              <w:t>r</w:t>
            </w:r>
            <w:r w:rsidRPr="00D51E3F">
              <w:rPr>
                <w:b/>
                <w:bCs/>
              </w:rPr>
              <w:t>ange (SR) WBB</w:t>
            </w:r>
          </w:p>
        </w:tc>
        <w:tc>
          <w:tcPr>
            <w:tcW w:w="1678" w:type="dxa"/>
            <w:shd w:val="clear" w:color="auto" w:fill="262626" w:themeFill="text1" w:themeFillTint="D9"/>
            <w:vAlign w:val="center"/>
          </w:tcPr>
          <w:p w14:paraId="5425B486" w14:textId="5A16D06B" w:rsidR="009E6118" w:rsidRPr="00D51E3F" w:rsidRDefault="009E6118" w:rsidP="00FD2C90">
            <w:pPr>
              <w:pStyle w:val="TableBody"/>
              <w:keepLines w:val="0"/>
              <w:rPr>
                <w:b/>
                <w:bCs/>
              </w:rPr>
            </w:pPr>
            <w:r w:rsidRPr="00D51E3F">
              <w:rPr>
                <w:b/>
                <w:bCs/>
              </w:rPr>
              <w:t xml:space="preserve">Introduce </w:t>
            </w:r>
            <w:r w:rsidR="002B12EA">
              <w:rPr>
                <w:b/>
                <w:bCs/>
              </w:rPr>
              <w:t>r</w:t>
            </w:r>
            <w:r w:rsidRPr="00D51E3F">
              <w:rPr>
                <w:b/>
                <w:bCs/>
              </w:rPr>
              <w:t xml:space="preserve">ailway </w:t>
            </w:r>
            <w:r w:rsidR="002B12EA">
              <w:rPr>
                <w:b/>
                <w:bCs/>
              </w:rPr>
              <w:t>m</w:t>
            </w:r>
            <w:r w:rsidRPr="00D51E3F">
              <w:rPr>
                <w:b/>
                <w:bCs/>
              </w:rPr>
              <w:t xml:space="preserve">obile </w:t>
            </w:r>
            <w:r w:rsidR="002B12EA">
              <w:rPr>
                <w:b/>
                <w:bCs/>
              </w:rPr>
              <w:t>r</w:t>
            </w:r>
            <w:r w:rsidRPr="00D51E3F">
              <w:rPr>
                <w:b/>
                <w:bCs/>
              </w:rPr>
              <w:t>adio (RMR)</w:t>
            </w:r>
          </w:p>
        </w:tc>
        <w:tc>
          <w:tcPr>
            <w:tcW w:w="1680" w:type="dxa"/>
            <w:shd w:val="clear" w:color="auto" w:fill="262626" w:themeFill="text1" w:themeFillTint="D9"/>
            <w:vAlign w:val="center"/>
          </w:tcPr>
          <w:p w14:paraId="458B6CBE" w14:textId="77777777" w:rsidR="009E6118" w:rsidRPr="00D51E3F" w:rsidRDefault="009E6118" w:rsidP="00FD2C90">
            <w:pPr>
              <w:pStyle w:val="TableBody"/>
              <w:keepLines w:val="0"/>
              <w:rPr>
                <w:b/>
                <w:bCs/>
              </w:rPr>
            </w:pPr>
            <w:r w:rsidRPr="00D51E3F">
              <w:rPr>
                <w:b/>
                <w:bCs/>
              </w:rPr>
              <w:t>Ensure coexistence with 1.9 GHz band services</w:t>
            </w:r>
          </w:p>
        </w:tc>
        <w:tc>
          <w:tcPr>
            <w:tcW w:w="1680" w:type="dxa"/>
            <w:shd w:val="clear" w:color="auto" w:fill="262626" w:themeFill="text1" w:themeFillTint="D9"/>
            <w:vAlign w:val="center"/>
          </w:tcPr>
          <w:p w14:paraId="10D79CBA" w14:textId="77777777" w:rsidR="009E6118" w:rsidRPr="00D51E3F" w:rsidRDefault="009E6118" w:rsidP="00FD2C90">
            <w:pPr>
              <w:pStyle w:val="TableBody"/>
              <w:keepLines w:val="0"/>
              <w:rPr>
                <w:b/>
                <w:bCs/>
              </w:rPr>
            </w:pPr>
            <w:r w:rsidRPr="00D51E3F">
              <w:rPr>
                <w:b/>
                <w:bCs/>
              </w:rPr>
              <w:t>Ensure coexistence with adjacent band services</w:t>
            </w:r>
          </w:p>
        </w:tc>
      </w:tr>
      <w:tr w:rsidR="009E6118" w:rsidRPr="0006320A" w14:paraId="4C481289" w14:textId="77777777" w:rsidTr="00FD2C90">
        <w:trPr>
          <w:trHeight w:val="517"/>
        </w:trPr>
        <w:tc>
          <w:tcPr>
            <w:tcW w:w="1678" w:type="dxa"/>
            <w:shd w:val="clear" w:color="auto" w:fill="auto"/>
            <w:vAlign w:val="center"/>
          </w:tcPr>
          <w:p w14:paraId="104CA36E" w14:textId="21F59D1D" w:rsidR="009E6118" w:rsidRPr="0006320A" w:rsidRDefault="009E6118" w:rsidP="00FD2C90">
            <w:pPr>
              <w:pStyle w:val="TableBody"/>
              <w:keepLines w:val="0"/>
              <w:jc w:val="center"/>
            </w:pPr>
            <w:r w:rsidRPr="0006320A">
              <w:sym w:font="Wingdings" w:char="F0FC"/>
            </w:r>
          </w:p>
        </w:tc>
        <w:tc>
          <w:tcPr>
            <w:tcW w:w="1678" w:type="dxa"/>
            <w:shd w:val="clear" w:color="auto" w:fill="auto"/>
            <w:vAlign w:val="center"/>
          </w:tcPr>
          <w:p w14:paraId="67267F63" w14:textId="1B2975DB" w:rsidR="009E6118" w:rsidRPr="0006320A" w:rsidRDefault="009E6118" w:rsidP="00FD2C90">
            <w:pPr>
              <w:pStyle w:val="TableBody"/>
              <w:keepLines w:val="0"/>
              <w:jc w:val="center"/>
            </w:pPr>
            <w:r w:rsidRPr="0006320A">
              <w:sym w:font="Wingdings" w:char="F0FC"/>
            </w:r>
          </w:p>
        </w:tc>
        <w:tc>
          <w:tcPr>
            <w:tcW w:w="1678" w:type="dxa"/>
            <w:shd w:val="clear" w:color="auto" w:fill="auto"/>
            <w:vAlign w:val="center"/>
          </w:tcPr>
          <w:p w14:paraId="4AF1DD4B" w14:textId="7AB88599" w:rsidR="009E6118" w:rsidRPr="0006320A" w:rsidRDefault="009E6118" w:rsidP="00FD2C90">
            <w:pPr>
              <w:pStyle w:val="TableBody"/>
              <w:keepLines w:val="0"/>
              <w:jc w:val="center"/>
            </w:pPr>
            <w:r w:rsidRPr="0006320A">
              <w:sym w:font="Wingdings" w:char="F0FC"/>
            </w:r>
          </w:p>
        </w:tc>
        <w:tc>
          <w:tcPr>
            <w:tcW w:w="1680" w:type="dxa"/>
            <w:shd w:val="clear" w:color="auto" w:fill="auto"/>
            <w:vAlign w:val="center"/>
          </w:tcPr>
          <w:p w14:paraId="3BC36867" w14:textId="04518CDA" w:rsidR="009E6118" w:rsidRPr="0006320A" w:rsidRDefault="009E6118" w:rsidP="00FD2C90">
            <w:pPr>
              <w:pStyle w:val="TableBody"/>
              <w:keepLines w:val="0"/>
              <w:jc w:val="center"/>
            </w:pPr>
            <w:r>
              <w:t>partial</w:t>
            </w:r>
          </w:p>
        </w:tc>
        <w:tc>
          <w:tcPr>
            <w:tcW w:w="1680" w:type="dxa"/>
            <w:shd w:val="clear" w:color="auto" w:fill="auto"/>
            <w:vAlign w:val="center"/>
          </w:tcPr>
          <w:p w14:paraId="52890F4F" w14:textId="480BB0D0" w:rsidR="009E6118" w:rsidRPr="0006320A" w:rsidRDefault="009E6118" w:rsidP="00FD2C90">
            <w:pPr>
              <w:pStyle w:val="TableBody"/>
              <w:keepLines w:val="0"/>
              <w:jc w:val="center"/>
            </w:pPr>
            <w:r w:rsidRPr="0006320A">
              <w:sym w:font="Wingdings" w:char="F0FC"/>
            </w:r>
          </w:p>
        </w:tc>
      </w:tr>
    </w:tbl>
    <w:p w14:paraId="03FBFCB2" w14:textId="77777777" w:rsidR="0088143D" w:rsidRDefault="0088143D" w:rsidP="0088143D">
      <w:pPr>
        <w:keepLines w:val="0"/>
        <w:spacing w:after="240"/>
      </w:pPr>
    </w:p>
    <w:p w14:paraId="7FAD056D" w14:textId="3E64C37E" w:rsidR="0088143D" w:rsidRDefault="00F0537D" w:rsidP="00915142">
      <w:pPr>
        <w:pStyle w:val="Heading2"/>
        <w:keepLines w:val="0"/>
      </w:pPr>
      <w:bookmarkStart w:id="169" w:name="_Toc113626373"/>
      <w:bookmarkStart w:id="170" w:name="_Toc117870136"/>
      <w:bookmarkStart w:id="171" w:name="_Toc118785126"/>
      <w:bookmarkStart w:id="172" w:name="_Toc120600061"/>
      <w:r>
        <w:t>Summary</w:t>
      </w:r>
      <w:r w:rsidR="0088143D" w:rsidRPr="003428AC">
        <w:t xml:space="preserve"> of the assessment of the options</w:t>
      </w:r>
      <w:bookmarkEnd w:id="169"/>
      <w:bookmarkEnd w:id="170"/>
      <w:bookmarkEnd w:id="171"/>
      <w:bookmarkEnd w:id="172"/>
    </w:p>
    <w:p w14:paraId="2BB623F4" w14:textId="26F767E6" w:rsidR="0088143D" w:rsidRDefault="0088143D" w:rsidP="00FD2C90">
      <w:pPr>
        <w:pStyle w:val="Paragraph"/>
        <w:keepLines w:val="0"/>
      </w:pPr>
      <w:r>
        <w:t xml:space="preserve">All </w:t>
      </w:r>
      <w:r w:rsidR="00231C77">
        <w:t xml:space="preserve">4 </w:t>
      </w:r>
      <w:r>
        <w:t xml:space="preserve">options maintain </w:t>
      </w:r>
      <w:r w:rsidR="00681B5D">
        <w:t xml:space="preserve">the </w:t>
      </w:r>
      <w:r>
        <w:t>1880</w:t>
      </w:r>
      <w:r w:rsidR="003F5F2E">
        <w:t>–</w:t>
      </w:r>
      <w:r>
        <w:t xml:space="preserve">1900 MHz segment to allow SR WBB services under </w:t>
      </w:r>
      <w:r w:rsidR="00681B5D">
        <w:t xml:space="preserve">the </w:t>
      </w:r>
      <w:r w:rsidR="00890DB1">
        <w:t xml:space="preserve">appropriate </w:t>
      </w:r>
      <w:r>
        <w:t xml:space="preserve">class licence, which meets desirable planning outcome 1. Option </w:t>
      </w:r>
      <w:r w:rsidR="00DF5EA3">
        <w:t>2</w:t>
      </w:r>
      <w:r w:rsidR="008B1A9C">
        <w:t xml:space="preserve"> </w:t>
      </w:r>
      <w:r>
        <w:t>and 4 expand the allocation of SR WBB services to the whole 1880</w:t>
      </w:r>
      <w:r w:rsidR="003F5F2E">
        <w:t>–</w:t>
      </w:r>
      <w:r>
        <w:t xml:space="preserve">1920 MHz band, which will allow for possible new technological evolutions, </w:t>
      </w:r>
      <w:r w:rsidR="0026444F">
        <w:t>and meet</w:t>
      </w:r>
      <w:r>
        <w:t xml:space="preserve"> desirable outcome 2.</w:t>
      </w:r>
    </w:p>
    <w:p w14:paraId="058E1D23" w14:textId="7C59A6D0" w:rsidR="0088143D" w:rsidRDefault="0088143D" w:rsidP="00FD2C90">
      <w:pPr>
        <w:pStyle w:val="Paragraph"/>
        <w:keepLines w:val="0"/>
      </w:pPr>
      <w:r>
        <w:t xml:space="preserve">Option </w:t>
      </w:r>
      <w:r w:rsidR="00DF5EA3">
        <w:t xml:space="preserve">3 </w:t>
      </w:r>
      <w:r>
        <w:t xml:space="preserve">and 4 allow new </w:t>
      </w:r>
      <w:r w:rsidR="005E3C5D">
        <w:t>RMR</w:t>
      </w:r>
      <w:r>
        <w:t xml:space="preserve"> services in the 1900</w:t>
      </w:r>
      <w:r w:rsidR="003F5F2E">
        <w:t>–</w:t>
      </w:r>
      <w:r>
        <w:t xml:space="preserve">1910 MHz for new uses subject to acceptable and manageable interference levels, </w:t>
      </w:r>
      <w:r w:rsidR="0026444F">
        <w:t>meeting</w:t>
      </w:r>
      <w:r>
        <w:t xml:space="preserve"> the desirable planning outcome 3.</w:t>
      </w:r>
    </w:p>
    <w:p w14:paraId="711F2D0D" w14:textId="3183E8D1" w:rsidR="00D26277" w:rsidRDefault="0088143D" w:rsidP="00FD2C90">
      <w:pPr>
        <w:pStyle w:val="Paragraph"/>
        <w:keepLines w:val="0"/>
      </w:pPr>
      <w:r>
        <w:t xml:space="preserve">All </w:t>
      </w:r>
      <w:r w:rsidR="00231C77">
        <w:t xml:space="preserve">4 </w:t>
      </w:r>
      <w:r>
        <w:t xml:space="preserve">options maintain an allocation for Fixed LA WBB and PTP services in the </w:t>
      </w:r>
      <w:r w:rsidR="003F5F2E">
        <w:br/>
      </w:r>
      <w:r>
        <w:t>1900</w:t>
      </w:r>
      <w:r w:rsidR="003F5F2E">
        <w:t>–</w:t>
      </w:r>
      <w:r>
        <w:t>1920 MHz segment of the band in regional and remote areas</w:t>
      </w:r>
      <w:r w:rsidR="0026444F">
        <w:t>, meeting</w:t>
      </w:r>
      <w:r>
        <w:t xml:space="preserve"> desirable planning outcome 1.</w:t>
      </w:r>
      <w:r w:rsidR="00D26277">
        <w:t xml:space="preserve"> </w:t>
      </w:r>
    </w:p>
    <w:p w14:paraId="6C59446A" w14:textId="2C8756EB" w:rsidR="00D26277" w:rsidRDefault="00EB3E0C" w:rsidP="00FD2C90">
      <w:pPr>
        <w:pStyle w:val="Paragraph"/>
        <w:keepLines w:val="0"/>
      </w:pPr>
      <w:r>
        <w:t xml:space="preserve">We are </w:t>
      </w:r>
      <w:r w:rsidR="00D26277" w:rsidRPr="0030326A">
        <w:t>seeking stakeholder feedback on</w:t>
      </w:r>
      <w:r w:rsidR="00DF5EA3">
        <w:t xml:space="preserve"> the</w:t>
      </w:r>
      <w:r w:rsidR="00D26277" w:rsidRPr="0030326A">
        <w:t xml:space="preserve"> </w:t>
      </w:r>
      <w:r w:rsidR="00D26277" w:rsidRPr="00023B87">
        <w:t>feasib</w:t>
      </w:r>
      <w:r w:rsidR="00D26277">
        <w:t>ility</w:t>
      </w:r>
      <w:r w:rsidR="00D26277" w:rsidRPr="00023B87">
        <w:t xml:space="preserve"> </w:t>
      </w:r>
      <w:r w:rsidR="00DF5EA3">
        <w:t>of</w:t>
      </w:r>
      <w:r w:rsidR="00DF5EA3" w:rsidRPr="00023B87">
        <w:t xml:space="preserve"> </w:t>
      </w:r>
      <w:r w:rsidR="00890DB1">
        <w:t>future DECT</w:t>
      </w:r>
      <w:r w:rsidR="00D26277" w:rsidRPr="00023B87">
        <w:t xml:space="preserve"> to co-exist with LA WBB / PTP services in regional and remote areas if DECT services extend to</w:t>
      </w:r>
      <w:r w:rsidR="00DF5EA3">
        <w:t xml:space="preserve"> the</w:t>
      </w:r>
      <w:r w:rsidR="00D26277" w:rsidRPr="00023B87">
        <w:t xml:space="preserve"> entire 40</w:t>
      </w:r>
      <w:r>
        <w:t xml:space="preserve"> </w:t>
      </w:r>
      <w:r w:rsidR="00D26277" w:rsidRPr="00023B87">
        <w:t>MHz band</w:t>
      </w:r>
      <w:r w:rsidR="00D26277">
        <w:t>.</w:t>
      </w:r>
    </w:p>
    <w:p w14:paraId="06F5A7CB" w14:textId="01A2718B" w:rsidR="0088143D" w:rsidRDefault="0088143D" w:rsidP="00FD2C90">
      <w:pPr>
        <w:pStyle w:val="Paragraph"/>
        <w:keepLines w:val="0"/>
      </w:pPr>
      <w:r>
        <w:t>All options intend to allow incumbent licensees to continue operating. They will support incumbent wireless telecommunications systems, PMP/WBB, PTP and LIPD services to continue use in the band</w:t>
      </w:r>
      <w:r w:rsidR="00C15FA8">
        <w:t>, meeting</w:t>
      </w:r>
      <w:r>
        <w:t xml:space="preserve"> desirable planning outcome 1.</w:t>
      </w:r>
    </w:p>
    <w:p w14:paraId="1932CF3F" w14:textId="5F1E49AA" w:rsidR="0088143D" w:rsidRDefault="0088143D" w:rsidP="00FD2C90">
      <w:pPr>
        <w:pStyle w:val="Paragraph"/>
        <w:keepLines w:val="0"/>
      </w:pPr>
      <w:r>
        <w:t xml:space="preserve">Relevant technical evidence, issues and coexistence considerations have been </w:t>
      </w:r>
      <w:r w:rsidR="008C3531">
        <w:t>considered</w:t>
      </w:r>
      <w:r>
        <w:t xml:space="preserve"> in the planning options </w:t>
      </w:r>
      <w:r w:rsidR="008C3531">
        <w:t xml:space="preserve">for </w:t>
      </w:r>
      <w:r>
        <w:t>the 1880</w:t>
      </w:r>
      <w:r w:rsidR="008C0E4D">
        <w:t>–</w:t>
      </w:r>
      <w:r>
        <w:t xml:space="preserve">1920 MHz band. All options have been </w:t>
      </w:r>
      <w:r w:rsidR="008C3531">
        <w:t xml:space="preserve">carefully </w:t>
      </w:r>
      <w:r>
        <w:t xml:space="preserve">considered to ensure coexistence with adjacent band services. Consequently, all options have been assessed against desirable planning </w:t>
      </w:r>
      <w:r w:rsidR="008C0E4D">
        <w:br/>
      </w:r>
      <w:r>
        <w:t>outcomes 4 and 5.</w:t>
      </w:r>
    </w:p>
    <w:p w14:paraId="3DB38C26" w14:textId="1A4970EC" w:rsidR="00074B46" w:rsidRDefault="0088143D" w:rsidP="00FD2C90">
      <w:pPr>
        <w:pStyle w:val="Paragraph"/>
        <w:keepLines w:val="0"/>
      </w:pPr>
      <w:r w:rsidRPr="00F95D01">
        <w:t>Table</w:t>
      </w:r>
      <w:r w:rsidDel="007717C9">
        <w:t xml:space="preserve"> </w:t>
      </w:r>
      <w:r w:rsidR="007717C9">
        <w:t xml:space="preserve">9 </w:t>
      </w:r>
      <w:r>
        <w:t>shows the summarised c</w:t>
      </w:r>
      <w:r w:rsidRPr="00F95D01">
        <w:t>omparison matrix for planning options</w:t>
      </w:r>
      <w:r>
        <w:t xml:space="preserve"> assessed against the desirable planning outcomes. </w:t>
      </w:r>
      <w:r w:rsidR="00406FEF">
        <w:t xml:space="preserve">Option 4 provides the best alignment with the desirable planning </w:t>
      </w:r>
      <w:r w:rsidR="00DF13C6">
        <w:t>outcomes</w:t>
      </w:r>
      <w:r w:rsidR="00406FEF">
        <w:t xml:space="preserve"> and is therefore identified </w:t>
      </w:r>
      <w:r>
        <w:t>as the ACMA’s preliminary preferred planning option.</w:t>
      </w:r>
      <w:r w:rsidR="00074B46" w:rsidRPr="00074B46">
        <w:t xml:space="preserve"> </w:t>
      </w:r>
    </w:p>
    <w:p w14:paraId="3E37E4BA" w14:textId="77777777" w:rsidR="00A32429" w:rsidRDefault="00A32429" w:rsidP="00074B46">
      <w:pPr>
        <w:keepLines w:val="0"/>
        <w:spacing w:after="0" w:line="240" w:lineRule="auto"/>
        <w:rPr>
          <w:rFonts w:cs="Arial"/>
        </w:rPr>
      </w:pPr>
    </w:p>
    <w:p w14:paraId="25920184" w14:textId="77777777" w:rsidR="00074B46" w:rsidRDefault="00074B46" w:rsidP="00303364">
      <w:pPr>
        <w:pStyle w:val="ACMATableHeader"/>
      </w:pPr>
      <w:r w:rsidRPr="00DF07F0">
        <w:t>Comparison matrix for planning options</w:t>
      </w:r>
    </w:p>
    <w:tbl>
      <w:tblPr>
        <w:tblStyle w:val="TableGrid"/>
        <w:tblpPr w:leftFromText="180" w:rightFromText="180" w:vertAnchor="text" w:horzAnchor="margin" w:tblpY="-22"/>
        <w:tblW w:w="7792" w:type="dxa"/>
        <w:tblLayout w:type="fixed"/>
        <w:tblLook w:val="04A0" w:firstRow="1" w:lastRow="0" w:firstColumn="1" w:lastColumn="0" w:noHBand="0" w:noVBand="1"/>
      </w:tblPr>
      <w:tblGrid>
        <w:gridCol w:w="1095"/>
        <w:gridCol w:w="1192"/>
        <w:gridCol w:w="1193"/>
        <w:gridCol w:w="1193"/>
        <w:gridCol w:w="1559"/>
        <w:gridCol w:w="1560"/>
      </w:tblGrid>
      <w:tr w:rsidR="0063626F" w14:paraId="6D187058" w14:textId="77777777" w:rsidTr="00FD2C90">
        <w:trPr>
          <w:trHeight w:val="1266"/>
        </w:trPr>
        <w:tc>
          <w:tcPr>
            <w:tcW w:w="1095" w:type="dxa"/>
            <w:shd w:val="clear" w:color="auto" w:fill="262626" w:themeFill="text1" w:themeFillTint="D9"/>
            <w:vAlign w:val="center"/>
          </w:tcPr>
          <w:p w14:paraId="6D50DFC5" w14:textId="77777777" w:rsidR="0063626F" w:rsidRPr="001D32A7" w:rsidRDefault="0063626F" w:rsidP="00EA6875">
            <w:pPr>
              <w:rPr>
                <w:b/>
                <w:bCs/>
              </w:rPr>
            </w:pPr>
            <w:r w:rsidRPr="001D32A7">
              <w:rPr>
                <w:b/>
                <w:bCs/>
              </w:rPr>
              <w:t>Option</w:t>
            </w:r>
          </w:p>
        </w:tc>
        <w:tc>
          <w:tcPr>
            <w:tcW w:w="1192" w:type="dxa"/>
            <w:shd w:val="clear" w:color="auto" w:fill="262626" w:themeFill="text1" w:themeFillTint="D9"/>
            <w:vAlign w:val="center"/>
          </w:tcPr>
          <w:p w14:paraId="52A578F5" w14:textId="57E148C4" w:rsidR="0063626F" w:rsidRPr="001D32A7" w:rsidRDefault="0063626F" w:rsidP="00EA6875">
            <w:pPr>
              <w:jc w:val="center"/>
              <w:rPr>
                <w:b/>
                <w:bCs/>
              </w:rPr>
            </w:pPr>
            <w:r w:rsidRPr="001D32A7">
              <w:rPr>
                <w:b/>
                <w:bCs/>
              </w:rPr>
              <w:t>Maintain existing services</w:t>
            </w:r>
          </w:p>
        </w:tc>
        <w:tc>
          <w:tcPr>
            <w:tcW w:w="1193" w:type="dxa"/>
            <w:shd w:val="clear" w:color="auto" w:fill="262626" w:themeFill="text1" w:themeFillTint="D9"/>
            <w:vAlign w:val="center"/>
          </w:tcPr>
          <w:p w14:paraId="311E3A87" w14:textId="575FF161" w:rsidR="0063626F" w:rsidRPr="001D32A7" w:rsidRDefault="0063626F" w:rsidP="00EA6875">
            <w:pPr>
              <w:jc w:val="center"/>
              <w:rPr>
                <w:b/>
                <w:bCs/>
              </w:rPr>
            </w:pPr>
            <w:r w:rsidRPr="001D32A7">
              <w:rPr>
                <w:b/>
                <w:bCs/>
              </w:rPr>
              <w:t>Expand SR WBB</w:t>
            </w:r>
          </w:p>
        </w:tc>
        <w:tc>
          <w:tcPr>
            <w:tcW w:w="1193" w:type="dxa"/>
            <w:shd w:val="clear" w:color="auto" w:fill="262626" w:themeFill="text1" w:themeFillTint="D9"/>
            <w:vAlign w:val="center"/>
          </w:tcPr>
          <w:p w14:paraId="6FB8199E" w14:textId="0B9DCA66" w:rsidR="0063626F" w:rsidRPr="001D32A7" w:rsidRDefault="0063626F" w:rsidP="00EA6875">
            <w:pPr>
              <w:jc w:val="center"/>
              <w:rPr>
                <w:b/>
                <w:bCs/>
              </w:rPr>
            </w:pPr>
            <w:r w:rsidRPr="001D32A7">
              <w:rPr>
                <w:b/>
                <w:bCs/>
              </w:rPr>
              <w:t>Introduce RMR</w:t>
            </w:r>
          </w:p>
        </w:tc>
        <w:tc>
          <w:tcPr>
            <w:tcW w:w="1559" w:type="dxa"/>
            <w:shd w:val="clear" w:color="auto" w:fill="262626" w:themeFill="text1" w:themeFillTint="D9"/>
            <w:vAlign w:val="center"/>
          </w:tcPr>
          <w:p w14:paraId="04BBB4AB" w14:textId="0E7DD60C" w:rsidR="0063626F" w:rsidRPr="001D32A7" w:rsidRDefault="00CE3EDF" w:rsidP="00EA6875">
            <w:pPr>
              <w:jc w:val="center"/>
              <w:rPr>
                <w:b/>
                <w:bCs/>
              </w:rPr>
            </w:pPr>
            <w:r w:rsidRPr="001D32A7">
              <w:rPr>
                <w:b/>
                <w:bCs/>
              </w:rPr>
              <w:t>C</w:t>
            </w:r>
            <w:r w:rsidR="0063626F" w:rsidRPr="001D32A7">
              <w:rPr>
                <w:b/>
                <w:bCs/>
              </w:rPr>
              <w:t>oexistence with 1.9 GHz band services</w:t>
            </w:r>
          </w:p>
        </w:tc>
        <w:tc>
          <w:tcPr>
            <w:tcW w:w="1560" w:type="dxa"/>
            <w:shd w:val="clear" w:color="auto" w:fill="262626" w:themeFill="text1" w:themeFillTint="D9"/>
            <w:vAlign w:val="center"/>
          </w:tcPr>
          <w:p w14:paraId="300EB7BF" w14:textId="0C8930B5" w:rsidR="0063626F" w:rsidRPr="001D32A7" w:rsidRDefault="00CE3EDF" w:rsidP="00EA6875">
            <w:pPr>
              <w:jc w:val="center"/>
              <w:rPr>
                <w:b/>
                <w:bCs/>
              </w:rPr>
            </w:pPr>
            <w:r w:rsidRPr="001D32A7">
              <w:rPr>
                <w:b/>
                <w:bCs/>
              </w:rPr>
              <w:t>C</w:t>
            </w:r>
            <w:r w:rsidR="0063626F" w:rsidRPr="001D32A7">
              <w:rPr>
                <w:b/>
                <w:bCs/>
              </w:rPr>
              <w:t>oexistence with adjacent band services</w:t>
            </w:r>
          </w:p>
        </w:tc>
      </w:tr>
      <w:tr w:rsidR="0063626F" w14:paraId="712C2475" w14:textId="77777777" w:rsidTr="00FD2C90">
        <w:trPr>
          <w:trHeight w:val="1011"/>
        </w:trPr>
        <w:tc>
          <w:tcPr>
            <w:tcW w:w="1095" w:type="dxa"/>
            <w:vAlign w:val="center"/>
          </w:tcPr>
          <w:p w14:paraId="5D9ACF76" w14:textId="77777777" w:rsidR="0063626F" w:rsidRDefault="0063626F" w:rsidP="00EA6875">
            <w:r>
              <w:t>Option 1</w:t>
            </w:r>
          </w:p>
          <w:p w14:paraId="1715C680" w14:textId="77777777" w:rsidR="0063626F" w:rsidRPr="00F97DB4" w:rsidRDefault="0063626F" w:rsidP="00EA6875">
            <w:r w:rsidRPr="00F97DB4">
              <w:t>(score)</w:t>
            </w:r>
          </w:p>
        </w:tc>
        <w:tc>
          <w:tcPr>
            <w:tcW w:w="1192" w:type="dxa"/>
            <w:shd w:val="clear" w:color="auto" w:fill="92D050"/>
            <w:vAlign w:val="center"/>
          </w:tcPr>
          <w:p w14:paraId="1E201F3F" w14:textId="00657504" w:rsidR="0063626F" w:rsidRPr="0058220A" w:rsidRDefault="0063626F" w:rsidP="0048703D">
            <w:pPr>
              <w:jc w:val="center"/>
              <w:rPr>
                <w:szCs w:val="20"/>
              </w:rPr>
            </w:pPr>
            <w:r w:rsidRPr="006B0757">
              <w:rPr>
                <w:sz w:val="48"/>
                <w:szCs w:val="48"/>
              </w:rPr>
              <w:sym w:font="Wingdings" w:char="F0FC"/>
            </w:r>
          </w:p>
        </w:tc>
        <w:tc>
          <w:tcPr>
            <w:tcW w:w="1193" w:type="dxa"/>
            <w:shd w:val="clear" w:color="auto" w:fill="D9D9D9" w:themeFill="background1" w:themeFillShade="D9"/>
            <w:vAlign w:val="center"/>
          </w:tcPr>
          <w:p w14:paraId="3B31859A" w14:textId="79CA7240" w:rsidR="0063626F" w:rsidRPr="006B0757" w:rsidRDefault="0063626F" w:rsidP="00A00440">
            <w:pPr>
              <w:jc w:val="center"/>
              <w:rPr>
                <w:sz w:val="48"/>
                <w:szCs w:val="48"/>
              </w:rPr>
            </w:pPr>
            <w:r w:rsidRPr="006B0757">
              <w:rPr>
                <w:sz w:val="48"/>
                <w:szCs w:val="48"/>
              </w:rPr>
              <w:sym w:font="Wingdings" w:char="F0FB"/>
            </w:r>
          </w:p>
        </w:tc>
        <w:tc>
          <w:tcPr>
            <w:tcW w:w="1193" w:type="dxa"/>
            <w:shd w:val="clear" w:color="auto" w:fill="D9D9D9" w:themeFill="background1" w:themeFillShade="D9"/>
            <w:vAlign w:val="center"/>
          </w:tcPr>
          <w:p w14:paraId="122A832B" w14:textId="65001516" w:rsidR="0063626F" w:rsidRDefault="0063626F" w:rsidP="00A00440">
            <w:pPr>
              <w:jc w:val="center"/>
            </w:pPr>
            <w:r w:rsidRPr="006B0757">
              <w:rPr>
                <w:sz w:val="48"/>
                <w:szCs w:val="48"/>
              </w:rPr>
              <w:sym w:font="Wingdings" w:char="F0FB"/>
            </w:r>
          </w:p>
        </w:tc>
        <w:tc>
          <w:tcPr>
            <w:tcW w:w="1559" w:type="dxa"/>
            <w:shd w:val="clear" w:color="auto" w:fill="92D050"/>
            <w:vAlign w:val="center"/>
          </w:tcPr>
          <w:p w14:paraId="2A47AC04" w14:textId="7441C779" w:rsidR="0063626F" w:rsidRDefault="0063626F" w:rsidP="00A76811">
            <w:pPr>
              <w:jc w:val="center"/>
            </w:pPr>
            <w:r w:rsidRPr="006B0757">
              <w:rPr>
                <w:sz w:val="48"/>
                <w:szCs w:val="48"/>
              </w:rPr>
              <w:sym w:font="Wingdings" w:char="F0FC"/>
            </w:r>
          </w:p>
        </w:tc>
        <w:tc>
          <w:tcPr>
            <w:tcW w:w="1560" w:type="dxa"/>
            <w:shd w:val="clear" w:color="auto" w:fill="92D050"/>
            <w:vAlign w:val="center"/>
          </w:tcPr>
          <w:p w14:paraId="5C607829" w14:textId="7F6F43AB" w:rsidR="0063626F" w:rsidRDefault="0063626F" w:rsidP="009B5150">
            <w:pPr>
              <w:jc w:val="center"/>
            </w:pPr>
            <w:r w:rsidRPr="006B0757">
              <w:rPr>
                <w:sz w:val="48"/>
                <w:szCs w:val="48"/>
              </w:rPr>
              <w:sym w:font="Wingdings" w:char="F0FC"/>
            </w:r>
          </w:p>
        </w:tc>
      </w:tr>
      <w:tr w:rsidR="0063626F" w14:paraId="240F1FFC" w14:textId="77777777" w:rsidTr="00FD2C90">
        <w:trPr>
          <w:trHeight w:val="1011"/>
        </w:trPr>
        <w:tc>
          <w:tcPr>
            <w:tcW w:w="1095" w:type="dxa"/>
            <w:vAlign w:val="center"/>
          </w:tcPr>
          <w:p w14:paraId="457F9D88" w14:textId="77777777" w:rsidR="0063626F" w:rsidRDefault="0063626F" w:rsidP="00EA6875">
            <w:r>
              <w:t>Option 2</w:t>
            </w:r>
          </w:p>
          <w:p w14:paraId="4BCB3C27" w14:textId="77777777" w:rsidR="0063626F" w:rsidRPr="00F97DB4" w:rsidRDefault="0063626F" w:rsidP="00EA6875">
            <w:r w:rsidRPr="00F97DB4">
              <w:t>(score)</w:t>
            </w:r>
          </w:p>
        </w:tc>
        <w:tc>
          <w:tcPr>
            <w:tcW w:w="1192" w:type="dxa"/>
            <w:shd w:val="clear" w:color="auto" w:fill="92D050"/>
            <w:vAlign w:val="center"/>
          </w:tcPr>
          <w:p w14:paraId="0A1BF927" w14:textId="58A4524E" w:rsidR="0063626F" w:rsidRDefault="0063626F" w:rsidP="0048703D">
            <w:pPr>
              <w:jc w:val="center"/>
            </w:pPr>
            <w:r w:rsidRPr="006B0757">
              <w:rPr>
                <w:sz w:val="48"/>
                <w:szCs w:val="48"/>
              </w:rPr>
              <w:sym w:font="Wingdings" w:char="F0FC"/>
            </w:r>
          </w:p>
        </w:tc>
        <w:tc>
          <w:tcPr>
            <w:tcW w:w="1193" w:type="dxa"/>
            <w:shd w:val="clear" w:color="auto" w:fill="92D050"/>
            <w:vAlign w:val="center"/>
          </w:tcPr>
          <w:p w14:paraId="0D418349" w14:textId="736F13CB" w:rsidR="0063626F" w:rsidRDefault="0063626F" w:rsidP="00A00440">
            <w:pPr>
              <w:jc w:val="center"/>
            </w:pPr>
            <w:r w:rsidRPr="006B0757">
              <w:rPr>
                <w:sz w:val="48"/>
                <w:szCs w:val="48"/>
              </w:rPr>
              <w:sym w:font="Wingdings" w:char="F0FC"/>
            </w:r>
          </w:p>
        </w:tc>
        <w:tc>
          <w:tcPr>
            <w:tcW w:w="1193" w:type="dxa"/>
            <w:shd w:val="clear" w:color="auto" w:fill="D9D9D9" w:themeFill="background1" w:themeFillShade="D9"/>
            <w:vAlign w:val="center"/>
          </w:tcPr>
          <w:p w14:paraId="761CB196" w14:textId="64E90B56" w:rsidR="0063626F" w:rsidRDefault="0063626F" w:rsidP="00A00440">
            <w:pPr>
              <w:jc w:val="center"/>
            </w:pPr>
            <w:r w:rsidRPr="006B0757">
              <w:rPr>
                <w:sz w:val="48"/>
                <w:szCs w:val="48"/>
              </w:rPr>
              <w:sym w:font="Wingdings" w:char="F0FB"/>
            </w:r>
          </w:p>
        </w:tc>
        <w:tc>
          <w:tcPr>
            <w:tcW w:w="1559" w:type="dxa"/>
            <w:shd w:val="clear" w:color="auto" w:fill="00B0F0"/>
            <w:vAlign w:val="center"/>
          </w:tcPr>
          <w:p w14:paraId="31783629" w14:textId="3B3C027B" w:rsidR="0063626F" w:rsidRDefault="0063626F" w:rsidP="00A76811">
            <w:pPr>
              <w:jc w:val="center"/>
            </w:pPr>
            <w:r>
              <w:rPr>
                <w:szCs w:val="20"/>
              </w:rPr>
              <w:t>Partial</w:t>
            </w:r>
            <w:r w:rsidR="00CE3EDF">
              <w:rPr>
                <w:szCs w:val="20"/>
              </w:rPr>
              <w:t>ly meets</w:t>
            </w:r>
          </w:p>
        </w:tc>
        <w:tc>
          <w:tcPr>
            <w:tcW w:w="1560" w:type="dxa"/>
            <w:shd w:val="clear" w:color="auto" w:fill="92D050"/>
            <w:vAlign w:val="center"/>
          </w:tcPr>
          <w:p w14:paraId="203535D0" w14:textId="4CD3044A" w:rsidR="0063626F" w:rsidRDefault="0063626F" w:rsidP="009B5150">
            <w:pPr>
              <w:jc w:val="center"/>
            </w:pPr>
            <w:r w:rsidRPr="006B0757">
              <w:rPr>
                <w:sz w:val="48"/>
                <w:szCs w:val="48"/>
              </w:rPr>
              <w:sym w:font="Wingdings" w:char="F0FC"/>
            </w:r>
          </w:p>
        </w:tc>
      </w:tr>
      <w:tr w:rsidR="0063626F" w14:paraId="2278D2E3" w14:textId="77777777" w:rsidTr="00FD2C90">
        <w:trPr>
          <w:trHeight w:val="1011"/>
        </w:trPr>
        <w:tc>
          <w:tcPr>
            <w:tcW w:w="1095" w:type="dxa"/>
            <w:vAlign w:val="center"/>
          </w:tcPr>
          <w:p w14:paraId="734AD5F8" w14:textId="77777777" w:rsidR="0063626F" w:rsidRDefault="0063626F" w:rsidP="00EA6875">
            <w:r>
              <w:t>Option 3</w:t>
            </w:r>
          </w:p>
          <w:p w14:paraId="18FF799E" w14:textId="77777777" w:rsidR="0063626F" w:rsidRPr="00F97DB4" w:rsidRDefault="0063626F" w:rsidP="00EA6875">
            <w:r w:rsidRPr="00F97DB4">
              <w:t>(score)</w:t>
            </w:r>
          </w:p>
        </w:tc>
        <w:tc>
          <w:tcPr>
            <w:tcW w:w="1192" w:type="dxa"/>
            <w:shd w:val="clear" w:color="auto" w:fill="92D050"/>
            <w:vAlign w:val="center"/>
          </w:tcPr>
          <w:p w14:paraId="611D4938" w14:textId="4ECC7328" w:rsidR="0063626F" w:rsidRDefault="0063626F" w:rsidP="0048703D">
            <w:pPr>
              <w:jc w:val="center"/>
            </w:pPr>
            <w:r w:rsidRPr="006B0757">
              <w:rPr>
                <w:sz w:val="48"/>
                <w:szCs w:val="48"/>
              </w:rPr>
              <w:sym w:font="Wingdings" w:char="F0FC"/>
            </w:r>
          </w:p>
        </w:tc>
        <w:tc>
          <w:tcPr>
            <w:tcW w:w="1193" w:type="dxa"/>
            <w:shd w:val="clear" w:color="auto" w:fill="00B0F0"/>
            <w:vAlign w:val="center"/>
          </w:tcPr>
          <w:p w14:paraId="708660DD" w14:textId="6DCEFAF1" w:rsidR="0063626F" w:rsidRDefault="0063626F" w:rsidP="00EA6875">
            <w:pPr>
              <w:jc w:val="center"/>
            </w:pPr>
            <w:r>
              <w:rPr>
                <w:szCs w:val="20"/>
              </w:rPr>
              <w:t>Partial</w:t>
            </w:r>
            <w:r w:rsidR="00CE3EDF">
              <w:rPr>
                <w:szCs w:val="20"/>
              </w:rPr>
              <w:t>ly meets</w:t>
            </w:r>
          </w:p>
        </w:tc>
        <w:tc>
          <w:tcPr>
            <w:tcW w:w="1193" w:type="dxa"/>
            <w:shd w:val="clear" w:color="auto" w:fill="92D050"/>
            <w:vAlign w:val="center"/>
          </w:tcPr>
          <w:p w14:paraId="7DB68132" w14:textId="04AD9DE3" w:rsidR="0063626F" w:rsidRDefault="0063626F" w:rsidP="0048703D">
            <w:pPr>
              <w:jc w:val="center"/>
            </w:pPr>
            <w:r w:rsidRPr="006B0757">
              <w:rPr>
                <w:sz w:val="48"/>
                <w:szCs w:val="48"/>
              </w:rPr>
              <w:sym w:font="Wingdings" w:char="F0FC"/>
            </w:r>
          </w:p>
        </w:tc>
        <w:tc>
          <w:tcPr>
            <w:tcW w:w="1559" w:type="dxa"/>
            <w:shd w:val="clear" w:color="auto" w:fill="00B0F0"/>
            <w:vAlign w:val="center"/>
          </w:tcPr>
          <w:p w14:paraId="296A9DB2" w14:textId="58402776" w:rsidR="0063626F" w:rsidRDefault="0063626F" w:rsidP="00EA6875">
            <w:pPr>
              <w:jc w:val="center"/>
            </w:pPr>
            <w:r>
              <w:rPr>
                <w:szCs w:val="20"/>
              </w:rPr>
              <w:t>Partial</w:t>
            </w:r>
            <w:r w:rsidR="00CE3EDF">
              <w:rPr>
                <w:szCs w:val="20"/>
              </w:rPr>
              <w:t>ly meets</w:t>
            </w:r>
            <w:r w:rsidRPr="0058220A" w:rsidDel="0063626F">
              <w:rPr>
                <w:szCs w:val="20"/>
              </w:rPr>
              <w:t xml:space="preserve"> </w:t>
            </w:r>
          </w:p>
        </w:tc>
        <w:tc>
          <w:tcPr>
            <w:tcW w:w="1560" w:type="dxa"/>
            <w:shd w:val="clear" w:color="auto" w:fill="92D050"/>
            <w:vAlign w:val="center"/>
          </w:tcPr>
          <w:p w14:paraId="3085E180" w14:textId="6275827C" w:rsidR="0063626F" w:rsidRDefault="0063626F" w:rsidP="0048703D">
            <w:pPr>
              <w:jc w:val="center"/>
            </w:pPr>
            <w:r w:rsidRPr="006B0757">
              <w:rPr>
                <w:sz w:val="48"/>
                <w:szCs w:val="48"/>
              </w:rPr>
              <w:sym w:font="Wingdings" w:char="F0FC"/>
            </w:r>
          </w:p>
        </w:tc>
      </w:tr>
      <w:tr w:rsidR="0063626F" w14:paraId="5D7BB248" w14:textId="77777777" w:rsidTr="00FD2C90">
        <w:trPr>
          <w:trHeight w:val="1011"/>
        </w:trPr>
        <w:tc>
          <w:tcPr>
            <w:tcW w:w="1095" w:type="dxa"/>
            <w:vAlign w:val="center"/>
          </w:tcPr>
          <w:p w14:paraId="103F198C" w14:textId="77777777" w:rsidR="0063626F" w:rsidRDefault="0063626F" w:rsidP="00EA6875">
            <w:r>
              <w:t>Option 4</w:t>
            </w:r>
          </w:p>
          <w:p w14:paraId="5FC3CEFC" w14:textId="77777777" w:rsidR="0063626F" w:rsidRPr="00F97DB4" w:rsidRDefault="0063626F" w:rsidP="00EA6875">
            <w:r w:rsidRPr="00F97DB4">
              <w:t>(score)</w:t>
            </w:r>
          </w:p>
        </w:tc>
        <w:tc>
          <w:tcPr>
            <w:tcW w:w="1192" w:type="dxa"/>
            <w:shd w:val="clear" w:color="auto" w:fill="92D050"/>
            <w:vAlign w:val="center"/>
          </w:tcPr>
          <w:p w14:paraId="74AEBB5B" w14:textId="46E03E0B" w:rsidR="0063626F" w:rsidRDefault="0063626F" w:rsidP="0048703D">
            <w:pPr>
              <w:jc w:val="center"/>
            </w:pPr>
            <w:r w:rsidRPr="006B0757">
              <w:rPr>
                <w:sz w:val="48"/>
                <w:szCs w:val="48"/>
              </w:rPr>
              <w:sym w:font="Wingdings" w:char="F0FC"/>
            </w:r>
          </w:p>
        </w:tc>
        <w:tc>
          <w:tcPr>
            <w:tcW w:w="1193" w:type="dxa"/>
            <w:shd w:val="clear" w:color="auto" w:fill="92D050"/>
            <w:vAlign w:val="center"/>
          </w:tcPr>
          <w:p w14:paraId="080DFEEC" w14:textId="3BE30DA6" w:rsidR="0063626F" w:rsidRDefault="0063626F" w:rsidP="00A00440">
            <w:pPr>
              <w:jc w:val="center"/>
            </w:pPr>
            <w:r w:rsidRPr="006B0757">
              <w:rPr>
                <w:sz w:val="48"/>
                <w:szCs w:val="48"/>
              </w:rPr>
              <w:sym w:font="Wingdings" w:char="F0FC"/>
            </w:r>
          </w:p>
        </w:tc>
        <w:tc>
          <w:tcPr>
            <w:tcW w:w="1193" w:type="dxa"/>
            <w:shd w:val="clear" w:color="auto" w:fill="92D050"/>
            <w:vAlign w:val="center"/>
          </w:tcPr>
          <w:p w14:paraId="466891BD" w14:textId="1B62E81E" w:rsidR="0063626F" w:rsidRDefault="0063626F" w:rsidP="00A00440">
            <w:pPr>
              <w:jc w:val="center"/>
            </w:pPr>
            <w:r w:rsidRPr="006B0757">
              <w:rPr>
                <w:sz w:val="48"/>
                <w:szCs w:val="48"/>
              </w:rPr>
              <w:sym w:font="Wingdings" w:char="F0FC"/>
            </w:r>
          </w:p>
        </w:tc>
        <w:tc>
          <w:tcPr>
            <w:tcW w:w="1559" w:type="dxa"/>
            <w:shd w:val="clear" w:color="auto" w:fill="00B0F0"/>
            <w:vAlign w:val="center"/>
          </w:tcPr>
          <w:p w14:paraId="40AF8A91" w14:textId="15294AED" w:rsidR="0063626F" w:rsidRDefault="0063626F" w:rsidP="00A76811">
            <w:pPr>
              <w:jc w:val="center"/>
            </w:pPr>
            <w:r>
              <w:rPr>
                <w:szCs w:val="20"/>
              </w:rPr>
              <w:t>Partial</w:t>
            </w:r>
            <w:r w:rsidR="00CE3EDF">
              <w:rPr>
                <w:szCs w:val="20"/>
              </w:rPr>
              <w:t>ly meets</w:t>
            </w:r>
          </w:p>
        </w:tc>
        <w:tc>
          <w:tcPr>
            <w:tcW w:w="1560" w:type="dxa"/>
            <w:shd w:val="clear" w:color="auto" w:fill="92D050"/>
            <w:vAlign w:val="center"/>
          </w:tcPr>
          <w:p w14:paraId="72662BB9" w14:textId="2BA9001F" w:rsidR="0063626F" w:rsidRDefault="0063626F" w:rsidP="009B5150">
            <w:pPr>
              <w:jc w:val="center"/>
            </w:pPr>
            <w:r w:rsidRPr="006B0757">
              <w:rPr>
                <w:sz w:val="48"/>
                <w:szCs w:val="48"/>
              </w:rPr>
              <w:sym w:font="Wingdings" w:char="F0FC"/>
            </w:r>
          </w:p>
        </w:tc>
      </w:tr>
    </w:tbl>
    <w:p w14:paraId="431D861E" w14:textId="77777777" w:rsidR="00FC4FD5" w:rsidRDefault="00FC4FD5" w:rsidP="004346FA">
      <w:pPr>
        <w:keepLines w:val="0"/>
        <w:spacing w:after="240"/>
      </w:pPr>
    </w:p>
    <w:p w14:paraId="370873D7" w14:textId="30FDB59B" w:rsidR="00722799" w:rsidRPr="00A05EC9" w:rsidRDefault="00722799" w:rsidP="00BE29EE">
      <w:pPr>
        <w:pStyle w:val="Heading2"/>
        <w:keepLines w:val="0"/>
      </w:pPr>
      <w:bookmarkStart w:id="173" w:name="_Toc117870137"/>
      <w:bookmarkStart w:id="174" w:name="_Toc118785127"/>
      <w:bookmarkStart w:id="175" w:name="_Toc120600062"/>
      <w:bookmarkStart w:id="176" w:name="_Hlk29976032"/>
      <w:r>
        <w:t>Conclusion of the assessment of the options</w:t>
      </w:r>
      <w:bookmarkEnd w:id="173"/>
      <w:bookmarkEnd w:id="174"/>
      <w:bookmarkEnd w:id="175"/>
    </w:p>
    <w:p w14:paraId="09DBE4CD" w14:textId="4EE0E100" w:rsidR="00722799" w:rsidRDefault="00722799" w:rsidP="00FD2C90">
      <w:pPr>
        <w:pStyle w:val="Paragraph"/>
        <w:keepLines w:val="0"/>
      </w:pPr>
      <w:r>
        <w:t xml:space="preserve">The assessment against the </w:t>
      </w:r>
      <w:r w:rsidR="00B23932">
        <w:t xml:space="preserve">desirable planning outcomes has identified Option </w:t>
      </w:r>
      <w:r w:rsidR="004726BC">
        <w:t>4</w:t>
      </w:r>
      <w:r w:rsidR="00B23932">
        <w:t xml:space="preserve"> as </w:t>
      </w:r>
      <w:r w:rsidR="0007682B">
        <w:t xml:space="preserve">best </w:t>
      </w:r>
      <w:r w:rsidR="00C64364">
        <w:t>promoting</w:t>
      </w:r>
      <w:r w:rsidR="00927027">
        <w:t xml:space="preserve"> the </w:t>
      </w:r>
      <w:r w:rsidR="00C64364">
        <w:t>long</w:t>
      </w:r>
      <w:r w:rsidR="00C64364">
        <w:rPr>
          <w:rFonts w:ascii="Cambria Math" w:hAnsi="Cambria Math" w:cs="Cambria Math"/>
        </w:rPr>
        <w:t>‑</w:t>
      </w:r>
      <w:r w:rsidR="00C64364">
        <w:t>term</w:t>
      </w:r>
      <w:r w:rsidR="00862BB5">
        <w:t xml:space="preserve"> </w:t>
      </w:r>
      <w:r w:rsidR="00927027">
        <w:t xml:space="preserve">public </w:t>
      </w:r>
      <w:r w:rsidR="00C64364">
        <w:t>interest</w:t>
      </w:r>
      <w:r w:rsidR="00927027">
        <w:t xml:space="preserve"> and the</w:t>
      </w:r>
      <w:r w:rsidR="00862BB5">
        <w:t>refore</w:t>
      </w:r>
      <w:r w:rsidR="007D21DF">
        <w:t>,</w:t>
      </w:r>
      <w:r w:rsidR="00862BB5">
        <w:t xml:space="preserve"> </w:t>
      </w:r>
      <w:r w:rsidR="0007682B">
        <w:t xml:space="preserve">it is </w:t>
      </w:r>
      <w:r w:rsidR="00862BB5">
        <w:t>ACMA</w:t>
      </w:r>
      <w:r w:rsidR="0007682B">
        <w:t>’s</w:t>
      </w:r>
      <w:r w:rsidR="00862BB5">
        <w:t xml:space="preserve"> preliminary preferred replanning option. </w:t>
      </w:r>
    </w:p>
    <w:p w14:paraId="5E8F74F9" w14:textId="59EB00BF" w:rsidR="007D1E3A" w:rsidRDefault="00CD0227" w:rsidP="00D51E3F">
      <w:pPr>
        <w:pStyle w:val="Paragraphbeforelist"/>
      </w:pPr>
      <w:r>
        <w:t xml:space="preserve">Option </w:t>
      </w:r>
      <w:r w:rsidR="00850969">
        <w:t>4</w:t>
      </w:r>
      <w:r w:rsidR="00E851DD">
        <w:t>:</w:t>
      </w:r>
    </w:p>
    <w:p w14:paraId="7C441315" w14:textId="2C0B005D" w:rsidR="00D44413" w:rsidRPr="00A05EC9" w:rsidRDefault="00C64364" w:rsidP="00FD2C90">
      <w:pPr>
        <w:pStyle w:val="ListBullet"/>
        <w:keepLines w:val="0"/>
      </w:pPr>
      <w:r>
        <w:t>Promotes</w:t>
      </w:r>
      <w:r w:rsidR="008C0E4D">
        <w:t xml:space="preserve"> – </w:t>
      </w:r>
      <w:r w:rsidR="00D44413" w:rsidRPr="00A05EC9">
        <w:t>by ensuring the efficient allocation and use of the spectrum</w:t>
      </w:r>
      <w:r w:rsidR="008C0E4D">
        <w:t xml:space="preserve"> – </w:t>
      </w:r>
      <w:r w:rsidR="00D44413" w:rsidRPr="00A05EC9">
        <w:t xml:space="preserve">the </w:t>
      </w:r>
      <w:r>
        <w:t>long</w:t>
      </w:r>
      <w:r>
        <w:rPr>
          <w:rFonts w:ascii="Cambria Math" w:hAnsi="Cambria Math" w:cs="Cambria Math"/>
        </w:rPr>
        <w:t>‑</w:t>
      </w:r>
      <w:r>
        <w:t>term</w:t>
      </w:r>
      <w:r w:rsidR="00D44413" w:rsidRPr="00A05EC9">
        <w:t xml:space="preserve"> public </w:t>
      </w:r>
      <w:r>
        <w:t>interest</w:t>
      </w:r>
      <w:r w:rsidR="00D44413" w:rsidRPr="00A05EC9">
        <w:t xml:space="preserve"> derived from the </w:t>
      </w:r>
      <w:r>
        <w:t>use of the</w:t>
      </w:r>
      <w:r w:rsidR="00D44413" w:rsidRPr="00A05EC9">
        <w:t xml:space="preserve"> spectrum</w:t>
      </w:r>
      <w:r w:rsidR="00D44413">
        <w:t>.</w:t>
      </w:r>
    </w:p>
    <w:p w14:paraId="5A9D1825" w14:textId="39FE790D" w:rsidR="00D44413" w:rsidRPr="005E6D37" w:rsidRDefault="00753B11" w:rsidP="00FD2C90">
      <w:pPr>
        <w:pStyle w:val="ListBullet"/>
        <w:keepLines w:val="0"/>
      </w:pPr>
      <w:r>
        <w:t>P</w:t>
      </w:r>
      <w:r w:rsidR="00D44413" w:rsidRPr="005E6D37">
        <w:t>rovide</w:t>
      </w:r>
      <w:r w:rsidR="00D44413">
        <w:t>s</w:t>
      </w:r>
      <w:r w:rsidR="00D44413" w:rsidRPr="005E6D37">
        <w:t xml:space="preserve"> a responsive and flexible approach to meeting the needs of spectrum</w:t>
      </w:r>
      <w:r w:rsidR="00D44413">
        <w:t xml:space="preserve"> users by providing a mix of service types and allocation methods in the </w:t>
      </w:r>
      <w:r w:rsidR="00850969">
        <w:t>1.9</w:t>
      </w:r>
      <w:r w:rsidR="004D25BB">
        <w:t> </w:t>
      </w:r>
      <w:r w:rsidR="00850969">
        <w:t>GHz</w:t>
      </w:r>
      <w:r w:rsidR="00D44413">
        <w:t> band.</w:t>
      </w:r>
    </w:p>
    <w:p w14:paraId="57B425AC" w14:textId="24249425" w:rsidR="00D44413" w:rsidRPr="00A05EC9" w:rsidRDefault="00753B11" w:rsidP="00FD2C90">
      <w:pPr>
        <w:pStyle w:val="ListBullet"/>
        <w:keepLines w:val="0"/>
      </w:pPr>
      <w:r>
        <w:t>E</w:t>
      </w:r>
      <w:r w:rsidR="00D44413" w:rsidRPr="00F26E80">
        <w:t>ncourage</w:t>
      </w:r>
      <w:r w:rsidR="00D44413">
        <w:t>s</w:t>
      </w:r>
      <w:r w:rsidR="00D44413" w:rsidRPr="00F26E80">
        <w:t xml:space="preserve"> the use of efficient radiocommunic</w:t>
      </w:r>
      <w:r w:rsidR="00D44413" w:rsidRPr="00A05EC9">
        <w:t xml:space="preserve">ation technologies </w:t>
      </w:r>
      <w:r w:rsidR="007103DE">
        <w:t>and</w:t>
      </w:r>
      <w:r w:rsidR="00D44413" w:rsidRPr="00A05EC9">
        <w:t xml:space="preserve"> a wide range of services of an adequate quality </w:t>
      </w:r>
      <w:r w:rsidR="00D44413">
        <w:t xml:space="preserve">by introducing new service types into the </w:t>
      </w:r>
      <w:r w:rsidR="00850969">
        <w:t>1.9 GHz</w:t>
      </w:r>
      <w:r w:rsidR="00D44413">
        <w:t xml:space="preserve"> band.</w:t>
      </w:r>
    </w:p>
    <w:p w14:paraId="2B640629" w14:textId="10B9908D" w:rsidR="00D44413" w:rsidRPr="00A37173" w:rsidRDefault="00753B11" w:rsidP="00FD2C90">
      <w:pPr>
        <w:pStyle w:val="ListBullet"/>
        <w:keepLines w:val="0"/>
      </w:pPr>
      <w:r>
        <w:t>S</w:t>
      </w:r>
      <w:r w:rsidR="00D44413">
        <w:t xml:space="preserve">upports </w:t>
      </w:r>
      <w:r w:rsidR="00D44413" w:rsidRPr="00A37173">
        <w:t>the communications policy objectives of the Commonwealth Government</w:t>
      </w:r>
      <w:r w:rsidR="00D44413">
        <w:t xml:space="preserve"> by retaining spectrum that can be utilised for </w:t>
      </w:r>
      <w:r w:rsidR="00850969">
        <w:t>LA WBB</w:t>
      </w:r>
      <w:r w:rsidR="00D44413">
        <w:t xml:space="preserve"> technologies</w:t>
      </w:r>
      <w:r w:rsidR="00D44413" w:rsidRPr="00A37173">
        <w:t>.</w:t>
      </w:r>
    </w:p>
    <w:p w14:paraId="374D24B8" w14:textId="2D447B48" w:rsidR="00D44413" w:rsidRPr="00A37173" w:rsidRDefault="00753B11" w:rsidP="00D51E3F">
      <w:pPr>
        <w:pStyle w:val="ListBulletLast"/>
      </w:pPr>
      <w:r>
        <w:t>S</w:t>
      </w:r>
      <w:r w:rsidR="00D44413">
        <w:t xml:space="preserve">upports </w:t>
      </w:r>
      <w:r w:rsidR="00D44413" w:rsidRPr="00A37173">
        <w:t>the communications policy objectives of the Commonwealth Government</w:t>
      </w:r>
      <w:r w:rsidR="00D44413">
        <w:t xml:space="preserve"> by retaining spectrum that can be utilised for PTP technologies</w:t>
      </w:r>
      <w:r w:rsidR="007103DE">
        <w:t>.</w:t>
      </w:r>
    </w:p>
    <w:p w14:paraId="6E302FD5" w14:textId="7382FB7B" w:rsidR="008A1900" w:rsidRDefault="008A1900" w:rsidP="00D51E3F">
      <w:pPr>
        <w:pStyle w:val="Paragraphbeforelist"/>
      </w:pPr>
      <w:r>
        <w:t xml:space="preserve">The option </w:t>
      </w:r>
      <w:r w:rsidR="009E41E6">
        <w:t>meets the desir</w:t>
      </w:r>
      <w:r w:rsidR="00F94774">
        <w:t>abl</w:t>
      </w:r>
      <w:r w:rsidR="009E41E6">
        <w:t>e planning outcomes as follows</w:t>
      </w:r>
      <w:r>
        <w:t>:</w:t>
      </w:r>
    </w:p>
    <w:p w14:paraId="7815784A" w14:textId="3D19C8A7" w:rsidR="00C4418C" w:rsidRPr="00450397" w:rsidRDefault="00A04488" w:rsidP="00FD2C90">
      <w:pPr>
        <w:pStyle w:val="ListBullet"/>
        <w:keepLines w:val="0"/>
        <w:rPr>
          <w:rStyle w:val="IntenseReference"/>
          <w:rFonts w:cs="Arial"/>
          <w:b w:val="0"/>
          <w:smallCaps w:val="0"/>
          <w:color w:val="auto"/>
          <w:spacing w:val="0"/>
        </w:rPr>
      </w:pPr>
      <w:r w:rsidRPr="00450397">
        <w:rPr>
          <w:rStyle w:val="IntenseReference"/>
          <w:b w:val="0"/>
          <w:smallCaps w:val="0"/>
          <w:color w:val="auto"/>
          <w:spacing w:val="0"/>
        </w:rPr>
        <w:t>A segment for</w:t>
      </w:r>
      <w:r w:rsidR="00C4418C" w:rsidRPr="00450397">
        <w:rPr>
          <w:rStyle w:val="IntenseReference"/>
          <w:b w:val="0"/>
          <w:smallCaps w:val="0"/>
          <w:color w:val="auto"/>
          <w:spacing w:val="0"/>
        </w:rPr>
        <w:t xml:space="preserve"> excusive </w:t>
      </w:r>
      <w:r w:rsidR="005E3C5D">
        <w:rPr>
          <w:rStyle w:val="IntenseReference"/>
          <w:b w:val="0"/>
          <w:smallCaps w:val="0"/>
          <w:color w:val="auto"/>
          <w:spacing w:val="0"/>
        </w:rPr>
        <w:t>RMR</w:t>
      </w:r>
      <w:r w:rsidR="00C4418C" w:rsidRPr="00450397">
        <w:rPr>
          <w:rStyle w:val="IntenseReference"/>
          <w:b w:val="0"/>
          <w:smallCaps w:val="0"/>
          <w:color w:val="auto"/>
          <w:spacing w:val="0"/>
        </w:rPr>
        <w:t xml:space="preserve"> </w:t>
      </w:r>
      <w:r w:rsidR="00416A52" w:rsidRPr="00450397">
        <w:rPr>
          <w:rStyle w:val="IntenseReference"/>
          <w:b w:val="0"/>
          <w:smallCaps w:val="0"/>
          <w:color w:val="auto"/>
          <w:spacing w:val="0"/>
        </w:rPr>
        <w:t>uses</w:t>
      </w:r>
      <w:r w:rsidR="00C4418C" w:rsidRPr="00450397">
        <w:rPr>
          <w:rStyle w:val="IntenseReference"/>
          <w:b w:val="0"/>
          <w:smallCaps w:val="0"/>
          <w:color w:val="auto"/>
          <w:spacing w:val="0"/>
        </w:rPr>
        <w:t xml:space="preserve"> </w:t>
      </w:r>
      <w:r w:rsidR="00850969" w:rsidRPr="00450397">
        <w:rPr>
          <w:rStyle w:val="IntenseReference"/>
          <w:b w:val="0"/>
          <w:smallCaps w:val="0"/>
          <w:color w:val="auto"/>
          <w:spacing w:val="0"/>
        </w:rPr>
        <w:t>Australia</w:t>
      </w:r>
      <w:r w:rsidR="00ED026A">
        <w:rPr>
          <w:rStyle w:val="IntenseReference"/>
          <w:b w:val="0"/>
          <w:smallCaps w:val="0"/>
          <w:color w:val="auto"/>
          <w:spacing w:val="0"/>
        </w:rPr>
        <w:t>-</w:t>
      </w:r>
      <w:r w:rsidR="007D21DF">
        <w:rPr>
          <w:rStyle w:val="IntenseReference"/>
          <w:b w:val="0"/>
          <w:smallCaps w:val="0"/>
          <w:color w:val="auto"/>
          <w:spacing w:val="0"/>
        </w:rPr>
        <w:t>w</w:t>
      </w:r>
      <w:r w:rsidR="00850969" w:rsidRPr="00450397">
        <w:rPr>
          <w:rStyle w:val="IntenseReference"/>
          <w:b w:val="0"/>
          <w:smallCaps w:val="0"/>
          <w:color w:val="auto"/>
          <w:spacing w:val="0"/>
        </w:rPr>
        <w:t>ide</w:t>
      </w:r>
      <w:r w:rsidR="009E41E6" w:rsidRPr="00450397">
        <w:rPr>
          <w:rStyle w:val="IntenseReference"/>
          <w:b w:val="0"/>
          <w:smallCaps w:val="0"/>
          <w:color w:val="auto"/>
          <w:spacing w:val="0"/>
        </w:rPr>
        <w:t>.</w:t>
      </w:r>
    </w:p>
    <w:p w14:paraId="6CC9D811" w14:textId="2133727B" w:rsidR="00FB0612" w:rsidRPr="00450397" w:rsidRDefault="000D2817" w:rsidP="00FD2C90">
      <w:pPr>
        <w:pStyle w:val="ListBullet"/>
        <w:keepLines w:val="0"/>
        <w:rPr>
          <w:rStyle w:val="IntenseReference"/>
          <w:b w:val="0"/>
          <w:smallCaps w:val="0"/>
          <w:color w:val="auto"/>
          <w:spacing w:val="0"/>
        </w:rPr>
      </w:pPr>
      <w:r w:rsidRPr="00450397">
        <w:rPr>
          <w:rStyle w:val="IntenseReference"/>
          <w:b w:val="0"/>
          <w:smallCaps w:val="0"/>
          <w:color w:val="auto"/>
          <w:spacing w:val="0"/>
        </w:rPr>
        <w:t>Se</w:t>
      </w:r>
      <w:r w:rsidR="00FB0612" w:rsidRPr="00450397">
        <w:rPr>
          <w:rStyle w:val="IntenseReference"/>
          <w:b w:val="0"/>
          <w:smallCaps w:val="0"/>
          <w:color w:val="auto"/>
          <w:spacing w:val="0"/>
        </w:rPr>
        <w:t>gment</w:t>
      </w:r>
      <w:r w:rsidRPr="00450397">
        <w:rPr>
          <w:rStyle w:val="IntenseReference"/>
          <w:b w:val="0"/>
          <w:smallCaps w:val="0"/>
          <w:color w:val="auto"/>
          <w:spacing w:val="0"/>
        </w:rPr>
        <w:t>s</w:t>
      </w:r>
      <w:r w:rsidR="00FB0612" w:rsidRPr="00450397">
        <w:rPr>
          <w:rStyle w:val="IntenseReference"/>
          <w:b w:val="0"/>
          <w:smallCaps w:val="0"/>
          <w:color w:val="auto"/>
          <w:spacing w:val="0"/>
        </w:rPr>
        <w:t xml:space="preserve"> for shared </w:t>
      </w:r>
      <w:r w:rsidR="00850969" w:rsidRPr="00450397">
        <w:rPr>
          <w:rStyle w:val="IntenseReference"/>
          <w:b w:val="0"/>
          <w:smallCaps w:val="0"/>
          <w:color w:val="auto"/>
          <w:spacing w:val="0"/>
        </w:rPr>
        <w:t>SR</w:t>
      </w:r>
      <w:r w:rsidR="00FB0612" w:rsidRPr="00450397">
        <w:rPr>
          <w:rStyle w:val="IntenseReference"/>
          <w:b w:val="0"/>
          <w:smallCaps w:val="0"/>
          <w:color w:val="auto"/>
          <w:spacing w:val="0"/>
        </w:rPr>
        <w:t xml:space="preserve"> WBB </w:t>
      </w:r>
      <w:r w:rsidRPr="00450397">
        <w:rPr>
          <w:rStyle w:val="IntenseReference"/>
          <w:b w:val="0"/>
          <w:smallCaps w:val="0"/>
          <w:color w:val="auto"/>
          <w:spacing w:val="0"/>
        </w:rPr>
        <w:t>Australia</w:t>
      </w:r>
      <w:r w:rsidR="00ED026A">
        <w:rPr>
          <w:rStyle w:val="IntenseReference"/>
          <w:b w:val="0"/>
          <w:smallCaps w:val="0"/>
          <w:color w:val="auto"/>
          <w:spacing w:val="0"/>
        </w:rPr>
        <w:t>-</w:t>
      </w:r>
      <w:r w:rsidRPr="00450397">
        <w:rPr>
          <w:rStyle w:val="IntenseReference"/>
          <w:b w:val="0"/>
          <w:smallCaps w:val="0"/>
          <w:color w:val="auto"/>
          <w:spacing w:val="0"/>
        </w:rPr>
        <w:t>wide</w:t>
      </w:r>
      <w:r w:rsidR="009E41E6" w:rsidRPr="00450397">
        <w:rPr>
          <w:rStyle w:val="IntenseReference"/>
          <w:b w:val="0"/>
          <w:smallCaps w:val="0"/>
          <w:color w:val="auto"/>
          <w:spacing w:val="0"/>
        </w:rPr>
        <w:t>.</w:t>
      </w:r>
    </w:p>
    <w:p w14:paraId="6B0854B7" w14:textId="3589E32C" w:rsidR="00C2695C" w:rsidRPr="00450397" w:rsidRDefault="00C4418C" w:rsidP="00FD2C90">
      <w:pPr>
        <w:pStyle w:val="ListBullet"/>
        <w:keepLines w:val="0"/>
        <w:rPr>
          <w:rStyle w:val="IntenseReference"/>
          <w:b w:val="0"/>
          <w:smallCaps w:val="0"/>
          <w:color w:val="auto"/>
          <w:spacing w:val="0"/>
        </w:rPr>
      </w:pPr>
      <w:r w:rsidRPr="00450397">
        <w:rPr>
          <w:rStyle w:val="IntenseReference"/>
          <w:b w:val="0"/>
          <w:smallCaps w:val="0"/>
          <w:color w:val="auto"/>
          <w:spacing w:val="0"/>
        </w:rPr>
        <w:t xml:space="preserve">Retaining </w:t>
      </w:r>
      <w:r w:rsidR="00C2695C" w:rsidRPr="00450397">
        <w:rPr>
          <w:rStyle w:val="IntenseReference"/>
          <w:b w:val="0"/>
          <w:smallCaps w:val="0"/>
          <w:color w:val="auto"/>
          <w:spacing w:val="0"/>
        </w:rPr>
        <w:t xml:space="preserve">access </w:t>
      </w:r>
      <w:r w:rsidR="00E831BE" w:rsidRPr="00450397">
        <w:rPr>
          <w:rStyle w:val="IntenseReference"/>
          <w:b w:val="0"/>
          <w:smallCaps w:val="0"/>
          <w:color w:val="auto"/>
          <w:spacing w:val="0"/>
        </w:rPr>
        <w:t>for</w:t>
      </w:r>
      <w:r w:rsidRPr="00450397">
        <w:rPr>
          <w:rStyle w:val="IntenseReference"/>
          <w:b w:val="0"/>
          <w:smallCaps w:val="0"/>
          <w:color w:val="auto"/>
          <w:spacing w:val="0"/>
        </w:rPr>
        <w:t xml:space="preserve"> </w:t>
      </w:r>
      <w:r w:rsidR="00850969" w:rsidRPr="00450397">
        <w:rPr>
          <w:rStyle w:val="IntenseReference"/>
          <w:b w:val="0"/>
          <w:smallCaps w:val="0"/>
          <w:color w:val="auto"/>
          <w:spacing w:val="0"/>
        </w:rPr>
        <w:t>LA WBB</w:t>
      </w:r>
      <w:r w:rsidRPr="00450397">
        <w:rPr>
          <w:rStyle w:val="IntenseReference"/>
          <w:b w:val="0"/>
          <w:smallCaps w:val="0"/>
          <w:color w:val="auto"/>
          <w:spacing w:val="0"/>
        </w:rPr>
        <w:t xml:space="preserve"> and PTP use in </w:t>
      </w:r>
      <w:r w:rsidR="00850969" w:rsidRPr="00450397">
        <w:rPr>
          <w:rStyle w:val="IntenseReference"/>
          <w:b w:val="0"/>
          <w:smallCaps w:val="0"/>
          <w:color w:val="auto"/>
          <w:spacing w:val="0"/>
        </w:rPr>
        <w:t xml:space="preserve">regional and </w:t>
      </w:r>
      <w:r w:rsidRPr="00450397">
        <w:rPr>
          <w:rStyle w:val="IntenseReference"/>
          <w:b w:val="0"/>
          <w:smallCaps w:val="0"/>
          <w:color w:val="auto"/>
          <w:spacing w:val="0"/>
        </w:rPr>
        <w:t>remote areas</w:t>
      </w:r>
      <w:r w:rsidR="00C2695C" w:rsidRPr="00450397">
        <w:rPr>
          <w:rStyle w:val="IntenseReference"/>
          <w:b w:val="0"/>
          <w:smallCaps w:val="0"/>
          <w:color w:val="auto"/>
          <w:spacing w:val="0"/>
        </w:rPr>
        <w:t>.</w:t>
      </w:r>
    </w:p>
    <w:p w14:paraId="7A776774" w14:textId="4DBB9AEB" w:rsidR="000D2817" w:rsidRPr="00450397" w:rsidRDefault="000D2817" w:rsidP="00FD2C90">
      <w:pPr>
        <w:pStyle w:val="ListBullet"/>
        <w:keepLines w:val="0"/>
        <w:rPr>
          <w:rStyle w:val="IntenseReference"/>
          <w:b w:val="0"/>
          <w:smallCaps w:val="0"/>
          <w:color w:val="auto"/>
          <w:spacing w:val="0"/>
        </w:rPr>
      </w:pPr>
      <w:r w:rsidRPr="00450397">
        <w:rPr>
          <w:rStyle w:val="IntenseReference"/>
          <w:b w:val="0"/>
          <w:smallCaps w:val="0"/>
          <w:color w:val="auto"/>
          <w:spacing w:val="0"/>
        </w:rPr>
        <w:t>A segment for FSS and PTP use only Australia</w:t>
      </w:r>
      <w:r w:rsidR="00ED026A">
        <w:rPr>
          <w:rStyle w:val="IntenseReference"/>
          <w:b w:val="0"/>
          <w:smallCaps w:val="0"/>
          <w:color w:val="auto"/>
          <w:spacing w:val="0"/>
        </w:rPr>
        <w:t>-</w:t>
      </w:r>
      <w:r w:rsidRPr="00450397">
        <w:rPr>
          <w:rStyle w:val="IntenseReference"/>
          <w:b w:val="0"/>
          <w:smallCaps w:val="0"/>
          <w:color w:val="auto"/>
          <w:spacing w:val="0"/>
        </w:rPr>
        <w:t>wide.</w:t>
      </w:r>
    </w:p>
    <w:p w14:paraId="6F7DBA87" w14:textId="2E73553F" w:rsidR="001537FD" w:rsidRPr="00450397" w:rsidRDefault="001537FD" w:rsidP="00D51E3F">
      <w:pPr>
        <w:pStyle w:val="ListBulletLast"/>
        <w:rPr>
          <w:rStyle w:val="IntenseReference"/>
          <w:b w:val="0"/>
          <w:smallCaps w:val="0"/>
          <w:color w:val="auto"/>
          <w:spacing w:val="0"/>
        </w:rPr>
      </w:pPr>
      <w:r w:rsidRPr="00450397">
        <w:rPr>
          <w:rStyle w:val="IntenseReference"/>
          <w:b w:val="0"/>
          <w:smallCaps w:val="0"/>
          <w:color w:val="auto"/>
          <w:spacing w:val="0"/>
        </w:rPr>
        <w:lastRenderedPageBreak/>
        <w:t xml:space="preserve">Coexistence with adjacent band services </w:t>
      </w:r>
      <w:r w:rsidR="00850969" w:rsidRPr="00450397">
        <w:rPr>
          <w:rStyle w:val="IntenseReference"/>
          <w:b w:val="0"/>
          <w:smallCaps w:val="0"/>
          <w:color w:val="auto"/>
          <w:spacing w:val="0"/>
        </w:rPr>
        <w:t xml:space="preserve">by having frequency separation between </w:t>
      </w:r>
      <w:r w:rsidR="005E3C5D">
        <w:rPr>
          <w:rStyle w:val="IntenseReference"/>
          <w:b w:val="0"/>
          <w:smallCaps w:val="0"/>
          <w:color w:val="auto"/>
          <w:spacing w:val="0"/>
        </w:rPr>
        <w:t>RMR</w:t>
      </w:r>
      <w:r w:rsidR="00850969" w:rsidRPr="00450397">
        <w:rPr>
          <w:rStyle w:val="IntenseReference"/>
          <w:b w:val="0"/>
          <w:smallCaps w:val="0"/>
          <w:color w:val="auto"/>
          <w:spacing w:val="0"/>
        </w:rPr>
        <w:t xml:space="preserve"> and adjacent band services.</w:t>
      </w:r>
      <w:r w:rsidR="00021064" w:rsidRPr="00450397">
        <w:rPr>
          <w:rStyle w:val="IntenseReference"/>
          <w:b w:val="0"/>
          <w:smallCaps w:val="0"/>
          <w:color w:val="auto"/>
          <w:spacing w:val="0"/>
        </w:rPr>
        <w:t xml:space="preserve"> </w:t>
      </w:r>
    </w:p>
    <w:p w14:paraId="13A31D42" w14:textId="00041821" w:rsidR="003A5332" w:rsidRDefault="003A5332">
      <w:pPr>
        <w:pStyle w:val="Paragraph"/>
        <w:keepLines w:val="0"/>
      </w:pPr>
      <w:bookmarkStart w:id="177" w:name="_Ref29821512"/>
      <w:bookmarkEnd w:id="176"/>
      <w:r w:rsidRPr="003A5332">
        <w:t xml:space="preserve">The </w:t>
      </w:r>
      <w:r w:rsidR="00431D48" w:rsidRPr="00FD5C6B">
        <w:t xml:space="preserve">development of replanning options </w:t>
      </w:r>
      <w:r w:rsidR="00431D48">
        <w:t>often</w:t>
      </w:r>
      <w:r w:rsidR="00431D48" w:rsidRPr="00FD5C6B">
        <w:t xml:space="preserve"> requires </w:t>
      </w:r>
      <w:r w:rsidR="00431D48">
        <w:t xml:space="preserve">balancing separate considerations </w:t>
      </w:r>
      <w:r w:rsidR="00431D48" w:rsidRPr="00FD5C6B">
        <w:t xml:space="preserve">between providing for </w:t>
      </w:r>
      <w:r w:rsidR="00431D48">
        <w:t xml:space="preserve">multiple and flexible spectrum </w:t>
      </w:r>
      <w:r w:rsidR="00431D48" w:rsidRPr="00FD5C6B">
        <w:t>use</w:t>
      </w:r>
      <w:r w:rsidR="00431D48">
        <w:t>s</w:t>
      </w:r>
      <w:r w:rsidR="00431D48" w:rsidRPr="00FD5C6B">
        <w:t xml:space="preserve"> </w:t>
      </w:r>
      <w:r w:rsidR="00431D48">
        <w:t>against</w:t>
      </w:r>
      <w:r w:rsidR="00431D48" w:rsidRPr="00FD5C6B">
        <w:t xml:space="preserve"> the complexity of technical and licensing frameworks that </w:t>
      </w:r>
      <w:r w:rsidR="00431D48">
        <w:t>are</w:t>
      </w:r>
      <w:r w:rsidR="00431D48" w:rsidRPr="00FD5C6B">
        <w:t xml:space="preserve"> needed to support </w:t>
      </w:r>
      <w:r w:rsidR="00431D48">
        <w:t xml:space="preserve">such </w:t>
      </w:r>
      <w:r w:rsidR="00431D48" w:rsidRPr="00FD5C6B">
        <w:t xml:space="preserve">increased utility. </w:t>
      </w:r>
      <w:r w:rsidR="008C0E4D">
        <w:t xml:space="preserve">Our </w:t>
      </w:r>
      <w:r w:rsidR="00431D48">
        <w:t xml:space="preserve">preliminary </w:t>
      </w:r>
      <w:r w:rsidR="00431D48" w:rsidRPr="00915142">
        <w:t xml:space="preserve">preferred </w:t>
      </w:r>
      <w:r w:rsidR="00431D48" w:rsidRPr="00FD5C6B">
        <w:t xml:space="preserve">Option 4 </w:t>
      </w:r>
      <w:r w:rsidR="00431D48">
        <w:t xml:space="preserve">seeks to maximise flexibility of use and hence utility, which therefore introduces complexity into the development of relevant technical and licensing arrangements. The appropriate balance between these </w:t>
      </w:r>
      <w:r w:rsidR="006B0360">
        <w:t xml:space="preserve">2 </w:t>
      </w:r>
      <w:r w:rsidR="00431D48">
        <w:t xml:space="preserve">concerns needs </w:t>
      </w:r>
      <w:r w:rsidR="00431D48" w:rsidRPr="00FD5C6B">
        <w:t xml:space="preserve">to be further considered to determine if </w:t>
      </w:r>
      <w:r w:rsidR="00431D48">
        <w:t>this option</w:t>
      </w:r>
      <w:r w:rsidR="00431D48" w:rsidRPr="00FD5C6B">
        <w:t xml:space="preserve"> represents the </w:t>
      </w:r>
      <w:r w:rsidR="00431D48">
        <w:t>optimal use of the spectrum</w:t>
      </w:r>
      <w:r w:rsidRPr="003A5332">
        <w:t>.</w:t>
      </w:r>
    </w:p>
    <w:p w14:paraId="4BDBF9C4" w14:textId="373A4B81" w:rsidR="001B51FC" w:rsidRPr="00C02F26" w:rsidRDefault="00D6128F" w:rsidP="00FD2C90">
      <w:pPr>
        <w:pStyle w:val="Paragraph"/>
        <w:keepLines w:val="0"/>
      </w:pPr>
      <w:r>
        <w:t>With most of the options</w:t>
      </w:r>
      <w:r w:rsidR="007103DE">
        <w:t>,</w:t>
      </w:r>
      <w:r w:rsidR="00850969">
        <w:t xml:space="preserve"> coexistence </w:t>
      </w:r>
      <w:r>
        <w:t xml:space="preserve">issues </w:t>
      </w:r>
      <w:r w:rsidR="00850969">
        <w:t xml:space="preserve">will need to be considered further. The </w:t>
      </w:r>
      <w:r>
        <w:t>arrangements and/or provision for</w:t>
      </w:r>
      <w:r w:rsidR="00850969">
        <w:t xml:space="preserve"> services </w:t>
      </w:r>
      <w:r>
        <w:t xml:space="preserve">in the band </w:t>
      </w:r>
      <w:r w:rsidR="00850969">
        <w:t xml:space="preserve">may be amended pending the outcomes of the coexistence analysis. </w:t>
      </w:r>
    </w:p>
    <w:p w14:paraId="6B5952D3" w14:textId="07B0207E" w:rsidR="006C1631" w:rsidRPr="00BE29EE" w:rsidRDefault="006C1631" w:rsidP="00BE29EE">
      <w:pPr>
        <w:pStyle w:val="Heading1"/>
      </w:pPr>
      <w:bookmarkStart w:id="178" w:name="_Ref29821227"/>
      <w:bookmarkStart w:id="179" w:name="_Toc117870138"/>
      <w:bookmarkStart w:id="180" w:name="_Toc118785128"/>
      <w:bookmarkStart w:id="181" w:name="_Toc120600063"/>
      <w:bookmarkEnd w:id="177"/>
      <w:r w:rsidRPr="00BE29EE">
        <w:lastRenderedPageBreak/>
        <w:t>Invitation to comment</w:t>
      </w:r>
      <w:bookmarkEnd w:id="178"/>
      <w:bookmarkEnd w:id="179"/>
      <w:bookmarkEnd w:id="180"/>
      <w:bookmarkEnd w:id="181"/>
    </w:p>
    <w:p w14:paraId="5CCB5CDD" w14:textId="77777777" w:rsidR="006C1631" w:rsidRDefault="006C1631" w:rsidP="00BE29EE">
      <w:pPr>
        <w:pStyle w:val="Heading2"/>
        <w:keepLines w:val="0"/>
      </w:pPr>
      <w:bookmarkStart w:id="182" w:name="_Toc433122131"/>
      <w:bookmarkStart w:id="183" w:name="_Toc348105637"/>
      <w:bookmarkStart w:id="184" w:name="_Toc300909556"/>
      <w:bookmarkStart w:id="185" w:name="_Toc298924673"/>
      <w:bookmarkStart w:id="186" w:name="_Toc117870139"/>
      <w:bookmarkStart w:id="187" w:name="_Toc118785129"/>
      <w:bookmarkStart w:id="188" w:name="_Toc120600064"/>
      <w:bookmarkStart w:id="189" w:name="_Toc348105638"/>
      <w:bookmarkStart w:id="190" w:name="_Toc300909557"/>
      <w:bookmarkStart w:id="191" w:name="_Toc298924674"/>
      <w:bookmarkStart w:id="192" w:name="_Toc274296357"/>
      <w:r>
        <w:t>Making a submission</w:t>
      </w:r>
      <w:bookmarkEnd w:id="182"/>
      <w:bookmarkEnd w:id="183"/>
      <w:bookmarkEnd w:id="184"/>
      <w:bookmarkEnd w:id="185"/>
      <w:bookmarkEnd w:id="186"/>
      <w:bookmarkEnd w:id="187"/>
      <w:bookmarkEnd w:id="188"/>
    </w:p>
    <w:p w14:paraId="00B68000" w14:textId="0F4C6172" w:rsidR="006C1631" w:rsidRDefault="006C1631" w:rsidP="00BE29EE">
      <w:pPr>
        <w:keepLines w:val="0"/>
      </w:pPr>
      <w:r>
        <w:t xml:space="preserve">The ACMA invites comments on the issues set out in this </w:t>
      </w:r>
      <w:r w:rsidR="00BB7729">
        <w:t xml:space="preserve">options </w:t>
      </w:r>
      <w:r>
        <w:t xml:space="preserve">paper. </w:t>
      </w:r>
    </w:p>
    <w:p w14:paraId="7459412F" w14:textId="1E799325" w:rsidR="0070133D" w:rsidRDefault="00615F77" w:rsidP="00BE29EE">
      <w:pPr>
        <w:pStyle w:val="ListBullet"/>
        <w:keepLines w:val="0"/>
      </w:pPr>
      <w:hyperlink r:id="rId53" w:history="1">
        <w:r w:rsidR="0070133D">
          <w:rPr>
            <w:rStyle w:val="Hyperlink"/>
          </w:rPr>
          <w:t>Online submissions</w:t>
        </w:r>
      </w:hyperlink>
      <w:r w:rsidR="0070133D">
        <w:t xml:space="preserve"> can be made via the comment function or by </w:t>
      </w:r>
      <w:r w:rsidR="0070133D" w:rsidRPr="0070133D">
        <w:t>uploading</w:t>
      </w:r>
      <w:r w:rsidR="0070133D">
        <w:t xml:space="preserve"> a document. Submissions in Microsoft Word or Rich Text Format are preferred.</w:t>
      </w:r>
    </w:p>
    <w:p w14:paraId="1F26A954" w14:textId="77777777" w:rsidR="006C1631" w:rsidRDefault="006C1631" w:rsidP="00BE29EE">
      <w:pPr>
        <w:pStyle w:val="ListBullet"/>
        <w:keepLines w:val="0"/>
      </w:pPr>
      <w:r>
        <w:t xml:space="preserve">Submissions by post can be sent to: </w:t>
      </w:r>
    </w:p>
    <w:p w14:paraId="77F5F19E" w14:textId="20EC31D5" w:rsidR="006C1631" w:rsidRDefault="006C1631" w:rsidP="004346FA">
      <w:pPr>
        <w:keepLines w:val="0"/>
        <w:ind w:left="284"/>
      </w:pPr>
      <w:r w:rsidRPr="004346FA">
        <w:t>The Manager</w:t>
      </w:r>
      <w:r w:rsidR="00887EA7" w:rsidRPr="004346FA">
        <w:t>, Wireless Broadband</w:t>
      </w:r>
      <w:r w:rsidR="00B81E87" w:rsidRPr="004346FA">
        <w:br/>
      </w:r>
      <w:r w:rsidR="00887EA7" w:rsidRPr="004346FA">
        <w:t>Spectrum Planning and Engineering Branch</w:t>
      </w:r>
      <w:r w:rsidR="00B81E87" w:rsidRPr="004346FA">
        <w:br/>
      </w:r>
      <w:r w:rsidRPr="004346FA">
        <w:t>Australian Communications and Media Authority</w:t>
      </w:r>
      <w:r w:rsidR="00B81E87" w:rsidRPr="004346FA">
        <w:br/>
      </w:r>
      <w:r w:rsidRPr="004346FA">
        <w:t>PO Box 78</w:t>
      </w:r>
      <w:r w:rsidR="00B81E87" w:rsidRPr="004346FA">
        <w:br/>
      </w:r>
      <w:r w:rsidRPr="004346FA">
        <w:t>Belconnen ACT 2616</w:t>
      </w:r>
    </w:p>
    <w:p w14:paraId="31432BD7" w14:textId="3FF153AB" w:rsidR="006C1631" w:rsidRDefault="006C1631" w:rsidP="00BE29EE">
      <w:pPr>
        <w:keepLines w:val="0"/>
      </w:pPr>
      <w:r w:rsidRPr="0003235D">
        <w:t xml:space="preserve">The closing date for submissions is </w:t>
      </w:r>
      <w:r w:rsidRPr="003248E1">
        <w:rPr>
          <w:b/>
        </w:rPr>
        <w:t xml:space="preserve">COB, </w:t>
      </w:r>
      <w:r w:rsidR="00AE7B41" w:rsidRPr="003248E1">
        <w:rPr>
          <w:b/>
        </w:rPr>
        <w:t>17 March</w:t>
      </w:r>
      <w:r w:rsidR="0003235D" w:rsidRPr="003248E1">
        <w:rPr>
          <w:b/>
        </w:rPr>
        <w:t xml:space="preserve"> </w:t>
      </w:r>
      <w:r w:rsidR="00215C3C" w:rsidRPr="003248E1">
        <w:rPr>
          <w:b/>
          <w:bCs/>
        </w:rPr>
        <w:t>202</w:t>
      </w:r>
      <w:r w:rsidR="00AE7B41" w:rsidRPr="003248E1">
        <w:rPr>
          <w:b/>
          <w:bCs/>
        </w:rPr>
        <w:t>3</w:t>
      </w:r>
      <w:r w:rsidRPr="0003235D">
        <w:t>.</w:t>
      </w:r>
    </w:p>
    <w:p w14:paraId="78F5B13E" w14:textId="390EC0BE" w:rsidR="006C1631" w:rsidRDefault="006C1631" w:rsidP="00BE29EE">
      <w:pPr>
        <w:keepLines w:val="0"/>
        <w:rPr>
          <w:szCs w:val="20"/>
        </w:rPr>
      </w:pPr>
      <w:r>
        <w:t xml:space="preserve">Consultation enquiries can be emailed </w:t>
      </w:r>
      <w:r>
        <w:rPr>
          <w:szCs w:val="20"/>
        </w:rPr>
        <w:t xml:space="preserve">to </w:t>
      </w:r>
      <w:hyperlink r:id="rId54" w:history="1">
        <w:r w:rsidR="002D5919" w:rsidRPr="004346FA">
          <w:rPr>
            <w:rStyle w:val="Hyperlink"/>
            <w:szCs w:val="20"/>
          </w:rPr>
          <w:t>freqplan@acma.gov.au</w:t>
        </w:r>
      </w:hyperlink>
      <w:r>
        <w:rPr>
          <w:szCs w:val="20"/>
        </w:rPr>
        <w:t>.</w:t>
      </w:r>
    </w:p>
    <w:p w14:paraId="049D8513" w14:textId="77777777" w:rsidR="006C1631" w:rsidRDefault="006C1631" w:rsidP="00BE29EE">
      <w:pPr>
        <w:pStyle w:val="Heading4"/>
        <w:keepLines w:val="0"/>
      </w:pPr>
      <w:bookmarkStart w:id="193" w:name="_Toc348105639"/>
      <w:bookmarkStart w:id="194" w:name="_Toc300909558"/>
      <w:bookmarkEnd w:id="189"/>
      <w:bookmarkEnd w:id="190"/>
      <w:r>
        <w:t xml:space="preserve">Publication of </w:t>
      </w:r>
      <w:r w:rsidRPr="005B2F0D">
        <w:t>submissions</w:t>
      </w:r>
      <w:bookmarkEnd w:id="191"/>
      <w:bookmarkEnd w:id="192"/>
      <w:bookmarkEnd w:id="193"/>
      <w:bookmarkEnd w:id="194"/>
    </w:p>
    <w:p w14:paraId="2A06CC99" w14:textId="68E1C3B4" w:rsidR="006C1631" w:rsidRDefault="006C1631" w:rsidP="00BE29EE">
      <w:pPr>
        <w:keepLines w:val="0"/>
      </w:pPr>
      <w:bookmarkStart w:id="195" w:name="_Toc348105640"/>
      <w:bookmarkStart w:id="196" w:name="_Toc300909559"/>
      <w:bookmarkStart w:id="197" w:name="_Toc265246234"/>
      <w:r>
        <w:t xml:space="preserve">The ACMA </w:t>
      </w:r>
      <w:r w:rsidR="00855EE1">
        <w:t xml:space="preserve">generally </w:t>
      </w:r>
      <w:r>
        <w:t>publishes submissions on our website</w:t>
      </w:r>
      <w:r>
        <w:rPr>
          <w:rFonts w:cs="Arial"/>
        </w:rPr>
        <w:t>, including personal information (such as names and contact details)</w:t>
      </w:r>
      <w:r>
        <w:t xml:space="preserve">, except for information that you have claimed (and we have accepted) is confidential. </w:t>
      </w:r>
    </w:p>
    <w:p w14:paraId="61E3C0E1" w14:textId="044459B5" w:rsidR="006C1631" w:rsidRDefault="006C1631" w:rsidP="00BE29EE">
      <w:pPr>
        <w:keepLines w:val="0"/>
      </w:pPr>
      <w:r>
        <w:t>Confidential information will not be published or otherwise released unless required or authorised by law.</w:t>
      </w:r>
    </w:p>
    <w:p w14:paraId="0F5C0102" w14:textId="0B2884BF" w:rsidR="006236E9" w:rsidRDefault="006236E9" w:rsidP="006236E9">
      <w:pPr>
        <w:pStyle w:val="Heading4"/>
        <w:keepLines w:val="0"/>
      </w:pPr>
      <w:r>
        <w:t>R</w:t>
      </w:r>
      <w:r w:rsidRPr="006236E9">
        <w:t xml:space="preserve">eply </w:t>
      </w:r>
      <w:r w:rsidR="00D01597">
        <w:t xml:space="preserve">to </w:t>
      </w:r>
      <w:r w:rsidRPr="006236E9">
        <w:t>comment period</w:t>
      </w:r>
    </w:p>
    <w:p w14:paraId="55034882" w14:textId="155EDB63" w:rsidR="00D01597" w:rsidRPr="003248E1" w:rsidRDefault="00D01597" w:rsidP="00D01597">
      <w:pPr>
        <w:pStyle w:val="Paragraph"/>
      </w:pPr>
      <w:r w:rsidRPr="003248E1">
        <w:t>Following the usual consultation period, we will open a 30-day ‘</w:t>
      </w:r>
      <w:r w:rsidR="003248E1">
        <w:t>r</w:t>
      </w:r>
      <w:r w:rsidRPr="003248E1">
        <w:t>eply to comment</w:t>
      </w:r>
      <w:r w:rsidR="003248E1">
        <w:t>’</w:t>
      </w:r>
      <w:r w:rsidRPr="003248E1">
        <w:t xml:space="preserve"> </w:t>
      </w:r>
      <w:r w:rsidR="003248E1">
        <w:t>window</w:t>
      </w:r>
      <w:r w:rsidRPr="003248E1">
        <w:t xml:space="preserve"> that allows stakeholders to comment on other parties’ submissions. In the </w:t>
      </w:r>
      <w:r w:rsidR="003248E1">
        <w:t>r</w:t>
      </w:r>
      <w:r w:rsidRPr="003248E1">
        <w:t xml:space="preserve">eply to comment period, </w:t>
      </w:r>
      <w:r w:rsidR="00251AE9">
        <w:t>you</w:t>
      </w:r>
      <w:r w:rsidRPr="003248E1">
        <w:t xml:space="preserve"> can review what others have said in their initial submissions and make a further submission that supports</w:t>
      </w:r>
      <w:r w:rsidR="001D32A7">
        <w:t>, opposes or offers comment on their views</w:t>
      </w:r>
      <w:r w:rsidRPr="003248E1">
        <w:t xml:space="preserve">. This approach </w:t>
      </w:r>
      <w:r w:rsidR="003248E1">
        <w:t>promotes</w:t>
      </w:r>
      <w:r w:rsidRPr="003248E1">
        <w:t xml:space="preserve"> transparency and allows </w:t>
      </w:r>
      <w:r w:rsidR="00251AE9">
        <w:t>you</w:t>
      </w:r>
      <w:r w:rsidRPr="003248E1">
        <w:t xml:space="preserve"> to test the issues raised in submissions and provide any additional, relevant information to the ACMA.</w:t>
      </w:r>
    </w:p>
    <w:p w14:paraId="7A01806F" w14:textId="53CBA902" w:rsidR="00D01597" w:rsidRPr="003248E1" w:rsidRDefault="00D01597" w:rsidP="00D01597">
      <w:pPr>
        <w:pStyle w:val="Paragraph"/>
      </w:pPr>
      <w:r w:rsidRPr="003248E1">
        <w:t>Please note</w:t>
      </w:r>
      <w:r w:rsidR="001D32A7">
        <w:t>:</w:t>
      </w:r>
      <w:r w:rsidRPr="003248E1">
        <w:t xml:space="preserve"> th</w:t>
      </w:r>
      <w:r w:rsidR="001D32A7">
        <w:t>e r</w:t>
      </w:r>
      <w:r w:rsidRPr="003248E1">
        <w:t>eply to comment period is not for new submissions</w:t>
      </w:r>
      <w:r w:rsidR="001D32A7">
        <w:t xml:space="preserve">. It is </w:t>
      </w:r>
      <w:r w:rsidRPr="003248E1">
        <w:t xml:space="preserve">for considering the </w:t>
      </w:r>
      <w:r w:rsidR="001D32A7">
        <w:t xml:space="preserve">initial </w:t>
      </w:r>
      <w:r w:rsidRPr="003248E1">
        <w:t>submissions made</w:t>
      </w:r>
      <w:r w:rsidR="001D32A7">
        <w:t>,</w:t>
      </w:r>
      <w:r w:rsidRPr="003248E1">
        <w:t xml:space="preserve"> and responding to </w:t>
      </w:r>
      <w:r w:rsidR="001D32A7">
        <w:t>them</w:t>
      </w:r>
      <w:r w:rsidRPr="003248E1">
        <w:t>.</w:t>
      </w:r>
    </w:p>
    <w:p w14:paraId="796B5386" w14:textId="77777777" w:rsidR="006C1631" w:rsidRDefault="006C1631" w:rsidP="00BE29EE">
      <w:pPr>
        <w:pStyle w:val="Heading4"/>
        <w:keepLines w:val="0"/>
      </w:pPr>
      <w:r>
        <w:t>Privacy</w:t>
      </w:r>
    </w:p>
    <w:p w14:paraId="25702914" w14:textId="06050BC0" w:rsidR="006C1631" w:rsidRDefault="00615F77" w:rsidP="00BE29EE">
      <w:pPr>
        <w:pStyle w:val="Paragraph"/>
        <w:keepLines w:val="0"/>
      </w:pPr>
      <w:hyperlink r:id="rId55" w:history="1">
        <w:r w:rsidR="006C1631">
          <w:rPr>
            <w:rStyle w:val="Hyperlink"/>
            <w:i/>
          </w:rPr>
          <w:t>Privacy and consultation</w:t>
        </w:r>
      </w:hyperlink>
      <w:r w:rsidR="006C1631">
        <w:t xml:space="preserve"> </w:t>
      </w:r>
      <w:r w:rsidR="00C539B2">
        <w:t>provide</w:t>
      </w:r>
      <w:r w:rsidR="006C1631">
        <w:t xml:space="preserve"> information about the ACMA’s collection of personal information during consultation and how we handle that information.</w:t>
      </w:r>
    </w:p>
    <w:bookmarkEnd w:id="195"/>
    <w:bookmarkEnd w:id="196"/>
    <w:bookmarkEnd w:id="197"/>
    <w:p w14:paraId="5AE49F3C" w14:textId="0AA0663F" w:rsidR="00A4193E" w:rsidRPr="0041233F" w:rsidRDefault="006C1631" w:rsidP="00BE29EE">
      <w:pPr>
        <w:pStyle w:val="Paragraph"/>
        <w:keepLines w:val="0"/>
      </w:pPr>
      <w:r>
        <w:t xml:space="preserve">Information on the </w:t>
      </w:r>
      <w:r>
        <w:rPr>
          <w:i/>
        </w:rPr>
        <w:t xml:space="preserve">Privacy Act 1988 </w:t>
      </w:r>
      <w:r>
        <w:t xml:space="preserve">and the ACMA’s privacy policy (including how to access or correct personal information, how to make a privacy complaint and how we will deal with the complaint) is available at </w:t>
      </w:r>
      <w:hyperlink r:id="rId56" w:tooltip="ACMA Privacy Policy" w:history="1">
        <w:r>
          <w:rPr>
            <w:rStyle w:val="Hyperlink"/>
          </w:rPr>
          <w:t>acma.gov.au/privacypolicy</w:t>
        </w:r>
      </w:hyperlink>
      <w:r>
        <w:t>.</w:t>
      </w:r>
      <w:r w:rsidR="00A4193E">
        <w:t xml:space="preserve"> </w:t>
      </w:r>
    </w:p>
    <w:p w14:paraId="527C5813" w14:textId="5E1CE256" w:rsidR="00135070" w:rsidRDefault="00F1204E" w:rsidP="00BE29EE">
      <w:pPr>
        <w:pStyle w:val="Heading1"/>
      </w:pPr>
      <w:bookmarkStart w:id="198" w:name="_Toc404767742"/>
      <w:bookmarkStart w:id="199" w:name="_Toc420420504"/>
      <w:bookmarkStart w:id="200" w:name="_Toc425513894"/>
      <w:bookmarkStart w:id="201" w:name="_Toc425513960"/>
      <w:bookmarkStart w:id="202" w:name="_Toc457809926"/>
      <w:bookmarkStart w:id="203" w:name="_Toc466017055"/>
      <w:bookmarkStart w:id="204" w:name="_Toc468438950"/>
      <w:bookmarkStart w:id="205" w:name="_Toc468705305"/>
      <w:bookmarkStart w:id="206" w:name="_Toc482886592"/>
      <w:bookmarkStart w:id="207" w:name="_Toc482886634"/>
      <w:bookmarkStart w:id="208" w:name="_Toc482888975"/>
      <w:bookmarkStart w:id="209" w:name="_Toc482891246"/>
      <w:bookmarkStart w:id="210" w:name="_Toc482891313"/>
      <w:bookmarkStart w:id="211" w:name="_Toc482956521"/>
      <w:bookmarkStart w:id="212" w:name="_Toc484011494"/>
      <w:bookmarkStart w:id="213" w:name="_Toc484511710"/>
      <w:bookmarkStart w:id="214" w:name="_Ref505242502"/>
      <w:bookmarkStart w:id="215" w:name="_Toc519765125"/>
      <w:bookmarkStart w:id="216" w:name="_Toc521585791"/>
      <w:bookmarkStart w:id="217" w:name="_Toc5000089"/>
      <w:bookmarkStart w:id="218" w:name="_Ref44313474"/>
      <w:bookmarkStart w:id="219" w:name="_Toc117870140"/>
      <w:bookmarkStart w:id="220" w:name="_Toc118785130"/>
      <w:bookmarkStart w:id="221" w:name="_Toc120600065"/>
      <w:bookmarkStart w:id="222" w:name="_Toc348105641"/>
      <w:r>
        <w:lastRenderedPageBreak/>
        <w:t>Glossary</w:t>
      </w:r>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p>
    <w:p w14:paraId="12846065" w14:textId="47B7CD8D" w:rsidR="00FA3759" w:rsidRPr="00FD2C90" w:rsidRDefault="00FA3759" w:rsidP="00FD2C90">
      <w:pPr>
        <w:pStyle w:val="Paragraph"/>
      </w:pPr>
      <w:r w:rsidRPr="00FD2C90">
        <w:t>3GPP</w:t>
      </w:r>
      <w:r w:rsidRPr="00FD2C90">
        <w:tab/>
      </w:r>
      <w:r w:rsidRPr="00FD2C90">
        <w:tab/>
      </w:r>
      <w:r w:rsidRPr="00FD2C90">
        <w:tab/>
        <w:t xml:space="preserve">3rd Generation Partnership Project </w:t>
      </w:r>
    </w:p>
    <w:p w14:paraId="7B72C560" w14:textId="71557615" w:rsidR="00FA3759" w:rsidRPr="00FD2C90" w:rsidRDefault="00FA3759" w:rsidP="00FD2C90">
      <w:pPr>
        <w:pStyle w:val="Paragraph"/>
      </w:pPr>
      <w:r w:rsidRPr="00FD2C90">
        <w:t>ARSP</w:t>
      </w:r>
      <w:r w:rsidRPr="00FD2C90">
        <w:tab/>
      </w:r>
      <w:r w:rsidRPr="00FD2C90">
        <w:tab/>
      </w:r>
      <w:r w:rsidRPr="00FD2C90">
        <w:tab/>
        <w:t>Australian Radiofrequency Spectrum Plan 2021</w:t>
      </w:r>
      <w:r w:rsidRPr="00FD2C90">
        <w:tab/>
      </w:r>
      <w:r w:rsidRPr="00FD2C90">
        <w:tab/>
      </w:r>
    </w:p>
    <w:p w14:paraId="7D0AE709" w14:textId="4B0069E6" w:rsidR="00FA3759" w:rsidRPr="00FD2C90" w:rsidRDefault="00FA3759" w:rsidP="00FD2C90">
      <w:pPr>
        <w:pStyle w:val="Paragraph"/>
      </w:pPr>
      <w:r w:rsidRPr="00FD2C90">
        <w:t xml:space="preserve">CCD </w:t>
      </w:r>
      <w:r w:rsidRPr="00FD2C90">
        <w:tab/>
      </w:r>
      <w:r w:rsidRPr="00FD2C90">
        <w:tab/>
      </w:r>
      <w:r w:rsidRPr="00FD2C90">
        <w:tab/>
        <w:t xml:space="preserve">Cordless </w:t>
      </w:r>
      <w:r w:rsidR="008C0E4D">
        <w:t>c</w:t>
      </w:r>
      <w:r w:rsidRPr="00FD2C90">
        <w:t xml:space="preserve">ommunications </w:t>
      </w:r>
      <w:r w:rsidR="008C0E4D">
        <w:t>d</w:t>
      </w:r>
      <w:r w:rsidRPr="00FD2C90">
        <w:t>evices</w:t>
      </w:r>
    </w:p>
    <w:p w14:paraId="264E4B84" w14:textId="71F9A88E" w:rsidR="00FA3759" w:rsidRPr="00FD2C90" w:rsidRDefault="00FA3759" w:rsidP="00FD2C90">
      <w:pPr>
        <w:pStyle w:val="Paragraph"/>
      </w:pPr>
      <w:r w:rsidRPr="00FD2C90">
        <w:t>CEPT</w:t>
      </w:r>
      <w:r w:rsidRPr="00FD2C90">
        <w:tab/>
      </w:r>
      <w:r w:rsidRPr="00FD2C90">
        <w:tab/>
      </w:r>
      <w:r w:rsidRPr="00FD2C90">
        <w:tab/>
        <w:t xml:space="preserve">Conference of European Postal and Telecommunications </w:t>
      </w:r>
    </w:p>
    <w:p w14:paraId="24B3DB8D" w14:textId="69EB7D0F" w:rsidR="00FA3759" w:rsidRPr="00FD2C90" w:rsidRDefault="00FA3759" w:rsidP="00FD2C90">
      <w:pPr>
        <w:pStyle w:val="Paragraph"/>
      </w:pPr>
      <w:r w:rsidRPr="00FD2C90">
        <w:t>CTS</w:t>
      </w:r>
      <w:r w:rsidRPr="00FD2C90">
        <w:tab/>
      </w:r>
      <w:r w:rsidRPr="00FD2C90">
        <w:tab/>
      </w:r>
      <w:r w:rsidRPr="00FD2C90">
        <w:tab/>
        <w:t xml:space="preserve">Cordless </w:t>
      </w:r>
      <w:r w:rsidR="008C0E4D">
        <w:t>t</w:t>
      </w:r>
      <w:r w:rsidRPr="00FD2C90">
        <w:t xml:space="preserve">elecommunications </w:t>
      </w:r>
      <w:r w:rsidR="008C0E4D">
        <w:t>s</w:t>
      </w:r>
      <w:r w:rsidRPr="00FD2C90">
        <w:t>ervices</w:t>
      </w:r>
    </w:p>
    <w:p w14:paraId="22FA6679" w14:textId="340A808F" w:rsidR="00FA3759" w:rsidRPr="00FD2C90" w:rsidRDefault="00FA3759" w:rsidP="00FD2C90">
      <w:pPr>
        <w:pStyle w:val="Paragraph"/>
      </w:pPr>
      <w:r w:rsidRPr="00FD2C90">
        <w:t>DECT</w:t>
      </w:r>
      <w:r w:rsidRPr="00FD2C90">
        <w:tab/>
      </w:r>
      <w:r w:rsidRPr="00FD2C90">
        <w:tab/>
      </w:r>
      <w:r w:rsidRPr="00FD2C90">
        <w:tab/>
        <w:t>digital enhanced cordless telecommunications</w:t>
      </w:r>
    </w:p>
    <w:p w14:paraId="7B39F6E9" w14:textId="1E37203E" w:rsidR="00FA3759" w:rsidRPr="00FD2C90" w:rsidRDefault="00FA3759" w:rsidP="00FD2C90">
      <w:pPr>
        <w:pStyle w:val="Paragraph"/>
      </w:pPr>
      <w:r w:rsidRPr="00FD2C90">
        <w:t>ECC</w:t>
      </w:r>
      <w:r w:rsidRPr="00FD2C90">
        <w:tab/>
      </w:r>
      <w:r w:rsidRPr="00FD2C90">
        <w:tab/>
      </w:r>
      <w:r w:rsidRPr="00FD2C90">
        <w:tab/>
        <w:t>Electronic Communications Committee</w:t>
      </w:r>
      <w:r w:rsidRPr="00FD2C90">
        <w:tab/>
      </w:r>
    </w:p>
    <w:p w14:paraId="79C2495E" w14:textId="43DCBBE5" w:rsidR="00FA3759" w:rsidRPr="00FD2C90" w:rsidRDefault="00FA3759" w:rsidP="00FD2C90">
      <w:pPr>
        <w:pStyle w:val="Paragraph"/>
      </w:pPr>
      <w:r w:rsidRPr="00FD2C90">
        <w:t>ETSI</w:t>
      </w:r>
      <w:r w:rsidRPr="00FD2C90">
        <w:tab/>
      </w:r>
      <w:r w:rsidRPr="00FD2C90">
        <w:tab/>
      </w:r>
      <w:r w:rsidRPr="00FD2C90">
        <w:tab/>
        <w:t>European Telecommunications Standards Institute</w:t>
      </w:r>
    </w:p>
    <w:p w14:paraId="2D859DC0" w14:textId="7AF2E371" w:rsidR="00FA3759" w:rsidRPr="00FD2C90" w:rsidRDefault="00FA3759" w:rsidP="00FD2C90">
      <w:pPr>
        <w:pStyle w:val="Paragraph"/>
      </w:pPr>
      <w:r w:rsidRPr="00FD2C90">
        <w:t>FDD</w:t>
      </w:r>
      <w:r w:rsidRPr="00FD2C90">
        <w:tab/>
      </w:r>
      <w:r w:rsidRPr="00FD2C90">
        <w:tab/>
      </w:r>
      <w:r w:rsidRPr="00FD2C90">
        <w:tab/>
        <w:t xml:space="preserve">Frequency </w:t>
      </w:r>
      <w:r w:rsidR="008C0E4D">
        <w:t>d</w:t>
      </w:r>
      <w:r w:rsidRPr="00FD2C90">
        <w:t xml:space="preserve">ivision </w:t>
      </w:r>
      <w:r w:rsidR="008C0E4D">
        <w:t>d</w:t>
      </w:r>
      <w:r w:rsidRPr="00FD2C90">
        <w:t>uplex</w:t>
      </w:r>
      <w:r w:rsidRPr="00FD2C90">
        <w:tab/>
      </w:r>
    </w:p>
    <w:p w14:paraId="7A01994D" w14:textId="2080DF0E" w:rsidR="00FA3759" w:rsidRPr="00FD2C90" w:rsidRDefault="00FA3759" w:rsidP="00FD2C90">
      <w:pPr>
        <w:pStyle w:val="Paragraph"/>
      </w:pPr>
      <w:r w:rsidRPr="00FD2C90">
        <w:t>FDMA</w:t>
      </w:r>
      <w:r w:rsidRPr="00FD2C90">
        <w:tab/>
      </w:r>
      <w:r w:rsidRPr="00FD2C90">
        <w:tab/>
      </w:r>
      <w:r w:rsidRPr="00FD2C90">
        <w:tab/>
        <w:t xml:space="preserve">Frequency </w:t>
      </w:r>
      <w:r w:rsidR="008C0E4D">
        <w:t>d</w:t>
      </w:r>
      <w:r w:rsidRPr="00FD2C90">
        <w:t xml:space="preserve">ivision </w:t>
      </w:r>
      <w:r w:rsidR="008C0E4D">
        <w:t>m</w:t>
      </w:r>
      <w:r w:rsidRPr="00FD2C90">
        <w:t xml:space="preserve">ultiple </w:t>
      </w:r>
      <w:r w:rsidR="008C0E4D">
        <w:t>a</w:t>
      </w:r>
      <w:r w:rsidRPr="00FD2C90">
        <w:t>ccess</w:t>
      </w:r>
    </w:p>
    <w:p w14:paraId="2A6314E9" w14:textId="534A7536" w:rsidR="00FA3759" w:rsidRPr="00FD2C90" w:rsidRDefault="00FA3759" w:rsidP="00FD2C90">
      <w:pPr>
        <w:pStyle w:val="Paragraph"/>
      </w:pPr>
      <w:r w:rsidRPr="00FD2C90">
        <w:t>FMRCS</w:t>
      </w:r>
      <w:r w:rsidRPr="00FD2C90">
        <w:tab/>
      </w:r>
      <w:r w:rsidRPr="00FD2C90">
        <w:tab/>
        <w:t xml:space="preserve">Future </w:t>
      </w:r>
      <w:r w:rsidR="008C0E4D">
        <w:t>r</w:t>
      </w:r>
      <w:r w:rsidRPr="00FD2C90">
        <w:t xml:space="preserve">ailway </w:t>
      </w:r>
      <w:r w:rsidR="008C0E4D">
        <w:t>m</w:t>
      </w:r>
      <w:r w:rsidRPr="00FD2C90">
        <w:t xml:space="preserve">obile </w:t>
      </w:r>
      <w:r w:rsidR="008C0E4D">
        <w:t>c</w:t>
      </w:r>
      <w:r w:rsidRPr="00FD2C90">
        <w:t xml:space="preserve">ommunication </w:t>
      </w:r>
      <w:r w:rsidR="008C0E4D">
        <w:t>s</w:t>
      </w:r>
      <w:r w:rsidRPr="00FD2C90">
        <w:t xml:space="preserve">ystems </w:t>
      </w:r>
    </w:p>
    <w:p w14:paraId="362604E3" w14:textId="6A7F6AF6" w:rsidR="00FA3759" w:rsidRPr="00FD2C90" w:rsidRDefault="00FA3759" w:rsidP="00FD2C90">
      <w:pPr>
        <w:pStyle w:val="Paragraph"/>
      </w:pPr>
      <w:r w:rsidRPr="00FD2C90">
        <w:t>FYSO</w:t>
      </w:r>
      <w:r w:rsidRPr="00FD2C90">
        <w:tab/>
      </w:r>
      <w:r w:rsidRPr="00FD2C90">
        <w:tab/>
      </w:r>
      <w:r w:rsidRPr="00FD2C90">
        <w:tab/>
      </w:r>
      <w:r w:rsidR="00231C77">
        <w:t>F</w:t>
      </w:r>
      <w:r w:rsidRPr="00FD2C90">
        <w:t>ive-year spectrum outlook</w:t>
      </w:r>
    </w:p>
    <w:p w14:paraId="6B9654ED" w14:textId="262F6EAC" w:rsidR="00FA3759" w:rsidRPr="00FD2C90" w:rsidRDefault="00FA3759" w:rsidP="00FD2C90">
      <w:pPr>
        <w:pStyle w:val="Paragraph"/>
      </w:pPr>
      <w:r w:rsidRPr="00FD2C90">
        <w:t>GPR</w:t>
      </w:r>
      <w:r w:rsidRPr="00FD2C90">
        <w:tab/>
      </w:r>
      <w:r w:rsidRPr="00FD2C90">
        <w:tab/>
      </w:r>
      <w:r w:rsidRPr="00FD2C90">
        <w:tab/>
        <w:t xml:space="preserve">Ground </w:t>
      </w:r>
      <w:r w:rsidR="008C0E4D">
        <w:t>p</w:t>
      </w:r>
      <w:r w:rsidRPr="00FD2C90">
        <w:t xml:space="preserve">enetrating </w:t>
      </w:r>
      <w:r w:rsidR="008C0E4D">
        <w:t>r</w:t>
      </w:r>
      <w:r w:rsidRPr="00FD2C90">
        <w:t>adars</w:t>
      </w:r>
    </w:p>
    <w:p w14:paraId="0144E77C" w14:textId="43B9B251" w:rsidR="00FA3759" w:rsidRPr="00FD2C90" w:rsidRDefault="00FA3759" w:rsidP="00FD2C90">
      <w:pPr>
        <w:pStyle w:val="Paragraph"/>
      </w:pPr>
      <w:r w:rsidRPr="00FD2C90">
        <w:t>IMT</w:t>
      </w:r>
      <w:r w:rsidRPr="00FD2C90">
        <w:tab/>
      </w:r>
      <w:r w:rsidRPr="00FD2C90">
        <w:tab/>
      </w:r>
      <w:r w:rsidRPr="00FD2C90">
        <w:tab/>
        <w:t xml:space="preserve">International </w:t>
      </w:r>
      <w:r w:rsidR="008C0E4D">
        <w:t>m</w:t>
      </w:r>
      <w:r w:rsidRPr="00FD2C90">
        <w:t xml:space="preserve">obile </w:t>
      </w:r>
      <w:r w:rsidR="008C0E4D">
        <w:t>t</w:t>
      </w:r>
      <w:r w:rsidRPr="00FD2C90">
        <w:t>elecommunications</w:t>
      </w:r>
    </w:p>
    <w:p w14:paraId="4B713C5D" w14:textId="5FB2F8ED" w:rsidR="00FA3759" w:rsidRPr="00FD2C90" w:rsidRDefault="00FA3759" w:rsidP="00FD2C90">
      <w:pPr>
        <w:pStyle w:val="Paragraph"/>
      </w:pPr>
      <w:r w:rsidRPr="00FD2C90">
        <w:t>IoT</w:t>
      </w:r>
      <w:r w:rsidRPr="00FD2C90">
        <w:tab/>
      </w:r>
      <w:r w:rsidRPr="00FD2C90">
        <w:tab/>
      </w:r>
      <w:r w:rsidRPr="00FD2C90">
        <w:tab/>
        <w:t xml:space="preserve">Internet of Things </w:t>
      </w:r>
    </w:p>
    <w:p w14:paraId="52259E17" w14:textId="10171FB2" w:rsidR="00FA3759" w:rsidRPr="00FD2C90" w:rsidRDefault="00FA3759" w:rsidP="00FD2C90">
      <w:pPr>
        <w:pStyle w:val="Paragraph"/>
      </w:pPr>
      <w:r w:rsidRPr="00FD2C90">
        <w:t>ISDN</w:t>
      </w:r>
      <w:r w:rsidRPr="00FD2C90">
        <w:tab/>
      </w:r>
      <w:r w:rsidRPr="00FD2C90">
        <w:tab/>
      </w:r>
      <w:r w:rsidRPr="00FD2C90">
        <w:tab/>
        <w:t xml:space="preserve">Integrated </w:t>
      </w:r>
      <w:r w:rsidR="008C0E4D">
        <w:t>s</w:t>
      </w:r>
      <w:r w:rsidRPr="00FD2C90">
        <w:t xml:space="preserve">ervices </w:t>
      </w:r>
      <w:r w:rsidR="008C0E4D">
        <w:t>d</w:t>
      </w:r>
      <w:r w:rsidRPr="00FD2C90">
        <w:t xml:space="preserve">igital </w:t>
      </w:r>
      <w:r w:rsidR="008C0E4D">
        <w:t>n</w:t>
      </w:r>
      <w:r w:rsidRPr="00FD2C90">
        <w:t xml:space="preserve">etwork </w:t>
      </w:r>
    </w:p>
    <w:p w14:paraId="082EC9A7" w14:textId="700482AC" w:rsidR="00FA3759" w:rsidRPr="00FD2C90" w:rsidRDefault="00FA3759" w:rsidP="00FD2C90">
      <w:pPr>
        <w:pStyle w:val="Paragraph"/>
      </w:pPr>
      <w:r w:rsidRPr="00FD2C90">
        <w:t>ITU</w:t>
      </w:r>
      <w:r w:rsidRPr="00FD2C90">
        <w:tab/>
      </w:r>
      <w:r w:rsidRPr="00FD2C90">
        <w:tab/>
      </w:r>
      <w:r w:rsidRPr="00FD2C90">
        <w:tab/>
        <w:t>International Telecommunication Union</w:t>
      </w:r>
    </w:p>
    <w:p w14:paraId="05FAB15C" w14:textId="5FFA3F30" w:rsidR="00FA3759" w:rsidRPr="00FD2C90" w:rsidRDefault="00FA3759" w:rsidP="00FD2C90">
      <w:pPr>
        <w:pStyle w:val="Paragraph"/>
      </w:pPr>
      <w:r w:rsidRPr="00FD2C90">
        <w:t>ITU-R</w:t>
      </w:r>
      <w:r w:rsidRPr="00FD2C90">
        <w:tab/>
      </w:r>
      <w:r w:rsidRPr="00FD2C90">
        <w:tab/>
      </w:r>
      <w:r w:rsidR="009733A4">
        <w:tab/>
      </w:r>
      <w:r w:rsidRPr="00FD2C90">
        <w:t>International Telecommunication Union Radiocommunication Sector</w:t>
      </w:r>
    </w:p>
    <w:p w14:paraId="7D72D7E8" w14:textId="6227B439" w:rsidR="00FA3759" w:rsidRPr="00FD2C90" w:rsidRDefault="00FA3759" w:rsidP="00FD2C90">
      <w:pPr>
        <w:pStyle w:val="Paragraph"/>
      </w:pPr>
      <w:r w:rsidRPr="00FD2C90">
        <w:t>LA</w:t>
      </w:r>
      <w:r w:rsidRPr="00FD2C90">
        <w:tab/>
      </w:r>
      <w:r w:rsidRPr="00FD2C90">
        <w:tab/>
      </w:r>
      <w:r w:rsidRPr="00FD2C90">
        <w:tab/>
      </w:r>
      <w:r w:rsidRPr="00FD2C90">
        <w:tab/>
        <w:t xml:space="preserve">Local </w:t>
      </w:r>
      <w:r w:rsidR="008C0E4D">
        <w:t>a</w:t>
      </w:r>
      <w:r w:rsidRPr="00FD2C90">
        <w:t>rea</w:t>
      </w:r>
    </w:p>
    <w:p w14:paraId="39D1D60B" w14:textId="7815F3DF" w:rsidR="00FA3759" w:rsidRPr="00FD2C90" w:rsidRDefault="00FA3759" w:rsidP="00FD2C90">
      <w:pPr>
        <w:pStyle w:val="Paragraph"/>
      </w:pPr>
      <w:r w:rsidRPr="00FD2C90">
        <w:t>LIPD</w:t>
      </w:r>
      <w:r w:rsidRPr="00FD2C90">
        <w:tab/>
      </w:r>
      <w:r w:rsidRPr="00FD2C90">
        <w:tab/>
      </w:r>
      <w:r w:rsidRPr="00FD2C90">
        <w:tab/>
        <w:t>low interference potential devices</w:t>
      </w:r>
    </w:p>
    <w:p w14:paraId="107A52E2" w14:textId="4CF78736" w:rsidR="00FA3759" w:rsidRPr="00FD2C90" w:rsidRDefault="00FA3759" w:rsidP="00FD2C90">
      <w:pPr>
        <w:pStyle w:val="Paragraph"/>
      </w:pPr>
      <w:r w:rsidRPr="00FD2C90">
        <w:t>LTE</w:t>
      </w:r>
      <w:r w:rsidRPr="00FD2C90">
        <w:tab/>
      </w:r>
      <w:r w:rsidRPr="00FD2C90">
        <w:tab/>
      </w:r>
      <w:r w:rsidRPr="00FD2C90">
        <w:tab/>
        <w:t xml:space="preserve">Long </w:t>
      </w:r>
      <w:r w:rsidR="008C0E4D">
        <w:t>t</w:t>
      </w:r>
      <w:r w:rsidRPr="00FD2C90">
        <w:t xml:space="preserve">erm </w:t>
      </w:r>
      <w:r w:rsidR="008C0E4D">
        <w:t>e</w:t>
      </w:r>
      <w:r w:rsidRPr="00FD2C90">
        <w:t>volution</w:t>
      </w:r>
    </w:p>
    <w:p w14:paraId="3FCA695D" w14:textId="4F0AF989" w:rsidR="00FA3759" w:rsidRPr="00FD2C90" w:rsidRDefault="00FA3759" w:rsidP="00FD2C90">
      <w:pPr>
        <w:pStyle w:val="Paragraph"/>
      </w:pPr>
      <w:r w:rsidRPr="00FD2C90">
        <w:t>MC</w:t>
      </w:r>
      <w:r w:rsidRPr="00FD2C90">
        <w:tab/>
      </w:r>
      <w:r w:rsidRPr="00FD2C90">
        <w:tab/>
      </w:r>
      <w:r w:rsidRPr="00FD2C90">
        <w:tab/>
        <w:t xml:space="preserve">Mission </w:t>
      </w:r>
      <w:r w:rsidR="008C0E4D">
        <w:t>c</w:t>
      </w:r>
      <w:r w:rsidRPr="00FD2C90">
        <w:t>ritical</w:t>
      </w:r>
    </w:p>
    <w:p w14:paraId="2E6D5152" w14:textId="066E5A22" w:rsidR="00A53099" w:rsidRPr="00FD2C90" w:rsidRDefault="00A53099" w:rsidP="00FD2C90">
      <w:pPr>
        <w:pStyle w:val="Paragraph"/>
      </w:pPr>
      <w:r w:rsidRPr="00FD2C90">
        <w:t>MFCN</w:t>
      </w:r>
      <w:r w:rsidRPr="00B33B0E">
        <w:t xml:space="preserve"> </w:t>
      </w:r>
      <w:r>
        <w:tab/>
      </w:r>
      <w:r>
        <w:tab/>
      </w:r>
      <w:r w:rsidRPr="00FD2C90">
        <w:t xml:space="preserve">Mobile and </w:t>
      </w:r>
      <w:r w:rsidR="008C0E4D">
        <w:t>f</w:t>
      </w:r>
      <w:r w:rsidRPr="00FD2C90">
        <w:t xml:space="preserve">ixed </w:t>
      </w:r>
      <w:r w:rsidR="008C0E4D">
        <w:t>c</w:t>
      </w:r>
      <w:r w:rsidRPr="00FD2C90">
        <w:t xml:space="preserve">ommunication </w:t>
      </w:r>
      <w:r w:rsidR="008C0E4D">
        <w:t>n</w:t>
      </w:r>
      <w:r w:rsidRPr="00FD2C90">
        <w:t>etworks</w:t>
      </w:r>
    </w:p>
    <w:p w14:paraId="5338F6A4" w14:textId="736B1C0C" w:rsidR="00FA3759" w:rsidRPr="00FD2C90" w:rsidRDefault="00FA3759" w:rsidP="00FD2C90">
      <w:pPr>
        <w:pStyle w:val="Paragraph"/>
      </w:pPr>
      <w:r w:rsidRPr="00FD2C90">
        <w:t>mMTC</w:t>
      </w:r>
      <w:r w:rsidRPr="00FD2C90">
        <w:tab/>
      </w:r>
      <w:r w:rsidRPr="00FD2C90">
        <w:tab/>
        <w:t>massive Machine Type Communication</w:t>
      </w:r>
    </w:p>
    <w:p w14:paraId="4B5AD3F5" w14:textId="52846D91" w:rsidR="00FA3759" w:rsidRPr="00FD2C90" w:rsidRDefault="00FA3759" w:rsidP="00FD2C90">
      <w:pPr>
        <w:pStyle w:val="Paragraph"/>
      </w:pPr>
      <w:r w:rsidRPr="00FD2C90">
        <w:t>NG-DECT</w:t>
      </w:r>
      <w:r w:rsidRPr="00FD2C90">
        <w:tab/>
        <w:t xml:space="preserve">New </w:t>
      </w:r>
      <w:r w:rsidR="00081127">
        <w:t>g</w:t>
      </w:r>
      <w:r w:rsidRPr="00FD2C90">
        <w:t>eneration DECT</w:t>
      </w:r>
      <w:r w:rsidRPr="00FD2C90">
        <w:tab/>
      </w:r>
    </w:p>
    <w:p w14:paraId="76824ACC" w14:textId="3D6C3BC0" w:rsidR="00FA3759" w:rsidRPr="00FD2C90" w:rsidRDefault="00FA3759" w:rsidP="00FD2C90">
      <w:pPr>
        <w:pStyle w:val="Paragraph"/>
      </w:pPr>
      <w:r w:rsidRPr="00FD2C90">
        <w:t>NR</w:t>
      </w:r>
      <w:r w:rsidRPr="00FD2C90">
        <w:tab/>
      </w:r>
      <w:r w:rsidRPr="00FD2C90">
        <w:tab/>
      </w:r>
      <w:r w:rsidRPr="00FD2C90">
        <w:tab/>
        <w:t xml:space="preserve">New </w:t>
      </w:r>
      <w:r w:rsidR="00081127">
        <w:t>r</w:t>
      </w:r>
      <w:r w:rsidRPr="00FD2C90">
        <w:t>adio</w:t>
      </w:r>
    </w:p>
    <w:p w14:paraId="7F7C6A6B" w14:textId="3348C5C8" w:rsidR="00FA3759" w:rsidRPr="00FD2C90" w:rsidRDefault="00FA3759" w:rsidP="00FD2C90">
      <w:pPr>
        <w:pStyle w:val="Paragraph"/>
      </w:pPr>
      <w:r w:rsidRPr="00FD2C90">
        <w:lastRenderedPageBreak/>
        <w:t>OFDM</w:t>
      </w:r>
      <w:r w:rsidRPr="00FD2C90">
        <w:tab/>
      </w:r>
      <w:r w:rsidRPr="00FD2C90">
        <w:tab/>
        <w:t xml:space="preserve">Orthogonal </w:t>
      </w:r>
      <w:r w:rsidR="00081127">
        <w:t>f</w:t>
      </w:r>
      <w:r w:rsidRPr="00FD2C90">
        <w:t xml:space="preserve">requency </w:t>
      </w:r>
      <w:r w:rsidR="00081127">
        <w:t>d</w:t>
      </w:r>
      <w:r w:rsidRPr="00FD2C90">
        <w:t xml:space="preserve">ivision </w:t>
      </w:r>
      <w:r w:rsidR="00081127">
        <w:t>m</w:t>
      </w:r>
      <w:r w:rsidRPr="00FD2C90">
        <w:t xml:space="preserve">ultiplexing </w:t>
      </w:r>
    </w:p>
    <w:p w14:paraId="630B83E1" w14:textId="49D31A52" w:rsidR="00FA3759" w:rsidRPr="00FD2C90" w:rsidRDefault="00FA3759" w:rsidP="00FD2C90">
      <w:pPr>
        <w:pStyle w:val="Paragraph"/>
      </w:pPr>
      <w:r w:rsidRPr="00FD2C90">
        <w:t>OOBE</w:t>
      </w:r>
      <w:r w:rsidRPr="00FD2C90">
        <w:tab/>
      </w:r>
      <w:r w:rsidRPr="00FD2C90">
        <w:tab/>
        <w:t xml:space="preserve">Out of </w:t>
      </w:r>
      <w:r w:rsidR="00081127">
        <w:t>b</w:t>
      </w:r>
      <w:r w:rsidRPr="00FD2C90">
        <w:t xml:space="preserve">and </w:t>
      </w:r>
      <w:r w:rsidR="00081127">
        <w:t>e</w:t>
      </w:r>
      <w:r w:rsidRPr="00FD2C90">
        <w:t>mission</w:t>
      </w:r>
    </w:p>
    <w:p w14:paraId="4BCF3610" w14:textId="01B794F0" w:rsidR="00FA3759" w:rsidRPr="00FD2C90" w:rsidRDefault="00FA3759" w:rsidP="00FD2C90">
      <w:pPr>
        <w:pStyle w:val="Paragraph"/>
      </w:pPr>
      <w:r w:rsidRPr="00FD2C90">
        <w:t>PHS</w:t>
      </w:r>
      <w:r w:rsidRPr="00FD2C90">
        <w:tab/>
      </w:r>
      <w:r w:rsidRPr="00FD2C90">
        <w:tab/>
      </w:r>
      <w:r w:rsidR="00B12CC7" w:rsidRPr="00FD2C90">
        <w:tab/>
      </w:r>
      <w:r w:rsidRPr="00FD2C90">
        <w:t xml:space="preserve">Personal </w:t>
      </w:r>
      <w:r w:rsidR="00081127">
        <w:t>h</w:t>
      </w:r>
      <w:r w:rsidRPr="00FD2C90">
        <w:t>andy</w:t>
      </w:r>
      <w:r w:rsidR="005D1BE6" w:rsidRPr="00FD2C90">
        <w:t xml:space="preserve"> </w:t>
      </w:r>
      <w:r w:rsidR="00081127">
        <w:t>p</w:t>
      </w:r>
      <w:r w:rsidRPr="00FD2C90">
        <w:t xml:space="preserve">hone </w:t>
      </w:r>
      <w:r w:rsidR="00081127">
        <w:t>s</w:t>
      </w:r>
      <w:r w:rsidRPr="00FD2C90">
        <w:t>ystem</w:t>
      </w:r>
    </w:p>
    <w:p w14:paraId="6759F028" w14:textId="7AD9709C" w:rsidR="00FA3759" w:rsidRPr="00FD2C90" w:rsidRDefault="00FA3759" w:rsidP="00FD2C90">
      <w:pPr>
        <w:pStyle w:val="Paragraph"/>
      </w:pPr>
      <w:r w:rsidRPr="00FD2C90">
        <w:t>PMP</w:t>
      </w:r>
      <w:r w:rsidRPr="00FD2C90">
        <w:tab/>
      </w:r>
      <w:r w:rsidRPr="00FD2C90">
        <w:tab/>
      </w:r>
      <w:r w:rsidR="00B12CC7" w:rsidRPr="00FD2C90">
        <w:tab/>
      </w:r>
      <w:r w:rsidRPr="00FD2C90">
        <w:t>Point-to-</w:t>
      </w:r>
      <w:r w:rsidR="00081127">
        <w:t>m</w:t>
      </w:r>
      <w:r w:rsidRPr="00FD2C90">
        <w:t>ultipoint</w:t>
      </w:r>
    </w:p>
    <w:p w14:paraId="005F2167" w14:textId="2234B25D" w:rsidR="00FA3759" w:rsidRPr="00FD2C90" w:rsidRDefault="00FA3759" w:rsidP="00FD2C90">
      <w:pPr>
        <w:pStyle w:val="Paragraph"/>
      </w:pPr>
      <w:r w:rsidRPr="00FD2C90">
        <w:t>PSTN</w:t>
      </w:r>
      <w:r w:rsidRPr="00FD2C90">
        <w:tab/>
      </w:r>
      <w:r w:rsidRPr="00FD2C90">
        <w:tab/>
      </w:r>
      <w:r w:rsidR="00B12CC7" w:rsidRPr="00FD2C90">
        <w:tab/>
      </w:r>
      <w:r w:rsidRPr="00FD2C90">
        <w:t xml:space="preserve">Public </w:t>
      </w:r>
      <w:r w:rsidR="00081127">
        <w:t>s</w:t>
      </w:r>
      <w:r w:rsidRPr="00FD2C90">
        <w:t xml:space="preserve">witched </w:t>
      </w:r>
      <w:r w:rsidR="00081127">
        <w:t>t</w:t>
      </w:r>
      <w:r w:rsidRPr="00FD2C90">
        <w:t xml:space="preserve">elephone </w:t>
      </w:r>
      <w:r w:rsidR="00081127">
        <w:t>n</w:t>
      </w:r>
      <w:r w:rsidRPr="00FD2C90">
        <w:t>etwork</w:t>
      </w:r>
    </w:p>
    <w:p w14:paraId="5C910AFD" w14:textId="5AAB6A68" w:rsidR="00FA3759" w:rsidRPr="00FD2C90" w:rsidRDefault="00FA3759" w:rsidP="00FD2C90">
      <w:pPr>
        <w:pStyle w:val="Paragraph"/>
      </w:pPr>
      <w:r w:rsidRPr="00FD2C90">
        <w:t>PTP</w:t>
      </w:r>
      <w:r w:rsidRPr="00FD2C90">
        <w:tab/>
      </w:r>
      <w:r w:rsidRPr="00FD2C90">
        <w:tab/>
      </w:r>
      <w:r w:rsidR="00B12CC7" w:rsidRPr="00FD2C90">
        <w:tab/>
      </w:r>
      <w:r w:rsidRPr="00FD2C90">
        <w:t>Point-to-</w:t>
      </w:r>
      <w:r w:rsidR="00081127">
        <w:t>p</w:t>
      </w:r>
      <w:r w:rsidRPr="00FD2C90">
        <w:t>oint</w:t>
      </w:r>
    </w:p>
    <w:p w14:paraId="435F69F2" w14:textId="035A94F4" w:rsidR="00FA3759" w:rsidRPr="00FD2C90" w:rsidRDefault="00FA3759" w:rsidP="00FD2C90">
      <w:pPr>
        <w:pStyle w:val="Paragraph"/>
      </w:pPr>
      <w:r w:rsidRPr="00FD2C90">
        <w:t>RIT</w:t>
      </w:r>
      <w:r w:rsidRPr="00FD2C90">
        <w:tab/>
      </w:r>
      <w:r w:rsidRPr="00FD2C90">
        <w:tab/>
      </w:r>
      <w:r w:rsidR="00B12CC7" w:rsidRPr="00FD2C90">
        <w:tab/>
      </w:r>
      <w:r w:rsidRPr="00FD2C90">
        <w:t xml:space="preserve">Radio </w:t>
      </w:r>
      <w:r w:rsidR="00081127">
        <w:t>i</w:t>
      </w:r>
      <w:r w:rsidRPr="00FD2C90">
        <w:t xml:space="preserve">nterface </w:t>
      </w:r>
      <w:r w:rsidR="00081127">
        <w:t>t</w:t>
      </w:r>
      <w:r w:rsidRPr="00FD2C90">
        <w:t>echnology</w:t>
      </w:r>
    </w:p>
    <w:p w14:paraId="3E704F91" w14:textId="369159AE" w:rsidR="00FA3759" w:rsidRPr="00FD2C90" w:rsidRDefault="00FA3759" w:rsidP="00FD2C90">
      <w:pPr>
        <w:pStyle w:val="Paragraph"/>
      </w:pPr>
      <w:r w:rsidRPr="00FD2C90">
        <w:t>RMR</w:t>
      </w:r>
      <w:r w:rsidRPr="00FD2C90">
        <w:tab/>
      </w:r>
      <w:r w:rsidRPr="00FD2C90">
        <w:tab/>
      </w:r>
      <w:r w:rsidR="00B12CC7" w:rsidRPr="00FD2C90">
        <w:tab/>
      </w:r>
      <w:r w:rsidR="00E21966" w:rsidRPr="00FD2C90">
        <w:t>Railway</w:t>
      </w:r>
      <w:r w:rsidRPr="00FD2C90">
        <w:t xml:space="preserve"> </w:t>
      </w:r>
      <w:r w:rsidR="00081127">
        <w:t>m</w:t>
      </w:r>
      <w:r w:rsidRPr="00FD2C90">
        <w:t xml:space="preserve">obile </w:t>
      </w:r>
      <w:r w:rsidR="00081127">
        <w:t>r</w:t>
      </w:r>
      <w:r w:rsidRPr="00FD2C90">
        <w:t>adio</w:t>
      </w:r>
    </w:p>
    <w:p w14:paraId="75A941AB" w14:textId="79AF1E3C" w:rsidR="00FA3759" w:rsidRPr="00FD2C90" w:rsidRDefault="00FA3759" w:rsidP="00FD2C90">
      <w:pPr>
        <w:pStyle w:val="Paragraph"/>
      </w:pPr>
      <w:r w:rsidRPr="00FD2C90">
        <w:t>SR</w:t>
      </w:r>
      <w:r w:rsidRPr="00FD2C90">
        <w:tab/>
      </w:r>
      <w:r w:rsidRPr="00FD2C90">
        <w:tab/>
      </w:r>
      <w:r w:rsidR="00B12CC7" w:rsidRPr="00FD2C90">
        <w:tab/>
      </w:r>
      <w:r w:rsidR="00B12CC7" w:rsidRPr="00FD2C90">
        <w:tab/>
      </w:r>
      <w:r w:rsidRPr="00FD2C90">
        <w:t>Short range</w:t>
      </w:r>
    </w:p>
    <w:p w14:paraId="79492EB6" w14:textId="4A43A047" w:rsidR="00FA3759" w:rsidRPr="00FD2C90" w:rsidRDefault="00FA3759" w:rsidP="00FD2C90">
      <w:pPr>
        <w:pStyle w:val="Paragraph"/>
      </w:pPr>
      <w:r w:rsidRPr="00FD2C90">
        <w:t>sXGP</w:t>
      </w:r>
      <w:r w:rsidRPr="00FD2C90">
        <w:tab/>
      </w:r>
      <w:r w:rsidRPr="00FD2C90">
        <w:tab/>
      </w:r>
      <w:r w:rsidR="00B12CC7" w:rsidRPr="00FD2C90">
        <w:tab/>
      </w:r>
      <w:r w:rsidRPr="00FD2C90">
        <w:t xml:space="preserve">shared </w:t>
      </w:r>
      <w:proofErr w:type="spellStart"/>
      <w:r w:rsidRPr="00FD2C90">
        <w:t>Xtended</w:t>
      </w:r>
      <w:proofErr w:type="spellEnd"/>
      <w:r w:rsidRPr="00FD2C90">
        <w:t xml:space="preserve"> </w:t>
      </w:r>
      <w:r w:rsidR="00081127">
        <w:t>g</w:t>
      </w:r>
      <w:r w:rsidRPr="00FD2C90">
        <w:t xml:space="preserve">lobal </w:t>
      </w:r>
      <w:r w:rsidR="00081127">
        <w:t>p</w:t>
      </w:r>
      <w:r w:rsidRPr="00FD2C90">
        <w:t>latform</w:t>
      </w:r>
    </w:p>
    <w:p w14:paraId="0791E40C" w14:textId="460B9175" w:rsidR="00FA3759" w:rsidRPr="00FD2C90" w:rsidRDefault="00FA3759" w:rsidP="00FD2C90">
      <w:pPr>
        <w:pStyle w:val="Paragraph"/>
      </w:pPr>
      <w:r w:rsidRPr="00FD2C90">
        <w:t>TDD</w:t>
      </w:r>
      <w:r w:rsidRPr="00FD2C90">
        <w:tab/>
      </w:r>
      <w:r w:rsidRPr="00FD2C90">
        <w:tab/>
      </w:r>
      <w:r w:rsidR="00B12CC7" w:rsidRPr="00FD2C90">
        <w:tab/>
      </w:r>
      <w:r w:rsidRPr="00FD2C90">
        <w:t>time division duplex</w:t>
      </w:r>
    </w:p>
    <w:p w14:paraId="02E65171" w14:textId="4DA2D7D9" w:rsidR="00FA3759" w:rsidRPr="00FD2C90" w:rsidRDefault="00FA3759" w:rsidP="00FD2C90">
      <w:pPr>
        <w:pStyle w:val="Paragraph"/>
      </w:pPr>
      <w:r w:rsidRPr="00FD2C90">
        <w:t>TDMA</w:t>
      </w:r>
      <w:r w:rsidRPr="00FD2C90">
        <w:tab/>
      </w:r>
      <w:r w:rsidRPr="00FD2C90">
        <w:tab/>
      </w:r>
      <w:r w:rsidR="00B12CC7" w:rsidRPr="00FD2C90">
        <w:tab/>
      </w:r>
      <w:r w:rsidRPr="00FD2C90">
        <w:t xml:space="preserve">Time </w:t>
      </w:r>
      <w:r w:rsidR="00081127">
        <w:t>d</w:t>
      </w:r>
      <w:r w:rsidRPr="00FD2C90">
        <w:t xml:space="preserve">ivision </w:t>
      </w:r>
      <w:r w:rsidR="00081127">
        <w:t>m</w:t>
      </w:r>
      <w:r w:rsidRPr="00FD2C90">
        <w:t xml:space="preserve">ultiple </w:t>
      </w:r>
      <w:r w:rsidR="00081127">
        <w:t>a</w:t>
      </w:r>
      <w:r w:rsidRPr="00FD2C90">
        <w:t>ccess</w:t>
      </w:r>
    </w:p>
    <w:p w14:paraId="58CF0E8D" w14:textId="44D80620" w:rsidR="00FA3759" w:rsidRPr="00FD2C90" w:rsidRDefault="00FA3759" w:rsidP="00FD2C90">
      <w:pPr>
        <w:pStyle w:val="Paragraph"/>
      </w:pPr>
      <w:r w:rsidRPr="00FD2C90">
        <w:t>UIC</w:t>
      </w:r>
      <w:r w:rsidRPr="00FD2C90">
        <w:tab/>
      </w:r>
      <w:r w:rsidRPr="00FD2C90">
        <w:tab/>
      </w:r>
      <w:r w:rsidR="00B12CC7" w:rsidRPr="00FD2C90">
        <w:tab/>
      </w:r>
      <w:r w:rsidRPr="00FD2C90">
        <w:t>International Union of Railways</w:t>
      </w:r>
    </w:p>
    <w:p w14:paraId="1A6E2167" w14:textId="4CBE5212" w:rsidR="00FA3759" w:rsidRPr="00FD2C90" w:rsidRDefault="00FA3759" w:rsidP="00FD2C90">
      <w:pPr>
        <w:pStyle w:val="Paragraph"/>
      </w:pPr>
      <w:r w:rsidRPr="00FD2C90">
        <w:t xml:space="preserve">ULE </w:t>
      </w:r>
      <w:r w:rsidRPr="00FD2C90">
        <w:tab/>
      </w:r>
      <w:r w:rsidRPr="00FD2C90">
        <w:tab/>
      </w:r>
      <w:r w:rsidR="00B12CC7" w:rsidRPr="00FD2C90">
        <w:tab/>
      </w:r>
      <w:r w:rsidRPr="00FD2C90">
        <w:t xml:space="preserve">Ultra </w:t>
      </w:r>
      <w:r w:rsidR="00081127">
        <w:t>l</w:t>
      </w:r>
      <w:r w:rsidRPr="00FD2C90">
        <w:t xml:space="preserve">ow </w:t>
      </w:r>
      <w:r w:rsidR="00081127">
        <w:t>e</w:t>
      </w:r>
      <w:r w:rsidRPr="00FD2C90">
        <w:t>nergy</w:t>
      </w:r>
    </w:p>
    <w:p w14:paraId="0E041F4C" w14:textId="3433FACC" w:rsidR="00FA3759" w:rsidRPr="00FD2C90" w:rsidRDefault="00FA3759" w:rsidP="00FD2C90">
      <w:pPr>
        <w:pStyle w:val="Paragraph"/>
      </w:pPr>
      <w:r w:rsidRPr="00FD2C90">
        <w:t>URLLC</w:t>
      </w:r>
      <w:r w:rsidRPr="00FD2C90">
        <w:tab/>
      </w:r>
      <w:r w:rsidRPr="00FD2C90">
        <w:tab/>
        <w:t>Ultra-</w:t>
      </w:r>
      <w:r w:rsidR="00081127">
        <w:t>r</w:t>
      </w:r>
      <w:r w:rsidRPr="00FD2C90">
        <w:t xml:space="preserve">eliable </w:t>
      </w:r>
      <w:r w:rsidR="00081127">
        <w:t>l</w:t>
      </w:r>
      <w:r w:rsidRPr="00FD2C90">
        <w:t xml:space="preserve">ow </w:t>
      </w:r>
      <w:r w:rsidR="00081127">
        <w:t>l</w:t>
      </w:r>
      <w:r w:rsidRPr="00FD2C90">
        <w:t xml:space="preserve">atency </w:t>
      </w:r>
      <w:r w:rsidR="00081127">
        <w:t>c</w:t>
      </w:r>
      <w:r w:rsidRPr="00FD2C90">
        <w:t>ommunication</w:t>
      </w:r>
    </w:p>
    <w:p w14:paraId="3545598D" w14:textId="4A5D9170" w:rsidR="00FA3759" w:rsidRPr="00FD2C90" w:rsidRDefault="00FA3759" w:rsidP="00FD2C90">
      <w:pPr>
        <w:pStyle w:val="Paragraph"/>
      </w:pPr>
      <w:r w:rsidRPr="00FD2C90">
        <w:t>WAN</w:t>
      </w:r>
      <w:r w:rsidRPr="00FD2C90">
        <w:tab/>
      </w:r>
      <w:r w:rsidRPr="00FD2C90">
        <w:tab/>
      </w:r>
      <w:r w:rsidR="00B12CC7" w:rsidRPr="00FD2C90">
        <w:tab/>
      </w:r>
      <w:r w:rsidRPr="00FD2C90">
        <w:t xml:space="preserve">Wide </w:t>
      </w:r>
      <w:r w:rsidR="00081127">
        <w:t>a</w:t>
      </w:r>
      <w:r w:rsidRPr="00FD2C90">
        <w:t xml:space="preserve">rea </w:t>
      </w:r>
      <w:r w:rsidR="00081127">
        <w:t>n</w:t>
      </w:r>
      <w:r w:rsidRPr="00FD2C90">
        <w:t>etwork</w:t>
      </w:r>
    </w:p>
    <w:p w14:paraId="6CA0C0B3" w14:textId="02A14D48" w:rsidR="00FA3759" w:rsidRPr="00FD2C90" w:rsidRDefault="00FA3759" w:rsidP="00FD2C90">
      <w:pPr>
        <w:pStyle w:val="Paragraph"/>
      </w:pPr>
      <w:r w:rsidRPr="00FD2C90">
        <w:t>WBB</w:t>
      </w:r>
      <w:r w:rsidRPr="00FD2C90">
        <w:tab/>
      </w:r>
      <w:r w:rsidRPr="00FD2C90">
        <w:tab/>
      </w:r>
      <w:r w:rsidR="00B12CC7" w:rsidRPr="00FD2C90">
        <w:tab/>
      </w:r>
      <w:r w:rsidRPr="00FD2C90">
        <w:t xml:space="preserve">Wireless </w:t>
      </w:r>
      <w:r w:rsidR="00081127">
        <w:t>b</w:t>
      </w:r>
      <w:r w:rsidRPr="00FD2C90">
        <w:t>roadband</w:t>
      </w:r>
    </w:p>
    <w:p w14:paraId="6E0D90C1" w14:textId="0AAB4028" w:rsidR="00FA3759" w:rsidRPr="00FD2C90" w:rsidRDefault="00FA3759" w:rsidP="00FD2C90">
      <w:pPr>
        <w:pStyle w:val="Paragraph"/>
      </w:pPr>
      <w:r w:rsidRPr="00FD2C90">
        <w:t>WIS</w:t>
      </w:r>
      <w:r w:rsidRPr="00FD2C90">
        <w:tab/>
      </w:r>
      <w:r w:rsidRPr="00FD2C90">
        <w:tab/>
      </w:r>
      <w:r w:rsidR="00B12CC7" w:rsidRPr="00FD2C90">
        <w:tab/>
      </w:r>
      <w:r w:rsidRPr="00FD2C90">
        <w:t xml:space="preserve">Wall </w:t>
      </w:r>
      <w:r w:rsidR="00081127">
        <w:t>i</w:t>
      </w:r>
      <w:r w:rsidRPr="00FD2C90">
        <w:t xml:space="preserve">maging </w:t>
      </w:r>
      <w:r w:rsidR="00081127">
        <w:t>s</w:t>
      </w:r>
      <w:r w:rsidRPr="00FD2C90">
        <w:t>ystems</w:t>
      </w:r>
    </w:p>
    <w:p w14:paraId="19773487" w14:textId="51B36978" w:rsidR="00FA3759" w:rsidRPr="00FD2C90" w:rsidRDefault="00FA3759" w:rsidP="00FD2C90">
      <w:pPr>
        <w:pStyle w:val="Paragraph"/>
      </w:pPr>
      <w:r w:rsidRPr="00FD2C90">
        <w:t xml:space="preserve">WMAN </w:t>
      </w:r>
      <w:r w:rsidRPr="00FD2C90">
        <w:tab/>
      </w:r>
      <w:r w:rsidRPr="00FD2C90">
        <w:tab/>
        <w:t xml:space="preserve">Wireless </w:t>
      </w:r>
      <w:r w:rsidR="00081127">
        <w:t>m</w:t>
      </w:r>
      <w:r w:rsidRPr="00FD2C90">
        <w:t xml:space="preserve">etropolitan </w:t>
      </w:r>
      <w:r w:rsidR="00081127">
        <w:t>a</w:t>
      </w:r>
      <w:r w:rsidRPr="00FD2C90">
        <w:t xml:space="preserve">rea </w:t>
      </w:r>
      <w:r w:rsidR="00081127">
        <w:t>n</w:t>
      </w:r>
      <w:r w:rsidRPr="00FD2C90">
        <w:t>etwork</w:t>
      </w:r>
    </w:p>
    <w:p w14:paraId="0D26CEA0" w14:textId="2A8B98EF" w:rsidR="00FA3759" w:rsidRPr="00FD2C90" w:rsidRDefault="00FA3759" w:rsidP="00FD2C90">
      <w:pPr>
        <w:pStyle w:val="Paragraph"/>
      </w:pPr>
      <w:r w:rsidRPr="00FD2C90">
        <w:t xml:space="preserve">WPAN </w:t>
      </w:r>
      <w:r w:rsidRPr="00FD2C90">
        <w:tab/>
      </w:r>
      <w:r w:rsidRPr="00FD2C90">
        <w:tab/>
        <w:t xml:space="preserve">Wireless </w:t>
      </w:r>
      <w:r w:rsidR="00081127">
        <w:t>p</w:t>
      </w:r>
      <w:r w:rsidRPr="00FD2C90">
        <w:t xml:space="preserve">ersonal </w:t>
      </w:r>
      <w:r w:rsidR="00081127">
        <w:t>a</w:t>
      </w:r>
      <w:r w:rsidRPr="00FD2C90">
        <w:t xml:space="preserve">rea </w:t>
      </w:r>
      <w:r w:rsidR="00081127">
        <w:t>n</w:t>
      </w:r>
      <w:r w:rsidRPr="00FD2C90">
        <w:t>etwork</w:t>
      </w:r>
    </w:p>
    <w:p w14:paraId="24D190B7" w14:textId="69A55A28" w:rsidR="00FA3759" w:rsidRPr="00FD2C90" w:rsidRDefault="00FA3759" w:rsidP="00FD2C90">
      <w:pPr>
        <w:pStyle w:val="Paragraph"/>
      </w:pPr>
      <w:r w:rsidRPr="00FD2C90">
        <w:t xml:space="preserve">WWAN </w:t>
      </w:r>
      <w:r w:rsidRPr="00FD2C90">
        <w:tab/>
      </w:r>
      <w:r w:rsidRPr="00FD2C90">
        <w:tab/>
        <w:t xml:space="preserve">Wireless </w:t>
      </w:r>
      <w:r w:rsidR="00081127">
        <w:t>w</w:t>
      </w:r>
      <w:r w:rsidRPr="00FD2C90">
        <w:t xml:space="preserve">ide </w:t>
      </w:r>
      <w:r w:rsidR="00081127">
        <w:t>a</w:t>
      </w:r>
      <w:r w:rsidRPr="00FD2C90">
        <w:t xml:space="preserve">rea </w:t>
      </w:r>
      <w:r w:rsidR="00081127">
        <w:t>n</w:t>
      </w:r>
      <w:r w:rsidRPr="00FD2C90">
        <w:t>etwork</w:t>
      </w:r>
    </w:p>
    <w:p w14:paraId="58962132" w14:textId="77777777" w:rsidR="00FA3759" w:rsidRPr="00842BB4" w:rsidRDefault="00FA3759" w:rsidP="001C6879"/>
    <w:p w14:paraId="3D0B9B71" w14:textId="6E9ED73B" w:rsidR="00081A29" w:rsidRPr="00BE29EE" w:rsidRDefault="00081A29" w:rsidP="00081A29">
      <w:pPr>
        <w:pStyle w:val="Heading1"/>
      </w:pPr>
      <w:bookmarkStart w:id="223" w:name="_Appendix_A:_Summary"/>
      <w:bookmarkStart w:id="224" w:name="_Appendix_A:_List"/>
      <w:bookmarkStart w:id="225" w:name="_Toc43214816"/>
      <w:bookmarkStart w:id="226" w:name="_Toc117870141"/>
      <w:bookmarkStart w:id="227" w:name="_Toc118785131"/>
      <w:bookmarkStart w:id="228" w:name="_Toc120600066"/>
      <w:bookmarkStart w:id="229" w:name="_Ref40264417"/>
      <w:bookmarkEnd w:id="223"/>
      <w:bookmarkEnd w:id="224"/>
      <w:r w:rsidRPr="00BE29EE">
        <w:lastRenderedPageBreak/>
        <w:t xml:space="preserve">Appendix A: </w:t>
      </w:r>
      <w:r w:rsidR="00F60382">
        <w:t>List</w:t>
      </w:r>
      <w:r w:rsidR="00F60382" w:rsidRPr="00BE29EE">
        <w:t xml:space="preserve"> </w:t>
      </w:r>
      <w:r w:rsidRPr="00BE29EE">
        <w:t xml:space="preserve">of </w:t>
      </w:r>
      <w:bookmarkEnd w:id="225"/>
      <w:r w:rsidR="00F60382">
        <w:t>respondents</w:t>
      </w:r>
      <w:bookmarkEnd w:id="226"/>
      <w:bookmarkEnd w:id="227"/>
      <w:bookmarkEnd w:id="228"/>
    </w:p>
    <w:bookmarkEnd w:id="222"/>
    <w:bookmarkEnd w:id="229"/>
    <w:p w14:paraId="0709339F" w14:textId="6AB31782" w:rsidR="00023B87" w:rsidRPr="00576242" w:rsidRDefault="00654A41" w:rsidP="00450397">
      <w:pPr>
        <w:pStyle w:val="Paragraph"/>
      </w:pPr>
      <w:r>
        <w:t>We</w:t>
      </w:r>
      <w:r w:rsidR="00023B87" w:rsidRPr="00576242">
        <w:t xml:space="preserve"> released </w:t>
      </w:r>
      <w:r>
        <w:t>opened the</w:t>
      </w:r>
      <w:r w:rsidRPr="00576242">
        <w:t xml:space="preserve"> </w:t>
      </w:r>
      <w:r w:rsidR="00023B87" w:rsidRPr="00576242">
        <w:t xml:space="preserve">consultation </w:t>
      </w:r>
      <w:hyperlink r:id="rId57" w:history="1">
        <w:r w:rsidR="00023B87" w:rsidRPr="00576242">
          <w:rPr>
            <w:rStyle w:val="Hyperlink"/>
            <w:szCs w:val="20"/>
          </w:rPr>
          <w:t>Exploring future use of the 1.9 GHz band</w:t>
        </w:r>
      </w:hyperlink>
      <w:r w:rsidR="00023B87" w:rsidRPr="00576242">
        <w:t xml:space="preserve"> on 17 November 2021. The consultation period </w:t>
      </w:r>
      <w:r w:rsidR="00155C83">
        <w:t xml:space="preserve">formerly </w:t>
      </w:r>
      <w:r w:rsidR="00023B87" w:rsidRPr="00576242">
        <w:t xml:space="preserve">closed on 11 February 2022, with the last submission received on 14 February 2022. </w:t>
      </w:r>
      <w:r w:rsidR="006B0360">
        <w:t>We received 22</w:t>
      </w:r>
      <w:r w:rsidR="00023B87" w:rsidRPr="00576242">
        <w:t xml:space="preserve"> submissions from the following stakeholders.</w:t>
      </w:r>
    </w:p>
    <w:p w14:paraId="459EC742" w14:textId="00CAD541" w:rsidR="00E63F38" w:rsidRPr="004C35AB" w:rsidRDefault="00E63F38" w:rsidP="001C6879">
      <w:pPr>
        <w:pStyle w:val="ListBullet"/>
        <w:numPr>
          <w:ilvl w:val="0"/>
          <w:numId w:val="29"/>
        </w:numPr>
      </w:pPr>
      <w:r w:rsidRPr="004C35AB">
        <w:t>Australasian Railway Association</w:t>
      </w:r>
      <w:r w:rsidR="00FE03B3">
        <w:t xml:space="preserve"> (ARA)</w:t>
      </w:r>
    </w:p>
    <w:p w14:paraId="774F0E48" w14:textId="77777777" w:rsidR="00E63F38" w:rsidRPr="004C35AB" w:rsidRDefault="00E63F38" w:rsidP="001C6879">
      <w:pPr>
        <w:pStyle w:val="ListBullet"/>
        <w:numPr>
          <w:ilvl w:val="0"/>
          <w:numId w:val="29"/>
        </w:numPr>
      </w:pPr>
      <w:r w:rsidRPr="004C35AB">
        <w:t>Australian Mobile Telecommunications Association (AMTA)</w:t>
      </w:r>
    </w:p>
    <w:p w14:paraId="2EE3E229" w14:textId="77777777" w:rsidR="00E63F38" w:rsidRPr="004C35AB" w:rsidRDefault="00E63F38" w:rsidP="001C6879">
      <w:pPr>
        <w:pStyle w:val="ListBullet"/>
        <w:numPr>
          <w:ilvl w:val="0"/>
          <w:numId w:val="29"/>
        </w:numPr>
      </w:pPr>
      <w:r w:rsidRPr="004C35AB">
        <w:t>Bosch Security Systems, LLC</w:t>
      </w:r>
    </w:p>
    <w:p w14:paraId="7767F810" w14:textId="77777777" w:rsidR="00E63F38" w:rsidRPr="004C35AB" w:rsidRDefault="00E63F38" w:rsidP="001C6879">
      <w:pPr>
        <w:pStyle w:val="ListBullet"/>
        <w:numPr>
          <w:ilvl w:val="0"/>
          <w:numId w:val="29"/>
        </w:numPr>
      </w:pPr>
      <w:r w:rsidRPr="004C35AB">
        <w:t>Bravo Charlie Broadcast Comms</w:t>
      </w:r>
    </w:p>
    <w:p w14:paraId="6AA46E5A" w14:textId="77777777" w:rsidR="00E63F38" w:rsidRPr="004C35AB" w:rsidRDefault="00E63F38" w:rsidP="001C6879">
      <w:pPr>
        <w:pStyle w:val="ListBullet"/>
        <w:numPr>
          <w:ilvl w:val="0"/>
          <w:numId w:val="29"/>
        </w:numPr>
      </w:pPr>
      <w:r w:rsidRPr="004C35AB">
        <w:t>Clear-Com LLC</w:t>
      </w:r>
    </w:p>
    <w:p w14:paraId="412A6C4E" w14:textId="77777777" w:rsidR="00E63F38" w:rsidRPr="004C35AB" w:rsidRDefault="00E63F38" w:rsidP="001C6879">
      <w:pPr>
        <w:pStyle w:val="ListBullet"/>
        <w:numPr>
          <w:ilvl w:val="0"/>
          <w:numId w:val="29"/>
        </w:numPr>
      </w:pPr>
      <w:r w:rsidRPr="004C35AB">
        <w:t>DECT Forum</w:t>
      </w:r>
    </w:p>
    <w:p w14:paraId="1389BE9C" w14:textId="77777777" w:rsidR="00E63F38" w:rsidRPr="004C35AB" w:rsidRDefault="00E63F38" w:rsidP="001C6879">
      <w:pPr>
        <w:pStyle w:val="ListBullet"/>
        <w:numPr>
          <w:ilvl w:val="0"/>
          <w:numId w:val="29"/>
        </w:numPr>
      </w:pPr>
      <w:r w:rsidRPr="004C35AB">
        <w:t>Department of Defence, Australia</w:t>
      </w:r>
    </w:p>
    <w:p w14:paraId="26622B15" w14:textId="77777777" w:rsidR="00E63F38" w:rsidRPr="004C35AB" w:rsidRDefault="00E63F38" w:rsidP="001C6879">
      <w:pPr>
        <w:pStyle w:val="ListBullet"/>
        <w:numPr>
          <w:ilvl w:val="0"/>
          <w:numId w:val="29"/>
        </w:numPr>
      </w:pPr>
      <w:r w:rsidRPr="004C35AB">
        <w:t xml:space="preserve">Ericsson </w:t>
      </w:r>
    </w:p>
    <w:p w14:paraId="1F1B9840" w14:textId="77777777" w:rsidR="00E63F38" w:rsidRPr="004C35AB" w:rsidRDefault="00E63F38" w:rsidP="001C6879">
      <w:pPr>
        <w:pStyle w:val="ListBullet"/>
        <w:numPr>
          <w:ilvl w:val="0"/>
          <w:numId w:val="29"/>
        </w:numPr>
      </w:pPr>
      <w:r w:rsidRPr="004C35AB">
        <w:t>Event Communications Australia</w:t>
      </w:r>
    </w:p>
    <w:p w14:paraId="00AC9E01" w14:textId="4B40C27B" w:rsidR="00E63F38" w:rsidRPr="004C35AB" w:rsidRDefault="00E63F38" w:rsidP="001C6879">
      <w:pPr>
        <w:pStyle w:val="ListBullet"/>
        <w:numPr>
          <w:ilvl w:val="0"/>
          <w:numId w:val="29"/>
        </w:numPr>
      </w:pPr>
      <w:r w:rsidRPr="004C35AB">
        <w:t>Field Solutions Group</w:t>
      </w:r>
      <w:r w:rsidR="00FE03B3">
        <w:t xml:space="preserve"> (FSG)</w:t>
      </w:r>
    </w:p>
    <w:p w14:paraId="79363C2A" w14:textId="77777777" w:rsidR="00E63F38" w:rsidRPr="004C35AB" w:rsidRDefault="00E63F38" w:rsidP="001C6879">
      <w:pPr>
        <w:pStyle w:val="ListBullet"/>
        <w:numPr>
          <w:ilvl w:val="0"/>
          <w:numId w:val="29"/>
        </w:numPr>
      </w:pPr>
      <w:r w:rsidRPr="004C35AB">
        <w:t>Jabra</w:t>
      </w:r>
    </w:p>
    <w:p w14:paraId="30AF131E" w14:textId="77777777" w:rsidR="00E63F38" w:rsidRPr="004C35AB" w:rsidRDefault="00E63F38" w:rsidP="001C6879">
      <w:pPr>
        <w:pStyle w:val="ListBullet"/>
        <w:numPr>
          <w:ilvl w:val="0"/>
          <w:numId w:val="29"/>
        </w:numPr>
      </w:pPr>
      <w:r w:rsidRPr="004C35AB">
        <w:t xml:space="preserve">Jands Pty Ltd </w:t>
      </w:r>
    </w:p>
    <w:p w14:paraId="477D2EA7" w14:textId="77777777" w:rsidR="00E63F38" w:rsidRPr="004C35AB" w:rsidRDefault="00E63F38" w:rsidP="001C6879">
      <w:pPr>
        <w:pStyle w:val="ListBullet"/>
        <w:numPr>
          <w:ilvl w:val="0"/>
          <w:numId w:val="29"/>
        </w:numPr>
      </w:pPr>
      <w:r w:rsidRPr="004C35AB">
        <w:t>Nokia</w:t>
      </w:r>
    </w:p>
    <w:p w14:paraId="2873A4D2" w14:textId="77777777" w:rsidR="00E63F38" w:rsidRPr="004C35AB" w:rsidRDefault="00E63F38" w:rsidP="001C6879">
      <w:pPr>
        <w:pStyle w:val="ListBullet"/>
        <w:numPr>
          <w:ilvl w:val="0"/>
          <w:numId w:val="29"/>
        </w:numPr>
      </w:pPr>
      <w:r w:rsidRPr="004C35AB">
        <w:t>Pivotel Group Pty Limited</w:t>
      </w:r>
    </w:p>
    <w:p w14:paraId="7786D232" w14:textId="75BAE9C1" w:rsidR="00E63F38" w:rsidRPr="004C35AB" w:rsidRDefault="00E63F38" w:rsidP="001C6879">
      <w:pPr>
        <w:pStyle w:val="ListBullet"/>
        <w:numPr>
          <w:ilvl w:val="0"/>
          <w:numId w:val="29"/>
        </w:numPr>
      </w:pPr>
      <w:r w:rsidRPr="004C35AB">
        <w:t>Profiles Resource Management</w:t>
      </w:r>
      <w:r w:rsidR="00FE03B3">
        <w:t xml:space="preserve"> (PRM)</w:t>
      </w:r>
    </w:p>
    <w:p w14:paraId="0A3AB410" w14:textId="77777777" w:rsidR="00E63F38" w:rsidRPr="004C35AB" w:rsidRDefault="00E63F38" w:rsidP="001C6879">
      <w:pPr>
        <w:pStyle w:val="ListBullet"/>
        <w:numPr>
          <w:ilvl w:val="0"/>
          <w:numId w:val="29"/>
        </w:numPr>
      </w:pPr>
      <w:r w:rsidRPr="004C35AB">
        <w:t>Riedel Communications Australia Pty Ltd</w:t>
      </w:r>
    </w:p>
    <w:p w14:paraId="091A92DF" w14:textId="77777777" w:rsidR="00E63F38" w:rsidRPr="004C35AB" w:rsidRDefault="00E63F38" w:rsidP="001C6879">
      <w:pPr>
        <w:pStyle w:val="ListBullet"/>
        <w:numPr>
          <w:ilvl w:val="0"/>
          <w:numId w:val="29"/>
        </w:numPr>
      </w:pPr>
      <w:r w:rsidRPr="004C35AB">
        <w:t>Sennheiser Australia Pty Ltd</w:t>
      </w:r>
    </w:p>
    <w:p w14:paraId="5B812C4F" w14:textId="77777777" w:rsidR="00E63F38" w:rsidRPr="004C35AB" w:rsidRDefault="00E63F38" w:rsidP="001C6879">
      <w:pPr>
        <w:pStyle w:val="ListBullet"/>
        <w:numPr>
          <w:ilvl w:val="0"/>
          <w:numId w:val="29"/>
        </w:numPr>
      </w:pPr>
      <w:r w:rsidRPr="004C35AB">
        <w:t xml:space="preserve">Sennheiser electronic GmbH &amp; Co. KG </w:t>
      </w:r>
    </w:p>
    <w:p w14:paraId="058DAE7E" w14:textId="77777777" w:rsidR="00E63F38" w:rsidRPr="004C35AB" w:rsidRDefault="00E63F38" w:rsidP="001C6879">
      <w:pPr>
        <w:pStyle w:val="ListBullet"/>
        <w:numPr>
          <w:ilvl w:val="0"/>
          <w:numId w:val="29"/>
        </w:numPr>
      </w:pPr>
      <w:r w:rsidRPr="004C35AB">
        <w:t>Singtel Optus Pty Limited</w:t>
      </w:r>
    </w:p>
    <w:p w14:paraId="276BB872" w14:textId="6CFCB156" w:rsidR="00E63F38" w:rsidRPr="004C35AB" w:rsidRDefault="00E63F38" w:rsidP="001C6879">
      <w:pPr>
        <w:pStyle w:val="ListBullet"/>
        <w:numPr>
          <w:ilvl w:val="0"/>
          <w:numId w:val="29"/>
        </w:numPr>
      </w:pPr>
      <w:r w:rsidRPr="004C35AB">
        <w:t>Swinburne University of Technology /</w:t>
      </w:r>
      <w:r w:rsidR="00FE03B3">
        <w:t xml:space="preserve"> Audio-visual &amp; Education Technology Management (</w:t>
      </w:r>
      <w:r w:rsidRPr="004C35AB">
        <w:t>AETM</w:t>
      </w:r>
      <w:r w:rsidR="00FE03B3">
        <w:t>)</w:t>
      </w:r>
    </w:p>
    <w:p w14:paraId="6A8FA861" w14:textId="77777777" w:rsidR="00E63F38" w:rsidRPr="004C35AB" w:rsidRDefault="00E63F38" w:rsidP="001C6879">
      <w:pPr>
        <w:pStyle w:val="ListBullet"/>
        <w:numPr>
          <w:ilvl w:val="0"/>
          <w:numId w:val="29"/>
        </w:numPr>
      </w:pPr>
      <w:r w:rsidRPr="004C35AB">
        <w:t>Telstra Corporation Limited</w:t>
      </w:r>
    </w:p>
    <w:p w14:paraId="243B8F92" w14:textId="77777777" w:rsidR="00E63F38" w:rsidRPr="004C35AB" w:rsidRDefault="00E63F38" w:rsidP="001C6879">
      <w:pPr>
        <w:pStyle w:val="ListBullet"/>
        <w:numPr>
          <w:ilvl w:val="0"/>
          <w:numId w:val="29"/>
        </w:numPr>
      </w:pPr>
      <w:r w:rsidRPr="004C35AB">
        <w:t>Wirepas Ltd</w:t>
      </w:r>
    </w:p>
    <w:p w14:paraId="2CECAE04" w14:textId="5325228E" w:rsidR="00023B87" w:rsidRPr="00576242" w:rsidRDefault="00023B87" w:rsidP="00450397">
      <w:pPr>
        <w:pStyle w:val="Paragraph"/>
      </w:pPr>
    </w:p>
    <w:p w14:paraId="0EDC8C39" w14:textId="3B9E5CE5" w:rsidR="00023B87" w:rsidRPr="00576242" w:rsidRDefault="001415F5" w:rsidP="00450397">
      <w:pPr>
        <w:pStyle w:val="Paragraph"/>
      </w:pPr>
      <w:r>
        <w:t xml:space="preserve">You can find the </w:t>
      </w:r>
      <w:r w:rsidR="00023B87" w:rsidRPr="00576242">
        <w:t xml:space="preserve">public submissions on the </w:t>
      </w:r>
      <w:hyperlink r:id="rId58" w:anchor="submissions" w:history="1">
        <w:r w:rsidR="00023B87" w:rsidRPr="001415F5">
          <w:rPr>
            <w:rStyle w:val="Hyperlink"/>
          </w:rPr>
          <w:t>ACMA website</w:t>
        </w:r>
      </w:hyperlink>
      <w:r w:rsidRPr="00D51E3F">
        <w:rPr>
          <w:rStyle w:val="Hyperlink"/>
          <w:color w:val="auto"/>
          <w:u w:val="none"/>
        </w:rPr>
        <w:t>.</w:t>
      </w:r>
    </w:p>
    <w:p w14:paraId="3DFC2619" w14:textId="4B6A80FD" w:rsidR="00023B87" w:rsidRPr="00576242" w:rsidRDefault="00023B87" w:rsidP="00023B87">
      <w:pPr>
        <w:keepLines w:val="0"/>
        <w:spacing w:after="0" w:line="240" w:lineRule="auto"/>
        <w:rPr>
          <w:rFonts w:cs="Arial"/>
          <w:b/>
          <w:bCs/>
          <w:iCs/>
          <w:szCs w:val="20"/>
        </w:rPr>
      </w:pPr>
    </w:p>
    <w:p w14:paraId="571C9A0A" w14:textId="44B02196" w:rsidR="000261E2" w:rsidRPr="00BE29EE" w:rsidRDefault="0040190E" w:rsidP="00BE29EE">
      <w:pPr>
        <w:pStyle w:val="Heading1"/>
      </w:pPr>
      <w:bookmarkStart w:id="230" w:name="_Appendix_B:_Domestic"/>
      <w:bookmarkStart w:id="231" w:name="_Appendix_B:_Fixed"/>
      <w:bookmarkStart w:id="232" w:name="_Ref40789386"/>
      <w:bookmarkStart w:id="233" w:name="_Toc117870143"/>
      <w:bookmarkStart w:id="234" w:name="_Toc118785133"/>
      <w:bookmarkStart w:id="235" w:name="_Toc120600067"/>
      <w:bookmarkEnd w:id="230"/>
      <w:bookmarkEnd w:id="231"/>
      <w:r w:rsidRPr="00BE29EE">
        <w:lastRenderedPageBreak/>
        <w:t xml:space="preserve">Appendix B: </w:t>
      </w:r>
      <w:bookmarkEnd w:id="232"/>
      <w:bookmarkEnd w:id="233"/>
      <w:r w:rsidR="00233856">
        <w:t>Fixed service analysis</w:t>
      </w:r>
      <w:bookmarkEnd w:id="234"/>
      <w:bookmarkEnd w:id="235"/>
    </w:p>
    <w:p w14:paraId="7F4E48EC" w14:textId="455E8054" w:rsidR="000261E2" w:rsidRDefault="000261E2" w:rsidP="00BE29EE">
      <w:pPr>
        <w:keepLines w:val="0"/>
      </w:pPr>
      <w:r>
        <w:t xml:space="preserve">This </w:t>
      </w:r>
      <w:r w:rsidR="00EB3EDE">
        <w:t>a</w:t>
      </w:r>
      <w:r w:rsidR="004A7F3D">
        <w:t>ppendix</w:t>
      </w:r>
      <w:r>
        <w:t xml:space="preserve"> examines </w:t>
      </w:r>
      <w:r w:rsidR="00233856">
        <w:t>fixed service</w:t>
      </w:r>
      <w:r>
        <w:t xml:space="preserve"> use of the </w:t>
      </w:r>
      <w:r w:rsidR="004A7F3D">
        <w:t>1.9 GHz</w:t>
      </w:r>
      <w:r>
        <w:t xml:space="preserve"> band</w:t>
      </w:r>
      <w:r w:rsidR="00233856">
        <w:t xml:space="preserve"> over the </w:t>
      </w:r>
      <w:r w:rsidR="00155C83">
        <w:t xml:space="preserve">past </w:t>
      </w:r>
      <w:r w:rsidR="00233856">
        <w:t>8 years.</w:t>
      </w:r>
    </w:p>
    <w:p w14:paraId="35E153E7" w14:textId="743AB548" w:rsidR="004A7F3D" w:rsidRDefault="004A7F3D" w:rsidP="004A7F3D">
      <w:pPr>
        <w:pStyle w:val="Paragraph"/>
        <w:keepNext/>
      </w:pPr>
      <w:bookmarkStart w:id="236" w:name="_Fixed_services"/>
      <w:bookmarkEnd w:id="236"/>
      <w:r>
        <w:t xml:space="preserve">Figures 6 to 9 show the year-on-year trend for point-to-point and point-to-multipoint assignments for the last 8 years in 1.9 GHz band. There was a steady decline in point-to-point assignments from 2015 to 2022. There has also been a steady decline in point-to-multipoint assignments from 2015 to 2018. However, </w:t>
      </w:r>
      <w:r w:rsidR="00155C83">
        <w:t>there</w:t>
      </w:r>
      <w:r>
        <w:t xml:space="preserve"> has </w:t>
      </w:r>
      <w:r w:rsidR="00155C83">
        <w:t xml:space="preserve">been </w:t>
      </w:r>
      <w:r>
        <w:t>an increas</w:t>
      </w:r>
      <w:r w:rsidR="00155C83">
        <w:t>e in</w:t>
      </w:r>
      <w:r>
        <w:t xml:space="preserve"> point-to-multipoint services</w:t>
      </w:r>
      <w:r w:rsidR="00580412">
        <w:t xml:space="preserve">, perhaps due to current limitations </w:t>
      </w:r>
      <w:r w:rsidR="00155C83">
        <w:t xml:space="preserve">in </w:t>
      </w:r>
      <w:r w:rsidR="00580412">
        <w:t>accessing the</w:t>
      </w:r>
      <w:r>
        <w:t xml:space="preserve"> 3.4</w:t>
      </w:r>
      <w:r w:rsidR="00EB3EDE">
        <w:t>–</w:t>
      </w:r>
      <w:r>
        <w:t>4 GHz band for wireless broadband services. Once the replanning of</w:t>
      </w:r>
      <w:r w:rsidR="00155C83">
        <w:t xml:space="preserve"> the</w:t>
      </w:r>
      <w:r>
        <w:t xml:space="preserve"> </w:t>
      </w:r>
      <w:r w:rsidR="00EB3EDE">
        <w:br/>
      </w:r>
      <w:r>
        <w:t>3.4</w:t>
      </w:r>
      <w:r w:rsidR="00EB3EDE">
        <w:t>–</w:t>
      </w:r>
      <w:r>
        <w:t>4 GHz band is finalised, this trend is expected to decline.</w:t>
      </w:r>
    </w:p>
    <w:p w14:paraId="18ED9090" w14:textId="66589ABD" w:rsidR="004A7F3D" w:rsidRDefault="004A7F3D" w:rsidP="00450397">
      <w:pPr>
        <w:pStyle w:val="ACMAFigureHeader"/>
      </w:pPr>
      <w:r w:rsidRPr="004C6BDA">
        <w:t xml:space="preserve">Fixed assignments in any part of </w:t>
      </w:r>
      <w:r w:rsidR="00071189">
        <w:t xml:space="preserve">the </w:t>
      </w:r>
      <w:r w:rsidRPr="004C6BDA">
        <w:t>1.9 GHz band</w:t>
      </w:r>
    </w:p>
    <w:tbl>
      <w:tblPr>
        <w:tblpPr w:leftFromText="180" w:rightFromText="180" w:vertAnchor="text" w:horzAnchor="margin" w:tblpY="3904"/>
        <w:tblW w:w="8977" w:type="dxa"/>
        <w:tblLook w:val="04A0" w:firstRow="1" w:lastRow="0" w:firstColumn="1" w:lastColumn="0" w:noHBand="0" w:noVBand="1"/>
      </w:tblPr>
      <w:tblGrid>
        <w:gridCol w:w="2392"/>
        <w:gridCol w:w="661"/>
        <w:gridCol w:w="846"/>
        <w:gridCol w:w="846"/>
        <w:gridCol w:w="846"/>
        <w:gridCol w:w="846"/>
        <w:gridCol w:w="846"/>
        <w:gridCol w:w="846"/>
        <w:gridCol w:w="848"/>
      </w:tblGrid>
      <w:tr w:rsidR="004A7F3D" w:rsidRPr="00A63FCF" w14:paraId="08781C91" w14:textId="77777777" w:rsidTr="00D20F37">
        <w:trPr>
          <w:trHeight w:val="274"/>
        </w:trPr>
        <w:tc>
          <w:tcPr>
            <w:tcW w:w="2392" w:type="dxa"/>
            <w:vMerge w:val="restart"/>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6CCF93AA" w14:textId="1DF2EB80" w:rsidR="004A7F3D" w:rsidRPr="00472529" w:rsidRDefault="004A7F3D" w:rsidP="0063160E">
            <w:pPr>
              <w:spacing w:after="0" w:line="240" w:lineRule="auto"/>
              <w:rPr>
                <w:b/>
                <w:bCs/>
              </w:rPr>
            </w:pPr>
            <w:r w:rsidRPr="00472529">
              <w:rPr>
                <w:b/>
                <w:bCs/>
              </w:rPr>
              <w:t xml:space="preserve">Fixed </w:t>
            </w:r>
            <w:r w:rsidR="00EB3EDE" w:rsidRPr="00472529">
              <w:rPr>
                <w:b/>
                <w:bCs/>
              </w:rPr>
              <w:t>s</w:t>
            </w:r>
            <w:r w:rsidRPr="00472529">
              <w:rPr>
                <w:b/>
                <w:bCs/>
              </w:rPr>
              <w:t xml:space="preserve">ervices / </w:t>
            </w:r>
            <w:r w:rsidR="00EB3EDE" w:rsidRPr="00472529">
              <w:rPr>
                <w:b/>
                <w:bCs/>
              </w:rPr>
              <w:t>n</w:t>
            </w:r>
            <w:r w:rsidRPr="00472529">
              <w:rPr>
                <w:b/>
                <w:bCs/>
              </w:rPr>
              <w:t>umber of assignments</w:t>
            </w:r>
          </w:p>
        </w:tc>
        <w:tc>
          <w:tcPr>
            <w:tcW w:w="6585" w:type="dxa"/>
            <w:gridSpan w:val="8"/>
            <w:tcBorders>
              <w:top w:val="single" w:sz="4" w:space="0" w:color="auto"/>
              <w:left w:val="nil"/>
              <w:bottom w:val="single" w:sz="4" w:space="0" w:color="auto"/>
              <w:right w:val="single" w:sz="4" w:space="0" w:color="auto"/>
            </w:tcBorders>
            <w:shd w:val="clear" w:color="auto" w:fill="000000" w:themeFill="text1"/>
            <w:noWrap/>
            <w:vAlign w:val="center"/>
            <w:hideMark/>
          </w:tcPr>
          <w:p w14:paraId="7260D92A" w14:textId="77777777" w:rsidR="004A7F3D" w:rsidRPr="00472529" w:rsidRDefault="004A7F3D" w:rsidP="0063160E">
            <w:pPr>
              <w:spacing w:after="0" w:line="240" w:lineRule="auto"/>
              <w:jc w:val="center"/>
              <w:rPr>
                <w:b/>
                <w:bCs/>
              </w:rPr>
            </w:pPr>
            <w:r w:rsidRPr="00472529">
              <w:rPr>
                <w:b/>
                <w:bCs/>
              </w:rPr>
              <w:t>Year</w:t>
            </w:r>
          </w:p>
        </w:tc>
      </w:tr>
      <w:tr w:rsidR="00750B8F" w:rsidRPr="00A63FCF" w14:paraId="441BA4C1" w14:textId="77777777" w:rsidTr="00450397">
        <w:trPr>
          <w:trHeight w:val="270"/>
        </w:trPr>
        <w:tc>
          <w:tcPr>
            <w:tcW w:w="2392" w:type="dxa"/>
            <w:vMerge/>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02ECA758" w14:textId="77777777" w:rsidR="004A7F3D" w:rsidRPr="00472529" w:rsidRDefault="004A7F3D" w:rsidP="0063160E">
            <w:pPr>
              <w:spacing w:after="0" w:line="240" w:lineRule="auto"/>
              <w:rPr>
                <w:b/>
                <w:bCs/>
              </w:rPr>
            </w:pPr>
          </w:p>
        </w:tc>
        <w:tc>
          <w:tcPr>
            <w:tcW w:w="654" w:type="dxa"/>
            <w:tcBorders>
              <w:top w:val="nil"/>
              <w:left w:val="nil"/>
              <w:bottom w:val="single" w:sz="4" w:space="0" w:color="auto"/>
              <w:right w:val="single" w:sz="4" w:space="0" w:color="auto"/>
            </w:tcBorders>
            <w:shd w:val="clear" w:color="auto" w:fill="000000" w:themeFill="text1"/>
            <w:noWrap/>
            <w:vAlign w:val="bottom"/>
            <w:hideMark/>
          </w:tcPr>
          <w:p w14:paraId="4BDC8514" w14:textId="77777777" w:rsidR="004A7F3D" w:rsidRPr="00472529" w:rsidRDefault="004A7F3D" w:rsidP="0063160E">
            <w:pPr>
              <w:spacing w:after="0" w:line="240" w:lineRule="auto"/>
              <w:jc w:val="right"/>
              <w:rPr>
                <w:b/>
                <w:bCs/>
              </w:rPr>
            </w:pPr>
            <w:r w:rsidRPr="00472529">
              <w:rPr>
                <w:b/>
                <w:bCs/>
              </w:rPr>
              <w:t>2015</w:t>
            </w:r>
          </w:p>
        </w:tc>
        <w:tc>
          <w:tcPr>
            <w:tcW w:w="846" w:type="dxa"/>
            <w:tcBorders>
              <w:top w:val="nil"/>
              <w:left w:val="nil"/>
              <w:bottom w:val="single" w:sz="4" w:space="0" w:color="auto"/>
              <w:right w:val="single" w:sz="4" w:space="0" w:color="auto"/>
            </w:tcBorders>
            <w:shd w:val="clear" w:color="auto" w:fill="000000" w:themeFill="text1"/>
            <w:noWrap/>
            <w:vAlign w:val="bottom"/>
            <w:hideMark/>
          </w:tcPr>
          <w:p w14:paraId="65EA2D41" w14:textId="77777777" w:rsidR="004A7F3D" w:rsidRPr="00472529" w:rsidRDefault="004A7F3D" w:rsidP="0063160E">
            <w:pPr>
              <w:spacing w:after="0" w:line="240" w:lineRule="auto"/>
              <w:jc w:val="right"/>
              <w:rPr>
                <w:b/>
                <w:bCs/>
              </w:rPr>
            </w:pPr>
            <w:r w:rsidRPr="00472529">
              <w:rPr>
                <w:b/>
                <w:bCs/>
              </w:rPr>
              <w:t>2016</w:t>
            </w:r>
          </w:p>
        </w:tc>
        <w:tc>
          <w:tcPr>
            <w:tcW w:w="846" w:type="dxa"/>
            <w:tcBorders>
              <w:top w:val="nil"/>
              <w:left w:val="nil"/>
              <w:bottom w:val="single" w:sz="4" w:space="0" w:color="auto"/>
              <w:right w:val="single" w:sz="4" w:space="0" w:color="auto"/>
            </w:tcBorders>
            <w:shd w:val="clear" w:color="auto" w:fill="000000" w:themeFill="text1"/>
            <w:noWrap/>
            <w:vAlign w:val="bottom"/>
            <w:hideMark/>
          </w:tcPr>
          <w:p w14:paraId="63D6F10D" w14:textId="77777777" w:rsidR="004A7F3D" w:rsidRPr="00472529" w:rsidRDefault="004A7F3D" w:rsidP="0063160E">
            <w:pPr>
              <w:spacing w:after="0" w:line="240" w:lineRule="auto"/>
              <w:jc w:val="right"/>
              <w:rPr>
                <w:b/>
                <w:bCs/>
              </w:rPr>
            </w:pPr>
            <w:r w:rsidRPr="00472529">
              <w:rPr>
                <w:b/>
                <w:bCs/>
              </w:rPr>
              <w:t>2017</w:t>
            </w:r>
          </w:p>
        </w:tc>
        <w:tc>
          <w:tcPr>
            <w:tcW w:w="846" w:type="dxa"/>
            <w:tcBorders>
              <w:top w:val="nil"/>
              <w:left w:val="nil"/>
              <w:bottom w:val="single" w:sz="4" w:space="0" w:color="auto"/>
              <w:right w:val="single" w:sz="4" w:space="0" w:color="auto"/>
            </w:tcBorders>
            <w:shd w:val="clear" w:color="auto" w:fill="000000" w:themeFill="text1"/>
            <w:noWrap/>
            <w:vAlign w:val="bottom"/>
            <w:hideMark/>
          </w:tcPr>
          <w:p w14:paraId="47EA62C7" w14:textId="77777777" w:rsidR="004A7F3D" w:rsidRPr="00472529" w:rsidRDefault="004A7F3D" w:rsidP="0063160E">
            <w:pPr>
              <w:spacing w:after="0" w:line="240" w:lineRule="auto"/>
              <w:jc w:val="right"/>
              <w:rPr>
                <w:b/>
                <w:bCs/>
              </w:rPr>
            </w:pPr>
            <w:r w:rsidRPr="00472529">
              <w:rPr>
                <w:b/>
                <w:bCs/>
              </w:rPr>
              <w:t>2018</w:t>
            </w:r>
          </w:p>
        </w:tc>
        <w:tc>
          <w:tcPr>
            <w:tcW w:w="846" w:type="dxa"/>
            <w:tcBorders>
              <w:top w:val="nil"/>
              <w:left w:val="nil"/>
              <w:bottom w:val="single" w:sz="4" w:space="0" w:color="auto"/>
              <w:right w:val="single" w:sz="4" w:space="0" w:color="auto"/>
            </w:tcBorders>
            <w:shd w:val="clear" w:color="auto" w:fill="000000" w:themeFill="text1"/>
            <w:noWrap/>
            <w:vAlign w:val="bottom"/>
            <w:hideMark/>
          </w:tcPr>
          <w:p w14:paraId="05DC4B15" w14:textId="77777777" w:rsidR="004A7F3D" w:rsidRPr="00472529" w:rsidRDefault="004A7F3D" w:rsidP="0063160E">
            <w:pPr>
              <w:spacing w:after="0" w:line="240" w:lineRule="auto"/>
              <w:jc w:val="right"/>
              <w:rPr>
                <w:b/>
                <w:bCs/>
              </w:rPr>
            </w:pPr>
            <w:r w:rsidRPr="00472529">
              <w:rPr>
                <w:b/>
                <w:bCs/>
              </w:rPr>
              <w:t>2019</w:t>
            </w:r>
          </w:p>
        </w:tc>
        <w:tc>
          <w:tcPr>
            <w:tcW w:w="846" w:type="dxa"/>
            <w:tcBorders>
              <w:top w:val="nil"/>
              <w:left w:val="nil"/>
              <w:bottom w:val="single" w:sz="4" w:space="0" w:color="auto"/>
              <w:right w:val="single" w:sz="4" w:space="0" w:color="auto"/>
            </w:tcBorders>
            <w:shd w:val="clear" w:color="auto" w:fill="000000" w:themeFill="text1"/>
            <w:noWrap/>
            <w:vAlign w:val="bottom"/>
            <w:hideMark/>
          </w:tcPr>
          <w:p w14:paraId="6F390F7C" w14:textId="77777777" w:rsidR="004A7F3D" w:rsidRPr="00472529" w:rsidRDefault="004A7F3D" w:rsidP="0063160E">
            <w:pPr>
              <w:spacing w:after="0" w:line="240" w:lineRule="auto"/>
              <w:jc w:val="right"/>
              <w:rPr>
                <w:b/>
                <w:bCs/>
              </w:rPr>
            </w:pPr>
            <w:r w:rsidRPr="00472529">
              <w:rPr>
                <w:b/>
                <w:bCs/>
              </w:rPr>
              <w:t>2020</w:t>
            </w:r>
          </w:p>
        </w:tc>
        <w:tc>
          <w:tcPr>
            <w:tcW w:w="846" w:type="dxa"/>
            <w:tcBorders>
              <w:top w:val="nil"/>
              <w:left w:val="nil"/>
              <w:bottom w:val="single" w:sz="4" w:space="0" w:color="auto"/>
              <w:right w:val="single" w:sz="4" w:space="0" w:color="auto"/>
            </w:tcBorders>
            <w:shd w:val="clear" w:color="auto" w:fill="000000" w:themeFill="text1"/>
            <w:noWrap/>
            <w:vAlign w:val="bottom"/>
            <w:hideMark/>
          </w:tcPr>
          <w:p w14:paraId="7B14045A" w14:textId="77777777" w:rsidR="004A7F3D" w:rsidRPr="00472529" w:rsidRDefault="004A7F3D" w:rsidP="0063160E">
            <w:pPr>
              <w:spacing w:after="0" w:line="240" w:lineRule="auto"/>
              <w:jc w:val="right"/>
              <w:rPr>
                <w:b/>
                <w:bCs/>
              </w:rPr>
            </w:pPr>
            <w:r w:rsidRPr="00472529">
              <w:rPr>
                <w:b/>
                <w:bCs/>
              </w:rPr>
              <w:t>2021</w:t>
            </w:r>
          </w:p>
        </w:tc>
        <w:tc>
          <w:tcPr>
            <w:tcW w:w="848" w:type="dxa"/>
            <w:tcBorders>
              <w:top w:val="nil"/>
              <w:left w:val="nil"/>
              <w:bottom w:val="single" w:sz="4" w:space="0" w:color="auto"/>
              <w:right w:val="single" w:sz="4" w:space="0" w:color="auto"/>
            </w:tcBorders>
            <w:shd w:val="clear" w:color="auto" w:fill="000000" w:themeFill="text1"/>
            <w:noWrap/>
            <w:vAlign w:val="bottom"/>
            <w:hideMark/>
          </w:tcPr>
          <w:p w14:paraId="49F7D7B9" w14:textId="77777777" w:rsidR="004A7F3D" w:rsidRPr="00472529" w:rsidRDefault="004A7F3D" w:rsidP="0063160E">
            <w:pPr>
              <w:spacing w:after="0" w:line="240" w:lineRule="auto"/>
              <w:jc w:val="right"/>
              <w:rPr>
                <w:b/>
                <w:bCs/>
              </w:rPr>
            </w:pPr>
            <w:r w:rsidRPr="00472529">
              <w:rPr>
                <w:b/>
                <w:bCs/>
              </w:rPr>
              <w:t>2022</w:t>
            </w:r>
          </w:p>
        </w:tc>
      </w:tr>
      <w:tr w:rsidR="004A7F3D" w:rsidRPr="00A63FCF" w14:paraId="49E4B247" w14:textId="77777777" w:rsidTr="0063160E">
        <w:trPr>
          <w:trHeight w:val="274"/>
        </w:trPr>
        <w:tc>
          <w:tcPr>
            <w:tcW w:w="2392" w:type="dxa"/>
            <w:tcBorders>
              <w:top w:val="nil"/>
              <w:left w:val="single" w:sz="4" w:space="0" w:color="auto"/>
              <w:bottom w:val="single" w:sz="4" w:space="0" w:color="auto"/>
              <w:right w:val="single" w:sz="4" w:space="0" w:color="auto"/>
            </w:tcBorders>
            <w:shd w:val="clear" w:color="auto" w:fill="auto"/>
            <w:noWrap/>
            <w:vAlign w:val="bottom"/>
            <w:hideMark/>
          </w:tcPr>
          <w:p w14:paraId="738C6411" w14:textId="0B4156A2"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sidRPr="00472529">
              <w:rPr>
                <w:rFonts w:cs="Arial"/>
                <w:color w:val="000000"/>
              </w:rPr>
              <w:t>m</w:t>
            </w:r>
            <w:r w:rsidRPr="00472529">
              <w:rPr>
                <w:rFonts w:cs="Arial"/>
                <w:color w:val="000000"/>
              </w:rPr>
              <w:t xml:space="preserve">ultipoint                          </w:t>
            </w:r>
          </w:p>
        </w:tc>
        <w:tc>
          <w:tcPr>
            <w:tcW w:w="654" w:type="dxa"/>
            <w:tcBorders>
              <w:top w:val="nil"/>
              <w:left w:val="nil"/>
              <w:bottom w:val="single" w:sz="4" w:space="0" w:color="auto"/>
              <w:right w:val="single" w:sz="4" w:space="0" w:color="auto"/>
            </w:tcBorders>
            <w:shd w:val="clear" w:color="auto" w:fill="auto"/>
            <w:noWrap/>
            <w:vAlign w:val="bottom"/>
            <w:hideMark/>
          </w:tcPr>
          <w:p w14:paraId="6BE7C5DA" w14:textId="77777777" w:rsidR="004A7F3D" w:rsidRPr="00472529" w:rsidRDefault="004A7F3D" w:rsidP="0063160E">
            <w:pPr>
              <w:spacing w:after="0" w:line="240" w:lineRule="auto"/>
              <w:jc w:val="right"/>
              <w:rPr>
                <w:rFonts w:cs="Arial"/>
                <w:color w:val="000000"/>
              </w:rPr>
            </w:pPr>
            <w:r w:rsidRPr="00472529">
              <w:rPr>
                <w:rFonts w:cs="Arial"/>
                <w:color w:val="000000"/>
              </w:rPr>
              <w:t>102</w:t>
            </w:r>
          </w:p>
        </w:tc>
        <w:tc>
          <w:tcPr>
            <w:tcW w:w="846" w:type="dxa"/>
            <w:tcBorders>
              <w:top w:val="nil"/>
              <w:left w:val="nil"/>
              <w:bottom w:val="single" w:sz="4" w:space="0" w:color="auto"/>
              <w:right w:val="single" w:sz="4" w:space="0" w:color="auto"/>
            </w:tcBorders>
            <w:shd w:val="clear" w:color="auto" w:fill="auto"/>
            <w:noWrap/>
            <w:vAlign w:val="bottom"/>
            <w:hideMark/>
          </w:tcPr>
          <w:p w14:paraId="359E28C4" w14:textId="77777777" w:rsidR="004A7F3D" w:rsidRPr="00472529" w:rsidRDefault="004A7F3D" w:rsidP="0063160E">
            <w:pPr>
              <w:spacing w:after="0" w:line="240" w:lineRule="auto"/>
              <w:jc w:val="right"/>
              <w:rPr>
                <w:rFonts w:cs="Arial"/>
                <w:color w:val="000000"/>
              </w:rPr>
            </w:pPr>
            <w:r w:rsidRPr="00472529">
              <w:rPr>
                <w:rFonts w:cs="Arial"/>
                <w:color w:val="000000"/>
              </w:rPr>
              <w:t>92</w:t>
            </w:r>
          </w:p>
        </w:tc>
        <w:tc>
          <w:tcPr>
            <w:tcW w:w="846" w:type="dxa"/>
            <w:tcBorders>
              <w:top w:val="nil"/>
              <w:left w:val="nil"/>
              <w:bottom w:val="single" w:sz="4" w:space="0" w:color="auto"/>
              <w:right w:val="single" w:sz="4" w:space="0" w:color="auto"/>
            </w:tcBorders>
            <w:shd w:val="clear" w:color="auto" w:fill="auto"/>
            <w:noWrap/>
            <w:vAlign w:val="bottom"/>
            <w:hideMark/>
          </w:tcPr>
          <w:p w14:paraId="0F8EC8B0" w14:textId="77777777" w:rsidR="004A7F3D" w:rsidRPr="00472529" w:rsidRDefault="004A7F3D" w:rsidP="0063160E">
            <w:pPr>
              <w:spacing w:after="0" w:line="240" w:lineRule="auto"/>
              <w:jc w:val="right"/>
              <w:rPr>
                <w:rFonts w:cs="Arial"/>
                <w:color w:val="000000"/>
              </w:rPr>
            </w:pPr>
            <w:r w:rsidRPr="00472529">
              <w:rPr>
                <w:rFonts w:cs="Arial"/>
                <w:color w:val="000000"/>
              </w:rPr>
              <w:t>66</w:t>
            </w:r>
          </w:p>
        </w:tc>
        <w:tc>
          <w:tcPr>
            <w:tcW w:w="846" w:type="dxa"/>
            <w:tcBorders>
              <w:top w:val="nil"/>
              <w:left w:val="nil"/>
              <w:bottom w:val="single" w:sz="4" w:space="0" w:color="auto"/>
              <w:right w:val="single" w:sz="4" w:space="0" w:color="auto"/>
            </w:tcBorders>
            <w:shd w:val="clear" w:color="auto" w:fill="auto"/>
            <w:noWrap/>
            <w:vAlign w:val="bottom"/>
            <w:hideMark/>
          </w:tcPr>
          <w:p w14:paraId="73B5C779" w14:textId="77777777" w:rsidR="004A7F3D" w:rsidRPr="00472529" w:rsidRDefault="004A7F3D" w:rsidP="0063160E">
            <w:pPr>
              <w:spacing w:after="0" w:line="240" w:lineRule="auto"/>
              <w:jc w:val="right"/>
              <w:rPr>
                <w:rFonts w:cs="Arial"/>
                <w:color w:val="000000"/>
              </w:rPr>
            </w:pPr>
            <w:r w:rsidRPr="00472529">
              <w:rPr>
                <w:rFonts w:cs="Arial"/>
                <w:color w:val="000000"/>
              </w:rPr>
              <w:t>50</w:t>
            </w:r>
          </w:p>
        </w:tc>
        <w:tc>
          <w:tcPr>
            <w:tcW w:w="846" w:type="dxa"/>
            <w:tcBorders>
              <w:top w:val="nil"/>
              <w:left w:val="nil"/>
              <w:bottom w:val="single" w:sz="4" w:space="0" w:color="auto"/>
              <w:right w:val="single" w:sz="4" w:space="0" w:color="auto"/>
            </w:tcBorders>
            <w:shd w:val="clear" w:color="auto" w:fill="auto"/>
            <w:noWrap/>
            <w:vAlign w:val="bottom"/>
            <w:hideMark/>
          </w:tcPr>
          <w:p w14:paraId="1FB26E5C" w14:textId="77777777" w:rsidR="004A7F3D" w:rsidRPr="00472529" w:rsidRDefault="004A7F3D" w:rsidP="0063160E">
            <w:pPr>
              <w:spacing w:after="0" w:line="240" w:lineRule="auto"/>
              <w:jc w:val="right"/>
              <w:rPr>
                <w:rFonts w:cs="Arial"/>
                <w:color w:val="000000"/>
              </w:rPr>
            </w:pPr>
            <w:r w:rsidRPr="00472529">
              <w:rPr>
                <w:rFonts w:cs="Arial"/>
                <w:color w:val="000000"/>
              </w:rPr>
              <w:t>82</w:t>
            </w:r>
          </w:p>
        </w:tc>
        <w:tc>
          <w:tcPr>
            <w:tcW w:w="846" w:type="dxa"/>
            <w:tcBorders>
              <w:top w:val="nil"/>
              <w:left w:val="nil"/>
              <w:bottom w:val="single" w:sz="4" w:space="0" w:color="auto"/>
              <w:right w:val="single" w:sz="4" w:space="0" w:color="auto"/>
            </w:tcBorders>
            <w:shd w:val="clear" w:color="auto" w:fill="auto"/>
            <w:noWrap/>
            <w:vAlign w:val="bottom"/>
            <w:hideMark/>
          </w:tcPr>
          <w:p w14:paraId="1B408D93" w14:textId="77777777" w:rsidR="004A7F3D" w:rsidRPr="00472529" w:rsidRDefault="004A7F3D" w:rsidP="0063160E">
            <w:pPr>
              <w:spacing w:after="0" w:line="240" w:lineRule="auto"/>
              <w:jc w:val="right"/>
              <w:rPr>
                <w:rFonts w:cs="Arial"/>
                <w:color w:val="000000"/>
              </w:rPr>
            </w:pPr>
            <w:r w:rsidRPr="00472529">
              <w:rPr>
                <w:rFonts w:cs="Arial"/>
                <w:color w:val="000000"/>
              </w:rPr>
              <w:t>72</w:t>
            </w:r>
          </w:p>
        </w:tc>
        <w:tc>
          <w:tcPr>
            <w:tcW w:w="846" w:type="dxa"/>
            <w:tcBorders>
              <w:top w:val="nil"/>
              <w:left w:val="nil"/>
              <w:bottom w:val="single" w:sz="4" w:space="0" w:color="auto"/>
              <w:right w:val="single" w:sz="4" w:space="0" w:color="auto"/>
            </w:tcBorders>
            <w:shd w:val="clear" w:color="auto" w:fill="auto"/>
            <w:noWrap/>
            <w:vAlign w:val="bottom"/>
            <w:hideMark/>
          </w:tcPr>
          <w:p w14:paraId="16840530" w14:textId="77777777" w:rsidR="004A7F3D" w:rsidRPr="00472529" w:rsidRDefault="004A7F3D" w:rsidP="0063160E">
            <w:pPr>
              <w:spacing w:after="0" w:line="240" w:lineRule="auto"/>
              <w:jc w:val="right"/>
              <w:rPr>
                <w:rFonts w:cs="Arial"/>
                <w:color w:val="000000"/>
              </w:rPr>
            </w:pPr>
            <w:r w:rsidRPr="00472529">
              <w:rPr>
                <w:rFonts w:cs="Arial"/>
                <w:color w:val="000000"/>
              </w:rPr>
              <w:t>124</w:t>
            </w:r>
          </w:p>
        </w:tc>
        <w:tc>
          <w:tcPr>
            <w:tcW w:w="848" w:type="dxa"/>
            <w:tcBorders>
              <w:top w:val="nil"/>
              <w:left w:val="nil"/>
              <w:bottom w:val="single" w:sz="4" w:space="0" w:color="auto"/>
              <w:right w:val="single" w:sz="4" w:space="0" w:color="auto"/>
            </w:tcBorders>
            <w:shd w:val="clear" w:color="auto" w:fill="auto"/>
            <w:noWrap/>
            <w:vAlign w:val="bottom"/>
            <w:hideMark/>
          </w:tcPr>
          <w:p w14:paraId="61C7D289" w14:textId="77777777" w:rsidR="004A7F3D" w:rsidRPr="00472529" w:rsidRDefault="004A7F3D" w:rsidP="0063160E">
            <w:pPr>
              <w:spacing w:after="0" w:line="240" w:lineRule="auto"/>
              <w:jc w:val="right"/>
              <w:rPr>
                <w:rFonts w:cs="Arial"/>
                <w:color w:val="000000"/>
              </w:rPr>
            </w:pPr>
            <w:r w:rsidRPr="00472529">
              <w:rPr>
                <w:rFonts w:cs="Arial"/>
                <w:color w:val="000000"/>
              </w:rPr>
              <w:t>134</w:t>
            </w:r>
          </w:p>
        </w:tc>
      </w:tr>
      <w:tr w:rsidR="00750B8F" w:rsidRPr="00A63FCF" w14:paraId="32131D42" w14:textId="77777777" w:rsidTr="00D6298F">
        <w:trPr>
          <w:trHeight w:val="274"/>
        </w:trPr>
        <w:tc>
          <w:tcPr>
            <w:tcW w:w="2392"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14:paraId="659825D5" w14:textId="64A5431D"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Pr>
                <w:rFonts w:cs="Arial"/>
                <w:color w:val="000000"/>
              </w:rPr>
              <w:t>p</w:t>
            </w:r>
            <w:r w:rsidRPr="00472529">
              <w:rPr>
                <w:rFonts w:cs="Arial"/>
                <w:color w:val="000000"/>
              </w:rPr>
              <w:t xml:space="preserve">oint                                    </w:t>
            </w:r>
          </w:p>
        </w:tc>
        <w:tc>
          <w:tcPr>
            <w:tcW w:w="654" w:type="dxa"/>
            <w:tcBorders>
              <w:top w:val="nil"/>
              <w:left w:val="nil"/>
              <w:bottom w:val="single" w:sz="4" w:space="0" w:color="auto"/>
              <w:right w:val="single" w:sz="4" w:space="0" w:color="auto"/>
            </w:tcBorders>
            <w:shd w:val="clear" w:color="auto" w:fill="D9D9D9" w:themeFill="background1" w:themeFillShade="D9"/>
            <w:noWrap/>
            <w:vAlign w:val="bottom"/>
            <w:hideMark/>
          </w:tcPr>
          <w:p w14:paraId="18F046A1" w14:textId="77777777" w:rsidR="004A7F3D" w:rsidRPr="00472529" w:rsidRDefault="004A7F3D" w:rsidP="0063160E">
            <w:pPr>
              <w:spacing w:after="0" w:line="240" w:lineRule="auto"/>
              <w:jc w:val="right"/>
              <w:rPr>
                <w:rFonts w:cs="Arial"/>
                <w:color w:val="000000"/>
              </w:rPr>
            </w:pPr>
            <w:r w:rsidRPr="00472529">
              <w:rPr>
                <w:rFonts w:cs="Arial"/>
                <w:color w:val="000000"/>
              </w:rPr>
              <w:t>356</w:t>
            </w:r>
          </w:p>
        </w:tc>
        <w:tc>
          <w:tcPr>
            <w:tcW w:w="846" w:type="dxa"/>
            <w:tcBorders>
              <w:top w:val="nil"/>
              <w:left w:val="nil"/>
              <w:bottom w:val="single" w:sz="4" w:space="0" w:color="auto"/>
              <w:right w:val="single" w:sz="4" w:space="0" w:color="auto"/>
            </w:tcBorders>
            <w:shd w:val="clear" w:color="auto" w:fill="D9D9D9" w:themeFill="background1" w:themeFillShade="D9"/>
            <w:noWrap/>
            <w:vAlign w:val="bottom"/>
            <w:hideMark/>
          </w:tcPr>
          <w:p w14:paraId="54D257B1" w14:textId="77777777" w:rsidR="004A7F3D" w:rsidRPr="00472529" w:rsidRDefault="004A7F3D" w:rsidP="0063160E">
            <w:pPr>
              <w:spacing w:after="0" w:line="240" w:lineRule="auto"/>
              <w:jc w:val="right"/>
              <w:rPr>
                <w:rFonts w:cs="Arial"/>
                <w:color w:val="000000"/>
              </w:rPr>
            </w:pPr>
            <w:r w:rsidRPr="00472529">
              <w:rPr>
                <w:rFonts w:cs="Arial"/>
                <w:color w:val="000000"/>
              </w:rPr>
              <w:t>306</w:t>
            </w:r>
          </w:p>
        </w:tc>
        <w:tc>
          <w:tcPr>
            <w:tcW w:w="846" w:type="dxa"/>
            <w:tcBorders>
              <w:top w:val="nil"/>
              <w:left w:val="nil"/>
              <w:bottom w:val="single" w:sz="4" w:space="0" w:color="auto"/>
              <w:right w:val="single" w:sz="4" w:space="0" w:color="auto"/>
            </w:tcBorders>
            <w:shd w:val="clear" w:color="auto" w:fill="D9D9D9" w:themeFill="background1" w:themeFillShade="D9"/>
            <w:noWrap/>
            <w:vAlign w:val="bottom"/>
            <w:hideMark/>
          </w:tcPr>
          <w:p w14:paraId="247B0CE6" w14:textId="77777777" w:rsidR="004A7F3D" w:rsidRPr="00472529" w:rsidRDefault="004A7F3D" w:rsidP="0063160E">
            <w:pPr>
              <w:spacing w:after="0" w:line="240" w:lineRule="auto"/>
              <w:jc w:val="right"/>
              <w:rPr>
                <w:rFonts w:cs="Arial"/>
                <w:color w:val="000000"/>
              </w:rPr>
            </w:pPr>
            <w:r w:rsidRPr="00472529">
              <w:rPr>
                <w:rFonts w:cs="Arial"/>
                <w:color w:val="000000"/>
              </w:rPr>
              <w:t>202</w:t>
            </w:r>
          </w:p>
        </w:tc>
        <w:tc>
          <w:tcPr>
            <w:tcW w:w="846" w:type="dxa"/>
            <w:tcBorders>
              <w:top w:val="nil"/>
              <w:left w:val="nil"/>
              <w:bottom w:val="single" w:sz="4" w:space="0" w:color="auto"/>
              <w:right w:val="single" w:sz="4" w:space="0" w:color="auto"/>
            </w:tcBorders>
            <w:shd w:val="clear" w:color="auto" w:fill="D9D9D9" w:themeFill="background1" w:themeFillShade="D9"/>
            <w:noWrap/>
            <w:vAlign w:val="bottom"/>
            <w:hideMark/>
          </w:tcPr>
          <w:p w14:paraId="1FAAA71A" w14:textId="77777777" w:rsidR="004A7F3D" w:rsidRPr="00472529" w:rsidRDefault="004A7F3D" w:rsidP="0063160E">
            <w:pPr>
              <w:spacing w:after="0" w:line="240" w:lineRule="auto"/>
              <w:jc w:val="right"/>
              <w:rPr>
                <w:rFonts w:cs="Arial"/>
                <w:color w:val="000000"/>
              </w:rPr>
            </w:pPr>
            <w:r w:rsidRPr="00472529">
              <w:rPr>
                <w:rFonts w:cs="Arial"/>
                <w:color w:val="000000"/>
              </w:rPr>
              <w:t>162</w:t>
            </w:r>
          </w:p>
        </w:tc>
        <w:tc>
          <w:tcPr>
            <w:tcW w:w="846" w:type="dxa"/>
            <w:tcBorders>
              <w:top w:val="nil"/>
              <w:left w:val="nil"/>
              <w:bottom w:val="single" w:sz="4" w:space="0" w:color="auto"/>
              <w:right w:val="single" w:sz="4" w:space="0" w:color="auto"/>
            </w:tcBorders>
            <w:shd w:val="clear" w:color="auto" w:fill="D9D9D9" w:themeFill="background1" w:themeFillShade="D9"/>
            <w:noWrap/>
            <w:vAlign w:val="bottom"/>
            <w:hideMark/>
          </w:tcPr>
          <w:p w14:paraId="70D95839" w14:textId="77777777" w:rsidR="004A7F3D" w:rsidRPr="00472529" w:rsidRDefault="004A7F3D" w:rsidP="0063160E">
            <w:pPr>
              <w:spacing w:after="0" w:line="240" w:lineRule="auto"/>
              <w:jc w:val="right"/>
              <w:rPr>
                <w:rFonts w:cs="Arial"/>
                <w:color w:val="000000"/>
              </w:rPr>
            </w:pPr>
            <w:r w:rsidRPr="00472529">
              <w:rPr>
                <w:rFonts w:cs="Arial"/>
                <w:color w:val="000000"/>
              </w:rPr>
              <w:t>140</w:t>
            </w:r>
          </w:p>
        </w:tc>
        <w:tc>
          <w:tcPr>
            <w:tcW w:w="846" w:type="dxa"/>
            <w:tcBorders>
              <w:top w:val="nil"/>
              <w:left w:val="nil"/>
              <w:bottom w:val="single" w:sz="4" w:space="0" w:color="auto"/>
              <w:right w:val="single" w:sz="4" w:space="0" w:color="auto"/>
            </w:tcBorders>
            <w:shd w:val="clear" w:color="auto" w:fill="D9D9D9" w:themeFill="background1" w:themeFillShade="D9"/>
            <w:noWrap/>
            <w:vAlign w:val="bottom"/>
            <w:hideMark/>
          </w:tcPr>
          <w:p w14:paraId="5D1A835C" w14:textId="77777777" w:rsidR="004A7F3D" w:rsidRPr="00472529" w:rsidRDefault="004A7F3D" w:rsidP="0063160E">
            <w:pPr>
              <w:spacing w:after="0" w:line="240" w:lineRule="auto"/>
              <w:jc w:val="right"/>
              <w:rPr>
                <w:rFonts w:cs="Arial"/>
                <w:color w:val="000000"/>
              </w:rPr>
            </w:pPr>
            <w:r w:rsidRPr="00472529">
              <w:rPr>
                <w:rFonts w:cs="Arial"/>
                <w:color w:val="000000"/>
              </w:rPr>
              <w:t>128</w:t>
            </w:r>
          </w:p>
        </w:tc>
        <w:tc>
          <w:tcPr>
            <w:tcW w:w="846" w:type="dxa"/>
            <w:tcBorders>
              <w:top w:val="nil"/>
              <w:left w:val="nil"/>
              <w:bottom w:val="single" w:sz="4" w:space="0" w:color="auto"/>
              <w:right w:val="single" w:sz="4" w:space="0" w:color="auto"/>
            </w:tcBorders>
            <w:shd w:val="clear" w:color="auto" w:fill="D9D9D9" w:themeFill="background1" w:themeFillShade="D9"/>
            <w:noWrap/>
            <w:vAlign w:val="bottom"/>
            <w:hideMark/>
          </w:tcPr>
          <w:p w14:paraId="5D2E359D" w14:textId="77777777" w:rsidR="004A7F3D" w:rsidRPr="00472529" w:rsidRDefault="004A7F3D" w:rsidP="0063160E">
            <w:pPr>
              <w:spacing w:after="0" w:line="240" w:lineRule="auto"/>
              <w:jc w:val="right"/>
              <w:rPr>
                <w:rFonts w:cs="Arial"/>
                <w:color w:val="000000"/>
              </w:rPr>
            </w:pPr>
            <w:r w:rsidRPr="00472529">
              <w:rPr>
                <w:rFonts w:cs="Arial"/>
                <w:color w:val="000000"/>
              </w:rPr>
              <w:t>122</w:t>
            </w:r>
          </w:p>
        </w:tc>
        <w:tc>
          <w:tcPr>
            <w:tcW w:w="848" w:type="dxa"/>
            <w:tcBorders>
              <w:top w:val="nil"/>
              <w:left w:val="nil"/>
              <w:bottom w:val="single" w:sz="4" w:space="0" w:color="auto"/>
              <w:right w:val="single" w:sz="4" w:space="0" w:color="auto"/>
            </w:tcBorders>
            <w:shd w:val="clear" w:color="auto" w:fill="D9D9D9" w:themeFill="background1" w:themeFillShade="D9"/>
            <w:noWrap/>
            <w:vAlign w:val="bottom"/>
            <w:hideMark/>
          </w:tcPr>
          <w:p w14:paraId="50CBB607" w14:textId="77777777" w:rsidR="004A7F3D" w:rsidRPr="00472529" w:rsidRDefault="004A7F3D" w:rsidP="0063160E">
            <w:pPr>
              <w:spacing w:after="0" w:line="240" w:lineRule="auto"/>
              <w:jc w:val="right"/>
              <w:rPr>
                <w:rFonts w:cs="Arial"/>
                <w:color w:val="000000"/>
              </w:rPr>
            </w:pPr>
            <w:r w:rsidRPr="00472529">
              <w:rPr>
                <w:rFonts w:cs="Arial"/>
                <w:color w:val="000000"/>
              </w:rPr>
              <w:t>118</w:t>
            </w:r>
          </w:p>
        </w:tc>
      </w:tr>
    </w:tbl>
    <w:p w14:paraId="22564A57" w14:textId="3E549ED8" w:rsidR="004A7F3D" w:rsidRDefault="004A7F3D" w:rsidP="004A7F3D">
      <w:pPr>
        <w:pStyle w:val="Paragraph"/>
        <w:keepNext/>
      </w:pPr>
      <w:r>
        <w:rPr>
          <w:noProof/>
        </w:rPr>
        <w:drawing>
          <wp:inline distT="0" distB="0" distL="0" distR="0" wp14:anchorId="0AB37435" wp14:editId="7D3FD60E">
            <wp:extent cx="5705475" cy="2447925"/>
            <wp:effectExtent l="0" t="0" r="9525" b="9525"/>
            <wp:docPr id="3" name="Chart 3" descr="Figure 6: Fixed assignments in any part of the 1.9 GHz band">
              <a:extLst xmlns:a="http://schemas.openxmlformats.org/drawingml/2006/main">
                <a:ext uri="{FF2B5EF4-FFF2-40B4-BE49-F238E27FC236}">
                  <a16:creationId xmlns:a16="http://schemas.microsoft.com/office/drawing/2014/main" id="{52463C3C-0948-49D0-A878-CC26C9F9554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inline>
        </w:drawing>
      </w:r>
    </w:p>
    <w:p w14:paraId="4F5E8D60" w14:textId="77777777" w:rsidR="00EB3EDE" w:rsidRDefault="00EB3EDE" w:rsidP="004A7F3D">
      <w:pPr>
        <w:pStyle w:val="Paragraph"/>
        <w:keepNext/>
      </w:pPr>
    </w:p>
    <w:p w14:paraId="287BA66F" w14:textId="77777777" w:rsidR="004A7F3D" w:rsidRDefault="004A7F3D" w:rsidP="004A7F3D">
      <w:pPr>
        <w:pStyle w:val="Paragraph"/>
        <w:keepNext/>
      </w:pPr>
    </w:p>
    <w:p w14:paraId="33664ED2" w14:textId="76EAA414" w:rsidR="008000B8" w:rsidRDefault="008000B8" w:rsidP="004A7F3D">
      <w:pPr>
        <w:pStyle w:val="ListBullet"/>
        <w:keepLines w:val="0"/>
        <w:numPr>
          <w:ilvl w:val="0"/>
          <w:numId w:val="0"/>
        </w:numPr>
        <w:ind w:left="295" w:hanging="295"/>
        <w:rPr>
          <w:rFonts w:cs="Arial"/>
          <w:color w:val="000000"/>
          <w:szCs w:val="20"/>
        </w:rPr>
      </w:pPr>
    </w:p>
    <w:p w14:paraId="22A592A5" w14:textId="44F795B0" w:rsidR="008000B8" w:rsidRDefault="008000B8" w:rsidP="004A7F3D">
      <w:pPr>
        <w:pStyle w:val="ListBullet"/>
        <w:keepLines w:val="0"/>
        <w:numPr>
          <w:ilvl w:val="0"/>
          <w:numId w:val="0"/>
        </w:numPr>
        <w:ind w:left="295" w:hanging="295"/>
        <w:rPr>
          <w:rFonts w:cs="Arial"/>
          <w:color w:val="000000"/>
          <w:szCs w:val="20"/>
        </w:rPr>
      </w:pPr>
    </w:p>
    <w:p w14:paraId="6936614B" w14:textId="663F6AB6" w:rsidR="008000B8" w:rsidRDefault="008000B8" w:rsidP="004A7F3D">
      <w:pPr>
        <w:pStyle w:val="ListBullet"/>
        <w:keepLines w:val="0"/>
        <w:numPr>
          <w:ilvl w:val="0"/>
          <w:numId w:val="0"/>
        </w:numPr>
        <w:ind w:left="295" w:hanging="295"/>
        <w:rPr>
          <w:rFonts w:cs="Arial"/>
          <w:color w:val="000000"/>
          <w:szCs w:val="20"/>
        </w:rPr>
      </w:pPr>
    </w:p>
    <w:p w14:paraId="29EDBA9C" w14:textId="201CBB21" w:rsidR="008000B8" w:rsidRDefault="008000B8" w:rsidP="004A7F3D">
      <w:pPr>
        <w:pStyle w:val="ListBullet"/>
        <w:keepLines w:val="0"/>
        <w:numPr>
          <w:ilvl w:val="0"/>
          <w:numId w:val="0"/>
        </w:numPr>
        <w:ind w:left="295" w:hanging="295"/>
        <w:rPr>
          <w:rFonts w:cs="Arial"/>
          <w:color w:val="000000"/>
          <w:szCs w:val="20"/>
        </w:rPr>
      </w:pPr>
    </w:p>
    <w:p w14:paraId="5B939AC1" w14:textId="77777777" w:rsidR="007717C9" w:rsidRDefault="007717C9">
      <w:pPr>
        <w:keepLines w:val="0"/>
        <w:spacing w:after="0" w:line="240" w:lineRule="auto"/>
        <w:rPr>
          <w:b/>
          <w:bCs/>
          <w:color w:val="323232"/>
          <w:szCs w:val="20"/>
        </w:rPr>
      </w:pPr>
      <w:r>
        <w:br w:type="page"/>
      </w:r>
    </w:p>
    <w:p w14:paraId="2E759F37" w14:textId="315B3C07" w:rsidR="004A7F3D" w:rsidRDefault="004A7F3D" w:rsidP="00450397">
      <w:pPr>
        <w:pStyle w:val="ACMAFigureHeader"/>
      </w:pPr>
      <w:r>
        <w:lastRenderedPageBreak/>
        <w:t xml:space="preserve">Fixed assignments with centre frequency in </w:t>
      </w:r>
      <w:r w:rsidR="00071189">
        <w:t>the</w:t>
      </w:r>
      <w:r>
        <w:t>1.9 GHz band</w:t>
      </w:r>
    </w:p>
    <w:tbl>
      <w:tblPr>
        <w:tblpPr w:leftFromText="180" w:rightFromText="180" w:vertAnchor="text" w:horzAnchor="margin" w:tblpY="4145"/>
        <w:tblW w:w="9009" w:type="dxa"/>
        <w:tblLook w:val="04A0" w:firstRow="1" w:lastRow="0" w:firstColumn="1" w:lastColumn="0" w:noHBand="0" w:noVBand="1"/>
      </w:tblPr>
      <w:tblGrid>
        <w:gridCol w:w="2401"/>
        <w:gridCol w:w="661"/>
        <w:gridCol w:w="849"/>
        <w:gridCol w:w="849"/>
        <w:gridCol w:w="849"/>
        <w:gridCol w:w="849"/>
        <w:gridCol w:w="849"/>
        <w:gridCol w:w="849"/>
        <w:gridCol w:w="855"/>
      </w:tblGrid>
      <w:tr w:rsidR="004A7F3D" w:rsidRPr="00A63FCF" w14:paraId="0F2E09FE" w14:textId="77777777" w:rsidTr="00450397">
        <w:trPr>
          <w:trHeight w:val="266"/>
        </w:trPr>
        <w:tc>
          <w:tcPr>
            <w:tcW w:w="2401" w:type="dxa"/>
            <w:vMerge w:val="restart"/>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7169C0AB" w14:textId="086B5B16" w:rsidR="004A7F3D" w:rsidRPr="00472529" w:rsidRDefault="004A7F3D" w:rsidP="0063160E">
            <w:pPr>
              <w:spacing w:after="0" w:line="240" w:lineRule="auto"/>
              <w:rPr>
                <w:b/>
                <w:bCs/>
              </w:rPr>
            </w:pPr>
            <w:r w:rsidRPr="00472529">
              <w:rPr>
                <w:b/>
                <w:bCs/>
              </w:rPr>
              <w:t xml:space="preserve">Fixed </w:t>
            </w:r>
            <w:r w:rsidR="00EB3EDE">
              <w:rPr>
                <w:b/>
                <w:bCs/>
              </w:rPr>
              <w:t>s</w:t>
            </w:r>
            <w:r w:rsidRPr="00472529">
              <w:rPr>
                <w:b/>
                <w:bCs/>
              </w:rPr>
              <w:t xml:space="preserve">ervices / </w:t>
            </w:r>
            <w:r w:rsidR="00EB3EDE">
              <w:rPr>
                <w:b/>
                <w:bCs/>
              </w:rPr>
              <w:t>n</w:t>
            </w:r>
            <w:r w:rsidRPr="00472529">
              <w:rPr>
                <w:b/>
                <w:bCs/>
              </w:rPr>
              <w:t>umber of assignments</w:t>
            </w:r>
          </w:p>
        </w:tc>
        <w:tc>
          <w:tcPr>
            <w:tcW w:w="6608" w:type="dxa"/>
            <w:gridSpan w:val="8"/>
            <w:tcBorders>
              <w:top w:val="single" w:sz="4" w:space="0" w:color="auto"/>
              <w:left w:val="nil"/>
              <w:bottom w:val="single" w:sz="4" w:space="0" w:color="auto"/>
              <w:right w:val="single" w:sz="4" w:space="0" w:color="auto"/>
            </w:tcBorders>
            <w:shd w:val="clear" w:color="auto" w:fill="000000" w:themeFill="text1"/>
            <w:noWrap/>
            <w:vAlign w:val="center"/>
            <w:hideMark/>
          </w:tcPr>
          <w:p w14:paraId="0111491A" w14:textId="77777777" w:rsidR="004A7F3D" w:rsidRPr="00472529" w:rsidRDefault="004A7F3D" w:rsidP="0063160E">
            <w:pPr>
              <w:spacing w:after="0" w:line="240" w:lineRule="auto"/>
              <w:jc w:val="center"/>
              <w:rPr>
                <w:b/>
                <w:bCs/>
              </w:rPr>
            </w:pPr>
            <w:r w:rsidRPr="00472529">
              <w:rPr>
                <w:b/>
                <w:bCs/>
              </w:rPr>
              <w:t>Year</w:t>
            </w:r>
          </w:p>
        </w:tc>
      </w:tr>
      <w:tr w:rsidR="00750B8F" w:rsidRPr="00A63FCF" w14:paraId="76D1EC29" w14:textId="77777777" w:rsidTr="00450397">
        <w:trPr>
          <w:trHeight w:val="266"/>
        </w:trPr>
        <w:tc>
          <w:tcPr>
            <w:tcW w:w="2401" w:type="dxa"/>
            <w:vMerge/>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74421ACE" w14:textId="77777777" w:rsidR="004A7F3D" w:rsidRPr="00472529" w:rsidRDefault="004A7F3D" w:rsidP="0063160E">
            <w:pPr>
              <w:spacing w:after="0" w:line="240" w:lineRule="auto"/>
              <w:rPr>
                <w:b/>
                <w:bCs/>
              </w:rPr>
            </w:pPr>
          </w:p>
        </w:tc>
        <w:tc>
          <w:tcPr>
            <w:tcW w:w="656" w:type="dxa"/>
            <w:tcBorders>
              <w:top w:val="nil"/>
              <w:left w:val="nil"/>
              <w:bottom w:val="single" w:sz="4" w:space="0" w:color="auto"/>
              <w:right w:val="single" w:sz="4" w:space="0" w:color="auto"/>
            </w:tcBorders>
            <w:shd w:val="clear" w:color="auto" w:fill="000000" w:themeFill="text1"/>
            <w:noWrap/>
            <w:vAlign w:val="bottom"/>
            <w:hideMark/>
          </w:tcPr>
          <w:p w14:paraId="270B4BC2" w14:textId="77777777" w:rsidR="004A7F3D" w:rsidRPr="00472529" w:rsidRDefault="004A7F3D" w:rsidP="0063160E">
            <w:pPr>
              <w:spacing w:after="0" w:line="240" w:lineRule="auto"/>
              <w:jc w:val="right"/>
              <w:rPr>
                <w:b/>
                <w:bCs/>
              </w:rPr>
            </w:pPr>
            <w:r w:rsidRPr="00472529">
              <w:rPr>
                <w:b/>
                <w:bCs/>
              </w:rPr>
              <w:t>2015</w:t>
            </w:r>
          </w:p>
        </w:tc>
        <w:tc>
          <w:tcPr>
            <w:tcW w:w="849" w:type="dxa"/>
            <w:tcBorders>
              <w:top w:val="nil"/>
              <w:left w:val="nil"/>
              <w:bottom w:val="single" w:sz="4" w:space="0" w:color="auto"/>
              <w:right w:val="single" w:sz="4" w:space="0" w:color="auto"/>
            </w:tcBorders>
            <w:shd w:val="clear" w:color="auto" w:fill="000000" w:themeFill="text1"/>
            <w:noWrap/>
            <w:vAlign w:val="bottom"/>
            <w:hideMark/>
          </w:tcPr>
          <w:p w14:paraId="77661788" w14:textId="77777777" w:rsidR="004A7F3D" w:rsidRPr="00472529" w:rsidRDefault="004A7F3D" w:rsidP="0063160E">
            <w:pPr>
              <w:spacing w:after="0" w:line="240" w:lineRule="auto"/>
              <w:jc w:val="right"/>
              <w:rPr>
                <w:b/>
                <w:bCs/>
              </w:rPr>
            </w:pPr>
            <w:r w:rsidRPr="00472529">
              <w:rPr>
                <w:b/>
                <w:bCs/>
              </w:rPr>
              <w:t>2016</w:t>
            </w:r>
          </w:p>
        </w:tc>
        <w:tc>
          <w:tcPr>
            <w:tcW w:w="849" w:type="dxa"/>
            <w:tcBorders>
              <w:top w:val="nil"/>
              <w:left w:val="nil"/>
              <w:bottom w:val="single" w:sz="4" w:space="0" w:color="auto"/>
              <w:right w:val="single" w:sz="4" w:space="0" w:color="auto"/>
            </w:tcBorders>
            <w:shd w:val="clear" w:color="auto" w:fill="000000" w:themeFill="text1"/>
            <w:noWrap/>
            <w:vAlign w:val="bottom"/>
            <w:hideMark/>
          </w:tcPr>
          <w:p w14:paraId="22A1B63E" w14:textId="77777777" w:rsidR="004A7F3D" w:rsidRPr="00472529" w:rsidRDefault="004A7F3D" w:rsidP="0063160E">
            <w:pPr>
              <w:spacing w:after="0" w:line="240" w:lineRule="auto"/>
              <w:jc w:val="right"/>
              <w:rPr>
                <w:b/>
                <w:bCs/>
              </w:rPr>
            </w:pPr>
            <w:r w:rsidRPr="00472529">
              <w:rPr>
                <w:b/>
                <w:bCs/>
              </w:rPr>
              <w:t>2017</w:t>
            </w:r>
          </w:p>
        </w:tc>
        <w:tc>
          <w:tcPr>
            <w:tcW w:w="849" w:type="dxa"/>
            <w:tcBorders>
              <w:top w:val="nil"/>
              <w:left w:val="nil"/>
              <w:bottom w:val="single" w:sz="4" w:space="0" w:color="auto"/>
              <w:right w:val="single" w:sz="4" w:space="0" w:color="auto"/>
            </w:tcBorders>
            <w:shd w:val="clear" w:color="auto" w:fill="000000" w:themeFill="text1"/>
            <w:noWrap/>
            <w:vAlign w:val="bottom"/>
            <w:hideMark/>
          </w:tcPr>
          <w:p w14:paraId="30D9297D" w14:textId="77777777" w:rsidR="004A7F3D" w:rsidRPr="00472529" w:rsidRDefault="004A7F3D" w:rsidP="0063160E">
            <w:pPr>
              <w:spacing w:after="0" w:line="240" w:lineRule="auto"/>
              <w:jc w:val="right"/>
              <w:rPr>
                <w:b/>
                <w:bCs/>
              </w:rPr>
            </w:pPr>
            <w:r w:rsidRPr="00472529">
              <w:rPr>
                <w:b/>
                <w:bCs/>
              </w:rPr>
              <w:t>2018</w:t>
            </w:r>
          </w:p>
        </w:tc>
        <w:tc>
          <w:tcPr>
            <w:tcW w:w="849" w:type="dxa"/>
            <w:tcBorders>
              <w:top w:val="nil"/>
              <w:left w:val="nil"/>
              <w:bottom w:val="single" w:sz="4" w:space="0" w:color="auto"/>
              <w:right w:val="single" w:sz="4" w:space="0" w:color="auto"/>
            </w:tcBorders>
            <w:shd w:val="clear" w:color="auto" w:fill="000000" w:themeFill="text1"/>
            <w:noWrap/>
            <w:vAlign w:val="bottom"/>
            <w:hideMark/>
          </w:tcPr>
          <w:p w14:paraId="16196665" w14:textId="77777777" w:rsidR="004A7F3D" w:rsidRPr="00472529" w:rsidRDefault="004A7F3D" w:rsidP="0063160E">
            <w:pPr>
              <w:spacing w:after="0" w:line="240" w:lineRule="auto"/>
              <w:jc w:val="right"/>
              <w:rPr>
                <w:b/>
                <w:bCs/>
              </w:rPr>
            </w:pPr>
            <w:r w:rsidRPr="00472529">
              <w:rPr>
                <w:b/>
                <w:bCs/>
              </w:rPr>
              <w:t>2019</w:t>
            </w:r>
          </w:p>
        </w:tc>
        <w:tc>
          <w:tcPr>
            <w:tcW w:w="849" w:type="dxa"/>
            <w:tcBorders>
              <w:top w:val="nil"/>
              <w:left w:val="nil"/>
              <w:bottom w:val="single" w:sz="4" w:space="0" w:color="auto"/>
              <w:right w:val="single" w:sz="4" w:space="0" w:color="auto"/>
            </w:tcBorders>
            <w:shd w:val="clear" w:color="auto" w:fill="000000" w:themeFill="text1"/>
            <w:noWrap/>
            <w:vAlign w:val="bottom"/>
            <w:hideMark/>
          </w:tcPr>
          <w:p w14:paraId="6779FD31" w14:textId="77777777" w:rsidR="004A7F3D" w:rsidRPr="00472529" w:rsidRDefault="004A7F3D" w:rsidP="0063160E">
            <w:pPr>
              <w:spacing w:after="0" w:line="240" w:lineRule="auto"/>
              <w:jc w:val="right"/>
              <w:rPr>
                <w:b/>
                <w:bCs/>
              </w:rPr>
            </w:pPr>
            <w:r w:rsidRPr="00472529">
              <w:rPr>
                <w:b/>
                <w:bCs/>
              </w:rPr>
              <w:t>2020</w:t>
            </w:r>
          </w:p>
        </w:tc>
        <w:tc>
          <w:tcPr>
            <w:tcW w:w="849" w:type="dxa"/>
            <w:tcBorders>
              <w:top w:val="nil"/>
              <w:left w:val="nil"/>
              <w:bottom w:val="single" w:sz="4" w:space="0" w:color="auto"/>
              <w:right w:val="single" w:sz="4" w:space="0" w:color="auto"/>
            </w:tcBorders>
            <w:shd w:val="clear" w:color="auto" w:fill="000000" w:themeFill="text1"/>
            <w:noWrap/>
            <w:vAlign w:val="bottom"/>
            <w:hideMark/>
          </w:tcPr>
          <w:p w14:paraId="4DF32C19" w14:textId="77777777" w:rsidR="004A7F3D" w:rsidRPr="00472529" w:rsidRDefault="004A7F3D" w:rsidP="0063160E">
            <w:pPr>
              <w:spacing w:after="0" w:line="240" w:lineRule="auto"/>
              <w:jc w:val="right"/>
              <w:rPr>
                <w:b/>
                <w:bCs/>
              </w:rPr>
            </w:pPr>
            <w:r w:rsidRPr="00472529">
              <w:rPr>
                <w:b/>
                <w:bCs/>
              </w:rPr>
              <w:t>2021</w:t>
            </w:r>
          </w:p>
        </w:tc>
        <w:tc>
          <w:tcPr>
            <w:tcW w:w="855" w:type="dxa"/>
            <w:tcBorders>
              <w:top w:val="nil"/>
              <w:left w:val="nil"/>
              <w:bottom w:val="single" w:sz="4" w:space="0" w:color="auto"/>
              <w:right w:val="single" w:sz="4" w:space="0" w:color="auto"/>
            </w:tcBorders>
            <w:shd w:val="clear" w:color="auto" w:fill="000000" w:themeFill="text1"/>
            <w:noWrap/>
            <w:vAlign w:val="bottom"/>
            <w:hideMark/>
          </w:tcPr>
          <w:p w14:paraId="04EF991F" w14:textId="77777777" w:rsidR="004A7F3D" w:rsidRPr="00472529" w:rsidRDefault="004A7F3D" w:rsidP="0063160E">
            <w:pPr>
              <w:spacing w:after="0" w:line="240" w:lineRule="auto"/>
              <w:jc w:val="right"/>
              <w:rPr>
                <w:b/>
                <w:bCs/>
              </w:rPr>
            </w:pPr>
            <w:r w:rsidRPr="00472529">
              <w:rPr>
                <w:b/>
                <w:bCs/>
              </w:rPr>
              <w:t>2022</w:t>
            </w:r>
          </w:p>
        </w:tc>
      </w:tr>
      <w:tr w:rsidR="004A7F3D" w:rsidRPr="00A63FCF" w14:paraId="4CD679F3" w14:textId="77777777" w:rsidTr="0063160E">
        <w:trPr>
          <w:trHeight w:val="266"/>
        </w:trPr>
        <w:tc>
          <w:tcPr>
            <w:tcW w:w="2401" w:type="dxa"/>
            <w:tcBorders>
              <w:top w:val="nil"/>
              <w:left w:val="single" w:sz="4" w:space="0" w:color="auto"/>
              <w:bottom w:val="single" w:sz="4" w:space="0" w:color="auto"/>
              <w:right w:val="single" w:sz="4" w:space="0" w:color="auto"/>
            </w:tcBorders>
            <w:shd w:val="clear" w:color="auto" w:fill="auto"/>
            <w:noWrap/>
            <w:vAlign w:val="bottom"/>
            <w:hideMark/>
          </w:tcPr>
          <w:p w14:paraId="6E5DE00C" w14:textId="19921271"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Pr>
                <w:rFonts w:cs="Arial"/>
                <w:color w:val="000000"/>
              </w:rPr>
              <w:t>m</w:t>
            </w:r>
            <w:r w:rsidRPr="00472529">
              <w:rPr>
                <w:rFonts w:cs="Arial"/>
                <w:color w:val="000000"/>
              </w:rPr>
              <w:t xml:space="preserve">ultipoint                               </w:t>
            </w:r>
          </w:p>
        </w:tc>
        <w:tc>
          <w:tcPr>
            <w:tcW w:w="656" w:type="dxa"/>
            <w:tcBorders>
              <w:top w:val="nil"/>
              <w:left w:val="nil"/>
              <w:bottom w:val="single" w:sz="4" w:space="0" w:color="auto"/>
              <w:right w:val="single" w:sz="4" w:space="0" w:color="auto"/>
            </w:tcBorders>
            <w:shd w:val="clear" w:color="auto" w:fill="auto"/>
            <w:noWrap/>
            <w:hideMark/>
          </w:tcPr>
          <w:p w14:paraId="22690FA4" w14:textId="77777777" w:rsidR="004A7F3D" w:rsidRPr="00472529" w:rsidRDefault="004A7F3D" w:rsidP="0063160E">
            <w:pPr>
              <w:spacing w:after="0" w:line="240" w:lineRule="auto"/>
              <w:jc w:val="right"/>
              <w:rPr>
                <w:rFonts w:cs="Arial"/>
                <w:color w:val="000000"/>
              </w:rPr>
            </w:pPr>
            <w:r w:rsidRPr="0075616D">
              <w:rPr>
                <w:rFonts w:cs="Arial"/>
              </w:rPr>
              <w:t>102</w:t>
            </w:r>
          </w:p>
        </w:tc>
        <w:tc>
          <w:tcPr>
            <w:tcW w:w="849" w:type="dxa"/>
            <w:tcBorders>
              <w:top w:val="nil"/>
              <w:left w:val="nil"/>
              <w:bottom w:val="single" w:sz="4" w:space="0" w:color="auto"/>
              <w:right w:val="single" w:sz="4" w:space="0" w:color="auto"/>
            </w:tcBorders>
            <w:shd w:val="clear" w:color="auto" w:fill="auto"/>
            <w:noWrap/>
            <w:hideMark/>
          </w:tcPr>
          <w:p w14:paraId="3389D3FB" w14:textId="77777777" w:rsidR="004A7F3D" w:rsidRPr="00472529" w:rsidRDefault="004A7F3D" w:rsidP="0063160E">
            <w:pPr>
              <w:spacing w:after="0" w:line="240" w:lineRule="auto"/>
              <w:jc w:val="right"/>
              <w:rPr>
                <w:rFonts w:cs="Arial"/>
                <w:color w:val="000000"/>
              </w:rPr>
            </w:pPr>
            <w:r w:rsidRPr="0075616D">
              <w:rPr>
                <w:rFonts w:cs="Arial"/>
              </w:rPr>
              <w:t>92</w:t>
            </w:r>
          </w:p>
        </w:tc>
        <w:tc>
          <w:tcPr>
            <w:tcW w:w="849" w:type="dxa"/>
            <w:tcBorders>
              <w:top w:val="nil"/>
              <w:left w:val="nil"/>
              <w:bottom w:val="single" w:sz="4" w:space="0" w:color="auto"/>
              <w:right w:val="single" w:sz="4" w:space="0" w:color="auto"/>
            </w:tcBorders>
            <w:shd w:val="clear" w:color="auto" w:fill="auto"/>
            <w:noWrap/>
            <w:hideMark/>
          </w:tcPr>
          <w:p w14:paraId="49961003" w14:textId="77777777" w:rsidR="004A7F3D" w:rsidRPr="00472529" w:rsidRDefault="004A7F3D" w:rsidP="0063160E">
            <w:pPr>
              <w:spacing w:after="0" w:line="240" w:lineRule="auto"/>
              <w:jc w:val="right"/>
              <w:rPr>
                <w:rFonts w:cs="Arial"/>
                <w:color w:val="000000"/>
              </w:rPr>
            </w:pPr>
            <w:r w:rsidRPr="0075616D">
              <w:rPr>
                <w:rFonts w:cs="Arial"/>
              </w:rPr>
              <w:t>66</w:t>
            </w:r>
          </w:p>
        </w:tc>
        <w:tc>
          <w:tcPr>
            <w:tcW w:w="849" w:type="dxa"/>
            <w:tcBorders>
              <w:top w:val="nil"/>
              <w:left w:val="nil"/>
              <w:bottom w:val="single" w:sz="4" w:space="0" w:color="auto"/>
              <w:right w:val="single" w:sz="4" w:space="0" w:color="auto"/>
            </w:tcBorders>
            <w:shd w:val="clear" w:color="auto" w:fill="auto"/>
            <w:noWrap/>
            <w:hideMark/>
          </w:tcPr>
          <w:p w14:paraId="1CF1160A" w14:textId="77777777" w:rsidR="004A7F3D" w:rsidRPr="00472529" w:rsidRDefault="004A7F3D" w:rsidP="0063160E">
            <w:pPr>
              <w:spacing w:after="0" w:line="240" w:lineRule="auto"/>
              <w:jc w:val="right"/>
              <w:rPr>
                <w:rFonts w:cs="Arial"/>
                <w:color w:val="000000"/>
              </w:rPr>
            </w:pPr>
            <w:r w:rsidRPr="0075616D">
              <w:rPr>
                <w:rFonts w:cs="Arial"/>
              </w:rPr>
              <w:t>50</w:t>
            </w:r>
          </w:p>
        </w:tc>
        <w:tc>
          <w:tcPr>
            <w:tcW w:w="849" w:type="dxa"/>
            <w:tcBorders>
              <w:top w:val="nil"/>
              <w:left w:val="nil"/>
              <w:bottom w:val="single" w:sz="4" w:space="0" w:color="auto"/>
              <w:right w:val="single" w:sz="4" w:space="0" w:color="auto"/>
            </w:tcBorders>
            <w:shd w:val="clear" w:color="auto" w:fill="auto"/>
            <w:noWrap/>
            <w:hideMark/>
          </w:tcPr>
          <w:p w14:paraId="67E73407" w14:textId="77777777" w:rsidR="004A7F3D" w:rsidRPr="00472529" w:rsidRDefault="004A7F3D" w:rsidP="0063160E">
            <w:pPr>
              <w:spacing w:after="0" w:line="240" w:lineRule="auto"/>
              <w:jc w:val="right"/>
              <w:rPr>
                <w:rFonts w:cs="Arial"/>
                <w:color w:val="000000"/>
              </w:rPr>
            </w:pPr>
            <w:r w:rsidRPr="0075616D">
              <w:rPr>
                <w:rFonts w:cs="Arial"/>
              </w:rPr>
              <w:t>82</w:t>
            </w:r>
          </w:p>
        </w:tc>
        <w:tc>
          <w:tcPr>
            <w:tcW w:w="849" w:type="dxa"/>
            <w:tcBorders>
              <w:top w:val="nil"/>
              <w:left w:val="nil"/>
              <w:bottom w:val="single" w:sz="4" w:space="0" w:color="auto"/>
              <w:right w:val="single" w:sz="4" w:space="0" w:color="auto"/>
            </w:tcBorders>
            <w:shd w:val="clear" w:color="auto" w:fill="auto"/>
            <w:noWrap/>
            <w:hideMark/>
          </w:tcPr>
          <w:p w14:paraId="2BC3EBCD" w14:textId="77777777" w:rsidR="004A7F3D" w:rsidRPr="00472529" w:rsidRDefault="004A7F3D" w:rsidP="0063160E">
            <w:pPr>
              <w:spacing w:after="0" w:line="240" w:lineRule="auto"/>
              <w:jc w:val="right"/>
              <w:rPr>
                <w:rFonts w:cs="Arial"/>
                <w:color w:val="000000"/>
              </w:rPr>
            </w:pPr>
            <w:r w:rsidRPr="0075616D">
              <w:rPr>
                <w:rFonts w:cs="Arial"/>
              </w:rPr>
              <w:t>72</w:t>
            </w:r>
          </w:p>
        </w:tc>
        <w:tc>
          <w:tcPr>
            <w:tcW w:w="849" w:type="dxa"/>
            <w:tcBorders>
              <w:top w:val="nil"/>
              <w:left w:val="nil"/>
              <w:bottom w:val="single" w:sz="4" w:space="0" w:color="auto"/>
              <w:right w:val="single" w:sz="4" w:space="0" w:color="auto"/>
            </w:tcBorders>
            <w:shd w:val="clear" w:color="auto" w:fill="auto"/>
            <w:noWrap/>
            <w:hideMark/>
          </w:tcPr>
          <w:p w14:paraId="1639E999" w14:textId="77777777" w:rsidR="004A7F3D" w:rsidRPr="00472529" w:rsidRDefault="004A7F3D" w:rsidP="0063160E">
            <w:pPr>
              <w:spacing w:after="0" w:line="240" w:lineRule="auto"/>
              <w:jc w:val="right"/>
              <w:rPr>
                <w:rFonts w:cs="Arial"/>
                <w:color w:val="000000"/>
              </w:rPr>
            </w:pPr>
            <w:r w:rsidRPr="0075616D">
              <w:rPr>
                <w:rFonts w:cs="Arial"/>
              </w:rPr>
              <w:t>124</w:t>
            </w:r>
          </w:p>
        </w:tc>
        <w:tc>
          <w:tcPr>
            <w:tcW w:w="855" w:type="dxa"/>
            <w:tcBorders>
              <w:top w:val="nil"/>
              <w:left w:val="nil"/>
              <w:bottom w:val="single" w:sz="4" w:space="0" w:color="auto"/>
              <w:right w:val="single" w:sz="4" w:space="0" w:color="auto"/>
            </w:tcBorders>
            <w:shd w:val="clear" w:color="auto" w:fill="auto"/>
            <w:noWrap/>
            <w:hideMark/>
          </w:tcPr>
          <w:p w14:paraId="46C3490E" w14:textId="77777777" w:rsidR="004A7F3D" w:rsidRPr="00472529" w:rsidRDefault="004A7F3D" w:rsidP="0063160E">
            <w:pPr>
              <w:spacing w:after="0" w:line="240" w:lineRule="auto"/>
              <w:jc w:val="right"/>
              <w:rPr>
                <w:rFonts w:cs="Arial"/>
                <w:color w:val="000000"/>
              </w:rPr>
            </w:pPr>
            <w:r w:rsidRPr="0075616D">
              <w:rPr>
                <w:rFonts w:cs="Arial"/>
              </w:rPr>
              <w:t>134</w:t>
            </w:r>
          </w:p>
        </w:tc>
      </w:tr>
      <w:tr w:rsidR="00750B8F" w:rsidRPr="00A63FCF" w14:paraId="3692D536" w14:textId="77777777" w:rsidTr="00450397">
        <w:trPr>
          <w:trHeight w:val="266"/>
        </w:trPr>
        <w:tc>
          <w:tcPr>
            <w:tcW w:w="2401"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14:paraId="5B112D47" w14:textId="13DA3C6A"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Pr>
                <w:rFonts w:cs="Arial"/>
                <w:color w:val="000000"/>
              </w:rPr>
              <w:t>p</w:t>
            </w:r>
            <w:r w:rsidRPr="00472529">
              <w:rPr>
                <w:rFonts w:cs="Arial"/>
                <w:color w:val="000000"/>
              </w:rPr>
              <w:t xml:space="preserve">oint                                    </w:t>
            </w:r>
          </w:p>
        </w:tc>
        <w:tc>
          <w:tcPr>
            <w:tcW w:w="656" w:type="dxa"/>
            <w:tcBorders>
              <w:top w:val="nil"/>
              <w:left w:val="nil"/>
              <w:bottom w:val="single" w:sz="4" w:space="0" w:color="auto"/>
              <w:right w:val="single" w:sz="4" w:space="0" w:color="auto"/>
            </w:tcBorders>
            <w:shd w:val="clear" w:color="auto" w:fill="D9D9D9" w:themeFill="background1" w:themeFillShade="D9"/>
            <w:noWrap/>
            <w:hideMark/>
          </w:tcPr>
          <w:p w14:paraId="3D02DA01" w14:textId="77777777" w:rsidR="004A7F3D" w:rsidRPr="00472529" w:rsidRDefault="004A7F3D" w:rsidP="0063160E">
            <w:pPr>
              <w:spacing w:after="0" w:line="240" w:lineRule="auto"/>
              <w:jc w:val="right"/>
              <w:rPr>
                <w:rFonts w:cs="Arial"/>
                <w:color w:val="000000"/>
              </w:rPr>
            </w:pPr>
            <w:r w:rsidRPr="0075616D">
              <w:rPr>
                <w:rFonts w:cs="Arial"/>
              </w:rPr>
              <w:t>146</w:t>
            </w:r>
          </w:p>
        </w:tc>
        <w:tc>
          <w:tcPr>
            <w:tcW w:w="849" w:type="dxa"/>
            <w:tcBorders>
              <w:top w:val="nil"/>
              <w:left w:val="nil"/>
              <w:bottom w:val="single" w:sz="4" w:space="0" w:color="auto"/>
              <w:right w:val="single" w:sz="4" w:space="0" w:color="auto"/>
            </w:tcBorders>
            <w:shd w:val="clear" w:color="auto" w:fill="D9D9D9" w:themeFill="background1" w:themeFillShade="D9"/>
            <w:noWrap/>
            <w:hideMark/>
          </w:tcPr>
          <w:p w14:paraId="317230B4" w14:textId="77777777" w:rsidR="004A7F3D" w:rsidRPr="00472529" w:rsidRDefault="004A7F3D" w:rsidP="0063160E">
            <w:pPr>
              <w:spacing w:after="0" w:line="240" w:lineRule="auto"/>
              <w:jc w:val="right"/>
              <w:rPr>
                <w:rFonts w:cs="Arial"/>
                <w:color w:val="000000"/>
              </w:rPr>
            </w:pPr>
            <w:r w:rsidRPr="0075616D">
              <w:rPr>
                <w:rFonts w:cs="Arial"/>
              </w:rPr>
              <w:t>112</w:t>
            </w:r>
          </w:p>
        </w:tc>
        <w:tc>
          <w:tcPr>
            <w:tcW w:w="849" w:type="dxa"/>
            <w:tcBorders>
              <w:top w:val="nil"/>
              <w:left w:val="nil"/>
              <w:bottom w:val="single" w:sz="4" w:space="0" w:color="auto"/>
              <w:right w:val="single" w:sz="4" w:space="0" w:color="auto"/>
            </w:tcBorders>
            <w:shd w:val="clear" w:color="auto" w:fill="D9D9D9" w:themeFill="background1" w:themeFillShade="D9"/>
            <w:noWrap/>
            <w:hideMark/>
          </w:tcPr>
          <w:p w14:paraId="04C34927" w14:textId="77777777" w:rsidR="004A7F3D" w:rsidRPr="00472529" w:rsidRDefault="004A7F3D" w:rsidP="0063160E">
            <w:pPr>
              <w:spacing w:after="0" w:line="240" w:lineRule="auto"/>
              <w:jc w:val="right"/>
              <w:rPr>
                <w:rFonts w:cs="Arial"/>
                <w:color w:val="000000"/>
              </w:rPr>
            </w:pPr>
            <w:r w:rsidRPr="0075616D">
              <w:rPr>
                <w:rFonts w:cs="Arial"/>
              </w:rPr>
              <w:t>68</w:t>
            </w:r>
          </w:p>
        </w:tc>
        <w:tc>
          <w:tcPr>
            <w:tcW w:w="849" w:type="dxa"/>
            <w:tcBorders>
              <w:top w:val="nil"/>
              <w:left w:val="nil"/>
              <w:bottom w:val="single" w:sz="4" w:space="0" w:color="auto"/>
              <w:right w:val="single" w:sz="4" w:space="0" w:color="auto"/>
            </w:tcBorders>
            <w:shd w:val="clear" w:color="auto" w:fill="D9D9D9" w:themeFill="background1" w:themeFillShade="D9"/>
            <w:noWrap/>
            <w:hideMark/>
          </w:tcPr>
          <w:p w14:paraId="52DA15E3" w14:textId="77777777" w:rsidR="004A7F3D" w:rsidRPr="00472529" w:rsidRDefault="004A7F3D" w:rsidP="0063160E">
            <w:pPr>
              <w:spacing w:after="0" w:line="240" w:lineRule="auto"/>
              <w:jc w:val="right"/>
              <w:rPr>
                <w:rFonts w:cs="Arial"/>
                <w:color w:val="000000"/>
              </w:rPr>
            </w:pPr>
            <w:r w:rsidRPr="0075616D">
              <w:rPr>
                <w:rFonts w:cs="Arial"/>
              </w:rPr>
              <w:t>54</w:t>
            </w:r>
          </w:p>
        </w:tc>
        <w:tc>
          <w:tcPr>
            <w:tcW w:w="849" w:type="dxa"/>
            <w:tcBorders>
              <w:top w:val="nil"/>
              <w:left w:val="nil"/>
              <w:bottom w:val="single" w:sz="4" w:space="0" w:color="auto"/>
              <w:right w:val="single" w:sz="4" w:space="0" w:color="auto"/>
            </w:tcBorders>
            <w:shd w:val="clear" w:color="auto" w:fill="D9D9D9" w:themeFill="background1" w:themeFillShade="D9"/>
            <w:noWrap/>
            <w:hideMark/>
          </w:tcPr>
          <w:p w14:paraId="13869290" w14:textId="77777777" w:rsidR="004A7F3D" w:rsidRPr="00472529" w:rsidRDefault="004A7F3D" w:rsidP="0063160E">
            <w:pPr>
              <w:spacing w:after="0" w:line="240" w:lineRule="auto"/>
              <w:jc w:val="right"/>
              <w:rPr>
                <w:rFonts w:cs="Arial"/>
                <w:color w:val="000000"/>
              </w:rPr>
            </w:pPr>
            <w:r w:rsidRPr="0075616D">
              <w:rPr>
                <w:rFonts w:cs="Arial"/>
              </w:rPr>
              <w:t>50</w:t>
            </w:r>
          </w:p>
        </w:tc>
        <w:tc>
          <w:tcPr>
            <w:tcW w:w="849" w:type="dxa"/>
            <w:tcBorders>
              <w:top w:val="nil"/>
              <w:left w:val="nil"/>
              <w:bottom w:val="single" w:sz="4" w:space="0" w:color="auto"/>
              <w:right w:val="single" w:sz="4" w:space="0" w:color="auto"/>
            </w:tcBorders>
            <w:shd w:val="clear" w:color="auto" w:fill="D9D9D9" w:themeFill="background1" w:themeFillShade="D9"/>
            <w:noWrap/>
            <w:hideMark/>
          </w:tcPr>
          <w:p w14:paraId="2CB163C6" w14:textId="77777777" w:rsidR="004A7F3D" w:rsidRPr="00472529" w:rsidRDefault="004A7F3D" w:rsidP="0063160E">
            <w:pPr>
              <w:spacing w:after="0" w:line="240" w:lineRule="auto"/>
              <w:jc w:val="right"/>
              <w:rPr>
                <w:rFonts w:cs="Arial"/>
                <w:color w:val="000000"/>
              </w:rPr>
            </w:pPr>
            <w:r w:rsidRPr="0075616D">
              <w:rPr>
                <w:rFonts w:cs="Arial"/>
              </w:rPr>
              <w:t>50</w:t>
            </w:r>
          </w:p>
        </w:tc>
        <w:tc>
          <w:tcPr>
            <w:tcW w:w="849" w:type="dxa"/>
            <w:tcBorders>
              <w:top w:val="nil"/>
              <w:left w:val="nil"/>
              <w:bottom w:val="single" w:sz="4" w:space="0" w:color="auto"/>
              <w:right w:val="single" w:sz="4" w:space="0" w:color="auto"/>
            </w:tcBorders>
            <w:shd w:val="clear" w:color="auto" w:fill="D9D9D9" w:themeFill="background1" w:themeFillShade="D9"/>
            <w:noWrap/>
            <w:hideMark/>
          </w:tcPr>
          <w:p w14:paraId="2C4D6505" w14:textId="77777777" w:rsidR="004A7F3D" w:rsidRPr="00472529" w:rsidRDefault="004A7F3D" w:rsidP="0063160E">
            <w:pPr>
              <w:spacing w:after="0" w:line="240" w:lineRule="auto"/>
              <w:jc w:val="right"/>
              <w:rPr>
                <w:rFonts w:cs="Arial"/>
                <w:color w:val="000000"/>
              </w:rPr>
            </w:pPr>
            <w:r w:rsidRPr="0075616D">
              <w:rPr>
                <w:rFonts w:cs="Arial"/>
              </w:rPr>
              <w:t>44</w:t>
            </w:r>
          </w:p>
        </w:tc>
        <w:tc>
          <w:tcPr>
            <w:tcW w:w="855" w:type="dxa"/>
            <w:tcBorders>
              <w:top w:val="nil"/>
              <w:left w:val="nil"/>
              <w:bottom w:val="single" w:sz="4" w:space="0" w:color="auto"/>
              <w:right w:val="single" w:sz="4" w:space="0" w:color="auto"/>
            </w:tcBorders>
            <w:shd w:val="clear" w:color="auto" w:fill="D9D9D9" w:themeFill="background1" w:themeFillShade="D9"/>
            <w:noWrap/>
            <w:hideMark/>
          </w:tcPr>
          <w:p w14:paraId="30292C3C" w14:textId="77777777" w:rsidR="004A7F3D" w:rsidRPr="00472529" w:rsidRDefault="004A7F3D" w:rsidP="0063160E">
            <w:pPr>
              <w:spacing w:after="0" w:line="240" w:lineRule="auto"/>
              <w:jc w:val="right"/>
              <w:rPr>
                <w:rFonts w:cs="Arial"/>
                <w:color w:val="000000"/>
              </w:rPr>
            </w:pPr>
            <w:r w:rsidRPr="0075616D">
              <w:rPr>
                <w:rFonts w:cs="Arial"/>
              </w:rPr>
              <w:t>42</w:t>
            </w:r>
          </w:p>
        </w:tc>
      </w:tr>
    </w:tbl>
    <w:p w14:paraId="3A0A432C" w14:textId="77777777" w:rsidR="004A7F3D" w:rsidRDefault="004A7F3D" w:rsidP="004A7F3D">
      <w:pPr>
        <w:pStyle w:val="ListBullet"/>
        <w:keepLines w:val="0"/>
        <w:numPr>
          <w:ilvl w:val="0"/>
          <w:numId w:val="0"/>
        </w:numPr>
        <w:ind w:left="295" w:hanging="295"/>
        <w:rPr>
          <w:rFonts w:cs="Arial"/>
          <w:color w:val="000000"/>
          <w:szCs w:val="20"/>
        </w:rPr>
      </w:pPr>
      <w:r>
        <w:rPr>
          <w:noProof/>
        </w:rPr>
        <w:drawing>
          <wp:inline distT="0" distB="0" distL="0" distR="0" wp14:anchorId="72147965" wp14:editId="45A4598C">
            <wp:extent cx="5705475" cy="2600325"/>
            <wp:effectExtent l="0" t="0" r="9525" b="9525"/>
            <wp:docPr id="7" name="Chart 7" descr="Figure 7: Fixed assignments with centre frequency in the1.9 GHz band">
              <a:extLst xmlns:a="http://schemas.openxmlformats.org/drawingml/2006/main">
                <a:ext uri="{FF2B5EF4-FFF2-40B4-BE49-F238E27FC236}">
                  <a16:creationId xmlns:a16="http://schemas.microsoft.com/office/drawing/2014/main" id="{4764A59E-E087-40DC-960C-12887A6038C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14:paraId="36BFBE8F" w14:textId="77777777" w:rsidR="004A7F3D" w:rsidRDefault="004A7F3D" w:rsidP="004A7F3D">
      <w:pPr>
        <w:pStyle w:val="ListBullet"/>
        <w:keepLines w:val="0"/>
        <w:numPr>
          <w:ilvl w:val="0"/>
          <w:numId w:val="0"/>
        </w:numPr>
        <w:ind w:left="295" w:hanging="295"/>
        <w:rPr>
          <w:rFonts w:cs="Arial"/>
          <w:color w:val="000000"/>
          <w:szCs w:val="20"/>
        </w:rPr>
      </w:pPr>
    </w:p>
    <w:p w14:paraId="74FE4A0A" w14:textId="631731A4" w:rsidR="004A7F3D" w:rsidRPr="00946E29" w:rsidRDefault="004A7F3D" w:rsidP="00450397">
      <w:pPr>
        <w:pStyle w:val="ACMAFigureHeader"/>
      </w:pPr>
      <w:r w:rsidRPr="00946E29">
        <w:t>Fixed assignments with centre frequency &lt; 1880 MHz and upper band</w:t>
      </w:r>
      <w:r>
        <w:t xml:space="preserve"> </w:t>
      </w:r>
      <w:r w:rsidRPr="00946E29">
        <w:t>edge ≥ 1880 MHz</w:t>
      </w:r>
    </w:p>
    <w:p w14:paraId="5A6B5685" w14:textId="77777777" w:rsidR="004A7F3D" w:rsidRDefault="004A7F3D" w:rsidP="004A7F3D">
      <w:pPr>
        <w:pStyle w:val="ListBullet"/>
        <w:keepLines w:val="0"/>
        <w:numPr>
          <w:ilvl w:val="0"/>
          <w:numId w:val="0"/>
        </w:numPr>
        <w:ind w:left="295" w:hanging="295"/>
        <w:rPr>
          <w:rFonts w:cs="Arial"/>
          <w:color w:val="000000"/>
          <w:szCs w:val="20"/>
        </w:rPr>
      </w:pPr>
      <w:r>
        <w:rPr>
          <w:noProof/>
        </w:rPr>
        <w:drawing>
          <wp:inline distT="0" distB="0" distL="0" distR="0" wp14:anchorId="16E44910" wp14:editId="169A926E">
            <wp:extent cx="5648325" cy="2305050"/>
            <wp:effectExtent l="0" t="0" r="9525" b="0"/>
            <wp:docPr id="10" name="Chart 10" descr="Figure 8: Fixed assignments with centre frequency &lt; 1880 MHz and upper band edge ≥ 1880 MHz">
              <a:extLst xmlns:a="http://schemas.openxmlformats.org/drawingml/2006/main">
                <a:ext uri="{FF2B5EF4-FFF2-40B4-BE49-F238E27FC236}">
                  <a16:creationId xmlns:a16="http://schemas.microsoft.com/office/drawing/2014/main" id="{08E06547-C7FC-46F1-A91E-013233F8A8D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tbl>
      <w:tblPr>
        <w:tblpPr w:leftFromText="180" w:rightFromText="180" w:vertAnchor="text" w:horzAnchor="margin" w:tblpY="-46"/>
        <w:tblW w:w="8904" w:type="dxa"/>
        <w:tblLook w:val="04A0" w:firstRow="1" w:lastRow="0" w:firstColumn="1" w:lastColumn="0" w:noHBand="0" w:noVBand="1"/>
      </w:tblPr>
      <w:tblGrid>
        <w:gridCol w:w="2373"/>
        <w:gridCol w:w="661"/>
        <w:gridCol w:w="840"/>
        <w:gridCol w:w="840"/>
        <w:gridCol w:w="840"/>
        <w:gridCol w:w="840"/>
        <w:gridCol w:w="840"/>
        <w:gridCol w:w="840"/>
        <w:gridCol w:w="841"/>
      </w:tblGrid>
      <w:tr w:rsidR="004A7F3D" w:rsidRPr="00A63FCF" w14:paraId="3814062A" w14:textId="77777777" w:rsidTr="00450397">
        <w:trPr>
          <w:trHeight w:val="260"/>
        </w:trPr>
        <w:tc>
          <w:tcPr>
            <w:tcW w:w="2373" w:type="dxa"/>
            <w:vMerge w:val="restart"/>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62E313F1" w14:textId="2D09DEB1" w:rsidR="004A7F3D" w:rsidRPr="00A63FCF" w:rsidRDefault="004A7F3D" w:rsidP="0063160E">
            <w:pPr>
              <w:spacing w:after="0" w:line="240" w:lineRule="auto"/>
            </w:pPr>
            <w:r w:rsidRPr="00A63FCF">
              <w:t xml:space="preserve">Fixed </w:t>
            </w:r>
            <w:r w:rsidR="00EB3EDE">
              <w:t>s</w:t>
            </w:r>
            <w:r w:rsidRPr="00A63FCF">
              <w:t>ervices</w:t>
            </w:r>
            <w:r>
              <w:t xml:space="preserve"> </w:t>
            </w:r>
            <w:r w:rsidRPr="00A63FCF">
              <w:t xml:space="preserve">/ </w:t>
            </w:r>
            <w:r w:rsidR="00EB3EDE">
              <w:t>n</w:t>
            </w:r>
            <w:r w:rsidRPr="00A63FCF">
              <w:t>umber of assignments</w:t>
            </w:r>
          </w:p>
        </w:tc>
        <w:tc>
          <w:tcPr>
            <w:tcW w:w="6531" w:type="dxa"/>
            <w:gridSpan w:val="8"/>
            <w:tcBorders>
              <w:top w:val="single" w:sz="4" w:space="0" w:color="auto"/>
              <w:left w:val="nil"/>
              <w:bottom w:val="single" w:sz="4" w:space="0" w:color="auto"/>
              <w:right w:val="single" w:sz="4" w:space="0" w:color="auto"/>
            </w:tcBorders>
            <w:shd w:val="clear" w:color="auto" w:fill="000000" w:themeFill="text1"/>
            <w:noWrap/>
            <w:vAlign w:val="center"/>
            <w:hideMark/>
          </w:tcPr>
          <w:p w14:paraId="3C80E668" w14:textId="77777777" w:rsidR="004A7F3D" w:rsidRPr="00A63FCF" w:rsidRDefault="004A7F3D" w:rsidP="0063160E">
            <w:pPr>
              <w:spacing w:after="0" w:line="240" w:lineRule="auto"/>
              <w:jc w:val="center"/>
            </w:pPr>
            <w:r w:rsidRPr="00A63FCF">
              <w:t>Year</w:t>
            </w:r>
          </w:p>
        </w:tc>
      </w:tr>
      <w:tr w:rsidR="00750B8F" w:rsidRPr="00A63FCF" w14:paraId="48CBD3F5" w14:textId="77777777" w:rsidTr="00450397">
        <w:trPr>
          <w:trHeight w:val="260"/>
        </w:trPr>
        <w:tc>
          <w:tcPr>
            <w:tcW w:w="2373" w:type="dxa"/>
            <w:vMerge/>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733D3FB0" w14:textId="77777777" w:rsidR="004A7F3D" w:rsidRPr="00A63FCF" w:rsidRDefault="004A7F3D" w:rsidP="0063160E">
            <w:pPr>
              <w:spacing w:after="0" w:line="240" w:lineRule="auto"/>
            </w:pPr>
          </w:p>
        </w:tc>
        <w:tc>
          <w:tcPr>
            <w:tcW w:w="649" w:type="dxa"/>
            <w:tcBorders>
              <w:top w:val="nil"/>
              <w:left w:val="nil"/>
              <w:bottom w:val="single" w:sz="4" w:space="0" w:color="auto"/>
              <w:right w:val="single" w:sz="4" w:space="0" w:color="auto"/>
            </w:tcBorders>
            <w:shd w:val="clear" w:color="auto" w:fill="000000" w:themeFill="text1"/>
            <w:noWrap/>
            <w:vAlign w:val="bottom"/>
            <w:hideMark/>
          </w:tcPr>
          <w:p w14:paraId="0FC13941" w14:textId="77777777" w:rsidR="004A7F3D" w:rsidRPr="00A63FCF" w:rsidRDefault="004A7F3D" w:rsidP="0063160E">
            <w:pPr>
              <w:spacing w:after="0" w:line="240" w:lineRule="auto"/>
              <w:jc w:val="right"/>
            </w:pPr>
            <w:r w:rsidRPr="00A63FCF">
              <w:t>2015</w:t>
            </w:r>
          </w:p>
        </w:tc>
        <w:tc>
          <w:tcPr>
            <w:tcW w:w="840" w:type="dxa"/>
            <w:tcBorders>
              <w:top w:val="nil"/>
              <w:left w:val="nil"/>
              <w:bottom w:val="single" w:sz="4" w:space="0" w:color="auto"/>
              <w:right w:val="single" w:sz="4" w:space="0" w:color="auto"/>
            </w:tcBorders>
            <w:shd w:val="clear" w:color="auto" w:fill="000000" w:themeFill="text1"/>
            <w:noWrap/>
            <w:vAlign w:val="bottom"/>
            <w:hideMark/>
          </w:tcPr>
          <w:p w14:paraId="02BE1EE6" w14:textId="77777777" w:rsidR="004A7F3D" w:rsidRPr="00A63FCF" w:rsidRDefault="004A7F3D" w:rsidP="0063160E">
            <w:pPr>
              <w:spacing w:after="0" w:line="240" w:lineRule="auto"/>
              <w:jc w:val="right"/>
            </w:pPr>
            <w:r w:rsidRPr="00A63FCF">
              <w:t>2016</w:t>
            </w:r>
          </w:p>
        </w:tc>
        <w:tc>
          <w:tcPr>
            <w:tcW w:w="840" w:type="dxa"/>
            <w:tcBorders>
              <w:top w:val="nil"/>
              <w:left w:val="nil"/>
              <w:bottom w:val="single" w:sz="4" w:space="0" w:color="auto"/>
              <w:right w:val="single" w:sz="4" w:space="0" w:color="auto"/>
            </w:tcBorders>
            <w:shd w:val="clear" w:color="auto" w:fill="000000" w:themeFill="text1"/>
            <w:noWrap/>
            <w:vAlign w:val="bottom"/>
            <w:hideMark/>
          </w:tcPr>
          <w:p w14:paraId="52B41E71" w14:textId="77777777" w:rsidR="004A7F3D" w:rsidRPr="00A63FCF" w:rsidRDefault="004A7F3D" w:rsidP="0063160E">
            <w:pPr>
              <w:spacing w:after="0" w:line="240" w:lineRule="auto"/>
              <w:jc w:val="right"/>
            </w:pPr>
            <w:r w:rsidRPr="00A63FCF">
              <w:t>2017</w:t>
            </w:r>
          </w:p>
        </w:tc>
        <w:tc>
          <w:tcPr>
            <w:tcW w:w="840" w:type="dxa"/>
            <w:tcBorders>
              <w:top w:val="nil"/>
              <w:left w:val="nil"/>
              <w:bottom w:val="single" w:sz="4" w:space="0" w:color="auto"/>
              <w:right w:val="single" w:sz="4" w:space="0" w:color="auto"/>
            </w:tcBorders>
            <w:shd w:val="clear" w:color="auto" w:fill="000000" w:themeFill="text1"/>
            <w:noWrap/>
            <w:vAlign w:val="bottom"/>
            <w:hideMark/>
          </w:tcPr>
          <w:p w14:paraId="6300BA6E" w14:textId="77777777" w:rsidR="004A7F3D" w:rsidRPr="00A63FCF" w:rsidRDefault="004A7F3D" w:rsidP="0063160E">
            <w:pPr>
              <w:spacing w:after="0" w:line="240" w:lineRule="auto"/>
              <w:jc w:val="right"/>
            </w:pPr>
            <w:r w:rsidRPr="00A63FCF">
              <w:t>2018</w:t>
            </w:r>
          </w:p>
        </w:tc>
        <w:tc>
          <w:tcPr>
            <w:tcW w:w="840" w:type="dxa"/>
            <w:tcBorders>
              <w:top w:val="nil"/>
              <w:left w:val="nil"/>
              <w:bottom w:val="single" w:sz="4" w:space="0" w:color="auto"/>
              <w:right w:val="single" w:sz="4" w:space="0" w:color="auto"/>
            </w:tcBorders>
            <w:shd w:val="clear" w:color="auto" w:fill="000000" w:themeFill="text1"/>
            <w:noWrap/>
            <w:vAlign w:val="bottom"/>
            <w:hideMark/>
          </w:tcPr>
          <w:p w14:paraId="2DFCF597" w14:textId="77777777" w:rsidR="004A7F3D" w:rsidRPr="00A63FCF" w:rsidRDefault="004A7F3D" w:rsidP="0063160E">
            <w:pPr>
              <w:spacing w:after="0" w:line="240" w:lineRule="auto"/>
              <w:jc w:val="right"/>
            </w:pPr>
            <w:r w:rsidRPr="00A63FCF">
              <w:t>2019</w:t>
            </w:r>
          </w:p>
        </w:tc>
        <w:tc>
          <w:tcPr>
            <w:tcW w:w="840" w:type="dxa"/>
            <w:tcBorders>
              <w:top w:val="nil"/>
              <w:left w:val="nil"/>
              <w:bottom w:val="single" w:sz="4" w:space="0" w:color="auto"/>
              <w:right w:val="single" w:sz="4" w:space="0" w:color="auto"/>
            </w:tcBorders>
            <w:shd w:val="clear" w:color="auto" w:fill="000000" w:themeFill="text1"/>
            <w:noWrap/>
            <w:vAlign w:val="bottom"/>
            <w:hideMark/>
          </w:tcPr>
          <w:p w14:paraId="5C665D59" w14:textId="77777777" w:rsidR="004A7F3D" w:rsidRPr="00A63FCF" w:rsidRDefault="004A7F3D" w:rsidP="0063160E">
            <w:pPr>
              <w:spacing w:after="0" w:line="240" w:lineRule="auto"/>
              <w:jc w:val="right"/>
            </w:pPr>
            <w:r w:rsidRPr="00A63FCF">
              <w:t>2020</w:t>
            </w:r>
          </w:p>
        </w:tc>
        <w:tc>
          <w:tcPr>
            <w:tcW w:w="840" w:type="dxa"/>
            <w:tcBorders>
              <w:top w:val="nil"/>
              <w:left w:val="nil"/>
              <w:bottom w:val="single" w:sz="4" w:space="0" w:color="auto"/>
              <w:right w:val="single" w:sz="4" w:space="0" w:color="auto"/>
            </w:tcBorders>
            <w:shd w:val="clear" w:color="auto" w:fill="000000" w:themeFill="text1"/>
            <w:noWrap/>
            <w:vAlign w:val="bottom"/>
            <w:hideMark/>
          </w:tcPr>
          <w:p w14:paraId="5E1801B6" w14:textId="77777777" w:rsidR="004A7F3D" w:rsidRPr="00A63FCF" w:rsidRDefault="004A7F3D" w:rsidP="0063160E">
            <w:pPr>
              <w:spacing w:after="0" w:line="240" w:lineRule="auto"/>
              <w:jc w:val="right"/>
            </w:pPr>
            <w:r w:rsidRPr="00A63FCF">
              <w:t>2021</w:t>
            </w:r>
          </w:p>
        </w:tc>
        <w:tc>
          <w:tcPr>
            <w:tcW w:w="841" w:type="dxa"/>
            <w:tcBorders>
              <w:top w:val="nil"/>
              <w:left w:val="nil"/>
              <w:bottom w:val="single" w:sz="4" w:space="0" w:color="auto"/>
              <w:right w:val="single" w:sz="4" w:space="0" w:color="auto"/>
            </w:tcBorders>
            <w:shd w:val="clear" w:color="auto" w:fill="000000" w:themeFill="text1"/>
            <w:noWrap/>
            <w:vAlign w:val="bottom"/>
            <w:hideMark/>
          </w:tcPr>
          <w:p w14:paraId="5A068FE9" w14:textId="77777777" w:rsidR="004A7F3D" w:rsidRPr="00A63FCF" w:rsidRDefault="004A7F3D" w:rsidP="0063160E">
            <w:pPr>
              <w:spacing w:after="0" w:line="240" w:lineRule="auto"/>
              <w:jc w:val="right"/>
            </w:pPr>
            <w:r w:rsidRPr="00A63FCF">
              <w:t>2022</w:t>
            </w:r>
          </w:p>
        </w:tc>
      </w:tr>
      <w:tr w:rsidR="004A7F3D" w:rsidRPr="00EB3EDE" w14:paraId="5D345F07" w14:textId="77777777" w:rsidTr="0063160E">
        <w:trPr>
          <w:trHeight w:val="260"/>
        </w:trPr>
        <w:tc>
          <w:tcPr>
            <w:tcW w:w="2373" w:type="dxa"/>
            <w:tcBorders>
              <w:top w:val="nil"/>
              <w:left w:val="single" w:sz="4" w:space="0" w:color="auto"/>
              <w:bottom w:val="single" w:sz="4" w:space="0" w:color="auto"/>
              <w:right w:val="single" w:sz="4" w:space="0" w:color="auto"/>
            </w:tcBorders>
            <w:shd w:val="clear" w:color="auto" w:fill="auto"/>
            <w:noWrap/>
            <w:vAlign w:val="bottom"/>
            <w:hideMark/>
          </w:tcPr>
          <w:p w14:paraId="4E8F3093" w14:textId="6EB0FD39"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sidRPr="00472529">
              <w:rPr>
                <w:rFonts w:cs="Arial"/>
                <w:color w:val="000000"/>
              </w:rPr>
              <w:t>m</w:t>
            </w:r>
            <w:r w:rsidRPr="00472529">
              <w:rPr>
                <w:rFonts w:cs="Arial"/>
                <w:color w:val="000000"/>
              </w:rPr>
              <w:t xml:space="preserve">ultipoint                               </w:t>
            </w:r>
          </w:p>
        </w:tc>
        <w:tc>
          <w:tcPr>
            <w:tcW w:w="649" w:type="dxa"/>
            <w:tcBorders>
              <w:top w:val="nil"/>
              <w:left w:val="nil"/>
              <w:bottom w:val="single" w:sz="4" w:space="0" w:color="auto"/>
              <w:right w:val="single" w:sz="4" w:space="0" w:color="auto"/>
            </w:tcBorders>
            <w:shd w:val="clear" w:color="auto" w:fill="auto"/>
            <w:noWrap/>
            <w:hideMark/>
          </w:tcPr>
          <w:p w14:paraId="664757AF" w14:textId="77777777" w:rsidR="004A7F3D" w:rsidRPr="00472529" w:rsidRDefault="004A7F3D" w:rsidP="0063160E">
            <w:pPr>
              <w:spacing w:after="0" w:line="240" w:lineRule="auto"/>
              <w:jc w:val="right"/>
              <w:rPr>
                <w:rFonts w:cs="Arial"/>
                <w:color w:val="000000"/>
              </w:rPr>
            </w:pPr>
            <w:r w:rsidRPr="0075616D">
              <w:rPr>
                <w:rFonts w:cs="Arial"/>
              </w:rPr>
              <w:t>0</w:t>
            </w:r>
          </w:p>
        </w:tc>
        <w:tc>
          <w:tcPr>
            <w:tcW w:w="840" w:type="dxa"/>
            <w:tcBorders>
              <w:top w:val="nil"/>
              <w:left w:val="nil"/>
              <w:bottom w:val="single" w:sz="4" w:space="0" w:color="auto"/>
              <w:right w:val="single" w:sz="4" w:space="0" w:color="auto"/>
            </w:tcBorders>
            <w:shd w:val="clear" w:color="auto" w:fill="auto"/>
            <w:noWrap/>
            <w:hideMark/>
          </w:tcPr>
          <w:p w14:paraId="59FBBE12" w14:textId="77777777" w:rsidR="004A7F3D" w:rsidRPr="00472529" w:rsidRDefault="004A7F3D" w:rsidP="0063160E">
            <w:pPr>
              <w:spacing w:after="0" w:line="240" w:lineRule="auto"/>
              <w:jc w:val="right"/>
              <w:rPr>
                <w:rFonts w:cs="Arial"/>
                <w:color w:val="000000"/>
              </w:rPr>
            </w:pPr>
            <w:r w:rsidRPr="0075616D">
              <w:rPr>
                <w:rFonts w:cs="Arial"/>
              </w:rPr>
              <w:t>0</w:t>
            </w:r>
          </w:p>
        </w:tc>
        <w:tc>
          <w:tcPr>
            <w:tcW w:w="840" w:type="dxa"/>
            <w:tcBorders>
              <w:top w:val="nil"/>
              <w:left w:val="nil"/>
              <w:bottom w:val="single" w:sz="4" w:space="0" w:color="auto"/>
              <w:right w:val="single" w:sz="4" w:space="0" w:color="auto"/>
            </w:tcBorders>
            <w:shd w:val="clear" w:color="auto" w:fill="auto"/>
            <w:noWrap/>
            <w:hideMark/>
          </w:tcPr>
          <w:p w14:paraId="29B7AF27" w14:textId="77777777" w:rsidR="004A7F3D" w:rsidRPr="00472529" w:rsidRDefault="004A7F3D" w:rsidP="0063160E">
            <w:pPr>
              <w:spacing w:after="0" w:line="240" w:lineRule="auto"/>
              <w:jc w:val="right"/>
              <w:rPr>
                <w:rFonts w:cs="Arial"/>
                <w:color w:val="000000"/>
              </w:rPr>
            </w:pPr>
            <w:r w:rsidRPr="0075616D">
              <w:rPr>
                <w:rFonts w:cs="Arial"/>
              </w:rPr>
              <w:t>0</w:t>
            </w:r>
          </w:p>
        </w:tc>
        <w:tc>
          <w:tcPr>
            <w:tcW w:w="840" w:type="dxa"/>
            <w:tcBorders>
              <w:top w:val="nil"/>
              <w:left w:val="nil"/>
              <w:bottom w:val="single" w:sz="4" w:space="0" w:color="auto"/>
              <w:right w:val="single" w:sz="4" w:space="0" w:color="auto"/>
            </w:tcBorders>
            <w:shd w:val="clear" w:color="auto" w:fill="auto"/>
            <w:noWrap/>
            <w:hideMark/>
          </w:tcPr>
          <w:p w14:paraId="06C73341" w14:textId="77777777" w:rsidR="004A7F3D" w:rsidRPr="00472529" w:rsidRDefault="004A7F3D" w:rsidP="0063160E">
            <w:pPr>
              <w:spacing w:after="0" w:line="240" w:lineRule="auto"/>
              <w:jc w:val="right"/>
              <w:rPr>
                <w:rFonts w:cs="Arial"/>
                <w:color w:val="000000"/>
              </w:rPr>
            </w:pPr>
            <w:r w:rsidRPr="0075616D">
              <w:rPr>
                <w:rFonts w:cs="Arial"/>
              </w:rPr>
              <w:t>0</w:t>
            </w:r>
          </w:p>
        </w:tc>
        <w:tc>
          <w:tcPr>
            <w:tcW w:w="840" w:type="dxa"/>
            <w:tcBorders>
              <w:top w:val="nil"/>
              <w:left w:val="nil"/>
              <w:bottom w:val="single" w:sz="4" w:space="0" w:color="auto"/>
              <w:right w:val="single" w:sz="4" w:space="0" w:color="auto"/>
            </w:tcBorders>
            <w:shd w:val="clear" w:color="auto" w:fill="auto"/>
            <w:noWrap/>
            <w:hideMark/>
          </w:tcPr>
          <w:p w14:paraId="2305EE0D" w14:textId="77777777" w:rsidR="004A7F3D" w:rsidRPr="00472529" w:rsidRDefault="004A7F3D" w:rsidP="0063160E">
            <w:pPr>
              <w:spacing w:after="0" w:line="240" w:lineRule="auto"/>
              <w:jc w:val="right"/>
              <w:rPr>
                <w:rFonts w:cs="Arial"/>
                <w:color w:val="000000"/>
              </w:rPr>
            </w:pPr>
            <w:r w:rsidRPr="0075616D">
              <w:rPr>
                <w:rFonts w:cs="Arial"/>
              </w:rPr>
              <w:t>0</w:t>
            </w:r>
          </w:p>
        </w:tc>
        <w:tc>
          <w:tcPr>
            <w:tcW w:w="840" w:type="dxa"/>
            <w:tcBorders>
              <w:top w:val="nil"/>
              <w:left w:val="nil"/>
              <w:bottom w:val="single" w:sz="4" w:space="0" w:color="auto"/>
              <w:right w:val="single" w:sz="4" w:space="0" w:color="auto"/>
            </w:tcBorders>
            <w:shd w:val="clear" w:color="auto" w:fill="auto"/>
            <w:noWrap/>
            <w:hideMark/>
          </w:tcPr>
          <w:p w14:paraId="358A2D5C" w14:textId="77777777" w:rsidR="004A7F3D" w:rsidRPr="00472529" w:rsidRDefault="004A7F3D" w:rsidP="0063160E">
            <w:pPr>
              <w:spacing w:after="0" w:line="240" w:lineRule="auto"/>
              <w:jc w:val="right"/>
              <w:rPr>
                <w:rFonts w:cs="Arial"/>
                <w:color w:val="000000"/>
              </w:rPr>
            </w:pPr>
            <w:r w:rsidRPr="0075616D">
              <w:rPr>
                <w:rFonts w:cs="Arial"/>
              </w:rPr>
              <w:t>0</w:t>
            </w:r>
          </w:p>
        </w:tc>
        <w:tc>
          <w:tcPr>
            <w:tcW w:w="840" w:type="dxa"/>
            <w:tcBorders>
              <w:top w:val="nil"/>
              <w:left w:val="nil"/>
              <w:bottom w:val="single" w:sz="4" w:space="0" w:color="auto"/>
              <w:right w:val="single" w:sz="4" w:space="0" w:color="auto"/>
            </w:tcBorders>
            <w:shd w:val="clear" w:color="auto" w:fill="auto"/>
            <w:noWrap/>
            <w:hideMark/>
          </w:tcPr>
          <w:p w14:paraId="10FAE496" w14:textId="77777777" w:rsidR="004A7F3D" w:rsidRPr="00472529" w:rsidRDefault="004A7F3D" w:rsidP="0063160E">
            <w:pPr>
              <w:spacing w:after="0" w:line="240" w:lineRule="auto"/>
              <w:jc w:val="right"/>
              <w:rPr>
                <w:rFonts w:cs="Arial"/>
                <w:color w:val="000000"/>
              </w:rPr>
            </w:pPr>
            <w:r w:rsidRPr="0075616D">
              <w:rPr>
                <w:rFonts w:cs="Arial"/>
              </w:rPr>
              <w:t>0</w:t>
            </w:r>
          </w:p>
        </w:tc>
        <w:tc>
          <w:tcPr>
            <w:tcW w:w="841" w:type="dxa"/>
            <w:tcBorders>
              <w:top w:val="nil"/>
              <w:left w:val="nil"/>
              <w:bottom w:val="single" w:sz="4" w:space="0" w:color="auto"/>
              <w:right w:val="single" w:sz="4" w:space="0" w:color="auto"/>
            </w:tcBorders>
            <w:shd w:val="clear" w:color="auto" w:fill="auto"/>
            <w:noWrap/>
            <w:hideMark/>
          </w:tcPr>
          <w:p w14:paraId="042010E2" w14:textId="77777777" w:rsidR="004A7F3D" w:rsidRPr="00472529" w:rsidRDefault="004A7F3D" w:rsidP="0063160E">
            <w:pPr>
              <w:spacing w:after="0" w:line="240" w:lineRule="auto"/>
              <w:jc w:val="right"/>
              <w:rPr>
                <w:rFonts w:cs="Arial"/>
                <w:color w:val="000000"/>
              </w:rPr>
            </w:pPr>
            <w:r w:rsidRPr="0075616D">
              <w:rPr>
                <w:rFonts w:cs="Arial"/>
              </w:rPr>
              <w:t>0</w:t>
            </w:r>
          </w:p>
        </w:tc>
      </w:tr>
      <w:tr w:rsidR="00750B8F" w:rsidRPr="00EB3EDE" w14:paraId="4CEDB1C9" w14:textId="77777777" w:rsidTr="00450397">
        <w:trPr>
          <w:trHeight w:val="260"/>
        </w:trPr>
        <w:tc>
          <w:tcPr>
            <w:tcW w:w="2373"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14:paraId="3D2E80D6" w14:textId="16EF5425"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sidRPr="00472529">
              <w:rPr>
                <w:rFonts w:cs="Arial"/>
                <w:color w:val="000000"/>
              </w:rPr>
              <w:t>p</w:t>
            </w:r>
            <w:r w:rsidRPr="00472529">
              <w:rPr>
                <w:rFonts w:cs="Arial"/>
                <w:color w:val="000000"/>
              </w:rPr>
              <w:t xml:space="preserve">oint                                    </w:t>
            </w:r>
          </w:p>
        </w:tc>
        <w:tc>
          <w:tcPr>
            <w:tcW w:w="649" w:type="dxa"/>
            <w:tcBorders>
              <w:top w:val="nil"/>
              <w:left w:val="nil"/>
              <w:bottom w:val="single" w:sz="4" w:space="0" w:color="auto"/>
              <w:right w:val="single" w:sz="4" w:space="0" w:color="auto"/>
            </w:tcBorders>
            <w:shd w:val="clear" w:color="auto" w:fill="D9D9D9" w:themeFill="background1" w:themeFillShade="D9"/>
            <w:noWrap/>
            <w:hideMark/>
          </w:tcPr>
          <w:p w14:paraId="3C115DCC" w14:textId="77777777" w:rsidR="004A7F3D" w:rsidRPr="00472529" w:rsidRDefault="004A7F3D" w:rsidP="0063160E">
            <w:pPr>
              <w:spacing w:after="0" w:line="240" w:lineRule="auto"/>
              <w:jc w:val="right"/>
              <w:rPr>
                <w:rFonts w:cs="Arial"/>
                <w:color w:val="000000"/>
              </w:rPr>
            </w:pPr>
            <w:r w:rsidRPr="0075616D">
              <w:rPr>
                <w:rFonts w:cs="Arial"/>
              </w:rPr>
              <w:t>130</w:t>
            </w:r>
          </w:p>
        </w:tc>
        <w:tc>
          <w:tcPr>
            <w:tcW w:w="840" w:type="dxa"/>
            <w:tcBorders>
              <w:top w:val="nil"/>
              <w:left w:val="nil"/>
              <w:bottom w:val="single" w:sz="4" w:space="0" w:color="auto"/>
              <w:right w:val="single" w:sz="4" w:space="0" w:color="auto"/>
            </w:tcBorders>
            <w:shd w:val="clear" w:color="auto" w:fill="D9D9D9" w:themeFill="background1" w:themeFillShade="D9"/>
            <w:noWrap/>
            <w:hideMark/>
          </w:tcPr>
          <w:p w14:paraId="01481C9A" w14:textId="77777777" w:rsidR="004A7F3D" w:rsidRPr="00472529" w:rsidRDefault="004A7F3D" w:rsidP="0063160E">
            <w:pPr>
              <w:spacing w:after="0" w:line="240" w:lineRule="auto"/>
              <w:jc w:val="right"/>
              <w:rPr>
                <w:rFonts w:cs="Arial"/>
                <w:color w:val="000000"/>
              </w:rPr>
            </w:pPr>
            <w:r w:rsidRPr="0075616D">
              <w:rPr>
                <w:rFonts w:cs="Arial"/>
              </w:rPr>
              <w:t>114</w:t>
            </w:r>
          </w:p>
        </w:tc>
        <w:tc>
          <w:tcPr>
            <w:tcW w:w="840" w:type="dxa"/>
            <w:tcBorders>
              <w:top w:val="nil"/>
              <w:left w:val="nil"/>
              <w:bottom w:val="single" w:sz="4" w:space="0" w:color="auto"/>
              <w:right w:val="single" w:sz="4" w:space="0" w:color="auto"/>
            </w:tcBorders>
            <w:shd w:val="clear" w:color="auto" w:fill="D9D9D9" w:themeFill="background1" w:themeFillShade="D9"/>
            <w:noWrap/>
            <w:hideMark/>
          </w:tcPr>
          <w:p w14:paraId="467DE9FB" w14:textId="77777777" w:rsidR="004A7F3D" w:rsidRPr="00472529" w:rsidRDefault="004A7F3D" w:rsidP="0063160E">
            <w:pPr>
              <w:spacing w:after="0" w:line="240" w:lineRule="auto"/>
              <w:jc w:val="right"/>
              <w:rPr>
                <w:rFonts w:cs="Arial"/>
                <w:color w:val="000000"/>
              </w:rPr>
            </w:pPr>
            <w:r w:rsidRPr="0075616D">
              <w:rPr>
                <w:rFonts w:cs="Arial"/>
              </w:rPr>
              <w:t>56</w:t>
            </w:r>
          </w:p>
        </w:tc>
        <w:tc>
          <w:tcPr>
            <w:tcW w:w="840" w:type="dxa"/>
            <w:tcBorders>
              <w:top w:val="nil"/>
              <w:left w:val="nil"/>
              <w:bottom w:val="single" w:sz="4" w:space="0" w:color="auto"/>
              <w:right w:val="single" w:sz="4" w:space="0" w:color="auto"/>
            </w:tcBorders>
            <w:shd w:val="clear" w:color="auto" w:fill="D9D9D9" w:themeFill="background1" w:themeFillShade="D9"/>
            <w:noWrap/>
            <w:hideMark/>
          </w:tcPr>
          <w:p w14:paraId="67861833" w14:textId="77777777" w:rsidR="004A7F3D" w:rsidRPr="00472529" w:rsidRDefault="004A7F3D" w:rsidP="0063160E">
            <w:pPr>
              <w:spacing w:after="0" w:line="240" w:lineRule="auto"/>
              <w:jc w:val="right"/>
              <w:rPr>
                <w:rFonts w:cs="Arial"/>
                <w:color w:val="000000"/>
              </w:rPr>
            </w:pPr>
            <w:r w:rsidRPr="0075616D">
              <w:rPr>
                <w:rFonts w:cs="Arial"/>
              </w:rPr>
              <w:t>36</w:t>
            </w:r>
          </w:p>
        </w:tc>
        <w:tc>
          <w:tcPr>
            <w:tcW w:w="840" w:type="dxa"/>
            <w:tcBorders>
              <w:top w:val="nil"/>
              <w:left w:val="nil"/>
              <w:bottom w:val="single" w:sz="4" w:space="0" w:color="auto"/>
              <w:right w:val="single" w:sz="4" w:space="0" w:color="auto"/>
            </w:tcBorders>
            <w:shd w:val="clear" w:color="auto" w:fill="D9D9D9" w:themeFill="background1" w:themeFillShade="D9"/>
            <w:noWrap/>
            <w:hideMark/>
          </w:tcPr>
          <w:p w14:paraId="1E5B55EA" w14:textId="77777777" w:rsidR="004A7F3D" w:rsidRPr="00472529" w:rsidRDefault="004A7F3D" w:rsidP="0063160E">
            <w:pPr>
              <w:spacing w:after="0" w:line="240" w:lineRule="auto"/>
              <w:jc w:val="right"/>
              <w:rPr>
                <w:rFonts w:cs="Arial"/>
                <w:color w:val="000000"/>
              </w:rPr>
            </w:pPr>
            <w:r w:rsidRPr="0075616D">
              <w:rPr>
                <w:rFonts w:cs="Arial"/>
              </w:rPr>
              <w:t>32</w:t>
            </w:r>
          </w:p>
        </w:tc>
        <w:tc>
          <w:tcPr>
            <w:tcW w:w="840" w:type="dxa"/>
            <w:tcBorders>
              <w:top w:val="nil"/>
              <w:left w:val="nil"/>
              <w:bottom w:val="single" w:sz="4" w:space="0" w:color="auto"/>
              <w:right w:val="single" w:sz="4" w:space="0" w:color="auto"/>
            </w:tcBorders>
            <w:shd w:val="clear" w:color="auto" w:fill="D9D9D9" w:themeFill="background1" w:themeFillShade="D9"/>
            <w:noWrap/>
            <w:hideMark/>
          </w:tcPr>
          <w:p w14:paraId="30FBAF60" w14:textId="77777777" w:rsidR="004A7F3D" w:rsidRPr="00472529" w:rsidRDefault="004A7F3D" w:rsidP="0063160E">
            <w:pPr>
              <w:spacing w:after="0" w:line="240" w:lineRule="auto"/>
              <w:jc w:val="right"/>
              <w:rPr>
                <w:rFonts w:cs="Arial"/>
                <w:color w:val="000000"/>
              </w:rPr>
            </w:pPr>
            <w:r w:rsidRPr="0075616D">
              <w:rPr>
                <w:rFonts w:cs="Arial"/>
              </w:rPr>
              <w:t>24</w:t>
            </w:r>
          </w:p>
        </w:tc>
        <w:tc>
          <w:tcPr>
            <w:tcW w:w="840" w:type="dxa"/>
            <w:tcBorders>
              <w:top w:val="nil"/>
              <w:left w:val="nil"/>
              <w:bottom w:val="single" w:sz="4" w:space="0" w:color="auto"/>
              <w:right w:val="single" w:sz="4" w:space="0" w:color="auto"/>
            </w:tcBorders>
            <w:shd w:val="clear" w:color="auto" w:fill="D9D9D9" w:themeFill="background1" w:themeFillShade="D9"/>
            <w:noWrap/>
            <w:hideMark/>
          </w:tcPr>
          <w:p w14:paraId="4283C6A6" w14:textId="77777777" w:rsidR="004A7F3D" w:rsidRPr="00472529" w:rsidRDefault="004A7F3D" w:rsidP="0063160E">
            <w:pPr>
              <w:spacing w:after="0" w:line="240" w:lineRule="auto"/>
              <w:jc w:val="right"/>
              <w:rPr>
                <w:rFonts w:cs="Arial"/>
                <w:color w:val="000000"/>
              </w:rPr>
            </w:pPr>
            <w:r w:rsidRPr="0075616D">
              <w:rPr>
                <w:rFonts w:cs="Arial"/>
              </w:rPr>
              <w:t>24</w:t>
            </w:r>
          </w:p>
        </w:tc>
        <w:tc>
          <w:tcPr>
            <w:tcW w:w="841" w:type="dxa"/>
            <w:tcBorders>
              <w:top w:val="nil"/>
              <w:left w:val="nil"/>
              <w:bottom w:val="single" w:sz="4" w:space="0" w:color="auto"/>
              <w:right w:val="single" w:sz="4" w:space="0" w:color="auto"/>
            </w:tcBorders>
            <w:shd w:val="clear" w:color="auto" w:fill="D9D9D9" w:themeFill="background1" w:themeFillShade="D9"/>
            <w:noWrap/>
            <w:hideMark/>
          </w:tcPr>
          <w:p w14:paraId="5468A0CD" w14:textId="77777777" w:rsidR="004A7F3D" w:rsidRPr="00472529" w:rsidRDefault="004A7F3D" w:rsidP="0063160E">
            <w:pPr>
              <w:spacing w:after="0" w:line="240" w:lineRule="auto"/>
              <w:jc w:val="right"/>
              <w:rPr>
                <w:rFonts w:cs="Arial"/>
                <w:color w:val="000000"/>
              </w:rPr>
            </w:pPr>
            <w:r w:rsidRPr="0075616D">
              <w:rPr>
                <w:rFonts w:cs="Arial"/>
              </w:rPr>
              <w:t>26</w:t>
            </w:r>
          </w:p>
        </w:tc>
      </w:tr>
    </w:tbl>
    <w:p w14:paraId="55CA59A3" w14:textId="77777777" w:rsidR="004A7F3D" w:rsidRPr="00EB3EDE" w:rsidRDefault="004A7F3D" w:rsidP="004A7F3D">
      <w:pPr>
        <w:pStyle w:val="ListBullet"/>
        <w:keepLines w:val="0"/>
        <w:numPr>
          <w:ilvl w:val="0"/>
          <w:numId w:val="0"/>
        </w:numPr>
        <w:ind w:left="295" w:hanging="295"/>
        <w:rPr>
          <w:rFonts w:cs="Arial"/>
          <w:color w:val="000000"/>
          <w:szCs w:val="20"/>
        </w:rPr>
      </w:pPr>
    </w:p>
    <w:p w14:paraId="4EDDB873" w14:textId="0637C123" w:rsidR="004A7F3D" w:rsidRDefault="004A7F3D" w:rsidP="004A7F3D">
      <w:pPr>
        <w:pStyle w:val="ListBullet"/>
        <w:keepLines w:val="0"/>
        <w:numPr>
          <w:ilvl w:val="0"/>
          <w:numId w:val="0"/>
        </w:numPr>
        <w:ind w:left="295" w:hanging="295"/>
        <w:rPr>
          <w:rFonts w:cs="Arial"/>
          <w:color w:val="000000"/>
          <w:szCs w:val="20"/>
        </w:rPr>
      </w:pPr>
    </w:p>
    <w:p w14:paraId="23F907A0" w14:textId="77777777" w:rsidR="008000B8" w:rsidRDefault="008000B8" w:rsidP="004A7F3D">
      <w:pPr>
        <w:pStyle w:val="ListBullet"/>
        <w:keepLines w:val="0"/>
        <w:numPr>
          <w:ilvl w:val="0"/>
          <w:numId w:val="0"/>
        </w:numPr>
        <w:ind w:left="295" w:hanging="295"/>
        <w:rPr>
          <w:rFonts w:cs="Arial"/>
          <w:color w:val="000000"/>
          <w:szCs w:val="20"/>
        </w:rPr>
      </w:pPr>
    </w:p>
    <w:p w14:paraId="2AFA05BF" w14:textId="77777777" w:rsidR="004A7F3D" w:rsidRDefault="004A7F3D" w:rsidP="004A7F3D">
      <w:pPr>
        <w:pStyle w:val="ListBullet"/>
        <w:keepLines w:val="0"/>
        <w:numPr>
          <w:ilvl w:val="0"/>
          <w:numId w:val="0"/>
        </w:numPr>
        <w:ind w:left="295" w:hanging="295"/>
        <w:rPr>
          <w:rFonts w:cs="Arial"/>
          <w:color w:val="000000"/>
          <w:szCs w:val="20"/>
        </w:rPr>
      </w:pPr>
    </w:p>
    <w:p w14:paraId="27D4BBAE" w14:textId="77777777" w:rsidR="009E2455" w:rsidRDefault="009E2455">
      <w:pPr>
        <w:keepLines w:val="0"/>
        <w:spacing w:after="0" w:line="240" w:lineRule="auto"/>
        <w:rPr>
          <w:b/>
          <w:bCs/>
          <w:color w:val="323232"/>
          <w:szCs w:val="20"/>
        </w:rPr>
      </w:pPr>
      <w:r>
        <w:br w:type="page"/>
      </w:r>
    </w:p>
    <w:p w14:paraId="54BB2E6D" w14:textId="72A46572" w:rsidR="004A7F3D" w:rsidRDefault="004A7F3D" w:rsidP="00450397">
      <w:pPr>
        <w:pStyle w:val="ACMAFigureHeader"/>
      </w:pPr>
      <w:r>
        <w:lastRenderedPageBreak/>
        <w:t>Fixed assignments with centre frequency &gt; 1920 MHz and lower band edge ≤ 1920 MHz</w:t>
      </w:r>
    </w:p>
    <w:p w14:paraId="2BF0F4B9" w14:textId="77777777" w:rsidR="004A7F3D" w:rsidRDefault="004A7F3D" w:rsidP="004A7F3D">
      <w:pPr>
        <w:pStyle w:val="ListBullet"/>
        <w:keepLines w:val="0"/>
        <w:numPr>
          <w:ilvl w:val="0"/>
          <w:numId w:val="0"/>
        </w:numPr>
        <w:ind w:left="295" w:hanging="295"/>
        <w:rPr>
          <w:rFonts w:cs="Arial"/>
          <w:color w:val="000000"/>
          <w:szCs w:val="20"/>
        </w:rPr>
      </w:pPr>
      <w:r>
        <w:rPr>
          <w:noProof/>
        </w:rPr>
        <w:drawing>
          <wp:inline distT="0" distB="0" distL="0" distR="0" wp14:anchorId="29C51387" wp14:editId="66EE19EC">
            <wp:extent cx="5619750" cy="2228850"/>
            <wp:effectExtent l="0" t="0" r="0" b="0"/>
            <wp:docPr id="5" name="Chart 5" descr="Figure 9: Fixed assignments with centre frequency &gt; 1920 MHz and lower band edge ≤ 1920 MHz">
              <a:extLst xmlns:a="http://schemas.openxmlformats.org/drawingml/2006/main">
                <a:ext uri="{FF2B5EF4-FFF2-40B4-BE49-F238E27FC236}">
                  <a16:creationId xmlns:a16="http://schemas.microsoft.com/office/drawing/2014/main" id="{72D3A14D-4040-4648-BC0F-E18533D5C7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tbl>
      <w:tblPr>
        <w:tblpPr w:leftFromText="180" w:rightFromText="180" w:vertAnchor="text" w:horzAnchor="margin" w:tblpY="-60"/>
        <w:tblW w:w="8859" w:type="dxa"/>
        <w:tblLook w:val="04A0" w:firstRow="1" w:lastRow="0" w:firstColumn="1" w:lastColumn="0" w:noHBand="0" w:noVBand="1"/>
      </w:tblPr>
      <w:tblGrid>
        <w:gridCol w:w="2361"/>
        <w:gridCol w:w="661"/>
        <w:gridCol w:w="835"/>
        <w:gridCol w:w="835"/>
        <w:gridCol w:w="835"/>
        <w:gridCol w:w="835"/>
        <w:gridCol w:w="835"/>
        <w:gridCol w:w="835"/>
        <w:gridCol w:w="836"/>
      </w:tblGrid>
      <w:tr w:rsidR="004A7F3D" w:rsidRPr="00A63FCF" w14:paraId="61412026" w14:textId="77777777" w:rsidTr="00450397">
        <w:trPr>
          <w:trHeight w:val="260"/>
        </w:trPr>
        <w:tc>
          <w:tcPr>
            <w:tcW w:w="2361" w:type="dxa"/>
            <w:vMerge w:val="restart"/>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55E930FA" w14:textId="03A4120C" w:rsidR="004A7F3D" w:rsidRPr="00A63FCF" w:rsidRDefault="004A7F3D" w:rsidP="0063160E">
            <w:pPr>
              <w:spacing w:after="0" w:line="240" w:lineRule="auto"/>
            </w:pPr>
            <w:r w:rsidRPr="00A63FCF">
              <w:t xml:space="preserve">Fixed </w:t>
            </w:r>
            <w:r w:rsidR="00EB3EDE">
              <w:t>s</w:t>
            </w:r>
            <w:r w:rsidRPr="00A63FCF">
              <w:t xml:space="preserve">ervices / </w:t>
            </w:r>
            <w:r w:rsidR="00EB3EDE">
              <w:t>n</w:t>
            </w:r>
            <w:r w:rsidRPr="00A63FCF">
              <w:t>umber of assignments</w:t>
            </w:r>
          </w:p>
        </w:tc>
        <w:tc>
          <w:tcPr>
            <w:tcW w:w="6498" w:type="dxa"/>
            <w:gridSpan w:val="8"/>
            <w:tcBorders>
              <w:top w:val="single" w:sz="4" w:space="0" w:color="auto"/>
              <w:left w:val="nil"/>
              <w:bottom w:val="single" w:sz="4" w:space="0" w:color="auto"/>
              <w:right w:val="single" w:sz="4" w:space="0" w:color="auto"/>
            </w:tcBorders>
            <w:shd w:val="clear" w:color="auto" w:fill="000000" w:themeFill="text1"/>
            <w:noWrap/>
            <w:vAlign w:val="center"/>
            <w:hideMark/>
          </w:tcPr>
          <w:p w14:paraId="6E08C381" w14:textId="77777777" w:rsidR="004A7F3D" w:rsidRPr="00A63FCF" w:rsidRDefault="004A7F3D" w:rsidP="0063160E">
            <w:pPr>
              <w:spacing w:after="0" w:line="240" w:lineRule="auto"/>
              <w:jc w:val="center"/>
            </w:pPr>
            <w:r w:rsidRPr="00A63FCF">
              <w:t>Year</w:t>
            </w:r>
          </w:p>
        </w:tc>
      </w:tr>
      <w:tr w:rsidR="00750B8F" w:rsidRPr="00A63FCF" w14:paraId="156638D6" w14:textId="77777777" w:rsidTr="00450397">
        <w:trPr>
          <w:trHeight w:val="260"/>
        </w:trPr>
        <w:tc>
          <w:tcPr>
            <w:tcW w:w="2361" w:type="dxa"/>
            <w:vMerge/>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1A7B4E6A" w14:textId="77777777" w:rsidR="004A7F3D" w:rsidRPr="00A63FCF" w:rsidRDefault="004A7F3D" w:rsidP="0063160E">
            <w:pPr>
              <w:spacing w:after="0" w:line="240" w:lineRule="auto"/>
            </w:pPr>
          </w:p>
        </w:tc>
        <w:tc>
          <w:tcPr>
            <w:tcW w:w="646" w:type="dxa"/>
            <w:tcBorders>
              <w:top w:val="nil"/>
              <w:left w:val="nil"/>
              <w:bottom w:val="single" w:sz="4" w:space="0" w:color="auto"/>
              <w:right w:val="single" w:sz="4" w:space="0" w:color="auto"/>
            </w:tcBorders>
            <w:shd w:val="clear" w:color="auto" w:fill="000000" w:themeFill="text1"/>
            <w:noWrap/>
            <w:vAlign w:val="bottom"/>
            <w:hideMark/>
          </w:tcPr>
          <w:p w14:paraId="077BEE9C" w14:textId="77777777" w:rsidR="004A7F3D" w:rsidRPr="00A63FCF" w:rsidRDefault="004A7F3D" w:rsidP="0063160E">
            <w:pPr>
              <w:spacing w:after="0" w:line="240" w:lineRule="auto"/>
              <w:jc w:val="right"/>
            </w:pPr>
            <w:r w:rsidRPr="00A63FCF">
              <w:t>2015</w:t>
            </w:r>
          </w:p>
        </w:tc>
        <w:tc>
          <w:tcPr>
            <w:tcW w:w="835" w:type="dxa"/>
            <w:tcBorders>
              <w:top w:val="nil"/>
              <w:left w:val="nil"/>
              <w:bottom w:val="single" w:sz="4" w:space="0" w:color="auto"/>
              <w:right w:val="single" w:sz="4" w:space="0" w:color="auto"/>
            </w:tcBorders>
            <w:shd w:val="clear" w:color="auto" w:fill="000000" w:themeFill="text1"/>
            <w:noWrap/>
            <w:vAlign w:val="bottom"/>
            <w:hideMark/>
          </w:tcPr>
          <w:p w14:paraId="387D8FB1" w14:textId="77777777" w:rsidR="004A7F3D" w:rsidRPr="00A63FCF" w:rsidRDefault="004A7F3D" w:rsidP="0063160E">
            <w:pPr>
              <w:spacing w:after="0" w:line="240" w:lineRule="auto"/>
              <w:jc w:val="right"/>
            </w:pPr>
            <w:r w:rsidRPr="00A63FCF">
              <w:t>2016</w:t>
            </w:r>
          </w:p>
        </w:tc>
        <w:tc>
          <w:tcPr>
            <w:tcW w:w="835" w:type="dxa"/>
            <w:tcBorders>
              <w:top w:val="nil"/>
              <w:left w:val="nil"/>
              <w:bottom w:val="single" w:sz="4" w:space="0" w:color="auto"/>
              <w:right w:val="single" w:sz="4" w:space="0" w:color="auto"/>
            </w:tcBorders>
            <w:shd w:val="clear" w:color="auto" w:fill="000000" w:themeFill="text1"/>
            <w:noWrap/>
            <w:vAlign w:val="bottom"/>
            <w:hideMark/>
          </w:tcPr>
          <w:p w14:paraId="43FE5BE8" w14:textId="77777777" w:rsidR="004A7F3D" w:rsidRPr="00A63FCF" w:rsidRDefault="004A7F3D" w:rsidP="0063160E">
            <w:pPr>
              <w:spacing w:after="0" w:line="240" w:lineRule="auto"/>
              <w:jc w:val="right"/>
            </w:pPr>
            <w:r w:rsidRPr="00A63FCF">
              <w:t>2017</w:t>
            </w:r>
          </w:p>
        </w:tc>
        <w:tc>
          <w:tcPr>
            <w:tcW w:w="835" w:type="dxa"/>
            <w:tcBorders>
              <w:top w:val="nil"/>
              <w:left w:val="nil"/>
              <w:bottom w:val="single" w:sz="4" w:space="0" w:color="auto"/>
              <w:right w:val="single" w:sz="4" w:space="0" w:color="auto"/>
            </w:tcBorders>
            <w:shd w:val="clear" w:color="auto" w:fill="000000" w:themeFill="text1"/>
            <w:noWrap/>
            <w:vAlign w:val="bottom"/>
            <w:hideMark/>
          </w:tcPr>
          <w:p w14:paraId="1018AE9F" w14:textId="77777777" w:rsidR="004A7F3D" w:rsidRPr="00A63FCF" w:rsidRDefault="004A7F3D" w:rsidP="0063160E">
            <w:pPr>
              <w:spacing w:after="0" w:line="240" w:lineRule="auto"/>
              <w:jc w:val="right"/>
            </w:pPr>
            <w:r w:rsidRPr="00A63FCF">
              <w:t>2018</w:t>
            </w:r>
          </w:p>
        </w:tc>
        <w:tc>
          <w:tcPr>
            <w:tcW w:w="835" w:type="dxa"/>
            <w:tcBorders>
              <w:top w:val="nil"/>
              <w:left w:val="nil"/>
              <w:bottom w:val="single" w:sz="4" w:space="0" w:color="auto"/>
              <w:right w:val="single" w:sz="4" w:space="0" w:color="auto"/>
            </w:tcBorders>
            <w:shd w:val="clear" w:color="auto" w:fill="000000" w:themeFill="text1"/>
            <w:noWrap/>
            <w:vAlign w:val="bottom"/>
            <w:hideMark/>
          </w:tcPr>
          <w:p w14:paraId="1DEFCD59" w14:textId="77777777" w:rsidR="004A7F3D" w:rsidRPr="00A63FCF" w:rsidRDefault="004A7F3D" w:rsidP="0063160E">
            <w:pPr>
              <w:spacing w:after="0" w:line="240" w:lineRule="auto"/>
              <w:jc w:val="right"/>
            </w:pPr>
            <w:r w:rsidRPr="00A63FCF">
              <w:t>2019</w:t>
            </w:r>
          </w:p>
        </w:tc>
        <w:tc>
          <w:tcPr>
            <w:tcW w:w="835" w:type="dxa"/>
            <w:tcBorders>
              <w:top w:val="nil"/>
              <w:left w:val="nil"/>
              <w:bottom w:val="single" w:sz="4" w:space="0" w:color="auto"/>
              <w:right w:val="single" w:sz="4" w:space="0" w:color="auto"/>
            </w:tcBorders>
            <w:shd w:val="clear" w:color="auto" w:fill="000000" w:themeFill="text1"/>
            <w:noWrap/>
            <w:vAlign w:val="bottom"/>
            <w:hideMark/>
          </w:tcPr>
          <w:p w14:paraId="13A5A308" w14:textId="77777777" w:rsidR="004A7F3D" w:rsidRPr="00A63FCF" w:rsidRDefault="004A7F3D" w:rsidP="0063160E">
            <w:pPr>
              <w:spacing w:after="0" w:line="240" w:lineRule="auto"/>
              <w:jc w:val="right"/>
            </w:pPr>
            <w:r w:rsidRPr="00A63FCF">
              <w:t>2020</w:t>
            </w:r>
          </w:p>
        </w:tc>
        <w:tc>
          <w:tcPr>
            <w:tcW w:w="835" w:type="dxa"/>
            <w:tcBorders>
              <w:top w:val="nil"/>
              <w:left w:val="nil"/>
              <w:bottom w:val="single" w:sz="4" w:space="0" w:color="auto"/>
              <w:right w:val="single" w:sz="4" w:space="0" w:color="auto"/>
            </w:tcBorders>
            <w:shd w:val="clear" w:color="auto" w:fill="000000" w:themeFill="text1"/>
            <w:noWrap/>
            <w:vAlign w:val="bottom"/>
            <w:hideMark/>
          </w:tcPr>
          <w:p w14:paraId="546C1943" w14:textId="77777777" w:rsidR="004A7F3D" w:rsidRPr="00A63FCF" w:rsidRDefault="004A7F3D" w:rsidP="0063160E">
            <w:pPr>
              <w:spacing w:after="0" w:line="240" w:lineRule="auto"/>
              <w:jc w:val="right"/>
            </w:pPr>
            <w:r w:rsidRPr="00A63FCF">
              <w:t>2021</w:t>
            </w:r>
          </w:p>
        </w:tc>
        <w:tc>
          <w:tcPr>
            <w:tcW w:w="836" w:type="dxa"/>
            <w:tcBorders>
              <w:top w:val="nil"/>
              <w:left w:val="nil"/>
              <w:bottom w:val="single" w:sz="4" w:space="0" w:color="auto"/>
              <w:right w:val="single" w:sz="4" w:space="0" w:color="auto"/>
            </w:tcBorders>
            <w:shd w:val="clear" w:color="auto" w:fill="000000" w:themeFill="text1"/>
            <w:noWrap/>
            <w:vAlign w:val="bottom"/>
            <w:hideMark/>
          </w:tcPr>
          <w:p w14:paraId="5211F163" w14:textId="77777777" w:rsidR="004A7F3D" w:rsidRPr="00A63FCF" w:rsidRDefault="004A7F3D" w:rsidP="0063160E">
            <w:pPr>
              <w:spacing w:after="0" w:line="240" w:lineRule="auto"/>
              <w:jc w:val="right"/>
            </w:pPr>
            <w:r w:rsidRPr="00A63FCF">
              <w:t>2022</w:t>
            </w:r>
          </w:p>
        </w:tc>
      </w:tr>
      <w:tr w:rsidR="004A7F3D" w:rsidRPr="00A63FCF" w14:paraId="6DF86F01" w14:textId="77777777" w:rsidTr="0063160E">
        <w:trPr>
          <w:trHeight w:val="260"/>
        </w:trPr>
        <w:tc>
          <w:tcPr>
            <w:tcW w:w="2361" w:type="dxa"/>
            <w:tcBorders>
              <w:top w:val="nil"/>
              <w:left w:val="single" w:sz="4" w:space="0" w:color="auto"/>
              <w:bottom w:val="single" w:sz="4" w:space="0" w:color="auto"/>
              <w:right w:val="single" w:sz="4" w:space="0" w:color="auto"/>
            </w:tcBorders>
            <w:shd w:val="clear" w:color="auto" w:fill="auto"/>
            <w:noWrap/>
            <w:vAlign w:val="bottom"/>
            <w:hideMark/>
          </w:tcPr>
          <w:p w14:paraId="0D9F235E" w14:textId="48551B38"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sidRPr="00472529">
              <w:rPr>
                <w:rFonts w:cs="Arial"/>
                <w:color w:val="000000"/>
              </w:rPr>
              <w:t>m</w:t>
            </w:r>
            <w:r w:rsidRPr="00472529">
              <w:rPr>
                <w:rFonts w:cs="Arial"/>
                <w:color w:val="000000"/>
              </w:rPr>
              <w:t xml:space="preserve">ultipoint                               </w:t>
            </w:r>
          </w:p>
        </w:tc>
        <w:tc>
          <w:tcPr>
            <w:tcW w:w="646" w:type="dxa"/>
            <w:tcBorders>
              <w:top w:val="nil"/>
              <w:left w:val="nil"/>
              <w:bottom w:val="single" w:sz="4" w:space="0" w:color="auto"/>
              <w:right w:val="single" w:sz="4" w:space="0" w:color="auto"/>
            </w:tcBorders>
            <w:shd w:val="clear" w:color="auto" w:fill="auto"/>
            <w:noWrap/>
            <w:hideMark/>
          </w:tcPr>
          <w:p w14:paraId="2D1C746A" w14:textId="77777777" w:rsidR="004A7F3D" w:rsidRPr="00472529" w:rsidRDefault="004A7F3D" w:rsidP="0063160E">
            <w:pPr>
              <w:spacing w:after="0" w:line="240" w:lineRule="auto"/>
              <w:jc w:val="right"/>
              <w:rPr>
                <w:rFonts w:cs="Arial"/>
                <w:color w:val="000000"/>
              </w:rPr>
            </w:pPr>
            <w:r w:rsidRPr="0075616D">
              <w:rPr>
                <w:rFonts w:cs="Arial"/>
              </w:rPr>
              <w:t>0</w:t>
            </w:r>
          </w:p>
        </w:tc>
        <w:tc>
          <w:tcPr>
            <w:tcW w:w="835" w:type="dxa"/>
            <w:tcBorders>
              <w:top w:val="nil"/>
              <w:left w:val="nil"/>
              <w:bottom w:val="single" w:sz="4" w:space="0" w:color="auto"/>
              <w:right w:val="single" w:sz="4" w:space="0" w:color="auto"/>
            </w:tcBorders>
            <w:shd w:val="clear" w:color="auto" w:fill="auto"/>
            <w:noWrap/>
            <w:hideMark/>
          </w:tcPr>
          <w:p w14:paraId="37AAC0E1" w14:textId="77777777" w:rsidR="004A7F3D" w:rsidRPr="00472529" w:rsidRDefault="004A7F3D" w:rsidP="0063160E">
            <w:pPr>
              <w:spacing w:after="0" w:line="240" w:lineRule="auto"/>
              <w:jc w:val="right"/>
              <w:rPr>
                <w:rFonts w:cs="Arial"/>
                <w:color w:val="000000"/>
              </w:rPr>
            </w:pPr>
            <w:r w:rsidRPr="0075616D">
              <w:rPr>
                <w:rFonts w:cs="Arial"/>
              </w:rPr>
              <w:t>0</w:t>
            </w:r>
          </w:p>
        </w:tc>
        <w:tc>
          <w:tcPr>
            <w:tcW w:w="835" w:type="dxa"/>
            <w:tcBorders>
              <w:top w:val="nil"/>
              <w:left w:val="nil"/>
              <w:bottom w:val="single" w:sz="4" w:space="0" w:color="auto"/>
              <w:right w:val="single" w:sz="4" w:space="0" w:color="auto"/>
            </w:tcBorders>
            <w:shd w:val="clear" w:color="auto" w:fill="auto"/>
            <w:noWrap/>
            <w:hideMark/>
          </w:tcPr>
          <w:p w14:paraId="2CB63E52" w14:textId="77777777" w:rsidR="004A7F3D" w:rsidRPr="00472529" w:rsidRDefault="004A7F3D" w:rsidP="0063160E">
            <w:pPr>
              <w:spacing w:after="0" w:line="240" w:lineRule="auto"/>
              <w:jc w:val="right"/>
              <w:rPr>
                <w:rFonts w:cs="Arial"/>
                <w:color w:val="000000"/>
              </w:rPr>
            </w:pPr>
            <w:r w:rsidRPr="0075616D">
              <w:rPr>
                <w:rFonts w:cs="Arial"/>
              </w:rPr>
              <w:t>0</w:t>
            </w:r>
          </w:p>
        </w:tc>
        <w:tc>
          <w:tcPr>
            <w:tcW w:w="835" w:type="dxa"/>
            <w:tcBorders>
              <w:top w:val="nil"/>
              <w:left w:val="nil"/>
              <w:bottom w:val="single" w:sz="4" w:space="0" w:color="auto"/>
              <w:right w:val="single" w:sz="4" w:space="0" w:color="auto"/>
            </w:tcBorders>
            <w:shd w:val="clear" w:color="auto" w:fill="auto"/>
            <w:noWrap/>
            <w:hideMark/>
          </w:tcPr>
          <w:p w14:paraId="6681ADAC" w14:textId="77777777" w:rsidR="004A7F3D" w:rsidRPr="00472529" w:rsidRDefault="004A7F3D" w:rsidP="0063160E">
            <w:pPr>
              <w:spacing w:after="0" w:line="240" w:lineRule="auto"/>
              <w:jc w:val="right"/>
              <w:rPr>
                <w:rFonts w:cs="Arial"/>
                <w:color w:val="000000"/>
              </w:rPr>
            </w:pPr>
            <w:r w:rsidRPr="0075616D">
              <w:rPr>
                <w:rFonts w:cs="Arial"/>
              </w:rPr>
              <w:t>0</w:t>
            </w:r>
          </w:p>
        </w:tc>
        <w:tc>
          <w:tcPr>
            <w:tcW w:w="835" w:type="dxa"/>
            <w:tcBorders>
              <w:top w:val="nil"/>
              <w:left w:val="nil"/>
              <w:bottom w:val="single" w:sz="4" w:space="0" w:color="auto"/>
              <w:right w:val="single" w:sz="4" w:space="0" w:color="auto"/>
            </w:tcBorders>
            <w:shd w:val="clear" w:color="auto" w:fill="auto"/>
            <w:noWrap/>
            <w:hideMark/>
          </w:tcPr>
          <w:p w14:paraId="17F0902E" w14:textId="77777777" w:rsidR="004A7F3D" w:rsidRPr="00472529" w:rsidRDefault="004A7F3D" w:rsidP="0063160E">
            <w:pPr>
              <w:spacing w:after="0" w:line="240" w:lineRule="auto"/>
              <w:jc w:val="right"/>
              <w:rPr>
                <w:rFonts w:cs="Arial"/>
                <w:color w:val="000000"/>
              </w:rPr>
            </w:pPr>
            <w:r w:rsidRPr="0075616D">
              <w:rPr>
                <w:rFonts w:cs="Arial"/>
              </w:rPr>
              <w:t>0</w:t>
            </w:r>
          </w:p>
        </w:tc>
        <w:tc>
          <w:tcPr>
            <w:tcW w:w="835" w:type="dxa"/>
            <w:tcBorders>
              <w:top w:val="nil"/>
              <w:left w:val="nil"/>
              <w:bottom w:val="single" w:sz="4" w:space="0" w:color="auto"/>
              <w:right w:val="single" w:sz="4" w:space="0" w:color="auto"/>
            </w:tcBorders>
            <w:shd w:val="clear" w:color="auto" w:fill="auto"/>
            <w:noWrap/>
            <w:hideMark/>
          </w:tcPr>
          <w:p w14:paraId="02D7EF62" w14:textId="77777777" w:rsidR="004A7F3D" w:rsidRPr="00472529" w:rsidRDefault="004A7F3D" w:rsidP="0063160E">
            <w:pPr>
              <w:spacing w:after="0" w:line="240" w:lineRule="auto"/>
              <w:jc w:val="right"/>
              <w:rPr>
                <w:rFonts w:cs="Arial"/>
                <w:color w:val="000000"/>
              </w:rPr>
            </w:pPr>
            <w:r w:rsidRPr="0075616D">
              <w:rPr>
                <w:rFonts w:cs="Arial"/>
              </w:rPr>
              <w:t>0</w:t>
            </w:r>
          </w:p>
        </w:tc>
        <w:tc>
          <w:tcPr>
            <w:tcW w:w="835" w:type="dxa"/>
            <w:tcBorders>
              <w:top w:val="nil"/>
              <w:left w:val="nil"/>
              <w:bottom w:val="single" w:sz="4" w:space="0" w:color="auto"/>
              <w:right w:val="single" w:sz="4" w:space="0" w:color="auto"/>
            </w:tcBorders>
            <w:shd w:val="clear" w:color="auto" w:fill="auto"/>
            <w:noWrap/>
            <w:hideMark/>
          </w:tcPr>
          <w:p w14:paraId="31073EB2" w14:textId="77777777" w:rsidR="004A7F3D" w:rsidRPr="00472529" w:rsidRDefault="004A7F3D" w:rsidP="0063160E">
            <w:pPr>
              <w:spacing w:after="0" w:line="240" w:lineRule="auto"/>
              <w:jc w:val="right"/>
              <w:rPr>
                <w:rFonts w:cs="Arial"/>
                <w:color w:val="000000"/>
              </w:rPr>
            </w:pPr>
            <w:r w:rsidRPr="0075616D">
              <w:rPr>
                <w:rFonts w:cs="Arial"/>
              </w:rPr>
              <w:t>0</w:t>
            </w:r>
          </w:p>
        </w:tc>
        <w:tc>
          <w:tcPr>
            <w:tcW w:w="836" w:type="dxa"/>
            <w:tcBorders>
              <w:top w:val="nil"/>
              <w:left w:val="nil"/>
              <w:bottom w:val="single" w:sz="4" w:space="0" w:color="auto"/>
              <w:right w:val="single" w:sz="4" w:space="0" w:color="auto"/>
            </w:tcBorders>
            <w:shd w:val="clear" w:color="auto" w:fill="auto"/>
            <w:noWrap/>
            <w:hideMark/>
          </w:tcPr>
          <w:p w14:paraId="7DFD0010" w14:textId="77777777" w:rsidR="004A7F3D" w:rsidRPr="00472529" w:rsidRDefault="004A7F3D" w:rsidP="0063160E">
            <w:pPr>
              <w:spacing w:after="0" w:line="240" w:lineRule="auto"/>
              <w:jc w:val="right"/>
              <w:rPr>
                <w:rFonts w:cs="Arial"/>
                <w:color w:val="000000"/>
              </w:rPr>
            </w:pPr>
            <w:r w:rsidRPr="0075616D">
              <w:rPr>
                <w:rFonts w:cs="Arial"/>
              </w:rPr>
              <w:t>0</w:t>
            </w:r>
          </w:p>
        </w:tc>
      </w:tr>
      <w:tr w:rsidR="00750B8F" w:rsidRPr="00A63FCF" w14:paraId="1129C691" w14:textId="77777777" w:rsidTr="00450397">
        <w:trPr>
          <w:trHeight w:val="260"/>
        </w:trPr>
        <w:tc>
          <w:tcPr>
            <w:tcW w:w="2361"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14:paraId="6EC769AE" w14:textId="04020A6A" w:rsidR="004A7F3D" w:rsidRPr="00472529" w:rsidRDefault="004A7F3D" w:rsidP="0063160E">
            <w:pPr>
              <w:spacing w:after="0" w:line="240" w:lineRule="auto"/>
              <w:rPr>
                <w:rFonts w:cs="Arial"/>
                <w:color w:val="000000"/>
              </w:rPr>
            </w:pPr>
            <w:r w:rsidRPr="00472529">
              <w:rPr>
                <w:rFonts w:cs="Arial"/>
                <w:color w:val="000000"/>
              </w:rPr>
              <w:t xml:space="preserve">Point to </w:t>
            </w:r>
            <w:r w:rsidR="00EB3EDE" w:rsidRPr="00472529">
              <w:rPr>
                <w:rFonts w:cs="Arial"/>
                <w:color w:val="000000"/>
              </w:rPr>
              <w:t>p</w:t>
            </w:r>
            <w:r w:rsidRPr="00472529">
              <w:rPr>
                <w:rFonts w:cs="Arial"/>
                <w:color w:val="000000"/>
              </w:rPr>
              <w:t xml:space="preserve">oint                                    </w:t>
            </w:r>
          </w:p>
        </w:tc>
        <w:tc>
          <w:tcPr>
            <w:tcW w:w="646" w:type="dxa"/>
            <w:tcBorders>
              <w:top w:val="nil"/>
              <w:left w:val="nil"/>
              <w:bottom w:val="single" w:sz="4" w:space="0" w:color="auto"/>
              <w:right w:val="single" w:sz="4" w:space="0" w:color="auto"/>
            </w:tcBorders>
            <w:shd w:val="clear" w:color="auto" w:fill="D9D9D9" w:themeFill="background1" w:themeFillShade="D9"/>
            <w:noWrap/>
            <w:hideMark/>
          </w:tcPr>
          <w:p w14:paraId="732E1CD6" w14:textId="77777777" w:rsidR="004A7F3D" w:rsidRPr="00472529" w:rsidRDefault="004A7F3D" w:rsidP="0063160E">
            <w:pPr>
              <w:spacing w:after="0" w:line="240" w:lineRule="auto"/>
              <w:jc w:val="right"/>
              <w:rPr>
                <w:rFonts w:cs="Arial"/>
                <w:color w:val="000000"/>
              </w:rPr>
            </w:pPr>
            <w:r w:rsidRPr="0075616D">
              <w:rPr>
                <w:rFonts w:cs="Arial"/>
              </w:rPr>
              <w:t>80</w:t>
            </w:r>
          </w:p>
        </w:tc>
        <w:tc>
          <w:tcPr>
            <w:tcW w:w="835" w:type="dxa"/>
            <w:tcBorders>
              <w:top w:val="nil"/>
              <w:left w:val="nil"/>
              <w:bottom w:val="single" w:sz="4" w:space="0" w:color="auto"/>
              <w:right w:val="single" w:sz="4" w:space="0" w:color="auto"/>
            </w:tcBorders>
            <w:shd w:val="clear" w:color="auto" w:fill="D9D9D9" w:themeFill="background1" w:themeFillShade="D9"/>
            <w:noWrap/>
            <w:hideMark/>
          </w:tcPr>
          <w:p w14:paraId="4B153BD9" w14:textId="77777777" w:rsidR="004A7F3D" w:rsidRPr="00472529" w:rsidRDefault="004A7F3D" w:rsidP="0063160E">
            <w:pPr>
              <w:spacing w:after="0" w:line="240" w:lineRule="auto"/>
              <w:jc w:val="right"/>
              <w:rPr>
                <w:rFonts w:cs="Arial"/>
                <w:color w:val="000000"/>
              </w:rPr>
            </w:pPr>
            <w:r w:rsidRPr="0075616D">
              <w:rPr>
                <w:rFonts w:cs="Arial"/>
              </w:rPr>
              <w:t>80</w:t>
            </w:r>
          </w:p>
        </w:tc>
        <w:tc>
          <w:tcPr>
            <w:tcW w:w="835" w:type="dxa"/>
            <w:tcBorders>
              <w:top w:val="nil"/>
              <w:left w:val="nil"/>
              <w:bottom w:val="single" w:sz="4" w:space="0" w:color="auto"/>
              <w:right w:val="single" w:sz="4" w:space="0" w:color="auto"/>
            </w:tcBorders>
            <w:shd w:val="clear" w:color="auto" w:fill="D9D9D9" w:themeFill="background1" w:themeFillShade="D9"/>
            <w:noWrap/>
            <w:hideMark/>
          </w:tcPr>
          <w:p w14:paraId="08A5C249" w14:textId="77777777" w:rsidR="004A7F3D" w:rsidRPr="00472529" w:rsidRDefault="004A7F3D" w:rsidP="0063160E">
            <w:pPr>
              <w:spacing w:after="0" w:line="240" w:lineRule="auto"/>
              <w:jc w:val="right"/>
              <w:rPr>
                <w:rFonts w:cs="Arial"/>
                <w:color w:val="000000"/>
              </w:rPr>
            </w:pPr>
            <w:r w:rsidRPr="0075616D">
              <w:rPr>
                <w:rFonts w:cs="Arial"/>
              </w:rPr>
              <w:t>78</w:t>
            </w:r>
          </w:p>
        </w:tc>
        <w:tc>
          <w:tcPr>
            <w:tcW w:w="835" w:type="dxa"/>
            <w:tcBorders>
              <w:top w:val="nil"/>
              <w:left w:val="nil"/>
              <w:bottom w:val="single" w:sz="4" w:space="0" w:color="auto"/>
              <w:right w:val="single" w:sz="4" w:space="0" w:color="auto"/>
            </w:tcBorders>
            <w:shd w:val="clear" w:color="auto" w:fill="D9D9D9" w:themeFill="background1" w:themeFillShade="D9"/>
            <w:noWrap/>
            <w:hideMark/>
          </w:tcPr>
          <w:p w14:paraId="5A1B24D0" w14:textId="77777777" w:rsidR="004A7F3D" w:rsidRPr="00472529" w:rsidRDefault="004A7F3D" w:rsidP="0063160E">
            <w:pPr>
              <w:spacing w:after="0" w:line="240" w:lineRule="auto"/>
              <w:jc w:val="right"/>
              <w:rPr>
                <w:rFonts w:cs="Arial"/>
                <w:color w:val="000000"/>
              </w:rPr>
            </w:pPr>
            <w:r w:rsidRPr="0075616D">
              <w:rPr>
                <w:rFonts w:cs="Arial"/>
              </w:rPr>
              <w:t>72</w:t>
            </w:r>
          </w:p>
        </w:tc>
        <w:tc>
          <w:tcPr>
            <w:tcW w:w="835" w:type="dxa"/>
            <w:tcBorders>
              <w:top w:val="nil"/>
              <w:left w:val="nil"/>
              <w:bottom w:val="single" w:sz="4" w:space="0" w:color="auto"/>
              <w:right w:val="single" w:sz="4" w:space="0" w:color="auto"/>
            </w:tcBorders>
            <w:shd w:val="clear" w:color="auto" w:fill="D9D9D9" w:themeFill="background1" w:themeFillShade="D9"/>
            <w:noWrap/>
            <w:hideMark/>
          </w:tcPr>
          <w:p w14:paraId="5E60258A" w14:textId="77777777" w:rsidR="004A7F3D" w:rsidRPr="00472529" w:rsidRDefault="004A7F3D" w:rsidP="0063160E">
            <w:pPr>
              <w:spacing w:after="0" w:line="240" w:lineRule="auto"/>
              <w:jc w:val="right"/>
              <w:rPr>
                <w:rFonts w:cs="Arial"/>
                <w:color w:val="000000"/>
              </w:rPr>
            </w:pPr>
            <w:r w:rsidRPr="0075616D">
              <w:rPr>
                <w:rFonts w:cs="Arial"/>
              </w:rPr>
              <w:t>58</w:t>
            </w:r>
          </w:p>
        </w:tc>
        <w:tc>
          <w:tcPr>
            <w:tcW w:w="835" w:type="dxa"/>
            <w:tcBorders>
              <w:top w:val="nil"/>
              <w:left w:val="nil"/>
              <w:bottom w:val="single" w:sz="4" w:space="0" w:color="auto"/>
              <w:right w:val="single" w:sz="4" w:space="0" w:color="auto"/>
            </w:tcBorders>
            <w:shd w:val="clear" w:color="auto" w:fill="D9D9D9" w:themeFill="background1" w:themeFillShade="D9"/>
            <w:noWrap/>
            <w:hideMark/>
          </w:tcPr>
          <w:p w14:paraId="298D0124" w14:textId="77777777" w:rsidR="004A7F3D" w:rsidRPr="00472529" w:rsidRDefault="004A7F3D" w:rsidP="0063160E">
            <w:pPr>
              <w:spacing w:after="0" w:line="240" w:lineRule="auto"/>
              <w:jc w:val="right"/>
              <w:rPr>
                <w:rFonts w:cs="Arial"/>
                <w:color w:val="000000"/>
              </w:rPr>
            </w:pPr>
            <w:r w:rsidRPr="0075616D">
              <w:rPr>
                <w:rFonts w:cs="Arial"/>
              </w:rPr>
              <w:t>54</w:t>
            </w:r>
          </w:p>
        </w:tc>
        <w:tc>
          <w:tcPr>
            <w:tcW w:w="835" w:type="dxa"/>
            <w:tcBorders>
              <w:top w:val="nil"/>
              <w:left w:val="nil"/>
              <w:bottom w:val="single" w:sz="4" w:space="0" w:color="auto"/>
              <w:right w:val="single" w:sz="4" w:space="0" w:color="auto"/>
            </w:tcBorders>
            <w:shd w:val="clear" w:color="auto" w:fill="D9D9D9" w:themeFill="background1" w:themeFillShade="D9"/>
            <w:noWrap/>
            <w:hideMark/>
          </w:tcPr>
          <w:p w14:paraId="21718C09" w14:textId="77777777" w:rsidR="004A7F3D" w:rsidRPr="00472529" w:rsidRDefault="004A7F3D" w:rsidP="0063160E">
            <w:pPr>
              <w:spacing w:after="0" w:line="240" w:lineRule="auto"/>
              <w:jc w:val="right"/>
              <w:rPr>
                <w:rFonts w:cs="Arial"/>
                <w:color w:val="000000"/>
              </w:rPr>
            </w:pPr>
            <w:r w:rsidRPr="0075616D">
              <w:rPr>
                <w:rFonts w:cs="Arial"/>
              </w:rPr>
              <w:t>54</w:t>
            </w:r>
          </w:p>
        </w:tc>
        <w:tc>
          <w:tcPr>
            <w:tcW w:w="836" w:type="dxa"/>
            <w:tcBorders>
              <w:top w:val="nil"/>
              <w:left w:val="nil"/>
              <w:bottom w:val="single" w:sz="4" w:space="0" w:color="auto"/>
              <w:right w:val="single" w:sz="4" w:space="0" w:color="auto"/>
            </w:tcBorders>
            <w:shd w:val="clear" w:color="auto" w:fill="D9D9D9" w:themeFill="background1" w:themeFillShade="D9"/>
            <w:noWrap/>
            <w:hideMark/>
          </w:tcPr>
          <w:p w14:paraId="1C15F376" w14:textId="77777777" w:rsidR="004A7F3D" w:rsidRPr="00472529" w:rsidRDefault="004A7F3D" w:rsidP="0063160E">
            <w:pPr>
              <w:spacing w:after="0" w:line="240" w:lineRule="auto"/>
              <w:jc w:val="right"/>
              <w:rPr>
                <w:rFonts w:cs="Arial"/>
                <w:color w:val="000000"/>
              </w:rPr>
            </w:pPr>
            <w:r w:rsidRPr="0075616D">
              <w:rPr>
                <w:rFonts w:cs="Arial"/>
              </w:rPr>
              <w:t>50</w:t>
            </w:r>
          </w:p>
        </w:tc>
      </w:tr>
    </w:tbl>
    <w:p w14:paraId="3FCE1F09" w14:textId="4A47C83B" w:rsidR="004A7F3D" w:rsidRDefault="004A7F3D" w:rsidP="004A7F3D">
      <w:pPr>
        <w:pStyle w:val="ListBullet"/>
        <w:keepLines w:val="0"/>
        <w:numPr>
          <w:ilvl w:val="0"/>
          <w:numId w:val="0"/>
        </w:numPr>
        <w:ind w:left="295" w:hanging="295"/>
      </w:pPr>
    </w:p>
    <w:p w14:paraId="3ED9578D" w14:textId="77B0D300" w:rsidR="001C6362" w:rsidRDefault="001C6362" w:rsidP="004A7F3D">
      <w:pPr>
        <w:pStyle w:val="ListBullet"/>
        <w:keepLines w:val="0"/>
        <w:numPr>
          <w:ilvl w:val="0"/>
          <w:numId w:val="0"/>
        </w:numPr>
        <w:ind w:left="295" w:hanging="295"/>
      </w:pPr>
    </w:p>
    <w:p w14:paraId="2349A7DB" w14:textId="7E834489" w:rsidR="00D41966" w:rsidRDefault="00D41966" w:rsidP="00BE29EE">
      <w:pPr>
        <w:pStyle w:val="Heading1"/>
      </w:pPr>
      <w:bookmarkStart w:id="237" w:name="_Appendix_D:_FSS"/>
      <w:bookmarkStart w:id="238" w:name="_Appendix_C:_Geographical"/>
      <w:bookmarkStart w:id="239" w:name="_Toc5000090"/>
      <w:bookmarkStart w:id="240" w:name="_Ref40264484"/>
      <w:bookmarkStart w:id="241" w:name="_Toc117870144"/>
      <w:bookmarkStart w:id="242" w:name="_Toc118785134"/>
      <w:bookmarkStart w:id="243" w:name="_Toc120600068"/>
      <w:bookmarkEnd w:id="237"/>
      <w:bookmarkEnd w:id="238"/>
      <w:r w:rsidRPr="00BE29EE">
        <w:lastRenderedPageBreak/>
        <w:t xml:space="preserve">Appendix </w:t>
      </w:r>
      <w:r w:rsidR="00871AD2">
        <w:t>C</w:t>
      </w:r>
      <w:r w:rsidRPr="00BE29EE">
        <w:t>: Geographical area descriptions</w:t>
      </w:r>
      <w:bookmarkEnd w:id="239"/>
      <w:bookmarkEnd w:id="240"/>
      <w:bookmarkEnd w:id="241"/>
      <w:bookmarkEnd w:id="242"/>
      <w:bookmarkEnd w:id="243"/>
    </w:p>
    <w:p w14:paraId="744B838F" w14:textId="071A75A8" w:rsidR="004A7F3D" w:rsidRPr="00576242" w:rsidRDefault="00EB3EDE" w:rsidP="001A3E27">
      <w:pPr>
        <w:pStyle w:val="Paragraphbeforelist"/>
      </w:pPr>
      <w:r>
        <w:t xml:space="preserve">We have </w:t>
      </w:r>
      <w:r w:rsidR="004A7F3D" w:rsidRPr="00576242">
        <w:t>defined geographical areas to assist in the analysis of use of</w:t>
      </w:r>
      <w:r>
        <w:t xml:space="preserve"> –</w:t>
      </w:r>
      <w:r w:rsidR="004A7F3D" w:rsidRPr="00576242">
        <w:t xml:space="preserve"> and potential future use scenarios for</w:t>
      </w:r>
      <w:r>
        <w:t xml:space="preserve"> –</w:t>
      </w:r>
      <w:r w:rsidR="004A7F3D" w:rsidRPr="00576242">
        <w:t xml:space="preserve"> the 1880</w:t>
      </w:r>
      <w:r>
        <w:t>–</w:t>
      </w:r>
      <w:r w:rsidR="004A7F3D" w:rsidRPr="00576242">
        <w:t>1920 MHz band</w:t>
      </w:r>
      <w:r w:rsidR="004A7F3D">
        <w:t xml:space="preserve"> </w:t>
      </w:r>
      <w:r>
        <w:t>(</w:t>
      </w:r>
      <w:r w:rsidR="004A7F3D">
        <w:t xml:space="preserve">see Table </w:t>
      </w:r>
      <w:r w:rsidR="007717C9">
        <w:t>10</w:t>
      </w:r>
      <w:r>
        <w:t>)</w:t>
      </w:r>
      <w:r w:rsidR="004A7F3D" w:rsidRPr="00576242">
        <w:t>. A brief description of each follows:</w:t>
      </w:r>
    </w:p>
    <w:p w14:paraId="1002E815" w14:textId="1D2071FE" w:rsidR="004A7F3D" w:rsidRPr="00576242" w:rsidRDefault="004A7F3D" w:rsidP="004A7F3D">
      <w:pPr>
        <w:pStyle w:val="ListBullet"/>
        <w:keepLines w:val="0"/>
        <w:rPr>
          <w:rFonts w:cs="Arial"/>
          <w:szCs w:val="20"/>
        </w:rPr>
      </w:pPr>
      <w:r w:rsidRPr="00576242">
        <w:rPr>
          <w:rFonts w:cs="Arial"/>
          <w:szCs w:val="20"/>
        </w:rPr>
        <w:t>Metropolitan</w:t>
      </w:r>
      <w:r w:rsidR="00EB3EDE">
        <w:rPr>
          <w:rFonts w:cs="Arial"/>
          <w:szCs w:val="20"/>
        </w:rPr>
        <w:t xml:space="preserve">: </w:t>
      </w:r>
      <w:r w:rsidRPr="00576242">
        <w:rPr>
          <w:rFonts w:cs="Arial"/>
          <w:szCs w:val="20"/>
        </w:rPr>
        <w:t xml:space="preserve">covers all capital cities (except Darwin and Hobart). </w:t>
      </w:r>
    </w:p>
    <w:p w14:paraId="5A8E2D18" w14:textId="5D8C2358" w:rsidR="004A7F3D" w:rsidRPr="00576242" w:rsidRDefault="004A7F3D" w:rsidP="004A7F3D">
      <w:pPr>
        <w:pStyle w:val="ListBullet"/>
        <w:keepLines w:val="0"/>
        <w:rPr>
          <w:rFonts w:cs="Arial"/>
          <w:szCs w:val="20"/>
        </w:rPr>
      </w:pPr>
      <w:r w:rsidRPr="00576242">
        <w:rPr>
          <w:rFonts w:cs="Arial"/>
          <w:szCs w:val="20"/>
        </w:rPr>
        <w:t>Regional</w:t>
      </w:r>
      <w:r w:rsidR="00EB3EDE">
        <w:rPr>
          <w:rFonts w:cs="Arial"/>
          <w:szCs w:val="20"/>
        </w:rPr>
        <w:t>:</w:t>
      </w:r>
      <w:r w:rsidRPr="00576242">
        <w:rPr>
          <w:rFonts w:cs="Arial"/>
          <w:szCs w:val="20"/>
        </w:rPr>
        <w:t xml:space="preserve"> as defined in HCIS description of areas</w:t>
      </w:r>
      <w:r w:rsidR="00EB3EDE">
        <w:rPr>
          <w:rFonts w:cs="Arial"/>
          <w:szCs w:val="20"/>
        </w:rPr>
        <w:t>.</w:t>
      </w:r>
    </w:p>
    <w:p w14:paraId="1B64C5CA" w14:textId="2ABF15E4" w:rsidR="004A7F3D" w:rsidRPr="00576242" w:rsidRDefault="004A7F3D" w:rsidP="004A7F3D">
      <w:pPr>
        <w:pStyle w:val="ListBullet"/>
        <w:keepLines w:val="0"/>
        <w:rPr>
          <w:rFonts w:cs="Arial"/>
          <w:szCs w:val="20"/>
        </w:rPr>
      </w:pPr>
      <w:r w:rsidRPr="00576242">
        <w:rPr>
          <w:rFonts w:cs="Arial"/>
          <w:szCs w:val="20"/>
        </w:rPr>
        <w:t>Remote</w:t>
      </w:r>
      <w:r w:rsidR="00EB3EDE">
        <w:rPr>
          <w:rFonts w:cs="Arial"/>
          <w:szCs w:val="20"/>
        </w:rPr>
        <w:t xml:space="preserve">: </w:t>
      </w:r>
      <w:r w:rsidRPr="00576242">
        <w:rPr>
          <w:rFonts w:cs="Arial"/>
          <w:szCs w:val="20"/>
        </w:rPr>
        <w:t xml:space="preserve">includes those areas of Australia not covered by metropolitan and </w:t>
      </w:r>
      <w:r w:rsidR="00EB3EDE">
        <w:rPr>
          <w:rFonts w:cs="Arial"/>
          <w:szCs w:val="20"/>
        </w:rPr>
        <w:t>r</w:t>
      </w:r>
      <w:r w:rsidRPr="00576242">
        <w:rPr>
          <w:rFonts w:cs="Arial"/>
          <w:szCs w:val="20"/>
        </w:rPr>
        <w:t xml:space="preserve">egional areas. </w:t>
      </w:r>
    </w:p>
    <w:p w14:paraId="0404A895" w14:textId="7FB79FBF" w:rsidR="004A7F3D" w:rsidRPr="00576242" w:rsidRDefault="004A7F3D" w:rsidP="001A3E27">
      <w:pPr>
        <w:pStyle w:val="Bulletlevel1last"/>
      </w:pPr>
      <w:r w:rsidRPr="00576242">
        <w:t>Australia-wide</w:t>
      </w:r>
      <w:r w:rsidR="00EB3EDE">
        <w:t xml:space="preserve">: </w:t>
      </w:r>
      <w:r w:rsidRPr="00576242">
        <w:t>covers all of Australia but excludes Australian external territories.</w:t>
      </w:r>
    </w:p>
    <w:p w14:paraId="41C41992" w14:textId="77777777" w:rsidR="004A7F3D" w:rsidRPr="00576242" w:rsidRDefault="004A7F3D" w:rsidP="004A7F3D">
      <w:pPr>
        <w:keepLines w:val="0"/>
        <w:rPr>
          <w:rFonts w:cs="Arial"/>
          <w:szCs w:val="20"/>
        </w:rPr>
      </w:pPr>
      <w:r w:rsidRPr="00576242">
        <w:rPr>
          <w:rFonts w:cs="Arial"/>
          <w:szCs w:val="20"/>
        </w:rPr>
        <w:t xml:space="preserve">The Australian Spectrum Map Grid (ASMG) is used to define geographical areas over which spectrum licences are issued. The Hierarchical Cell Identification Scheme (HCIS) is a naming convention developed by the ACMA that applies unique ‘names’ to each of the cells that make up the ASMG. The ASMG and HCIS are described in detail in the document </w:t>
      </w:r>
      <w:hyperlink r:id="rId63" w:history="1">
        <w:r w:rsidRPr="00576242">
          <w:rPr>
            <w:rStyle w:val="Hyperlink"/>
            <w:rFonts w:cs="Arial"/>
            <w:i/>
            <w:szCs w:val="20"/>
          </w:rPr>
          <w:t>The Australian spectrum map grid 2012</w:t>
        </w:r>
      </w:hyperlink>
      <w:r w:rsidRPr="00576242">
        <w:rPr>
          <w:rFonts w:cs="Arial"/>
          <w:szCs w:val="20"/>
        </w:rPr>
        <w:t>.</w:t>
      </w:r>
    </w:p>
    <w:p w14:paraId="1B15CDC8" w14:textId="64AAC423" w:rsidR="004A7F3D" w:rsidRPr="00576242" w:rsidRDefault="004A7F3D" w:rsidP="004A7F3D">
      <w:pPr>
        <w:keepLines w:val="0"/>
        <w:rPr>
          <w:rStyle w:val="Hyperlink"/>
          <w:rFonts w:cs="Arial"/>
          <w:szCs w:val="20"/>
        </w:rPr>
      </w:pPr>
      <w:bookmarkStart w:id="244" w:name="_Hlk105062473"/>
      <w:r w:rsidRPr="00576242">
        <w:rPr>
          <w:rFonts w:cs="Arial"/>
          <w:szCs w:val="20"/>
        </w:rPr>
        <w:t xml:space="preserve">The HCIS coordinates </w:t>
      </w:r>
      <w:bookmarkEnd w:id="244"/>
      <w:r w:rsidRPr="00576242">
        <w:rPr>
          <w:rFonts w:cs="Arial"/>
          <w:szCs w:val="20"/>
        </w:rPr>
        <w:t xml:space="preserve">can be converted into a Placemark file (viewable in Google Earth) through a facility on the </w:t>
      </w:r>
      <w:hyperlink r:id="rId64" w:history="1">
        <w:r w:rsidRPr="00576242">
          <w:rPr>
            <w:rStyle w:val="Hyperlink"/>
            <w:rFonts w:cs="Arial"/>
            <w:i/>
            <w:iCs/>
            <w:szCs w:val="20"/>
          </w:rPr>
          <w:t>Convert HCIS area description to Placemark</w:t>
        </w:r>
      </w:hyperlink>
      <w:r w:rsidRPr="00576242">
        <w:rPr>
          <w:rFonts w:cs="Arial"/>
          <w:szCs w:val="20"/>
        </w:rPr>
        <w:t xml:space="preserve"> facility on the ACMA website.</w:t>
      </w:r>
    </w:p>
    <w:p w14:paraId="2E844008" w14:textId="77777777" w:rsidR="004A7F3D" w:rsidRPr="003428AC" w:rsidRDefault="004A7F3D" w:rsidP="004A7F3D">
      <w:pPr>
        <w:keepLines w:val="0"/>
        <w:rPr>
          <w:rFonts w:cs="Arial"/>
          <w:szCs w:val="20"/>
        </w:rPr>
      </w:pPr>
    </w:p>
    <w:p w14:paraId="22994C99" w14:textId="77777777" w:rsidR="004A7F3D" w:rsidRPr="003428AC" w:rsidRDefault="004A7F3D" w:rsidP="00303364">
      <w:pPr>
        <w:pStyle w:val="Tableheading"/>
      </w:pPr>
      <w:r w:rsidRPr="003428AC">
        <w:t>HCIS description of areas</w:t>
      </w:r>
    </w:p>
    <w:tbl>
      <w:tblPr>
        <w:tblStyle w:val="TableGrid"/>
        <w:tblW w:w="9495" w:type="dxa"/>
        <w:tblLayout w:type="fixed"/>
        <w:tblLook w:val="04A0" w:firstRow="1" w:lastRow="0" w:firstColumn="1" w:lastColumn="0" w:noHBand="0" w:noVBand="1"/>
      </w:tblPr>
      <w:tblGrid>
        <w:gridCol w:w="1130"/>
        <w:gridCol w:w="1460"/>
        <w:gridCol w:w="6905"/>
      </w:tblGrid>
      <w:tr w:rsidR="004A7F3D" w:rsidRPr="003428AC" w14:paraId="5F7E00C3" w14:textId="77777777" w:rsidTr="00450397">
        <w:trPr>
          <w:cantSplit/>
          <w:tblHeader/>
        </w:trPr>
        <w:tc>
          <w:tcPr>
            <w:tcW w:w="1130" w:type="dxa"/>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6E1C4D51" w14:textId="77777777" w:rsidR="004A7F3D" w:rsidRPr="003428AC" w:rsidRDefault="004A7F3D" w:rsidP="00450397">
            <w:pPr>
              <w:pStyle w:val="Tableheaderrow"/>
              <w:jc w:val="center"/>
            </w:pPr>
            <w:r w:rsidRPr="003428AC">
              <w:t>Area</w:t>
            </w:r>
          </w:p>
        </w:tc>
        <w:tc>
          <w:tcPr>
            <w:tcW w:w="1460" w:type="dxa"/>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4ECEFE0F" w14:textId="77777777" w:rsidR="004A7F3D" w:rsidRPr="003428AC" w:rsidRDefault="004A7F3D" w:rsidP="00450397">
            <w:pPr>
              <w:pStyle w:val="Tableheaderrow"/>
              <w:jc w:val="center"/>
            </w:pPr>
            <w:r w:rsidRPr="003428AC">
              <w:t>Sub-area name</w:t>
            </w:r>
          </w:p>
        </w:tc>
        <w:tc>
          <w:tcPr>
            <w:tcW w:w="6905" w:type="dxa"/>
            <w:tcBorders>
              <w:top w:val="single" w:sz="4" w:space="0" w:color="auto"/>
              <w:left w:val="single" w:sz="4" w:space="0" w:color="auto"/>
              <w:bottom w:val="single" w:sz="4" w:space="0" w:color="auto"/>
              <w:right w:val="single" w:sz="4" w:space="0" w:color="auto"/>
            </w:tcBorders>
            <w:shd w:val="clear" w:color="auto" w:fill="000000" w:themeFill="text1"/>
            <w:vAlign w:val="center"/>
            <w:hideMark/>
          </w:tcPr>
          <w:p w14:paraId="75F552FF" w14:textId="77777777" w:rsidR="004A7F3D" w:rsidRPr="003428AC" w:rsidRDefault="004A7F3D" w:rsidP="00450397">
            <w:pPr>
              <w:pStyle w:val="Tableheaderrow"/>
              <w:jc w:val="center"/>
            </w:pPr>
            <w:r w:rsidRPr="003428AC">
              <w:t>HCIS</w:t>
            </w:r>
          </w:p>
        </w:tc>
      </w:tr>
      <w:tr w:rsidR="004A7F3D" w:rsidRPr="003428AC" w14:paraId="76E70800" w14:textId="77777777" w:rsidTr="0063160E">
        <w:trPr>
          <w:cantSplit/>
        </w:trPr>
        <w:tc>
          <w:tcPr>
            <w:tcW w:w="1130" w:type="dxa"/>
            <w:vMerge w:val="restart"/>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14:paraId="7FF02A0E" w14:textId="77777777" w:rsidR="004A7F3D" w:rsidRPr="003428AC" w:rsidRDefault="004A7F3D" w:rsidP="0063160E">
            <w:pPr>
              <w:pStyle w:val="TableBody"/>
              <w:keepLines w:val="0"/>
              <w:rPr>
                <w:rFonts w:cs="Arial"/>
              </w:rPr>
            </w:pPr>
            <w:r w:rsidRPr="003428AC">
              <w:rPr>
                <w:rFonts w:cs="Arial"/>
              </w:rPr>
              <w:t>Metropolitan</w:t>
            </w:r>
          </w:p>
        </w:tc>
        <w:tc>
          <w:tcPr>
            <w:tcW w:w="1460" w:type="dxa"/>
            <w:tcBorders>
              <w:top w:val="single" w:sz="4" w:space="0" w:color="auto"/>
              <w:left w:val="single" w:sz="4" w:space="0" w:color="auto"/>
              <w:bottom w:val="single" w:sz="4" w:space="0" w:color="auto"/>
              <w:right w:val="single" w:sz="4" w:space="0" w:color="auto"/>
            </w:tcBorders>
            <w:hideMark/>
          </w:tcPr>
          <w:p w14:paraId="3B8A4689" w14:textId="77777777" w:rsidR="004A7F3D" w:rsidRPr="003428AC" w:rsidRDefault="004A7F3D" w:rsidP="0063160E">
            <w:pPr>
              <w:pStyle w:val="TableBody"/>
              <w:keepLines w:val="0"/>
              <w:rPr>
                <w:rFonts w:cs="Arial"/>
              </w:rPr>
            </w:pPr>
            <w:r w:rsidRPr="003428AC">
              <w:rPr>
                <w:rFonts w:cs="Arial"/>
              </w:rPr>
              <w:t xml:space="preserve">Adelaide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42C0BB87" w14:textId="77777777" w:rsidR="004A7F3D" w:rsidRPr="003428AC" w:rsidRDefault="004A7F3D" w:rsidP="0063160E">
            <w:pPr>
              <w:pStyle w:val="TableBody"/>
              <w:keepLines w:val="0"/>
              <w:rPr>
                <w:rFonts w:cs="Arial"/>
              </w:rPr>
            </w:pPr>
            <w:r w:rsidRPr="003428AC">
              <w:rPr>
                <w:rFonts w:cs="Arial"/>
              </w:rPr>
              <w:t>IW3J,IW3K,IW3L,IW3N,IW3O,IW3P,IW6B,IW6C,IW6D,IW6F,IW6G,IW6H,IW3E5,IW3E6,IW3E8,IW3E9,IW3F4,IW3F5,IW3F6,IW3F7,IW3F8,IW3F9,IW3G4,IW3G5,IW3G6,IW3G7,IW3G8,IW3G9,IW3H4,IW3H5,IW3H6,IW3H7,IW3H8,IW3H9,IW3I2,IW3I3,IW3I5,IW3I6,IW3I8,IW3I9,IW3M2,IW3M3,IW3M5,IW3M6,IW3M8,IW3M9,IW6A2,IW6A3,IW6A5,IW6A6,IW6A8,IW6A9,IW6E2,IW6E3,IW6E5,IW6E6,IW6E8,IW6E9,JW1E4,JW1E7,JW1I1,JW1I4,JW1I7,JW1M1,JW1M4</w:t>
            </w:r>
          </w:p>
        </w:tc>
      </w:tr>
      <w:tr w:rsidR="004A7F3D" w:rsidRPr="003428AC" w14:paraId="1D931765" w14:textId="77777777" w:rsidTr="0063160E">
        <w:trPr>
          <w:cantSplit/>
        </w:trPr>
        <w:tc>
          <w:tcPr>
            <w:tcW w:w="1130" w:type="dxa"/>
            <w:vMerge/>
            <w:tcBorders>
              <w:top w:val="single" w:sz="4" w:space="0" w:color="auto"/>
              <w:left w:val="single" w:sz="4" w:space="0" w:color="auto"/>
              <w:bottom w:val="single" w:sz="4" w:space="0" w:color="auto"/>
              <w:right w:val="single" w:sz="4" w:space="0" w:color="auto"/>
            </w:tcBorders>
            <w:vAlign w:val="center"/>
            <w:hideMark/>
          </w:tcPr>
          <w:p w14:paraId="182ADFAA" w14:textId="77777777" w:rsidR="004A7F3D" w:rsidRPr="003428AC" w:rsidRDefault="004A7F3D" w:rsidP="0063160E">
            <w:pPr>
              <w:keepLines w:val="0"/>
              <w:rPr>
                <w:rFonts w:cs="Arial"/>
              </w:rPr>
            </w:pPr>
          </w:p>
        </w:tc>
        <w:tc>
          <w:tcPr>
            <w:tcW w:w="1460" w:type="dxa"/>
            <w:tcBorders>
              <w:top w:val="single" w:sz="4" w:space="0" w:color="auto"/>
              <w:left w:val="single" w:sz="4" w:space="0" w:color="auto"/>
              <w:bottom w:val="single" w:sz="4" w:space="0" w:color="auto"/>
              <w:right w:val="single" w:sz="4" w:space="0" w:color="auto"/>
            </w:tcBorders>
            <w:hideMark/>
          </w:tcPr>
          <w:p w14:paraId="3FD33362" w14:textId="77777777" w:rsidR="004A7F3D" w:rsidRPr="003428AC" w:rsidRDefault="004A7F3D" w:rsidP="0063160E">
            <w:pPr>
              <w:pStyle w:val="TableBody"/>
              <w:keepLines w:val="0"/>
              <w:rPr>
                <w:rFonts w:cs="Arial"/>
              </w:rPr>
            </w:pPr>
            <w:r w:rsidRPr="003428AC">
              <w:rPr>
                <w:rFonts w:cs="Arial"/>
              </w:rPr>
              <w:t xml:space="preserve">Brisbane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2466FA0A" w14:textId="77777777" w:rsidR="004A7F3D" w:rsidRPr="003428AC" w:rsidRDefault="004A7F3D" w:rsidP="0063160E">
            <w:pPr>
              <w:pStyle w:val="TableBody"/>
              <w:keepLines w:val="0"/>
              <w:rPr>
                <w:rFonts w:cs="Arial"/>
              </w:rPr>
            </w:pPr>
            <w:r w:rsidRPr="003428AC">
              <w:rPr>
                <w:rFonts w:cs="Arial"/>
              </w:rPr>
              <w:t>NT9,NT8C,NT8D,NT8G,NT8H,NT8K,NT8L,NT8O,NT8P,NU3A,NU3B,NU3C,NU3D,NU3F,NU3G,NU3H,NT5O4,NT5O5,NT5O6,NT5O7,NT5O8,NT5O9,NT5P4,NT5P5,NT5P6,NT5P7,NT5P8,NT5P9,NT6M4,NT6M5,NT6M6,NT6M7,NT6M8,NT6M9,NT6N4,NT6N5,NT6N6,NT6N7,NT6N8,NT6N9,NT6O4,NT6O5,NT6O6,NT6O7,NT6O8,NT6O9,NT6P4,NT6P5,NT6P6,NT6P7,NT6P8,NT6P9,NU2C1,NU2C2,NU2C3,NU2D1,NU2D2,NU2D3,NU2D5,NU2D6,NU2D8,NU2D9,NU2H2,NU2H3,NU3E1,NU3E2,NU3E3,NU3E5,NU3E6,NU3E8,NU3E9,NU3I2,NU3I3,NU3J1,NU3J2,NU3J3,NU3K1,NU3K2,NU3K3,NU3L1,NU3L2,NU3L3</w:t>
            </w:r>
          </w:p>
        </w:tc>
      </w:tr>
      <w:tr w:rsidR="004A7F3D" w:rsidRPr="003428AC" w14:paraId="0F370498" w14:textId="77777777" w:rsidTr="0063160E">
        <w:trPr>
          <w:cantSplit/>
        </w:trPr>
        <w:tc>
          <w:tcPr>
            <w:tcW w:w="1130" w:type="dxa"/>
            <w:vMerge/>
            <w:tcBorders>
              <w:top w:val="single" w:sz="4" w:space="0" w:color="auto"/>
              <w:left w:val="single" w:sz="4" w:space="0" w:color="auto"/>
              <w:bottom w:val="single" w:sz="4" w:space="0" w:color="auto"/>
              <w:right w:val="single" w:sz="4" w:space="0" w:color="auto"/>
            </w:tcBorders>
            <w:vAlign w:val="center"/>
            <w:hideMark/>
          </w:tcPr>
          <w:p w14:paraId="2EF5354A" w14:textId="77777777" w:rsidR="004A7F3D" w:rsidRPr="003428AC" w:rsidRDefault="004A7F3D" w:rsidP="0063160E">
            <w:pPr>
              <w:keepLines w:val="0"/>
              <w:rPr>
                <w:rFonts w:cs="Arial"/>
              </w:rPr>
            </w:pPr>
          </w:p>
        </w:tc>
        <w:tc>
          <w:tcPr>
            <w:tcW w:w="1460" w:type="dxa"/>
            <w:tcBorders>
              <w:top w:val="single" w:sz="4" w:space="0" w:color="auto"/>
              <w:left w:val="single" w:sz="4" w:space="0" w:color="auto"/>
              <w:bottom w:val="single" w:sz="4" w:space="0" w:color="auto"/>
              <w:right w:val="single" w:sz="4" w:space="0" w:color="auto"/>
            </w:tcBorders>
            <w:hideMark/>
          </w:tcPr>
          <w:p w14:paraId="100A292F" w14:textId="77777777" w:rsidR="004A7F3D" w:rsidRPr="003428AC" w:rsidRDefault="004A7F3D" w:rsidP="0063160E">
            <w:pPr>
              <w:pStyle w:val="TableBody"/>
              <w:keepLines w:val="0"/>
              <w:rPr>
                <w:rFonts w:cs="Arial"/>
              </w:rPr>
            </w:pPr>
            <w:r w:rsidRPr="003428AC">
              <w:rPr>
                <w:rFonts w:cs="Arial"/>
              </w:rPr>
              <w:t>Canberra</w:t>
            </w:r>
          </w:p>
        </w:tc>
        <w:tc>
          <w:tcPr>
            <w:tcW w:w="6905" w:type="dxa"/>
            <w:tcBorders>
              <w:top w:val="single" w:sz="4" w:space="0" w:color="auto"/>
              <w:left w:val="single" w:sz="4" w:space="0" w:color="auto"/>
              <w:bottom w:val="single" w:sz="4" w:space="0" w:color="auto"/>
              <w:right w:val="single" w:sz="4" w:space="0" w:color="auto"/>
            </w:tcBorders>
            <w:vAlign w:val="bottom"/>
            <w:hideMark/>
          </w:tcPr>
          <w:p w14:paraId="70DAA69F" w14:textId="77777777" w:rsidR="004A7F3D" w:rsidRPr="003428AC" w:rsidRDefault="004A7F3D" w:rsidP="0063160E">
            <w:pPr>
              <w:pStyle w:val="TableBody"/>
              <w:keepLines w:val="0"/>
              <w:rPr>
                <w:rFonts w:cs="Arial"/>
              </w:rPr>
            </w:pPr>
            <w:r w:rsidRPr="003428AC">
              <w:rPr>
                <w:rFonts w:cs="Arial"/>
              </w:rPr>
              <w:t>MW4D,MW4H,MW4L,MW5A,MW5B,MW5E,MW5F,MW5I,MW5J,MW1P4,MW1P5,MW1P6,MW1P7,MW1P8,MW1P9,MW2M4,MW2M5,MW2M6,MW2M7,MW2M8,MW2M9,MW2N4,MW2N5,MW2N6,MW2N7,MW2N8,MW2N9,MW4P1,MW4P2,MW4P3,MW5M1,MW5M2,MW5M3,MW5N1,MW5N2,MW5N3</w:t>
            </w:r>
          </w:p>
        </w:tc>
      </w:tr>
      <w:tr w:rsidR="004A7F3D" w:rsidRPr="003428AC" w14:paraId="7A63F1E7" w14:textId="77777777" w:rsidTr="0063160E">
        <w:trPr>
          <w:cantSplit/>
          <w:trHeight w:val="1772"/>
        </w:trPr>
        <w:tc>
          <w:tcPr>
            <w:tcW w:w="1130" w:type="dxa"/>
            <w:vMerge/>
            <w:tcBorders>
              <w:top w:val="single" w:sz="4" w:space="0" w:color="auto"/>
              <w:left w:val="single" w:sz="4" w:space="0" w:color="auto"/>
              <w:bottom w:val="single" w:sz="4" w:space="0" w:color="auto"/>
              <w:right w:val="single" w:sz="4" w:space="0" w:color="auto"/>
            </w:tcBorders>
            <w:vAlign w:val="center"/>
            <w:hideMark/>
          </w:tcPr>
          <w:p w14:paraId="4CB8052C" w14:textId="77777777" w:rsidR="004A7F3D" w:rsidRPr="003428AC" w:rsidRDefault="004A7F3D" w:rsidP="0063160E">
            <w:pPr>
              <w:keepLines w:val="0"/>
              <w:rPr>
                <w:rFonts w:cs="Arial"/>
              </w:rPr>
            </w:pPr>
          </w:p>
        </w:tc>
        <w:tc>
          <w:tcPr>
            <w:tcW w:w="1460" w:type="dxa"/>
            <w:tcBorders>
              <w:top w:val="single" w:sz="4" w:space="0" w:color="auto"/>
              <w:left w:val="single" w:sz="4" w:space="0" w:color="auto"/>
              <w:bottom w:val="single" w:sz="4" w:space="0" w:color="auto"/>
              <w:right w:val="single" w:sz="4" w:space="0" w:color="auto"/>
            </w:tcBorders>
            <w:hideMark/>
          </w:tcPr>
          <w:p w14:paraId="4AAB4D8A" w14:textId="77777777" w:rsidR="004A7F3D" w:rsidRPr="003428AC" w:rsidRDefault="004A7F3D" w:rsidP="0063160E">
            <w:pPr>
              <w:pStyle w:val="TableBody"/>
              <w:keepLines w:val="0"/>
              <w:rPr>
                <w:rFonts w:cs="Arial"/>
              </w:rPr>
            </w:pPr>
            <w:r w:rsidRPr="003428AC">
              <w:rPr>
                <w:rFonts w:cs="Arial"/>
              </w:rPr>
              <w:t xml:space="preserve">Melbourne </w:t>
            </w:r>
          </w:p>
        </w:tc>
        <w:tc>
          <w:tcPr>
            <w:tcW w:w="6905" w:type="dxa"/>
            <w:tcBorders>
              <w:top w:val="single" w:sz="4" w:space="0" w:color="auto"/>
              <w:left w:val="single" w:sz="4" w:space="0" w:color="auto"/>
              <w:bottom w:val="single" w:sz="4" w:space="0" w:color="auto"/>
              <w:right w:val="single" w:sz="4" w:space="0" w:color="auto"/>
            </w:tcBorders>
            <w:hideMark/>
          </w:tcPr>
          <w:p w14:paraId="28CA77D5" w14:textId="5BCA3EED" w:rsidR="004A7F3D" w:rsidRPr="003428AC" w:rsidRDefault="004A7F3D" w:rsidP="0063160E">
            <w:pPr>
              <w:pStyle w:val="TableBody"/>
              <w:keepLines w:val="0"/>
              <w:rPr>
                <w:rFonts w:cs="Arial"/>
              </w:rPr>
            </w:pPr>
            <w:r w:rsidRPr="003428AC">
              <w:rPr>
                <w:rFonts w:cs="Arial"/>
              </w:rPr>
              <w:t>KX3J,KX3K,KX3L,KX3N,KX3O,KX3P,KX6A,KX6B,KX6C,KX6D,KX6E,</w:t>
            </w:r>
            <w:r w:rsidR="00CD762A">
              <w:rPr>
                <w:rFonts w:cs="Arial"/>
              </w:rPr>
              <w:br/>
            </w:r>
            <w:r w:rsidRPr="003428AC">
              <w:rPr>
                <w:rFonts w:cs="Arial"/>
              </w:rPr>
              <w:t>KX6F,KX6G,KX6H,KX6I,KX6J,KX6K,KX6L,LX1I,LX1M,LX1N,LX1O,LX4A,</w:t>
            </w:r>
            <w:r w:rsidR="00CD762A">
              <w:rPr>
                <w:rFonts w:cs="Arial"/>
              </w:rPr>
              <w:br/>
            </w:r>
            <w:r w:rsidRPr="003428AC">
              <w:rPr>
                <w:rFonts w:cs="Arial"/>
              </w:rPr>
              <w:t>LX4B,LX4C,LX4E,LX4I,KX3E9,KX3F5,KX3F6,KX3F7,KX3F8,KX3F9,</w:t>
            </w:r>
            <w:r w:rsidR="00CD762A">
              <w:rPr>
                <w:rFonts w:cs="Arial"/>
              </w:rPr>
              <w:br/>
            </w:r>
            <w:r w:rsidRPr="003428AC">
              <w:rPr>
                <w:rFonts w:cs="Arial"/>
              </w:rPr>
              <w:t>KX3G1,KX3G2,KX3G4,KX3G5,KX3G6,KX3G7,KX3G8,KX3G9,KX3H4,</w:t>
            </w:r>
            <w:r w:rsidR="00CD762A">
              <w:rPr>
                <w:rFonts w:cs="Arial"/>
              </w:rPr>
              <w:br/>
            </w:r>
            <w:r w:rsidRPr="003428AC">
              <w:rPr>
                <w:rFonts w:cs="Arial"/>
              </w:rPr>
              <w:t>KX3H5,KX3H6,KX3H7,KX3H8,KX3H9,KX3I3,KX3I6,KX3I8,KX3I9,KX3M2,KX3M3,KX3M4,KX3M5,KX3M6,KX3M7,KX3M8,KX3M9,LX1E4,LX1E7,</w:t>
            </w:r>
            <w:r w:rsidR="00CD762A">
              <w:rPr>
                <w:rFonts w:cs="Arial"/>
              </w:rPr>
              <w:br/>
            </w:r>
            <w:r w:rsidRPr="003428AC">
              <w:rPr>
                <w:rFonts w:cs="Arial"/>
              </w:rPr>
              <w:t>LX1E8,LX1E9,LX1J1,LX1J4,LX1J5,LX1J6,LX1J7,LX1J8,LX1J9,LX1K4,</w:t>
            </w:r>
            <w:r w:rsidR="00CD762A">
              <w:rPr>
                <w:rFonts w:cs="Arial"/>
              </w:rPr>
              <w:br/>
            </w:r>
            <w:r w:rsidRPr="003428AC">
              <w:rPr>
                <w:rFonts w:cs="Arial"/>
              </w:rPr>
              <w:t>LX1K7,LX4F1,LX4F2,LX4F4,LX4F5,LX4F7,LX4F8,LX4J1,LX4J2,LX4J4,</w:t>
            </w:r>
            <w:r w:rsidR="00CD762A">
              <w:rPr>
                <w:rFonts w:cs="Arial"/>
              </w:rPr>
              <w:br/>
            </w:r>
            <w:r w:rsidRPr="003428AC">
              <w:rPr>
                <w:rFonts w:cs="Arial"/>
              </w:rPr>
              <w:t>LX4J5,LX4J7,LX4J8</w:t>
            </w:r>
          </w:p>
        </w:tc>
      </w:tr>
      <w:tr w:rsidR="004A7F3D" w:rsidRPr="003428AC" w14:paraId="2754BED5" w14:textId="77777777" w:rsidTr="0063160E">
        <w:trPr>
          <w:cantSplit/>
        </w:trPr>
        <w:tc>
          <w:tcPr>
            <w:tcW w:w="1130" w:type="dxa"/>
            <w:vMerge/>
            <w:tcBorders>
              <w:top w:val="single" w:sz="4" w:space="0" w:color="auto"/>
              <w:left w:val="single" w:sz="4" w:space="0" w:color="auto"/>
              <w:bottom w:val="single" w:sz="4" w:space="0" w:color="auto"/>
              <w:right w:val="single" w:sz="4" w:space="0" w:color="auto"/>
            </w:tcBorders>
            <w:vAlign w:val="center"/>
            <w:hideMark/>
          </w:tcPr>
          <w:p w14:paraId="67442EB7" w14:textId="77777777" w:rsidR="004A7F3D" w:rsidRPr="003428AC" w:rsidRDefault="004A7F3D" w:rsidP="0063160E">
            <w:pPr>
              <w:keepLines w:val="0"/>
              <w:rPr>
                <w:rFonts w:cs="Arial"/>
              </w:rPr>
            </w:pPr>
          </w:p>
        </w:tc>
        <w:tc>
          <w:tcPr>
            <w:tcW w:w="1460" w:type="dxa"/>
            <w:tcBorders>
              <w:top w:val="single" w:sz="4" w:space="0" w:color="auto"/>
              <w:left w:val="single" w:sz="4" w:space="0" w:color="auto"/>
              <w:bottom w:val="single" w:sz="4" w:space="0" w:color="auto"/>
              <w:right w:val="single" w:sz="4" w:space="0" w:color="auto"/>
            </w:tcBorders>
            <w:hideMark/>
          </w:tcPr>
          <w:p w14:paraId="3DC10FCD" w14:textId="77777777" w:rsidR="004A7F3D" w:rsidRPr="003428AC" w:rsidRDefault="004A7F3D" w:rsidP="0063160E">
            <w:pPr>
              <w:pStyle w:val="TableBody"/>
              <w:keepLines w:val="0"/>
              <w:rPr>
                <w:rFonts w:cs="Arial"/>
              </w:rPr>
            </w:pPr>
            <w:r w:rsidRPr="003428AC">
              <w:rPr>
                <w:rFonts w:cs="Arial"/>
              </w:rPr>
              <w:t xml:space="preserve">Perth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328805D6" w14:textId="0FAD2E4D" w:rsidR="004A7F3D" w:rsidRPr="003428AC" w:rsidRDefault="004A7F3D" w:rsidP="0063160E">
            <w:pPr>
              <w:pStyle w:val="TableBody"/>
              <w:keepLines w:val="0"/>
              <w:rPr>
                <w:rFonts w:cs="Arial"/>
              </w:rPr>
            </w:pPr>
            <w:r w:rsidRPr="003428AC">
              <w:rPr>
                <w:rFonts w:cs="Arial"/>
              </w:rPr>
              <w:t>BV1I,BV1J,BV1K,BV1L,BV1M,BV1N,BV1O,BV1P,BV2I,BV2J,BV2M,BV2N,BV4A,BV4B,BV4C,BV4D,BV4E,BV4F,BV4G,BV4H,BV4I,BV4J,BV4K,</w:t>
            </w:r>
            <w:r w:rsidR="00CD762A">
              <w:rPr>
                <w:rFonts w:cs="Arial"/>
              </w:rPr>
              <w:br/>
            </w:r>
            <w:r w:rsidRPr="003428AC">
              <w:rPr>
                <w:rFonts w:cs="Arial"/>
              </w:rPr>
              <w:t>BV4L,BV5A,BV5B,BV5E,BV5F,BV5I,BV5J,BV1E7,BV1E8,BV1E9,BV1F7,</w:t>
            </w:r>
            <w:r w:rsidR="00CD762A">
              <w:rPr>
                <w:rFonts w:cs="Arial"/>
              </w:rPr>
              <w:br/>
            </w:r>
            <w:r w:rsidRPr="003428AC">
              <w:rPr>
                <w:rFonts w:cs="Arial"/>
              </w:rPr>
              <w:t>BV1F8,BV1F9,BV1G7,BV1G8,BV1G9,BV1H7,BV1H8,BV1H9,BV2E7,</w:t>
            </w:r>
            <w:r w:rsidR="00CD762A">
              <w:rPr>
                <w:rFonts w:cs="Arial"/>
              </w:rPr>
              <w:br/>
            </w:r>
            <w:r w:rsidRPr="003428AC">
              <w:rPr>
                <w:rFonts w:cs="Arial"/>
              </w:rPr>
              <w:t>BV2E8,BV2E9,BV2F7,BV2F8,BV2F9,BV4M1,BV4M2,BV4M3,BV4N1,</w:t>
            </w:r>
            <w:r w:rsidR="00CD762A">
              <w:rPr>
                <w:rFonts w:cs="Arial"/>
              </w:rPr>
              <w:br/>
            </w:r>
            <w:r w:rsidRPr="003428AC">
              <w:rPr>
                <w:rFonts w:cs="Arial"/>
              </w:rPr>
              <w:t>BV4N2,BV4N3,BV4O1,BV4O2,BV4O3,BV4P1,BV4P2,BV4P3,BV5M1,</w:t>
            </w:r>
            <w:r w:rsidR="00CD762A">
              <w:rPr>
                <w:rFonts w:cs="Arial"/>
              </w:rPr>
              <w:br/>
            </w:r>
            <w:r w:rsidRPr="003428AC">
              <w:rPr>
                <w:rFonts w:cs="Arial"/>
              </w:rPr>
              <w:t>BV5M2,BV5M3,BV5N1,BV5N2,BV5N3</w:t>
            </w:r>
          </w:p>
        </w:tc>
      </w:tr>
      <w:tr w:rsidR="004A7F3D" w:rsidRPr="003428AC" w14:paraId="705E5448" w14:textId="77777777" w:rsidTr="0063160E">
        <w:trPr>
          <w:cantSplit/>
        </w:trPr>
        <w:tc>
          <w:tcPr>
            <w:tcW w:w="1130" w:type="dxa"/>
            <w:vMerge/>
            <w:tcBorders>
              <w:top w:val="single" w:sz="4" w:space="0" w:color="auto"/>
              <w:left w:val="single" w:sz="4" w:space="0" w:color="auto"/>
              <w:bottom w:val="single" w:sz="4" w:space="0" w:color="auto"/>
              <w:right w:val="single" w:sz="4" w:space="0" w:color="auto"/>
            </w:tcBorders>
            <w:vAlign w:val="center"/>
            <w:hideMark/>
          </w:tcPr>
          <w:p w14:paraId="7929ADEB" w14:textId="77777777" w:rsidR="004A7F3D" w:rsidRPr="003428AC" w:rsidRDefault="004A7F3D" w:rsidP="0063160E">
            <w:pPr>
              <w:keepLines w:val="0"/>
              <w:rPr>
                <w:rFonts w:cs="Arial"/>
              </w:rPr>
            </w:pPr>
          </w:p>
        </w:tc>
        <w:tc>
          <w:tcPr>
            <w:tcW w:w="1460" w:type="dxa"/>
            <w:tcBorders>
              <w:top w:val="single" w:sz="4" w:space="0" w:color="auto"/>
              <w:left w:val="single" w:sz="4" w:space="0" w:color="auto"/>
              <w:bottom w:val="single" w:sz="4" w:space="0" w:color="auto"/>
              <w:right w:val="single" w:sz="4" w:space="0" w:color="auto"/>
            </w:tcBorders>
            <w:hideMark/>
          </w:tcPr>
          <w:p w14:paraId="4F020795" w14:textId="77777777" w:rsidR="004A7F3D" w:rsidRPr="003428AC" w:rsidRDefault="004A7F3D" w:rsidP="0063160E">
            <w:pPr>
              <w:pStyle w:val="TableBody"/>
              <w:keepLines w:val="0"/>
              <w:rPr>
                <w:rFonts w:cs="Arial"/>
              </w:rPr>
            </w:pPr>
            <w:r w:rsidRPr="003428AC">
              <w:rPr>
                <w:rFonts w:cs="Arial"/>
              </w:rPr>
              <w:t xml:space="preserve">Sydney </w:t>
            </w:r>
          </w:p>
        </w:tc>
        <w:tc>
          <w:tcPr>
            <w:tcW w:w="6905" w:type="dxa"/>
            <w:tcBorders>
              <w:top w:val="single" w:sz="4" w:space="0" w:color="auto"/>
              <w:left w:val="single" w:sz="4" w:space="0" w:color="auto"/>
              <w:bottom w:val="single" w:sz="4" w:space="0" w:color="auto"/>
              <w:right w:val="single" w:sz="4" w:space="0" w:color="auto"/>
            </w:tcBorders>
            <w:vAlign w:val="center"/>
            <w:hideMark/>
          </w:tcPr>
          <w:p w14:paraId="1BE9B8AC" w14:textId="30C78B38" w:rsidR="004A7F3D" w:rsidRPr="003428AC" w:rsidRDefault="004A7F3D" w:rsidP="0063160E">
            <w:pPr>
              <w:pStyle w:val="TableBody"/>
              <w:keepLines w:val="0"/>
              <w:rPr>
                <w:rFonts w:cs="Arial"/>
              </w:rPr>
            </w:pPr>
            <w:r w:rsidRPr="003428AC">
              <w:rPr>
                <w:rFonts w:cs="Arial"/>
              </w:rPr>
              <w:t>MV9I,MV9J,MV9K,MV9L,MV9M,MV9N,MV9O,MV9P,MW3C,MW3D,</w:t>
            </w:r>
            <w:r w:rsidR="00CD762A">
              <w:rPr>
                <w:rFonts w:cs="Arial"/>
              </w:rPr>
              <w:br/>
            </w:r>
            <w:r w:rsidRPr="003428AC">
              <w:rPr>
                <w:rFonts w:cs="Arial"/>
              </w:rPr>
              <w:t>MW3G,MW3H,MW3K,MW3L,NV4N,NV4O,NV4P,NV5M,NV5N,NV5O,</w:t>
            </w:r>
            <w:r w:rsidR="00CD762A">
              <w:rPr>
                <w:rFonts w:cs="Arial"/>
              </w:rPr>
              <w:br/>
            </w:r>
            <w:r w:rsidRPr="003428AC">
              <w:rPr>
                <w:rFonts w:cs="Arial"/>
              </w:rPr>
              <w:t>NV5P,NV7B,NV7C,NV7D,NV7E,NV7F,NV7G,NV7H,NV7I,NV7J,NV7K,</w:t>
            </w:r>
            <w:r w:rsidR="00CD762A">
              <w:rPr>
                <w:rFonts w:cs="Arial"/>
              </w:rPr>
              <w:br/>
            </w:r>
            <w:r w:rsidRPr="003428AC">
              <w:rPr>
                <w:rFonts w:cs="Arial"/>
              </w:rPr>
              <w:t>NV7L,NV7M,NV7N,NV7O,NV7P,NW1A,NW1B,NW1C,NW1D,NW1E,</w:t>
            </w:r>
            <w:r w:rsidR="00CD762A">
              <w:rPr>
                <w:rFonts w:cs="Arial"/>
              </w:rPr>
              <w:br/>
            </w:r>
            <w:r w:rsidRPr="003428AC">
              <w:rPr>
                <w:rFonts w:cs="Arial"/>
              </w:rPr>
              <w:t>NW1F,NW1G,NW1H,NW1I,NW1J,NW1K,NW1L,MV9D6,MV9D9,MV9E4,</w:t>
            </w:r>
            <w:r w:rsidR="00CD762A">
              <w:rPr>
                <w:rFonts w:cs="Arial"/>
              </w:rPr>
              <w:br/>
            </w:r>
            <w:r w:rsidRPr="003428AC">
              <w:rPr>
                <w:rFonts w:cs="Arial"/>
              </w:rPr>
              <w:t>MV9E5,MV9E6,MV9E7,MV9E8,MV9E9,MV9F4,MV9F5,MV9F6,MV9F7,</w:t>
            </w:r>
            <w:r w:rsidR="00CD762A">
              <w:rPr>
                <w:rFonts w:cs="Arial"/>
              </w:rPr>
              <w:br/>
            </w:r>
            <w:r w:rsidRPr="003428AC">
              <w:rPr>
                <w:rFonts w:cs="Arial"/>
              </w:rPr>
              <w:t>MV9F8,MV9F9,MV9G4,MV9G5,MV9G6,MV9G7,MV9G8,MV9G9,MV9H3,MV9H4,MV9H5,MV9H6,MV9H7,MV9H8,MV9H9,MW3B2,MW3B3,MW3B5,MW3B6,MW3B8,MW3B9,MW3F2,MW3F3,MW3F5,MW3F6,MW3F8,</w:t>
            </w:r>
            <w:r w:rsidR="00CD762A">
              <w:rPr>
                <w:rFonts w:cs="Arial"/>
              </w:rPr>
              <w:br/>
            </w:r>
            <w:r w:rsidRPr="003428AC">
              <w:rPr>
                <w:rFonts w:cs="Arial"/>
              </w:rPr>
              <w:t>MW3F9,MW3J2,MW3J3,MW3O1,MW3O2,MW3O3,MW3P1,MW3P2,</w:t>
            </w:r>
            <w:r w:rsidR="00CD762A">
              <w:rPr>
                <w:rFonts w:cs="Arial"/>
              </w:rPr>
              <w:br/>
            </w:r>
            <w:r w:rsidRPr="003428AC">
              <w:rPr>
                <w:rFonts w:cs="Arial"/>
              </w:rPr>
              <w:t>MW3P3,NV4I5,NV4I6,NV4I8,NV4I9,NV4J4,NV4J5,NV4J6,NV4J7,NV4J8,</w:t>
            </w:r>
            <w:r w:rsidR="00CD762A">
              <w:rPr>
                <w:rFonts w:cs="Arial"/>
              </w:rPr>
              <w:br/>
            </w:r>
            <w:r w:rsidRPr="003428AC">
              <w:rPr>
                <w:rFonts w:cs="Arial"/>
              </w:rPr>
              <w:t>NV4J9,NV4K4,NV4K5,NV4K6,NV4K7,NV4K8,NV4K9,NV4L4,NV4L5,</w:t>
            </w:r>
            <w:r w:rsidR="00CD762A">
              <w:rPr>
                <w:rFonts w:cs="Arial"/>
              </w:rPr>
              <w:br/>
            </w:r>
            <w:r w:rsidRPr="003428AC">
              <w:rPr>
                <w:rFonts w:cs="Arial"/>
              </w:rPr>
              <w:t>NV4L6,NV4L7,NV4L8,NV4L9,NV4M2,NV4M3,NV4M5,NV4M6,NV4M8,</w:t>
            </w:r>
            <w:r w:rsidR="00CD762A">
              <w:rPr>
                <w:rFonts w:cs="Arial"/>
              </w:rPr>
              <w:br/>
            </w:r>
            <w:r w:rsidRPr="003428AC">
              <w:rPr>
                <w:rFonts w:cs="Arial"/>
              </w:rPr>
              <w:t>NV4M9,NV5I4,NV5I5,NV5I6,NV5I7,NV5I8,NV5I9,NV5J4,NV5J5,NV5J6,</w:t>
            </w:r>
            <w:r w:rsidR="00CD762A">
              <w:rPr>
                <w:rFonts w:cs="Arial"/>
              </w:rPr>
              <w:br/>
            </w:r>
            <w:r w:rsidRPr="003428AC">
              <w:rPr>
                <w:rFonts w:cs="Arial"/>
              </w:rPr>
              <w:t>NV5J7,NV5J8,NV5J9,NV5K4,NV5K5,NV5K6,NV5K7,NV5K8,NV5K9,</w:t>
            </w:r>
            <w:r w:rsidR="00CD762A">
              <w:rPr>
                <w:rFonts w:cs="Arial"/>
              </w:rPr>
              <w:br/>
            </w:r>
            <w:r w:rsidRPr="003428AC">
              <w:rPr>
                <w:rFonts w:cs="Arial"/>
              </w:rPr>
              <w:t>NV5L4,NV5L5,NV5L6,NV5L7,NV5L8,NV5L9,NV7A2,NV7A3,NV7A4,</w:t>
            </w:r>
            <w:r w:rsidR="00CD762A">
              <w:rPr>
                <w:rFonts w:cs="Arial"/>
              </w:rPr>
              <w:br/>
            </w:r>
            <w:r w:rsidRPr="003428AC">
              <w:rPr>
                <w:rFonts w:cs="Arial"/>
              </w:rPr>
              <w:t>NV7A5,NV7A6,NV7A7,NV7A8,NV7A9,NW1M1,NW1M2,NW1M3,NW1N1,</w:t>
            </w:r>
            <w:r w:rsidR="00CD762A">
              <w:rPr>
                <w:rFonts w:cs="Arial"/>
              </w:rPr>
              <w:br/>
            </w:r>
            <w:r w:rsidRPr="003428AC">
              <w:rPr>
                <w:rFonts w:cs="Arial"/>
              </w:rPr>
              <w:t>NW1N2,NW1N3,NW1O1,NW1O2,NW1O3,NW1P1,NW1P2,NW1P3</w:t>
            </w:r>
          </w:p>
        </w:tc>
      </w:tr>
      <w:tr w:rsidR="004A7F3D" w:rsidRPr="003428AC" w14:paraId="55D290BC" w14:textId="77777777" w:rsidTr="0063160E">
        <w:tc>
          <w:tcPr>
            <w:tcW w:w="1130" w:type="dxa"/>
            <w:hideMark/>
          </w:tcPr>
          <w:p w14:paraId="6DD43807" w14:textId="77777777" w:rsidR="004A7F3D" w:rsidRPr="003428AC" w:rsidRDefault="004A7F3D" w:rsidP="0063160E">
            <w:pPr>
              <w:pStyle w:val="TableBody"/>
              <w:keepLines w:val="0"/>
              <w:rPr>
                <w:rFonts w:cs="Arial"/>
              </w:rPr>
            </w:pPr>
            <w:r w:rsidRPr="003428AC">
              <w:rPr>
                <w:rFonts w:cs="Arial"/>
              </w:rPr>
              <w:t>Regional</w:t>
            </w:r>
          </w:p>
        </w:tc>
        <w:tc>
          <w:tcPr>
            <w:tcW w:w="1460" w:type="dxa"/>
            <w:hideMark/>
          </w:tcPr>
          <w:p w14:paraId="017657B6" w14:textId="77777777" w:rsidR="004A7F3D" w:rsidRPr="003428AC" w:rsidRDefault="004A7F3D" w:rsidP="0063160E">
            <w:pPr>
              <w:pStyle w:val="TableBody"/>
              <w:keepLines w:val="0"/>
              <w:rPr>
                <w:rFonts w:cs="Arial"/>
              </w:rPr>
            </w:pPr>
            <w:r w:rsidRPr="003428AC">
              <w:rPr>
                <w:rFonts w:cs="Arial"/>
              </w:rPr>
              <w:t>-</w:t>
            </w:r>
          </w:p>
        </w:tc>
        <w:tc>
          <w:tcPr>
            <w:tcW w:w="6905" w:type="dxa"/>
            <w:hideMark/>
          </w:tcPr>
          <w:p w14:paraId="340F9BA3" w14:textId="4E1B3091" w:rsidR="004A7F3D" w:rsidRPr="003428AC" w:rsidRDefault="004A7F3D" w:rsidP="0063160E">
            <w:pPr>
              <w:pStyle w:val="TableBody"/>
              <w:keepLines w:val="0"/>
              <w:rPr>
                <w:rFonts w:cs="Arial"/>
              </w:rPr>
            </w:pPr>
            <w:r w:rsidRPr="003428AC">
              <w:rPr>
                <w:rFonts w:cs="Arial"/>
              </w:rPr>
              <w:t>CV,DV,IV,JV,KQ,KV,KW,LR,LV,LW,LY,MS,MT,MU,AU9,AV9,AW3,BU7,</w:t>
            </w:r>
            <w:r w:rsidR="00CD762A">
              <w:rPr>
                <w:rFonts w:cs="Arial"/>
              </w:rPr>
              <w:br/>
            </w:r>
            <w:r w:rsidRPr="003428AC">
              <w:rPr>
                <w:rFonts w:cs="Arial"/>
              </w:rPr>
              <w:t>BU8,BV3,BV6,BV7,BV8,BV9,BW1,BW2,BW3,BW5,BW6,CW1,CW2,CW3,CW4,DW1,DW2,DW3,EV1,EV2,EV3,EV4,EV5,EV6,EV7,FV1,FV2,FV3,</w:t>
            </w:r>
            <w:r w:rsidR="00CD762A">
              <w:rPr>
                <w:rFonts w:cs="Arial"/>
              </w:rPr>
              <w:br/>
            </w:r>
            <w:r w:rsidRPr="003428AC">
              <w:rPr>
                <w:rFonts w:cs="Arial"/>
              </w:rPr>
              <w:t>FV4,FV5,GV1,GV2,GV3,GV6,HV1,HV2,HV3,HV4,HV5,HV6,HV8,HV9,</w:t>
            </w:r>
            <w:r w:rsidR="00CD762A">
              <w:rPr>
                <w:rFonts w:cs="Arial"/>
              </w:rPr>
              <w:br/>
            </w:r>
            <w:r w:rsidRPr="003428AC">
              <w:rPr>
                <w:rFonts w:cs="Arial"/>
              </w:rPr>
              <w:t>HW3,HW6,IW1,IW2,IW4,IW5,IW7,IW8,IW9,JW2,JW3,JW4,JW5,JW6,JW7,JW8,JW9,JX1,JX2,JX3,JX5,JX6,KO1,KO4,KO5,KO7,KO8,KP1,KP2,KP4,</w:t>
            </w:r>
            <w:r w:rsidR="00CD762A">
              <w:rPr>
                <w:rFonts w:cs="Arial"/>
              </w:rPr>
              <w:br/>
            </w:r>
            <w:r w:rsidRPr="003428AC">
              <w:rPr>
                <w:rFonts w:cs="Arial"/>
              </w:rPr>
              <w:t>KP5,KP6,KP7,KP8,KP9,KX1,KX2,KX4,KX5,KX8,KX9,KY2,KY3,KY6,LP4,LP7,LQ1,LQ2,LQ4,LQ5,LQ7,LQ8,LX2,LX3,LX5,LX6,LX7,LX8,LX9,LZ1,LZ2,LZ3,MR1,MR4,MR5,MR7,MR8,MR9,MV1,MV2,MV3,MV4,MV5,MV6,MV7,MV8,MW6,MW7,MW8,MW9,MX1,MX2,MX3,MX4,MX7,MY1,MY4,MY7,</w:t>
            </w:r>
            <w:r w:rsidR="00CD762A">
              <w:rPr>
                <w:rFonts w:cs="Arial"/>
              </w:rPr>
              <w:br/>
            </w:r>
            <w:r w:rsidRPr="003428AC">
              <w:rPr>
                <w:rFonts w:cs="Arial"/>
              </w:rPr>
              <w:t>MZ1,NS4,NS7,NS8,NS9,NT1,NT2,NT3,NT4,NT7,NU1,NU4,NU5,NU6,NU7,NU8,NU9,NV1,NV2,NV3,AU6I,AU6J,AU6K,AU6L,AU6M,AU6N,AU6O,</w:t>
            </w:r>
            <w:r w:rsidR="00CD762A">
              <w:rPr>
                <w:rFonts w:cs="Arial"/>
              </w:rPr>
              <w:br/>
            </w:r>
            <w:r w:rsidRPr="003428AC">
              <w:rPr>
                <w:rFonts w:cs="Arial"/>
              </w:rPr>
              <w:t>AU6P,BU4H,BU4I,BU4J,BU4K,BU4L,BU4M,BU4N,BU4O,BU4P,BU5E,</w:t>
            </w:r>
            <w:r w:rsidR="00CD762A">
              <w:rPr>
                <w:rFonts w:cs="Arial"/>
              </w:rPr>
              <w:br/>
            </w:r>
            <w:r w:rsidRPr="003428AC">
              <w:rPr>
                <w:rFonts w:cs="Arial"/>
              </w:rPr>
              <w:t>BU5F,BU5G,BU5H,BU5I,BU5J,BU5K,BU5L,BU5M,BU5N,BU5O,BU5P,</w:t>
            </w:r>
            <w:r w:rsidR="00CD762A">
              <w:rPr>
                <w:rFonts w:cs="Arial"/>
              </w:rPr>
              <w:br/>
            </w:r>
            <w:r w:rsidRPr="003428AC">
              <w:rPr>
                <w:rFonts w:cs="Arial"/>
              </w:rPr>
              <w:t>BU9A,BU9B,BU9E,BU9F,BU9I,BU9J,BU9M,BU9N,BV1A,BV1B,BV1C,</w:t>
            </w:r>
            <w:r w:rsidR="00CD762A">
              <w:rPr>
                <w:rFonts w:cs="Arial"/>
              </w:rPr>
              <w:br/>
            </w:r>
            <w:r w:rsidRPr="003428AC">
              <w:rPr>
                <w:rFonts w:cs="Arial"/>
              </w:rPr>
              <w:t>BV1D,BV2A,BV2B,BV2C,BV2D,BV2G,BV2H,BV2K,BV2L,BV2O,BV2P,</w:t>
            </w:r>
            <w:r w:rsidR="00CD762A">
              <w:rPr>
                <w:rFonts w:cs="Arial"/>
              </w:rPr>
              <w:br/>
            </w:r>
            <w:r w:rsidRPr="003428AC">
              <w:rPr>
                <w:rFonts w:cs="Arial"/>
              </w:rPr>
              <w:t>BV5C,BV5D,BV5G,BV5H,BV5K,BV5L,BV5O,BV5P,IW3A,IW3B,IW3C,</w:t>
            </w:r>
            <w:r w:rsidR="00CD762A">
              <w:rPr>
                <w:rFonts w:cs="Arial"/>
              </w:rPr>
              <w:br/>
            </w:r>
            <w:r w:rsidRPr="003428AC">
              <w:rPr>
                <w:rFonts w:cs="Arial"/>
              </w:rPr>
              <w:t>IW3D,IW6I,IW6J,IW6K,IW6L,IW6M,IW6N,IW6O,IW6P,JW1A,JW1B,JW1C,JW1D,JW1F,JW1G,JW1H,JW1J,JW1K,JW1L,JW1N,JW1O,JW1P,KX3A,</w:t>
            </w:r>
            <w:r w:rsidR="00CD762A">
              <w:rPr>
                <w:rFonts w:cs="Arial"/>
              </w:rPr>
              <w:br/>
            </w:r>
            <w:r w:rsidRPr="003428AC">
              <w:rPr>
                <w:rFonts w:cs="Arial"/>
              </w:rPr>
              <w:t>KX3B,KX3C,KX3D,KX6M,KX6N,KX6O,KX6P,LX1A,LX1B,LX1C,LX1D,</w:t>
            </w:r>
            <w:r w:rsidR="00CD762A">
              <w:rPr>
                <w:rFonts w:cs="Arial"/>
              </w:rPr>
              <w:br/>
            </w:r>
            <w:r w:rsidRPr="003428AC">
              <w:rPr>
                <w:rFonts w:cs="Arial"/>
              </w:rPr>
              <w:t>LX1F,LX1G,LX1H,LX1L,LX1P,LX4D,LX4G,LX4H,LX4K,LX4L,LX4M,LX4N,</w:t>
            </w:r>
            <w:r w:rsidRPr="003428AC">
              <w:rPr>
                <w:rFonts w:cs="Arial"/>
              </w:rPr>
              <w:lastRenderedPageBreak/>
              <w:t>LX4O,LX4P,MV9A,MV9B,MV9C,MW1A,MW1B,MW1C,MW1D,MW1E,</w:t>
            </w:r>
            <w:r w:rsidR="00CD762A">
              <w:rPr>
                <w:rFonts w:cs="Arial"/>
              </w:rPr>
              <w:br/>
            </w:r>
            <w:r w:rsidRPr="003428AC">
              <w:rPr>
                <w:rFonts w:cs="Arial"/>
              </w:rPr>
              <w:t>MW1F,MW1G,MW1H,MW1I,MW1J,MW1K,MW1L,MW1M,MW1N,MW1O,</w:t>
            </w:r>
            <w:r w:rsidR="00CD762A">
              <w:rPr>
                <w:rFonts w:cs="Arial"/>
              </w:rPr>
              <w:br/>
            </w:r>
            <w:r w:rsidRPr="003428AC">
              <w:rPr>
                <w:rFonts w:cs="Arial"/>
              </w:rPr>
              <w:t>MW2A,MW2B,MW2C,MW2D,MW2E,MW2F,MW2G,MW2H,MW2I,MW2J,</w:t>
            </w:r>
            <w:r w:rsidR="00CD762A">
              <w:rPr>
                <w:rFonts w:cs="Arial"/>
              </w:rPr>
              <w:br/>
            </w:r>
            <w:r w:rsidRPr="003428AC">
              <w:rPr>
                <w:rFonts w:cs="Arial"/>
              </w:rPr>
              <w:t>MW2K,MW2L,MW2O,MW2P,MW3A,MW3E,MW3I,MW3M,MW3N,MW4A,</w:t>
            </w:r>
            <w:r w:rsidR="00CD762A">
              <w:rPr>
                <w:rFonts w:cs="Arial"/>
              </w:rPr>
              <w:br/>
            </w:r>
            <w:r w:rsidRPr="003428AC">
              <w:rPr>
                <w:rFonts w:cs="Arial"/>
              </w:rPr>
              <w:t>MW4B,MW4C,MW4E,MW4F,MW4G,MW4I,MW4J,MW4K,MW4M,MW4N,</w:t>
            </w:r>
            <w:r w:rsidR="00CD762A">
              <w:rPr>
                <w:rFonts w:cs="Arial"/>
              </w:rPr>
              <w:br/>
            </w:r>
            <w:r w:rsidRPr="003428AC">
              <w:rPr>
                <w:rFonts w:cs="Arial"/>
              </w:rPr>
              <w:t>MW4O,MW5C,MW5D,MW5G,MW5H,MW5K,MW5L,MW5O,MW5P,NT5A,</w:t>
            </w:r>
            <w:r w:rsidR="00CD762A">
              <w:rPr>
                <w:rFonts w:cs="Arial"/>
              </w:rPr>
              <w:br/>
            </w:r>
            <w:r w:rsidRPr="003428AC">
              <w:rPr>
                <w:rFonts w:cs="Arial"/>
              </w:rPr>
              <w:t>NT5B,NT5C,NT5D,NT5E,NT5F,NT5G,NT5H,NT5I,NT5J,NT5K,NT5L,</w:t>
            </w:r>
            <w:r w:rsidR="002B2E67">
              <w:rPr>
                <w:rFonts w:cs="Arial"/>
              </w:rPr>
              <w:br/>
            </w:r>
            <w:r w:rsidRPr="003428AC">
              <w:rPr>
                <w:rFonts w:cs="Arial"/>
              </w:rPr>
              <w:t>NT5M,NT5N,NT6A,NT6B,NT6C,NT6D,NT6E,NT6F,NT6G,NT6H,NT6I,</w:t>
            </w:r>
            <w:r w:rsidR="002B2E67">
              <w:rPr>
                <w:rFonts w:cs="Arial"/>
              </w:rPr>
              <w:br/>
            </w:r>
            <w:r w:rsidRPr="003428AC">
              <w:rPr>
                <w:rFonts w:cs="Arial"/>
              </w:rPr>
              <w:t>NT6J,</w:t>
            </w:r>
            <w:r w:rsidR="00CD762A">
              <w:rPr>
                <w:rFonts w:cs="Arial"/>
              </w:rPr>
              <w:br/>
            </w:r>
            <w:r w:rsidRPr="003428AC">
              <w:rPr>
                <w:rFonts w:cs="Arial"/>
              </w:rPr>
              <w:t>NT6K,NT6L,NT8A,NT8B,NT8E,NT8F,NT8I,NT8J,NT8M,NT8N,NU2A,</w:t>
            </w:r>
            <w:r w:rsidR="00CD762A">
              <w:rPr>
                <w:rFonts w:cs="Arial"/>
              </w:rPr>
              <w:br/>
            </w:r>
            <w:r w:rsidRPr="003428AC">
              <w:rPr>
                <w:rFonts w:cs="Arial"/>
              </w:rPr>
              <w:t>NU2B,NU2E,NU2F,NU2G,NU2I,NU2J,NU2K,NU2L,NU2M,NU2N,NU2O,</w:t>
            </w:r>
            <w:r w:rsidR="00CD762A">
              <w:rPr>
                <w:rFonts w:cs="Arial"/>
              </w:rPr>
              <w:br/>
            </w:r>
            <w:r w:rsidRPr="003428AC">
              <w:rPr>
                <w:rFonts w:cs="Arial"/>
              </w:rPr>
              <w:t>NU2P,NU3M,NU3N,NU3O,NU3P,NV4A,NV4B,NV4C,NV4D,NV4E,NV4F,</w:t>
            </w:r>
            <w:r w:rsidR="00CD762A">
              <w:rPr>
                <w:rFonts w:cs="Arial"/>
              </w:rPr>
              <w:br/>
            </w:r>
            <w:r w:rsidRPr="003428AC">
              <w:rPr>
                <w:rFonts w:cs="Arial"/>
              </w:rPr>
              <w:t>NV4G,NV4H,NV5A,NV5B,NV5C,NV5D,NV5E,NV5F,NV5G,NV5H,BV1E1,</w:t>
            </w:r>
            <w:r w:rsidR="00CD762A">
              <w:rPr>
                <w:rFonts w:cs="Arial"/>
              </w:rPr>
              <w:br/>
            </w:r>
            <w:r w:rsidRPr="003428AC">
              <w:rPr>
                <w:rFonts w:cs="Arial"/>
              </w:rPr>
              <w:t>BV1E2,BV1E3,BV1E4,BV1E5,BV1E6,BV1F1,BV1F2,BV1F3,BV1F4,</w:t>
            </w:r>
            <w:r w:rsidR="00CD762A">
              <w:rPr>
                <w:rFonts w:cs="Arial"/>
              </w:rPr>
              <w:br/>
            </w:r>
            <w:r w:rsidRPr="003428AC">
              <w:rPr>
                <w:rFonts w:cs="Arial"/>
              </w:rPr>
              <w:t>BV1F5,BV1F6,BV1G1,BV1G2,BV1G3,BV1G4,BV1G5,BV1G6,BV1H1,</w:t>
            </w:r>
            <w:r w:rsidR="00CD762A">
              <w:rPr>
                <w:rFonts w:cs="Arial"/>
              </w:rPr>
              <w:br/>
            </w:r>
            <w:r w:rsidRPr="003428AC">
              <w:rPr>
                <w:rFonts w:cs="Arial"/>
              </w:rPr>
              <w:t>BV1H2,BV1H3,BV1H4,BV1H5,BV1H6,BV2E1,BV2E2,BV2E3,BV2E4,</w:t>
            </w:r>
            <w:r w:rsidR="00CD762A">
              <w:rPr>
                <w:rFonts w:cs="Arial"/>
              </w:rPr>
              <w:br/>
            </w:r>
            <w:r w:rsidRPr="003428AC">
              <w:rPr>
                <w:rFonts w:cs="Arial"/>
              </w:rPr>
              <w:t>BV2E5,BV2E6,BV2F1,BV2F2,BV2F3,BV2F4,BV2F5,BV2F6,BV4M4,</w:t>
            </w:r>
            <w:r w:rsidR="00CD762A">
              <w:rPr>
                <w:rFonts w:cs="Arial"/>
              </w:rPr>
              <w:br/>
            </w:r>
            <w:r w:rsidRPr="003428AC">
              <w:rPr>
                <w:rFonts w:cs="Arial"/>
              </w:rPr>
              <w:t>BV4M5,BV4M6,BV4M7,BV4M8,BV4M9,BV4N4,BV4N5,BV4N6,BV4N7,</w:t>
            </w:r>
            <w:r w:rsidR="00CD762A">
              <w:rPr>
                <w:rFonts w:cs="Arial"/>
              </w:rPr>
              <w:br/>
            </w:r>
            <w:r w:rsidRPr="003428AC">
              <w:rPr>
                <w:rFonts w:cs="Arial"/>
              </w:rPr>
              <w:t>BV4N8,BV4N9,BV4O4,BV4O5,BV4O6,BV4O7,BV4O8,BV4O9,BV4P4,</w:t>
            </w:r>
            <w:r w:rsidR="00CD762A">
              <w:rPr>
                <w:rFonts w:cs="Arial"/>
              </w:rPr>
              <w:br/>
            </w:r>
            <w:r w:rsidRPr="003428AC">
              <w:rPr>
                <w:rFonts w:cs="Arial"/>
              </w:rPr>
              <w:t>BV4P5,BV4P6,BV4P7,BV4P8,BV4P9,BV5M4,BV5M5,BV5M6,BV5M7,</w:t>
            </w:r>
            <w:r w:rsidR="00CD762A">
              <w:rPr>
                <w:rFonts w:cs="Arial"/>
              </w:rPr>
              <w:br/>
            </w:r>
            <w:r w:rsidRPr="003428AC">
              <w:rPr>
                <w:rFonts w:cs="Arial"/>
              </w:rPr>
              <w:t>BV5M8,BV5M9,BV5N4,BV5N5,BV5N6,BV5N7,BV5N8,BV5N9,IW3E1,</w:t>
            </w:r>
            <w:r w:rsidR="00CD762A">
              <w:rPr>
                <w:rFonts w:cs="Arial"/>
              </w:rPr>
              <w:br/>
            </w:r>
            <w:r w:rsidRPr="003428AC">
              <w:rPr>
                <w:rFonts w:cs="Arial"/>
              </w:rPr>
              <w:t>IW3E2,IW3E3,IW3E4,IW3E7,IW3F1,IW3F2,IW3F3,IW3G1,IW3G2,IW3G3,</w:t>
            </w:r>
            <w:r w:rsidR="00CD762A">
              <w:rPr>
                <w:rFonts w:cs="Arial"/>
              </w:rPr>
              <w:br/>
            </w:r>
            <w:r w:rsidRPr="003428AC">
              <w:rPr>
                <w:rFonts w:cs="Arial"/>
              </w:rPr>
              <w:t>IW3H1,IW3H2,IW3H3,IW3I1,IW3I4,IW3I7,IW3M1,IW3M4,IW3M7,IW6A1,</w:t>
            </w:r>
            <w:r w:rsidR="00CD762A">
              <w:rPr>
                <w:rFonts w:cs="Arial"/>
              </w:rPr>
              <w:br/>
            </w:r>
            <w:r w:rsidRPr="003428AC">
              <w:rPr>
                <w:rFonts w:cs="Arial"/>
              </w:rPr>
              <w:t>IW6A4,IW6A7,IW6E1,IW6E4,IW6E7,JW1E1,JW1E2,JW1E3,JW1E5,</w:t>
            </w:r>
            <w:r w:rsidR="00CD762A">
              <w:rPr>
                <w:rFonts w:cs="Arial"/>
              </w:rPr>
              <w:br/>
            </w:r>
            <w:r w:rsidRPr="003428AC">
              <w:rPr>
                <w:rFonts w:cs="Arial"/>
              </w:rPr>
              <w:t>JW1E6,JW1E8,JW1E9,JW1I2,JW1I3,JW1I5,JW1I6,JW1I8,JW1I9,JW1M2,</w:t>
            </w:r>
            <w:r w:rsidR="00CD762A">
              <w:rPr>
                <w:rFonts w:cs="Arial"/>
              </w:rPr>
              <w:br/>
            </w:r>
            <w:r w:rsidRPr="003428AC">
              <w:rPr>
                <w:rFonts w:cs="Arial"/>
              </w:rPr>
              <w:t>JW1M3,JW1M5,JW1M6,JW1M7,JW1M8,JW1M9,KX3E1,KX3E2,KX3E3,</w:t>
            </w:r>
            <w:r w:rsidR="002441F1">
              <w:rPr>
                <w:rFonts w:cs="Arial"/>
              </w:rPr>
              <w:br/>
            </w:r>
            <w:r w:rsidRPr="003428AC">
              <w:rPr>
                <w:rFonts w:cs="Arial"/>
              </w:rPr>
              <w:t>KX3E4,KX3E5,KX3E6,KX3E7,KX3E8,KX3F1,KX3F2,KX3F3,KX3F4,</w:t>
            </w:r>
            <w:r w:rsidR="002441F1">
              <w:rPr>
                <w:rFonts w:cs="Arial"/>
              </w:rPr>
              <w:br/>
            </w:r>
            <w:r w:rsidRPr="003428AC">
              <w:rPr>
                <w:rFonts w:cs="Arial"/>
              </w:rPr>
              <w:t>KX3G3,KX3H1,KX3H2,KX3H3,KX3I1,KX3I2,KX3I4,KX3I5,KX3I7,KX3M1,</w:t>
            </w:r>
            <w:r w:rsidR="002441F1">
              <w:rPr>
                <w:rFonts w:cs="Arial"/>
              </w:rPr>
              <w:br/>
            </w:r>
            <w:r w:rsidRPr="003428AC">
              <w:rPr>
                <w:rFonts w:cs="Arial"/>
              </w:rPr>
              <w:t>LX1E1,LX1E2,LX1E3,LX1E5,LX1E6,LX1J2,LX1J3,LX1K1,LX1K2,LX1K3,</w:t>
            </w:r>
            <w:r w:rsidR="002441F1">
              <w:rPr>
                <w:rFonts w:cs="Arial"/>
              </w:rPr>
              <w:br/>
            </w:r>
            <w:r w:rsidRPr="003428AC">
              <w:rPr>
                <w:rFonts w:cs="Arial"/>
              </w:rPr>
              <w:t>LX1K5,LX1K6,LX1K8,LX1K9,LX4F3,LX4F6,LX4F9,LX4J3,LX4J6,LX4J9,</w:t>
            </w:r>
            <w:r w:rsidR="002441F1">
              <w:rPr>
                <w:rFonts w:cs="Arial"/>
              </w:rPr>
              <w:br/>
            </w:r>
            <w:r w:rsidRPr="003428AC">
              <w:rPr>
                <w:rFonts w:cs="Arial"/>
              </w:rPr>
              <w:t>MV9D1,MV9D2,MV9D3,MV9D4,MV9D5,MV9D7,MV9D8,MV9E1,MV9E2,</w:t>
            </w:r>
            <w:r w:rsidR="002441F1">
              <w:rPr>
                <w:rFonts w:cs="Arial"/>
              </w:rPr>
              <w:br/>
            </w:r>
            <w:r w:rsidRPr="003428AC">
              <w:rPr>
                <w:rFonts w:cs="Arial"/>
              </w:rPr>
              <w:t>MV9E3,MV9F1,MV9F2,MV9F3,MV9G1,MV9G2,MV9G3,MV9H1,MV9H2,</w:t>
            </w:r>
            <w:r w:rsidR="002441F1">
              <w:rPr>
                <w:rFonts w:cs="Arial"/>
              </w:rPr>
              <w:br/>
            </w:r>
            <w:r w:rsidRPr="003428AC">
              <w:rPr>
                <w:rFonts w:cs="Arial"/>
              </w:rPr>
              <w:t>MW1P1,MW1P2,MW1P3,MW2M1,MW2M2,MW2M3,MW2N1,MW2N2,</w:t>
            </w:r>
            <w:r w:rsidR="002441F1">
              <w:rPr>
                <w:rFonts w:cs="Arial"/>
              </w:rPr>
              <w:br/>
            </w:r>
            <w:r w:rsidRPr="003428AC">
              <w:rPr>
                <w:rFonts w:cs="Arial"/>
              </w:rPr>
              <w:t>MW2N3,MW3B1,MW3B4,MW3B7,MW3F1,MW3F4,MW3F7,MW3J1,</w:t>
            </w:r>
            <w:r w:rsidR="002441F1">
              <w:rPr>
                <w:rFonts w:cs="Arial"/>
              </w:rPr>
              <w:br/>
            </w:r>
            <w:r w:rsidRPr="003428AC">
              <w:rPr>
                <w:rFonts w:cs="Arial"/>
              </w:rPr>
              <w:t>MW3J4,MW3J5,MW3J6,MW3J7,MW3J8,MW3J9,MW3O4,MW3O5,</w:t>
            </w:r>
            <w:r w:rsidR="002441F1">
              <w:rPr>
                <w:rFonts w:cs="Arial"/>
              </w:rPr>
              <w:br/>
            </w:r>
            <w:r w:rsidRPr="003428AC">
              <w:rPr>
                <w:rFonts w:cs="Arial"/>
              </w:rPr>
              <w:t>MW3O6,MW3O7,MW3O8,MW3O9,MW3P4,MW3P5,MW3P6,MW3P7,</w:t>
            </w:r>
            <w:r w:rsidR="002441F1">
              <w:rPr>
                <w:rFonts w:cs="Arial"/>
              </w:rPr>
              <w:br/>
            </w:r>
            <w:r w:rsidRPr="003428AC">
              <w:rPr>
                <w:rFonts w:cs="Arial"/>
              </w:rPr>
              <w:t>MW3P8,MW3P9,MW4P4,MW4P5,MW4P6,MW4P7,MW4P8,MW4P9,</w:t>
            </w:r>
            <w:r w:rsidR="002441F1">
              <w:rPr>
                <w:rFonts w:cs="Arial"/>
              </w:rPr>
              <w:br/>
            </w:r>
            <w:r w:rsidRPr="003428AC">
              <w:rPr>
                <w:rFonts w:cs="Arial"/>
              </w:rPr>
              <w:t>MW5M4,MW5M5,MW5M6,MW5M7,MW5M8,MW5M9,MW5N4,MW5N5,</w:t>
            </w:r>
            <w:r w:rsidR="002441F1">
              <w:rPr>
                <w:rFonts w:cs="Arial"/>
              </w:rPr>
              <w:br/>
            </w:r>
            <w:r w:rsidRPr="003428AC">
              <w:rPr>
                <w:rFonts w:cs="Arial"/>
              </w:rPr>
              <w:t>MW5N6,MW5N7,MW5N8,MW5N9,NT5O1,NT5O2,NT5O3,NT5P1,NT5P2,NT5P3,NT6M1,NT6M2,NT6M3,NT6N1,NT6N2,NT6N3,NT6O1,NT6O2,</w:t>
            </w:r>
            <w:r w:rsidR="002441F1">
              <w:rPr>
                <w:rFonts w:cs="Arial"/>
              </w:rPr>
              <w:br/>
            </w:r>
            <w:r w:rsidRPr="003428AC">
              <w:rPr>
                <w:rFonts w:cs="Arial"/>
              </w:rPr>
              <w:t>NT6O3,NT6P1,NT6P2,NT6P3,NU2C4,NU2C5,NU2C6,NU2C7,NU2C8,</w:t>
            </w:r>
            <w:r w:rsidR="002441F1">
              <w:rPr>
                <w:rFonts w:cs="Arial"/>
              </w:rPr>
              <w:br/>
            </w:r>
            <w:r w:rsidRPr="003428AC">
              <w:rPr>
                <w:rFonts w:cs="Arial"/>
              </w:rPr>
              <w:t>NU2C9,NU2D4,NU2D7,NU2H1,NU2H4,NU2H5,NU2H6,NU2H7,NU2H8,</w:t>
            </w:r>
            <w:r w:rsidR="002441F1">
              <w:rPr>
                <w:rFonts w:cs="Arial"/>
              </w:rPr>
              <w:br/>
            </w:r>
            <w:r w:rsidRPr="003428AC">
              <w:rPr>
                <w:rFonts w:cs="Arial"/>
              </w:rPr>
              <w:t>NU2H9,NU3E4,NU3E7,NU3I1,NU3I4,NU3I5,NU3I6,NU3I7,NU3I8,NU3I9,</w:t>
            </w:r>
            <w:r w:rsidR="002441F1">
              <w:rPr>
                <w:rFonts w:cs="Arial"/>
              </w:rPr>
              <w:br/>
            </w:r>
            <w:r w:rsidRPr="003428AC">
              <w:rPr>
                <w:rFonts w:cs="Arial"/>
              </w:rPr>
              <w:t>NU3J4,NU3J5,NU3J6,NU3J7,NU3J8,NU3J9,NU3K4,NU3K5,NU3K6,</w:t>
            </w:r>
            <w:r w:rsidR="002441F1">
              <w:rPr>
                <w:rFonts w:cs="Arial"/>
              </w:rPr>
              <w:br/>
            </w:r>
            <w:r w:rsidRPr="003428AC">
              <w:rPr>
                <w:rFonts w:cs="Arial"/>
              </w:rPr>
              <w:t>NU3K7,NU3K8,NU3K9,NU3L4,NU3L5,NU3L6,NU3L7,NU3L8,NU3L9,</w:t>
            </w:r>
            <w:r w:rsidR="002441F1">
              <w:rPr>
                <w:rFonts w:cs="Arial"/>
              </w:rPr>
              <w:br/>
            </w:r>
            <w:r w:rsidRPr="003428AC">
              <w:rPr>
                <w:rFonts w:cs="Arial"/>
              </w:rPr>
              <w:t>NV4I1,NV4I2,NV4I3,NV4I4,NV4I7,NV4J1,NV4J2,NV4J3,NV4K1,NV4K2,</w:t>
            </w:r>
            <w:r w:rsidR="002441F1">
              <w:rPr>
                <w:rFonts w:cs="Arial"/>
              </w:rPr>
              <w:br/>
            </w:r>
            <w:r w:rsidRPr="003428AC">
              <w:rPr>
                <w:rFonts w:cs="Arial"/>
              </w:rPr>
              <w:t>NV4K3,NV4L1,NV4L2,NV4L3,NV4M1,NV4M4,NV4M7,NV5I1,NV5I2,</w:t>
            </w:r>
            <w:r w:rsidR="002441F1">
              <w:rPr>
                <w:rFonts w:cs="Arial"/>
              </w:rPr>
              <w:br/>
            </w:r>
            <w:r w:rsidRPr="003428AC">
              <w:rPr>
                <w:rFonts w:cs="Arial"/>
              </w:rPr>
              <w:t>NV5I3,NV5J1,NV5J2,NV5J3,NV5K1,NV5K2,NV5K3,NV5L1,NV5L2,NV5L3,NV7A1,NW1M4,NW1M5,NW1M6,NW1M7,NW1M8,NW1M9,NW1N4,</w:t>
            </w:r>
            <w:r w:rsidR="002441F1">
              <w:rPr>
                <w:rFonts w:cs="Arial"/>
              </w:rPr>
              <w:br/>
            </w:r>
            <w:r w:rsidRPr="003428AC">
              <w:rPr>
                <w:rFonts w:cs="Arial"/>
              </w:rPr>
              <w:t>NW1N5,NW1N6,NW1N7,NW1N8,NW1N9,NW1O4,NW1O5,NW1O6,</w:t>
            </w:r>
            <w:r w:rsidR="002441F1">
              <w:rPr>
                <w:rFonts w:cs="Arial"/>
              </w:rPr>
              <w:br/>
            </w:r>
            <w:r w:rsidRPr="003428AC">
              <w:rPr>
                <w:rFonts w:cs="Arial"/>
              </w:rPr>
              <w:t>NW1O7,NW1O8,NW1O9,NW1P4,NW1P5,NW1P6,NW1P7,NW1P8,</w:t>
            </w:r>
            <w:r w:rsidR="002441F1">
              <w:rPr>
                <w:rFonts w:cs="Arial"/>
              </w:rPr>
              <w:br/>
            </w:r>
            <w:r w:rsidRPr="003428AC">
              <w:rPr>
                <w:rFonts w:cs="Arial"/>
              </w:rPr>
              <w:t>NW1P9,MT4H,MT4K,MT4L,MU5G,MU5H,MU5L,MV3G,MV3H,MV3K,</w:t>
            </w:r>
            <w:r w:rsidR="002441F1">
              <w:rPr>
                <w:rFonts w:cs="Arial"/>
              </w:rPr>
              <w:br/>
            </w:r>
            <w:r w:rsidRPr="003428AC">
              <w:rPr>
                <w:rFonts w:cs="Arial"/>
              </w:rPr>
              <w:t>MV3L,MT4F9,MT4G2,MT4G3,MT4G4,MT4G5,MT4G6,MT4G7,MT4G8,</w:t>
            </w:r>
            <w:r w:rsidR="002441F1">
              <w:rPr>
                <w:rFonts w:cs="Arial"/>
              </w:rPr>
              <w:br/>
            </w:r>
            <w:r w:rsidRPr="003428AC">
              <w:rPr>
                <w:rFonts w:cs="Arial"/>
              </w:rPr>
              <w:t>MT4G9,MT4J3,MT4J6,MT4O1,MT4O2,MT4O3,MT4O6,MT4P1,MT4P2,</w:t>
            </w:r>
            <w:r w:rsidR="002441F1">
              <w:rPr>
                <w:rFonts w:cs="Arial"/>
              </w:rPr>
              <w:br/>
            </w:r>
            <w:r w:rsidRPr="003428AC">
              <w:rPr>
                <w:rFonts w:cs="Arial"/>
              </w:rPr>
              <w:t>MT4P3,MT4P4,MT4P5,MT5E4,MT5E7,MT5I1,MT5I2,MT5I4,MT5I5,MT5I7,</w:t>
            </w:r>
            <w:r w:rsidRPr="003428AC">
              <w:rPr>
                <w:rFonts w:cs="Arial"/>
              </w:rPr>
              <w:lastRenderedPageBreak/>
              <w:t>MT5M1,MU5C8,MU5C9,MU5D7,MU5D8,MU5D9,MU5K1,MU5K2,MU5K3,MU5K4,MU5K5,MU5K6,MU5K8,MU5K9,MU6A7,MU6E1,MU6E2,MU6E4,</w:t>
            </w:r>
            <w:r w:rsidR="002441F1">
              <w:rPr>
                <w:rFonts w:cs="Arial"/>
              </w:rPr>
              <w:br/>
            </w:r>
            <w:r w:rsidRPr="003428AC">
              <w:rPr>
                <w:rFonts w:cs="Arial"/>
              </w:rPr>
              <w:t>MU6E5,MU6E7,MU6E8,MU6I1,MU6I2,MU6I4,MU6I5,MU6I7,MV3C8,</w:t>
            </w:r>
            <w:r w:rsidR="002441F1">
              <w:rPr>
                <w:rFonts w:cs="Arial"/>
              </w:rPr>
              <w:br/>
            </w:r>
            <w:r w:rsidRPr="003428AC">
              <w:rPr>
                <w:rFonts w:cs="Arial"/>
              </w:rPr>
              <w:t>MV3C9,MV3D7,MV3F3,MV3F5,MV3F6,MV3F8,MV3F9,MV3J2,MV3J3,</w:t>
            </w:r>
            <w:r w:rsidR="002441F1">
              <w:rPr>
                <w:rFonts w:cs="Arial"/>
              </w:rPr>
              <w:br/>
            </w:r>
            <w:r w:rsidRPr="003428AC">
              <w:rPr>
                <w:rFonts w:cs="Arial"/>
              </w:rPr>
              <w:t>MV3J5,MV3J6,MV3J9,MV3O1,MV3O2,MV3O3,MV3P1,NU7K4,CV,DV,IV,</w:t>
            </w:r>
            <w:r w:rsidR="002441F1">
              <w:rPr>
                <w:rFonts w:cs="Arial"/>
              </w:rPr>
              <w:br/>
            </w:r>
            <w:r w:rsidRPr="003428AC">
              <w:rPr>
                <w:rFonts w:cs="Arial"/>
              </w:rPr>
              <w:t>JV,KQ,KV,KW,LR,LV,LW,LY,MS,AU9,AV9,AW3,BU7,BU8,BV3,BV6,BV7,</w:t>
            </w:r>
            <w:r w:rsidR="002441F1">
              <w:rPr>
                <w:rFonts w:cs="Arial"/>
              </w:rPr>
              <w:br/>
            </w:r>
            <w:r w:rsidRPr="003428AC">
              <w:rPr>
                <w:rFonts w:cs="Arial"/>
              </w:rPr>
              <w:t>BV8,BV9,BW1,BW2,BW3,BW5,BW6,CW1,CW2,CW3,CW4,DW1,DW2,</w:t>
            </w:r>
            <w:r w:rsidR="002441F1">
              <w:rPr>
                <w:rFonts w:cs="Arial"/>
              </w:rPr>
              <w:br/>
            </w:r>
            <w:r w:rsidRPr="003428AC">
              <w:rPr>
                <w:rFonts w:cs="Arial"/>
              </w:rPr>
              <w:t>DW3,EV1,EV2,EV3,EV4,EV5,EV6,EV7,FV1,FV2,FV3,FV4,FV5,GV1,GV2,GV3,GV6,HV1,HV2,HV3,HV4,HV5,HV6,HV8,HV9,HW3,HW6,IW1,IW2,</w:t>
            </w:r>
            <w:r w:rsidR="002441F1">
              <w:rPr>
                <w:rFonts w:cs="Arial"/>
              </w:rPr>
              <w:br/>
            </w:r>
            <w:r w:rsidRPr="003428AC">
              <w:rPr>
                <w:rFonts w:cs="Arial"/>
              </w:rPr>
              <w:t>IW4,IW5,IW7,IW8,IW9,JW2,JW3,JW4,JW5,JW6,JW7,JW8,JW9,JX1,JX2,</w:t>
            </w:r>
            <w:r w:rsidR="002441F1">
              <w:rPr>
                <w:rFonts w:cs="Arial"/>
              </w:rPr>
              <w:br/>
            </w:r>
            <w:r w:rsidRPr="003428AC">
              <w:rPr>
                <w:rFonts w:cs="Arial"/>
              </w:rPr>
              <w:t>JX3,JX5,JX6,KO1,KO4,KO5,KO7,KO8,KP1,KP2,KP4,KP5,KP6,KP7,KP8,</w:t>
            </w:r>
            <w:r w:rsidR="002441F1">
              <w:rPr>
                <w:rFonts w:cs="Arial"/>
              </w:rPr>
              <w:br/>
            </w:r>
            <w:r w:rsidRPr="003428AC">
              <w:rPr>
                <w:rFonts w:cs="Arial"/>
              </w:rPr>
              <w:t>KP9,KX1,KX2,KX4,KX5,KX8,KX9,KY2,KY3,KY6,LP4,LP7,LQ1,LQ2,LQ4,</w:t>
            </w:r>
            <w:r w:rsidR="002441F1">
              <w:rPr>
                <w:rFonts w:cs="Arial"/>
              </w:rPr>
              <w:br/>
            </w:r>
            <w:r w:rsidRPr="003428AC">
              <w:rPr>
                <w:rFonts w:cs="Arial"/>
              </w:rPr>
              <w:t>LQ5,LQ7,LQ8,LX2,LX3,LX5,LX6,LX7,LX8,LX9,LZ1,LZ2,LZ3,MR1,MR4,</w:t>
            </w:r>
            <w:r w:rsidR="002441F1">
              <w:rPr>
                <w:rFonts w:cs="Arial"/>
              </w:rPr>
              <w:br/>
            </w:r>
            <w:r w:rsidRPr="003428AC">
              <w:rPr>
                <w:rFonts w:cs="Arial"/>
              </w:rPr>
              <w:t>MR5,MR7,MR8,MR9,MT1,MT2,MT3,MT6,MT7,MT8,MT9,MU1,MU2,MU3,MU4,MU7,MU8,MU9,MV1,MV2,MV4,MV5,MV6,MV7,MV8,MW6,MW7,</w:t>
            </w:r>
            <w:r w:rsidR="002441F1">
              <w:rPr>
                <w:rFonts w:cs="Arial"/>
              </w:rPr>
              <w:br/>
            </w:r>
            <w:r w:rsidRPr="003428AC">
              <w:rPr>
                <w:rFonts w:cs="Arial"/>
              </w:rPr>
              <w:t>MW8,MW9,MX1,MX2,MX3,MX4,MX7,MY1,MY4,MY7,MZ1,NS4,NS7,NS8,NS9,NT1,NT2,NT3,NT4,NT7,NU1,NU4,NU5,NU6,NU8,NU9,NV1,NV2,NV3,AU6I,AU6J,AU6K,AU6L,AU6M,AU6N,AU6O,AU6P,BU4H,BU4I,BU4J,</w:t>
            </w:r>
            <w:r w:rsidR="002441F1">
              <w:rPr>
                <w:rFonts w:cs="Arial"/>
              </w:rPr>
              <w:br/>
            </w:r>
            <w:r w:rsidRPr="003428AC">
              <w:rPr>
                <w:rFonts w:cs="Arial"/>
              </w:rPr>
              <w:t>BU4K,BU4L,BU4M,BU4N,BU4O,BU4P,BU5E,BU5F,BU5G,BU5H,BU5I,</w:t>
            </w:r>
            <w:r w:rsidR="002441F1">
              <w:rPr>
                <w:rFonts w:cs="Arial"/>
              </w:rPr>
              <w:br/>
            </w:r>
            <w:r w:rsidRPr="003428AC">
              <w:rPr>
                <w:rFonts w:cs="Arial"/>
              </w:rPr>
              <w:t>BU5J,BU5K,BU5L,BU5M,BU5N,BU5O,BU5P,BU9A,BU9B,BU9E,BU9F,</w:t>
            </w:r>
            <w:r w:rsidR="002441F1">
              <w:rPr>
                <w:rFonts w:cs="Arial"/>
              </w:rPr>
              <w:br/>
            </w:r>
            <w:r w:rsidRPr="003428AC">
              <w:rPr>
                <w:rFonts w:cs="Arial"/>
              </w:rPr>
              <w:t>BU9I,BU9J,BU9M,BU9N,BV1A,BV1B,BV1C,BV1D,BV2A,BV2B,BV2C,</w:t>
            </w:r>
            <w:r w:rsidR="002441F1">
              <w:rPr>
                <w:rFonts w:cs="Arial"/>
              </w:rPr>
              <w:br/>
            </w:r>
            <w:r w:rsidRPr="003428AC">
              <w:rPr>
                <w:rFonts w:cs="Arial"/>
              </w:rPr>
              <w:t>BV2D,BV2G,BV2H,BV2K,BV2L,BV2O,BV2P,BV5C,BV5D,BV5G,BV5H,</w:t>
            </w:r>
            <w:r w:rsidR="002441F1">
              <w:rPr>
                <w:rFonts w:cs="Arial"/>
              </w:rPr>
              <w:br/>
            </w:r>
            <w:r w:rsidRPr="003428AC">
              <w:rPr>
                <w:rFonts w:cs="Arial"/>
              </w:rPr>
              <w:t>BV5K,BV5L,BV5O,BV5P,IW3A,IW3B,IW3C,IW3D,IW6I,IW6J,IW6K,IW6L,</w:t>
            </w:r>
            <w:r w:rsidR="002441F1">
              <w:rPr>
                <w:rFonts w:cs="Arial"/>
              </w:rPr>
              <w:br/>
            </w:r>
            <w:r w:rsidRPr="003428AC">
              <w:rPr>
                <w:rFonts w:cs="Arial"/>
              </w:rPr>
              <w:t>IW6M,IW6N,IW6O,IW6P,JW1A,JW1B,JW1C,JW1D,JW1F,JW1G,JW1H,</w:t>
            </w:r>
            <w:r w:rsidR="002441F1">
              <w:rPr>
                <w:rFonts w:cs="Arial"/>
              </w:rPr>
              <w:br/>
            </w:r>
            <w:r w:rsidRPr="003428AC">
              <w:rPr>
                <w:rFonts w:cs="Arial"/>
              </w:rPr>
              <w:t>JW1J,JW1K,JW1L,JW1N,JW1O,JW1P,KX3A,KX3B,KX3C,KX3D,KX6M,</w:t>
            </w:r>
            <w:r w:rsidR="002441F1">
              <w:rPr>
                <w:rFonts w:cs="Arial"/>
              </w:rPr>
              <w:br/>
            </w:r>
            <w:r w:rsidRPr="003428AC">
              <w:rPr>
                <w:rFonts w:cs="Arial"/>
              </w:rPr>
              <w:t>KX6N,KX6O,KX6P,LX1A,LX1B,LX1C,LX1D,LX1F,LX1G,LX1H,LX1L,LX1P,LX4D,LX4G,LX4H,LX4K,LX4L,LX4M,LX4N,LX4O,LX4P,MT4A,MT4B,</w:t>
            </w:r>
            <w:r w:rsidR="002441F1">
              <w:rPr>
                <w:rFonts w:cs="Arial"/>
              </w:rPr>
              <w:br/>
            </w:r>
            <w:r w:rsidRPr="003428AC">
              <w:rPr>
                <w:rFonts w:cs="Arial"/>
              </w:rPr>
              <w:t>MT4C,MT4D,MT4E,MT4I,MT4M,MT4N,MT5A,MT5B,MT5C,MT5D,MT5F,</w:t>
            </w:r>
            <w:r w:rsidR="002441F1">
              <w:rPr>
                <w:rFonts w:cs="Arial"/>
              </w:rPr>
              <w:br/>
            </w:r>
            <w:r w:rsidRPr="003428AC">
              <w:rPr>
                <w:rFonts w:cs="Arial"/>
              </w:rPr>
              <w:t>MT5G,MT5H,MT5J,MT5K,MT5L,MT5N,MT5O,MT5P,MU5A,MU5B,MU5E,MU5F,MU5I,MU5J,MU5M,MU5N,MU5O,MU5P,MU6B,MU6C,MU6D,MU6F,MU6G,MU6H,MU6J,MU6K,MU6L,MU6M,MU6N,MU6O,MU6P,MV3A,</w:t>
            </w:r>
            <w:r w:rsidR="002441F1">
              <w:rPr>
                <w:rFonts w:cs="Arial"/>
              </w:rPr>
              <w:br/>
            </w:r>
            <w:r w:rsidRPr="003428AC">
              <w:rPr>
                <w:rFonts w:cs="Arial"/>
              </w:rPr>
              <w:t>MV3B,MV3E,MV3I,MV3M,MV3N,MV9A,MV9B,MV9C,MW1A,MW1B,</w:t>
            </w:r>
            <w:r w:rsidR="002441F1">
              <w:rPr>
                <w:rFonts w:cs="Arial"/>
              </w:rPr>
              <w:br/>
            </w:r>
            <w:r w:rsidRPr="003428AC">
              <w:rPr>
                <w:rFonts w:cs="Arial"/>
              </w:rPr>
              <w:t>MW1C,MW1D,MW1E,MW1F,MW1G,MW1H,MW1I,MW1J,MW1K,MW1L,</w:t>
            </w:r>
            <w:r w:rsidR="002441F1">
              <w:rPr>
                <w:rFonts w:cs="Arial"/>
              </w:rPr>
              <w:br/>
            </w:r>
            <w:r w:rsidRPr="003428AC">
              <w:rPr>
                <w:rFonts w:cs="Arial"/>
              </w:rPr>
              <w:t>MW1M,MW1N,MW1O,MW2A,MW2B,MW2C,MW2D,MW2E,MW2F,MW2G,MW2H,MW2I,MW2J,MW2K,MW2L,MW2O,MW2P,MW3A,MW3E,MW3I,</w:t>
            </w:r>
            <w:r w:rsidR="002441F1">
              <w:rPr>
                <w:rFonts w:cs="Arial"/>
              </w:rPr>
              <w:br/>
            </w:r>
            <w:r w:rsidRPr="003428AC">
              <w:rPr>
                <w:rFonts w:cs="Arial"/>
              </w:rPr>
              <w:t>MW3M,MW3N,MW4A,MW4B,MW4C,MW4E,MW4F,MW4G,MW4I,MW4J,</w:t>
            </w:r>
            <w:r w:rsidR="002441F1">
              <w:rPr>
                <w:rFonts w:cs="Arial"/>
              </w:rPr>
              <w:br/>
            </w:r>
            <w:r w:rsidRPr="003428AC">
              <w:rPr>
                <w:rFonts w:cs="Arial"/>
              </w:rPr>
              <w:t>MW4K,MW4M,MW4N,MW4O,MW5C,MW5D,MW5G,MW5H,MW5K,MW5L,MW5O,MW5P,NT5A,NT5B,NT5C,NT5D,NT5E,NT5F,NT5G,NT5H,NT5I,</w:t>
            </w:r>
            <w:r w:rsidR="002441F1">
              <w:rPr>
                <w:rFonts w:cs="Arial"/>
              </w:rPr>
              <w:br/>
            </w:r>
            <w:r w:rsidRPr="003428AC">
              <w:rPr>
                <w:rFonts w:cs="Arial"/>
              </w:rPr>
              <w:t>NT5J,NT5K,NT5L,NT5M,NT5N,NT6A,NT6B,NT6C,NT6D,NT6E,NT6F,</w:t>
            </w:r>
            <w:r w:rsidR="002441F1">
              <w:rPr>
                <w:rFonts w:cs="Arial"/>
              </w:rPr>
              <w:br/>
            </w:r>
            <w:r w:rsidRPr="003428AC">
              <w:rPr>
                <w:rFonts w:cs="Arial"/>
              </w:rPr>
              <w:t>NT6G,NT6H,NT6I,NT6J,NT6K,NT6L,NT8A,NT8B,NT8E,NT8F,NT8I,NT8J,NT8M,NT8N,NU2A,NU2B,NU2E,NU2F,NU2G,NU2I,NU2J,NU2K,NU2L,</w:t>
            </w:r>
            <w:r w:rsidR="002441F1">
              <w:rPr>
                <w:rFonts w:cs="Arial"/>
              </w:rPr>
              <w:br/>
            </w:r>
            <w:r w:rsidRPr="003428AC">
              <w:rPr>
                <w:rFonts w:cs="Arial"/>
              </w:rPr>
              <w:t>NU2M,NU2N,NU2O,NU2P,NU3M,NU3N,NU3O,NU3P,NU7A,NU7B,NU7C,NU7D,NU7E,NU7F,NU7G,NU7H,NU7I,NU7J,NU7L,NU7M,NU7N,NU7O,</w:t>
            </w:r>
            <w:r w:rsidR="002441F1">
              <w:rPr>
                <w:rFonts w:cs="Arial"/>
              </w:rPr>
              <w:br/>
            </w:r>
            <w:r w:rsidRPr="003428AC">
              <w:rPr>
                <w:rFonts w:cs="Arial"/>
              </w:rPr>
              <w:t>NU7P,NV4A,NV4B,NV4C,NV4D,NV4E,NV4F,NV4G,NV4H,NV5A,NV5B,</w:t>
            </w:r>
            <w:r w:rsidR="002441F1">
              <w:rPr>
                <w:rFonts w:cs="Arial"/>
              </w:rPr>
              <w:br/>
            </w:r>
            <w:r w:rsidRPr="003428AC">
              <w:rPr>
                <w:rFonts w:cs="Arial"/>
              </w:rPr>
              <w:t>NV5C,NV5D,NV5E,NV5F,NV5G,NV5H,BV1E1,BV1E2,BV1E3,BV1E4,</w:t>
            </w:r>
            <w:r w:rsidR="002441F1">
              <w:rPr>
                <w:rFonts w:cs="Arial"/>
              </w:rPr>
              <w:br/>
            </w:r>
            <w:r w:rsidRPr="003428AC">
              <w:rPr>
                <w:rFonts w:cs="Arial"/>
              </w:rPr>
              <w:t>BV1E5,BV1E6,BV1F1,BV1F2,BV1F3,BV1F4,BV1F5,BV1F6,BV1G1,</w:t>
            </w:r>
            <w:r w:rsidR="002441F1">
              <w:rPr>
                <w:rFonts w:cs="Arial"/>
              </w:rPr>
              <w:br/>
            </w:r>
            <w:r w:rsidRPr="003428AC">
              <w:rPr>
                <w:rFonts w:cs="Arial"/>
              </w:rPr>
              <w:t>BV1G2,BV1G3,BV1G4,BV1G5,BV1G6,BV1H1,BV1H2,BV1H3,BV1H4,</w:t>
            </w:r>
            <w:r w:rsidR="002441F1">
              <w:rPr>
                <w:rFonts w:cs="Arial"/>
              </w:rPr>
              <w:br/>
            </w:r>
            <w:r w:rsidRPr="003428AC">
              <w:rPr>
                <w:rFonts w:cs="Arial"/>
              </w:rPr>
              <w:t>BV1H5,BV1H6,BV2E1,BV2E2,BV2E3,BV2E4,BV2E5,BV2E6,BV2F1,</w:t>
            </w:r>
            <w:r w:rsidR="002441F1">
              <w:rPr>
                <w:rFonts w:cs="Arial"/>
              </w:rPr>
              <w:br/>
            </w:r>
            <w:r w:rsidRPr="003428AC">
              <w:rPr>
                <w:rFonts w:cs="Arial"/>
              </w:rPr>
              <w:t>BV2F2,BV2F3,BV2F4,BV2F5,BV2F6,BV4M4,BV4M5,BV4M6,BV4M7,</w:t>
            </w:r>
            <w:r w:rsidR="002441F1">
              <w:rPr>
                <w:rFonts w:cs="Arial"/>
              </w:rPr>
              <w:br/>
            </w:r>
            <w:r w:rsidRPr="003428AC">
              <w:rPr>
                <w:rFonts w:cs="Arial"/>
              </w:rPr>
              <w:t>BV4M8,BV4M9,BV4N4,BV4N5,BV4N6,BV4N7,BV4N8,BV4N9,BV4O4,</w:t>
            </w:r>
            <w:r w:rsidR="002441F1">
              <w:rPr>
                <w:rFonts w:cs="Arial"/>
              </w:rPr>
              <w:br/>
            </w:r>
            <w:r w:rsidRPr="003428AC">
              <w:rPr>
                <w:rFonts w:cs="Arial"/>
              </w:rPr>
              <w:t>BV4O5,BV4O6,BV4O7,BV4O8,BV4O9,BV4P4,BV4P5,BV4P6,BV4P7,</w:t>
            </w:r>
            <w:r w:rsidR="002441F1">
              <w:rPr>
                <w:rFonts w:cs="Arial"/>
              </w:rPr>
              <w:br/>
            </w:r>
            <w:r w:rsidRPr="003428AC">
              <w:rPr>
                <w:rFonts w:cs="Arial"/>
              </w:rPr>
              <w:t>BV4P8,BV4P9,BV5M4,BV5M5,BV5M6,BV5M7,BV5M8,BV5M9,BV5N4,</w:t>
            </w:r>
            <w:r w:rsidR="002441F1">
              <w:rPr>
                <w:rFonts w:cs="Arial"/>
              </w:rPr>
              <w:br/>
            </w:r>
            <w:r w:rsidRPr="003428AC">
              <w:rPr>
                <w:rFonts w:cs="Arial"/>
              </w:rPr>
              <w:t>BV5N5,BV5N6,BV5N7,BV5N8,BV5N9,IW3E1,IW3E2,IW3E3,IW3E4,</w:t>
            </w:r>
            <w:r w:rsidR="002441F1">
              <w:rPr>
                <w:rFonts w:cs="Arial"/>
              </w:rPr>
              <w:br/>
            </w:r>
            <w:r w:rsidRPr="003428AC">
              <w:rPr>
                <w:rFonts w:cs="Arial"/>
              </w:rPr>
              <w:t>IW3E7,IW3F1,IW3F2,IW3F3,IW3G1,IW3G2,IW3G3,IW3H1,IW3H2,IW3H3,</w:t>
            </w:r>
            <w:r w:rsidR="002441F1">
              <w:rPr>
                <w:rFonts w:cs="Arial"/>
              </w:rPr>
              <w:br/>
            </w:r>
            <w:r w:rsidRPr="003428AC">
              <w:rPr>
                <w:rFonts w:cs="Arial"/>
              </w:rPr>
              <w:t>IW3I1,IW3I4,IW3I7,IW3M1,IW3M4,IW3M7,IW6A1,IW6A4,IW6A7,IW6E1,</w:t>
            </w:r>
            <w:r w:rsidR="002441F1">
              <w:rPr>
                <w:rFonts w:cs="Arial"/>
              </w:rPr>
              <w:br/>
            </w:r>
            <w:r w:rsidRPr="003428AC">
              <w:rPr>
                <w:rFonts w:cs="Arial"/>
              </w:rPr>
              <w:lastRenderedPageBreak/>
              <w:t>IW6E4,IW6E7,JW1E1,JW1E2,JW1E3,JW1E5,JW1E6,JW1E8,JW1E9,</w:t>
            </w:r>
            <w:r w:rsidR="002441F1">
              <w:rPr>
                <w:rFonts w:cs="Arial"/>
              </w:rPr>
              <w:br/>
            </w:r>
            <w:r w:rsidRPr="003428AC">
              <w:rPr>
                <w:rFonts w:cs="Arial"/>
              </w:rPr>
              <w:t>JW1I2,JW1I3,JW1I5,JW1I6,JW1I8,JW1I9,JW1M2,JW1M3,JW1M5,JW1M6,JW1M7,JW1M8,JW1M9,KX3E1,KX3E2,KX3E3,KX3E4,KX3E5,KX3E6,</w:t>
            </w:r>
            <w:r w:rsidR="002441F1">
              <w:rPr>
                <w:rFonts w:cs="Arial"/>
              </w:rPr>
              <w:br/>
            </w:r>
            <w:r w:rsidRPr="003428AC">
              <w:rPr>
                <w:rFonts w:cs="Arial"/>
              </w:rPr>
              <w:t>KX3E7,KX3E8,KX3F1,KX3F2,KX3F3,KX3F4,KX3G3,KX3H1,KX3H2,</w:t>
            </w:r>
            <w:r w:rsidR="002441F1">
              <w:rPr>
                <w:rFonts w:cs="Arial"/>
              </w:rPr>
              <w:br/>
            </w:r>
            <w:r w:rsidRPr="003428AC">
              <w:rPr>
                <w:rFonts w:cs="Arial"/>
              </w:rPr>
              <w:t>KX3H3,KX3I1,KX3I2,KX3I4,KX3I5,KX3I7,KX3M1,LX1E1,LX1E2,LX1E3,</w:t>
            </w:r>
            <w:r w:rsidR="002441F1">
              <w:rPr>
                <w:rFonts w:cs="Arial"/>
              </w:rPr>
              <w:br/>
            </w:r>
            <w:r w:rsidRPr="003428AC">
              <w:rPr>
                <w:rFonts w:cs="Arial"/>
              </w:rPr>
              <w:t>LX1E5,LX1E6,LX1J2,LX1J3,LX1K1,LX1K2,LX1K3,LX1K5,LX1K6,LX1K8,</w:t>
            </w:r>
            <w:r w:rsidR="002441F1">
              <w:rPr>
                <w:rFonts w:cs="Arial"/>
              </w:rPr>
              <w:br/>
            </w:r>
            <w:r w:rsidRPr="003428AC">
              <w:rPr>
                <w:rFonts w:cs="Arial"/>
              </w:rPr>
              <w:t>LX1K9,LX4F3,LX4F6,LX4F9,LX4J3,LX4J6,LX4J9,MT4F1,MT4F2,MT4F3,MT4F4,MT4F5,MT4F6,MT4F7,MT4F8,MT4G1,MT4J1,MT4J2,MT4J4,</w:t>
            </w:r>
            <w:r w:rsidR="002441F1">
              <w:rPr>
                <w:rFonts w:cs="Arial"/>
              </w:rPr>
              <w:br/>
            </w:r>
            <w:r w:rsidRPr="003428AC">
              <w:rPr>
                <w:rFonts w:cs="Arial"/>
              </w:rPr>
              <w:t>MT4J5,MT4J7,MT4J8,MT4J9,MT4O4,MT4O5,MT4O7,MT4O8,MT4O9,</w:t>
            </w:r>
            <w:r w:rsidR="00917459">
              <w:rPr>
                <w:rFonts w:cs="Arial"/>
              </w:rPr>
              <w:br/>
            </w:r>
            <w:r w:rsidRPr="003428AC">
              <w:rPr>
                <w:rFonts w:cs="Arial"/>
              </w:rPr>
              <w:t>MT4P6,MT4P7,MT4P8,MT4P9,MT5E1,MT5E2,MT5E3,MT5E5,MT5E6,</w:t>
            </w:r>
            <w:r w:rsidR="00917459">
              <w:rPr>
                <w:rFonts w:cs="Arial"/>
              </w:rPr>
              <w:br/>
            </w:r>
            <w:r w:rsidRPr="003428AC">
              <w:rPr>
                <w:rFonts w:cs="Arial"/>
              </w:rPr>
              <w:t>MT5E8,MT5E9,MT5I3,MT5I6,MT5I8,MT5I9,MT5M2,MT5M3,MT5M4,</w:t>
            </w:r>
            <w:r w:rsidR="00917459">
              <w:rPr>
                <w:rFonts w:cs="Arial"/>
              </w:rPr>
              <w:br/>
            </w:r>
            <w:r w:rsidRPr="003428AC">
              <w:rPr>
                <w:rFonts w:cs="Arial"/>
              </w:rPr>
              <w:t>MT5M5,MT5M6,MT5M7,MT5M8,MT5M9,MU5C1,MU5C2,MU5C3,MU5C4,MU5C5,MU5C6,MU5C7,MU5D1,MU5D2,MU5D3,MU5D4,MU5D5,MU5D6,MU5K7,MU6A1,MU6A2,MU6A3,MU6A4,MU6A5,MU6A6,MU6A8,MU6A9,</w:t>
            </w:r>
            <w:r w:rsidR="00917459">
              <w:rPr>
                <w:rFonts w:cs="Arial"/>
              </w:rPr>
              <w:br/>
            </w:r>
            <w:r w:rsidRPr="003428AC">
              <w:rPr>
                <w:rFonts w:cs="Arial"/>
              </w:rPr>
              <w:t>MU6E3,MU6E6,MU6E9,MU6I3,MU6I6,MU6I8,MU6I9,MV3C1,MV3C2,</w:t>
            </w:r>
            <w:r w:rsidR="00917459">
              <w:rPr>
                <w:rFonts w:cs="Arial"/>
              </w:rPr>
              <w:br/>
            </w:r>
            <w:r w:rsidRPr="003428AC">
              <w:rPr>
                <w:rFonts w:cs="Arial"/>
              </w:rPr>
              <w:t>MV3C3,MV3C4,MV3C5,MV3C6,MV3C7,MV3D1,MV3D2,MV3D3,MV3D4,</w:t>
            </w:r>
            <w:r w:rsidR="00917459">
              <w:rPr>
                <w:rFonts w:cs="Arial"/>
              </w:rPr>
              <w:br/>
            </w:r>
            <w:r w:rsidRPr="003428AC">
              <w:rPr>
                <w:rFonts w:cs="Arial"/>
              </w:rPr>
              <w:t>MV3D5,MV3D6,MV3D8,MV3D9,MV3F1,MV3F2,MV3F4,MV3F7,MV3J1,</w:t>
            </w:r>
            <w:r w:rsidR="00917459">
              <w:rPr>
                <w:rFonts w:cs="Arial"/>
              </w:rPr>
              <w:br/>
            </w:r>
            <w:r w:rsidRPr="003428AC">
              <w:rPr>
                <w:rFonts w:cs="Arial"/>
              </w:rPr>
              <w:t>MV3J4,MV3J7,MV3J8,MV3O4,MV3O5,MV3O6,MV3O7,MV3O8,MV3O9,</w:t>
            </w:r>
            <w:r w:rsidR="00917459">
              <w:rPr>
                <w:rFonts w:cs="Arial"/>
              </w:rPr>
              <w:br/>
            </w:r>
            <w:r w:rsidRPr="003428AC">
              <w:rPr>
                <w:rFonts w:cs="Arial"/>
              </w:rPr>
              <w:t>MV3P2,MV3P3,MV3P4,MV3P5,MV3P6,MV3P7,MV3P8,MV3P9,MV9D1,</w:t>
            </w:r>
            <w:r w:rsidR="00917459">
              <w:rPr>
                <w:rFonts w:cs="Arial"/>
              </w:rPr>
              <w:br/>
            </w:r>
            <w:r w:rsidRPr="003428AC">
              <w:rPr>
                <w:rFonts w:cs="Arial"/>
              </w:rPr>
              <w:t>MV9D2,MV9D3,MV9D4,MV9D5,MV9D7,MV9D8,MV9E1,MV9E2,MV9E3,</w:t>
            </w:r>
            <w:r w:rsidR="00917459">
              <w:rPr>
                <w:rFonts w:cs="Arial"/>
              </w:rPr>
              <w:br/>
            </w:r>
            <w:r w:rsidRPr="003428AC">
              <w:rPr>
                <w:rFonts w:cs="Arial"/>
              </w:rPr>
              <w:t>MV9F1,MV9F2,MV9F3,MV9G1,MV9G2,MV9G3,MV9H1,MV9H2,MW1P1,</w:t>
            </w:r>
            <w:r w:rsidR="00917459">
              <w:rPr>
                <w:rFonts w:cs="Arial"/>
              </w:rPr>
              <w:br/>
            </w:r>
            <w:r w:rsidRPr="003428AC">
              <w:rPr>
                <w:rFonts w:cs="Arial"/>
              </w:rPr>
              <w:t>MW1P2,MW1P3,MW2M1,MW2M2,MW2M3,MW2N1,MW2N2,MW2N3,</w:t>
            </w:r>
            <w:r w:rsidR="00917459">
              <w:rPr>
                <w:rFonts w:cs="Arial"/>
              </w:rPr>
              <w:br/>
            </w:r>
            <w:r w:rsidRPr="003428AC">
              <w:rPr>
                <w:rFonts w:cs="Arial"/>
              </w:rPr>
              <w:t>MW3B1,MW3B4,MW3B7,MW3F1,MW3F4,MW3F7,MW3J1,MW3J4,</w:t>
            </w:r>
            <w:r w:rsidR="00917459">
              <w:rPr>
                <w:rFonts w:cs="Arial"/>
              </w:rPr>
              <w:br/>
            </w:r>
            <w:r w:rsidRPr="003428AC">
              <w:rPr>
                <w:rFonts w:cs="Arial"/>
              </w:rPr>
              <w:t>MW3J5,MW3J6,MW3J7,MW3J8,MW3J9,MW3O4,MW3O5,MW3O6,</w:t>
            </w:r>
            <w:r w:rsidR="00917459">
              <w:rPr>
                <w:rFonts w:cs="Arial"/>
              </w:rPr>
              <w:br/>
            </w:r>
            <w:r w:rsidRPr="003428AC">
              <w:rPr>
                <w:rFonts w:cs="Arial"/>
              </w:rPr>
              <w:t>MW3O7,MW3O8,MW3O9,MW3P4,MW3P5,MW3P6,MW3P7,MW3P8,</w:t>
            </w:r>
            <w:r w:rsidR="00917459">
              <w:rPr>
                <w:rFonts w:cs="Arial"/>
              </w:rPr>
              <w:br/>
            </w:r>
            <w:r w:rsidRPr="003428AC">
              <w:rPr>
                <w:rFonts w:cs="Arial"/>
              </w:rPr>
              <w:t>MW3P9,MW4P4,MW4P5,MW4P6,MW4P7,MW4P8,MW4P9,MW5M4,</w:t>
            </w:r>
            <w:r w:rsidR="00917459">
              <w:rPr>
                <w:rFonts w:cs="Arial"/>
              </w:rPr>
              <w:br/>
            </w:r>
            <w:r w:rsidRPr="003428AC">
              <w:rPr>
                <w:rFonts w:cs="Arial"/>
              </w:rPr>
              <w:t>MW5M5,MW5M6,MW5M7,MW5M8,MW5M9,MW5N4,MW5N5,MW5N6,</w:t>
            </w:r>
            <w:r w:rsidR="00917459">
              <w:rPr>
                <w:rFonts w:cs="Arial"/>
              </w:rPr>
              <w:br/>
            </w:r>
            <w:r w:rsidRPr="003428AC">
              <w:rPr>
                <w:rFonts w:cs="Arial"/>
              </w:rPr>
              <w:t>MW5N7,MW5N8,MW5N9,NT5O1,NT5O2,NT5O3,NT5P1,NT5P2,NT5P3,</w:t>
            </w:r>
            <w:r w:rsidR="00917459">
              <w:rPr>
                <w:rFonts w:cs="Arial"/>
              </w:rPr>
              <w:br/>
            </w:r>
            <w:r w:rsidRPr="003428AC">
              <w:rPr>
                <w:rFonts w:cs="Arial"/>
              </w:rPr>
              <w:t>NT6M1,NT6M2,NT6M3,NT6N1,NT6N2,NT6N3,NT6O1,NT6O2,NT6O3,</w:t>
            </w:r>
            <w:r w:rsidR="00917459">
              <w:rPr>
                <w:rFonts w:cs="Arial"/>
              </w:rPr>
              <w:br/>
            </w:r>
            <w:r w:rsidRPr="003428AC">
              <w:rPr>
                <w:rFonts w:cs="Arial"/>
              </w:rPr>
              <w:t>NT6P1,NT6P2,NT6P3,NU2C4,NU2C5,NU2C6,NU2C7,NU2C8,NU2C9,</w:t>
            </w:r>
            <w:r w:rsidR="00917459">
              <w:rPr>
                <w:rFonts w:cs="Arial"/>
              </w:rPr>
              <w:br/>
            </w:r>
            <w:r w:rsidRPr="003428AC">
              <w:rPr>
                <w:rFonts w:cs="Arial"/>
              </w:rPr>
              <w:t>NU2D4,NU2D7,NU2H1,NU2H4,NU2H5,NU2H6,NU2H7,NU2H8,NU2H9,</w:t>
            </w:r>
            <w:r w:rsidR="00917459">
              <w:rPr>
                <w:rFonts w:cs="Arial"/>
              </w:rPr>
              <w:br/>
            </w:r>
            <w:r w:rsidRPr="003428AC">
              <w:rPr>
                <w:rFonts w:cs="Arial"/>
              </w:rPr>
              <w:t>NU3E4,NU3E7,NU3I1,NU3I4,NU3I5,NU3I6,NU3I7,NU3I8,NU3I9,NU3J4,</w:t>
            </w:r>
            <w:r w:rsidR="00917459">
              <w:rPr>
                <w:rFonts w:cs="Arial"/>
              </w:rPr>
              <w:br/>
            </w:r>
            <w:r w:rsidRPr="003428AC">
              <w:rPr>
                <w:rFonts w:cs="Arial"/>
              </w:rPr>
              <w:t>NU3J5,NU3J6,NU3J7,NU3J8,NU3J9,NU3K4,NU3K5,NU3K6,NU3K7,</w:t>
            </w:r>
            <w:r w:rsidR="00917459">
              <w:rPr>
                <w:rFonts w:cs="Arial"/>
              </w:rPr>
              <w:br/>
            </w:r>
            <w:r w:rsidRPr="003428AC">
              <w:rPr>
                <w:rFonts w:cs="Arial"/>
              </w:rPr>
              <w:t>NU3K8,NU3K9,NU3L4,NU3L5,NU3L6,NU3L7,NU3L8,NU3L9,NU7K1,</w:t>
            </w:r>
            <w:r w:rsidR="00917459">
              <w:rPr>
                <w:rFonts w:cs="Arial"/>
              </w:rPr>
              <w:br/>
            </w:r>
            <w:r w:rsidRPr="003428AC">
              <w:rPr>
                <w:rFonts w:cs="Arial"/>
              </w:rPr>
              <w:t>NU7K2,NU7K3,NU7K5,NU7K6,NU7K7,NU7K8,NU7K9,NV4I1,NV4I2,</w:t>
            </w:r>
            <w:r w:rsidR="00917459">
              <w:rPr>
                <w:rFonts w:cs="Arial"/>
              </w:rPr>
              <w:br/>
            </w:r>
            <w:r w:rsidRPr="003428AC">
              <w:rPr>
                <w:rFonts w:cs="Arial"/>
              </w:rPr>
              <w:t>NV4I3,NV4I4,NV4I7,NV4J1,NV4J2,NV4J3,NV4K1,NV4K2,NV4K3,NV4L1,</w:t>
            </w:r>
            <w:r w:rsidR="00917459">
              <w:rPr>
                <w:rFonts w:cs="Arial"/>
              </w:rPr>
              <w:br/>
            </w:r>
            <w:r w:rsidRPr="003428AC">
              <w:rPr>
                <w:rFonts w:cs="Arial"/>
              </w:rPr>
              <w:t>NV4L2,NV4L3,NV4M1,NV4M4,NV4M7,NV5I1,NV5I2,NV5I3,NV5J1,NV5J2,NV5J3,NV5K1,NV5K2,NV5K3,NV5L1,NV5L2,NV5L3,NV7A1,NW1M4,</w:t>
            </w:r>
            <w:r w:rsidR="00917459">
              <w:rPr>
                <w:rFonts w:cs="Arial"/>
              </w:rPr>
              <w:br/>
            </w:r>
            <w:r w:rsidRPr="003428AC">
              <w:rPr>
                <w:rFonts w:cs="Arial"/>
              </w:rPr>
              <w:t>NW1M5,NW1M6,NW1M7,NW1M8,NW1M9,NW1N4,NW1N5,NW1N6,</w:t>
            </w:r>
            <w:r w:rsidR="00917459">
              <w:rPr>
                <w:rFonts w:cs="Arial"/>
              </w:rPr>
              <w:br/>
            </w:r>
            <w:r w:rsidRPr="003428AC">
              <w:rPr>
                <w:rFonts w:cs="Arial"/>
              </w:rPr>
              <w:t>NW1N7,NW1N8,NW1N9,NW1O4,NW1O5,NW1O6,NW1O7,NW1O8,</w:t>
            </w:r>
            <w:r w:rsidR="00917459">
              <w:rPr>
                <w:rFonts w:cs="Arial"/>
              </w:rPr>
              <w:br/>
            </w:r>
            <w:r w:rsidRPr="003428AC">
              <w:rPr>
                <w:rFonts w:cs="Arial"/>
              </w:rPr>
              <w:t>NW1O9,NW1P4,NW1P5,NW1P6,NW1P7,NW1P8,NW1P9</w:t>
            </w:r>
          </w:p>
        </w:tc>
      </w:tr>
      <w:tr w:rsidR="004A7F3D" w:rsidRPr="003428AC" w14:paraId="1F2A0300" w14:textId="77777777" w:rsidTr="0063160E">
        <w:tc>
          <w:tcPr>
            <w:tcW w:w="1130" w:type="dxa"/>
            <w:hideMark/>
          </w:tcPr>
          <w:p w14:paraId="0A075D72" w14:textId="77777777" w:rsidR="004A7F3D" w:rsidRPr="003428AC" w:rsidRDefault="004A7F3D" w:rsidP="001A3E27">
            <w:pPr>
              <w:pStyle w:val="TableBody"/>
              <w:keepNext/>
              <w:rPr>
                <w:rFonts w:cs="Arial"/>
              </w:rPr>
            </w:pPr>
            <w:r w:rsidRPr="003428AC">
              <w:rPr>
                <w:rFonts w:cs="Arial"/>
              </w:rPr>
              <w:lastRenderedPageBreak/>
              <w:t>Australia-wide</w:t>
            </w:r>
          </w:p>
        </w:tc>
        <w:tc>
          <w:tcPr>
            <w:tcW w:w="1460" w:type="dxa"/>
            <w:hideMark/>
          </w:tcPr>
          <w:p w14:paraId="579891D0" w14:textId="77777777" w:rsidR="004A7F3D" w:rsidRPr="003428AC" w:rsidRDefault="004A7F3D" w:rsidP="001A3E27">
            <w:pPr>
              <w:pStyle w:val="TableBody"/>
              <w:keepNext/>
              <w:rPr>
                <w:rFonts w:cs="Arial"/>
              </w:rPr>
            </w:pPr>
            <w:r w:rsidRPr="003428AC">
              <w:rPr>
                <w:rFonts w:cs="Arial"/>
              </w:rPr>
              <w:t>–</w:t>
            </w:r>
          </w:p>
        </w:tc>
        <w:tc>
          <w:tcPr>
            <w:tcW w:w="6905" w:type="dxa"/>
            <w:hideMark/>
          </w:tcPr>
          <w:p w14:paraId="131EC9A2" w14:textId="77777777" w:rsidR="004A7F3D" w:rsidRPr="003428AC" w:rsidRDefault="004A7F3D" w:rsidP="001A3E27">
            <w:pPr>
              <w:pStyle w:val="TableBody"/>
              <w:keepNext/>
              <w:rPr>
                <w:rFonts w:cs="Arial"/>
              </w:rPr>
            </w:pPr>
            <w:r w:rsidRPr="003428AC">
              <w:rPr>
                <w:rFonts w:cs="Arial"/>
              </w:rPr>
              <w:t>AR8, AR9, AS2, AS3, AS5, AS6, AS8, AS9, AT1, AT2, AT3, AT5, AT6, AT8, AT9, AU2, AU3, AU6, AU9, AV9, AW3, BR, BS, BT, BU, BV, BW1, BW2, BW3, BW5, BW6, CR, CS, CT, CU, CV, CW1, CW2, CW3, CW4, DQ, DR, DS, DT, DU, DV, DW1, DW2, DW3, EP, EQ, ER, ES, ET, EU, EV1, EV2, EV3, EV4, EV5, EV6, EV7, FP, FQ, FR, FS, FT, FU, FV1, FV2, FV3, FV4, FV5, GO3, GO4, GO5, GO6, GO7, GO8, GO9, GP, GQ, GR, GS, GT, GU, GV1, GV2, GV3, GV6, HO, HP, HQ, HR, HS, HT, HU, HV1, HV2, HV3, HV4, HV5, HV6, HV8, HV9, HW3, HW6, IO, IP, IQ, IR, IS, IT, IU, IV, IW, JO, JP, JQ, JR, JS, JT, JU, JV, JW, JX1, JX2, JX3, JX5, JX6, KO1, KO4, KO5, KO7, KO8, KP1, KP2, KP4, KP5, KP6, KP7, KP8, KP9, KQ, KR, KS, KT, KU, KV, KW, KX1, KX2, KX3, KX4, KX5, KX6, KX8, KX9, KY2, KY3, KY6, LP4, LP7, LQ1, LQ2, LQ4, LQ5, LQ7, LQ8, LR, LS, LT, LU, LV, LW, LX, LY, LZ1, LZ2, LZ3, MR1, MR4, MR5, MR7, MR8, MR9, MS, MT, MU, MV, MW, MX1, MX2, MX3, MX4, MX7, MY1, MY4, MY7, MZ1, NS4, NS7, NS8, NS9, NT, NU, NV1, NV2, NV3, NV4, NV5, NV7, NW1</w:t>
            </w:r>
          </w:p>
        </w:tc>
      </w:tr>
    </w:tbl>
    <w:p w14:paraId="29C1E4DA" w14:textId="77777777" w:rsidR="004A7F3D" w:rsidRPr="003428AC" w:rsidRDefault="004A7F3D" w:rsidP="001A3E27">
      <w:pPr>
        <w:keepNext/>
        <w:rPr>
          <w:rFonts w:cs="Arial"/>
        </w:rPr>
      </w:pPr>
    </w:p>
    <w:p w14:paraId="0E754E79" w14:textId="77777777" w:rsidR="004A7F3D" w:rsidRPr="003428AC" w:rsidRDefault="004A7F3D" w:rsidP="004A7F3D">
      <w:pPr>
        <w:rPr>
          <w:rFonts w:cs="Arial"/>
        </w:rPr>
      </w:pPr>
    </w:p>
    <w:p w14:paraId="55608E9A" w14:textId="77777777" w:rsidR="004A7F3D" w:rsidRPr="004A7F3D" w:rsidRDefault="004A7F3D" w:rsidP="004A7F3D"/>
    <w:sectPr w:rsidR="004A7F3D" w:rsidRPr="004A7F3D" w:rsidSect="0078033C">
      <w:headerReference w:type="even" r:id="rId65"/>
      <w:headerReference w:type="default" r:id="rId66"/>
      <w:footerReference w:type="even" r:id="rId67"/>
      <w:footerReference w:type="default" r:id="rId68"/>
      <w:pgSz w:w="11906" w:h="16838" w:code="9"/>
      <w:pgMar w:top="2127" w:right="3117" w:bottom="1440" w:left="1134"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D9B6F" w14:textId="77777777" w:rsidR="00281511" w:rsidRDefault="00281511">
      <w:r>
        <w:separator/>
      </w:r>
    </w:p>
  </w:endnote>
  <w:endnote w:type="continuationSeparator" w:id="0">
    <w:p w14:paraId="0BFB3D78" w14:textId="77777777" w:rsidR="00281511" w:rsidRDefault="00281511">
      <w:r>
        <w:continuationSeparator/>
      </w:r>
    </w:p>
  </w:endnote>
  <w:endnote w:type="continuationNotice" w:id="1">
    <w:p w14:paraId="6B13555B" w14:textId="77777777" w:rsidR="00281511" w:rsidRDefault="002815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宋体">
    <w:altName w:val="Microsoft YaHei"/>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D0992" w14:textId="77777777" w:rsidR="00C4276D" w:rsidRDefault="00C4276D" w:rsidP="0092300B">
    <w:pPr>
      <w:pStyle w:val="Footer"/>
      <w:jc w:val="right"/>
    </w:pPr>
    <w:r w:rsidRPr="005E250B">
      <w:rPr>
        <w:noProof/>
        <w:vertAlign w:val="subscript"/>
      </w:rPr>
      <w:drawing>
        <wp:inline distT="0" distB="0" distL="0" distR="0" wp14:anchorId="6944D850" wp14:editId="112B70B3">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p w14:paraId="4834DA41" w14:textId="4AC2E973" w:rsidR="00C4276D" w:rsidRDefault="00C4276D" w:rsidP="005629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14128" w14:textId="77777777" w:rsidR="00C4276D" w:rsidRDefault="00C427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85B48" w14:textId="77777777" w:rsidR="00C4276D" w:rsidRDefault="00C4276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A0187" w14:textId="77777777" w:rsidR="00C4276D" w:rsidRPr="00622A3B" w:rsidRDefault="00C4276D" w:rsidP="005629AD">
    <w:pPr>
      <w:pStyle w:val="Footer"/>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fldChar w:fldCharType="begin"/>
    </w:r>
    <w:r w:rsidRPr="002E4DDC">
      <w:instrText xml:space="preserve"> PAGE  \* roman  \* MERGEFORMAT </w:instrText>
    </w:r>
    <w:r w:rsidRPr="002E4DDC">
      <w:fldChar w:fldCharType="separate"/>
    </w:r>
    <w:r>
      <w:t>iv</w:t>
    </w:r>
    <w:r w:rsidRPr="002E4DDC">
      <w:fldChar w:fldCharType="end"/>
    </w:r>
  </w:p>
  <w:p w14:paraId="70296AB0" w14:textId="77777777" w:rsidR="00C4276D" w:rsidRPr="00A5474E" w:rsidRDefault="00C4276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91BF8" w14:textId="77777777" w:rsidR="00C4276D" w:rsidRPr="00622A3B" w:rsidRDefault="00C4276D">
    <w:pPr>
      <w:pStyle w:val="Footer"/>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fldChar w:fldCharType="begin"/>
    </w:r>
    <w:r w:rsidRPr="002E4DDC">
      <w:instrText xml:space="preserve"> PAGE  \* roman  \* MERGEFORMAT </w:instrText>
    </w:r>
    <w:r w:rsidRPr="002E4DDC">
      <w:fldChar w:fldCharType="separate"/>
    </w:r>
    <w:r>
      <w:t>v</w:t>
    </w:r>
    <w:r w:rsidRPr="002E4DDC">
      <w:fldChar w:fldCharType="end"/>
    </w:r>
  </w:p>
  <w:p w14:paraId="20A2B15E" w14:textId="77777777" w:rsidR="00C4276D" w:rsidRPr="00A5474E" w:rsidRDefault="00C4276D">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E4E82" w14:textId="77777777" w:rsidR="00C4276D" w:rsidRPr="00622A3B" w:rsidRDefault="00C4276D">
    <w:pPr>
      <w:pStyle w:val="Footer"/>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fldChar w:fldCharType="begin"/>
    </w:r>
    <w:r w:rsidRPr="002E4DDC">
      <w:instrText xml:space="preserve"> PAGE  \* roman  \* MERGEFORMAT </w:instrText>
    </w:r>
    <w:r w:rsidRPr="002E4DDC">
      <w:fldChar w:fldCharType="separate"/>
    </w:r>
    <w:r>
      <w:t>iii</w:t>
    </w:r>
    <w:r w:rsidRPr="002E4DDC">
      <w:fldChar w:fldCharType="end"/>
    </w:r>
  </w:p>
  <w:p w14:paraId="7796B76D" w14:textId="77777777" w:rsidR="00C4276D" w:rsidRPr="00A5474E" w:rsidRDefault="00C4276D">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7A5A8" w14:textId="77777777" w:rsidR="003D16A8" w:rsidRPr="00622A3B" w:rsidRDefault="003D16A8" w:rsidP="004A5881">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4EAFFE2" w14:textId="77777777" w:rsidR="003D16A8" w:rsidRPr="00A5474E" w:rsidRDefault="003D16A8" w:rsidP="004A5881">
    <w:pPr>
      <w:pStyle w:val="Footer"/>
    </w:pPr>
  </w:p>
  <w:p w14:paraId="766789D8" w14:textId="77777777" w:rsidR="003D16A8" w:rsidRPr="00A5474E" w:rsidRDefault="003D16A8" w:rsidP="005629AD">
    <w:pPr>
      <w:pStyle w:val="Footer"/>
    </w:pPr>
  </w:p>
  <w:p w14:paraId="7D201056" w14:textId="77777777" w:rsidR="003D16A8" w:rsidRDefault="003D16A8"/>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6B314" w14:textId="77777777" w:rsidR="003D16A8" w:rsidRPr="00622A3B" w:rsidRDefault="003D16A8" w:rsidP="004A5881">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color w:val="505050"/>
      </w:rPr>
      <w:t>1</w:t>
    </w:r>
    <w:r w:rsidRPr="00575AC5">
      <w:rPr>
        <w:color w:val="505050"/>
      </w:rPr>
      <w:fldChar w:fldCharType="end"/>
    </w:r>
  </w:p>
  <w:p w14:paraId="75D0C367" w14:textId="77777777" w:rsidR="003D16A8" w:rsidRPr="00A5474E" w:rsidRDefault="003D16A8" w:rsidP="004A5881">
    <w:pPr>
      <w:pStyle w:val="Footer"/>
      <w:tabs>
        <w:tab w:val="clear" w:pos="113"/>
        <w:tab w:val="left" w:pos="3960"/>
      </w:tabs>
    </w:pPr>
    <w:r>
      <w:tab/>
    </w:r>
  </w:p>
  <w:p w14:paraId="64E54F03" w14:textId="77777777" w:rsidR="003D16A8" w:rsidRPr="00A5474E" w:rsidRDefault="003D16A8">
    <w:pPr>
      <w:pStyle w:val="Footer"/>
    </w:pPr>
  </w:p>
  <w:p w14:paraId="4C150506" w14:textId="77777777" w:rsidR="003D16A8" w:rsidRDefault="003D16A8"/>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249CD" w14:textId="77777777" w:rsidR="00C4276D" w:rsidRPr="00622A3B" w:rsidRDefault="00C4276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4C65EA48" w14:textId="77777777" w:rsidR="00C4276D" w:rsidRPr="00A5474E" w:rsidRDefault="00C4276D"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45266" w14:textId="77777777" w:rsidR="00C4276D" w:rsidRPr="00622A3B" w:rsidRDefault="00C4276D"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5</w:t>
    </w:r>
    <w:r w:rsidRPr="00575AC5">
      <w:rPr>
        <w:color w:val="505050"/>
      </w:rPr>
      <w:fldChar w:fldCharType="end"/>
    </w:r>
  </w:p>
  <w:p w14:paraId="4F29E64D" w14:textId="77777777" w:rsidR="00C4276D" w:rsidRPr="00A5474E" w:rsidRDefault="00C4276D"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43BC7A" w14:textId="77777777" w:rsidR="00281511" w:rsidRDefault="00281511" w:rsidP="00B24C22">
      <w:r>
        <w:separator/>
      </w:r>
    </w:p>
  </w:footnote>
  <w:footnote w:type="continuationSeparator" w:id="0">
    <w:p w14:paraId="25857FEA" w14:textId="77777777" w:rsidR="00281511" w:rsidRDefault="00281511">
      <w:r>
        <w:continuationSeparator/>
      </w:r>
    </w:p>
  </w:footnote>
  <w:footnote w:type="continuationNotice" w:id="1">
    <w:p w14:paraId="5C444241" w14:textId="77777777" w:rsidR="00281511" w:rsidRDefault="00281511"/>
  </w:footnote>
  <w:footnote w:id="2">
    <w:p w14:paraId="4DA85824" w14:textId="385B8E3B" w:rsidR="00C4276D" w:rsidRDefault="00C4276D" w:rsidP="001D11F9">
      <w:pPr>
        <w:pStyle w:val="FootnoteText"/>
      </w:pPr>
      <w:r>
        <w:rPr>
          <w:rStyle w:val="FootnoteReference"/>
        </w:rPr>
        <w:footnoteRef/>
      </w:r>
      <w:r>
        <w:t xml:space="preserve"> ACMA </w:t>
      </w:r>
      <w:hyperlink r:id="rId1" w:history="1">
        <w:r w:rsidR="003B75B6" w:rsidRPr="00F10BB9">
          <w:rPr>
            <w:rStyle w:val="Hyperlink"/>
          </w:rPr>
          <w:t>Corporate plan 20</w:t>
        </w:r>
        <w:r w:rsidR="00D87625" w:rsidRPr="00F10BB9">
          <w:rPr>
            <w:rStyle w:val="Hyperlink"/>
          </w:rPr>
          <w:t>2</w:t>
        </w:r>
        <w:r w:rsidR="003B75B6" w:rsidRPr="00F10BB9">
          <w:rPr>
            <w:rStyle w:val="Hyperlink"/>
          </w:rPr>
          <w:t>2</w:t>
        </w:r>
        <w:r w:rsidR="00833CA2">
          <w:rPr>
            <w:rStyle w:val="Hyperlink"/>
          </w:rPr>
          <w:t>–</w:t>
        </w:r>
        <w:r w:rsidR="003B75B6" w:rsidRPr="00F10BB9">
          <w:rPr>
            <w:rStyle w:val="Hyperlink"/>
          </w:rPr>
          <w:t>23</w:t>
        </w:r>
      </w:hyperlink>
    </w:p>
  </w:footnote>
  <w:footnote w:id="3">
    <w:p w14:paraId="4F1FCD99" w14:textId="471F8A24" w:rsidR="00C4276D" w:rsidRDefault="00C4276D" w:rsidP="004346FA">
      <w:pPr>
        <w:pStyle w:val="FootnoteText"/>
        <w:ind w:right="1557"/>
      </w:pPr>
      <w:r>
        <w:rPr>
          <w:rStyle w:val="FootnoteReference"/>
        </w:rPr>
        <w:footnoteRef/>
      </w:r>
      <w:r>
        <w:t xml:space="preserve"> Technical conditions include maximum power, frequency range, out-of-band emissions limits, geographical licence area and out-of-area emission limits. </w:t>
      </w:r>
    </w:p>
  </w:footnote>
  <w:footnote w:id="4">
    <w:p w14:paraId="211F8717" w14:textId="56B04E83" w:rsidR="003E029E" w:rsidRDefault="003E029E">
      <w:pPr>
        <w:pStyle w:val="FootnoteText"/>
      </w:pPr>
      <w:r>
        <w:rPr>
          <w:rStyle w:val="FootnoteReference"/>
        </w:rPr>
        <w:footnoteRef/>
      </w:r>
      <w:r>
        <w:t xml:space="preserve"> </w:t>
      </w:r>
      <w:r>
        <w:rPr>
          <w:rFonts w:cs="Arial"/>
        </w:rPr>
        <w:t>Local area (</w:t>
      </w:r>
      <w:r>
        <w:t>L</w:t>
      </w:r>
      <w:r w:rsidRPr="485C9D3C">
        <w:rPr>
          <w:rFonts w:cs="Arial"/>
        </w:rPr>
        <w:t>A</w:t>
      </w:r>
      <w:r>
        <w:rPr>
          <w:rFonts w:cs="Arial"/>
        </w:rPr>
        <w:t>)</w:t>
      </w:r>
      <w:r w:rsidRPr="485C9D3C">
        <w:rPr>
          <w:rFonts w:cs="Arial"/>
        </w:rPr>
        <w:t xml:space="preserve"> WBB </w:t>
      </w:r>
      <w:r w:rsidRPr="00884E59">
        <w:t xml:space="preserve">services </w:t>
      </w:r>
      <w:r>
        <w:t xml:space="preserve">are deployments by operators </w:t>
      </w:r>
      <w:r w:rsidR="002E4013">
        <w:t>servicing</w:t>
      </w:r>
      <w:r>
        <w:t xml:space="preserve"> small geographic areas, including wireless internet service providers (WISPs), fixed wireless access providers, as well as campus-style and private network deployments by industry vertical</w:t>
      </w:r>
      <w:r w:rsidR="002E4013">
        <w:t>s</w:t>
      </w:r>
      <w:r>
        <w:t xml:space="preserve"> and enterprise users</w:t>
      </w:r>
      <w:r w:rsidRPr="485C9D3C">
        <w:rPr>
          <w:rFonts w:cs="Arial"/>
        </w:rPr>
        <w:t>.</w:t>
      </w:r>
    </w:p>
  </w:footnote>
  <w:footnote w:id="5">
    <w:p w14:paraId="5CDD73AF" w14:textId="44C0DED7" w:rsidR="00346812" w:rsidRDefault="00346812" w:rsidP="000F37CD">
      <w:pPr>
        <w:pStyle w:val="FootnoteText"/>
        <w:ind w:right="1559"/>
      </w:pPr>
      <w:r>
        <w:rPr>
          <w:rStyle w:val="FootnoteReference"/>
        </w:rPr>
        <w:footnoteRef/>
      </w:r>
      <w:r>
        <w:t xml:space="preserve"> Also referred to as unlicensed spectrum by some international regulators. This is spectrum where an individual licence </w:t>
      </w:r>
      <w:r w:rsidR="002E4013">
        <w:t xml:space="preserve">for a radiocommunications device </w:t>
      </w:r>
      <w:r>
        <w:t>is not required.</w:t>
      </w:r>
    </w:p>
  </w:footnote>
  <w:footnote w:id="6">
    <w:p w14:paraId="5AF961E7" w14:textId="30AA7E02" w:rsidR="003E004A" w:rsidRDefault="003E004A">
      <w:pPr>
        <w:pStyle w:val="FootnoteText"/>
      </w:pPr>
      <w:r>
        <w:rPr>
          <w:rStyle w:val="FootnoteReference"/>
        </w:rPr>
        <w:footnoteRef/>
      </w:r>
      <w:r>
        <w:t xml:space="preserve"> </w:t>
      </w:r>
      <w:r w:rsidR="004E0A1E">
        <w:rPr>
          <w:lang w:val="en"/>
        </w:rPr>
        <w:t xml:space="preserve">Stakeholders </w:t>
      </w:r>
      <w:r w:rsidR="004E0A1E" w:rsidRPr="004D0F78">
        <w:rPr>
          <w:lang w:val="en"/>
        </w:rPr>
        <w:t xml:space="preserve">Sennheiser GmbH, Bravo Charlie, PRM, Sennheiser AUS, Swinburne Uni, Riedel, DECT Forum, Clear-Com, Bosch, Event Comm, </w:t>
      </w:r>
      <w:proofErr w:type="spellStart"/>
      <w:r w:rsidR="004E0A1E" w:rsidRPr="004D0F78">
        <w:rPr>
          <w:lang w:val="en"/>
        </w:rPr>
        <w:t>Wirepas</w:t>
      </w:r>
      <w:proofErr w:type="spellEnd"/>
      <w:r w:rsidR="004E0A1E" w:rsidRPr="004D0F78">
        <w:rPr>
          <w:lang w:val="en"/>
        </w:rPr>
        <w:t xml:space="preserve">, Jabra </w:t>
      </w:r>
      <w:r w:rsidR="004E0A1E">
        <w:rPr>
          <w:lang w:val="en"/>
        </w:rPr>
        <w:t xml:space="preserve">and </w:t>
      </w:r>
      <w:proofErr w:type="spellStart"/>
      <w:r w:rsidR="004E0A1E" w:rsidRPr="004D0F78">
        <w:rPr>
          <w:lang w:val="en"/>
        </w:rPr>
        <w:t>Jands</w:t>
      </w:r>
      <w:proofErr w:type="spellEnd"/>
      <w:r w:rsidR="00C54BBC">
        <w:rPr>
          <w:lang w:val="en"/>
        </w:rPr>
        <w:t>.</w:t>
      </w:r>
    </w:p>
  </w:footnote>
  <w:footnote w:id="7">
    <w:p w14:paraId="17DD5096" w14:textId="2D57381E" w:rsidR="00856902" w:rsidRDefault="00856902">
      <w:pPr>
        <w:pStyle w:val="FootnoteText"/>
      </w:pPr>
      <w:r>
        <w:rPr>
          <w:rStyle w:val="FootnoteReference"/>
        </w:rPr>
        <w:footnoteRef/>
      </w:r>
      <w:r>
        <w:t xml:space="preserve"> </w:t>
      </w:r>
      <w:hyperlink r:id="rId2" w:history="1">
        <w:r w:rsidRPr="00856902">
          <w:rPr>
            <w:rStyle w:val="Hyperlink"/>
          </w:rPr>
          <w:t>Rec. ITU-R M.2150</w:t>
        </w:r>
      </w:hyperlink>
      <w:r w:rsidR="00C54BBC" w:rsidRPr="00DF2D64">
        <w:rPr>
          <w:rStyle w:val="Hyperlink"/>
          <w:color w:val="auto"/>
          <w:u w:val="none"/>
        </w:rPr>
        <w:t>.</w:t>
      </w:r>
    </w:p>
  </w:footnote>
  <w:footnote w:id="8">
    <w:p w14:paraId="55A8E278" w14:textId="0610A98C" w:rsidR="00856902" w:rsidRDefault="00856902">
      <w:pPr>
        <w:pStyle w:val="FootnoteText"/>
      </w:pPr>
      <w:r>
        <w:rPr>
          <w:rStyle w:val="FootnoteReference"/>
        </w:rPr>
        <w:footnoteRef/>
      </w:r>
      <w:r>
        <w:t xml:space="preserve"> </w:t>
      </w:r>
      <w:hyperlink r:id="rId3" w:history="1">
        <w:r w:rsidRPr="00856902">
          <w:rPr>
            <w:rStyle w:val="Hyperlink"/>
          </w:rPr>
          <w:t>ITU-R Approves DECT-2020 as New 5G Technology Standard</w:t>
        </w:r>
      </w:hyperlink>
      <w:r w:rsidR="00C54BBC" w:rsidRPr="00DF2D64">
        <w:rPr>
          <w:rStyle w:val="Hyperlink"/>
          <w:color w:val="auto"/>
          <w:u w:val="none"/>
        </w:rPr>
        <w:t>.</w:t>
      </w:r>
    </w:p>
  </w:footnote>
  <w:footnote w:id="9">
    <w:p w14:paraId="23BD9A2A" w14:textId="484520BF" w:rsidR="00856902" w:rsidRDefault="00856902">
      <w:pPr>
        <w:pStyle w:val="FootnoteText"/>
      </w:pPr>
      <w:r>
        <w:rPr>
          <w:rStyle w:val="FootnoteReference"/>
        </w:rPr>
        <w:footnoteRef/>
      </w:r>
      <w:r>
        <w:t xml:space="preserve"> </w:t>
      </w:r>
      <w:hyperlink r:id="rId4" w:history="1">
        <w:r w:rsidRPr="00856902">
          <w:rPr>
            <w:rStyle w:val="Hyperlink"/>
            <w:szCs w:val="20"/>
          </w:rPr>
          <w:t>ITU-R M.1457 (IMT-2000)</w:t>
        </w:r>
      </w:hyperlink>
      <w:r w:rsidR="00C54BBC" w:rsidRPr="00DF2D64">
        <w:rPr>
          <w:rStyle w:val="Hyperlink"/>
          <w:color w:val="auto"/>
          <w:szCs w:val="20"/>
          <w:u w:val="none"/>
        </w:rPr>
        <w:t>.</w:t>
      </w:r>
    </w:p>
  </w:footnote>
  <w:footnote w:id="10">
    <w:p w14:paraId="094248CC" w14:textId="20EF624E" w:rsidR="003E004A" w:rsidRDefault="003E004A">
      <w:pPr>
        <w:pStyle w:val="FootnoteText"/>
      </w:pPr>
      <w:r>
        <w:rPr>
          <w:rStyle w:val="FootnoteReference"/>
        </w:rPr>
        <w:footnoteRef/>
      </w:r>
      <w:r>
        <w:t xml:space="preserve"> </w:t>
      </w:r>
      <w:r>
        <w:rPr>
          <w:lang w:val="en"/>
        </w:rPr>
        <w:t xml:space="preserve">Stakeholders </w:t>
      </w:r>
      <w:r w:rsidRPr="004D0F78">
        <w:rPr>
          <w:lang w:val="en"/>
        </w:rPr>
        <w:t xml:space="preserve">Sennheiser GmbH, Bravo Charlie, PRM, Sennheiser AUS, Swinburne Uni, Riedel, DECT Forum, Clear-Com, Bosch, Event Comm, </w:t>
      </w:r>
      <w:proofErr w:type="spellStart"/>
      <w:r w:rsidRPr="004D0F78">
        <w:rPr>
          <w:lang w:val="en"/>
        </w:rPr>
        <w:t>Wirepas</w:t>
      </w:r>
      <w:proofErr w:type="spellEnd"/>
      <w:r w:rsidRPr="004D0F78">
        <w:rPr>
          <w:lang w:val="en"/>
        </w:rPr>
        <w:t xml:space="preserve">, Jabra </w:t>
      </w:r>
      <w:r>
        <w:rPr>
          <w:lang w:val="en"/>
        </w:rPr>
        <w:t xml:space="preserve">and </w:t>
      </w:r>
      <w:proofErr w:type="spellStart"/>
      <w:r w:rsidRPr="004D0F78">
        <w:rPr>
          <w:lang w:val="en"/>
        </w:rPr>
        <w:t>Jands</w:t>
      </w:r>
      <w:proofErr w:type="spellEnd"/>
      <w:r w:rsidR="00DE33B6">
        <w:rPr>
          <w:lang w:val="en"/>
        </w:rPr>
        <w:t>.</w:t>
      </w:r>
    </w:p>
  </w:footnote>
  <w:footnote w:id="11">
    <w:p w14:paraId="673F763B" w14:textId="6DC07945" w:rsidR="006F41D9" w:rsidRDefault="006F41D9" w:rsidP="006F41D9">
      <w:pPr>
        <w:pStyle w:val="FootnoteText"/>
      </w:pPr>
      <w:r>
        <w:rPr>
          <w:rStyle w:val="FootnoteReference"/>
        </w:rPr>
        <w:footnoteRef/>
      </w:r>
      <w:r>
        <w:t xml:space="preserve"> </w:t>
      </w:r>
      <w:hyperlink r:id="rId5" w:history="1">
        <w:r w:rsidRPr="00AC50D2">
          <w:rPr>
            <w:rStyle w:val="Hyperlink"/>
          </w:rPr>
          <w:t>ECC Decision (20)02</w:t>
        </w:r>
      </w:hyperlink>
      <w:r w:rsidR="00DE33B6" w:rsidRPr="00D51E3F">
        <w:rPr>
          <w:rStyle w:val="Hyperlink"/>
          <w:color w:val="auto"/>
          <w:u w:val="none"/>
        </w:rPr>
        <w:t>.</w:t>
      </w:r>
    </w:p>
  </w:footnote>
  <w:footnote w:id="12">
    <w:p w14:paraId="08A7992B" w14:textId="0BF94D9F" w:rsidR="006F41D9" w:rsidRDefault="006F41D9" w:rsidP="006F41D9">
      <w:pPr>
        <w:pStyle w:val="FootnoteText"/>
      </w:pPr>
      <w:r>
        <w:rPr>
          <w:rStyle w:val="FootnoteReference"/>
        </w:rPr>
        <w:footnoteRef/>
      </w:r>
      <w:r>
        <w:t xml:space="preserve"> </w:t>
      </w:r>
      <w:r w:rsidRPr="00B26ED0">
        <w:t>3GPP TR 22.889 V17.4.0 (2021-03)</w:t>
      </w:r>
      <w:r>
        <w:t xml:space="preserve">: </w:t>
      </w:r>
      <w:r w:rsidRPr="005E185A">
        <w:t>Study on Future Railway Mobile Communication System</w:t>
      </w:r>
      <w:r w:rsidR="00DE33B6">
        <w:t>.</w:t>
      </w:r>
    </w:p>
  </w:footnote>
  <w:footnote w:id="13">
    <w:p w14:paraId="3C0ABA00" w14:textId="01800E9E" w:rsidR="003200B1" w:rsidRDefault="003200B1" w:rsidP="003200B1">
      <w:pPr>
        <w:pStyle w:val="FootnoteText"/>
      </w:pPr>
      <w:r>
        <w:rPr>
          <w:rStyle w:val="FootnoteReference"/>
        </w:rPr>
        <w:footnoteRef/>
      </w:r>
      <w:r>
        <w:t xml:space="preserve"> </w:t>
      </w:r>
      <w:hyperlink r:id="rId6" w:history="1">
        <w:r w:rsidRPr="00A47468">
          <w:rPr>
            <w:rStyle w:val="Hyperlink"/>
          </w:rPr>
          <w:t>CEPT T/R 22-02</w:t>
        </w:r>
      </w:hyperlink>
      <w:r w:rsidR="00AD610F">
        <w:rPr>
          <w:iCs/>
        </w:rPr>
        <w:t>.</w:t>
      </w:r>
      <w:r>
        <w:rPr>
          <w:i/>
        </w:rPr>
        <w:t xml:space="preserve"> </w:t>
      </w:r>
    </w:p>
  </w:footnote>
  <w:footnote w:id="14">
    <w:p w14:paraId="028E5C09" w14:textId="5B47F54C" w:rsidR="003200B1" w:rsidRDefault="003200B1" w:rsidP="003200B1">
      <w:pPr>
        <w:pStyle w:val="FootnoteText"/>
      </w:pPr>
      <w:r>
        <w:rPr>
          <w:rStyle w:val="FootnoteReference"/>
        </w:rPr>
        <w:footnoteRef/>
      </w:r>
      <w:r>
        <w:t xml:space="preserve"> </w:t>
      </w:r>
      <w:hyperlink r:id="rId7" w:history="1">
        <w:r w:rsidRPr="00A47468">
          <w:rPr>
            <w:rStyle w:val="Hyperlink"/>
          </w:rPr>
          <w:t>CEPT Report 52</w:t>
        </w:r>
      </w:hyperlink>
      <w:r w:rsidR="00AD610F" w:rsidRPr="00BC175B">
        <w:rPr>
          <w:rStyle w:val="Hyperlink"/>
          <w:color w:val="auto"/>
          <w:u w:val="none"/>
        </w:rPr>
        <w:t>.</w:t>
      </w:r>
    </w:p>
  </w:footnote>
  <w:footnote w:id="15">
    <w:p w14:paraId="65844B04" w14:textId="729A4B42" w:rsidR="003200B1" w:rsidRDefault="003200B1" w:rsidP="003200B1">
      <w:pPr>
        <w:pStyle w:val="FootnoteText"/>
      </w:pPr>
      <w:r>
        <w:rPr>
          <w:rStyle w:val="FootnoteReference"/>
        </w:rPr>
        <w:footnoteRef/>
      </w:r>
      <w:r>
        <w:t xml:space="preserve"> </w:t>
      </w:r>
      <w:hyperlink r:id="rId8" w:history="1">
        <w:r w:rsidRPr="003E4DAF">
          <w:rPr>
            <w:rStyle w:val="Hyperlink"/>
          </w:rPr>
          <w:t>Recommendation ITU-R M.2150-1 (02/2022)</w:t>
        </w:r>
      </w:hyperlink>
      <w:r w:rsidR="00AD610F" w:rsidRPr="00BC175B">
        <w:rPr>
          <w:rStyle w:val="Hyperlink"/>
          <w:color w:val="auto"/>
          <w:u w:val="none"/>
        </w:rPr>
        <w:t>.</w:t>
      </w:r>
    </w:p>
  </w:footnote>
  <w:footnote w:id="16">
    <w:p w14:paraId="1F3ECFAB" w14:textId="66A23912" w:rsidR="003200B1" w:rsidRDefault="003200B1" w:rsidP="003200B1">
      <w:pPr>
        <w:pStyle w:val="FootnoteText"/>
      </w:pPr>
      <w:r>
        <w:rPr>
          <w:rStyle w:val="FootnoteReference"/>
        </w:rPr>
        <w:footnoteRef/>
      </w:r>
      <w:r>
        <w:t xml:space="preserve"> </w:t>
      </w:r>
      <w:hyperlink r:id="rId9" w:history="1">
        <w:r w:rsidRPr="00420B22">
          <w:rPr>
            <w:rStyle w:val="Hyperlink"/>
          </w:rPr>
          <w:t>World’s first non-cellular 5G technology, ETSI DECT-2020, gets ITU-R approval, setting example of new era connectivity</w:t>
        </w:r>
      </w:hyperlink>
      <w:r w:rsidR="00AD610F" w:rsidRPr="00BC175B">
        <w:rPr>
          <w:rStyle w:val="Hyperlink"/>
          <w:color w:val="auto"/>
          <w:u w:val="none"/>
        </w:rPr>
        <w:t>.</w:t>
      </w:r>
    </w:p>
  </w:footnote>
  <w:footnote w:id="17">
    <w:p w14:paraId="47B18639" w14:textId="28A21E81" w:rsidR="003200B1" w:rsidRDefault="003200B1" w:rsidP="003200B1">
      <w:pPr>
        <w:pStyle w:val="FootnoteText"/>
      </w:pPr>
      <w:r>
        <w:rPr>
          <w:rStyle w:val="FootnoteReference"/>
        </w:rPr>
        <w:footnoteRef/>
      </w:r>
      <w:r>
        <w:t xml:space="preserve"> </w:t>
      </w:r>
      <w:hyperlink r:id="rId10" w:history="1">
        <w:r w:rsidRPr="00477CD4">
          <w:rPr>
            <w:rStyle w:val="Hyperlink"/>
          </w:rPr>
          <w:t>DECT Forum will be Promoting the Standard under the Name NR+</w:t>
        </w:r>
      </w:hyperlink>
      <w:r w:rsidR="00AD610F" w:rsidRPr="00BC175B">
        <w:rPr>
          <w:rStyle w:val="Hyperlink"/>
          <w:color w:val="auto"/>
          <w:u w:val="none"/>
        </w:rPr>
        <w:t>.</w:t>
      </w:r>
    </w:p>
  </w:footnote>
  <w:footnote w:id="18">
    <w:p w14:paraId="00770DE8" w14:textId="5C6723E3" w:rsidR="003200B1" w:rsidRDefault="003200B1" w:rsidP="003200B1">
      <w:pPr>
        <w:pStyle w:val="FootnoteText"/>
      </w:pPr>
      <w:r>
        <w:rPr>
          <w:rStyle w:val="FootnoteReference"/>
        </w:rPr>
        <w:footnoteRef/>
      </w:r>
      <w:r>
        <w:t xml:space="preserve"> </w:t>
      </w:r>
      <w:hyperlink r:id="rId11" w:history="1">
        <w:r w:rsidRPr="00B85F57">
          <w:rPr>
            <w:rStyle w:val="Hyperlink"/>
          </w:rPr>
          <w:t>CEPT Report 74</w:t>
        </w:r>
      </w:hyperlink>
      <w:r w:rsidR="002523F0" w:rsidRPr="00BC175B">
        <w:rPr>
          <w:rStyle w:val="Hyperlink"/>
          <w:color w:val="auto"/>
          <w:u w:val="none"/>
        </w:rPr>
        <w:t>.</w:t>
      </w:r>
    </w:p>
  </w:footnote>
  <w:footnote w:id="19">
    <w:p w14:paraId="725D1E8C" w14:textId="3DF83B1D" w:rsidR="003200B1" w:rsidRDefault="003200B1" w:rsidP="003200B1">
      <w:pPr>
        <w:pStyle w:val="FootnoteText"/>
      </w:pPr>
      <w:r>
        <w:rPr>
          <w:rStyle w:val="FootnoteReference"/>
        </w:rPr>
        <w:footnoteRef/>
      </w:r>
      <w:r>
        <w:t xml:space="preserve"> </w:t>
      </w:r>
      <w:hyperlink r:id="rId12" w:history="1">
        <w:r w:rsidRPr="005B5BEE">
          <w:rPr>
            <w:rStyle w:val="Hyperlink"/>
          </w:rPr>
          <w:t>ECC Report 314</w:t>
        </w:r>
        <w:r w:rsidR="002523F0">
          <w:rPr>
            <w:rStyle w:val="Hyperlink"/>
          </w:rPr>
          <w:t>:</w:t>
        </w:r>
        <w:r w:rsidRPr="005B5BEE">
          <w:rPr>
            <w:rStyle w:val="Hyperlink"/>
          </w:rPr>
          <w:t xml:space="preserve"> Co-existence between Future Railway Mobile Communication System (FRMCS) in the frequency range 1900</w:t>
        </w:r>
        <w:r w:rsidR="002523F0">
          <w:rPr>
            <w:rStyle w:val="Hyperlink"/>
          </w:rPr>
          <w:t>–</w:t>
        </w:r>
        <w:r w:rsidRPr="005B5BEE">
          <w:rPr>
            <w:rStyle w:val="Hyperlink"/>
          </w:rPr>
          <w:t>1920 MHz and other applications in adjacent bands</w:t>
        </w:r>
      </w:hyperlink>
      <w:r w:rsidR="002523F0" w:rsidRPr="00BC175B">
        <w:rPr>
          <w:rStyle w:val="Hyperlink"/>
          <w:color w:val="auto"/>
          <w:u w:val="none"/>
        </w:rPr>
        <w:t>.</w:t>
      </w:r>
    </w:p>
  </w:footnote>
  <w:footnote w:id="20">
    <w:p w14:paraId="50DA7025" w14:textId="389ABFBB" w:rsidR="00E94B4D" w:rsidRDefault="00E94B4D">
      <w:pPr>
        <w:pStyle w:val="FootnoteText"/>
      </w:pPr>
      <w:r>
        <w:rPr>
          <w:rStyle w:val="FootnoteReference"/>
        </w:rPr>
        <w:footnoteRef/>
      </w:r>
      <w:r>
        <w:t xml:space="preserve"> </w:t>
      </w:r>
      <w:r w:rsidR="00B5339D" w:rsidRPr="00B5339D">
        <w:t>Register of Radiocommunications Licences</w:t>
      </w:r>
      <w:r w:rsidR="00D10CDB">
        <w:t>.</w:t>
      </w:r>
    </w:p>
  </w:footnote>
  <w:footnote w:id="21">
    <w:p w14:paraId="270E2747" w14:textId="6DD447BF" w:rsidR="003200B1" w:rsidRPr="001B35D9" w:rsidRDefault="003200B1" w:rsidP="003200B1">
      <w:pPr>
        <w:pStyle w:val="FootnoteText"/>
      </w:pPr>
      <w:r w:rsidRPr="001B35D9">
        <w:rPr>
          <w:rStyle w:val="FootnoteReference"/>
        </w:rPr>
        <w:footnoteRef/>
      </w:r>
      <w:r w:rsidRPr="001B35D9">
        <w:t xml:space="preserve"> </w:t>
      </w:r>
      <w:hyperlink r:id="rId13" w:history="1">
        <w:r w:rsidRPr="00D52F64">
          <w:rPr>
            <w:rStyle w:val="Hyperlink"/>
          </w:rPr>
          <w:t>Budget strategy and outlook</w:t>
        </w:r>
      </w:hyperlink>
      <w:r w:rsidR="00D10CDB">
        <w:t xml:space="preserve">, </w:t>
      </w:r>
      <w:r w:rsidR="00832002">
        <w:t>B</w:t>
      </w:r>
      <w:r w:rsidRPr="001B35D9">
        <w:t xml:space="preserve">udget </w:t>
      </w:r>
      <w:r w:rsidR="00832002">
        <w:t>P</w:t>
      </w:r>
      <w:r w:rsidRPr="001B35D9">
        <w:t>aper no. 2: 2019–20, 2019, p. 123–146</w:t>
      </w:r>
      <w:r w:rsidR="00D10CDB">
        <w:t>.</w:t>
      </w:r>
    </w:p>
  </w:footnote>
  <w:footnote w:id="22">
    <w:p w14:paraId="00F92001" w14:textId="7C39F2F4" w:rsidR="00B33B0E" w:rsidRDefault="00B33B0E">
      <w:pPr>
        <w:pStyle w:val="FootnoteText"/>
      </w:pPr>
      <w:r>
        <w:rPr>
          <w:rStyle w:val="FootnoteReference"/>
        </w:rPr>
        <w:footnoteRef/>
      </w:r>
      <w:r>
        <w:t xml:space="preserve"> </w:t>
      </w:r>
      <w:r w:rsidRPr="007F73E9">
        <w:t>Railway Mobile Radio</w:t>
      </w:r>
    </w:p>
  </w:footnote>
  <w:footnote w:id="23">
    <w:p w14:paraId="42B96F41" w14:textId="3139439D" w:rsidR="00B33B0E" w:rsidRDefault="00B33B0E">
      <w:pPr>
        <w:pStyle w:val="FootnoteText"/>
      </w:pPr>
      <w:r>
        <w:rPr>
          <w:rStyle w:val="FootnoteReference"/>
        </w:rPr>
        <w:footnoteRef/>
      </w:r>
      <w:r>
        <w:t xml:space="preserve"> </w:t>
      </w:r>
      <w:r w:rsidRPr="007F73E9">
        <w:t>Mobile and Fixed Communication Networks</w:t>
      </w:r>
    </w:p>
  </w:footnote>
  <w:footnote w:id="24">
    <w:p w14:paraId="4E5059CA" w14:textId="14DA3775" w:rsidR="00434242" w:rsidRDefault="00434242">
      <w:pPr>
        <w:pStyle w:val="FootnoteText"/>
      </w:pPr>
      <w:r>
        <w:rPr>
          <w:rStyle w:val="FootnoteReference"/>
        </w:rPr>
        <w:footnoteRef/>
      </w:r>
      <w:r>
        <w:t xml:space="preserve"> No. 35-3-2, Summary Report from Land Mobile Communication Community of MIC</w:t>
      </w:r>
      <w:r w:rsidR="009070E6">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3396" w14:textId="77777777" w:rsidR="00C4276D" w:rsidRPr="00A5474E" w:rsidRDefault="00C4276D">
    <w:pPr>
      <w:pStyle w:val="Header"/>
    </w:pPr>
    <w:r>
      <w:rPr>
        <w:noProof/>
      </w:rPr>
      <w:drawing>
        <wp:inline distT="0" distB="0" distL="0" distR="0" wp14:anchorId="3D5BFA82" wp14:editId="0CA630E2">
          <wp:extent cx="6210300" cy="571134"/>
          <wp:effectExtent l="0" t="0" r="0" b="0"/>
          <wp:docPr id="20" name="Picture 20"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AF785" w14:textId="77777777" w:rsidR="00C4276D" w:rsidRPr="00A5474E" w:rsidRDefault="00C4276D">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63ECE4" w14:textId="77777777" w:rsidR="00C4276D" w:rsidRDefault="00C427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F4277" w14:textId="77777777" w:rsidR="00C4276D" w:rsidRDefault="00C4276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4276D" w14:paraId="5ADB796D" w14:textId="77777777" w:rsidTr="00255208">
      <w:trPr>
        <w:trHeight w:hRule="exact" w:val="988"/>
      </w:trPr>
      <w:tc>
        <w:tcPr>
          <w:tcW w:w="7678" w:type="dxa"/>
          <w:shd w:val="clear" w:color="auto" w:fill="auto"/>
        </w:tcPr>
        <w:p w14:paraId="12B8E951" w14:textId="77777777" w:rsidR="00C4276D" w:rsidRDefault="00C4276D">
          <w:pPr>
            <w:pStyle w:val="Header"/>
          </w:pPr>
        </w:p>
      </w:tc>
    </w:tr>
    <w:tr w:rsidR="00C4276D" w14:paraId="73E7B9DA" w14:textId="77777777" w:rsidTr="00255208">
      <w:tc>
        <w:tcPr>
          <w:tcW w:w="7678" w:type="dxa"/>
          <w:shd w:val="clear" w:color="auto" w:fill="auto"/>
        </w:tcPr>
        <w:p w14:paraId="30CE42DC" w14:textId="77777777" w:rsidR="00C4276D" w:rsidRDefault="00C4276D">
          <w:pPr>
            <w:pStyle w:val="GridTable31"/>
          </w:pPr>
          <w:r>
            <w:t xml:space="preserve">Contents </w:t>
          </w:r>
          <w:r w:rsidRPr="00915B1C">
            <w:t>(Continued)</w:t>
          </w:r>
        </w:p>
      </w:tc>
    </w:tr>
    <w:tr w:rsidR="00C4276D" w14:paraId="5A02A42F" w14:textId="77777777" w:rsidTr="00255208">
      <w:trPr>
        <w:trHeight w:val="1220"/>
      </w:trPr>
      <w:tc>
        <w:tcPr>
          <w:tcW w:w="7678" w:type="dxa"/>
          <w:shd w:val="clear" w:color="auto" w:fill="auto"/>
        </w:tcPr>
        <w:p w14:paraId="1BD1C86C" w14:textId="77777777" w:rsidR="00C4276D" w:rsidRDefault="00C4276D"/>
      </w:tc>
    </w:tr>
  </w:tbl>
  <w:p w14:paraId="32618DD2" w14:textId="77777777" w:rsidR="00C4276D" w:rsidRDefault="00C4276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C4276D" w14:paraId="3194D0BE" w14:textId="77777777" w:rsidTr="00255208">
      <w:trPr>
        <w:trHeight w:hRule="exact" w:val="988"/>
      </w:trPr>
      <w:tc>
        <w:tcPr>
          <w:tcW w:w="7678" w:type="dxa"/>
          <w:shd w:val="clear" w:color="auto" w:fill="auto"/>
        </w:tcPr>
        <w:p w14:paraId="51F4A618" w14:textId="77777777" w:rsidR="00C4276D" w:rsidRDefault="00C4276D">
          <w:pPr>
            <w:pStyle w:val="Header"/>
          </w:pPr>
        </w:p>
      </w:tc>
    </w:tr>
    <w:tr w:rsidR="00C4276D" w14:paraId="16E3A88A" w14:textId="77777777" w:rsidTr="00255208">
      <w:tc>
        <w:tcPr>
          <w:tcW w:w="7678" w:type="dxa"/>
          <w:shd w:val="clear" w:color="auto" w:fill="auto"/>
        </w:tcPr>
        <w:p w14:paraId="3518E3B0" w14:textId="77777777" w:rsidR="00C4276D" w:rsidRDefault="00C4276D">
          <w:pPr>
            <w:pStyle w:val="GridTable31"/>
          </w:pPr>
          <w:r>
            <w:t xml:space="preserve">Contents </w:t>
          </w:r>
          <w:r w:rsidRPr="00915B1C">
            <w:t>(Continued)</w:t>
          </w:r>
        </w:p>
      </w:tc>
    </w:tr>
    <w:tr w:rsidR="00C4276D" w14:paraId="4D54C426" w14:textId="77777777" w:rsidTr="00255208">
      <w:trPr>
        <w:trHeight w:val="1220"/>
      </w:trPr>
      <w:tc>
        <w:tcPr>
          <w:tcW w:w="7678" w:type="dxa"/>
          <w:shd w:val="clear" w:color="auto" w:fill="auto"/>
        </w:tcPr>
        <w:p w14:paraId="36C56231" w14:textId="77777777" w:rsidR="00C4276D" w:rsidRDefault="00C4276D"/>
      </w:tc>
    </w:tr>
  </w:tbl>
  <w:p w14:paraId="47F5B12F" w14:textId="77777777" w:rsidR="00C4276D" w:rsidRPr="00A5474E" w:rsidRDefault="00C4276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CB4AC" w14:textId="77777777" w:rsidR="003D16A8" w:rsidRDefault="003D16A8" w:rsidP="005629AD">
    <w:pPr>
      <w:pStyle w:val="Header"/>
    </w:pPr>
  </w:p>
  <w:p w14:paraId="5E8C2DE8" w14:textId="77777777" w:rsidR="003D16A8" w:rsidRDefault="003D16A8"/>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F8A1A" w14:textId="77777777" w:rsidR="003D16A8" w:rsidRDefault="003D16A8">
    <w:pPr>
      <w:pStyle w:val="Header"/>
    </w:pPr>
  </w:p>
  <w:p w14:paraId="09B1DD8B" w14:textId="77777777" w:rsidR="003D16A8" w:rsidRDefault="003D16A8"/>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B9802" w14:textId="77777777" w:rsidR="00C4276D" w:rsidRDefault="00C4276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A5406" w14:textId="77777777" w:rsidR="00C4276D" w:rsidRDefault="00C427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692EA75A"/>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0C090019"/>
    <w:lvl w:ilvl="0">
      <w:start w:val="1"/>
      <w:numFmt w:val="lowerLetter"/>
      <w:lvlText w:val="%1."/>
      <w:lvlJc w:val="left"/>
      <w:pPr>
        <w:ind w:left="360" w:hanging="360"/>
      </w:pPr>
      <w:rPr>
        <w:rFonts w:hint="default"/>
        <w:b w:val="0"/>
        <w:bCs/>
        <w:caps/>
        <w:sz w:val="20"/>
      </w:rPr>
    </w:lvl>
  </w:abstractNum>
  <w:abstractNum w:abstractNumId="3" w15:restartNumberingAfterBreak="0">
    <w:nsid w:val="FFFFFF89"/>
    <w:multiLevelType w:val="singleLevel"/>
    <w:tmpl w:val="58D43E4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620266C"/>
    <w:multiLevelType w:val="hybridMultilevel"/>
    <w:tmpl w:val="76B44D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8CE48FB"/>
    <w:multiLevelType w:val="hybridMultilevel"/>
    <w:tmpl w:val="0A56D77A"/>
    <w:lvl w:ilvl="0" w:tplc="24FC2D6C">
      <w:start w:val="1"/>
      <w:numFmt w:val="bullet"/>
      <w:lvlText w:val=""/>
      <w:lvlJc w:val="left"/>
      <w:pPr>
        <w:tabs>
          <w:tab w:val="num" w:pos="720"/>
        </w:tabs>
        <w:ind w:left="720" w:hanging="360"/>
      </w:pPr>
      <w:rPr>
        <w:rFonts w:ascii="Wingdings" w:hAnsi="Wingdings" w:hint="default"/>
      </w:rPr>
    </w:lvl>
    <w:lvl w:ilvl="1" w:tplc="EBCEBE1E">
      <w:numFmt w:val="bullet"/>
      <w:lvlText w:val="•"/>
      <w:lvlJc w:val="left"/>
      <w:pPr>
        <w:tabs>
          <w:tab w:val="num" w:pos="1440"/>
        </w:tabs>
        <w:ind w:left="1440" w:hanging="360"/>
      </w:pPr>
      <w:rPr>
        <w:rFonts w:ascii="Arial" w:hAnsi="Arial" w:hint="default"/>
      </w:rPr>
    </w:lvl>
    <w:lvl w:ilvl="2" w:tplc="1CEAB328" w:tentative="1">
      <w:start w:val="1"/>
      <w:numFmt w:val="bullet"/>
      <w:lvlText w:val=""/>
      <w:lvlJc w:val="left"/>
      <w:pPr>
        <w:tabs>
          <w:tab w:val="num" w:pos="2160"/>
        </w:tabs>
        <w:ind w:left="2160" w:hanging="360"/>
      </w:pPr>
      <w:rPr>
        <w:rFonts w:ascii="Wingdings" w:hAnsi="Wingdings" w:hint="default"/>
      </w:rPr>
    </w:lvl>
    <w:lvl w:ilvl="3" w:tplc="B07293C4" w:tentative="1">
      <w:start w:val="1"/>
      <w:numFmt w:val="bullet"/>
      <w:lvlText w:val=""/>
      <w:lvlJc w:val="left"/>
      <w:pPr>
        <w:tabs>
          <w:tab w:val="num" w:pos="2880"/>
        </w:tabs>
        <w:ind w:left="2880" w:hanging="360"/>
      </w:pPr>
      <w:rPr>
        <w:rFonts w:ascii="Wingdings" w:hAnsi="Wingdings" w:hint="default"/>
      </w:rPr>
    </w:lvl>
    <w:lvl w:ilvl="4" w:tplc="72E06948" w:tentative="1">
      <w:start w:val="1"/>
      <w:numFmt w:val="bullet"/>
      <w:lvlText w:val=""/>
      <w:lvlJc w:val="left"/>
      <w:pPr>
        <w:tabs>
          <w:tab w:val="num" w:pos="3600"/>
        </w:tabs>
        <w:ind w:left="3600" w:hanging="360"/>
      </w:pPr>
      <w:rPr>
        <w:rFonts w:ascii="Wingdings" w:hAnsi="Wingdings" w:hint="default"/>
      </w:rPr>
    </w:lvl>
    <w:lvl w:ilvl="5" w:tplc="5928D916" w:tentative="1">
      <w:start w:val="1"/>
      <w:numFmt w:val="bullet"/>
      <w:lvlText w:val=""/>
      <w:lvlJc w:val="left"/>
      <w:pPr>
        <w:tabs>
          <w:tab w:val="num" w:pos="4320"/>
        </w:tabs>
        <w:ind w:left="4320" w:hanging="360"/>
      </w:pPr>
      <w:rPr>
        <w:rFonts w:ascii="Wingdings" w:hAnsi="Wingdings" w:hint="default"/>
      </w:rPr>
    </w:lvl>
    <w:lvl w:ilvl="6" w:tplc="CD1EB136" w:tentative="1">
      <w:start w:val="1"/>
      <w:numFmt w:val="bullet"/>
      <w:lvlText w:val=""/>
      <w:lvlJc w:val="left"/>
      <w:pPr>
        <w:tabs>
          <w:tab w:val="num" w:pos="5040"/>
        </w:tabs>
        <w:ind w:left="5040" w:hanging="360"/>
      </w:pPr>
      <w:rPr>
        <w:rFonts w:ascii="Wingdings" w:hAnsi="Wingdings" w:hint="default"/>
      </w:rPr>
    </w:lvl>
    <w:lvl w:ilvl="7" w:tplc="FE7679CE" w:tentative="1">
      <w:start w:val="1"/>
      <w:numFmt w:val="bullet"/>
      <w:lvlText w:val=""/>
      <w:lvlJc w:val="left"/>
      <w:pPr>
        <w:tabs>
          <w:tab w:val="num" w:pos="5760"/>
        </w:tabs>
        <w:ind w:left="5760" w:hanging="360"/>
      </w:pPr>
      <w:rPr>
        <w:rFonts w:ascii="Wingdings" w:hAnsi="Wingdings" w:hint="default"/>
      </w:rPr>
    </w:lvl>
    <w:lvl w:ilvl="8" w:tplc="77CE7FB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94A43"/>
    <w:multiLevelType w:val="hybridMultilevel"/>
    <w:tmpl w:val="656A052C"/>
    <w:lvl w:ilvl="0" w:tplc="B8DAF646">
      <w:start w:val="1"/>
      <w:numFmt w:val="bullet"/>
      <w:lvlText w:val=""/>
      <w:lvlJc w:val="left"/>
      <w:pPr>
        <w:tabs>
          <w:tab w:val="num" w:pos="720"/>
        </w:tabs>
        <w:ind w:left="720" w:hanging="360"/>
      </w:pPr>
      <w:rPr>
        <w:rFonts w:ascii="Wingdings" w:hAnsi="Wingdings" w:hint="default"/>
      </w:rPr>
    </w:lvl>
    <w:lvl w:ilvl="1" w:tplc="740087AE">
      <w:numFmt w:val="bullet"/>
      <w:lvlText w:val="•"/>
      <w:lvlJc w:val="left"/>
      <w:pPr>
        <w:tabs>
          <w:tab w:val="num" w:pos="1440"/>
        </w:tabs>
        <w:ind w:left="1440" w:hanging="360"/>
      </w:pPr>
      <w:rPr>
        <w:rFonts w:ascii="Arial" w:hAnsi="Arial" w:hint="default"/>
      </w:rPr>
    </w:lvl>
    <w:lvl w:ilvl="2" w:tplc="98CE8F52" w:tentative="1">
      <w:start w:val="1"/>
      <w:numFmt w:val="bullet"/>
      <w:lvlText w:val=""/>
      <w:lvlJc w:val="left"/>
      <w:pPr>
        <w:tabs>
          <w:tab w:val="num" w:pos="2160"/>
        </w:tabs>
        <w:ind w:left="2160" w:hanging="360"/>
      </w:pPr>
      <w:rPr>
        <w:rFonts w:ascii="Wingdings" w:hAnsi="Wingdings" w:hint="default"/>
      </w:rPr>
    </w:lvl>
    <w:lvl w:ilvl="3" w:tplc="CE72A960" w:tentative="1">
      <w:start w:val="1"/>
      <w:numFmt w:val="bullet"/>
      <w:lvlText w:val=""/>
      <w:lvlJc w:val="left"/>
      <w:pPr>
        <w:tabs>
          <w:tab w:val="num" w:pos="2880"/>
        </w:tabs>
        <w:ind w:left="2880" w:hanging="360"/>
      </w:pPr>
      <w:rPr>
        <w:rFonts w:ascii="Wingdings" w:hAnsi="Wingdings" w:hint="default"/>
      </w:rPr>
    </w:lvl>
    <w:lvl w:ilvl="4" w:tplc="5D4A6EFC" w:tentative="1">
      <w:start w:val="1"/>
      <w:numFmt w:val="bullet"/>
      <w:lvlText w:val=""/>
      <w:lvlJc w:val="left"/>
      <w:pPr>
        <w:tabs>
          <w:tab w:val="num" w:pos="3600"/>
        </w:tabs>
        <w:ind w:left="3600" w:hanging="360"/>
      </w:pPr>
      <w:rPr>
        <w:rFonts w:ascii="Wingdings" w:hAnsi="Wingdings" w:hint="default"/>
      </w:rPr>
    </w:lvl>
    <w:lvl w:ilvl="5" w:tplc="304EAC54" w:tentative="1">
      <w:start w:val="1"/>
      <w:numFmt w:val="bullet"/>
      <w:lvlText w:val=""/>
      <w:lvlJc w:val="left"/>
      <w:pPr>
        <w:tabs>
          <w:tab w:val="num" w:pos="4320"/>
        </w:tabs>
        <w:ind w:left="4320" w:hanging="360"/>
      </w:pPr>
      <w:rPr>
        <w:rFonts w:ascii="Wingdings" w:hAnsi="Wingdings" w:hint="default"/>
      </w:rPr>
    </w:lvl>
    <w:lvl w:ilvl="6" w:tplc="B944D448" w:tentative="1">
      <w:start w:val="1"/>
      <w:numFmt w:val="bullet"/>
      <w:lvlText w:val=""/>
      <w:lvlJc w:val="left"/>
      <w:pPr>
        <w:tabs>
          <w:tab w:val="num" w:pos="5040"/>
        </w:tabs>
        <w:ind w:left="5040" w:hanging="360"/>
      </w:pPr>
      <w:rPr>
        <w:rFonts w:ascii="Wingdings" w:hAnsi="Wingdings" w:hint="default"/>
      </w:rPr>
    </w:lvl>
    <w:lvl w:ilvl="7" w:tplc="57F23C26" w:tentative="1">
      <w:start w:val="1"/>
      <w:numFmt w:val="bullet"/>
      <w:lvlText w:val=""/>
      <w:lvlJc w:val="left"/>
      <w:pPr>
        <w:tabs>
          <w:tab w:val="num" w:pos="5760"/>
        </w:tabs>
        <w:ind w:left="5760" w:hanging="360"/>
      </w:pPr>
      <w:rPr>
        <w:rFonts w:ascii="Wingdings" w:hAnsi="Wingdings" w:hint="default"/>
      </w:rPr>
    </w:lvl>
    <w:lvl w:ilvl="8" w:tplc="D9EE020A"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111EA3"/>
    <w:multiLevelType w:val="hybridMultilevel"/>
    <w:tmpl w:val="4D228C16"/>
    <w:lvl w:ilvl="0" w:tplc="FFFFFFFF">
      <w:start w:val="1"/>
      <w:numFmt w:val="lowerRoman"/>
      <w:lvlText w:val="%1."/>
      <w:lvlJc w:val="right"/>
      <w:pPr>
        <w:ind w:left="1288" w:hanging="360"/>
      </w:pPr>
    </w:lvl>
    <w:lvl w:ilvl="1" w:tplc="FFFFFFFF" w:tentative="1">
      <w:start w:val="1"/>
      <w:numFmt w:val="lowerLetter"/>
      <w:lvlText w:val="%2."/>
      <w:lvlJc w:val="left"/>
      <w:pPr>
        <w:ind w:left="2008" w:hanging="360"/>
      </w:pPr>
    </w:lvl>
    <w:lvl w:ilvl="2" w:tplc="FFFFFFFF" w:tentative="1">
      <w:start w:val="1"/>
      <w:numFmt w:val="lowerRoman"/>
      <w:lvlText w:val="%3."/>
      <w:lvlJc w:val="right"/>
      <w:pPr>
        <w:ind w:left="2728" w:hanging="180"/>
      </w:pPr>
    </w:lvl>
    <w:lvl w:ilvl="3" w:tplc="FFFFFFFF" w:tentative="1">
      <w:start w:val="1"/>
      <w:numFmt w:val="decimal"/>
      <w:lvlText w:val="%4."/>
      <w:lvlJc w:val="left"/>
      <w:pPr>
        <w:ind w:left="3448" w:hanging="360"/>
      </w:pPr>
    </w:lvl>
    <w:lvl w:ilvl="4" w:tplc="FFFFFFFF" w:tentative="1">
      <w:start w:val="1"/>
      <w:numFmt w:val="lowerLetter"/>
      <w:lvlText w:val="%5."/>
      <w:lvlJc w:val="left"/>
      <w:pPr>
        <w:ind w:left="4168" w:hanging="360"/>
      </w:pPr>
    </w:lvl>
    <w:lvl w:ilvl="5" w:tplc="FFFFFFFF" w:tentative="1">
      <w:start w:val="1"/>
      <w:numFmt w:val="lowerRoman"/>
      <w:lvlText w:val="%6."/>
      <w:lvlJc w:val="right"/>
      <w:pPr>
        <w:ind w:left="4888" w:hanging="180"/>
      </w:pPr>
    </w:lvl>
    <w:lvl w:ilvl="6" w:tplc="FFFFFFFF" w:tentative="1">
      <w:start w:val="1"/>
      <w:numFmt w:val="decimal"/>
      <w:lvlText w:val="%7."/>
      <w:lvlJc w:val="left"/>
      <w:pPr>
        <w:ind w:left="5608" w:hanging="360"/>
      </w:pPr>
    </w:lvl>
    <w:lvl w:ilvl="7" w:tplc="FFFFFFFF" w:tentative="1">
      <w:start w:val="1"/>
      <w:numFmt w:val="lowerLetter"/>
      <w:lvlText w:val="%8."/>
      <w:lvlJc w:val="left"/>
      <w:pPr>
        <w:ind w:left="6328" w:hanging="360"/>
      </w:pPr>
    </w:lvl>
    <w:lvl w:ilvl="8" w:tplc="FFFFFFFF" w:tentative="1">
      <w:start w:val="1"/>
      <w:numFmt w:val="lowerRoman"/>
      <w:lvlText w:val="%9."/>
      <w:lvlJc w:val="right"/>
      <w:pPr>
        <w:ind w:left="7048" w:hanging="180"/>
      </w:p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1DA25A7"/>
    <w:multiLevelType w:val="hybridMultilevel"/>
    <w:tmpl w:val="7E4A5420"/>
    <w:lvl w:ilvl="0" w:tplc="3392CF0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2E35CE7"/>
    <w:multiLevelType w:val="hybridMultilevel"/>
    <w:tmpl w:val="CB32BD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E086814"/>
    <w:multiLevelType w:val="singleLevel"/>
    <w:tmpl w:val="0C090019"/>
    <w:lvl w:ilvl="0">
      <w:start w:val="1"/>
      <w:numFmt w:val="lowerLetter"/>
      <w:lvlText w:val="%1."/>
      <w:lvlJc w:val="left"/>
      <w:pPr>
        <w:ind w:left="360" w:hanging="360"/>
      </w:pPr>
      <w:rPr>
        <w:rFonts w:hint="default"/>
        <w:b w:val="0"/>
        <w:bCs/>
        <w:caps/>
        <w:sz w:val="20"/>
      </w:rPr>
    </w:lvl>
  </w:abstractNum>
  <w:abstractNum w:abstractNumId="13" w15:restartNumberingAfterBreak="0">
    <w:nsid w:val="3E726423"/>
    <w:multiLevelType w:val="hybridMultilevel"/>
    <w:tmpl w:val="DFD23B7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F1600F7"/>
    <w:multiLevelType w:val="hybridMultilevel"/>
    <w:tmpl w:val="51FCBF94"/>
    <w:lvl w:ilvl="0" w:tplc="0C09001B">
      <w:start w:val="1"/>
      <w:numFmt w:val="lowerRoman"/>
      <w:lvlText w:val="%1."/>
      <w:lvlJc w:val="right"/>
      <w:pPr>
        <w:ind w:left="1288" w:hanging="360"/>
      </w:p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15" w15:restartNumberingAfterBreak="0">
    <w:nsid w:val="48E83F5A"/>
    <w:multiLevelType w:val="hybridMultilevel"/>
    <w:tmpl w:val="3E7EFB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5AA21F0"/>
    <w:multiLevelType w:val="hybridMultilevel"/>
    <w:tmpl w:val="1D8A9AB8"/>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78372FE"/>
    <w:multiLevelType w:val="hybridMultilevel"/>
    <w:tmpl w:val="9D788C6C"/>
    <w:lvl w:ilvl="0" w:tplc="093EF42A">
      <w:start w:val="1"/>
      <w:numFmt w:val="bullet"/>
      <w:lvlText w:val=""/>
      <w:lvlJc w:val="left"/>
      <w:pPr>
        <w:tabs>
          <w:tab w:val="num" w:pos="720"/>
        </w:tabs>
        <w:ind w:left="720" w:hanging="360"/>
      </w:pPr>
      <w:rPr>
        <w:rFonts w:ascii="Wingdings" w:hAnsi="Wingdings" w:hint="default"/>
      </w:rPr>
    </w:lvl>
    <w:lvl w:ilvl="1" w:tplc="7CAC6064">
      <w:numFmt w:val="bullet"/>
      <w:lvlText w:val="•"/>
      <w:lvlJc w:val="left"/>
      <w:pPr>
        <w:tabs>
          <w:tab w:val="num" w:pos="1440"/>
        </w:tabs>
        <w:ind w:left="1440" w:hanging="360"/>
      </w:pPr>
      <w:rPr>
        <w:rFonts w:ascii="Arial" w:hAnsi="Arial" w:hint="default"/>
      </w:rPr>
    </w:lvl>
    <w:lvl w:ilvl="2" w:tplc="4EF45958" w:tentative="1">
      <w:start w:val="1"/>
      <w:numFmt w:val="bullet"/>
      <w:lvlText w:val=""/>
      <w:lvlJc w:val="left"/>
      <w:pPr>
        <w:tabs>
          <w:tab w:val="num" w:pos="2160"/>
        </w:tabs>
        <w:ind w:left="2160" w:hanging="360"/>
      </w:pPr>
      <w:rPr>
        <w:rFonts w:ascii="Wingdings" w:hAnsi="Wingdings" w:hint="default"/>
      </w:rPr>
    </w:lvl>
    <w:lvl w:ilvl="3" w:tplc="E83C0612" w:tentative="1">
      <w:start w:val="1"/>
      <w:numFmt w:val="bullet"/>
      <w:lvlText w:val=""/>
      <w:lvlJc w:val="left"/>
      <w:pPr>
        <w:tabs>
          <w:tab w:val="num" w:pos="2880"/>
        </w:tabs>
        <w:ind w:left="2880" w:hanging="360"/>
      </w:pPr>
      <w:rPr>
        <w:rFonts w:ascii="Wingdings" w:hAnsi="Wingdings" w:hint="default"/>
      </w:rPr>
    </w:lvl>
    <w:lvl w:ilvl="4" w:tplc="5BBC9FDC" w:tentative="1">
      <w:start w:val="1"/>
      <w:numFmt w:val="bullet"/>
      <w:lvlText w:val=""/>
      <w:lvlJc w:val="left"/>
      <w:pPr>
        <w:tabs>
          <w:tab w:val="num" w:pos="3600"/>
        </w:tabs>
        <w:ind w:left="3600" w:hanging="360"/>
      </w:pPr>
      <w:rPr>
        <w:rFonts w:ascii="Wingdings" w:hAnsi="Wingdings" w:hint="default"/>
      </w:rPr>
    </w:lvl>
    <w:lvl w:ilvl="5" w:tplc="3364D38E" w:tentative="1">
      <w:start w:val="1"/>
      <w:numFmt w:val="bullet"/>
      <w:lvlText w:val=""/>
      <w:lvlJc w:val="left"/>
      <w:pPr>
        <w:tabs>
          <w:tab w:val="num" w:pos="4320"/>
        </w:tabs>
        <w:ind w:left="4320" w:hanging="360"/>
      </w:pPr>
      <w:rPr>
        <w:rFonts w:ascii="Wingdings" w:hAnsi="Wingdings" w:hint="default"/>
      </w:rPr>
    </w:lvl>
    <w:lvl w:ilvl="6" w:tplc="76C49C94" w:tentative="1">
      <w:start w:val="1"/>
      <w:numFmt w:val="bullet"/>
      <w:lvlText w:val=""/>
      <w:lvlJc w:val="left"/>
      <w:pPr>
        <w:tabs>
          <w:tab w:val="num" w:pos="5040"/>
        </w:tabs>
        <w:ind w:left="5040" w:hanging="360"/>
      </w:pPr>
      <w:rPr>
        <w:rFonts w:ascii="Wingdings" w:hAnsi="Wingdings" w:hint="default"/>
      </w:rPr>
    </w:lvl>
    <w:lvl w:ilvl="7" w:tplc="832225A2" w:tentative="1">
      <w:start w:val="1"/>
      <w:numFmt w:val="bullet"/>
      <w:lvlText w:val=""/>
      <w:lvlJc w:val="left"/>
      <w:pPr>
        <w:tabs>
          <w:tab w:val="num" w:pos="5760"/>
        </w:tabs>
        <w:ind w:left="5760" w:hanging="360"/>
      </w:pPr>
      <w:rPr>
        <w:rFonts w:ascii="Wingdings" w:hAnsi="Wingdings" w:hint="default"/>
      </w:rPr>
    </w:lvl>
    <w:lvl w:ilvl="8" w:tplc="245C2D6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E9A74E7"/>
    <w:multiLevelType w:val="hybridMultilevel"/>
    <w:tmpl w:val="2AD824AE"/>
    <w:lvl w:ilvl="0" w:tplc="FFFFFFFF">
      <w:start w:val="1"/>
      <w:numFmt w:val="decimal"/>
      <w:lvlText w:val="%1."/>
      <w:lvlJc w:val="left"/>
      <w:pPr>
        <w:ind w:left="360" w:hanging="360"/>
      </w:pPr>
      <w:rPr>
        <w:rFonts w:hint="default"/>
      </w:rPr>
    </w:lvl>
    <w:lvl w:ilvl="1" w:tplc="0C09001B">
      <w:start w:val="1"/>
      <w:numFmt w:val="lowerRoman"/>
      <w:lvlText w:val="%2."/>
      <w:lvlJc w:val="right"/>
      <w:pPr>
        <w:ind w:left="1080" w:hanging="360"/>
      </w:pPr>
      <w:rPr>
        <w:rFonts w:hint="default"/>
      </w:r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638A708A"/>
    <w:multiLevelType w:val="hybridMultilevel"/>
    <w:tmpl w:val="45F08C38"/>
    <w:lvl w:ilvl="0" w:tplc="FFFFFFFF">
      <w:start w:val="1"/>
      <w:numFmt w:val="decimal"/>
      <w:lvlText w:val="%1."/>
      <w:lvlJc w:val="left"/>
      <w:pPr>
        <w:ind w:left="644" w:hanging="360"/>
      </w:p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2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071478"/>
    <w:multiLevelType w:val="hybridMultilevel"/>
    <w:tmpl w:val="3F5AF434"/>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C04DD4"/>
    <w:multiLevelType w:val="hybridMultilevel"/>
    <w:tmpl w:val="24F40D5E"/>
    <w:lvl w:ilvl="0" w:tplc="0C090001">
      <w:start w:val="1"/>
      <w:numFmt w:val="bullet"/>
      <w:lvlText w:val=""/>
      <w:lvlJc w:val="left"/>
      <w:pPr>
        <w:ind w:left="2008" w:hanging="360"/>
      </w:pPr>
      <w:rPr>
        <w:rFonts w:ascii="Symbol" w:hAnsi="Symbol" w:hint="default"/>
      </w:rPr>
    </w:lvl>
    <w:lvl w:ilvl="1" w:tplc="0C090003" w:tentative="1">
      <w:start w:val="1"/>
      <w:numFmt w:val="bullet"/>
      <w:lvlText w:val="o"/>
      <w:lvlJc w:val="left"/>
      <w:pPr>
        <w:ind w:left="2728" w:hanging="360"/>
      </w:pPr>
      <w:rPr>
        <w:rFonts w:ascii="Courier New" w:hAnsi="Courier New" w:cs="Courier New" w:hint="default"/>
      </w:rPr>
    </w:lvl>
    <w:lvl w:ilvl="2" w:tplc="0C090005" w:tentative="1">
      <w:start w:val="1"/>
      <w:numFmt w:val="bullet"/>
      <w:lvlText w:val=""/>
      <w:lvlJc w:val="left"/>
      <w:pPr>
        <w:ind w:left="3448" w:hanging="360"/>
      </w:pPr>
      <w:rPr>
        <w:rFonts w:ascii="Wingdings" w:hAnsi="Wingdings" w:hint="default"/>
      </w:rPr>
    </w:lvl>
    <w:lvl w:ilvl="3" w:tplc="0C090001" w:tentative="1">
      <w:start w:val="1"/>
      <w:numFmt w:val="bullet"/>
      <w:lvlText w:val=""/>
      <w:lvlJc w:val="left"/>
      <w:pPr>
        <w:ind w:left="4168" w:hanging="360"/>
      </w:pPr>
      <w:rPr>
        <w:rFonts w:ascii="Symbol" w:hAnsi="Symbol" w:hint="default"/>
      </w:rPr>
    </w:lvl>
    <w:lvl w:ilvl="4" w:tplc="0C090003" w:tentative="1">
      <w:start w:val="1"/>
      <w:numFmt w:val="bullet"/>
      <w:lvlText w:val="o"/>
      <w:lvlJc w:val="left"/>
      <w:pPr>
        <w:ind w:left="4888" w:hanging="360"/>
      </w:pPr>
      <w:rPr>
        <w:rFonts w:ascii="Courier New" w:hAnsi="Courier New" w:cs="Courier New" w:hint="default"/>
      </w:rPr>
    </w:lvl>
    <w:lvl w:ilvl="5" w:tplc="0C090005" w:tentative="1">
      <w:start w:val="1"/>
      <w:numFmt w:val="bullet"/>
      <w:lvlText w:val=""/>
      <w:lvlJc w:val="left"/>
      <w:pPr>
        <w:ind w:left="5608" w:hanging="360"/>
      </w:pPr>
      <w:rPr>
        <w:rFonts w:ascii="Wingdings" w:hAnsi="Wingdings" w:hint="default"/>
      </w:rPr>
    </w:lvl>
    <w:lvl w:ilvl="6" w:tplc="0C090001" w:tentative="1">
      <w:start w:val="1"/>
      <w:numFmt w:val="bullet"/>
      <w:lvlText w:val=""/>
      <w:lvlJc w:val="left"/>
      <w:pPr>
        <w:ind w:left="6328" w:hanging="360"/>
      </w:pPr>
      <w:rPr>
        <w:rFonts w:ascii="Symbol" w:hAnsi="Symbol" w:hint="default"/>
      </w:rPr>
    </w:lvl>
    <w:lvl w:ilvl="7" w:tplc="0C090003" w:tentative="1">
      <w:start w:val="1"/>
      <w:numFmt w:val="bullet"/>
      <w:lvlText w:val="o"/>
      <w:lvlJc w:val="left"/>
      <w:pPr>
        <w:ind w:left="7048" w:hanging="360"/>
      </w:pPr>
      <w:rPr>
        <w:rFonts w:ascii="Courier New" w:hAnsi="Courier New" w:cs="Courier New" w:hint="default"/>
      </w:rPr>
    </w:lvl>
    <w:lvl w:ilvl="8" w:tplc="0C090005" w:tentative="1">
      <w:start w:val="1"/>
      <w:numFmt w:val="bullet"/>
      <w:lvlText w:val=""/>
      <w:lvlJc w:val="left"/>
      <w:pPr>
        <w:ind w:left="7768" w:hanging="360"/>
      </w:pPr>
      <w:rPr>
        <w:rFonts w:ascii="Wingdings" w:hAnsi="Wingdings" w:hint="default"/>
      </w:rPr>
    </w:lvl>
  </w:abstractNum>
  <w:abstractNum w:abstractNumId="23" w15:restartNumberingAfterBreak="0">
    <w:nsid w:val="66FA4C0A"/>
    <w:multiLevelType w:val="hybridMultilevel"/>
    <w:tmpl w:val="A6DCDB2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6E574C97"/>
    <w:multiLevelType w:val="hybridMultilevel"/>
    <w:tmpl w:val="CF245836"/>
    <w:lvl w:ilvl="0" w:tplc="0C09000F">
      <w:start w:val="1"/>
      <w:numFmt w:val="decimal"/>
      <w:lvlText w:val="%1."/>
      <w:lvlJc w:val="left"/>
      <w:pPr>
        <w:ind w:left="360" w:hanging="360"/>
      </w:pPr>
      <w:rPr>
        <w:rFonts w:hint="default"/>
      </w:rPr>
    </w:lvl>
    <w:lvl w:ilvl="1" w:tplc="0E10E634">
      <w:start w:val="1"/>
      <w:numFmt w:val="lowerLetter"/>
      <w:lvlText w:val="%2)"/>
      <w:lvlJc w:val="left"/>
      <w:pPr>
        <w:ind w:left="1080" w:hanging="360"/>
      </w:pPr>
      <w:rPr>
        <w:rFonts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70E02196"/>
    <w:multiLevelType w:val="hybridMultilevel"/>
    <w:tmpl w:val="3C6C5BAC"/>
    <w:lvl w:ilvl="0" w:tplc="E444AD82">
      <w:start w:val="1"/>
      <w:numFmt w:val="lowerRoman"/>
      <w:lvlText w:val="(%1)"/>
      <w:lvlJc w:val="left"/>
      <w:pPr>
        <w:ind w:left="655" w:hanging="360"/>
      </w:pPr>
      <w:rPr>
        <w:rFonts w:hint="default"/>
      </w:rPr>
    </w:lvl>
    <w:lvl w:ilvl="1" w:tplc="0C090019" w:tentative="1">
      <w:start w:val="1"/>
      <w:numFmt w:val="lowerLetter"/>
      <w:lvlText w:val="%2."/>
      <w:lvlJc w:val="left"/>
      <w:pPr>
        <w:ind w:left="1375" w:hanging="360"/>
      </w:pPr>
    </w:lvl>
    <w:lvl w:ilvl="2" w:tplc="0C09001B" w:tentative="1">
      <w:start w:val="1"/>
      <w:numFmt w:val="lowerRoman"/>
      <w:lvlText w:val="%3."/>
      <w:lvlJc w:val="right"/>
      <w:pPr>
        <w:ind w:left="2095" w:hanging="180"/>
      </w:pPr>
    </w:lvl>
    <w:lvl w:ilvl="3" w:tplc="0C09000F" w:tentative="1">
      <w:start w:val="1"/>
      <w:numFmt w:val="decimal"/>
      <w:lvlText w:val="%4."/>
      <w:lvlJc w:val="left"/>
      <w:pPr>
        <w:ind w:left="2815" w:hanging="360"/>
      </w:pPr>
    </w:lvl>
    <w:lvl w:ilvl="4" w:tplc="0C090019" w:tentative="1">
      <w:start w:val="1"/>
      <w:numFmt w:val="lowerLetter"/>
      <w:lvlText w:val="%5."/>
      <w:lvlJc w:val="left"/>
      <w:pPr>
        <w:ind w:left="3535" w:hanging="360"/>
      </w:pPr>
    </w:lvl>
    <w:lvl w:ilvl="5" w:tplc="0C09001B" w:tentative="1">
      <w:start w:val="1"/>
      <w:numFmt w:val="lowerRoman"/>
      <w:lvlText w:val="%6."/>
      <w:lvlJc w:val="right"/>
      <w:pPr>
        <w:ind w:left="4255" w:hanging="180"/>
      </w:pPr>
    </w:lvl>
    <w:lvl w:ilvl="6" w:tplc="0C09000F" w:tentative="1">
      <w:start w:val="1"/>
      <w:numFmt w:val="decimal"/>
      <w:lvlText w:val="%7."/>
      <w:lvlJc w:val="left"/>
      <w:pPr>
        <w:ind w:left="4975" w:hanging="360"/>
      </w:pPr>
    </w:lvl>
    <w:lvl w:ilvl="7" w:tplc="0C090019" w:tentative="1">
      <w:start w:val="1"/>
      <w:numFmt w:val="lowerLetter"/>
      <w:lvlText w:val="%8."/>
      <w:lvlJc w:val="left"/>
      <w:pPr>
        <w:ind w:left="5695" w:hanging="360"/>
      </w:pPr>
    </w:lvl>
    <w:lvl w:ilvl="8" w:tplc="0C09001B" w:tentative="1">
      <w:start w:val="1"/>
      <w:numFmt w:val="lowerRoman"/>
      <w:lvlText w:val="%9."/>
      <w:lvlJc w:val="right"/>
      <w:pPr>
        <w:ind w:left="6415" w:hanging="180"/>
      </w:pPr>
    </w:lvl>
  </w:abstractNum>
  <w:abstractNum w:abstractNumId="26" w15:restartNumberingAfterBreak="0">
    <w:nsid w:val="70E96108"/>
    <w:multiLevelType w:val="hybridMultilevel"/>
    <w:tmpl w:val="62F82558"/>
    <w:lvl w:ilvl="0" w:tplc="3392CF0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C842CF3"/>
    <w:multiLevelType w:val="hybridMultilevel"/>
    <w:tmpl w:val="45F08C38"/>
    <w:lvl w:ilvl="0" w:tplc="0C09000F">
      <w:start w:val="1"/>
      <w:numFmt w:val="decimal"/>
      <w:lvlText w:val="%1."/>
      <w:lvlJc w:val="left"/>
      <w:pPr>
        <w:ind w:left="644" w:hanging="360"/>
      </w:p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28" w15:restartNumberingAfterBreak="0">
    <w:nsid w:val="7FE71DBE"/>
    <w:multiLevelType w:val="hybridMultilevel"/>
    <w:tmpl w:val="96DE397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1"/>
  </w:num>
  <w:num w:numId="3">
    <w:abstractNumId w:val="0"/>
  </w:num>
  <w:num w:numId="4">
    <w:abstractNumId w:val="8"/>
  </w:num>
  <w:num w:numId="5">
    <w:abstractNumId w:val="21"/>
  </w:num>
  <w:num w:numId="6">
    <w:abstractNumId w:val="16"/>
  </w:num>
  <w:num w:numId="7">
    <w:abstractNumId w:val="20"/>
  </w:num>
  <w:num w:numId="8">
    <w:abstractNumId w:val="9"/>
  </w:num>
  <w:num w:numId="9">
    <w:abstractNumId w:val="16"/>
  </w:num>
  <w:num w:numId="10">
    <w:abstractNumId w:val="26"/>
  </w:num>
  <w:num w:numId="11">
    <w:abstractNumId w:val="2"/>
    <w:lvlOverride w:ilvl="0">
      <w:startOverride w:val="1"/>
    </w:lvlOverride>
  </w:num>
  <w:num w:numId="12">
    <w:abstractNumId w:val="25"/>
  </w:num>
  <w:num w:numId="13">
    <w:abstractNumId w:val="12"/>
  </w:num>
  <w:num w:numId="14">
    <w:abstractNumId w:val="27"/>
  </w:num>
  <w:num w:numId="15">
    <w:abstractNumId w:val="5"/>
  </w:num>
  <w:num w:numId="16">
    <w:abstractNumId w:val="6"/>
  </w:num>
  <w:num w:numId="17">
    <w:abstractNumId w:val="17"/>
  </w:num>
  <w:num w:numId="18">
    <w:abstractNumId w:val="10"/>
  </w:num>
  <w:num w:numId="19">
    <w:abstractNumId w:val="2"/>
  </w:num>
  <w:num w:numId="20">
    <w:abstractNumId w:val="24"/>
  </w:num>
  <w:num w:numId="21">
    <w:abstractNumId w:val="18"/>
  </w:num>
  <w:num w:numId="22">
    <w:abstractNumId w:val="14"/>
  </w:num>
  <w:num w:numId="23">
    <w:abstractNumId w:val="7"/>
  </w:num>
  <w:num w:numId="24">
    <w:abstractNumId w:val="22"/>
  </w:num>
  <w:num w:numId="25">
    <w:abstractNumId w:val="16"/>
    <w:lvlOverride w:ilvl="0">
      <w:startOverride w:val="1"/>
    </w:lvlOverride>
  </w:num>
  <w:num w:numId="26">
    <w:abstractNumId w:val="23"/>
  </w:num>
  <w:num w:numId="27">
    <w:abstractNumId w:val="19"/>
  </w:num>
  <w:num w:numId="28">
    <w:abstractNumId w:val="28"/>
  </w:num>
  <w:num w:numId="29">
    <w:abstractNumId w:val="13"/>
  </w:num>
  <w:num w:numId="30">
    <w:abstractNumId w:val="11"/>
  </w:num>
  <w:num w:numId="31">
    <w:abstractNumId w:val="15"/>
  </w:num>
  <w:num w:numId="32">
    <w:abstractNumId w:val="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65FA"/>
    <w:rsid w:val="00000395"/>
    <w:rsid w:val="00000476"/>
    <w:rsid w:val="0000083F"/>
    <w:rsid w:val="000009D3"/>
    <w:rsid w:val="00000C4E"/>
    <w:rsid w:val="000015A8"/>
    <w:rsid w:val="000019BF"/>
    <w:rsid w:val="00001B61"/>
    <w:rsid w:val="00001CD3"/>
    <w:rsid w:val="00002EEB"/>
    <w:rsid w:val="000034E7"/>
    <w:rsid w:val="00004F8D"/>
    <w:rsid w:val="0000508B"/>
    <w:rsid w:val="0000514C"/>
    <w:rsid w:val="00006A1A"/>
    <w:rsid w:val="00006BF2"/>
    <w:rsid w:val="000073A9"/>
    <w:rsid w:val="00007A88"/>
    <w:rsid w:val="00007D07"/>
    <w:rsid w:val="000102B2"/>
    <w:rsid w:val="00010667"/>
    <w:rsid w:val="000109F7"/>
    <w:rsid w:val="00010D24"/>
    <w:rsid w:val="000112C2"/>
    <w:rsid w:val="000114DF"/>
    <w:rsid w:val="000129D5"/>
    <w:rsid w:val="00012F28"/>
    <w:rsid w:val="00012F86"/>
    <w:rsid w:val="000135FE"/>
    <w:rsid w:val="00013772"/>
    <w:rsid w:val="00013E99"/>
    <w:rsid w:val="00014131"/>
    <w:rsid w:val="000143F2"/>
    <w:rsid w:val="0001440D"/>
    <w:rsid w:val="00014AB3"/>
    <w:rsid w:val="00015AE7"/>
    <w:rsid w:val="00016E21"/>
    <w:rsid w:val="0001700C"/>
    <w:rsid w:val="0001719C"/>
    <w:rsid w:val="00017217"/>
    <w:rsid w:val="000209B3"/>
    <w:rsid w:val="00020FCA"/>
    <w:rsid w:val="00021064"/>
    <w:rsid w:val="0002158D"/>
    <w:rsid w:val="00021A19"/>
    <w:rsid w:val="00021FB1"/>
    <w:rsid w:val="0002224E"/>
    <w:rsid w:val="0002278E"/>
    <w:rsid w:val="00022E3A"/>
    <w:rsid w:val="000237EA"/>
    <w:rsid w:val="00023B87"/>
    <w:rsid w:val="00023CF8"/>
    <w:rsid w:val="000245E5"/>
    <w:rsid w:val="00024A70"/>
    <w:rsid w:val="00024A91"/>
    <w:rsid w:val="00024DF4"/>
    <w:rsid w:val="000261E2"/>
    <w:rsid w:val="00026BAC"/>
    <w:rsid w:val="00026F91"/>
    <w:rsid w:val="000276D1"/>
    <w:rsid w:val="00031649"/>
    <w:rsid w:val="00032280"/>
    <w:rsid w:val="0003235D"/>
    <w:rsid w:val="00032451"/>
    <w:rsid w:val="00032621"/>
    <w:rsid w:val="00032D86"/>
    <w:rsid w:val="00033DF5"/>
    <w:rsid w:val="00034264"/>
    <w:rsid w:val="00034549"/>
    <w:rsid w:val="00035602"/>
    <w:rsid w:val="00035AEB"/>
    <w:rsid w:val="00035CBA"/>
    <w:rsid w:val="00036025"/>
    <w:rsid w:val="00036459"/>
    <w:rsid w:val="0003672F"/>
    <w:rsid w:val="00036E99"/>
    <w:rsid w:val="0003772A"/>
    <w:rsid w:val="00037743"/>
    <w:rsid w:val="00040302"/>
    <w:rsid w:val="000408E2"/>
    <w:rsid w:val="00040FB0"/>
    <w:rsid w:val="0004103A"/>
    <w:rsid w:val="000413CC"/>
    <w:rsid w:val="0004151D"/>
    <w:rsid w:val="0004183D"/>
    <w:rsid w:val="0004259F"/>
    <w:rsid w:val="000428DF"/>
    <w:rsid w:val="00043D6E"/>
    <w:rsid w:val="00043DBF"/>
    <w:rsid w:val="00044C97"/>
    <w:rsid w:val="00045B0A"/>
    <w:rsid w:val="000464E2"/>
    <w:rsid w:val="0004722B"/>
    <w:rsid w:val="0004764C"/>
    <w:rsid w:val="0004772D"/>
    <w:rsid w:val="00047BE9"/>
    <w:rsid w:val="0005011A"/>
    <w:rsid w:val="0005045A"/>
    <w:rsid w:val="0005101C"/>
    <w:rsid w:val="000510E8"/>
    <w:rsid w:val="00051763"/>
    <w:rsid w:val="00051C1E"/>
    <w:rsid w:val="00052489"/>
    <w:rsid w:val="00052711"/>
    <w:rsid w:val="00053152"/>
    <w:rsid w:val="00053452"/>
    <w:rsid w:val="000539F9"/>
    <w:rsid w:val="0005460F"/>
    <w:rsid w:val="00054A66"/>
    <w:rsid w:val="00054C27"/>
    <w:rsid w:val="00054C2F"/>
    <w:rsid w:val="00055EC3"/>
    <w:rsid w:val="00056002"/>
    <w:rsid w:val="00056123"/>
    <w:rsid w:val="000562F4"/>
    <w:rsid w:val="000563CE"/>
    <w:rsid w:val="000567CF"/>
    <w:rsid w:val="00056B8A"/>
    <w:rsid w:val="00056BB5"/>
    <w:rsid w:val="00056D2B"/>
    <w:rsid w:val="00056F0A"/>
    <w:rsid w:val="00056F6B"/>
    <w:rsid w:val="000601E6"/>
    <w:rsid w:val="00060A38"/>
    <w:rsid w:val="00060C97"/>
    <w:rsid w:val="0006332A"/>
    <w:rsid w:val="000633A3"/>
    <w:rsid w:val="000633DF"/>
    <w:rsid w:val="0006384B"/>
    <w:rsid w:val="00064680"/>
    <w:rsid w:val="00064B15"/>
    <w:rsid w:val="00064E1A"/>
    <w:rsid w:val="000659B6"/>
    <w:rsid w:val="00065BB2"/>
    <w:rsid w:val="0006648F"/>
    <w:rsid w:val="000664F3"/>
    <w:rsid w:val="0006686F"/>
    <w:rsid w:val="0006710A"/>
    <w:rsid w:val="0006722A"/>
    <w:rsid w:val="000678BC"/>
    <w:rsid w:val="00071189"/>
    <w:rsid w:val="000717B6"/>
    <w:rsid w:val="00071809"/>
    <w:rsid w:val="00072516"/>
    <w:rsid w:val="00072EB0"/>
    <w:rsid w:val="000732CF"/>
    <w:rsid w:val="000733E5"/>
    <w:rsid w:val="0007410F"/>
    <w:rsid w:val="00074113"/>
    <w:rsid w:val="00074B46"/>
    <w:rsid w:val="00075B96"/>
    <w:rsid w:val="00075C71"/>
    <w:rsid w:val="00076179"/>
    <w:rsid w:val="0007682B"/>
    <w:rsid w:val="00076FA4"/>
    <w:rsid w:val="00077371"/>
    <w:rsid w:val="000773E0"/>
    <w:rsid w:val="00077503"/>
    <w:rsid w:val="00077BF6"/>
    <w:rsid w:val="00077E69"/>
    <w:rsid w:val="00080C04"/>
    <w:rsid w:val="00081127"/>
    <w:rsid w:val="0008196A"/>
    <w:rsid w:val="00081A29"/>
    <w:rsid w:val="00082C4B"/>
    <w:rsid w:val="000830F7"/>
    <w:rsid w:val="000847B1"/>
    <w:rsid w:val="000847CE"/>
    <w:rsid w:val="00084B09"/>
    <w:rsid w:val="00084E35"/>
    <w:rsid w:val="00084FA4"/>
    <w:rsid w:val="000863E7"/>
    <w:rsid w:val="000870D9"/>
    <w:rsid w:val="000872B0"/>
    <w:rsid w:val="000877D9"/>
    <w:rsid w:val="00087C79"/>
    <w:rsid w:val="0009063E"/>
    <w:rsid w:val="00090C5B"/>
    <w:rsid w:val="000915ED"/>
    <w:rsid w:val="00091923"/>
    <w:rsid w:val="0009209D"/>
    <w:rsid w:val="00092D42"/>
    <w:rsid w:val="000936B4"/>
    <w:rsid w:val="0009389C"/>
    <w:rsid w:val="00093D46"/>
    <w:rsid w:val="00093F8C"/>
    <w:rsid w:val="0009463C"/>
    <w:rsid w:val="00094E3A"/>
    <w:rsid w:val="00095923"/>
    <w:rsid w:val="00096002"/>
    <w:rsid w:val="000967FD"/>
    <w:rsid w:val="000969BD"/>
    <w:rsid w:val="000969BF"/>
    <w:rsid w:val="00096E8B"/>
    <w:rsid w:val="000972CC"/>
    <w:rsid w:val="000A0119"/>
    <w:rsid w:val="000A0C22"/>
    <w:rsid w:val="000A1400"/>
    <w:rsid w:val="000A16B4"/>
    <w:rsid w:val="000A226E"/>
    <w:rsid w:val="000A2391"/>
    <w:rsid w:val="000A2A52"/>
    <w:rsid w:val="000A2FA4"/>
    <w:rsid w:val="000A3185"/>
    <w:rsid w:val="000A3C43"/>
    <w:rsid w:val="000A3F23"/>
    <w:rsid w:val="000A4409"/>
    <w:rsid w:val="000A4A51"/>
    <w:rsid w:val="000A4E08"/>
    <w:rsid w:val="000A5B10"/>
    <w:rsid w:val="000A5B36"/>
    <w:rsid w:val="000A5D2B"/>
    <w:rsid w:val="000A66C0"/>
    <w:rsid w:val="000A677B"/>
    <w:rsid w:val="000A6E2C"/>
    <w:rsid w:val="000A7248"/>
    <w:rsid w:val="000A7703"/>
    <w:rsid w:val="000A7CFF"/>
    <w:rsid w:val="000B0363"/>
    <w:rsid w:val="000B0595"/>
    <w:rsid w:val="000B07AA"/>
    <w:rsid w:val="000B0B39"/>
    <w:rsid w:val="000B0F07"/>
    <w:rsid w:val="000B14E0"/>
    <w:rsid w:val="000B1B2D"/>
    <w:rsid w:val="000B262A"/>
    <w:rsid w:val="000B2BAA"/>
    <w:rsid w:val="000B2EE8"/>
    <w:rsid w:val="000B306A"/>
    <w:rsid w:val="000B332A"/>
    <w:rsid w:val="000B4664"/>
    <w:rsid w:val="000B4712"/>
    <w:rsid w:val="000B47B4"/>
    <w:rsid w:val="000B5DE3"/>
    <w:rsid w:val="000B6E9D"/>
    <w:rsid w:val="000B73CF"/>
    <w:rsid w:val="000B7B8A"/>
    <w:rsid w:val="000B7C47"/>
    <w:rsid w:val="000C0A57"/>
    <w:rsid w:val="000C19F2"/>
    <w:rsid w:val="000C218A"/>
    <w:rsid w:val="000C230C"/>
    <w:rsid w:val="000C252A"/>
    <w:rsid w:val="000C29F8"/>
    <w:rsid w:val="000C2B67"/>
    <w:rsid w:val="000C3B20"/>
    <w:rsid w:val="000C3C87"/>
    <w:rsid w:val="000C4954"/>
    <w:rsid w:val="000C4FFC"/>
    <w:rsid w:val="000C5DFB"/>
    <w:rsid w:val="000C6AB4"/>
    <w:rsid w:val="000C6B5F"/>
    <w:rsid w:val="000C6D38"/>
    <w:rsid w:val="000C7F4B"/>
    <w:rsid w:val="000D026A"/>
    <w:rsid w:val="000D061E"/>
    <w:rsid w:val="000D157C"/>
    <w:rsid w:val="000D1BFA"/>
    <w:rsid w:val="000D1E69"/>
    <w:rsid w:val="000D1F27"/>
    <w:rsid w:val="000D201B"/>
    <w:rsid w:val="000D2817"/>
    <w:rsid w:val="000D458E"/>
    <w:rsid w:val="000D518F"/>
    <w:rsid w:val="000D5DE8"/>
    <w:rsid w:val="000D651E"/>
    <w:rsid w:val="000D662A"/>
    <w:rsid w:val="000D7029"/>
    <w:rsid w:val="000D71B1"/>
    <w:rsid w:val="000D71D9"/>
    <w:rsid w:val="000D72EE"/>
    <w:rsid w:val="000D76E0"/>
    <w:rsid w:val="000D7E8B"/>
    <w:rsid w:val="000E04EB"/>
    <w:rsid w:val="000E0A9E"/>
    <w:rsid w:val="000E0EEF"/>
    <w:rsid w:val="000E14B7"/>
    <w:rsid w:val="000E1DE7"/>
    <w:rsid w:val="000E233F"/>
    <w:rsid w:val="000E2681"/>
    <w:rsid w:val="000E2A05"/>
    <w:rsid w:val="000E32C1"/>
    <w:rsid w:val="000E3409"/>
    <w:rsid w:val="000E4449"/>
    <w:rsid w:val="000E48A6"/>
    <w:rsid w:val="000E4BCD"/>
    <w:rsid w:val="000E51AA"/>
    <w:rsid w:val="000E584B"/>
    <w:rsid w:val="000E6097"/>
    <w:rsid w:val="000E612D"/>
    <w:rsid w:val="000E7660"/>
    <w:rsid w:val="000E772D"/>
    <w:rsid w:val="000F0AAE"/>
    <w:rsid w:val="000F1171"/>
    <w:rsid w:val="000F1185"/>
    <w:rsid w:val="000F185D"/>
    <w:rsid w:val="000F18CF"/>
    <w:rsid w:val="000F18DA"/>
    <w:rsid w:val="000F1D45"/>
    <w:rsid w:val="000F1D5F"/>
    <w:rsid w:val="000F20F3"/>
    <w:rsid w:val="000F220A"/>
    <w:rsid w:val="000F26E4"/>
    <w:rsid w:val="000F37CD"/>
    <w:rsid w:val="000F3AAE"/>
    <w:rsid w:val="000F3EC0"/>
    <w:rsid w:val="000F4717"/>
    <w:rsid w:val="000F4CA9"/>
    <w:rsid w:val="000F5630"/>
    <w:rsid w:val="000F5F0C"/>
    <w:rsid w:val="000F6508"/>
    <w:rsid w:val="000F6B90"/>
    <w:rsid w:val="000F7BF8"/>
    <w:rsid w:val="000F7DA0"/>
    <w:rsid w:val="00101431"/>
    <w:rsid w:val="00101721"/>
    <w:rsid w:val="0010197F"/>
    <w:rsid w:val="00101CDC"/>
    <w:rsid w:val="00101FCF"/>
    <w:rsid w:val="00102B33"/>
    <w:rsid w:val="00103829"/>
    <w:rsid w:val="001045F8"/>
    <w:rsid w:val="0010492B"/>
    <w:rsid w:val="00104DCF"/>
    <w:rsid w:val="001054B9"/>
    <w:rsid w:val="001056BB"/>
    <w:rsid w:val="00105FDD"/>
    <w:rsid w:val="00106297"/>
    <w:rsid w:val="00106723"/>
    <w:rsid w:val="00106EB6"/>
    <w:rsid w:val="00107A5B"/>
    <w:rsid w:val="00107E28"/>
    <w:rsid w:val="0011012B"/>
    <w:rsid w:val="00110635"/>
    <w:rsid w:val="00110DCC"/>
    <w:rsid w:val="00111FCE"/>
    <w:rsid w:val="00112982"/>
    <w:rsid w:val="001135FA"/>
    <w:rsid w:val="00113C58"/>
    <w:rsid w:val="00114B57"/>
    <w:rsid w:val="0011627A"/>
    <w:rsid w:val="00116B9D"/>
    <w:rsid w:val="00116BAC"/>
    <w:rsid w:val="00116C25"/>
    <w:rsid w:val="00116F1E"/>
    <w:rsid w:val="001177B3"/>
    <w:rsid w:val="0011783B"/>
    <w:rsid w:val="00117E9B"/>
    <w:rsid w:val="00122085"/>
    <w:rsid w:val="001227C1"/>
    <w:rsid w:val="001227CE"/>
    <w:rsid w:val="001229A5"/>
    <w:rsid w:val="00123617"/>
    <w:rsid w:val="00123893"/>
    <w:rsid w:val="00123E7F"/>
    <w:rsid w:val="001240FA"/>
    <w:rsid w:val="0012489B"/>
    <w:rsid w:val="0012498D"/>
    <w:rsid w:val="0012515B"/>
    <w:rsid w:val="00126193"/>
    <w:rsid w:val="001266CC"/>
    <w:rsid w:val="00126953"/>
    <w:rsid w:val="00127E12"/>
    <w:rsid w:val="00127F07"/>
    <w:rsid w:val="00130017"/>
    <w:rsid w:val="00130E20"/>
    <w:rsid w:val="00130F91"/>
    <w:rsid w:val="00131CA7"/>
    <w:rsid w:val="00131CE9"/>
    <w:rsid w:val="00131DAA"/>
    <w:rsid w:val="001325B2"/>
    <w:rsid w:val="0013266A"/>
    <w:rsid w:val="00132AC9"/>
    <w:rsid w:val="00132F5A"/>
    <w:rsid w:val="00133ED0"/>
    <w:rsid w:val="00134945"/>
    <w:rsid w:val="001349ED"/>
    <w:rsid w:val="00135070"/>
    <w:rsid w:val="001355B9"/>
    <w:rsid w:val="001358FB"/>
    <w:rsid w:val="00136565"/>
    <w:rsid w:val="00136EC7"/>
    <w:rsid w:val="00137424"/>
    <w:rsid w:val="00137794"/>
    <w:rsid w:val="00137D14"/>
    <w:rsid w:val="00140318"/>
    <w:rsid w:val="00140A25"/>
    <w:rsid w:val="00140B2F"/>
    <w:rsid w:val="00140BF0"/>
    <w:rsid w:val="001415F5"/>
    <w:rsid w:val="00141AD9"/>
    <w:rsid w:val="001421FF"/>
    <w:rsid w:val="0014227E"/>
    <w:rsid w:val="001441C3"/>
    <w:rsid w:val="00144253"/>
    <w:rsid w:val="0014436B"/>
    <w:rsid w:val="001450BF"/>
    <w:rsid w:val="001454B8"/>
    <w:rsid w:val="00145B1D"/>
    <w:rsid w:val="00146944"/>
    <w:rsid w:val="00146CE6"/>
    <w:rsid w:val="00146D03"/>
    <w:rsid w:val="00147EB0"/>
    <w:rsid w:val="00150643"/>
    <w:rsid w:val="00150F22"/>
    <w:rsid w:val="00151229"/>
    <w:rsid w:val="0015281B"/>
    <w:rsid w:val="00152903"/>
    <w:rsid w:val="0015319B"/>
    <w:rsid w:val="00153450"/>
    <w:rsid w:val="001534E4"/>
    <w:rsid w:val="001537FD"/>
    <w:rsid w:val="00153AB3"/>
    <w:rsid w:val="00153BA9"/>
    <w:rsid w:val="00153C01"/>
    <w:rsid w:val="00153FD5"/>
    <w:rsid w:val="0015454C"/>
    <w:rsid w:val="0015459A"/>
    <w:rsid w:val="001545BA"/>
    <w:rsid w:val="001547E1"/>
    <w:rsid w:val="001550BA"/>
    <w:rsid w:val="00155C83"/>
    <w:rsid w:val="00155E56"/>
    <w:rsid w:val="001560EC"/>
    <w:rsid w:val="0015614F"/>
    <w:rsid w:val="00156A79"/>
    <w:rsid w:val="00157728"/>
    <w:rsid w:val="001577C2"/>
    <w:rsid w:val="00157EBC"/>
    <w:rsid w:val="00157F32"/>
    <w:rsid w:val="00160360"/>
    <w:rsid w:val="00160393"/>
    <w:rsid w:val="001605EF"/>
    <w:rsid w:val="00161E8F"/>
    <w:rsid w:val="00162343"/>
    <w:rsid w:val="00162B23"/>
    <w:rsid w:val="00162EBE"/>
    <w:rsid w:val="00163280"/>
    <w:rsid w:val="001633C3"/>
    <w:rsid w:val="001633C4"/>
    <w:rsid w:val="00163F96"/>
    <w:rsid w:val="0016490B"/>
    <w:rsid w:val="001649BC"/>
    <w:rsid w:val="0016513F"/>
    <w:rsid w:val="00166211"/>
    <w:rsid w:val="0016658A"/>
    <w:rsid w:val="00166EA2"/>
    <w:rsid w:val="00167696"/>
    <w:rsid w:val="001678AC"/>
    <w:rsid w:val="00167A42"/>
    <w:rsid w:val="001704D5"/>
    <w:rsid w:val="00170A6F"/>
    <w:rsid w:val="00170D24"/>
    <w:rsid w:val="00171591"/>
    <w:rsid w:val="00171AD5"/>
    <w:rsid w:val="00172A8C"/>
    <w:rsid w:val="00172C04"/>
    <w:rsid w:val="00172C93"/>
    <w:rsid w:val="00173841"/>
    <w:rsid w:val="00173981"/>
    <w:rsid w:val="00173FAC"/>
    <w:rsid w:val="00173FD5"/>
    <w:rsid w:val="001741C3"/>
    <w:rsid w:val="00174286"/>
    <w:rsid w:val="0017433D"/>
    <w:rsid w:val="001744DB"/>
    <w:rsid w:val="00174E35"/>
    <w:rsid w:val="00175621"/>
    <w:rsid w:val="00175A1D"/>
    <w:rsid w:val="00176650"/>
    <w:rsid w:val="001768E7"/>
    <w:rsid w:val="0017719D"/>
    <w:rsid w:val="001773A9"/>
    <w:rsid w:val="00180D64"/>
    <w:rsid w:val="00181A01"/>
    <w:rsid w:val="00181D75"/>
    <w:rsid w:val="00181F22"/>
    <w:rsid w:val="00182443"/>
    <w:rsid w:val="00183578"/>
    <w:rsid w:val="00183A7A"/>
    <w:rsid w:val="00183FD7"/>
    <w:rsid w:val="0018450F"/>
    <w:rsid w:val="00184A4D"/>
    <w:rsid w:val="00184D19"/>
    <w:rsid w:val="0018509D"/>
    <w:rsid w:val="00185125"/>
    <w:rsid w:val="001854BD"/>
    <w:rsid w:val="00185694"/>
    <w:rsid w:val="00185CAB"/>
    <w:rsid w:val="001862BF"/>
    <w:rsid w:val="0018652A"/>
    <w:rsid w:val="00186CFB"/>
    <w:rsid w:val="001875B7"/>
    <w:rsid w:val="00187707"/>
    <w:rsid w:val="00187CB3"/>
    <w:rsid w:val="0019050A"/>
    <w:rsid w:val="001908CD"/>
    <w:rsid w:val="00191082"/>
    <w:rsid w:val="001910D4"/>
    <w:rsid w:val="00191918"/>
    <w:rsid w:val="00191C77"/>
    <w:rsid w:val="0019205B"/>
    <w:rsid w:val="001922F0"/>
    <w:rsid w:val="00192B5D"/>
    <w:rsid w:val="00192EEE"/>
    <w:rsid w:val="00193D5A"/>
    <w:rsid w:val="00194217"/>
    <w:rsid w:val="0019522F"/>
    <w:rsid w:val="00195771"/>
    <w:rsid w:val="001958FD"/>
    <w:rsid w:val="00195D0C"/>
    <w:rsid w:val="00196418"/>
    <w:rsid w:val="001964CC"/>
    <w:rsid w:val="001972D0"/>
    <w:rsid w:val="00197633"/>
    <w:rsid w:val="001976E3"/>
    <w:rsid w:val="001A076A"/>
    <w:rsid w:val="001A0D4C"/>
    <w:rsid w:val="001A11B8"/>
    <w:rsid w:val="001A19D1"/>
    <w:rsid w:val="001A26D6"/>
    <w:rsid w:val="001A2913"/>
    <w:rsid w:val="001A2B67"/>
    <w:rsid w:val="001A31A7"/>
    <w:rsid w:val="001A3B6F"/>
    <w:rsid w:val="001A3E27"/>
    <w:rsid w:val="001A3ED9"/>
    <w:rsid w:val="001A4135"/>
    <w:rsid w:val="001A44EC"/>
    <w:rsid w:val="001A4B58"/>
    <w:rsid w:val="001A4D0D"/>
    <w:rsid w:val="001A5332"/>
    <w:rsid w:val="001A5949"/>
    <w:rsid w:val="001A5FB7"/>
    <w:rsid w:val="001A665C"/>
    <w:rsid w:val="001A7C31"/>
    <w:rsid w:val="001B010C"/>
    <w:rsid w:val="001B0685"/>
    <w:rsid w:val="001B093E"/>
    <w:rsid w:val="001B1034"/>
    <w:rsid w:val="001B1CBA"/>
    <w:rsid w:val="001B2243"/>
    <w:rsid w:val="001B2477"/>
    <w:rsid w:val="001B2EF9"/>
    <w:rsid w:val="001B34A6"/>
    <w:rsid w:val="001B3722"/>
    <w:rsid w:val="001B3B4E"/>
    <w:rsid w:val="001B3E6D"/>
    <w:rsid w:val="001B4020"/>
    <w:rsid w:val="001B51FC"/>
    <w:rsid w:val="001B529D"/>
    <w:rsid w:val="001B555B"/>
    <w:rsid w:val="001B5597"/>
    <w:rsid w:val="001B58AA"/>
    <w:rsid w:val="001B590B"/>
    <w:rsid w:val="001B5A23"/>
    <w:rsid w:val="001B5A7A"/>
    <w:rsid w:val="001B649A"/>
    <w:rsid w:val="001B6A38"/>
    <w:rsid w:val="001B7189"/>
    <w:rsid w:val="001B7E48"/>
    <w:rsid w:val="001C1551"/>
    <w:rsid w:val="001C17CE"/>
    <w:rsid w:val="001C1FAB"/>
    <w:rsid w:val="001C2117"/>
    <w:rsid w:val="001C23FA"/>
    <w:rsid w:val="001C3000"/>
    <w:rsid w:val="001C33C4"/>
    <w:rsid w:val="001C3540"/>
    <w:rsid w:val="001C36CA"/>
    <w:rsid w:val="001C3D55"/>
    <w:rsid w:val="001C44D1"/>
    <w:rsid w:val="001C44E4"/>
    <w:rsid w:val="001C4E50"/>
    <w:rsid w:val="001C5742"/>
    <w:rsid w:val="001C579C"/>
    <w:rsid w:val="001C5BCE"/>
    <w:rsid w:val="001C6362"/>
    <w:rsid w:val="001C6879"/>
    <w:rsid w:val="001C6A93"/>
    <w:rsid w:val="001C6AEE"/>
    <w:rsid w:val="001C7630"/>
    <w:rsid w:val="001C7702"/>
    <w:rsid w:val="001C7F70"/>
    <w:rsid w:val="001D1111"/>
    <w:rsid w:val="001D11F9"/>
    <w:rsid w:val="001D2475"/>
    <w:rsid w:val="001D3181"/>
    <w:rsid w:val="001D32A7"/>
    <w:rsid w:val="001D3552"/>
    <w:rsid w:val="001D36C5"/>
    <w:rsid w:val="001D36D6"/>
    <w:rsid w:val="001D3FB7"/>
    <w:rsid w:val="001D45E5"/>
    <w:rsid w:val="001D49C7"/>
    <w:rsid w:val="001D5425"/>
    <w:rsid w:val="001D576A"/>
    <w:rsid w:val="001D5C1E"/>
    <w:rsid w:val="001D5E88"/>
    <w:rsid w:val="001D6D15"/>
    <w:rsid w:val="001D6D68"/>
    <w:rsid w:val="001D6FB3"/>
    <w:rsid w:val="001D70CE"/>
    <w:rsid w:val="001D722B"/>
    <w:rsid w:val="001E077A"/>
    <w:rsid w:val="001E08E2"/>
    <w:rsid w:val="001E0B13"/>
    <w:rsid w:val="001E2785"/>
    <w:rsid w:val="001E2818"/>
    <w:rsid w:val="001E3445"/>
    <w:rsid w:val="001E473D"/>
    <w:rsid w:val="001E4BF7"/>
    <w:rsid w:val="001E70F0"/>
    <w:rsid w:val="001E7126"/>
    <w:rsid w:val="001E7822"/>
    <w:rsid w:val="001F1530"/>
    <w:rsid w:val="001F19E8"/>
    <w:rsid w:val="001F1ED3"/>
    <w:rsid w:val="001F244A"/>
    <w:rsid w:val="001F26F0"/>
    <w:rsid w:val="001F2CD8"/>
    <w:rsid w:val="001F2F36"/>
    <w:rsid w:val="001F32A1"/>
    <w:rsid w:val="001F356C"/>
    <w:rsid w:val="001F428B"/>
    <w:rsid w:val="001F4802"/>
    <w:rsid w:val="001F4832"/>
    <w:rsid w:val="001F492E"/>
    <w:rsid w:val="001F4E56"/>
    <w:rsid w:val="001F5DC4"/>
    <w:rsid w:val="001F676B"/>
    <w:rsid w:val="001F6BC3"/>
    <w:rsid w:val="001F7352"/>
    <w:rsid w:val="001F7558"/>
    <w:rsid w:val="001F7AA0"/>
    <w:rsid w:val="001F7C54"/>
    <w:rsid w:val="00201218"/>
    <w:rsid w:val="002017CE"/>
    <w:rsid w:val="00201814"/>
    <w:rsid w:val="00201EE2"/>
    <w:rsid w:val="002028DF"/>
    <w:rsid w:val="00202D6E"/>
    <w:rsid w:val="00202FCC"/>
    <w:rsid w:val="002030F1"/>
    <w:rsid w:val="0020315B"/>
    <w:rsid w:val="002039FA"/>
    <w:rsid w:val="002046F1"/>
    <w:rsid w:val="00204894"/>
    <w:rsid w:val="002052C8"/>
    <w:rsid w:val="00205B57"/>
    <w:rsid w:val="00205F15"/>
    <w:rsid w:val="00206E4C"/>
    <w:rsid w:val="00210551"/>
    <w:rsid w:val="0021309C"/>
    <w:rsid w:val="002131D3"/>
    <w:rsid w:val="0021426C"/>
    <w:rsid w:val="00214406"/>
    <w:rsid w:val="00214CE4"/>
    <w:rsid w:val="002157E0"/>
    <w:rsid w:val="00215C3C"/>
    <w:rsid w:val="0021638D"/>
    <w:rsid w:val="00216A57"/>
    <w:rsid w:val="00216ACF"/>
    <w:rsid w:val="00216FC8"/>
    <w:rsid w:val="00217448"/>
    <w:rsid w:val="00217512"/>
    <w:rsid w:val="00217C18"/>
    <w:rsid w:val="002213A7"/>
    <w:rsid w:val="00221DEE"/>
    <w:rsid w:val="002222DD"/>
    <w:rsid w:val="00222BA2"/>
    <w:rsid w:val="00222F21"/>
    <w:rsid w:val="0022334F"/>
    <w:rsid w:val="00223457"/>
    <w:rsid w:val="0022395D"/>
    <w:rsid w:val="00224488"/>
    <w:rsid w:val="00225288"/>
    <w:rsid w:val="002253EC"/>
    <w:rsid w:val="00225712"/>
    <w:rsid w:val="00225779"/>
    <w:rsid w:val="00225C78"/>
    <w:rsid w:val="002261CD"/>
    <w:rsid w:val="00226231"/>
    <w:rsid w:val="002267DD"/>
    <w:rsid w:val="00226819"/>
    <w:rsid w:val="0022700D"/>
    <w:rsid w:val="002273BC"/>
    <w:rsid w:val="002279DB"/>
    <w:rsid w:val="002309A1"/>
    <w:rsid w:val="00230BEB"/>
    <w:rsid w:val="0023123B"/>
    <w:rsid w:val="00231BE7"/>
    <w:rsid w:val="00231C77"/>
    <w:rsid w:val="00232333"/>
    <w:rsid w:val="0023270D"/>
    <w:rsid w:val="00232C99"/>
    <w:rsid w:val="00233101"/>
    <w:rsid w:val="00233817"/>
    <w:rsid w:val="00233856"/>
    <w:rsid w:val="00234460"/>
    <w:rsid w:val="00234491"/>
    <w:rsid w:val="0023459C"/>
    <w:rsid w:val="00234794"/>
    <w:rsid w:val="00234FF7"/>
    <w:rsid w:val="00235ADC"/>
    <w:rsid w:val="00236411"/>
    <w:rsid w:val="0023642F"/>
    <w:rsid w:val="002367FF"/>
    <w:rsid w:val="00236D78"/>
    <w:rsid w:val="00236DC5"/>
    <w:rsid w:val="00240884"/>
    <w:rsid w:val="00240CE9"/>
    <w:rsid w:val="00240FCB"/>
    <w:rsid w:val="002413DD"/>
    <w:rsid w:val="00241F3E"/>
    <w:rsid w:val="0024268A"/>
    <w:rsid w:val="00242FA0"/>
    <w:rsid w:val="002434BA"/>
    <w:rsid w:val="00243956"/>
    <w:rsid w:val="002441F1"/>
    <w:rsid w:val="00244EFB"/>
    <w:rsid w:val="002459D7"/>
    <w:rsid w:val="00246089"/>
    <w:rsid w:val="00246093"/>
    <w:rsid w:val="002462D4"/>
    <w:rsid w:val="00246702"/>
    <w:rsid w:val="00246FDE"/>
    <w:rsid w:val="00247C59"/>
    <w:rsid w:val="00247F2E"/>
    <w:rsid w:val="002502CB"/>
    <w:rsid w:val="0025032B"/>
    <w:rsid w:val="00250ADC"/>
    <w:rsid w:val="00250B07"/>
    <w:rsid w:val="00251AE9"/>
    <w:rsid w:val="002523F0"/>
    <w:rsid w:val="00252752"/>
    <w:rsid w:val="00252AF6"/>
    <w:rsid w:val="00252EFC"/>
    <w:rsid w:val="002533D1"/>
    <w:rsid w:val="00253DFC"/>
    <w:rsid w:val="00254F53"/>
    <w:rsid w:val="0025505E"/>
    <w:rsid w:val="00255208"/>
    <w:rsid w:val="002554E7"/>
    <w:rsid w:val="00255A7E"/>
    <w:rsid w:val="00255C1A"/>
    <w:rsid w:val="00255FED"/>
    <w:rsid w:val="002564B8"/>
    <w:rsid w:val="00256768"/>
    <w:rsid w:val="00256D77"/>
    <w:rsid w:val="00257310"/>
    <w:rsid w:val="00257553"/>
    <w:rsid w:val="00257659"/>
    <w:rsid w:val="0026004B"/>
    <w:rsid w:val="0026075D"/>
    <w:rsid w:val="0026085F"/>
    <w:rsid w:val="00260A0B"/>
    <w:rsid w:val="00260FB2"/>
    <w:rsid w:val="00260FF0"/>
    <w:rsid w:val="00261B59"/>
    <w:rsid w:val="00261CD2"/>
    <w:rsid w:val="00262128"/>
    <w:rsid w:val="00263792"/>
    <w:rsid w:val="00263BAA"/>
    <w:rsid w:val="0026420F"/>
    <w:rsid w:val="0026444F"/>
    <w:rsid w:val="002654E3"/>
    <w:rsid w:val="00265587"/>
    <w:rsid w:val="00266FD7"/>
    <w:rsid w:val="00267545"/>
    <w:rsid w:val="00267BB4"/>
    <w:rsid w:val="00270049"/>
    <w:rsid w:val="00270903"/>
    <w:rsid w:val="00270CC7"/>
    <w:rsid w:val="0027165D"/>
    <w:rsid w:val="002720AE"/>
    <w:rsid w:val="002721F6"/>
    <w:rsid w:val="002724FB"/>
    <w:rsid w:val="002725AF"/>
    <w:rsid w:val="002729E9"/>
    <w:rsid w:val="002733A4"/>
    <w:rsid w:val="00273CEB"/>
    <w:rsid w:val="0027498A"/>
    <w:rsid w:val="002756B9"/>
    <w:rsid w:val="00275FB4"/>
    <w:rsid w:val="0027625F"/>
    <w:rsid w:val="00276282"/>
    <w:rsid w:val="0027782E"/>
    <w:rsid w:val="00277C8C"/>
    <w:rsid w:val="00277D1F"/>
    <w:rsid w:val="00281511"/>
    <w:rsid w:val="00281B29"/>
    <w:rsid w:val="00281C89"/>
    <w:rsid w:val="00281DFE"/>
    <w:rsid w:val="00281E1B"/>
    <w:rsid w:val="00282004"/>
    <w:rsid w:val="0028282F"/>
    <w:rsid w:val="002834C1"/>
    <w:rsid w:val="002843E0"/>
    <w:rsid w:val="00285197"/>
    <w:rsid w:val="00285387"/>
    <w:rsid w:val="00285ABF"/>
    <w:rsid w:val="00285FA8"/>
    <w:rsid w:val="00285FC0"/>
    <w:rsid w:val="00286728"/>
    <w:rsid w:val="0028774F"/>
    <w:rsid w:val="00287A1B"/>
    <w:rsid w:val="002907EC"/>
    <w:rsid w:val="002907FD"/>
    <w:rsid w:val="00290DDD"/>
    <w:rsid w:val="00291DEF"/>
    <w:rsid w:val="00292704"/>
    <w:rsid w:val="00293D98"/>
    <w:rsid w:val="00294971"/>
    <w:rsid w:val="0029593B"/>
    <w:rsid w:val="00295F78"/>
    <w:rsid w:val="00296121"/>
    <w:rsid w:val="00297037"/>
    <w:rsid w:val="00297FC5"/>
    <w:rsid w:val="002A0417"/>
    <w:rsid w:val="002A0A24"/>
    <w:rsid w:val="002A16D8"/>
    <w:rsid w:val="002A17D4"/>
    <w:rsid w:val="002A19E0"/>
    <w:rsid w:val="002A1B94"/>
    <w:rsid w:val="002A1BC8"/>
    <w:rsid w:val="002A1DF1"/>
    <w:rsid w:val="002A2B40"/>
    <w:rsid w:val="002A387C"/>
    <w:rsid w:val="002A3D67"/>
    <w:rsid w:val="002A3EF2"/>
    <w:rsid w:val="002A4EDA"/>
    <w:rsid w:val="002A5753"/>
    <w:rsid w:val="002A68FF"/>
    <w:rsid w:val="002A764C"/>
    <w:rsid w:val="002A7A60"/>
    <w:rsid w:val="002A7CAC"/>
    <w:rsid w:val="002A7CFA"/>
    <w:rsid w:val="002B09A8"/>
    <w:rsid w:val="002B0DED"/>
    <w:rsid w:val="002B1191"/>
    <w:rsid w:val="002B12EA"/>
    <w:rsid w:val="002B133D"/>
    <w:rsid w:val="002B19A2"/>
    <w:rsid w:val="002B248B"/>
    <w:rsid w:val="002B26E1"/>
    <w:rsid w:val="002B26F5"/>
    <w:rsid w:val="002B2E67"/>
    <w:rsid w:val="002B34A6"/>
    <w:rsid w:val="002B34EF"/>
    <w:rsid w:val="002B381A"/>
    <w:rsid w:val="002B3BAD"/>
    <w:rsid w:val="002B3C06"/>
    <w:rsid w:val="002B3C25"/>
    <w:rsid w:val="002B3D25"/>
    <w:rsid w:val="002B3E2F"/>
    <w:rsid w:val="002B4467"/>
    <w:rsid w:val="002B45D9"/>
    <w:rsid w:val="002B4DE0"/>
    <w:rsid w:val="002B4FCC"/>
    <w:rsid w:val="002B5624"/>
    <w:rsid w:val="002B5EB7"/>
    <w:rsid w:val="002B5FEC"/>
    <w:rsid w:val="002B6132"/>
    <w:rsid w:val="002B6890"/>
    <w:rsid w:val="002B7204"/>
    <w:rsid w:val="002B7275"/>
    <w:rsid w:val="002B7408"/>
    <w:rsid w:val="002B7550"/>
    <w:rsid w:val="002B79C8"/>
    <w:rsid w:val="002B7CEB"/>
    <w:rsid w:val="002B7CFD"/>
    <w:rsid w:val="002C10E8"/>
    <w:rsid w:val="002C210F"/>
    <w:rsid w:val="002C2375"/>
    <w:rsid w:val="002C3103"/>
    <w:rsid w:val="002C33E1"/>
    <w:rsid w:val="002C36C6"/>
    <w:rsid w:val="002C3820"/>
    <w:rsid w:val="002C38D9"/>
    <w:rsid w:val="002C3BF3"/>
    <w:rsid w:val="002C3F80"/>
    <w:rsid w:val="002C497F"/>
    <w:rsid w:val="002C528C"/>
    <w:rsid w:val="002C595A"/>
    <w:rsid w:val="002C5B86"/>
    <w:rsid w:val="002C6093"/>
    <w:rsid w:val="002C728E"/>
    <w:rsid w:val="002D008F"/>
    <w:rsid w:val="002D0227"/>
    <w:rsid w:val="002D03B5"/>
    <w:rsid w:val="002D05EF"/>
    <w:rsid w:val="002D1833"/>
    <w:rsid w:val="002D1AFE"/>
    <w:rsid w:val="002D264B"/>
    <w:rsid w:val="002D2F30"/>
    <w:rsid w:val="002D3600"/>
    <w:rsid w:val="002D4806"/>
    <w:rsid w:val="002D4AB8"/>
    <w:rsid w:val="002D4AED"/>
    <w:rsid w:val="002D57ED"/>
    <w:rsid w:val="002D5919"/>
    <w:rsid w:val="002D5B7D"/>
    <w:rsid w:val="002D62FD"/>
    <w:rsid w:val="002D640F"/>
    <w:rsid w:val="002D701C"/>
    <w:rsid w:val="002D79B8"/>
    <w:rsid w:val="002E06B7"/>
    <w:rsid w:val="002E0705"/>
    <w:rsid w:val="002E1A7E"/>
    <w:rsid w:val="002E22EB"/>
    <w:rsid w:val="002E23C5"/>
    <w:rsid w:val="002E25B2"/>
    <w:rsid w:val="002E3661"/>
    <w:rsid w:val="002E4013"/>
    <w:rsid w:val="002E4726"/>
    <w:rsid w:val="002E4D2B"/>
    <w:rsid w:val="002E4DD7"/>
    <w:rsid w:val="002E4DDC"/>
    <w:rsid w:val="002E5D16"/>
    <w:rsid w:val="002E603C"/>
    <w:rsid w:val="002E6CA2"/>
    <w:rsid w:val="002E6D63"/>
    <w:rsid w:val="002E6E7A"/>
    <w:rsid w:val="002E719C"/>
    <w:rsid w:val="002F004C"/>
    <w:rsid w:val="002F0805"/>
    <w:rsid w:val="002F0B26"/>
    <w:rsid w:val="002F10BB"/>
    <w:rsid w:val="002F1BE6"/>
    <w:rsid w:val="002F1F3F"/>
    <w:rsid w:val="002F201B"/>
    <w:rsid w:val="002F2154"/>
    <w:rsid w:val="002F2430"/>
    <w:rsid w:val="002F24ED"/>
    <w:rsid w:val="002F3054"/>
    <w:rsid w:val="002F313D"/>
    <w:rsid w:val="002F3256"/>
    <w:rsid w:val="002F391A"/>
    <w:rsid w:val="002F3A87"/>
    <w:rsid w:val="002F3BA2"/>
    <w:rsid w:val="002F5352"/>
    <w:rsid w:val="002F721C"/>
    <w:rsid w:val="002F73F2"/>
    <w:rsid w:val="002F7613"/>
    <w:rsid w:val="003002CF"/>
    <w:rsid w:val="0030085D"/>
    <w:rsid w:val="00301F7F"/>
    <w:rsid w:val="00302397"/>
    <w:rsid w:val="00302480"/>
    <w:rsid w:val="00302683"/>
    <w:rsid w:val="00302758"/>
    <w:rsid w:val="0030326A"/>
    <w:rsid w:val="00303364"/>
    <w:rsid w:val="00303E7D"/>
    <w:rsid w:val="003042FC"/>
    <w:rsid w:val="00304390"/>
    <w:rsid w:val="003046EB"/>
    <w:rsid w:val="00304764"/>
    <w:rsid w:val="00304EDD"/>
    <w:rsid w:val="00305140"/>
    <w:rsid w:val="00305CC5"/>
    <w:rsid w:val="00305FB7"/>
    <w:rsid w:val="00306D6B"/>
    <w:rsid w:val="003074F1"/>
    <w:rsid w:val="0030781F"/>
    <w:rsid w:val="00307A06"/>
    <w:rsid w:val="003108C3"/>
    <w:rsid w:val="00311FA9"/>
    <w:rsid w:val="00312111"/>
    <w:rsid w:val="00312493"/>
    <w:rsid w:val="00312567"/>
    <w:rsid w:val="00312B29"/>
    <w:rsid w:val="00312D9C"/>
    <w:rsid w:val="0031321B"/>
    <w:rsid w:val="00313495"/>
    <w:rsid w:val="003139F5"/>
    <w:rsid w:val="0031439A"/>
    <w:rsid w:val="00314459"/>
    <w:rsid w:val="00314492"/>
    <w:rsid w:val="0031481F"/>
    <w:rsid w:val="0031525E"/>
    <w:rsid w:val="00315C23"/>
    <w:rsid w:val="00316071"/>
    <w:rsid w:val="00316080"/>
    <w:rsid w:val="003164B7"/>
    <w:rsid w:val="003165E6"/>
    <w:rsid w:val="00316B00"/>
    <w:rsid w:val="00316D7B"/>
    <w:rsid w:val="00316DBB"/>
    <w:rsid w:val="0031709B"/>
    <w:rsid w:val="0031743B"/>
    <w:rsid w:val="003200B1"/>
    <w:rsid w:val="00320F66"/>
    <w:rsid w:val="003215B5"/>
    <w:rsid w:val="003221CF"/>
    <w:rsid w:val="003226AF"/>
    <w:rsid w:val="00322E88"/>
    <w:rsid w:val="003233ED"/>
    <w:rsid w:val="0032452B"/>
    <w:rsid w:val="003248E1"/>
    <w:rsid w:val="00324934"/>
    <w:rsid w:val="0032499B"/>
    <w:rsid w:val="00324B9C"/>
    <w:rsid w:val="00324D9F"/>
    <w:rsid w:val="00325168"/>
    <w:rsid w:val="00325A51"/>
    <w:rsid w:val="003263D5"/>
    <w:rsid w:val="00326E2D"/>
    <w:rsid w:val="00327493"/>
    <w:rsid w:val="0032780C"/>
    <w:rsid w:val="003278EE"/>
    <w:rsid w:val="003278F4"/>
    <w:rsid w:val="00327948"/>
    <w:rsid w:val="0033000F"/>
    <w:rsid w:val="0033022C"/>
    <w:rsid w:val="003306A7"/>
    <w:rsid w:val="00330AB7"/>
    <w:rsid w:val="00330FCA"/>
    <w:rsid w:val="003311F7"/>
    <w:rsid w:val="003313E9"/>
    <w:rsid w:val="00332011"/>
    <w:rsid w:val="00332518"/>
    <w:rsid w:val="0033253F"/>
    <w:rsid w:val="00332925"/>
    <w:rsid w:val="00332958"/>
    <w:rsid w:val="00332C64"/>
    <w:rsid w:val="003332ED"/>
    <w:rsid w:val="0033367C"/>
    <w:rsid w:val="00333729"/>
    <w:rsid w:val="00334601"/>
    <w:rsid w:val="0033520D"/>
    <w:rsid w:val="00336207"/>
    <w:rsid w:val="003368DC"/>
    <w:rsid w:val="0033695B"/>
    <w:rsid w:val="003372DA"/>
    <w:rsid w:val="00337C12"/>
    <w:rsid w:val="00337C18"/>
    <w:rsid w:val="00340009"/>
    <w:rsid w:val="00340735"/>
    <w:rsid w:val="003408FD"/>
    <w:rsid w:val="00340F6A"/>
    <w:rsid w:val="00342316"/>
    <w:rsid w:val="00342DDD"/>
    <w:rsid w:val="003431FC"/>
    <w:rsid w:val="003434D8"/>
    <w:rsid w:val="00343E1D"/>
    <w:rsid w:val="00343F2E"/>
    <w:rsid w:val="003440AA"/>
    <w:rsid w:val="003440C2"/>
    <w:rsid w:val="00344217"/>
    <w:rsid w:val="00345355"/>
    <w:rsid w:val="00345927"/>
    <w:rsid w:val="00346037"/>
    <w:rsid w:val="003460F0"/>
    <w:rsid w:val="00346812"/>
    <w:rsid w:val="00347380"/>
    <w:rsid w:val="003478DD"/>
    <w:rsid w:val="00347DB3"/>
    <w:rsid w:val="00350584"/>
    <w:rsid w:val="00350C77"/>
    <w:rsid w:val="00351078"/>
    <w:rsid w:val="00351857"/>
    <w:rsid w:val="003518C6"/>
    <w:rsid w:val="003519BA"/>
    <w:rsid w:val="00351DE8"/>
    <w:rsid w:val="00351E81"/>
    <w:rsid w:val="00352AE1"/>
    <w:rsid w:val="00352B7A"/>
    <w:rsid w:val="00353382"/>
    <w:rsid w:val="0035388F"/>
    <w:rsid w:val="0035437E"/>
    <w:rsid w:val="003545E8"/>
    <w:rsid w:val="00354C51"/>
    <w:rsid w:val="00354EB0"/>
    <w:rsid w:val="00354ED7"/>
    <w:rsid w:val="0035500E"/>
    <w:rsid w:val="003550B6"/>
    <w:rsid w:val="0035542B"/>
    <w:rsid w:val="00355779"/>
    <w:rsid w:val="00355D3F"/>
    <w:rsid w:val="00357E67"/>
    <w:rsid w:val="003603C0"/>
    <w:rsid w:val="0036060C"/>
    <w:rsid w:val="003607E2"/>
    <w:rsid w:val="00360C41"/>
    <w:rsid w:val="00360E26"/>
    <w:rsid w:val="003610E1"/>
    <w:rsid w:val="00362D31"/>
    <w:rsid w:val="003632D8"/>
    <w:rsid w:val="003636D9"/>
    <w:rsid w:val="00363EF0"/>
    <w:rsid w:val="0036432D"/>
    <w:rsid w:val="00364688"/>
    <w:rsid w:val="003646BD"/>
    <w:rsid w:val="00364DDE"/>
    <w:rsid w:val="003659FD"/>
    <w:rsid w:val="00365AA9"/>
    <w:rsid w:val="0036638C"/>
    <w:rsid w:val="003669BA"/>
    <w:rsid w:val="00366E2E"/>
    <w:rsid w:val="003671BE"/>
    <w:rsid w:val="00367216"/>
    <w:rsid w:val="00367948"/>
    <w:rsid w:val="00367FC2"/>
    <w:rsid w:val="003700F7"/>
    <w:rsid w:val="0037065F"/>
    <w:rsid w:val="00370D49"/>
    <w:rsid w:val="00371961"/>
    <w:rsid w:val="00372485"/>
    <w:rsid w:val="00372500"/>
    <w:rsid w:val="00372EB5"/>
    <w:rsid w:val="00373200"/>
    <w:rsid w:val="0037391A"/>
    <w:rsid w:val="00373D78"/>
    <w:rsid w:val="003741D2"/>
    <w:rsid w:val="003745B8"/>
    <w:rsid w:val="00374B9A"/>
    <w:rsid w:val="003750C0"/>
    <w:rsid w:val="0037515C"/>
    <w:rsid w:val="00375EF5"/>
    <w:rsid w:val="00376411"/>
    <w:rsid w:val="003767A5"/>
    <w:rsid w:val="00380781"/>
    <w:rsid w:val="00381969"/>
    <w:rsid w:val="00381D15"/>
    <w:rsid w:val="0038207A"/>
    <w:rsid w:val="0038210B"/>
    <w:rsid w:val="00382D00"/>
    <w:rsid w:val="00384C2F"/>
    <w:rsid w:val="00385254"/>
    <w:rsid w:val="00385FCA"/>
    <w:rsid w:val="00386090"/>
    <w:rsid w:val="00386204"/>
    <w:rsid w:val="003868DF"/>
    <w:rsid w:val="00386A73"/>
    <w:rsid w:val="00386D0A"/>
    <w:rsid w:val="00387987"/>
    <w:rsid w:val="00387BB2"/>
    <w:rsid w:val="00387F95"/>
    <w:rsid w:val="003915DF"/>
    <w:rsid w:val="0039168D"/>
    <w:rsid w:val="00391B7F"/>
    <w:rsid w:val="0039207C"/>
    <w:rsid w:val="003930A0"/>
    <w:rsid w:val="003933E8"/>
    <w:rsid w:val="0039376A"/>
    <w:rsid w:val="00393DB0"/>
    <w:rsid w:val="00393FF5"/>
    <w:rsid w:val="00394031"/>
    <w:rsid w:val="00394265"/>
    <w:rsid w:val="003946B0"/>
    <w:rsid w:val="0039496E"/>
    <w:rsid w:val="00394C02"/>
    <w:rsid w:val="003952B6"/>
    <w:rsid w:val="00395583"/>
    <w:rsid w:val="00395670"/>
    <w:rsid w:val="00396223"/>
    <w:rsid w:val="00396B2D"/>
    <w:rsid w:val="00397D5A"/>
    <w:rsid w:val="00397D92"/>
    <w:rsid w:val="003A04DB"/>
    <w:rsid w:val="003A08A5"/>
    <w:rsid w:val="003A0A2F"/>
    <w:rsid w:val="003A0E9F"/>
    <w:rsid w:val="003A1913"/>
    <w:rsid w:val="003A1B7C"/>
    <w:rsid w:val="003A354A"/>
    <w:rsid w:val="003A3909"/>
    <w:rsid w:val="003A42A0"/>
    <w:rsid w:val="003A4D34"/>
    <w:rsid w:val="003A5332"/>
    <w:rsid w:val="003A5F5B"/>
    <w:rsid w:val="003A7407"/>
    <w:rsid w:val="003A7479"/>
    <w:rsid w:val="003A789A"/>
    <w:rsid w:val="003B12EC"/>
    <w:rsid w:val="003B1DEF"/>
    <w:rsid w:val="003B1E07"/>
    <w:rsid w:val="003B210D"/>
    <w:rsid w:val="003B22AE"/>
    <w:rsid w:val="003B2347"/>
    <w:rsid w:val="003B2FD6"/>
    <w:rsid w:val="003B31F1"/>
    <w:rsid w:val="003B31FB"/>
    <w:rsid w:val="003B358D"/>
    <w:rsid w:val="003B373F"/>
    <w:rsid w:val="003B385A"/>
    <w:rsid w:val="003B38BD"/>
    <w:rsid w:val="003B3C14"/>
    <w:rsid w:val="003B42F8"/>
    <w:rsid w:val="003B56B8"/>
    <w:rsid w:val="003B5BFD"/>
    <w:rsid w:val="003B5DA0"/>
    <w:rsid w:val="003B717D"/>
    <w:rsid w:val="003B7553"/>
    <w:rsid w:val="003B75B6"/>
    <w:rsid w:val="003C0D99"/>
    <w:rsid w:val="003C1669"/>
    <w:rsid w:val="003C1A67"/>
    <w:rsid w:val="003C1BBC"/>
    <w:rsid w:val="003C1E71"/>
    <w:rsid w:val="003C37E2"/>
    <w:rsid w:val="003C40B2"/>
    <w:rsid w:val="003C67A3"/>
    <w:rsid w:val="003C6B99"/>
    <w:rsid w:val="003C6C4A"/>
    <w:rsid w:val="003C7250"/>
    <w:rsid w:val="003C77DF"/>
    <w:rsid w:val="003C77E0"/>
    <w:rsid w:val="003C78EF"/>
    <w:rsid w:val="003D0A46"/>
    <w:rsid w:val="003D16A8"/>
    <w:rsid w:val="003D17D7"/>
    <w:rsid w:val="003D2468"/>
    <w:rsid w:val="003D2678"/>
    <w:rsid w:val="003D34E2"/>
    <w:rsid w:val="003D35C3"/>
    <w:rsid w:val="003D54F5"/>
    <w:rsid w:val="003D7199"/>
    <w:rsid w:val="003D71A3"/>
    <w:rsid w:val="003D7793"/>
    <w:rsid w:val="003E004A"/>
    <w:rsid w:val="003E029E"/>
    <w:rsid w:val="003E074C"/>
    <w:rsid w:val="003E0821"/>
    <w:rsid w:val="003E08F7"/>
    <w:rsid w:val="003E19CC"/>
    <w:rsid w:val="003E1FC7"/>
    <w:rsid w:val="003E2429"/>
    <w:rsid w:val="003E24FB"/>
    <w:rsid w:val="003E2B38"/>
    <w:rsid w:val="003E2B8A"/>
    <w:rsid w:val="003E2ED9"/>
    <w:rsid w:val="003E2F47"/>
    <w:rsid w:val="003E321D"/>
    <w:rsid w:val="003E4292"/>
    <w:rsid w:val="003E480B"/>
    <w:rsid w:val="003E5154"/>
    <w:rsid w:val="003E5254"/>
    <w:rsid w:val="003E5286"/>
    <w:rsid w:val="003E551D"/>
    <w:rsid w:val="003E5745"/>
    <w:rsid w:val="003E5796"/>
    <w:rsid w:val="003E579B"/>
    <w:rsid w:val="003E60CC"/>
    <w:rsid w:val="003E61A7"/>
    <w:rsid w:val="003E6672"/>
    <w:rsid w:val="003E77D0"/>
    <w:rsid w:val="003F0010"/>
    <w:rsid w:val="003F023A"/>
    <w:rsid w:val="003F10EE"/>
    <w:rsid w:val="003F124F"/>
    <w:rsid w:val="003F16F6"/>
    <w:rsid w:val="003F1D16"/>
    <w:rsid w:val="003F2131"/>
    <w:rsid w:val="003F2B36"/>
    <w:rsid w:val="003F3ABD"/>
    <w:rsid w:val="003F419E"/>
    <w:rsid w:val="003F4470"/>
    <w:rsid w:val="003F4AA3"/>
    <w:rsid w:val="003F4D5F"/>
    <w:rsid w:val="003F4DC7"/>
    <w:rsid w:val="003F4DD5"/>
    <w:rsid w:val="003F5235"/>
    <w:rsid w:val="003F5F2E"/>
    <w:rsid w:val="003F671A"/>
    <w:rsid w:val="003F6791"/>
    <w:rsid w:val="003F6A48"/>
    <w:rsid w:val="003F6F7A"/>
    <w:rsid w:val="003F6FC0"/>
    <w:rsid w:val="003F724F"/>
    <w:rsid w:val="003F73B6"/>
    <w:rsid w:val="003F76E6"/>
    <w:rsid w:val="003F7B5C"/>
    <w:rsid w:val="003F7CC3"/>
    <w:rsid w:val="004007FB"/>
    <w:rsid w:val="00400C3A"/>
    <w:rsid w:val="0040168E"/>
    <w:rsid w:val="0040190E"/>
    <w:rsid w:val="00401C69"/>
    <w:rsid w:val="00401D29"/>
    <w:rsid w:val="004027E4"/>
    <w:rsid w:val="00402CF1"/>
    <w:rsid w:val="00402DD6"/>
    <w:rsid w:val="004032FB"/>
    <w:rsid w:val="00403D40"/>
    <w:rsid w:val="00404935"/>
    <w:rsid w:val="00405056"/>
    <w:rsid w:val="00405092"/>
    <w:rsid w:val="00405214"/>
    <w:rsid w:val="004054F6"/>
    <w:rsid w:val="00405779"/>
    <w:rsid w:val="004062D6"/>
    <w:rsid w:val="00406440"/>
    <w:rsid w:val="00406FEF"/>
    <w:rsid w:val="00407AC1"/>
    <w:rsid w:val="004103DB"/>
    <w:rsid w:val="004104B5"/>
    <w:rsid w:val="0041071D"/>
    <w:rsid w:val="00411FDC"/>
    <w:rsid w:val="0041238A"/>
    <w:rsid w:val="00412668"/>
    <w:rsid w:val="00412879"/>
    <w:rsid w:val="004129D4"/>
    <w:rsid w:val="00413A57"/>
    <w:rsid w:val="0041427E"/>
    <w:rsid w:val="00414AFC"/>
    <w:rsid w:val="004151A7"/>
    <w:rsid w:val="00415310"/>
    <w:rsid w:val="0041542B"/>
    <w:rsid w:val="004159CD"/>
    <w:rsid w:val="00416034"/>
    <w:rsid w:val="00416245"/>
    <w:rsid w:val="00416386"/>
    <w:rsid w:val="00416926"/>
    <w:rsid w:val="00416A52"/>
    <w:rsid w:val="00416B27"/>
    <w:rsid w:val="00416C0A"/>
    <w:rsid w:val="00417171"/>
    <w:rsid w:val="00417E9D"/>
    <w:rsid w:val="00420610"/>
    <w:rsid w:val="00420DEE"/>
    <w:rsid w:val="0042120D"/>
    <w:rsid w:val="00421709"/>
    <w:rsid w:val="00421A25"/>
    <w:rsid w:val="0042269F"/>
    <w:rsid w:val="00422DB1"/>
    <w:rsid w:val="00423763"/>
    <w:rsid w:val="00423E4A"/>
    <w:rsid w:val="0042479E"/>
    <w:rsid w:val="0042493E"/>
    <w:rsid w:val="00425730"/>
    <w:rsid w:val="004257F0"/>
    <w:rsid w:val="00425A25"/>
    <w:rsid w:val="00425A40"/>
    <w:rsid w:val="004265FA"/>
    <w:rsid w:val="004267E3"/>
    <w:rsid w:val="004269A1"/>
    <w:rsid w:val="004269C1"/>
    <w:rsid w:val="00426C92"/>
    <w:rsid w:val="00426E85"/>
    <w:rsid w:val="0042762F"/>
    <w:rsid w:val="00427D02"/>
    <w:rsid w:val="00427DC7"/>
    <w:rsid w:val="00427EA7"/>
    <w:rsid w:val="0043009F"/>
    <w:rsid w:val="00430116"/>
    <w:rsid w:val="00430321"/>
    <w:rsid w:val="004306EE"/>
    <w:rsid w:val="00430868"/>
    <w:rsid w:val="00430F2D"/>
    <w:rsid w:val="00431150"/>
    <w:rsid w:val="004311EA"/>
    <w:rsid w:val="00431613"/>
    <w:rsid w:val="00431792"/>
    <w:rsid w:val="00431D48"/>
    <w:rsid w:val="00431D7A"/>
    <w:rsid w:val="00431EA7"/>
    <w:rsid w:val="0043297A"/>
    <w:rsid w:val="00432EB2"/>
    <w:rsid w:val="00432EDB"/>
    <w:rsid w:val="00433A4D"/>
    <w:rsid w:val="00434242"/>
    <w:rsid w:val="004346FA"/>
    <w:rsid w:val="00434CA6"/>
    <w:rsid w:val="004362B0"/>
    <w:rsid w:val="0043689F"/>
    <w:rsid w:val="0043714F"/>
    <w:rsid w:val="00437266"/>
    <w:rsid w:val="00437D7D"/>
    <w:rsid w:val="0044037D"/>
    <w:rsid w:val="00440952"/>
    <w:rsid w:val="004410AF"/>
    <w:rsid w:val="00441163"/>
    <w:rsid w:val="00442461"/>
    <w:rsid w:val="00443094"/>
    <w:rsid w:val="004437D1"/>
    <w:rsid w:val="004438B5"/>
    <w:rsid w:val="00444062"/>
    <w:rsid w:val="00444A5E"/>
    <w:rsid w:val="00444CBA"/>
    <w:rsid w:val="00445095"/>
    <w:rsid w:val="004451E4"/>
    <w:rsid w:val="00445A9B"/>
    <w:rsid w:val="00446691"/>
    <w:rsid w:val="00446EE8"/>
    <w:rsid w:val="00447037"/>
    <w:rsid w:val="004471E7"/>
    <w:rsid w:val="00447705"/>
    <w:rsid w:val="00447BD1"/>
    <w:rsid w:val="00450397"/>
    <w:rsid w:val="00450C6C"/>
    <w:rsid w:val="00450CEB"/>
    <w:rsid w:val="00450ECB"/>
    <w:rsid w:val="0045124D"/>
    <w:rsid w:val="00451654"/>
    <w:rsid w:val="00452289"/>
    <w:rsid w:val="00452C8F"/>
    <w:rsid w:val="00452E28"/>
    <w:rsid w:val="00452E8C"/>
    <w:rsid w:val="0045313E"/>
    <w:rsid w:val="00453200"/>
    <w:rsid w:val="00453274"/>
    <w:rsid w:val="00454596"/>
    <w:rsid w:val="00454DC5"/>
    <w:rsid w:val="00455BFE"/>
    <w:rsid w:val="0045605D"/>
    <w:rsid w:val="00456B66"/>
    <w:rsid w:val="0045702D"/>
    <w:rsid w:val="00457BA5"/>
    <w:rsid w:val="00457FBD"/>
    <w:rsid w:val="00460175"/>
    <w:rsid w:val="00460657"/>
    <w:rsid w:val="00460784"/>
    <w:rsid w:val="004607ED"/>
    <w:rsid w:val="004607FB"/>
    <w:rsid w:val="00460A1E"/>
    <w:rsid w:val="00460E9D"/>
    <w:rsid w:val="0046135B"/>
    <w:rsid w:val="00461B98"/>
    <w:rsid w:val="00461D47"/>
    <w:rsid w:val="00461F76"/>
    <w:rsid w:val="00462858"/>
    <w:rsid w:val="004632BF"/>
    <w:rsid w:val="004639E9"/>
    <w:rsid w:val="00463A67"/>
    <w:rsid w:val="0046742C"/>
    <w:rsid w:val="0046755B"/>
    <w:rsid w:val="004677B4"/>
    <w:rsid w:val="0046793C"/>
    <w:rsid w:val="00470312"/>
    <w:rsid w:val="004718CC"/>
    <w:rsid w:val="00472529"/>
    <w:rsid w:val="004725A1"/>
    <w:rsid w:val="004726BC"/>
    <w:rsid w:val="00473556"/>
    <w:rsid w:val="00473E53"/>
    <w:rsid w:val="00474DF0"/>
    <w:rsid w:val="0047519C"/>
    <w:rsid w:val="00475AE2"/>
    <w:rsid w:val="00475C81"/>
    <w:rsid w:val="00475CF5"/>
    <w:rsid w:val="004763C3"/>
    <w:rsid w:val="00476D79"/>
    <w:rsid w:val="00477CD4"/>
    <w:rsid w:val="00480C2C"/>
    <w:rsid w:val="00481106"/>
    <w:rsid w:val="004811E5"/>
    <w:rsid w:val="00481695"/>
    <w:rsid w:val="00481823"/>
    <w:rsid w:val="0048183A"/>
    <w:rsid w:val="004828A3"/>
    <w:rsid w:val="00483210"/>
    <w:rsid w:val="0048355F"/>
    <w:rsid w:val="004835ED"/>
    <w:rsid w:val="00483AD2"/>
    <w:rsid w:val="00484322"/>
    <w:rsid w:val="004846DE"/>
    <w:rsid w:val="00485810"/>
    <w:rsid w:val="00485868"/>
    <w:rsid w:val="00485AC0"/>
    <w:rsid w:val="00485E42"/>
    <w:rsid w:val="0048646D"/>
    <w:rsid w:val="004864C9"/>
    <w:rsid w:val="00486C64"/>
    <w:rsid w:val="00486D43"/>
    <w:rsid w:val="00486FD2"/>
    <w:rsid w:val="00486FE9"/>
    <w:rsid w:val="0048703D"/>
    <w:rsid w:val="004873F7"/>
    <w:rsid w:val="00487A7A"/>
    <w:rsid w:val="00487D0F"/>
    <w:rsid w:val="004900D9"/>
    <w:rsid w:val="004906BD"/>
    <w:rsid w:val="0049104B"/>
    <w:rsid w:val="00491156"/>
    <w:rsid w:val="004917EA"/>
    <w:rsid w:val="00492415"/>
    <w:rsid w:val="0049321B"/>
    <w:rsid w:val="00493723"/>
    <w:rsid w:val="00493AB7"/>
    <w:rsid w:val="00493B37"/>
    <w:rsid w:val="004946AD"/>
    <w:rsid w:val="00494DC0"/>
    <w:rsid w:val="00495A96"/>
    <w:rsid w:val="00495BB3"/>
    <w:rsid w:val="00495D73"/>
    <w:rsid w:val="004A06BF"/>
    <w:rsid w:val="004A0D4F"/>
    <w:rsid w:val="004A14A9"/>
    <w:rsid w:val="004A2425"/>
    <w:rsid w:val="004A2949"/>
    <w:rsid w:val="004A2D1E"/>
    <w:rsid w:val="004A3962"/>
    <w:rsid w:val="004A3D46"/>
    <w:rsid w:val="004A4210"/>
    <w:rsid w:val="004A4420"/>
    <w:rsid w:val="004A4810"/>
    <w:rsid w:val="004A4F2D"/>
    <w:rsid w:val="004A5234"/>
    <w:rsid w:val="004A5393"/>
    <w:rsid w:val="004A56BB"/>
    <w:rsid w:val="004A587C"/>
    <w:rsid w:val="004A5881"/>
    <w:rsid w:val="004A5ABD"/>
    <w:rsid w:val="004A63A2"/>
    <w:rsid w:val="004A6932"/>
    <w:rsid w:val="004A70D6"/>
    <w:rsid w:val="004A7124"/>
    <w:rsid w:val="004A799B"/>
    <w:rsid w:val="004A7F3D"/>
    <w:rsid w:val="004B0A61"/>
    <w:rsid w:val="004B0BC2"/>
    <w:rsid w:val="004B1751"/>
    <w:rsid w:val="004B24B6"/>
    <w:rsid w:val="004B2AD3"/>
    <w:rsid w:val="004B2EF3"/>
    <w:rsid w:val="004B3027"/>
    <w:rsid w:val="004B3137"/>
    <w:rsid w:val="004B368C"/>
    <w:rsid w:val="004B404D"/>
    <w:rsid w:val="004B4925"/>
    <w:rsid w:val="004B4AF5"/>
    <w:rsid w:val="004B4DCE"/>
    <w:rsid w:val="004B4DFB"/>
    <w:rsid w:val="004B558C"/>
    <w:rsid w:val="004B7B10"/>
    <w:rsid w:val="004B7DA9"/>
    <w:rsid w:val="004C0253"/>
    <w:rsid w:val="004C1072"/>
    <w:rsid w:val="004C2150"/>
    <w:rsid w:val="004C312B"/>
    <w:rsid w:val="004C3CFB"/>
    <w:rsid w:val="004C42AD"/>
    <w:rsid w:val="004C4FE5"/>
    <w:rsid w:val="004C57D6"/>
    <w:rsid w:val="004C5A57"/>
    <w:rsid w:val="004C71F2"/>
    <w:rsid w:val="004C7B9A"/>
    <w:rsid w:val="004D0F78"/>
    <w:rsid w:val="004D1421"/>
    <w:rsid w:val="004D1B3C"/>
    <w:rsid w:val="004D1B9F"/>
    <w:rsid w:val="004D25BB"/>
    <w:rsid w:val="004D2A2A"/>
    <w:rsid w:val="004D3253"/>
    <w:rsid w:val="004D411A"/>
    <w:rsid w:val="004D48CE"/>
    <w:rsid w:val="004D48F0"/>
    <w:rsid w:val="004D490A"/>
    <w:rsid w:val="004D492A"/>
    <w:rsid w:val="004D4C7B"/>
    <w:rsid w:val="004D5108"/>
    <w:rsid w:val="004D5605"/>
    <w:rsid w:val="004D56FF"/>
    <w:rsid w:val="004D59B7"/>
    <w:rsid w:val="004D5BB5"/>
    <w:rsid w:val="004D6F54"/>
    <w:rsid w:val="004D7144"/>
    <w:rsid w:val="004D739C"/>
    <w:rsid w:val="004D750A"/>
    <w:rsid w:val="004D75A1"/>
    <w:rsid w:val="004E0793"/>
    <w:rsid w:val="004E09B3"/>
    <w:rsid w:val="004E0A1E"/>
    <w:rsid w:val="004E0E3E"/>
    <w:rsid w:val="004E0EDA"/>
    <w:rsid w:val="004E1229"/>
    <w:rsid w:val="004E23F2"/>
    <w:rsid w:val="004E3410"/>
    <w:rsid w:val="004E37E9"/>
    <w:rsid w:val="004E39D3"/>
    <w:rsid w:val="004E3F92"/>
    <w:rsid w:val="004E4354"/>
    <w:rsid w:val="004E508A"/>
    <w:rsid w:val="004E553A"/>
    <w:rsid w:val="004E616D"/>
    <w:rsid w:val="004E64CD"/>
    <w:rsid w:val="004E6773"/>
    <w:rsid w:val="004E7076"/>
    <w:rsid w:val="004E78F1"/>
    <w:rsid w:val="004E7E2F"/>
    <w:rsid w:val="004F00EC"/>
    <w:rsid w:val="004F0412"/>
    <w:rsid w:val="004F15F6"/>
    <w:rsid w:val="004F1731"/>
    <w:rsid w:val="004F1BDE"/>
    <w:rsid w:val="004F1D75"/>
    <w:rsid w:val="004F1D77"/>
    <w:rsid w:val="004F2CEE"/>
    <w:rsid w:val="004F303F"/>
    <w:rsid w:val="004F343F"/>
    <w:rsid w:val="004F412C"/>
    <w:rsid w:val="004F5153"/>
    <w:rsid w:val="004F5172"/>
    <w:rsid w:val="004F556E"/>
    <w:rsid w:val="004F591C"/>
    <w:rsid w:val="004F693A"/>
    <w:rsid w:val="004F78DD"/>
    <w:rsid w:val="004F7F44"/>
    <w:rsid w:val="0050018A"/>
    <w:rsid w:val="00500B97"/>
    <w:rsid w:val="00500DE2"/>
    <w:rsid w:val="005015C7"/>
    <w:rsid w:val="005019E8"/>
    <w:rsid w:val="00501B59"/>
    <w:rsid w:val="005037B4"/>
    <w:rsid w:val="005049AC"/>
    <w:rsid w:val="00504A08"/>
    <w:rsid w:val="00504C72"/>
    <w:rsid w:val="005054B2"/>
    <w:rsid w:val="00505FCB"/>
    <w:rsid w:val="0050623E"/>
    <w:rsid w:val="00506561"/>
    <w:rsid w:val="0050727F"/>
    <w:rsid w:val="0050741E"/>
    <w:rsid w:val="005079BF"/>
    <w:rsid w:val="00507F66"/>
    <w:rsid w:val="00511174"/>
    <w:rsid w:val="005114B3"/>
    <w:rsid w:val="005114D8"/>
    <w:rsid w:val="005117E2"/>
    <w:rsid w:val="00511E90"/>
    <w:rsid w:val="0051269A"/>
    <w:rsid w:val="00512916"/>
    <w:rsid w:val="00512E62"/>
    <w:rsid w:val="005145C2"/>
    <w:rsid w:val="00514C53"/>
    <w:rsid w:val="00514FE6"/>
    <w:rsid w:val="00515326"/>
    <w:rsid w:val="00515C90"/>
    <w:rsid w:val="00515D31"/>
    <w:rsid w:val="00516352"/>
    <w:rsid w:val="00516D03"/>
    <w:rsid w:val="00516E87"/>
    <w:rsid w:val="005178EC"/>
    <w:rsid w:val="00517980"/>
    <w:rsid w:val="00517BFC"/>
    <w:rsid w:val="00517D1D"/>
    <w:rsid w:val="0052021A"/>
    <w:rsid w:val="0052026B"/>
    <w:rsid w:val="00520BF2"/>
    <w:rsid w:val="00520D77"/>
    <w:rsid w:val="005219E7"/>
    <w:rsid w:val="00521A0D"/>
    <w:rsid w:val="00521E53"/>
    <w:rsid w:val="005225D5"/>
    <w:rsid w:val="00522B4A"/>
    <w:rsid w:val="0052416E"/>
    <w:rsid w:val="00524214"/>
    <w:rsid w:val="00524804"/>
    <w:rsid w:val="00526496"/>
    <w:rsid w:val="00526647"/>
    <w:rsid w:val="005279F6"/>
    <w:rsid w:val="00527A27"/>
    <w:rsid w:val="00530437"/>
    <w:rsid w:val="00530440"/>
    <w:rsid w:val="005305B1"/>
    <w:rsid w:val="005306D5"/>
    <w:rsid w:val="005309EE"/>
    <w:rsid w:val="005312EB"/>
    <w:rsid w:val="00531B9A"/>
    <w:rsid w:val="00531D15"/>
    <w:rsid w:val="005325EA"/>
    <w:rsid w:val="00532B07"/>
    <w:rsid w:val="00533D36"/>
    <w:rsid w:val="005340D9"/>
    <w:rsid w:val="005355B4"/>
    <w:rsid w:val="00535633"/>
    <w:rsid w:val="00535706"/>
    <w:rsid w:val="00535B4A"/>
    <w:rsid w:val="00535B8F"/>
    <w:rsid w:val="00536020"/>
    <w:rsid w:val="00536E7E"/>
    <w:rsid w:val="005374D3"/>
    <w:rsid w:val="00537604"/>
    <w:rsid w:val="005377B8"/>
    <w:rsid w:val="00537875"/>
    <w:rsid w:val="00537D0E"/>
    <w:rsid w:val="005400E4"/>
    <w:rsid w:val="005405B2"/>
    <w:rsid w:val="005408B1"/>
    <w:rsid w:val="005418F1"/>
    <w:rsid w:val="00542377"/>
    <w:rsid w:val="005425C5"/>
    <w:rsid w:val="00542D57"/>
    <w:rsid w:val="0054300F"/>
    <w:rsid w:val="0054316A"/>
    <w:rsid w:val="00543BB3"/>
    <w:rsid w:val="00543CBC"/>
    <w:rsid w:val="0054407B"/>
    <w:rsid w:val="0054509F"/>
    <w:rsid w:val="00545721"/>
    <w:rsid w:val="00545F2F"/>
    <w:rsid w:val="00545FEF"/>
    <w:rsid w:val="00546C25"/>
    <w:rsid w:val="00546F0A"/>
    <w:rsid w:val="005472DF"/>
    <w:rsid w:val="005476EB"/>
    <w:rsid w:val="00550FF4"/>
    <w:rsid w:val="005515EC"/>
    <w:rsid w:val="00551782"/>
    <w:rsid w:val="00551E67"/>
    <w:rsid w:val="00551FAD"/>
    <w:rsid w:val="00552075"/>
    <w:rsid w:val="00552E71"/>
    <w:rsid w:val="00552F6E"/>
    <w:rsid w:val="005534C8"/>
    <w:rsid w:val="00553D17"/>
    <w:rsid w:val="00553EC3"/>
    <w:rsid w:val="00554B8A"/>
    <w:rsid w:val="00555B6C"/>
    <w:rsid w:val="00555F49"/>
    <w:rsid w:val="0055689C"/>
    <w:rsid w:val="00556DF1"/>
    <w:rsid w:val="00557065"/>
    <w:rsid w:val="005575EF"/>
    <w:rsid w:val="00557987"/>
    <w:rsid w:val="00560D17"/>
    <w:rsid w:val="0056111D"/>
    <w:rsid w:val="005612C5"/>
    <w:rsid w:val="0056148E"/>
    <w:rsid w:val="00561A44"/>
    <w:rsid w:val="005622C9"/>
    <w:rsid w:val="005629AD"/>
    <w:rsid w:val="00563EF1"/>
    <w:rsid w:val="0056434A"/>
    <w:rsid w:val="0056436A"/>
    <w:rsid w:val="00564466"/>
    <w:rsid w:val="00564915"/>
    <w:rsid w:val="00564984"/>
    <w:rsid w:val="00565266"/>
    <w:rsid w:val="00566186"/>
    <w:rsid w:val="00566AB4"/>
    <w:rsid w:val="00566D72"/>
    <w:rsid w:val="00567F20"/>
    <w:rsid w:val="00567F6D"/>
    <w:rsid w:val="005712CE"/>
    <w:rsid w:val="0057189B"/>
    <w:rsid w:val="00572256"/>
    <w:rsid w:val="00573812"/>
    <w:rsid w:val="005742C1"/>
    <w:rsid w:val="005744F4"/>
    <w:rsid w:val="00575417"/>
    <w:rsid w:val="00575759"/>
    <w:rsid w:val="00575A3C"/>
    <w:rsid w:val="00575AC5"/>
    <w:rsid w:val="00575D0D"/>
    <w:rsid w:val="0057605D"/>
    <w:rsid w:val="005765E7"/>
    <w:rsid w:val="00576D79"/>
    <w:rsid w:val="00576E43"/>
    <w:rsid w:val="00577394"/>
    <w:rsid w:val="005773D8"/>
    <w:rsid w:val="005778FE"/>
    <w:rsid w:val="00580095"/>
    <w:rsid w:val="00580412"/>
    <w:rsid w:val="0058081F"/>
    <w:rsid w:val="00580BE7"/>
    <w:rsid w:val="00580DC2"/>
    <w:rsid w:val="00581193"/>
    <w:rsid w:val="00581347"/>
    <w:rsid w:val="005815E6"/>
    <w:rsid w:val="005817B4"/>
    <w:rsid w:val="005817EE"/>
    <w:rsid w:val="00581AC9"/>
    <w:rsid w:val="00581FCD"/>
    <w:rsid w:val="0058226C"/>
    <w:rsid w:val="00582EA3"/>
    <w:rsid w:val="005832CE"/>
    <w:rsid w:val="00583745"/>
    <w:rsid w:val="0058416C"/>
    <w:rsid w:val="005841EB"/>
    <w:rsid w:val="005849F8"/>
    <w:rsid w:val="005857E3"/>
    <w:rsid w:val="0058590C"/>
    <w:rsid w:val="00585A2C"/>
    <w:rsid w:val="0058620E"/>
    <w:rsid w:val="005865ED"/>
    <w:rsid w:val="00586A4F"/>
    <w:rsid w:val="00586ED5"/>
    <w:rsid w:val="00587125"/>
    <w:rsid w:val="00587285"/>
    <w:rsid w:val="00587A0F"/>
    <w:rsid w:val="00587D50"/>
    <w:rsid w:val="00587E0F"/>
    <w:rsid w:val="005904E8"/>
    <w:rsid w:val="005910D3"/>
    <w:rsid w:val="005916C3"/>
    <w:rsid w:val="00591FAD"/>
    <w:rsid w:val="005921D6"/>
    <w:rsid w:val="005924D8"/>
    <w:rsid w:val="0059263F"/>
    <w:rsid w:val="005938DF"/>
    <w:rsid w:val="00594290"/>
    <w:rsid w:val="00594E9C"/>
    <w:rsid w:val="0059588C"/>
    <w:rsid w:val="005958F0"/>
    <w:rsid w:val="00596576"/>
    <w:rsid w:val="005970EC"/>
    <w:rsid w:val="005976BC"/>
    <w:rsid w:val="005A0567"/>
    <w:rsid w:val="005A079E"/>
    <w:rsid w:val="005A099B"/>
    <w:rsid w:val="005A1677"/>
    <w:rsid w:val="005A1B79"/>
    <w:rsid w:val="005A1C80"/>
    <w:rsid w:val="005A27E4"/>
    <w:rsid w:val="005A2D9C"/>
    <w:rsid w:val="005A3A12"/>
    <w:rsid w:val="005A4A16"/>
    <w:rsid w:val="005A5273"/>
    <w:rsid w:val="005A55FE"/>
    <w:rsid w:val="005A6214"/>
    <w:rsid w:val="005A6605"/>
    <w:rsid w:val="005A696C"/>
    <w:rsid w:val="005A6A11"/>
    <w:rsid w:val="005A73C0"/>
    <w:rsid w:val="005A7488"/>
    <w:rsid w:val="005A7496"/>
    <w:rsid w:val="005A7744"/>
    <w:rsid w:val="005A7832"/>
    <w:rsid w:val="005A7C31"/>
    <w:rsid w:val="005A7F0A"/>
    <w:rsid w:val="005B0029"/>
    <w:rsid w:val="005B0376"/>
    <w:rsid w:val="005B0434"/>
    <w:rsid w:val="005B0530"/>
    <w:rsid w:val="005B0609"/>
    <w:rsid w:val="005B1311"/>
    <w:rsid w:val="005B26DA"/>
    <w:rsid w:val="005B2F0D"/>
    <w:rsid w:val="005B485C"/>
    <w:rsid w:val="005B4C6F"/>
    <w:rsid w:val="005B4CF9"/>
    <w:rsid w:val="005B4E30"/>
    <w:rsid w:val="005B4EE9"/>
    <w:rsid w:val="005B505F"/>
    <w:rsid w:val="005B52EA"/>
    <w:rsid w:val="005B643B"/>
    <w:rsid w:val="005B73A0"/>
    <w:rsid w:val="005B7F82"/>
    <w:rsid w:val="005C0372"/>
    <w:rsid w:val="005C04C0"/>
    <w:rsid w:val="005C0970"/>
    <w:rsid w:val="005C1235"/>
    <w:rsid w:val="005C16C4"/>
    <w:rsid w:val="005C1B4A"/>
    <w:rsid w:val="005C309B"/>
    <w:rsid w:val="005C315E"/>
    <w:rsid w:val="005C415B"/>
    <w:rsid w:val="005C41DB"/>
    <w:rsid w:val="005C4941"/>
    <w:rsid w:val="005C49FD"/>
    <w:rsid w:val="005C5763"/>
    <w:rsid w:val="005C5B99"/>
    <w:rsid w:val="005C6FBE"/>
    <w:rsid w:val="005C7D96"/>
    <w:rsid w:val="005C7E23"/>
    <w:rsid w:val="005D0733"/>
    <w:rsid w:val="005D0AC6"/>
    <w:rsid w:val="005D0CF3"/>
    <w:rsid w:val="005D1BE6"/>
    <w:rsid w:val="005D207E"/>
    <w:rsid w:val="005D2502"/>
    <w:rsid w:val="005D2801"/>
    <w:rsid w:val="005D3349"/>
    <w:rsid w:val="005D34F1"/>
    <w:rsid w:val="005D40BB"/>
    <w:rsid w:val="005D47F3"/>
    <w:rsid w:val="005D49BF"/>
    <w:rsid w:val="005D4A90"/>
    <w:rsid w:val="005D4AA5"/>
    <w:rsid w:val="005D4D35"/>
    <w:rsid w:val="005D4EC9"/>
    <w:rsid w:val="005D5626"/>
    <w:rsid w:val="005D589F"/>
    <w:rsid w:val="005D5949"/>
    <w:rsid w:val="005D5EDC"/>
    <w:rsid w:val="005D5F5C"/>
    <w:rsid w:val="005D6341"/>
    <w:rsid w:val="005D6F4E"/>
    <w:rsid w:val="005D7774"/>
    <w:rsid w:val="005D7BF9"/>
    <w:rsid w:val="005D7C73"/>
    <w:rsid w:val="005E0211"/>
    <w:rsid w:val="005E0344"/>
    <w:rsid w:val="005E067E"/>
    <w:rsid w:val="005E1080"/>
    <w:rsid w:val="005E14A2"/>
    <w:rsid w:val="005E160B"/>
    <w:rsid w:val="005E1ACC"/>
    <w:rsid w:val="005E250B"/>
    <w:rsid w:val="005E26F0"/>
    <w:rsid w:val="005E3252"/>
    <w:rsid w:val="005E385D"/>
    <w:rsid w:val="005E3905"/>
    <w:rsid w:val="005E3ACD"/>
    <w:rsid w:val="005E3C5D"/>
    <w:rsid w:val="005E3FB8"/>
    <w:rsid w:val="005E44FE"/>
    <w:rsid w:val="005E4C8B"/>
    <w:rsid w:val="005E4D22"/>
    <w:rsid w:val="005E53FA"/>
    <w:rsid w:val="005E693C"/>
    <w:rsid w:val="005E6C0A"/>
    <w:rsid w:val="005E7226"/>
    <w:rsid w:val="005E74C6"/>
    <w:rsid w:val="005E7964"/>
    <w:rsid w:val="005E7A57"/>
    <w:rsid w:val="005E7CB4"/>
    <w:rsid w:val="005E7F93"/>
    <w:rsid w:val="005F0515"/>
    <w:rsid w:val="005F13A4"/>
    <w:rsid w:val="005F1947"/>
    <w:rsid w:val="005F19E9"/>
    <w:rsid w:val="005F1C83"/>
    <w:rsid w:val="005F1FA0"/>
    <w:rsid w:val="005F24B0"/>
    <w:rsid w:val="005F2548"/>
    <w:rsid w:val="005F42A5"/>
    <w:rsid w:val="005F42C3"/>
    <w:rsid w:val="005F4CEE"/>
    <w:rsid w:val="005F640E"/>
    <w:rsid w:val="005F713C"/>
    <w:rsid w:val="005F77C8"/>
    <w:rsid w:val="00600183"/>
    <w:rsid w:val="006019DF"/>
    <w:rsid w:val="00601DBE"/>
    <w:rsid w:val="00601EBF"/>
    <w:rsid w:val="0060223C"/>
    <w:rsid w:val="006024EE"/>
    <w:rsid w:val="00602FB1"/>
    <w:rsid w:val="00603083"/>
    <w:rsid w:val="006035B2"/>
    <w:rsid w:val="00603727"/>
    <w:rsid w:val="00603C64"/>
    <w:rsid w:val="006042CB"/>
    <w:rsid w:val="00604315"/>
    <w:rsid w:val="00604E26"/>
    <w:rsid w:val="0060523F"/>
    <w:rsid w:val="006052CF"/>
    <w:rsid w:val="006053C6"/>
    <w:rsid w:val="00607B8D"/>
    <w:rsid w:val="006101B0"/>
    <w:rsid w:val="00610D4A"/>
    <w:rsid w:val="006119E2"/>
    <w:rsid w:val="00611F5C"/>
    <w:rsid w:val="006126C9"/>
    <w:rsid w:val="00612AC6"/>
    <w:rsid w:val="00613399"/>
    <w:rsid w:val="006135CE"/>
    <w:rsid w:val="0061363A"/>
    <w:rsid w:val="0061383D"/>
    <w:rsid w:val="00613D6F"/>
    <w:rsid w:val="00614EE8"/>
    <w:rsid w:val="0061583F"/>
    <w:rsid w:val="0061592B"/>
    <w:rsid w:val="00615BA0"/>
    <w:rsid w:val="0061663A"/>
    <w:rsid w:val="0061667E"/>
    <w:rsid w:val="00616BE4"/>
    <w:rsid w:val="00616E09"/>
    <w:rsid w:val="00617243"/>
    <w:rsid w:val="00617351"/>
    <w:rsid w:val="00617A1C"/>
    <w:rsid w:val="00617D64"/>
    <w:rsid w:val="00620F82"/>
    <w:rsid w:val="006212A9"/>
    <w:rsid w:val="00621986"/>
    <w:rsid w:val="00621B24"/>
    <w:rsid w:val="00622116"/>
    <w:rsid w:val="00622967"/>
    <w:rsid w:val="00622A3B"/>
    <w:rsid w:val="00622EEA"/>
    <w:rsid w:val="00622FD8"/>
    <w:rsid w:val="0062369D"/>
    <w:rsid w:val="006236E9"/>
    <w:rsid w:val="0062396C"/>
    <w:rsid w:val="00623FF9"/>
    <w:rsid w:val="006241F9"/>
    <w:rsid w:val="006244E0"/>
    <w:rsid w:val="00624713"/>
    <w:rsid w:val="006257D9"/>
    <w:rsid w:val="006260C8"/>
    <w:rsid w:val="00626BAB"/>
    <w:rsid w:val="00626ED2"/>
    <w:rsid w:val="00627CEC"/>
    <w:rsid w:val="00627D4E"/>
    <w:rsid w:val="00630053"/>
    <w:rsid w:val="006304C2"/>
    <w:rsid w:val="0063073C"/>
    <w:rsid w:val="00630845"/>
    <w:rsid w:val="0063175B"/>
    <w:rsid w:val="0063194A"/>
    <w:rsid w:val="00631A35"/>
    <w:rsid w:val="00631AB1"/>
    <w:rsid w:val="00632B89"/>
    <w:rsid w:val="00633204"/>
    <w:rsid w:val="006332C6"/>
    <w:rsid w:val="0063346D"/>
    <w:rsid w:val="00633486"/>
    <w:rsid w:val="00633C97"/>
    <w:rsid w:val="00634325"/>
    <w:rsid w:val="00634478"/>
    <w:rsid w:val="0063447A"/>
    <w:rsid w:val="00634883"/>
    <w:rsid w:val="00634CE9"/>
    <w:rsid w:val="006351FB"/>
    <w:rsid w:val="00635D01"/>
    <w:rsid w:val="00635F81"/>
    <w:rsid w:val="00636189"/>
    <w:rsid w:val="0063626F"/>
    <w:rsid w:val="00636321"/>
    <w:rsid w:val="006367F4"/>
    <w:rsid w:val="00636D9B"/>
    <w:rsid w:val="006374E7"/>
    <w:rsid w:val="006400A6"/>
    <w:rsid w:val="00640484"/>
    <w:rsid w:val="00640982"/>
    <w:rsid w:val="00640A55"/>
    <w:rsid w:val="006416B4"/>
    <w:rsid w:val="00641E56"/>
    <w:rsid w:val="00642AC8"/>
    <w:rsid w:val="00642CC7"/>
    <w:rsid w:val="00642FC9"/>
    <w:rsid w:val="00643F7E"/>
    <w:rsid w:val="00644373"/>
    <w:rsid w:val="0064492D"/>
    <w:rsid w:val="00645915"/>
    <w:rsid w:val="00645FA5"/>
    <w:rsid w:val="006462C9"/>
    <w:rsid w:val="00646CC4"/>
    <w:rsid w:val="00647998"/>
    <w:rsid w:val="00647F7D"/>
    <w:rsid w:val="00650125"/>
    <w:rsid w:val="006507A3"/>
    <w:rsid w:val="006512E0"/>
    <w:rsid w:val="00651870"/>
    <w:rsid w:val="006519C3"/>
    <w:rsid w:val="00651A93"/>
    <w:rsid w:val="00651F62"/>
    <w:rsid w:val="00652319"/>
    <w:rsid w:val="00652B30"/>
    <w:rsid w:val="00652F4E"/>
    <w:rsid w:val="00653691"/>
    <w:rsid w:val="006538F9"/>
    <w:rsid w:val="00653B75"/>
    <w:rsid w:val="006540CE"/>
    <w:rsid w:val="00654495"/>
    <w:rsid w:val="00654A41"/>
    <w:rsid w:val="00654C9F"/>
    <w:rsid w:val="00655F0D"/>
    <w:rsid w:val="00656345"/>
    <w:rsid w:val="00656DC6"/>
    <w:rsid w:val="00656DE7"/>
    <w:rsid w:val="00657142"/>
    <w:rsid w:val="006574A3"/>
    <w:rsid w:val="00657C60"/>
    <w:rsid w:val="0066038B"/>
    <w:rsid w:val="00660EC6"/>
    <w:rsid w:val="00661F43"/>
    <w:rsid w:val="00662047"/>
    <w:rsid w:val="0066243E"/>
    <w:rsid w:val="006626CD"/>
    <w:rsid w:val="0066287C"/>
    <w:rsid w:val="00662C2B"/>
    <w:rsid w:val="00663062"/>
    <w:rsid w:val="0066324F"/>
    <w:rsid w:val="00663296"/>
    <w:rsid w:val="006633A6"/>
    <w:rsid w:val="00664110"/>
    <w:rsid w:val="00664D17"/>
    <w:rsid w:val="006652CE"/>
    <w:rsid w:val="00665BB0"/>
    <w:rsid w:val="00666520"/>
    <w:rsid w:val="006666D3"/>
    <w:rsid w:val="00666712"/>
    <w:rsid w:val="00666751"/>
    <w:rsid w:val="00667B1D"/>
    <w:rsid w:val="00667C5B"/>
    <w:rsid w:val="00667D59"/>
    <w:rsid w:val="0067015B"/>
    <w:rsid w:val="006701C6"/>
    <w:rsid w:val="0067041A"/>
    <w:rsid w:val="00670651"/>
    <w:rsid w:val="006709DF"/>
    <w:rsid w:val="00670A1D"/>
    <w:rsid w:val="00671513"/>
    <w:rsid w:val="006724C2"/>
    <w:rsid w:val="0067256B"/>
    <w:rsid w:val="00672836"/>
    <w:rsid w:val="00672C81"/>
    <w:rsid w:val="00672F5C"/>
    <w:rsid w:val="006732A6"/>
    <w:rsid w:val="006732F7"/>
    <w:rsid w:val="0067358C"/>
    <w:rsid w:val="00673741"/>
    <w:rsid w:val="00673E21"/>
    <w:rsid w:val="006740C2"/>
    <w:rsid w:val="00674D2C"/>
    <w:rsid w:val="00675767"/>
    <w:rsid w:val="00676341"/>
    <w:rsid w:val="00676FC6"/>
    <w:rsid w:val="0068020D"/>
    <w:rsid w:val="0068043D"/>
    <w:rsid w:val="006807DC"/>
    <w:rsid w:val="00680DE3"/>
    <w:rsid w:val="00681B5D"/>
    <w:rsid w:val="00681B6E"/>
    <w:rsid w:val="00681D10"/>
    <w:rsid w:val="006829E5"/>
    <w:rsid w:val="0068355B"/>
    <w:rsid w:val="00683D45"/>
    <w:rsid w:val="006843F7"/>
    <w:rsid w:val="0068488F"/>
    <w:rsid w:val="00684EA6"/>
    <w:rsid w:val="00685321"/>
    <w:rsid w:val="006855CD"/>
    <w:rsid w:val="00685645"/>
    <w:rsid w:val="00685FD4"/>
    <w:rsid w:val="00685FD5"/>
    <w:rsid w:val="006862B1"/>
    <w:rsid w:val="00686674"/>
    <w:rsid w:val="00686CE3"/>
    <w:rsid w:val="00686DEC"/>
    <w:rsid w:val="00686F06"/>
    <w:rsid w:val="006870C5"/>
    <w:rsid w:val="0068723F"/>
    <w:rsid w:val="006902C4"/>
    <w:rsid w:val="0069035C"/>
    <w:rsid w:val="00691833"/>
    <w:rsid w:val="00691DFB"/>
    <w:rsid w:val="00691EB8"/>
    <w:rsid w:val="00692392"/>
    <w:rsid w:val="00692A19"/>
    <w:rsid w:val="00692CDE"/>
    <w:rsid w:val="00692E23"/>
    <w:rsid w:val="00692F9D"/>
    <w:rsid w:val="00693073"/>
    <w:rsid w:val="00693814"/>
    <w:rsid w:val="00693B1F"/>
    <w:rsid w:val="00693CEA"/>
    <w:rsid w:val="00693E3D"/>
    <w:rsid w:val="00694E7B"/>
    <w:rsid w:val="00695CB2"/>
    <w:rsid w:val="00696962"/>
    <w:rsid w:val="00696A34"/>
    <w:rsid w:val="00696FDF"/>
    <w:rsid w:val="006973F8"/>
    <w:rsid w:val="00697481"/>
    <w:rsid w:val="006974FD"/>
    <w:rsid w:val="00697525"/>
    <w:rsid w:val="006977FF"/>
    <w:rsid w:val="006A01FA"/>
    <w:rsid w:val="006A0986"/>
    <w:rsid w:val="006A0E9E"/>
    <w:rsid w:val="006A1858"/>
    <w:rsid w:val="006A1D65"/>
    <w:rsid w:val="006A25C7"/>
    <w:rsid w:val="006A3857"/>
    <w:rsid w:val="006A421A"/>
    <w:rsid w:val="006A4AAD"/>
    <w:rsid w:val="006A544C"/>
    <w:rsid w:val="006A55A6"/>
    <w:rsid w:val="006A5D7C"/>
    <w:rsid w:val="006A66AB"/>
    <w:rsid w:val="006A6DA2"/>
    <w:rsid w:val="006A7403"/>
    <w:rsid w:val="006A7575"/>
    <w:rsid w:val="006A7AB2"/>
    <w:rsid w:val="006A7C0C"/>
    <w:rsid w:val="006B0360"/>
    <w:rsid w:val="006B0B9F"/>
    <w:rsid w:val="006B0D0B"/>
    <w:rsid w:val="006B1A48"/>
    <w:rsid w:val="006B3170"/>
    <w:rsid w:val="006B3238"/>
    <w:rsid w:val="006B347F"/>
    <w:rsid w:val="006B52DE"/>
    <w:rsid w:val="006B52E4"/>
    <w:rsid w:val="006B5717"/>
    <w:rsid w:val="006B582F"/>
    <w:rsid w:val="006B5B3B"/>
    <w:rsid w:val="006B5EB2"/>
    <w:rsid w:val="006B5F10"/>
    <w:rsid w:val="006B6097"/>
    <w:rsid w:val="006B642E"/>
    <w:rsid w:val="006B782C"/>
    <w:rsid w:val="006C0126"/>
    <w:rsid w:val="006C06D2"/>
    <w:rsid w:val="006C0CEB"/>
    <w:rsid w:val="006C154A"/>
    <w:rsid w:val="006C1631"/>
    <w:rsid w:val="006C1B9D"/>
    <w:rsid w:val="006C24AB"/>
    <w:rsid w:val="006C3B1E"/>
    <w:rsid w:val="006C3EDF"/>
    <w:rsid w:val="006C4213"/>
    <w:rsid w:val="006C44D2"/>
    <w:rsid w:val="006C47FD"/>
    <w:rsid w:val="006C4CA8"/>
    <w:rsid w:val="006C4D2E"/>
    <w:rsid w:val="006C4FEF"/>
    <w:rsid w:val="006C5259"/>
    <w:rsid w:val="006C5A21"/>
    <w:rsid w:val="006C5C19"/>
    <w:rsid w:val="006C70A0"/>
    <w:rsid w:val="006C724E"/>
    <w:rsid w:val="006C7250"/>
    <w:rsid w:val="006C72F6"/>
    <w:rsid w:val="006C7789"/>
    <w:rsid w:val="006D01AD"/>
    <w:rsid w:val="006D06ED"/>
    <w:rsid w:val="006D0926"/>
    <w:rsid w:val="006D0947"/>
    <w:rsid w:val="006D097E"/>
    <w:rsid w:val="006D09A4"/>
    <w:rsid w:val="006D185A"/>
    <w:rsid w:val="006D2474"/>
    <w:rsid w:val="006D27CB"/>
    <w:rsid w:val="006D2F08"/>
    <w:rsid w:val="006D31C4"/>
    <w:rsid w:val="006D3A26"/>
    <w:rsid w:val="006D3C55"/>
    <w:rsid w:val="006D3F66"/>
    <w:rsid w:val="006D437E"/>
    <w:rsid w:val="006D43B4"/>
    <w:rsid w:val="006D49B2"/>
    <w:rsid w:val="006D4D09"/>
    <w:rsid w:val="006D51BF"/>
    <w:rsid w:val="006D5332"/>
    <w:rsid w:val="006D576C"/>
    <w:rsid w:val="006D5865"/>
    <w:rsid w:val="006D5AE3"/>
    <w:rsid w:val="006D5CE0"/>
    <w:rsid w:val="006D73AE"/>
    <w:rsid w:val="006D75C7"/>
    <w:rsid w:val="006D7C78"/>
    <w:rsid w:val="006D7CE7"/>
    <w:rsid w:val="006E0CC6"/>
    <w:rsid w:val="006E0D45"/>
    <w:rsid w:val="006E11FB"/>
    <w:rsid w:val="006E144A"/>
    <w:rsid w:val="006E1A16"/>
    <w:rsid w:val="006E1E5F"/>
    <w:rsid w:val="006E24AF"/>
    <w:rsid w:val="006E267D"/>
    <w:rsid w:val="006E47E3"/>
    <w:rsid w:val="006E48AE"/>
    <w:rsid w:val="006E4B1B"/>
    <w:rsid w:val="006E5445"/>
    <w:rsid w:val="006E5A4F"/>
    <w:rsid w:val="006E6C95"/>
    <w:rsid w:val="006E757F"/>
    <w:rsid w:val="006E7D93"/>
    <w:rsid w:val="006F108C"/>
    <w:rsid w:val="006F1431"/>
    <w:rsid w:val="006F36EE"/>
    <w:rsid w:val="006F3803"/>
    <w:rsid w:val="006F3AB8"/>
    <w:rsid w:val="006F41D9"/>
    <w:rsid w:val="006F4324"/>
    <w:rsid w:val="006F4B5A"/>
    <w:rsid w:val="006F55D0"/>
    <w:rsid w:val="006F5A8F"/>
    <w:rsid w:val="00700ABB"/>
    <w:rsid w:val="00700D52"/>
    <w:rsid w:val="0070133D"/>
    <w:rsid w:val="00701C45"/>
    <w:rsid w:val="00701FBC"/>
    <w:rsid w:val="007029A3"/>
    <w:rsid w:val="00702B89"/>
    <w:rsid w:val="00703BFE"/>
    <w:rsid w:val="0070424E"/>
    <w:rsid w:val="0070430D"/>
    <w:rsid w:val="00704404"/>
    <w:rsid w:val="00704511"/>
    <w:rsid w:val="00704637"/>
    <w:rsid w:val="00704933"/>
    <w:rsid w:val="00705F80"/>
    <w:rsid w:val="007061C5"/>
    <w:rsid w:val="0070684F"/>
    <w:rsid w:val="00706E4E"/>
    <w:rsid w:val="00706E8D"/>
    <w:rsid w:val="00706FCB"/>
    <w:rsid w:val="0070740E"/>
    <w:rsid w:val="0070791C"/>
    <w:rsid w:val="007103DE"/>
    <w:rsid w:val="00710454"/>
    <w:rsid w:val="00710CE2"/>
    <w:rsid w:val="00711D11"/>
    <w:rsid w:val="007123B7"/>
    <w:rsid w:val="00713392"/>
    <w:rsid w:val="00713594"/>
    <w:rsid w:val="007136E4"/>
    <w:rsid w:val="0071383C"/>
    <w:rsid w:val="00713A23"/>
    <w:rsid w:val="007141A7"/>
    <w:rsid w:val="007145F8"/>
    <w:rsid w:val="007148EB"/>
    <w:rsid w:val="00714A7C"/>
    <w:rsid w:val="00714DC0"/>
    <w:rsid w:val="00714E8B"/>
    <w:rsid w:val="007151EF"/>
    <w:rsid w:val="00715722"/>
    <w:rsid w:val="00715BAF"/>
    <w:rsid w:val="00716537"/>
    <w:rsid w:val="00716763"/>
    <w:rsid w:val="007168DB"/>
    <w:rsid w:val="00716BCA"/>
    <w:rsid w:val="00716FB1"/>
    <w:rsid w:val="007202AF"/>
    <w:rsid w:val="00720378"/>
    <w:rsid w:val="0072049E"/>
    <w:rsid w:val="00720937"/>
    <w:rsid w:val="00720EA5"/>
    <w:rsid w:val="00720F46"/>
    <w:rsid w:val="00721032"/>
    <w:rsid w:val="00721611"/>
    <w:rsid w:val="00721918"/>
    <w:rsid w:val="00721B55"/>
    <w:rsid w:val="007221AA"/>
    <w:rsid w:val="00722799"/>
    <w:rsid w:val="00722863"/>
    <w:rsid w:val="007230AE"/>
    <w:rsid w:val="00723ADF"/>
    <w:rsid w:val="00723B18"/>
    <w:rsid w:val="00723D4A"/>
    <w:rsid w:val="007243BE"/>
    <w:rsid w:val="0072488D"/>
    <w:rsid w:val="0072524E"/>
    <w:rsid w:val="00726253"/>
    <w:rsid w:val="00726CE4"/>
    <w:rsid w:val="0072777C"/>
    <w:rsid w:val="007278C4"/>
    <w:rsid w:val="00727DF9"/>
    <w:rsid w:val="00727E04"/>
    <w:rsid w:val="00730E85"/>
    <w:rsid w:val="007310AD"/>
    <w:rsid w:val="00731C36"/>
    <w:rsid w:val="007336BD"/>
    <w:rsid w:val="00733B6F"/>
    <w:rsid w:val="00734143"/>
    <w:rsid w:val="00734895"/>
    <w:rsid w:val="00734F5F"/>
    <w:rsid w:val="00735502"/>
    <w:rsid w:val="00735A74"/>
    <w:rsid w:val="007379CB"/>
    <w:rsid w:val="00737B5E"/>
    <w:rsid w:val="00737E47"/>
    <w:rsid w:val="007400FF"/>
    <w:rsid w:val="00740345"/>
    <w:rsid w:val="0074088E"/>
    <w:rsid w:val="00740EAC"/>
    <w:rsid w:val="007413E2"/>
    <w:rsid w:val="00741638"/>
    <w:rsid w:val="00741DA0"/>
    <w:rsid w:val="00741F8D"/>
    <w:rsid w:val="0074210E"/>
    <w:rsid w:val="007423B7"/>
    <w:rsid w:val="0074261A"/>
    <w:rsid w:val="00742F6C"/>
    <w:rsid w:val="00743043"/>
    <w:rsid w:val="007445E8"/>
    <w:rsid w:val="00744956"/>
    <w:rsid w:val="00745A5C"/>
    <w:rsid w:val="00745E8A"/>
    <w:rsid w:val="0074605F"/>
    <w:rsid w:val="00746720"/>
    <w:rsid w:val="007472A5"/>
    <w:rsid w:val="00747E94"/>
    <w:rsid w:val="00747FE6"/>
    <w:rsid w:val="00750B8F"/>
    <w:rsid w:val="00751439"/>
    <w:rsid w:val="00751D3D"/>
    <w:rsid w:val="007521A6"/>
    <w:rsid w:val="00752619"/>
    <w:rsid w:val="00752B4D"/>
    <w:rsid w:val="00753B11"/>
    <w:rsid w:val="00753EE3"/>
    <w:rsid w:val="0075421A"/>
    <w:rsid w:val="007542DE"/>
    <w:rsid w:val="00754487"/>
    <w:rsid w:val="0075471E"/>
    <w:rsid w:val="007547EC"/>
    <w:rsid w:val="00754BE9"/>
    <w:rsid w:val="00754C83"/>
    <w:rsid w:val="007554A9"/>
    <w:rsid w:val="00755B81"/>
    <w:rsid w:val="00755FC4"/>
    <w:rsid w:val="0075616D"/>
    <w:rsid w:val="0075627C"/>
    <w:rsid w:val="007569CE"/>
    <w:rsid w:val="00760CB6"/>
    <w:rsid w:val="007612BA"/>
    <w:rsid w:val="00761D0F"/>
    <w:rsid w:val="00761E5C"/>
    <w:rsid w:val="00762251"/>
    <w:rsid w:val="00762B74"/>
    <w:rsid w:val="00762BB6"/>
    <w:rsid w:val="00762DE4"/>
    <w:rsid w:val="00763A3C"/>
    <w:rsid w:val="00763AC2"/>
    <w:rsid w:val="00763AE3"/>
    <w:rsid w:val="00764250"/>
    <w:rsid w:val="00764534"/>
    <w:rsid w:val="007655BF"/>
    <w:rsid w:val="00765C6D"/>
    <w:rsid w:val="00765DF8"/>
    <w:rsid w:val="007666C4"/>
    <w:rsid w:val="00766749"/>
    <w:rsid w:val="00766D19"/>
    <w:rsid w:val="00767BED"/>
    <w:rsid w:val="00767C1B"/>
    <w:rsid w:val="0077000B"/>
    <w:rsid w:val="007701C6"/>
    <w:rsid w:val="00770B3F"/>
    <w:rsid w:val="007714A9"/>
    <w:rsid w:val="007717C9"/>
    <w:rsid w:val="00772303"/>
    <w:rsid w:val="00772F28"/>
    <w:rsid w:val="007735DF"/>
    <w:rsid w:val="00774282"/>
    <w:rsid w:val="00774746"/>
    <w:rsid w:val="00774813"/>
    <w:rsid w:val="00774CF8"/>
    <w:rsid w:val="00774F88"/>
    <w:rsid w:val="00774FDB"/>
    <w:rsid w:val="00775807"/>
    <w:rsid w:val="00775C07"/>
    <w:rsid w:val="00777BA2"/>
    <w:rsid w:val="0078033C"/>
    <w:rsid w:val="0078059A"/>
    <w:rsid w:val="00780F1B"/>
    <w:rsid w:val="00781408"/>
    <w:rsid w:val="0078164F"/>
    <w:rsid w:val="00783BFF"/>
    <w:rsid w:val="00783D0E"/>
    <w:rsid w:val="007843F8"/>
    <w:rsid w:val="00784F7F"/>
    <w:rsid w:val="0078597A"/>
    <w:rsid w:val="00785EB3"/>
    <w:rsid w:val="007866B3"/>
    <w:rsid w:val="00786B6B"/>
    <w:rsid w:val="007878B0"/>
    <w:rsid w:val="007878BD"/>
    <w:rsid w:val="007905A7"/>
    <w:rsid w:val="00791CDC"/>
    <w:rsid w:val="007925F3"/>
    <w:rsid w:val="00793996"/>
    <w:rsid w:val="007939E5"/>
    <w:rsid w:val="0079432B"/>
    <w:rsid w:val="0079453B"/>
    <w:rsid w:val="00796B5F"/>
    <w:rsid w:val="00796C7C"/>
    <w:rsid w:val="00796F25"/>
    <w:rsid w:val="00797B04"/>
    <w:rsid w:val="007A03D8"/>
    <w:rsid w:val="007A0B03"/>
    <w:rsid w:val="007A0FFF"/>
    <w:rsid w:val="007A11B3"/>
    <w:rsid w:val="007A1257"/>
    <w:rsid w:val="007A23C7"/>
    <w:rsid w:val="007A2E98"/>
    <w:rsid w:val="007A3BA3"/>
    <w:rsid w:val="007A4DDE"/>
    <w:rsid w:val="007A503B"/>
    <w:rsid w:val="007A50D4"/>
    <w:rsid w:val="007A59C4"/>
    <w:rsid w:val="007A5BA8"/>
    <w:rsid w:val="007A6255"/>
    <w:rsid w:val="007A6B51"/>
    <w:rsid w:val="007A6CC0"/>
    <w:rsid w:val="007A70FD"/>
    <w:rsid w:val="007A7981"/>
    <w:rsid w:val="007A7A60"/>
    <w:rsid w:val="007A7AE5"/>
    <w:rsid w:val="007A7FEC"/>
    <w:rsid w:val="007B0FD5"/>
    <w:rsid w:val="007B1499"/>
    <w:rsid w:val="007B1694"/>
    <w:rsid w:val="007B1BBF"/>
    <w:rsid w:val="007B277E"/>
    <w:rsid w:val="007B2960"/>
    <w:rsid w:val="007B2F4A"/>
    <w:rsid w:val="007B355D"/>
    <w:rsid w:val="007B357F"/>
    <w:rsid w:val="007B3C42"/>
    <w:rsid w:val="007B5364"/>
    <w:rsid w:val="007B5DEB"/>
    <w:rsid w:val="007B5DF3"/>
    <w:rsid w:val="007B6F60"/>
    <w:rsid w:val="007B7809"/>
    <w:rsid w:val="007B7980"/>
    <w:rsid w:val="007B7E55"/>
    <w:rsid w:val="007C00F2"/>
    <w:rsid w:val="007C0DEF"/>
    <w:rsid w:val="007C19B3"/>
    <w:rsid w:val="007C1F4F"/>
    <w:rsid w:val="007C3346"/>
    <w:rsid w:val="007C3AE6"/>
    <w:rsid w:val="007C499B"/>
    <w:rsid w:val="007C57EA"/>
    <w:rsid w:val="007C5D5A"/>
    <w:rsid w:val="007C607F"/>
    <w:rsid w:val="007C773B"/>
    <w:rsid w:val="007C79BA"/>
    <w:rsid w:val="007C79DD"/>
    <w:rsid w:val="007D10C1"/>
    <w:rsid w:val="007D184D"/>
    <w:rsid w:val="007D1A97"/>
    <w:rsid w:val="007D1E3A"/>
    <w:rsid w:val="007D21DF"/>
    <w:rsid w:val="007D293F"/>
    <w:rsid w:val="007D2CD6"/>
    <w:rsid w:val="007D3063"/>
    <w:rsid w:val="007D3CEB"/>
    <w:rsid w:val="007D3F95"/>
    <w:rsid w:val="007D421E"/>
    <w:rsid w:val="007D436F"/>
    <w:rsid w:val="007D4926"/>
    <w:rsid w:val="007D55DB"/>
    <w:rsid w:val="007D717C"/>
    <w:rsid w:val="007D79E4"/>
    <w:rsid w:val="007E013B"/>
    <w:rsid w:val="007E1035"/>
    <w:rsid w:val="007E1489"/>
    <w:rsid w:val="007E1623"/>
    <w:rsid w:val="007E215C"/>
    <w:rsid w:val="007E2D55"/>
    <w:rsid w:val="007E3170"/>
    <w:rsid w:val="007E3181"/>
    <w:rsid w:val="007E3921"/>
    <w:rsid w:val="007E4ADB"/>
    <w:rsid w:val="007E4EFC"/>
    <w:rsid w:val="007E50D7"/>
    <w:rsid w:val="007E5117"/>
    <w:rsid w:val="007E53D3"/>
    <w:rsid w:val="007E544D"/>
    <w:rsid w:val="007E54C3"/>
    <w:rsid w:val="007E5546"/>
    <w:rsid w:val="007E5750"/>
    <w:rsid w:val="007E5806"/>
    <w:rsid w:val="007E5BA2"/>
    <w:rsid w:val="007E68F2"/>
    <w:rsid w:val="007E69FF"/>
    <w:rsid w:val="007E71A8"/>
    <w:rsid w:val="007E7533"/>
    <w:rsid w:val="007E7683"/>
    <w:rsid w:val="007E7E93"/>
    <w:rsid w:val="007F0FF0"/>
    <w:rsid w:val="007F11E7"/>
    <w:rsid w:val="007F1920"/>
    <w:rsid w:val="007F23AE"/>
    <w:rsid w:val="007F2752"/>
    <w:rsid w:val="007F31E6"/>
    <w:rsid w:val="007F3B84"/>
    <w:rsid w:val="007F41DC"/>
    <w:rsid w:val="007F42FD"/>
    <w:rsid w:val="007F49FA"/>
    <w:rsid w:val="007F524E"/>
    <w:rsid w:val="007F54C4"/>
    <w:rsid w:val="007F641D"/>
    <w:rsid w:val="007F67CB"/>
    <w:rsid w:val="007F6C96"/>
    <w:rsid w:val="007F6D10"/>
    <w:rsid w:val="007F6E9A"/>
    <w:rsid w:val="007F77C5"/>
    <w:rsid w:val="008000B8"/>
    <w:rsid w:val="0080087D"/>
    <w:rsid w:val="00800CCD"/>
    <w:rsid w:val="008012F9"/>
    <w:rsid w:val="008023B3"/>
    <w:rsid w:val="008024E0"/>
    <w:rsid w:val="008025FA"/>
    <w:rsid w:val="00802CF7"/>
    <w:rsid w:val="00802D7A"/>
    <w:rsid w:val="00803B86"/>
    <w:rsid w:val="008044D4"/>
    <w:rsid w:val="008057C2"/>
    <w:rsid w:val="008065D9"/>
    <w:rsid w:val="00806A3F"/>
    <w:rsid w:val="008077C6"/>
    <w:rsid w:val="00807D93"/>
    <w:rsid w:val="008103A7"/>
    <w:rsid w:val="00810418"/>
    <w:rsid w:val="0081092F"/>
    <w:rsid w:val="00810AB4"/>
    <w:rsid w:val="00810DAA"/>
    <w:rsid w:val="008112A9"/>
    <w:rsid w:val="00812600"/>
    <w:rsid w:val="00812CAA"/>
    <w:rsid w:val="00812E31"/>
    <w:rsid w:val="008133BE"/>
    <w:rsid w:val="00813F2F"/>
    <w:rsid w:val="008148EB"/>
    <w:rsid w:val="00814B1C"/>
    <w:rsid w:val="00814D7C"/>
    <w:rsid w:val="0081531C"/>
    <w:rsid w:val="00817305"/>
    <w:rsid w:val="0081781E"/>
    <w:rsid w:val="00817832"/>
    <w:rsid w:val="00817B56"/>
    <w:rsid w:val="00817D63"/>
    <w:rsid w:val="00817FB8"/>
    <w:rsid w:val="00820016"/>
    <w:rsid w:val="00820A0E"/>
    <w:rsid w:val="00820A90"/>
    <w:rsid w:val="00820FC9"/>
    <w:rsid w:val="00821142"/>
    <w:rsid w:val="00821A88"/>
    <w:rsid w:val="00821DE1"/>
    <w:rsid w:val="0082322E"/>
    <w:rsid w:val="00823522"/>
    <w:rsid w:val="008237F8"/>
    <w:rsid w:val="00823941"/>
    <w:rsid w:val="008239B8"/>
    <w:rsid w:val="00824426"/>
    <w:rsid w:val="0082495D"/>
    <w:rsid w:val="00824EC2"/>
    <w:rsid w:val="00824FF8"/>
    <w:rsid w:val="00825D65"/>
    <w:rsid w:val="0082660E"/>
    <w:rsid w:val="00826DA0"/>
    <w:rsid w:val="00827CA1"/>
    <w:rsid w:val="00830255"/>
    <w:rsid w:val="00831432"/>
    <w:rsid w:val="00831AC3"/>
    <w:rsid w:val="00832002"/>
    <w:rsid w:val="008326A5"/>
    <w:rsid w:val="008333E3"/>
    <w:rsid w:val="008337C7"/>
    <w:rsid w:val="00833B2C"/>
    <w:rsid w:val="00833C96"/>
    <w:rsid w:val="00833CA2"/>
    <w:rsid w:val="0083436D"/>
    <w:rsid w:val="00834F96"/>
    <w:rsid w:val="00835DD7"/>
    <w:rsid w:val="00836F3A"/>
    <w:rsid w:val="00836FCE"/>
    <w:rsid w:val="008375C1"/>
    <w:rsid w:val="00837B88"/>
    <w:rsid w:val="008407C5"/>
    <w:rsid w:val="008408FF"/>
    <w:rsid w:val="00840DD0"/>
    <w:rsid w:val="0084195E"/>
    <w:rsid w:val="00841C10"/>
    <w:rsid w:val="00841CAF"/>
    <w:rsid w:val="00842BB4"/>
    <w:rsid w:val="00842ED8"/>
    <w:rsid w:val="0084441E"/>
    <w:rsid w:val="00844A1F"/>
    <w:rsid w:val="008456C5"/>
    <w:rsid w:val="00846282"/>
    <w:rsid w:val="00846406"/>
    <w:rsid w:val="00846A42"/>
    <w:rsid w:val="00846A94"/>
    <w:rsid w:val="00846CDE"/>
    <w:rsid w:val="0084710A"/>
    <w:rsid w:val="00847314"/>
    <w:rsid w:val="00847A20"/>
    <w:rsid w:val="0085008C"/>
    <w:rsid w:val="008504DA"/>
    <w:rsid w:val="00850969"/>
    <w:rsid w:val="00851AF4"/>
    <w:rsid w:val="00851F3F"/>
    <w:rsid w:val="00852092"/>
    <w:rsid w:val="008525D7"/>
    <w:rsid w:val="008525D8"/>
    <w:rsid w:val="00852BEB"/>
    <w:rsid w:val="008531B5"/>
    <w:rsid w:val="008532CE"/>
    <w:rsid w:val="008537F9"/>
    <w:rsid w:val="008539B0"/>
    <w:rsid w:val="008542B3"/>
    <w:rsid w:val="00854431"/>
    <w:rsid w:val="00855B7D"/>
    <w:rsid w:val="00855EE1"/>
    <w:rsid w:val="00856902"/>
    <w:rsid w:val="00856EDC"/>
    <w:rsid w:val="008576BE"/>
    <w:rsid w:val="00857812"/>
    <w:rsid w:val="00860768"/>
    <w:rsid w:val="008607CC"/>
    <w:rsid w:val="00860943"/>
    <w:rsid w:val="008623B5"/>
    <w:rsid w:val="008628BE"/>
    <w:rsid w:val="00862BB5"/>
    <w:rsid w:val="00862C1C"/>
    <w:rsid w:val="00862DC8"/>
    <w:rsid w:val="0086347E"/>
    <w:rsid w:val="00863AEF"/>
    <w:rsid w:val="00864921"/>
    <w:rsid w:val="00864CC4"/>
    <w:rsid w:val="0086680D"/>
    <w:rsid w:val="00866A57"/>
    <w:rsid w:val="00867134"/>
    <w:rsid w:val="0086758F"/>
    <w:rsid w:val="00870197"/>
    <w:rsid w:val="0087083C"/>
    <w:rsid w:val="00870ABA"/>
    <w:rsid w:val="00870AC8"/>
    <w:rsid w:val="00870F77"/>
    <w:rsid w:val="008710E1"/>
    <w:rsid w:val="008716E5"/>
    <w:rsid w:val="00871AD2"/>
    <w:rsid w:val="00871B6B"/>
    <w:rsid w:val="00872460"/>
    <w:rsid w:val="008726B9"/>
    <w:rsid w:val="00874DA2"/>
    <w:rsid w:val="00874F08"/>
    <w:rsid w:val="008752E8"/>
    <w:rsid w:val="00875726"/>
    <w:rsid w:val="008757A5"/>
    <w:rsid w:val="00876298"/>
    <w:rsid w:val="008764DE"/>
    <w:rsid w:val="00876F0A"/>
    <w:rsid w:val="008772B0"/>
    <w:rsid w:val="008776F2"/>
    <w:rsid w:val="00877EB8"/>
    <w:rsid w:val="0088143D"/>
    <w:rsid w:val="00881924"/>
    <w:rsid w:val="00881CA9"/>
    <w:rsid w:val="00881FF0"/>
    <w:rsid w:val="00882EFC"/>
    <w:rsid w:val="0088340E"/>
    <w:rsid w:val="00883628"/>
    <w:rsid w:val="008848EB"/>
    <w:rsid w:val="00884EB2"/>
    <w:rsid w:val="008852DC"/>
    <w:rsid w:val="00885544"/>
    <w:rsid w:val="0088634E"/>
    <w:rsid w:val="00886B2C"/>
    <w:rsid w:val="00887182"/>
    <w:rsid w:val="00887240"/>
    <w:rsid w:val="008872BC"/>
    <w:rsid w:val="0088779B"/>
    <w:rsid w:val="008877AA"/>
    <w:rsid w:val="00887EA7"/>
    <w:rsid w:val="00890965"/>
    <w:rsid w:val="00890DB1"/>
    <w:rsid w:val="0089101E"/>
    <w:rsid w:val="0089172C"/>
    <w:rsid w:val="00891E33"/>
    <w:rsid w:val="0089215E"/>
    <w:rsid w:val="008923C0"/>
    <w:rsid w:val="00892A1A"/>
    <w:rsid w:val="00892AF3"/>
    <w:rsid w:val="00892B1E"/>
    <w:rsid w:val="00892C0B"/>
    <w:rsid w:val="00892D67"/>
    <w:rsid w:val="00892F7C"/>
    <w:rsid w:val="008931F5"/>
    <w:rsid w:val="00893644"/>
    <w:rsid w:val="00893AB8"/>
    <w:rsid w:val="00893C35"/>
    <w:rsid w:val="00894791"/>
    <w:rsid w:val="00894914"/>
    <w:rsid w:val="008950C3"/>
    <w:rsid w:val="008950CB"/>
    <w:rsid w:val="008952EC"/>
    <w:rsid w:val="008958A2"/>
    <w:rsid w:val="00895C66"/>
    <w:rsid w:val="008966F1"/>
    <w:rsid w:val="00896B77"/>
    <w:rsid w:val="008A04C8"/>
    <w:rsid w:val="008A112D"/>
    <w:rsid w:val="008A1900"/>
    <w:rsid w:val="008A1A6B"/>
    <w:rsid w:val="008A1B7B"/>
    <w:rsid w:val="008A1EFD"/>
    <w:rsid w:val="008A3523"/>
    <w:rsid w:val="008A3D02"/>
    <w:rsid w:val="008A576C"/>
    <w:rsid w:val="008A6913"/>
    <w:rsid w:val="008A7125"/>
    <w:rsid w:val="008A79A7"/>
    <w:rsid w:val="008B0EF6"/>
    <w:rsid w:val="008B1A9C"/>
    <w:rsid w:val="008B240B"/>
    <w:rsid w:val="008B294F"/>
    <w:rsid w:val="008B2FAA"/>
    <w:rsid w:val="008B3F5C"/>
    <w:rsid w:val="008B4ED2"/>
    <w:rsid w:val="008B5D01"/>
    <w:rsid w:val="008B70F3"/>
    <w:rsid w:val="008B71C4"/>
    <w:rsid w:val="008B74E6"/>
    <w:rsid w:val="008B76DF"/>
    <w:rsid w:val="008B78E7"/>
    <w:rsid w:val="008B7AB5"/>
    <w:rsid w:val="008B7B0F"/>
    <w:rsid w:val="008C011D"/>
    <w:rsid w:val="008C01F7"/>
    <w:rsid w:val="008C0D58"/>
    <w:rsid w:val="008C0E4D"/>
    <w:rsid w:val="008C10F4"/>
    <w:rsid w:val="008C13EE"/>
    <w:rsid w:val="008C1B22"/>
    <w:rsid w:val="008C1F7D"/>
    <w:rsid w:val="008C2452"/>
    <w:rsid w:val="008C3531"/>
    <w:rsid w:val="008C359C"/>
    <w:rsid w:val="008C3C80"/>
    <w:rsid w:val="008C461F"/>
    <w:rsid w:val="008C5A91"/>
    <w:rsid w:val="008C63AF"/>
    <w:rsid w:val="008C65F7"/>
    <w:rsid w:val="008C6863"/>
    <w:rsid w:val="008C7200"/>
    <w:rsid w:val="008D219E"/>
    <w:rsid w:val="008D2483"/>
    <w:rsid w:val="008D259A"/>
    <w:rsid w:val="008D2897"/>
    <w:rsid w:val="008D2DC0"/>
    <w:rsid w:val="008D30B6"/>
    <w:rsid w:val="008D48DD"/>
    <w:rsid w:val="008D4958"/>
    <w:rsid w:val="008D4A4F"/>
    <w:rsid w:val="008D4A51"/>
    <w:rsid w:val="008D4EF2"/>
    <w:rsid w:val="008D4F0B"/>
    <w:rsid w:val="008D53E1"/>
    <w:rsid w:val="008D5498"/>
    <w:rsid w:val="008D5646"/>
    <w:rsid w:val="008D5F6F"/>
    <w:rsid w:val="008D6531"/>
    <w:rsid w:val="008D6D7B"/>
    <w:rsid w:val="008D6E43"/>
    <w:rsid w:val="008D7614"/>
    <w:rsid w:val="008D7DEC"/>
    <w:rsid w:val="008E159D"/>
    <w:rsid w:val="008E17F3"/>
    <w:rsid w:val="008E1ED9"/>
    <w:rsid w:val="008E22D5"/>
    <w:rsid w:val="008E2C32"/>
    <w:rsid w:val="008E2C93"/>
    <w:rsid w:val="008E324B"/>
    <w:rsid w:val="008E324F"/>
    <w:rsid w:val="008E3295"/>
    <w:rsid w:val="008E3809"/>
    <w:rsid w:val="008E3820"/>
    <w:rsid w:val="008E3A3A"/>
    <w:rsid w:val="008E3DAA"/>
    <w:rsid w:val="008E3EE9"/>
    <w:rsid w:val="008E4767"/>
    <w:rsid w:val="008E499F"/>
    <w:rsid w:val="008E50F9"/>
    <w:rsid w:val="008E53FC"/>
    <w:rsid w:val="008E58FA"/>
    <w:rsid w:val="008E59E3"/>
    <w:rsid w:val="008E5A2D"/>
    <w:rsid w:val="008E5AF7"/>
    <w:rsid w:val="008E5B82"/>
    <w:rsid w:val="008E5F32"/>
    <w:rsid w:val="008E6BE0"/>
    <w:rsid w:val="008E7761"/>
    <w:rsid w:val="008E7A8C"/>
    <w:rsid w:val="008F0CDE"/>
    <w:rsid w:val="008F17DC"/>
    <w:rsid w:val="008F1CE0"/>
    <w:rsid w:val="008F20A6"/>
    <w:rsid w:val="008F2379"/>
    <w:rsid w:val="008F2785"/>
    <w:rsid w:val="008F27B8"/>
    <w:rsid w:val="008F2DF1"/>
    <w:rsid w:val="008F2EEE"/>
    <w:rsid w:val="008F325E"/>
    <w:rsid w:val="008F35F2"/>
    <w:rsid w:val="008F412B"/>
    <w:rsid w:val="008F4284"/>
    <w:rsid w:val="008F4AE8"/>
    <w:rsid w:val="008F6098"/>
    <w:rsid w:val="008F60F9"/>
    <w:rsid w:val="008F7088"/>
    <w:rsid w:val="009001BC"/>
    <w:rsid w:val="00900630"/>
    <w:rsid w:val="009010A3"/>
    <w:rsid w:val="00901AF2"/>
    <w:rsid w:val="0090203B"/>
    <w:rsid w:val="00902182"/>
    <w:rsid w:val="00903285"/>
    <w:rsid w:val="0090343E"/>
    <w:rsid w:val="00903C93"/>
    <w:rsid w:val="0090409A"/>
    <w:rsid w:val="009041D8"/>
    <w:rsid w:val="009048E5"/>
    <w:rsid w:val="009049EA"/>
    <w:rsid w:val="00904B4D"/>
    <w:rsid w:val="0090513B"/>
    <w:rsid w:val="009051BD"/>
    <w:rsid w:val="009051E3"/>
    <w:rsid w:val="00906160"/>
    <w:rsid w:val="00906F40"/>
    <w:rsid w:val="009070E6"/>
    <w:rsid w:val="00907110"/>
    <w:rsid w:val="0090731E"/>
    <w:rsid w:val="00907615"/>
    <w:rsid w:val="0090774A"/>
    <w:rsid w:val="00907F01"/>
    <w:rsid w:val="00910412"/>
    <w:rsid w:val="0091088F"/>
    <w:rsid w:val="00910AC0"/>
    <w:rsid w:val="00911044"/>
    <w:rsid w:val="009114BD"/>
    <w:rsid w:val="00911A7E"/>
    <w:rsid w:val="009121C3"/>
    <w:rsid w:val="009129CD"/>
    <w:rsid w:val="00913AB8"/>
    <w:rsid w:val="009141F2"/>
    <w:rsid w:val="00915142"/>
    <w:rsid w:val="00915B1C"/>
    <w:rsid w:val="00915B8D"/>
    <w:rsid w:val="00915D8D"/>
    <w:rsid w:val="0091680C"/>
    <w:rsid w:val="00916D60"/>
    <w:rsid w:val="00917459"/>
    <w:rsid w:val="009174F3"/>
    <w:rsid w:val="0091797D"/>
    <w:rsid w:val="00920BAD"/>
    <w:rsid w:val="00921578"/>
    <w:rsid w:val="009217D2"/>
    <w:rsid w:val="0092300B"/>
    <w:rsid w:val="009233F9"/>
    <w:rsid w:val="009235F0"/>
    <w:rsid w:val="00923CBA"/>
    <w:rsid w:val="00924292"/>
    <w:rsid w:val="0092467F"/>
    <w:rsid w:val="009246FC"/>
    <w:rsid w:val="009248B1"/>
    <w:rsid w:val="00924AEA"/>
    <w:rsid w:val="00925632"/>
    <w:rsid w:val="00926703"/>
    <w:rsid w:val="0092680F"/>
    <w:rsid w:val="00926FC5"/>
    <w:rsid w:val="00927027"/>
    <w:rsid w:val="009274A7"/>
    <w:rsid w:val="009275F4"/>
    <w:rsid w:val="00927691"/>
    <w:rsid w:val="00927A5F"/>
    <w:rsid w:val="009303DA"/>
    <w:rsid w:val="00930510"/>
    <w:rsid w:val="009305CB"/>
    <w:rsid w:val="00930C9C"/>
    <w:rsid w:val="00930E99"/>
    <w:rsid w:val="00931247"/>
    <w:rsid w:val="00931B92"/>
    <w:rsid w:val="00932EC2"/>
    <w:rsid w:val="0093393C"/>
    <w:rsid w:val="00933A0B"/>
    <w:rsid w:val="00934DFF"/>
    <w:rsid w:val="00934FFC"/>
    <w:rsid w:val="009351E7"/>
    <w:rsid w:val="00935B63"/>
    <w:rsid w:val="009362D6"/>
    <w:rsid w:val="00936A49"/>
    <w:rsid w:val="00936AFE"/>
    <w:rsid w:val="00936C67"/>
    <w:rsid w:val="00936E95"/>
    <w:rsid w:val="009379B6"/>
    <w:rsid w:val="00937C9D"/>
    <w:rsid w:val="00937E61"/>
    <w:rsid w:val="0094039A"/>
    <w:rsid w:val="0094078F"/>
    <w:rsid w:val="009407C0"/>
    <w:rsid w:val="009407D4"/>
    <w:rsid w:val="00940FA3"/>
    <w:rsid w:val="00941B9F"/>
    <w:rsid w:val="00941DA4"/>
    <w:rsid w:val="00941FB0"/>
    <w:rsid w:val="00942135"/>
    <w:rsid w:val="009426D4"/>
    <w:rsid w:val="00942AD2"/>
    <w:rsid w:val="00942CD8"/>
    <w:rsid w:val="00943C9C"/>
    <w:rsid w:val="00946906"/>
    <w:rsid w:val="00946A3B"/>
    <w:rsid w:val="009475CD"/>
    <w:rsid w:val="009475F8"/>
    <w:rsid w:val="00947855"/>
    <w:rsid w:val="00947AB8"/>
    <w:rsid w:val="00947D90"/>
    <w:rsid w:val="00947F25"/>
    <w:rsid w:val="00950159"/>
    <w:rsid w:val="009504C4"/>
    <w:rsid w:val="00950C1B"/>
    <w:rsid w:val="009514DB"/>
    <w:rsid w:val="00952134"/>
    <w:rsid w:val="00952C31"/>
    <w:rsid w:val="00954844"/>
    <w:rsid w:val="0095490B"/>
    <w:rsid w:val="009549DF"/>
    <w:rsid w:val="00955FF8"/>
    <w:rsid w:val="0095663C"/>
    <w:rsid w:val="00956A72"/>
    <w:rsid w:val="00956CB0"/>
    <w:rsid w:val="00957798"/>
    <w:rsid w:val="00957BF2"/>
    <w:rsid w:val="00960A33"/>
    <w:rsid w:val="00960B25"/>
    <w:rsid w:val="00960FDB"/>
    <w:rsid w:val="009618C4"/>
    <w:rsid w:val="00961E5E"/>
    <w:rsid w:val="00961F00"/>
    <w:rsid w:val="009621BA"/>
    <w:rsid w:val="009622BE"/>
    <w:rsid w:val="00962433"/>
    <w:rsid w:val="0096376D"/>
    <w:rsid w:val="00964C95"/>
    <w:rsid w:val="00965BAA"/>
    <w:rsid w:val="00966ABF"/>
    <w:rsid w:val="00966B6C"/>
    <w:rsid w:val="009672AE"/>
    <w:rsid w:val="00967698"/>
    <w:rsid w:val="00967B04"/>
    <w:rsid w:val="00967DCF"/>
    <w:rsid w:val="009710E1"/>
    <w:rsid w:val="00971914"/>
    <w:rsid w:val="00971FEA"/>
    <w:rsid w:val="00972D36"/>
    <w:rsid w:val="00972DCD"/>
    <w:rsid w:val="00973073"/>
    <w:rsid w:val="009733A4"/>
    <w:rsid w:val="009736E2"/>
    <w:rsid w:val="00973AC3"/>
    <w:rsid w:val="00974363"/>
    <w:rsid w:val="0097677F"/>
    <w:rsid w:val="00977611"/>
    <w:rsid w:val="00980684"/>
    <w:rsid w:val="00980ECE"/>
    <w:rsid w:val="00981010"/>
    <w:rsid w:val="00981898"/>
    <w:rsid w:val="009824EB"/>
    <w:rsid w:val="0098310E"/>
    <w:rsid w:val="00983464"/>
    <w:rsid w:val="009845BC"/>
    <w:rsid w:val="00984990"/>
    <w:rsid w:val="00984FEE"/>
    <w:rsid w:val="009854D0"/>
    <w:rsid w:val="00985966"/>
    <w:rsid w:val="00985BBC"/>
    <w:rsid w:val="00985DBE"/>
    <w:rsid w:val="00986173"/>
    <w:rsid w:val="009861FA"/>
    <w:rsid w:val="009865C8"/>
    <w:rsid w:val="00986F5C"/>
    <w:rsid w:val="0098739A"/>
    <w:rsid w:val="009875CD"/>
    <w:rsid w:val="00987CDB"/>
    <w:rsid w:val="00987CE7"/>
    <w:rsid w:val="00987FFA"/>
    <w:rsid w:val="00991220"/>
    <w:rsid w:val="00992531"/>
    <w:rsid w:val="009927E2"/>
    <w:rsid w:val="00993747"/>
    <w:rsid w:val="00993818"/>
    <w:rsid w:val="00993B16"/>
    <w:rsid w:val="00994520"/>
    <w:rsid w:val="00994554"/>
    <w:rsid w:val="009948E1"/>
    <w:rsid w:val="009956F1"/>
    <w:rsid w:val="0099577C"/>
    <w:rsid w:val="00995AF3"/>
    <w:rsid w:val="00995AF5"/>
    <w:rsid w:val="00995F09"/>
    <w:rsid w:val="00996FD8"/>
    <w:rsid w:val="009970DF"/>
    <w:rsid w:val="0099723C"/>
    <w:rsid w:val="009A021C"/>
    <w:rsid w:val="009A0617"/>
    <w:rsid w:val="009A0AB4"/>
    <w:rsid w:val="009A1100"/>
    <w:rsid w:val="009A1C15"/>
    <w:rsid w:val="009A25CC"/>
    <w:rsid w:val="009A2FD9"/>
    <w:rsid w:val="009A40B1"/>
    <w:rsid w:val="009A4616"/>
    <w:rsid w:val="009A4665"/>
    <w:rsid w:val="009A6563"/>
    <w:rsid w:val="009A6B18"/>
    <w:rsid w:val="009A6BA1"/>
    <w:rsid w:val="009A6EEF"/>
    <w:rsid w:val="009A76FC"/>
    <w:rsid w:val="009B0362"/>
    <w:rsid w:val="009B0B88"/>
    <w:rsid w:val="009B0D14"/>
    <w:rsid w:val="009B0E66"/>
    <w:rsid w:val="009B0E78"/>
    <w:rsid w:val="009B1198"/>
    <w:rsid w:val="009B15A4"/>
    <w:rsid w:val="009B171A"/>
    <w:rsid w:val="009B1849"/>
    <w:rsid w:val="009B24A5"/>
    <w:rsid w:val="009B2532"/>
    <w:rsid w:val="009B2547"/>
    <w:rsid w:val="009B2601"/>
    <w:rsid w:val="009B2E11"/>
    <w:rsid w:val="009B39BA"/>
    <w:rsid w:val="009B400F"/>
    <w:rsid w:val="009B41C5"/>
    <w:rsid w:val="009B43C7"/>
    <w:rsid w:val="009B4AAE"/>
    <w:rsid w:val="009B4E9E"/>
    <w:rsid w:val="009B5150"/>
    <w:rsid w:val="009B5431"/>
    <w:rsid w:val="009B5AAA"/>
    <w:rsid w:val="009B5E39"/>
    <w:rsid w:val="009B6060"/>
    <w:rsid w:val="009B666A"/>
    <w:rsid w:val="009B6F5B"/>
    <w:rsid w:val="009B74A4"/>
    <w:rsid w:val="009B7ED5"/>
    <w:rsid w:val="009C09D1"/>
    <w:rsid w:val="009C0C34"/>
    <w:rsid w:val="009C1690"/>
    <w:rsid w:val="009C2653"/>
    <w:rsid w:val="009C2AF3"/>
    <w:rsid w:val="009C2B9A"/>
    <w:rsid w:val="009C30EA"/>
    <w:rsid w:val="009C3641"/>
    <w:rsid w:val="009C36F0"/>
    <w:rsid w:val="009C439C"/>
    <w:rsid w:val="009C4D04"/>
    <w:rsid w:val="009C4DCE"/>
    <w:rsid w:val="009C516A"/>
    <w:rsid w:val="009C5D42"/>
    <w:rsid w:val="009C5D81"/>
    <w:rsid w:val="009C6881"/>
    <w:rsid w:val="009C6974"/>
    <w:rsid w:val="009C7759"/>
    <w:rsid w:val="009D02EA"/>
    <w:rsid w:val="009D043D"/>
    <w:rsid w:val="009D07C8"/>
    <w:rsid w:val="009D103C"/>
    <w:rsid w:val="009D1EC5"/>
    <w:rsid w:val="009D246B"/>
    <w:rsid w:val="009D25B1"/>
    <w:rsid w:val="009D28B6"/>
    <w:rsid w:val="009D327C"/>
    <w:rsid w:val="009D3F75"/>
    <w:rsid w:val="009D4C85"/>
    <w:rsid w:val="009D4CD4"/>
    <w:rsid w:val="009D4CF3"/>
    <w:rsid w:val="009D4EB4"/>
    <w:rsid w:val="009D5116"/>
    <w:rsid w:val="009D512F"/>
    <w:rsid w:val="009D5153"/>
    <w:rsid w:val="009D5216"/>
    <w:rsid w:val="009D52BC"/>
    <w:rsid w:val="009D5A56"/>
    <w:rsid w:val="009D63B4"/>
    <w:rsid w:val="009D6C71"/>
    <w:rsid w:val="009D722D"/>
    <w:rsid w:val="009E0631"/>
    <w:rsid w:val="009E0796"/>
    <w:rsid w:val="009E10A6"/>
    <w:rsid w:val="009E10C0"/>
    <w:rsid w:val="009E16D0"/>
    <w:rsid w:val="009E2051"/>
    <w:rsid w:val="009E2455"/>
    <w:rsid w:val="009E2738"/>
    <w:rsid w:val="009E2A2E"/>
    <w:rsid w:val="009E2CE8"/>
    <w:rsid w:val="009E38FD"/>
    <w:rsid w:val="009E41E6"/>
    <w:rsid w:val="009E55D0"/>
    <w:rsid w:val="009E57F8"/>
    <w:rsid w:val="009E5E1A"/>
    <w:rsid w:val="009E6118"/>
    <w:rsid w:val="009E6521"/>
    <w:rsid w:val="009E654D"/>
    <w:rsid w:val="009E6CB4"/>
    <w:rsid w:val="009E7090"/>
    <w:rsid w:val="009E73B3"/>
    <w:rsid w:val="009F0A4E"/>
    <w:rsid w:val="009F0F34"/>
    <w:rsid w:val="009F103A"/>
    <w:rsid w:val="009F13D6"/>
    <w:rsid w:val="009F1690"/>
    <w:rsid w:val="009F1F91"/>
    <w:rsid w:val="009F2FC0"/>
    <w:rsid w:val="009F30CF"/>
    <w:rsid w:val="009F3BDF"/>
    <w:rsid w:val="009F4557"/>
    <w:rsid w:val="009F4C6B"/>
    <w:rsid w:val="009F4DAE"/>
    <w:rsid w:val="009F50FC"/>
    <w:rsid w:val="009F6450"/>
    <w:rsid w:val="009F78A8"/>
    <w:rsid w:val="009F7B08"/>
    <w:rsid w:val="00A0016A"/>
    <w:rsid w:val="00A00440"/>
    <w:rsid w:val="00A01DAC"/>
    <w:rsid w:val="00A02072"/>
    <w:rsid w:val="00A0256E"/>
    <w:rsid w:val="00A02AD6"/>
    <w:rsid w:val="00A0319D"/>
    <w:rsid w:val="00A04150"/>
    <w:rsid w:val="00A04173"/>
    <w:rsid w:val="00A04488"/>
    <w:rsid w:val="00A04598"/>
    <w:rsid w:val="00A045F5"/>
    <w:rsid w:val="00A04776"/>
    <w:rsid w:val="00A054A5"/>
    <w:rsid w:val="00A05606"/>
    <w:rsid w:val="00A05B1C"/>
    <w:rsid w:val="00A05CCB"/>
    <w:rsid w:val="00A05E86"/>
    <w:rsid w:val="00A062A7"/>
    <w:rsid w:val="00A0671D"/>
    <w:rsid w:val="00A06906"/>
    <w:rsid w:val="00A06FDF"/>
    <w:rsid w:val="00A07096"/>
    <w:rsid w:val="00A07201"/>
    <w:rsid w:val="00A07318"/>
    <w:rsid w:val="00A07935"/>
    <w:rsid w:val="00A100BE"/>
    <w:rsid w:val="00A1089A"/>
    <w:rsid w:val="00A10FD2"/>
    <w:rsid w:val="00A1121C"/>
    <w:rsid w:val="00A11370"/>
    <w:rsid w:val="00A115C2"/>
    <w:rsid w:val="00A1181E"/>
    <w:rsid w:val="00A11E2B"/>
    <w:rsid w:val="00A12263"/>
    <w:rsid w:val="00A1295B"/>
    <w:rsid w:val="00A129E7"/>
    <w:rsid w:val="00A12B56"/>
    <w:rsid w:val="00A12D3D"/>
    <w:rsid w:val="00A13647"/>
    <w:rsid w:val="00A13D50"/>
    <w:rsid w:val="00A140A1"/>
    <w:rsid w:val="00A14EDC"/>
    <w:rsid w:val="00A15E56"/>
    <w:rsid w:val="00A1656F"/>
    <w:rsid w:val="00A16FB8"/>
    <w:rsid w:val="00A17526"/>
    <w:rsid w:val="00A200E8"/>
    <w:rsid w:val="00A20126"/>
    <w:rsid w:val="00A2027B"/>
    <w:rsid w:val="00A20383"/>
    <w:rsid w:val="00A2095B"/>
    <w:rsid w:val="00A21720"/>
    <w:rsid w:val="00A21890"/>
    <w:rsid w:val="00A21988"/>
    <w:rsid w:val="00A224CE"/>
    <w:rsid w:val="00A22522"/>
    <w:rsid w:val="00A238F6"/>
    <w:rsid w:val="00A242B7"/>
    <w:rsid w:val="00A24705"/>
    <w:rsid w:val="00A24AFD"/>
    <w:rsid w:val="00A24F5C"/>
    <w:rsid w:val="00A24F91"/>
    <w:rsid w:val="00A2502F"/>
    <w:rsid w:val="00A2512D"/>
    <w:rsid w:val="00A25392"/>
    <w:rsid w:val="00A255CC"/>
    <w:rsid w:val="00A25AEF"/>
    <w:rsid w:val="00A2603C"/>
    <w:rsid w:val="00A268FD"/>
    <w:rsid w:val="00A26936"/>
    <w:rsid w:val="00A26C7D"/>
    <w:rsid w:val="00A27913"/>
    <w:rsid w:val="00A2796F"/>
    <w:rsid w:val="00A30034"/>
    <w:rsid w:val="00A300AF"/>
    <w:rsid w:val="00A300FF"/>
    <w:rsid w:val="00A30CE7"/>
    <w:rsid w:val="00A3169D"/>
    <w:rsid w:val="00A31CB2"/>
    <w:rsid w:val="00A3232C"/>
    <w:rsid w:val="00A32429"/>
    <w:rsid w:val="00A3252E"/>
    <w:rsid w:val="00A32F96"/>
    <w:rsid w:val="00A359C0"/>
    <w:rsid w:val="00A36952"/>
    <w:rsid w:val="00A36C24"/>
    <w:rsid w:val="00A37BB2"/>
    <w:rsid w:val="00A4061A"/>
    <w:rsid w:val="00A4062C"/>
    <w:rsid w:val="00A40871"/>
    <w:rsid w:val="00A40C47"/>
    <w:rsid w:val="00A412AB"/>
    <w:rsid w:val="00A4147D"/>
    <w:rsid w:val="00A4193E"/>
    <w:rsid w:val="00A41AD0"/>
    <w:rsid w:val="00A4234A"/>
    <w:rsid w:val="00A4353F"/>
    <w:rsid w:val="00A4360A"/>
    <w:rsid w:val="00A440E0"/>
    <w:rsid w:val="00A442EF"/>
    <w:rsid w:val="00A4439A"/>
    <w:rsid w:val="00A44E6A"/>
    <w:rsid w:val="00A4504E"/>
    <w:rsid w:val="00A451F4"/>
    <w:rsid w:val="00A454E9"/>
    <w:rsid w:val="00A45627"/>
    <w:rsid w:val="00A46150"/>
    <w:rsid w:val="00A466FE"/>
    <w:rsid w:val="00A4687E"/>
    <w:rsid w:val="00A4710F"/>
    <w:rsid w:val="00A47B01"/>
    <w:rsid w:val="00A50973"/>
    <w:rsid w:val="00A50B78"/>
    <w:rsid w:val="00A51559"/>
    <w:rsid w:val="00A51D1A"/>
    <w:rsid w:val="00A52672"/>
    <w:rsid w:val="00A52DB5"/>
    <w:rsid w:val="00A53099"/>
    <w:rsid w:val="00A5396A"/>
    <w:rsid w:val="00A5418D"/>
    <w:rsid w:val="00A541EC"/>
    <w:rsid w:val="00A545EE"/>
    <w:rsid w:val="00A5474E"/>
    <w:rsid w:val="00A54AF3"/>
    <w:rsid w:val="00A54B2B"/>
    <w:rsid w:val="00A54C3F"/>
    <w:rsid w:val="00A55CA3"/>
    <w:rsid w:val="00A55FFC"/>
    <w:rsid w:val="00A56CD9"/>
    <w:rsid w:val="00A571D1"/>
    <w:rsid w:val="00A57A85"/>
    <w:rsid w:val="00A57FA6"/>
    <w:rsid w:val="00A60914"/>
    <w:rsid w:val="00A60ECD"/>
    <w:rsid w:val="00A60F57"/>
    <w:rsid w:val="00A60FAD"/>
    <w:rsid w:val="00A62031"/>
    <w:rsid w:val="00A623DC"/>
    <w:rsid w:val="00A626ED"/>
    <w:rsid w:val="00A636ED"/>
    <w:rsid w:val="00A63707"/>
    <w:rsid w:val="00A637CD"/>
    <w:rsid w:val="00A64234"/>
    <w:rsid w:val="00A65033"/>
    <w:rsid w:val="00A65415"/>
    <w:rsid w:val="00A654DB"/>
    <w:rsid w:val="00A655F9"/>
    <w:rsid w:val="00A65A6E"/>
    <w:rsid w:val="00A707FC"/>
    <w:rsid w:val="00A70ADF"/>
    <w:rsid w:val="00A70D60"/>
    <w:rsid w:val="00A71466"/>
    <w:rsid w:val="00A71644"/>
    <w:rsid w:val="00A71668"/>
    <w:rsid w:val="00A71B32"/>
    <w:rsid w:val="00A71E00"/>
    <w:rsid w:val="00A721CC"/>
    <w:rsid w:val="00A7235E"/>
    <w:rsid w:val="00A733F5"/>
    <w:rsid w:val="00A73685"/>
    <w:rsid w:val="00A73696"/>
    <w:rsid w:val="00A73AE5"/>
    <w:rsid w:val="00A73C30"/>
    <w:rsid w:val="00A7433D"/>
    <w:rsid w:val="00A74808"/>
    <w:rsid w:val="00A74B5E"/>
    <w:rsid w:val="00A74D5B"/>
    <w:rsid w:val="00A74F3A"/>
    <w:rsid w:val="00A755D7"/>
    <w:rsid w:val="00A7572C"/>
    <w:rsid w:val="00A75771"/>
    <w:rsid w:val="00A76811"/>
    <w:rsid w:val="00A76C59"/>
    <w:rsid w:val="00A81BED"/>
    <w:rsid w:val="00A81EC4"/>
    <w:rsid w:val="00A824E8"/>
    <w:rsid w:val="00A8251D"/>
    <w:rsid w:val="00A82B02"/>
    <w:rsid w:val="00A82F2E"/>
    <w:rsid w:val="00A846CC"/>
    <w:rsid w:val="00A848FD"/>
    <w:rsid w:val="00A851BE"/>
    <w:rsid w:val="00A86675"/>
    <w:rsid w:val="00A8670B"/>
    <w:rsid w:val="00A86EB9"/>
    <w:rsid w:val="00A87170"/>
    <w:rsid w:val="00A907E2"/>
    <w:rsid w:val="00A91920"/>
    <w:rsid w:val="00A91FC4"/>
    <w:rsid w:val="00A9212E"/>
    <w:rsid w:val="00A921D9"/>
    <w:rsid w:val="00A92E55"/>
    <w:rsid w:val="00A93082"/>
    <w:rsid w:val="00A93837"/>
    <w:rsid w:val="00A946B4"/>
    <w:rsid w:val="00A94DE7"/>
    <w:rsid w:val="00A958BB"/>
    <w:rsid w:val="00A95958"/>
    <w:rsid w:val="00A95B9C"/>
    <w:rsid w:val="00A9655B"/>
    <w:rsid w:val="00A967FD"/>
    <w:rsid w:val="00A9723F"/>
    <w:rsid w:val="00A973A2"/>
    <w:rsid w:val="00A9781F"/>
    <w:rsid w:val="00A979F2"/>
    <w:rsid w:val="00A97C95"/>
    <w:rsid w:val="00AA051B"/>
    <w:rsid w:val="00AA0AC1"/>
    <w:rsid w:val="00AA0D9A"/>
    <w:rsid w:val="00AA0E82"/>
    <w:rsid w:val="00AA18B4"/>
    <w:rsid w:val="00AA1AF6"/>
    <w:rsid w:val="00AA2410"/>
    <w:rsid w:val="00AA247C"/>
    <w:rsid w:val="00AA2512"/>
    <w:rsid w:val="00AA27A5"/>
    <w:rsid w:val="00AA2828"/>
    <w:rsid w:val="00AA2C98"/>
    <w:rsid w:val="00AA2DE5"/>
    <w:rsid w:val="00AA37F1"/>
    <w:rsid w:val="00AA3C14"/>
    <w:rsid w:val="00AA3EC2"/>
    <w:rsid w:val="00AA4328"/>
    <w:rsid w:val="00AA4F4E"/>
    <w:rsid w:val="00AA5621"/>
    <w:rsid w:val="00AA5B4D"/>
    <w:rsid w:val="00AA64C1"/>
    <w:rsid w:val="00AA64CE"/>
    <w:rsid w:val="00AA672B"/>
    <w:rsid w:val="00AA7151"/>
    <w:rsid w:val="00AA747D"/>
    <w:rsid w:val="00AA7942"/>
    <w:rsid w:val="00AB0105"/>
    <w:rsid w:val="00AB05BB"/>
    <w:rsid w:val="00AB063A"/>
    <w:rsid w:val="00AB156C"/>
    <w:rsid w:val="00AB1723"/>
    <w:rsid w:val="00AB1CBE"/>
    <w:rsid w:val="00AB1D2B"/>
    <w:rsid w:val="00AB3B00"/>
    <w:rsid w:val="00AB3F8B"/>
    <w:rsid w:val="00AB3FAC"/>
    <w:rsid w:val="00AB40EC"/>
    <w:rsid w:val="00AB463D"/>
    <w:rsid w:val="00AB523E"/>
    <w:rsid w:val="00AB5EE3"/>
    <w:rsid w:val="00AB6141"/>
    <w:rsid w:val="00AB61A5"/>
    <w:rsid w:val="00AB6317"/>
    <w:rsid w:val="00AB6814"/>
    <w:rsid w:val="00AB6AF4"/>
    <w:rsid w:val="00AB74BF"/>
    <w:rsid w:val="00AC04BA"/>
    <w:rsid w:val="00AC09D8"/>
    <w:rsid w:val="00AC0B11"/>
    <w:rsid w:val="00AC0E39"/>
    <w:rsid w:val="00AC1AF9"/>
    <w:rsid w:val="00AC2266"/>
    <w:rsid w:val="00AC2DD5"/>
    <w:rsid w:val="00AC36EC"/>
    <w:rsid w:val="00AC40E8"/>
    <w:rsid w:val="00AC4152"/>
    <w:rsid w:val="00AC433B"/>
    <w:rsid w:val="00AC4EB0"/>
    <w:rsid w:val="00AC4FC3"/>
    <w:rsid w:val="00AC50CA"/>
    <w:rsid w:val="00AC55FD"/>
    <w:rsid w:val="00AC572E"/>
    <w:rsid w:val="00AC5929"/>
    <w:rsid w:val="00AC6206"/>
    <w:rsid w:val="00AC6B25"/>
    <w:rsid w:val="00AC7D6B"/>
    <w:rsid w:val="00AD020E"/>
    <w:rsid w:val="00AD0C25"/>
    <w:rsid w:val="00AD13C7"/>
    <w:rsid w:val="00AD20E4"/>
    <w:rsid w:val="00AD2E6B"/>
    <w:rsid w:val="00AD3082"/>
    <w:rsid w:val="00AD32B4"/>
    <w:rsid w:val="00AD33BC"/>
    <w:rsid w:val="00AD4AD0"/>
    <w:rsid w:val="00AD53DF"/>
    <w:rsid w:val="00AD5436"/>
    <w:rsid w:val="00AD57B4"/>
    <w:rsid w:val="00AD5D16"/>
    <w:rsid w:val="00AD6055"/>
    <w:rsid w:val="00AD60CD"/>
    <w:rsid w:val="00AD610F"/>
    <w:rsid w:val="00AD670F"/>
    <w:rsid w:val="00AD6901"/>
    <w:rsid w:val="00AD6A85"/>
    <w:rsid w:val="00AD6C8C"/>
    <w:rsid w:val="00AD74F9"/>
    <w:rsid w:val="00AD77F1"/>
    <w:rsid w:val="00AE0182"/>
    <w:rsid w:val="00AE091D"/>
    <w:rsid w:val="00AE10DD"/>
    <w:rsid w:val="00AE145A"/>
    <w:rsid w:val="00AE1916"/>
    <w:rsid w:val="00AE1DB7"/>
    <w:rsid w:val="00AE3B08"/>
    <w:rsid w:val="00AE3B60"/>
    <w:rsid w:val="00AE44EE"/>
    <w:rsid w:val="00AE4E07"/>
    <w:rsid w:val="00AE4F58"/>
    <w:rsid w:val="00AE53A1"/>
    <w:rsid w:val="00AE5847"/>
    <w:rsid w:val="00AE5B75"/>
    <w:rsid w:val="00AE5D63"/>
    <w:rsid w:val="00AE641A"/>
    <w:rsid w:val="00AE6657"/>
    <w:rsid w:val="00AE6AF2"/>
    <w:rsid w:val="00AE733A"/>
    <w:rsid w:val="00AE78FD"/>
    <w:rsid w:val="00AE7B29"/>
    <w:rsid w:val="00AE7B41"/>
    <w:rsid w:val="00AE7C8D"/>
    <w:rsid w:val="00AE7E77"/>
    <w:rsid w:val="00AF0849"/>
    <w:rsid w:val="00AF0C52"/>
    <w:rsid w:val="00AF1889"/>
    <w:rsid w:val="00AF1D79"/>
    <w:rsid w:val="00AF2382"/>
    <w:rsid w:val="00AF23ED"/>
    <w:rsid w:val="00AF2484"/>
    <w:rsid w:val="00AF3413"/>
    <w:rsid w:val="00AF3D49"/>
    <w:rsid w:val="00AF5FF8"/>
    <w:rsid w:val="00AF63E7"/>
    <w:rsid w:val="00AF677B"/>
    <w:rsid w:val="00AF67E2"/>
    <w:rsid w:val="00AF6E17"/>
    <w:rsid w:val="00AF6E49"/>
    <w:rsid w:val="00AF7648"/>
    <w:rsid w:val="00AF7BF6"/>
    <w:rsid w:val="00B001D5"/>
    <w:rsid w:val="00B00EE2"/>
    <w:rsid w:val="00B01042"/>
    <w:rsid w:val="00B012C0"/>
    <w:rsid w:val="00B01592"/>
    <w:rsid w:val="00B01629"/>
    <w:rsid w:val="00B0165D"/>
    <w:rsid w:val="00B01842"/>
    <w:rsid w:val="00B01B60"/>
    <w:rsid w:val="00B025EA"/>
    <w:rsid w:val="00B029E1"/>
    <w:rsid w:val="00B02B55"/>
    <w:rsid w:val="00B031D0"/>
    <w:rsid w:val="00B031F3"/>
    <w:rsid w:val="00B036C7"/>
    <w:rsid w:val="00B03F34"/>
    <w:rsid w:val="00B05114"/>
    <w:rsid w:val="00B052A4"/>
    <w:rsid w:val="00B063C4"/>
    <w:rsid w:val="00B06402"/>
    <w:rsid w:val="00B0689B"/>
    <w:rsid w:val="00B06C48"/>
    <w:rsid w:val="00B077CC"/>
    <w:rsid w:val="00B07CFF"/>
    <w:rsid w:val="00B10316"/>
    <w:rsid w:val="00B1045F"/>
    <w:rsid w:val="00B10C25"/>
    <w:rsid w:val="00B10CEF"/>
    <w:rsid w:val="00B113B7"/>
    <w:rsid w:val="00B125DE"/>
    <w:rsid w:val="00B12CC7"/>
    <w:rsid w:val="00B12CFB"/>
    <w:rsid w:val="00B12DCB"/>
    <w:rsid w:val="00B12FBC"/>
    <w:rsid w:val="00B131DF"/>
    <w:rsid w:val="00B13ADA"/>
    <w:rsid w:val="00B13FDD"/>
    <w:rsid w:val="00B1429E"/>
    <w:rsid w:val="00B14D2B"/>
    <w:rsid w:val="00B14DE2"/>
    <w:rsid w:val="00B14E3A"/>
    <w:rsid w:val="00B15CCB"/>
    <w:rsid w:val="00B1680B"/>
    <w:rsid w:val="00B1695B"/>
    <w:rsid w:val="00B16F85"/>
    <w:rsid w:val="00B17555"/>
    <w:rsid w:val="00B20A3C"/>
    <w:rsid w:val="00B20E62"/>
    <w:rsid w:val="00B21B70"/>
    <w:rsid w:val="00B22359"/>
    <w:rsid w:val="00B225BA"/>
    <w:rsid w:val="00B22778"/>
    <w:rsid w:val="00B22872"/>
    <w:rsid w:val="00B22EB2"/>
    <w:rsid w:val="00B23932"/>
    <w:rsid w:val="00B23BDE"/>
    <w:rsid w:val="00B23F29"/>
    <w:rsid w:val="00B2461C"/>
    <w:rsid w:val="00B246DE"/>
    <w:rsid w:val="00B24C22"/>
    <w:rsid w:val="00B24E43"/>
    <w:rsid w:val="00B25293"/>
    <w:rsid w:val="00B2530D"/>
    <w:rsid w:val="00B25965"/>
    <w:rsid w:val="00B26E6C"/>
    <w:rsid w:val="00B27442"/>
    <w:rsid w:val="00B27B06"/>
    <w:rsid w:val="00B303C6"/>
    <w:rsid w:val="00B31167"/>
    <w:rsid w:val="00B319CA"/>
    <w:rsid w:val="00B319DF"/>
    <w:rsid w:val="00B31FF3"/>
    <w:rsid w:val="00B32043"/>
    <w:rsid w:val="00B329D8"/>
    <w:rsid w:val="00B32BB9"/>
    <w:rsid w:val="00B32D44"/>
    <w:rsid w:val="00B33259"/>
    <w:rsid w:val="00B337DE"/>
    <w:rsid w:val="00B33AE1"/>
    <w:rsid w:val="00B33B0E"/>
    <w:rsid w:val="00B34236"/>
    <w:rsid w:val="00B342BA"/>
    <w:rsid w:val="00B343C4"/>
    <w:rsid w:val="00B35165"/>
    <w:rsid w:val="00B35970"/>
    <w:rsid w:val="00B35C07"/>
    <w:rsid w:val="00B360B5"/>
    <w:rsid w:val="00B367F9"/>
    <w:rsid w:val="00B36907"/>
    <w:rsid w:val="00B36C7D"/>
    <w:rsid w:val="00B36CD1"/>
    <w:rsid w:val="00B37AA3"/>
    <w:rsid w:val="00B37C38"/>
    <w:rsid w:val="00B37E25"/>
    <w:rsid w:val="00B402BC"/>
    <w:rsid w:val="00B402DF"/>
    <w:rsid w:val="00B40B53"/>
    <w:rsid w:val="00B412DA"/>
    <w:rsid w:val="00B415DA"/>
    <w:rsid w:val="00B421AA"/>
    <w:rsid w:val="00B42518"/>
    <w:rsid w:val="00B42712"/>
    <w:rsid w:val="00B4288C"/>
    <w:rsid w:val="00B43163"/>
    <w:rsid w:val="00B43262"/>
    <w:rsid w:val="00B43300"/>
    <w:rsid w:val="00B43C12"/>
    <w:rsid w:val="00B44100"/>
    <w:rsid w:val="00B441B2"/>
    <w:rsid w:val="00B44BDC"/>
    <w:rsid w:val="00B45361"/>
    <w:rsid w:val="00B45E8C"/>
    <w:rsid w:val="00B46666"/>
    <w:rsid w:val="00B468F6"/>
    <w:rsid w:val="00B46CBA"/>
    <w:rsid w:val="00B46F94"/>
    <w:rsid w:val="00B47257"/>
    <w:rsid w:val="00B4773C"/>
    <w:rsid w:val="00B50C87"/>
    <w:rsid w:val="00B50D9D"/>
    <w:rsid w:val="00B50F9F"/>
    <w:rsid w:val="00B5174F"/>
    <w:rsid w:val="00B51963"/>
    <w:rsid w:val="00B5339D"/>
    <w:rsid w:val="00B53637"/>
    <w:rsid w:val="00B54601"/>
    <w:rsid w:val="00B556AC"/>
    <w:rsid w:val="00B578FE"/>
    <w:rsid w:val="00B6003C"/>
    <w:rsid w:val="00B600D4"/>
    <w:rsid w:val="00B60144"/>
    <w:rsid w:val="00B607E1"/>
    <w:rsid w:val="00B60C9D"/>
    <w:rsid w:val="00B60E64"/>
    <w:rsid w:val="00B61F03"/>
    <w:rsid w:val="00B626E4"/>
    <w:rsid w:val="00B62884"/>
    <w:rsid w:val="00B63167"/>
    <w:rsid w:val="00B632E6"/>
    <w:rsid w:val="00B63671"/>
    <w:rsid w:val="00B645F2"/>
    <w:rsid w:val="00B648C3"/>
    <w:rsid w:val="00B653ED"/>
    <w:rsid w:val="00B656A4"/>
    <w:rsid w:val="00B66291"/>
    <w:rsid w:val="00B667FA"/>
    <w:rsid w:val="00B66872"/>
    <w:rsid w:val="00B668D8"/>
    <w:rsid w:val="00B66D49"/>
    <w:rsid w:val="00B67628"/>
    <w:rsid w:val="00B67748"/>
    <w:rsid w:val="00B67EA0"/>
    <w:rsid w:val="00B7030E"/>
    <w:rsid w:val="00B71230"/>
    <w:rsid w:val="00B7186B"/>
    <w:rsid w:val="00B718AE"/>
    <w:rsid w:val="00B718B0"/>
    <w:rsid w:val="00B72103"/>
    <w:rsid w:val="00B727EE"/>
    <w:rsid w:val="00B72E17"/>
    <w:rsid w:val="00B72F4A"/>
    <w:rsid w:val="00B73571"/>
    <w:rsid w:val="00B74966"/>
    <w:rsid w:val="00B751DE"/>
    <w:rsid w:val="00B753C2"/>
    <w:rsid w:val="00B76139"/>
    <w:rsid w:val="00B76207"/>
    <w:rsid w:val="00B774E0"/>
    <w:rsid w:val="00B77A1A"/>
    <w:rsid w:val="00B8158D"/>
    <w:rsid w:val="00B81900"/>
    <w:rsid w:val="00B81E87"/>
    <w:rsid w:val="00B824F9"/>
    <w:rsid w:val="00B82C55"/>
    <w:rsid w:val="00B82F48"/>
    <w:rsid w:val="00B83C27"/>
    <w:rsid w:val="00B8479B"/>
    <w:rsid w:val="00B84BC3"/>
    <w:rsid w:val="00B84BDD"/>
    <w:rsid w:val="00B84D68"/>
    <w:rsid w:val="00B84FF1"/>
    <w:rsid w:val="00B85436"/>
    <w:rsid w:val="00B86ED3"/>
    <w:rsid w:val="00B87561"/>
    <w:rsid w:val="00B8766C"/>
    <w:rsid w:val="00B87A58"/>
    <w:rsid w:val="00B90AFB"/>
    <w:rsid w:val="00B90DA2"/>
    <w:rsid w:val="00B916FB"/>
    <w:rsid w:val="00B91BBF"/>
    <w:rsid w:val="00B91C87"/>
    <w:rsid w:val="00B92812"/>
    <w:rsid w:val="00B9290E"/>
    <w:rsid w:val="00B92A08"/>
    <w:rsid w:val="00B942F1"/>
    <w:rsid w:val="00B96B41"/>
    <w:rsid w:val="00B97BFC"/>
    <w:rsid w:val="00BA06C1"/>
    <w:rsid w:val="00BA12D3"/>
    <w:rsid w:val="00BA1B4B"/>
    <w:rsid w:val="00BA1EAB"/>
    <w:rsid w:val="00BA23FF"/>
    <w:rsid w:val="00BA2CFA"/>
    <w:rsid w:val="00BA3F2F"/>
    <w:rsid w:val="00BA40C8"/>
    <w:rsid w:val="00BA4609"/>
    <w:rsid w:val="00BA556A"/>
    <w:rsid w:val="00BA6640"/>
    <w:rsid w:val="00BA6DF8"/>
    <w:rsid w:val="00BA71FF"/>
    <w:rsid w:val="00BA73C5"/>
    <w:rsid w:val="00BA7A8B"/>
    <w:rsid w:val="00BB03FC"/>
    <w:rsid w:val="00BB0595"/>
    <w:rsid w:val="00BB0630"/>
    <w:rsid w:val="00BB0B00"/>
    <w:rsid w:val="00BB0EE0"/>
    <w:rsid w:val="00BB1B04"/>
    <w:rsid w:val="00BB2171"/>
    <w:rsid w:val="00BB24F4"/>
    <w:rsid w:val="00BB2F5C"/>
    <w:rsid w:val="00BB35A8"/>
    <w:rsid w:val="00BB3E0A"/>
    <w:rsid w:val="00BB45A1"/>
    <w:rsid w:val="00BB4AF4"/>
    <w:rsid w:val="00BB5630"/>
    <w:rsid w:val="00BB5DE2"/>
    <w:rsid w:val="00BB6949"/>
    <w:rsid w:val="00BB6C71"/>
    <w:rsid w:val="00BB7686"/>
    <w:rsid w:val="00BB7729"/>
    <w:rsid w:val="00BB7802"/>
    <w:rsid w:val="00BC0D15"/>
    <w:rsid w:val="00BC163D"/>
    <w:rsid w:val="00BC175B"/>
    <w:rsid w:val="00BC1C82"/>
    <w:rsid w:val="00BC21FD"/>
    <w:rsid w:val="00BC23F9"/>
    <w:rsid w:val="00BC24D3"/>
    <w:rsid w:val="00BC2E5E"/>
    <w:rsid w:val="00BC3421"/>
    <w:rsid w:val="00BC4136"/>
    <w:rsid w:val="00BC426A"/>
    <w:rsid w:val="00BC5248"/>
    <w:rsid w:val="00BC533F"/>
    <w:rsid w:val="00BC55EE"/>
    <w:rsid w:val="00BC5E74"/>
    <w:rsid w:val="00BC62B5"/>
    <w:rsid w:val="00BC6EFE"/>
    <w:rsid w:val="00BC732C"/>
    <w:rsid w:val="00BC7B57"/>
    <w:rsid w:val="00BD1207"/>
    <w:rsid w:val="00BD1A7A"/>
    <w:rsid w:val="00BD382F"/>
    <w:rsid w:val="00BD3D24"/>
    <w:rsid w:val="00BD3E73"/>
    <w:rsid w:val="00BD4421"/>
    <w:rsid w:val="00BD4C05"/>
    <w:rsid w:val="00BD50D2"/>
    <w:rsid w:val="00BD639D"/>
    <w:rsid w:val="00BD67E1"/>
    <w:rsid w:val="00BD6921"/>
    <w:rsid w:val="00BD7629"/>
    <w:rsid w:val="00BD780B"/>
    <w:rsid w:val="00BD7A18"/>
    <w:rsid w:val="00BD7CCE"/>
    <w:rsid w:val="00BE0624"/>
    <w:rsid w:val="00BE0C1C"/>
    <w:rsid w:val="00BE103E"/>
    <w:rsid w:val="00BE116E"/>
    <w:rsid w:val="00BE1532"/>
    <w:rsid w:val="00BE18A3"/>
    <w:rsid w:val="00BE2580"/>
    <w:rsid w:val="00BE266D"/>
    <w:rsid w:val="00BE29EE"/>
    <w:rsid w:val="00BE3938"/>
    <w:rsid w:val="00BE3AAE"/>
    <w:rsid w:val="00BE4C11"/>
    <w:rsid w:val="00BE5123"/>
    <w:rsid w:val="00BE61F1"/>
    <w:rsid w:val="00BE6B82"/>
    <w:rsid w:val="00BE6BD7"/>
    <w:rsid w:val="00BE7094"/>
    <w:rsid w:val="00BE71C0"/>
    <w:rsid w:val="00BE7640"/>
    <w:rsid w:val="00BE7B41"/>
    <w:rsid w:val="00BF028C"/>
    <w:rsid w:val="00BF0A3B"/>
    <w:rsid w:val="00BF19FF"/>
    <w:rsid w:val="00BF1F34"/>
    <w:rsid w:val="00BF238D"/>
    <w:rsid w:val="00BF2F2F"/>
    <w:rsid w:val="00BF2F43"/>
    <w:rsid w:val="00BF3C52"/>
    <w:rsid w:val="00BF3F1C"/>
    <w:rsid w:val="00BF45C9"/>
    <w:rsid w:val="00BF4EE1"/>
    <w:rsid w:val="00BF54EE"/>
    <w:rsid w:val="00BF610C"/>
    <w:rsid w:val="00BF6FD4"/>
    <w:rsid w:val="00BF7596"/>
    <w:rsid w:val="00BF796D"/>
    <w:rsid w:val="00C0030D"/>
    <w:rsid w:val="00C0060B"/>
    <w:rsid w:val="00C01A6C"/>
    <w:rsid w:val="00C01B95"/>
    <w:rsid w:val="00C020A5"/>
    <w:rsid w:val="00C0277D"/>
    <w:rsid w:val="00C02808"/>
    <w:rsid w:val="00C02BC1"/>
    <w:rsid w:val="00C02F26"/>
    <w:rsid w:val="00C02F35"/>
    <w:rsid w:val="00C03FD5"/>
    <w:rsid w:val="00C04988"/>
    <w:rsid w:val="00C04D10"/>
    <w:rsid w:val="00C053A1"/>
    <w:rsid w:val="00C0576F"/>
    <w:rsid w:val="00C07240"/>
    <w:rsid w:val="00C075C6"/>
    <w:rsid w:val="00C10353"/>
    <w:rsid w:val="00C108BB"/>
    <w:rsid w:val="00C10B23"/>
    <w:rsid w:val="00C10EFC"/>
    <w:rsid w:val="00C11FD4"/>
    <w:rsid w:val="00C1222C"/>
    <w:rsid w:val="00C12273"/>
    <w:rsid w:val="00C13402"/>
    <w:rsid w:val="00C13B8E"/>
    <w:rsid w:val="00C13D2B"/>
    <w:rsid w:val="00C141C4"/>
    <w:rsid w:val="00C143DE"/>
    <w:rsid w:val="00C145E1"/>
    <w:rsid w:val="00C14A57"/>
    <w:rsid w:val="00C14F75"/>
    <w:rsid w:val="00C15FA8"/>
    <w:rsid w:val="00C16198"/>
    <w:rsid w:val="00C164F1"/>
    <w:rsid w:val="00C16587"/>
    <w:rsid w:val="00C16F58"/>
    <w:rsid w:val="00C207C5"/>
    <w:rsid w:val="00C20815"/>
    <w:rsid w:val="00C2083D"/>
    <w:rsid w:val="00C20D22"/>
    <w:rsid w:val="00C20E69"/>
    <w:rsid w:val="00C20F91"/>
    <w:rsid w:val="00C20FF1"/>
    <w:rsid w:val="00C216A1"/>
    <w:rsid w:val="00C21A60"/>
    <w:rsid w:val="00C21B10"/>
    <w:rsid w:val="00C222D8"/>
    <w:rsid w:val="00C22A93"/>
    <w:rsid w:val="00C22C15"/>
    <w:rsid w:val="00C23746"/>
    <w:rsid w:val="00C23E56"/>
    <w:rsid w:val="00C247A2"/>
    <w:rsid w:val="00C24A53"/>
    <w:rsid w:val="00C24CF5"/>
    <w:rsid w:val="00C2695C"/>
    <w:rsid w:val="00C26B57"/>
    <w:rsid w:val="00C27111"/>
    <w:rsid w:val="00C30487"/>
    <w:rsid w:val="00C30EE9"/>
    <w:rsid w:val="00C31053"/>
    <w:rsid w:val="00C3120C"/>
    <w:rsid w:val="00C3186B"/>
    <w:rsid w:val="00C318DC"/>
    <w:rsid w:val="00C31E07"/>
    <w:rsid w:val="00C31E2C"/>
    <w:rsid w:val="00C32EB7"/>
    <w:rsid w:val="00C33120"/>
    <w:rsid w:val="00C33746"/>
    <w:rsid w:val="00C339EC"/>
    <w:rsid w:val="00C33A52"/>
    <w:rsid w:val="00C33B50"/>
    <w:rsid w:val="00C34A05"/>
    <w:rsid w:val="00C34D28"/>
    <w:rsid w:val="00C35538"/>
    <w:rsid w:val="00C35C4A"/>
    <w:rsid w:val="00C35C75"/>
    <w:rsid w:val="00C35CCE"/>
    <w:rsid w:val="00C36280"/>
    <w:rsid w:val="00C36DA0"/>
    <w:rsid w:val="00C3713F"/>
    <w:rsid w:val="00C371BA"/>
    <w:rsid w:val="00C37DCF"/>
    <w:rsid w:val="00C4032F"/>
    <w:rsid w:val="00C40AAD"/>
    <w:rsid w:val="00C40ADE"/>
    <w:rsid w:val="00C4133C"/>
    <w:rsid w:val="00C41590"/>
    <w:rsid w:val="00C4167D"/>
    <w:rsid w:val="00C41F9C"/>
    <w:rsid w:val="00C4276D"/>
    <w:rsid w:val="00C4321B"/>
    <w:rsid w:val="00C43364"/>
    <w:rsid w:val="00C433E6"/>
    <w:rsid w:val="00C44047"/>
    <w:rsid w:val="00C4418C"/>
    <w:rsid w:val="00C442D7"/>
    <w:rsid w:val="00C44362"/>
    <w:rsid w:val="00C44AB9"/>
    <w:rsid w:val="00C45155"/>
    <w:rsid w:val="00C45769"/>
    <w:rsid w:val="00C4642F"/>
    <w:rsid w:val="00C4691C"/>
    <w:rsid w:val="00C46BE9"/>
    <w:rsid w:val="00C46F24"/>
    <w:rsid w:val="00C47DF8"/>
    <w:rsid w:val="00C47FCC"/>
    <w:rsid w:val="00C50231"/>
    <w:rsid w:val="00C50F56"/>
    <w:rsid w:val="00C51442"/>
    <w:rsid w:val="00C5223C"/>
    <w:rsid w:val="00C52A27"/>
    <w:rsid w:val="00C52CDB"/>
    <w:rsid w:val="00C534EF"/>
    <w:rsid w:val="00C539B2"/>
    <w:rsid w:val="00C542AB"/>
    <w:rsid w:val="00C5498F"/>
    <w:rsid w:val="00C54AFF"/>
    <w:rsid w:val="00C54BBC"/>
    <w:rsid w:val="00C55235"/>
    <w:rsid w:val="00C55790"/>
    <w:rsid w:val="00C55BF0"/>
    <w:rsid w:val="00C5604B"/>
    <w:rsid w:val="00C5632E"/>
    <w:rsid w:val="00C566D1"/>
    <w:rsid w:val="00C56A1F"/>
    <w:rsid w:val="00C60660"/>
    <w:rsid w:val="00C6081A"/>
    <w:rsid w:val="00C629A2"/>
    <w:rsid w:val="00C629F2"/>
    <w:rsid w:val="00C639A3"/>
    <w:rsid w:val="00C64364"/>
    <w:rsid w:val="00C64BEC"/>
    <w:rsid w:val="00C64CD0"/>
    <w:rsid w:val="00C64E42"/>
    <w:rsid w:val="00C6527C"/>
    <w:rsid w:val="00C6590C"/>
    <w:rsid w:val="00C65A9E"/>
    <w:rsid w:val="00C65F61"/>
    <w:rsid w:val="00C6684F"/>
    <w:rsid w:val="00C66FD1"/>
    <w:rsid w:val="00C67542"/>
    <w:rsid w:val="00C6773A"/>
    <w:rsid w:val="00C67767"/>
    <w:rsid w:val="00C67934"/>
    <w:rsid w:val="00C70E70"/>
    <w:rsid w:val="00C7232F"/>
    <w:rsid w:val="00C7295E"/>
    <w:rsid w:val="00C72BB4"/>
    <w:rsid w:val="00C739BC"/>
    <w:rsid w:val="00C73A3A"/>
    <w:rsid w:val="00C74D1F"/>
    <w:rsid w:val="00C74DDF"/>
    <w:rsid w:val="00C74E04"/>
    <w:rsid w:val="00C7522B"/>
    <w:rsid w:val="00C7592D"/>
    <w:rsid w:val="00C75F8D"/>
    <w:rsid w:val="00C7653C"/>
    <w:rsid w:val="00C767F4"/>
    <w:rsid w:val="00C77380"/>
    <w:rsid w:val="00C773C7"/>
    <w:rsid w:val="00C77ADA"/>
    <w:rsid w:val="00C77AF7"/>
    <w:rsid w:val="00C80D89"/>
    <w:rsid w:val="00C81871"/>
    <w:rsid w:val="00C822EB"/>
    <w:rsid w:val="00C828BB"/>
    <w:rsid w:val="00C82F69"/>
    <w:rsid w:val="00C83319"/>
    <w:rsid w:val="00C83F9E"/>
    <w:rsid w:val="00C85F02"/>
    <w:rsid w:val="00C86AA3"/>
    <w:rsid w:val="00C86D86"/>
    <w:rsid w:val="00C87D5C"/>
    <w:rsid w:val="00C87E8A"/>
    <w:rsid w:val="00C913D6"/>
    <w:rsid w:val="00C91427"/>
    <w:rsid w:val="00C92171"/>
    <w:rsid w:val="00C92EF2"/>
    <w:rsid w:val="00C94179"/>
    <w:rsid w:val="00C949DF"/>
    <w:rsid w:val="00C94D07"/>
    <w:rsid w:val="00C957CC"/>
    <w:rsid w:val="00C958A6"/>
    <w:rsid w:val="00C95A97"/>
    <w:rsid w:val="00C95ACD"/>
    <w:rsid w:val="00C95DD9"/>
    <w:rsid w:val="00C96189"/>
    <w:rsid w:val="00C96DFF"/>
    <w:rsid w:val="00C97501"/>
    <w:rsid w:val="00C97736"/>
    <w:rsid w:val="00C97A7B"/>
    <w:rsid w:val="00CA06D7"/>
    <w:rsid w:val="00CA13AE"/>
    <w:rsid w:val="00CA13CD"/>
    <w:rsid w:val="00CA1468"/>
    <w:rsid w:val="00CA1F96"/>
    <w:rsid w:val="00CA2E5B"/>
    <w:rsid w:val="00CA345A"/>
    <w:rsid w:val="00CA3467"/>
    <w:rsid w:val="00CA34E9"/>
    <w:rsid w:val="00CA3D88"/>
    <w:rsid w:val="00CA3EE0"/>
    <w:rsid w:val="00CA434E"/>
    <w:rsid w:val="00CA52C5"/>
    <w:rsid w:val="00CA5490"/>
    <w:rsid w:val="00CA55FC"/>
    <w:rsid w:val="00CA6080"/>
    <w:rsid w:val="00CA647C"/>
    <w:rsid w:val="00CA6B30"/>
    <w:rsid w:val="00CB1C54"/>
    <w:rsid w:val="00CB1E82"/>
    <w:rsid w:val="00CB1FA9"/>
    <w:rsid w:val="00CB2027"/>
    <w:rsid w:val="00CB27C1"/>
    <w:rsid w:val="00CB2C36"/>
    <w:rsid w:val="00CB2E9B"/>
    <w:rsid w:val="00CB326A"/>
    <w:rsid w:val="00CB4A6E"/>
    <w:rsid w:val="00CB4BA8"/>
    <w:rsid w:val="00CB52D7"/>
    <w:rsid w:val="00CB550B"/>
    <w:rsid w:val="00CB5F7E"/>
    <w:rsid w:val="00CB60AD"/>
    <w:rsid w:val="00CB633F"/>
    <w:rsid w:val="00CB6EE5"/>
    <w:rsid w:val="00CB6F16"/>
    <w:rsid w:val="00CB6F68"/>
    <w:rsid w:val="00CB7D09"/>
    <w:rsid w:val="00CB7E23"/>
    <w:rsid w:val="00CB7FCA"/>
    <w:rsid w:val="00CC0AD7"/>
    <w:rsid w:val="00CC0DCF"/>
    <w:rsid w:val="00CC1D7E"/>
    <w:rsid w:val="00CC2066"/>
    <w:rsid w:val="00CC2166"/>
    <w:rsid w:val="00CC2242"/>
    <w:rsid w:val="00CC2915"/>
    <w:rsid w:val="00CC2AC6"/>
    <w:rsid w:val="00CC2DAF"/>
    <w:rsid w:val="00CC3854"/>
    <w:rsid w:val="00CC3B95"/>
    <w:rsid w:val="00CC3F2C"/>
    <w:rsid w:val="00CC3FAA"/>
    <w:rsid w:val="00CC5D47"/>
    <w:rsid w:val="00CC5F96"/>
    <w:rsid w:val="00CC6732"/>
    <w:rsid w:val="00CC68DA"/>
    <w:rsid w:val="00CC7246"/>
    <w:rsid w:val="00CC7753"/>
    <w:rsid w:val="00CD0227"/>
    <w:rsid w:val="00CD1C2C"/>
    <w:rsid w:val="00CD1E73"/>
    <w:rsid w:val="00CD1F5B"/>
    <w:rsid w:val="00CD2AC8"/>
    <w:rsid w:val="00CD2D2C"/>
    <w:rsid w:val="00CD2E4A"/>
    <w:rsid w:val="00CD2FA4"/>
    <w:rsid w:val="00CD3789"/>
    <w:rsid w:val="00CD3BF9"/>
    <w:rsid w:val="00CD43F0"/>
    <w:rsid w:val="00CD56A9"/>
    <w:rsid w:val="00CD6758"/>
    <w:rsid w:val="00CD694C"/>
    <w:rsid w:val="00CD6ACF"/>
    <w:rsid w:val="00CD7181"/>
    <w:rsid w:val="00CD762A"/>
    <w:rsid w:val="00CD7B6B"/>
    <w:rsid w:val="00CD7F4F"/>
    <w:rsid w:val="00CE1136"/>
    <w:rsid w:val="00CE1D08"/>
    <w:rsid w:val="00CE214D"/>
    <w:rsid w:val="00CE36A0"/>
    <w:rsid w:val="00CE3C96"/>
    <w:rsid w:val="00CE3CFA"/>
    <w:rsid w:val="00CE3DA3"/>
    <w:rsid w:val="00CE3EDF"/>
    <w:rsid w:val="00CE48A7"/>
    <w:rsid w:val="00CE4F9D"/>
    <w:rsid w:val="00CE51A8"/>
    <w:rsid w:val="00CE656D"/>
    <w:rsid w:val="00CE691A"/>
    <w:rsid w:val="00CF0862"/>
    <w:rsid w:val="00CF0EAE"/>
    <w:rsid w:val="00CF0F52"/>
    <w:rsid w:val="00CF12A0"/>
    <w:rsid w:val="00CF20F8"/>
    <w:rsid w:val="00CF2410"/>
    <w:rsid w:val="00CF24FE"/>
    <w:rsid w:val="00CF2D56"/>
    <w:rsid w:val="00CF354F"/>
    <w:rsid w:val="00CF368A"/>
    <w:rsid w:val="00CF369B"/>
    <w:rsid w:val="00CF4077"/>
    <w:rsid w:val="00CF49C3"/>
    <w:rsid w:val="00CF4DC8"/>
    <w:rsid w:val="00CF52C2"/>
    <w:rsid w:val="00CF5860"/>
    <w:rsid w:val="00CF6050"/>
    <w:rsid w:val="00CF6C6C"/>
    <w:rsid w:val="00CF729C"/>
    <w:rsid w:val="00CF72A4"/>
    <w:rsid w:val="00CF79EB"/>
    <w:rsid w:val="00D00362"/>
    <w:rsid w:val="00D004A4"/>
    <w:rsid w:val="00D0065D"/>
    <w:rsid w:val="00D00E28"/>
    <w:rsid w:val="00D0151C"/>
    <w:rsid w:val="00D01597"/>
    <w:rsid w:val="00D01DAD"/>
    <w:rsid w:val="00D0258C"/>
    <w:rsid w:val="00D0269E"/>
    <w:rsid w:val="00D027F0"/>
    <w:rsid w:val="00D03238"/>
    <w:rsid w:val="00D03AE4"/>
    <w:rsid w:val="00D04817"/>
    <w:rsid w:val="00D0492F"/>
    <w:rsid w:val="00D05D6C"/>
    <w:rsid w:val="00D06B2B"/>
    <w:rsid w:val="00D07D73"/>
    <w:rsid w:val="00D07D91"/>
    <w:rsid w:val="00D07E01"/>
    <w:rsid w:val="00D10CDB"/>
    <w:rsid w:val="00D10D3C"/>
    <w:rsid w:val="00D10DA2"/>
    <w:rsid w:val="00D1128A"/>
    <w:rsid w:val="00D12151"/>
    <w:rsid w:val="00D124FC"/>
    <w:rsid w:val="00D1277E"/>
    <w:rsid w:val="00D12E1E"/>
    <w:rsid w:val="00D12E94"/>
    <w:rsid w:val="00D13CAE"/>
    <w:rsid w:val="00D14F39"/>
    <w:rsid w:val="00D1555A"/>
    <w:rsid w:val="00D15810"/>
    <w:rsid w:val="00D160F1"/>
    <w:rsid w:val="00D16297"/>
    <w:rsid w:val="00D16D4E"/>
    <w:rsid w:val="00D16DF8"/>
    <w:rsid w:val="00D16FE3"/>
    <w:rsid w:val="00D1771C"/>
    <w:rsid w:val="00D17D56"/>
    <w:rsid w:val="00D20AA1"/>
    <w:rsid w:val="00D20B8C"/>
    <w:rsid w:val="00D20F37"/>
    <w:rsid w:val="00D224B2"/>
    <w:rsid w:val="00D22D48"/>
    <w:rsid w:val="00D238D5"/>
    <w:rsid w:val="00D23BDF"/>
    <w:rsid w:val="00D23F6B"/>
    <w:rsid w:val="00D23FE8"/>
    <w:rsid w:val="00D24340"/>
    <w:rsid w:val="00D24551"/>
    <w:rsid w:val="00D24630"/>
    <w:rsid w:val="00D24AFB"/>
    <w:rsid w:val="00D25524"/>
    <w:rsid w:val="00D25647"/>
    <w:rsid w:val="00D26277"/>
    <w:rsid w:val="00D27083"/>
    <w:rsid w:val="00D27A84"/>
    <w:rsid w:val="00D27F1A"/>
    <w:rsid w:val="00D27F41"/>
    <w:rsid w:val="00D334C5"/>
    <w:rsid w:val="00D335D1"/>
    <w:rsid w:val="00D34251"/>
    <w:rsid w:val="00D34B74"/>
    <w:rsid w:val="00D34D69"/>
    <w:rsid w:val="00D357AB"/>
    <w:rsid w:val="00D362A7"/>
    <w:rsid w:val="00D36441"/>
    <w:rsid w:val="00D369C5"/>
    <w:rsid w:val="00D36DB7"/>
    <w:rsid w:val="00D370F7"/>
    <w:rsid w:val="00D3789C"/>
    <w:rsid w:val="00D4064E"/>
    <w:rsid w:val="00D41324"/>
    <w:rsid w:val="00D41783"/>
    <w:rsid w:val="00D41966"/>
    <w:rsid w:val="00D41A32"/>
    <w:rsid w:val="00D42682"/>
    <w:rsid w:val="00D42C50"/>
    <w:rsid w:val="00D4344E"/>
    <w:rsid w:val="00D4379A"/>
    <w:rsid w:val="00D439F0"/>
    <w:rsid w:val="00D44413"/>
    <w:rsid w:val="00D44838"/>
    <w:rsid w:val="00D44B32"/>
    <w:rsid w:val="00D44E9B"/>
    <w:rsid w:val="00D45134"/>
    <w:rsid w:val="00D46EB8"/>
    <w:rsid w:val="00D478EC"/>
    <w:rsid w:val="00D47943"/>
    <w:rsid w:val="00D47AEB"/>
    <w:rsid w:val="00D50747"/>
    <w:rsid w:val="00D508E7"/>
    <w:rsid w:val="00D50ADA"/>
    <w:rsid w:val="00D50DB9"/>
    <w:rsid w:val="00D50E96"/>
    <w:rsid w:val="00D50F48"/>
    <w:rsid w:val="00D51302"/>
    <w:rsid w:val="00D519C3"/>
    <w:rsid w:val="00D51E3F"/>
    <w:rsid w:val="00D51EAB"/>
    <w:rsid w:val="00D52C43"/>
    <w:rsid w:val="00D53820"/>
    <w:rsid w:val="00D53B39"/>
    <w:rsid w:val="00D53B9A"/>
    <w:rsid w:val="00D53D18"/>
    <w:rsid w:val="00D53F8C"/>
    <w:rsid w:val="00D544E8"/>
    <w:rsid w:val="00D5489D"/>
    <w:rsid w:val="00D550C4"/>
    <w:rsid w:val="00D5511A"/>
    <w:rsid w:val="00D5595E"/>
    <w:rsid w:val="00D55C9F"/>
    <w:rsid w:val="00D568F2"/>
    <w:rsid w:val="00D57D54"/>
    <w:rsid w:val="00D57EE2"/>
    <w:rsid w:val="00D6027F"/>
    <w:rsid w:val="00D60415"/>
    <w:rsid w:val="00D6089A"/>
    <w:rsid w:val="00D609EF"/>
    <w:rsid w:val="00D60F8B"/>
    <w:rsid w:val="00D61243"/>
    <w:rsid w:val="00D6128F"/>
    <w:rsid w:val="00D61820"/>
    <w:rsid w:val="00D62516"/>
    <w:rsid w:val="00D6298F"/>
    <w:rsid w:val="00D62A94"/>
    <w:rsid w:val="00D63490"/>
    <w:rsid w:val="00D64397"/>
    <w:rsid w:val="00D64AE0"/>
    <w:rsid w:val="00D64E0E"/>
    <w:rsid w:val="00D6507F"/>
    <w:rsid w:val="00D65100"/>
    <w:rsid w:val="00D6609C"/>
    <w:rsid w:val="00D66C9C"/>
    <w:rsid w:val="00D674BE"/>
    <w:rsid w:val="00D674C1"/>
    <w:rsid w:val="00D67E42"/>
    <w:rsid w:val="00D67FAE"/>
    <w:rsid w:val="00D70917"/>
    <w:rsid w:val="00D70B2C"/>
    <w:rsid w:val="00D70E1B"/>
    <w:rsid w:val="00D71162"/>
    <w:rsid w:val="00D7137D"/>
    <w:rsid w:val="00D719E9"/>
    <w:rsid w:val="00D7210A"/>
    <w:rsid w:val="00D72D43"/>
    <w:rsid w:val="00D72ED0"/>
    <w:rsid w:val="00D730BC"/>
    <w:rsid w:val="00D73869"/>
    <w:rsid w:val="00D73912"/>
    <w:rsid w:val="00D73A46"/>
    <w:rsid w:val="00D73CC8"/>
    <w:rsid w:val="00D74B7F"/>
    <w:rsid w:val="00D75595"/>
    <w:rsid w:val="00D764C7"/>
    <w:rsid w:val="00D76633"/>
    <w:rsid w:val="00D76999"/>
    <w:rsid w:val="00D76A50"/>
    <w:rsid w:val="00D77032"/>
    <w:rsid w:val="00D80180"/>
    <w:rsid w:val="00D80AE7"/>
    <w:rsid w:val="00D829D1"/>
    <w:rsid w:val="00D82B0B"/>
    <w:rsid w:val="00D82C47"/>
    <w:rsid w:val="00D83019"/>
    <w:rsid w:val="00D83340"/>
    <w:rsid w:val="00D83734"/>
    <w:rsid w:val="00D83CE6"/>
    <w:rsid w:val="00D83F28"/>
    <w:rsid w:val="00D84921"/>
    <w:rsid w:val="00D84F34"/>
    <w:rsid w:val="00D85226"/>
    <w:rsid w:val="00D859EB"/>
    <w:rsid w:val="00D85E56"/>
    <w:rsid w:val="00D86219"/>
    <w:rsid w:val="00D86880"/>
    <w:rsid w:val="00D86AA4"/>
    <w:rsid w:val="00D875E6"/>
    <w:rsid w:val="00D87625"/>
    <w:rsid w:val="00D87B94"/>
    <w:rsid w:val="00D87D1C"/>
    <w:rsid w:val="00D90D6F"/>
    <w:rsid w:val="00D915B4"/>
    <w:rsid w:val="00D917CB"/>
    <w:rsid w:val="00D92176"/>
    <w:rsid w:val="00D926C6"/>
    <w:rsid w:val="00D9283F"/>
    <w:rsid w:val="00D92C84"/>
    <w:rsid w:val="00D92D49"/>
    <w:rsid w:val="00D92EC1"/>
    <w:rsid w:val="00D93107"/>
    <w:rsid w:val="00D93712"/>
    <w:rsid w:val="00D9406C"/>
    <w:rsid w:val="00D9578A"/>
    <w:rsid w:val="00D9589F"/>
    <w:rsid w:val="00D95FCD"/>
    <w:rsid w:val="00D9600F"/>
    <w:rsid w:val="00D96398"/>
    <w:rsid w:val="00D964C1"/>
    <w:rsid w:val="00D96DEA"/>
    <w:rsid w:val="00D97029"/>
    <w:rsid w:val="00D9728E"/>
    <w:rsid w:val="00DA0F5F"/>
    <w:rsid w:val="00DA100B"/>
    <w:rsid w:val="00DA120D"/>
    <w:rsid w:val="00DA12CD"/>
    <w:rsid w:val="00DA18DD"/>
    <w:rsid w:val="00DA20D1"/>
    <w:rsid w:val="00DA23CF"/>
    <w:rsid w:val="00DA2500"/>
    <w:rsid w:val="00DA2A7D"/>
    <w:rsid w:val="00DA313C"/>
    <w:rsid w:val="00DA35FE"/>
    <w:rsid w:val="00DA3C6D"/>
    <w:rsid w:val="00DA3F05"/>
    <w:rsid w:val="00DA4E2B"/>
    <w:rsid w:val="00DA4E41"/>
    <w:rsid w:val="00DA5049"/>
    <w:rsid w:val="00DA538E"/>
    <w:rsid w:val="00DA5A3B"/>
    <w:rsid w:val="00DA6831"/>
    <w:rsid w:val="00DB0E36"/>
    <w:rsid w:val="00DB0F2D"/>
    <w:rsid w:val="00DB0F43"/>
    <w:rsid w:val="00DB0FC5"/>
    <w:rsid w:val="00DB1135"/>
    <w:rsid w:val="00DB117A"/>
    <w:rsid w:val="00DB15AC"/>
    <w:rsid w:val="00DB18DA"/>
    <w:rsid w:val="00DB1A0D"/>
    <w:rsid w:val="00DB209C"/>
    <w:rsid w:val="00DB2830"/>
    <w:rsid w:val="00DB301F"/>
    <w:rsid w:val="00DB308F"/>
    <w:rsid w:val="00DB436B"/>
    <w:rsid w:val="00DB4430"/>
    <w:rsid w:val="00DB463E"/>
    <w:rsid w:val="00DB5173"/>
    <w:rsid w:val="00DB5587"/>
    <w:rsid w:val="00DB582A"/>
    <w:rsid w:val="00DB5C12"/>
    <w:rsid w:val="00DB5D22"/>
    <w:rsid w:val="00DB61D4"/>
    <w:rsid w:val="00DB6F39"/>
    <w:rsid w:val="00DB7873"/>
    <w:rsid w:val="00DB7874"/>
    <w:rsid w:val="00DB7A90"/>
    <w:rsid w:val="00DC0794"/>
    <w:rsid w:val="00DC0AB8"/>
    <w:rsid w:val="00DC0B99"/>
    <w:rsid w:val="00DC187B"/>
    <w:rsid w:val="00DC234B"/>
    <w:rsid w:val="00DC2630"/>
    <w:rsid w:val="00DC29CA"/>
    <w:rsid w:val="00DC3364"/>
    <w:rsid w:val="00DC444E"/>
    <w:rsid w:val="00DC5FC3"/>
    <w:rsid w:val="00DC726B"/>
    <w:rsid w:val="00DC7603"/>
    <w:rsid w:val="00DC7A54"/>
    <w:rsid w:val="00DD0489"/>
    <w:rsid w:val="00DD0893"/>
    <w:rsid w:val="00DD09CD"/>
    <w:rsid w:val="00DD1168"/>
    <w:rsid w:val="00DD11D4"/>
    <w:rsid w:val="00DD1A43"/>
    <w:rsid w:val="00DD1E3D"/>
    <w:rsid w:val="00DD2236"/>
    <w:rsid w:val="00DD2284"/>
    <w:rsid w:val="00DD2BA5"/>
    <w:rsid w:val="00DD2D15"/>
    <w:rsid w:val="00DD2D80"/>
    <w:rsid w:val="00DD362B"/>
    <w:rsid w:val="00DD3A27"/>
    <w:rsid w:val="00DD3D83"/>
    <w:rsid w:val="00DD3E72"/>
    <w:rsid w:val="00DD5073"/>
    <w:rsid w:val="00DD5497"/>
    <w:rsid w:val="00DD710B"/>
    <w:rsid w:val="00DD73C2"/>
    <w:rsid w:val="00DD7680"/>
    <w:rsid w:val="00DD7973"/>
    <w:rsid w:val="00DD7D28"/>
    <w:rsid w:val="00DD7E9E"/>
    <w:rsid w:val="00DE0410"/>
    <w:rsid w:val="00DE0E62"/>
    <w:rsid w:val="00DE227B"/>
    <w:rsid w:val="00DE2B50"/>
    <w:rsid w:val="00DE2BE5"/>
    <w:rsid w:val="00DE319B"/>
    <w:rsid w:val="00DE3316"/>
    <w:rsid w:val="00DE33B6"/>
    <w:rsid w:val="00DE361B"/>
    <w:rsid w:val="00DE39B7"/>
    <w:rsid w:val="00DE3A23"/>
    <w:rsid w:val="00DE3D39"/>
    <w:rsid w:val="00DE4650"/>
    <w:rsid w:val="00DE58C4"/>
    <w:rsid w:val="00DE6A1D"/>
    <w:rsid w:val="00DE74F6"/>
    <w:rsid w:val="00DE7896"/>
    <w:rsid w:val="00DE7FF3"/>
    <w:rsid w:val="00DF0444"/>
    <w:rsid w:val="00DF074F"/>
    <w:rsid w:val="00DF0B9E"/>
    <w:rsid w:val="00DF13C6"/>
    <w:rsid w:val="00DF1610"/>
    <w:rsid w:val="00DF1B1E"/>
    <w:rsid w:val="00DF2063"/>
    <w:rsid w:val="00DF219A"/>
    <w:rsid w:val="00DF21CA"/>
    <w:rsid w:val="00DF270B"/>
    <w:rsid w:val="00DF2B9C"/>
    <w:rsid w:val="00DF2D64"/>
    <w:rsid w:val="00DF34FE"/>
    <w:rsid w:val="00DF35D6"/>
    <w:rsid w:val="00DF3BAE"/>
    <w:rsid w:val="00DF4453"/>
    <w:rsid w:val="00DF5424"/>
    <w:rsid w:val="00DF56AA"/>
    <w:rsid w:val="00DF56AF"/>
    <w:rsid w:val="00DF56F9"/>
    <w:rsid w:val="00DF599E"/>
    <w:rsid w:val="00DF5EA3"/>
    <w:rsid w:val="00DF61AD"/>
    <w:rsid w:val="00DF67FB"/>
    <w:rsid w:val="00DF6831"/>
    <w:rsid w:val="00DF6C2E"/>
    <w:rsid w:val="00DF6D8C"/>
    <w:rsid w:val="00DF7028"/>
    <w:rsid w:val="00DF7212"/>
    <w:rsid w:val="00DF7369"/>
    <w:rsid w:val="00DF78E7"/>
    <w:rsid w:val="00E00AA6"/>
    <w:rsid w:val="00E00B26"/>
    <w:rsid w:val="00E00C10"/>
    <w:rsid w:val="00E00D6A"/>
    <w:rsid w:val="00E0144D"/>
    <w:rsid w:val="00E015D6"/>
    <w:rsid w:val="00E01C63"/>
    <w:rsid w:val="00E02090"/>
    <w:rsid w:val="00E029C0"/>
    <w:rsid w:val="00E02E92"/>
    <w:rsid w:val="00E02FA2"/>
    <w:rsid w:val="00E0300B"/>
    <w:rsid w:val="00E03014"/>
    <w:rsid w:val="00E03F86"/>
    <w:rsid w:val="00E04052"/>
    <w:rsid w:val="00E04E89"/>
    <w:rsid w:val="00E04FD0"/>
    <w:rsid w:val="00E054F8"/>
    <w:rsid w:val="00E05EDA"/>
    <w:rsid w:val="00E065A9"/>
    <w:rsid w:val="00E066F7"/>
    <w:rsid w:val="00E06CC0"/>
    <w:rsid w:val="00E06EE5"/>
    <w:rsid w:val="00E073AB"/>
    <w:rsid w:val="00E07FD6"/>
    <w:rsid w:val="00E110E0"/>
    <w:rsid w:val="00E1116C"/>
    <w:rsid w:val="00E11352"/>
    <w:rsid w:val="00E114D0"/>
    <w:rsid w:val="00E117A0"/>
    <w:rsid w:val="00E12647"/>
    <w:rsid w:val="00E13352"/>
    <w:rsid w:val="00E134F1"/>
    <w:rsid w:val="00E13CDC"/>
    <w:rsid w:val="00E14785"/>
    <w:rsid w:val="00E149EF"/>
    <w:rsid w:val="00E15118"/>
    <w:rsid w:val="00E152C5"/>
    <w:rsid w:val="00E15371"/>
    <w:rsid w:val="00E15AD1"/>
    <w:rsid w:val="00E15AEB"/>
    <w:rsid w:val="00E15BEB"/>
    <w:rsid w:val="00E16179"/>
    <w:rsid w:val="00E1689F"/>
    <w:rsid w:val="00E17CFB"/>
    <w:rsid w:val="00E2040B"/>
    <w:rsid w:val="00E2069C"/>
    <w:rsid w:val="00E208CE"/>
    <w:rsid w:val="00E20B68"/>
    <w:rsid w:val="00E21966"/>
    <w:rsid w:val="00E21AC3"/>
    <w:rsid w:val="00E21C01"/>
    <w:rsid w:val="00E21DC3"/>
    <w:rsid w:val="00E22D43"/>
    <w:rsid w:val="00E230FE"/>
    <w:rsid w:val="00E23347"/>
    <w:rsid w:val="00E24100"/>
    <w:rsid w:val="00E24104"/>
    <w:rsid w:val="00E243FA"/>
    <w:rsid w:val="00E24895"/>
    <w:rsid w:val="00E24CAB"/>
    <w:rsid w:val="00E25C00"/>
    <w:rsid w:val="00E2638E"/>
    <w:rsid w:val="00E2643C"/>
    <w:rsid w:val="00E2672A"/>
    <w:rsid w:val="00E268EE"/>
    <w:rsid w:val="00E26F64"/>
    <w:rsid w:val="00E2734A"/>
    <w:rsid w:val="00E273C3"/>
    <w:rsid w:val="00E300E8"/>
    <w:rsid w:val="00E302D0"/>
    <w:rsid w:val="00E3077A"/>
    <w:rsid w:val="00E31F35"/>
    <w:rsid w:val="00E3220F"/>
    <w:rsid w:val="00E327F2"/>
    <w:rsid w:val="00E32887"/>
    <w:rsid w:val="00E32A42"/>
    <w:rsid w:val="00E33455"/>
    <w:rsid w:val="00E33DE1"/>
    <w:rsid w:val="00E34015"/>
    <w:rsid w:val="00E343ED"/>
    <w:rsid w:val="00E34650"/>
    <w:rsid w:val="00E35489"/>
    <w:rsid w:val="00E35707"/>
    <w:rsid w:val="00E3592C"/>
    <w:rsid w:val="00E36AA1"/>
    <w:rsid w:val="00E36C05"/>
    <w:rsid w:val="00E36DFE"/>
    <w:rsid w:val="00E37D3C"/>
    <w:rsid w:val="00E400B7"/>
    <w:rsid w:val="00E401DE"/>
    <w:rsid w:val="00E40D9F"/>
    <w:rsid w:val="00E41311"/>
    <w:rsid w:val="00E41ECB"/>
    <w:rsid w:val="00E425B7"/>
    <w:rsid w:val="00E42676"/>
    <w:rsid w:val="00E42A98"/>
    <w:rsid w:val="00E42B07"/>
    <w:rsid w:val="00E43140"/>
    <w:rsid w:val="00E440B7"/>
    <w:rsid w:val="00E4420E"/>
    <w:rsid w:val="00E446A3"/>
    <w:rsid w:val="00E4516D"/>
    <w:rsid w:val="00E45461"/>
    <w:rsid w:val="00E455ED"/>
    <w:rsid w:val="00E46426"/>
    <w:rsid w:val="00E5079B"/>
    <w:rsid w:val="00E51EA1"/>
    <w:rsid w:val="00E52305"/>
    <w:rsid w:val="00E54183"/>
    <w:rsid w:val="00E54791"/>
    <w:rsid w:val="00E5484C"/>
    <w:rsid w:val="00E54965"/>
    <w:rsid w:val="00E54FDB"/>
    <w:rsid w:val="00E5518B"/>
    <w:rsid w:val="00E55343"/>
    <w:rsid w:val="00E555DD"/>
    <w:rsid w:val="00E55BF2"/>
    <w:rsid w:val="00E5617D"/>
    <w:rsid w:val="00E563D7"/>
    <w:rsid w:val="00E56A9D"/>
    <w:rsid w:val="00E571E6"/>
    <w:rsid w:val="00E57998"/>
    <w:rsid w:val="00E6005A"/>
    <w:rsid w:val="00E60410"/>
    <w:rsid w:val="00E60454"/>
    <w:rsid w:val="00E6120E"/>
    <w:rsid w:val="00E61446"/>
    <w:rsid w:val="00E61CF0"/>
    <w:rsid w:val="00E6290B"/>
    <w:rsid w:val="00E62A72"/>
    <w:rsid w:val="00E6323A"/>
    <w:rsid w:val="00E6335B"/>
    <w:rsid w:val="00E63F38"/>
    <w:rsid w:val="00E640E1"/>
    <w:rsid w:val="00E642FA"/>
    <w:rsid w:val="00E64715"/>
    <w:rsid w:val="00E65C3E"/>
    <w:rsid w:val="00E65D8C"/>
    <w:rsid w:val="00E661C1"/>
    <w:rsid w:val="00E663F4"/>
    <w:rsid w:val="00E666F2"/>
    <w:rsid w:val="00E66BC9"/>
    <w:rsid w:val="00E66D2A"/>
    <w:rsid w:val="00E66DD4"/>
    <w:rsid w:val="00E67A57"/>
    <w:rsid w:val="00E67CB8"/>
    <w:rsid w:val="00E7078C"/>
    <w:rsid w:val="00E709AA"/>
    <w:rsid w:val="00E70C07"/>
    <w:rsid w:val="00E70EA9"/>
    <w:rsid w:val="00E71176"/>
    <w:rsid w:val="00E7160C"/>
    <w:rsid w:val="00E71872"/>
    <w:rsid w:val="00E732F0"/>
    <w:rsid w:val="00E73A08"/>
    <w:rsid w:val="00E741C2"/>
    <w:rsid w:val="00E7447B"/>
    <w:rsid w:val="00E748CC"/>
    <w:rsid w:val="00E750E0"/>
    <w:rsid w:val="00E75118"/>
    <w:rsid w:val="00E75415"/>
    <w:rsid w:val="00E75568"/>
    <w:rsid w:val="00E768C5"/>
    <w:rsid w:val="00E76925"/>
    <w:rsid w:val="00E7717D"/>
    <w:rsid w:val="00E775B1"/>
    <w:rsid w:val="00E775B6"/>
    <w:rsid w:val="00E7787A"/>
    <w:rsid w:val="00E77B63"/>
    <w:rsid w:val="00E77D83"/>
    <w:rsid w:val="00E8064D"/>
    <w:rsid w:val="00E80CE7"/>
    <w:rsid w:val="00E810A7"/>
    <w:rsid w:val="00E8152A"/>
    <w:rsid w:val="00E81D70"/>
    <w:rsid w:val="00E828B6"/>
    <w:rsid w:val="00E82A8C"/>
    <w:rsid w:val="00E830E9"/>
    <w:rsid w:val="00E831BE"/>
    <w:rsid w:val="00E840BF"/>
    <w:rsid w:val="00E84108"/>
    <w:rsid w:val="00E84476"/>
    <w:rsid w:val="00E84E22"/>
    <w:rsid w:val="00E851DD"/>
    <w:rsid w:val="00E85D4C"/>
    <w:rsid w:val="00E85E5D"/>
    <w:rsid w:val="00E86AA3"/>
    <w:rsid w:val="00E86D33"/>
    <w:rsid w:val="00E86F06"/>
    <w:rsid w:val="00E86F68"/>
    <w:rsid w:val="00E87383"/>
    <w:rsid w:val="00E87581"/>
    <w:rsid w:val="00E87947"/>
    <w:rsid w:val="00E87FCB"/>
    <w:rsid w:val="00E90BEF"/>
    <w:rsid w:val="00E9129B"/>
    <w:rsid w:val="00E93629"/>
    <w:rsid w:val="00E939BF"/>
    <w:rsid w:val="00E93B5C"/>
    <w:rsid w:val="00E93D16"/>
    <w:rsid w:val="00E941F8"/>
    <w:rsid w:val="00E946F2"/>
    <w:rsid w:val="00E94B4D"/>
    <w:rsid w:val="00E94C21"/>
    <w:rsid w:val="00E94CEC"/>
    <w:rsid w:val="00E94D89"/>
    <w:rsid w:val="00E960BD"/>
    <w:rsid w:val="00E96196"/>
    <w:rsid w:val="00E96D98"/>
    <w:rsid w:val="00E97824"/>
    <w:rsid w:val="00E979A6"/>
    <w:rsid w:val="00EA0350"/>
    <w:rsid w:val="00EA04EF"/>
    <w:rsid w:val="00EA0635"/>
    <w:rsid w:val="00EA0E52"/>
    <w:rsid w:val="00EA0F77"/>
    <w:rsid w:val="00EA1E82"/>
    <w:rsid w:val="00EA1F12"/>
    <w:rsid w:val="00EA2D71"/>
    <w:rsid w:val="00EA3FED"/>
    <w:rsid w:val="00EA4CFC"/>
    <w:rsid w:val="00EA58B4"/>
    <w:rsid w:val="00EA5961"/>
    <w:rsid w:val="00EA5B3B"/>
    <w:rsid w:val="00EA5C0F"/>
    <w:rsid w:val="00EA5CF9"/>
    <w:rsid w:val="00EA655A"/>
    <w:rsid w:val="00EA6A86"/>
    <w:rsid w:val="00EA6BEB"/>
    <w:rsid w:val="00EA6C79"/>
    <w:rsid w:val="00EA6DF9"/>
    <w:rsid w:val="00EA6F19"/>
    <w:rsid w:val="00EB0125"/>
    <w:rsid w:val="00EB12B9"/>
    <w:rsid w:val="00EB1621"/>
    <w:rsid w:val="00EB26F3"/>
    <w:rsid w:val="00EB29E3"/>
    <w:rsid w:val="00EB3E0C"/>
    <w:rsid w:val="00EB3EDE"/>
    <w:rsid w:val="00EB4183"/>
    <w:rsid w:val="00EB4708"/>
    <w:rsid w:val="00EB5486"/>
    <w:rsid w:val="00EB6355"/>
    <w:rsid w:val="00EB6DA9"/>
    <w:rsid w:val="00EB7090"/>
    <w:rsid w:val="00EB775F"/>
    <w:rsid w:val="00EC0051"/>
    <w:rsid w:val="00EC0104"/>
    <w:rsid w:val="00EC02A5"/>
    <w:rsid w:val="00EC052F"/>
    <w:rsid w:val="00EC0AD6"/>
    <w:rsid w:val="00EC1A3B"/>
    <w:rsid w:val="00EC1BBE"/>
    <w:rsid w:val="00EC1D70"/>
    <w:rsid w:val="00EC2B68"/>
    <w:rsid w:val="00EC2F7E"/>
    <w:rsid w:val="00EC3878"/>
    <w:rsid w:val="00EC3AEF"/>
    <w:rsid w:val="00EC4B2D"/>
    <w:rsid w:val="00EC5871"/>
    <w:rsid w:val="00EC58E9"/>
    <w:rsid w:val="00EC5CD7"/>
    <w:rsid w:val="00EC5CEE"/>
    <w:rsid w:val="00EC663F"/>
    <w:rsid w:val="00EC683A"/>
    <w:rsid w:val="00EC6A04"/>
    <w:rsid w:val="00EC6B26"/>
    <w:rsid w:val="00EC6FC3"/>
    <w:rsid w:val="00ED026A"/>
    <w:rsid w:val="00ED068A"/>
    <w:rsid w:val="00ED0DDC"/>
    <w:rsid w:val="00ED0E6E"/>
    <w:rsid w:val="00ED11C6"/>
    <w:rsid w:val="00ED182C"/>
    <w:rsid w:val="00ED196B"/>
    <w:rsid w:val="00ED1C4A"/>
    <w:rsid w:val="00ED1FBC"/>
    <w:rsid w:val="00ED261B"/>
    <w:rsid w:val="00ED291A"/>
    <w:rsid w:val="00ED3745"/>
    <w:rsid w:val="00ED3921"/>
    <w:rsid w:val="00ED4B9E"/>
    <w:rsid w:val="00ED5960"/>
    <w:rsid w:val="00ED59E7"/>
    <w:rsid w:val="00ED6A69"/>
    <w:rsid w:val="00ED7013"/>
    <w:rsid w:val="00ED7400"/>
    <w:rsid w:val="00ED7416"/>
    <w:rsid w:val="00ED7493"/>
    <w:rsid w:val="00ED756C"/>
    <w:rsid w:val="00EE01C6"/>
    <w:rsid w:val="00EE046E"/>
    <w:rsid w:val="00EE236E"/>
    <w:rsid w:val="00EE2E8B"/>
    <w:rsid w:val="00EE3258"/>
    <w:rsid w:val="00EE382F"/>
    <w:rsid w:val="00EE474A"/>
    <w:rsid w:val="00EE4D32"/>
    <w:rsid w:val="00EE528E"/>
    <w:rsid w:val="00EE5D35"/>
    <w:rsid w:val="00EE5FB3"/>
    <w:rsid w:val="00EE640C"/>
    <w:rsid w:val="00EE7531"/>
    <w:rsid w:val="00EE7F79"/>
    <w:rsid w:val="00EF087F"/>
    <w:rsid w:val="00EF0F42"/>
    <w:rsid w:val="00EF134F"/>
    <w:rsid w:val="00EF13EA"/>
    <w:rsid w:val="00EF21B0"/>
    <w:rsid w:val="00EF2922"/>
    <w:rsid w:val="00EF3471"/>
    <w:rsid w:val="00EF3695"/>
    <w:rsid w:val="00EF382D"/>
    <w:rsid w:val="00EF3B8E"/>
    <w:rsid w:val="00EF440F"/>
    <w:rsid w:val="00EF4454"/>
    <w:rsid w:val="00EF4E29"/>
    <w:rsid w:val="00EF53CF"/>
    <w:rsid w:val="00EF572C"/>
    <w:rsid w:val="00EF5B5A"/>
    <w:rsid w:val="00EF5BA6"/>
    <w:rsid w:val="00EF6069"/>
    <w:rsid w:val="00EF6232"/>
    <w:rsid w:val="00EF663A"/>
    <w:rsid w:val="00EF6888"/>
    <w:rsid w:val="00EF6FCD"/>
    <w:rsid w:val="00EF7004"/>
    <w:rsid w:val="00EF715A"/>
    <w:rsid w:val="00EF7905"/>
    <w:rsid w:val="00EF7FE4"/>
    <w:rsid w:val="00F003DD"/>
    <w:rsid w:val="00F00435"/>
    <w:rsid w:val="00F008D6"/>
    <w:rsid w:val="00F0168F"/>
    <w:rsid w:val="00F0264F"/>
    <w:rsid w:val="00F02E28"/>
    <w:rsid w:val="00F02E3A"/>
    <w:rsid w:val="00F02FEF"/>
    <w:rsid w:val="00F03228"/>
    <w:rsid w:val="00F03B7C"/>
    <w:rsid w:val="00F03E00"/>
    <w:rsid w:val="00F04B25"/>
    <w:rsid w:val="00F04D23"/>
    <w:rsid w:val="00F05336"/>
    <w:rsid w:val="00F0537D"/>
    <w:rsid w:val="00F05C69"/>
    <w:rsid w:val="00F06283"/>
    <w:rsid w:val="00F0633C"/>
    <w:rsid w:val="00F064BA"/>
    <w:rsid w:val="00F06E14"/>
    <w:rsid w:val="00F10789"/>
    <w:rsid w:val="00F10BB9"/>
    <w:rsid w:val="00F11057"/>
    <w:rsid w:val="00F1119B"/>
    <w:rsid w:val="00F1155B"/>
    <w:rsid w:val="00F1204E"/>
    <w:rsid w:val="00F13709"/>
    <w:rsid w:val="00F13E93"/>
    <w:rsid w:val="00F1407C"/>
    <w:rsid w:val="00F15289"/>
    <w:rsid w:val="00F1548C"/>
    <w:rsid w:val="00F161D3"/>
    <w:rsid w:val="00F161FE"/>
    <w:rsid w:val="00F16FE5"/>
    <w:rsid w:val="00F175B4"/>
    <w:rsid w:val="00F179D4"/>
    <w:rsid w:val="00F20C1D"/>
    <w:rsid w:val="00F22880"/>
    <w:rsid w:val="00F22A10"/>
    <w:rsid w:val="00F22A23"/>
    <w:rsid w:val="00F22B4D"/>
    <w:rsid w:val="00F237F1"/>
    <w:rsid w:val="00F258AB"/>
    <w:rsid w:val="00F25A5E"/>
    <w:rsid w:val="00F25C25"/>
    <w:rsid w:val="00F263A9"/>
    <w:rsid w:val="00F26B7D"/>
    <w:rsid w:val="00F271F2"/>
    <w:rsid w:val="00F27DF5"/>
    <w:rsid w:val="00F27E51"/>
    <w:rsid w:val="00F3119A"/>
    <w:rsid w:val="00F31455"/>
    <w:rsid w:val="00F3149C"/>
    <w:rsid w:val="00F318D9"/>
    <w:rsid w:val="00F319C3"/>
    <w:rsid w:val="00F31D5C"/>
    <w:rsid w:val="00F32DF6"/>
    <w:rsid w:val="00F33C56"/>
    <w:rsid w:val="00F33E49"/>
    <w:rsid w:val="00F347C7"/>
    <w:rsid w:val="00F34848"/>
    <w:rsid w:val="00F34944"/>
    <w:rsid w:val="00F34CF9"/>
    <w:rsid w:val="00F35A3E"/>
    <w:rsid w:val="00F36199"/>
    <w:rsid w:val="00F36542"/>
    <w:rsid w:val="00F369B2"/>
    <w:rsid w:val="00F36CBC"/>
    <w:rsid w:val="00F36EA5"/>
    <w:rsid w:val="00F37390"/>
    <w:rsid w:val="00F37565"/>
    <w:rsid w:val="00F37AF4"/>
    <w:rsid w:val="00F37BB6"/>
    <w:rsid w:val="00F37BE2"/>
    <w:rsid w:val="00F37ED1"/>
    <w:rsid w:val="00F4071C"/>
    <w:rsid w:val="00F40E67"/>
    <w:rsid w:val="00F41B85"/>
    <w:rsid w:val="00F42104"/>
    <w:rsid w:val="00F42459"/>
    <w:rsid w:val="00F42D46"/>
    <w:rsid w:val="00F4417B"/>
    <w:rsid w:val="00F4463C"/>
    <w:rsid w:val="00F4485A"/>
    <w:rsid w:val="00F4496C"/>
    <w:rsid w:val="00F44F2E"/>
    <w:rsid w:val="00F44F3A"/>
    <w:rsid w:val="00F4522F"/>
    <w:rsid w:val="00F45409"/>
    <w:rsid w:val="00F46D40"/>
    <w:rsid w:val="00F473EC"/>
    <w:rsid w:val="00F5077B"/>
    <w:rsid w:val="00F50DD8"/>
    <w:rsid w:val="00F514C7"/>
    <w:rsid w:val="00F5175F"/>
    <w:rsid w:val="00F51F10"/>
    <w:rsid w:val="00F527DA"/>
    <w:rsid w:val="00F529A5"/>
    <w:rsid w:val="00F5310D"/>
    <w:rsid w:val="00F5317D"/>
    <w:rsid w:val="00F53B8D"/>
    <w:rsid w:val="00F53C48"/>
    <w:rsid w:val="00F54551"/>
    <w:rsid w:val="00F54658"/>
    <w:rsid w:val="00F5478A"/>
    <w:rsid w:val="00F56412"/>
    <w:rsid w:val="00F565EA"/>
    <w:rsid w:val="00F56990"/>
    <w:rsid w:val="00F576FA"/>
    <w:rsid w:val="00F57EBE"/>
    <w:rsid w:val="00F60031"/>
    <w:rsid w:val="00F60068"/>
    <w:rsid w:val="00F60382"/>
    <w:rsid w:val="00F6049C"/>
    <w:rsid w:val="00F60AF3"/>
    <w:rsid w:val="00F60CB6"/>
    <w:rsid w:val="00F60F00"/>
    <w:rsid w:val="00F614C0"/>
    <w:rsid w:val="00F616B8"/>
    <w:rsid w:val="00F61A0E"/>
    <w:rsid w:val="00F62487"/>
    <w:rsid w:val="00F62C66"/>
    <w:rsid w:val="00F634CF"/>
    <w:rsid w:val="00F635E0"/>
    <w:rsid w:val="00F638E1"/>
    <w:rsid w:val="00F641AA"/>
    <w:rsid w:val="00F64DEC"/>
    <w:rsid w:val="00F655E2"/>
    <w:rsid w:val="00F664B1"/>
    <w:rsid w:val="00F666AC"/>
    <w:rsid w:val="00F66C29"/>
    <w:rsid w:val="00F66E16"/>
    <w:rsid w:val="00F66EB5"/>
    <w:rsid w:val="00F66EBB"/>
    <w:rsid w:val="00F67572"/>
    <w:rsid w:val="00F67CF4"/>
    <w:rsid w:val="00F721DF"/>
    <w:rsid w:val="00F728C9"/>
    <w:rsid w:val="00F73052"/>
    <w:rsid w:val="00F732E3"/>
    <w:rsid w:val="00F7391B"/>
    <w:rsid w:val="00F74061"/>
    <w:rsid w:val="00F7482F"/>
    <w:rsid w:val="00F74AA4"/>
    <w:rsid w:val="00F75CD5"/>
    <w:rsid w:val="00F760A7"/>
    <w:rsid w:val="00F76171"/>
    <w:rsid w:val="00F762D1"/>
    <w:rsid w:val="00F7732A"/>
    <w:rsid w:val="00F77E4F"/>
    <w:rsid w:val="00F807B0"/>
    <w:rsid w:val="00F80816"/>
    <w:rsid w:val="00F80D49"/>
    <w:rsid w:val="00F8238A"/>
    <w:rsid w:val="00F824B4"/>
    <w:rsid w:val="00F82504"/>
    <w:rsid w:val="00F83410"/>
    <w:rsid w:val="00F835EB"/>
    <w:rsid w:val="00F836FE"/>
    <w:rsid w:val="00F83848"/>
    <w:rsid w:val="00F8415F"/>
    <w:rsid w:val="00F841F0"/>
    <w:rsid w:val="00F84869"/>
    <w:rsid w:val="00F85389"/>
    <w:rsid w:val="00F8606A"/>
    <w:rsid w:val="00F86B18"/>
    <w:rsid w:val="00F86CBF"/>
    <w:rsid w:val="00F86CCB"/>
    <w:rsid w:val="00F876D3"/>
    <w:rsid w:val="00F904D0"/>
    <w:rsid w:val="00F90BA8"/>
    <w:rsid w:val="00F91526"/>
    <w:rsid w:val="00F91804"/>
    <w:rsid w:val="00F91E2F"/>
    <w:rsid w:val="00F91FBB"/>
    <w:rsid w:val="00F92859"/>
    <w:rsid w:val="00F92FE4"/>
    <w:rsid w:val="00F93C8B"/>
    <w:rsid w:val="00F94347"/>
    <w:rsid w:val="00F945A5"/>
    <w:rsid w:val="00F94774"/>
    <w:rsid w:val="00F9509F"/>
    <w:rsid w:val="00F96543"/>
    <w:rsid w:val="00F96640"/>
    <w:rsid w:val="00F975E9"/>
    <w:rsid w:val="00FA09DF"/>
    <w:rsid w:val="00FA0D23"/>
    <w:rsid w:val="00FA0F24"/>
    <w:rsid w:val="00FA117D"/>
    <w:rsid w:val="00FA1AAE"/>
    <w:rsid w:val="00FA1B7D"/>
    <w:rsid w:val="00FA1EA0"/>
    <w:rsid w:val="00FA3759"/>
    <w:rsid w:val="00FA3811"/>
    <w:rsid w:val="00FA3F1A"/>
    <w:rsid w:val="00FA4051"/>
    <w:rsid w:val="00FA40D5"/>
    <w:rsid w:val="00FA45B9"/>
    <w:rsid w:val="00FA4735"/>
    <w:rsid w:val="00FA4DF1"/>
    <w:rsid w:val="00FA5BDC"/>
    <w:rsid w:val="00FA6AD8"/>
    <w:rsid w:val="00FA748E"/>
    <w:rsid w:val="00FA7592"/>
    <w:rsid w:val="00FB018C"/>
    <w:rsid w:val="00FB0612"/>
    <w:rsid w:val="00FB0BE3"/>
    <w:rsid w:val="00FB0CC2"/>
    <w:rsid w:val="00FB144A"/>
    <w:rsid w:val="00FB1876"/>
    <w:rsid w:val="00FB31D8"/>
    <w:rsid w:val="00FB346F"/>
    <w:rsid w:val="00FB411C"/>
    <w:rsid w:val="00FB48AC"/>
    <w:rsid w:val="00FB4EA3"/>
    <w:rsid w:val="00FB7052"/>
    <w:rsid w:val="00FB716C"/>
    <w:rsid w:val="00FB7FE4"/>
    <w:rsid w:val="00FC00DA"/>
    <w:rsid w:val="00FC040F"/>
    <w:rsid w:val="00FC07B9"/>
    <w:rsid w:val="00FC092B"/>
    <w:rsid w:val="00FC0AA6"/>
    <w:rsid w:val="00FC100E"/>
    <w:rsid w:val="00FC1CEB"/>
    <w:rsid w:val="00FC38AE"/>
    <w:rsid w:val="00FC3F55"/>
    <w:rsid w:val="00FC41B8"/>
    <w:rsid w:val="00FC4E21"/>
    <w:rsid w:val="00FC4FD5"/>
    <w:rsid w:val="00FC59D9"/>
    <w:rsid w:val="00FC5F6D"/>
    <w:rsid w:val="00FC67E8"/>
    <w:rsid w:val="00FC6890"/>
    <w:rsid w:val="00FC6C85"/>
    <w:rsid w:val="00FC71C3"/>
    <w:rsid w:val="00FC759D"/>
    <w:rsid w:val="00FC77F9"/>
    <w:rsid w:val="00FC78F0"/>
    <w:rsid w:val="00FD0107"/>
    <w:rsid w:val="00FD01EB"/>
    <w:rsid w:val="00FD01F8"/>
    <w:rsid w:val="00FD0481"/>
    <w:rsid w:val="00FD083A"/>
    <w:rsid w:val="00FD0F9B"/>
    <w:rsid w:val="00FD1357"/>
    <w:rsid w:val="00FD1BAB"/>
    <w:rsid w:val="00FD1E9B"/>
    <w:rsid w:val="00FD2632"/>
    <w:rsid w:val="00FD2C2F"/>
    <w:rsid w:val="00FD2C90"/>
    <w:rsid w:val="00FD2D5D"/>
    <w:rsid w:val="00FD32CB"/>
    <w:rsid w:val="00FD344B"/>
    <w:rsid w:val="00FD34CE"/>
    <w:rsid w:val="00FD34D7"/>
    <w:rsid w:val="00FD3823"/>
    <w:rsid w:val="00FD3924"/>
    <w:rsid w:val="00FD3B31"/>
    <w:rsid w:val="00FD3BB4"/>
    <w:rsid w:val="00FD51DD"/>
    <w:rsid w:val="00FD534F"/>
    <w:rsid w:val="00FD54E5"/>
    <w:rsid w:val="00FD584B"/>
    <w:rsid w:val="00FD5A12"/>
    <w:rsid w:val="00FD5C6B"/>
    <w:rsid w:val="00FD5D39"/>
    <w:rsid w:val="00FD6041"/>
    <w:rsid w:val="00FD6D99"/>
    <w:rsid w:val="00FD6F5C"/>
    <w:rsid w:val="00FD71A8"/>
    <w:rsid w:val="00FD7776"/>
    <w:rsid w:val="00FD798D"/>
    <w:rsid w:val="00FD7E18"/>
    <w:rsid w:val="00FE007F"/>
    <w:rsid w:val="00FE03B3"/>
    <w:rsid w:val="00FE12C4"/>
    <w:rsid w:val="00FE1823"/>
    <w:rsid w:val="00FE1D48"/>
    <w:rsid w:val="00FE25F8"/>
    <w:rsid w:val="00FE28B5"/>
    <w:rsid w:val="00FE2F33"/>
    <w:rsid w:val="00FE3A5B"/>
    <w:rsid w:val="00FE3BC0"/>
    <w:rsid w:val="00FE41A6"/>
    <w:rsid w:val="00FE4754"/>
    <w:rsid w:val="00FE487A"/>
    <w:rsid w:val="00FE4AEF"/>
    <w:rsid w:val="00FE4FC9"/>
    <w:rsid w:val="00FE5F22"/>
    <w:rsid w:val="00FE78CB"/>
    <w:rsid w:val="00FE7D04"/>
    <w:rsid w:val="00FF0569"/>
    <w:rsid w:val="00FF0753"/>
    <w:rsid w:val="00FF090F"/>
    <w:rsid w:val="00FF0C1D"/>
    <w:rsid w:val="00FF1147"/>
    <w:rsid w:val="00FF1AB2"/>
    <w:rsid w:val="00FF206E"/>
    <w:rsid w:val="00FF3C69"/>
    <w:rsid w:val="00FF3EC0"/>
    <w:rsid w:val="00FF4167"/>
    <w:rsid w:val="00FF426D"/>
    <w:rsid w:val="00FF45B9"/>
    <w:rsid w:val="00FF475A"/>
    <w:rsid w:val="00FF54D9"/>
    <w:rsid w:val="00FF6E0A"/>
    <w:rsid w:val="00FF79EC"/>
    <w:rsid w:val="00FF7B2B"/>
    <w:rsid w:val="00FF7BE3"/>
    <w:rsid w:val="00FF7E83"/>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3B3DF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0635"/>
    <w:pPr>
      <w:keepLines/>
      <w:spacing w:after="120" w:line="240" w:lineRule="atLeast"/>
    </w:pPr>
    <w:rPr>
      <w:rFonts w:ascii="Arial" w:hAnsi="Arial"/>
      <w:sz w:val="20"/>
    </w:rPr>
  </w:style>
  <w:style w:type="paragraph" w:styleId="Heading1">
    <w:name w:val="heading 1"/>
    <w:aliases w:val="RIS Heading 1"/>
    <w:basedOn w:val="Normal"/>
    <w:next w:val="Normal"/>
    <w:link w:val="Heading1Char"/>
    <w:qFormat/>
    <w:rsid w:val="00C55235"/>
    <w:pPr>
      <w:pageBreakBefore/>
      <w:widowControl w:val="0"/>
      <w:spacing w:after="360" w:line="550" w:lineRule="exact"/>
      <w:outlineLvl w:val="0"/>
    </w:pPr>
    <w:rPr>
      <w:rFonts w:cs="Arial"/>
      <w:bCs/>
      <w:color w:val="323232"/>
      <w:kern w:val="32"/>
      <w:sz w:val="53"/>
      <w:szCs w:val="32"/>
    </w:rPr>
  </w:style>
  <w:style w:type="paragraph" w:styleId="Heading2">
    <w:name w:val="heading 2"/>
    <w:aliases w:val="RIS Heading 2"/>
    <w:basedOn w:val="Normal"/>
    <w:next w:val="Paragraph"/>
    <w:link w:val="Heading2Char"/>
    <w:qFormat/>
    <w:rsid w:val="00C55235"/>
    <w:pPr>
      <w:spacing w:before="320" w:after="60"/>
      <w:outlineLvl w:val="1"/>
    </w:pPr>
    <w:rPr>
      <w:rFonts w:cs="Arial"/>
      <w:b/>
      <w:bCs/>
      <w:iCs/>
      <w:sz w:val="28"/>
      <w:szCs w:val="28"/>
    </w:rPr>
  </w:style>
  <w:style w:type="paragraph" w:styleId="Heading3">
    <w:name w:val="heading 3"/>
    <w:basedOn w:val="Normal"/>
    <w:next w:val="Normal"/>
    <w:link w:val="Heading3Char"/>
    <w:qFormat/>
    <w:rsid w:val="00C55235"/>
    <w:pPr>
      <w:spacing w:before="60" w:after="60"/>
      <w:outlineLvl w:val="2"/>
    </w:pPr>
    <w:rPr>
      <w:rFonts w:cs="Arial"/>
      <w:b/>
      <w:bCs/>
      <w:szCs w:val="26"/>
    </w:rPr>
  </w:style>
  <w:style w:type="paragraph" w:styleId="Heading4">
    <w:name w:val="heading 4"/>
    <w:basedOn w:val="BodySubHeader"/>
    <w:next w:val="Normal"/>
    <w:qFormat/>
    <w:rsid w:val="005B2F0D"/>
    <w:pPr>
      <w:outlineLvl w:val="3"/>
    </w:pPr>
    <w:rPr>
      <w:rFonts w:cs="Arial"/>
    </w:rPr>
  </w:style>
  <w:style w:type="paragraph" w:styleId="Heading5">
    <w:name w:val="heading 5"/>
    <w:basedOn w:val="Normal"/>
    <w:next w:val="Normal"/>
    <w:semiHidden/>
    <w:qFormat/>
    <w:rsid w:val="00AD5436"/>
    <w:pPr>
      <w:numPr>
        <w:ilvl w:val="4"/>
        <w:numId w:val="4"/>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4"/>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4"/>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4"/>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4"/>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autoRedefine/>
    <w:uiPriority w:val="35"/>
    <w:qFormat/>
    <w:rsid w:val="006E1A16"/>
    <w:pPr>
      <w:keepNext/>
      <w:spacing w:after="240"/>
      <w:ind w:left="992" w:hanging="964"/>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qFormat/>
    <w:rsid w:val="004A70D6"/>
    <w:pPr>
      <w:numPr>
        <w:numId w:val="3"/>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uiPriority w:val="99"/>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D61243"/>
    <w:pPr>
      <w:spacing w:after="0"/>
    </w:pPr>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9"/>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5"/>
      </w:numPr>
      <w:spacing w:after="160"/>
    </w:pPr>
    <w:rPr>
      <w:rFonts w:ascii="Arial" w:hAnsi="Arial"/>
      <w:b/>
      <w:bCs/>
      <w:color w:val="323232"/>
      <w:sz w:val="20"/>
      <w:szCs w:val="20"/>
    </w:rPr>
  </w:style>
  <w:style w:type="paragraph" w:customStyle="1" w:styleId="Captionfigure">
    <w:name w:val="Caption figure"/>
    <w:basedOn w:val="Caption"/>
    <w:qFormat/>
    <w:rsid w:val="00E8152A"/>
    <w:pPr>
      <w:numPr>
        <w:numId w:val="7"/>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aliases w:val="RIS Heading 1 Char"/>
    <w:basedOn w:val="DefaultParagraphFont"/>
    <w:link w:val="Heading1"/>
    <w:rsid w:val="00F5310D"/>
    <w:rPr>
      <w:rFonts w:ascii="Arial" w:hAnsi="Arial" w:cs="Arial"/>
      <w:bCs/>
      <w:color w:val="323232"/>
      <w:kern w:val="32"/>
      <w:sz w:val="53"/>
      <w:szCs w:val="32"/>
    </w:rPr>
  </w:style>
  <w:style w:type="character" w:customStyle="1" w:styleId="Heading2Char">
    <w:name w:val="Heading 2 Char"/>
    <w:aliases w:val="RIS 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D74B7F"/>
    <w:pPr>
      <w:spacing w:after="240"/>
    </w:pPr>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qFormat/>
    <w:rsid w:val="00255A7E"/>
    <w:rPr>
      <w:rFonts w:ascii="Arial" w:hAnsi="Arial"/>
      <w:sz w:val="16"/>
      <w:szCs w:val="16"/>
    </w:rPr>
  </w:style>
  <w:style w:type="character" w:customStyle="1" w:styleId="ListBulletChar">
    <w:name w:val="List Bullet Char"/>
    <w:aliases w:val="List Bullet 1 Char"/>
    <w:basedOn w:val="DefaultParagraphFont"/>
    <w:link w:val="ListBullet"/>
    <w:rsid w:val="00255A7E"/>
    <w:rPr>
      <w:rFonts w:ascii="Arial" w:hAnsi="Arial"/>
      <w:sz w:val="20"/>
    </w:rPr>
  </w:style>
  <w:style w:type="paragraph" w:styleId="ListParagraph">
    <w:name w:val="List Paragraph"/>
    <w:aliases w:val="List Paragraph1,Recommendation"/>
    <w:basedOn w:val="Normal"/>
    <w:link w:val="ListParagraphChar"/>
    <w:uiPriority w:val="34"/>
    <w:qFormat/>
    <w:rsid w:val="00014AB3"/>
    <w:pPr>
      <w:ind w:left="720"/>
      <w:contextualSpacing/>
    </w:pPr>
  </w:style>
  <w:style w:type="character" w:customStyle="1" w:styleId="ListParagraphChar">
    <w:name w:val="List Paragraph Char"/>
    <w:aliases w:val="List Paragraph1 Char,Recommendation Char"/>
    <w:basedOn w:val="DefaultParagraphFont"/>
    <w:link w:val="ListParagraph"/>
    <w:uiPriority w:val="34"/>
    <w:rsid w:val="00014AB3"/>
    <w:rPr>
      <w:rFonts w:ascii="Arial" w:hAnsi="Arial"/>
      <w:sz w:val="20"/>
    </w:rPr>
  </w:style>
  <w:style w:type="paragraph" w:customStyle="1" w:styleId="ACMAReportTitle">
    <w:name w:val="ACMA_ReportTitle"/>
    <w:basedOn w:val="Normal"/>
    <w:qFormat/>
    <w:rsid w:val="008E7761"/>
    <w:pPr>
      <w:spacing w:after="0" w:line="560" w:lineRule="exact"/>
    </w:pPr>
    <w:rPr>
      <w:b/>
      <w:spacing w:val="-28"/>
      <w:sz w:val="53"/>
    </w:rPr>
  </w:style>
  <w:style w:type="paragraph" w:customStyle="1" w:styleId="ACMAReportSubTitle">
    <w:name w:val="ACMA_ReportSubTitle"/>
    <w:basedOn w:val="Normal"/>
    <w:qFormat/>
    <w:rsid w:val="008E7761"/>
    <w:pPr>
      <w:spacing w:after="200" w:line="560" w:lineRule="exact"/>
    </w:pPr>
    <w:rPr>
      <w:color w:val="323232"/>
      <w:spacing w:val="-28"/>
      <w:sz w:val="53"/>
    </w:rPr>
  </w:style>
  <w:style w:type="paragraph" w:customStyle="1" w:styleId="ACMAReportDate">
    <w:name w:val="ACMA_ReportDate"/>
    <w:basedOn w:val="ACMAReportSubTitle"/>
    <w:qFormat/>
    <w:rsid w:val="008E7761"/>
    <w:pPr>
      <w:spacing w:after="1200" w:line="240" w:lineRule="auto"/>
    </w:pPr>
    <w:rPr>
      <w:caps/>
      <w:spacing w:val="-10"/>
      <w:sz w:val="20"/>
    </w:rPr>
  </w:style>
  <w:style w:type="paragraph" w:customStyle="1" w:styleId="TableHeading0">
    <w:name w:val="Table Heading"/>
    <w:basedOn w:val="Normal"/>
    <w:qFormat/>
    <w:rsid w:val="008E7761"/>
    <w:pPr>
      <w:spacing w:after="0"/>
    </w:pPr>
    <w:rPr>
      <w:b/>
    </w:rPr>
  </w:style>
  <w:style w:type="paragraph" w:customStyle="1" w:styleId="ACMAExecSummaryHeading">
    <w:name w:val="ACMA_ExecSummaryHeading"/>
    <w:basedOn w:val="Normal"/>
    <w:qFormat/>
    <w:rsid w:val="008E7761"/>
    <w:pPr>
      <w:spacing w:after="1440" w:line="550" w:lineRule="exact"/>
    </w:pPr>
    <w:rPr>
      <w:b/>
      <w:color w:val="323232"/>
      <w:spacing w:val="-18"/>
      <w:sz w:val="53"/>
    </w:rPr>
  </w:style>
  <w:style w:type="character" w:styleId="Strong">
    <w:name w:val="Strong"/>
    <w:basedOn w:val="DefaultParagraphFont"/>
    <w:qFormat/>
    <w:rsid w:val="008E7761"/>
    <w:rPr>
      <w:b/>
      <w:bCs/>
    </w:rPr>
  </w:style>
  <w:style w:type="paragraph" w:customStyle="1" w:styleId="ACMANormalTabbed">
    <w:name w:val="ACMA_NormalTabbed"/>
    <w:basedOn w:val="Normal"/>
    <w:qFormat/>
    <w:rsid w:val="008E7761"/>
    <w:pPr>
      <w:tabs>
        <w:tab w:val="left" w:pos="1134"/>
      </w:tabs>
    </w:pPr>
  </w:style>
  <w:style w:type="paragraph" w:customStyle="1" w:styleId="ACMASpaceaftertable">
    <w:name w:val="ACMA_Space after table"/>
    <w:basedOn w:val="Normal"/>
    <w:qFormat/>
    <w:rsid w:val="008E7761"/>
    <w:rPr>
      <w:rFonts w:cs="Arial"/>
    </w:rPr>
  </w:style>
  <w:style w:type="paragraph" w:customStyle="1" w:styleId="Bodysubheader0">
    <w:name w:val="Body sub header"/>
    <w:basedOn w:val="Normal"/>
    <w:next w:val="Normal"/>
    <w:rsid w:val="008E7761"/>
    <w:pPr>
      <w:spacing w:after="0"/>
    </w:pPr>
    <w:rPr>
      <w:b/>
      <w:i/>
    </w:rPr>
  </w:style>
  <w:style w:type="paragraph" w:customStyle="1" w:styleId="Default">
    <w:name w:val="Default"/>
    <w:rsid w:val="008E7761"/>
    <w:pPr>
      <w:autoSpaceDE w:val="0"/>
      <w:autoSpaceDN w:val="0"/>
      <w:adjustRightInd w:val="0"/>
    </w:pPr>
    <w:rPr>
      <w:rFonts w:ascii="Calibri" w:hAnsi="Calibri" w:cs="Calibri"/>
      <w:color w:val="000000"/>
    </w:rPr>
  </w:style>
  <w:style w:type="paragraph" w:styleId="BodyText">
    <w:name w:val="Body Text"/>
    <w:basedOn w:val="Normal"/>
    <w:link w:val="BodyTextChar1"/>
    <w:autoRedefine/>
    <w:qFormat/>
    <w:rsid w:val="008E7761"/>
    <w:pPr>
      <w:spacing w:before="120" w:line="320" w:lineRule="exact"/>
      <w:jc w:val="both"/>
    </w:pPr>
    <w:rPr>
      <w:rFonts w:ascii="Verdana" w:eastAsia="'宋体" w:hAnsi="Verdana" w:cs="Arial"/>
      <w:sz w:val="22"/>
      <w:szCs w:val="22"/>
    </w:rPr>
  </w:style>
  <w:style w:type="character" w:customStyle="1" w:styleId="BodyTextChar">
    <w:name w:val="Body Text Char"/>
    <w:basedOn w:val="DefaultParagraphFont"/>
    <w:semiHidden/>
    <w:rsid w:val="008E7761"/>
    <w:rPr>
      <w:rFonts w:ascii="Arial" w:hAnsi="Arial"/>
      <w:sz w:val="20"/>
    </w:rPr>
  </w:style>
  <w:style w:type="character" w:customStyle="1" w:styleId="BodyTextChar1">
    <w:name w:val="Body Text Char1"/>
    <w:basedOn w:val="DefaultParagraphFont"/>
    <w:link w:val="BodyText"/>
    <w:rsid w:val="008E7761"/>
    <w:rPr>
      <w:rFonts w:ascii="Verdana" w:eastAsia="'宋体" w:hAnsi="Verdana" w:cs="Arial"/>
      <w:sz w:val="22"/>
      <w:szCs w:val="22"/>
    </w:rPr>
  </w:style>
  <w:style w:type="paragraph" w:styleId="NormalWeb">
    <w:name w:val="Normal (Web)"/>
    <w:basedOn w:val="Normal"/>
    <w:uiPriority w:val="99"/>
    <w:unhideWhenUsed/>
    <w:rsid w:val="008E7761"/>
    <w:pPr>
      <w:spacing w:line="240" w:lineRule="auto"/>
    </w:pPr>
    <w:rPr>
      <w:rFonts w:ascii="Times New Roman" w:hAnsi="Times New Roman"/>
      <w:sz w:val="24"/>
    </w:rPr>
  </w:style>
  <w:style w:type="paragraph" w:styleId="Revision">
    <w:name w:val="Revision"/>
    <w:hidden/>
    <w:semiHidden/>
    <w:rsid w:val="008E7761"/>
    <w:rPr>
      <w:rFonts w:ascii="Arial" w:hAnsi="Arial"/>
      <w:sz w:val="20"/>
    </w:rPr>
  </w:style>
  <w:style w:type="table" w:styleId="PlainTable1">
    <w:name w:val="Plain Table 1"/>
    <w:basedOn w:val="TableNormal"/>
    <w:uiPriority w:val="41"/>
    <w:rsid w:val="008E7761"/>
    <w:rPr>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Reference">
    <w:name w:val="Intense Reference"/>
    <w:basedOn w:val="DefaultParagraphFont"/>
    <w:rsid w:val="008E7761"/>
    <w:rPr>
      <w:b/>
      <w:bCs/>
      <w:smallCaps/>
      <w:color w:val="4F81BD" w:themeColor="accent1"/>
      <w:spacing w:val="5"/>
    </w:rPr>
  </w:style>
  <w:style w:type="paragraph" w:customStyle="1" w:styleId="ACMABulletLevel1">
    <w:name w:val="ACMA Bullet Level 1"/>
    <w:rsid w:val="008E7761"/>
    <w:pPr>
      <w:numPr>
        <w:numId w:val="8"/>
      </w:numPr>
      <w:spacing w:after="120"/>
    </w:pPr>
    <w:rPr>
      <w:szCs w:val="20"/>
      <w:lang w:eastAsia="en-US"/>
    </w:rPr>
  </w:style>
  <w:style w:type="paragraph" w:customStyle="1" w:styleId="ACMANumberedList">
    <w:name w:val="ACMA Numbered List"/>
    <w:rsid w:val="008E7761"/>
    <w:pPr>
      <w:tabs>
        <w:tab w:val="num" w:pos="720"/>
      </w:tabs>
      <w:spacing w:before="20" w:after="20"/>
      <w:ind w:left="720" w:hanging="360"/>
    </w:pPr>
    <w:rPr>
      <w:szCs w:val="20"/>
      <w:lang w:eastAsia="en-US"/>
    </w:rPr>
  </w:style>
  <w:style w:type="character" w:customStyle="1" w:styleId="UnresolvedMention1">
    <w:name w:val="Unresolved Mention1"/>
    <w:basedOn w:val="DefaultParagraphFont"/>
    <w:uiPriority w:val="99"/>
    <w:semiHidden/>
    <w:unhideWhenUsed/>
    <w:rsid w:val="008E7761"/>
    <w:rPr>
      <w:color w:val="808080"/>
      <w:shd w:val="clear" w:color="auto" w:fill="E6E6E6"/>
    </w:rPr>
  </w:style>
  <w:style w:type="character" w:customStyle="1" w:styleId="UnresolvedMention2">
    <w:name w:val="Unresolved Mention2"/>
    <w:basedOn w:val="DefaultParagraphFont"/>
    <w:uiPriority w:val="99"/>
    <w:semiHidden/>
    <w:unhideWhenUsed/>
    <w:rsid w:val="008E7761"/>
    <w:rPr>
      <w:color w:val="605E5C"/>
      <w:shd w:val="clear" w:color="auto" w:fill="E1DFDD"/>
    </w:rPr>
  </w:style>
  <w:style w:type="character" w:customStyle="1" w:styleId="UnresolvedMention3">
    <w:name w:val="Unresolved Mention3"/>
    <w:basedOn w:val="DefaultParagraphFont"/>
    <w:uiPriority w:val="99"/>
    <w:semiHidden/>
    <w:unhideWhenUsed/>
    <w:rsid w:val="008E7761"/>
    <w:rPr>
      <w:color w:val="605E5C"/>
      <w:shd w:val="clear" w:color="auto" w:fill="E1DFDD"/>
    </w:rPr>
  </w:style>
  <w:style w:type="character" w:customStyle="1" w:styleId="UnresolvedMention4">
    <w:name w:val="Unresolved Mention4"/>
    <w:basedOn w:val="DefaultParagraphFont"/>
    <w:uiPriority w:val="99"/>
    <w:semiHidden/>
    <w:unhideWhenUsed/>
    <w:rsid w:val="008E7761"/>
    <w:rPr>
      <w:color w:val="605E5C"/>
      <w:shd w:val="clear" w:color="auto" w:fill="E1DFDD"/>
    </w:rPr>
  </w:style>
  <w:style w:type="character" w:customStyle="1" w:styleId="UnresolvedMention5">
    <w:name w:val="Unresolved Mention5"/>
    <w:basedOn w:val="DefaultParagraphFont"/>
    <w:uiPriority w:val="99"/>
    <w:semiHidden/>
    <w:unhideWhenUsed/>
    <w:rsid w:val="008E7761"/>
    <w:rPr>
      <w:color w:val="605E5C"/>
      <w:shd w:val="clear" w:color="auto" w:fill="E1DFDD"/>
    </w:rPr>
  </w:style>
  <w:style w:type="paragraph" w:styleId="Index3">
    <w:name w:val="index 3"/>
    <w:basedOn w:val="Normal"/>
    <w:next w:val="Normal"/>
    <w:autoRedefine/>
    <w:rsid w:val="008E7761"/>
    <w:pPr>
      <w:spacing w:after="0" w:line="240" w:lineRule="auto"/>
      <w:ind w:left="600" w:hanging="200"/>
    </w:pPr>
  </w:style>
  <w:style w:type="paragraph" w:styleId="NoSpacing">
    <w:name w:val="No Spacing"/>
    <w:rsid w:val="008E7761"/>
    <w:rPr>
      <w:rFonts w:ascii="Arial" w:hAnsi="Arial"/>
      <w:sz w:val="20"/>
    </w:rPr>
  </w:style>
  <w:style w:type="table" w:styleId="PlainTable2">
    <w:name w:val="Plain Table 2"/>
    <w:basedOn w:val="TableNormal"/>
    <w:rsid w:val="006101B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customStyle="1" w:styleId="ACMABodyText">
    <w:name w:val="ACMA Body Text"/>
    <w:link w:val="ACMABodyTextChar"/>
    <w:rsid w:val="002A17D4"/>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2A17D4"/>
    <w:rPr>
      <w:snapToGrid w:val="0"/>
      <w:szCs w:val="20"/>
      <w:lang w:eastAsia="en-US"/>
    </w:rPr>
  </w:style>
  <w:style w:type="paragraph" w:customStyle="1" w:styleId="Protectivemarking">
    <w:name w:val="Protective marking"/>
    <w:basedOn w:val="ACMABulletLevel1"/>
    <w:uiPriority w:val="99"/>
    <w:qFormat/>
    <w:rsid w:val="00B441B2"/>
    <w:pPr>
      <w:numPr>
        <w:numId w:val="0"/>
      </w:numPr>
      <w:tabs>
        <w:tab w:val="left" w:pos="720"/>
      </w:tabs>
      <w:spacing w:after="0"/>
      <w:jc w:val="center"/>
    </w:pPr>
    <w:rPr>
      <w:rFonts w:ascii="Arial" w:hAnsi="Arial" w:cs="Arial"/>
      <w:b/>
      <w:bCs/>
      <w:color w:val="FF0000"/>
      <w:sz w:val="32"/>
      <w:szCs w:val="24"/>
    </w:rPr>
  </w:style>
  <w:style w:type="paragraph" w:customStyle="1" w:styleId="ACMALinecover">
    <w:name w:val="ACMA_Line cover"/>
    <w:basedOn w:val="Normal"/>
    <w:qFormat/>
    <w:rsid w:val="00430868"/>
    <w:pPr>
      <w:keepLines w:val="0"/>
      <w:pBdr>
        <w:bottom w:val="single" w:sz="4" w:space="1" w:color="auto"/>
      </w:pBdr>
      <w:spacing w:after="600"/>
    </w:pPr>
    <w:rPr>
      <w:rFonts w:cs="Arial"/>
    </w:rPr>
  </w:style>
  <w:style w:type="paragraph" w:customStyle="1" w:styleId="Researchquote">
    <w:name w:val="Research quote"/>
    <w:basedOn w:val="Normal"/>
    <w:qFormat/>
    <w:rsid w:val="00430868"/>
    <w:pPr>
      <w:keepLines w:val="0"/>
      <w:spacing w:before="120"/>
      <w:ind w:left="680" w:right="567"/>
    </w:pPr>
    <w:rPr>
      <w:rFonts w:cs="Arial"/>
      <w:sz w:val="18"/>
      <w:szCs w:val="18"/>
    </w:rPr>
  </w:style>
  <w:style w:type="paragraph" w:styleId="Quote">
    <w:name w:val="Quote"/>
    <w:basedOn w:val="Normal"/>
    <w:next w:val="Normal"/>
    <w:link w:val="QuoteChar"/>
    <w:rsid w:val="00430868"/>
    <w:pPr>
      <w:keepLines w:val="0"/>
      <w:spacing w:after="240"/>
    </w:pPr>
    <w:rPr>
      <w:i/>
      <w:iCs/>
      <w:color w:val="000000" w:themeColor="text1"/>
    </w:rPr>
  </w:style>
  <w:style w:type="character" w:customStyle="1" w:styleId="QuoteChar">
    <w:name w:val="Quote Char"/>
    <w:basedOn w:val="DefaultParagraphFont"/>
    <w:link w:val="Quote"/>
    <w:rsid w:val="00430868"/>
    <w:rPr>
      <w:rFonts w:ascii="Arial" w:hAnsi="Arial"/>
      <w:i/>
      <w:iCs/>
      <w:color w:val="000000" w:themeColor="text1"/>
      <w:sz w:val="20"/>
    </w:rPr>
  </w:style>
  <w:style w:type="character" w:styleId="BookTitle">
    <w:name w:val="Book Title"/>
    <w:basedOn w:val="DefaultParagraphFont"/>
    <w:rsid w:val="00430868"/>
    <w:rPr>
      <w:b/>
      <w:bCs/>
      <w:i/>
      <w:iCs/>
      <w:spacing w:val="5"/>
    </w:rPr>
  </w:style>
  <w:style w:type="paragraph" w:customStyle="1" w:styleId="ZA">
    <w:name w:val="ZA"/>
    <w:rsid w:val="006F41D9"/>
    <w:pPr>
      <w:framePr w:w="10206" w:h="794" w:hRule="exact" w:wrap="notBeside" w:vAnchor="page" w:hAnchor="margin" w:y="1135"/>
      <w:widowControl w:val="0"/>
      <w:pBdr>
        <w:bottom w:val="single" w:sz="12" w:space="1" w:color="auto"/>
      </w:pBdr>
      <w:overflowPunct w:val="0"/>
      <w:autoSpaceDE w:val="0"/>
      <w:autoSpaceDN w:val="0"/>
      <w:adjustRightInd w:val="0"/>
      <w:jc w:val="right"/>
      <w:textAlignment w:val="baseline"/>
    </w:pPr>
    <w:rPr>
      <w:rFonts w:ascii="Arial" w:hAnsi="Arial"/>
      <w:noProof/>
      <w:sz w:val="40"/>
      <w:szCs w:val="20"/>
      <w:lang w:val="en-GB" w:eastAsia="en-GB"/>
    </w:rPr>
  </w:style>
  <w:style w:type="paragraph" w:customStyle="1" w:styleId="ECCParagraph">
    <w:name w:val="ECC Paragraph"/>
    <w:basedOn w:val="Normal"/>
    <w:qFormat/>
    <w:rsid w:val="00CB5F7E"/>
    <w:pPr>
      <w:keepLines w:val="0"/>
      <w:spacing w:after="240" w:line="240" w:lineRule="auto"/>
      <w:jc w:val="both"/>
    </w:pPr>
    <w:rPr>
      <w:lang w:val="en-GB" w:eastAsia="en-US"/>
    </w:rPr>
  </w:style>
  <w:style w:type="paragraph" w:customStyle="1" w:styleId="footnotedescription">
    <w:name w:val="footnote description"/>
    <w:next w:val="Normal"/>
    <w:link w:val="footnotedescriptionChar"/>
    <w:hidden/>
    <w:rsid w:val="00696962"/>
    <w:pPr>
      <w:spacing w:line="259" w:lineRule="auto"/>
      <w:ind w:left="7"/>
    </w:pPr>
    <w:rPr>
      <w:rFonts w:ascii="Arial" w:eastAsia="Arial" w:hAnsi="Arial" w:cs="Arial"/>
      <w:color w:val="000000"/>
      <w:sz w:val="16"/>
      <w:szCs w:val="22"/>
    </w:rPr>
  </w:style>
  <w:style w:type="character" w:customStyle="1" w:styleId="footnotedescriptionChar">
    <w:name w:val="footnote description Char"/>
    <w:link w:val="footnotedescription"/>
    <w:rsid w:val="00696962"/>
    <w:rPr>
      <w:rFonts w:ascii="Arial" w:eastAsia="Arial" w:hAnsi="Arial" w:cs="Arial"/>
      <w:color w:val="000000"/>
      <w:sz w:val="16"/>
      <w:szCs w:val="22"/>
    </w:rPr>
  </w:style>
  <w:style w:type="character" w:customStyle="1" w:styleId="footnotemark">
    <w:name w:val="footnote mark"/>
    <w:hidden/>
    <w:rsid w:val="00696962"/>
    <w:rPr>
      <w:rFonts w:ascii="Arial" w:eastAsia="Arial" w:hAnsi="Arial" w:cs="Arial"/>
      <w:color w:val="000000"/>
      <w:sz w:val="16"/>
      <w:vertAlign w:val="superscript"/>
    </w:rPr>
  </w:style>
  <w:style w:type="table" w:customStyle="1" w:styleId="TableGrid0">
    <w:name w:val="TableGrid"/>
    <w:rsid w:val="004A7F3D"/>
    <w:rPr>
      <w:rFonts w:asciiTheme="minorHAnsi" w:eastAsiaTheme="minorEastAsia" w:hAnsiTheme="minorHAnsi" w:cstheme="minorBidi"/>
      <w:sz w:val="22"/>
      <w:szCs w:val="22"/>
    </w:rPr>
    <w:tblPr>
      <w:tblCellMar>
        <w:top w:w="0" w:type="dxa"/>
        <w:left w:w="0" w:type="dxa"/>
        <w:bottom w:w="0" w:type="dxa"/>
        <w:right w:w="0" w:type="dxa"/>
      </w:tblCellMar>
    </w:tblPr>
  </w:style>
  <w:style w:type="paragraph" w:styleId="EndnoteText">
    <w:name w:val="endnote text"/>
    <w:basedOn w:val="Normal"/>
    <w:link w:val="EndnoteTextChar"/>
    <w:semiHidden/>
    <w:unhideWhenUsed/>
    <w:rsid w:val="001D70CE"/>
    <w:pPr>
      <w:spacing w:after="0" w:line="240" w:lineRule="auto"/>
    </w:pPr>
    <w:rPr>
      <w:szCs w:val="20"/>
    </w:rPr>
  </w:style>
  <w:style w:type="character" w:customStyle="1" w:styleId="EndnoteTextChar">
    <w:name w:val="Endnote Text Char"/>
    <w:basedOn w:val="DefaultParagraphFont"/>
    <w:link w:val="EndnoteText"/>
    <w:semiHidden/>
    <w:rsid w:val="001D70CE"/>
    <w:rPr>
      <w:rFonts w:ascii="Arial" w:hAnsi="Arial"/>
      <w:sz w:val="20"/>
      <w:szCs w:val="20"/>
    </w:rPr>
  </w:style>
  <w:style w:type="character" w:styleId="EndnoteReference">
    <w:name w:val="endnote reference"/>
    <w:basedOn w:val="DefaultParagraphFont"/>
    <w:semiHidden/>
    <w:unhideWhenUsed/>
    <w:rsid w:val="001D70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366948">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09700585">
      <w:bodyDiv w:val="1"/>
      <w:marLeft w:val="0"/>
      <w:marRight w:val="0"/>
      <w:marTop w:val="0"/>
      <w:marBottom w:val="0"/>
      <w:divBdr>
        <w:top w:val="none" w:sz="0" w:space="0" w:color="auto"/>
        <w:left w:val="none" w:sz="0" w:space="0" w:color="auto"/>
        <w:bottom w:val="none" w:sz="0" w:space="0" w:color="auto"/>
        <w:right w:val="none" w:sz="0" w:space="0" w:color="auto"/>
      </w:divBdr>
    </w:div>
    <w:div w:id="832376857">
      <w:bodyDiv w:val="1"/>
      <w:marLeft w:val="0"/>
      <w:marRight w:val="0"/>
      <w:marTop w:val="0"/>
      <w:marBottom w:val="0"/>
      <w:divBdr>
        <w:top w:val="none" w:sz="0" w:space="0" w:color="auto"/>
        <w:left w:val="none" w:sz="0" w:space="0" w:color="auto"/>
        <w:bottom w:val="none" w:sz="0" w:space="0" w:color="auto"/>
        <w:right w:val="none" w:sz="0" w:space="0" w:color="auto"/>
      </w:divBdr>
    </w:div>
    <w:div w:id="832452276">
      <w:bodyDiv w:val="1"/>
      <w:marLeft w:val="0"/>
      <w:marRight w:val="0"/>
      <w:marTop w:val="0"/>
      <w:marBottom w:val="0"/>
      <w:divBdr>
        <w:top w:val="none" w:sz="0" w:space="0" w:color="auto"/>
        <w:left w:val="none" w:sz="0" w:space="0" w:color="auto"/>
        <w:bottom w:val="none" w:sz="0" w:space="0" w:color="auto"/>
        <w:right w:val="none" w:sz="0" w:space="0" w:color="auto"/>
      </w:divBdr>
    </w:div>
    <w:div w:id="868834325">
      <w:bodyDiv w:val="1"/>
      <w:marLeft w:val="0"/>
      <w:marRight w:val="0"/>
      <w:marTop w:val="0"/>
      <w:marBottom w:val="0"/>
      <w:divBdr>
        <w:top w:val="none" w:sz="0" w:space="0" w:color="auto"/>
        <w:left w:val="none" w:sz="0" w:space="0" w:color="auto"/>
        <w:bottom w:val="none" w:sz="0" w:space="0" w:color="auto"/>
        <w:right w:val="none" w:sz="0" w:space="0" w:color="auto"/>
      </w:divBdr>
    </w:div>
    <w:div w:id="1031958641">
      <w:bodyDiv w:val="1"/>
      <w:marLeft w:val="0"/>
      <w:marRight w:val="0"/>
      <w:marTop w:val="0"/>
      <w:marBottom w:val="0"/>
      <w:divBdr>
        <w:top w:val="none" w:sz="0" w:space="0" w:color="auto"/>
        <w:left w:val="none" w:sz="0" w:space="0" w:color="auto"/>
        <w:bottom w:val="none" w:sz="0" w:space="0" w:color="auto"/>
        <w:right w:val="none" w:sz="0" w:space="0" w:color="auto"/>
      </w:divBdr>
    </w:div>
    <w:div w:id="1136993584">
      <w:bodyDiv w:val="1"/>
      <w:marLeft w:val="0"/>
      <w:marRight w:val="0"/>
      <w:marTop w:val="0"/>
      <w:marBottom w:val="0"/>
      <w:divBdr>
        <w:top w:val="none" w:sz="0" w:space="0" w:color="auto"/>
        <w:left w:val="none" w:sz="0" w:space="0" w:color="auto"/>
        <w:bottom w:val="none" w:sz="0" w:space="0" w:color="auto"/>
        <w:right w:val="none" w:sz="0" w:space="0" w:color="auto"/>
      </w:divBdr>
    </w:div>
    <w:div w:id="1314334720">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726874587">
      <w:bodyDiv w:val="1"/>
      <w:marLeft w:val="0"/>
      <w:marRight w:val="0"/>
      <w:marTop w:val="0"/>
      <w:marBottom w:val="0"/>
      <w:divBdr>
        <w:top w:val="none" w:sz="0" w:space="0" w:color="auto"/>
        <w:left w:val="none" w:sz="0" w:space="0" w:color="auto"/>
        <w:bottom w:val="none" w:sz="0" w:space="0" w:color="auto"/>
        <w:right w:val="none" w:sz="0" w:space="0" w:color="auto"/>
      </w:divBdr>
    </w:div>
    <w:div w:id="1863009337">
      <w:bodyDiv w:val="1"/>
      <w:marLeft w:val="0"/>
      <w:marRight w:val="0"/>
      <w:marTop w:val="0"/>
      <w:marBottom w:val="0"/>
      <w:divBdr>
        <w:top w:val="none" w:sz="0" w:space="0" w:color="auto"/>
        <w:left w:val="none" w:sz="0" w:space="0" w:color="auto"/>
        <w:bottom w:val="none" w:sz="0" w:space="0" w:color="auto"/>
        <w:right w:val="none" w:sz="0" w:space="0" w:color="auto"/>
      </w:divBdr>
    </w:div>
    <w:div w:id="1906985245">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90622515">
      <w:bodyDiv w:val="1"/>
      <w:marLeft w:val="0"/>
      <w:marRight w:val="0"/>
      <w:marTop w:val="0"/>
      <w:marBottom w:val="0"/>
      <w:divBdr>
        <w:top w:val="none" w:sz="0" w:space="0" w:color="auto"/>
        <w:left w:val="none" w:sz="0" w:space="0" w:color="auto"/>
        <w:bottom w:val="none" w:sz="0" w:space="0" w:color="auto"/>
        <w:right w:val="none" w:sz="0" w:space="0" w:color="auto"/>
      </w:divBdr>
    </w:div>
    <w:div w:id="2097360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acma.gov.au/consultations/2021-11/exploring-future-use-19-ghz-band-consultation-402021" TargetMode="External"/><Relationship Id="rId21" Type="http://schemas.openxmlformats.org/officeDocument/2006/relationships/footer" Target="footer4.xml"/><Relationship Id="rId42" Type="http://schemas.openxmlformats.org/officeDocument/2006/relationships/header" Target="header8.xml"/><Relationship Id="rId47" Type="http://schemas.openxmlformats.org/officeDocument/2006/relationships/hyperlink" Target="https://www.legislation.gov.au/Details/C2019C00084" TargetMode="External"/><Relationship Id="rId63" Type="http://schemas.openxmlformats.org/officeDocument/2006/relationships/hyperlink" Target="https://www.acma.gov.au/sites/default/files/2019-10/The%20Australian%20spectrum%20map%20grid%202012_0.PDF" TargetMode="External"/><Relationship Id="rId68" Type="http://schemas.openxmlformats.org/officeDocument/2006/relationships/footer" Target="footer10.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legislation.gov.au/Details/F2020C01124"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21-11/exploring-future-use-19-ghz-band-consultation-402021" TargetMode="External"/><Relationship Id="rId32" Type="http://schemas.openxmlformats.org/officeDocument/2006/relationships/hyperlink" Target="https://www.acma.gov.au/consultations/2021-03/draft-five-year-spectrum-outlook-2021-26-consultation-102021" TargetMode="External"/><Relationship Id="rId37" Type="http://schemas.openxmlformats.org/officeDocument/2006/relationships/hyperlink" Target="https://www.3gpp.org/news-events/1875-mc_services" TargetMode="External"/><Relationship Id="rId40" Type="http://schemas.openxmlformats.org/officeDocument/2006/relationships/hyperlink" Target="https://www.legislation.gov.au/Details/F2018C00500" TargetMode="External"/><Relationship Id="rId45" Type="http://schemas.openxmlformats.org/officeDocument/2006/relationships/hyperlink" Target="https://www.legislation.gov.au/Details/F2012L00733" TargetMode="External"/><Relationship Id="rId53" Type="http://schemas.openxmlformats.org/officeDocument/2006/relationships/hyperlink" Target="http://www.acma.gov.au/theACMA/Consultations/Consultations" TargetMode="External"/><Relationship Id="rId58" Type="http://schemas.openxmlformats.org/officeDocument/2006/relationships/hyperlink" Target="https://www.acma.gov.au/consultations/2021-11/exploring-future-use-19-ghz-band-consultation-402021" TargetMode="External"/><Relationship Id="rId66" Type="http://schemas.openxmlformats.org/officeDocument/2006/relationships/header" Target="header10.xml"/><Relationship Id="rId5" Type="http://schemas.openxmlformats.org/officeDocument/2006/relationships/webSettings" Target="webSettings.xml"/><Relationship Id="rId61" Type="http://schemas.openxmlformats.org/officeDocument/2006/relationships/chart" Target="charts/chart3.xml"/><Relationship Id="rId19" Type="http://schemas.openxmlformats.org/officeDocument/2006/relationships/header" Target="header5.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12L00733" TargetMode="External"/><Relationship Id="rId30" Type="http://schemas.openxmlformats.org/officeDocument/2006/relationships/image" Target="media/image4.png"/><Relationship Id="rId35" Type="http://schemas.openxmlformats.org/officeDocument/2006/relationships/hyperlink" Target="https://www.acma.gov.au/five-year-spectrum-outlook" TargetMode="External"/><Relationship Id="rId43" Type="http://schemas.openxmlformats.org/officeDocument/2006/relationships/footer" Target="footer7.xml"/><Relationship Id="rId48" Type="http://schemas.openxmlformats.org/officeDocument/2006/relationships/hyperlink" Target="https://www.legislation.gov.au/Details/F2018L00186" TargetMode="External"/><Relationship Id="rId56" Type="http://schemas.openxmlformats.org/officeDocument/2006/relationships/hyperlink" Target="http://www.acma.gov.au/privacypolicy" TargetMode="External"/><Relationship Id="rId64" Type="http://schemas.openxmlformats.org/officeDocument/2006/relationships/hyperlink" Target="https://www.acma.gov.au/convert-hcis-area-description-placemark-0" TargetMode="External"/><Relationship Id="rId69"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yperlink" Target="https://www.etsi.org/deliver/etsi_tr/103100_103199/103149/01.02.01_60/tr_103149v010201p.pdf"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C2021C00462" TargetMode="External"/><Relationship Id="rId33" Type="http://schemas.openxmlformats.org/officeDocument/2006/relationships/hyperlink" Target="https://www.mfa-tech.org/wp-content/uploads/MulteFire_Release-1.1_WhitePaper_03JAN.pdf" TargetMode="External"/><Relationship Id="rId38" Type="http://schemas.openxmlformats.org/officeDocument/2006/relationships/hyperlink" Target="https://www.legislation.gov.au/Details/F2021C00645" TargetMode="External"/><Relationship Id="rId46" Type="http://schemas.openxmlformats.org/officeDocument/2006/relationships/hyperlink" Target="https://acmagovau-my.sharepoint.com/personal/prasanna_sooriyaaratchi_acma_gov_au/Documents/Downloads/Embargo-76-15112019.docx?web=1" TargetMode="External"/><Relationship Id="rId59" Type="http://schemas.openxmlformats.org/officeDocument/2006/relationships/chart" Target="charts/chart1.xml"/><Relationship Id="rId67" Type="http://schemas.openxmlformats.org/officeDocument/2006/relationships/footer" Target="footer9.xml"/><Relationship Id="rId20" Type="http://schemas.openxmlformats.org/officeDocument/2006/relationships/header" Target="header6.xml"/><Relationship Id="rId41" Type="http://schemas.openxmlformats.org/officeDocument/2006/relationships/header" Target="header7.xml"/><Relationship Id="rId54" Type="http://schemas.openxmlformats.org/officeDocument/2006/relationships/hyperlink" Target="mailto:freqplan@acma.gov.au" TargetMode="External"/><Relationship Id="rId62" Type="http://schemas.openxmlformats.org/officeDocument/2006/relationships/chart" Target="charts/chart4.xml"/><Relationship Id="rId7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fees-apparatus-licences" TargetMode="External"/><Relationship Id="rId36" Type="http://schemas.openxmlformats.org/officeDocument/2006/relationships/hyperlink" Target="https://www.etsi.org/deliver/etsi_tr/103400_103499/103459/01.02.01_60/tr_103459v010201p.pdf" TargetMode="External"/><Relationship Id="rId49" Type="http://schemas.openxmlformats.org/officeDocument/2006/relationships/hyperlink" Target="https://docdb.cept.org/download/1425" TargetMode="External"/><Relationship Id="rId57" Type="http://schemas.openxmlformats.org/officeDocument/2006/relationships/hyperlink" Target="https://www.acma.gov.au/consultations/2021-11/exploring-future-use-19-ghz-band-consultation-402021" TargetMode="External"/><Relationship Id="rId10" Type="http://schemas.openxmlformats.org/officeDocument/2006/relationships/header" Target="header2.xml"/><Relationship Id="rId31" Type="http://schemas.openxmlformats.org/officeDocument/2006/relationships/hyperlink" Target="https://www.acma.gov.au/consultations/2021-11/exploring-future-use-19-ghz-band-consultation-402021" TargetMode="External"/><Relationship Id="rId44" Type="http://schemas.openxmlformats.org/officeDocument/2006/relationships/footer" Target="footer8.xml"/><Relationship Id="rId52" Type="http://schemas.openxmlformats.org/officeDocument/2006/relationships/hyperlink" Target="https://www.mfa-tech.org/wp-content/uploads/MulteFire_Release-1.9-GHz_WhitePaper_12FEB2019.pdf" TargetMode="External"/><Relationship Id="rId60" Type="http://schemas.openxmlformats.org/officeDocument/2006/relationships/chart" Target="charts/chart2.xml"/><Relationship Id="rId65" Type="http://schemas.openxmlformats.org/officeDocument/2006/relationships/header" Target="header9.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legislation.gov.au/Details/F2022C00281" TargetMode="External"/><Relationship Id="rId34" Type="http://schemas.openxmlformats.org/officeDocument/2006/relationships/hyperlink" Target="https://www.acma.gov.au/consultations/2021-11/exploring-future-use-19-ghz-band-consultation-402021" TargetMode="External"/><Relationship Id="rId50" Type="http://schemas.openxmlformats.org/officeDocument/2006/relationships/hyperlink" Target="https://docdb.cept.org/download/1434" TargetMode="External"/><Relationship Id="rId55" Type="http://schemas.openxmlformats.org/officeDocument/2006/relationships/hyperlink" Target="https://www.acma.gov.au/theACMA/About/Corporate/Accountability/privacy-and-consultations"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itu.int/dms_pubrec/itu-r/rec/m/R-REC-M.2150-1-202202-I!!PDF-E.pdf" TargetMode="External"/><Relationship Id="rId13" Type="http://schemas.openxmlformats.org/officeDocument/2006/relationships/hyperlink" Target="https://archive.budget.gov.au/index.htm" TargetMode="External"/><Relationship Id="rId3" Type="http://schemas.openxmlformats.org/officeDocument/2006/relationships/hyperlink" Target="https://www.businesswire.com/news/home/20220224005570/en/ITU-R-Approves-DECT-2020-as-New-5G-Technology-Standard" TargetMode="External"/><Relationship Id="rId7" Type="http://schemas.openxmlformats.org/officeDocument/2006/relationships/hyperlink" Target="https://docdb.cept.org/document/52" TargetMode="External"/><Relationship Id="rId12" Type="http://schemas.openxmlformats.org/officeDocument/2006/relationships/hyperlink" Target="https://docdb.cept.org/download/1425" TargetMode="External"/><Relationship Id="rId2" Type="http://schemas.openxmlformats.org/officeDocument/2006/relationships/hyperlink" Target="https://www.itu.int/dms_pubrec/itu-r/rec/m/R-REC-M.2150-1-202202-I!!PDF-E.pdf" TargetMode="External"/><Relationship Id="rId1" Type="http://schemas.openxmlformats.org/officeDocument/2006/relationships/hyperlink" Target="https://www.acma.gov.au/publications/2022-08/plan/corporate-plan-2022-23" TargetMode="External"/><Relationship Id="rId6" Type="http://schemas.openxmlformats.org/officeDocument/2006/relationships/hyperlink" Target="https://docdb.cept.org/download/2526" TargetMode="External"/><Relationship Id="rId11" Type="http://schemas.openxmlformats.org/officeDocument/2006/relationships/hyperlink" Target="https://docdb.cept.org/download/132" TargetMode="External"/><Relationship Id="rId5" Type="http://schemas.openxmlformats.org/officeDocument/2006/relationships/hyperlink" Target="https://docdb.cept.org/download/1446" TargetMode="External"/><Relationship Id="rId10" Type="http://schemas.openxmlformats.org/officeDocument/2006/relationships/hyperlink" Target="https://www.dect.org/userfiles/file/A.%20Current%20Documents/NRplus/DF_PR%20DECT%20NRplus_final_2022-02-24.pdf" TargetMode="External"/><Relationship Id="rId4" Type="http://schemas.openxmlformats.org/officeDocument/2006/relationships/hyperlink" Target="https://www.itu.int/dms_pubrec/itu-r/rec/m/R-REC-M.1457-15-202010-I!!PDF-E.pdf" TargetMode="External"/><Relationship Id="rId9" Type="http://schemas.openxmlformats.org/officeDocument/2006/relationships/hyperlink" Target="https://www.etsi.org/newsroom/press-releases/1988-2021-10-world-s-first-non-cellular-5g-technology-etsi-dect-2020-gets-itu-r-approval-setting-example-of-new-era-connectivity?utm_medium=email&amp;utm_campaign=ETSI%20Flash%20News%20202116%20Worlds%20first%20non-cellular%205G%20technology%20ETSI%20DECT-2020%20gets%20ITU-R%20approval&amp;utm_content=ETSI%20Flash%20News%20202116%20Worlds%20first%20non-cellular%205G%20technology%20ETSI%20DECT-2020%20gets%20ITU-R%20approval+CID_92c91f4d42575ba13624a088f3f78afb&amp;utm_source=ETSI%20Newsletter%20e%20mail&amp;utm_term=Read%20mor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embeddings/oleObject2.bin"/><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embeddings/oleObject3.bin"/><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90073870487852"/>
          <c:y val="6.0896473543919853E-2"/>
          <c:w val="0.85886034141084033"/>
          <c:h val="0.65703401860759625"/>
        </c:manualLayout>
      </c:layout>
      <c:barChart>
        <c:barDir val="col"/>
        <c:grouping val="clustered"/>
        <c:varyColors val="0"/>
        <c:ser>
          <c:idx val="0"/>
          <c:order val="0"/>
          <c:tx>
            <c:strRef>
              <c:f>'(anypart in1.9GHz)'!$B$15</c:f>
              <c:strCache>
                <c:ptCount val="1"/>
                <c:pt idx="0">
                  <c:v>Point to Multipoint                               </c:v>
                </c:pt>
              </c:strCache>
            </c:strRef>
          </c:tx>
          <c:spPr>
            <a:solidFill>
              <a:schemeClr val="accent1"/>
            </a:solidFill>
            <a:ln>
              <a:noFill/>
            </a:ln>
            <a:effectLst/>
          </c:spPr>
          <c:invertIfNegative val="0"/>
          <c:cat>
            <c:numRef>
              <c:f>'(anypart in1.9GHz)'!$C$14:$J$14</c:f>
              <c:numCache>
                <c:formatCode>General</c:formatCode>
                <c:ptCount val="8"/>
                <c:pt idx="0">
                  <c:v>2015</c:v>
                </c:pt>
                <c:pt idx="1">
                  <c:v>2016</c:v>
                </c:pt>
                <c:pt idx="2">
                  <c:v>2017</c:v>
                </c:pt>
                <c:pt idx="3">
                  <c:v>2018</c:v>
                </c:pt>
                <c:pt idx="4">
                  <c:v>2019</c:v>
                </c:pt>
                <c:pt idx="5">
                  <c:v>2020</c:v>
                </c:pt>
                <c:pt idx="6">
                  <c:v>2021</c:v>
                </c:pt>
                <c:pt idx="7">
                  <c:v>2022</c:v>
                </c:pt>
              </c:numCache>
            </c:numRef>
          </c:cat>
          <c:val>
            <c:numRef>
              <c:f>'(anypart in1.9GHz)'!$C$15:$J$15</c:f>
              <c:numCache>
                <c:formatCode>General</c:formatCode>
                <c:ptCount val="8"/>
                <c:pt idx="0">
                  <c:v>102</c:v>
                </c:pt>
                <c:pt idx="1">
                  <c:v>92</c:v>
                </c:pt>
                <c:pt idx="2">
                  <c:v>66</c:v>
                </c:pt>
                <c:pt idx="3">
                  <c:v>50</c:v>
                </c:pt>
                <c:pt idx="4">
                  <c:v>82</c:v>
                </c:pt>
                <c:pt idx="5">
                  <c:v>72</c:v>
                </c:pt>
                <c:pt idx="6">
                  <c:v>124</c:v>
                </c:pt>
                <c:pt idx="7">
                  <c:v>134</c:v>
                </c:pt>
              </c:numCache>
            </c:numRef>
          </c:val>
          <c:extLst>
            <c:ext xmlns:c16="http://schemas.microsoft.com/office/drawing/2014/chart" uri="{C3380CC4-5D6E-409C-BE32-E72D297353CC}">
              <c16:uniqueId val="{00000000-8F33-445B-9413-32A4E133B4D5}"/>
            </c:ext>
          </c:extLst>
        </c:ser>
        <c:ser>
          <c:idx val="1"/>
          <c:order val="1"/>
          <c:tx>
            <c:strRef>
              <c:f>'(anypart in1.9GHz)'!$B$16</c:f>
              <c:strCache>
                <c:ptCount val="1"/>
                <c:pt idx="0">
                  <c:v>Point to Point                                    </c:v>
                </c:pt>
              </c:strCache>
            </c:strRef>
          </c:tx>
          <c:spPr>
            <a:solidFill>
              <a:schemeClr val="accent2"/>
            </a:solidFill>
            <a:ln>
              <a:noFill/>
            </a:ln>
            <a:effectLst/>
          </c:spPr>
          <c:invertIfNegative val="0"/>
          <c:cat>
            <c:numRef>
              <c:f>'(anypart in1.9GHz)'!$C$14:$J$14</c:f>
              <c:numCache>
                <c:formatCode>General</c:formatCode>
                <c:ptCount val="8"/>
                <c:pt idx="0">
                  <c:v>2015</c:v>
                </c:pt>
                <c:pt idx="1">
                  <c:v>2016</c:v>
                </c:pt>
                <c:pt idx="2">
                  <c:v>2017</c:v>
                </c:pt>
                <c:pt idx="3">
                  <c:v>2018</c:v>
                </c:pt>
                <c:pt idx="4">
                  <c:v>2019</c:v>
                </c:pt>
                <c:pt idx="5">
                  <c:v>2020</c:v>
                </c:pt>
                <c:pt idx="6">
                  <c:v>2021</c:v>
                </c:pt>
                <c:pt idx="7">
                  <c:v>2022</c:v>
                </c:pt>
              </c:numCache>
            </c:numRef>
          </c:cat>
          <c:val>
            <c:numRef>
              <c:f>'(anypart in1.9GHz)'!$C$16:$J$16</c:f>
              <c:numCache>
                <c:formatCode>General</c:formatCode>
                <c:ptCount val="8"/>
                <c:pt idx="0">
                  <c:v>356</c:v>
                </c:pt>
                <c:pt idx="1">
                  <c:v>306</c:v>
                </c:pt>
                <c:pt idx="2">
                  <c:v>202</c:v>
                </c:pt>
                <c:pt idx="3">
                  <c:v>162</c:v>
                </c:pt>
                <c:pt idx="4">
                  <c:v>140</c:v>
                </c:pt>
                <c:pt idx="5">
                  <c:v>128</c:v>
                </c:pt>
                <c:pt idx="6">
                  <c:v>122</c:v>
                </c:pt>
                <c:pt idx="7">
                  <c:v>118</c:v>
                </c:pt>
              </c:numCache>
            </c:numRef>
          </c:val>
          <c:extLst>
            <c:ext xmlns:c16="http://schemas.microsoft.com/office/drawing/2014/chart" uri="{C3380CC4-5D6E-409C-BE32-E72D297353CC}">
              <c16:uniqueId val="{00000001-8F33-445B-9413-32A4E133B4D5}"/>
            </c:ext>
          </c:extLst>
        </c:ser>
        <c:dLbls>
          <c:showLegendKey val="0"/>
          <c:showVal val="0"/>
          <c:showCatName val="0"/>
          <c:showSerName val="0"/>
          <c:showPercent val="0"/>
          <c:showBubbleSize val="0"/>
        </c:dLbls>
        <c:gapWidth val="219"/>
        <c:overlap val="-27"/>
        <c:axId val="764365631"/>
        <c:axId val="764366047"/>
      </c:barChart>
      <c:catAx>
        <c:axId val="76436563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6047"/>
        <c:crosses val="autoZero"/>
        <c:auto val="1"/>
        <c:lblAlgn val="ctr"/>
        <c:lblOffset val="100"/>
        <c:noMultiLvlLbl val="0"/>
      </c:catAx>
      <c:valAx>
        <c:axId val="764366047"/>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Number of Assignments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5631"/>
        <c:crosses val="autoZero"/>
        <c:crossBetween val="between"/>
      </c:valAx>
      <c:spPr>
        <a:noFill/>
        <a:ln>
          <a:noFill/>
        </a:ln>
        <a:effectLst/>
      </c:spPr>
    </c:plotArea>
    <c:legend>
      <c:legendPos val="b"/>
      <c:layout>
        <c:manualLayout>
          <c:xMode val="edge"/>
          <c:yMode val="edge"/>
          <c:x val="0.30260716623109096"/>
          <c:y val="0.8612763798319959"/>
          <c:w val="0.62648063998186254"/>
          <c:h val="6.712457482194200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90073870487852"/>
          <c:y val="5.1413573303337082E-2"/>
          <c:w val="0.85886034141084033"/>
          <c:h val="0.66651706998163684"/>
        </c:manualLayout>
      </c:layout>
      <c:barChart>
        <c:barDir val="col"/>
        <c:grouping val="clustered"/>
        <c:varyColors val="0"/>
        <c:ser>
          <c:idx val="0"/>
          <c:order val="0"/>
          <c:tx>
            <c:strRef>
              <c:f>'2015-2022 (2)'!$B$15</c:f>
              <c:strCache>
                <c:ptCount val="1"/>
                <c:pt idx="0">
                  <c:v>Point to Multipoint                               </c:v>
                </c:pt>
              </c:strCache>
            </c:strRef>
          </c:tx>
          <c:spPr>
            <a:solidFill>
              <a:schemeClr val="accent1"/>
            </a:solidFill>
            <a:ln>
              <a:noFill/>
            </a:ln>
            <a:effectLst/>
          </c:spPr>
          <c:invertIfNegative val="0"/>
          <c:cat>
            <c:numRef>
              <c:f>'2015-2022 (2)'!$C$14:$J$14</c:f>
              <c:numCache>
                <c:formatCode>General</c:formatCode>
                <c:ptCount val="8"/>
                <c:pt idx="0">
                  <c:v>2015</c:v>
                </c:pt>
                <c:pt idx="1">
                  <c:v>2016</c:v>
                </c:pt>
                <c:pt idx="2">
                  <c:v>2017</c:v>
                </c:pt>
                <c:pt idx="3">
                  <c:v>2018</c:v>
                </c:pt>
                <c:pt idx="4">
                  <c:v>2019</c:v>
                </c:pt>
                <c:pt idx="5">
                  <c:v>2020</c:v>
                </c:pt>
                <c:pt idx="6">
                  <c:v>2021</c:v>
                </c:pt>
                <c:pt idx="7">
                  <c:v>2022</c:v>
                </c:pt>
              </c:numCache>
            </c:numRef>
          </c:cat>
          <c:val>
            <c:numRef>
              <c:f>'2015-2022 (2)'!$C$15:$J$15</c:f>
              <c:numCache>
                <c:formatCode>General</c:formatCode>
                <c:ptCount val="8"/>
                <c:pt idx="0">
                  <c:v>102</c:v>
                </c:pt>
                <c:pt idx="1">
                  <c:v>92</c:v>
                </c:pt>
                <c:pt idx="2">
                  <c:v>66</c:v>
                </c:pt>
                <c:pt idx="3">
                  <c:v>50</c:v>
                </c:pt>
                <c:pt idx="4">
                  <c:v>82</c:v>
                </c:pt>
                <c:pt idx="5">
                  <c:v>72</c:v>
                </c:pt>
                <c:pt idx="6">
                  <c:v>124</c:v>
                </c:pt>
                <c:pt idx="7">
                  <c:v>134</c:v>
                </c:pt>
              </c:numCache>
            </c:numRef>
          </c:val>
          <c:extLst>
            <c:ext xmlns:c16="http://schemas.microsoft.com/office/drawing/2014/chart" uri="{C3380CC4-5D6E-409C-BE32-E72D297353CC}">
              <c16:uniqueId val="{00000000-C2F1-4A51-977F-22B03F611038}"/>
            </c:ext>
          </c:extLst>
        </c:ser>
        <c:ser>
          <c:idx val="1"/>
          <c:order val="1"/>
          <c:tx>
            <c:strRef>
              <c:f>'2015-2022 (2)'!$B$16</c:f>
              <c:strCache>
                <c:ptCount val="1"/>
                <c:pt idx="0">
                  <c:v>Point to Point                                    </c:v>
                </c:pt>
              </c:strCache>
            </c:strRef>
          </c:tx>
          <c:spPr>
            <a:solidFill>
              <a:schemeClr val="accent2"/>
            </a:solidFill>
            <a:ln>
              <a:noFill/>
            </a:ln>
            <a:effectLst/>
          </c:spPr>
          <c:invertIfNegative val="0"/>
          <c:cat>
            <c:numRef>
              <c:f>'2015-2022 (2)'!$C$14:$J$14</c:f>
              <c:numCache>
                <c:formatCode>General</c:formatCode>
                <c:ptCount val="8"/>
                <c:pt idx="0">
                  <c:v>2015</c:v>
                </c:pt>
                <c:pt idx="1">
                  <c:v>2016</c:v>
                </c:pt>
                <c:pt idx="2">
                  <c:v>2017</c:v>
                </c:pt>
                <c:pt idx="3">
                  <c:v>2018</c:v>
                </c:pt>
                <c:pt idx="4">
                  <c:v>2019</c:v>
                </c:pt>
                <c:pt idx="5">
                  <c:v>2020</c:v>
                </c:pt>
                <c:pt idx="6">
                  <c:v>2021</c:v>
                </c:pt>
                <c:pt idx="7">
                  <c:v>2022</c:v>
                </c:pt>
              </c:numCache>
            </c:numRef>
          </c:cat>
          <c:val>
            <c:numRef>
              <c:f>'2015-2022 (2)'!$C$16:$J$16</c:f>
              <c:numCache>
                <c:formatCode>General</c:formatCode>
                <c:ptCount val="8"/>
                <c:pt idx="0">
                  <c:v>146</c:v>
                </c:pt>
                <c:pt idx="1">
                  <c:v>112</c:v>
                </c:pt>
                <c:pt idx="2">
                  <c:v>68</c:v>
                </c:pt>
                <c:pt idx="3">
                  <c:v>54</c:v>
                </c:pt>
                <c:pt idx="4">
                  <c:v>50</c:v>
                </c:pt>
                <c:pt idx="5">
                  <c:v>50</c:v>
                </c:pt>
                <c:pt idx="6">
                  <c:v>44</c:v>
                </c:pt>
                <c:pt idx="7">
                  <c:v>42</c:v>
                </c:pt>
              </c:numCache>
            </c:numRef>
          </c:val>
          <c:extLst>
            <c:ext xmlns:c16="http://schemas.microsoft.com/office/drawing/2014/chart" uri="{C3380CC4-5D6E-409C-BE32-E72D297353CC}">
              <c16:uniqueId val="{00000001-C2F1-4A51-977F-22B03F611038}"/>
            </c:ext>
          </c:extLst>
        </c:ser>
        <c:dLbls>
          <c:showLegendKey val="0"/>
          <c:showVal val="0"/>
          <c:showCatName val="0"/>
          <c:showSerName val="0"/>
          <c:showPercent val="0"/>
          <c:showBubbleSize val="0"/>
        </c:dLbls>
        <c:gapWidth val="219"/>
        <c:overlap val="-27"/>
        <c:axId val="764365631"/>
        <c:axId val="764366047"/>
      </c:barChart>
      <c:catAx>
        <c:axId val="76436563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6047"/>
        <c:crosses val="autoZero"/>
        <c:auto val="1"/>
        <c:lblAlgn val="ctr"/>
        <c:lblOffset val="100"/>
        <c:noMultiLvlLbl val="0"/>
      </c:catAx>
      <c:valAx>
        <c:axId val="764366047"/>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Number of Assignments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5631"/>
        <c:crosses val="autoZero"/>
        <c:crossBetween val="between"/>
      </c:valAx>
      <c:spPr>
        <a:noFill/>
        <a:ln>
          <a:noFill/>
        </a:ln>
        <a:effectLst/>
      </c:spPr>
    </c:plotArea>
    <c:legend>
      <c:legendPos val="b"/>
      <c:layout>
        <c:manualLayout>
          <c:xMode val="edge"/>
          <c:yMode val="edge"/>
          <c:x val="0.30334362148892702"/>
          <c:y val="0.85624076092872681"/>
          <c:w val="0.64148453025467977"/>
          <c:h val="6.762219238724191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90073870487852"/>
          <c:y val="6.6448883972148112E-2"/>
          <c:w val="0.85886034141084033"/>
          <c:h val="0.6514817465998568"/>
        </c:manualLayout>
      </c:layout>
      <c:barChart>
        <c:barDir val="col"/>
        <c:grouping val="clustered"/>
        <c:varyColors val="0"/>
        <c:ser>
          <c:idx val="0"/>
          <c:order val="0"/>
          <c:tx>
            <c:strRef>
              <c:f>'2015-2022 (CentreFreq &lt;1880MHz)'!$B$15</c:f>
              <c:strCache>
                <c:ptCount val="1"/>
                <c:pt idx="0">
                  <c:v>Point to Multipoint                               </c:v>
                </c:pt>
              </c:strCache>
            </c:strRef>
          </c:tx>
          <c:spPr>
            <a:solidFill>
              <a:schemeClr val="accent1"/>
            </a:solidFill>
            <a:ln>
              <a:noFill/>
            </a:ln>
            <a:effectLst/>
          </c:spPr>
          <c:invertIfNegative val="0"/>
          <c:cat>
            <c:numRef>
              <c:f>'2015-2022 (CentreFreq &lt;1880MHz)'!$C$14:$J$14</c:f>
              <c:numCache>
                <c:formatCode>General</c:formatCode>
                <c:ptCount val="8"/>
                <c:pt idx="0">
                  <c:v>2015</c:v>
                </c:pt>
                <c:pt idx="1">
                  <c:v>2016</c:v>
                </c:pt>
                <c:pt idx="2">
                  <c:v>2017</c:v>
                </c:pt>
                <c:pt idx="3">
                  <c:v>2018</c:v>
                </c:pt>
                <c:pt idx="4">
                  <c:v>2019</c:v>
                </c:pt>
                <c:pt idx="5">
                  <c:v>2020</c:v>
                </c:pt>
                <c:pt idx="6">
                  <c:v>2021</c:v>
                </c:pt>
                <c:pt idx="7">
                  <c:v>2022</c:v>
                </c:pt>
              </c:numCache>
            </c:numRef>
          </c:cat>
          <c:val>
            <c:numRef>
              <c:f>'2015-2022 (CentreFreq &lt;1880MHz)'!$C$15:$J$15</c:f>
              <c:numCache>
                <c:formatCode>General</c:formatCode>
                <c:ptCount val="8"/>
                <c:pt idx="0">
                  <c:v>0</c:v>
                </c:pt>
                <c:pt idx="1">
                  <c:v>0</c:v>
                </c:pt>
                <c:pt idx="2">
                  <c:v>0</c:v>
                </c:pt>
                <c:pt idx="3">
                  <c:v>0</c:v>
                </c:pt>
                <c:pt idx="4">
                  <c:v>0</c:v>
                </c:pt>
                <c:pt idx="5">
                  <c:v>0</c:v>
                </c:pt>
                <c:pt idx="6">
                  <c:v>0</c:v>
                </c:pt>
                <c:pt idx="7">
                  <c:v>0</c:v>
                </c:pt>
              </c:numCache>
            </c:numRef>
          </c:val>
          <c:extLst>
            <c:ext xmlns:c16="http://schemas.microsoft.com/office/drawing/2014/chart" uri="{C3380CC4-5D6E-409C-BE32-E72D297353CC}">
              <c16:uniqueId val="{00000000-2CF1-4A81-9417-EBEC826D62D1}"/>
            </c:ext>
          </c:extLst>
        </c:ser>
        <c:ser>
          <c:idx val="1"/>
          <c:order val="1"/>
          <c:tx>
            <c:strRef>
              <c:f>'2015-2022 (CentreFreq &lt;1880MHz)'!$B$16</c:f>
              <c:strCache>
                <c:ptCount val="1"/>
                <c:pt idx="0">
                  <c:v>Point to Point                                    </c:v>
                </c:pt>
              </c:strCache>
            </c:strRef>
          </c:tx>
          <c:spPr>
            <a:solidFill>
              <a:schemeClr val="accent2"/>
            </a:solidFill>
            <a:ln>
              <a:noFill/>
            </a:ln>
            <a:effectLst/>
          </c:spPr>
          <c:invertIfNegative val="0"/>
          <c:cat>
            <c:numRef>
              <c:f>'2015-2022 (CentreFreq &lt;1880MHz)'!$C$14:$J$14</c:f>
              <c:numCache>
                <c:formatCode>General</c:formatCode>
                <c:ptCount val="8"/>
                <c:pt idx="0">
                  <c:v>2015</c:v>
                </c:pt>
                <c:pt idx="1">
                  <c:v>2016</c:v>
                </c:pt>
                <c:pt idx="2">
                  <c:v>2017</c:v>
                </c:pt>
                <c:pt idx="3">
                  <c:v>2018</c:v>
                </c:pt>
                <c:pt idx="4">
                  <c:v>2019</c:v>
                </c:pt>
                <c:pt idx="5">
                  <c:v>2020</c:v>
                </c:pt>
                <c:pt idx="6">
                  <c:v>2021</c:v>
                </c:pt>
                <c:pt idx="7">
                  <c:v>2022</c:v>
                </c:pt>
              </c:numCache>
            </c:numRef>
          </c:cat>
          <c:val>
            <c:numRef>
              <c:f>'2015-2022 (CentreFreq &lt;1880MHz)'!$C$16:$J$16</c:f>
              <c:numCache>
                <c:formatCode>General</c:formatCode>
                <c:ptCount val="8"/>
                <c:pt idx="0">
                  <c:v>130</c:v>
                </c:pt>
                <c:pt idx="1">
                  <c:v>114</c:v>
                </c:pt>
                <c:pt idx="2">
                  <c:v>56</c:v>
                </c:pt>
                <c:pt idx="3">
                  <c:v>36</c:v>
                </c:pt>
                <c:pt idx="4">
                  <c:v>32</c:v>
                </c:pt>
                <c:pt idx="5">
                  <c:v>24</c:v>
                </c:pt>
                <c:pt idx="6">
                  <c:v>24</c:v>
                </c:pt>
                <c:pt idx="7">
                  <c:v>26</c:v>
                </c:pt>
              </c:numCache>
            </c:numRef>
          </c:val>
          <c:extLst>
            <c:ext xmlns:c16="http://schemas.microsoft.com/office/drawing/2014/chart" uri="{C3380CC4-5D6E-409C-BE32-E72D297353CC}">
              <c16:uniqueId val="{00000001-2CF1-4A81-9417-EBEC826D62D1}"/>
            </c:ext>
          </c:extLst>
        </c:ser>
        <c:dLbls>
          <c:showLegendKey val="0"/>
          <c:showVal val="0"/>
          <c:showCatName val="0"/>
          <c:showSerName val="0"/>
          <c:showPercent val="0"/>
          <c:showBubbleSize val="0"/>
        </c:dLbls>
        <c:gapWidth val="219"/>
        <c:overlap val="-27"/>
        <c:axId val="764365631"/>
        <c:axId val="764366047"/>
      </c:barChart>
      <c:catAx>
        <c:axId val="76436563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6047"/>
        <c:crosses val="autoZero"/>
        <c:auto val="1"/>
        <c:lblAlgn val="ctr"/>
        <c:lblOffset val="100"/>
        <c:noMultiLvlLbl val="0"/>
      </c:catAx>
      <c:valAx>
        <c:axId val="764366047"/>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Number of Assignments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5631"/>
        <c:crosses val="autoZero"/>
        <c:crossBetween val="between"/>
      </c:valAx>
      <c:spPr>
        <a:noFill/>
        <a:ln>
          <a:noFill/>
        </a:ln>
        <a:effectLst/>
      </c:spPr>
    </c:plotArea>
    <c:legend>
      <c:legendPos val="b"/>
      <c:layout>
        <c:manualLayout>
          <c:xMode val="edge"/>
          <c:yMode val="edge"/>
          <c:x val="0.28939109644029448"/>
          <c:y val="0.83741003138330861"/>
          <c:w val="0.68168947202613406"/>
          <c:h val="6.7124574821942007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90073870487852"/>
          <c:y val="6.3623841891558411E-2"/>
          <c:w val="0.85886034141084033"/>
          <c:h val="0.65430692958252012"/>
        </c:manualLayout>
      </c:layout>
      <c:barChart>
        <c:barDir val="col"/>
        <c:grouping val="clustered"/>
        <c:varyColors val="0"/>
        <c:ser>
          <c:idx val="0"/>
          <c:order val="0"/>
          <c:tx>
            <c:strRef>
              <c:f>'2015-2022 (CentreFreq &gt; 1920MHz'!$B$15</c:f>
              <c:strCache>
                <c:ptCount val="1"/>
                <c:pt idx="0">
                  <c:v>Point to Multipoint                               </c:v>
                </c:pt>
              </c:strCache>
            </c:strRef>
          </c:tx>
          <c:spPr>
            <a:solidFill>
              <a:schemeClr val="accent1"/>
            </a:solidFill>
            <a:ln>
              <a:noFill/>
            </a:ln>
            <a:effectLst/>
          </c:spPr>
          <c:invertIfNegative val="0"/>
          <c:cat>
            <c:numRef>
              <c:f>'2015-2022 (CentreFreq &gt; 1920MHz'!$C$14:$J$14</c:f>
              <c:numCache>
                <c:formatCode>General</c:formatCode>
                <c:ptCount val="8"/>
                <c:pt idx="0">
                  <c:v>2015</c:v>
                </c:pt>
                <c:pt idx="1">
                  <c:v>2016</c:v>
                </c:pt>
                <c:pt idx="2">
                  <c:v>2017</c:v>
                </c:pt>
                <c:pt idx="3">
                  <c:v>2018</c:v>
                </c:pt>
                <c:pt idx="4">
                  <c:v>2019</c:v>
                </c:pt>
                <c:pt idx="5">
                  <c:v>2020</c:v>
                </c:pt>
                <c:pt idx="6">
                  <c:v>2021</c:v>
                </c:pt>
                <c:pt idx="7">
                  <c:v>2022</c:v>
                </c:pt>
              </c:numCache>
            </c:numRef>
          </c:cat>
          <c:val>
            <c:numRef>
              <c:f>'2015-2022 (CentreFreq &gt; 1920MHz'!$C$15:$J$15</c:f>
              <c:numCache>
                <c:formatCode>General</c:formatCode>
                <c:ptCount val="8"/>
                <c:pt idx="0">
                  <c:v>0</c:v>
                </c:pt>
                <c:pt idx="1">
                  <c:v>0</c:v>
                </c:pt>
                <c:pt idx="2">
                  <c:v>0</c:v>
                </c:pt>
                <c:pt idx="3">
                  <c:v>0</c:v>
                </c:pt>
                <c:pt idx="4">
                  <c:v>0</c:v>
                </c:pt>
                <c:pt idx="5">
                  <c:v>0</c:v>
                </c:pt>
                <c:pt idx="6">
                  <c:v>0</c:v>
                </c:pt>
                <c:pt idx="7">
                  <c:v>0</c:v>
                </c:pt>
              </c:numCache>
            </c:numRef>
          </c:val>
          <c:extLst>
            <c:ext xmlns:c16="http://schemas.microsoft.com/office/drawing/2014/chart" uri="{C3380CC4-5D6E-409C-BE32-E72D297353CC}">
              <c16:uniqueId val="{00000000-2DFE-4F89-A88E-41A3F8697CD3}"/>
            </c:ext>
          </c:extLst>
        </c:ser>
        <c:ser>
          <c:idx val="1"/>
          <c:order val="1"/>
          <c:tx>
            <c:strRef>
              <c:f>'2015-2022 (CentreFreq &gt; 1920MHz'!$B$16</c:f>
              <c:strCache>
                <c:ptCount val="1"/>
                <c:pt idx="0">
                  <c:v>Point to Point                                    </c:v>
                </c:pt>
              </c:strCache>
            </c:strRef>
          </c:tx>
          <c:spPr>
            <a:solidFill>
              <a:schemeClr val="accent2"/>
            </a:solidFill>
            <a:ln>
              <a:noFill/>
            </a:ln>
            <a:effectLst/>
          </c:spPr>
          <c:invertIfNegative val="0"/>
          <c:cat>
            <c:numRef>
              <c:f>'2015-2022 (CentreFreq &gt; 1920MHz'!$C$14:$J$14</c:f>
              <c:numCache>
                <c:formatCode>General</c:formatCode>
                <c:ptCount val="8"/>
                <c:pt idx="0">
                  <c:v>2015</c:v>
                </c:pt>
                <c:pt idx="1">
                  <c:v>2016</c:v>
                </c:pt>
                <c:pt idx="2">
                  <c:v>2017</c:v>
                </c:pt>
                <c:pt idx="3">
                  <c:v>2018</c:v>
                </c:pt>
                <c:pt idx="4">
                  <c:v>2019</c:v>
                </c:pt>
                <c:pt idx="5">
                  <c:v>2020</c:v>
                </c:pt>
                <c:pt idx="6">
                  <c:v>2021</c:v>
                </c:pt>
                <c:pt idx="7">
                  <c:v>2022</c:v>
                </c:pt>
              </c:numCache>
            </c:numRef>
          </c:cat>
          <c:val>
            <c:numRef>
              <c:f>'2015-2022 (CentreFreq &gt; 1920MHz'!$C$16:$J$16</c:f>
              <c:numCache>
                <c:formatCode>General</c:formatCode>
                <c:ptCount val="8"/>
                <c:pt idx="0">
                  <c:v>80</c:v>
                </c:pt>
                <c:pt idx="1">
                  <c:v>80</c:v>
                </c:pt>
                <c:pt idx="2">
                  <c:v>78</c:v>
                </c:pt>
                <c:pt idx="3">
                  <c:v>72</c:v>
                </c:pt>
                <c:pt idx="4">
                  <c:v>58</c:v>
                </c:pt>
                <c:pt idx="5">
                  <c:v>54</c:v>
                </c:pt>
                <c:pt idx="6">
                  <c:v>54</c:v>
                </c:pt>
                <c:pt idx="7">
                  <c:v>50</c:v>
                </c:pt>
              </c:numCache>
            </c:numRef>
          </c:val>
          <c:extLst>
            <c:ext xmlns:c16="http://schemas.microsoft.com/office/drawing/2014/chart" uri="{C3380CC4-5D6E-409C-BE32-E72D297353CC}">
              <c16:uniqueId val="{00000001-2DFE-4F89-A88E-41A3F8697CD3}"/>
            </c:ext>
          </c:extLst>
        </c:ser>
        <c:dLbls>
          <c:showLegendKey val="0"/>
          <c:showVal val="0"/>
          <c:showCatName val="0"/>
          <c:showSerName val="0"/>
          <c:showPercent val="0"/>
          <c:showBubbleSize val="0"/>
        </c:dLbls>
        <c:gapWidth val="219"/>
        <c:overlap val="-27"/>
        <c:axId val="764365631"/>
        <c:axId val="764366047"/>
      </c:barChart>
      <c:catAx>
        <c:axId val="764365631"/>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Year</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6047"/>
        <c:crosses val="autoZero"/>
        <c:auto val="1"/>
        <c:lblAlgn val="ctr"/>
        <c:lblOffset val="100"/>
        <c:noMultiLvlLbl val="0"/>
      </c:catAx>
      <c:valAx>
        <c:axId val="764366047"/>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Number of Assignments</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64365631"/>
        <c:crosses val="autoZero"/>
        <c:crossBetween val="between"/>
      </c:valAx>
      <c:spPr>
        <a:noFill/>
        <a:ln>
          <a:noFill/>
        </a:ln>
        <a:effectLst/>
      </c:spPr>
    </c:plotArea>
    <c:legend>
      <c:legendPos val="b"/>
      <c:layout>
        <c:manualLayout>
          <c:xMode val="edge"/>
          <c:yMode val="edge"/>
          <c:x val="0.25890661035834844"/>
          <c:y val="0.84538853132977754"/>
          <c:w val="0.68866867766043605"/>
          <c:h val="6.7114568954070711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644EE-BB91-4699-9D16-66CB719994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50</Pages>
  <Words>13593</Words>
  <Characters>84008</Characters>
  <Application>Microsoft Office Word</Application>
  <DocSecurity>0</DocSecurity>
  <Lines>2270</Lines>
  <Paragraphs>1060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96541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2022-11-29T21:03:00Z</dcterms:created>
  <dcterms:modified xsi:type="dcterms:W3CDTF">2022-11-29T21:03:00Z</dcterms:modified>
  <cp:category/>
</cp:coreProperties>
</file>