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4432F7" w14:textId="63D6400F" w:rsidR="00F06E14" w:rsidRPr="00E162C4" w:rsidRDefault="00727C6C" w:rsidP="00A51D1A">
      <w:pPr>
        <w:pStyle w:val="Reporttitle"/>
      </w:pPr>
      <w:r w:rsidRPr="00727C6C">
        <w:t>Variation to the Low Interference Potential</w:t>
      </w:r>
      <w:r w:rsidR="008A3F31">
        <w:t xml:space="preserve"> Device Class Licence</w:t>
      </w:r>
    </w:p>
    <w:p w14:paraId="2A6416A2" w14:textId="4D425511" w:rsidR="00F06E14" w:rsidRPr="00E162C4" w:rsidRDefault="00770B3F" w:rsidP="00F06E14">
      <w:pPr>
        <w:pStyle w:val="Reportsubtitle"/>
      </w:pPr>
      <w:r w:rsidRPr="00E162C4">
        <w:t xml:space="preserve">Consultation </w:t>
      </w:r>
      <w:r w:rsidR="00727C6C">
        <w:t>paper</w:t>
      </w:r>
    </w:p>
    <w:p w14:paraId="5CC503B7" w14:textId="65584504" w:rsidR="00C97736" w:rsidRPr="00E162C4" w:rsidRDefault="005E6A50" w:rsidP="00EC2B68">
      <w:pPr>
        <w:pStyle w:val="Reportdate"/>
        <w:spacing w:after="720"/>
        <w:rPr>
          <w:rFonts w:cs="Arial"/>
        </w:rPr>
        <w:sectPr w:rsidR="00C97736" w:rsidRPr="00E162C4"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October</w:t>
      </w:r>
      <w:r w:rsidR="00BD4421" w:rsidRPr="00E162C4">
        <w:t xml:space="preserve"> 20</w:t>
      </w:r>
      <w:r w:rsidR="008E0428" w:rsidRPr="00E162C4">
        <w:t>2</w:t>
      </w:r>
      <w:r w:rsidR="00E162C4">
        <w:t>2</w:t>
      </w:r>
    </w:p>
    <w:p w14:paraId="0D2C6C89" w14:textId="77777777" w:rsidR="0005011A" w:rsidRPr="00E162C4" w:rsidRDefault="0005011A" w:rsidP="00FC07B9">
      <w:pPr>
        <w:pStyle w:val="ACMACorporateAddressHeader"/>
      </w:pPr>
      <w:r w:rsidRPr="00E162C4">
        <w:lastRenderedPageBreak/>
        <w:t>Canberra</w:t>
      </w:r>
    </w:p>
    <w:p w14:paraId="7C4C6A34" w14:textId="77777777" w:rsidR="0005011A" w:rsidRPr="00E162C4" w:rsidRDefault="0005011A" w:rsidP="00FC07B9">
      <w:pPr>
        <w:pStyle w:val="ACMACorporateAddresses"/>
      </w:pPr>
      <w:r w:rsidRPr="00E162C4">
        <w:t xml:space="preserve">Red Building </w:t>
      </w:r>
      <w:r w:rsidRPr="00E162C4">
        <w:br/>
        <w:t>Benjamin Offices</w:t>
      </w:r>
      <w:r w:rsidRPr="00E162C4">
        <w:br/>
        <w:t xml:space="preserve">Chan Street </w:t>
      </w:r>
      <w:r w:rsidRPr="00E162C4">
        <w:br/>
        <w:t>Belconnen ACT</w:t>
      </w:r>
    </w:p>
    <w:p w14:paraId="1A935410" w14:textId="77777777" w:rsidR="0005011A" w:rsidRPr="00E162C4" w:rsidRDefault="0005011A" w:rsidP="00FC07B9">
      <w:pPr>
        <w:pStyle w:val="ACMACorporateAddresses"/>
      </w:pPr>
      <w:r w:rsidRPr="00E162C4">
        <w:t>PO Box 78</w:t>
      </w:r>
      <w:r w:rsidRPr="00E162C4">
        <w:br/>
        <w:t>Belconnen ACT 2616</w:t>
      </w:r>
    </w:p>
    <w:p w14:paraId="210CB75E" w14:textId="77777777" w:rsidR="00FE1823" w:rsidRPr="00E162C4" w:rsidRDefault="0005011A" w:rsidP="00FC07B9">
      <w:pPr>
        <w:pStyle w:val="ACMACorporateAddresses"/>
      </w:pPr>
      <w:r w:rsidRPr="00E162C4">
        <w:t>T</w:t>
      </w:r>
      <w:r w:rsidR="00537604" w:rsidRPr="00E162C4">
        <w:tab/>
      </w:r>
      <w:r w:rsidRPr="00E162C4">
        <w:t>+61 2 6219 5555</w:t>
      </w:r>
      <w:r w:rsidRPr="00E162C4">
        <w:br/>
        <w:t>F</w:t>
      </w:r>
      <w:r w:rsidR="00537604" w:rsidRPr="00E162C4">
        <w:tab/>
      </w:r>
      <w:r w:rsidRPr="00E162C4">
        <w:t>+61 2 6219 5353</w:t>
      </w:r>
    </w:p>
    <w:p w14:paraId="7FE3448C" w14:textId="77777777" w:rsidR="0005011A" w:rsidRPr="00E162C4" w:rsidRDefault="0005011A" w:rsidP="00FC07B9">
      <w:pPr>
        <w:pStyle w:val="ACMACorporateAddressHeader"/>
      </w:pPr>
      <w:r w:rsidRPr="00E162C4">
        <w:t>Melbourne</w:t>
      </w:r>
    </w:p>
    <w:p w14:paraId="4CC99FED" w14:textId="77777777" w:rsidR="0005011A" w:rsidRPr="00E162C4" w:rsidRDefault="0005011A" w:rsidP="00FC07B9">
      <w:pPr>
        <w:pStyle w:val="ACMACorporateAddresses"/>
      </w:pPr>
      <w:r w:rsidRPr="00E162C4">
        <w:t xml:space="preserve">Level 32 </w:t>
      </w:r>
      <w:r w:rsidRPr="00E162C4">
        <w:br/>
        <w:t>Melbourne Central Tower</w:t>
      </w:r>
      <w:r w:rsidRPr="00E162C4">
        <w:br/>
        <w:t xml:space="preserve">360 Elizabeth Street </w:t>
      </w:r>
      <w:r w:rsidR="008C10F4" w:rsidRPr="00E162C4">
        <w:br/>
      </w:r>
      <w:r w:rsidRPr="00E162C4">
        <w:t>Melbourne VIC</w:t>
      </w:r>
    </w:p>
    <w:p w14:paraId="6E0924AE" w14:textId="77777777" w:rsidR="0005011A" w:rsidRPr="00E162C4" w:rsidRDefault="0005011A" w:rsidP="00FC07B9">
      <w:pPr>
        <w:pStyle w:val="ACMACorporateAddresses"/>
      </w:pPr>
      <w:r w:rsidRPr="00E162C4">
        <w:t>PO Box 13112</w:t>
      </w:r>
      <w:r w:rsidRPr="00E162C4">
        <w:br/>
        <w:t xml:space="preserve">Law Courts </w:t>
      </w:r>
      <w:r w:rsidRPr="00E162C4">
        <w:br/>
        <w:t>Melbourne VIC 8010</w:t>
      </w:r>
    </w:p>
    <w:p w14:paraId="6FD12264" w14:textId="77777777" w:rsidR="0005011A" w:rsidRPr="00E162C4" w:rsidRDefault="0005011A" w:rsidP="00FC07B9">
      <w:pPr>
        <w:pStyle w:val="ACMACorporateAddresses"/>
      </w:pPr>
      <w:r w:rsidRPr="00E162C4">
        <w:t>T</w:t>
      </w:r>
      <w:r w:rsidR="00140318" w:rsidRPr="00E162C4">
        <w:tab/>
      </w:r>
      <w:r w:rsidRPr="00E162C4">
        <w:t>+61 3 9963 6800</w:t>
      </w:r>
      <w:r w:rsidRPr="00E162C4">
        <w:br/>
        <w:t>F</w:t>
      </w:r>
      <w:r w:rsidR="00140318" w:rsidRPr="00E162C4">
        <w:tab/>
      </w:r>
      <w:r w:rsidRPr="00E162C4">
        <w:t>+61 3 9963 6899</w:t>
      </w:r>
    </w:p>
    <w:p w14:paraId="452147D8" w14:textId="77777777" w:rsidR="0005011A" w:rsidRPr="00E162C4" w:rsidRDefault="0005011A" w:rsidP="00FC07B9">
      <w:pPr>
        <w:pStyle w:val="ACMACorporateAddressHeader"/>
      </w:pPr>
      <w:r w:rsidRPr="00E162C4">
        <w:t>Sydney</w:t>
      </w:r>
    </w:p>
    <w:p w14:paraId="28CE0A81" w14:textId="77777777" w:rsidR="0005011A" w:rsidRPr="00E162C4" w:rsidRDefault="0005011A" w:rsidP="00FC07B9">
      <w:pPr>
        <w:pStyle w:val="ACMACorporateAddresses"/>
      </w:pPr>
      <w:r w:rsidRPr="00E162C4">
        <w:t xml:space="preserve">Level 5 </w:t>
      </w:r>
      <w:r w:rsidRPr="00E162C4">
        <w:br/>
        <w:t>The Bay Centre</w:t>
      </w:r>
      <w:r w:rsidRPr="00E162C4">
        <w:br/>
        <w:t xml:space="preserve">65 Pirrama Road </w:t>
      </w:r>
      <w:r w:rsidRPr="00E162C4">
        <w:br/>
        <w:t>Pyrmont NSW</w:t>
      </w:r>
    </w:p>
    <w:p w14:paraId="0375B2F6" w14:textId="77777777" w:rsidR="0005011A" w:rsidRPr="00E162C4" w:rsidRDefault="0005011A" w:rsidP="00FC07B9">
      <w:pPr>
        <w:pStyle w:val="ACMACorporateAddresses"/>
      </w:pPr>
      <w:r w:rsidRPr="00E162C4">
        <w:t>PO Box Q500</w:t>
      </w:r>
      <w:r w:rsidRPr="00E162C4">
        <w:br/>
        <w:t xml:space="preserve">Queen Victoria Building </w:t>
      </w:r>
      <w:r w:rsidRPr="00E162C4">
        <w:br/>
        <w:t>NSW 1230</w:t>
      </w:r>
    </w:p>
    <w:p w14:paraId="555F2E67" w14:textId="77777777" w:rsidR="0005011A" w:rsidRPr="00E162C4" w:rsidRDefault="0005011A" w:rsidP="00FC07B9">
      <w:pPr>
        <w:pStyle w:val="ACMACorporateAddresses"/>
      </w:pPr>
      <w:r w:rsidRPr="00E162C4">
        <w:t>T</w:t>
      </w:r>
      <w:r w:rsidR="00140318" w:rsidRPr="00E162C4">
        <w:tab/>
      </w:r>
      <w:r w:rsidRPr="00E162C4">
        <w:t>+61 2 9334 7700</w:t>
      </w:r>
      <w:r w:rsidR="00140318" w:rsidRPr="00E162C4">
        <w:t xml:space="preserve"> or</w:t>
      </w:r>
      <w:r w:rsidRPr="00E162C4">
        <w:t xml:space="preserve"> 1800 226 667</w:t>
      </w:r>
      <w:r w:rsidRPr="00E162C4">
        <w:br/>
        <w:t>F</w:t>
      </w:r>
      <w:r w:rsidR="00140318" w:rsidRPr="00E162C4">
        <w:tab/>
      </w:r>
      <w:r w:rsidRPr="00E162C4">
        <w:t>+61 2 9334 7799</w:t>
      </w:r>
    </w:p>
    <w:p w14:paraId="3F84179C" w14:textId="77777777" w:rsidR="00140318" w:rsidRPr="00E162C4" w:rsidRDefault="00140318" w:rsidP="00FC07B9">
      <w:pPr>
        <w:pStyle w:val="ACMACopyrightHeader"/>
      </w:pPr>
      <w:r w:rsidRPr="00E162C4">
        <w:t>Copyright notice</w:t>
      </w:r>
    </w:p>
    <w:p w14:paraId="498A8E9E" w14:textId="77777777" w:rsidR="00140318" w:rsidRPr="00E162C4" w:rsidRDefault="00623FF9" w:rsidP="00623FF9">
      <w:pPr>
        <w:pStyle w:val="ACMACClogo"/>
      </w:pPr>
      <w:r w:rsidRPr="00E162C4">
        <w:rPr>
          <w:noProof/>
        </w:rPr>
        <w:drawing>
          <wp:inline distT="0" distB="0" distL="0" distR="0" wp14:anchorId="3180C546" wp14:editId="341CD324">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638E2028" w14:textId="77777777" w:rsidR="00AA2DE5" w:rsidRPr="00E162C4" w:rsidRDefault="00B01D4C" w:rsidP="00AA2DE5">
      <w:pPr>
        <w:pStyle w:val="ACMACorporateAddresses"/>
        <w:rPr>
          <w:rStyle w:val="Hyperlink"/>
        </w:rPr>
      </w:pPr>
      <w:hyperlink r:id="rId13" w:history="1">
        <w:r w:rsidR="00AA2DE5" w:rsidRPr="00E162C4">
          <w:rPr>
            <w:rStyle w:val="Hyperlink"/>
          </w:rPr>
          <w:t>https://creativecommons.org/licenses/by/4.0/</w:t>
        </w:r>
      </w:hyperlink>
    </w:p>
    <w:p w14:paraId="5E7499C9" w14:textId="77777777" w:rsidR="00AA2DE5" w:rsidRPr="00E162C4" w:rsidRDefault="00AA2DE5" w:rsidP="00AA2DE5">
      <w:pPr>
        <w:pStyle w:val="ACMACorporateAddresses"/>
      </w:pPr>
      <w:r w:rsidRPr="00E162C4">
        <w:t xml:space="preserve">With the exception of coats of arms, logos, emblems, images, other third-party material or devices protected by a trademark, this content is made available under the terms of the Creative Commons Attribution 4.0 International (CC BY 4.0) licence. </w:t>
      </w:r>
    </w:p>
    <w:p w14:paraId="3A3CAC81" w14:textId="77777777" w:rsidR="00AA2DE5" w:rsidRPr="00E162C4" w:rsidRDefault="00AA2DE5" w:rsidP="00AA2DE5">
      <w:pPr>
        <w:pStyle w:val="ACMACorporateAddresses"/>
      </w:pPr>
      <w:r w:rsidRPr="00E162C4">
        <w:t>We request attribution as © Commonwealth of Australia (Australian Communications and Media Authority) 20</w:t>
      </w:r>
      <w:r w:rsidR="00C41F21" w:rsidRPr="00E162C4">
        <w:t>2</w:t>
      </w:r>
      <w:r w:rsidR="00E162C4">
        <w:t>2</w:t>
      </w:r>
      <w:r w:rsidRPr="00E162C4">
        <w:t>.</w:t>
      </w:r>
    </w:p>
    <w:p w14:paraId="44B2ADB3" w14:textId="77777777" w:rsidR="00AA2DE5" w:rsidRPr="00E162C4" w:rsidRDefault="00AA2DE5" w:rsidP="00AA2DE5">
      <w:pPr>
        <w:pStyle w:val="ACMACorporateAddresses"/>
      </w:pPr>
      <w:r w:rsidRPr="00E162C4">
        <w:t>All other rights are reserved.</w:t>
      </w:r>
    </w:p>
    <w:p w14:paraId="15BE87E4" w14:textId="77777777" w:rsidR="00AA2DE5" w:rsidRPr="00E162C4" w:rsidRDefault="00AA2DE5" w:rsidP="00AA2DE5">
      <w:pPr>
        <w:pStyle w:val="ACMACorporateAddresses"/>
      </w:pPr>
      <w:r w:rsidRPr="00E162C4">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497003D4" w14:textId="77777777" w:rsidR="00AA2DE5" w:rsidRPr="00E162C4" w:rsidRDefault="00AA2DE5" w:rsidP="00AA2DE5">
      <w:pPr>
        <w:pStyle w:val="ACMACorporateAddresses"/>
      </w:pPr>
      <w:r w:rsidRPr="00E162C4">
        <w:t>Written enquiries may be sent to:</w:t>
      </w:r>
    </w:p>
    <w:p w14:paraId="694FB939" w14:textId="77777777" w:rsidR="00AA2DE5" w:rsidRPr="00E162C4" w:rsidRDefault="00AA2DE5" w:rsidP="00AA2DE5">
      <w:pPr>
        <w:pStyle w:val="ACMACorporateAddresses"/>
        <w:rPr>
          <w:rStyle w:val="Hyperlink"/>
        </w:rPr>
      </w:pPr>
      <w:r w:rsidRPr="00E162C4">
        <w:t xml:space="preserve">Manager, Editorial </w:t>
      </w:r>
      <w:r w:rsidR="000245E5" w:rsidRPr="00E162C4">
        <w:t>Services</w:t>
      </w:r>
      <w:r w:rsidRPr="00E162C4">
        <w:br/>
        <w:t>PO Box 13112</w:t>
      </w:r>
      <w:r w:rsidRPr="00E162C4">
        <w:br/>
        <w:t>Law Courts</w:t>
      </w:r>
      <w:r w:rsidRPr="00E162C4">
        <w:br/>
        <w:t>Melbourne VIC 8010</w:t>
      </w:r>
      <w:r w:rsidRPr="00E162C4">
        <w:br/>
        <w:t xml:space="preserve">Email: </w:t>
      </w:r>
      <w:hyperlink r:id="rId14" w:history="1">
        <w:r w:rsidRPr="00E162C4">
          <w:rPr>
            <w:rStyle w:val="Hyperlink"/>
          </w:rPr>
          <w:t>info@acma.gov.au</w:t>
        </w:r>
      </w:hyperlink>
    </w:p>
    <w:p w14:paraId="3281BE69" w14:textId="77777777" w:rsidR="00D16FE3" w:rsidRPr="00E162C4" w:rsidRDefault="00D16FE3" w:rsidP="00D16FE3">
      <w:pPr>
        <w:pStyle w:val="ACMACorporateAddresses"/>
        <w:rPr>
          <w:rStyle w:val="Hyperlink"/>
        </w:rPr>
      </w:pPr>
    </w:p>
    <w:p w14:paraId="3672A1E7" w14:textId="77777777" w:rsidR="00D16FE3" w:rsidRPr="00E162C4" w:rsidRDefault="00D16FE3" w:rsidP="00D16FE3">
      <w:pPr>
        <w:pStyle w:val="ACMACorporateAddresses"/>
        <w:sectPr w:rsidR="00D16FE3" w:rsidRPr="00E162C4">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419991DF" w14:textId="6EED07B1" w:rsidR="00DE4F65" w:rsidRDefault="006A3ECF">
      <w:pPr>
        <w:pStyle w:val="TOC1"/>
        <w:rPr>
          <w:rFonts w:asciiTheme="minorHAnsi" w:eastAsiaTheme="minorEastAsia" w:hAnsiTheme="minorHAnsi" w:cstheme="minorBidi"/>
          <w:b w:val="0"/>
          <w:spacing w:val="0"/>
          <w:sz w:val="22"/>
          <w:szCs w:val="22"/>
        </w:rPr>
      </w:pPr>
      <w:r w:rsidRPr="00E162C4">
        <w:rPr>
          <w:rFonts w:cs="Arial"/>
        </w:rPr>
        <w:lastRenderedPageBreak/>
        <w:fldChar w:fldCharType="begin"/>
      </w:r>
      <w:r w:rsidRPr="00E162C4">
        <w:rPr>
          <w:rFonts w:cs="Arial"/>
        </w:rPr>
        <w:instrText xml:space="preserve"> TOC \o "1-2" \h \z \t "Exec summary heading,1" </w:instrText>
      </w:r>
      <w:r w:rsidRPr="00E162C4">
        <w:rPr>
          <w:rFonts w:cs="Arial"/>
        </w:rPr>
        <w:fldChar w:fldCharType="separate"/>
      </w:r>
      <w:hyperlink w:anchor="_Toc117072401" w:history="1">
        <w:r w:rsidR="00DE4F65" w:rsidRPr="002C2184">
          <w:rPr>
            <w:rStyle w:val="Hyperlink"/>
          </w:rPr>
          <w:t>Executive summary</w:t>
        </w:r>
        <w:r w:rsidR="00DE4F65">
          <w:rPr>
            <w:webHidden/>
          </w:rPr>
          <w:tab/>
        </w:r>
        <w:r w:rsidR="00DE4F65">
          <w:rPr>
            <w:webHidden/>
          </w:rPr>
          <w:fldChar w:fldCharType="begin"/>
        </w:r>
        <w:r w:rsidR="00DE4F65">
          <w:rPr>
            <w:webHidden/>
          </w:rPr>
          <w:instrText xml:space="preserve"> PAGEREF _Toc117072401 \h </w:instrText>
        </w:r>
        <w:r w:rsidR="00DE4F65">
          <w:rPr>
            <w:webHidden/>
          </w:rPr>
        </w:r>
        <w:r w:rsidR="00DE4F65">
          <w:rPr>
            <w:webHidden/>
          </w:rPr>
          <w:fldChar w:fldCharType="separate"/>
        </w:r>
        <w:r w:rsidR="00DE4F65">
          <w:rPr>
            <w:webHidden/>
          </w:rPr>
          <w:t>1</w:t>
        </w:r>
        <w:r w:rsidR="00DE4F65">
          <w:rPr>
            <w:webHidden/>
          </w:rPr>
          <w:fldChar w:fldCharType="end"/>
        </w:r>
      </w:hyperlink>
    </w:p>
    <w:p w14:paraId="3B7DFE37" w14:textId="0D58B6CE" w:rsidR="00DE4F65" w:rsidRDefault="00B01D4C">
      <w:pPr>
        <w:pStyle w:val="TOC1"/>
        <w:rPr>
          <w:rFonts w:asciiTheme="minorHAnsi" w:eastAsiaTheme="minorEastAsia" w:hAnsiTheme="minorHAnsi" w:cstheme="minorBidi"/>
          <w:b w:val="0"/>
          <w:spacing w:val="0"/>
          <w:sz w:val="22"/>
          <w:szCs w:val="22"/>
        </w:rPr>
      </w:pPr>
      <w:hyperlink w:anchor="_Toc117072402" w:history="1">
        <w:r w:rsidR="00DE4F65" w:rsidRPr="002C2184">
          <w:rPr>
            <w:rStyle w:val="Hyperlink"/>
          </w:rPr>
          <w:t>Issues for comment</w:t>
        </w:r>
        <w:r w:rsidR="00DE4F65">
          <w:rPr>
            <w:webHidden/>
          </w:rPr>
          <w:tab/>
        </w:r>
        <w:r w:rsidR="00DE4F65">
          <w:rPr>
            <w:webHidden/>
          </w:rPr>
          <w:fldChar w:fldCharType="begin"/>
        </w:r>
        <w:r w:rsidR="00DE4F65">
          <w:rPr>
            <w:webHidden/>
          </w:rPr>
          <w:instrText xml:space="preserve"> PAGEREF _Toc117072402 \h </w:instrText>
        </w:r>
        <w:r w:rsidR="00DE4F65">
          <w:rPr>
            <w:webHidden/>
          </w:rPr>
        </w:r>
        <w:r w:rsidR="00DE4F65">
          <w:rPr>
            <w:webHidden/>
          </w:rPr>
          <w:fldChar w:fldCharType="separate"/>
        </w:r>
        <w:r w:rsidR="00DE4F65">
          <w:rPr>
            <w:webHidden/>
          </w:rPr>
          <w:t>2</w:t>
        </w:r>
        <w:r w:rsidR="00DE4F65">
          <w:rPr>
            <w:webHidden/>
          </w:rPr>
          <w:fldChar w:fldCharType="end"/>
        </w:r>
      </w:hyperlink>
    </w:p>
    <w:p w14:paraId="6B8E5487" w14:textId="0C2180F5" w:rsidR="00DE4F65" w:rsidRDefault="00B01D4C">
      <w:pPr>
        <w:pStyle w:val="TOC1"/>
        <w:rPr>
          <w:rFonts w:asciiTheme="minorHAnsi" w:eastAsiaTheme="minorEastAsia" w:hAnsiTheme="minorHAnsi" w:cstheme="minorBidi"/>
          <w:b w:val="0"/>
          <w:spacing w:val="0"/>
          <w:sz w:val="22"/>
          <w:szCs w:val="22"/>
        </w:rPr>
      </w:pPr>
      <w:hyperlink w:anchor="_Toc117072403" w:history="1">
        <w:r w:rsidR="00DE4F65" w:rsidRPr="002C2184">
          <w:rPr>
            <w:rStyle w:val="Hyperlink"/>
          </w:rPr>
          <w:t>Introduction</w:t>
        </w:r>
        <w:r w:rsidR="00DE4F65">
          <w:rPr>
            <w:webHidden/>
          </w:rPr>
          <w:tab/>
        </w:r>
        <w:r w:rsidR="00DE4F65">
          <w:rPr>
            <w:webHidden/>
          </w:rPr>
          <w:fldChar w:fldCharType="begin"/>
        </w:r>
        <w:r w:rsidR="00DE4F65">
          <w:rPr>
            <w:webHidden/>
          </w:rPr>
          <w:instrText xml:space="preserve"> PAGEREF _Toc117072403 \h </w:instrText>
        </w:r>
        <w:r w:rsidR="00DE4F65">
          <w:rPr>
            <w:webHidden/>
          </w:rPr>
        </w:r>
        <w:r w:rsidR="00DE4F65">
          <w:rPr>
            <w:webHidden/>
          </w:rPr>
          <w:fldChar w:fldCharType="separate"/>
        </w:r>
        <w:r w:rsidR="00DE4F65">
          <w:rPr>
            <w:webHidden/>
          </w:rPr>
          <w:t>4</w:t>
        </w:r>
        <w:r w:rsidR="00DE4F65">
          <w:rPr>
            <w:webHidden/>
          </w:rPr>
          <w:fldChar w:fldCharType="end"/>
        </w:r>
      </w:hyperlink>
    </w:p>
    <w:p w14:paraId="4E4DA2FF" w14:textId="7A3BE94C" w:rsidR="00DE4F65" w:rsidRDefault="00B01D4C">
      <w:pPr>
        <w:pStyle w:val="TOC2"/>
        <w:rPr>
          <w:rFonts w:asciiTheme="minorHAnsi" w:eastAsiaTheme="minorEastAsia" w:hAnsiTheme="minorHAnsi" w:cstheme="minorBidi"/>
          <w:spacing w:val="0"/>
          <w:sz w:val="22"/>
          <w:szCs w:val="22"/>
        </w:rPr>
      </w:pPr>
      <w:hyperlink w:anchor="_Toc117072404" w:history="1">
        <w:r w:rsidR="00DE4F65" w:rsidRPr="002C2184">
          <w:rPr>
            <w:rStyle w:val="Hyperlink"/>
          </w:rPr>
          <w:t>Class licensing and the LIPD class licence</w:t>
        </w:r>
        <w:r w:rsidR="00DE4F65">
          <w:rPr>
            <w:webHidden/>
          </w:rPr>
          <w:tab/>
        </w:r>
        <w:r w:rsidR="00DE4F65">
          <w:rPr>
            <w:webHidden/>
          </w:rPr>
          <w:fldChar w:fldCharType="begin"/>
        </w:r>
        <w:r w:rsidR="00DE4F65">
          <w:rPr>
            <w:webHidden/>
          </w:rPr>
          <w:instrText xml:space="preserve"> PAGEREF _Toc117072404 \h </w:instrText>
        </w:r>
        <w:r w:rsidR="00DE4F65">
          <w:rPr>
            <w:webHidden/>
          </w:rPr>
        </w:r>
        <w:r w:rsidR="00DE4F65">
          <w:rPr>
            <w:webHidden/>
          </w:rPr>
          <w:fldChar w:fldCharType="separate"/>
        </w:r>
        <w:r w:rsidR="00DE4F65">
          <w:rPr>
            <w:webHidden/>
          </w:rPr>
          <w:t>4</w:t>
        </w:r>
        <w:r w:rsidR="00DE4F65">
          <w:rPr>
            <w:webHidden/>
          </w:rPr>
          <w:fldChar w:fldCharType="end"/>
        </w:r>
      </w:hyperlink>
    </w:p>
    <w:p w14:paraId="1372F678" w14:textId="6B201635" w:rsidR="00DE4F65" w:rsidRDefault="00B01D4C">
      <w:pPr>
        <w:pStyle w:val="TOC2"/>
        <w:rPr>
          <w:rFonts w:asciiTheme="minorHAnsi" w:eastAsiaTheme="minorEastAsia" w:hAnsiTheme="minorHAnsi" w:cstheme="minorBidi"/>
          <w:spacing w:val="0"/>
          <w:sz w:val="22"/>
          <w:szCs w:val="22"/>
        </w:rPr>
      </w:pPr>
      <w:hyperlink w:anchor="_Toc117072405" w:history="1">
        <w:r w:rsidR="00DE4F65" w:rsidRPr="002C2184">
          <w:rPr>
            <w:rStyle w:val="Hyperlink"/>
          </w:rPr>
          <w:t>LIPD class licence and standards</w:t>
        </w:r>
        <w:r w:rsidR="00DE4F65">
          <w:rPr>
            <w:webHidden/>
          </w:rPr>
          <w:tab/>
        </w:r>
        <w:r w:rsidR="00DE4F65">
          <w:rPr>
            <w:webHidden/>
          </w:rPr>
          <w:fldChar w:fldCharType="begin"/>
        </w:r>
        <w:r w:rsidR="00DE4F65">
          <w:rPr>
            <w:webHidden/>
          </w:rPr>
          <w:instrText xml:space="preserve"> PAGEREF _Toc117072405 \h </w:instrText>
        </w:r>
        <w:r w:rsidR="00DE4F65">
          <w:rPr>
            <w:webHidden/>
          </w:rPr>
        </w:r>
        <w:r w:rsidR="00DE4F65">
          <w:rPr>
            <w:webHidden/>
          </w:rPr>
          <w:fldChar w:fldCharType="separate"/>
        </w:r>
        <w:r w:rsidR="00DE4F65">
          <w:rPr>
            <w:webHidden/>
          </w:rPr>
          <w:t>5</w:t>
        </w:r>
        <w:r w:rsidR="00DE4F65">
          <w:rPr>
            <w:webHidden/>
          </w:rPr>
          <w:fldChar w:fldCharType="end"/>
        </w:r>
      </w:hyperlink>
    </w:p>
    <w:p w14:paraId="3C66074D" w14:textId="1B372C30" w:rsidR="00DE4F65" w:rsidRDefault="00B01D4C">
      <w:pPr>
        <w:pStyle w:val="TOC1"/>
        <w:rPr>
          <w:rFonts w:asciiTheme="minorHAnsi" w:eastAsiaTheme="minorEastAsia" w:hAnsiTheme="minorHAnsi" w:cstheme="minorBidi"/>
          <w:b w:val="0"/>
          <w:spacing w:val="0"/>
          <w:sz w:val="22"/>
          <w:szCs w:val="22"/>
        </w:rPr>
      </w:pPr>
      <w:hyperlink w:anchor="_Toc117072406" w:history="1">
        <w:r w:rsidR="00DE4F65" w:rsidRPr="002C2184">
          <w:rPr>
            <w:rStyle w:val="Hyperlink"/>
          </w:rPr>
          <w:t>Proposed variations</w:t>
        </w:r>
        <w:r w:rsidR="00DE4F65">
          <w:rPr>
            <w:webHidden/>
          </w:rPr>
          <w:tab/>
        </w:r>
        <w:r w:rsidR="00DE4F65">
          <w:rPr>
            <w:webHidden/>
          </w:rPr>
          <w:fldChar w:fldCharType="begin"/>
        </w:r>
        <w:r w:rsidR="00DE4F65">
          <w:rPr>
            <w:webHidden/>
          </w:rPr>
          <w:instrText xml:space="preserve"> PAGEREF _Toc117072406 \h </w:instrText>
        </w:r>
        <w:r w:rsidR="00DE4F65">
          <w:rPr>
            <w:webHidden/>
          </w:rPr>
        </w:r>
        <w:r w:rsidR="00DE4F65">
          <w:rPr>
            <w:webHidden/>
          </w:rPr>
          <w:fldChar w:fldCharType="separate"/>
        </w:r>
        <w:r w:rsidR="00DE4F65">
          <w:rPr>
            <w:webHidden/>
          </w:rPr>
          <w:t>6</w:t>
        </w:r>
        <w:r w:rsidR="00DE4F65">
          <w:rPr>
            <w:webHidden/>
          </w:rPr>
          <w:fldChar w:fldCharType="end"/>
        </w:r>
      </w:hyperlink>
    </w:p>
    <w:p w14:paraId="3132E72C" w14:textId="7A8B961D" w:rsidR="00DE4F65" w:rsidRDefault="00B01D4C">
      <w:pPr>
        <w:pStyle w:val="TOC2"/>
        <w:rPr>
          <w:rFonts w:asciiTheme="minorHAnsi" w:eastAsiaTheme="minorEastAsia" w:hAnsiTheme="minorHAnsi" w:cstheme="minorBidi"/>
          <w:spacing w:val="0"/>
          <w:sz w:val="22"/>
          <w:szCs w:val="22"/>
        </w:rPr>
      </w:pPr>
      <w:hyperlink w:anchor="_Toc117072407" w:history="1">
        <w:r w:rsidR="00DE4F65" w:rsidRPr="002C2184">
          <w:rPr>
            <w:rStyle w:val="Hyperlink"/>
          </w:rPr>
          <w:t xml:space="preserve">Radiocommunications receivers communicating with satellites in the </w:t>
        </w:r>
        <w:r w:rsidR="00DE4F65">
          <w:rPr>
            <w:rStyle w:val="Hyperlink"/>
          </w:rPr>
          <w:br/>
        </w:r>
        <w:r w:rsidR="00DE4F65" w:rsidRPr="002C2184">
          <w:rPr>
            <w:rStyle w:val="Hyperlink"/>
          </w:rPr>
          <w:t>915–928 MHz and 2400–2483.5 MHz bands</w:t>
        </w:r>
        <w:r w:rsidR="00DE4F65">
          <w:rPr>
            <w:webHidden/>
          </w:rPr>
          <w:tab/>
        </w:r>
        <w:r w:rsidR="00DE4F65">
          <w:rPr>
            <w:webHidden/>
          </w:rPr>
          <w:fldChar w:fldCharType="begin"/>
        </w:r>
        <w:r w:rsidR="00DE4F65">
          <w:rPr>
            <w:webHidden/>
          </w:rPr>
          <w:instrText xml:space="preserve"> PAGEREF _Toc117072407 \h </w:instrText>
        </w:r>
        <w:r w:rsidR="00DE4F65">
          <w:rPr>
            <w:webHidden/>
          </w:rPr>
        </w:r>
        <w:r w:rsidR="00DE4F65">
          <w:rPr>
            <w:webHidden/>
          </w:rPr>
          <w:fldChar w:fldCharType="separate"/>
        </w:r>
        <w:r w:rsidR="00DE4F65">
          <w:rPr>
            <w:webHidden/>
          </w:rPr>
          <w:t>6</w:t>
        </w:r>
        <w:r w:rsidR="00DE4F65">
          <w:rPr>
            <w:webHidden/>
          </w:rPr>
          <w:fldChar w:fldCharType="end"/>
        </w:r>
      </w:hyperlink>
    </w:p>
    <w:p w14:paraId="08DB406E" w14:textId="580ADDA1" w:rsidR="00DE4F65" w:rsidRDefault="00B01D4C">
      <w:pPr>
        <w:pStyle w:val="TOC2"/>
        <w:rPr>
          <w:rFonts w:asciiTheme="minorHAnsi" w:eastAsiaTheme="minorEastAsia" w:hAnsiTheme="minorHAnsi" w:cstheme="minorBidi"/>
          <w:spacing w:val="0"/>
          <w:sz w:val="22"/>
          <w:szCs w:val="22"/>
        </w:rPr>
      </w:pPr>
      <w:hyperlink w:anchor="_Toc117072408" w:history="1">
        <w:r w:rsidR="00DE4F65" w:rsidRPr="002C2184">
          <w:rPr>
            <w:rStyle w:val="Hyperlink"/>
          </w:rPr>
          <w:t xml:space="preserve">Frequency hopping radiocommunications transmitters in the </w:t>
        </w:r>
        <w:r w:rsidR="00DE4F65">
          <w:rPr>
            <w:rStyle w:val="Hyperlink"/>
          </w:rPr>
          <w:br/>
        </w:r>
        <w:r w:rsidR="00DE4F65" w:rsidRPr="002C2184">
          <w:rPr>
            <w:rStyle w:val="Hyperlink"/>
          </w:rPr>
          <w:t>5925–6425 MHz band</w:t>
        </w:r>
        <w:r w:rsidR="00DE4F65">
          <w:rPr>
            <w:webHidden/>
          </w:rPr>
          <w:tab/>
        </w:r>
        <w:r w:rsidR="00DE4F65">
          <w:rPr>
            <w:webHidden/>
          </w:rPr>
          <w:fldChar w:fldCharType="begin"/>
        </w:r>
        <w:r w:rsidR="00DE4F65">
          <w:rPr>
            <w:webHidden/>
          </w:rPr>
          <w:instrText xml:space="preserve"> PAGEREF _Toc117072408 \h </w:instrText>
        </w:r>
        <w:r w:rsidR="00DE4F65">
          <w:rPr>
            <w:webHidden/>
          </w:rPr>
        </w:r>
        <w:r w:rsidR="00DE4F65">
          <w:rPr>
            <w:webHidden/>
          </w:rPr>
          <w:fldChar w:fldCharType="separate"/>
        </w:r>
        <w:r w:rsidR="00DE4F65">
          <w:rPr>
            <w:webHidden/>
          </w:rPr>
          <w:t>9</w:t>
        </w:r>
        <w:r w:rsidR="00DE4F65">
          <w:rPr>
            <w:webHidden/>
          </w:rPr>
          <w:fldChar w:fldCharType="end"/>
        </w:r>
      </w:hyperlink>
    </w:p>
    <w:p w14:paraId="5E436D56" w14:textId="73763B1A" w:rsidR="00DE4F65" w:rsidRDefault="00B01D4C">
      <w:pPr>
        <w:pStyle w:val="TOC2"/>
        <w:rPr>
          <w:rFonts w:asciiTheme="minorHAnsi" w:eastAsiaTheme="minorEastAsia" w:hAnsiTheme="minorHAnsi" w:cstheme="minorBidi"/>
          <w:spacing w:val="0"/>
          <w:sz w:val="22"/>
          <w:szCs w:val="22"/>
        </w:rPr>
      </w:pPr>
      <w:hyperlink w:anchor="_Toc117072409" w:history="1">
        <w:r w:rsidR="00DE4F65" w:rsidRPr="002C2184">
          <w:rPr>
            <w:rStyle w:val="Hyperlink"/>
          </w:rPr>
          <w:t>RLAN radiocommunications transmitters in the  5925–6425 MHz band</w:t>
        </w:r>
        <w:r w:rsidR="00DE4F65">
          <w:rPr>
            <w:webHidden/>
          </w:rPr>
          <w:tab/>
        </w:r>
        <w:r w:rsidR="00DE4F65">
          <w:rPr>
            <w:webHidden/>
          </w:rPr>
          <w:fldChar w:fldCharType="begin"/>
        </w:r>
        <w:r w:rsidR="00DE4F65">
          <w:rPr>
            <w:webHidden/>
          </w:rPr>
          <w:instrText xml:space="preserve"> PAGEREF _Toc117072409 \h </w:instrText>
        </w:r>
        <w:r w:rsidR="00DE4F65">
          <w:rPr>
            <w:webHidden/>
          </w:rPr>
        </w:r>
        <w:r w:rsidR="00DE4F65">
          <w:rPr>
            <w:webHidden/>
          </w:rPr>
          <w:fldChar w:fldCharType="separate"/>
        </w:r>
        <w:r w:rsidR="00DE4F65">
          <w:rPr>
            <w:webHidden/>
          </w:rPr>
          <w:t>10</w:t>
        </w:r>
        <w:r w:rsidR="00DE4F65">
          <w:rPr>
            <w:webHidden/>
          </w:rPr>
          <w:fldChar w:fldCharType="end"/>
        </w:r>
      </w:hyperlink>
    </w:p>
    <w:p w14:paraId="5BC670FB" w14:textId="19540FD4" w:rsidR="00DE4F65" w:rsidRDefault="00B01D4C">
      <w:pPr>
        <w:pStyle w:val="TOC2"/>
        <w:rPr>
          <w:rFonts w:asciiTheme="minorHAnsi" w:eastAsiaTheme="minorEastAsia" w:hAnsiTheme="minorHAnsi" w:cstheme="minorBidi"/>
          <w:spacing w:val="0"/>
          <w:sz w:val="22"/>
          <w:szCs w:val="22"/>
        </w:rPr>
      </w:pPr>
      <w:hyperlink w:anchor="_Toc117072410" w:history="1">
        <w:r w:rsidR="00DE4F65" w:rsidRPr="002C2184">
          <w:rPr>
            <w:rStyle w:val="Hyperlink"/>
          </w:rPr>
          <w:t>RLAN radiocommunications transmitters in the  5150–5250 MHz band</w:t>
        </w:r>
        <w:r w:rsidR="00DE4F65">
          <w:rPr>
            <w:webHidden/>
          </w:rPr>
          <w:tab/>
        </w:r>
        <w:r w:rsidR="00DE4F65">
          <w:rPr>
            <w:webHidden/>
          </w:rPr>
          <w:fldChar w:fldCharType="begin"/>
        </w:r>
        <w:r w:rsidR="00DE4F65">
          <w:rPr>
            <w:webHidden/>
          </w:rPr>
          <w:instrText xml:space="preserve"> PAGEREF _Toc117072410 \h </w:instrText>
        </w:r>
        <w:r w:rsidR="00DE4F65">
          <w:rPr>
            <w:webHidden/>
          </w:rPr>
        </w:r>
        <w:r w:rsidR="00DE4F65">
          <w:rPr>
            <w:webHidden/>
          </w:rPr>
          <w:fldChar w:fldCharType="separate"/>
        </w:r>
        <w:r w:rsidR="00DE4F65">
          <w:rPr>
            <w:webHidden/>
          </w:rPr>
          <w:t>10</w:t>
        </w:r>
        <w:r w:rsidR="00DE4F65">
          <w:rPr>
            <w:webHidden/>
          </w:rPr>
          <w:fldChar w:fldCharType="end"/>
        </w:r>
      </w:hyperlink>
    </w:p>
    <w:p w14:paraId="66E926DF" w14:textId="697D2B1F" w:rsidR="00DE4F65" w:rsidRDefault="00B01D4C">
      <w:pPr>
        <w:pStyle w:val="TOC2"/>
        <w:rPr>
          <w:rFonts w:asciiTheme="minorHAnsi" w:eastAsiaTheme="minorEastAsia" w:hAnsiTheme="minorHAnsi" w:cstheme="minorBidi"/>
          <w:spacing w:val="0"/>
          <w:sz w:val="22"/>
          <w:szCs w:val="22"/>
        </w:rPr>
      </w:pPr>
      <w:hyperlink w:anchor="_Toc117072411" w:history="1">
        <w:r w:rsidR="00DE4F65" w:rsidRPr="002C2184">
          <w:rPr>
            <w:rStyle w:val="Hyperlink"/>
          </w:rPr>
          <w:t>Definition of ‘indoor’</w:t>
        </w:r>
        <w:r w:rsidR="00DE4F65">
          <w:rPr>
            <w:webHidden/>
          </w:rPr>
          <w:tab/>
        </w:r>
        <w:r w:rsidR="00DE4F65">
          <w:rPr>
            <w:webHidden/>
          </w:rPr>
          <w:fldChar w:fldCharType="begin"/>
        </w:r>
        <w:r w:rsidR="00DE4F65">
          <w:rPr>
            <w:webHidden/>
          </w:rPr>
          <w:instrText xml:space="preserve"> PAGEREF _Toc117072411 \h </w:instrText>
        </w:r>
        <w:r w:rsidR="00DE4F65">
          <w:rPr>
            <w:webHidden/>
          </w:rPr>
        </w:r>
        <w:r w:rsidR="00DE4F65">
          <w:rPr>
            <w:webHidden/>
          </w:rPr>
          <w:fldChar w:fldCharType="separate"/>
        </w:r>
        <w:r w:rsidR="00DE4F65">
          <w:rPr>
            <w:webHidden/>
          </w:rPr>
          <w:t>13</w:t>
        </w:r>
        <w:r w:rsidR="00DE4F65">
          <w:rPr>
            <w:webHidden/>
          </w:rPr>
          <w:fldChar w:fldCharType="end"/>
        </w:r>
      </w:hyperlink>
    </w:p>
    <w:p w14:paraId="1985231D" w14:textId="2B834B99" w:rsidR="00DE4F65" w:rsidRDefault="00B01D4C">
      <w:pPr>
        <w:pStyle w:val="TOC1"/>
        <w:rPr>
          <w:rFonts w:asciiTheme="minorHAnsi" w:eastAsiaTheme="minorEastAsia" w:hAnsiTheme="minorHAnsi" w:cstheme="minorBidi"/>
          <w:b w:val="0"/>
          <w:spacing w:val="0"/>
          <w:sz w:val="22"/>
          <w:szCs w:val="22"/>
        </w:rPr>
      </w:pPr>
      <w:hyperlink w:anchor="_Toc117072412" w:history="1">
        <w:r w:rsidR="00DE4F65" w:rsidRPr="002C2184">
          <w:rPr>
            <w:rStyle w:val="Hyperlink"/>
          </w:rPr>
          <w:t>Potential future updates</w:t>
        </w:r>
        <w:r w:rsidR="00DE4F65">
          <w:rPr>
            <w:webHidden/>
          </w:rPr>
          <w:tab/>
        </w:r>
        <w:r w:rsidR="00DE4F65">
          <w:rPr>
            <w:webHidden/>
          </w:rPr>
          <w:fldChar w:fldCharType="begin"/>
        </w:r>
        <w:r w:rsidR="00DE4F65">
          <w:rPr>
            <w:webHidden/>
          </w:rPr>
          <w:instrText xml:space="preserve"> PAGEREF _Toc117072412 \h </w:instrText>
        </w:r>
        <w:r w:rsidR="00DE4F65">
          <w:rPr>
            <w:webHidden/>
          </w:rPr>
        </w:r>
        <w:r w:rsidR="00DE4F65">
          <w:rPr>
            <w:webHidden/>
          </w:rPr>
          <w:fldChar w:fldCharType="separate"/>
        </w:r>
        <w:r w:rsidR="00DE4F65">
          <w:rPr>
            <w:webHidden/>
          </w:rPr>
          <w:t>14</w:t>
        </w:r>
        <w:r w:rsidR="00DE4F65">
          <w:rPr>
            <w:webHidden/>
          </w:rPr>
          <w:fldChar w:fldCharType="end"/>
        </w:r>
      </w:hyperlink>
    </w:p>
    <w:p w14:paraId="23A0CACE" w14:textId="19C16D25" w:rsidR="00DE4F65" w:rsidRDefault="00B01D4C">
      <w:pPr>
        <w:pStyle w:val="TOC2"/>
        <w:rPr>
          <w:rFonts w:asciiTheme="minorHAnsi" w:eastAsiaTheme="minorEastAsia" w:hAnsiTheme="minorHAnsi" w:cstheme="minorBidi"/>
          <w:spacing w:val="0"/>
          <w:sz w:val="22"/>
          <w:szCs w:val="22"/>
        </w:rPr>
      </w:pPr>
      <w:hyperlink w:anchor="_Toc117072413" w:history="1">
        <w:r w:rsidR="00DE4F65" w:rsidRPr="002C2184">
          <w:rPr>
            <w:rStyle w:val="Hyperlink"/>
          </w:rPr>
          <w:t>WMAS technologies for wireless audio transmitters</w:t>
        </w:r>
        <w:r w:rsidR="00DE4F65">
          <w:rPr>
            <w:webHidden/>
          </w:rPr>
          <w:tab/>
        </w:r>
        <w:r w:rsidR="00DE4F65">
          <w:rPr>
            <w:webHidden/>
          </w:rPr>
          <w:fldChar w:fldCharType="begin"/>
        </w:r>
        <w:r w:rsidR="00DE4F65">
          <w:rPr>
            <w:webHidden/>
          </w:rPr>
          <w:instrText xml:space="preserve"> PAGEREF _Toc117072413 \h </w:instrText>
        </w:r>
        <w:r w:rsidR="00DE4F65">
          <w:rPr>
            <w:webHidden/>
          </w:rPr>
        </w:r>
        <w:r w:rsidR="00DE4F65">
          <w:rPr>
            <w:webHidden/>
          </w:rPr>
          <w:fldChar w:fldCharType="separate"/>
        </w:r>
        <w:r w:rsidR="00DE4F65">
          <w:rPr>
            <w:webHidden/>
          </w:rPr>
          <w:t>14</w:t>
        </w:r>
        <w:r w:rsidR="00DE4F65">
          <w:rPr>
            <w:webHidden/>
          </w:rPr>
          <w:fldChar w:fldCharType="end"/>
        </w:r>
      </w:hyperlink>
    </w:p>
    <w:p w14:paraId="6A910E4F" w14:textId="766EACB4" w:rsidR="00DE4F65" w:rsidRDefault="00B01D4C">
      <w:pPr>
        <w:pStyle w:val="TOC2"/>
        <w:rPr>
          <w:rFonts w:asciiTheme="minorHAnsi" w:eastAsiaTheme="minorEastAsia" w:hAnsiTheme="minorHAnsi" w:cstheme="minorBidi"/>
          <w:spacing w:val="0"/>
          <w:sz w:val="22"/>
          <w:szCs w:val="22"/>
        </w:rPr>
      </w:pPr>
      <w:hyperlink w:anchor="_Toc117072414" w:history="1">
        <w:r w:rsidR="00DE4F65" w:rsidRPr="002C2184">
          <w:rPr>
            <w:rStyle w:val="Hyperlink"/>
          </w:rPr>
          <w:t>Underground wireless broadband</w:t>
        </w:r>
        <w:r w:rsidR="00DE4F65">
          <w:rPr>
            <w:webHidden/>
          </w:rPr>
          <w:tab/>
        </w:r>
        <w:r w:rsidR="00DE4F65">
          <w:rPr>
            <w:webHidden/>
          </w:rPr>
          <w:fldChar w:fldCharType="begin"/>
        </w:r>
        <w:r w:rsidR="00DE4F65">
          <w:rPr>
            <w:webHidden/>
          </w:rPr>
          <w:instrText xml:space="preserve"> PAGEREF _Toc117072414 \h </w:instrText>
        </w:r>
        <w:r w:rsidR="00DE4F65">
          <w:rPr>
            <w:webHidden/>
          </w:rPr>
        </w:r>
        <w:r w:rsidR="00DE4F65">
          <w:rPr>
            <w:webHidden/>
          </w:rPr>
          <w:fldChar w:fldCharType="separate"/>
        </w:r>
        <w:r w:rsidR="00DE4F65">
          <w:rPr>
            <w:webHidden/>
          </w:rPr>
          <w:t>18</w:t>
        </w:r>
        <w:r w:rsidR="00DE4F65">
          <w:rPr>
            <w:webHidden/>
          </w:rPr>
          <w:fldChar w:fldCharType="end"/>
        </w:r>
      </w:hyperlink>
    </w:p>
    <w:p w14:paraId="59DEE5DB" w14:textId="33E55683" w:rsidR="00DE4F65" w:rsidRDefault="00B01D4C">
      <w:pPr>
        <w:pStyle w:val="TOC2"/>
        <w:rPr>
          <w:rFonts w:asciiTheme="minorHAnsi" w:eastAsiaTheme="minorEastAsia" w:hAnsiTheme="minorHAnsi" w:cstheme="minorBidi"/>
          <w:spacing w:val="0"/>
          <w:sz w:val="22"/>
          <w:szCs w:val="22"/>
        </w:rPr>
      </w:pPr>
      <w:hyperlink w:anchor="_Toc117072415" w:history="1">
        <w:r w:rsidR="00DE4F65" w:rsidRPr="002C2184">
          <w:rPr>
            <w:rStyle w:val="Hyperlink"/>
          </w:rPr>
          <w:t xml:space="preserve">Radiocommunications receivers communicating with satellites in the </w:t>
        </w:r>
        <w:r w:rsidR="00DE4F65">
          <w:rPr>
            <w:rStyle w:val="Hyperlink"/>
          </w:rPr>
          <w:br/>
        </w:r>
        <w:r w:rsidR="00DE4F65" w:rsidRPr="002C2184">
          <w:rPr>
            <w:rStyle w:val="Hyperlink"/>
          </w:rPr>
          <w:t>915–928 MHz and 2400–2483.5 MHz bands</w:t>
        </w:r>
        <w:r w:rsidR="00DE4F65">
          <w:rPr>
            <w:webHidden/>
          </w:rPr>
          <w:tab/>
        </w:r>
        <w:r w:rsidR="00DE4F65">
          <w:rPr>
            <w:webHidden/>
          </w:rPr>
          <w:fldChar w:fldCharType="begin"/>
        </w:r>
        <w:r w:rsidR="00DE4F65">
          <w:rPr>
            <w:webHidden/>
          </w:rPr>
          <w:instrText xml:space="preserve"> PAGEREF _Toc117072415 \h </w:instrText>
        </w:r>
        <w:r w:rsidR="00DE4F65">
          <w:rPr>
            <w:webHidden/>
          </w:rPr>
        </w:r>
        <w:r w:rsidR="00DE4F65">
          <w:rPr>
            <w:webHidden/>
          </w:rPr>
          <w:fldChar w:fldCharType="separate"/>
        </w:r>
        <w:r w:rsidR="00DE4F65">
          <w:rPr>
            <w:webHidden/>
          </w:rPr>
          <w:t>19</w:t>
        </w:r>
        <w:r w:rsidR="00DE4F65">
          <w:rPr>
            <w:webHidden/>
          </w:rPr>
          <w:fldChar w:fldCharType="end"/>
        </w:r>
      </w:hyperlink>
    </w:p>
    <w:p w14:paraId="5724F7BF" w14:textId="43CF4712" w:rsidR="00DE4F65" w:rsidRDefault="00B01D4C">
      <w:pPr>
        <w:pStyle w:val="TOC1"/>
        <w:rPr>
          <w:rFonts w:asciiTheme="minorHAnsi" w:eastAsiaTheme="minorEastAsia" w:hAnsiTheme="minorHAnsi" w:cstheme="minorBidi"/>
          <w:b w:val="0"/>
          <w:spacing w:val="0"/>
          <w:sz w:val="22"/>
          <w:szCs w:val="22"/>
        </w:rPr>
      </w:pPr>
      <w:hyperlink w:anchor="_Toc117072416" w:history="1">
        <w:r w:rsidR="00DE4F65" w:rsidRPr="002C2184">
          <w:rPr>
            <w:rStyle w:val="Hyperlink"/>
          </w:rPr>
          <w:t>Invitation to comment</w:t>
        </w:r>
        <w:r w:rsidR="00DE4F65">
          <w:rPr>
            <w:webHidden/>
          </w:rPr>
          <w:tab/>
        </w:r>
        <w:r w:rsidR="00DE4F65">
          <w:rPr>
            <w:webHidden/>
          </w:rPr>
          <w:fldChar w:fldCharType="begin"/>
        </w:r>
        <w:r w:rsidR="00DE4F65">
          <w:rPr>
            <w:webHidden/>
          </w:rPr>
          <w:instrText xml:space="preserve"> PAGEREF _Toc117072416 \h </w:instrText>
        </w:r>
        <w:r w:rsidR="00DE4F65">
          <w:rPr>
            <w:webHidden/>
          </w:rPr>
        </w:r>
        <w:r w:rsidR="00DE4F65">
          <w:rPr>
            <w:webHidden/>
          </w:rPr>
          <w:fldChar w:fldCharType="separate"/>
        </w:r>
        <w:r w:rsidR="00DE4F65">
          <w:rPr>
            <w:webHidden/>
          </w:rPr>
          <w:t>21</w:t>
        </w:r>
        <w:r w:rsidR="00DE4F65">
          <w:rPr>
            <w:webHidden/>
          </w:rPr>
          <w:fldChar w:fldCharType="end"/>
        </w:r>
      </w:hyperlink>
    </w:p>
    <w:p w14:paraId="40413786" w14:textId="6C086507" w:rsidR="00DE4F65" w:rsidRDefault="00B01D4C">
      <w:pPr>
        <w:pStyle w:val="TOC2"/>
        <w:rPr>
          <w:rFonts w:asciiTheme="minorHAnsi" w:eastAsiaTheme="minorEastAsia" w:hAnsiTheme="minorHAnsi" w:cstheme="minorBidi"/>
          <w:spacing w:val="0"/>
          <w:sz w:val="22"/>
          <w:szCs w:val="22"/>
        </w:rPr>
      </w:pPr>
      <w:hyperlink w:anchor="_Toc117072417" w:history="1">
        <w:r w:rsidR="00DE4F65" w:rsidRPr="002C2184">
          <w:rPr>
            <w:rStyle w:val="Hyperlink"/>
          </w:rPr>
          <w:t>Making a submission</w:t>
        </w:r>
        <w:r w:rsidR="00DE4F65">
          <w:rPr>
            <w:webHidden/>
          </w:rPr>
          <w:tab/>
        </w:r>
        <w:r w:rsidR="00DE4F65">
          <w:rPr>
            <w:webHidden/>
          </w:rPr>
          <w:fldChar w:fldCharType="begin"/>
        </w:r>
        <w:r w:rsidR="00DE4F65">
          <w:rPr>
            <w:webHidden/>
          </w:rPr>
          <w:instrText xml:space="preserve"> PAGEREF _Toc117072417 \h </w:instrText>
        </w:r>
        <w:r w:rsidR="00DE4F65">
          <w:rPr>
            <w:webHidden/>
          </w:rPr>
        </w:r>
        <w:r w:rsidR="00DE4F65">
          <w:rPr>
            <w:webHidden/>
          </w:rPr>
          <w:fldChar w:fldCharType="separate"/>
        </w:r>
        <w:r w:rsidR="00DE4F65">
          <w:rPr>
            <w:webHidden/>
          </w:rPr>
          <w:t>21</w:t>
        </w:r>
        <w:r w:rsidR="00DE4F65">
          <w:rPr>
            <w:webHidden/>
          </w:rPr>
          <w:fldChar w:fldCharType="end"/>
        </w:r>
      </w:hyperlink>
    </w:p>
    <w:p w14:paraId="20FBE10E" w14:textId="1A9777DC" w:rsidR="00DE4F65" w:rsidRDefault="00B01D4C">
      <w:pPr>
        <w:pStyle w:val="TOC1"/>
        <w:rPr>
          <w:rFonts w:asciiTheme="minorHAnsi" w:eastAsiaTheme="minorEastAsia" w:hAnsiTheme="minorHAnsi" w:cstheme="minorBidi"/>
          <w:b w:val="0"/>
          <w:spacing w:val="0"/>
          <w:sz w:val="22"/>
          <w:szCs w:val="22"/>
        </w:rPr>
      </w:pPr>
      <w:hyperlink w:anchor="_Toc117072418" w:history="1">
        <w:r w:rsidR="00DE4F65" w:rsidRPr="002C2184">
          <w:rPr>
            <w:rStyle w:val="Hyperlink"/>
          </w:rPr>
          <w:t>Appendix A: Licensing of space-based communications systems</w:t>
        </w:r>
        <w:r w:rsidR="00DE4F65">
          <w:rPr>
            <w:webHidden/>
          </w:rPr>
          <w:tab/>
        </w:r>
        <w:r w:rsidR="00DE4F65">
          <w:rPr>
            <w:webHidden/>
          </w:rPr>
          <w:fldChar w:fldCharType="begin"/>
        </w:r>
        <w:r w:rsidR="00DE4F65">
          <w:rPr>
            <w:webHidden/>
          </w:rPr>
          <w:instrText xml:space="preserve"> PAGEREF _Toc117072418 \h </w:instrText>
        </w:r>
        <w:r w:rsidR="00DE4F65">
          <w:rPr>
            <w:webHidden/>
          </w:rPr>
        </w:r>
        <w:r w:rsidR="00DE4F65">
          <w:rPr>
            <w:webHidden/>
          </w:rPr>
          <w:fldChar w:fldCharType="separate"/>
        </w:r>
        <w:r w:rsidR="00DE4F65">
          <w:rPr>
            <w:webHidden/>
          </w:rPr>
          <w:t>22</w:t>
        </w:r>
        <w:r w:rsidR="00DE4F65">
          <w:rPr>
            <w:webHidden/>
          </w:rPr>
          <w:fldChar w:fldCharType="end"/>
        </w:r>
      </w:hyperlink>
    </w:p>
    <w:p w14:paraId="79F59399" w14:textId="39D635A4" w:rsidR="00DE4F65" w:rsidRDefault="00B01D4C">
      <w:pPr>
        <w:pStyle w:val="TOC2"/>
        <w:rPr>
          <w:rFonts w:asciiTheme="minorHAnsi" w:eastAsiaTheme="minorEastAsia" w:hAnsiTheme="minorHAnsi" w:cstheme="minorBidi"/>
          <w:spacing w:val="0"/>
          <w:sz w:val="22"/>
          <w:szCs w:val="22"/>
        </w:rPr>
      </w:pPr>
      <w:hyperlink w:anchor="_Toc117072419" w:history="1">
        <w:r w:rsidR="00DE4F65" w:rsidRPr="002C2184">
          <w:rPr>
            <w:rStyle w:val="Hyperlink"/>
          </w:rPr>
          <w:t>Requirement to license earth station receivers</w:t>
        </w:r>
        <w:r w:rsidR="00DE4F65">
          <w:rPr>
            <w:webHidden/>
          </w:rPr>
          <w:tab/>
        </w:r>
        <w:r w:rsidR="00DE4F65">
          <w:rPr>
            <w:webHidden/>
          </w:rPr>
          <w:fldChar w:fldCharType="begin"/>
        </w:r>
        <w:r w:rsidR="00DE4F65">
          <w:rPr>
            <w:webHidden/>
          </w:rPr>
          <w:instrText xml:space="preserve"> PAGEREF _Toc117072419 \h </w:instrText>
        </w:r>
        <w:r w:rsidR="00DE4F65">
          <w:rPr>
            <w:webHidden/>
          </w:rPr>
        </w:r>
        <w:r w:rsidR="00DE4F65">
          <w:rPr>
            <w:webHidden/>
          </w:rPr>
          <w:fldChar w:fldCharType="separate"/>
        </w:r>
        <w:r w:rsidR="00DE4F65">
          <w:rPr>
            <w:webHidden/>
          </w:rPr>
          <w:t>22</w:t>
        </w:r>
        <w:r w:rsidR="00DE4F65">
          <w:rPr>
            <w:webHidden/>
          </w:rPr>
          <w:fldChar w:fldCharType="end"/>
        </w:r>
      </w:hyperlink>
    </w:p>
    <w:p w14:paraId="5D2C59A7" w14:textId="4CAA6412" w:rsidR="00DE4F65" w:rsidRDefault="00B01D4C">
      <w:pPr>
        <w:pStyle w:val="TOC2"/>
        <w:rPr>
          <w:rFonts w:asciiTheme="minorHAnsi" w:eastAsiaTheme="minorEastAsia" w:hAnsiTheme="minorHAnsi" w:cstheme="minorBidi"/>
          <w:spacing w:val="0"/>
          <w:sz w:val="22"/>
          <w:szCs w:val="22"/>
        </w:rPr>
      </w:pPr>
      <w:hyperlink w:anchor="_Toc117072420" w:history="1">
        <w:r w:rsidR="00DE4F65" w:rsidRPr="002C2184">
          <w:rPr>
            <w:rStyle w:val="Hyperlink"/>
          </w:rPr>
          <w:t>CSO class licence</w:t>
        </w:r>
        <w:r w:rsidR="00DE4F65">
          <w:rPr>
            <w:webHidden/>
          </w:rPr>
          <w:tab/>
        </w:r>
        <w:r w:rsidR="00DE4F65">
          <w:rPr>
            <w:webHidden/>
          </w:rPr>
          <w:fldChar w:fldCharType="begin"/>
        </w:r>
        <w:r w:rsidR="00DE4F65">
          <w:rPr>
            <w:webHidden/>
          </w:rPr>
          <w:instrText xml:space="preserve"> PAGEREF _Toc117072420 \h </w:instrText>
        </w:r>
        <w:r w:rsidR="00DE4F65">
          <w:rPr>
            <w:webHidden/>
          </w:rPr>
        </w:r>
        <w:r w:rsidR="00DE4F65">
          <w:rPr>
            <w:webHidden/>
          </w:rPr>
          <w:fldChar w:fldCharType="separate"/>
        </w:r>
        <w:r w:rsidR="00DE4F65">
          <w:rPr>
            <w:webHidden/>
          </w:rPr>
          <w:t>23</w:t>
        </w:r>
        <w:r w:rsidR="00DE4F65">
          <w:rPr>
            <w:webHidden/>
          </w:rPr>
          <w:fldChar w:fldCharType="end"/>
        </w:r>
      </w:hyperlink>
    </w:p>
    <w:p w14:paraId="09784C4A" w14:textId="5B1F78EC" w:rsidR="00DE4F65" w:rsidRDefault="00B01D4C">
      <w:pPr>
        <w:pStyle w:val="TOC2"/>
        <w:rPr>
          <w:rFonts w:asciiTheme="minorHAnsi" w:eastAsiaTheme="minorEastAsia" w:hAnsiTheme="minorHAnsi" w:cstheme="minorBidi"/>
          <w:spacing w:val="0"/>
          <w:sz w:val="22"/>
          <w:szCs w:val="22"/>
        </w:rPr>
      </w:pPr>
      <w:hyperlink w:anchor="_Toc117072421" w:history="1">
        <w:r w:rsidR="00DE4F65" w:rsidRPr="002C2184">
          <w:rPr>
            <w:rStyle w:val="Hyperlink"/>
          </w:rPr>
          <w:t>Taxes for apparatus-licensed space-based communication systems</w:t>
        </w:r>
        <w:r w:rsidR="00DE4F65">
          <w:rPr>
            <w:webHidden/>
          </w:rPr>
          <w:tab/>
        </w:r>
        <w:r w:rsidR="00DE4F65">
          <w:rPr>
            <w:webHidden/>
          </w:rPr>
          <w:fldChar w:fldCharType="begin"/>
        </w:r>
        <w:r w:rsidR="00DE4F65">
          <w:rPr>
            <w:webHidden/>
          </w:rPr>
          <w:instrText xml:space="preserve"> PAGEREF _Toc117072421 \h </w:instrText>
        </w:r>
        <w:r w:rsidR="00DE4F65">
          <w:rPr>
            <w:webHidden/>
          </w:rPr>
        </w:r>
        <w:r w:rsidR="00DE4F65">
          <w:rPr>
            <w:webHidden/>
          </w:rPr>
          <w:fldChar w:fldCharType="separate"/>
        </w:r>
        <w:r w:rsidR="00DE4F65">
          <w:rPr>
            <w:webHidden/>
          </w:rPr>
          <w:t>23</w:t>
        </w:r>
        <w:r w:rsidR="00DE4F65">
          <w:rPr>
            <w:webHidden/>
          </w:rPr>
          <w:fldChar w:fldCharType="end"/>
        </w:r>
      </w:hyperlink>
    </w:p>
    <w:p w14:paraId="67136695" w14:textId="14BCE303" w:rsidR="00DE4F65" w:rsidRDefault="00B01D4C">
      <w:pPr>
        <w:pStyle w:val="TOC2"/>
        <w:rPr>
          <w:rFonts w:asciiTheme="minorHAnsi" w:eastAsiaTheme="minorEastAsia" w:hAnsiTheme="minorHAnsi" w:cstheme="minorBidi"/>
          <w:spacing w:val="0"/>
          <w:sz w:val="22"/>
          <w:szCs w:val="22"/>
        </w:rPr>
      </w:pPr>
      <w:hyperlink w:anchor="_Toc117072422" w:history="1">
        <w:r w:rsidR="00DE4F65" w:rsidRPr="002C2184">
          <w:rPr>
            <w:rStyle w:val="Hyperlink"/>
          </w:rPr>
          <w:t>International obligations</w:t>
        </w:r>
        <w:r w:rsidR="00DE4F65">
          <w:rPr>
            <w:webHidden/>
          </w:rPr>
          <w:tab/>
        </w:r>
        <w:r w:rsidR="00DE4F65">
          <w:rPr>
            <w:webHidden/>
          </w:rPr>
          <w:fldChar w:fldCharType="begin"/>
        </w:r>
        <w:r w:rsidR="00DE4F65">
          <w:rPr>
            <w:webHidden/>
          </w:rPr>
          <w:instrText xml:space="preserve"> PAGEREF _Toc117072422 \h </w:instrText>
        </w:r>
        <w:r w:rsidR="00DE4F65">
          <w:rPr>
            <w:webHidden/>
          </w:rPr>
        </w:r>
        <w:r w:rsidR="00DE4F65">
          <w:rPr>
            <w:webHidden/>
          </w:rPr>
          <w:fldChar w:fldCharType="separate"/>
        </w:r>
        <w:r w:rsidR="00DE4F65">
          <w:rPr>
            <w:webHidden/>
          </w:rPr>
          <w:t>23</w:t>
        </w:r>
        <w:r w:rsidR="00DE4F65">
          <w:rPr>
            <w:webHidden/>
          </w:rPr>
          <w:fldChar w:fldCharType="end"/>
        </w:r>
      </w:hyperlink>
    </w:p>
    <w:p w14:paraId="2F5D4E9D" w14:textId="6E5348B4" w:rsidR="004D56FF" w:rsidRPr="00E162C4" w:rsidRDefault="006A3ECF">
      <w:pPr>
        <w:rPr>
          <w:rFonts w:cs="Arial"/>
        </w:rPr>
        <w:sectPr w:rsidR="004D56FF" w:rsidRPr="00E162C4"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sidRPr="00E162C4">
        <w:rPr>
          <w:rFonts w:cs="Arial"/>
          <w:noProof/>
          <w:spacing w:val="-14"/>
          <w:sz w:val="28"/>
        </w:rPr>
        <w:fldChar w:fldCharType="end"/>
      </w:r>
    </w:p>
    <w:p w14:paraId="299D9CF3" w14:textId="77777777" w:rsidR="009D6C71" w:rsidRPr="00E162C4" w:rsidRDefault="009D6C71" w:rsidP="009174F3">
      <w:pPr>
        <w:pStyle w:val="Execsummaryheading"/>
      </w:pPr>
      <w:bookmarkStart w:id="0" w:name="_Toc117072401"/>
      <w:r w:rsidRPr="00E162C4">
        <w:lastRenderedPageBreak/>
        <w:t>Executive summary</w:t>
      </w:r>
      <w:bookmarkEnd w:id="0"/>
    </w:p>
    <w:p w14:paraId="375E0795" w14:textId="398111E6" w:rsidR="00727C6C" w:rsidRDefault="00D3024E" w:rsidP="00727C6C">
      <w:pPr>
        <w:pStyle w:val="Paragraph"/>
      </w:pPr>
      <w:bookmarkStart w:id="1" w:name="_Toc433122125"/>
      <w:r>
        <w:t xml:space="preserve">We are </w:t>
      </w:r>
      <w:r w:rsidR="00727C6C">
        <w:t xml:space="preserve">proposing </w:t>
      </w:r>
      <w:r w:rsidR="00AC104E">
        <w:t xml:space="preserve">variations </w:t>
      </w:r>
      <w:r w:rsidR="00727C6C">
        <w:t xml:space="preserve">to class licensing arrangements to </w:t>
      </w:r>
      <w:r w:rsidR="00727C6C" w:rsidRPr="00F359BF">
        <w:t xml:space="preserve">support </w:t>
      </w:r>
      <w:r w:rsidR="00F359BF" w:rsidRPr="00F359BF">
        <w:t>increased capability for wireless access services</w:t>
      </w:r>
      <w:r w:rsidR="00727C6C" w:rsidRPr="00F359BF">
        <w:t xml:space="preserve"> and other technology innovations</w:t>
      </w:r>
      <w:r w:rsidR="00222223">
        <w:t xml:space="preserve">. This will </w:t>
      </w:r>
      <w:r w:rsidR="00AC104E">
        <w:t xml:space="preserve">be </w:t>
      </w:r>
      <w:r w:rsidR="00727C6C" w:rsidRPr="00F359BF">
        <w:t>enabled</w:t>
      </w:r>
      <w:r w:rsidR="00727C6C">
        <w:t xml:space="preserve"> by varying the </w:t>
      </w:r>
      <w:hyperlink r:id="rId24" w:history="1">
        <w:r w:rsidR="00727C6C" w:rsidRPr="006A3934">
          <w:rPr>
            <w:rStyle w:val="Hyperlink"/>
          </w:rPr>
          <w:t>Radiocommunications (Low Interference Potential Devices) Class Licence 2015</w:t>
        </w:r>
      </w:hyperlink>
      <w:r w:rsidR="00727C6C">
        <w:t xml:space="preserve"> (the LIPD </w:t>
      </w:r>
      <w:r w:rsidR="00222223">
        <w:t>c</w:t>
      </w:r>
      <w:r w:rsidR="00727C6C">
        <w:t xml:space="preserve">lass </w:t>
      </w:r>
      <w:r w:rsidR="00222223">
        <w:t>l</w:t>
      </w:r>
      <w:r w:rsidR="00727C6C">
        <w:t xml:space="preserve">icence). The purpose of the </w:t>
      </w:r>
      <w:r w:rsidR="00AC104E">
        <w:t xml:space="preserve">variations </w:t>
      </w:r>
      <w:r w:rsidR="00727C6C">
        <w:t xml:space="preserve">is to support new technology applications and bring Australia into line with international arrangements </w:t>
      </w:r>
      <w:r w:rsidR="00222223">
        <w:t xml:space="preserve">that </w:t>
      </w:r>
      <w:r w:rsidR="00727C6C">
        <w:t>support standardised and efficient equipment supply arrangements.</w:t>
      </w:r>
    </w:p>
    <w:p w14:paraId="2D55B765" w14:textId="67B894D8" w:rsidR="00727C6C" w:rsidRPr="00E217E7" w:rsidRDefault="00727C6C" w:rsidP="00727C6C">
      <w:pPr>
        <w:pStyle w:val="Paragraph"/>
        <w:spacing w:after="80"/>
      </w:pPr>
      <w:r>
        <w:t xml:space="preserve">In brief, the proposed </w:t>
      </w:r>
      <w:r w:rsidR="00AC104E">
        <w:t xml:space="preserve">variations </w:t>
      </w:r>
      <w:r>
        <w:t xml:space="preserve">consider </w:t>
      </w:r>
      <w:r w:rsidRPr="00E217E7">
        <w:t>new arrangements for:</w:t>
      </w:r>
    </w:p>
    <w:p w14:paraId="5EFBBECF" w14:textId="1DF6D43B" w:rsidR="0048640D" w:rsidRPr="00E217E7" w:rsidRDefault="00AC104E" w:rsidP="00727C6C">
      <w:pPr>
        <w:pStyle w:val="Bulletlevel1"/>
      </w:pPr>
      <w:r>
        <w:t>radiocommunications receivers</w:t>
      </w:r>
      <w:r w:rsidRPr="00E217E7">
        <w:t xml:space="preserve"> </w:t>
      </w:r>
      <w:r w:rsidR="004B08D1">
        <w:t xml:space="preserve">communicating with satellites </w:t>
      </w:r>
      <w:r w:rsidR="00E217E7" w:rsidRPr="00E217E7">
        <w:t>in the 915</w:t>
      </w:r>
      <w:r w:rsidR="00222223">
        <w:t>–</w:t>
      </w:r>
      <w:r w:rsidR="00E217E7" w:rsidRPr="00E217E7">
        <w:t>92</w:t>
      </w:r>
      <w:r w:rsidR="009E3FA7">
        <w:t>8</w:t>
      </w:r>
      <w:r w:rsidR="00E217E7" w:rsidRPr="00E217E7">
        <w:t xml:space="preserve"> MHz</w:t>
      </w:r>
      <w:r w:rsidR="00B747B8">
        <w:t xml:space="preserve"> and 2400</w:t>
      </w:r>
      <w:r w:rsidR="00222223">
        <w:t>–</w:t>
      </w:r>
      <w:r w:rsidR="00B747B8">
        <w:t>2483.5</w:t>
      </w:r>
      <w:r w:rsidR="00FE54E7">
        <w:t> </w:t>
      </w:r>
      <w:r w:rsidR="00B747B8">
        <w:t>MHz</w:t>
      </w:r>
      <w:r w:rsidR="00E217E7" w:rsidRPr="00E217E7">
        <w:t xml:space="preserve"> band</w:t>
      </w:r>
      <w:r w:rsidR="00B747B8">
        <w:t>s</w:t>
      </w:r>
    </w:p>
    <w:p w14:paraId="6B517DFB" w14:textId="2138A10B" w:rsidR="00E217E7" w:rsidRPr="00E217E7" w:rsidRDefault="00AC104E" w:rsidP="00E217E7">
      <w:pPr>
        <w:pStyle w:val="Bulletlevel1"/>
      </w:pPr>
      <w:r>
        <w:t>f</w:t>
      </w:r>
      <w:r w:rsidR="00E217E7" w:rsidRPr="00E217E7">
        <w:t>requency</w:t>
      </w:r>
      <w:r w:rsidR="00222223">
        <w:t>-</w:t>
      </w:r>
      <w:r w:rsidR="00E217E7" w:rsidRPr="00E217E7">
        <w:t xml:space="preserve">hopping </w:t>
      </w:r>
      <w:r>
        <w:t>radiocommunications transmitters</w:t>
      </w:r>
      <w:r w:rsidRPr="00E217E7">
        <w:t xml:space="preserve"> </w:t>
      </w:r>
      <w:r w:rsidR="00E217E7" w:rsidRPr="00E217E7">
        <w:t>in the 5925–6425 MHz band</w:t>
      </w:r>
    </w:p>
    <w:p w14:paraId="00810431" w14:textId="63B49E12" w:rsidR="00727C6C" w:rsidRPr="00E217E7" w:rsidRDefault="00222223" w:rsidP="00E217E7">
      <w:pPr>
        <w:pStyle w:val="Bulletlevel1last"/>
      </w:pPr>
      <w:r>
        <w:t>r</w:t>
      </w:r>
      <w:r w:rsidR="00E217E7" w:rsidRPr="00E217E7">
        <w:t xml:space="preserve">adio </w:t>
      </w:r>
      <w:r>
        <w:t>l</w:t>
      </w:r>
      <w:r w:rsidR="00E217E7" w:rsidRPr="00E217E7">
        <w:t xml:space="preserve">ocal </w:t>
      </w:r>
      <w:r>
        <w:t>a</w:t>
      </w:r>
      <w:r w:rsidR="00E217E7" w:rsidRPr="00E217E7">
        <w:t xml:space="preserve">rea </w:t>
      </w:r>
      <w:r>
        <w:t>n</w:t>
      </w:r>
      <w:r w:rsidR="00E217E7" w:rsidRPr="00E217E7">
        <w:t xml:space="preserve">etwork (RLAN) </w:t>
      </w:r>
      <w:r w:rsidR="00AC104E">
        <w:t>radiocommunications transmitters</w:t>
      </w:r>
      <w:r w:rsidR="00AC104E" w:rsidRPr="00E217E7">
        <w:t xml:space="preserve"> </w:t>
      </w:r>
      <w:r w:rsidR="00E217E7" w:rsidRPr="00E217E7">
        <w:t xml:space="preserve">in the </w:t>
      </w:r>
      <w:r>
        <w:br/>
      </w:r>
      <w:r w:rsidR="00E217E7" w:rsidRPr="00E217E7">
        <w:t>5150</w:t>
      </w:r>
      <w:r>
        <w:t>–</w:t>
      </w:r>
      <w:r w:rsidR="00E217E7" w:rsidRPr="00E217E7">
        <w:t>5250 MHz band</w:t>
      </w:r>
      <w:r w:rsidR="00727C6C" w:rsidRPr="00E217E7">
        <w:t>.</w:t>
      </w:r>
    </w:p>
    <w:p w14:paraId="708A6E6A" w14:textId="232100C4" w:rsidR="00727C6C" w:rsidRDefault="00130979" w:rsidP="00727C6C">
      <w:pPr>
        <w:pStyle w:val="Paragraph"/>
      </w:pPr>
      <w:r>
        <w:t>P</w:t>
      </w:r>
      <w:r w:rsidR="00E217E7">
        <w:t>roposal</w:t>
      </w:r>
      <w:r>
        <w:t>s</w:t>
      </w:r>
      <w:r w:rsidR="00E217E7">
        <w:t xml:space="preserve"> to introduce a definition of ‘indoor’ </w:t>
      </w:r>
      <w:r w:rsidR="00FE54E7">
        <w:t>and include additional technical limitations on the use of RLAN devices in the 5925</w:t>
      </w:r>
      <w:r w:rsidR="00222223">
        <w:t>–</w:t>
      </w:r>
      <w:r w:rsidR="00FE54E7">
        <w:t>6425 MHz band are</w:t>
      </w:r>
      <w:r w:rsidR="00E217E7">
        <w:t xml:space="preserve"> also </w:t>
      </w:r>
      <w:r w:rsidR="00727C6C">
        <w:t xml:space="preserve">included for consideration. </w:t>
      </w:r>
    </w:p>
    <w:p w14:paraId="09BAD591" w14:textId="1D00BDBD" w:rsidR="00727C6C" w:rsidRDefault="00727C6C" w:rsidP="00727C6C">
      <w:pPr>
        <w:pStyle w:val="Paragraph"/>
      </w:pPr>
      <w:r>
        <w:t xml:space="preserve">The proposed </w:t>
      </w:r>
      <w:r w:rsidR="00AC104E">
        <w:t xml:space="preserve">variations </w:t>
      </w:r>
      <w:r>
        <w:t>are contained in the draft Radiocommunications (Low Interference Potential Devices) Class Licence Variation 2022 (No.</w:t>
      </w:r>
      <w:r w:rsidR="00CB0E75">
        <w:t>2</w:t>
      </w:r>
      <w:r>
        <w:t>)</w:t>
      </w:r>
      <w:r w:rsidR="00AC104E">
        <w:t xml:space="preserve"> </w:t>
      </w:r>
      <w:r w:rsidR="00222223">
        <w:t xml:space="preserve">– referred to as the </w:t>
      </w:r>
      <w:r w:rsidR="00AC104E">
        <w:t xml:space="preserve">draft </w:t>
      </w:r>
      <w:r w:rsidR="00222223">
        <w:t>v</w:t>
      </w:r>
      <w:r w:rsidR="00AC104E">
        <w:t>ariation</w:t>
      </w:r>
      <w:r w:rsidR="00222223">
        <w:t xml:space="preserve"> –</w:t>
      </w:r>
      <w:r>
        <w:t xml:space="preserve"> </w:t>
      </w:r>
      <w:r w:rsidR="00222223">
        <w:t xml:space="preserve">which is </w:t>
      </w:r>
      <w:r>
        <w:t xml:space="preserve">available in the key documents section of this consultation. </w:t>
      </w:r>
    </w:p>
    <w:p w14:paraId="221EF17F" w14:textId="325668AC" w:rsidR="00CB0E75" w:rsidRDefault="00CB0E75" w:rsidP="00727C6C">
      <w:pPr>
        <w:pStyle w:val="Paragraph"/>
      </w:pPr>
      <w:r>
        <w:t xml:space="preserve">This paper also </w:t>
      </w:r>
      <w:r w:rsidR="00222223">
        <w:t xml:space="preserve">discusses </w:t>
      </w:r>
      <w:r>
        <w:t xml:space="preserve">potential future </w:t>
      </w:r>
      <w:r w:rsidR="00AC104E">
        <w:t xml:space="preserve">variations </w:t>
      </w:r>
      <w:r>
        <w:t>to facilitate w</w:t>
      </w:r>
      <w:r w:rsidRPr="00CB0E75">
        <w:t xml:space="preserve">ireless </w:t>
      </w:r>
      <w:r>
        <w:t>m</w:t>
      </w:r>
      <w:r w:rsidRPr="00CB0E75">
        <w:t>ulti-</w:t>
      </w:r>
      <w:r>
        <w:t>c</w:t>
      </w:r>
      <w:r w:rsidRPr="00CB0E75">
        <w:t xml:space="preserve">hannel </w:t>
      </w:r>
      <w:r>
        <w:t>a</w:t>
      </w:r>
      <w:r w:rsidRPr="00CB0E75">
        <w:t xml:space="preserve">udio </w:t>
      </w:r>
      <w:r>
        <w:t>s</w:t>
      </w:r>
      <w:r w:rsidRPr="00CB0E75">
        <w:t>ystem (WMAS) technologies for wireless microphones</w:t>
      </w:r>
      <w:r w:rsidR="00FE54E7">
        <w:t>,</w:t>
      </w:r>
      <w:r>
        <w:t xml:space="preserve"> the use of </w:t>
      </w:r>
      <w:r w:rsidRPr="00CB0E75">
        <w:t>wireless broadband spectrum in underground mines</w:t>
      </w:r>
      <w:r w:rsidR="00FE54E7">
        <w:t xml:space="preserve"> and expanded use of </w:t>
      </w:r>
      <w:r w:rsidR="00AC104E">
        <w:t>radiocommunications receivers</w:t>
      </w:r>
      <w:r w:rsidR="00AC104E" w:rsidRPr="00E217E7">
        <w:t xml:space="preserve"> </w:t>
      </w:r>
      <w:r w:rsidR="00AC104E">
        <w:t xml:space="preserve">communicating with satellites </w:t>
      </w:r>
      <w:r w:rsidR="00AC104E" w:rsidRPr="00E217E7">
        <w:t>in the 915</w:t>
      </w:r>
      <w:r w:rsidR="00222223">
        <w:t>–</w:t>
      </w:r>
      <w:r w:rsidR="00AC104E" w:rsidRPr="00E217E7">
        <w:t>92</w:t>
      </w:r>
      <w:r w:rsidR="00AC104E">
        <w:t>8</w:t>
      </w:r>
      <w:r w:rsidR="00AC104E" w:rsidRPr="00E217E7">
        <w:t xml:space="preserve"> MHz</w:t>
      </w:r>
      <w:r w:rsidR="00AC104E">
        <w:t xml:space="preserve"> and 2400</w:t>
      </w:r>
      <w:r w:rsidR="00222223">
        <w:t>–</w:t>
      </w:r>
      <w:r w:rsidR="00AC104E">
        <w:t>2483.5 MHz</w:t>
      </w:r>
      <w:r w:rsidR="00AC104E" w:rsidRPr="00E217E7">
        <w:t xml:space="preserve"> band</w:t>
      </w:r>
      <w:r w:rsidR="00AC104E">
        <w:t>s</w:t>
      </w:r>
      <w:r>
        <w:t xml:space="preserve">. Responses to this paper will inform future </w:t>
      </w:r>
      <w:r w:rsidR="004E12AC">
        <w:t xml:space="preserve">possible </w:t>
      </w:r>
      <w:r>
        <w:t xml:space="preserve">variations to the LIPD </w:t>
      </w:r>
      <w:r w:rsidR="00222223">
        <w:t>c</w:t>
      </w:r>
      <w:r>
        <w:t xml:space="preserve">lass </w:t>
      </w:r>
      <w:r w:rsidR="00222223">
        <w:t>l</w:t>
      </w:r>
      <w:r>
        <w:t xml:space="preserve">icence. </w:t>
      </w:r>
    </w:p>
    <w:p w14:paraId="5F9FE0D5" w14:textId="6575F4B4" w:rsidR="00727C6C" w:rsidRDefault="00222223" w:rsidP="00727C6C">
      <w:pPr>
        <w:pStyle w:val="Paragraph"/>
      </w:pPr>
      <w:r>
        <w:t xml:space="preserve">We </w:t>
      </w:r>
      <w:r w:rsidR="00727C6C">
        <w:t xml:space="preserve">invite comment from interested parties on </w:t>
      </w:r>
      <w:r w:rsidR="00727C6C" w:rsidRPr="0016285E">
        <w:t xml:space="preserve">the proposed </w:t>
      </w:r>
      <w:r w:rsidR="00AC104E" w:rsidRPr="0016285E">
        <w:t xml:space="preserve">variations and the </w:t>
      </w:r>
      <w:r w:rsidR="00727C6C" w:rsidRPr="0016285E">
        <w:t xml:space="preserve">draft variation by </w:t>
      </w:r>
      <w:r w:rsidR="00727C6C" w:rsidRPr="0016285E">
        <w:rPr>
          <w:b/>
          <w:bCs/>
        </w:rPr>
        <w:t xml:space="preserve">COB, Monday </w:t>
      </w:r>
      <w:r w:rsidR="00AC104E" w:rsidRPr="0016285E">
        <w:rPr>
          <w:b/>
          <w:bCs/>
        </w:rPr>
        <w:t>5 December</w:t>
      </w:r>
      <w:r w:rsidR="00727C6C" w:rsidRPr="0016285E">
        <w:rPr>
          <w:b/>
          <w:bCs/>
        </w:rPr>
        <w:t xml:space="preserve"> 202</w:t>
      </w:r>
      <w:r w:rsidR="00F359BF" w:rsidRPr="0016285E">
        <w:rPr>
          <w:b/>
          <w:bCs/>
        </w:rPr>
        <w:t>2</w:t>
      </w:r>
      <w:r w:rsidR="00727C6C" w:rsidRPr="0016285E">
        <w:t xml:space="preserve">. </w:t>
      </w:r>
      <w:r>
        <w:t>You can find i</w:t>
      </w:r>
      <w:r w:rsidR="00727C6C" w:rsidRPr="0016285E">
        <w:t>nform</w:t>
      </w:r>
      <w:r w:rsidR="00727C6C">
        <w:t xml:space="preserve">ation about making a submission in the </w:t>
      </w:r>
      <w:hyperlink w:anchor="_Invitation_to_comment" w:history="1">
        <w:r w:rsidRPr="00222223">
          <w:rPr>
            <w:rStyle w:val="Hyperlink"/>
          </w:rPr>
          <w:t>Invitation to comment</w:t>
        </w:r>
      </w:hyperlink>
      <w:r w:rsidR="00727C6C">
        <w:t xml:space="preserve"> section of this consultation paper. </w:t>
      </w:r>
    </w:p>
    <w:p w14:paraId="4C1F9663" w14:textId="2F6E83C6" w:rsidR="003253EE" w:rsidRPr="00E162C4" w:rsidRDefault="00727C6C" w:rsidP="00727C6C">
      <w:pPr>
        <w:pStyle w:val="Paragraph"/>
      </w:pPr>
      <w:r w:rsidRPr="00F359BF">
        <w:t xml:space="preserve">In addition to the </w:t>
      </w:r>
      <w:r w:rsidR="00AC104E">
        <w:t>draft</w:t>
      </w:r>
      <w:r w:rsidR="00AC104E" w:rsidRPr="00F359BF">
        <w:t xml:space="preserve"> </w:t>
      </w:r>
      <w:r w:rsidRPr="00F359BF">
        <w:t xml:space="preserve">variation, the ACMA invites suggestions from industry and individuals on devices and technologies for possible inclusion in the LIPD </w:t>
      </w:r>
      <w:r w:rsidR="00222223">
        <w:t>c</w:t>
      </w:r>
      <w:r w:rsidRPr="00F359BF">
        <w:t xml:space="preserve">lass </w:t>
      </w:r>
      <w:r w:rsidR="00222223">
        <w:t>l</w:t>
      </w:r>
      <w:r w:rsidRPr="00F359BF">
        <w:t xml:space="preserve">icence in future </w:t>
      </w:r>
      <w:r w:rsidR="00AC104E">
        <w:t>variations</w:t>
      </w:r>
      <w:r w:rsidRPr="00F359BF">
        <w:t>.</w:t>
      </w:r>
    </w:p>
    <w:p w14:paraId="72D9313F" w14:textId="58A0CB9F" w:rsidR="00715722" w:rsidRPr="00E162C4" w:rsidRDefault="00715722" w:rsidP="00715722">
      <w:pPr>
        <w:pStyle w:val="Heading1"/>
      </w:pPr>
      <w:bookmarkStart w:id="2" w:name="_Toc117072402"/>
      <w:r w:rsidRPr="00E162C4">
        <w:lastRenderedPageBreak/>
        <w:t>Issues for comment</w:t>
      </w:r>
      <w:bookmarkEnd w:id="1"/>
      <w:bookmarkEnd w:id="2"/>
    </w:p>
    <w:p w14:paraId="2E8C7375" w14:textId="5B3A439F" w:rsidR="00CB0E75" w:rsidRDefault="000511BD" w:rsidP="00727C6C">
      <w:pPr>
        <w:pStyle w:val="Paragraph"/>
      </w:pPr>
      <w:r>
        <w:t xml:space="preserve">We </w:t>
      </w:r>
      <w:r w:rsidR="00727C6C" w:rsidRPr="00727C6C">
        <w:t xml:space="preserve">welcome comments on the issues raised in this consultation paper, or any other issues relevant to the LIPD </w:t>
      </w:r>
      <w:r>
        <w:t>c</w:t>
      </w:r>
      <w:r w:rsidR="00727C6C" w:rsidRPr="00727C6C">
        <w:t xml:space="preserve">lass </w:t>
      </w:r>
      <w:r>
        <w:t>l</w:t>
      </w:r>
      <w:r w:rsidR="00727C6C" w:rsidRPr="00727C6C">
        <w:t xml:space="preserve">icence. In particular, the ACMA seeks comment on the draft </w:t>
      </w:r>
      <w:r>
        <w:t>v</w:t>
      </w:r>
      <w:r w:rsidR="00727C6C" w:rsidRPr="00727C6C">
        <w:t>ariation</w:t>
      </w:r>
      <w:r w:rsidR="00CB0E75">
        <w:t xml:space="preserve">. </w:t>
      </w:r>
    </w:p>
    <w:p w14:paraId="5C83A096" w14:textId="31674357" w:rsidR="00715722" w:rsidRPr="00E162C4" w:rsidRDefault="00CB0E75" w:rsidP="00727C6C">
      <w:pPr>
        <w:pStyle w:val="Paragraph"/>
      </w:pPr>
      <w:r>
        <w:t xml:space="preserve">We also invite comments on potential future </w:t>
      </w:r>
      <w:r w:rsidR="00AC104E">
        <w:t xml:space="preserve">variations </w:t>
      </w:r>
      <w:r>
        <w:t xml:space="preserve">to the LIPD </w:t>
      </w:r>
      <w:r w:rsidR="000511BD">
        <w:t>c</w:t>
      </w:r>
      <w:r>
        <w:t xml:space="preserve">lass </w:t>
      </w:r>
      <w:r w:rsidR="000511BD">
        <w:t>l</w:t>
      </w:r>
      <w:r>
        <w:t>icence for WMAS technologies for wireless microphones</w:t>
      </w:r>
      <w:r w:rsidR="00FE54E7">
        <w:t>,</w:t>
      </w:r>
      <w:r>
        <w:t xml:space="preserve"> the use of wireless broadband spectrum in underground mines</w:t>
      </w:r>
      <w:r w:rsidR="00FE54E7" w:rsidRPr="00FE54E7">
        <w:t xml:space="preserve"> </w:t>
      </w:r>
      <w:r w:rsidR="00FE54E7">
        <w:t xml:space="preserve">and expanded use of the </w:t>
      </w:r>
      <w:r w:rsidR="00FE54E7" w:rsidRPr="00FE54E7">
        <w:t>2400</w:t>
      </w:r>
      <w:r w:rsidR="000511BD">
        <w:t>–</w:t>
      </w:r>
      <w:r w:rsidR="00FE54E7" w:rsidRPr="00FE54E7">
        <w:t>2483.5 MHz band</w:t>
      </w:r>
      <w:r w:rsidR="00FE54E7">
        <w:t xml:space="preserve"> for </w:t>
      </w:r>
      <w:r w:rsidR="004B08D1">
        <w:t xml:space="preserve">devices communicating with </w:t>
      </w:r>
      <w:r w:rsidR="00FE54E7">
        <w:t>satellite</w:t>
      </w:r>
      <w:r w:rsidR="004B08D1">
        <w:t>s</w:t>
      </w:r>
      <w:r>
        <w:t>. Specifically,</w:t>
      </w:r>
      <w:r w:rsidR="00727C6C">
        <w:t xml:space="preserve"> we invite </w:t>
      </w:r>
      <w:r w:rsidR="00715722" w:rsidRPr="00E162C4">
        <w:t xml:space="preserve">comments on the </w:t>
      </w:r>
      <w:r w:rsidR="00727C6C">
        <w:t>questions</w:t>
      </w:r>
      <w:r w:rsidR="00715722" w:rsidRPr="00E162C4">
        <w:t xml:space="preserve"> set out in this paper:</w:t>
      </w:r>
    </w:p>
    <w:p w14:paraId="1C7B44F5" w14:textId="618F1E92" w:rsidR="00D41F13" w:rsidRDefault="00D41F13" w:rsidP="00D41F13">
      <w:pPr>
        <w:pStyle w:val="Heading3"/>
      </w:pPr>
      <w:r w:rsidRPr="00D41F13">
        <w:t>RLAN radiocommunications transmitters in the 5150–5250 MHz band</w:t>
      </w:r>
    </w:p>
    <w:p w14:paraId="23F38BAB" w14:textId="77777777" w:rsidR="007C7B36" w:rsidRDefault="007C7B36" w:rsidP="00D41F13">
      <w:pPr>
        <w:pStyle w:val="Heading3"/>
      </w:pPr>
    </w:p>
    <w:p w14:paraId="3D45CE41" w14:textId="1AAE18A1" w:rsidR="00D41F13" w:rsidRDefault="00D41F13" w:rsidP="006A3934">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t>Question 1</w:t>
      </w:r>
    </w:p>
    <w:p w14:paraId="6B412C90" w14:textId="442BBB0E" w:rsidR="00D41F13" w:rsidRDefault="00D41F13" w:rsidP="006A3934">
      <w:pPr>
        <w:pStyle w:val="Numberlistlevel1"/>
        <w:pBdr>
          <w:top w:val="single" w:sz="4" w:space="1" w:color="auto"/>
          <w:left w:val="single" w:sz="4" w:space="4" w:color="auto"/>
          <w:bottom w:val="single" w:sz="4" w:space="1" w:color="auto"/>
          <w:right w:val="single" w:sz="4" w:space="4" w:color="auto"/>
        </w:pBdr>
        <w:shd w:val="clear" w:color="auto" w:fill="F2F2F2" w:themeFill="background1" w:themeFillShade="F2"/>
      </w:pPr>
      <w:r>
        <w:t>Should a separate new item be introduced to facilitate higher</w:t>
      </w:r>
      <w:r w:rsidR="007C7B36">
        <w:t>-</w:t>
      </w:r>
      <w:r>
        <w:t>power RLAN transmitters in 5150</w:t>
      </w:r>
      <w:r w:rsidR="007C7B36">
        <w:t>–</w:t>
      </w:r>
      <w:r>
        <w:t>5250 MHz</w:t>
      </w:r>
      <w:r w:rsidR="007C7B36">
        <w:t>,</w:t>
      </w:r>
      <w:r>
        <w:t xml:space="preserve"> or should existing item 61 be modified?</w:t>
      </w:r>
    </w:p>
    <w:p w14:paraId="4C9903E6" w14:textId="509DF6E5" w:rsidR="00D41F13" w:rsidRDefault="00D41F13" w:rsidP="00D41F13">
      <w:pPr>
        <w:pStyle w:val="Numberlistlevel1"/>
      </w:pPr>
    </w:p>
    <w:p w14:paraId="5D1A736C" w14:textId="77777777" w:rsidR="00D41F13" w:rsidRDefault="00D41F13" w:rsidP="006A3934">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t>Question 2</w:t>
      </w:r>
    </w:p>
    <w:p w14:paraId="5715A0A2" w14:textId="7C4DEE80" w:rsidR="00D41F13" w:rsidRDefault="00D41F13" w:rsidP="006A3934">
      <w:pPr>
        <w:pStyle w:val="Numberlistlevel1"/>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Which of the </w:t>
      </w:r>
      <w:r w:rsidR="007C7B36">
        <w:t xml:space="preserve">2 </w:t>
      </w:r>
      <w:r>
        <w:t>simple emission masks outlined in ITU Resolution 229 (Rev. WRC-19) should be implemented in Australia for 1 W RLAN transmitters in the 5150</w:t>
      </w:r>
      <w:r w:rsidR="007C7B36">
        <w:t>–</w:t>
      </w:r>
      <w:r>
        <w:t>5250 MHz band?</w:t>
      </w:r>
    </w:p>
    <w:p w14:paraId="0BEAD2F7" w14:textId="4AAC137D" w:rsidR="00D41F13" w:rsidRDefault="00D41F13" w:rsidP="00D41F13">
      <w:pPr>
        <w:pStyle w:val="Numberlistlevel1"/>
      </w:pPr>
    </w:p>
    <w:p w14:paraId="63DFC10C" w14:textId="77777777" w:rsidR="00D41F13" w:rsidRDefault="00D41F13" w:rsidP="006A3934">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t>Question 3</w:t>
      </w:r>
    </w:p>
    <w:p w14:paraId="4674805F" w14:textId="6D5F2411" w:rsidR="00D41F13" w:rsidRDefault="00D41F13" w:rsidP="006A3934">
      <w:pPr>
        <w:pStyle w:val="Numberlistlevel1"/>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Subject to which emission mask is implemented (see </w:t>
      </w:r>
      <w:r w:rsidR="007C7B36">
        <w:t>Q</w:t>
      </w:r>
      <w:r>
        <w:t xml:space="preserve">uestion 2), would a device registration system </w:t>
      </w:r>
      <w:r w:rsidR="007C7B36">
        <w:t xml:space="preserve">(or similar – see Canadian approach above) </w:t>
      </w:r>
      <w:r>
        <w:t xml:space="preserve">be needed for outdoor deployments exceeding 200 mW (23 dBm) transmission power? Note that such a regime would require further regulatory development. Accordingly, a decision to </w:t>
      </w:r>
      <w:r w:rsidR="00130979">
        <w:t>implement such a regime</w:t>
      </w:r>
      <w:r>
        <w:t xml:space="preserve"> may delay access under those arrangements.</w:t>
      </w:r>
    </w:p>
    <w:p w14:paraId="7D1660AD" w14:textId="5E87C328" w:rsidR="00D41F13" w:rsidRDefault="00D41F13" w:rsidP="00D41F13">
      <w:pPr>
        <w:pStyle w:val="Numberlistlevel1"/>
      </w:pPr>
    </w:p>
    <w:p w14:paraId="1956CE8B" w14:textId="769AAA30" w:rsidR="00D41F13" w:rsidRDefault="00D41F13" w:rsidP="00D41F13">
      <w:pPr>
        <w:pStyle w:val="Heading3"/>
      </w:pPr>
      <w:r w:rsidRPr="00D41F13">
        <w:t>WMAS technologies for wireless audio transmitters</w:t>
      </w:r>
    </w:p>
    <w:p w14:paraId="175BD92B" w14:textId="77777777" w:rsidR="007C7B36" w:rsidRDefault="007C7B36" w:rsidP="00D41F13">
      <w:pPr>
        <w:pStyle w:val="Heading3"/>
      </w:pPr>
    </w:p>
    <w:p w14:paraId="414F7514" w14:textId="5FF00E27" w:rsidR="00D41F13" w:rsidRDefault="00D41F13" w:rsidP="006A3934">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t>Question 4</w:t>
      </w:r>
    </w:p>
    <w:p w14:paraId="267FFC1C" w14:textId="60F82E6C" w:rsidR="00D41F13" w:rsidRDefault="00D41F13" w:rsidP="006A3934">
      <w:pPr>
        <w:pStyle w:val="Numberlistlevel1"/>
        <w:pBdr>
          <w:top w:val="single" w:sz="4" w:space="1" w:color="auto"/>
          <w:left w:val="single" w:sz="4" w:space="4" w:color="auto"/>
          <w:bottom w:val="single" w:sz="4" w:space="1" w:color="auto"/>
          <w:right w:val="single" w:sz="4" w:space="4" w:color="auto"/>
        </w:pBdr>
        <w:shd w:val="clear" w:color="auto" w:fill="F2F2F2" w:themeFill="background1" w:themeFillShade="F2"/>
      </w:pPr>
      <w:r>
        <w:t>What should be the maximum EIRP for WMAS devices in the 520–694 MHz and 1785–1800 MHz bands?</w:t>
      </w:r>
    </w:p>
    <w:p w14:paraId="2C19C3B8" w14:textId="7376458E" w:rsidR="00D41F13" w:rsidRDefault="00D41F13" w:rsidP="00D41F13">
      <w:pPr>
        <w:pStyle w:val="Numberlistlevel1"/>
      </w:pPr>
    </w:p>
    <w:p w14:paraId="27AFBFA4" w14:textId="77777777" w:rsidR="00D41F13" w:rsidRDefault="00D41F13" w:rsidP="006A3934">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t>Question 5</w:t>
      </w:r>
    </w:p>
    <w:p w14:paraId="1B573F04" w14:textId="66E24887" w:rsidR="00D41F13" w:rsidRDefault="00D41F13" w:rsidP="006A3934">
      <w:pPr>
        <w:pStyle w:val="Numberlistlevel1"/>
        <w:pBdr>
          <w:top w:val="single" w:sz="4" w:space="1" w:color="auto"/>
          <w:left w:val="single" w:sz="4" w:space="4" w:color="auto"/>
          <w:bottom w:val="single" w:sz="4" w:space="1" w:color="auto"/>
          <w:right w:val="single" w:sz="4" w:space="4" w:color="auto"/>
        </w:pBdr>
        <w:shd w:val="clear" w:color="auto" w:fill="F2F2F2" w:themeFill="background1" w:themeFillShade="F2"/>
      </w:pPr>
      <w:r>
        <w:t>Should a maximum bandwidth limitation be implemented for WMAS devices? If so, what should the maximum emission bandwidth be?</w:t>
      </w:r>
    </w:p>
    <w:p w14:paraId="12055191" w14:textId="7116D814" w:rsidR="00D41F13" w:rsidRDefault="00D41F13" w:rsidP="00D41F13">
      <w:pPr>
        <w:pStyle w:val="Numberlistlevel1"/>
      </w:pPr>
    </w:p>
    <w:p w14:paraId="24AADB56" w14:textId="77777777" w:rsidR="00D41F13" w:rsidRDefault="00D41F13" w:rsidP="006A3934">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t>Question 6</w:t>
      </w:r>
    </w:p>
    <w:p w14:paraId="146C5E25" w14:textId="379F9D42" w:rsidR="00D41F13" w:rsidRDefault="00D41F13" w:rsidP="006A3934">
      <w:pPr>
        <w:pStyle w:val="Numberlistlevel1"/>
        <w:pBdr>
          <w:top w:val="single" w:sz="4" w:space="1" w:color="auto"/>
          <w:left w:val="single" w:sz="4" w:space="4" w:color="auto"/>
          <w:bottom w:val="single" w:sz="4" w:space="1" w:color="auto"/>
          <w:right w:val="single" w:sz="4" w:space="4" w:color="auto"/>
        </w:pBdr>
        <w:shd w:val="clear" w:color="auto" w:fill="F2F2F2" w:themeFill="background1" w:themeFillShade="F2"/>
      </w:pPr>
      <w:r>
        <w:t>Should a WMAS emission in 520</w:t>
      </w:r>
      <w:r w:rsidR="007C7B36">
        <w:t>–</w:t>
      </w:r>
      <w:r>
        <w:t>694 MHz be limited to fall entirely within a single TV channel? For emissions greater than a single TV channel, should a whole number of TV channels be required (</w:t>
      </w:r>
      <w:r w:rsidR="008806F7">
        <w:t xml:space="preserve">for example, </w:t>
      </w:r>
      <w:r>
        <w:t>emission bandwidths of 7 MHz or 14 MHz)? Should any other limitations regarding the relative positioning of WMAS emissions with respect to the TV channel raster be implemented?</w:t>
      </w:r>
    </w:p>
    <w:p w14:paraId="41F112F3" w14:textId="5870B9BC" w:rsidR="00D41F13" w:rsidRDefault="00D41F13" w:rsidP="00D41F13">
      <w:pPr>
        <w:pStyle w:val="Numberlistlevel1"/>
      </w:pPr>
    </w:p>
    <w:p w14:paraId="4C04570F" w14:textId="77777777" w:rsidR="00D41F13" w:rsidRDefault="00D41F13" w:rsidP="006A3934">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lastRenderedPageBreak/>
        <w:t>Question 7</w:t>
      </w:r>
    </w:p>
    <w:p w14:paraId="779249BE" w14:textId="5B49248C" w:rsidR="00D41F13" w:rsidRDefault="00D41F13" w:rsidP="006A3934">
      <w:pPr>
        <w:pStyle w:val="Numberlistlevel1"/>
        <w:pBdr>
          <w:top w:val="single" w:sz="4" w:space="1" w:color="auto"/>
          <w:left w:val="single" w:sz="4" w:space="4" w:color="auto"/>
          <w:bottom w:val="single" w:sz="4" w:space="1" w:color="auto"/>
          <w:right w:val="single" w:sz="4" w:space="4" w:color="auto"/>
        </w:pBdr>
        <w:shd w:val="clear" w:color="auto" w:fill="F2F2F2" w:themeFill="background1" w:themeFillShade="F2"/>
      </w:pPr>
      <w:r>
        <w:t>Should a minimum spectral efficiency limitation be implemented for WMAS devices? If so, what should the minimum spectral efficiency be?</w:t>
      </w:r>
    </w:p>
    <w:p w14:paraId="54D5742F" w14:textId="77777777" w:rsidR="008806F7" w:rsidRDefault="008806F7" w:rsidP="00D41F13">
      <w:pPr>
        <w:pStyle w:val="Heading3"/>
      </w:pPr>
    </w:p>
    <w:p w14:paraId="725DB08C" w14:textId="53C8AE59" w:rsidR="00D41F13" w:rsidRDefault="00D41F13" w:rsidP="006A3934">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t>Question 8</w:t>
      </w:r>
    </w:p>
    <w:p w14:paraId="200BFC1B" w14:textId="5247991E" w:rsidR="00D41F13" w:rsidRDefault="00D41F13" w:rsidP="006A3934">
      <w:pPr>
        <w:pStyle w:val="Numberlistlevel1"/>
        <w:pBdr>
          <w:top w:val="single" w:sz="4" w:space="1" w:color="auto"/>
          <w:left w:val="single" w:sz="4" w:space="4" w:color="auto"/>
          <w:bottom w:val="single" w:sz="4" w:space="1" w:color="auto"/>
          <w:right w:val="single" w:sz="4" w:space="4" w:color="auto"/>
        </w:pBdr>
        <w:shd w:val="clear" w:color="auto" w:fill="F2F2F2" w:themeFill="background1" w:themeFillShade="F2"/>
      </w:pPr>
      <w:r>
        <w:t>Should WMAS devices be required to comply with ETSI Standard EN 300 422?</w:t>
      </w:r>
    </w:p>
    <w:p w14:paraId="1FC9E606" w14:textId="1F8A2AA8" w:rsidR="00D41F13" w:rsidRDefault="00D41F13" w:rsidP="00D41F13">
      <w:pPr>
        <w:pStyle w:val="Numberlistlevel1"/>
      </w:pPr>
    </w:p>
    <w:p w14:paraId="173B7E26" w14:textId="77777777" w:rsidR="00D41F13" w:rsidRDefault="00D41F13" w:rsidP="006A3934">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t>Question 9</w:t>
      </w:r>
    </w:p>
    <w:p w14:paraId="12932488" w14:textId="35F1E13B" w:rsidR="00D41F13" w:rsidRDefault="00D41F13" w:rsidP="006A3934">
      <w:pPr>
        <w:pStyle w:val="Numberlistlevel1"/>
        <w:pBdr>
          <w:top w:val="single" w:sz="4" w:space="1" w:color="auto"/>
          <w:left w:val="single" w:sz="4" w:space="4" w:color="auto"/>
          <w:bottom w:val="single" w:sz="4" w:space="1" w:color="auto"/>
          <w:right w:val="single" w:sz="4" w:space="4" w:color="auto"/>
        </w:pBdr>
        <w:shd w:val="clear" w:color="auto" w:fill="F2F2F2" w:themeFill="background1" w:themeFillShade="F2"/>
      </w:pPr>
      <w:r>
        <w:t>Should new items be added to Schedule 1 of the LIPD class licence to facilitate WMAS</w:t>
      </w:r>
      <w:r w:rsidR="005A72CA">
        <w:t>,</w:t>
      </w:r>
      <w:r>
        <w:t xml:space="preserve"> or should existing items be modified?</w:t>
      </w:r>
    </w:p>
    <w:p w14:paraId="7692AF47" w14:textId="745B211D" w:rsidR="00D41F13" w:rsidRDefault="00D41F13" w:rsidP="00D41F13">
      <w:pPr>
        <w:pStyle w:val="Numberlistlevel1"/>
      </w:pPr>
    </w:p>
    <w:p w14:paraId="67124C25" w14:textId="073BEF18" w:rsidR="00D41F13" w:rsidRDefault="00D41F13" w:rsidP="00D41F13">
      <w:pPr>
        <w:pStyle w:val="Heading3"/>
      </w:pPr>
      <w:r w:rsidRPr="00D41F13">
        <w:t>Underground Wireless Broadband</w:t>
      </w:r>
    </w:p>
    <w:p w14:paraId="73B60E18" w14:textId="77777777" w:rsidR="005A72CA" w:rsidRDefault="005A72CA" w:rsidP="00D41F13">
      <w:pPr>
        <w:pStyle w:val="Heading3"/>
      </w:pPr>
    </w:p>
    <w:p w14:paraId="18B35693" w14:textId="1B5A5686" w:rsidR="00D41F13" w:rsidRDefault="00D41F13" w:rsidP="006A3934">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t>Question 10</w:t>
      </w:r>
    </w:p>
    <w:p w14:paraId="330D1667" w14:textId="0160CDB7" w:rsidR="00D41F13" w:rsidRDefault="00D41F13" w:rsidP="006A3934">
      <w:pPr>
        <w:pStyle w:val="Numberlistlevel1"/>
        <w:pBdr>
          <w:top w:val="single" w:sz="4" w:space="1" w:color="auto"/>
          <w:left w:val="single" w:sz="4" w:space="4" w:color="auto"/>
          <w:bottom w:val="single" w:sz="4" w:space="1" w:color="auto"/>
          <w:right w:val="single" w:sz="4" w:space="4" w:color="auto"/>
        </w:pBdr>
        <w:shd w:val="clear" w:color="auto" w:fill="F2F2F2" w:themeFill="background1" w:themeFillShade="F2"/>
      </w:pPr>
      <w:r>
        <w:t>Have third-party access arrangements to spectrum</w:t>
      </w:r>
      <w:r w:rsidR="005A72CA">
        <w:t>-</w:t>
      </w:r>
      <w:r>
        <w:t xml:space="preserve">licensed bands been explored? </w:t>
      </w:r>
    </w:p>
    <w:p w14:paraId="77C48A18" w14:textId="69D601E9" w:rsidR="00D41F13" w:rsidRDefault="00D41F13" w:rsidP="006A3934">
      <w:pPr>
        <w:pStyle w:val="Numberlistlevel1"/>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Should we consider the introduction of arrangements in the LIPD </w:t>
      </w:r>
      <w:r w:rsidR="005A72CA">
        <w:t>c</w:t>
      </w:r>
      <w:r>
        <w:t xml:space="preserve">lass </w:t>
      </w:r>
      <w:r w:rsidR="005A72CA">
        <w:t>l</w:t>
      </w:r>
      <w:r>
        <w:t>icence to facilitate underground communications in the 700 MHz, 800 MHz and/or 900 MHz bands? What technical limitations should be included in these arrangements if they are introduced?</w:t>
      </w:r>
    </w:p>
    <w:p w14:paraId="0ED1EE8B" w14:textId="40F52E2D" w:rsidR="00D41F13" w:rsidRDefault="00D41F13" w:rsidP="00D41F13">
      <w:pPr>
        <w:pStyle w:val="Numberlistlevel1"/>
      </w:pPr>
    </w:p>
    <w:p w14:paraId="18F957A1" w14:textId="6E7FA83A" w:rsidR="00D41F13" w:rsidRDefault="00D41F13" w:rsidP="00D41F13">
      <w:pPr>
        <w:pStyle w:val="Heading3"/>
      </w:pPr>
      <w:r w:rsidRPr="00D41F13">
        <w:t xml:space="preserve">Radiocommunications receivers communicating with satellites in the </w:t>
      </w:r>
      <w:r w:rsidR="005A72CA">
        <w:br/>
      </w:r>
      <w:r w:rsidRPr="00D41F13">
        <w:t>915</w:t>
      </w:r>
      <w:r w:rsidR="005A72CA">
        <w:t>–</w:t>
      </w:r>
      <w:r w:rsidRPr="00D41F13">
        <w:t>928</w:t>
      </w:r>
      <w:r>
        <w:t> </w:t>
      </w:r>
      <w:r w:rsidRPr="00D41F13">
        <w:t>MHz and 2400</w:t>
      </w:r>
      <w:r w:rsidR="005A72CA">
        <w:t>–</w:t>
      </w:r>
      <w:r w:rsidRPr="00D41F13">
        <w:t>2483.5 MHz bands</w:t>
      </w:r>
    </w:p>
    <w:p w14:paraId="1872F419" w14:textId="77777777" w:rsidR="005A72CA" w:rsidRDefault="005A72CA" w:rsidP="00D41F13">
      <w:pPr>
        <w:pStyle w:val="Heading3"/>
      </w:pPr>
    </w:p>
    <w:p w14:paraId="633E7420" w14:textId="52A82A7E" w:rsidR="00D41F13" w:rsidRDefault="00D41F13" w:rsidP="006A3934">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t>Question 11</w:t>
      </w:r>
    </w:p>
    <w:p w14:paraId="6C8D65C8" w14:textId="5F9AAF99" w:rsidR="00B92516" w:rsidRDefault="00B92516" w:rsidP="006A3934">
      <w:pPr>
        <w:pStyle w:val="Numberlistlevel1"/>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Should we consider the introduction of arrangements to facilitate systems </w:t>
      </w:r>
      <w:r w:rsidRPr="00E10B82">
        <w:t>that utilise</w:t>
      </w:r>
      <w:r w:rsidR="005A72CA">
        <w:t> </w:t>
      </w:r>
      <w:r w:rsidRPr="00E10B82">
        <w:t xml:space="preserve">space-based transmitters that operate </w:t>
      </w:r>
      <w:r>
        <w:t xml:space="preserve">in the bands </w:t>
      </w:r>
      <w:r w:rsidRPr="0053280C">
        <w:t>915</w:t>
      </w:r>
      <w:r w:rsidR="005A72CA">
        <w:t>–</w:t>
      </w:r>
      <w:r w:rsidRPr="0053280C">
        <w:t xml:space="preserve">928 MHz and </w:t>
      </w:r>
      <w:r w:rsidR="005A72CA">
        <w:br/>
      </w:r>
      <w:r w:rsidRPr="0053280C">
        <w:t>2400</w:t>
      </w:r>
      <w:r w:rsidR="005A72CA">
        <w:t>–</w:t>
      </w:r>
      <w:r w:rsidRPr="0053280C">
        <w:t xml:space="preserve">2483.5 MHz </w:t>
      </w:r>
      <w:r w:rsidRPr="00E10B82">
        <w:t xml:space="preserve">at power levels higher than currently </w:t>
      </w:r>
      <w:r>
        <w:t>permitted</w:t>
      </w:r>
      <w:r w:rsidRPr="00E10B82">
        <w:t xml:space="preserve"> under the LIPD </w:t>
      </w:r>
      <w:r w:rsidR="005A72CA">
        <w:t>c</w:t>
      </w:r>
      <w:r w:rsidRPr="00E10B82">
        <w:t xml:space="preserve">lass </w:t>
      </w:r>
      <w:r w:rsidR="005A72CA">
        <w:t>l</w:t>
      </w:r>
      <w:r w:rsidRPr="00E10B82">
        <w:t>icence</w:t>
      </w:r>
      <w:r>
        <w:t>? If so, what matters should be considered in the regulatory framework? In particular, comment is sought on:</w:t>
      </w:r>
    </w:p>
    <w:p w14:paraId="078696A5" w14:textId="257ED478" w:rsidR="00B92516" w:rsidRDefault="00130979" w:rsidP="006A3934">
      <w:pPr>
        <w:pStyle w:val="ListBullet"/>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What is an appropriate power for such services so that there is no impact on other services? While some might operate at power levels slightly higher than those currently supported under the LIPD </w:t>
      </w:r>
      <w:r w:rsidR="005A72CA">
        <w:t>c</w:t>
      </w:r>
      <w:r>
        <w:t xml:space="preserve">lass </w:t>
      </w:r>
      <w:r w:rsidR="005A72CA">
        <w:t>l</w:t>
      </w:r>
      <w:r>
        <w:t>icence, others could at operate higher levels</w:t>
      </w:r>
      <w:r w:rsidR="005A72CA">
        <w:t>. T</w:t>
      </w:r>
      <w:r>
        <w:t>he impact also depends on other technical parameters such the orbital characteristics, number of satellites and what types of services are sharing the band. Such considerations suggest a case-by-case approach (more akin to an apparatus licensing regime) may be required.</w:t>
      </w:r>
    </w:p>
    <w:p w14:paraId="514DDFE1" w14:textId="3369C4D9" w:rsidR="00B92516" w:rsidRDefault="00B92516" w:rsidP="006A3934">
      <w:pPr>
        <w:pStyle w:val="ListBullet"/>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What effect, if any, will the proposed use have on existing services such as the amateur-satellite services and services authorised under the </w:t>
      </w:r>
      <w:r w:rsidR="00833DCE">
        <w:t>LIPD class licence</w:t>
      </w:r>
      <w:r w:rsidR="0063780F">
        <w:t>?</w:t>
      </w:r>
      <w:r>
        <w:t xml:space="preserve"> </w:t>
      </w:r>
      <w:r w:rsidR="0063780F">
        <w:t>F</w:t>
      </w:r>
      <w:r w:rsidR="005A72CA">
        <w:t xml:space="preserve">or example, </w:t>
      </w:r>
      <w:r>
        <w:t xml:space="preserve">Wi-Fi, Bluetooth </w:t>
      </w:r>
      <w:r w:rsidR="0063780F">
        <w:t xml:space="preserve">and </w:t>
      </w:r>
      <w:r w:rsidR="006A3934">
        <w:t>r</w:t>
      </w:r>
      <w:r w:rsidR="006A3934" w:rsidRPr="006A3934">
        <w:t>adio frequency identification</w:t>
      </w:r>
      <w:r w:rsidR="006A3934">
        <w:t xml:space="preserve"> devices (</w:t>
      </w:r>
      <w:r>
        <w:t>RFID</w:t>
      </w:r>
      <w:r w:rsidR="006A3934">
        <w:t>)</w:t>
      </w:r>
      <w:r w:rsidR="0063780F">
        <w:t>.</w:t>
      </w:r>
    </w:p>
    <w:p w14:paraId="33928D76" w14:textId="7835D64B" w:rsidR="00B92516" w:rsidRDefault="00B92516" w:rsidP="006A3934">
      <w:pPr>
        <w:pStyle w:val="ListBullet"/>
        <w:pBdr>
          <w:top w:val="single" w:sz="4" w:space="1" w:color="auto"/>
          <w:left w:val="single" w:sz="4" w:space="4" w:color="auto"/>
          <w:bottom w:val="single" w:sz="4" w:space="1" w:color="auto"/>
          <w:right w:val="single" w:sz="4" w:space="4" w:color="auto"/>
        </w:pBdr>
        <w:shd w:val="clear" w:color="auto" w:fill="F2F2F2" w:themeFill="background1" w:themeFillShade="F2"/>
      </w:pPr>
      <w:r>
        <w:t>Do systems need to be brought under the scope of the</w:t>
      </w:r>
      <w:r w:rsidR="006A3934">
        <w:t xml:space="preserve"> Radiocommunications</w:t>
      </w:r>
      <w:r>
        <w:t xml:space="preserve"> Act via variations to the </w:t>
      </w:r>
      <w:r w:rsidRPr="00B92516">
        <w:t>Radiocommunications (Australian Space Objects) Determination 2014</w:t>
      </w:r>
      <w:r>
        <w:t xml:space="preserve"> or the </w:t>
      </w:r>
      <w:r w:rsidRPr="00B92516">
        <w:t>Radiocommunications (Foreign Space Objects) Determination 2014</w:t>
      </w:r>
      <w:r>
        <w:t>?</w:t>
      </w:r>
    </w:p>
    <w:p w14:paraId="1849AFBA" w14:textId="21B22303" w:rsidR="00B92516" w:rsidRDefault="00B92516" w:rsidP="006A3934">
      <w:pPr>
        <w:pStyle w:val="ListBullet"/>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Is the LIPD </w:t>
      </w:r>
      <w:r w:rsidR="005A72CA">
        <w:t>c</w:t>
      </w:r>
      <w:r>
        <w:t xml:space="preserve">lass </w:t>
      </w:r>
      <w:r w:rsidR="005A72CA">
        <w:t>l</w:t>
      </w:r>
      <w:r>
        <w:t xml:space="preserve">icence or the </w:t>
      </w:r>
      <w:r w:rsidR="00ED2944">
        <w:t>communication with space objects (C</w:t>
      </w:r>
      <w:r>
        <w:t>SO</w:t>
      </w:r>
      <w:r w:rsidR="00ED2944">
        <w:t>)</w:t>
      </w:r>
      <w:r>
        <w:t xml:space="preserve"> </w:t>
      </w:r>
      <w:r w:rsidR="00ED2944">
        <w:t>c</w:t>
      </w:r>
      <w:r>
        <w:t xml:space="preserve">lass </w:t>
      </w:r>
      <w:r w:rsidR="00ED2944">
        <w:t>l</w:t>
      </w:r>
      <w:r>
        <w:t xml:space="preserve">icence the appropriate legislative instrument to be used to facilitate such systems? </w:t>
      </w:r>
    </w:p>
    <w:p w14:paraId="5DE72D76" w14:textId="64D9259B" w:rsidR="00B92516" w:rsidRDefault="00B92516" w:rsidP="006A3934">
      <w:pPr>
        <w:pStyle w:val="ListBullet"/>
        <w:pBdr>
          <w:top w:val="single" w:sz="4" w:space="1" w:color="auto"/>
          <w:left w:val="single" w:sz="4" w:space="4" w:color="auto"/>
          <w:bottom w:val="single" w:sz="4" w:space="1" w:color="auto"/>
          <w:right w:val="single" w:sz="4" w:space="4" w:color="auto"/>
        </w:pBdr>
        <w:shd w:val="clear" w:color="auto" w:fill="F2F2F2" w:themeFill="background1" w:themeFillShade="F2"/>
      </w:pPr>
      <w:r>
        <w:t>If apparatus licensing is used, are the current apparatus licence fees and taxes appropriate? (Assuming the entire band is licensed, for the 915</w:t>
      </w:r>
      <w:r w:rsidR="00ED2944">
        <w:t>–</w:t>
      </w:r>
      <w:r>
        <w:t>928 MHz band, the annual tax for an Australia-wide space licence is estimated as $36,673; for the 2400</w:t>
      </w:r>
      <w:r w:rsidR="00ED2944">
        <w:t>–</w:t>
      </w:r>
      <w:r>
        <w:t>2483.5 MHz band, the annual tax for an Australia-wide space licence is $235,194.</w:t>
      </w:r>
      <w:r w:rsidR="00ED2944">
        <w:t>)</w:t>
      </w:r>
      <w:r>
        <w:t xml:space="preserve"> </w:t>
      </w:r>
    </w:p>
    <w:p w14:paraId="5734C021" w14:textId="08561B9A" w:rsidR="005E250B" w:rsidRPr="00E162C4" w:rsidRDefault="00727C6C" w:rsidP="002C0530">
      <w:pPr>
        <w:pStyle w:val="Heading1"/>
      </w:pPr>
      <w:bookmarkStart w:id="3" w:name="_Toc117072403"/>
      <w:r>
        <w:lastRenderedPageBreak/>
        <w:t>Introduction</w:t>
      </w:r>
      <w:bookmarkEnd w:id="3"/>
      <w:r w:rsidR="005E250B" w:rsidRPr="00E162C4">
        <w:t xml:space="preserve"> </w:t>
      </w:r>
    </w:p>
    <w:p w14:paraId="7896F2C4" w14:textId="09CE5579" w:rsidR="00727C6C" w:rsidRPr="003674F3" w:rsidRDefault="0036074A" w:rsidP="00727C6C">
      <w:pPr>
        <w:rPr>
          <w:rFonts w:cs="Arial"/>
        </w:rPr>
      </w:pPr>
      <w:bookmarkStart w:id="4" w:name="_Hlk26868779"/>
      <w:r>
        <w:rPr>
          <w:rFonts w:cs="Arial"/>
        </w:rPr>
        <w:t xml:space="preserve">We are </w:t>
      </w:r>
      <w:r w:rsidR="00727C6C" w:rsidRPr="003674F3">
        <w:rPr>
          <w:rFonts w:cs="Arial"/>
        </w:rPr>
        <w:t xml:space="preserve">proposing </w:t>
      </w:r>
      <w:r w:rsidR="00AC104E">
        <w:rPr>
          <w:rFonts w:cs="Arial"/>
        </w:rPr>
        <w:t xml:space="preserve">variations </w:t>
      </w:r>
      <w:r w:rsidR="00727C6C" w:rsidRPr="009609B3">
        <w:rPr>
          <w:rFonts w:cs="Arial"/>
        </w:rPr>
        <w:t xml:space="preserve">to </w:t>
      </w:r>
      <w:r w:rsidR="00727C6C" w:rsidRPr="00F359BF">
        <w:rPr>
          <w:rFonts w:cs="Arial"/>
        </w:rPr>
        <w:t xml:space="preserve">class licensing arrangements supporting </w:t>
      </w:r>
      <w:r w:rsidR="00F359BF" w:rsidRPr="00F359BF">
        <w:t xml:space="preserve">increased capability for wireless access services </w:t>
      </w:r>
      <w:r w:rsidR="00727C6C" w:rsidRPr="00F359BF">
        <w:rPr>
          <w:rFonts w:cs="Arial"/>
        </w:rPr>
        <w:t xml:space="preserve">and other technology innovations to be implemented by varying the LIPD </w:t>
      </w:r>
      <w:r>
        <w:rPr>
          <w:rFonts w:cs="Arial"/>
        </w:rPr>
        <w:t>c</w:t>
      </w:r>
      <w:r w:rsidR="00727C6C" w:rsidRPr="00F359BF">
        <w:rPr>
          <w:rFonts w:cs="Arial"/>
        </w:rPr>
        <w:t>lass</w:t>
      </w:r>
      <w:r w:rsidR="00727C6C">
        <w:rPr>
          <w:rFonts w:cs="Arial"/>
        </w:rPr>
        <w:t xml:space="preserve"> </w:t>
      </w:r>
      <w:r>
        <w:rPr>
          <w:rFonts w:cs="Arial"/>
        </w:rPr>
        <w:t>l</w:t>
      </w:r>
      <w:r w:rsidR="00727C6C">
        <w:rPr>
          <w:rFonts w:cs="Arial"/>
        </w:rPr>
        <w:t>icence</w:t>
      </w:r>
      <w:r w:rsidR="00727C6C" w:rsidRPr="003674F3">
        <w:rPr>
          <w:rFonts w:cs="Arial"/>
        </w:rPr>
        <w:t>.</w:t>
      </w:r>
      <w:r w:rsidR="00727C6C" w:rsidRPr="004D4DA7">
        <w:rPr>
          <w:rStyle w:val="FootnoteReference"/>
          <w:rFonts w:cs="Arial"/>
        </w:rPr>
        <w:footnoteReference w:id="2"/>
      </w:r>
      <w:r w:rsidR="00727C6C">
        <w:rPr>
          <w:rFonts w:cs="Arial"/>
        </w:rPr>
        <w:t xml:space="preserve"> </w:t>
      </w:r>
    </w:p>
    <w:p w14:paraId="51EC2E95" w14:textId="4BB1BF46" w:rsidR="00727C6C" w:rsidRDefault="00727C6C" w:rsidP="00727C6C">
      <w:pPr>
        <w:rPr>
          <w:szCs w:val="20"/>
          <w:lang w:bidi="he-IL"/>
        </w:rPr>
      </w:pPr>
      <w:r w:rsidRPr="00E23A45">
        <w:t xml:space="preserve">Under </w:t>
      </w:r>
      <w:r>
        <w:t>sub</w:t>
      </w:r>
      <w:r w:rsidRPr="00E23A45">
        <w:t>section 136</w:t>
      </w:r>
      <w:r>
        <w:t>(1)</w:t>
      </w:r>
      <w:r w:rsidRPr="00E23A45">
        <w:t xml:space="preserve"> of the </w:t>
      </w:r>
      <w:r w:rsidRPr="00E23A45">
        <w:rPr>
          <w:i/>
        </w:rPr>
        <w:t xml:space="preserve">Radiocommunications Act 1992 </w:t>
      </w:r>
      <w:r w:rsidRPr="00E23A45">
        <w:t>(the Act), before varying a class licence</w:t>
      </w:r>
      <w:r w:rsidR="0036074A">
        <w:t>,</w:t>
      </w:r>
      <w:r w:rsidRPr="00E23A45">
        <w:t xml:space="preserve"> </w:t>
      </w:r>
      <w:r w:rsidR="0036074A">
        <w:t>we</w:t>
      </w:r>
      <w:r w:rsidRPr="00E23A45">
        <w:t xml:space="preserve"> must invite interested persons to make representations about the proposed variations. </w:t>
      </w:r>
      <w:r w:rsidR="005D78C0">
        <w:t>Subsection 136(1A) does not apply in relation to the draft variation.</w:t>
      </w:r>
    </w:p>
    <w:p w14:paraId="6CC3DAD3" w14:textId="3DD67BC5" w:rsidR="00727C6C" w:rsidRPr="00E23A45" w:rsidRDefault="00727C6C" w:rsidP="00727C6C">
      <w:pPr>
        <w:rPr>
          <w:szCs w:val="20"/>
          <w:lang w:bidi="he-IL"/>
        </w:rPr>
      </w:pPr>
      <w:r>
        <w:rPr>
          <w:szCs w:val="20"/>
          <w:lang w:bidi="he-IL"/>
        </w:rPr>
        <w:t>Under section 137 of the Act, t</w:t>
      </w:r>
      <w:r w:rsidRPr="00626CD7">
        <w:rPr>
          <w:szCs w:val="20"/>
          <w:lang w:bidi="he-IL"/>
        </w:rPr>
        <w:t>he ACMA must not issue a class licence that is inconsistent with the spectrum plan</w:t>
      </w:r>
      <w:r>
        <w:rPr>
          <w:szCs w:val="20"/>
          <w:lang w:bidi="he-IL"/>
        </w:rPr>
        <w:t xml:space="preserve"> (made under section 30 of the Act)</w:t>
      </w:r>
      <w:r w:rsidR="005D78C0">
        <w:rPr>
          <w:szCs w:val="20"/>
          <w:lang w:bidi="he-IL"/>
        </w:rPr>
        <w:t xml:space="preserve"> or a frequency band plan</w:t>
      </w:r>
      <w:r>
        <w:rPr>
          <w:szCs w:val="20"/>
          <w:lang w:bidi="he-IL"/>
        </w:rPr>
        <w:t xml:space="preserve">. The </w:t>
      </w:r>
      <w:r w:rsidR="005D78C0">
        <w:rPr>
          <w:szCs w:val="20"/>
          <w:lang w:bidi="he-IL"/>
        </w:rPr>
        <w:t xml:space="preserve">draft </w:t>
      </w:r>
      <w:r w:rsidR="0036074A">
        <w:rPr>
          <w:szCs w:val="20"/>
          <w:lang w:bidi="he-IL"/>
        </w:rPr>
        <w:t>v</w:t>
      </w:r>
      <w:r w:rsidR="005D78C0">
        <w:rPr>
          <w:szCs w:val="20"/>
          <w:lang w:bidi="he-IL"/>
        </w:rPr>
        <w:t>ariation is</w:t>
      </w:r>
      <w:r>
        <w:rPr>
          <w:szCs w:val="20"/>
          <w:lang w:bidi="he-IL"/>
        </w:rPr>
        <w:t xml:space="preserve"> consistent with </w:t>
      </w:r>
      <w:r w:rsidRPr="001E1706">
        <w:rPr>
          <w:szCs w:val="20"/>
          <w:lang w:bidi="he-IL"/>
        </w:rPr>
        <w:t xml:space="preserve">the </w:t>
      </w:r>
      <w:r w:rsidRPr="006A3934">
        <w:t xml:space="preserve">Australian Radiofrequency Spectrum Plan </w:t>
      </w:r>
      <w:r w:rsidR="004E12AC" w:rsidRPr="006A3934">
        <w:t>2021</w:t>
      </w:r>
      <w:r>
        <w:rPr>
          <w:rStyle w:val="FootnoteReference"/>
        </w:rPr>
        <w:footnoteReference w:id="3"/>
      </w:r>
      <w:r>
        <w:t xml:space="preserve"> (the </w:t>
      </w:r>
      <w:r w:rsidR="0036074A">
        <w:t>s</w:t>
      </w:r>
      <w:r>
        <w:t xml:space="preserve">pectrum </w:t>
      </w:r>
      <w:r w:rsidR="0036074A">
        <w:t>p</w:t>
      </w:r>
      <w:r>
        <w:t>lan)</w:t>
      </w:r>
      <w:r w:rsidR="00130979">
        <w:t xml:space="preserve"> and current relevant frequency band plans</w:t>
      </w:r>
      <w:r w:rsidR="005D78C0">
        <w:t xml:space="preserve">. </w:t>
      </w:r>
    </w:p>
    <w:p w14:paraId="30AEC28B" w14:textId="77777777" w:rsidR="00727C6C" w:rsidRPr="003674F3" w:rsidRDefault="00727C6C" w:rsidP="00727C6C">
      <w:pPr>
        <w:rPr>
          <w:rFonts w:cs="Arial"/>
        </w:rPr>
      </w:pPr>
      <w:r w:rsidRPr="003674F3">
        <w:rPr>
          <w:rFonts w:cs="Arial"/>
        </w:rPr>
        <w:t xml:space="preserve">This </w:t>
      </w:r>
      <w:r>
        <w:rPr>
          <w:rFonts w:cs="Arial"/>
        </w:rPr>
        <w:t xml:space="preserve">consultation </w:t>
      </w:r>
      <w:r w:rsidRPr="003674F3">
        <w:rPr>
          <w:rFonts w:cs="Arial"/>
        </w:rPr>
        <w:t>paper provides the context for the proposed variation</w:t>
      </w:r>
      <w:r>
        <w:rPr>
          <w:rFonts w:cs="Arial"/>
        </w:rPr>
        <w:t>s</w:t>
      </w:r>
      <w:r w:rsidRPr="003674F3">
        <w:rPr>
          <w:rFonts w:cs="Arial"/>
        </w:rPr>
        <w:t xml:space="preserve"> to assist interested parties in preparing written comments. </w:t>
      </w:r>
    </w:p>
    <w:p w14:paraId="3B6A2BEF" w14:textId="77777777" w:rsidR="00727C6C" w:rsidRPr="003674F3" w:rsidRDefault="00727C6C" w:rsidP="00727C6C">
      <w:pPr>
        <w:spacing w:after="80"/>
        <w:rPr>
          <w:rFonts w:cs="Arial"/>
        </w:rPr>
      </w:pPr>
      <w:r w:rsidRPr="003674F3">
        <w:rPr>
          <w:rFonts w:cs="Arial"/>
        </w:rPr>
        <w:t>The paper provides:</w:t>
      </w:r>
    </w:p>
    <w:p w14:paraId="5718FBE2" w14:textId="6EB69E9D" w:rsidR="00727C6C" w:rsidRPr="003674F3" w:rsidRDefault="00727C6C" w:rsidP="00727C6C">
      <w:pPr>
        <w:pStyle w:val="ListBullet"/>
      </w:pPr>
      <w:r>
        <w:t>a</w:t>
      </w:r>
      <w:r w:rsidRPr="003674F3">
        <w:t xml:space="preserve">n overview of class licensing and the LIPD </w:t>
      </w:r>
      <w:r w:rsidR="0036074A">
        <w:t>c</w:t>
      </w:r>
      <w:r w:rsidRPr="003674F3">
        <w:t xml:space="preserve">lass </w:t>
      </w:r>
      <w:r w:rsidR="0036074A">
        <w:t>l</w:t>
      </w:r>
      <w:r w:rsidRPr="003674F3">
        <w:t>icence</w:t>
      </w:r>
    </w:p>
    <w:p w14:paraId="53F43F16" w14:textId="23E1D02E" w:rsidR="00727C6C" w:rsidRDefault="00727C6C" w:rsidP="00727C6C">
      <w:pPr>
        <w:pStyle w:val="ListBullet"/>
      </w:pPr>
      <w:r>
        <w:t xml:space="preserve">a </w:t>
      </w:r>
      <w:r w:rsidRPr="003674F3">
        <w:t xml:space="preserve">description of the proposed </w:t>
      </w:r>
      <w:r>
        <w:t>variations</w:t>
      </w:r>
      <w:r w:rsidR="004E12AC">
        <w:t xml:space="preserve"> and </w:t>
      </w:r>
      <w:r>
        <w:t>a</w:t>
      </w:r>
      <w:r w:rsidRPr="003674F3">
        <w:t xml:space="preserve">n invitation to comment on </w:t>
      </w:r>
      <w:r w:rsidR="004E12AC">
        <w:t>these</w:t>
      </w:r>
      <w:r w:rsidRPr="003674F3">
        <w:t xml:space="preserve"> proposed variation</w:t>
      </w:r>
      <w:r>
        <w:t>s</w:t>
      </w:r>
    </w:p>
    <w:p w14:paraId="162A0A58" w14:textId="28FC3A05" w:rsidR="004E12AC" w:rsidRDefault="004E12AC">
      <w:pPr>
        <w:pStyle w:val="ListBullet"/>
      </w:pPr>
      <w:r>
        <w:t>a discussion on specific possible future variation</w:t>
      </w:r>
      <w:r w:rsidR="00F66030">
        <w:t>s</w:t>
      </w:r>
      <w:r>
        <w:t xml:space="preserve"> </w:t>
      </w:r>
    </w:p>
    <w:p w14:paraId="5C25187D" w14:textId="3B149236" w:rsidR="00727C6C" w:rsidRDefault="00727C6C" w:rsidP="00727C6C">
      <w:pPr>
        <w:pStyle w:val="ListBulletLast"/>
      </w:pPr>
      <w:r>
        <w:t xml:space="preserve">a </w:t>
      </w:r>
      <w:r w:rsidR="004E12AC">
        <w:t>general</w:t>
      </w:r>
      <w:r>
        <w:t xml:space="preserve"> invitation for suggestions from industry and individuals on possible devices and technologies for inclusion in future </w:t>
      </w:r>
      <w:r w:rsidR="005D78C0">
        <w:t>variations</w:t>
      </w:r>
      <w:r>
        <w:t>.</w:t>
      </w:r>
    </w:p>
    <w:p w14:paraId="16296A06" w14:textId="6EEFEB83" w:rsidR="00727C6C" w:rsidRDefault="00727C6C" w:rsidP="00727C6C">
      <w:r w:rsidRPr="003674F3">
        <w:t>A copy of the</w:t>
      </w:r>
      <w:r w:rsidR="005D78C0">
        <w:t xml:space="preserve"> draft </w:t>
      </w:r>
      <w:r w:rsidR="0036074A">
        <w:t>v</w:t>
      </w:r>
      <w:r w:rsidR="005D78C0">
        <w:t>ariation</w:t>
      </w:r>
      <w:r>
        <w:t xml:space="preserve"> </w:t>
      </w:r>
      <w:r w:rsidRPr="003674F3">
        <w:t xml:space="preserve">is available </w:t>
      </w:r>
      <w:r>
        <w:t>in the key documents section of this consultation.</w:t>
      </w:r>
      <w:r w:rsidRPr="003674F3">
        <w:t xml:space="preserve"> </w:t>
      </w:r>
    </w:p>
    <w:p w14:paraId="06A94A24" w14:textId="5B8B575B" w:rsidR="00727C6C" w:rsidRPr="003674F3" w:rsidRDefault="00727C6C" w:rsidP="00727C6C">
      <w:pPr>
        <w:pStyle w:val="Heading2"/>
      </w:pPr>
      <w:bookmarkStart w:id="5" w:name="_Toc433891912"/>
      <w:bookmarkStart w:id="6" w:name="_Toc436317132"/>
      <w:bookmarkStart w:id="7" w:name="_Toc530477231"/>
      <w:bookmarkStart w:id="8" w:name="_Toc531355892"/>
      <w:bookmarkStart w:id="9" w:name="_Toc531943682"/>
      <w:bookmarkStart w:id="10" w:name="_Toc50729985"/>
      <w:bookmarkStart w:id="11" w:name="_Toc117072404"/>
      <w:r w:rsidRPr="003674F3">
        <w:t xml:space="preserve">Class licensing and the LIPD </w:t>
      </w:r>
      <w:r w:rsidR="0036074A">
        <w:t>c</w:t>
      </w:r>
      <w:r w:rsidRPr="003674F3">
        <w:t xml:space="preserve">lass </w:t>
      </w:r>
      <w:r w:rsidR="0036074A">
        <w:t>l</w:t>
      </w:r>
      <w:r w:rsidRPr="003674F3">
        <w:t>icence</w:t>
      </w:r>
      <w:bookmarkEnd w:id="5"/>
      <w:bookmarkEnd w:id="6"/>
      <w:bookmarkEnd w:id="7"/>
      <w:bookmarkEnd w:id="8"/>
      <w:bookmarkEnd w:id="9"/>
      <w:bookmarkEnd w:id="10"/>
      <w:bookmarkEnd w:id="11"/>
    </w:p>
    <w:p w14:paraId="278E0BB7" w14:textId="77777777" w:rsidR="00727C6C" w:rsidRPr="003674F3" w:rsidRDefault="00727C6C" w:rsidP="00727C6C">
      <w:pPr>
        <w:rPr>
          <w:rFonts w:cs="Arial"/>
        </w:rPr>
      </w:pPr>
      <w:r w:rsidRPr="003674F3">
        <w:rPr>
          <w:rFonts w:cs="Arial"/>
        </w:rPr>
        <w:t xml:space="preserve">It is </w:t>
      </w:r>
      <w:r>
        <w:rPr>
          <w:rFonts w:cs="Arial"/>
        </w:rPr>
        <w:t xml:space="preserve">a </w:t>
      </w:r>
      <w:r w:rsidRPr="003674F3">
        <w:rPr>
          <w:rFonts w:cs="Arial"/>
        </w:rPr>
        <w:t xml:space="preserve">general requirement </w:t>
      </w:r>
      <w:r>
        <w:rPr>
          <w:rFonts w:cs="Arial"/>
        </w:rPr>
        <w:t xml:space="preserve">under section 46 </w:t>
      </w:r>
      <w:r w:rsidRPr="003674F3">
        <w:rPr>
          <w:rFonts w:cs="Arial"/>
        </w:rPr>
        <w:t xml:space="preserve">of the </w:t>
      </w:r>
      <w:r>
        <w:rPr>
          <w:rFonts w:cs="Arial"/>
        </w:rPr>
        <w:t>Act</w:t>
      </w:r>
      <w:r w:rsidRPr="003674F3">
        <w:rPr>
          <w:rFonts w:cs="Arial"/>
        </w:rPr>
        <w:t xml:space="preserve"> that the operation of all radiocommunications devices within Australia be authorised by a licence.</w:t>
      </w:r>
    </w:p>
    <w:p w14:paraId="0F642DA5" w14:textId="77777777" w:rsidR="00727C6C" w:rsidRPr="003674F3" w:rsidRDefault="00727C6C" w:rsidP="00727C6C">
      <w:pPr>
        <w:rPr>
          <w:rFonts w:cs="Arial"/>
        </w:rPr>
      </w:pPr>
      <w:r>
        <w:rPr>
          <w:rFonts w:cs="Arial"/>
        </w:rPr>
        <w:t>A c</w:t>
      </w:r>
      <w:r w:rsidRPr="003674F3">
        <w:rPr>
          <w:rFonts w:cs="Arial"/>
        </w:rPr>
        <w:t>lass licen</w:t>
      </w:r>
      <w:r>
        <w:rPr>
          <w:rFonts w:cs="Arial"/>
        </w:rPr>
        <w:t>ce</w:t>
      </w:r>
      <w:r w:rsidRPr="003674F3">
        <w:rPr>
          <w:rFonts w:cs="Arial"/>
        </w:rPr>
        <w:t xml:space="preserve"> is one type of licence available to authorise the operation of radiocommunications devices.</w:t>
      </w:r>
      <w:r>
        <w:rPr>
          <w:rFonts w:cs="Arial"/>
        </w:rPr>
        <w:t xml:space="preserve"> </w:t>
      </w:r>
      <w:r w:rsidRPr="003674F3">
        <w:rPr>
          <w:rFonts w:cs="Arial"/>
        </w:rPr>
        <w:t xml:space="preserve">It is an effective and efficient means of spectrum management for services where a limited set of common frequencies is employed, and </w:t>
      </w:r>
      <w:r>
        <w:rPr>
          <w:rFonts w:cs="Arial"/>
        </w:rPr>
        <w:t xml:space="preserve">where </w:t>
      </w:r>
      <w:r w:rsidRPr="003674F3">
        <w:rPr>
          <w:rFonts w:cs="Arial"/>
        </w:rPr>
        <w:t>equipment is operated under a common set of conditions.</w:t>
      </w:r>
      <w:r>
        <w:rPr>
          <w:rFonts w:cs="Arial"/>
        </w:rPr>
        <w:t xml:space="preserve"> </w:t>
      </w:r>
    </w:p>
    <w:p w14:paraId="1137D555" w14:textId="0245AFD6" w:rsidR="00727C6C" w:rsidRPr="003674F3" w:rsidRDefault="00727C6C" w:rsidP="00727C6C">
      <w:pPr>
        <w:rPr>
          <w:rFonts w:cs="Arial"/>
        </w:rPr>
      </w:pPr>
      <w:r>
        <w:rPr>
          <w:rFonts w:cs="Arial"/>
        </w:rPr>
        <w:t>A</w:t>
      </w:r>
      <w:r w:rsidRPr="003674F3">
        <w:rPr>
          <w:rFonts w:cs="Arial"/>
        </w:rPr>
        <w:t xml:space="preserve"> class licence sets out the conditions under which any person is permitted to operate any device to which the class licence is applicable</w:t>
      </w:r>
      <w:r>
        <w:rPr>
          <w:rFonts w:cs="Arial"/>
        </w:rPr>
        <w:t>. It</w:t>
      </w:r>
      <w:r w:rsidRPr="003674F3">
        <w:rPr>
          <w:rFonts w:cs="Arial"/>
        </w:rPr>
        <w:t xml:space="preserve"> is not issued to an individual user and does not involve the payment of licence fees.</w:t>
      </w:r>
      <w:r>
        <w:rPr>
          <w:rFonts w:cs="Arial"/>
        </w:rPr>
        <w:t xml:space="preserve"> A class licence is made by the ACMA under section 132 of the Act by making a </w:t>
      </w:r>
      <w:r w:rsidRPr="003674F3">
        <w:rPr>
          <w:rFonts w:cs="Arial"/>
        </w:rPr>
        <w:t xml:space="preserve">legislative instrument </w:t>
      </w:r>
      <w:r>
        <w:rPr>
          <w:rFonts w:cs="Arial"/>
        </w:rPr>
        <w:t>that is</w:t>
      </w:r>
      <w:r w:rsidRPr="003674F3">
        <w:rPr>
          <w:rFonts w:cs="Arial"/>
        </w:rPr>
        <w:t xml:space="preserve"> registered</w:t>
      </w:r>
      <w:r>
        <w:rPr>
          <w:rFonts w:cs="Arial"/>
        </w:rPr>
        <w:t>, and accessible free of charge,</w:t>
      </w:r>
      <w:r w:rsidRPr="003674F3">
        <w:rPr>
          <w:rFonts w:cs="Arial"/>
        </w:rPr>
        <w:t xml:space="preserve"> on the </w:t>
      </w:r>
      <w:hyperlink r:id="rId25" w:history="1">
        <w:r w:rsidRPr="0036074A">
          <w:rPr>
            <w:rStyle w:val="Hyperlink"/>
            <w:rFonts w:cs="Arial"/>
          </w:rPr>
          <w:t>Federal Register of Legislation</w:t>
        </w:r>
      </w:hyperlink>
      <w:r w:rsidRPr="003674F3">
        <w:rPr>
          <w:rFonts w:cs="Arial"/>
        </w:rPr>
        <w:t>.</w:t>
      </w:r>
      <w:r>
        <w:rPr>
          <w:rFonts w:cs="Arial"/>
        </w:rPr>
        <w:t xml:space="preserve"> </w:t>
      </w:r>
    </w:p>
    <w:p w14:paraId="25FFCECF" w14:textId="4B0BA198" w:rsidR="00727C6C" w:rsidRDefault="00727C6C" w:rsidP="00727C6C">
      <w:pPr>
        <w:pStyle w:val="Paragraphbeforelist"/>
      </w:pPr>
      <w:r w:rsidRPr="003674F3">
        <w:t xml:space="preserve">The LIPD </w:t>
      </w:r>
      <w:r w:rsidR="0036074A">
        <w:t>c</w:t>
      </w:r>
      <w:r w:rsidRPr="003674F3">
        <w:t xml:space="preserve">lass </w:t>
      </w:r>
      <w:r w:rsidR="0036074A">
        <w:t>l</w:t>
      </w:r>
      <w:r w:rsidRPr="003674F3">
        <w:t>icence</w:t>
      </w:r>
      <w:r w:rsidRPr="003674F3">
        <w:rPr>
          <w:i/>
        </w:rPr>
        <w:t xml:space="preserve"> </w:t>
      </w:r>
      <w:r w:rsidRPr="003674F3">
        <w:t>authorises the operation of a wide range of radiocommunications devices in various segments of the radiofrequency spectrum</w:t>
      </w:r>
      <w:r>
        <w:t xml:space="preserve">. These devices are considered to have a low potential to cause interference to other devices due to their technical and operational characteristics. </w:t>
      </w:r>
      <w:r w:rsidR="0036074A">
        <w:t>C</w:t>
      </w:r>
      <w:r>
        <w:t>haracteristics that contribute to a low potential for interference include:</w:t>
      </w:r>
    </w:p>
    <w:p w14:paraId="61ADA620" w14:textId="77777777" w:rsidR="00727C6C" w:rsidRDefault="00727C6C" w:rsidP="00727C6C">
      <w:pPr>
        <w:pStyle w:val="ListBullet"/>
      </w:pPr>
      <w:r w:rsidRPr="006B12D2">
        <w:t xml:space="preserve">low power </w:t>
      </w:r>
    </w:p>
    <w:p w14:paraId="5DCB0C0A" w14:textId="77777777" w:rsidR="00727C6C" w:rsidRDefault="00727C6C" w:rsidP="00727C6C">
      <w:pPr>
        <w:pStyle w:val="ListBullet"/>
      </w:pPr>
      <w:r w:rsidRPr="006B12D2">
        <w:lastRenderedPageBreak/>
        <w:t>low duty cycle of transmissions</w:t>
      </w:r>
    </w:p>
    <w:p w14:paraId="5199C37C" w14:textId="77777777" w:rsidR="00727C6C" w:rsidRDefault="00727C6C" w:rsidP="00727C6C">
      <w:pPr>
        <w:pStyle w:val="ListBullet"/>
      </w:pPr>
      <w:r w:rsidRPr="006B12D2">
        <w:t>low spectral den</w:t>
      </w:r>
      <w:r>
        <w:t xml:space="preserve">sity </w:t>
      </w:r>
    </w:p>
    <w:p w14:paraId="12ED3C73" w14:textId="77777777" w:rsidR="00727C6C" w:rsidRDefault="00727C6C" w:rsidP="00727C6C">
      <w:pPr>
        <w:pStyle w:val="ListBullet"/>
      </w:pPr>
      <w:r w:rsidRPr="006B12D2">
        <w:t xml:space="preserve">use </w:t>
      </w:r>
      <w:r>
        <w:t xml:space="preserve">that </w:t>
      </w:r>
      <w:r w:rsidRPr="006B12D2">
        <w:t>is limited to indoor</w:t>
      </w:r>
      <w:r>
        <w:t>s,</w:t>
      </w:r>
      <w:r w:rsidRPr="006B12D2">
        <w:t xml:space="preserve"> mitigating the potential to caus</w:t>
      </w:r>
      <w:r>
        <w:t>e interference to other devices</w:t>
      </w:r>
    </w:p>
    <w:p w14:paraId="3234B76F" w14:textId="77777777" w:rsidR="00727C6C" w:rsidRPr="003674F3" w:rsidRDefault="00727C6C" w:rsidP="00727C6C">
      <w:pPr>
        <w:pStyle w:val="ListBulletLast"/>
      </w:pPr>
      <w:r>
        <w:t xml:space="preserve">interference that can be self-managed by users. </w:t>
      </w:r>
    </w:p>
    <w:p w14:paraId="2B6DE4E2" w14:textId="55D8EE0E" w:rsidR="00727C6C" w:rsidRPr="003674F3" w:rsidRDefault="00727C6C" w:rsidP="00727C6C">
      <w:pPr>
        <w:rPr>
          <w:rFonts w:cs="Arial"/>
        </w:rPr>
      </w:pPr>
      <w:r w:rsidRPr="003674F3">
        <w:rPr>
          <w:rFonts w:cs="Arial"/>
        </w:rPr>
        <w:t>It is a condition of th</w:t>
      </w:r>
      <w:r>
        <w:rPr>
          <w:rFonts w:cs="Arial"/>
        </w:rPr>
        <w:t>e LIPD</w:t>
      </w:r>
      <w:r w:rsidRPr="003674F3">
        <w:rPr>
          <w:rFonts w:cs="Arial"/>
        </w:rPr>
        <w:t xml:space="preserve"> </w:t>
      </w:r>
      <w:r w:rsidR="0036074A">
        <w:rPr>
          <w:rFonts w:cs="Arial"/>
        </w:rPr>
        <w:t>c</w:t>
      </w:r>
      <w:r w:rsidRPr="003674F3">
        <w:rPr>
          <w:rFonts w:cs="Arial"/>
        </w:rPr>
        <w:t xml:space="preserve">lass </w:t>
      </w:r>
      <w:r w:rsidR="0036074A">
        <w:rPr>
          <w:rFonts w:cs="Arial"/>
        </w:rPr>
        <w:t>l</w:t>
      </w:r>
      <w:r w:rsidRPr="003674F3">
        <w:rPr>
          <w:rFonts w:cs="Arial"/>
        </w:rPr>
        <w:t>icence that the operation of a radiocommunications device does not cause interference to other radioc</w:t>
      </w:r>
      <w:r>
        <w:rPr>
          <w:rFonts w:cs="Arial"/>
        </w:rPr>
        <w:t xml:space="preserve">ommunications services (see paragraph 4(1)(b) of the LIPD </w:t>
      </w:r>
      <w:r w:rsidR="0036074A">
        <w:rPr>
          <w:rFonts w:cs="Arial"/>
        </w:rPr>
        <w:t>c</w:t>
      </w:r>
      <w:r>
        <w:rPr>
          <w:rFonts w:cs="Arial"/>
        </w:rPr>
        <w:t xml:space="preserve">lass </w:t>
      </w:r>
      <w:r w:rsidR="0036074A">
        <w:rPr>
          <w:rFonts w:cs="Arial"/>
        </w:rPr>
        <w:t>l</w:t>
      </w:r>
      <w:r>
        <w:rPr>
          <w:rFonts w:cs="Arial"/>
        </w:rPr>
        <w:t xml:space="preserve">icence). </w:t>
      </w:r>
      <w:r w:rsidRPr="003674F3">
        <w:rPr>
          <w:rFonts w:cs="Arial"/>
        </w:rPr>
        <w:t xml:space="preserve">A device </w:t>
      </w:r>
      <w:r>
        <w:rPr>
          <w:rFonts w:cs="Arial"/>
        </w:rPr>
        <w:t>operated</w:t>
      </w:r>
      <w:r w:rsidRPr="003674F3">
        <w:rPr>
          <w:rFonts w:cs="Arial"/>
        </w:rPr>
        <w:t xml:space="preserve"> under th</w:t>
      </w:r>
      <w:r>
        <w:rPr>
          <w:rFonts w:cs="Arial"/>
        </w:rPr>
        <w:t>e LIPD</w:t>
      </w:r>
      <w:r w:rsidRPr="003674F3">
        <w:rPr>
          <w:rFonts w:cs="Arial"/>
        </w:rPr>
        <w:t xml:space="preserve"> </w:t>
      </w:r>
      <w:r w:rsidR="00854E76">
        <w:rPr>
          <w:rFonts w:cs="Arial"/>
        </w:rPr>
        <w:t>c</w:t>
      </w:r>
      <w:r w:rsidRPr="003674F3">
        <w:rPr>
          <w:rFonts w:cs="Arial"/>
        </w:rPr>
        <w:t xml:space="preserve">lass </w:t>
      </w:r>
      <w:r w:rsidR="00854E76">
        <w:rPr>
          <w:rFonts w:cs="Arial"/>
        </w:rPr>
        <w:t>l</w:t>
      </w:r>
      <w:r w:rsidRPr="003674F3">
        <w:rPr>
          <w:rFonts w:cs="Arial"/>
        </w:rPr>
        <w:t xml:space="preserve">icence will also not be afforded protection from interference caused by other radiocommunications devices </w:t>
      </w:r>
      <w:r>
        <w:rPr>
          <w:rFonts w:cs="Arial"/>
        </w:rPr>
        <w:t xml:space="preserve">operated </w:t>
      </w:r>
      <w:r w:rsidRPr="003674F3">
        <w:rPr>
          <w:rFonts w:cs="Arial"/>
        </w:rPr>
        <w:t xml:space="preserve">under the </w:t>
      </w:r>
      <w:r>
        <w:rPr>
          <w:rFonts w:cs="Arial"/>
        </w:rPr>
        <w:t xml:space="preserve">LIPD </w:t>
      </w:r>
      <w:r w:rsidR="00854E76">
        <w:rPr>
          <w:rFonts w:cs="Arial"/>
        </w:rPr>
        <w:t>c</w:t>
      </w:r>
      <w:r>
        <w:rPr>
          <w:rFonts w:cs="Arial"/>
        </w:rPr>
        <w:t xml:space="preserve">lass </w:t>
      </w:r>
      <w:r w:rsidR="00854E76">
        <w:rPr>
          <w:rFonts w:cs="Arial"/>
        </w:rPr>
        <w:t>l</w:t>
      </w:r>
      <w:r w:rsidRPr="003674F3">
        <w:rPr>
          <w:rFonts w:cs="Arial"/>
        </w:rPr>
        <w:t>icence.</w:t>
      </w:r>
      <w:r>
        <w:rPr>
          <w:rFonts w:cs="Arial"/>
        </w:rPr>
        <w:t xml:space="preserve"> </w:t>
      </w:r>
      <w:r w:rsidRPr="003674F3">
        <w:rPr>
          <w:rFonts w:cs="Arial"/>
        </w:rPr>
        <w:t>I</w:t>
      </w:r>
      <w:r>
        <w:rPr>
          <w:rFonts w:cs="Arial"/>
        </w:rPr>
        <w:t>f</w:t>
      </w:r>
      <w:r w:rsidRPr="003674F3">
        <w:rPr>
          <w:rFonts w:cs="Arial"/>
        </w:rPr>
        <w:t xml:space="preserve"> interference does occur, it is the responsibility of the user of the radiocommunications device</w:t>
      </w:r>
      <w:r>
        <w:rPr>
          <w:rFonts w:cs="Arial"/>
        </w:rPr>
        <w:t xml:space="preserve"> authorised by the LIPD </w:t>
      </w:r>
      <w:r w:rsidR="00854E76">
        <w:rPr>
          <w:rFonts w:cs="Arial"/>
        </w:rPr>
        <w:t>c</w:t>
      </w:r>
      <w:r>
        <w:rPr>
          <w:rFonts w:cs="Arial"/>
        </w:rPr>
        <w:t xml:space="preserve">lass </w:t>
      </w:r>
      <w:r w:rsidR="00854E76">
        <w:rPr>
          <w:rFonts w:cs="Arial"/>
        </w:rPr>
        <w:t>l</w:t>
      </w:r>
      <w:r>
        <w:rPr>
          <w:rFonts w:cs="Arial"/>
        </w:rPr>
        <w:t>icence</w:t>
      </w:r>
      <w:r w:rsidRPr="003674F3">
        <w:rPr>
          <w:rFonts w:cs="Arial"/>
        </w:rPr>
        <w:t xml:space="preserve"> to take measures to resolve that interference. </w:t>
      </w:r>
    </w:p>
    <w:p w14:paraId="31F2777D" w14:textId="206FD073" w:rsidR="00727C6C" w:rsidRDefault="00727C6C" w:rsidP="00727C6C">
      <w:pPr>
        <w:rPr>
          <w:rFonts w:cs="Arial"/>
        </w:rPr>
      </w:pPr>
      <w:r>
        <w:rPr>
          <w:rFonts w:cs="Arial"/>
        </w:rPr>
        <w:t>T</w:t>
      </w:r>
      <w:r w:rsidRPr="003674F3">
        <w:rPr>
          <w:rFonts w:cs="Arial"/>
        </w:rPr>
        <w:t xml:space="preserve">ransmitters authorised by the LIPD </w:t>
      </w:r>
      <w:r w:rsidR="00854E76">
        <w:rPr>
          <w:rFonts w:cs="Arial"/>
        </w:rPr>
        <w:t>c</w:t>
      </w:r>
      <w:r w:rsidRPr="003674F3">
        <w:rPr>
          <w:rFonts w:cs="Arial"/>
        </w:rPr>
        <w:t xml:space="preserve">lass </w:t>
      </w:r>
      <w:r w:rsidR="00854E76">
        <w:rPr>
          <w:rFonts w:cs="Arial"/>
        </w:rPr>
        <w:t>l</w:t>
      </w:r>
      <w:r w:rsidRPr="003674F3">
        <w:rPr>
          <w:rFonts w:cs="Arial"/>
        </w:rPr>
        <w:t>icence do not require individual frequency coordination for interference management purposes.</w:t>
      </w:r>
      <w:r>
        <w:rPr>
          <w:rFonts w:cs="Arial"/>
        </w:rPr>
        <w:t xml:space="preserve"> </w:t>
      </w:r>
      <w:r w:rsidRPr="003674F3">
        <w:rPr>
          <w:rFonts w:cs="Arial"/>
        </w:rPr>
        <w:t>Examples of equipment covered by the</w:t>
      </w:r>
      <w:r>
        <w:rPr>
          <w:rFonts w:cs="Arial"/>
        </w:rPr>
        <w:t xml:space="preserve"> LIPD</w:t>
      </w:r>
      <w:r w:rsidRPr="003674F3">
        <w:rPr>
          <w:rFonts w:cs="Arial"/>
        </w:rPr>
        <w:t xml:space="preserve"> </w:t>
      </w:r>
      <w:r w:rsidR="00854E76">
        <w:rPr>
          <w:rFonts w:cs="Arial"/>
        </w:rPr>
        <w:t>c</w:t>
      </w:r>
      <w:r w:rsidRPr="003674F3">
        <w:rPr>
          <w:rFonts w:cs="Arial"/>
        </w:rPr>
        <w:t xml:space="preserve">lass </w:t>
      </w:r>
      <w:r w:rsidR="00854E76">
        <w:rPr>
          <w:rFonts w:cs="Arial"/>
        </w:rPr>
        <w:t>l</w:t>
      </w:r>
      <w:r w:rsidRPr="003674F3">
        <w:rPr>
          <w:rFonts w:cs="Arial"/>
        </w:rPr>
        <w:t xml:space="preserve">icence include </w:t>
      </w:r>
      <w:r w:rsidRPr="004D1F0E">
        <w:rPr>
          <w:rFonts w:cs="Arial"/>
        </w:rPr>
        <w:t xml:space="preserve">wireless microphones, electronic road tolling systems, industrial sensors, </w:t>
      </w:r>
      <w:r>
        <w:rPr>
          <w:rFonts w:cs="Arial"/>
        </w:rPr>
        <w:t xml:space="preserve">underground transmitters, </w:t>
      </w:r>
      <w:r w:rsidR="00854E76">
        <w:rPr>
          <w:rFonts w:cs="Arial"/>
        </w:rPr>
        <w:t>W</w:t>
      </w:r>
      <w:r w:rsidRPr="004D1F0E">
        <w:rPr>
          <w:rFonts w:cs="Arial"/>
        </w:rPr>
        <w:t>i-</w:t>
      </w:r>
      <w:r w:rsidR="00854E76">
        <w:rPr>
          <w:rFonts w:cs="Arial"/>
        </w:rPr>
        <w:t>F</w:t>
      </w:r>
      <w:r w:rsidRPr="004D1F0E">
        <w:rPr>
          <w:rFonts w:cs="Arial"/>
        </w:rPr>
        <w:t>i and Bluetooth devices</w:t>
      </w:r>
      <w:r w:rsidRPr="003674F3">
        <w:rPr>
          <w:rFonts w:cs="Arial"/>
        </w:rPr>
        <w:t>.</w:t>
      </w:r>
    </w:p>
    <w:p w14:paraId="3DDEB187" w14:textId="410E93E3" w:rsidR="00727C6C" w:rsidRDefault="00727C6C" w:rsidP="00727C6C">
      <w:pPr>
        <w:rPr>
          <w:rFonts w:cs="Arial"/>
        </w:rPr>
      </w:pPr>
      <w:r>
        <w:rPr>
          <w:rFonts w:cs="Arial"/>
        </w:rPr>
        <w:t xml:space="preserve">In addition to the proposed </w:t>
      </w:r>
      <w:r w:rsidR="005D78C0">
        <w:rPr>
          <w:rFonts w:cs="Arial"/>
        </w:rPr>
        <w:t xml:space="preserve">variations </w:t>
      </w:r>
      <w:r>
        <w:rPr>
          <w:rFonts w:cs="Arial"/>
        </w:rPr>
        <w:t xml:space="preserve">detailed in this paper, </w:t>
      </w:r>
      <w:r w:rsidR="00814236">
        <w:rPr>
          <w:rFonts w:cs="Arial"/>
        </w:rPr>
        <w:t xml:space="preserve">we </w:t>
      </w:r>
      <w:r>
        <w:rPr>
          <w:rFonts w:cs="Arial"/>
        </w:rPr>
        <w:t xml:space="preserve">invite suggestions from industry and individuals on devices and technologies for possible inclusion in the list of transmitters authorised under the LIPD </w:t>
      </w:r>
      <w:r w:rsidR="00814236">
        <w:rPr>
          <w:rFonts w:cs="Arial"/>
        </w:rPr>
        <w:t>c</w:t>
      </w:r>
      <w:r>
        <w:rPr>
          <w:rFonts w:cs="Arial"/>
        </w:rPr>
        <w:t xml:space="preserve">lass </w:t>
      </w:r>
      <w:r w:rsidR="00814236">
        <w:rPr>
          <w:rFonts w:cs="Arial"/>
        </w:rPr>
        <w:t>l</w:t>
      </w:r>
      <w:r>
        <w:rPr>
          <w:rFonts w:cs="Arial"/>
        </w:rPr>
        <w:t xml:space="preserve">icence in future </w:t>
      </w:r>
      <w:r w:rsidR="005D78C0">
        <w:rPr>
          <w:rFonts w:cs="Arial"/>
        </w:rPr>
        <w:t>variations</w:t>
      </w:r>
      <w:r>
        <w:rPr>
          <w:rFonts w:cs="Arial"/>
        </w:rPr>
        <w:t xml:space="preserve">. </w:t>
      </w:r>
    </w:p>
    <w:p w14:paraId="234D6DF3" w14:textId="756A4EB1" w:rsidR="00727C6C" w:rsidRDefault="00727C6C" w:rsidP="00727C6C">
      <w:pPr>
        <w:pStyle w:val="Heading2"/>
      </w:pPr>
      <w:bookmarkStart w:id="12" w:name="_Toc531355901"/>
      <w:bookmarkStart w:id="13" w:name="_Toc531943683"/>
      <w:bookmarkStart w:id="14" w:name="_Toc50729986"/>
      <w:bookmarkStart w:id="15" w:name="_Toc117072405"/>
      <w:r w:rsidRPr="003674F3">
        <w:t xml:space="preserve">LIPD </w:t>
      </w:r>
      <w:r w:rsidR="00814236">
        <w:t>c</w:t>
      </w:r>
      <w:r w:rsidRPr="003674F3">
        <w:t xml:space="preserve">lass </w:t>
      </w:r>
      <w:r w:rsidR="00814236">
        <w:t>l</w:t>
      </w:r>
      <w:r w:rsidRPr="003674F3">
        <w:t>icence</w:t>
      </w:r>
      <w:r>
        <w:t xml:space="preserve"> and standards</w:t>
      </w:r>
      <w:bookmarkEnd w:id="12"/>
      <w:bookmarkEnd w:id="13"/>
      <w:bookmarkEnd w:id="14"/>
      <w:bookmarkEnd w:id="15"/>
    </w:p>
    <w:p w14:paraId="6C7FB7F3" w14:textId="60A144D4" w:rsidR="00727C6C" w:rsidRDefault="00727C6C" w:rsidP="00727C6C">
      <w:r>
        <w:t>T</w:t>
      </w:r>
      <w:r w:rsidRPr="00A34B0B">
        <w:t xml:space="preserve">he </w:t>
      </w:r>
      <w:r>
        <w:t xml:space="preserve">LIPD </w:t>
      </w:r>
      <w:r w:rsidR="00814236">
        <w:t>c</w:t>
      </w:r>
      <w:r>
        <w:t xml:space="preserve">lass </w:t>
      </w:r>
      <w:r w:rsidR="00814236">
        <w:t>l</w:t>
      </w:r>
      <w:r>
        <w:t xml:space="preserve">icence </w:t>
      </w:r>
      <w:r w:rsidRPr="00A34B0B">
        <w:t>operates</w:t>
      </w:r>
      <w:r>
        <w:t>, in part,</w:t>
      </w:r>
      <w:r w:rsidR="00082BC3">
        <w:t xml:space="preserve"> in conjunction</w:t>
      </w:r>
      <w:r w:rsidRPr="00A34B0B">
        <w:t xml:space="preserve"> with the </w:t>
      </w:r>
      <w:hyperlink r:id="rId26" w:history="1">
        <w:r w:rsidRPr="006A3934">
          <w:rPr>
            <w:rStyle w:val="Hyperlink"/>
          </w:rPr>
          <w:t>Radiocommunications (Short Range Devices) Standard 2014</w:t>
        </w:r>
      </w:hyperlink>
      <w:r w:rsidRPr="00A34B0B">
        <w:rPr>
          <w:i/>
        </w:rPr>
        <w:t xml:space="preserve"> </w:t>
      </w:r>
      <w:r>
        <w:t xml:space="preserve">(the </w:t>
      </w:r>
      <w:r w:rsidR="00814236">
        <w:t>s</w:t>
      </w:r>
      <w:r w:rsidRPr="00B261DD">
        <w:t xml:space="preserve">hort </w:t>
      </w:r>
      <w:r w:rsidR="00814236">
        <w:t>r</w:t>
      </w:r>
      <w:r w:rsidRPr="00B261DD">
        <w:t xml:space="preserve">ange </w:t>
      </w:r>
      <w:r w:rsidR="00814236">
        <w:t>d</w:t>
      </w:r>
      <w:r w:rsidRPr="00B261DD">
        <w:t xml:space="preserve">evices </w:t>
      </w:r>
      <w:r w:rsidR="00814236">
        <w:t>s</w:t>
      </w:r>
      <w:r>
        <w:t>tandard)</w:t>
      </w:r>
      <w:r w:rsidRPr="00A34B0B">
        <w:t>.</w:t>
      </w:r>
      <w:r>
        <w:t xml:space="preserve"> </w:t>
      </w:r>
      <w:r w:rsidR="00D1177E">
        <w:t xml:space="preserve">The </w:t>
      </w:r>
      <w:r w:rsidR="00814236">
        <w:t>st</w:t>
      </w:r>
      <w:r w:rsidR="00D1177E">
        <w:t xml:space="preserve">andard </w:t>
      </w:r>
      <w:r w:rsidR="00082BC3">
        <w:t>operates</w:t>
      </w:r>
      <w:r w:rsidR="00D1177E">
        <w:t xml:space="preserve"> as if it had been made as equipment rule</w:t>
      </w:r>
      <w:r w:rsidR="005D78C0">
        <w:t xml:space="preserve">s under section 156 of </w:t>
      </w:r>
      <w:r w:rsidR="00516B7D">
        <w:br/>
      </w:r>
      <w:r w:rsidR="005D78C0">
        <w:t>the Act</w:t>
      </w:r>
      <w:r w:rsidR="00814236">
        <w:t>.</w:t>
      </w:r>
      <w:r w:rsidR="00B46008">
        <w:rPr>
          <w:rStyle w:val="FootnoteReference"/>
        </w:rPr>
        <w:footnoteReference w:id="4"/>
      </w:r>
    </w:p>
    <w:p w14:paraId="264281CC" w14:textId="2F356903" w:rsidR="00D1177E" w:rsidRDefault="00D1177E" w:rsidP="006A3934">
      <w:pPr>
        <w:pStyle w:val="Paragraphbeforelist"/>
      </w:pPr>
      <w:r>
        <w:t xml:space="preserve">The LIPD </w:t>
      </w:r>
      <w:r w:rsidR="00516B7D">
        <w:t>c</w:t>
      </w:r>
      <w:r>
        <w:t xml:space="preserve">lass </w:t>
      </w:r>
      <w:r w:rsidR="00516B7D">
        <w:t>l</w:t>
      </w:r>
      <w:r>
        <w:t xml:space="preserve">icence authorises the operation of specified devices, and also requires that a person must not operate a transmitter under the </w:t>
      </w:r>
      <w:r w:rsidR="005D78C0">
        <w:t xml:space="preserve">LIPD </w:t>
      </w:r>
      <w:r w:rsidR="00516B7D">
        <w:t>c</w:t>
      </w:r>
      <w:r>
        <w:t xml:space="preserve">lass </w:t>
      </w:r>
      <w:r w:rsidR="00516B7D">
        <w:t>l</w:t>
      </w:r>
      <w:r>
        <w:t>icence unless the transmitter complies with an applicable instrument for the transmitter. In this context, an applicable instrument, in relation to a transmitter, means either:</w:t>
      </w:r>
    </w:p>
    <w:p w14:paraId="7980F815" w14:textId="2A0EBE82" w:rsidR="00D1177E" w:rsidRDefault="00D1177E" w:rsidP="00D1177E">
      <w:pPr>
        <w:pStyle w:val="Numberlistlevel1"/>
        <w:numPr>
          <w:ilvl w:val="0"/>
          <w:numId w:val="40"/>
        </w:numPr>
      </w:pPr>
      <w:r>
        <w:t xml:space="preserve">equipment rules that apply to the transmitter (that is, the </w:t>
      </w:r>
      <w:r w:rsidR="00516B7D">
        <w:t>s</w:t>
      </w:r>
      <w:r>
        <w:t xml:space="preserve">hort </w:t>
      </w:r>
      <w:r w:rsidR="00516B7D">
        <w:t>r</w:t>
      </w:r>
      <w:r>
        <w:t xml:space="preserve">ange </w:t>
      </w:r>
      <w:r w:rsidR="00516B7D">
        <w:t>d</w:t>
      </w:r>
      <w:r>
        <w:t xml:space="preserve">evices </w:t>
      </w:r>
      <w:r w:rsidR="00516B7D">
        <w:t>s</w:t>
      </w:r>
      <w:r>
        <w:t>tandard)</w:t>
      </w:r>
    </w:p>
    <w:p w14:paraId="00439187" w14:textId="12AF3C59" w:rsidR="00D1177E" w:rsidRDefault="00D1177E" w:rsidP="00D1177E">
      <w:pPr>
        <w:pStyle w:val="Numberlistlevel1"/>
        <w:numPr>
          <w:ilvl w:val="0"/>
          <w:numId w:val="40"/>
        </w:numPr>
      </w:pPr>
      <w:r>
        <w:t>an international instrument that applies to the transmitter mentioned in column 2 of an item in Schedule 2 for a transmitter mentioned in column 1 of the item.</w:t>
      </w:r>
    </w:p>
    <w:p w14:paraId="2E5D52D2" w14:textId="3589FD94" w:rsidR="00727C6C" w:rsidRPr="00F359BF" w:rsidRDefault="00727C6C" w:rsidP="00727C6C">
      <w:r>
        <w:t>Under these arrangements, the ACMA is able to regulate both the operation of the devices (via t</w:t>
      </w:r>
      <w:r w:rsidRPr="00A34B0B">
        <w:t xml:space="preserve">he </w:t>
      </w:r>
      <w:r>
        <w:t xml:space="preserve">LIPD </w:t>
      </w:r>
      <w:r w:rsidR="00516B7D">
        <w:t>c</w:t>
      </w:r>
      <w:r>
        <w:t xml:space="preserve">lass </w:t>
      </w:r>
      <w:r w:rsidR="00516B7D">
        <w:t>l</w:t>
      </w:r>
      <w:r>
        <w:t xml:space="preserve">icence itself) and their supply to market (via </w:t>
      </w:r>
      <w:r w:rsidRPr="00A34B0B">
        <w:t xml:space="preserve">the </w:t>
      </w:r>
      <w:r w:rsidR="00516B7D">
        <w:t>s</w:t>
      </w:r>
      <w:r>
        <w:t xml:space="preserve">hort </w:t>
      </w:r>
      <w:r w:rsidR="00516B7D">
        <w:t>r</w:t>
      </w:r>
      <w:r>
        <w:t xml:space="preserve">ange </w:t>
      </w:r>
      <w:r w:rsidR="00516B7D">
        <w:t>d</w:t>
      </w:r>
      <w:r>
        <w:t xml:space="preserve">evices </w:t>
      </w:r>
      <w:r w:rsidR="00516B7D">
        <w:t>s</w:t>
      </w:r>
      <w:r w:rsidRPr="00F359BF">
        <w:t>tandard, augmented by labelling and record-keeping requirements).</w:t>
      </w:r>
    </w:p>
    <w:p w14:paraId="57CA003C" w14:textId="6EE9FFFA" w:rsidR="000B4664" w:rsidRPr="00E162C4" w:rsidRDefault="00727C6C" w:rsidP="000B4664">
      <w:pPr>
        <w:pStyle w:val="Heading1"/>
      </w:pPr>
      <w:bookmarkStart w:id="16" w:name="_Toc117072406"/>
      <w:bookmarkEnd w:id="4"/>
      <w:r>
        <w:lastRenderedPageBreak/>
        <w:t xml:space="preserve">Proposed </w:t>
      </w:r>
      <w:r w:rsidR="005D78C0">
        <w:t>variations</w:t>
      </w:r>
      <w:bookmarkEnd w:id="16"/>
    </w:p>
    <w:p w14:paraId="6EED73B0" w14:textId="1DDB73CE" w:rsidR="00727C6C" w:rsidRDefault="00727C6C" w:rsidP="00727C6C">
      <w:pPr>
        <w:pStyle w:val="Paragraphbeforelist"/>
      </w:pPr>
      <w:r w:rsidRPr="00752EF7">
        <w:t xml:space="preserve">The proposed </w:t>
      </w:r>
      <w:r w:rsidR="005D78C0">
        <w:t>variations</w:t>
      </w:r>
      <w:r w:rsidR="005D78C0" w:rsidRPr="00752EF7">
        <w:t xml:space="preserve"> </w:t>
      </w:r>
      <w:r>
        <w:t xml:space="preserve">to the LIPD </w:t>
      </w:r>
      <w:r w:rsidR="00516B7D">
        <w:t>c</w:t>
      </w:r>
      <w:r>
        <w:t xml:space="preserve">lass </w:t>
      </w:r>
      <w:r w:rsidR="00516B7D">
        <w:t>l</w:t>
      </w:r>
      <w:r w:rsidR="005D78C0">
        <w:t xml:space="preserve">icence </w:t>
      </w:r>
      <w:r w:rsidRPr="00752EF7">
        <w:t>are contained in the draft</w:t>
      </w:r>
      <w:r w:rsidR="005D78C0">
        <w:t xml:space="preserve"> </w:t>
      </w:r>
      <w:r w:rsidR="00516B7D">
        <w:t>v</w:t>
      </w:r>
      <w:r w:rsidRPr="003F78E4">
        <w:t>ariation</w:t>
      </w:r>
      <w:r>
        <w:t xml:space="preserve">. </w:t>
      </w:r>
      <w:bookmarkStart w:id="17" w:name="_Hlk49947348"/>
      <w:r>
        <w:t>These are outlined in more detail below and include:</w:t>
      </w:r>
      <w:bookmarkStart w:id="18" w:name="_Hlk48641620"/>
    </w:p>
    <w:p w14:paraId="756D0363" w14:textId="367F04B2" w:rsidR="00AB5EBE" w:rsidRDefault="005D78C0" w:rsidP="00082E0A">
      <w:pPr>
        <w:pStyle w:val="Bulletlevel1"/>
      </w:pPr>
      <w:bookmarkStart w:id="19" w:name="_Hlk48737446"/>
      <w:r>
        <w:t xml:space="preserve">authorising radiocommunications receivers </w:t>
      </w:r>
      <w:r w:rsidR="00CD7BA7">
        <w:t>communicating with satellites</w:t>
      </w:r>
      <w:r w:rsidR="00CB0E75">
        <w:t xml:space="preserve"> in the 915</w:t>
      </w:r>
      <w:r w:rsidR="00516B7D">
        <w:t>–</w:t>
      </w:r>
      <w:r w:rsidR="00CB0E75">
        <w:t>92</w:t>
      </w:r>
      <w:r w:rsidR="009E3FA7">
        <w:t>8</w:t>
      </w:r>
      <w:r w:rsidR="00CB0E75">
        <w:t xml:space="preserve"> MHz </w:t>
      </w:r>
      <w:r w:rsidR="00082E0A">
        <w:t>and</w:t>
      </w:r>
      <w:r w:rsidR="00AB5EBE">
        <w:t xml:space="preserve"> 2400</w:t>
      </w:r>
      <w:r w:rsidR="00516B7D">
        <w:t>–</w:t>
      </w:r>
      <w:r w:rsidR="00AB5EBE">
        <w:t>2483.5 MHz band</w:t>
      </w:r>
      <w:r w:rsidR="00082E0A">
        <w:t>s</w:t>
      </w:r>
    </w:p>
    <w:p w14:paraId="2E27B6B8" w14:textId="41E40272" w:rsidR="00CB0E75" w:rsidRDefault="005D78C0" w:rsidP="00CB0E75">
      <w:pPr>
        <w:pStyle w:val="Bulletlevel1"/>
      </w:pPr>
      <w:r>
        <w:t>authorising f</w:t>
      </w:r>
      <w:r w:rsidR="00CB0E75">
        <w:t>requency</w:t>
      </w:r>
      <w:r w:rsidR="00516B7D">
        <w:t>-</w:t>
      </w:r>
      <w:r w:rsidR="00CB0E75">
        <w:t xml:space="preserve">hopping </w:t>
      </w:r>
      <w:r>
        <w:t xml:space="preserve">radiocommunications transmitters </w:t>
      </w:r>
      <w:r w:rsidR="00CB0E75">
        <w:t xml:space="preserve">in the </w:t>
      </w:r>
      <w:r w:rsidR="00516B7D">
        <w:br/>
      </w:r>
      <w:r w:rsidR="00CB0E75">
        <w:t>5925–6425 MHz band</w:t>
      </w:r>
    </w:p>
    <w:p w14:paraId="534BDD04" w14:textId="486D0E41" w:rsidR="00CB0E75" w:rsidRPr="00CB0E75" w:rsidRDefault="005D78C0" w:rsidP="00CB0E75">
      <w:pPr>
        <w:pStyle w:val="Bulletlevel1"/>
        <w:rPr>
          <w:b/>
          <w:vanish/>
        </w:rPr>
      </w:pPr>
      <w:r>
        <w:t xml:space="preserve">authorising </w:t>
      </w:r>
      <w:r w:rsidR="00516B7D">
        <w:t>r</w:t>
      </w:r>
      <w:r w:rsidR="00CB0E75">
        <w:t xml:space="preserve">adio </w:t>
      </w:r>
      <w:r w:rsidR="00516B7D">
        <w:t>l</w:t>
      </w:r>
      <w:r w:rsidR="00CB0E75">
        <w:t xml:space="preserve">ocal </w:t>
      </w:r>
      <w:r w:rsidR="00516B7D">
        <w:t>a</w:t>
      </w:r>
      <w:r w:rsidR="00CB0E75">
        <w:t xml:space="preserve">rea </w:t>
      </w:r>
      <w:r w:rsidR="00516B7D">
        <w:t>n</w:t>
      </w:r>
      <w:r w:rsidR="00CB0E75">
        <w:t xml:space="preserve">etwork (RLAN) </w:t>
      </w:r>
      <w:r>
        <w:t xml:space="preserve">radiocommunications transmitters </w:t>
      </w:r>
      <w:r w:rsidR="00CB0E75">
        <w:t>in the 5150</w:t>
      </w:r>
      <w:r w:rsidR="00516B7D">
        <w:t>–</w:t>
      </w:r>
      <w:r w:rsidR="00CB0E75">
        <w:t>5250 MHz band.</w:t>
      </w:r>
    </w:p>
    <w:p w14:paraId="6A503681" w14:textId="68C6BD14" w:rsidR="00BF0E15" w:rsidRDefault="005D78C0" w:rsidP="00BF0E15">
      <w:pPr>
        <w:pStyle w:val="Bulletlevel1last"/>
      </w:pPr>
      <w:r>
        <w:t xml:space="preserve">inserting </w:t>
      </w:r>
      <w:r w:rsidR="00CB0E75">
        <w:t xml:space="preserve">of a definition of </w:t>
      </w:r>
      <w:r w:rsidR="00516B7D">
        <w:t>‘</w:t>
      </w:r>
      <w:r w:rsidR="00CB0E75">
        <w:t>indoor</w:t>
      </w:r>
      <w:r w:rsidR="00516B7D">
        <w:t>’</w:t>
      </w:r>
      <w:bookmarkEnd w:id="19"/>
      <w:r w:rsidR="00727C6C">
        <w:t>.</w:t>
      </w:r>
      <w:bookmarkStart w:id="20" w:name="_Toc117072407"/>
      <w:bookmarkEnd w:id="17"/>
      <w:bookmarkEnd w:id="18"/>
    </w:p>
    <w:p w14:paraId="6063D8C2" w14:textId="130CBA35" w:rsidR="00727C6C" w:rsidRPr="003545E9" w:rsidRDefault="005D78C0" w:rsidP="00BF0E15">
      <w:pPr>
        <w:pStyle w:val="Heading2"/>
        <w:spacing w:before="0"/>
        <w:rPr>
          <w:vanish/>
        </w:rPr>
      </w:pPr>
      <w:r>
        <w:t xml:space="preserve">Radiocommunications receivers </w:t>
      </w:r>
      <w:r w:rsidR="00CD7BA7">
        <w:t xml:space="preserve">communicating with satellites </w:t>
      </w:r>
      <w:r w:rsidR="005D77AB">
        <w:t xml:space="preserve">in the </w:t>
      </w:r>
      <w:r w:rsidR="00AE72A6">
        <w:t>91</w:t>
      </w:r>
      <w:r w:rsidR="0048640D">
        <w:t>5</w:t>
      </w:r>
      <w:r w:rsidR="00516B7D">
        <w:t>–</w:t>
      </w:r>
      <w:r w:rsidR="00AE72A6">
        <w:t>928</w:t>
      </w:r>
      <w:r w:rsidR="00681676">
        <w:t> </w:t>
      </w:r>
      <w:r w:rsidR="00AB5EBE">
        <w:t xml:space="preserve">MHz </w:t>
      </w:r>
      <w:r w:rsidR="00612777">
        <w:t>and 2400</w:t>
      </w:r>
      <w:r w:rsidR="00516B7D">
        <w:t>–</w:t>
      </w:r>
      <w:r w:rsidR="00612777">
        <w:t>2483.5</w:t>
      </w:r>
      <w:r w:rsidR="0053280C">
        <w:t> </w:t>
      </w:r>
      <w:r w:rsidR="00612777">
        <w:t xml:space="preserve">MHz </w:t>
      </w:r>
      <w:r w:rsidR="005D77AB">
        <w:t>band</w:t>
      </w:r>
      <w:r w:rsidR="00612777">
        <w:t>s</w:t>
      </w:r>
      <w:bookmarkEnd w:id="20"/>
    </w:p>
    <w:p w14:paraId="3694D332" w14:textId="18809124" w:rsidR="008C3819" w:rsidRDefault="008C3819" w:rsidP="00727C6C">
      <w:pPr>
        <w:pStyle w:val="Paragraph"/>
      </w:pPr>
      <w:r>
        <w:t>The 915</w:t>
      </w:r>
      <w:r w:rsidR="00516B7D">
        <w:t>–</w:t>
      </w:r>
      <w:r>
        <w:t xml:space="preserve">928 MHz </w:t>
      </w:r>
      <w:r w:rsidR="00612777">
        <w:t>and 2400</w:t>
      </w:r>
      <w:r w:rsidR="00516B7D">
        <w:t>–</w:t>
      </w:r>
      <w:r w:rsidR="00612777">
        <w:t xml:space="preserve">2483.5 MHz </w:t>
      </w:r>
      <w:r>
        <w:t>band</w:t>
      </w:r>
      <w:r w:rsidR="00612777">
        <w:t>s</w:t>
      </w:r>
      <w:r>
        <w:t xml:space="preserve"> </w:t>
      </w:r>
      <w:r w:rsidR="00612777">
        <w:t>are</w:t>
      </w:r>
      <w:r>
        <w:t xml:space="preserve"> used for a range of class licen</w:t>
      </w:r>
      <w:r w:rsidR="00931BF7">
        <w:t>s</w:t>
      </w:r>
      <w:r>
        <w:t>ed devices in Australia.</w:t>
      </w:r>
      <w:r w:rsidR="00C43EF8">
        <w:t xml:space="preserve"> The items in </w:t>
      </w:r>
      <w:r w:rsidR="00CB0E75">
        <w:t>Schedule 1 of the</w:t>
      </w:r>
      <w:r w:rsidR="00C43EF8">
        <w:t xml:space="preserve"> LIPD </w:t>
      </w:r>
      <w:r w:rsidR="00516B7D">
        <w:t>c</w:t>
      </w:r>
      <w:r w:rsidR="00C43EF8">
        <w:t xml:space="preserve">lass </w:t>
      </w:r>
      <w:r w:rsidR="00516B7D">
        <w:t>l</w:t>
      </w:r>
      <w:r w:rsidR="00C43EF8">
        <w:t xml:space="preserve">icence </w:t>
      </w:r>
      <w:r w:rsidR="00516B7D">
        <w:t>that</w:t>
      </w:r>
      <w:r w:rsidR="00C43EF8">
        <w:t xml:space="preserve"> include th</w:t>
      </w:r>
      <w:r w:rsidR="00612777">
        <w:t>ese</w:t>
      </w:r>
      <w:r w:rsidR="00C43EF8">
        <w:t xml:space="preserve"> band</w:t>
      </w:r>
      <w:r w:rsidR="00612777">
        <w:t>s</w:t>
      </w:r>
      <w:r w:rsidR="00C43EF8">
        <w:t xml:space="preserve"> are shown in Table</w:t>
      </w:r>
      <w:r w:rsidR="00612777">
        <w:t>s</w:t>
      </w:r>
      <w:r w:rsidR="00C43EF8">
        <w:t xml:space="preserve"> 1</w:t>
      </w:r>
      <w:r w:rsidR="00612777">
        <w:t xml:space="preserve"> and 2, respectively</w:t>
      </w:r>
      <w:r w:rsidR="00C43EF8">
        <w:t xml:space="preserve">. </w:t>
      </w:r>
      <w:r>
        <w:t xml:space="preserve"> Australian footnote AUS32 to the </w:t>
      </w:r>
      <w:r w:rsidR="00516B7D">
        <w:t>s</w:t>
      </w:r>
      <w:r>
        <w:t xml:space="preserve">pectrum </w:t>
      </w:r>
      <w:r w:rsidR="00516B7D">
        <w:t>p</w:t>
      </w:r>
      <w:r>
        <w:t>lan designate</w:t>
      </w:r>
      <w:r w:rsidR="00FA7AF8">
        <w:t>s</w:t>
      </w:r>
      <w:r>
        <w:t xml:space="preserve"> the 918</w:t>
      </w:r>
      <w:r w:rsidR="00516B7D">
        <w:t>–</w:t>
      </w:r>
      <w:r>
        <w:t xml:space="preserve">926 MHz sub-band for </w:t>
      </w:r>
      <w:r w:rsidRPr="008C3819">
        <w:t xml:space="preserve">industrial, scientific and medical (ISM) applications. </w:t>
      </w:r>
      <w:r w:rsidR="00FA7AF8">
        <w:t xml:space="preserve">Similarly, international footnote 150 to the </w:t>
      </w:r>
      <w:r w:rsidR="00516B7D">
        <w:t>s</w:t>
      </w:r>
      <w:r w:rsidR="00FA7AF8">
        <w:t xml:space="preserve">pectrum </w:t>
      </w:r>
      <w:r w:rsidR="00516B7D">
        <w:t>p</w:t>
      </w:r>
      <w:r w:rsidR="00FA7AF8">
        <w:t>lan designates</w:t>
      </w:r>
      <w:r w:rsidRPr="008C3819">
        <w:t xml:space="preserve"> </w:t>
      </w:r>
      <w:r w:rsidR="00FA7AF8">
        <w:t>the 2400</w:t>
      </w:r>
      <w:r w:rsidR="00516B7D">
        <w:t>–</w:t>
      </w:r>
      <w:r w:rsidR="00FA7AF8">
        <w:t xml:space="preserve">2450 MHz sub-band for ISM applications. </w:t>
      </w:r>
      <w:r w:rsidRPr="008C3819">
        <w:t xml:space="preserve">Radiocommunication </w:t>
      </w:r>
      <w:r w:rsidR="005D78C0">
        <w:t>devices</w:t>
      </w:r>
      <w:r w:rsidR="005D78C0" w:rsidRPr="008C3819">
        <w:t xml:space="preserve"> </w:t>
      </w:r>
      <w:r w:rsidRPr="008C3819">
        <w:t xml:space="preserve">operating within this band must accept harmful interference </w:t>
      </w:r>
      <w:r w:rsidR="00516B7D">
        <w:t>that</w:t>
      </w:r>
      <w:r w:rsidR="00516B7D" w:rsidRPr="008C3819">
        <w:t xml:space="preserve"> </w:t>
      </w:r>
      <w:r w:rsidRPr="008C3819">
        <w:t xml:space="preserve">may be caused by these applications. </w:t>
      </w:r>
      <w:r w:rsidR="005D78C0">
        <w:t xml:space="preserve">The International Telecommunication Union’s (ITU) </w:t>
      </w:r>
      <w:r w:rsidR="005D78C0" w:rsidRPr="008C3819">
        <w:t xml:space="preserve">Radio Regulation </w:t>
      </w:r>
      <w:r w:rsidR="00F56076">
        <w:t>Article</w:t>
      </w:r>
      <w:r w:rsidR="005D78C0" w:rsidRPr="000B0E27">
        <w:t xml:space="preserve"> </w:t>
      </w:r>
      <w:r w:rsidR="005D78C0" w:rsidRPr="006A3934">
        <w:t>15.13</w:t>
      </w:r>
      <w:r w:rsidR="005D78C0" w:rsidRPr="00516B7D">
        <w:t xml:space="preserve"> </w:t>
      </w:r>
      <w:r w:rsidR="005D78C0">
        <w:t>deals with ISM equipment operating in this band</w:t>
      </w:r>
      <w:r w:rsidR="005D78C0" w:rsidRPr="000B0E27">
        <w:t>.</w:t>
      </w:r>
    </w:p>
    <w:p w14:paraId="6F9C59B6" w14:textId="2D0E4086" w:rsidR="00C43EF8" w:rsidRPr="00E162C4" w:rsidRDefault="005D78C0" w:rsidP="00C43EF8">
      <w:pPr>
        <w:pStyle w:val="Tableheading"/>
      </w:pPr>
      <w:r>
        <w:t xml:space="preserve">Authorised transmitters </w:t>
      </w:r>
      <w:r w:rsidR="005A6170">
        <w:t xml:space="preserve">in the LIPD </w:t>
      </w:r>
      <w:r w:rsidR="00516B7D">
        <w:t>c</w:t>
      </w:r>
      <w:r w:rsidR="005A6170">
        <w:t xml:space="preserve">lass </w:t>
      </w:r>
      <w:r w:rsidR="00516B7D">
        <w:t>l</w:t>
      </w:r>
      <w:r w:rsidR="005A6170">
        <w:t>icence in the 915</w:t>
      </w:r>
      <w:r w:rsidR="00516B7D">
        <w:t>–</w:t>
      </w:r>
      <w:r w:rsidR="005A6170">
        <w:t>928 MHz band</w:t>
      </w:r>
    </w:p>
    <w:tbl>
      <w:tblPr>
        <w:tblStyle w:val="ACMAtablestyle"/>
        <w:tblW w:w="8217" w:type="dxa"/>
        <w:tblLayout w:type="fixed"/>
        <w:tblLook w:val="01E0" w:firstRow="1" w:lastRow="1" w:firstColumn="1" w:lastColumn="1" w:noHBand="0" w:noVBand="0"/>
        <w:tblCaption w:val="Table title to go here"/>
        <w:tblDescription w:val="Table description to go here"/>
      </w:tblPr>
      <w:tblGrid>
        <w:gridCol w:w="562"/>
        <w:gridCol w:w="1560"/>
        <w:gridCol w:w="1134"/>
        <w:gridCol w:w="1134"/>
        <w:gridCol w:w="3827"/>
      </w:tblGrid>
      <w:tr w:rsidR="00C43EF8" w:rsidRPr="00E162C4" w14:paraId="07536AAE" w14:textId="77777777" w:rsidTr="006A3934">
        <w:trPr>
          <w:cnfStyle w:val="100000000000" w:firstRow="1" w:lastRow="0" w:firstColumn="0" w:lastColumn="0" w:oddVBand="0" w:evenVBand="0" w:oddHBand="0" w:evenHBand="0" w:firstRowFirstColumn="0" w:firstRowLastColumn="0" w:lastRowFirstColumn="0" w:lastRowLastColumn="0"/>
        </w:trPr>
        <w:tc>
          <w:tcPr>
            <w:tcW w:w="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C2A8630" w14:textId="77777777" w:rsidR="00C43EF8" w:rsidRPr="00E162C4" w:rsidRDefault="00C43EF8" w:rsidP="00DE6EE3">
            <w:pPr>
              <w:pStyle w:val="TableBody"/>
            </w:pPr>
          </w:p>
        </w:tc>
        <w:tc>
          <w:tcPr>
            <w:tcW w:w="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66ACF01" w14:textId="77777777" w:rsidR="00C43EF8" w:rsidRPr="00E162C4" w:rsidRDefault="00C43EF8" w:rsidP="00DE6EE3">
            <w:pPr>
              <w:pStyle w:val="Tableheaderrow"/>
            </w:pPr>
            <w:r w:rsidRPr="00686456">
              <w:t>Class of transmitter</w:t>
            </w:r>
          </w:p>
        </w:tc>
        <w:tc>
          <w:tcPr>
            <w:tcW w:w="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A9444F6" w14:textId="77777777" w:rsidR="00C43EF8" w:rsidRPr="00E162C4" w:rsidRDefault="00C43EF8" w:rsidP="00DE6EE3">
            <w:pPr>
              <w:pStyle w:val="Tableheaderrow"/>
            </w:pPr>
            <w:r w:rsidRPr="00686456">
              <w:t>Permitted operating frequency band (MHz)</w:t>
            </w:r>
          </w:p>
        </w:tc>
        <w:tc>
          <w:tcPr>
            <w:tcW w:w="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52664EA" w14:textId="77777777" w:rsidR="00C43EF8" w:rsidRPr="00686456" w:rsidRDefault="00C43EF8" w:rsidP="00DE6EE3">
            <w:pPr>
              <w:pStyle w:val="Tableheaderrow"/>
            </w:pPr>
            <w:r w:rsidRPr="00686456">
              <w:t xml:space="preserve">Maximum EIRP </w:t>
            </w:r>
          </w:p>
          <w:p w14:paraId="7CFA2CC9" w14:textId="77777777" w:rsidR="00C43EF8" w:rsidRPr="00E162C4" w:rsidRDefault="00C43EF8" w:rsidP="00DE6EE3">
            <w:pPr>
              <w:pStyle w:val="Tableheaderrow"/>
            </w:pPr>
          </w:p>
        </w:tc>
        <w:tc>
          <w:tcPr>
            <w:tcW w:w="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4951BAC" w14:textId="77777777" w:rsidR="00C43EF8" w:rsidRPr="00A85C35" w:rsidRDefault="00C43EF8" w:rsidP="00DE6EE3">
            <w:pPr>
              <w:pStyle w:val="Tableheaderrow"/>
            </w:pPr>
            <w:r w:rsidRPr="00686456">
              <w:t>Limitations</w:t>
            </w:r>
          </w:p>
        </w:tc>
      </w:tr>
      <w:tr w:rsidR="003D1293" w:rsidRPr="00E162C4" w14:paraId="4DC78CDA" w14:textId="77777777" w:rsidTr="006A3934">
        <w:trPr>
          <w:cnfStyle w:val="000000100000" w:firstRow="0" w:lastRow="0" w:firstColumn="0" w:lastColumn="0" w:oddVBand="0" w:evenVBand="0" w:oddHBand="1" w:evenHBand="0" w:firstRowFirstColumn="0" w:firstRowLastColumn="0" w:lastRowFirstColumn="0" w:lastRowLastColumn="0"/>
        </w:trPr>
        <w:tc>
          <w:tcPr>
            <w:tcW w:w="0" w:type="dxa"/>
            <w:tcBorders>
              <w:top w:val="single" w:sz="4" w:space="0" w:color="FFFFFF" w:themeColor="background1"/>
            </w:tcBorders>
          </w:tcPr>
          <w:p w14:paraId="565AF141" w14:textId="58E21FB9" w:rsidR="00C43EF8" w:rsidRPr="00E162C4" w:rsidRDefault="00C43EF8" w:rsidP="00C43EF8">
            <w:pPr>
              <w:pStyle w:val="TableBody"/>
            </w:pPr>
            <w:r w:rsidRPr="00C43EF8">
              <w:t>20</w:t>
            </w:r>
          </w:p>
        </w:tc>
        <w:tc>
          <w:tcPr>
            <w:tcW w:w="0" w:type="dxa"/>
            <w:tcBorders>
              <w:top w:val="single" w:sz="4" w:space="0" w:color="FFFFFF" w:themeColor="background1"/>
            </w:tcBorders>
          </w:tcPr>
          <w:p w14:paraId="79E62C17" w14:textId="5E35CC0D" w:rsidR="00C43EF8" w:rsidRPr="00E162C4" w:rsidRDefault="00C43EF8" w:rsidP="00C43EF8">
            <w:pPr>
              <w:pStyle w:val="TableBody"/>
            </w:pPr>
            <w:r w:rsidRPr="00C43EF8">
              <w:t>All transmitters</w:t>
            </w:r>
          </w:p>
        </w:tc>
        <w:tc>
          <w:tcPr>
            <w:tcW w:w="0" w:type="dxa"/>
            <w:tcBorders>
              <w:top w:val="single" w:sz="4" w:space="0" w:color="FFFFFF" w:themeColor="background1"/>
            </w:tcBorders>
          </w:tcPr>
          <w:p w14:paraId="0E367AA0" w14:textId="066CE4EF" w:rsidR="00C43EF8" w:rsidRPr="00E162C4" w:rsidRDefault="00C43EF8" w:rsidP="00C43EF8">
            <w:pPr>
              <w:pStyle w:val="TableBody"/>
            </w:pPr>
            <w:r w:rsidRPr="00C43EF8">
              <w:t>915–928</w:t>
            </w:r>
          </w:p>
        </w:tc>
        <w:tc>
          <w:tcPr>
            <w:tcW w:w="0" w:type="dxa"/>
            <w:tcBorders>
              <w:top w:val="single" w:sz="4" w:space="0" w:color="FFFFFF" w:themeColor="background1"/>
            </w:tcBorders>
          </w:tcPr>
          <w:p w14:paraId="5B0B00CC" w14:textId="3DD5349B" w:rsidR="00C43EF8" w:rsidRPr="00E162C4" w:rsidRDefault="00C43EF8" w:rsidP="00C43EF8">
            <w:pPr>
              <w:pStyle w:val="TableBody"/>
            </w:pPr>
            <w:r w:rsidRPr="00C43EF8">
              <w:t>3 mW</w:t>
            </w:r>
          </w:p>
        </w:tc>
        <w:tc>
          <w:tcPr>
            <w:tcW w:w="0" w:type="dxa"/>
            <w:tcBorders>
              <w:top w:val="single" w:sz="4" w:space="0" w:color="FFFFFF" w:themeColor="background1"/>
            </w:tcBorders>
          </w:tcPr>
          <w:p w14:paraId="502A868C" w14:textId="79D0AB8F" w:rsidR="00C43EF8" w:rsidRPr="00E162C4" w:rsidRDefault="00C43EF8" w:rsidP="00C43EF8">
            <w:pPr>
              <w:pStyle w:val="TableBody"/>
            </w:pPr>
          </w:p>
          <w:p w14:paraId="0A788D0B" w14:textId="7CA2F8A7" w:rsidR="00C43EF8" w:rsidRPr="00E162C4" w:rsidRDefault="00C43EF8" w:rsidP="00C43EF8">
            <w:pPr>
              <w:pStyle w:val="TableBody"/>
            </w:pPr>
          </w:p>
        </w:tc>
      </w:tr>
      <w:tr w:rsidR="00C43EF8" w:rsidRPr="00E162C4" w14:paraId="0DDC66A4" w14:textId="77777777" w:rsidTr="003D1293">
        <w:trPr>
          <w:cnfStyle w:val="000000010000" w:firstRow="0" w:lastRow="0" w:firstColumn="0" w:lastColumn="0" w:oddVBand="0" w:evenVBand="0" w:oddHBand="0" w:evenHBand="1" w:firstRowFirstColumn="0" w:firstRowLastColumn="0" w:lastRowFirstColumn="0" w:lastRowLastColumn="0"/>
        </w:trPr>
        <w:tc>
          <w:tcPr>
            <w:tcW w:w="562" w:type="dxa"/>
          </w:tcPr>
          <w:p w14:paraId="763BD3DF" w14:textId="012EB772" w:rsidR="00C43EF8" w:rsidRPr="00C43EF8" w:rsidRDefault="00C43EF8" w:rsidP="00C43EF8">
            <w:pPr>
              <w:pStyle w:val="TableBody"/>
            </w:pPr>
            <w:r w:rsidRPr="00C43EF8">
              <w:t>43</w:t>
            </w:r>
          </w:p>
        </w:tc>
        <w:tc>
          <w:tcPr>
            <w:tcW w:w="1560" w:type="dxa"/>
          </w:tcPr>
          <w:p w14:paraId="703C0433" w14:textId="78403A4C" w:rsidR="00C43EF8" w:rsidRPr="00C43EF8" w:rsidRDefault="00C43EF8" w:rsidP="00C43EF8">
            <w:pPr>
              <w:pStyle w:val="TableBody"/>
            </w:pPr>
            <w:r w:rsidRPr="00C43EF8">
              <w:t>Radiofrequency identification transmitters</w:t>
            </w:r>
          </w:p>
        </w:tc>
        <w:tc>
          <w:tcPr>
            <w:tcW w:w="1134" w:type="dxa"/>
          </w:tcPr>
          <w:p w14:paraId="2A50486D" w14:textId="63E4FB9C" w:rsidR="00C43EF8" w:rsidRPr="00C43EF8" w:rsidRDefault="00C43EF8" w:rsidP="00C90184">
            <w:pPr>
              <w:pStyle w:val="TableBody"/>
            </w:pPr>
            <w:r>
              <w:t xml:space="preserve">(b) </w:t>
            </w:r>
            <w:r w:rsidRPr="00C43EF8">
              <w:t>918–926</w:t>
            </w:r>
          </w:p>
          <w:p w14:paraId="497A11D6" w14:textId="461A7DE7" w:rsidR="00C43EF8" w:rsidRPr="00C43EF8" w:rsidRDefault="00C43EF8" w:rsidP="00C90184">
            <w:pPr>
              <w:pStyle w:val="TableBody"/>
            </w:pPr>
          </w:p>
        </w:tc>
        <w:tc>
          <w:tcPr>
            <w:tcW w:w="1134" w:type="dxa"/>
          </w:tcPr>
          <w:p w14:paraId="6B0B1B93" w14:textId="07D6E48C" w:rsidR="00C43EF8" w:rsidRPr="00C43EF8" w:rsidRDefault="00C43EF8" w:rsidP="00C43EF8">
            <w:pPr>
              <w:pStyle w:val="TableBody"/>
            </w:pPr>
            <w:r w:rsidRPr="00C43EF8">
              <w:t>1 W</w:t>
            </w:r>
          </w:p>
        </w:tc>
        <w:tc>
          <w:tcPr>
            <w:tcW w:w="3827" w:type="dxa"/>
          </w:tcPr>
          <w:p w14:paraId="242DD8A1" w14:textId="77777777" w:rsidR="00C43EF8" w:rsidRPr="00C43EF8" w:rsidRDefault="00C43EF8" w:rsidP="00C43EF8">
            <w:pPr>
              <w:pStyle w:val="Header"/>
              <w:tabs>
                <w:tab w:val="clear" w:pos="4153"/>
                <w:tab w:val="clear" w:pos="8306"/>
                <w:tab w:val="center" w:pos="4513"/>
                <w:tab w:val="right" w:pos="9026"/>
              </w:tabs>
              <w:spacing w:before="122" w:after="0"/>
              <w:rPr>
                <w:sz w:val="20"/>
              </w:rPr>
            </w:pPr>
          </w:p>
        </w:tc>
      </w:tr>
      <w:tr w:rsidR="00C43EF8" w:rsidRPr="00E162C4" w14:paraId="6CF6762C" w14:textId="77777777" w:rsidTr="003D1293">
        <w:trPr>
          <w:cnfStyle w:val="000000100000" w:firstRow="0" w:lastRow="0" w:firstColumn="0" w:lastColumn="0" w:oddVBand="0" w:evenVBand="0" w:oddHBand="1" w:evenHBand="0" w:firstRowFirstColumn="0" w:firstRowLastColumn="0" w:lastRowFirstColumn="0" w:lastRowLastColumn="0"/>
        </w:trPr>
        <w:tc>
          <w:tcPr>
            <w:tcW w:w="562" w:type="dxa"/>
          </w:tcPr>
          <w:p w14:paraId="56AAA99B" w14:textId="2519EC25" w:rsidR="00C43EF8" w:rsidRPr="00C43EF8" w:rsidRDefault="00C43EF8" w:rsidP="00C43EF8">
            <w:pPr>
              <w:pStyle w:val="TableBody"/>
            </w:pPr>
            <w:r w:rsidRPr="00C43EF8">
              <w:t>45</w:t>
            </w:r>
          </w:p>
        </w:tc>
        <w:tc>
          <w:tcPr>
            <w:tcW w:w="1560" w:type="dxa"/>
          </w:tcPr>
          <w:p w14:paraId="6C398822" w14:textId="6E8515F7" w:rsidR="00C43EF8" w:rsidRPr="00C43EF8" w:rsidRDefault="00C43EF8" w:rsidP="00C43EF8">
            <w:pPr>
              <w:pStyle w:val="TableBody"/>
            </w:pPr>
            <w:r w:rsidRPr="00C43EF8">
              <w:t>Radiofrequency identification transmitters</w:t>
            </w:r>
          </w:p>
        </w:tc>
        <w:tc>
          <w:tcPr>
            <w:tcW w:w="1134" w:type="dxa"/>
          </w:tcPr>
          <w:p w14:paraId="76285E9C" w14:textId="02A8A35D" w:rsidR="00C43EF8" w:rsidRPr="00C43EF8" w:rsidRDefault="00C43EF8" w:rsidP="00C43EF8">
            <w:pPr>
              <w:pStyle w:val="TableBody"/>
            </w:pPr>
            <w:r w:rsidRPr="00C43EF8">
              <w:t>920–926</w:t>
            </w:r>
          </w:p>
        </w:tc>
        <w:tc>
          <w:tcPr>
            <w:tcW w:w="1134" w:type="dxa"/>
          </w:tcPr>
          <w:p w14:paraId="05C273FF" w14:textId="1A8FD95D" w:rsidR="00C43EF8" w:rsidRPr="00C43EF8" w:rsidRDefault="00C43EF8" w:rsidP="00C43EF8">
            <w:pPr>
              <w:pStyle w:val="TableBody"/>
            </w:pPr>
            <w:r w:rsidRPr="00C43EF8">
              <w:t>4 W</w:t>
            </w:r>
          </w:p>
        </w:tc>
        <w:tc>
          <w:tcPr>
            <w:tcW w:w="3827" w:type="dxa"/>
          </w:tcPr>
          <w:p w14:paraId="1B928F92" w14:textId="77777777" w:rsidR="00C43EF8" w:rsidRPr="00C43EF8" w:rsidRDefault="00C43EF8" w:rsidP="00C43EF8">
            <w:pPr>
              <w:pStyle w:val="Header"/>
              <w:numPr>
                <w:ilvl w:val="0"/>
                <w:numId w:val="31"/>
              </w:numPr>
              <w:tabs>
                <w:tab w:val="clear" w:pos="4153"/>
                <w:tab w:val="clear" w:pos="8306"/>
                <w:tab w:val="center" w:pos="4513"/>
                <w:tab w:val="right" w:pos="9026"/>
              </w:tabs>
              <w:spacing w:before="122" w:after="0"/>
              <w:rPr>
                <w:rFonts w:cs="Arial"/>
                <w:sz w:val="20"/>
                <w:szCs w:val="20"/>
              </w:rPr>
            </w:pPr>
            <w:r w:rsidRPr="00C43EF8">
              <w:rPr>
                <w:rFonts w:cs="Arial"/>
                <w:sz w:val="20"/>
                <w:szCs w:val="20"/>
              </w:rPr>
              <w:t>The transmitter must comply with ISO/IEC 18000-6:2013 and one of the following instruments: ISO/IEC 18000-61:2012; ISO/IEC 18000-62:2012; ISO/IEC 18000-63:2012; ISO/IEC 18000-64:2012.</w:t>
            </w:r>
          </w:p>
          <w:p w14:paraId="609A82CB" w14:textId="77777777" w:rsidR="00C43EF8" w:rsidRPr="00C43EF8" w:rsidRDefault="00C43EF8" w:rsidP="00C43EF8">
            <w:pPr>
              <w:pStyle w:val="Header"/>
              <w:numPr>
                <w:ilvl w:val="0"/>
                <w:numId w:val="31"/>
              </w:numPr>
              <w:tabs>
                <w:tab w:val="clear" w:pos="4153"/>
                <w:tab w:val="clear" w:pos="8306"/>
                <w:tab w:val="center" w:pos="4513"/>
                <w:tab w:val="right" w:pos="9026"/>
              </w:tabs>
              <w:spacing w:before="122" w:after="0"/>
              <w:rPr>
                <w:rFonts w:cs="Arial"/>
                <w:sz w:val="20"/>
                <w:szCs w:val="20"/>
              </w:rPr>
            </w:pPr>
            <w:r w:rsidRPr="00C43EF8">
              <w:rPr>
                <w:rFonts w:cs="Arial"/>
                <w:sz w:val="20"/>
                <w:szCs w:val="20"/>
              </w:rPr>
              <w:t xml:space="preserve">Emissions in the band below 917.75 MHz must be no greater than </w:t>
            </w:r>
            <w:r w:rsidRPr="00C43EF8">
              <w:rPr>
                <w:rFonts w:cs="Arial"/>
                <w:sz w:val="20"/>
                <w:szCs w:val="20"/>
              </w:rPr>
              <w:br/>
              <w:t>–37 dBm EIRP.</w:t>
            </w:r>
          </w:p>
          <w:p w14:paraId="22988CC6" w14:textId="21038769" w:rsidR="00C43EF8" w:rsidRPr="00C43EF8" w:rsidRDefault="00C43EF8" w:rsidP="00C43EF8">
            <w:pPr>
              <w:pStyle w:val="Header"/>
              <w:numPr>
                <w:ilvl w:val="0"/>
                <w:numId w:val="31"/>
              </w:numPr>
              <w:tabs>
                <w:tab w:val="clear" w:pos="4153"/>
                <w:tab w:val="clear" w:pos="8306"/>
                <w:tab w:val="center" w:pos="4513"/>
                <w:tab w:val="right" w:pos="9026"/>
              </w:tabs>
              <w:spacing w:before="122" w:after="0"/>
              <w:rPr>
                <w:rFonts w:cs="Arial"/>
                <w:sz w:val="20"/>
                <w:szCs w:val="20"/>
              </w:rPr>
            </w:pPr>
            <w:r w:rsidRPr="00C43EF8">
              <w:rPr>
                <w:rFonts w:cs="Arial"/>
                <w:sz w:val="20"/>
                <w:szCs w:val="20"/>
              </w:rPr>
              <w:lastRenderedPageBreak/>
              <w:t>Emissions above 926 MHz must be no greater than –33</w:t>
            </w:r>
            <w:r w:rsidR="00EF5779">
              <w:rPr>
                <w:rFonts w:cs="Arial"/>
                <w:sz w:val="20"/>
                <w:szCs w:val="20"/>
              </w:rPr>
              <w:t xml:space="preserve"> </w:t>
            </w:r>
            <w:r w:rsidRPr="00C43EF8">
              <w:rPr>
                <w:rFonts w:cs="Arial"/>
                <w:sz w:val="20"/>
                <w:szCs w:val="20"/>
              </w:rPr>
              <w:t>dBm</w:t>
            </w:r>
            <w:r w:rsidR="00EF5779">
              <w:rPr>
                <w:rFonts w:cs="Arial"/>
                <w:sz w:val="20"/>
                <w:szCs w:val="20"/>
              </w:rPr>
              <w:t xml:space="preserve"> </w:t>
            </w:r>
            <w:r w:rsidRPr="00C43EF8">
              <w:rPr>
                <w:rFonts w:cs="Arial"/>
                <w:sz w:val="20"/>
                <w:szCs w:val="20"/>
              </w:rPr>
              <w:t>EIRP.</w:t>
            </w:r>
          </w:p>
          <w:p w14:paraId="0FE8B1B7" w14:textId="3EFD1DEC" w:rsidR="00C43EF8" w:rsidRPr="00C43EF8" w:rsidRDefault="00C43EF8" w:rsidP="00C43EF8">
            <w:pPr>
              <w:pStyle w:val="Header"/>
              <w:numPr>
                <w:ilvl w:val="0"/>
                <w:numId w:val="31"/>
              </w:numPr>
              <w:tabs>
                <w:tab w:val="clear" w:pos="4153"/>
                <w:tab w:val="clear" w:pos="8306"/>
                <w:tab w:val="center" w:pos="4513"/>
                <w:tab w:val="right" w:pos="9026"/>
              </w:tabs>
              <w:spacing w:before="122" w:after="0"/>
              <w:rPr>
                <w:rFonts w:cs="Arial"/>
                <w:sz w:val="20"/>
                <w:szCs w:val="20"/>
              </w:rPr>
            </w:pPr>
            <w:r w:rsidRPr="00C43EF8">
              <w:rPr>
                <w:rFonts w:cs="Arial"/>
                <w:sz w:val="20"/>
                <w:szCs w:val="20"/>
              </w:rPr>
              <w:t xml:space="preserve">The transmitter must not be used unless more than 1 W EIRP is necessary to achieve satisfactory system performance. </w:t>
            </w:r>
          </w:p>
        </w:tc>
      </w:tr>
      <w:tr w:rsidR="00C43EF8" w:rsidRPr="00E162C4" w14:paraId="423206E3" w14:textId="77777777" w:rsidTr="003D1293">
        <w:trPr>
          <w:cnfStyle w:val="000000010000" w:firstRow="0" w:lastRow="0" w:firstColumn="0" w:lastColumn="0" w:oddVBand="0" w:evenVBand="0" w:oddHBand="0" w:evenHBand="1" w:firstRowFirstColumn="0" w:firstRowLastColumn="0" w:lastRowFirstColumn="0" w:lastRowLastColumn="0"/>
        </w:trPr>
        <w:tc>
          <w:tcPr>
            <w:tcW w:w="562" w:type="dxa"/>
          </w:tcPr>
          <w:p w14:paraId="43A94358" w14:textId="7C1C7111" w:rsidR="00C43EF8" w:rsidRPr="00C43EF8" w:rsidRDefault="00C43EF8" w:rsidP="00C43EF8">
            <w:pPr>
              <w:pStyle w:val="TableBody"/>
            </w:pPr>
            <w:r w:rsidRPr="00C43EF8">
              <w:lastRenderedPageBreak/>
              <w:t>54</w:t>
            </w:r>
          </w:p>
        </w:tc>
        <w:tc>
          <w:tcPr>
            <w:tcW w:w="1560" w:type="dxa"/>
          </w:tcPr>
          <w:p w14:paraId="4F896C6C" w14:textId="3E97A64A" w:rsidR="00C43EF8" w:rsidRPr="00C43EF8" w:rsidRDefault="00C43EF8" w:rsidP="00C43EF8">
            <w:pPr>
              <w:pStyle w:val="TableBody"/>
            </w:pPr>
            <w:r w:rsidRPr="00C43EF8">
              <w:t>Frequency</w:t>
            </w:r>
            <w:r w:rsidR="00516B7D">
              <w:t>-</w:t>
            </w:r>
            <w:r w:rsidRPr="00C43EF8">
              <w:t xml:space="preserve"> hopping transmitters</w:t>
            </w:r>
          </w:p>
        </w:tc>
        <w:tc>
          <w:tcPr>
            <w:tcW w:w="1134" w:type="dxa"/>
          </w:tcPr>
          <w:p w14:paraId="661142D3" w14:textId="013679F3" w:rsidR="00C43EF8" w:rsidRPr="00C43EF8" w:rsidRDefault="00C43EF8" w:rsidP="00C43EF8">
            <w:pPr>
              <w:pStyle w:val="TableBody"/>
            </w:pPr>
            <w:r w:rsidRPr="00C43EF8">
              <w:t>915–928</w:t>
            </w:r>
          </w:p>
        </w:tc>
        <w:tc>
          <w:tcPr>
            <w:tcW w:w="1134" w:type="dxa"/>
          </w:tcPr>
          <w:p w14:paraId="3F3D7F74" w14:textId="21F11215" w:rsidR="00C43EF8" w:rsidRPr="00C43EF8" w:rsidRDefault="00C43EF8" w:rsidP="00C43EF8">
            <w:pPr>
              <w:pStyle w:val="TableBody"/>
            </w:pPr>
            <w:r w:rsidRPr="00C43EF8">
              <w:t>1 W</w:t>
            </w:r>
          </w:p>
        </w:tc>
        <w:tc>
          <w:tcPr>
            <w:tcW w:w="3827" w:type="dxa"/>
          </w:tcPr>
          <w:p w14:paraId="354F6713" w14:textId="384F68F3" w:rsidR="00C43EF8" w:rsidRPr="00E162C4" w:rsidRDefault="00C43EF8" w:rsidP="00C43EF8">
            <w:pPr>
              <w:pStyle w:val="TableBody"/>
            </w:pPr>
            <w:r w:rsidRPr="00C43EF8">
              <w:t>A minimum of 20 hopping frequencies must be used.</w:t>
            </w:r>
          </w:p>
        </w:tc>
      </w:tr>
      <w:tr w:rsidR="00C43EF8" w:rsidRPr="00E162C4" w14:paraId="6534380B" w14:textId="77777777" w:rsidTr="003D1293">
        <w:trPr>
          <w:cnfStyle w:val="000000100000" w:firstRow="0" w:lastRow="0" w:firstColumn="0" w:lastColumn="0" w:oddVBand="0" w:evenVBand="0" w:oddHBand="1" w:evenHBand="0" w:firstRowFirstColumn="0" w:firstRowLastColumn="0" w:lastRowFirstColumn="0" w:lastRowLastColumn="0"/>
        </w:trPr>
        <w:tc>
          <w:tcPr>
            <w:tcW w:w="562" w:type="dxa"/>
          </w:tcPr>
          <w:p w14:paraId="12DF60B2" w14:textId="3C2D32AF" w:rsidR="00C43EF8" w:rsidRPr="00C43EF8" w:rsidRDefault="00C43EF8" w:rsidP="00C43EF8">
            <w:pPr>
              <w:pStyle w:val="TableBody"/>
            </w:pPr>
            <w:r w:rsidRPr="00C43EF8">
              <w:t>58</w:t>
            </w:r>
          </w:p>
        </w:tc>
        <w:tc>
          <w:tcPr>
            <w:tcW w:w="1560" w:type="dxa"/>
          </w:tcPr>
          <w:p w14:paraId="1E8D3A73" w14:textId="2CFE2D88" w:rsidR="00C43EF8" w:rsidRPr="00C43EF8" w:rsidRDefault="00C43EF8" w:rsidP="00C43EF8">
            <w:pPr>
              <w:pStyle w:val="TableBody"/>
            </w:pPr>
            <w:r w:rsidRPr="00C43EF8">
              <w:t>Digital modulation transmitters</w:t>
            </w:r>
          </w:p>
        </w:tc>
        <w:tc>
          <w:tcPr>
            <w:tcW w:w="1134" w:type="dxa"/>
          </w:tcPr>
          <w:p w14:paraId="2B080095" w14:textId="2E257899" w:rsidR="00C43EF8" w:rsidRPr="00C43EF8" w:rsidRDefault="00C43EF8" w:rsidP="00C43EF8">
            <w:pPr>
              <w:pStyle w:val="TableBody"/>
            </w:pPr>
            <w:r w:rsidRPr="00C43EF8">
              <w:t>915–928</w:t>
            </w:r>
          </w:p>
        </w:tc>
        <w:tc>
          <w:tcPr>
            <w:tcW w:w="1134" w:type="dxa"/>
          </w:tcPr>
          <w:p w14:paraId="6D0B0D72" w14:textId="6E905647" w:rsidR="00C43EF8" w:rsidRPr="00C43EF8" w:rsidRDefault="00C43EF8" w:rsidP="00C43EF8">
            <w:pPr>
              <w:pStyle w:val="TableBody"/>
            </w:pPr>
            <w:r w:rsidRPr="00C43EF8">
              <w:t>1 W</w:t>
            </w:r>
          </w:p>
        </w:tc>
        <w:tc>
          <w:tcPr>
            <w:tcW w:w="3827" w:type="dxa"/>
          </w:tcPr>
          <w:p w14:paraId="5C0FCCE4" w14:textId="324AD3AF" w:rsidR="00C43EF8" w:rsidRPr="00E162C4" w:rsidRDefault="00C43EF8" w:rsidP="00C43EF8">
            <w:pPr>
              <w:pStyle w:val="TableBody"/>
            </w:pPr>
            <w:r w:rsidRPr="00C43EF8">
              <w:t>The radiated peak power spectral density in any 3 kHz must not exceed 25 mW per 3 kHz.</w:t>
            </w:r>
          </w:p>
        </w:tc>
      </w:tr>
    </w:tbl>
    <w:p w14:paraId="0959F5F8" w14:textId="77777777" w:rsidR="00612777" w:rsidRDefault="00612777" w:rsidP="00612777">
      <w:pPr>
        <w:pStyle w:val="Paragraph"/>
      </w:pPr>
    </w:p>
    <w:p w14:paraId="5B3DD414" w14:textId="7A7B599E" w:rsidR="00612777" w:rsidRPr="00E162C4" w:rsidRDefault="005D78C0" w:rsidP="00612777">
      <w:pPr>
        <w:pStyle w:val="Tableheading"/>
      </w:pPr>
      <w:r>
        <w:t xml:space="preserve">Authorised transmitters </w:t>
      </w:r>
      <w:r w:rsidR="00612777">
        <w:t xml:space="preserve">in the LIPD </w:t>
      </w:r>
      <w:r w:rsidR="00EA3560">
        <w:t>c</w:t>
      </w:r>
      <w:r w:rsidR="00612777">
        <w:t xml:space="preserve">lass </w:t>
      </w:r>
      <w:r w:rsidR="00EA3560">
        <w:t>l</w:t>
      </w:r>
      <w:r w:rsidR="00612777">
        <w:t xml:space="preserve">icence in the </w:t>
      </w:r>
      <w:r w:rsidR="00EA3560">
        <w:br/>
      </w:r>
      <w:r w:rsidR="00612777">
        <w:t>2400</w:t>
      </w:r>
      <w:r w:rsidR="00EA3560">
        <w:t>–</w:t>
      </w:r>
      <w:r w:rsidR="00612777">
        <w:t>2483.5 MHz band</w:t>
      </w:r>
    </w:p>
    <w:tbl>
      <w:tblPr>
        <w:tblStyle w:val="ACMAtablestyle"/>
        <w:tblW w:w="8217" w:type="dxa"/>
        <w:tblLayout w:type="fixed"/>
        <w:tblLook w:val="01E0" w:firstRow="1" w:lastRow="1" w:firstColumn="1" w:lastColumn="1" w:noHBand="0" w:noVBand="0"/>
        <w:tblCaption w:val="Table title to go here"/>
        <w:tblDescription w:val="Table description to go here"/>
      </w:tblPr>
      <w:tblGrid>
        <w:gridCol w:w="562"/>
        <w:gridCol w:w="1560"/>
        <w:gridCol w:w="1134"/>
        <w:gridCol w:w="1134"/>
        <w:gridCol w:w="3827"/>
      </w:tblGrid>
      <w:tr w:rsidR="00612777" w:rsidRPr="00E162C4" w14:paraId="12C0C3AB" w14:textId="77777777" w:rsidTr="006A3934">
        <w:trPr>
          <w:cnfStyle w:val="100000000000" w:firstRow="1" w:lastRow="0" w:firstColumn="0" w:lastColumn="0" w:oddVBand="0" w:evenVBand="0" w:oddHBand="0" w:evenHBand="0" w:firstRowFirstColumn="0" w:firstRowLastColumn="0" w:lastRowFirstColumn="0" w:lastRowLastColumn="0"/>
        </w:trPr>
        <w:tc>
          <w:tcPr>
            <w:tcW w:w="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DFDEAD0" w14:textId="77777777" w:rsidR="00612777" w:rsidRPr="00E162C4" w:rsidRDefault="00612777" w:rsidP="009430FF">
            <w:pPr>
              <w:pStyle w:val="TableBody"/>
            </w:pPr>
          </w:p>
        </w:tc>
        <w:tc>
          <w:tcPr>
            <w:tcW w:w="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1262ED0" w14:textId="77777777" w:rsidR="00612777" w:rsidRPr="00E162C4" w:rsidRDefault="00612777" w:rsidP="009430FF">
            <w:pPr>
              <w:pStyle w:val="Tableheaderrow"/>
            </w:pPr>
            <w:r w:rsidRPr="00686456">
              <w:t>Class of transmitter</w:t>
            </w:r>
          </w:p>
        </w:tc>
        <w:tc>
          <w:tcPr>
            <w:tcW w:w="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0DEC823" w14:textId="77777777" w:rsidR="00612777" w:rsidRPr="00E162C4" w:rsidRDefault="00612777" w:rsidP="009430FF">
            <w:pPr>
              <w:pStyle w:val="Tableheaderrow"/>
            </w:pPr>
            <w:r w:rsidRPr="00686456">
              <w:t>Permitted operating frequency band (MHz)</w:t>
            </w:r>
          </w:p>
        </w:tc>
        <w:tc>
          <w:tcPr>
            <w:tcW w:w="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DB0DA1B" w14:textId="77777777" w:rsidR="00612777" w:rsidRPr="00686456" w:rsidRDefault="00612777" w:rsidP="009430FF">
            <w:pPr>
              <w:pStyle w:val="Tableheaderrow"/>
            </w:pPr>
            <w:r w:rsidRPr="00686456">
              <w:t xml:space="preserve">Maximum EIRP </w:t>
            </w:r>
          </w:p>
          <w:p w14:paraId="74AC0D28" w14:textId="77777777" w:rsidR="00612777" w:rsidRPr="00E162C4" w:rsidRDefault="00612777" w:rsidP="009430FF">
            <w:pPr>
              <w:pStyle w:val="Tableheaderrow"/>
            </w:pPr>
          </w:p>
        </w:tc>
        <w:tc>
          <w:tcPr>
            <w:tcW w:w="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7819F16" w14:textId="77777777" w:rsidR="00612777" w:rsidRPr="00A85C35" w:rsidRDefault="00612777" w:rsidP="009430FF">
            <w:pPr>
              <w:pStyle w:val="Tableheaderrow"/>
            </w:pPr>
            <w:r w:rsidRPr="00686456">
              <w:t>Limitations</w:t>
            </w:r>
          </w:p>
        </w:tc>
      </w:tr>
      <w:tr w:rsidR="00612777" w:rsidRPr="00E162C4" w14:paraId="04BDF819" w14:textId="77777777" w:rsidTr="006A3934">
        <w:trPr>
          <w:cnfStyle w:val="000000100000" w:firstRow="0" w:lastRow="0" w:firstColumn="0" w:lastColumn="0" w:oddVBand="0" w:evenVBand="0" w:oddHBand="1" w:evenHBand="0" w:firstRowFirstColumn="0" w:firstRowLastColumn="0" w:lastRowFirstColumn="0" w:lastRowLastColumn="0"/>
        </w:trPr>
        <w:tc>
          <w:tcPr>
            <w:tcW w:w="0" w:type="dxa"/>
            <w:tcBorders>
              <w:top w:val="single" w:sz="4" w:space="0" w:color="FFFFFF" w:themeColor="background1"/>
            </w:tcBorders>
          </w:tcPr>
          <w:p w14:paraId="081F4533" w14:textId="5F20ABD3" w:rsidR="00612777" w:rsidRPr="00E162C4" w:rsidRDefault="00612777" w:rsidP="009430FF">
            <w:pPr>
              <w:pStyle w:val="TableBody"/>
            </w:pPr>
            <w:r w:rsidRPr="00C43EF8">
              <w:t>2</w:t>
            </w:r>
            <w:r>
              <w:t>1</w:t>
            </w:r>
          </w:p>
        </w:tc>
        <w:tc>
          <w:tcPr>
            <w:tcW w:w="0" w:type="dxa"/>
            <w:tcBorders>
              <w:top w:val="single" w:sz="4" w:space="0" w:color="FFFFFF" w:themeColor="background1"/>
            </w:tcBorders>
          </w:tcPr>
          <w:p w14:paraId="32AE7358" w14:textId="77777777" w:rsidR="00612777" w:rsidRPr="00E162C4" w:rsidRDefault="00612777" w:rsidP="009430FF">
            <w:pPr>
              <w:pStyle w:val="TableBody"/>
            </w:pPr>
            <w:r w:rsidRPr="00C43EF8">
              <w:t>All transmitters</w:t>
            </w:r>
          </w:p>
        </w:tc>
        <w:tc>
          <w:tcPr>
            <w:tcW w:w="0" w:type="dxa"/>
            <w:tcBorders>
              <w:top w:val="single" w:sz="4" w:space="0" w:color="FFFFFF" w:themeColor="background1"/>
            </w:tcBorders>
          </w:tcPr>
          <w:p w14:paraId="698BCB30" w14:textId="2FBBF386" w:rsidR="00612777" w:rsidRPr="00E162C4" w:rsidRDefault="00612777" w:rsidP="009430FF">
            <w:pPr>
              <w:pStyle w:val="TableBody"/>
            </w:pPr>
            <w:r>
              <w:t>2400</w:t>
            </w:r>
            <w:r w:rsidRPr="00C43EF8">
              <w:t>–</w:t>
            </w:r>
            <w:r>
              <w:t>2483.5</w:t>
            </w:r>
          </w:p>
        </w:tc>
        <w:tc>
          <w:tcPr>
            <w:tcW w:w="0" w:type="dxa"/>
            <w:tcBorders>
              <w:top w:val="single" w:sz="4" w:space="0" w:color="FFFFFF" w:themeColor="background1"/>
            </w:tcBorders>
          </w:tcPr>
          <w:p w14:paraId="32FED092" w14:textId="637806D3" w:rsidR="00612777" w:rsidRPr="00E162C4" w:rsidRDefault="00612777" w:rsidP="009430FF">
            <w:pPr>
              <w:pStyle w:val="TableBody"/>
            </w:pPr>
            <w:r>
              <w:t>10</w:t>
            </w:r>
            <w:r w:rsidRPr="00C43EF8">
              <w:t xml:space="preserve"> mW</w:t>
            </w:r>
          </w:p>
        </w:tc>
        <w:tc>
          <w:tcPr>
            <w:tcW w:w="0" w:type="dxa"/>
            <w:tcBorders>
              <w:top w:val="single" w:sz="4" w:space="0" w:color="FFFFFF" w:themeColor="background1"/>
            </w:tcBorders>
          </w:tcPr>
          <w:p w14:paraId="74944C99" w14:textId="77777777" w:rsidR="00612777" w:rsidRPr="00E162C4" w:rsidRDefault="00612777" w:rsidP="009430FF">
            <w:pPr>
              <w:pStyle w:val="TableBody"/>
            </w:pPr>
          </w:p>
          <w:p w14:paraId="784B886F" w14:textId="77777777" w:rsidR="00612777" w:rsidRPr="00E162C4" w:rsidRDefault="00612777" w:rsidP="009430FF">
            <w:pPr>
              <w:pStyle w:val="TableBody"/>
            </w:pPr>
          </w:p>
        </w:tc>
      </w:tr>
      <w:tr w:rsidR="00612777" w:rsidRPr="00E162C4" w14:paraId="7501BE3B" w14:textId="77777777" w:rsidTr="009430FF">
        <w:trPr>
          <w:cnfStyle w:val="000000010000" w:firstRow="0" w:lastRow="0" w:firstColumn="0" w:lastColumn="0" w:oddVBand="0" w:evenVBand="0" w:oddHBand="0" w:evenHBand="1" w:firstRowFirstColumn="0" w:firstRowLastColumn="0" w:lastRowFirstColumn="0" w:lastRowLastColumn="0"/>
        </w:trPr>
        <w:tc>
          <w:tcPr>
            <w:tcW w:w="562" w:type="dxa"/>
          </w:tcPr>
          <w:p w14:paraId="62C444C7" w14:textId="192F8D23" w:rsidR="00612777" w:rsidRPr="00C43EF8" w:rsidRDefault="00612777" w:rsidP="009430FF">
            <w:pPr>
              <w:pStyle w:val="TableBody"/>
            </w:pPr>
            <w:r>
              <w:t>40</w:t>
            </w:r>
          </w:p>
        </w:tc>
        <w:tc>
          <w:tcPr>
            <w:tcW w:w="1560" w:type="dxa"/>
          </w:tcPr>
          <w:p w14:paraId="1E8F7B69" w14:textId="732F6E91" w:rsidR="00612777" w:rsidRPr="00C43EF8" w:rsidRDefault="00612777" w:rsidP="009430FF">
            <w:pPr>
              <w:pStyle w:val="TableBody"/>
            </w:pPr>
            <w:r>
              <w:t>Telecommand or telemetry transmitters</w:t>
            </w:r>
          </w:p>
        </w:tc>
        <w:tc>
          <w:tcPr>
            <w:tcW w:w="1134" w:type="dxa"/>
          </w:tcPr>
          <w:p w14:paraId="017E1AF4" w14:textId="2A3B6D6A" w:rsidR="00612777" w:rsidRDefault="00612777" w:rsidP="00612777">
            <w:pPr>
              <w:pStyle w:val="TableBody"/>
            </w:pPr>
            <w:r>
              <w:t>(a) 2400</w:t>
            </w:r>
            <w:r w:rsidR="00A73EDF">
              <w:t>–</w:t>
            </w:r>
            <w:r>
              <w:t>2450</w:t>
            </w:r>
          </w:p>
        </w:tc>
        <w:tc>
          <w:tcPr>
            <w:tcW w:w="1134" w:type="dxa"/>
          </w:tcPr>
          <w:p w14:paraId="5DDCB1C5" w14:textId="305F468C" w:rsidR="00612777" w:rsidRPr="00C43EF8" w:rsidRDefault="00612777" w:rsidP="009430FF">
            <w:pPr>
              <w:pStyle w:val="TableBody"/>
            </w:pPr>
            <w:r>
              <w:t>1 W</w:t>
            </w:r>
          </w:p>
        </w:tc>
        <w:tc>
          <w:tcPr>
            <w:tcW w:w="3827" w:type="dxa"/>
          </w:tcPr>
          <w:p w14:paraId="769CB612" w14:textId="77777777" w:rsidR="00612777" w:rsidRPr="00C43EF8" w:rsidRDefault="00612777" w:rsidP="009430FF">
            <w:pPr>
              <w:pStyle w:val="Header"/>
              <w:tabs>
                <w:tab w:val="clear" w:pos="4153"/>
                <w:tab w:val="clear" w:pos="8306"/>
                <w:tab w:val="center" w:pos="4513"/>
                <w:tab w:val="right" w:pos="9026"/>
              </w:tabs>
              <w:spacing w:before="122" w:after="0"/>
              <w:rPr>
                <w:sz w:val="20"/>
              </w:rPr>
            </w:pPr>
          </w:p>
        </w:tc>
      </w:tr>
      <w:tr w:rsidR="00612777" w:rsidRPr="00E162C4" w14:paraId="1F4B488E" w14:textId="77777777" w:rsidTr="009430FF">
        <w:trPr>
          <w:cnfStyle w:val="000000100000" w:firstRow="0" w:lastRow="0" w:firstColumn="0" w:lastColumn="0" w:oddVBand="0" w:evenVBand="0" w:oddHBand="1" w:evenHBand="0" w:firstRowFirstColumn="0" w:firstRowLastColumn="0" w:lastRowFirstColumn="0" w:lastRowLastColumn="0"/>
        </w:trPr>
        <w:tc>
          <w:tcPr>
            <w:tcW w:w="562" w:type="dxa"/>
          </w:tcPr>
          <w:p w14:paraId="06E38E9C" w14:textId="77777777" w:rsidR="00612777" w:rsidRPr="00C43EF8" w:rsidRDefault="00612777" w:rsidP="009430FF">
            <w:pPr>
              <w:pStyle w:val="TableBody"/>
            </w:pPr>
            <w:r w:rsidRPr="00C43EF8">
              <w:t>43</w:t>
            </w:r>
          </w:p>
        </w:tc>
        <w:tc>
          <w:tcPr>
            <w:tcW w:w="1560" w:type="dxa"/>
          </w:tcPr>
          <w:p w14:paraId="62E29AA3" w14:textId="77777777" w:rsidR="00612777" w:rsidRPr="00C43EF8" w:rsidRDefault="00612777" w:rsidP="009430FF">
            <w:pPr>
              <w:pStyle w:val="TableBody"/>
            </w:pPr>
            <w:r w:rsidRPr="00C43EF8">
              <w:t>Radiofrequency identification transmitters</w:t>
            </w:r>
          </w:p>
        </w:tc>
        <w:tc>
          <w:tcPr>
            <w:tcW w:w="1134" w:type="dxa"/>
          </w:tcPr>
          <w:p w14:paraId="2A534040" w14:textId="05A2B0F1" w:rsidR="00612777" w:rsidRPr="00C43EF8" w:rsidRDefault="00612777" w:rsidP="009430FF">
            <w:pPr>
              <w:pStyle w:val="TableBody"/>
            </w:pPr>
            <w:r>
              <w:t>(c) 2400</w:t>
            </w:r>
            <w:r w:rsidRPr="00C43EF8">
              <w:t>–</w:t>
            </w:r>
            <w:r>
              <w:t>2450</w:t>
            </w:r>
          </w:p>
          <w:p w14:paraId="56D49357" w14:textId="77777777" w:rsidR="00612777" w:rsidRPr="00C43EF8" w:rsidRDefault="00612777" w:rsidP="009430FF">
            <w:pPr>
              <w:pStyle w:val="TableBody"/>
            </w:pPr>
          </w:p>
        </w:tc>
        <w:tc>
          <w:tcPr>
            <w:tcW w:w="1134" w:type="dxa"/>
          </w:tcPr>
          <w:p w14:paraId="3425645F" w14:textId="77777777" w:rsidR="00612777" w:rsidRPr="00C43EF8" w:rsidRDefault="00612777" w:rsidP="009430FF">
            <w:pPr>
              <w:pStyle w:val="TableBody"/>
            </w:pPr>
            <w:r w:rsidRPr="00C43EF8">
              <w:t>1 W</w:t>
            </w:r>
          </w:p>
        </w:tc>
        <w:tc>
          <w:tcPr>
            <w:tcW w:w="3827" w:type="dxa"/>
          </w:tcPr>
          <w:p w14:paraId="19885C58" w14:textId="77777777" w:rsidR="00612777" w:rsidRPr="00C43EF8" w:rsidRDefault="00612777" w:rsidP="009430FF">
            <w:pPr>
              <w:pStyle w:val="Header"/>
              <w:tabs>
                <w:tab w:val="clear" w:pos="4153"/>
                <w:tab w:val="clear" w:pos="8306"/>
                <w:tab w:val="center" w:pos="4513"/>
                <w:tab w:val="right" w:pos="9026"/>
              </w:tabs>
              <w:spacing w:before="122" w:after="0"/>
              <w:rPr>
                <w:sz w:val="20"/>
              </w:rPr>
            </w:pPr>
          </w:p>
        </w:tc>
      </w:tr>
      <w:tr w:rsidR="00612777" w:rsidRPr="00E162C4" w14:paraId="2E58A9E9" w14:textId="77777777" w:rsidTr="009430FF">
        <w:trPr>
          <w:cnfStyle w:val="000000010000" w:firstRow="0" w:lastRow="0" w:firstColumn="0" w:lastColumn="0" w:oddVBand="0" w:evenVBand="0" w:oddHBand="0" w:evenHBand="1" w:firstRowFirstColumn="0" w:firstRowLastColumn="0" w:lastRowFirstColumn="0" w:lastRowLastColumn="0"/>
        </w:trPr>
        <w:tc>
          <w:tcPr>
            <w:tcW w:w="562" w:type="dxa"/>
          </w:tcPr>
          <w:p w14:paraId="1133344F" w14:textId="0DE32900" w:rsidR="00612777" w:rsidRPr="00C43EF8" w:rsidRDefault="00612777" w:rsidP="00612777">
            <w:pPr>
              <w:pStyle w:val="TableBody"/>
            </w:pPr>
            <w:r w:rsidRPr="00C43EF8">
              <w:t>5</w:t>
            </w:r>
            <w:r>
              <w:t>5</w:t>
            </w:r>
          </w:p>
        </w:tc>
        <w:tc>
          <w:tcPr>
            <w:tcW w:w="1560" w:type="dxa"/>
          </w:tcPr>
          <w:p w14:paraId="746A6EB2" w14:textId="77777777" w:rsidR="00612777" w:rsidRPr="00C43EF8" w:rsidRDefault="00612777" w:rsidP="00612777">
            <w:pPr>
              <w:pStyle w:val="TableBody"/>
            </w:pPr>
            <w:r w:rsidRPr="00C43EF8">
              <w:t>Frequency hopping transmitters</w:t>
            </w:r>
          </w:p>
        </w:tc>
        <w:tc>
          <w:tcPr>
            <w:tcW w:w="1134" w:type="dxa"/>
          </w:tcPr>
          <w:p w14:paraId="3225A51E" w14:textId="23351879" w:rsidR="00612777" w:rsidRPr="00C43EF8" w:rsidRDefault="00612777" w:rsidP="00612777">
            <w:pPr>
              <w:pStyle w:val="TableBody"/>
            </w:pPr>
            <w:r>
              <w:t>2400</w:t>
            </w:r>
            <w:r w:rsidRPr="00C43EF8">
              <w:t>–</w:t>
            </w:r>
            <w:r>
              <w:t>2483.5</w:t>
            </w:r>
          </w:p>
        </w:tc>
        <w:tc>
          <w:tcPr>
            <w:tcW w:w="1134" w:type="dxa"/>
          </w:tcPr>
          <w:p w14:paraId="693C2C83" w14:textId="2A2C0DE1" w:rsidR="00612777" w:rsidRPr="00C43EF8" w:rsidRDefault="00612777" w:rsidP="00612777">
            <w:pPr>
              <w:pStyle w:val="TableBody"/>
            </w:pPr>
            <w:r>
              <w:t>500</w:t>
            </w:r>
            <w:r w:rsidRPr="00C43EF8">
              <w:t xml:space="preserve"> </w:t>
            </w:r>
            <w:r>
              <w:t>m</w:t>
            </w:r>
            <w:r w:rsidRPr="00C43EF8">
              <w:t>W</w:t>
            </w:r>
          </w:p>
        </w:tc>
        <w:tc>
          <w:tcPr>
            <w:tcW w:w="3827" w:type="dxa"/>
          </w:tcPr>
          <w:p w14:paraId="41187A70" w14:textId="77777777" w:rsidR="00612777" w:rsidRDefault="00612777" w:rsidP="00612777">
            <w:pPr>
              <w:pStyle w:val="TableBody"/>
            </w:pPr>
            <w:r>
              <w:t>Either:</w:t>
            </w:r>
          </w:p>
          <w:p w14:paraId="631DF74C" w14:textId="44E13640" w:rsidR="00612777" w:rsidRDefault="00612777" w:rsidP="00612777">
            <w:pPr>
              <w:pStyle w:val="TableBody"/>
            </w:pPr>
            <w:r>
              <w:t>(a) the transmitter must meet the requirements of ETSI EN 300 328</w:t>
            </w:r>
          </w:p>
          <w:p w14:paraId="44849BC5" w14:textId="49C783D3" w:rsidR="00612777" w:rsidRPr="00E162C4" w:rsidRDefault="00612777" w:rsidP="00612777">
            <w:pPr>
              <w:pStyle w:val="TableBody"/>
            </w:pPr>
            <w:r>
              <w:t>(b) a minimum of 15 hopping frequencies must be used.</w:t>
            </w:r>
          </w:p>
        </w:tc>
      </w:tr>
      <w:tr w:rsidR="00612777" w:rsidRPr="00E162C4" w14:paraId="65135358" w14:textId="77777777" w:rsidTr="009430FF">
        <w:trPr>
          <w:cnfStyle w:val="000000100000" w:firstRow="0" w:lastRow="0" w:firstColumn="0" w:lastColumn="0" w:oddVBand="0" w:evenVBand="0" w:oddHBand="1" w:evenHBand="0" w:firstRowFirstColumn="0" w:firstRowLastColumn="0" w:lastRowFirstColumn="0" w:lastRowLastColumn="0"/>
        </w:trPr>
        <w:tc>
          <w:tcPr>
            <w:tcW w:w="562" w:type="dxa"/>
          </w:tcPr>
          <w:p w14:paraId="1A7B2537" w14:textId="714FEA24" w:rsidR="00612777" w:rsidRPr="00C43EF8" w:rsidRDefault="00612777" w:rsidP="00612777">
            <w:pPr>
              <w:pStyle w:val="TableBody"/>
            </w:pPr>
            <w:r w:rsidRPr="00C43EF8">
              <w:t>5</w:t>
            </w:r>
            <w:r>
              <w:t>6</w:t>
            </w:r>
          </w:p>
        </w:tc>
        <w:tc>
          <w:tcPr>
            <w:tcW w:w="1560" w:type="dxa"/>
          </w:tcPr>
          <w:p w14:paraId="014F7318" w14:textId="1665FE2D" w:rsidR="00612777" w:rsidRPr="00C43EF8" w:rsidRDefault="00612777" w:rsidP="00612777">
            <w:pPr>
              <w:pStyle w:val="TableBody"/>
            </w:pPr>
            <w:r w:rsidRPr="00C43EF8">
              <w:t>Frequency hopping transmitters</w:t>
            </w:r>
          </w:p>
        </w:tc>
        <w:tc>
          <w:tcPr>
            <w:tcW w:w="1134" w:type="dxa"/>
          </w:tcPr>
          <w:p w14:paraId="5FFF1777" w14:textId="38A2AB11" w:rsidR="00612777" w:rsidRPr="00C43EF8" w:rsidRDefault="00612777" w:rsidP="00612777">
            <w:pPr>
              <w:pStyle w:val="TableBody"/>
            </w:pPr>
            <w:r>
              <w:t>2400</w:t>
            </w:r>
            <w:r w:rsidRPr="00C43EF8">
              <w:t>–</w:t>
            </w:r>
            <w:r>
              <w:t>2483.5</w:t>
            </w:r>
          </w:p>
        </w:tc>
        <w:tc>
          <w:tcPr>
            <w:tcW w:w="1134" w:type="dxa"/>
          </w:tcPr>
          <w:p w14:paraId="58340F77" w14:textId="484884CB" w:rsidR="00612777" w:rsidRPr="00C43EF8" w:rsidRDefault="00612777" w:rsidP="00612777">
            <w:pPr>
              <w:pStyle w:val="TableBody"/>
            </w:pPr>
            <w:r>
              <w:t>4</w:t>
            </w:r>
            <w:r w:rsidRPr="00C43EF8">
              <w:t xml:space="preserve"> W</w:t>
            </w:r>
          </w:p>
        </w:tc>
        <w:tc>
          <w:tcPr>
            <w:tcW w:w="3827" w:type="dxa"/>
          </w:tcPr>
          <w:p w14:paraId="6042285D" w14:textId="288108C4" w:rsidR="00612777" w:rsidRPr="00E162C4" w:rsidRDefault="00612777" w:rsidP="00612777">
            <w:pPr>
              <w:pStyle w:val="TableBody"/>
            </w:pPr>
            <w:r>
              <w:t>A minimum of 75 hopping frequencies must be used.</w:t>
            </w:r>
          </w:p>
        </w:tc>
      </w:tr>
      <w:tr w:rsidR="00612777" w:rsidRPr="00E162C4" w14:paraId="141DA1C6" w14:textId="77777777" w:rsidTr="009430FF">
        <w:trPr>
          <w:cnfStyle w:val="000000010000" w:firstRow="0" w:lastRow="0" w:firstColumn="0" w:lastColumn="0" w:oddVBand="0" w:evenVBand="0" w:oddHBand="0" w:evenHBand="1" w:firstRowFirstColumn="0" w:firstRowLastColumn="0" w:lastRowFirstColumn="0" w:lastRowLastColumn="0"/>
        </w:trPr>
        <w:tc>
          <w:tcPr>
            <w:tcW w:w="562" w:type="dxa"/>
          </w:tcPr>
          <w:p w14:paraId="199FCB9A" w14:textId="3EAC43A4" w:rsidR="00612777" w:rsidRPr="00C43EF8" w:rsidRDefault="00612777" w:rsidP="00612777">
            <w:pPr>
              <w:pStyle w:val="TableBody"/>
            </w:pPr>
            <w:r w:rsidRPr="00C43EF8">
              <w:t>5</w:t>
            </w:r>
            <w:r>
              <w:t>9</w:t>
            </w:r>
          </w:p>
        </w:tc>
        <w:tc>
          <w:tcPr>
            <w:tcW w:w="1560" w:type="dxa"/>
          </w:tcPr>
          <w:p w14:paraId="22528DEB" w14:textId="4DC3BA83" w:rsidR="00612777" w:rsidRPr="00C43EF8" w:rsidRDefault="00612777" w:rsidP="00612777">
            <w:pPr>
              <w:pStyle w:val="TableBody"/>
            </w:pPr>
            <w:r>
              <w:t>Digital modulation</w:t>
            </w:r>
            <w:r w:rsidRPr="00C43EF8">
              <w:t xml:space="preserve"> transmitters</w:t>
            </w:r>
          </w:p>
        </w:tc>
        <w:tc>
          <w:tcPr>
            <w:tcW w:w="1134" w:type="dxa"/>
          </w:tcPr>
          <w:p w14:paraId="541B21F9" w14:textId="308906EB" w:rsidR="00612777" w:rsidRDefault="00612777" w:rsidP="00612777">
            <w:pPr>
              <w:pStyle w:val="TableBody"/>
            </w:pPr>
            <w:r>
              <w:t>2400</w:t>
            </w:r>
            <w:r w:rsidRPr="00C43EF8">
              <w:t>–</w:t>
            </w:r>
            <w:r>
              <w:t>2483.5</w:t>
            </w:r>
          </w:p>
        </w:tc>
        <w:tc>
          <w:tcPr>
            <w:tcW w:w="1134" w:type="dxa"/>
          </w:tcPr>
          <w:p w14:paraId="2FF330BD" w14:textId="13DB42A9" w:rsidR="00612777" w:rsidRDefault="00612777" w:rsidP="00612777">
            <w:pPr>
              <w:pStyle w:val="TableBody"/>
            </w:pPr>
            <w:r>
              <w:t>4</w:t>
            </w:r>
            <w:r w:rsidRPr="00C43EF8">
              <w:t xml:space="preserve"> W</w:t>
            </w:r>
          </w:p>
        </w:tc>
        <w:tc>
          <w:tcPr>
            <w:tcW w:w="3827" w:type="dxa"/>
          </w:tcPr>
          <w:p w14:paraId="1FA18FFD" w14:textId="1777BD12" w:rsidR="00612777" w:rsidRDefault="00612777" w:rsidP="00612777">
            <w:pPr>
              <w:pStyle w:val="TableBody"/>
            </w:pPr>
            <w:r w:rsidRPr="00612777">
              <w:t>The radiated peak power spectral density in any 3 kHz must not exceed 25 mW per 3 kHz.</w:t>
            </w:r>
          </w:p>
        </w:tc>
      </w:tr>
    </w:tbl>
    <w:p w14:paraId="317155D3" w14:textId="77777777" w:rsidR="00C43EF8" w:rsidRDefault="00C43EF8" w:rsidP="00727C6C">
      <w:pPr>
        <w:pStyle w:val="Paragraph"/>
      </w:pPr>
    </w:p>
    <w:p w14:paraId="68B34924" w14:textId="5ABDDAAA" w:rsidR="00FA7AF8" w:rsidRDefault="0048640D" w:rsidP="00727C6C">
      <w:pPr>
        <w:pStyle w:val="Paragraph"/>
      </w:pPr>
      <w:bookmarkStart w:id="21" w:name="_Hlk112076391"/>
      <w:r>
        <w:t xml:space="preserve">As identified in the </w:t>
      </w:r>
      <w:hyperlink r:id="rId27" w:history="1">
        <w:r w:rsidRPr="00EF5779">
          <w:rPr>
            <w:rStyle w:val="Hyperlink"/>
          </w:rPr>
          <w:t>Five-</w:t>
        </w:r>
        <w:r w:rsidR="00B70A31">
          <w:rPr>
            <w:rStyle w:val="Hyperlink"/>
          </w:rPr>
          <w:t>y</w:t>
        </w:r>
        <w:r w:rsidRPr="00EF5779">
          <w:rPr>
            <w:rStyle w:val="Hyperlink"/>
          </w:rPr>
          <w:t xml:space="preserve">ear </w:t>
        </w:r>
        <w:r w:rsidR="00B70A31">
          <w:rPr>
            <w:rStyle w:val="Hyperlink"/>
          </w:rPr>
          <w:t>s</w:t>
        </w:r>
        <w:r w:rsidRPr="00EF5779">
          <w:rPr>
            <w:rStyle w:val="Hyperlink"/>
          </w:rPr>
          <w:t xml:space="preserve">pectrum </w:t>
        </w:r>
        <w:r w:rsidR="00B70A31">
          <w:rPr>
            <w:rStyle w:val="Hyperlink"/>
          </w:rPr>
          <w:t>o</w:t>
        </w:r>
        <w:r w:rsidRPr="00EF5779">
          <w:rPr>
            <w:rStyle w:val="Hyperlink"/>
          </w:rPr>
          <w:t>utlook 2022</w:t>
        </w:r>
        <w:r w:rsidR="00B70A31">
          <w:rPr>
            <w:rStyle w:val="Hyperlink"/>
          </w:rPr>
          <w:t>–</w:t>
        </w:r>
        <w:r w:rsidRPr="00EF5779">
          <w:rPr>
            <w:rStyle w:val="Hyperlink"/>
          </w:rPr>
          <w:t>27</w:t>
        </w:r>
      </w:hyperlink>
      <w:r w:rsidR="00EF5779">
        <w:t xml:space="preserve">, </w:t>
      </w:r>
      <w:r w:rsidR="009A549E">
        <w:t xml:space="preserve">there is industry interest in </w:t>
      </w:r>
      <w:r w:rsidR="00B75AA5">
        <w:t>use of the 915</w:t>
      </w:r>
      <w:r w:rsidR="00B70A31">
        <w:t>–</w:t>
      </w:r>
      <w:r w:rsidR="00B75AA5">
        <w:t>928 MHz band for satellite internet of things (IoT) applications</w:t>
      </w:r>
      <w:r w:rsidR="00EF5779">
        <w:t xml:space="preserve"> where b</w:t>
      </w:r>
      <w:r w:rsidR="00B75AA5">
        <w:t xml:space="preserve">oth the </w:t>
      </w:r>
      <w:r w:rsidR="00EF5779">
        <w:t>earth</w:t>
      </w:r>
      <w:r w:rsidR="00B75AA5">
        <w:t>-to-</w:t>
      </w:r>
      <w:r w:rsidR="00EF5779">
        <w:t xml:space="preserve">space </w:t>
      </w:r>
      <w:r w:rsidR="00B75AA5">
        <w:t xml:space="preserve">and </w:t>
      </w:r>
      <w:r w:rsidR="00EF5779">
        <w:t>space</w:t>
      </w:r>
      <w:r w:rsidR="00B75AA5">
        <w:t>-to-</w:t>
      </w:r>
      <w:r w:rsidR="00EF5779">
        <w:t xml:space="preserve">earth communications </w:t>
      </w:r>
      <w:r w:rsidR="00B75AA5">
        <w:t xml:space="preserve">links are </w:t>
      </w:r>
      <w:r w:rsidR="00B75AA5">
        <w:lastRenderedPageBreak/>
        <w:t>contained within the 915</w:t>
      </w:r>
      <w:r w:rsidR="00B70A31">
        <w:t>–</w:t>
      </w:r>
      <w:r w:rsidR="00B75AA5">
        <w:t xml:space="preserve">928 MHz band. </w:t>
      </w:r>
      <w:r w:rsidR="00B70A31">
        <w:t>W</w:t>
      </w:r>
      <w:r w:rsidR="00FA7AF8">
        <w:t>e have also been approached regarding similar use of the 2400</w:t>
      </w:r>
      <w:r w:rsidR="00B70A31">
        <w:t>–</w:t>
      </w:r>
      <w:r w:rsidR="00FA7AF8">
        <w:t xml:space="preserve">2483.5 MHz band. </w:t>
      </w:r>
    </w:p>
    <w:p w14:paraId="03A739A7" w14:textId="407AA2BF" w:rsidR="00EF5779" w:rsidRDefault="00EF5779" w:rsidP="00727C6C">
      <w:pPr>
        <w:pStyle w:val="Paragraph"/>
      </w:pPr>
      <w:r>
        <w:t xml:space="preserve">Under </w:t>
      </w:r>
      <w:r w:rsidR="00EE5951">
        <w:t xml:space="preserve">regulatory </w:t>
      </w:r>
      <w:r>
        <w:t>arrangements for space-based communications systems</w:t>
      </w:r>
      <w:r w:rsidR="00EE5951">
        <w:t xml:space="preserve"> (see </w:t>
      </w:r>
      <w:hyperlink w:anchor="_Appendix_A:_Licensing" w:history="1">
        <w:r w:rsidR="00EE5951" w:rsidRPr="00B70A31">
          <w:rPr>
            <w:rStyle w:val="Hyperlink"/>
          </w:rPr>
          <w:t xml:space="preserve">Appendix </w:t>
        </w:r>
        <w:r w:rsidR="0046384A" w:rsidRPr="00B70A31">
          <w:rPr>
            <w:rStyle w:val="Hyperlink"/>
          </w:rPr>
          <w:t>A</w:t>
        </w:r>
      </w:hyperlink>
      <w:r w:rsidR="00EE5951">
        <w:t>)</w:t>
      </w:r>
      <w:r>
        <w:t>, both earth</w:t>
      </w:r>
      <w:r w:rsidR="005D78C0">
        <w:t xml:space="preserve">-based transmitters (earth </w:t>
      </w:r>
      <w:r>
        <w:t>station</w:t>
      </w:r>
      <w:r w:rsidR="005D78C0">
        <w:t>s)</w:t>
      </w:r>
      <w:r>
        <w:t xml:space="preserve"> and earth</w:t>
      </w:r>
      <w:r w:rsidR="005D78C0">
        <w:t xml:space="preserve">-based </w:t>
      </w:r>
      <w:r>
        <w:t>receivers</w:t>
      </w:r>
      <w:r w:rsidR="005D78C0">
        <w:t xml:space="preserve"> (earth receive stations)</w:t>
      </w:r>
      <w:r>
        <w:t xml:space="preserve"> are required to be licensed</w:t>
      </w:r>
      <w:r w:rsidR="00EE5951">
        <w:t xml:space="preserve"> either by a spectrum, apparatus or class licence</w:t>
      </w:r>
      <w:r>
        <w:t xml:space="preserve">. </w:t>
      </w:r>
    </w:p>
    <w:bookmarkEnd w:id="21"/>
    <w:p w14:paraId="4EDBE20F" w14:textId="12F1DEBE" w:rsidR="00FA7AF8" w:rsidRDefault="00FA7AF8" w:rsidP="00EF5779">
      <w:pPr>
        <w:pStyle w:val="Paragraph"/>
      </w:pPr>
      <w:r>
        <w:t>In the case of the 915</w:t>
      </w:r>
      <w:r w:rsidR="00B70A31">
        <w:t>–</w:t>
      </w:r>
      <w:r>
        <w:t xml:space="preserve">928 MHz band, </w:t>
      </w:r>
      <w:r w:rsidR="00B75AA5">
        <w:t xml:space="preserve">the </w:t>
      </w:r>
      <w:r w:rsidR="00931BF7">
        <w:t xml:space="preserve">proposed </w:t>
      </w:r>
      <w:r w:rsidR="00B75AA5">
        <w:t xml:space="preserve">transmitters in the </w:t>
      </w:r>
      <w:r w:rsidR="00EF5779">
        <w:t>earth</w:t>
      </w:r>
      <w:r w:rsidR="00B75AA5">
        <w:t>-to-satellite link operate</w:t>
      </w:r>
      <w:r w:rsidR="00716703">
        <w:t xml:space="preserve"> </w:t>
      </w:r>
      <w:r w:rsidR="005D78C0">
        <w:t>in accordance with</w:t>
      </w:r>
      <w:r w:rsidR="00B75AA5">
        <w:t xml:space="preserve"> item 54 of </w:t>
      </w:r>
      <w:r w:rsidR="00CB0E75">
        <w:t xml:space="preserve">Schedule 1 </w:t>
      </w:r>
      <w:r w:rsidR="005D78C0">
        <w:t>to</w:t>
      </w:r>
      <w:r w:rsidR="00CB0E75">
        <w:t xml:space="preserve"> </w:t>
      </w:r>
      <w:r w:rsidR="00B75AA5">
        <w:t xml:space="preserve">the LIPD </w:t>
      </w:r>
      <w:r w:rsidR="00B70A31">
        <w:t>c</w:t>
      </w:r>
      <w:r w:rsidR="00B75AA5">
        <w:t xml:space="preserve">lass </w:t>
      </w:r>
      <w:r w:rsidR="00B70A31">
        <w:t>l</w:t>
      </w:r>
      <w:r w:rsidR="00B75AA5">
        <w:t>icence (reproduced in Table 1)</w:t>
      </w:r>
      <w:r>
        <w:t>. For the 2400</w:t>
      </w:r>
      <w:r w:rsidR="00B70A31">
        <w:t>–</w:t>
      </w:r>
      <w:r>
        <w:t xml:space="preserve">2483.5 MHz band, the transmitters </w:t>
      </w:r>
      <w:r w:rsidR="00904794" w:rsidRPr="00904794">
        <w:t xml:space="preserve">in the earth-to-satellite link </w:t>
      </w:r>
      <w:r>
        <w:t xml:space="preserve">operate </w:t>
      </w:r>
      <w:r w:rsidR="00F56076">
        <w:t xml:space="preserve">in accordance with </w:t>
      </w:r>
      <w:r w:rsidR="003D542B">
        <w:t xml:space="preserve">relevant </w:t>
      </w:r>
      <w:r w:rsidR="00904794" w:rsidRPr="00904794">
        <w:t>items</w:t>
      </w:r>
      <w:r>
        <w:t xml:space="preserve"> </w:t>
      </w:r>
      <w:r w:rsidR="00F56076">
        <w:t>of</w:t>
      </w:r>
      <w:r>
        <w:t xml:space="preserve"> </w:t>
      </w:r>
      <w:r w:rsidRPr="00FA7AF8">
        <w:t xml:space="preserve">Schedule 1 of the LIPD </w:t>
      </w:r>
      <w:r w:rsidR="00B70A31">
        <w:t>c</w:t>
      </w:r>
      <w:r w:rsidRPr="00FA7AF8">
        <w:t xml:space="preserve">lass </w:t>
      </w:r>
      <w:r w:rsidR="00B70A31">
        <w:t>l</w:t>
      </w:r>
      <w:r w:rsidRPr="00FA7AF8">
        <w:t xml:space="preserve">icence (reproduced in Table </w:t>
      </w:r>
      <w:r>
        <w:t>2</w:t>
      </w:r>
      <w:r w:rsidRPr="00FA7AF8">
        <w:t>).</w:t>
      </w:r>
      <w:r>
        <w:t xml:space="preserve"> However, in both cases, the</w:t>
      </w:r>
      <w:r w:rsidR="00F56076">
        <w:t xml:space="preserve"> earth receive stations are </w:t>
      </w:r>
      <w:r>
        <w:t xml:space="preserve">currently not authorised </w:t>
      </w:r>
      <w:r w:rsidR="00F56076">
        <w:t>by</w:t>
      </w:r>
      <w:r>
        <w:t xml:space="preserve"> </w:t>
      </w:r>
      <w:r w:rsidR="00CD7BA7">
        <w:t xml:space="preserve">the LIPD </w:t>
      </w:r>
      <w:r w:rsidR="00B70A31">
        <w:t>c</w:t>
      </w:r>
      <w:r>
        <w:t xml:space="preserve">lass </w:t>
      </w:r>
      <w:r w:rsidR="00B70A31">
        <w:t>l</w:t>
      </w:r>
      <w:r>
        <w:t>icence</w:t>
      </w:r>
      <w:r w:rsidR="00B70A31">
        <w:t>.</w:t>
      </w:r>
      <w:r>
        <w:rPr>
          <w:rStyle w:val="FootnoteReference"/>
        </w:rPr>
        <w:footnoteReference w:id="5"/>
      </w:r>
      <w:r w:rsidR="00F56076">
        <w:t xml:space="preserve"> </w:t>
      </w:r>
      <w:r w:rsidR="00082BC3">
        <w:t xml:space="preserve">As discussed in Appendix A, in certain frequency bands earth receive stations can be authorised through a combination of a space apparatus licence and the </w:t>
      </w:r>
      <w:hyperlink r:id="rId28" w:history="1">
        <w:r w:rsidR="00082BC3" w:rsidRPr="006A3934">
          <w:rPr>
            <w:rStyle w:val="Hyperlink"/>
          </w:rPr>
          <w:t>Radiocommunications (Communication with Space Object) Class Licence 2015</w:t>
        </w:r>
      </w:hyperlink>
      <w:r w:rsidR="00082BC3">
        <w:t xml:space="preserve"> (the CSO </w:t>
      </w:r>
      <w:r w:rsidR="00B70A31">
        <w:t>cl</w:t>
      </w:r>
      <w:r w:rsidR="00082BC3">
        <w:t xml:space="preserve">ass </w:t>
      </w:r>
      <w:r w:rsidR="00B70A31">
        <w:t>l</w:t>
      </w:r>
      <w:r w:rsidR="00082BC3">
        <w:t xml:space="preserve">icence). However, in this case, </w:t>
      </w:r>
      <w:r w:rsidR="00F56076">
        <w:t xml:space="preserve">the space stations that could communicate with these earth receive stations are authorised by the LIPD </w:t>
      </w:r>
      <w:r w:rsidR="00B70A31">
        <w:t>c</w:t>
      </w:r>
      <w:r w:rsidR="00F56076">
        <w:t xml:space="preserve">lass </w:t>
      </w:r>
      <w:r w:rsidR="00B70A31">
        <w:t>l</w:t>
      </w:r>
      <w:r w:rsidR="00F56076">
        <w:t>icence</w:t>
      </w:r>
      <w:r w:rsidR="00082BC3">
        <w:t xml:space="preserve"> and the relevant frequency bands are not included in the CSO class licence. Therefore, </w:t>
      </w:r>
      <w:r w:rsidR="00F56076">
        <w:t xml:space="preserve">the earth receive stations are not </w:t>
      </w:r>
      <w:r w:rsidR="00082BC3">
        <w:t xml:space="preserve">currently </w:t>
      </w:r>
      <w:r w:rsidR="00F56076">
        <w:t>authorised</w:t>
      </w:r>
      <w:r w:rsidR="00082BC3">
        <w:t>.</w:t>
      </w:r>
    </w:p>
    <w:p w14:paraId="4166CC43" w14:textId="77777777" w:rsidR="00EF5779" w:rsidRDefault="00EF5779" w:rsidP="00EF5779">
      <w:pPr>
        <w:pStyle w:val="Heading3"/>
      </w:pPr>
      <w:r>
        <w:t>Proposal</w:t>
      </w:r>
    </w:p>
    <w:p w14:paraId="652026F5" w14:textId="641846AE" w:rsidR="009A549E" w:rsidRDefault="00EF5779" w:rsidP="00EF5779">
      <w:pPr>
        <w:pStyle w:val="Paragraph"/>
      </w:pPr>
      <w:r>
        <w:t>Given the interference environment in the 915</w:t>
      </w:r>
      <w:r w:rsidR="00833DCE">
        <w:t>–</w:t>
      </w:r>
      <w:r>
        <w:t xml:space="preserve">928 MHz </w:t>
      </w:r>
      <w:r w:rsidR="0076066F">
        <w:t>and 2400</w:t>
      </w:r>
      <w:r w:rsidR="00833DCE">
        <w:t>–</w:t>
      </w:r>
      <w:r w:rsidR="0076066F">
        <w:t>2483.5 MHz</w:t>
      </w:r>
      <w:r>
        <w:t xml:space="preserve"> band</w:t>
      </w:r>
      <w:r w:rsidR="0076066F">
        <w:t>s</w:t>
      </w:r>
      <w:r>
        <w:t xml:space="preserve">, we are looking to support earth </w:t>
      </w:r>
      <w:r w:rsidR="00F56076">
        <w:t xml:space="preserve">receive </w:t>
      </w:r>
      <w:r>
        <w:t>station</w:t>
      </w:r>
      <w:r w:rsidR="00F56076">
        <w:t>s</w:t>
      </w:r>
      <w:r>
        <w:t xml:space="preserve"> in the</w:t>
      </w:r>
      <w:r w:rsidR="0076066F">
        <w:t xml:space="preserve">se </w:t>
      </w:r>
      <w:r>
        <w:t>frequency range</w:t>
      </w:r>
      <w:r w:rsidR="0076066F">
        <w:t>s</w:t>
      </w:r>
      <w:r>
        <w:t xml:space="preserve"> under the LIPD </w:t>
      </w:r>
      <w:r w:rsidR="00833DCE">
        <w:t>c</w:t>
      </w:r>
      <w:r>
        <w:t xml:space="preserve">lass </w:t>
      </w:r>
      <w:r w:rsidR="00833DCE">
        <w:t>l</w:t>
      </w:r>
      <w:r>
        <w:t>icence</w:t>
      </w:r>
      <w:r w:rsidR="009A549E">
        <w:t>,</w:t>
      </w:r>
      <w:r>
        <w:t xml:space="preserve"> provided the associated space station transmitter operates in accordance with the requirements </w:t>
      </w:r>
      <w:r w:rsidR="00F56076">
        <w:t xml:space="preserve">of the LIPD </w:t>
      </w:r>
      <w:r w:rsidR="00EF3D80">
        <w:t>c</w:t>
      </w:r>
      <w:r w:rsidR="00833DCE">
        <w:t>lass licence</w:t>
      </w:r>
      <w:r w:rsidR="00F56076">
        <w:t xml:space="preserve"> </w:t>
      </w:r>
      <w:r>
        <w:t xml:space="preserve">for transmitters </w:t>
      </w:r>
      <w:r w:rsidR="0046384A">
        <w:t>(</w:t>
      </w:r>
      <w:r w:rsidR="00BB541B">
        <w:t xml:space="preserve">for example, </w:t>
      </w:r>
      <w:r w:rsidR="0046384A">
        <w:t xml:space="preserve">meets the power limits) </w:t>
      </w:r>
      <w:r>
        <w:t xml:space="preserve">in the </w:t>
      </w:r>
      <w:r w:rsidR="0076066F">
        <w:t>relevant band</w:t>
      </w:r>
      <w:r w:rsidR="00904794">
        <w:t xml:space="preserve"> (reproduced in Tables</w:t>
      </w:r>
      <w:r w:rsidR="00F56076">
        <w:t> </w:t>
      </w:r>
      <w:r w:rsidR="00904794">
        <w:t>1</w:t>
      </w:r>
      <w:r w:rsidR="00F56076">
        <w:t> </w:t>
      </w:r>
      <w:r w:rsidR="00904794">
        <w:t>and</w:t>
      </w:r>
      <w:r w:rsidR="00F56076">
        <w:t> </w:t>
      </w:r>
      <w:r w:rsidR="00904794">
        <w:t>2)</w:t>
      </w:r>
      <w:r>
        <w:t xml:space="preserve">. </w:t>
      </w:r>
    </w:p>
    <w:p w14:paraId="3753EE96" w14:textId="0B45D197" w:rsidR="00EF5779" w:rsidRDefault="00EF5779" w:rsidP="00EF5779">
      <w:pPr>
        <w:pStyle w:val="Paragraph"/>
      </w:pPr>
      <w:r>
        <w:t>To do this</w:t>
      </w:r>
      <w:r w:rsidR="00BB541B">
        <w:t>,</w:t>
      </w:r>
      <w:r>
        <w:t xml:space="preserve"> we are proposing to create a new schedule </w:t>
      </w:r>
      <w:r w:rsidR="00F56076">
        <w:t>to</w:t>
      </w:r>
      <w:r>
        <w:t xml:space="preserve"> the LIPD </w:t>
      </w:r>
      <w:r w:rsidR="00EF3D80">
        <w:t>c</w:t>
      </w:r>
      <w:r w:rsidR="00833DCE">
        <w:t>lass licence</w:t>
      </w:r>
      <w:r>
        <w:t xml:space="preserve"> that authorises the operation of earth receiver</w:t>
      </w:r>
      <w:r w:rsidR="00F56076">
        <w:t xml:space="preserve"> station</w:t>
      </w:r>
      <w:r>
        <w:t>s in specified bands without the need for a</w:t>
      </w:r>
      <w:r w:rsidR="00F56076">
        <w:t>n</w:t>
      </w:r>
      <w:r>
        <w:t xml:space="preserve"> apparatus licence</w:t>
      </w:r>
      <w:r w:rsidR="00F56076">
        <w:t>,</w:t>
      </w:r>
      <w:r w:rsidR="0046384A">
        <w:t xml:space="preserve"> provided the transmitter is </w:t>
      </w:r>
      <w:r w:rsidR="00082BC3">
        <w:t>operated consistently</w:t>
      </w:r>
      <w:r w:rsidR="0046384A">
        <w:t xml:space="preserve"> with the corresponding transmitter entry for the band</w:t>
      </w:r>
      <w:r w:rsidR="004B08D1">
        <w:t xml:space="preserve"> in Schedule 1 of the LIPD </w:t>
      </w:r>
      <w:r w:rsidR="00EF3D80">
        <w:t>c</w:t>
      </w:r>
      <w:r w:rsidR="00833DCE">
        <w:t>lass licence</w:t>
      </w:r>
      <w:r>
        <w:t xml:space="preserve">. The draft </w:t>
      </w:r>
      <w:r w:rsidR="00BB541B">
        <w:t>v</w:t>
      </w:r>
      <w:r>
        <w:t xml:space="preserve">ariation shows proposed changes to </w:t>
      </w:r>
      <w:r w:rsidR="00082BC3">
        <w:t>s</w:t>
      </w:r>
      <w:r>
        <w:t xml:space="preserve">ection 4 and a new Schedule 1A to </w:t>
      </w:r>
      <w:r w:rsidR="00F56076">
        <w:t>authorise these receivers</w:t>
      </w:r>
      <w:r>
        <w:t>.</w:t>
      </w:r>
    </w:p>
    <w:p w14:paraId="29F4CD2E" w14:textId="23EDE229" w:rsidR="00EF5779" w:rsidRDefault="00BB541B" w:rsidP="00EF5779">
      <w:pPr>
        <w:pStyle w:val="Paragraph"/>
      </w:pPr>
      <w:r>
        <w:t xml:space="preserve">We </w:t>
      </w:r>
      <w:r w:rsidR="00EF5779">
        <w:t>consider this approach provide</w:t>
      </w:r>
      <w:r w:rsidR="00C73351">
        <w:t>s</w:t>
      </w:r>
      <w:r w:rsidR="00EF5779">
        <w:t xml:space="preserve"> a regulatory framework commensurate with the interference risk</w:t>
      </w:r>
      <w:r w:rsidR="00C73351">
        <w:t>. T</w:t>
      </w:r>
      <w:r w:rsidR="00EF5779">
        <w:t xml:space="preserve">he risk of interference </w:t>
      </w:r>
      <w:r w:rsidR="006B5A75">
        <w:t xml:space="preserve">to a </w:t>
      </w:r>
      <w:r w:rsidR="00F66030">
        <w:t>ground-based</w:t>
      </w:r>
      <w:r w:rsidR="006B5A75">
        <w:t xml:space="preserve"> station</w:t>
      </w:r>
      <w:r w:rsidR="00EF5779">
        <w:t xml:space="preserve"> from a transmitter on a satellite is less than</w:t>
      </w:r>
      <w:r w:rsidR="00C73351">
        <w:t xml:space="preserve">, for example, </w:t>
      </w:r>
      <w:r w:rsidR="00EF5779">
        <w:t xml:space="preserve">a transmitter operating with the same power levels </w:t>
      </w:r>
      <w:r w:rsidR="00B22966">
        <w:t xml:space="preserve">on </w:t>
      </w:r>
      <w:r w:rsidR="00EF5779">
        <w:t xml:space="preserve">an airborne platform. </w:t>
      </w:r>
      <w:r>
        <w:t>C</w:t>
      </w:r>
      <w:r w:rsidR="00EF5779">
        <w:t>onsider a drone or helicopter at 500</w:t>
      </w:r>
      <w:r w:rsidR="00C73351">
        <w:t> </w:t>
      </w:r>
      <w:r w:rsidR="00EF5779">
        <w:t xml:space="preserve">m </w:t>
      </w:r>
      <w:r w:rsidR="00C73351">
        <w:t xml:space="preserve">elevation </w:t>
      </w:r>
      <w:r w:rsidR="00EF5779">
        <w:t>compare</w:t>
      </w:r>
      <w:r w:rsidR="00C73351">
        <w:t>d</w:t>
      </w:r>
      <w:r w:rsidR="00EF5779">
        <w:t xml:space="preserve"> to a satellite at 500</w:t>
      </w:r>
      <w:r w:rsidR="00C73351">
        <w:t xml:space="preserve"> k</w:t>
      </w:r>
      <w:r>
        <w:t>m</w:t>
      </w:r>
      <w:r w:rsidR="00EF5779">
        <w:t xml:space="preserve">. The path loss between the satellite and a receiver on the ground </w:t>
      </w:r>
      <w:r w:rsidR="00C73351">
        <w:t xml:space="preserve">in this case </w:t>
      </w:r>
      <w:r w:rsidR="00EF5779">
        <w:t>is 60 dB more than from the airborne transmitter.</w:t>
      </w:r>
    </w:p>
    <w:p w14:paraId="7FA97316" w14:textId="780A0E3E" w:rsidR="003D542B" w:rsidRDefault="00082BC3" w:rsidP="003D542B">
      <w:pPr>
        <w:pStyle w:val="Paragraph"/>
      </w:pPr>
      <w:r>
        <w:t>Satellite</w:t>
      </w:r>
      <w:r w:rsidRPr="00082BC3">
        <w:t xml:space="preserve"> services are generally not authorised in these bands</w:t>
      </w:r>
      <w:r>
        <w:t xml:space="preserve">, with the exception of </w:t>
      </w:r>
      <w:r w:rsidRPr="00082BC3">
        <w:t>the secondary allocation to the amateur satellite service in the 2400</w:t>
      </w:r>
      <w:r w:rsidR="0047262E">
        <w:t>–</w:t>
      </w:r>
      <w:r w:rsidRPr="00082BC3">
        <w:t>2450</w:t>
      </w:r>
      <w:r>
        <w:t> </w:t>
      </w:r>
      <w:r w:rsidRPr="00082BC3">
        <w:t xml:space="preserve">MHz band. While there are provisions </w:t>
      </w:r>
      <w:r>
        <w:t xml:space="preserve">in the ITU Radio Regulations </w:t>
      </w:r>
      <w:r w:rsidRPr="00082BC3">
        <w:t>that support operations on exceptional basis (</w:t>
      </w:r>
      <w:r>
        <w:t xml:space="preserve">as </w:t>
      </w:r>
      <w:r w:rsidRPr="00082BC3">
        <w:t xml:space="preserve">outlined in ITU Radio Regulations Article 4.4, which requires the immediate elimination of harmful interference when reported), these arrangements are not </w:t>
      </w:r>
      <w:r w:rsidR="00A34933">
        <w:t xml:space="preserve">typically </w:t>
      </w:r>
      <w:r w:rsidRPr="00082BC3">
        <w:t>used to support commercial services</w:t>
      </w:r>
      <w:r w:rsidR="003D542B" w:rsidRPr="00B512CB">
        <w:t xml:space="preserve">. </w:t>
      </w:r>
      <w:r w:rsidR="003D542B">
        <w:t xml:space="preserve">Therefore, facilitation of satellite services in these bands </w:t>
      </w:r>
      <w:r w:rsidR="003D542B" w:rsidRPr="00B512CB">
        <w:t>would be a</w:t>
      </w:r>
      <w:r w:rsidR="003D542B">
        <w:t>n arrangement unique to Australia.</w:t>
      </w:r>
    </w:p>
    <w:p w14:paraId="66E8633D" w14:textId="34D14813" w:rsidR="00AA32F3" w:rsidRDefault="003D542B" w:rsidP="00470EDE">
      <w:pPr>
        <w:pStyle w:val="Paragraph"/>
      </w:pPr>
      <w:r>
        <w:t xml:space="preserve">The ITU Radio Regulations require satellites to have an ITU satellite filing. Further, </w:t>
      </w:r>
      <w:r w:rsidRPr="00CA3C38">
        <w:t xml:space="preserve">there </w:t>
      </w:r>
      <w:r w:rsidR="00082BC3">
        <w:t>are</w:t>
      </w:r>
      <w:r w:rsidRPr="00CA3C38">
        <w:t xml:space="preserve"> ITU satellite coordination requirements that the satellite operator (and the filing administration) must adhere to (especially noting operations are under Radio </w:t>
      </w:r>
      <w:r w:rsidRPr="00CA3C38">
        <w:lastRenderedPageBreak/>
        <w:t xml:space="preserve">Regulations </w:t>
      </w:r>
      <w:r>
        <w:t>Article</w:t>
      </w:r>
      <w:r w:rsidRPr="00CA3C38">
        <w:t xml:space="preserve"> </w:t>
      </w:r>
      <w:r w:rsidRPr="006A3934">
        <w:t>4.4</w:t>
      </w:r>
      <w:r w:rsidRPr="00CA3C38">
        <w:t>)</w:t>
      </w:r>
      <w:r>
        <w:t>.</w:t>
      </w:r>
      <w:r w:rsidRPr="00CA3C38">
        <w:t xml:space="preserve"> </w:t>
      </w:r>
      <w:r>
        <w:t>Any arrangements would also need to be developed in a way that makes it clear that the risk and responsibility for interference to services in other countries is the responsibility of the satellite operator and the filing administration, and not Australia or the ACMA as the licensing administration</w:t>
      </w:r>
      <w:r w:rsidR="003E7639">
        <w:t>.</w:t>
      </w:r>
      <w:r w:rsidRPr="00C52875">
        <w:rPr>
          <w:vertAlign w:val="superscript"/>
        </w:rPr>
        <w:footnoteReference w:id="6"/>
      </w:r>
      <w:r w:rsidR="00470EDE">
        <w:t xml:space="preserve"> </w:t>
      </w:r>
      <w:r w:rsidR="00CA3C38">
        <w:t>F</w:t>
      </w:r>
      <w:r w:rsidR="00CA3C38" w:rsidRPr="00CA3C38">
        <w:t xml:space="preserve">or systems to be supported under the proposed </w:t>
      </w:r>
      <w:r w:rsidR="00F56076">
        <w:t>variations,</w:t>
      </w:r>
      <w:r w:rsidR="00F56076" w:rsidRPr="00CA3C38">
        <w:t xml:space="preserve"> </w:t>
      </w:r>
      <w:r w:rsidR="00CA3C38" w:rsidRPr="00CA3C38">
        <w:t xml:space="preserve">there seems little need for the more vigorous extensive regulatory framework that is generally </w:t>
      </w:r>
      <w:r w:rsidR="00A34933">
        <w:t xml:space="preserve">applied </w:t>
      </w:r>
      <w:r w:rsidR="00CA3C38" w:rsidRPr="00CA3C38">
        <w:t xml:space="preserve">to space-based communications systems (outlined in Appendix A). </w:t>
      </w:r>
    </w:p>
    <w:p w14:paraId="2610BFAF" w14:textId="6352F4A1" w:rsidR="00EE5951" w:rsidRDefault="00F56076" w:rsidP="000F31F4">
      <w:pPr>
        <w:pStyle w:val="Paragraph"/>
      </w:pPr>
      <w:r>
        <w:t>F</w:t>
      </w:r>
      <w:r w:rsidR="00E131A2">
        <w:t xml:space="preserve">or some proposed applications, the power limitations specified in the LIPD </w:t>
      </w:r>
      <w:r w:rsidR="00EF3D80">
        <w:t>c</w:t>
      </w:r>
      <w:r w:rsidR="00833DCE">
        <w:t>lass licence</w:t>
      </w:r>
      <w:r w:rsidR="00E131A2">
        <w:t xml:space="preserve"> </w:t>
      </w:r>
      <w:r>
        <w:t xml:space="preserve">may </w:t>
      </w:r>
      <w:r w:rsidR="00E131A2">
        <w:t>not</w:t>
      </w:r>
      <w:r>
        <w:t xml:space="preserve"> be</w:t>
      </w:r>
      <w:r w:rsidR="00E131A2">
        <w:t xml:space="preserve"> sufficient</w:t>
      </w:r>
      <w:r w:rsidR="00B2244B">
        <w:t xml:space="preserve"> and further consideration of an appropriate regulatory approach </w:t>
      </w:r>
      <w:r w:rsidR="00A34933">
        <w:t>may be</w:t>
      </w:r>
      <w:r w:rsidR="00B2244B">
        <w:t xml:space="preserve"> required</w:t>
      </w:r>
      <w:r w:rsidR="00D64F59">
        <w:t xml:space="preserve">. </w:t>
      </w:r>
      <w:r w:rsidR="000F31F4" w:rsidRPr="00320312">
        <w:t xml:space="preserve">This is </w:t>
      </w:r>
      <w:r w:rsidR="00320312" w:rsidRPr="00320312">
        <w:t>discussed</w:t>
      </w:r>
      <w:r w:rsidR="000F31F4" w:rsidRPr="00320312">
        <w:t xml:space="preserve"> further in </w:t>
      </w:r>
      <w:r w:rsidR="00E10B82">
        <w:t xml:space="preserve">the next section and in </w:t>
      </w:r>
      <w:r w:rsidR="000F31F4" w:rsidRPr="00320312">
        <w:t>Appendix A</w:t>
      </w:r>
      <w:r w:rsidR="00E131A2" w:rsidRPr="000F31F4" w:rsidDel="000F31F4">
        <w:t>.</w:t>
      </w:r>
    </w:p>
    <w:p w14:paraId="127BEF35" w14:textId="7FFF757B" w:rsidR="00727C6C" w:rsidRPr="00513038" w:rsidRDefault="005D77AB" w:rsidP="00727C6C">
      <w:pPr>
        <w:pStyle w:val="Heading2"/>
      </w:pPr>
      <w:bookmarkStart w:id="22" w:name="_Toc50729989"/>
      <w:bookmarkStart w:id="23" w:name="_Toc117072408"/>
      <w:r>
        <w:t xml:space="preserve">Frequency hopping </w:t>
      </w:r>
      <w:r w:rsidR="00F56076">
        <w:t xml:space="preserve">radiocommunications transmitters </w:t>
      </w:r>
      <w:r>
        <w:t xml:space="preserve">in the </w:t>
      </w:r>
      <w:r w:rsidR="00E217E7" w:rsidRPr="00E217E7">
        <w:t xml:space="preserve">5925–6425 MHz </w:t>
      </w:r>
      <w:r>
        <w:t>band</w:t>
      </w:r>
      <w:bookmarkEnd w:id="22"/>
      <w:bookmarkEnd w:id="23"/>
    </w:p>
    <w:p w14:paraId="63579F5C" w14:textId="78B98FC5" w:rsidR="005D77AB" w:rsidRDefault="00F15F18" w:rsidP="005D77AB">
      <w:pPr>
        <w:pStyle w:val="Paragraph"/>
        <w:rPr>
          <w:szCs w:val="20"/>
        </w:rPr>
      </w:pPr>
      <w:r>
        <w:rPr>
          <w:szCs w:val="20"/>
        </w:rPr>
        <w:t>A</w:t>
      </w:r>
      <w:r w:rsidR="005D77AB" w:rsidRPr="005D77AB">
        <w:rPr>
          <w:szCs w:val="20"/>
        </w:rPr>
        <w:t xml:space="preserve"> submission from Apple to the consultation paper </w:t>
      </w:r>
      <w:hyperlink r:id="rId29" w:history="1">
        <w:r w:rsidR="005D77AB" w:rsidRPr="005D77AB">
          <w:rPr>
            <w:rStyle w:val="Hyperlink"/>
            <w:szCs w:val="20"/>
          </w:rPr>
          <w:t xml:space="preserve">Proposed updates to the LIPD </w:t>
        </w:r>
        <w:r w:rsidR="00EF3D80">
          <w:rPr>
            <w:rStyle w:val="Hyperlink"/>
            <w:szCs w:val="20"/>
          </w:rPr>
          <w:t>c</w:t>
        </w:r>
        <w:r w:rsidR="00833DCE">
          <w:rPr>
            <w:rStyle w:val="Hyperlink"/>
            <w:szCs w:val="20"/>
          </w:rPr>
          <w:t>lass licence</w:t>
        </w:r>
        <w:r w:rsidR="005D77AB" w:rsidRPr="005D77AB">
          <w:rPr>
            <w:rStyle w:val="Hyperlink"/>
            <w:szCs w:val="20"/>
          </w:rPr>
          <w:t xml:space="preserve"> for 6 GHz RLANs</w:t>
        </w:r>
      </w:hyperlink>
      <w:r w:rsidR="005D77AB" w:rsidRPr="005D77AB">
        <w:rPr>
          <w:szCs w:val="20"/>
        </w:rPr>
        <w:t xml:space="preserve"> requested the inclusion of a separate entry in the LIPD </w:t>
      </w:r>
      <w:r w:rsidR="00EF3D80">
        <w:rPr>
          <w:szCs w:val="20"/>
        </w:rPr>
        <w:t>c</w:t>
      </w:r>
      <w:r w:rsidR="00833DCE">
        <w:rPr>
          <w:szCs w:val="20"/>
        </w:rPr>
        <w:t>lass licence</w:t>
      </w:r>
      <w:r w:rsidR="005D77AB" w:rsidRPr="005D77AB">
        <w:rPr>
          <w:szCs w:val="20"/>
        </w:rPr>
        <w:t xml:space="preserve"> </w:t>
      </w:r>
      <w:r w:rsidR="00F56076">
        <w:rPr>
          <w:szCs w:val="20"/>
        </w:rPr>
        <w:t>authorising</w:t>
      </w:r>
      <w:r w:rsidR="00F56076" w:rsidRPr="005D77AB">
        <w:rPr>
          <w:szCs w:val="20"/>
        </w:rPr>
        <w:t xml:space="preserve"> </w:t>
      </w:r>
      <w:r w:rsidR="005D77AB" w:rsidRPr="005D77AB">
        <w:rPr>
          <w:szCs w:val="20"/>
        </w:rPr>
        <w:t xml:space="preserve">frequency-hopping spread spectrum </w:t>
      </w:r>
      <w:r w:rsidR="00F56076">
        <w:rPr>
          <w:szCs w:val="20"/>
        </w:rPr>
        <w:t>transmitters</w:t>
      </w:r>
      <w:r w:rsidR="005D77AB" w:rsidRPr="005D77AB">
        <w:rPr>
          <w:szCs w:val="20"/>
        </w:rPr>
        <w:t>, which would allow these narrowband devices to operate at higher power spectral densities.</w:t>
      </w:r>
      <w:r w:rsidR="00470EDE" w:rsidRPr="00470EDE">
        <w:rPr>
          <w:szCs w:val="20"/>
        </w:rPr>
        <w:t xml:space="preserve"> </w:t>
      </w:r>
      <w:r w:rsidR="00470EDE">
        <w:rPr>
          <w:szCs w:val="20"/>
        </w:rPr>
        <w:t>This would facilitate a broader range of applications</w:t>
      </w:r>
      <w:r w:rsidR="003E7639">
        <w:rPr>
          <w:szCs w:val="20"/>
        </w:rPr>
        <w:t>,</w:t>
      </w:r>
      <w:r w:rsidR="00470EDE">
        <w:rPr>
          <w:szCs w:val="20"/>
        </w:rPr>
        <w:t xml:space="preserve"> including </w:t>
      </w:r>
      <w:r w:rsidR="00470EDE" w:rsidRPr="00470EDE">
        <w:rPr>
          <w:szCs w:val="20"/>
        </w:rPr>
        <w:t>high</w:t>
      </w:r>
      <w:r w:rsidR="003E7639">
        <w:rPr>
          <w:szCs w:val="20"/>
        </w:rPr>
        <w:t>-</w:t>
      </w:r>
      <w:r w:rsidR="00470EDE" w:rsidRPr="00470EDE">
        <w:rPr>
          <w:szCs w:val="20"/>
        </w:rPr>
        <w:t>fidelity, highly localised data transfer to support interconnected devices</w:t>
      </w:r>
      <w:r w:rsidR="00470EDE">
        <w:rPr>
          <w:szCs w:val="20"/>
        </w:rPr>
        <w:t xml:space="preserve">. </w:t>
      </w:r>
      <w:r w:rsidR="005D77AB" w:rsidRPr="005D77AB">
        <w:rPr>
          <w:szCs w:val="20"/>
        </w:rPr>
        <w:t xml:space="preserve">We undertook to consider this matter in the </w:t>
      </w:r>
      <w:hyperlink r:id="rId30" w:history="1">
        <w:r w:rsidR="005D77AB" w:rsidRPr="005D77AB">
          <w:rPr>
            <w:rStyle w:val="Hyperlink"/>
            <w:szCs w:val="20"/>
          </w:rPr>
          <w:t>outcomes paper</w:t>
        </w:r>
      </w:hyperlink>
      <w:r w:rsidR="005D77AB" w:rsidRPr="005D77AB">
        <w:rPr>
          <w:szCs w:val="20"/>
        </w:rPr>
        <w:t>.</w:t>
      </w:r>
    </w:p>
    <w:p w14:paraId="2D1A3D46" w14:textId="04472657" w:rsidR="00F15F18" w:rsidRPr="00E162C4" w:rsidRDefault="00F15F18" w:rsidP="00F15F18">
      <w:pPr>
        <w:pStyle w:val="Paragraph"/>
      </w:pPr>
      <w:r>
        <w:rPr>
          <w:szCs w:val="20"/>
        </w:rPr>
        <w:t xml:space="preserve">Current </w:t>
      </w:r>
      <w:r w:rsidR="00F56076">
        <w:rPr>
          <w:szCs w:val="20"/>
        </w:rPr>
        <w:t>transmitters</w:t>
      </w:r>
      <w:r w:rsidR="00FB2412">
        <w:rPr>
          <w:szCs w:val="20"/>
        </w:rPr>
        <w:t xml:space="preserve"> authorised</w:t>
      </w:r>
      <w:r w:rsidR="00F56076">
        <w:rPr>
          <w:szCs w:val="20"/>
        </w:rPr>
        <w:t xml:space="preserve"> </w:t>
      </w:r>
      <w:r>
        <w:rPr>
          <w:szCs w:val="20"/>
        </w:rPr>
        <w:t xml:space="preserve">in the </w:t>
      </w:r>
      <w:r>
        <w:t xml:space="preserve">5925–6425 MHz band for </w:t>
      </w:r>
      <w:r w:rsidR="00CA3E70">
        <w:t>radio local area network (</w:t>
      </w:r>
      <w:r>
        <w:t>RLAN</w:t>
      </w:r>
      <w:r w:rsidR="00CA3E70">
        <w:t>)</w:t>
      </w:r>
      <w:r>
        <w:t xml:space="preserve"> </w:t>
      </w:r>
      <w:r w:rsidR="00F56076">
        <w:t xml:space="preserve">transmitters </w:t>
      </w:r>
      <w:r>
        <w:t xml:space="preserve">are shown in Table </w:t>
      </w:r>
      <w:r w:rsidR="00994944">
        <w:t>3</w:t>
      </w:r>
      <w:r>
        <w:t>.</w:t>
      </w:r>
      <w:r w:rsidR="00AB5EBE">
        <w:t xml:space="preserve"> The discussion and options paper </w:t>
      </w:r>
      <w:hyperlink r:id="rId31" w:history="1">
        <w:r w:rsidR="00AB5EBE" w:rsidRPr="00E04F66">
          <w:rPr>
            <w:rStyle w:val="Hyperlink"/>
          </w:rPr>
          <w:t xml:space="preserve">Exploring </w:t>
        </w:r>
        <w:r w:rsidR="00E04F66" w:rsidRPr="00E04F66">
          <w:rPr>
            <w:rStyle w:val="Hyperlink"/>
          </w:rPr>
          <w:t>RLAN use in the 5 GHz and 6 GHz bands</w:t>
        </w:r>
      </w:hyperlink>
      <w:r w:rsidR="00E04F66">
        <w:t xml:space="preserve"> outlines other use</w:t>
      </w:r>
      <w:r w:rsidR="00A34933">
        <w:t>s</w:t>
      </w:r>
      <w:r w:rsidR="00E04F66">
        <w:t xml:space="preserve"> of this band in Australia. </w:t>
      </w:r>
    </w:p>
    <w:p w14:paraId="62AD6F1C" w14:textId="01CD6F08" w:rsidR="00F15F18" w:rsidRPr="00E162C4" w:rsidRDefault="00FB2412" w:rsidP="00F15F18">
      <w:pPr>
        <w:pStyle w:val="Tableheading"/>
      </w:pPr>
      <w:r>
        <w:t xml:space="preserve">Authorisations for </w:t>
      </w:r>
      <w:r w:rsidR="00CC4667">
        <w:t>RLAN transmitters in the 5925</w:t>
      </w:r>
      <w:r w:rsidR="003E7639">
        <w:t>–</w:t>
      </w:r>
      <w:r w:rsidR="00CC4667">
        <w:t>6425 MHz band</w:t>
      </w:r>
    </w:p>
    <w:tbl>
      <w:tblPr>
        <w:tblStyle w:val="ACMAtablestyle"/>
        <w:tblW w:w="8217" w:type="dxa"/>
        <w:tblLayout w:type="fixed"/>
        <w:tblLook w:val="01E0" w:firstRow="1" w:lastRow="1" w:firstColumn="1" w:lastColumn="1" w:noHBand="0" w:noVBand="0"/>
        <w:tblCaption w:val="Table title to go here"/>
        <w:tblDescription w:val="Table description to go here"/>
      </w:tblPr>
      <w:tblGrid>
        <w:gridCol w:w="704"/>
        <w:gridCol w:w="1418"/>
        <w:gridCol w:w="1134"/>
        <w:gridCol w:w="1134"/>
        <w:gridCol w:w="3827"/>
      </w:tblGrid>
      <w:tr w:rsidR="00CC4667" w:rsidRPr="00E162C4" w14:paraId="33D52288" w14:textId="77777777" w:rsidTr="006A3934">
        <w:trPr>
          <w:cnfStyle w:val="100000000000" w:firstRow="1" w:lastRow="0" w:firstColumn="0" w:lastColumn="0" w:oddVBand="0" w:evenVBand="0" w:oddHBand="0" w:evenHBand="0" w:firstRowFirstColumn="0" w:firstRowLastColumn="0" w:lastRowFirstColumn="0" w:lastRowLastColumn="0"/>
        </w:trPr>
        <w:tc>
          <w:tcPr>
            <w:tcW w:w="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3953191" w14:textId="24C86F20" w:rsidR="00CC4667" w:rsidRPr="00E162C4" w:rsidRDefault="00CC4667" w:rsidP="00CC4667">
            <w:pPr>
              <w:pStyle w:val="TableBody"/>
            </w:pPr>
          </w:p>
        </w:tc>
        <w:tc>
          <w:tcPr>
            <w:tcW w:w="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28C665B" w14:textId="45210A80" w:rsidR="00CC4667" w:rsidRPr="00E162C4" w:rsidRDefault="00CC4667" w:rsidP="00CC4667">
            <w:pPr>
              <w:pStyle w:val="Tableheaderrow"/>
            </w:pPr>
            <w:r w:rsidRPr="00686456">
              <w:t>Class of transmitter</w:t>
            </w:r>
          </w:p>
        </w:tc>
        <w:tc>
          <w:tcPr>
            <w:tcW w:w="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56D0849" w14:textId="1F9CAA57" w:rsidR="00CC4667" w:rsidRPr="00E162C4" w:rsidRDefault="00CC4667" w:rsidP="00CC4667">
            <w:pPr>
              <w:pStyle w:val="Tableheaderrow"/>
            </w:pPr>
            <w:r w:rsidRPr="00686456">
              <w:t>Permitted operating frequency band (MHz)</w:t>
            </w:r>
          </w:p>
        </w:tc>
        <w:tc>
          <w:tcPr>
            <w:tcW w:w="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83F9D47" w14:textId="77777777" w:rsidR="00CC4667" w:rsidRPr="00686456" w:rsidRDefault="00CC4667" w:rsidP="00CC4667">
            <w:pPr>
              <w:pStyle w:val="Tableheaderrow"/>
            </w:pPr>
            <w:r w:rsidRPr="00686456">
              <w:t xml:space="preserve">Maximum EIRP </w:t>
            </w:r>
          </w:p>
          <w:p w14:paraId="4F3F7B16" w14:textId="22ACACC7" w:rsidR="00CC4667" w:rsidRPr="00E162C4" w:rsidRDefault="00CC4667" w:rsidP="00CC4667">
            <w:pPr>
              <w:pStyle w:val="Tableheaderrow"/>
            </w:pPr>
          </w:p>
        </w:tc>
        <w:tc>
          <w:tcPr>
            <w:tcW w:w="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161E683" w14:textId="1B81862F" w:rsidR="00CC4667" w:rsidRPr="00A85C35" w:rsidRDefault="00CC4667" w:rsidP="00CC4667">
            <w:pPr>
              <w:pStyle w:val="Tableheaderrow"/>
            </w:pPr>
            <w:r w:rsidRPr="00686456">
              <w:t>Limitations</w:t>
            </w:r>
          </w:p>
        </w:tc>
      </w:tr>
      <w:tr w:rsidR="00CC4667" w:rsidRPr="00E162C4" w14:paraId="41C938F4" w14:textId="77777777" w:rsidTr="006A3934">
        <w:trPr>
          <w:cnfStyle w:val="000000100000" w:firstRow="0" w:lastRow="0" w:firstColumn="0" w:lastColumn="0" w:oddVBand="0" w:evenVBand="0" w:oddHBand="1" w:evenHBand="0" w:firstRowFirstColumn="0" w:firstRowLastColumn="0" w:lastRowFirstColumn="0" w:lastRowLastColumn="0"/>
        </w:trPr>
        <w:tc>
          <w:tcPr>
            <w:tcW w:w="0" w:type="dxa"/>
            <w:tcBorders>
              <w:top w:val="single" w:sz="4" w:space="0" w:color="FFFFFF" w:themeColor="background1"/>
            </w:tcBorders>
          </w:tcPr>
          <w:p w14:paraId="5F37A9A0" w14:textId="5EF8DCBB" w:rsidR="00CC4667" w:rsidRPr="00E162C4" w:rsidRDefault="00CC4667" w:rsidP="00CC4667">
            <w:pPr>
              <w:pStyle w:val="TableBody"/>
            </w:pPr>
            <w:r>
              <w:t>63AA</w:t>
            </w:r>
          </w:p>
        </w:tc>
        <w:tc>
          <w:tcPr>
            <w:tcW w:w="0" w:type="dxa"/>
            <w:tcBorders>
              <w:top w:val="single" w:sz="4" w:space="0" w:color="FFFFFF" w:themeColor="background1"/>
            </w:tcBorders>
          </w:tcPr>
          <w:p w14:paraId="6118057F" w14:textId="41C0A06E" w:rsidR="00CC4667" w:rsidRPr="00E162C4" w:rsidRDefault="00CC4667" w:rsidP="00CC4667">
            <w:pPr>
              <w:pStyle w:val="TableBody"/>
            </w:pPr>
            <w:r>
              <w:t xml:space="preserve">Radio </w:t>
            </w:r>
            <w:r w:rsidR="003E7639">
              <w:t>l</w:t>
            </w:r>
            <w:r>
              <w:t xml:space="preserve">ocal </w:t>
            </w:r>
            <w:r w:rsidR="003E7639">
              <w:t>a</w:t>
            </w:r>
            <w:r>
              <w:t xml:space="preserve">rea </w:t>
            </w:r>
            <w:r w:rsidR="003E7639">
              <w:t>n</w:t>
            </w:r>
            <w:r>
              <w:t>etwork transmitters</w:t>
            </w:r>
          </w:p>
        </w:tc>
        <w:tc>
          <w:tcPr>
            <w:tcW w:w="0" w:type="dxa"/>
            <w:tcBorders>
              <w:top w:val="single" w:sz="4" w:space="0" w:color="FFFFFF" w:themeColor="background1"/>
            </w:tcBorders>
          </w:tcPr>
          <w:p w14:paraId="1BB15E73" w14:textId="7A9AB4D7" w:rsidR="00CC4667" w:rsidRPr="00E162C4" w:rsidRDefault="00CC4667" w:rsidP="00CC4667">
            <w:pPr>
              <w:pStyle w:val="TableBody"/>
            </w:pPr>
            <w:r>
              <w:t>5925–6425</w:t>
            </w:r>
          </w:p>
        </w:tc>
        <w:tc>
          <w:tcPr>
            <w:tcW w:w="0" w:type="dxa"/>
            <w:tcBorders>
              <w:top w:val="single" w:sz="4" w:space="0" w:color="FFFFFF" w:themeColor="background1"/>
            </w:tcBorders>
          </w:tcPr>
          <w:p w14:paraId="7197C7BA" w14:textId="1C188AC7" w:rsidR="00CC4667" w:rsidRPr="00E162C4" w:rsidRDefault="00CC4667" w:rsidP="00CC4667">
            <w:pPr>
              <w:pStyle w:val="TableBody"/>
            </w:pPr>
            <w:r>
              <w:t>250 mW</w:t>
            </w:r>
          </w:p>
        </w:tc>
        <w:tc>
          <w:tcPr>
            <w:tcW w:w="0" w:type="dxa"/>
            <w:tcBorders>
              <w:top w:val="single" w:sz="4" w:space="0" w:color="FFFFFF" w:themeColor="background1"/>
            </w:tcBorders>
          </w:tcPr>
          <w:p w14:paraId="7490B2B5" w14:textId="77777777" w:rsidR="00CC4667" w:rsidRPr="00F15F18" w:rsidRDefault="00CC4667" w:rsidP="00CC4667">
            <w:pPr>
              <w:pStyle w:val="TableBody"/>
            </w:pPr>
            <w:r w:rsidRPr="00265EB7">
              <w:rPr>
                <w:bCs/>
              </w:rPr>
              <w:t>(a)</w:t>
            </w:r>
            <w:r w:rsidRPr="00265EB7">
              <w:rPr>
                <w:bCs/>
              </w:rPr>
              <w:tab/>
            </w:r>
            <w:r w:rsidRPr="00F15F18">
              <w:t>The transmitter must only be used indoors.</w:t>
            </w:r>
          </w:p>
          <w:p w14:paraId="6E24AF5B" w14:textId="77777777" w:rsidR="00CC4667" w:rsidRPr="00F15F18" w:rsidRDefault="00CC4667" w:rsidP="00CC4667">
            <w:pPr>
              <w:pStyle w:val="TableBody"/>
            </w:pPr>
            <w:r w:rsidRPr="00F15F18">
              <w:t>(b)</w:t>
            </w:r>
            <w:r w:rsidRPr="00F15F18">
              <w:tab/>
              <w:t>The power spectral density of the transmitter must not exceed 12.5 mW EIRP per MHz.</w:t>
            </w:r>
          </w:p>
          <w:p w14:paraId="66D62EAB" w14:textId="52EAAC6E" w:rsidR="00CC4667" w:rsidRPr="00E162C4" w:rsidRDefault="00CC4667" w:rsidP="00CC4667">
            <w:pPr>
              <w:pStyle w:val="TableBody"/>
            </w:pPr>
            <w:r w:rsidRPr="00265EB7">
              <w:t>(c)</w:t>
            </w:r>
            <w:r w:rsidRPr="00265EB7">
              <w:tab/>
            </w:r>
            <w:r>
              <w:t xml:space="preserve">Contention-based protocols for multiple access, such as </w:t>
            </w:r>
            <w:r w:rsidR="003E7639">
              <w:t>c</w:t>
            </w:r>
            <w:r>
              <w:t xml:space="preserve">arrier </w:t>
            </w:r>
            <w:r w:rsidR="003E7639">
              <w:t>s</w:t>
            </w:r>
            <w:r>
              <w:t xml:space="preserve">ense </w:t>
            </w:r>
            <w:r w:rsidR="003E7639">
              <w:t>m</w:t>
            </w:r>
            <w:r>
              <w:t xml:space="preserve">ultiple </w:t>
            </w:r>
            <w:r w:rsidR="003E7639">
              <w:t>a</w:t>
            </w:r>
            <w:r>
              <w:t xml:space="preserve">ccess (CSMA) or </w:t>
            </w:r>
            <w:r w:rsidR="003E7639">
              <w:t>m</w:t>
            </w:r>
            <w:r>
              <w:t xml:space="preserve">ultiple </w:t>
            </w:r>
            <w:r w:rsidR="003E7639">
              <w:t>a</w:t>
            </w:r>
            <w:r>
              <w:t xml:space="preserve">ccess </w:t>
            </w:r>
            <w:r w:rsidR="003E7639">
              <w:t>c</w:t>
            </w:r>
            <w:r>
              <w:t xml:space="preserve">ollision </w:t>
            </w:r>
            <w:r w:rsidR="003E7639">
              <w:t>a</w:t>
            </w:r>
            <w:r>
              <w:t>voidance (MACA)</w:t>
            </w:r>
            <w:r w:rsidR="000D5868">
              <w:t>,</w:t>
            </w:r>
            <w:r>
              <w:t xml:space="preserve"> must be implemented.</w:t>
            </w:r>
          </w:p>
        </w:tc>
      </w:tr>
      <w:tr w:rsidR="00CC4667" w:rsidRPr="00E162C4" w14:paraId="6D0564D0" w14:textId="77777777" w:rsidTr="00C90184">
        <w:trPr>
          <w:cnfStyle w:val="000000010000" w:firstRow="0" w:lastRow="0" w:firstColumn="0" w:lastColumn="0" w:oddVBand="0" w:evenVBand="0" w:oddHBand="0" w:evenHBand="1" w:firstRowFirstColumn="0" w:firstRowLastColumn="0" w:lastRowFirstColumn="0" w:lastRowLastColumn="0"/>
        </w:trPr>
        <w:tc>
          <w:tcPr>
            <w:tcW w:w="704" w:type="dxa"/>
          </w:tcPr>
          <w:p w14:paraId="657CEAEA" w14:textId="04F72821" w:rsidR="00CC4667" w:rsidRPr="00E162C4" w:rsidRDefault="00CC4667" w:rsidP="00CC4667">
            <w:pPr>
              <w:pStyle w:val="TableBody"/>
            </w:pPr>
            <w:r>
              <w:t>63AB</w:t>
            </w:r>
          </w:p>
        </w:tc>
        <w:tc>
          <w:tcPr>
            <w:tcW w:w="1418" w:type="dxa"/>
          </w:tcPr>
          <w:p w14:paraId="5F9AB285" w14:textId="74A243EF" w:rsidR="00CC4667" w:rsidRPr="00E162C4" w:rsidRDefault="00CC4667" w:rsidP="00CC4667">
            <w:pPr>
              <w:pStyle w:val="TableBody"/>
            </w:pPr>
            <w:r>
              <w:t xml:space="preserve">Radio </w:t>
            </w:r>
            <w:r w:rsidR="000D5868">
              <w:t>l</w:t>
            </w:r>
            <w:r>
              <w:t xml:space="preserve">ocal </w:t>
            </w:r>
            <w:r w:rsidR="000D5868">
              <w:t>a</w:t>
            </w:r>
            <w:r>
              <w:t xml:space="preserve">rea </w:t>
            </w:r>
            <w:r w:rsidR="000D5868">
              <w:t>n</w:t>
            </w:r>
            <w:r>
              <w:t>etwork transmitters</w:t>
            </w:r>
          </w:p>
        </w:tc>
        <w:tc>
          <w:tcPr>
            <w:tcW w:w="1134" w:type="dxa"/>
          </w:tcPr>
          <w:p w14:paraId="02593C87" w14:textId="47FA849D" w:rsidR="00CC4667" w:rsidRPr="00E162C4" w:rsidRDefault="00CC4667" w:rsidP="00CC4667">
            <w:pPr>
              <w:pStyle w:val="TableBody"/>
            </w:pPr>
            <w:r>
              <w:t>5925–6425</w:t>
            </w:r>
          </w:p>
        </w:tc>
        <w:tc>
          <w:tcPr>
            <w:tcW w:w="1134" w:type="dxa"/>
          </w:tcPr>
          <w:p w14:paraId="4CBF75E7" w14:textId="70BE613C" w:rsidR="00CC4667" w:rsidRPr="00E162C4" w:rsidRDefault="00CC4667" w:rsidP="00CC4667">
            <w:pPr>
              <w:pStyle w:val="TableBody"/>
            </w:pPr>
            <w:r>
              <w:t>25 mW</w:t>
            </w:r>
          </w:p>
        </w:tc>
        <w:tc>
          <w:tcPr>
            <w:tcW w:w="3827" w:type="dxa"/>
          </w:tcPr>
          <w:p w14:paraId="52A531B5" w14:textId="77777777" w:rsidR="00CC4667" w:rsidRPr="00F15F18" w:rsidRDefault="00CC4667" w:rsidP="00CC4667">
            <w:pPr>
              <w:pStyle w:val="TableBody"/>
            </w:pPr>
            <w:r w:rsidRPr="00F15F18">
              <w:t>(a)</w:t>
            </w:r>
            <w:r w:rsidRPr="00F15F18">
              <w:tab/>
              <w:t>The power spectral density of the transmitter must not exceed 1.25 mW EIRP per MHz.</w:t>
            </w:r>
          </w:p>
          <w:p w14:paraId="681AF3BC" w14:textId="5EFBB526" w:rsidR="00CC4667" w:rsidRPr="00E162C4" w:rsidRDefault="00CC4667" w:rsidP="00CC4667">
            <w:pPr>
              <w:pStyle w:val="TableBody"/>
            </w:pPr>
            <w:r w:rsidRPr="00265EB7">
              <w:t>(</w:t>
            </w:r>
            <w:r>
              <w:t>b</w:t>
            </w:r>
            <w:r w:rsidRPr="00265EB7">
              <w:t>)</w:t>
            </w:r>
            <w:r w:rsidRPr="00265EB7">
              <w:tab/>
            </w:r>
            <w:r>
              <w:t xml:space="preserve">Contention-based protocols for multiple access, such as </w:t>
            </w:r>
            <w:r w:rsidR="003E7639">
              <w:t>c</w:t>
            </w:r>
            <w:r>
              <w:t xml:space="preserve">arrier </w:t>
            </w:r>
            <w:r w:rsidR="003E7639">
              <w:t>s</w:t>
            </w:r>
            <w:r>
              <w:t xml:space="preserve">ense </w:t>
            </w:r>
            <w:r w:rsidR="003E7639">
              <w:t>m</w:t>
            </w:r>
            <w:r>
              <w:t xml:space="preserve">ultiple </w:t>
            </w:r>
            <w:r w:rsidR="003E7639">
              <w:t>a</w:t>
            </w:r>
            <w:r>
              <w:t xml:space="preserve">ccess (CSMA) or </w:t>
            </w:r>
            <w:r w:rsidR="003E7639">
              <w:t>m</w:t>
            </w:r>
            <w:r>
              <w:t xml:space="preserve">ultiple </w:t>
            </w:r>
            <w:r w:rsidR="003E7639">
              <w:lastRenderedPageBreak/>
              <w:t>a</w:t>
            </w:r>
            <w:r>
              <w:t xml:space="preserve">ccess </w:t>
            </w:r>
            <w:r w:rsidR="003E7639">
              <w:t>c</w:t>
            </w:r>
            <w:r>
              <w:t xml:space="preserve">ollision </w:t>
            </w:r>
            <w:r w:rsidR="003E7639">
              <w:t>a</w:t>
            </w:r>
            <w:r>
              <w:t>voidance (MACA), must be implemented.</w:t>
            </w:r>
          </w:p>
        </w:tc>
      </w:tr>
    </w:tbl>
    <w:p w14:paraId="5E73D2DC" w14:textId="77777777" w:rsidR="00EE5831" w:rsidRDefault="00EE5831" w:rsidP="0070500D">
      <w:pPr>
        <w:pStyle w:val="Paragraph"/>
      </w:pPr>
      <w:bookmarkStart w:id="24" w:name="_Hlk111730578"/>
    </w:p>
    <w:p w14:paraId="5AF3F2A8" w14:textId="13E3E316" w:rsidR="00E91CEC" w:rsidRDefault="0070500D" w:rsidP="0070500D">
      <w:pPr>
        <w:pStyle w:val="Paragraph"/>
      </w:pPr>
      <w:r>
        <w:t xml:space="preserve">In June 2021, the European Commission made </w:t>
      </w:r>
      <w:hyperlink r:id="rId32" w:history="1">
        <w:r w:rsidRPr="007B3C4B">
          <w:rPr>
            <w:rStyle w:val="Hyperlink"/>
          </w:rPr>
          <w:t>Commission Implementing Decision 2021/1067</w:t>
        </w:r>
      </w:hyperlink>
      <w:bookmarkEnd w:id="24"/>
      <w:r w:rsidR="003E7639">
        <w:t xml:space="preserve">. </w:t>
      </w:r>
      <w:r w:rsidR="00B20F1B">
        <w:t>It</w:t>
      </w:r>
      <w:r w:rsidR="003E7639">
        <w:t xml:space="preserve"> outlines</w:t>
      </w:r>
      <w:r>
        <w:t xml:space="preserve"> that </w:t>
      </w:r>
      <w:r w:rsidR="003E7639">
        <w:t>m</w:t>
      </w:r>
      <w:r>
        <w:t xml:space="preserve">ember </w:t>
      </w:r>
      <w:r w:rsidR="003E7639">
        <w:t>s</w:t>
      </w:r>
      <w:r>
        <w:t>tates shall designate the 5945</w:t>
      </w:r>
      <w:r w:rsidR="003E7639">
        <w:t>–</w:t>
      </w:r>
      <w:r>
        <w:t xml:space="preserve">6425 MHz frequency band and make it available on a non-exclusive, non-interference and non-protected basis, for the implementation of </w:t>
      </w:r>
      <w:r w:rsidR="00CA3E70">
        <w:t>wireless access systems</w:t>
      </w:r>
      <w:r w:rsidR="003E7639">
        <w:t xml:space="preserve">. This </w:t>
      </w:r>
      <w:r w:rsidR="00CA3E70">
        <w:t>includ</w:t>
      </w:r>
      <w:r w:rsidR="003E7639">
        <w:t>es</w:t>
      </w:r>
      <w:r w:rsidR="00CA3E70">
        <w:t xml:space="preserve"> radio local area networks (</w:t>
      </w:r>
      <w:r>
        <w:t>WAS/RLANs</w:t>
      </w:r>
      <w:r w:rsidR="00CA3E70">
        <w:t>)</w:t>
      </w:r>
      <w:r>
        <w:t xml:space="preserve"> in accordance with the technical conditions set out in the Annex to the decision. This annex includes technical conditions for very low</w:t>
      </w:r>
      <w:r w:rsidR="00B20F1B">
        <w:t>-</w:t>
      </w:r>
      <w:r>
        <w:t>power WAS/RLAN devices</w:t>
      </w:r>
      <w:r w:rsidR="00C672E5">
        <w:t xml:space="preserve"> </w:t>
      </w:r>
      <w:r w:rsidR="00B20F1B">
        <w:t xml:space="preserve">and </w:t>
      </w:r>
      <w:r w:rsidR="00C672E5">
        <w:t>separate provisions for narrowband</w:t>
      </w:r>
      <w:r w:rsidR="00E91CEC">
        <w:t xml:space="preserve"> frequency</w:t>
      </w:r>
      <w:r w:rsidR="00B20F1B">
        <w:t>-</w:t>
      </w:r>
      <w:r w:rsidR="00E91CEC">
        <w:t>hopping</w:t>
      </w:r>
      <w:r w:rsidR="00C672E5">
        <w:t xml:space="preserve"> usage</w:t>
      </w:r>
      <w:r>
        <w:t xml:space="preserve">. </w:t>
      </w:r>
    </w:p>
    <w:p w14:paraId="207035A9" w14:textId="630442AD" w:rsidR="00CC4667" w:rsidRDefault="00CC4667" w:rsidP="00CC4667">
      <w:pPr>
        <w:pStyle w:val="Heading3"/>
      </w:pPr>
      <w:r>
        <w:t>Proposal</w:t>
      </w:r>
    </w:p>
    <w:p w14:paraId="6D0CCE41" w14:textId="53F4BA57" w:rsidR="00AB5EBE" w:rsidRDefault="00E04F66" w:rsidP="007B3C4B">
      <w:pPr>
        <w:pStyle w:val="Paragraph"/>
      </w:pPr>
      <w:r>
        <w:t xml:space="preserve">As we noted in the recent 6 GHz band papers, </w:t>
      </w:r>
      <w:r w:rsidRPr="00E04F66">
        <w:t>the existing primary uses of the lower 5925–6425</w:t>
      </w:r>
      <w:r>
        <w:t xml:space="preserve"> </w:t>
      </w:r>
      <w:r w:rsidRPr="00E04F66">
        <w:t xml:space="preserve">MHz band in Australia </w:t>
      </w:r>
      <w:r w:rsidR="008E0F52">
        <w:t xml:space="preserve">– </w:t>
      </w:r>
      <w:r>
        <w:t>fixed-satellite service (FSS)</w:t>
      </w:r>
      <w:r w:rsidRPr="00E04F66">
        <w:t xml:space="preserve"> and </w:t>
      </w:r>
      <w:r>
        <w:t>fixed-service (</w:t>
      </w:r>
      <w:r w:rsidRPr="00E04F66">
        <w:t>FS</w:t>
      </w:r>
      <w:r>
        <w:t>)</w:t>
      </w:r>
      <w:r w:rsidR="008E0F52">
        <w:t xml:space="preserve"> –</w:t>
      </w:r>
      <w:r w:rsidRPr="00E04F66">
        <w:t xml:space="preserve"> are consistent with those elsewhere in the world. Accordingly, </w:t>
      </w:r>
      <w:r w:rsidR="00193F66">
        <w:t xml:space="preserve">while Australian specific coexistence studies have not been provided, </w:t>
      </w:r>
      <w:r w:rsidRPr="00E04F66">
        <w:t>we have formed the preliminary view, informed by studies in Europe</w:t>
      </w:r>
      <w:r w:rsidR="00193F66">
        <w:rPr>
          <w:rStyle w:val="FootnoteReference"/>
        </w:rPr>
        <w:footnoteReference w:id="7"/>
      </w:r>
      <w:r w:rsidRPr="00E04F66">
        <w:t xml:space="preserve"> and the UK</w:t>
      </w:r>
      <w:r w:rsidR="00E9695D">
        <w:t>,</w:t>
      </w:r>
      <w:r w:rsidR="00193F66">
        <w:rPr>
          <w:rStyle w:val="FootnoteReference"/>
        </w:rPr>
        <w:footnoteReference w:id="8"/>
      </w:r>
      <w:r w:rsidRPr="00E04F66">
        <w:t xml:space="preserve"> that </w:t>
      </w:r>
      <w:r w:rsidR="00193F66">
        <w:t>low-power narrowband frequency</w:t>
      </w:r>
      <w:r w:rsidR="00E9695D">
        <w:t>-</w:t>
      </w:r>
      <w:r w:rsidR="00193F66">
        <w:t xml:space="preserve">hopping transmitters </w:t>
      </w:r>
      <w:r w:rsidRPr="00E04F66">
        <w:t>can coexist with existing primary services.</w:t>
      </w:r>
      <w:r w:rsidR="00E91CEC">
        <w:t xml:space="preserve"> We also note</w:t>
      </w:r>
      <w:r w:rsidR="00D813B6">
        <w:t xml:space="preserve"> </w:t>
      </w:r>
      <w:r w:rsidR="00E91CEC">
        <w:t xml:space="preserve">other </w:t>
      </w:r>
      <w:r w:rsidR="00D813B6">
        <w:t xml:space="preserve">existing examples in the LIPD </w:t>
      </w:r>
      <w:r w:rsidR="00833DCE">
        <w:t>class licence</w:t>
      </w:r>
      <w:r w:rsidR="00D813B6">
        <w:t xml:space="preserve"> where frequency hopping devices are authorised to operate alongside other transmitters</w:t>
      </w:r>
      <w:r w:rsidR="005B5782">
        <w:t>, often at</w:t>
      </w:r>
      <w:r w:rsidR="00D813B6">
        <w:t xml:space="preserve"> higher</w:t>
      </w:r>
      <w:r w:rsidR="00E9695D">
        <w:t>-</w:t>
      </w:r>
      <w:r w:rsidR="00D813B6">
        <w:t>power</w:t>
      </w:r>
      <w:r w:rsidR="005B5782">
        <w:t xml:space="preserve"> and/or power density</w:t>
      </w:r>
      <w:r w:rsidR="00D813B6">
        <w:t xml:space="preserve"> levels, given a minimum number of hopping frequencies.</w:t>
      </w:r>
      <w:r w:rsidR="005B5782">
        <w:t xml:space="preserve"> This includes items 55 and 56</w:t>
      </w:r>
      <w:r w:rsidR="00FB2412">
        <w:t xml:space="preserve"> of Schedule 1</w:t>
      </w:r>
      <w:r w:rsidR="005B5782">
        <w:t xml:space="preserve"> </w:t>
      </w:r>
      <w:r w:rsidR="00CA3C38">
        <w:t>covering</w:t>
      </w:r>
      <w:r w:rsidR="005B5782">
        <w:t xml:space="preserve"> the </w:t>
      </w:r>
      <w:r w:rsidR="00CA3C38" w:rsidRPr="00CA3C38">
        <w:t>2400–2483.5</w:t>
      </w:r>
      <w:r w:rsidR="00CA3C38">
        <w:t xml:space="preserve"> MHz </w:t>
      </w:r>
      <w:r w:rsidR="005B5782">
        <w:t>band</w:t>
      </w:r>
      <w:r w:rsidR="00CA3C38">
        <w:t>, item 54 covering the 915</w:t>
      </w:r>
      <w:r w:rsidR="002043AF">
        <w:t>–</w:t>
      </w:r>
      <w:r w:rsidR="00CA3C38">
        <w:t>928 MHz band</w:t>
      </w:r>
      <w:r w:rsidR="00FB2412">
        <w:t>,</w:t>
      </w:r>
      <w:r w:rsidR="00CA3C38">
        <w:t xml:space="preserve"> and item 57 covering the 5725</w:t>
      </w:r>
      <w:r w:rsidR="002043AF">
        <w:t>–</w:t>
      </w:r>
      <w:r w:rsidR="00CA3C38">
        <w:t>5850 MHz band.</w:t>
      </w:r>
    </w:p>
    <w:p w14:paraId="5F7E5671" w14:textId="1F37494D" w:rsidR="007B3C4B" w:rsidRDefault="007B3C4B" w:rsidP="007B3C4B">
      <w:pPr>
        <w:pStyle w:val="Paragraph"/>
      </w:pPr>
      <w:r>
        <w:t xml:space="preserve">The draft </w:t>
      </w:r>
      <w:r w:rsidR="002043AF">
        <w:t>v</w:t>
      </w:r>
      <w:r>
        <w:t xml:space="preserve">ariation </w:t>
      </w:r>
      <w:r w:rsidR="0046384A">
        <w:t xml:space="preserve">includes the </w:t>
      </w:r>
      <w:r>
        <w:t xml:space="preserve">proposed insertion of item </w:t>
      </w:r>
      <w:r w:rsidR="00FB2412">
        <w:t>57A</w:t>
      </w:r>
      <w:r>
        <w:t xml:space="preserve"> in Schedule 1 to </w:t>
      </w:r>
      <w:r w:rsidR="00FB2412">
        <w:t xml:space="preserve">authorise </w:t>
      </w:r>
      <w:r>
        <w:t xml:space="preserve">these </w:t>
      </w:r>
      <w:r w:rsidR="00FB2412">
        <w:t>transmitters</w:t>
      </w:r>
      <w:r>
        <w:t>.</w:t>
      </w:r>
      <w:r w:rsidR="001E221E">
        <w:t xml:space="preserve"> A maximum </w:t>
      </w:r>
      <w:r w:rsidR="00FB2412">
        <w:t>effective isotropic radiated power (</w:t>
      </w:r>
      <w:r w:rsidR="001E221E">
        <w:t>EIRP</w:t>
      </w:r>
      <w:r w:rsidR="00FB2412">
        <w:t>)</w:t>
      </w:r>
      <w:r w:rsidR="001E221E">
        <w:t xml:space="preserve"> of 25 mW is proposed in line with existing item 63AB in Schedule 1 of the LIPD </w:t>
      </w:r>
      <w:r w:rsidR="00833DCE">
        <w:t>class licence</w:t>
      </w:r>
      <w:r w:rsidR="001E221E">
        <w:t>. However, a higher maximum spectral density of 10 mW, compared with 1.25</w:t>
      </w:r>
      <w:r w:rsidR="00B82390">
        <w:t> </w:t>
      </w:r>
      <w:r w:rsidR="001E221E">
        <w:t xml:space="preserve">mW in item 63AB, </w:t>
      </w:r>
      <w:r w:rsidR="00193F66">
        <w:t>a maximum channel bandwidth of 20 MHz</w:t>
      </w:r>
      <w:r w:rsidR="00DA54D2">
        <w:t>, a maximum EIRP density for out-of-band emissions below 59</w:t>
      </w:r>
      <w:r w:rsidR="008A4532">
        <w:t>2</w:t>
      </w:r>
      <w:r w:rsidR="00DA54D2">
        <w:t>5 MHz of -</w:t>
      </w:r>
      <w:r w:rsidR="00CE4EE9">
        <w:t>37</w:t>
      </w:r>
      <w:r w:rsidR="00DA54D2">
        <w:t xml:space="preserve"> dBm/MHz</w:t>
      </w:r>
      <w:r w:rsidR="00193F66">
        <w:t xml:space="preserve"> </w:t>
      </w:r>
      <w:r w:rsidR="001E221E">
        <w:t xml:space="preserve">and a minimum of 15 hopping frequencies </w:t>
      </w:r>
      <w:r w:rsidR="00A34933">
        <w:t>are</w:t>
      </w:r>
      <w:r w:rsidR="001E221E">
        <w:t xml:space="preserve"> proposed to align with European arrangements. </w:t>
      </w:r>
    </w:p>
    <w:p w14:paraId="0C0BC0A3" w14:textId="7D842884" w:rsidR="00633798" w:rsidRPr="00513038" w:rsidRDefault="005D77AB" w:rsidP="00633798">
      <w:pPr>
        <w:pStyle w:val="Heading2"/>
      </w:pPr>
      <w:bookmarkStart w:id="25" w:name="_Toc117072409"/>
      <w:r>
        <w:t xml:space="preserve">RLAN </w:t>
      </w:r>
      <w:r w:rsidR="00FB2412">
        <w:t xml:space="preserve">radiocommunications transmitters </w:t>
      </w:r>
      <w:r>
        <w:t xml:space="preserve">in the </w:t>
      </w:r>
      <w:r w:rsidR="002043AF">
        <w:br/>
      </w:r>
      <w:r w:rsidR="00633798" w:rsidRPr="00E217E7">
        <w:t xml:space="preserve">5925–6425 MHz </w:t>
      </w:r>
      <w:r w:rsidR="00633798">
        <w:t>band</w:t>
      </w:r>
      <w:bookmarkEnd w:id="25"/>
    </w:p>
    <w:p w14:paraId="39E9F359" w14:textId="57EE1470" w:rsidR="00633798" w:rsidRDefault="00CE4EE9" w:rsidP="00633798">
      <w:pPr>
        <w:pStyle w:val="Paragraph"/>
        <w:rPr>
          <w:szCs w:val="20"/>
        </w:rPr>
      </w:pPr>
      <w:r>
        <w:rPr>
          <w:szCs w:val="20"/>
        </w:rPr>
        <w:t>In</w:t>
      </w:r>
      <w:r w:rsidR="00633798" w:rsidRPr="005D77AB">
        <w:rPr>
          <w:szCs w:val="20"/>
        </w:rPr>
        <w:t xml:space="preserve"> the </w:t>
      </w:r>
      <w:hyperlink r:id="rId33" w:history="1">
        <w:r w:rsidR="00633798" w:rsidRPr="005D77AB">
          <w:rPr>
            <w:rStyle w:val="Hyperlink"/>
            <w:szCs w:val="20"/>
          </w:rPr>
          <w:t>outcomes paper</w:t>
        </w:r>
      </w:hyperlink>
      <w:r>
        <w:rPr>
          <w:szCs w:val="20"/>
        </w:rPr>
        <w:t xml:space="preserve">, we undertook to implement out-of-band emission limits </w:t>
      </w:r>
      <w:r w:rsidRPr="00CE4EE9">
        <w:rPr>
          <w:szCs w:val="20"/>
        </w:rPr>
        <w:t xml:space="preserve">of </w:t>
      </w:r>
      <w:r>
        <w:rPr>
          <w:szCs w:val="20"/>
        </w:rPr>
        <w:noBreakHyphen/>
      </w:r>
      <w:r w:rsidRPr="00CE4EE9">
        <w:rPr>
          <w:szCs w:val="20"/>
        </w:rPr>
        <w:t>37</w:t>
      </w:r>
      <w:r>
        <w:rPr>
          <w:szCs w:val="20"/>
        </w:rPr>
        <w:t> </w:t>
      </w:r>
      <w:r w:rsidRPr="00CE4EE9">
        <w:rPr>
          <w:szCs w:val="20"/>
        </w:rPr>
        <w:t>dBm/MHz for very low</w:t>
      </w:r>
      <w:r w:rsidR="00B82390">
        <w:rPr>
          <w:szCs w:val="20"/>
        </w:rPr>
        <w:t>-</w:t>
      </w:r>
      <w:r w:rsidRPr="00CE4EE9">
        <w:rPr>
          <w:szCs w:val="20"/>
        </w:rPr>
        <w:t>power (VLP) devices and -27 dBm/MHz for low</w:t>
      </w:r>
      <w:r w:rsidR="00B82390">
        <w:rPr>
          <w:szCs w:val="20"/>
        </w:rPr>
        <w:t>-</w:t>
      </w:r>
      <w:r w:rsidRPr="00CE4EE9">
        <w:rPr>
          <w:szCs w:val="20"/>
        </w:rPr>
        <w:t>power indoor devices</w:t>
      </w:r>
      <w:r>
        <w:rPr>
          <w:szCs w:val="20"/>
        </w:rPr>
        <w:t xml:space="preserve">. </w:t>
      </w:r>
    </w:p>
    <w:p w14:paraId="07420D7A" w14:textId="16C4EDA8" w:rsidR="00633798" w:rsidRDefault="00633798" w:rsidP="007B3C4B">
      <w:pPr>
        <w:pStyle w:val="Paragraph"/>
      </w:pPr>
      <w:r>
        <w:t xml:space="preserve">The draft </w:t>
      </w:r>
      <w:r w:rsidR="00B82390">
        <w:t>v</w:t>
      </w:r>
      <w:r>
        <w:t xml:space="preserve">ariation shows proposed changes </w:t>
      </w:r>
      <w:r w:rsidR="0033196B">
        <w:t>to</w:t>
      </w:r>
      <w:r>
        <w:t xml:space="preserve"> item</w:t>
      </w:r>
      <w:r w:rsidR="00A34933">
        <w:t>s</w:t>
      </w:r>
      <w:r>
        <w:t xml:space="preserve"> 63A</w:t>
      </w:r>
      <w:r w:rsidR="0033196B">
        <w:t>A and 63AB</w:t>
      </w:r>
      <w:r>
        <w:t xml:space="preserve"> in Schedule 1 to </w:t>
      </w:r>
      <w:r w:rsidR="0033196B">
        <w:t xml:space="preserve">implement these out-of-band emission limits. </w:t>
      </w:r>
      <w:r w:rsidR="008069AB">
        <w:t>The VLP limit is also proposed to be applied to the proposed new frequency</w:t>
      </w:r>
      <w:r w:rsidR="00B82390">
        <w:t>-</w:t>
      </w:r>
      <w:r w:rsidR="008069AB">
        <w:t xml:space="preserve">hopping class of </w:t>
      </w:r>
      <w:r w:rsidR="00FB2412">
        <w:t>transmitters discussed above</w:t>
      </w:r>
      <w:r w:rsidR="008069AB">
        <w:t>.</w:t>
      </w:r>
    </w:p>
    <w:p w14:paraId="592CC1A6" w14:textId="5FBD5574" w:rsidR="00727C6C" w:rsidRPr="00513038" w:rsidRDefault="005D77AB" w:rsidP="00727C6C">
      <w:pPr>
        <w:pStyle w:val="Heading2"/>
      </w:pPr>
      <w:bookmarkStart w:id="26" w:name="_Toc117072410"/>
      <w:r>
        <w:lastRenderedPageBreak/>
        <w:t xml:space="preserve">RLAN </w:t>
      </w:r>
      <w:r w:rsidR="00FB2412">
        <w:t xml:space="preserve">radiocommunications transmitters </w:t>
      </w:r>
      <w:r>
        <w:t xml:space="preserve">in the </w:t>
      </w:r>
      <w:r w:rsidR="002043AF">
        <w:br/>
      </w:r>
      <w:r w:rsidR="00633798" w:rsidRPr="00633798">
        <w:t>5150–5250 MHz</w:t>
      </w:r>
      <w:r>
        <w:t xml:space="preserve"> band</w:t>
      </w:r>
      <w:bookmarkEnd w:id="26"/>
    </w:p>
    <w:p w14:paraId="51B24DCC" w14:textId="01BF3C69" w:rsidR="00727C6C" w:rsidRDefault="00AC3F8E" w:rsidP="005D77AB">
      <w:pPr>
        <w:pStyle w:val="Paragraph"/>
        <w:rPr>
          <w:szCs w:val="20"/>
        </w:rPr>
      </w:pPr>
      <w:r>
        <w:rPr>
          <w:szCs w:val="20"/>
        </w:rPr>
        <w:t>A</w:t>
      </w:r>
      <w:r w:rsidR="005D77AB" w:rsidRPr="005D77AB">
        <w:rPr>
          <w:szCs w:val="20"/>
        </w:rPr>
        <w:t xml:space="preserve">t </w:t>
      </w:r>
      <w:r>
        <w:rPr>
          <w:szCs w:val="20"/>
        </w:rPr>
        <w:t>the 2019 World Radiocommunication Conference (</w:t>
      </w:r>
      <w:r w:rsidR="005D77AB" w:rsidRPr="005D77AB">
        <w:rPr>
          <w:szCs w:val="20"/>
        </w:rPr>
        <w:t>WRC-19</w:t>
      </w:r>
      <w:r>
        <w:rPr>
          <w:szCs w:val="20"/>
        </w:rPr>
        <w:t>)</w:t>
      </w:r>
      <w:r w:rsidR="005D77AB" w:rsidRPr="005D77AB">
        <w:rPr>
          <w:szCs w:val="20"/>
        </w:rPr>
        <w:t xml:space="preserve">, changes were </w:t>
      </w:r>
      <w:r w:rsidR="000D5868">
        <w:rPr>
          <w:szCs w:val="20"/>
        </w:rPr>
        <w:br/>
      </w:r>
      <w:r w:rsidR="005D77AB" w:rsidRPr="005D77AB">
        <w:rPr>
          <w:szCs w:val="20"/>
        </w:rPr>
        <w:t xml:space="preserve">made to the ITU Radio Regulations regarding </w:t>
      </w:r>
      <w:r>
        <w:rPr>
          <w:szCs w:val="20"/>
        </w:rPr>
        <w:t xml:space="preserve">the use of </w:t>
      </w:r>
      <w:r w:rsidR="005D77AB" w:rsidRPr="005D77AB">
        <w:rPr>
          <w:szCs w:val="20"/>
        </w:rPr>
        <w:t xml:space="preserve">RLAN </w:t>
      </w:r>
      <w:r>
        <w:rPr>
          <w:szCs w:val="20"/>
        </w:rPr>
        <w:t xml:space="preserve">devices </w:t>
      </w:r>
      <w:r w:rsidR="005D77AB" w:rsidRPr="005D77AB">
        <w:rPr>
          <w:szCs w:val="20"/>
        </w:rPr>
        <w:t xml:space="preserve">in the </w:t>
      </w:r>
      <w:r w:rsidR="000D5868">
        <w:rPr>
          <w:szCs w:val="20"/>
        </w:rPr>
        <w:br/>
      </w:r>
      <w:r w:rsidR="005D77AB" w:rsidRPr="005D77AB">
        <w:rPr>
          <w:szCs w:val="20"/>
        </w:rPr>
        <w:t>5150</w:t>
      </w:r>
      <w:r w:rsidR="000D5868">
        <w:rPr>
          <w:szCs w:val="20"/>
        </w:rPr>
        <w:t>–</w:t>
      </w:r>
      <w:r w:rsidR="005D77AB" w:rsidRPr="005D77AB">
        <w:rPr>
          <w:szCs w:val="20"/>
        </w:rPr>
        <w:t>5250</w:t>
      </w:r>
      <w:r>
        <w:rPr>
          <w:szCs w:val="20"/>
        </w:rPr>
        <w:t> </w:t>
      </w:r>
      <w:r w:rsidR="005D77AB" w:rsidRPr="005D77AB">
        <w:rPr>
          <w:szCs w:val="20"/>
        </w:rPr>
        <w:t>MHz band, allowing use of higher</w:t>
      </w:r>
      <w:r w:rsidR="000D5868">
        <w:rPr>
          <w:szCs w:val="20"/>
        </w:rPr>
        <w:t>-</w:t>
      </w:r>
      <w:r w:rsidR="005D77AB" w:rsidRPr="005D77AB">
        <w:rPr>
          <w:szCs w:val="20"/>
        </w:rPr>
        <w:t xml:space="preserve">power devices and/or </w:t>
      </w:r>
      <w:r w:rsidR="00DD2452">
        <w:rPr>
          <w:szCs w:val="20"/>
        </w:rPr>
        <w:t xml:space="preserve">‘controlled and/or limited’ </w:t>
      </w:r>
      <w:r w:rsidR="005D77AB" w:rsidRPr="005D77AB">
        <w:rPr>
          <w:szCs w:val="20"/>
        </w:rPr>
        <w:t xml:space="preserve">outdoor operation. </w:t>
      </w:r>
      <w:r>
        <w:rPr>
          <w:szCs w:val="20"/>
        </w:rPr>
        <w:t xml:space="preserve">In the </w:t>
      </w:r>
      <w:r w:rsidRPr="005D77AB">
        <w:rPr>
          <w:szCs w:val="20"/>
        </w:rPr>
        <w:t>consultation paper</w:t>
      </w:r>
      <w:r w:rsidR="00EE5831">
        <w:rPr>
          <w:szCs w:val="20"/>
        </w:rPr>
        <w:t>s</w:t>
      </w:r>
      <w:r w:rsidR="00EE5831" w:rsidRPr="00EE5831">
        <w:t xml:space="preserve"> </w:t>
      </w:r>
      <w:hyperlink r:id="rId34" w:history="1">
        <w:r w:rsidR="00EE5831" w:rsidRPr="00EE5831">
          <w:rPr>
            <w:rStyle w:val="Hyperlink"/>
            <w:szCs w:val="20"/>
          </w:rPr>
          <w:t>Exploring RLAN use in the 5 GHz and 6 GHz bands</w:t>
        </w:r>
      </w:hyperlink>
      <w:r w:rsidR="00EE5831">
        <w:rPr>
          <w:szCs w:val="20"/>
        </w:rPr>
        <w:t xml:space="preserve"> and </w:t>
      </w:r>
      <w:hyperlink r:id="rId35" w:history="1">
        <w:r w:rsidRPr="005D77AB">
          <w:rPr>
            <w:rStyle w:val="Hyperlink"/>
            <w:szCs w:val="20"/>
          </w:rPr>
          <w:t xml:space="preserve">Proposed updates to the LIPD </w:t>
        </w:r>
        <w:r w:rsidR="00833DCE">
          <w:rPr>
            <w:rStyle w:val="Hyperlink"/>
            <w:szCs w:val="20"/>
          </w:rPr>
          <w:t>class licence</w:t>
        </w:r>
        <w:r w:rsidRPr="005D77AB">
          <w:rPr>
            <w:rStyle w:val="Hyperlink"/>
            <w:szCs w:val="20"/>
          </w:rPr>
          <w:t xml:space="preserve"> for 6 GHz RLANs</w:t>
        </w:r>
      </w:hyperlink>
      <w:r w:rsidR="005D77AB" w:rsidRPr="005D77AB">
        <w:rPr>
          <w:szCs w:val="20"/>
        </w:rPr>
        <w:t xml:space="preserve">, </w:t>
      </w:r>
      <w:r w:rsidR="005D77AB" w:rsidRPr="005D77AB">
        <w:t>we</w:t>
      </w:r>
      <w:r w:rsidR="005D77AB" w:rsidRPr="005D77AB">
        <w:rPr>
          <w:szCs w:val="20"/>
        </w:rPr>
        <w:t xml:space="preserve"> discussed the possibility of reflecting some or all of these changes in Australian arrangements. </w:t>
      </w:r>
      <w:r w:rsidRPr="005D77AB">
        <w:rPr>
          <w:szCs w:val="20"/>
        </w:rPr>
        <w:t xml:space="preserve">We </w:t>
      </w:r>
      <w:r w:rsidR="000D5868">
        <w:rPr>
          <w:szCs w:val="20"/>
        </w:rPr>
        <w:t xml:space="preserve">proposed </w:t>
      </w:r>
      <w:r w:rsidRPr="005D77AB">
        <w:rPr>
          <w:szCs w:val="20"/>
        </w:rPr>
        <w:t xml:space="preserve">to consider this matter during the next LIPD </w:t>
      </w:r>
      <w:r w:rsidR="00833DCE">
        <w:rPr>
          <w:szCs w:val="20"/>
        </w:rPr>
        <w:t>class licence</w:t>
      </w:r>
      <w:r w:rsidRPr="005D77AB">
        <w:rPr>
          <w:szCs w:val="20"/>
        </w:rPr>
        <w:t xml:space="preserve"> update in the </w:t>
      </w:r>
      <w:hyperlink r:id="rId36" w:history="1">
        <w:r w:rsidRPr="005D77AB">
          <w:rPr>
            <w:rStyle w:val="Hyperlink"/>
            <w:szCs w:val="20"/>
          </w:rPr>
          <w:t>outcomes paper</w:t>
        </w:r>
      </w:hyperlink>
      <w:r w:rsidR="005D77AB" w:rsidRPr="005D77AB">
        <w:rPr>
          <w:szCs w:val="20"/>
        </w:rPr>
        <w:t>.</w:t>
      </w:r>
      <w:r w:rsidR="00727C6C" w:rsidRPr="006D7AF0">
        <w:rPr>
          <w:szCs w:val="20"/>
        </w:rPr>
        <w:t xml:space="preserve"> </w:t>
      </w:r>
    </w:p>
    <w:p w14:paraId="121A2FE6" w14:textId="44EA7590" w:rsidR="00EE5831" w:rsidRPr="00E162C4" w:rsidRDefault="00EE5831" w:rsidP="00EE5831">
      <w:pPr>
        <w:pStyle w:val="Paragraph"/>
      </w:pPr>
      <w:r>
        <w:rPr>
          <w:szCs w:val="20"/>
        </w:rPr>
        <w:t xml:space="preserve">Current </w:t>
      </w:r>
      <w:r w:rsidR="00FB2412">
        <w:rPr>
          <w:szCs w:val="20"/>
        </w:rPr>
        <w:t xml:space="preserve">authorisations </w:t>
      </w:r>
      <w:r>
        <w:rPr>
          <w:szCs w:val="20"/>
        </w:rPr>
        <w:t xml:space="preserve">in the </w:t>
      </w:r>
      <w:r w:rsidRPr="00EE5831">
        <w:t xml:space="preserve">5150–5250 MHz </w:t>
      </w:r>
      <w:r>
        <w:t xml:space="preserve">band for RLAN devices are shown in Table </w:t>
      </w:r>
      <w:r w:rsidR="00994944">
        <w:t>4</w:t>
      </w:r>
      <w:r>
        <w:t>.</w:t>
      </w:r>
    </w:p>
    <w:p w14:paraId="11AC4C58" w14:textId="207D36FA" w:rsidR="00EE5831" w:rsidRPr="00E162C4" w:rsidRDefault="00FB2412" w:rsidP="00EE5831">
      <w:pPr>
        <w:pStyle w:val="Tableheading"/>
      </w:pPr>
      <w:r>
        <w:t xml:space="preserve">Authorisations </w:t>
      </w:r>
      <w:r w:rsidR="00EE5831">
        <w:t>for RLAN transmitters in the 5925</w:t>
      </w:r>
      <w:r w:rsidR="000D5868">
        <w:t>–</w:t>
      </w:r>
      <w:r w:rsidR="00EE5831">
        <w:t>6425 MHz band</w:t>
      </w:r>
    </w:p>
    <w:tbl>
      <w:tblPr>
        <w:tblStyle w:val="ACMAtablestyle"/>
        <w:tblW w:w="8217" w:type="dxa"/>
        <w:tblLayout w:type="fixed"/>
        <w:tblLook w:val="01E0" w:firstRow="1" w:lastRow="1" w:firstColumn="1" w:lastColumn="1" w:noHBand="0" w:noVBand="0"/>
        <w:tblCaption w:val="Table title to go here"/>
        <w:tblDescription w:val="Table description to go here"/>
      </w:tblPr>
      <w:tblGrid>
        <w:gridCol w:w="1644"/>
        <w:gridCol w:w="1644"/>
        <w:gridCol w:w="1643"/>
        <w:gridCol w:w="1643"/>
        <w:gridCol w:w="1643"/>
      </w:tblGrid>
      <w:tr w:rsidR="00EE5831" w:rsidRPr="00E162C4" w14:paraId="40E7C060" w14:textId="77777777" w:rsidTr="00CF1A8A">
        <w:trPr>
          <w:cnfStyle w:val="100000000000" w:firstRow="1" w:lastRow="0" w:firstColumn="0" w:lastColumn="0" w:oddVBand="0" w:evenVBand="0" w:oddHBand="0" w:evenHBand="0" w:firstRowFirstColumn="0" w:firstRowLastColumn="0" w:lastRowFirstColumn="0" w:lastRowLastColumn="0"/>
        </w:trPr>
        <w:tc>
          <w:tcPr>
            <w:tcW w:w="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9F991E1" w14:textId="77777777" w:rsidR="00EE5831" w:rsidRPr="00E162C4" w:rsidRDefault="00EE5831" w:rsidP="007A6250">
            <w:pPr>
              <w:pStyle w:val="TableBody"/>
            </w:pPr>
          </w:p>
        </w:tc>
        <w:tc>
          <w:tcPr>
            <w:tcW w:w="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65E2A46" w14:textId="77777777" w:rsidR="00EE5831" w:rsidRPr="00E162C4" w:rsidRDefault="00EE5831" w:rsidP="007A6250">
            <w:pPr>
              <w:pStyle w:val="Tableheaderrow"/>
            </w:pPr>
            <w:r w:rsidRPr="00686456">
              <w:t>Class of transmitter</w:t>
            </w:r>
          </w:p>
        </w:tc>
        <w:tc>
          <w:tcPr>
            <w:tcW w:w="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588887C" w14:textId="77777777" w:rsidR="00EE5831" w:rsidRPr="00E162C4" w:rsidRDefault="00EE5831" w:rsidP="007A6250">
            <w:pPr>
              <w:pStyle w:val="Tableheaderrow"/>
            </w:pPr>
            <w:r w:rsidRPr="00686456">
              <w:t>Permitted operating frequency band (MHz)</w:t>
            </w:r>
          </w:p>
        </w:tc>
        <w:tc>
          <w:tcPr>
            <w:tcW w:w="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1E8DAB5" w14:textId="77777777" w:rsidR="00EE5831" w:rsidRPr="00686456" w:rsidRDefault="00EE5831" w:rsidP="007A6250">
            <w:pPr>
              <w:pStyle w:val="Tableheaderrow"/>
            </w:pPr>
            <w:r w:rsidRPr="00686456">
              <w:t xml:space="preserve">Maximum EIRP </w:t>
            </w:r>
          </w:p>
          <w:p w14:paraId="6D1B2D8A" w14:textId="77777777" w:rsidR="00EE5831" w:rsidRPr="00E162C4" w:rsidRDefault="00EE5831" w:rsidP="007A6250">
            <w:pPr>
              <w:pStyle w:val="Tableheaderrow"/>
            </w:pPr>
          </w:p>
        </w:tc>
        <w:tc>
          <w:tcPr>
            <w:tcW w:w="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6AEF487" w14:textId="77777777" w:rsidR="00EE5831" w:rsidRPr="00A85C35" w:rsidRDefault="00EE5831" w:rsidP="007A6250">
            <w:pPr>
              <w:pStyle w:val="Tableheaderrow"/>
            </w:pPr>
            <w:r w:rsidRPr="00686456">
              <w:t>Limitations</w:t>
            </w:r>
          </w:p>
        </w:tc>
      </w:tr>
      <w:tr w:rsidR="00EE5831" w:rsidRPr="00E162C4" w14:paraId="6CA35E36" w14:textId="77777777" w:rsidTr="00CF1A8A">
        <w:trPr>
          <w:cnfStyle w:val="000000100000" w:firstRow="0" w:lastRow="0" w:firstColumn="0" w:lastColumn="0" w:oddVBand="0" w:evenVBand="0" w:oddHBand="1" w:evenHBand="0" w:firstRowFirstColumn="0" w:firstRowLastColumn="0" w:lastRowFirstColumn="0" w:lastRowLastColumn="0"/>
        </w:trPr>
        <w:tc>
          <w:tcPr>
            <w:tcW w:w="0" w:type="dxa"/>
            <w:tcBorders>
              <w:top w:val="single" w:sz="4" w:space="0" w:color="FFFFFF" w:themeColor="background1"/>
            </w:tcBorders>
          </w:tcPr>
          <w:p w14:paraId="15CBFAD8" w14:textId="76F0FECE" w:rsidR="00EE5831" w:rsidRPr="00E162C4" w:rsidRDefault="00EE5831" w:rsidP="007A6250">
            <w:pPr>
              <w:pStyle w:val="TableBody"/>
            </w:pPr>
            <w:r>
              <w:t>61</w:t>
            </w:r>
          </w:p>
        </w:tc>
        <w:tc>
          <w:tcPr>
            <w:tcW w:w="0" w:type="dxa"/>
            <w:tcBorders>
              <w:top w:val="single" w:sz="4" w:space="0" w:color="FFFFFF" w:themeColor="background1"/>
            </w:tcBorders>
          </w:tcPr>
          <w:p w14:paraId="4D62ED63" w14:textId="708E67E2" w:rsidR="00EE5831" w:rsidRPr="00E162C4" w:rsidRDefault="00EE5831" w:rsidP="007A6250">
            <w:pPr>
              <w:pStyle w:val="TableBody"/>
            </w:pPr>
            <w:r>
              <w:t xml:space="preserve">Radio </w:t>
            </w:r>
            <w:r w:rsidR="000D5868">
              <w:t>l</w:t>
            </w:r>
            <w:r>
              <w:t xml:space="preserve">ocal </w:t>
            </w:r>
            <w:r w:rsidR="000D5868">
              <w:t>a</w:t>
            </w:r>
            <w:r>
              <w:t xml:space="preserve">rea </w:t>
            </w:r>
            <w:r w:rsidR="000D5868">
              <w:t>n</w:t>
            </w:r>
            <w:r>
              <w:t>etwork transmitters</w:t>
            </w:r>
          </w:p>
        </w:tc>
        <w:tc>
          <w:tcPr>
            <w:tcW w:w="0" w:type="dxa"/>
            <w:tcBorders>
              <w:top w:val="single" w:sz="4" w:space="0" w:color="FFFFFF" w:themeColor="background1"/>
            </w:tcBorders>
          </w:tcPr>
          <w:p w14:paraId="6739BC4A" w14:textId="7A04B0B8" w:rsidR="00EE5831" w:rsidRPr="00E162C4" w:rsidRDefault="00EE5831" w:rsidP="007A6250">
            <w:pPr>
              <w:pStyle w:val="TableBody"/>
            </w:pPr>
            <w:r>
              <w:t>5150–5250</w:t>
            </w:r>
          </w:p>
        </w:tc>
        <w:tc>
          <w:tcPr>
            <w:tcW w:w="0" w:type="dxa"/>
            <w:tcBorders>
              <w:top w:val="single" w:sz="4" w:space="0" w:color="FFFFFF" w:themeColor="background1"/>
            </w:tcBorders>
          </w:tcPr>
          <w:p w14:paraId="2CF94E1B" w14:textId="0F407CE8" w:rsidR="00EE5831" w:rsidRPr="00E162C4" w:rsidRDefault="00EE5831" w:rsidP="007A6250">
            <w:pPr>
              <w:pStyle w:val="TableBody"/>
            </w:pPr>
            <w:r w:rsidRPr="00EE5831">
              <w:t>200 mW (averaged over the entire transmission burst)</w:t>
            </w:r>
          </w:p>
        </w:tc>
        <w:tc>
          <w:tcPr>
            <w:tcW w:w="0" w:type="dxa"/>
            <w:tcBorders>
              <w:top w:val="single" w:sz="4" w:space="0" w:color="FFFFFF" w:themeColor="background1"/>
            </w:tcBorders>
          </w:tcPr>
          <w:p w14:paraId="733638DF" w14:textId="77777777" w:rsidR="00EE5831" w:rsidRPr="00F15F18" w:rsidRDefault="00EE5831" w:rsidP="007A6250">
            <w:pPr>
              <w:pStyle w:val="TableBody"/>
            </w:pPr>
            <w:r w:rsidRPr="00265EB7">
              <w:rPr>
                <w:bCs/>
              </w:rPr>
              <w:t>(a)</w:t>
            </w:r>
            <w:r w:rsidRPr="00265EB7">
              <w:rPr>
                <w:bCs/>
              </w:rPr>
              <w:tab/>
            </w:r>
            <w:r w:rsidRPr="00F15F18">
              <w:t>The transmitter must only be used indoors.</w:t>
            </w:r>
          </w:p>
          <w:p w14:paraId="0230C5C4" w14:textId="1AEDC2C2" w:rsidR="00EE5831" w:rsidRPr="00F15F18" w:rsidRDefault="00EE5831" w:rsidP="007A6250">
            <w:pPr>
              <w:pStyle w:val="TableBody"/>
            </w:pPr>
            <w:r w:rsidRPr="00F15F18">
              <w:t>(b)</w:t>
            </w:r>
            <w:r w:rsidRPr="00F15F18">
              <w:tab/>
              <w:t xml:space="preserve">The power spectral density of the transmitter </w:t>
            </w:r>
            <w:r w:rsidRPr="00EE5831">
              <w:t>with a bandwidth greater than or equal to 1 MHz must not exceed 10</w:t>
            </w:r>
            <w:r>
              <w:t> </w:t>
            </w:r>
            <w:r w:rsidRPr="00EE5831">
              <w:t xml:space="preserve">mW EIRP per MHz. </w:t>
            </w:r>
          </w:p>
          <w:p w14:paraId="241FA255" w14:textId="093E3B42" w:rsidR="00EE5831" w:rsidRPr="00E162C4" w:rsidRDefault="00EE5831" w:rsidP="007A6250">
            <w:pPr>
              <w:pStyle w:val="TableBody"/>
            </w:pPr>
            <w:r w:rsidRPr="00265EB7">
              <w:t>(c)</w:t>
            </w:r>
            <w:r w:rsidRPr="00265EB7">
              <w:tab/>
            </w:r>
            <w:r w:rsidRPr="00EE5831">
              <w:t>The power spectral density of a transmitter with a bandwidth less than 1</w:t>
            </w:r>
            <w:r>
              <w:t> </w:t>
            </w:r>
            <w:r w:rsidRPr="00EE5831">
              <w:t xml:space="preserve">MHz must not exceed 40 μW EIRP </w:t>
            </w:r>
            <w:r w:rsidR="000D5868">
              <w:br/>
            </w:r>
            <w:r w:rsidRPr="00EE5831">
              <w:t>per 4</w:t>
            </w:r>
            <w:r>
              <w:t> </w:t>
            </w:r>
            <w:r w:rsidRPr="00EE5831">
              <w:t>kHz.</w:t>
            </w:r>
          </w:p>
        </w:tc>
      </w:tr>
    </w:tbl>
    <w:p w14:paraId="1624B407" w14:textId="798730B5" w:rsidR="00EE5831" w:rsidRDefault="00EE5831" w:rsidP="00EE5831">
      <w:pPr>
        <w:pStyle w:val="Paragraph"/>
      </w:pPr>
    </w:p>
    <w:p w14:paraId="52647FD9" w14:textId="2EC86E69" w:rsidR="00DE1FB4" w:rsidRDefault="00DE1FB4" w:rsidP="00EE5831">
      <w:pPr>
        <w:pStyle w:val="Paragraph"/>
      </w:pPr>
      <w:r>
        <w:t xml:space="preserve">In response to the 5 GHz and </w:t>
      </w:r>
      <w:r w:rsidR="007406A8">
        <w:t>6</w:t>
      </w:r>
      <w:r>
        <w:t xml:space="preserve"> GHz RLAN consultation papers, several submissions supported the implementation of the conclusions of WRC-19 in Australia. </w:t>
      </w:r>
      <w:r w:rsidRPr="00DE1FB4">
        <w:t>Th</w:t>
      </w:r>
      <w:r w:rsidR="000D5868">
        <w:t>ey wanted to allow</w:t>
      </w:r>
      <w:r w:rsidRPr="00DE1FB4">
        <w:t xml:space="preserve"> devices to operate outdoors in </w:t>
      </w:r>
      <w:r>
        <w:t>the 5150–5250 band</w:t>
      </w:r>
      <w:r w:rsidR="000D5868">
        <w:t xml:space="preserve">. They supported </w:t>
      </w:r>
      <w:r w:rsidRPr="00DE1FB4">
        <w:t>allowing higher power (up to 1 W) if an appropriate emission mask was applied to the power transmitted at a range of elevation angles</w:t>
      </w:r>
      <w:r w:rsidR="00012CCD">
        <w:t xml:space="preserve">. This </w:t>
      </w:r>
      <w:r w:rsidR="007406A8">
        <w:t>provide</w:t>
      </w:r>
      <w:r w:rsidR="00012CCD">
        <w:t>s</w:t>
      </w:r>
      <w:r w:rsidR="007406A8">
        <w:t xml:space="preserve"> protection to satellite receivers from aggregate </w:t>
      </w:r>
      <w:r w:rsidR="00AD14E2">
        <w:t>emissions of</w:t>
      </w:r>
      <w:r w:rsidR="007406A8">
        <w:t xml:space="preserve"> RLAN transmitters</w:t>
      </w:r>
      <w:r w:rsidRPr="00DE1FB4">
        <w:t>.</w:t>
      </w:r>
      <w:r w:rsidR="00E9774D">
        <w:t xml:space="preserve"> Some submissions supported </w:t>
      </w:r>
      <w:r>
        <w:t>implementation of the arrangements in place in the United States</w:t>
      </w:r>
      <w:r w:rsidR="00012CCD">
        <w:t>,</w:t>
      </w:r>
      <w:r w:rsidR="00E9774D">
        <w:t xml:space="preserve"> which allow maximum power of 4 W EIRP.</w:t>
      </w:r>
      <w:r>
        <w:t xml:space="preserve"> </w:t>
      </w:r>
    </w:p>
    <w:p w14:paraId="7DDBFB04" w14:textId="51B13400" w:rsidR="00EE5831" w:rsidRDefault="00EE5831" w:rsidP="00EE5831">
      <w:pPr>
        <w:pStyle w:val="Heading3"/>
      </w:pPr>
      <w:r>
        <w:lastRenderedPageBreak/>
        <w:t>Proposal</w:t>
      </w:r>
    </w:p>
    <w:p w14:paraId="6F4144F5" w14:textId="06099F35" w:rsidR="000D1100" w:rsidRDefault="00EE5831" w:rsidP="00CF1A8A">
      <w:pPr>
        <w:pStyle w:val="Paragraphbeforelist"/>
      </w:pPr>
      <w:r>
        <w:t xml:space="preserve">The draft </w:t>
      </w:r>
      <w:r w:rsidR="00012CCD">
        <w:t>v</w:t>
      </w:r>
      <w:r>
        <w:t xml:space="preserve">ariation attached to this paper shows </w:t>
      </w:r>
      <w:r w:rsidR="000D1100">
        <w:t>two options</w:t>
      </w:r>
      <w:r w:rsidR="00FB2412">
        <w:rPr>
          <w:rStyle w:val="FootnoteReference"/>
        </w:rPr>
        <w:footnoteReference w:id="9"/>
      </w:r>
      <w:r w:rsidR="000D1100">
        <w:t xml:space="preserve"> to </w:t>
      </w:r>
      <w:r>
        <w:t>facilitate these devices</w:t>
      </w:r>
      <w:r w:rsidR="000D1100">
        <w:t xml:space="preserve"> by either:</w:t>
      </w:r>
    </w:p>
    <w:p w14:paraId="6A146508" w14:textId="784AE120" w:rsidR="000D1100" w:rsidRDefault="00012CCD" w:rsidP="00CF1A8A">
      <w:pPr>
        <w:pStyle w:val="Bulletlevel1"/>
      </w:pPr>
      <w:r>
        <w:t>i</w:t>
      </w:r>
      <w:r w:rsidR="000D1100">
        <w:t xml:space="preserve">ntroducing a new item in Schedule 1 </w:t>
      </w:r>
      <w:r w:rsidR="00FB2412">
        <w:t>to</w:t>
      </w:r>
      <w:r w:rsidR="000D1100">
        <w:t xml:space="preserve"> the LIPD class licence</w:t>
      </w:r>
    </w:p>
    <w:p w14:paraId="44CACC5E" w14:textId="6BAB6F80" w:rsidR="000D1100" w:rsidRDefault="00012CCD" w:rsidP="000D1100">
      <w:pPr>
        <w:pStyle w:val="ListBulletLast"/>
      </w:pPr>
      <w:r>
        <w:t>r</w:t>
      </w:r>
      <w:r w:rsidR="000D1100">
        <w:t xml:space="preserve">eplacing existing item 61 in Schedule 1 </w:t>
      </w:r>
      <w:r w:rsidR="00FB2412">
        <w:t>to</w:t>
      </w:r>
      <w:r w:rsidR="000D1100">
        <w:t xml:space="preserve"> the LIPD class licence. </w:t>
      </w:r>
    </w:p>
    <w:p w14:paraId="5D10F134" w14:textId="24BE903B" w:rsidR="000D1100" w:rsidRDefault="000D1100" w:rsidP="000D1100">
      <w:pPr>
        <w:pStyle w:val="Paragraph"/>
      </w:pPr>
      <w:r>
        <w:t>Comment is sought on whether operations under current item 61 can continue under the proposed new arrangements (which will include an emission mark</w:t>
      </w:r>
      <w:r w:rsidR="00BD3B7A">
        <w:t>,</w:t>
      </w:r>
      <w:r>
        <w:t xml:space="preserve"> as discussed below). If this is the case, the preference is to replace the existing item. However, if there are operations under the existing arrangements that would not meet the new requirements, introduction of a new item is preferred</w:t>
      </w:r>
      <w:r w:rsidR="00BD3B7A">
        <w:t>,</w:t>
      </w:r>
      <w:r>
        <w:t xml:space="preserve"> as not </w:t>
      </w:r>
      <w:r w:rsidR="00BD3B7A">
        <w:t xml:space="preserve">to </w:t>
      </w:r>
      <w:r>
        <w:t xml:space="preserve">inadvertently prohibit existing operations. </w:t>
      </w:r>
    </w:p>
    <w:p w14:paraId="6E023ADE" w14:textId="18BAC06B" w:rsidR="000D1100" w:rsidRPr="00E162C4" w:rsidRDefault="000D1100" w:rsidP="000D1100">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E162C4">
        <w:t xml:space="preserve">Question </w:t>
      </w:r>
      <w:r w:rsidR="00A1075A">
        <w:t>1</w:t>
      </w:r>
    </w:p>
    <w:p w14:paraId="669954D3" w14:textId="2122AF27" w:rsidR="000D1100" w:rsidRPr="00E162C4" w:rsidRDefault="00012CCD" w:rsidP="000D1100">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Should a separate new item be introduced to facilitate higher-power RLAN transmitters in 5150–5250 MHz, or should existing item 61 be modified?</w:t>
      </w:r>
    </w:p>
    <w:p w14:paraId="1FC36CFC" w14:textId="4AA62277" w:rsidR="002E6899" w:rsidRDefault="00EE5831" w:rsidP="00CF1A8A">
      <w:pPr>
        <w:pStyle w:val="Paragraphbeforelist"/>
      </w:pPr>
      <w:r>
        <w:t xml:space="preserve">We propose to </w:t>
      </w:r>
      <w:r w:rsidR="00F67FA7">
        <w:t xml:space="preserve">allow outdoor use with a maximum EIRP of 1 W </w:t>
      </w:r>
      <w:r w:rsidR="007A5EF9">
        <w:t xml:space="preserve">(30 dBm) </w:t>
      </w:r>
      <w:r w:rsidR="00F67FA7">
        <w:t>in line with</w:t>
      </w:r>
      <w:r w:rsidR="00F67FA7" w:rsidRPr="00F67FA7">
        <w:t xml:space="preserve"> ITU Resolution </w:t>
      </w:r>
      <w:r w:rsidR="00F67FA7" w:rsidRPr="00012CCD">
        <w:t>229 (Rev. WRC-19).</w:t>
      </w:r>
      <w:r w:rsidR="00F67FA7">
        <w:t xml:space="preserve"> </w:t>
      </w:r>
      <w:r w:rsidR="00190B6B">
        <w:t xml:space="preserve">We seek comment on which of the </w:t>
      </w:r>
      <w:r w:rsidR="002E6899">
        <w:t xml:space="preserve">following </w:t>
      </w:r>
      <w:r w:rsidR="00190B6B">
        <w:t xml:space="preserve">simple emission masks outlined in </w:t>
      </w:r>
      <w:r w:rsidR="00190B6B" w:rsidRPr="00F67FA7">
        <w:t xml:space="preserve">ITU Resolution </w:t>
      </w:r>
      <w:r w:rsidR="00190B6B" w:rsidRPr="00012CCD">
        <w:t>229 (Rev. WRC-19)</w:t>
      </w:r>
      <w:r w:rsidR="00190B6B">
        <w:t xml:space="preserve"> should be implemented in Australia</w:t>
      </w:r>
      <w:r w:rsidR="00BD3B7A">
        <w:t>,</w:t>
      </w:r>
      <w:r w:rsidR="007F3E5A">
        <w:rPr>
          <w:rStyle w:val="FootnoteReference"/>
        </w:rPr>
        <w:footnoteReference w:id="10"/>
      </w:r>
      <w:r w:rsidR="002E6899">
        <w:t xml:space="preserve"> either:</w:t>
      </w:r>
    </w:p>
    <w:p w14:paraId="52AAAD85" w14:textId="62850B04" w:rsidR="002E6899" w:rsidRDefault="002E6899" w:rsidP="002E6899">
      <w:pPr>
        <w:pStyle w:val="ListBullet"/>
      </w:pPr>
      <w:r w:rsidRPr="002E6899">
        <w:t xml:space="preserve">the maximum </w:t>
      </w:r>
      <w:r w:rsidR="00FB2412">
        <w:t>EIRP</w:t>
      </w:r>
      <w:r w:rsidRPr="002E6899">
        <w:t xml:space="preserve"> at any elevation angle above 5 degrees</w:t>
      </w:r>
      <w:r w:rsidR="00DF64A8">
        <w:t>,</w:t>
      </w:r>
      <w:r w:rsidRPr="002E6899">
        <w:t xml:space="preserve"> as measured from the horizon</w:t>
      </w:r>
      <w:r w:rsidR="00DF64A8">
        <w:t>,</w:t>
      </w:r>
      <w:r w:rsidRPr="002E6899">
        <w:t xml:space="preserve"> shall not exceed 200 mW (23 dBm) </w:t>
      </w:r>
    </w:p>
    <w:p w14:paraId="2F75C19A" w14:textId="014C0617" w:rsidR="002E6899" w:rsidRDefault="002E6899" w:rsidP="002E6899">
      <w:pPr>
        <w:pStyle w:val="Bulletlevel1last"/>
      </w:pPr>
      <w:r w:rsidRPr="002E6899">
        <w:t xml:space="preserve">the maximum </w:t>
      </w:r>
      <w:r w:rsidR="00FB2412">
        <w:t>EIRP</w:t>
      </w:r>
      <w:r w:rsidRPr="002E6899">
        <w:t xml:space="preserve"> at any elevation angle above 30 degrees</w:t>
      </w:r>
      <w:r w:rsidR="00DF64A8">
        <w:t>,</w:t>
      </w:r>
      <w:r w:rsidRPr="002E6899">
        <w:t xml:space="preserve"> as measured from the horizon shall not exceed 125 mW (21 dBm)</w:t>
      </w:r>
      <w:r w:rsidR="00A34933">
        <w:t>.</w:t>
      </w:r>
    </w:p>
    <w:p w14:paraId="5391023E" w14:textId="4437A3F8" w:rsidR="002E6899" w:rsidRPr="00E162C4" w:rsidRDefault="002E6899" w:rsidP="002E6899">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E162C4">
        <w:t xml:space="preserve">Question </w:t>
      </w:r>
      <w:r w:rsidR="00A1075A">
        <w:t>2</w:t>
      </w:r>
    </w:p>
    <w:p w14:paraId="7D0FE16E" w14:textId="398FB72A" w:rsidR="002E6899" w:rsidRPr="00E162C4" w:rsidRDefault="00012CCD" w:rsidP="002E6899">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Which of the 2 simple emission masks outlined in ITU Resolution 229 (Rev. WRC-19) should be implemented in Australia for 1 W RLAN transmitters in the 5150–5250 MHz band?</w:t>
      </w:r>
    </w:p>
    <w:p w14:paraId="7E583483" w14:textId="720DFFA3" w:rsidR="0016057C" w:rsidRDefault="0016057C" w:rsidP="00F359BF">
      <w:pPr>
        <w:pStyle w:val="Paragraph"/>
      </w:pPr>
      <w:r>
        <w:t xml:space="preserve">In the consultation paper </w:t>
      </w:r>
      <w:hyperlink r:id="rId37" w:history="1">
        <w:r w:rsidRPr="005D77AB">
          <w:rPr>
            <w:rStyle w:val="Hyperlink"/>
            <w:szCs w:val="20"/>
          </w:rPr>
          <w:t xml:space="preserve">Proposed updates to the LIPD </w:t>
        </w:r>
        <w:r w:rsidR="00833DCE">
          <w:rPr>
            <w:rStyle w:val="Hyperlink"/>
            <w:szCs w:val="20"/>
          </w:rPr>
          <w:t>class licence</w:t>
        </w:r>
        <w:r w:rsidRPr="005D77AB">
          <w:rPr>
            <w:rStyle w:val="Hyperlink"/>
            <w:szCs w:val="20"/>
          </w:rPr>
          <w:t xml:space="preserve"> for 6 GHz RLANs</w:t>
        </w:r>
      </w:hyperlink>
      <w:r w:rsidRPr="005D77AB">
        <w:rPr>
          <w:szCs w:val="20"/>
        </w:rPr>
        <w:t xml:space="preserve">, </w:t>
      </w:r>
      <w:r w:rsidRPr="005D77AB">
        <w:t>w</w:t>
      </w:r>
      <w:r>
        <w:t>here we discussed changes to the 5150</w:t>
      </w:r>
      <w:r w:rsidR="001F3B4A">
        <w:t>–</w:t>
      </w:r>
      <w:r>
        <w:t>5250 MHz band, we sought views on the implementation of a registration system or apparatus licensing for high</w:t>
      </w:r>
      <w:r w:rsidR="001F3B4A">
        <w:t>-</w:t>
      </w:r>
      <w:r>
        <w:t>power devices</w:t>
      </w:r>
      <w:r w:rsidR="00052C20">
        <w:t xml:space="preserve"> being considered in the 6 GHz band</w:t>
      </w:r>
      <w:r>
        <w:t xml:space="preserve">. </w:t>
      </w:r>
      <w:r w:rsidR="00052C20" w:rsidRPr="00052C20">
        <w:t>Most respondents agreed that if there were to be higher</w:t>
      </w:r>
      <w:r w:rsidR="006E2C6C">
        <w:t>-</w:t>
      </w:r>
      <w:r w:rsidR="00052C20" w:rsidRPr="00052C20">
        <w:t>power devices operating in the band, they should not be required to use the coexistence management methods being considered for standard</w:t>
      </w:r>
      <w:r w:rsidR="009C41F9">
        <w:t>-</w:t>
      </w:r>
      <w:r w:rsidR="00052C20" w:rsidRPr="00052C20">
        <w:t>power devices in the 6 GHz band. Common reasons for this view were that these devices have been authorised elsewhere without additional administration, and that the 5 GHz and 6 GHz bands differ in terms of incumbency issues and protection requirements.</w:t>
      </w:r>
    </w:p>
    <w:p w14:paraId="1BE6D608" w14:textId="0BD82529" w:rsidR="00913AB4" w:rsidRDefault="006A7DF5" w:rsidP="00716703">
      <w:pPr>
        <w:pStyle w:val="Paragraph"/>
        <w:rPr>
          <w:szCs w:val="20"/>
        </w:rPr>
      </w:pPr>
      <w:r>
        <w:t>G</w:t>
      </w:r>
      <w:r w:rsidR="00052C20">
        <w:t xml:space="preserve">iven the proposed use of an emission mask to facilitate coexistence with incumbent services in this band, </w:t>
      </w:r>
      <w:r w:rsidR="007F3E5A">
        <w:t xml:space="preserve">and the proposed adoption of a power increase to 1 W (30 dBm) rather than the 4 W (36 dBm) adopted in </w:t>
      </w:r>
      <w:r w:rsidR="00475CB5">
        <w:t>other jurisdictions</w:t>
      </w:r>
      <w:r w:rsidR="007F3E5A">
        <w:t xml:space="preserve">, </w:t>
      </w:r>
      <w:r>
        <w:t>we</w:t>
      </w:r>
      <w:r w:rsidR="006D420A">
        <w:t xml:space="preserve"> a</w:t>
      </w:r>
      <w:r>
        <w:t>re not</w:t>
      </w:r>
      <w:r w:rsidR="00A34933">
        <w:t xml:space="preserve"> </w:t>
      </w:r>
      <w:r>
        <w:t xml:space="preserve">convinced that </w:t>
      </w:r>
      <w:r w:rsidR="00AD14E2">
        <w:rPr>
          <w:szCs w:val="20"/>
        </w:rPr>
        <w:t xml:space="preserve">additional </w:t>
      </w:r>
      <w:r w:rsidR="00475CB5">
        <w:rPr>
          <w:szCs w:val="20"/>
        </w:rPr>
        <w:t xml:space="preserve">measures </w:t>
      </w:r>
      <w:r w:rsidR="00F67FA7">
        <w:rPr>
          <w:szCs w:val="20"/>
        </w:rPr>
        <w:t xml:space="preserve">such as registration of devices </w:t>
      </w:r>
      <w:r w:rsidR="00EC2F32">
        <w:rPr>
          <w:szCs w:val="20"/>
        </w:rPr>
        <w:t>would</w:t>
      </w:r>
      <w:r>
        <w:rPr>
          <w:szCs w:val="20"/>
        </w:rPr>
        <w:t xml:space="preserve"> be necessary</w:t>
      </w:r>
      <w:r w:rsidR="00F67FA7">
        <w:rPr>
          <w:szCs w:val="20"/>
        </w:rPr>
        <w:t xml:space="preserve"> for the 5150-5250 MHz band</w:t>
      </w:r>
      <w:r w:rsidR="009C41F9">
        <w:rPr>
          <w:szCs w:val="20"/>
        </w:rPr>
        <w:t>. H</w:t>
      </w:r>
      <w:r>
        <w:rPr>
          <w:szCs w:val="20"/>
        </w:rPr>
        <w:t>owever</w:t>
      </w:r>
      <w:r w:rsidR="00FB2412">
        <w:rPr>
          <w:szCs w:val="20"/>
        </w:rPr>
        <w:t>, we</w:t>
      </w:r>
      <w:r>
        <w:rPr>
          <w:szCs w:val="20"/>
        </w:rPr>
        <w:t xml:space="preserve"> </w:t>
      </w:r>
      <w:r w:rsidR="00EC2F32">
        <w:rPr>
          <w:szCs w:val="20"/>
        </w:rPr>
        <w:t xml:space="preserve">remain </w:t>
      </w:r>
      <w:r>
        <w:rPr>
          <w:szCs w:val="20"/>
        </w:rPr>
        <w:t>open to feedback</w:t>
      </w:r>
      <w:r w:rsidR="00F67FA7">
        <w:rPr>
          <w:szCs w:val="20"/>
        </w:rPr>
        <w:t>.</w:t>
      </w:r>
    </w:p>
    <w:p w14:paraId="6D5B28B4" w14:textId="68879DB3" w:rsidR="006A7DF5" w:rsidRPr="006A7DF5" w:rsidRDefault="00913AB4" w:rsidP="00716703">
      <w:pPr>
        <w:pStyle w:val="Paragraph"/>
        <w:rPr>
          <w:szCs w:val="20"/>
        </w:rPr>
      </w:pPr>
      <w:r>
        <w:rPr>
          <w:szCs w:val="20"/>
        </w:rPr>
        <w:t>In Canada, the use of higher</w:t>
      </w:r>
      <w:r w:rsidR="009C41F9">
        <w:rPr>
          <w:szCs w:val="20"/>
        </w:rPr>
        <w:t>-</w:t>
      </w:r>
      <w:r>
        <w:rPr>
          <w:szCs w:val="20"/>
        </w:rPr>
        <w:t>power RLAN devices are authorised for both indoor and outdoor use in the 5150</w:t>
      </w:r>
      <w:r w:rsidR="009C41F9">
        <w:rPr>
          <w:szCs w:val="20"/>
        </w:rPr>
        <w:t>–</w:t>
      </w:r>
      <w:r>
        <w:rPr>
          <w:szCs w:val="20"/>
        </w:rPr>
        <w:t>5250 MHz band under a licensed regime</w:t>
      </w:r>
      <w:r w:rsidR="009C41F9">
        <w:rPr>
          <w:szCs w:val="20"/>
        </w:rPr>
        <w:t>.</w:t>
      </w:r>
      <w:r>
        <w:rPr>
          <w:rStyle w:val="FootnoteReference"/>
          <w:szCs w:val="20"/>
        </w:rPr>
        <w:footnoteReference w:id="11"/>
      </w:r>
      <w:r>
        <w:rPr>
          <w:szCs w:val="20"/>
        </w:rPr>
        <w:t xml:space="preserve"> Applications are accepted from</w:t>
      </w:r>
      <w:r w:rsidRPr="00913AB4">
        <w:t xml:space="preserve"> </w:t>
      </w:r>
      <w:r w:rsidRPr="00913AB4">
        <w:rPr>
          <w:szCs w:val="20"/>
        </w:rPr>
        <w:t xml:space="preserve">radiocommunication service providers but not from radiocommunication users who wish to operate </w:t>
      </w:r>
      <w:r>
        <w:rPr>
          <w:szCs w:val="20"/>
        </w:rPr>
        <w:t>these devices</w:t>
      </w:r>
      <w:r w:rsidRPr="00913AB4">
        <w:rPr>
          <w:szCs w:val="20"/>
        </w:rPr>
        <w:t xml:space="preserve"> for personal use.</w:t>
      </w:r>
      <w:r>
        <w:rPr>
          <w:szCs w:val="20"/>
        </w:rPr>
        <w:t xml:space="preserve"> Licences </w:t>
      </w:r>
      <w:r w:rsidR="003568A9">
        <w:rPr>
          <w:szCs w:val="20"/>
        </w:rPr>
        <w:t>are</w:t>
      </w:r>
      <w:r w:rsidRPr="00913AB4">
        <w:rPr>
          <w:szCs w:val="20"/>
        </w:rPr>
        <w:t xml:space="preserve"> </w:t>
      </w:r>
      <w:r w:rsidR="003568A9">
        <w:rPr>
          <w:szCs w:val="20"/>
        </w:rPr>
        <w:t xml:space="preserve">issued </w:t>
      </w:r>
      <w:r w:rsidRPr="00913AB4">
        <w:rPr>
          <w:szCs w:val="20"/>
        </w:rPr>
        <w:t xml:space="preserve">on an </w:t>
      </w:r>
      <w:r w:rsidRPr="00913AB4">
        <w:rPr>
          <w:szCs w:val="20"/>
        </w:rPr>
        <w:lastRenderedPageBreak/>
        <w:t>all-come</w:t>
      </w:r>
      <w:r w:rsidR="005C61EC">
        <w:rPr>
          <w:szCs w:val="20"/>
        </w:rPr>
        <w:t>,</w:t>
      </w:r>
      <w:r w:rsidRPr="00913AB4">
        <w:rPr>
          <w:szCs w:val="20"/>
        </w:rPr>
        <w:t xml:space="preserve"> all-served basis, and all licences have equal access to the spectrum.</w:t>
      </w:r>
      <w:r>
        <w:rPr>
          <w:szCs w:val="20"/>
        </w:rPr>
        <w:t xml:space="preserve"> C</w:t>
      </w:r>
      <w:r w:rsidRPr="00913AB4">
        <w:rPr>
          <w:szCs w:val="20"/>
        </w:rPr>
        <w:t xml:space="preserve">onditions </w:t>
      </w:r>
      <w:r>
        <w:rPr>
          <w:szCs w:val="20"/>
        </w:rPr>
        <w:t xml:space="preserve">on the licences </w:t>
      </w:r>
      <w:r w:rsidRPr="00913AB4">
        <w:rPr>
          <w:szCs w:val="20"/>
        </w:rPr>
        <w:t>include an obligation to comply with technical requirements and with any technical directions issued by Innovation, Science and Economic Development Canada</w:t>
      </w:r>
      <w:r>
        <w:rPr>
          <w:szCs w:val="20"/>
        </w:rPr>
        <w:t xml:space="preserve"> </w:t>
      </w:r>
      <w:r w:rsidRPr="00913AB4">
        <w:rPr>
          <w:szCs w:val="20"/>
        </w:rPr>
        <w:t>during the licence term.</w:t>
      </w:r>
      <w:r>
        <w:rPr>
          <w:szCs w:val="20"/>
        </w:rPr>
        <w:t xml:space="preserve"> These arrangements </w:t>
      </w:r>
      <w:r w:rsidR="00470EDE">
        <w:rPr>
          <w:szCs w:val="20"/>
        </w:rPr>
        <w:t xml:space="preserve">provide </w:t>
      </w:r>
      <w:r w:rsidR="009A549E">
        <w:rPr>
          <w:szCs w:val="20"/>
        </w:rPr>
        <w:t>a mechanism to modify operation of widespread high</w:t>
      </w:r>
      <w:r w:rsidR="005C61EC">
        <w:rPr>
          <w:szCs w:val="20"/>
        </w:rPr>
        <w:t>-</w:t>
      </w:r>
      <w:r w:rsidR="009A549E">
        <w:rPr>
          <w:szCs w:val="20"/>
        </w:rPr>
        <w:t xml:space="preserve">power outdoor networks in the future if any issues </w:t>
      </w:r>
      <w:r w:rsidR="005C61EC">
        <w:rPr>
          <w:szCs w:val="20"/>
        </w:rPr>
        <w:t xml:space="preserve">are </w:t>
      </w:r>
      <w:r w:rsidR="009A549E">
        <w:rPr>
          <w:szCs w:val="20"/>
        </w:rPr>
        <w:t>identified in operation.</w:t>
      </w:r>
      <w:r w:rsidRPr="00913AB4">
        <w:rPr>
          <w:szCs w:val="20"/>
        </w:rPr>
        <w:t xml:space="preserve"> </w:t>
      </w:r>
    </w:p>
    <w:p w14:paraId="5D357BE6" w14:textId="5FD3D125" w:rsidR="006A7DF5" w:rsidRPr="00E162C4" w:rsidRDefault="006A7DF5" w:rsidP="006A7DF5">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E162C4">
        <w:t xml:space="preserve">Question </w:t>
      </w:r>
      <w:r>
        <w:t>3</w:t>
      </w:r>
    </w:p>
    <w:p w14:paraId="328D2F45" w14:textId="34BBA6B2" w:rsidR="006A7DF5" w:rsidRPr="00F359BF" w:rsidRDefault="00012CCD" w:rsidP="00716703">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rPr>
          <w:szCs w:val="20"/>
        </w:rPr>
      </w:pPr>
      <w:r>
        <w:t>Subject to which emission mask is implemented (see Question 2), would a device registration system (or similar – see Canadian approach above) be needed for outdoor deployments exceeding 200 mW (23 dBm) transmission power? Note that such a regime would require further regulatory development. Accordingly, a decision to implement such a regime may delay access under those arrangements.</w:t>
      </w:r>
    </w:p>
    <w:p w14:paraId="16155477" w14:textId="1EF3052E" w:rsidR="005D77AB" w:rsidRPr="00482E5F" w:rsidRDefault="005D77AB" w:rsidP="00482E5F">
      <w:pPr>
        <w:pStyle w:val="Heading2"/>
      </w:pPr>
      <w:bookmarkStart w:id="27" w:name="_Toc117072411"/>
      <w:r>
        <w:t xml:space="preserve">Definition of </w:t>
      </w:r>
      <w:r w:rsidR="001F3B4A">
        <w:t>‘</w:t>
      </w:r>
      <w:r>
        <w:t>indoor</w:t>
      </w:r>
      <w:r w:rsidR="001F3B4A">
        <w:t>’</w:t>
      </w:r>
      <w:bookmarkEnd w:id="27"/>
    </w:p>
    <w:p w14:paraId="7EC87B52" w14:textId="55A24BF2" w:rsidR="00B41860" w:rsidRDefault="00B41860" w:rsidP="005D77AB">
      <w:pPr>
        <w:pStyle w:val="Paragraph"/>
      </w:pPr>
      <w:r>
        <w:t xml:space="preserve">Periodically, </w:t>
      </w:r>
      <w:r w:rsidR="005D77AB" w:rsidRPr="005D77AB">
        <w:t xml:space="preserve">the lack of an explicit definition of the word </w:t>
      </w:r>
      <w:r w:rsidR="005C61EC">
        <w:t>‘</w:t>
      </w:r>
      <w:r w:rsidR="005D77AB" w:rsidRPr="005D77AB">
        <w:t>indoor</w:t>
      </w:r>
      <w:r w:rsidR="005C61EC">
        <w:t>’</w:t>
      </w:r>
      <w:r w:rsidR="005D77AB" w:rsidRPr="005D77AB">
        <w:t xml:space="preserve"> in the LIPD </w:t>
      </w:r>
      <w:r w:rsidR="00833DCE">
        <w:t>class licence</w:t>
      </w:r>
      <w:r w:rsidR="00FB2412" w:rsidRPr="005D77AB">
        <w:t xml:space="preserve"> </w:t>
      </w:r>
      <w:r w:rsidR="005D77AB" w:rsidRPr="005D77AB">
        <w:t>has been raised</w:t>
      </w:r>
      <w:r>
        <w:t xml:space="preserve">. This includes confusion as to whether indoor use includes use inside vehicles such as cars and planes. </w:t>
      </w:r>
    </w:p>
    <w:p w14:paraId="416F279F" w14:textId="4E487687" w:rsidR="005D77AB" w:rsidRDefault="00B41860" w:rsidP="005D77AB">
      <w:pPr>
        <w:pStyle w:val="Paragraph"/>
        <w:rPr>
          <w:b/>
          <w:bCs/>
        </w:rPr>
      </w:pPr>
      <w:r>
        <w:t xml:space="preserve">To rectify this issue, we are proposing the insertion of a definition of </w:t>
      </w:r>
      <w:r w:rsidR="005D77AB" w:rsidRPr="005D77AB">
        <w:t>in</w:t>
      </w:r>
      <w:r>
        <w:t xml:space="preserve">door in </w:t>
      </w:r>
      <w:r w:rsidR="00FB2412">
        <w:t>s</w:t>
      </w:r>
      <w:r>
        <w:t xml:space="preserve">ubsection 3A(1) of the LIPD </w:t>
      </w:r>
      <w:r w:rsidR="00833DCE">
        <w:t>class licence</w:t>
      </w:r>
      <w:r>
        <w:t xml:space="preserve"> based on the definition developed for items 63A and 63B of Schedule 1. This clarifies that the intention of indoor use is to limit use to within buildings</w:t>
      </w:r>
      <w:r w:rsidR="00FB2412">
        <w:t>,</w:t>
      </w:r>
      <w:r>
        <w:t xml:space="preserve"> and not</w:t>
      </w:r>
      <w:r w:rsidR="00FB2412">
        <w:t xml:space="preserve"> to</w:t>
      </w:r>
      <w:r>
        <w:t xml:space="preserve"> includ</w:t>
      </w:r>
      <w:r w:rsidR="00FB2412">
        <w:t>e use within</w:t>
      </w:r>
      <w:r>
        <w:t xml:space="preserve"> vehicles. </w:t>
      </w:r>
    </w:p>
    <w:p w14:paraId="6D4B2BCB" w14:textId="7D9C9E76" w:rsidR="005D77AB" w:rsidRPr="00E162C4" w:rsidRDefault="005D77AB" w:rsidP="005D77AB">
      <w:pPr>
        <w:pStyle w:val="Heading1"/>
      </w:pPr>
      <w:bookmarkStart w:id="28" w:name="_Toc117072412"/>
      <w:r>
        <w:lastRenderedPageBreak/>
        <w:t>Potential future updates</w:t>
      </w:r>
      <w:bookmarkEnd w:id="28"/>
    </w:p>
    <w:p w14:paraId="568FFF8A" w14:textId="500F777F" w:rsidR="005D77AB" w:rsidRDefault="00ED31AF" w:rsidP="005D77AB">
      <w:pPr>
        <w:pStyle w:val="Paragraph"/>
      </w:pPr>
      <w:r>
        <w:t xml:space="preserve">We have been approached by several organisations regarding the implementation of new spectrum arrangements for </w:t>
      </w:r>
      <w:r w:rsidR="001B7A12">
        <w:t>w</w:t>
      </w:r>
      <w:r w:rsidRPr="005D77AB">
        <w:t xml:space="preserve">ireless </w:t>
      </w:r>
      <w:r w:rsidR="001B7A12">
        <w:t>m</w:t>
      </w:r>
      <w:r w:rsidRPr="005D77AB">
        <w:t>ulti-</w:t>
      </w:r>
      <w:r w:rsidR="001B7A12">
        <w:t>c</w:t>
      </w:r>
      <w:r w:rsidRPr="005D77AB">
        <w:t xml:space="preserve">hannel </w:t>
      </w:r>
      <w:r w:rsidR="001B7A12">
        <w:t>a</w:t>
      </w:r>
      <w:r w:rsidRPr="005D77AB">
        <w:t xml:space="preserve">udio </w:t>
      </w:r>
      <w:r w:rsidR="001B7A12">
        <w:t>s</w:t>
      </w:r>
      <w:r w:rsidRPr="005D77AB">
        <w:t>ystem (WMAS) technologies for wireless microphones</w:t>
      </w:r>
      <w:r>
        <w:rPr>
          <w:rStyle w:val="FootnoteReference"/>
        </w:rPr>
        <w:footnoteReference w:id="12"/>
      </w:r>
      <w:r>
        <w:t xml:space="preserve"> and the use of </w:t>
      </w:r>
      <w:r w:rsidRPr="00ED31AF">
        <w:t>wireless broadband spectrum in underground mines</w:t>
      </w:r>
      <w:r>
        <w:t>.</w:t>
      </w:r>
    </w:p>
    <w:p w14:paraId="1CCA389A" w14:textId="12BDBC42" w:rsidR="00ED31AF" w:rsidRDefault="00ED31AF" w:rsidP="005D77AB">
      <w:pPr>
        <w:pStyle w:val="Paragraph"/>
      </w:pPr>
      <w:r>
        <w:t xml:space="preserve">The discussion below is intended to garner comment from interested stakeholders regarding the potential implementation of arrangements to facilitate these technologies. If supported, we would develop </w:t>
      </w:r>
      <w:r w:rsidR="00B1666A">
        <w:t>draft</w:t>
      </w:r>
      <w:r>
        <w:t xml:space="preserve"> arrangements, potentially including a draft variation to the LIPD </w:t>
      </w:r>
      <w:r w:rsidR="001B7A12">
        <w:t>c</w:t>
      </w:r>
      <w:r w:rsidR="00833DCE">
        <w:t>lass licence</w:t>
      </w:r>
      <w:r>
        <w:t xml:space="preserve">, for further consultation. </w:t>
      </w:r>
    </w:p>
    <w:p w14:paraId="0283A6A6" w14:textId="73D794DA" w:rsidR="00ED31AF" w:rsidRPr="00482E5F" w:rsidRDefault="00ED31AF" w:rsidP="00ED31AF">
      <w:pPr>
        <w:pStyle w:val="Heading2"/>
      </w:pPr>
      <w:bookmarkStart w:id="29" w:name="_Toc117072413"/>
      <w:r w:rsidRPr="005D77AB">
        <w:t xml:space="preserve">WMAS technologies for wireless </w:t>
      </w:r>
      <w:r w:rsidR="00E5735D">
        <w:t xml:space="preserve">audio </w:t>
      </w:r>
      <w:r w:rsidR="001C2BCA">
        <w:t>transmitters</w:t>
      </w:r>
      <w:bookmarkEnd w:id="29"/>
      <w:r w:rsidRPr="005D77AB">
        <w:t xml:space="preserve"> </w:t>
      </w:r>
    </w:p>
    <w:p w14:paraId="0EFC1970" w14:textId="13EBFA75" w:rsidR="00ED31AF" w:rsidRDefault="00ED31AF" w:rsidP="00ED31AF">
      <w:pPr>
        <w:pStyle w:val="Paragraph"/>
      </w:pPr>
      <w:r>
        <w:t>WMAS</w:t>
      </w:r>
      <w:r w:rsidR="00407FAA">
        <w:rPr>
          <w:rStyle w:val="FootnoteReference"/>
        </w:rPr>
        <w:footnoteReference w:id="13"/>
      </w:r>
      <w:r>
        <w:t xml:space="preserve"> is an emerging technology </w:t>
      </w:r>
      <w:r w:rsidR="00A62E1A">
        <w:t xml:space="preserve">that </w:t>
      </w:r>
      <w:r>
        <w:t xml:space="preserve">offers </w:t>
      </w:r>
      <w:r w:rsidR="003E20E5">
        <w:t>spectral</w:t>
      </w:r>
      <w:r>
        <w:t xml:space="preserve"> efficiency improvement</w:t>
      </w:r>
      <w:r w:rsidR="003E20E5">
        <w:t>s</w:t>
      </w:r>
      <w:r>
        <w:t xml:space="preserve"> for wireless audio devices</w:t>
      </w:r>
      <w:r w:rsidR="00B1666A">
        <w:t xml:space="preserve"> such as wireless microphones</w:t>
      </w:r>
      <w:r w:rsidR="00FB2412">
        <w:t>,</w:t>
      </w:r>
      <w:r w:rsidR="003E20E5">
        <w:t xml:space="preserve"> independent of the band of operation</w:t>
      </w:r>
      <w:r>
        <w:t>. It operates over broadband access, combining multiple microphone signals into a single transmission to allow more devices in the same amount of spectrum when compared to</w:t>
      </w:r>
      <w:r w:rsidR="00B33D82">
        <w:t xml:space="preserve"> individual</w:t>
      </w:r>
      <w:r>
        <w:t xml:space="preserve"> narrowband devices. </w:t>
      </w:r>
      <w:r w:rsidR="00CA3C38">
        <w:t xml:space="preserve">This is especially useful during large </w:t>
      </w:r>
      <w:r w:rsidR="009A549E">
        <w:t xml:space="preserve">events.  </w:t>
      </w:r>
    </w:p>
    <w:p w14:paraId="7868A936" w14:textId="5EF4231C" w:rsidR="00ED31AF" w:rsidRPr="00E162C4" w:rsidRDefault="00ED31AF" w:rsidP="00ED31AF">
      <w:pPr>
        <w:pStyle w:val="Paragraph"/>
      </w:pPr>
      <w:r>
        <w:t xml:space="preserve">Current </w:t>
      </w:r>
      <w:r w:rsidR="00FB2412">
        <w:t xml:space="preserve">authorisations </w:t>
      </w:r>
      <w:r>
        <w:t xml:space="preserve">in the LIPD </w:t>
      </w:r>
      <w:r w:rsidR="001B7A12">
        <w:t>c</w:t>
      </w:r>
      <w:r w:rsidR="00833DCE">
        <w:t>lass licence</w:t>
      </w:r>
      <w:r>
        <w:t xml:space="preserve"> for wireless audio transmitters above 520 MHz are shown in Table </w:t>
      </w:r>
      <w:r w:rsidR="00994944">
        <w:t>5</w:t>
      </w:r>
      <w:r>
        <w:t>.</w:t>
      </w:r>
    </w:p>
    <w:p w14:paraId="6230806A" w14:textId="60827DEF" w:rsidR="00ED31AF" w:rsidRPr="00E162C4" w:rsidRDefault="00FB2412" w:rsidP="00ED31AF">
      <w:pPr>
        <w:pStyle w:val="Tableheading"/>
        <w:keepNext w:val="0"/>
      </w:pPr>
      <w:r>
        <w:t xml:space="preserve">Authorisations </w:t>
      </w:r>
      <w:r w:rsidR="00CB0E75">
        <w:t>for wir</w:t>
      </w:r>
      <w:r w:rsidR="0059322E">
        <w:t>e</w:t>
      </w:r>
      <w:r w:rsidR="00CB0E75">
        <w:t>less audio transmitters above 5</w:t>
      </w:r>
      <w:r w:rsidR="0059322E">
        <w:t>20 MHz</w:t>
      </w:r>
    </w:p>
    <w:tbl>
      <w:tblPr>
        <w:tblStyle w:val="ACMAtablestyle"/>
        <w:tblW w:w="8217" w:type="dxa"/>
        <w:tblLayout w:type="fixed"/>
        <w:tblLook w:val="01E0" w:firstRow="1" w:lastRow="1" w:firstColumn="1" w:lastColumn="1" w:noHBand="0" w:noVBand="0"/>
        <w:tblCaption w:val="Table title to go here"/>
        <w:tblDescription w:val="Table description to go here"/>
      </w:tblPr>
      <w:tblGrid>
        <w:gridCol w:w="421"/>
        <w:gridCol w:w="1275"/>
        <w:gridCol w:w="1276"/>
        <w:gridCol w:w="1134"/>
        <w:gridCol w:w="4111"/>
      </w:tblGrid>
      <w:tr w:rsidR="00024C33" w:rsidRPr="00E162C4" w14:paraId="04B613D6" w14:textId="77777777" w:rsidTr="00CF1A8A">
        <w:trPr>
          <w:cnfStyle w:val="100000000000" w:firstRow="1" w:lastRow="0" w:firstColumn="0" w:lastColumn="0" w:oddVBand="0" w:evenVBand="0" w:oddHBand="0" w:evenHBand="0" w:firstRowFirstColumn="0" w:firstRowLastColumn="0" w:lastRowFirstColumn="0" w:lastRowLastColumn="0"/>
          <w:cantSplit/>
        </w:trPr>
        <w:tc>
          <w:tcPr>
            <w:tcW w:w="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9BB4FD3" w14:textId="77777777" w:rsidR="00ED31AF" w:rsidRPr="00E162C4" w:rsidRDefault="00ED31AF" w:rsidP="004303BB">
            <w:pPr>
              <w:pStyle w:val="TableBody"/>
            </w:pPr>
          </w:p>
        </w:tc>
        <w:tc>
          <w:tcPr>
            <w:tcW w:w="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1F25262" w14:textId="77777777" w:rsidR="00ED31AF" w:rsidRPr="00E162C4" w:rsidRDefault="00ED31AF" w:rsidP="004303BB">
            <w:pPr>
              <w:pStyle w:val="Tableheaderrow"/>
            </w:pPr>
            <w:r w:rsidRPr="00686456">
              <w:t>Class of transmitter</w:t>
            </w:r>
          </w:p>
        </w:tc>
        <w:tc>
          <w:tcPr>
            <w:tcW w:w="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84F2F79" w14:textId="77777777" w:rsidR="00ED31AF" w:rsidRPr="00E162C4" w:rsidRDefault="00ED31AF" w:rsidP="004303BB">
            <w:pPr>
              <w:pStyle w:val="Tableheaderrow"/>
            </w:pPr>
            <w:r w:rsidRPr="00686456">
              <w:t>Permitted operating frequency band (MHz)</w:t>
            </w:r>
          </w:p>
        </w:tc>
        <w:tc>
          <w:tcPr>
            <w:tcW w:w="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0DD25CD" w14:textId="77777777" w:rsidR="00ED31AF" w:rsidRPr="00686456" w:rsidRDefault="00ED31AF" w:rsidP="004303BB">
            <w:pPr>
              <w:pStyle w:val="Tableheaderrow"/>
            </w:pPr>
            <w:r w:rsidRPr="00686456">
              <w:t xml:space="preserve">Maximum EIRP </w:t>
            </w:r>
          </w:p>
          <w:p w14:paraId="7EFFF213" w14:textId="77777777" w:rsidR="00ED31AF" w:rsidRPr="00E162C4" w:rsidRDefault="00ED31AF" w:rsidP="004303BB">
            <w:pPr>
              <w:pStyle w:val="Tableheaderrow"/>
            </w:pPr>
          </w:p>
        </w:tc>
        <w:tc>
          <w:tcPr>
            <w:tcW w:w="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BF6C37B" w14:textId="77777777" w:rsidR="00ED31AF" w:rsidRPr="00A85C35" w:rsidRDefault="00ED31AF" w:rsidP="004303BB">
            <w:pPr>
              <w:pStyle w:val="Tableheaderrow"/>
            </w:pPr>
            <w:r w:rsidRPr="00686456">
              <w:t>Limitations</w:t>
            </w:r>
          </w:p>
        </w:tc>
      </w:tr>
      <w:tr w:rsidR="00ED31AF" w:rsidRPr="00E162C4" w14:paraId="5A570727" w14:textId="77777777" w:rsidTr="00CF1A8A">
        <w:trPr>
          <w:cnfStyle w:val="000000100000" w:firstRow="0" w:lastRow="0" w:firstColumn="0" w:lastColumn="0" w:oddVBand="0" w:evenVBand="0" w:oddHBand="1" w:evenHBand="0" w:firstRowFirstColumn="0" w:firstRowLastColumn="0" w:lastRowFirstColumn="0" w:lastRowLastColumn="0"/>
          <w:cantSplit/>
        </w:trPr>
        <w:tc>
          <w:tcPr>
            <w:tcW w:w="0" w:type="dxa"/>
            <w:tcBorders>
              <w:top w:val="single" w:sz="4" w:space="0" w:color="FFFFFF" w:themeColor="background1"/>
            </w:tcBorders>
          </w:tcPr>
          <w:p w14:paraId="5823BD86" w14:textId="77777777" w:rsidR="00ED31AF" w:rsidRPr="00E162C4" w:rsidRDefault="00ED31AF" w:rsidP="004303BB">
            <w:pPr>
              <w:pStyle w:val="TableBody"/>
            </w:pPr>
            <w:r>
              <w:t>28</w:t>
            </w:r>
          </w:p>
        </w:tc>
        <w:tc>
          <w:tcPr>
            <w:tcW w:w="0" w:type="dxa"/>
            <w:tcBorders>
              <w:top w:val="single" w:sz="4" w:space="0" w:color="FFFFFF" w:themeColor="background1"/>
            </w:tcBorders>
          </w:tcPr>
          <w:p w14:paraId="6E2AB424" w14:textId="77777777" w:rsidR="00ED31AF" w:rsidRPr="00E162C4" w:rsidRDefault="00ED31AF" w:rsidP="004303BB">
            <w:pPr>
              <w:pStyle w:val="TableBody"/>
            </w:pPr>
            <w:r w:rsidRPr="005C25AD">
              <w:t>Wireless audio transmitters</w:t>
            </w:r>
          </w:p>
        </w:tc>
        <w:tc>
          <w:tcPr>
            <w:tcW w:w="0" w:type="dxa"/>
            <w:tcBorders>
              <w:top w:val="single" w:sz="4" w:space="0" w:color="FFFFFF" w:themeColor="background1"/>
            </w:tcBorders>
          </w:tcPr>
          <w:p w14:paraId="774DA995" w14:textId="77777777" w:rsidR="00ED31AF" w:rsidRPr="00E162C4" w:rsidRDefault="00ED31AF" w:rsidP="004303BB">
            <w:pPr>
              <w:pStyle w:val="TableBody"/>
            </w:pPr>
            <w:r w:rsidRPr="005C25AD">
              <w:t>520–694</w:t>
            </w:r>
          </w:p>
        </w:tc>
        <w:tc>
          <w:tcPr>
            <w:tcW w:w="0" w:type="dxa"/>
            <w:tcBorders>
              <w:top w:val="single" w:sz="4" w:space="0" w:color="FFFFFF" w:themeColor="background1"/>
            </w:tcBorders>
          </w:tcPr>
          <w:p w14:paraId="796FB788" w14:textId="77777777" w:rsidR="00ED31AF" w:rsidRPr="00E162C4" w:rsidRDefault="00ED31AF" w:rsidP="004303BB">
            <w:pPr>
              <w:pStyle w:val="TableBody"/>
            </w:pPr>
            <w:r w:rsidRPr="005C25AD">
              <w:t>100 mW (~60.95 mW ERP)</w:t>
            </w:r>
          </w:p>
        </w:tc>
        <w:tc>
          <w:tcPr>
            <w:tcW w:w="0" w:type="dxa"/>
            <w:tcBorders>
              <w:top w:val="single" w:sz="4" w:space="0" w:color="FFFFFF" w:themeColor="background1"/>
            </w:tcBorders>
          </w:tcPr>
          <w:p w14:paraId="4DE0C6BB" w14:textId="0CA2166C" w:rsidR="00ED31AF" w:rsidRDefault="00FB2412" w:rsidP="00716703">
            <w:pPr>
              <w:pStyle w:val="TableBody"/>
            </w:pPr>
            <w:r>
              <w:t xml:space="preserve">(a) </w:t>
            </w:r>
            <w:r w:rsidR="00ED31AF">
              <w:t>Emission must be frequency modulated and have a maximum bandwidth of 330 kHz.</w:t>
            </w:r>
          </w:p>
          <w:p w14:paraId="4334C42F" w14:textId="207936E6" w:rsidR="00ED31AF" w:rsidRPr="00E162C4" w:rsidRDefault="00FB2412" w:rsidP="00FB2412">
            <w:pPr>
              <w:pStyle w:val="TableBody"/>
            </w:pPr>
            <w:r>
              <w:t xml:space="preserve">(b) </w:t>
            </w:r>
            <w:r w:rsidR="00ED31AF">
              <w:t>Transmission in a broadcasting services band channel must not originate in the coverage area of a broadcasting station or datacasting service station (including a repeater or translator station) operating in the same channel.</w:t>
            </w:r>
          </w:p>
        </w:tc>
      </w:tr>
      <w:tr w:rsidR="00024C33" w:rsidRPr="00E162C4" w14:paraId="154257D4" w14:textId="77777777" w:rsidTr="00024C33">
        <w:trPr>
          <w:cnfStyle w:val="000000010000" w:firstRow="0" w:lastRow="0" w:firstColumn="0" w:lastColumn="0" w:oddVBand="0" w:evenVBand="0" w:oddHBand="0" w:evenHBand="1" w:firstRowFirstColumn="0" w:firstRowLastColumn="0" w:lastRowFirstColumn="0" w:lastRowLastColumn="0"/>
          <w:cantSplit/>
        </w:trPr>
        <w:tc>
          <w:tcPr>
            <w:tcW w:w="421" w:type="dxa"/>
          </w:tcPr>
          <w:p w14:paraId="57BA5954" w14:textId="77777777" w:rsidR="00ED31AF" w:rsidRPr="00E162C4" w:rsidRDefault="00ED31AF" w:rsidP="004303BB">
            <w:pPr>
              <w:pStyle w:val="TableBody"/>
            </w:pPr>
            <w:r>
              <w:t>29</w:t>
            </w:r>
          </w:p>
        </w:tc>
        <w:tc>
          <w:tcPr>
            <w:tcW w:w="1275" w:type="dxa"/>
          </w:tcPr>
          <w:p w14:paraId="2301D684" w14:textId="77777777" w:rsidR="00ED31AF" w:rsidRPr="00E162C4" w:rsidRDefault="00ED31AF" w:rsidP="004303BB">
            <w:pPr>
              <w:pStyle w:val="TableBody"/>
            </w:pPr>
            <w:r w:rsidRPr="005C25AD">
              <w:t>Digitally modulated wireless audio transmitters</w:t>
            </w:r>
          </w:p>
        </w:tc>
        <w:tc>
          <w:tcPr>
            <w:tcW w:w="1276" w:type="dxa"/>
          </w:tcPr>
          <w:p w14:paraId="188F481E" w14:textId="77777777" w:rsidR="00ED31AF" w:rsidRPr="00E162C4" w:rsidRDefault="00ED31AF" w:rsidP="004303BB">
            <w:pPr>
              <w:pStyle w:val="TableBody"/>
            </w:pPr>
            <w:r w:rsidRPr="005C25AD">
              <w:t>520–694</w:t>
            </w:r>
          </w:p>
        </w:tc>
        <w:tc>
          <w:tcPr>
            <w:tcW w:w="1134" w:type="dxa"/>
          </w:tcPr>
          <w:p w14:paraId="4BCE6949" w14:textId="77777777" w:rsidR="00ED31AF" w:rsidRPr="00E162C4" w:rsidRDefault="00ED31AF" w:rsidP="004303BB">
            <w:pPr>
              <w:pStyle w:val="TableBody"/>
            </w:pPr>
            <w:r w:rsidRPr="005C25AD">
              <w:t>100 mW (~60.95 mW ERP)</w:t>
            </w:r>
          </w:p>
        </w:tc>
        <w:tc>
          <w:tcPr>
            <w:tcW w:w="4111" w:type="dxa"/>
          </w:tcPr>
          <w:p w14:paraId="48A9ECD0" w14:textId="43973571" w:rsidR="00ED31AF" w:rsidRDefault="00FB2412" w:rsidP="00FB2412">
            <w:pPr>
              <w:pStyle w:val="TableBody"/>
            </w:pPr>
            <w:r>
              <w:t xml:space="preserve">(a) </w:t>
            </w:r>
            <w:r w:rsidR="00ED31AF">
              <w:t>Emission must have a maximum bandwidth of 330 kHz.</w:t>
            </w:r>
          </w:p>
          <w:p w14:paraId="39EEB27E" w14:textId="0F6ACD40" w:rsidR="00ED31AF" w:rsidRPr="00E162C4" w:rsidRDefault="00FB2412" w:rsidP="00FB2412">
            <w:pPr>
              <w:pStyle w:val="TableBody"/>
            </w:pPr>
            <w:r>
              <w:t xml:space="preserve">(b) </w:t>
            </w:r>
            <w:r w:rsidR="00ED31AF">
              <w:t>Transmission in a broadcasting services band channel must not originate in the coverage area of a broadcasting station or datacasting service station (including a repeater or translator station) operating in the same channel.</w:t>
            </w:r>
          </w:p>
        </w:tc>
      </w:tr>
      <w:tr w:rsidR="00024C33" w:rsidRPr="00E162C4" w14:paraId="2658F95D" w14:textId="77777777" w:rsidTr="00024C33">
        <w:trPr>
          <w:cnfStyle w:val="000000100000" w:firstRow="0" w:lastRow="0" w:firstColumn="0" w:lastColumn="0" w:oddVBand="0" w:evenVBand="0" w:oddHBand="1" w:evenHBand="0" w:firstRowFirstColumn="0" w:firstRowLastColumn="0" w:lastRowFirstColumn="0" w:lastRowLastColumn="0"/>
          <w:cantSplit/>
        </w:trPr>
        <w:tc>
          <w:tcPr>
            <w:tcW w:w="421" w:type="dxa"/>
          </w:tcPr>
          <w:p w14:paraId="2D302181" w14:textId="77777777" w:rsidR="00ED31AF" w:rsidRPr="00E162C4" w:rsidRDefault="00ED31AF" w:rsidP="004303BB">
            <w:pPr>
              <w:pStyle w:val="TableBody"/>
            </w:pPr>
            <w:r>
              <w:lastRenderedPageBreak/>
              <w:t>30</w:t>
            </w:r>
          </w:p>
        </w:tc>
        <w:tc>
          <w:tcPr>
            <w:tcW w:w="1275" w:type="dxa"/>
          </w:tcPr>
          <w:p w14:paraId="2A822243" w14:textId="77777777" w:rsidR="00ED31AF" w:rsidRPr="00E162C4" w:rsidRDefault="00ED31AF" w:rsidP="004303BB">
            <w:pPr>
              <w:pStyle w:val="TableBody"/>
            </w:pPr>
            <w:r w:rsidRPr="005C25AD">
              <w:t>Wireless audio transmitter</w:t>
            </w:r>
          </w:p>
        </w:tc>
        <w:tc>
          <w:tcPr>
            <w:tcW w:w="1276" w:type="dxa"/>
          </w:tcPr>
          <w:p w14:paraId="5D693A5B" w14:textId="77777777" w:rsidR="00ED31AF" w:rsidRPr="00E162C4" w:rsidRDefault="00ED31AF" w:rsidP="004303BB">
            <w:pPr>
              <w:pStyle w:val="TableBody"/>
            </w:pPr>
            <w:r w:rsidRPr="005C25AD">
              <w:t>1785–1800</w:t>
            </w:r>
          </w:p>
        </w:tc>
        <w:tc>
          <w:tcPr>
            <w:tcW w:w="1134" w:type="dxa"/>
          </w:tcPr>
          <w:p w14:paraId="28F0A2FB" w14:textId="77777777" w:rsidR="00ED31AF" w:rsidRPr="00E162C4" w:rsidRDefault="00ED31AF" w:rsidP="004303BB">
            <w:pPr>
              <w:pStyle w:val="TableBody"/>
            </w:pPr>
            <w:r w:rsidRPr="005C25AD">
              <w:t>100 mW (~60.95 mW ERP)</w:t>
            </w:r>
          </w:p>
        </w:tc>
        <w:tc>
          <w:tcPr>
            <w:tcW w:w="4111" w:type="dxa"/>
          </w:tcPr>
          <w:p w14:paraId="32A93C91" w14:textId="6E4886D3" w:rsidR="00ED31AF" w:rsidRDefault="00FB2412" w:rsidP="00FB2412">
            <w:pPr>
              <w:pStyle w:val="TableBody"/>
              <w:ind w:left="13"/>
            </w:pPr>
            <w:r>
              <w:t xml:space="preserve">(a) </w:t>
            </w:r>
            <w:r w:rsidR="00ED31AF">
              <w:t>The transmitter must comply with ETSI Standard EN 300 422 or ETSI Standard EN</w:t>
            </w:r>
            <w:r>
              <w:t> </w:t>
            </w:r>
            <w:r w:rsidR="00ED31AF">
              <w:t>301</w:t>
            </w:r>
            <w:r>
              <w:t> </w:t>
            </w:r>
            <w:r w:rsidR="00ED31AF">
              <w:t>840.</w:t>
            </w:r>
          </w:p>
          <w:p w14:paraId="21856829" w14:textId="233FD8E0" w:rsidR="00ED31AF" w:rsidRDefault="00FB2412" w:rsidP="00FB2412">
            <w:pPr>
              <w:pStyle w:val="TableBody"/>
              <w:ind w:left="13"/>
            </w:pPr>
            <w:r>
              <w:t xml:space="preserve">(b) </w:t>
            </w:r>
            <w:r w:rsidR="00ED31AF">
              <w:t>The transmitter must not be operated on a carrier frequency within 1 MHz of 1785</w:t>
            </w:r>
            <w:r w:rsidR="00040AF0">
              <w:t> </w:t>
            </w:r>
            <w:r w:rsidR="00ED31AF">
              <w:t>MHz.</w:t>
            </w:r>
          </w:p>
          <w:p w14:paraId="15F9AC70" w14:textId="3187F64B" w:rsidR="00ED31AF" w:rsidRPr="00E162C4" w:rsidRDefault="00FB2412" w:rsidP="00FB2412">
            <w:pPr>
              <w:pStyle w:val="TableBody"/>
              <w:ind w:left="13"/>
            </w:pPr>
            <w:r>
              <w:t xml:space="preserve">(c) </w:t>
            </w:r>
            <w:r w:rsidR="00ED31AF">
              <w:t>The transmitter must only be operated indoors on a frequency below 1790</w:t>
            </w:r>
            <w:r w:rsidR="00040AF0">
              <w:t> </w:t>
            </w:r>
            <w:r w:rsidR="00ED31AF">
              <w:t>MHz.</w:t>
            </w:r>
          </w:p>
        </w:tc>
      </w:tr>
      <w:tr w:rsidR="00024C33" w:rsidRPr="00E162C4" w14:paraId="1BF338DE" w14:textId="77777777" w:rsidTr="00024C33">
        <w:trPr>
          <w:cnfStyle w:val="000000010000" w:firstRow="0" w:lastRow="0" w:firstColumn="0" w:lastColumn="0" w:oddVBand="0" w:evenVBand="0" w:oddHBand="0" w:evenHBand="1" w:firstRowFirstColumn="0" w:firstRowLastColumn="0" w:lastRowFirstColumn="0" w:lastRowLastColumn="0"/>
          <w:cantSplit/>
        </w:trPr>
        <w:tc>
          <w:tcPr>
            <w:tcW w:w="421" w:type="dxa"/>
          </w:tcPr>
          <w:p w14:paraId="3E6332DC" w14:textId="77777777" w:rsidR="00ED31AF" w:rsidRPr="00E162C4" w:rsidRDefault="00ED31AF" w:rsidP="004303BB">
            <w:pPr>
              <w:pStyle w:val="TableBody"/>
            </w:pPr>
            <w:r>
              <w:t>31</w:t>
            </w:r>
          </w:p>
        </w:tc>
        <w:tc>
          <w:tcPr>
            <w:tcW w:w="1275" w:type="dxa"/>
          </w:tcPr>
          <w:p w14:paraId="7EA30619" w14:textId="77777777" w:rsidR="00ED31AF" w:rsidRPr="00E162C4" w:rsidRDefault="00ED31AF" w:rsidP="004303BB">
            <w:pPr>
              <w:pStyle w:val="TableBody"/>
            </w:pPr>
            <w:r w:rsidRPr="005C25AD">
              <w:t>Indoor wireless audio transmitters</w:t>
            </w:r>
          </w:p>
        </w:tc>
        <w:tc>
          <w:tcPr>
            <w:tcW w:w="1276" w:type="dxa"/>
          </w:tcPr>
          <w:p w14:paraId="4F2DE7AA" w14:textId="77777777" w:rsidR="00ED31AF" w:rsidRPr="00E162C4" w:rsidRDefault="00ED31AF" w:rsidP="004303BB">
            <w:pPr>
              <w:pStyle w:val="TableBody"/>
            </w:pPr>
            <w:r w:rsidRPr="005C25AD">
              <w:t>520–694</w:t>
            </w:r>
          </w:p>
        </w:tc>
        <w:tc>
          <w:tcPr>
            <w:tcW w:w="1134" w:type="dxa"/>
          </w:tcPr>
          <w:p w14:paraId="2F1D44E4" w14:textId="77777777" w:rsidR="00ED31AF" w:rsidRPr="00E162C4" w:rsidRDefault="00ED31AF" w:rsidP="004303BB">
            <w:pPr>
              <w:pStyle w:val="TableBody"/>
            </w:pPr>
            <w:r w:rsidRPr="005C25AD">
              <w:t>100 mW (~60.95 mW ERP)</w:t>
            </w:r>
          </w:p>
        </w:tc>
        <w:tc>
          <w:tcPr>
            <w:tcW w:w="4111" w:type="dxa"/>
          </w:tcPr>
          <w:p w14:paraId="10E8BA65" w14:textId="3D69D289" w:rsidR="00ED31AF" w:rsidRDefault="001337BD" w:rsidP="00FB2412">
            <w:pPr>
              <w:pStyle w:val="TableBody"/>
              <w:ind w:left="13"/>
            </w:pPr>
            <w:r>
              <w:t xml:space="preserve">(a) </w:t>
            </w:r>
            <w:r w:rsidR="00ED31AF">
              <w:t>The transmitter must only be operated indoors.</w:t>
            </w:r>
          </w:p>
          <w:p w14:paraId="4B4366D1" w14:textId="74C513F5" w:rsidR="00ED31AF" w:rsidRDefault="001337BD" w:rsidP="00FB2412">
            <w:pPr>
              <w:pStyle w:val="TableBody"/>
              <w:ind w:left="13"/>
            </w:pPr>
            <w:r>
              <w:t xml:space="preserve">(b) </w:t>
            </w:r>
            <w:r w:rsidR="00ED31AF">
              <w:t>The transmitter must comply with either:</w:t>
            </w:r>
          </w:p>
          <w:p w14:paraId="73CC4D9E" w14:textId="6940F3AC" w:rsidR="00ED31AF" w:rsidRDefault="00FB2412" w:rsidP="00FB2412">
            <w:pPr>
              <w:pStyle w:val="TableBody"/>
              <w:ind w:left="656"/>
            </w:pPr>
            <w:r>
              <w:t xml:space="preserve">(i) </w:t>
            </w:r>
            <w:r w:rsidR="00ED31AF">
              <w:t>ETSI Standard EN 301 357</w:t>
            </w:r>
          </w:p>
          <w:p w14:paraId="7FCAA39A" w14:textId="6031D18F" w:rsidR="00ED31AF" w:rsidRPr="00E162C4" w:rsidRDefault="00FB2412" w:rsidP="00FB2412">
            <w:pPr>
              <w:pStyle w:val="TableBody"/>
              <w:ind w:left="656"/>
            </w:pPr>
            <w:r>
              <w:t xml:space="preserve">(ii) </w:t>
            </w:r>
            <w:r w:rsidR="00ED31AF">
              <w:t>ETSI Standard EN 300 422.</w:t>
            </w:r>
          </w:p>
        </w:tc>
      </w:tr>
    </w:tbl>
    <w:p w14:paraId="5CD9621B" w14:textId="77777777" w:rsidR="00ED31AF" w:rsidRDefault="00ED31AF" w:rsidP="00ED31AF">
      <w:pPr>
        <w:pStyle w:val="Paragraph"/>
      </w:pPr>
    </w:p>
    <w:p w14:paraId="1A958E43" w14:textId="19F82A52" w:rsidR="00ED31AF" w:rsidRDefault="00ED31AF" w:rsidP="00ED31AF">
      <w:pPr>
        <w:pStyle w:val="Paragraph"/>
      </w:pPr>
      <w:r>
        <w:t xml:space="preserve">Under current arrangements, WMAS devices </w:t>
      </w:r>
      <w:r w:rsidR="00C07C8A">
        <w:t xml:space="preserve">that </w:t>
      </w:r>
      <w:r>
        <w:t xml:space="preserve">comply with </w:t>
      </w:r>
      <w:hyperlink r:id="rId38" w:history="1">
        <w:r w:rsidRPr="004A0FF6">
          <w:rPr>
            <w:rStyle w:val="Hyperlink"/>
          </w:rPr>
          <w:t>ETSI Standard EN 300 422</w:t>
        </w:r>
      </w:hyperlink>
      <w:r>
        <w:t xml:space="preserve"> are permitted to operate under items 30 and 31</w:t>
      </w:r>
      <w:r w:rsidR="00CB0E75">
        <w:t xml:space="preserve"> </w:t>
      </w:r>
      <w:r w:rsidR="001337BD">
        <w:t>of</w:t>
      </w:r>
      <w:r w:rsidR="00CB0E75">
        <w:t xml:space="preserve"> Schedule 1</w:t>
      </w:r>
      <w:r>
        <w:t xml:space="preserve">. </w:t>
      </w:r>
      <w:r w:rsidR="00716703">
        <w:t>I</w:t>
      </w:r>
      <w:r w:rsidR="00D7452F">
        <w:t>tem</w:t>
      </w:r>
      <w:r w:rsidR="00716703">
        <w:t xml:space="preserve"> 31 is limited to </w:t>
      </w:r>
      <w:r w:rsidR="00D7452F">
        <w:t xml:space="preserve">operation indoors. </w:t>
      </w:r>
      <w:r>
        <w:t>However, the maximum emission bandwidth limitation of 330</w:t>
      </w:r>
      <w:r w:rsidR="001136E4">
        <w:t> </w:t>
      </w:r>
      <w:r>
        <w:t>kHz in items 28 and 29 preclude the operation of WMAS devices</w:t>
      </w:r>
      <w:r w:rsidR="004A0FF6">
        <w:t xml:space="preserve"> </w:t>
      </w:r>
      <w:r w:rsidR="00C07C8A">
        <w:t xml:space="preserve">that </w:t>
      </w:r>
      <w:r w:rsidR="004A0FF6">
        <w:t>support bandwidths up to 20 MHz</w:t>
      </w:r>
      <w:r>
        <w:t xml:space="preserve">. </w:t>
      </w:r>
    </w:p>
    <w:p w14:paraId="767F5BC1" w14:textId="77777777" w:rsidR="00ED31AF" w:rsidRDefault="00ED31AF" w:rsidP="00ED31AF">
      <w:pPr>
        <w:pStyle w:val="Heading3"/>
      </w:pPr>
      <w:r>
        <w:t>International arrangements</w:t>
      </w:r>
    </w:p>
    <w:p w14:paraId="0EEFFCE4" w14:textId="77777777" w:rsidR="00ED31AF" w:rsidRDefault="00ED31AF" w:rsidP="00ED31AF">
      <w:pPr>
        <w:pStyle w:val="Heading4"/>
      </w:pPr>
      <w:r>
        <w:t>Europe</w:t>
      </w:r>
    </w:p>
    <w:p w14:paraId="27C58162" w14:textId="2915E1D8" w:rsidR="00ED31AF" w:rsidRDefault="00ED31AF" w:rsidP="00ED31AF">
      <w:r>
        <w:t xml:space="preserve">Annex 10 of </w:t>
      </w:r>
      <w:hyperlink r:id="rId39" w:history="1">
        <w:r w:rsidRPr="004A0FF6">
          <w:rPr>
            <w:rStyle w:val="Hyperlink"/>
          </w:rPr>
          <w:t>ERC Recommendation 70-03</w:t>
        </w:r>
      </w:hyperlink>
      <w:r>
        <w:t xml:space="preserve"> covers frequency bands and regulatory as well as informative parameters recommended for radio microphone applications. These arrangements do not include a restriction on the maximum emission bandwidth. Therefore, WMAS devices are facilitated in countries in Europe that fully align with this recommendation. Sweden, Finland and the Netherlands have bandwidth restrictions currently included in their national regulations.</w:t>
      </w:r>
    </w:p>
    <w:p w14:paraId="5F015C2D" w14:textId="77777777" w:rsidR="00ED31AF" w:rsidRPr="00985FAA" w:rsidRDefault="00ED31AF" w:rsidP="00ED31AF">
      <w:pPr>
        <w:pStyle w:val="Heading4"/>
      </w:pPr>
      <w:r>
        <w:t xml:space="preserve">United States  </w:t>
      </w:r>
      <w:r w:rsidRPr="00985FAA">
        <w:t xml:space="preserve">  </w:t>
      </w:r>
    </w:p>
    <w:p w14:paraId="6BF6F96F" w14:textId="607C5CEF" w:rsidR="00ED31AF" w:rsidRDefault="00ED31AF" w:rsidP="00ED31AF">
      <w:pPr>
        <w:pStyle w:val="Paragraph"/>
      </w:pPr>
      <w:r>
        <w:t xml:space="preserve">The United States Federal Communications Commission </w:t>
      </w:r>
      <w:r w:rsidR="0046208B">
        <w:t xml:space="preserve">(the FCC) </w:t>
      </w:r>
      <w:r>
        <w:t xml:space="preserve">has opened a </w:t>
      </w:r>
      <w:hyperlink r:id="rId40" w:history="1">
        <w:r w:rsidRPr="004A0FF6">
          <w:rPr>
            <w:rStyle w:val="Hyperlink"/>
          </w:rPr>
          <w:t>Notice of Proposed Rule Making</w:t>
        </w:r>
      </w:hyperlink>
      <w:r>
        <w:t xml:space="preserve"> (NPRM) to consider amending Parts 15 and 74 of its Rules for Wireless Microphones in the TV Bands and other bands and frequencies where they are authorised to operate in order to permit the use of WMAS devices</w:t>
      </w:r>
      <w:r w:rsidR="00722DAF">
        <w:t>.</w:t>
      </w:r>
      <w:r>
        <w:rPr>
          <w:rStyle w:val="FootnoteReference"/>
        </w:rPr>
        <w:footnoteReference w:id="14"/>
      </w:r>
      <w:r>
        <w:t xml:space="preserve"> </w:t>
      </w:r>
      <w:r w:rsidR="0059322E">
        <w:t>It is</w:t>
      </w:r>
      <w:r>
        <w:t xml:space="preserve"> proposed to allow WMAS technology with certain limitations. However, these proposals have yet to be implemented. </w:t>
      </w:r>
    </w:p>
    <w:p w14:paraId="39C6E936" w14:textId="1C1DABCB" w:rsidR="00ED31AF" w:rsidRPr="000645A8" w:rsidRDefault="00515181" w:rsidP="00ED31AF">
      <w:pPr>
        <w:pStyle w:val="Heading3"/>
      </w:pPr>
      <w:r>
        <w:t>Possible t</w:t>
      </w:r>
      <w:r w:rsidR="00ED31AF" w:rsidRPr="006D7AF0">
        <w:t>echnical conditions</w:t>
      </w:r>
    </w:p>
    <w:p w14:paraId="088453B4" w14:textId="0CEBDF04" w:rsidR="00CB310B" w:rsidRDefault="00CB310B" w:rsidP="00CB310B">
      <w:pPr>
        <w:pStyle w:val="Heading4"/>
      </w:pPr>
      <w:r>
        <w:t>Maximum EIRP</w:t>
      </w:r>
    </w:p>
    <w:p w14:paraId="7250A170" w14:textId="1E06322A" w:rsidR="00CB310B" w:rsidRDefault="00CB310B" w:rsidP="00CB310B">
      <w:pPr>
        <w:pStyle w:val="Paragraph"/>
      </w:pPr>
      <w:r>
        <w:t>The FCC has proposed to allow WMAS devices to operate at up to the same maximum power as other wireless audio devices. However, in the US, the maximum EIRP is 250 mW</w:t>
      </w:r>
      <w:r w:rsidR="001337BD">
        <w:t>,</w:t>
      </w:r>
      <w:r>
        <w:t xml:space="preserve"> </w:t>
      </w:r>
      <w:r w:rsidR="002D16EA">
        <w:t>which is greater than</w:t>
      </w:r>
      <w:r>
        <w:t xml:space="preserve"> the </w:t>
      </w:r>
      <w:r w:rsidR="00FA6BB4">
        <w:t>100</w:t>
      </w:r>
      <w:r>
        <w:t xml:space="preserve"> mW </w:t>
      </w:r>
      <w:r w:rsidR="002D16EA">
        <w:t xml:space="preserve">maximum EIRP </w:t>
      </w:r>
      <w:r>
        <w:t xml:space="preserve">in the LIPD </w:t>
      </w:r>
      <w:r w:rsidR="00722DAF">
        <w:t>c</w:t>
      </w:r>
      <w:r w:rsidR="00833DCE">
        <w:t>lass licence</w:t>
      </w:r>
      <w:r w:rsidR="00D7452F">
        <w:t xml:space="preserve"> (see current entries listed above)</w:t>
      </w:r>
      <w:r>
        <w:t xml:space="preserve">. </w:t>
      </w:r>
    </w:p>
    <w:p w14:paraId="6C280953" w14:textId="313FF5E9" w:rsidR="002D16EA" w:rsidRDefault="002D16EA" w:rsidP="00CB310B">
      <w:pPr>
        <w:pStyle w:val="Paragraph"/>
      </w:pPr>
      <w:r>
        <w:t xml:space="preserve">European arrangements allow WMAS devices to operate at up to the same maximum power as other wireless audio devices. However, in the Europe, the maximum ERP is </w:t>
      </w:r>
      <w:r>
        <w:lastRenderedPageBreak/>
        <w:t xml:space="preserve">50 mW </w:t>
      </w:r>
      <w:r w:rsidR="00FA6BB4">
        <w:t>(82 mW EIRP)</w:t>
      </w:r>
      <w:r w:rsidR="00722DAF">
        <w:t>,</w:t>
      </w:r>
      <w:r w:rsidR="00FA6BB4">
        <w:t xml:space="preserve"> </w:t>
      </w:r>
      <w:r>
        <w:t xml:space="preserve">less than </w:t>
      </w:r>
      <w:r w:rsidR="001337BD">
        <w:t xml:space="preserve">permitted by </w:t>
      </w:r>
      <w:r>
        <w:t xml:space="preserve">the LIPD </w:t>
      </w:r>
      <w:r w:rsidR="00722DAF">
        <w:t>c</w:t>
      </w:r>
      <w:r w:rsidR="00833DCE">
        <w:t>lass licence</w:t>
      </w:r>
      <w:r w:rsidR="00722DAF">
        <w:t xml:space="preserve">, </w:t>
      </w:r>
      <w:r>
        <w:t>which is equivalent to approximately 60.95 mW ERP</w:t>
      </w:r>
      <w:r w:rsidR="00FA6BB4">
        <w:t xml:space="preserve"> (100 mW EIRP)</w:t>
      </w:r>
      <w:r w:rsidR="00722DAF">
        <w:t>.</w:t>
      </w:r>
      <w:r w:rsidR="000D05CB">
        <w:rPr>
          <w:rStyle w:val="FootnoteReference"/>
        </w:rPr>
        <w:footnoteReference w:id="15"/>
      </w:r>
    </w:p>
    <w:p w14:paraId="542B11FE" w14:textId="76C452F6" w:rsidR="00CB310B" w:rsidRDefault="00CB310B" w:rsidP="00CB310B">
      <w:pPr>
        <w:pStyle w:val="Paragraph"/>
      </w:pPr>
      <w:r>
        <w:t xml:space="preserve">We seek comment on the maximum </w:t>
      </w:r>
      <w:r w:rsidR="002D16EA">
        <w:t xml:space="preserve">EIRP that should be implemented </w:t>
      </w:r>
      <w:r>
        <w:t xml:space="preserve">for WMAS devices. </w:t>
      </w:r>
      <w:r w:rsidR="006D420A">
        <w:t xml:space="preserve">Some of the issues associated with coexistence with other services are discussed below. Any increase in the maximum EIRP above current levels would need to be supported by studies on the impact on existing services. </w:t>
      </w:r>
    </w:p>
    <w:p w14:paraId="135E12FF" w14:textId="734997DD" w:rsidR="00CB310B" w:rsidRPr="00E162C4" w:rsidRDefault="00CB310B" w:rsidP="00CB310B">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E162C4">
        <w:t xml:space="preserve">Question </w:t>
      </w:r>
      <w:r w:rsidR="006D420A">
        <w:t>4</w:t>
      </w:r>
    </w:p>
    <w:p w14:paraId="20475BA9" w14:textId="2FCCDE7D" w:rsidR="00CB310B" w:rsidRPr="00E162C4" w:rsidRDefault="002D16EA" w:rsidP="006D420A">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What should be the maximum EIRP for WMAS devices</w:t>
      </w:r>
      <w:r w:rsidR="006D420A">
        <w:t xml:space="preserve"> in the 520–694 MHz and </w:t>
      </w:r>
      <w:r w:rsidR="006D420A" w:rsidRPr="006D420A">
        <w:t>1785–1800</w:t>
      </w:r>
      <w:r w:rsidR="006D420A">
        <w:t xml:space="preserve"> MHz bands</w:t>
      </w:r>
      <w:r w:rsidR="00CB310B">
        <w:t>?</w:t>
      </w:r>
    </w:p>
    <w:p w14:paraId="1EED8F44" w14:textId="77777777" w:rsidR="00ED31AF" w:rsidRDefault="00ED31AF" w:rsidP="00ED31AF">
      <w:pPr>
        <w:pStyle w:val="Heading4"/>
      </w:pPr>
      <w:r>
        <w:t>Maximum bandwidth</w:t>
      </w:r>
    </w:p>
    <w:p w14:paraId="12772A9C" w14:textId="7DC9B30C" w:rsidR="00024C33" w:rsidRDefault="0046208B" w:rsidP="00024C33">
      <w:pPr>
        <w:pStyle w:val="Paragraph"/>
      </w:pPr>
      <w:r>
        <w:t>T</w:t>
      </w:r>
      <w:r w:rsidR="00ED31AF">
        <w:t>he FCC has proposed to allow WMAS devices to use a 6 MHz maximum bandwidth, being the size of a television channel in the US. The FCC ha</w:t>
      </w:r>
      <w:r w:rsidR="001337BD">
        <w:t>s</w:t>
      </w:r>
      <w:r w:rsidR="00ED31AF">
        <w:t xml:space="preserve"> further proposed that for WMAS devices operating in the TV bands, the 6 MHz (or less) WMAS channel must fall entirely within a single TV channel that is available for Part 74 wireless microphones. This requirement is intended to prevent a WMAS device from occupying portions of </w:t>
      </w:r>
      <w:r w:rsidR="00722DAF">
        <w:t xml:space="preserve">2 </w:t>
      </w:r>
      <w:r w:rsidR="00ED31AF">
        <w:t>unused TV channels simultaneously,</w:t>
      </w:r>
      <w:r w:rsidR="00ED31AF" w:rsidRPr="00ED31AF">
        <w:t xml:space="preserve"> potentially excluding other uses that require a full channel</w:t>
      </w:r>
      <w:r w:rsidR="00ED31AF">
        <w:t xml:space="preserve">. </w:t>
      </w:r>
    </w:p>
    <w:p w14:paraId="300E4597" w14:textId="518950EB" w:rsidR="00024C33" w:rsidRDefault="00024C33" w:rsidP="00024C33">
      <w:pPr>
        <w:pStyle w:val="Paragraph"/>
      </w:pPr>
      <w:r>
        <w:t xml:space="preserve">In Australia, the bandwidth of a television channel is 7 MHz. Therefore, a maximum WMAS channel of 7 MHz may be more appropriate in the Australian context. </w:t>
      </w:r>
      <w:r w:rsidR="003001A4">
        <w:t>However</w:t>
      </w:r>
      <w:r>
        <w:t xml:space="preserve">, </w:t>
      </w:r>
      <w:r w:rsidRPr="00024C33">
        <w:t>ETSI Standard EN 300 422</w:t>
      </w:r>
      <w:r>
        <w:t xml:space="preserve"> permits WMAS to operate using channels up to 20 MHz. </w:t>
      </w:r>
    </w:p>
    <w:p w14:paraId="5561460C" w14:textId="5178E3EA" w:rsidR="00024C33" w:rsidRDefault="00ED31AF" w:rsidP="00024C33">
      <w:pPr>
        <w:pStyle w:val="Paragraph"/>
      </w:pPr>
      <w:r>
        <w:t xml:space="preserve">We seek comment on the implementation of </w:t>
      </w:r>
      <w:r w:rsidR="00024C33">
        <w:t>a limitation on the maximum emission bandwidth for WMAS devices</w:t>
      </w:r>
      <w:r w:rsidR="005A65C3">
        <w:t xml:space="preserve"> and operating with respect to TV channel raster</w:t>
      </w:r>
      <w:r>
        <w:t xml:space="preserve">. </w:t>
      </w:r>
    </w:p>
    <w:p w14:paraId="0FC92835" w14:textId="1BF2263C" w:rsidR="00024C33" w:rsidRPr="00E162C4" w:rsidRDefault="00024C33" w:rsidP="00024C33">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E162C4">
        <w:t xml:space="preserve">Question </w:t>
      </w:r>
      <w:r w:rsidR="006D420A">
        <w:t>5</w:t>
      </w:r>
    </w:p>
    <w:p w14:paraId="331837AC" w14:textId="62DECA3F" w:rsidR="00024C33" w:rsidRDefault="00024C33" w:rsidP="00024C33">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rsidRPr="00024C33">
        <w:t xml:space="preserve">Should a maximum bandwidth </w:t>
      </w:r>
      <w:r>
        <w:t xml:space="preserve">limitation </w:t>
      </w:r>
      <w:r w:rsidRPr="00024C33">
        <w:t>be implemented</w:t>
      </w:r>
      <w:r w:rsidR="002D16EA">
        <w:t xml:space="preserve"> for WMAS devices</w:t>
      </w:r>
      <w:r w:rsidRPr="00024C33">
        <w:t>? If so, what should the maximum emission bandwidth be?</w:t>
      </w:r>
    </w:p>
    <w:p w14:paraId="7D353A6B" w14:textId="77777777" w:rsidR="006732D8" w:rsidRDefault="006732D8" w:rsidP="006732D8">
      <w:pPr>
        <w:pStyle w:val="Paragraph"/>
      </w:pPr>
    </w:p>
    <w:p w14:paraId="7E0F1959" w14:textId="33B17DA0" w:rsidR="006732D8" w:rsidRPr="00E162C4" w:rsidRDefault="006732D8" w:rsidP="006732D8">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E162C4">
        <w:t xml:space="preserve">Question </w:t>
      </w:r>
      <w:r w:rsidR="006D420A">
        <w:t>6</w:t>
      </w:r>
    </w:p>
    <w:p w14:paraId="20875262" w14:textId="685E797E" w:rsidR="006732D8" w:rsidRPr="00E162C4" w:rsidRDefault="00CD313C" w:rsidP="006732D8">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Should a WMAS emission in 520–694 MHz be limited to fall entirely within a single TV channel? For emissions greater than a single TV channel, should a whole number of TV channels be required (for example, emission bandwidths of 7 MHz or 14 MHz)? Should any other limitations regarding the relative positioning of WMAS emissions with respect to the TV channel raster be implemented?</w:t>
      </w:r>
    </w:p>
    <w:p w14:paraId="7C0DDC7E" w14:textId="4F4E3E51" w:rsidR="00ED31AF" w:rsidRDefault="00ED31AF" w:rsidP="00ED31AF">
      <w:pPr>
        <w:pStyle w:val="Heading4"/>
      </w:pPr>
      <w:r>
        <w:t>Spectral efficiency</w:t>
      </w:r>
    </w:p>
    <w:p w14:paraId="1198214F" w14:textId="0B67C525" w:rsidR="00CB310B" w:rsidRDefault="0046208B" w:rsidP="00CB310B">
      <w:pPr>
        <w:pStyle w:val="Paragraph"/>
      </w:pPr>
      <w:r w:rsidRPr="0046208B">
        <w:t>A potential downside of WMAS is the possibility that an operator connects too few devices on the wider channel to reali</w:t>
      </w:r>
      <w:r>
        <w:t>s</w:t>
      </w:r>
      <w:r w:rsidRPr="0046208B">
        <w:t xml:space="preserve">e </w:t>
      </w:r>
      <w:r>
        <w:t xml:space="preserve">the </w:t>
      </w:r>
      <w:r w:rsidRPr="0046208B">
        <w:t>potential for improved spectrum efficiency.</w:t>
      </w:r>
      <w:r w:rsidR="00CB310B">
        <w:t xml:space="preserve"> The FCC ha</w:t>
      </w:r>
      <w:r w:rsidR="001337BD">
        <w:t>s</w:t>
      </w:r>
      <w:r w:rsidR="00CB310B">
        <w:t xml:space="preserve"> proposed to require </w:t>
      </w:r>
      <w:r w:rsidR="00CB310B" w:rsidRPr="00CB310B">
        <w:t xml:space="preserve">WMAS devices to operate with a minimum spectral efficiency of </w:t>
      </w:r>
      <w:r w:rsidR="00CD313C">
        <w:t>3</w:t>
      </w:r>
      <w:r w:rsidR="00CD313C" w:rsidRPr="00CB310B">
        <w:t xml:space="preserve"> </w:t>
      </w:r>
      <w:r w:rsidR="00CB310B" w:rsidRPr="00CB310B">
        <w:t>audio channels per</w:t>
      </w:r>
      <w:r w:rsidR="00CB310B">
        <w:t xml:space="preserve"> MHz. This </w:t>
      </w:r>
      <w:r w:rsidRPr="0046208B">
        <w:t>ensure</w:t>
      </w:r>
      <w:r w:rsidR="00CB310B">
        <w:t>s</w:t>
      </w:r>
      <w:r w:rsidRPr="0046208B">
        <w:t xml:space="preserve"> that users operating WMAS would use spectrum as or more efficiently than currently </w:t>
      </w:r>
      <w:r w:rsidR="00CB310B">
        <w:t>authorised</w:t>
      </w:r>
      <w:r w:rsidRPr="0046208B">
        <w:t xml:space="preserve"> wireless microphones</w:t>
      </w:r>
      <w:r w:rsidR="00CB310B">
        <w:t xml:space="preserve">. </w:t>
      </w:r>
    </w:p>
    <w:p w14:paraId="4BDB4DD0" w14:textId="33CF4D6C" w:rsidR="00CB310B" w:rsidRDefault="00CB310B" w:rsidP="00CB310B">
      <w:pPr>
        <w:pStyle w:val="Paragraph"/>
      </w:pPr>
      <w:r>
        <w:t xml:space="preserve">We seek comment on the implementation of a minimum spectral efficiency for WMAS devices. </w:t>
      </w:r>
    </w:p>
    <w:p w14:paraId="374510AF" w14:textId="485FDEBA" w:rsidR="00CB310B" w:rsidRPr="00E162C4" w:rsidRDefault="00CB310B" w:rsidP="00CB310B">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E162C4">
        <w:lastRenderedPageBreak/>
        <w:t xml:space="preserve">Question </w:t>
      </w:r>
      <w:r w:rsidR="006D420A">
        <w:t>7</w:t>
      </w:r>
    </w:p>
    <w:p w14:paraId="6F9DE788" w14:textId="3274EB3C" w:rsidR="00CB310B" w:rsidRDefault="00CB310B" w:rsidP="00CB310B">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rsidRPr="00024C33">
        <w:t xml:space="preserve">Should a </w:t>
      </w:r>
      <w:r>
        <w:t>minimum spectral efficiency</w:t>
      </w:r>
      <w:r w:rsidRPr="00024C33">
        <w:t xml:space="preserve"> </w:t>
      </w:r>
      <w:r>
        <w:t xml:space="preserve">limitation </w:t>
      </w:r>
      <w:r w:rsidRPr="00024C33">
        <w:t>be implemented</w:t>
      </w:r>
      <w:r w:rsidR="002D16EA" w:rsidRPr="002D16EA">
        <w:t xml:space="preserve"> </w:t>
      </w:r>
      <w:r w:rsidR="002D16EA">
        <w:t>for WMAS devices</w:t>
      </w:r>
      <w:r w:rsidRPr="00024C33">
        <w:t xml:space="preserve">? If so, what should the </w:t>
      </w:r>
      <w:r>
        <w:t>minimum spectral efficiency</w:t>
      </w:r>
      <w:r w:rsidRPr="00024C33">
        <w:t xml:space="preserve"> be?</w:t>
      </w:r>
      <w:r>
        <w:t xml:space="preserve"> </w:t>
      </w:r>
    </w:p>
    <w:p w14:paraId="53AAF681" w14:textId="108FFFA3" w:rsidR="00515181" w:rsidRDefault="00515181" w:rsidP="00515181">
      <w:pPr>
        <w:pStyle w:val="Heading4"/>
      </w:pPr>
      <w:r>
        <w:t>Compliance with ETSI EN 300 422</w:t>
      </w:r>
    </w:p>
    <w:p w14:paraId="60BF879B" w14:textId="2702E546" w:rsidR="00515181" w:rsidRDefault="00756CF0" w:rsidP="00515181">
      <w:pPr>
        <w:pStyle w:val="Paragraph"/>
      </w:pPr>
      <w:r>
        <w:t>Both European and proposed US arrangements include the requirement of compliance with ETSI Standard EN 300 422. This is also reference</w:t>
      </w:r>
      <w:r w:rsidR="00B33D82">
        <w:t>d</w:t>
      </w:r>
      <w:r>
        <w:t xml:space="preserve"> in items 30 and 31 of Schedule 1 to the LIPD </w:t>
      </w:r>
      <w:r w:rsidR="00CD313C">
        <w:t>c</w:t>
      </w:r>
      <w:r w:rsidR="00833DCE">
        <w:t>lass licence</w:t>
      </w:r>
      <w:r>
        <w:t xml:space="preserve">. </w:t>
      </w:r>
    </w:p>
    <w:p w14:paraId="6DE71AFB" w14:textId="6DEFA58A" w:rsidR="00756CF0" w:rsidRDefault="00756CF0" w:rsidP="00756CF0">
      <w:pPr>
        <w:pStyle w:val="Paragraph"/>
      </w:pPr>
      <w:r>
        <w:t xml:space="preserve">We seek comment on the implementation of a requirement that WMAS devices comply with ETSI Standard EN 300 422. </w:t>
      </w:r>
    </w:p>
    <w:p w14:paraId="783F9ABF" w14:textId="20F070DF" w:rsidR="00756CF0" w:rsidRPr="00E162C4" w:rsidRDefault="00756CF0" w:rsidP="00756CF0">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E162C4">
        <w:t xml:space="preserve">Question </w:t>
      </w:r>
      <w:r w:rsidR="006D420A">
        <w:t>8</w:t>
      </w:r>
    </w:p>
    <w:p w14:paraId="3B207F9B" w14:textId="42C61AB6" w:rsidR="00756CF0" w:rsidRDefault="00756CF0" w:rsidP="00756CF0">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rsidRPr="00024C33">
        <w:t xml:space="preserve">Should </w:t>
      </w:r>
      <w:r>
        <w:t>WMAS devices be required to compl</w:t>
      </w:r>
      <w:r w:rsidR="00040AF0">
        <w:t>y with ETSI Standard EN 300 422</w:t>
      </w:r>
      <w:r w:rsidRPr="00024C33">
        <w:t xml:space="preserve">? </w:t>
      </w:r>
    </w:p>
    <w:p w14:paraId="770791F7" w14:textId="4326D2AF" w:rsidR="00515181" w:rsidRDefault="00505089" w:rsidP="00CF1A8A">
      <w:pPr>
        <w:pStyle w:val="Heading4"/>
        <w:spacing w:after="240"/>
      </w:pPr>
      <w:r>
        <w:t xml:space="preserve">Coexistence with </w:t>
      </w:r>
      <w:r w:rsidR="00F92A08">
        <w:t xml:space="preserve">other </w:t>
      </w:r>
      <w:r>
        <w:t>services</w:t>
      </w:r>
    </w:p>
    <w:p w14:paraId="262E5364" w14:textId="2EB74205" w:rsidR="00F92A08" w:rsidRPr="00716703" w:rsidRDefault="00F92A08" w:rsidP="00CF1A8A">
      <w:pPr>
        <w:pStyle w:val="Paragraph"/>
        <w:spacing w:after="60"/>
        <w:rPr>
          <w:i/>
          <w:iCs/>
        </w:rPr>
      </w:pPr>
      <w:r w:rsidRPr="00716703">
        <w:rPr>
          <w:i/>
          <w:iCs/>
        </w:rPr>
        <w:t>Broadcasting</w:t>
      </w:r>
    </w:p>
    <w:p w14:paraId="78779E6C" w14:textId="35227730" w:rsidR="00515181" w:rsidRDefault="00040AF0" w:rsidP="00CF1A8A">
      <w:pPr>
        <w:pStyle w:val="Paragraph"/>
        <w:spacing w:line="240" w:lineRule="auto"/>
      </w:pPr>
      <w:r>
        <w:t xml:space="preserve">Items 28 and 29 in Schedule 1 of the LIPD </w:t>
      </w:r>
      <w:r w:rsidR="00CD313C">
        <w:t>c</w:t>
      </w:r>
      <w:r w:rsidR="00833DCE">
        <w:t>lass licence</w:t>
      </w:r>
      <w:r>
        <w:t xml:space="preserve"> allow outdoor operation of wireless audio transmitters on the condition that t</w:t>
      </w:r>
      <w:r w:rsidRPr="00040AF0">
        <w:t>ransmission in a broadcasting services band channel must not originate in the coverage area of a broadcasting station or datacasting service station (including a repeater or translator station) operating in the same channel.</w:t>
      </w:r>
    </w:p>
    <w:p w14:paraId="0B5DE45E" w14:textId="23D54BF9" w:rsidR="00040AF0" w:rsidRDefault="00040AF0" w:rsidP="00515181">
      <w:pPr>
        <w:pStyle w:val="Paragraph"/>
      </w:pPr>
      <w:r>
        <w:t xml:space="preserve">To facilitate ongoing coexistence with broadcasting services, we consider that this limitation would need to be included should arrangements be implemented for WMAS devices. </w:t>
      </w:r>
    </w:p>
    <w:p w14:paraId="48D05BCF" w14:textId="77375EB7" w:rsidR="00040AF0" w:rsidRDefault="00040AF0" w:rsidP="00515181">
      <w:pPr>
        <w:pStyle w:val="Paragraph"/>
      </w:pPr>
      <w:r>
        <w:t>It should be noted that proponents of WMAS devices argue that the potential for interference between WMAS devices and broadcasting services is no greater, and arguably less, than that which exists with conventional wireless audio transmitters. This is because the radiated power is spread across a wider bandwidth channel and the power spectral density is less for WMAS devices than conventional wireless audio transmitters.</w:t>
      </w:r>
      <w:r w:rsidR="00D7452F">
        <w:t xml:space="preserve"> </w:t>
      </w:r>
      <w:r w:rsidR="003A620B">
        <w:t xml:space="preserve">We note </w:t>
      </w:r>
      <w:r w:rsidR="00D7452F">
        <w:t xml:space="preserve">that this assertion </w:t>
      </w:r>
      <w:r w:rsidR="00F92A08">
        <w:t>is</w:t>
      </w:r>
      <w:r w:rsidR="00D7452F">
        <w:t xml:space="preserve"> dependent on whether the maximum EIRP for WMAS devices is change</w:t>
      </w:r>
      <w:r w:rsidR="00F92A08">
        <w:t>d</w:t>
      </w:r>
      <w:r w:rsidR="00D7452F">
        <w:t xml:space="preserve"> from current arrangements or not. </w:t>
      </w:r>
    </w:p>
    <w:p w14:paraId="5BC3C744" w14:textId="1339324B" w:rsidR="00024C33" w:rsidRDefault="003A620B" w:rsidP="00C52875">
      <w:pPr>
        <w:pStyle w:val="Paragraph"/>
      </w:pPr>
      <w:r>
        <w:t>However</w:t>
      </w:r>
      <w:r w:rsidR="00FF1D0A">
        <w:t xml:space="preserve">, we </w:t>
      </w:r>
      <w:r>
        <w:t xml:space="preserve">believe </w:t>
      </w:r>
      <w:r w:rsidR="00FF1D0A">
        <w:t>applying the same restrictions on transmission within the coverage area of a broadcasting or datacasting service station would be necessary for WMAS devices.</w:t>
      </w:r>
      <w:r w:rsidR="006D420A" w:rsidDel="006D420A">
        <w:t xml:space="preserve"> </w:t>
      </w:r>
    </w:p>
    <w:p w14:paraId="593A1779" w14:textId="194DD72C" w:rsidR="00F92A08" w:rsidRDefault="00BC65CC" w:rsidP="00CF1A8A">
      <w:pPr>
        <w:pStyle w:val="Paragraph"/>
        <w:spacing w:after="60"/>
      </w:pPr>
      <w:bookmarkStart w:id="30" w:name="_Toc298924672"/>
      <w:bookmarkStart w:id="31" w:name="_Toc300909555"/>
      <w:bookmarkStart w:id="32" w:name="_Toc348105636"/>
      <w:r w:rsidRPr="00C52875">
        <w:rPr>
          <w:i/>
          <w:iCs/>
        </w:rPr>
        <w:t xml:space="preserve">Other possible coexistence issues </w:t>
      </w:r>
    </w:p>
    <w:p w14:paraId="5A447D89" w14:textId="144B23A4" w:rsidR="00BC65CC" w:rsidRPr="00BC65CC" w:rsidRDefault="00BC65CC" w:rsidP="00C52875">
      <w:pPr>
        <w:pStyle w:val="Paragraph"/>
      </w:pPr>
      <w:r>
        <w:t>Item 30 currently permits wireless audio transmitters in 1785</w:t>
      </w:r>
      <w:r w:rsidR="003A620B">
        <w:t>–</w:t>
      </w:r>
      <w:r>
        <w:t>1800 MHz with various limitations. If a change in power for WMAS devices in this band was contemplated, coexistence with other services</w:t>
      </w:r>
      <w:r w:rsidR="006D420A">
        <w:t xml:space="preserve"> would need to be considered</w:t>
      </w:r>
      <w:r>
        <w:t xml:space="preserve"> (especially</w:t>
      </w:r>
      <w:r w:rsidR="006D420A">
        <w:t xml:space="preserve"> regarding adjacent band</w:t>
      </w:r>
      <w:r>
        <w:t xml:space="preserve"> 1800 MHz wireless broadband</w:t>
      </w:r>
      <w:r w:rsidR="006D420A">
        <w:t xml:space="preserve"> services</w:t>
      </w:r>
      <w:r>
        <w:t xml:space="preserve">). </w:t>
      </w:r>
    </w:p>
    <w:p w14:paraId="008FFD6B" w14:textId="50DB8CF8" w:rsidR="00882AF1" w:rsidRPr="000645A8" w:rsidRDefault="00882AF1" w:rsidP="00882AF1">
      <w:pPr>
        <w:pStyle w:val="Heading3"/>
      </w:pPr>
      <w:r>
        <w:t>Implementation issues</w:t>
      </w:r>
    </w:p>
    <w:p w14:paraId="33B0F75C" w14:textId="4E63D7A6" w:rsidR="005A65C3" w:rsidRDefault="00882AF1" w:rsidP="0089059D">
      <w:pPr>
        <w:pStyle w:val="Paragraph"/>
      </w:pPr>
      <w:r w:rsidRPr="00882AF1">
        <w:t xml:space="preserve">Under current arrangements, WMAS devices </w:t>
      </w:r>
      <w:r>
        <w:t xml:space="preserve">are unable to operate under </w:t>
      </w:r>
      <w:r w:rsidRPr="00882AF1">
        <w:t>items 28 and 29 in Schedule 1</w:t>
      </w:r>
      <w:r w:rsidR="0089059D">
        <w:t xml:space="preserve"> of the LIPD class licence due to the requirement not to exceed a maximum bandwidth of 330 kHz. </w:t>
      </w:r>
    </w:p>
    <w:p w14:paraId="72997F7D" w14:textId="071955DC" w:rsidR="00F92A08" w:rsidRDefault="0089059D" w:rsidP="0089059D">
      <w:pPr>
        <w:pStyle w:val="Paragraph"/>
      </w:pPr>
      <w:r>
        <w:t xml:space="preserve">Depending on whether other technical conditions are implemented, one option may be to simply remove the maximum bandwidth requirement from </w:t>
      </w:r>
      <w:r w:rsidRPr="00882AF1">
        <w:t>items 28 and 29 in Schedule 1</w:t>
      </w:r>
      <w:r>
        <w:t xml:space="preserve">. </w:t>
      </w:r>
      <w:r w:rsidR="00F92A08">
        <w:t xml:space="preserve">This would enable outdoor WMAS use at existing powers. </w:t>
      </w:r>
    </w:p>
    <w:p w14:paraId="01AD7A1F" w14:textId="0749561F" w:rsidR="0089059D" w:rsidRDefault="0089059D" w:rsidP="0089059D">
      <w:pPr>
        <w:pStyle w:val="Paragraph"/>
      </w:pPr>
      <w:r>
        <w:lastRenderedPageBreak/>
        <w:t>A second option is to insert new item</w:t>
      </w:r>
      <w:r w:rsidR="00F92A08">
        <w:t>(</w:t>
      </w:r>
      <w:r>
        <w:t>s</w:t>
      </w:r>
      <w:r w:rsidR="00F92A08">
        <w:t>)</w:t>
      </w:r>
      <w:r>
        <w:t xml:space="preserve"> with the relevant technical conditions</w:t>
      </w:r>
      <w:r w:rsidR="005A65C3">
        <w:t xml:space="preserve"> (for example, possible support for higher power and channel </w:t>
      </w:r>
      <w:r w:rsidR="00F92A08">
        <w:t>operation requirements)</w:t>
      </w:r>
      <w:r>
        <w:t xml:space="preserve">. </w:t>
      </w:r>
    </w:p>
    <w:p w14:paraId="72C5A1B7" w14:textId="09C9ABA6" w:rsidR="00F92A08" w:rsidRDefault="00F92A08" w:rsidP="0089059D">
      <w:pPr>
        <w:pStyle w:val="Paragraph"/>
      </w:pPr>
      <w:r>
        <w:t xml:space="preserve">There is also the question </w:t>
      </w:r>
      <w:r w:rsidR="003A620B">
        <w:t>of</w:t>
      </w:r>
      <w:r>
        <w:t xml:space="preserve"> whether ite</w:t>
      </w:r>
      <w:r w:rsidR="006D420A">
        <w:t>m</w:t>
      </w:r>
      <w:r>
        <w:t xml:space="preserve"> 31</w:t>
      </w:r>
      <w:r w:rsidR="003A620B">
        <w:t>,</w:t>
      </w:r>
      <w:r>
        <w:t xml:space="preserve"> which currently supports WMAS</w:t>
      </w:r>
      <w:r w:rsidR="003A620B">
        <w:t>,</w:t>
      </w:r>
      <w:r>
        <w:t xml:space="preserve"> should be modified to include any channel operation requirements, or again</w:t>
      </w:r>
      <w:r w:rsidR="003A620B">
        <w:t>,</w:t>
      </w:r>
      <w:r>
        <w:t xml:space="preserve"> whether a separate entry is necessary.</w:t>
      </w:r>
    </w:p>
    <w:p w14:paraId="7732A2F1" w14:textId="2A7152D7" w:rsidR="0089059D" w:rsidRPr="00E162C4" w:rsidRDefault="0089059D" w:rsidP="0089059D">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E162C4">
        <w:t xml:space="preserve">Question </w:t>
      </w:r>
      <w:r w:rsidR="00A1075A">
        <w:t>9</w:t>
      </w:r>
    </w:p>
    <w:p w14:paraId="6CA1F3C8" w14:textId="2A1FD63A" w:rsidR="0089059D" w:rsidRDefault="0089059D" w:rsidP="0089059D">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Should new items be added to </w:t>
      </w:r>
      <w:r w:rsidRPr="00882AF1">
        <w:t>Schedule 1</w:t>
      </w:r>
      <w:r>
        <w:t xml:space="preserve"> of the LIPD class licence to facilitate WMAS</w:t>
      </w:r>
      <w:r w:rsidR="003A620B">
        <w:t>,</w:t>
      </w:r>
      <w:r>
        <w:t xml:space="preserve"> or should existing items be modified?</w:t>
      </w:r>
      <w:r w:rsidRPr="00024C33">
        <w:t xml:space="preserve"> </w:t>
      </w:r>
    </w:p>
    <w:p w14:paraId="3B203554" w14:textId="31A146B2" w:rsidR="00930510" w:rsidRPr="00E162C4" w:rsidRDefault="005D77AB" w:rsidP="00C02F26">
      <w:pPr>
        <w:pStyle w:val="Heading2"/>
      </w:pPr>
      <w:bookmarkStart w:id="33" w:name="_Toc117072414"/>
      <w:r>
        <w:t xml:space="preserve">Underground </w:t>
      </w:r>
      <w:r w:rsidR="003A620B">
        <w:t>w</w:t>
      </w:r>
      <w:r w:rsidR="00B212BF">
        <w:t xml:space="preserve">ireless </w:t>
      </w:r>
      <w:r w:rsidR="003A620B">
        <w:t>b</w:t>
      </w:r>
      <w:r w:rsidR="00B212BF">
        <w:t>roadband</w:t>
      </w:r>
      <w:bookmarkEnd w:id="33"/>
    </w:p>
    <w:p w14:paraId="4F7EBDBB" w14:textId="4F853B72" w:rsidR="0076580A" w:rsidRDefault="00CE7033" w:rsidP="00C02F26">
      <w:pPr>
        <w:pStyle w:val="Paragraph"/>
      </w:pPr>
      <w:r>
        <w:t>M</w:t>
      </w:r>
      <w:r w:rsidR="002C1995" w:rsidRPr="002C1995">
        <w:t>ining industry</w:t>
      </w:r>
      <w:r w:rsidR="009A549E">
        <w:t xml:space="preserve"> representatives</w:t>
      </w:r>
      <w:r w:rsidR="002C1995" w:rsidRPr="002C1995">
        <w:t xml:space="preserve"> have requested that arrangements be introduced to allow the use of</w:t>
      </w:r>
      <w:r w:rsidR="003E3FF8">
        <w:t xml:space="preserve"> </w:t>
      </w:r>
      <w:r w:rsidR="00012D25" w:rsidRPr="002C1995">
        <w:t>wireless broadband</w:t>
      </w:r>
      <w:r w:rsidR="00012D25">
        <w:t xml:space="preserve"> </w:t>
      </w:r>
      <w:r w:rsidR="002C1995" w:rsidRPr="002C1995">
        <w:t>in underground mines.</w:t>
      </w:r>
      <w:r w:rsidR="0089059D">
        <w:t xml:space="preserve"> </w:t>
      </w:r>
      <w:r w:rsidR="0076580A">
        <w:t>In</w:t>
      </w:r>
      <w:r w:rsidR="00A34933">
        <w:t xml:space="preserve"> </w:t>
      </w:r>
      <w:r w:rsidR="0076580A">
        <w:t xml:space="preserve">particular, proponents of these systems are seeking access to sub-1 GHz bands </w:t>
      </w:r>
      <w:r w:rsidR="00012D25">
        <w:t>that are internationally harmonised and standardised for wireless broadband use</w:t>
      </w:r>
      <w:r w:rsidR="003A620B">
        <w:t xml:space="preserve"> (for example, </w:t>
      </w:r>
      <w:r w:rsidR="00012D25">
        <w:t>defined in 3</w:t>
      </w:r>
      <w:r w:rsidR="00743477">
        <w:t>G</w:t>
      </w:r>
      <w:r w:rsidR="00012D25">
        <w:t>PP arrangement</w:t>
      </w:r>
      <w:r w:rsidR="003E3FF8">
        <w:t>s</w:t>
      </w:r>
      <w:r w:rsidR="003A620B">
        <w:t>)</w:t>
      </w:r>
      <w:r w:rsidR="00743477">
        <w:t>. This is</w:t>
      </w:r>
      <w:r w:rsidR="00012D25">
        <w:t xml:space="preserve"> </w:t>
      </w:r>
      <w:r w:rsidR="0076580A">
        <w:t xml:space="preserve">due to </w:t>
      </w:r>
      <w:r w:rsidR="0076580A" w:rsidRPr="002C1995">
        <w:t xml:space="preserve">better propagation characteristics </w:t>
      </w:r>
      <w:r w:rsidR="00743477">
        <w:t>and equipment availability</w:t>
      </w:r>
      <w:r w:rsidR="003A620B">
        <w:t>,</w:t>
      </w:r>
      <w:r w:rsidR="00743477">
        <w:t xml:space="preserve"> </w:t>
      </w:r>
      <w:r w:rsidR="0076580A">
        <w:t>which reduces</w:t>
      </w:r>
      <w:r w:rsidR="0076580A" w:rsidRPr="002C1995">
        <w:t xml:space="preserve"> infrastructure requirements and </w:t>
      </w:r>
      <w:r w:rsidR="0076580A">
        <w:t xml:space="preserve">results in </w:t>
      </w:r>
      <w:r w:rsidR="0076580A" w:rsidRPr="002C1995">
        <w:t xml:space="preserve">more cost-effective deployments for underground mining.  </w:t>
      </w:r>
    </w:p>
    <w:p w14:paraId="5DD8B3AC" w14:textId="30E1A94C" w:rsidR="0076580A" w:rsidRDefault="0089059D" w:rsidP="00C02F26">
      <w:pPr>
        <w:pStyle w:val="Paragraph"/>
      </w:pPr>
      <w:r>
        <w:t xml:space="preserve">Item 47 of Schedule 1 of the LIPD </w:t>
      </w:r>
      <w:r w:rsidR="00833DCE">
        <w:t>class licence</w:t>
      </w:r>
      <w:r>
        <w:t xml:space="preserve"> </w:t>
      </w:r>
      <w:r w:rsidR="00012D25">
        <w:t xml:space="preserve">currently </w:t>
      </w:r>
      <w:r>
        <w:t>authorises transmitters for underground communications in several VHF and UHF bands</w:t>
      </w:r>
      <w:r w:rsidR="0076580A">
        <w:t xml:space="preserve"> </w:t>
      </w:r>
      <w:r w:rsidR="002C1995" w:rsidRPr="002C1995">
        <w:t xml:space="preserve">below 520 MHz (for non-broadcast related activities). </w:t>
      </w:r>
      <w:r w:rsidR="0076580A">
        <w:t>This includes the 450</w:t>
      </w:r>
      <w:r w:rsidR="003A620B">
        <w:t>–</w:t>
      </w:r>
      <w:r w:rsidR="0076580A">
        <w:t xml:space="preserve">520 MHz band. International footnote 286AA to the </w:t>
      </w:r>
      <w:r w:rsidR="003A620B">
        <w:t>s</w:t>
      </w:r>
      <w:r w:rsidR="0076580A">
        <w:t xml:space="preserve">pectrum </w:t>
      </w:r>
      <w:r w:rsidR="003A620B">
        <w:t>p</w:t>
      </w:r>
      <w:r w:rsidR="0076580A">
        <w:t xml:space="preserve">lan identifies the </w:t>
      </w:r>
      <w:r w:rsidR="0076580A" w:rsidRPr="0076580A">
        <w:t>frequency band 450–470 MHz for use by administrations wishing to implement International Mobile Telecommunications (IMT)</w:t>
      </w:r>
      <w:r w:rsidR="003A620B">
        <w:t xml:space="preserve">; that is, </w:t>
      </w:r>
      <w:r w:rsidR="00012D25">
        <w:t>wireless broadband.</w:t>
      </w:r>
    </w:p>
    <w:p w14:paraId="30DEBFEF" w14:textId="11B466B5" w:rsidR="0076580A" w:rsidRDefault="005F7E89" w:rsidP="005F7E89">
      <w:pPr>
        <w:pStyle w:val="Paragraph"/>
      </w:pPr>
      <w:r>
        <w:t>In the</w:t>
      </w:r>
      <w:r w:rsidR="0076580A">
        <w:t xml:space="preserve"> information paper </w:t>
      </w:r>
      <w:hyperlink r:id="rId41" w:history="1">
        <w:r w:rsidRPr="005F7E89">
          <w:rPr>
            <w:rStyle w:val="Hyperlink"/>
          </w:rPr>
          <w:t>Spectrum options optimised for local area wireless broadband services</w:t>
        </w:r>
      </w:hyperlink>
      <w:r w:rsidR="00863B42">
        <w:t xml:space="preserve">, </w:t>
      </w:r>
      <w:r>
        <w:t>we have outlined options for</w:t>
      </w:r>
      <w:r w:rsidR="0076580A" w:rsidRPr="0076580A">
        <w:t xml:space="preserve"> local wireless broadband networks </w:t>
      </w:r>
      <w:r w:rsidR="00863B42">
        <w:t xml:space="preserve">that </w:t>
      </w:r>
      <w:r>
        <w:t xml:space="preserve">could include systems used to support the mining industry. </w:t>
      </w:r>
      <w:r w:rsidR="002D375B">
        <w:t>This includes apparatus licensing options in the 1.8 GHz and 2 GHz bands</w:t>
      </w:r>
      <w:r w:rsidR="00863B42">
        <w:t>.</w:t>
      </w:r>
      <w:r w:rsidR="002D375B">
        <w:rPr>
          <w:rStyle w:val="FootnoteReference"/>
        </w:rPr>
        <w:footnoteReference w:id="16"/>
      </w:r>
      <w:r w:rsidR="002D375B">
        <w:t xml:space="preserve"> </w:t>
      </w:r>
      <w:r>
        <w:t xml:space="preserve">However, </w:t>
      </w:r>
      <w:r w:rsidR="00CC4C53">
        <w:t xml:space="preserve">this </w:t>
      </w:r>
      <w:r>
        <w:t>do</w:t>
      </w:r>
      <w:r w:rsidR="00CC4C53">
        <w:t>es</w:t>
      </w:r>
      <w:r>
        <w:t xml:space="preserve"> not include sub</w:t>
      </w:r>
      <w:r w:rsidR="00863B42">
        <w:t>-</w:t>
      </w:r>
      <w:r>
        <w:t>1 GHz bands.</w:t>
      </w:r>
    </w:p>
    <w:p w14:paraId="4FB04CF1" w14:textId="583F36CD" w:rsidR="005F7E89" w:rsidRDefault="005F7E89" w:rsidP="00CF1A8A">
      <w:pPr>
        <w:pStyle w:val="Paragraphbeforelist"/>
      </w:pPr>
      <w:r>
        <w:t>Spectrum suitable for wireless broadband services below 1 GHz includes:</w:t>
      </w:r>
    </w:p>
    <w:p w14:paraId="0C263F87" w14:textId="1B7A4253" w:rsidR="005F7E89" w:rsidRDefault="005F7E89" w:rsidP="005F7E89">
      <w:pPr>
        <w:pStyle w:val="ListBullet"/>
      </w:pPr>
      <w:r>
        <w:t>the 700 MHz band</w:t>
      </w:r>
      <w:r w:rsidR="00012D25">
        <w:t xml:space="preserve"> </w:t>
      </w:r>
      <w:r w:rsidR="00863B42">
        <w:t>–</w:t>
      </w:r>
      <w:r>
        <w:t xml:space="preserve"> 703</w:t>
      </w:r>
      <w:r w:rsidR="00863B42">
        <w:t>–</w:t>
      </w:r>
      <w:r>
        <w:t>748 MHz paired with 758</w:t>
      </w:r>
      <w:r w:rsidR="00863B42">
        <w:t>–</w:t>
      </w:r>
      <w:r>
        <w:t>803 MHz</w:t>
      </w:r>
    </w:p>
    <w:p w14:paraId="3B705FB7" w14:textId="5C23E3E0" w:rsidR="005F7E89" w:rsidRDefault="005F7E89" w:rsidP="005F7E89">
      <w:pPr>
        <w:pStyle w:val="ListBullet"/>
      </w:pPr>
      <w:r>
        <w:t>the 800 MHz band</w:t>
      </w:r>
      <w:r w:rsidR="00012D25">
        <w:t xml:space="preserve"> </w:t>
      </w:r>
      <w:r w:rsidR="00863B42">
        <w:t>–</w:t>
      </w:r>
      <w:r>
        <w:t xml:space="preserve"> 814</w:t>
      </w:r>
      <w:r w:rsidR="00863B42">
        <w:t>–</w:t>
      </w:r>
      <w:r>
        <w:t>845 MHz paired with 859</w:t>
      </w:r>
      <w:r w:rsidR="00863B42">
        <w:t>–</w:t>
      </w:r>
      <w:r>
        <w:t>890 MHz</w:t>
      </w:r>
    </w:p>
    <w:p w14:paraId="684FF49A" w14:textId="176060EA" w:rsidR="005F7E89" w:rsidRDefault="005F7E89" w:rsidP="005F7E89">
      <w:pPr>
        <w:pStyle w:val="Bulletlevel1last"/>
      </w:pPr>
      <w:r>
        <w:t>the 900 MHz band</w:t>
      </w:r>
      <w:r w:rsidR="00012D25">
        <w:t xml:space="preserve"> </w:t>
      </w:r>
      <w:r w:rsidR="00863B42">
        <w:t>–</w:t>
      </w:r>
      <w:r>
        <w:t xml:space="preserve"> 890</w:t>
      </w:r>
      <w:r w:rsidR="00863B42">
        <w:t>–</w:t>
      </w:r>
      <w:r>
        <w:t>915 MHz paired with 935</w:t>
      </w:r>
      <w:r w:rsidR="00863B42">
        <w:t>–</w:t>
      </w:r>
      <w:r>
        <w:t xml:space="preserve">960 </w:t>
      </w:r>
      <w:r w:rsidRPr="005F7E89">
        <w:t>MHz</w:t>
      </w:r>
      <w:r w:rsidR="00A34933">
        <w:t>.</w:t>
      </w:r>
      <w:r>
        <w:t xml:space="preserve"> </w:t>
      </w:r>
    </w:p>
    <w:p w14:paraId="0605BACF" w14:textId="0DDE7D08" w:rsidR="0076580A" w:rsidRDefault="005F7E89" w:rsidP="00C02F26">
      <w:pPr>
        <w:pStyle w:val="Paragraph"/>
      </w:pPr>
      <w:r>
        <w:t xml:space="preserve">These bands are currently licensed via Australia-wide spectrum licences. </w:t>
      </w:r>
      <w:r w:rsidR="00E431B4">
        <w:t>Third parties are able to approach the holders of spectrum licences to seek access to this spectrum. We seek comment on whether this method of access has been explored for underground communications</w:t>
      </w:r>
      <w:r w:rsidR="00B81D00">
        <w:t>. I</w:t>
      </w:r>
      <w:r w:rsidR="00743477">
        <w:t>f so</w:t>
      </w:r>
      <w:r w:rsidR="001337BD">
        <w:t xml:space="preserve">, </w:t>
      </w:r>
      <w:r w:rsidR="00B81D00">
        <w:t>we’re interested i</w:t>
      </w:r>
      <w:r w:rsidR="001337BD">
        <w:t>n</w:t>
      </w:r>
      <w:r w:rsidR="00743477">
        <w:t xml:space="preserve"> the outcomes of such engagement</w:t>
      </w:r>
      <w:r w:rsidR="003E20E5">
        <w:t>, and views on whether this mechanism is effective and efficient</w:t>
      </w:r>
      <w:r w:rsidR="00E431B4">
        <w:t xml:space="preserve">. </w:t>
      </w:r>
    </w:p>
    <w:p w14:paraId="4FBC7020" w14:textId="18AC454E" w:rsidR="005F7E89" w:rsidRDefault="00E23044" w:rsidP="00C02F26">
      <w:pPr>
        <w:pStyle w:val="Paragraph"/>
      </w:pPr>
      <w:r>
        <w:t>Section 138 of the Act allows for the issuing of a class licence in spectrum space allocated for spectrum licences</w:t>
      </w:r>
      <w:r w:rsidR="00B81D00">
        <w:t>,</w:t>
      </w:r>
      <w:r>
        <w:t xml:space="preserve"> provided certain conditions are met. </w:t>
      </w:r>
      <w:r w:rsidR="00B81D00">
        <w:t>O</w:t>
      </w:r>
      <w:r w:rsidR="00E431B4">
        <w:t xml:space="preserve">ne potential option to </w:t>
      </w:r>
      <w:r w:rsidR="00743477">
        <w:t xml:space="preserve">further </w:t>
      </w:r>
      <w:r w:rsidR="00E431B4">
        <w:t xml:space="preserve">facilitate the use of these bands for underground communications is to introduce arrangements similar to item 47 of Schedule 1 of the LIPD </w:t>
      </w:r>
      <w:r w:rsidR="00833DCE">
        <w:t>class licence</w:t>
      </w:r>
      <w:r w:rsidR="00E431B4">
        <w:t xml:space="preserve"> for one or more of these bands. This would </w:t>
      </w:r>
      <w:r w:rsidR="00743477">
        <w:t xml:space="preserve">likely </w:t>
      </w:r>
      <w:r w:rsidR="00E431B4">
        <w:t xml:space="preserve">include a limitation to ensure a </w:t>
      </w:r>
      <w:r w:rsidR="00E431B4" w:rsidRPr="00E431B4">
        <w:t>maximum EIRP at an above-ground opening associated with the underground communications</w:t>
      </w:r>
      <w:r w:rsidR="00743477">
        <w:t xml:space="preserve"> to ensure coexistence with above ground services</w:t>
      </w:r>
      <w:r w:rsidR="00E431B4" w:rsidRPr="00E431B4">
        <w:t>.</w:t>
      </w:r>
      <w:r w:rsidR="00743477">
        <w:t xml:space="preserve"> Such an approach is already used for the</w:t>
      </w:r>
      <w:r w:rsidR="004C38D4">
        <w:t xml:space="preserve"> underground transmitters currently </w:t>
      </w:r>
      <w:r w:rsidR="001337BD">
        <w:t>authorised by</w:t>
      </w:r>
      <w:r w:rsidR="004C38D4">
        <w:t xml:space="preserve"> the LIPD</w:t>
      </w:r>
      <w:r w:rsidR="001337BD">
        <w:t xml:space="preserve"> </w:t>
      </w:r>
      <w:r w:rsidR="00833DCE">
        <w:t>class licence</w:t>
      </w:r>
      <w:r w:rsidR="004C38D4">
        <w:t xml:space="preserve"> (see above)</w:t>
      </w:r>
      <w:r w:rsidR="00743477">
        <w:t xml:space="preserve">. </w:t>
      </w:r>
      <w:r>
        <w:t>It</w:t>
      </w:r>
      <w:r w:rsidR="004C38D4">
        <w:t xml:space="preserve"> is likely</w:t>
      </w:r>
      <w:r w:rsidR="00743477">
        <w:t xml:space="preserve"> that technical </w:t>
      </w:r>
      <w:r w:rsidR="004C38D4">
        <w:t>arrangements</w:t>
      </w:r>
      <w:r w:rsidR="00743477">
        <w:t xml:space="preserve"> could </w:t>
      </w:r>
      <w:r w:rsidR="003E20E5">
        <w:t xml:space="preserve">be identified </w:t>
      </w:r>
      <w:r w:rsidR="003E20E5">
        <w:lastRenderedPageBreak/>
        <w:t xml:space="preserve">that </w:t>
      </w:r>
      <w:r w:rsidR="00743477">
        <w:t xml:space="preserve">enable coexistence between underground </w:t>
      </w:r>
      <w:r w:rsidR="003E20E5">
        <w:t xml:space="preserve">systems (authorised under a class licence) </w:t>
      </w:r>
      <w:r w:rsidR="00743477">
        <w:t xml:space="preserve">and </w:t>
      </w:r>
      <w:r w:rsidR="004C38D4">
        <w:t>above</w:t>
      </w:r>
      <w:r w:rsidR="00743477">
        <w:t xml:space="preserve"> ground systems. </w:t>
      </w:r>
    </w:p>
    <w:p w14:paraId="0B50FF02" w14:textId="0FEFB392" w:rsidR="005F7E89" w:rsidRDefault="00E431B4" w:rsidP="00C02F26">
      <w:pPr>
        <w:pStyle w:val="Paragraph"/>
      </w:pPr>
      <w:r>
        <w:t>We seek comment on the potential introduction of class licen</w:t>
      </w:r>
      <w:r w:rsidR="001337BD">
        <w:t xml:space="preserve">ce </w:t>
      </w:r>
      <w:r>
        <w:t>arrangements for underground communications in the 700 MHz, 800 MHz and/or 900 MHz band</w:t>
      </w:r>
      <w:r w:rsidR="001337BD">
        <w:t>s</w:t>
      </w:r>
      <w:r>
        <w:t xml:space="preserve"> in a future </w:t>
      </w:r>
      <w:r w:rsidR="001337BD">
        <w:t>variation of</w:t>
      </w:r>
      <w:r>
        <w:t xml:space="preserve"> the LIPD </w:t>
      </w:r>
      <w:r w:rsidR="00833DCE">
        <w:t>class licence</w:t>
      </w:r>
      <w:r w:rsidR="009A549E">
        <w:t>.</w:t>
      </w:r>
    </w:p>
    <w:p w14:paraId="79F80F7E" w14:textId="1668D67C" w:rsidR="00C02F26" w:rsidRPr="00E162C4" w:rsidRDefault="00C02F26" w:rsidP="00F361D7">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E162C4">
        <w:t xml:space="preserve">Question </w:t>
      </w:r>
      <w:r w:rsidR="00A1075A">
        <w:t>10</w:t>
      </w:r>
    </w:p>
    <w:p w14:paraId="534191CB" w14:textId="79C8A27B" w:rsidR="004C38D4" w:rsidRDefault="004C38D4" w:rsidP="00F361D7">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Have third-party access arrangements to spectrum</w:t>
      </w:r>
      <w:r w:rsidR="00B81D00">
        <w:t>-</w:t>
      </w:r>
      <w:r>
        <w:t xml:space="preserve">licensed bands been explored? </w:t>
      </w:r>
    </w:p>
    <w:p w14:paraId="26F220D5" w14:textId="210E3C9A" w:rsidR="00C02F26" w:rsidRPr="00E162C4" w:rsidRDefault="00E431B4" w:rsidP="00F361D7">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Should we consider the introduction of arrangements in the LIPD </w:t>
      </w:r>
      <w:r w:rsidR="00833DCE">
        <w:t>class licence</w:t>
      </w:r>
      <w:r w:rsidR="001337BD">
        <w:t xml:space="preserve"> </w:t>
      </w:r>
      <w:r>
        <w:t>to facilitate underground communications in the 700 MHz, 800 MHz and/or 900 MHz band</w:t>
      </w:r>
      <w:r w:rsidR="001337BD">
        <w:t>s</w:t>
      </w:r>
      <w:r>
        <w:t xml:space="preserve">? What technical limitations should be included in these arrangements if they are introduced? </w:t>
      </w:r>
    </w:p>
    <w:p w14:paraId="55194778" w14:textId="011F67E9" w:rsidR="0053280C" w:rsidRDefault="00C52875" w:rsidP="0053280C">
      <w:pPr>
        <w:pStyle w:val="Heading2"/>
      </w:pPr>
      <w:bookmarkStart w:id="34" w:name="_Toc117072415"/>
      <w:r w:rsidRPr="00C52875">
        <w:t xml:space="preserve">Radiocommunications receivers </w:t>
      </w:r>
      <w:r w:rsidR="00C863C6">
        <w:t xml:space="preserve">communicating with satellites </w:t>
      </w:r>
      <w:r w:rsidR="0053280C" w:rsidRPr="0053280C">
        <w:t>in the 915</w:t>
      </w:r>
      <w:r w:rsidR="00B81D00">
        <w:t>–</w:t>
      </w:r>
      <w:r w:rsidR="0053280C" w:rsidRPr="0053280C">
        <w:t>928</w:t>
      </w:r>
      <w:r w:rsidR="004B08D1">
        <w:t> </w:t>
      </w:r>
      <w:r w:rsidR="0053280C" w:rsidRPr="0053280C">
        <w:t>MHz and 2400</w:t>
      </w:r>
      <w:r w:rsidR="00B81D00">
        <w:t>–</w:t>
      </w:r>
      <w:r w:rsidR="0053280C" w:rsidRPr="0053280C">
        <w:t>2483.5 MHz bands</w:t>
      </w:r>
      <w:bookmarkEnd w:id="34"/>
      <w:r w:rsidR="0053280C" w:rsidRPr="0053280C">
        <w:t xml:space="preserve"> </w:t>
      </w:r>
    </w:p>
    <w:p w14:paraId="29B882EA" w14:textId="28A94F3A" w:rsidR="0053280C" w:rsidRDefault="0053280C" w:rsidP="0053280C">
      <w:pPr>
        <w:pStyle w:val="Paragraph"/>
      </w:pPr>
      <w:r>
        <w:t>The</w:t>
      </w:r>
      <w:r w:rsidRPr="003674F3">
        <w:t xml:space="preserve"> LIPD </w:t>
      </w:r>
      <w:r w:rsidR="00833DCE">
        <w:t>class licence</w:t>
      </w:r>
      <w:r w:rsidRPr="003674F3">
        <w:t xml:space="preserve"> </w:t>
      </w:r>
      <w:r w:rsidR="001337BD">
        <w:t>authorises</w:t>
      </w:r>
      <w:r>
        <w:t xml:space="preserve"> devices that do </w:t>
      </w:r>
      <w:r w:rsidRPr="003674F3">
        <w:t>not require individual frequency coordination for interference management purposes</w:t>
      </w:r>
      <w:r>
        <w:t xml:space="preserve">. Devices currently </w:t>
      </w:r>
      <w:r w:rsidR="001337BD">
        <w:t xml:space="preserve">authorised </w:t>
      </w:r>
      <w:r>
        <w:t xml:space="preserve">under the LIPD </w:t>
      </w:r>
      <w:r w:rsidR="00833DCE">
        <w:t>c</w:t>
      </w:r>
      <w:r>
        <w:t xml:space="preserve">lass </w:t>
      </w:r>
      <w:r w:rsidR="00833DCE">
        <w:t>l</w:t>
      </w:r>
      <w:r>
        <w:t xml:space="preserve">icence are generally envisaged to be terrestrial services and not space services. </w:t>
      </w:r>
    </w:p>
    <w:p w14:paraId="26831484" w14:textId="414BAD19" w:rsidR="0053280C" w:rsidRDefault="0053280C" w:rsidP="0053280C">
      <w:pPr>
        <w:pStyle w:val="Paragraph"/>
      </w:pPr>
      <w:r>
        <w:t xml:space="preserve">The proposed </w:t>
      </w:r>
      <w:r w:rsidR="001337BD">
        <w:t xml:space="preserve">variations </w:t>
      </w:r>
      <w:r>
        <w:t xml:space="preserve">for radiocommunications </w:t>
      </w:r>
      <w:r w:rsidR="001337BD">
        <w:t xml:space="preserve">receivers </w:t>
      </w:r>
      <w:r>
        <w:t>in the 915</w:t>
      </w:r>
      <w:r w:rsidR="00B81D00">
        <w:t>–</w:t>
      </w:r>
      <w:r>
        <w:t>928</w:t>
      </w:r>
      <w:r w:rsidR="00C52875">
        <w:t> </w:t>
      </w:r>
      <w:r>
        <w:t>MHz and 2400</w:t>
      </w:r>
      <w:r w:rsidR="00B81D00">
        <w:t>–</w:t>
      </w:r>
      <w:r>
        <w:t>2483.5 MHz bands</w:t>
      </w:r>
      <w:r w:rsidR="001337BD">
        <w:t xml:space="preserve"> </w:t>
      </w:r>
      <w:r w:rsidR="009A549E">
        <w:t>described</w:t>
      </w:r>
      <w:r>
        <w:t xml:space="preserve"> in the previous section of this paper</w:t>
      </w:r>
      <w:r w:rsidR="00931BF7">
        <w:t xml:space="preserve"> (and in the draft </w:t>
      </w:r>
      <w:r w:rsidR="00B81D00">
        <w:t>v</w:t>
      </w:r>
      <w:r w:rsidR="001337BD">
        <w:t>ariation</w:t>
      </w:r>
      <w:r w:rsidR="00931BF7">
        <w:t>)</w:t>
      </w:r>
      <w:r>
        <w:t xml:space="preserve"> are </w:t>
      </w:r>
      <w:r w:rsidR="00E10B82">
        <w:t>intended to support</w:t>
      </w:r>
      <w:r>
        <w:t xml:space="preserve"> satellite systems where the space station transmitter operates </w:t>
      </w:r>
      <w:r w:rsidR="001337BD">
        <w:t>as authorised by</w:t>
      </w:r>
      <w:r>
        <w:t xml:space="preserve"> the LIPD </w:t>
      </w:r>
      <w:r w:rsidR="00833DCE">
        <w:t>c</w:t>
      </w:r>
      <w:r>
        <w:t xml:space="preserve">lass </w:t>
      </w:r>
      <w:r w:rsidR="00833DCE">
        <w:t>l</w:t>
      </w:r>
      <w:r>
        <w:t>icence.</w:t>
      </w:r>
    </w:p>
    <w:p w14:paraId="168204E4" w14:textId="533BBCB9" w:rsidR="00E10B82" w:rsidRDefault="00B81D00" w:rsidP="00CF1A8A">
      <w:pPr>
        <w:pStyle w:val="Paragraphbeforelist"/>
      </w:pPr>
      <w:r>
        <w:t xml:space="preserve">We are </w:t>
      </w:r>
      <w:r w:rsidR="004D7779">
        <w:t>aware that there</w:t>
      </w:r>
      <w:r w:rsidR="00A34933">
        <w:t xml:space="preserve"> are</w:t>
      </w:r>
      <w:r w:rsidR="004D7779">
        <w:t xml:space="preserve"> o</w:t>
      </w:r>
      <w:r w:rsidR="00E10B82">
        <w:t xml:space="preserve">ther </w:t>
      </w:r>
      <w:r w:rsidR="0053280C">
        <w:t xml:space="preserve">systems proposed for these bands that </w:t>
      </w:r>
      <w:r w:rsidR="00E10B82">
        <w:t>utilise space-based transmitters operat</w:t>
      </w:r>
      <w:r w:rsidR="00A34933">
        <w:t>ing</w:t>
      </w:r>
      <w:r w:rsidR="00E10B82">
        <w:t xml:space="preserve"> at power levels higher than </w:t>
      </w:r>
      <w:r w:rsidR="0053280C">
        <w:t xml:space="preserve">currently </w:t>
      </w:r>
      <w:r w:rsidR="001337BD">
        <w:t xml:space="preserve">permitted </w:t>
      </w:r>
      <w:r w:rsidR="0053280C">
        <w:t xml:space="preserve">under the LIPD </w:t>
      </w:r>
      <w:r w:rsidR="00833DCE">
        <w:t>class licence</w:t>
      </w:r>
      <w:r w:rsidR="004D7779">
        <w:t>.</w:t>
      </w:r>
      <w:r w:rsidR="00C13198">
        <w:t xml:space="preserve"> </w:t>
      </w:r>
      <w:r w:rsidR="0064495F">
        <w:t xml:space="preserve">We have been approached to consider authorisation of these services in Australia. </w:t>
      </w:r>
      <w:r w:rsidR="00931BF7">
        <w:t>W</w:t>
      </w:r>
      <w:r w:rsidR="0053280C">
        <w:t xml:space="preserve">hether </w:t>
      </w:r>
      <w:r w:rsidR="009A549E">
        <w:t xml:space="preserve">additional </w:t>
      </w:r>
      <w:r w:rsidR="001337BD">
        <w:t>variation</w:t>
      </w:r>
      <w:r w:rsidR="009A549E">
        <w:t>s to</w:t>
      </w:r>
      <w:r w:rsidR="0053280C">
        <w:t xml:space="preserve"> the LIPD </w:t>
      </w:r>
      <w:r w:rsidR="00833DCE">
        <w:t>class licence</w:t>
      </w:r>
      <w:r w:rsidR="0053280C">
        <w:t xml:space="preserve"> </w:t>
      </w:r>
      <w:r w:rsidR="00A34933">
        <w:t>would be</w:t>
      </w:r>
      <w:r w:rsidR="0053280C">
        <w:t xml:space="preserve"> appropriate </w:t>
      </w:r>
      <w:r w:rsidR="00931BF7">
        <w:t>to support these us</w:t>
      </w:r>
      <w:r w:rsidR="005047DA">
        <w:t xml:space="preserve">es </w:t>
      </w:r>
      <w:r w:rsidR="0053280C">
        <w:t>requires further consideration</w:t>
      </w:r>
      <w:r w:rsidR="00E051FE">
        <w:t xml:space="preserve"> of:</w:t>
      </w:r>
      <w:r w:rsidR="0053280C">
        <w:t xml:space="preserve"> </w:t>
      </w:r>
    </w:p>
    <w:p w14:paraId="32039492" w14:textId="74622DAE" w:rsidR="00E10B82" w:rsidRPr="00A1075A" w:rsidRDefault="00E10B82" w:rsidP="00CF1A8A">
      <w:pPr>
        <w:pStyle w:val="Bulletlevel1"/>
      </w:pPr>
      <w:r>
        <w:t>the appropriate level of regulation fo</w:t>
      </w:r>
      <w:r w:rsidRPr="00A1075A">
        <w:t>r such systems</w:t>
      </w:r>
    </w:p>
    <w:p w14:paraId="4E6781A6" w14:textId="20AAD26E" w:rsidR="00E10B82" w:rsidRDefault="00E10B82" w:rsidP="007C50A5">
      <w:pPr>
        <w:pStyle w:val="Bulletlevel1last"/>
      </w:pPr>
      <w:r>
        <w:t xml:space="preserve">the </w:t>
      </w:r>
      <w:r w:rsidR="00E051FE">
        <w:t xml:space="preserve">consistency of the </w:t>
      </w:r>
      <w:r>
        <w:t xml:space="preserve">proposed use </w:t>
      </w:r>
      <w:r w:rsidRPr="00A1075A">
        <w:t xml:space="preserve">with international </w:t>
      </w:r>
      <w:r w:rsidRPr="0053280C">
        <w:t>arrangements</w:t>
      </w:r>
      <w:r w:rsidR="00A34933">
        <w:t>.</w:t>
      </w:r>
      <w:r>
        <w:t xml:space="preserve"> </w:t>
      </w:r>
    </w:p>
    <w:p w14:paraId="73E5AA9F" w14:textId="35AFA846" w:rsidR="00E10B82" w:rsidRPr="00B512CB" w:rsidRDefault="0064495F" w:rsidP="00C52875">
      <w:pPr>
        <w:pStyle w:val="Paragraph"/>
      </w:pPr>
      <w:r>
        <w:t xml:space="preserve">As with the proposals in the previous sections, facilitation of satellite services in these bands at higher power levels would be an arrangement unique to Australia. </w:t>
      </w:r>
      <w:r w:rsidR="00745B89">
        <w:t>A</w:t>
      </w:r>
      <w:r>
        <w:t xml:space="preserve">s </w:t>
      </w:r>
      <w:r w:rsidR="00745B89">
        <w:t xml:space="preserve">also </w:t>
      </w:r>
      <w:r>
        <w:t xml:space="preserve">discussed above, services would operate under </w:t>
      </w:r>
      <w:r w:rsidR="00E10B82">
        <w:t xml:space="preserve">Article </w:t>
      </w:r>
      <w:r w:rsidR="00E10B82" w:rsidRPr="00B512CB">
        <w:t>4.4</w:t>
      </w:r>
      <w:r>
        <w:t xml:space="preserve"> of the Radio Regulations</w:t>
      </w:r>
      <w:r w:rsidR="001337BD">
        <w:t>,</w:t>
      </w:r>
      <w:r w:rsidR="00223720">
        <w:t xml:space="preserve"> which require</w:t>
      </w:r>
      <w:r w:rsidR="00745B89">
        <w:t>s</w:t>
      </w:r>
      <w:r w:rsidR="00223720" w:rsidRPr="00223720">
        <w:t xml:space="preserve"> the immediate elimination of harmful interference when reported</w:t>
      </w:r>
      <w:r w:rsidR="00E10B82" w:rsidRPr="00B512CB">
        <w:t xml:space="preserve">. </w:t>
      </w:r>
      <w:r w:rsidR="00E051FE">
        <w:t>Any a</w:t>
      </w:r>
      <w:r w:rsidR="003F516D">
        <w:t xml:space="preserve">rrangements </w:t>
      </w:r>
      <w:r w:rsidR="00E10B82">
        <w:t xml:space="preserve">would also need to be developed </w:t>
      </w:r>
      <w:r w:rsidR="003F516D">
        <w:t xml:space="preserve">in a way that makes </w:t>
      </w:r>
      <w:r w:rsidR="00E10B82">
        <w:t xml:space="preserve">it clear that the risk and responsibility for interference to services in other countries </w:t>
      </w:r>
      <w:r w:rsidR="003F516D">
        <w:t xml:space="preserve">is </w:t>
      </w:r>
      <w:r w:rsidR="00E10B82">
        <w:t>the responsibility of the satellite operator and the filing administration</w:t>
      </w:r>
      <w:r w:rsidR="001337BD">
        <w:t>,</w:t>
      </w:r>
      <w:r w:rsidR="00E10B82">
        <w:t xml:space="preserve"> and not Australia</w:t>
      </w:r>
      <w:r w:rsidR="001337BD">
        <w:t xml:space="preserve"> or the ACMA</w:t>
      </w:r>
      <w:r w:rsidR="00E10B82">
        <w:t xml:space="preserve"> as the licensing administration.</w:t>
      </w:r>
      <w:r w:rsidR="00E10B82" w:rsidRPr="00E051FE">
        <w:t xml:space="preserve"> </w:t>
      </w:r>
    </w:p>
    <w:p w14:paraId="69BC4B49" w14:textId="2D45E64B" w:rsidR="00E051FE" w:rsidRDefault="00E10B82" w:rsidP="00E051FE">
      <w:pPr>
        <w:pStyle w:val="Paragraph"/>
      </w:pPr>
      <w:r>
        <w:t>The t</w:t>
      </w:r>
      <w:r w:rsidRPr="00B512CB">
        <w:t xml:space="preserve">ypical approach is for </w:t>
      </w:r>
      <w:r>
        <w:t xml:space="preserve">the authorisation of </w:t>
      </w:r>
      <w:r w:rsidRPr="00B512CB">
        <w:t xml:space="preserve">satellite systems with numerous or ubiquitous FSS earth stations </w:t>
      </w:r>
      <w:r>
        <w:t xml:space="preserve">in Australia </w:t>
      </w:r>
      <w:r w:rsidRPr="00B512CB">
        <w:t>is to use</w:t>
      </w:r>
      <w:r w:rsidR="005047DA">
        <w:t xml:space="preserve">, where </w:t>
      </w:r>
      <w:r w:rsidR="00DD5BD6">
        <w:t>possible</w:t>
      </w:r>
      <w:r w:rsidR="005047DA">
        <w:t>,</w:t>
      </w:r>
      <w:r w:rsidRPr="00B512CB">
        <w:t xml:space="preserve"> a ‘systems</w:t>
      </w:r>
      <w:r w:rsidR="000156A0">
        <w:t>-</w:t>
      </w:r>
      <w:r w:rsidRPr="00B512CB">
        <w:t>like</w:t>
      </w:r>
      <w:r w:rsidR="000156A0">
        <w:t>’</w:t>
      </w:r>
      <w:r w:rsidRPr="00B512CB">
        <w:t xml:space="preserve"> approach (as outlined </w:t>
      </w:r>
      <w:r>
        <w:t>in Appendix A</w:t>
      </w:r>
      <w:r w:rsidRPr="00B512CB">
        <w:t>) using a combination of space/space</w:t>
      </w:r>
      <w:r w:rsidR="000156A0">
        <w:t>-</w:t>
      </w:r>
      <w:r w:rsidRPr="00B512CB">
        <w:t>receive licence</w:t>
      </w:r>
      <w:r w:rsidR="00E934D5">
        <w:t>s</w:t>
      </w:r>
      <w:r w:rsidRPr="00B512CB">
        <w:t xml:space="preserve"> and the CSO </w:t>
      </w:r>
      <w:r w:rsidR="00833DCE">
        <w:t>class licence</w:t>
      </w:r>
      <w:r w:rsidRPr="00B512CB">
        <w:t xml:space="preserve">. </w:t>
      </w:r>
      <w:r>
        <w:t xml:space="preserve">A solution that involves apparatus licensing for </w:t>
      </w:r>
      <w:r w:rsidR="00D1177E">
        <w:t xml:space="preserve">devices communicating with </w:t>
      </w:r>
      <w:r>
        <w:t>satellite</w:t>
      </w:r>
      <w:r w:rsidR="00D1177E">
        <w:t>s</w:t>
      </w:r>
      <w:r>
        <w:t xml:space="preserve"> in </w:t>
      </w:r>
      <w:r w:rsidR="00D1177E">
        <w:t xml:space="preserve">the </w:t>
      </w:r>
      <w:r>
        <w:t>915</w:t>
      </w:r>
      <w:r w:rsidR="000156A0">
        <w:t>–</w:t>
      </w:r>
      <w:r>
        <w:t>928 MHz and 2400</w:t>
      </w:r>
      <w:r w:rsidR="000156A0">
        <w:t>–</w:t>
      </w:r>
      <w:r>
        <w:t xml:space="preserve">2483.5 MHz </w:t>
      </w:r>
      <w:r w:rsidR="00D1177E">
        <w:t xml:space="preserve">bands </w:t>
      </w:r>
      <w:r>
        <w:t xml:space="preserve">is likely to require a change to </w:t>
      </w:r>
      <w:r w:rsidR="005047DA">
        <w:t xml:space="preserve">the </w:t>
      </w:r>
      <w:r w:rsidR="000156A0">
        <w:t>s</w:t>
      </w:r>
      <w:r w:rsidR="005047DA">
        <w:t xml:space="preserve">pectrum </w:t>
      </w:r>
      <w:r w:rsidR="000156A0">
        <w:t>p</w:t>
      </w:r>
      <w:r w:rsidR="005047DA">
        <w:t>lan</w:t>
      </w:r>
      <w:r>
        <w:t>.</w:t>
      </w:r>
      <w:r w:rsidR="00E051FE" w:rsidRPr="00E051FE">
        <w:t xml:space="preserve"> </w:t>
      </w:r>
    </w:p>
    <w:p w14:paraId="6E0619C4" w14:textId="6C511F2C" w:rsidR="0064495F" w:rsidRDefault="00E051FE" w:rsidP="00C13198">
      <w:pPr>
        <w:pStyle w:val="Paragraph"/>
      </w:pPr>
      <w:r>
        <w:t xml:space="preserve">We seek comment on the possible introduction of arrangements to facilitate </w:t>
      </w:r>
      <w:r w:rsidR="00E64C53">
        <w:br/>
      </w:r>
      <w:r>
        <w:t xml:space="preserve">systems </w:t>
      </w:r>
      <w:r w:rsidRPr="00E10B82">
        <w:t xml:space="preserve">that utilise space-based transmitters that operate </w:t>
      </w:r>
      <w:r>
        <w:t xml:space="preserve">in the </w:t>
      </w:r>
      <w:r w:rsidRPr="0053280C">
        <w:t>915</w:t>
      </w:r>
      <w:r w:rsidR="00E64C53">
        <w:t>–</w:t>
      </w:r>
      <w:r w:rsidRPr="0053280C">
        <w:t>928 MHz and 2400</w:t>
      </w:r>
      <w:r w:rsidR="00E64C53">
        <w:t>–</w:t>
      </w:r>
      <w:r w:rsidRPr="0053280C">
        <w:t xml:space="preserve">2483.5 MHz </w:t>
      </w:r>
      <w:r w:rsidR="00CF1A8A">
        <w:t xml:space="preserve">bands </w:t>
      </w:r>
      <w:r w:rsidRPr="00E10B82">
        <w:t xml:space="preserve">at power levels higher than currently </w:t>
      </w:r>
      <w:r>
        <w:t>permitted</w:t>
      </w:r>
      <w:r w:rsidRPr="00E10B82">
        <w:t xml:space="preserve"> under the LIPD </w:t>
      </w:r>
      <w:r w:rsidR="00833DCE">
        <w:t>c</w:t>
      </w:r>
      <w:r w:rsidRPr="00E10B82">
        <w:t xml:space="preserve">lass </w:t>
      </w:r>
      <w:r w:rsidR="00833DCE">
        <w:t>l</w:t>
      </w:r>
      <w:r w:rsidRPr="00E10B82">
        <w:t>icence</w:t>
      </w:r>
      <w:r w:rsidR="00E64C53">
        <w:t>.</w:t>
      </w:r>
    </w:p>
    <w:p w14:paraId="63EC57BB" w14:textId="2B9A0C41" w:rsidR="00E10B82" w:rsidRDefault="00E10B82" w:rsidP="00C52875">
      <w:pPr>
        <w:pStyle w:val="ListBullet"/>
        <w:numPr>
          <w:ilvl w:val="0"/>
          <w:numId w:val="0"/>
        </w:numPr>
        <w:ind w:left="295"/>
      </w:pPr>
    </w:p>
    <w:p w14:paraId="7CEE7E37" w14:textId="09303581" w:rsidR="00E10B82" w:rsidRPr="00E162C4" w:rsidRDefault="00E10B82" w:rsidP="00E10B82">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E162C4">
        <w:t xml:space="preserve">Question </w:t>
      </w:r>
      <w:r w:rsidR="00E051FE">
        <w:t>11</w:t>
      </w:r>
    </w:p>
    <w:p w14:paraId="58400D09" w14:textId="77777777" w:rsidR="00CF1A8A" w:rsidRDefault="00CF1A8A" w:rsidP="00CF1A8A">
      <w:pPr>
        <w:pStyle w:val="Numberlistlevel1"/>
        <w:pBdr>
          <w:top w:val="single" w:sz="4" w:space="1" w:color="auto"/>
          <w:left w:val="single" w:sz="4" w:space="4" w:color="auto"/>
          <w:bottom w:val="single" w:sz="4" w:space="1" w:color="auto"/>
          <w:right w:val="single" w:sz="4" w:space="4" w:color="auto"/>
        </w:pBdr>
        <w:shd w:val="clear" w:color="auto" w:fill="F2F2F2" w:themeFill="background1" w:themeFillShade="F2"/>
      </w:pPr>
      <w:bookmarkStart w:id="35" w:name="_Invitation_to_comment"/>
      <w:bookmarkEnd w:id="30"/>
      <w:bookmarkEnd w:id="31"/>
      <w:bookmarkEnd w:id="32"/>
      <w:bookmarkEnd w:id="35"/>
      <w:r>
        <w:t xml:space="preserve">Should we consider the introduction of arrangements to facilitate systems </w:t>
      </w:r>
      <w:r w:rsidRPr="00E10B82">
        <w:t>that utilise</w:t>
      </w:r>
      <w:r>
        <w:t> </w:t>
      </w:r>
      <w:r w:rsidRPr="00E10B82">
        <w:t xml:space="preserve">space-based transmitters that operate </w:t>
      </w:r>
      <w:r>
        <w:t xml:space="preserve">in the bands </w:t>
      </w:r>
      <w:r w:rsidRPr="0053280C">
        <w:t>915</w:t>
      </w:r>
      <w:r>
        <w:t>–</w:t>
      </w:r>
      <w:r w:rsidRPr="0053280C">
        <w:t xml:space="preserve">928 MHz and </w:t>
      </w:r>
      <w:r>
        <w:br/>
      </w:r>
      <w:r w:rsidRPr="0053280C">
        <w:t>2400</w:t>
      </w:r>
      <w:r>
        <w:t>–</w:t>
      </w:r>
      <w:r w:rsidRPr="0053280C">
        <w:t xml:space="preserve">2483.5 MHz </w:t>
      </w:r>
      <w:r w:rsidRPr="00E10B82">
        <w:t xml:space="preserve">at power levels higher than currently </w:t>
      </w:r>
      <w:r>
        <w:t>permitted</w:t>
      </w:r>
      <w:r w:rsidRPr="00E10B82">
        <w:t xml:space="preserve"> under the LIPD </w:t>
      </w:r>
      <w:r>
        <w:t>c</w:t>
      </w:r>
      <w:r w:rsidRPr="00E10B82">
        <w:t xml:space="preserve">lass </w:t>
      </w:r>
      <w:r>
        <w:t>l</w:t>
      </w:r>
      <w:r w:rsidRPr="00E10B82">
        <w:t>icence</w:t>
      </w:r>
      <w:r>
        <w:t>? If so, what matters should be considered in the regulatory framework? In particular, comment is sought on:</w:t>
      </w:r>
    </w:p>
    <w:p w14:paraId="2C40FA32" w14:textId="77777777" w:rsidR="00CF1A8A" w:rsidRDefault="00CF1A8A" w:rsidP="00CF1A8A">
      <w:pPr>
        <w:pStyle w:val="ListBullet"/>
        <w:pBdr>
          <w:top w:val="single" w:sz="4" w:space="1" w:color="auto"/>
          <w:left w:val="single" w:sz="4" w:space="4" w:color="auto"/>
          <w:bottom w:val="single" w:sz="4" w:space="1" w:color="auto"/>
          <w:right w:val="single" w:sz="4" w:space="4" w:color="auto"/>
        </w:pBdr>
        <w:shd w:val="clear" w:color="auto" w:fill="F2F2F2" w:themeFill="background1" w:themeFillShade="F2"/>
      </w:pPr>
      <w:r>
        <w:t>What is an appropriate power for such services so that there is no impact on other services? While some might operate at power levels slightly higher than those currently supported under the LIPD class licence, others could at operate higher levels. The impact also depends on other technical parameters such the orbital characteristics, number of satellites and what types of services are sharing the band. Such considerations suggest a case-by-case approach (more akin to an apparatus licensing regime) may be required.</w:t>
      </w:r>
    </w:p>
    <w:p w14:paraId="53CB2788" w14:textId="1A61C25A" w:rsidR="00CF1A8A" w:rsidRDefault="00CF1A8A" w:rsidP="00CF1A8A">
      <w:pPr>
        <w:pStyle w:val="ListBullet"/>
        <w:pBdr>
          <w:top w:val="single" w:sz="4" w:space="1" w:color="auto"/>
          <w:left w:val="single" w:sz="4" w:space="4" w:color="auto"/>
          <w:bottom w:val="single" w:sz="4" w:space="1" w:color="auto"/>
          <w:right w:val="single" w:sz="4" w:space="4" w:color="auto"/>
        </w:pBdr>
        <w:shd w:val="clear" w:color="auto" w:fill="F2F2F2" w:themeFill="background1" w:themeFillShade="F2"/>
      </w:pPr>
      <w:r>
        <w:t>What effect, if any, will the proposed use have on existing services such as the amateur-satellite services and services authorised under the LIPD class licence</w:t>
      </w:r>
      <w:r w:rsidR="0063780F">
        <w:t>?</w:t>
      </w:r>
      <w:r>
        <w:t xml:space="preserve"> </w:t>
      </w:r>
      <w:r w:rsidR="0063780F">
        <w:t>F</w:t>
      </w:r>
      <w:r>
        <w:t>or example, Wi-Fi, Bluetooth</w:t>
      </w:r>
      <w:r w:rsidR="0063780F">
        <w:t xml:space="preserve"> and</w:t>
      </w:r>
      <w:r>
        <w:t xml:space="preserve"> r</w:t>
      </w:r>
      <w:r w:rsidRPr="006A3934">
        <w:t>adio frequency identification</w:t>
      </w:r>
      <w:r>
        <w:t xml:space="preserve"> devices (RFID)</w:t>
      </w:r>
      <w:r w:rsidR="0063780F">
        <w:t>.</w:t>
      </w:r>
    </w:p>
    <w:p w14:paraId="33B85E4E" w14:textId="77777777" w:rsidR="00CF1A8A" w:rsidRDefault="00CF1A8A" w:rsidP="00CF1A8A">
      <w:pPr>
        <w:pStyle w:val="ListBullet"/>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Do systems need to be brought under the scope of the Radiocommunications Act via variations to the </w:t>
      </w:r>
      <w:r w:rsidRPr="00B92516">
        <w:t>Radiocommunications (Australian Space Objects) Determination 2014</w:t>
      </w:r>
      <w:r>
        <w:t xml:space="preserve"> or the </w:t>
      </w:r>
      <w:r w:rsidRPr="00B92516">
        <w:t>Radiocommunications (Foreign Space Objects) Determination 2014</w:t>
      </w:r>
      <w:r>
        <w:t>?</w:t>
      </w:r>
    </w:p>
    <w:p w14:paraId="43069E44" w14:textId="77777777" w:rsidR="00CF1A8A" w:rsidRDefault="00CF1A8A" w:rsidP="00CF1A8A">
      <w:pPr>
        <w:pStyle w:val="ListBullet"/>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Is the LIPD class licence or the communication with space objects (CSO) class licence the appropriate legislative instrument to be used to facilitate such systems? </w:t>
      </w:r>
    </w:p>
    <w:p w14:paraId="6FF27EED" w14:textId="77777777" w:rsidR="00CF1A8A" w:rsidRDefault="00CF1A8A" w:rsidP="00CF1A8A">
      <w:pPr>
        <w:pStyle w:val="ListBullet"/>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If apparatus licensing is used, are the current apparatus licence fees and taxes appropriate? (Assuming the entire band is licensed, for the 915–928 MHz band, the annual tax for an Australia-wide space licence is estimated as $36,673; for the 2400–2483.5 MHz band, the annual tax for an Australia-wide space licence is $235,194.) </w:t>
      </w:r>
    </w:p>
    <w:p w14:paraId="481AF71E" w14:textId="77AA234D" w:rsidR="006C1631" w:rsidRPr="00E162C4" w:rsidRDefault="006C1631" w:rsidP="006C1631">
      <w:pPr>
        <w:pStyle w:val="Heading1"/>
      </w:pPr>
      <w:bookmarkStart w:id="36" w:name="_Toc117072416"/>
      <w:r w:rsidRPr="00E162C4">
        <w:lastRenderedPageBreak/>
        <w:t>Invitation to comment</w:t>
      </w:r>
      <w:bookmarkEnd w:id="36"/>
    </w:p>
    <w:p w14:paraId="4D8715C3" w14:textId="77777777" w:rsidR="006C1631" w:rsidRPr="00E162C4" w:rsidRDefault="006C1631" w:rsidP="006C1631">
      <w:pPr>
        <w:pStyle w:val="Heading2"/>
      </w:pPr>
      <w:bookmarkStart w:id="37" w:name="_Toc433122131"/>
      <w:bookmarkStart w:id="38" w:name="_Toc348105637"/>
      <w:bookmarkStart w:id="39" w:name="_Toc300909556"/>
      <w:bookmarkStart w:id="40" w:name="_Toc298924673"/>
      <w:bookmarkStart w:id="41" w:name="_Toc117072417"/>
      <w:bookmarkStart w:id="42" w:name="_Toc348105638"/>
      <w:bookmarkStart w:id="43" w:name="_Toc300909557"/>
      <w:bookmarkStart w:id="44" w:name="_Toc298924674"/>
      <w:bookmarkStart w:id="45" w:name="_Toc274296357"/>
      <w:r w:rsidRPr="00E162C4">
        <w:t>Making a submission</w:t>
      </w:r>
      <w:bookmarkEnd w:id="37"/>
      <w:bookmarkEnd w:id="38"/>
      <w:bookmarkEnd w:id="39"/>
      <w:bookmarkEnd w:id="40"/>
      <w:bookmarkEnd w:id="41"/>
    </w:p>
    <w:p w14:paraId="4E8C7743" w14:textId="1D470586" w:rsidR="00727C6C" w:rsidRDefault="00727C6C" w:rsidP="00727C6C">
      <w:r>
        <w:t xml:space="preserve">The ACMA invites comments on the proposed changes contained in the draft </w:t>
      </w:r>
      <w:r w:rsidR="00E64C53">
        <w:rPr>
          <w:szCs w:val="20"/>
        </w:rPr>
        <w:t>v</w:t>
      </w:r>
      <w:r w:rsidRPr="00083AC3">
        <w:rPr>
          <w:szCs w:val="20"/>
        </w:rPr>
        <w:t>ariation</w:t>
      </w:r>
      <w:r>
        <w:rPr>
          <w:b/>
          <w:vanish/>
          <w:szCs w:val="20"/>
        </w:rPr>
        <w:t xml:space="preserve">, </w:t>
      </w:r>
      <w:r w:rsidRPr="009D311A">
        <w:rPr>
          <w:bCs/>
          <w:vanish/>
          <w:szCs w:val="20"/>
        </w:rPr>
        <w:t>as outlined in this paper</w:t>
      </w:r>
      <w:r>
        <w:rPr>
          <w:bCs/>
          <w:vanish/>
          <w:szCs w:val="20"/>
        </w:rPr>
        <w:t>. We also welcome feedback on</w:t>
      </w:r>
      <w:r w:rsidRPr="003322F7">
        <w:t xml:space="preserve"> any other relevant </w:t>
      </w:r>
      <w:r>
        <w:t xml:space="preserve">issues. </w:t>
      </w:r>
    </w:p>
    <w:p w14:paraId="7AE5C050" w14:textId="77777777" w:rsidR="0070133D" w:rsidRPr="00A00DF4" w:rsidRDefault="00B01D4C" w:rsidP="0070133D">
      <w:pPr>
        <w:pStyle w:val="Bulletlevel1"/>
      </w:pPr>
      <w:hyperlink r:id="rId42" w:history="1">
        <w:r w:rsidR="0070133D" w:rsidRPr="00E162C4">
          <w:rPr>
            <w:rStyle w:val="Hyperlink"/>
          </w:rPr>
          <w:t>Online submissions</w:t>
        </w:r>
      </w:hyperlink>
      <w:r w:rsidR="0070133D" w:rsidRPr="00E162C4">
        <w:t xml:space="preserve"> can be made by uploading a document. Submissions in</w:t>
      </w:r>
      <w:r w:rsidR="00396DC2" w:rsidRPr="00E162C4">
        <w:t xml:space="preserve"> PDF, </w:t>
      </w:r>
      <w:r w:rsidR="0070133D" w:rsidRPr="00E162C4">
        <w:t xml:space="preserve">Microsoft Word or Rich Text Format are </w:t>
      </w:r>
      <w:r w:rsidR="0070133D" w:rsidRPr="00A00DF4">
        <w:t>preferred.</w:t>
      </w:r>
    </w:p>
    <w:p w14:paraId="5B0FBBC4" w14:textId="77777777" w:rsidR="006C1631" w:rsidRPr="00A00DF4" w:rsidRDefault="006C1631" w:rsidP="0070133D">
      <w:pPr>
        <w:pStyle w:val="Bulletlevel1"/>
      </w:pPr>
      <w:r w:rsidRPr="00A00DF4">
        <w:t xml:space="preserve">Submissions by post can be sent to: </w:t>
      </w:r>
    </w:p>
    <w:p w14:paraId="05A32E0A" w14:textId="77777777" w:rsidR="006C1631" w:rsidRPr="00A00DF4" w:rsidRDefault="006C1631" w:rsidP="006C1631">
      <w:pPr>
        <w:tabs>
          <w:tab w:val="num" w:pos="295"/>
        </w:tabs>
        <w:spacing w:after="0"/>
        <w:ind w:left="295"/>
        <w:rPr>
          <w:szCs w:val="20"/>
        </w:rPr>
      </w:pPr>
      <w:r w:rsidRPr="00A00DF4">
        <w:rPr>
          <w:szCs w:val="20"/>
        </w:rPr>
        <w:t>The Manager</w:t>
      </w:r>
    </w:p>
    <w:p w14:paraId="6029F552" w14:textId="113DA335" w:rsidR="006C1631" w:rsidRPr="00A00DF4" w:rsidRDefault="00727C6C" w:rsidP="006C1631">
      <w:pPr>
        <w:spacing w:after="0"/>
        <w:ind w:left="295"/>
        <w:rPr>
          <w:szCs w:val="20"/>
        </w:rPr>
      </w:pPr>
      <w:r w:rsidRPr="00A00DF4">
        <w:rPr>
          <w:szCs w:val="20"/>
        </w:rPr>
        <w:t>Spectrum Planning Section</w:t>
      </w:r>
    </w:p>
    <w:p w14:paraId="44B533C3" w14:textId="77777777" w:rsidR="006C1631" w:rsidRPr="00A00DF4" w:rsidRDefault="006C1631" w:rsidP="006C1631">
      <w:pPr>
        <w:spacing w:after="0"/>
        <w:ind w:left="295"/>
        <w:rPr>
          <w:szCs w:val="20"/>
        </w:rPr>
      </w:pPr>
      <w:r w:rsidRPr="00A00DF4">
        <w:rPr>
          <w:szCs w:val="20"/>
        </w:rPr>
        <w:t>Australian Communications and Media Authority</w:t>
      </w:r>
    </w:p>
    <w:p w14:paraId="768FAC09" w14:textId="77777777" w:rsidR="006C1631" w:rsidRPr="00A00DF4" w:rsidRDefault="006C1631" w:rsidP="006C1631">
      <w:pPr>
        <w:spacing w:after="0"/>
        <w:ind w:left="295"/>
        <w:rPr>
          <w:szCs w:val="20"/>
        </w:rPr>
      </w:pPr>
      <w:r w:rsidRPr="00A00DF4">
        <w:rPr>
          <w:szCs w:val="20"/>
        </w:rPr>
        <w:t>PO Box 78</w:t>
      </w:r>
    </w:p>
    <w:p w14:paraId="00C7BA34" w14:textId="77777777" w:rsidR="006C1631" w:rsidRPr="00A00DF4" w:rsidRDefault="006C1631" w:rsidP="006C1631">
      <w:pPr>
        <w:ind w:left="295"/>
        <w:rPr>
          <w:szCs w:val="20"/>
        </w:rPr>
      </w:pPr>
      <w:r w:rsidRPr="00A00DF4">
        <w:rPr>
          <w:szCs w:val="20"/>
        </w:rPr>
        <w:t>Belconnen ACT 2616</w:t>
      </w:r>
    </w:p>
    <w:p w14:paraId="093F03C8" w14:textId="289F9590" w:rsidR="006C1631" w:rsidRPr="00A00DF4" w:rsidRDefault="006C1631" w:rsidP="006C1631">
      <w:r w:rsidRPr="00A00DF4">
        <w:t xml:space="preserve">The closing date for submissions is </w:t>
      </w:r>
      <w:r w:rsidRPr="00CF1A8A">
        <w:rPr>
          <w:b/>
          <w:bCs/>
        </w:rPr>
        <w:t>COB,</w:t>
      </w:r>
      <w:r w:rsidRPr="00A00DF4">
        <w:t xml:space="preserve"> </w:t>
      </w:r>
      <w:r w:rsidR="00E934D5" w:rsidRPr="00A00DF4">
        <w:rPr>
          <w:b/>
          <w:bCs/>
        </w:rPr>
        <w:t>Monday 5 December 2022</w:t>
      </w:r>
      <w:r w:rsidRPr="00A00DF4">
        <w:t>.</w:t>
      </w:r>
    </w:p>
    <w:p w14:paraId="5180CD8C" w14:textId="4F725D0B" w:rsidR="006C1631" w:rsidRPr="00E162C4" w:rsidRDefault="006C1631" w:rsidP="006C1631">
      <w:pPr>
        <w:rPr>
          <w:szCs w:val="20"/>
        </w:rPr>
      </w:pPr>
      <w:r w:rsidRPr="00A00DF4">
        <w:t xml:space="preserve">Consultation enquiries can be emailed </w:t>
      </w:r>
      <w:r w:rsidRPr="00A00DF4">
        <w:rPr>
          <w:szCs w:val="20"/>
        </w:rPr>
        <w:t>to</w:t>
      </w:r>
      <w:r w:rsidR="00727C6C" w:rsidRPr="00A00DF4">
        <w:rPr>
          <w:szCs w:val="20"/>
        </w:rPr>
        <w:t xml:space="preserve"> </w:t>
      </w:r>
      <w:hyperlink r:id="rId43" w:history="1">
        <w:r w:rsidR="00727C6C" w:rsidRPr="00A00DF4">
          <w:rPr>
            <w:rStyle w:val="Hyperlink"/>
            <w:szCs w:val="20"/>
          </w:rPr>
          <w:t>freqplan@acma.gov.au</w:t>
        </w:r>
      </w:hyperlink>
      <w:r w:rsidR="00727C6C" w:rsidRPr="00A00DF4">
        <w:rPr>
          <w:szCs w:val="20"/>
        </w:rPr>
        <w:t>.</w:t>
      </w:r>
    </w:p>
    <w:p w14:paraId="555A5A8C" w14:textId="77777777" w:rsidR="006C1631" w:rsidRPr="00E162C4" w:rsidRDefault="006C1631" w:rsidP="005B2F0D">
      <w:pPr>
        <w:pStyle w:val="Heading4"/>
      </w:pPr>
      <w:bookmarkStart w:id="46" w:name="_Toc348105639"/>
      <w:bookmarkStart w:id="47" w:name="_Toc300909558"/>
      <w:bookmarkStart w:id="48" w:name="_Hlk59627494"/>
      <w:bookmarkEnd w:id="42"/>
      <w:bookmarkEnd w:id="43"/>
      <w:r w:rsidRPr="00E162C4">
        <w:t>Publication of submissions</w:t>
      </w:r>
      <w:bookmarkEnd w:id="44"/>
      <w:bookmarkEnd w:id="45"/>
      <w:bookmarkEnd w:id="46"/>
      <w:bookmarkEnd w:id="47"/>
    </w:p>
    <w:p w14:paraId="06509790" w14:textId="77777777" w:rsidR="006C1631" w:rsidRPr="00E162C4" w:rsidRDefault="006C5FD4" w:rsidP="006C1631">
      <w:bookmarkStart w:id="49" w:name="_Toc348105640"/>
      <w:bookmarkStart w:id="50" w:name="_Toc300909559"/>
      <w:bookmarkStart w:id="51" w:name="_Toc265246234"/>
      <w:r w:rsidRPr="00E162C4">
        <w:t>We</w:t>
      </w:r>
      <w:r w:rsidR="006C1631" w:rsidRPr="00E162C4">
        <w:t xml:space="preserve"> publish submissions on our website</w:t>
      </w:r>
      <w:r w:rsidR="006C1631" w:rsidRPr="00E162C4">
        <w:rPr>
          <w:rFonts w:cs="Arial"/>
        </w:rPr>
        <w:t>, including personal information (such as names and contact details)</w:t>
      </w:r>
      <w:r w:rsidR="006C1631" w:rsidRPr="00E162C4">
        <w:t xml:space="preserve">, except for information that you have claimed (and we have accepted) is confidential. </w:t>
      </w:r>
    </w:p>
    <w:p w14:paraId="5CD31599" w14:textId="77777777" w:rsidR="006C1631" w:rsidRPr="00E162C4" w:rsidRDefault="006C1631" w:rsidP="006C1631">
      <w:r w:rsidRPr="00E162C4">
        <w:t>Confidential information will not be published or otherwise released unless required or authorised by law.</w:t>
      </w:r>
    </w:p>
    <w:p w14:paraId="28F087D1" w14:textId="77777777" w:rsidR="006C1631" w:rsidRPr="00E162C4" w:rsidRDefault="006C1631" w:rsidP="005B2F0D">
      <w:pPr>
        <w:pStyle w:val="Heading4"/>
      </w:pPr>
      <w:r w:rsidRPr="00E162C4">
        <w:t>Privacy</w:t>
      </w:r>
    </w:p>
    <w:p w14:paraId="2E9732B8" w14:textId="77777777" w:rsidR="006C1631" w:rsidRPr="00E162C4" w:rsidRDefault="00E21056" w:rsidP="005B2F0D">
      <w:pPr>
        <w:pStyle w:val="Paragraph"/>
      </w:pPr>
      <w:r w:rsidRPr="00E162C4">
        <w:t>View</w:t>
      </w:r>
      <w:r w:rsidR="006C1631" w:rsidRPr="00E162C4">
        <w:t xml:space="preserve"> information about </w:t>
      </w:r>
      <w:r w:rsidRPr="00E162C4">
        <w:t xml:space="preserve">our policy on the </w:t>
      </w:r>
      <w:hyperlink r:id="rId44" w:history="1">
        <w:r w:rsidRPr="00E162C4">
          <w:rPr>
            <w:rStyle w:val="Hyperlink"/>
          </w:rPr>
          <w:t>publication of submissions</w:t>
        </w:r>
      </w:hyperlink>
      <w:r w:rsidRPr="00E162C4">
        <w:t xml:space="preserve">, including </w:t>
      </w:r>
      <w:r w:rsidR="006C1631" w:rsidRPr="00E162C4">
        <w:t>collection of personal information during consultation and how we handle that information</w:t>
      </w:r>
      <w:r w:rsidRPr="00E162C4">
        <w:t>.</w:t>
      </w:r>
    </w:p>
    <w:bookmarkEnd w:id="49"/>
    <w:bookmarkEnd w:id="50"/>
    <w:bookmarkEnd w:id="51"/>
    <w:p w14:paraId="798195DB" w14:textId="6F19AD3F" w:rsidR="00A4193E" w:rsidRDefault="006C1631" w:rsidP="005B2F0D">
      <w:pPr>
        <w:pStyle w:val="Paragraph"/>
      </w:pPr>
      <w:r w:rsidRPr="00E162C4">
        <w:t xml:space="preserve">Information on the </w:t>
      </w:r>
      <w:r w:rsidRPr="00E162C4">
        <w:rPr>
          <w:i/>
        </w:rPr>
        <w:t>Privacy Act 1988</w:t>
      </w:r>
      <w:r w:rsidR="006A4CCA" w:rsidRPr="00E162C4">
        <w:rPr>
          <w:i/>
        </w:rPr>
        <w:t xml:space="preserve">, </w:t>
      </w:r>
      <w:r w:rsidRPr="00E162C4">
        <w:t xml:space="preserve">how to access or correct personal information, how to make a privacy complaint and how we will deal with </w:t>
      </w:r>
      <w:r w:rsidR="006C5FD4" w:rsidRPr="00E162C4">
        <w:t xml:space="preserve">any </w:t>
      </w:r>
      <w:r w:rsidRPr="00E162C4">
        <w:t>complaint</w:t>
      </w:r>
      <w:r w:rsidR="006C5FD4" w:rsidRPr="00E162C4">
        <w:t>s</w:t>
      </w:r>
      <w:r w:rsidR="00BB6335" w:rsidRPr="00E162C4">
        <w:t>,</w:t>
      </w:r>
      <w:r w:rsidR="00CF0BFE" w:rsidRPr="00E162C4">
        <w:t xml:space="preserve"> </w:t>
      </w:r>
      <w:r w:rsidRPr="00E162C4">
        <w:t xml:space="preserve">is available </w:t>
      </w:r>
      <w:r w:rsidR="00E21056" w:rsidRPr="00E162C4">
        <w:t xml:space="preserve">in our </w:t>
      </w:r>
      <w:hyperlink r:id="rId45" w:history="1">
        <w:r w:rsidR="00E21056" w:rsidRPr="00E162C4">
          <w:rPr>
            <w:rStyle w:val="Hyperlink"/>
          </w:rPr>
          <w:t>privacy policy</w:t>
        </w:r>
      </w:hyperlink>
      <w:r w:rsidRPr="00E162C4">
        <w:t>.</w:t>
      </w:r>
      <w:r w:rsidR="00A4193E" w:rsidRPr="00E162C4">
        <w:t xml:space="preserve"> </w:t>
      </w:r>
    </w:p>
    <w:p w14:paraId="47182FF0" w14:textId="64AB112D" w:rsidR="000F31F4" w:rsidRDefault="000F31F4" w:rsidP="005B2F0D">
      <w:pPr>
        <w:pStyle w:val="Paragraph"/>
      </w:pPr>
    </w:p>
    <w:p w14:paraId="11BEC890" w14:textId="5AAF6EB7" w:rsidR="000F31F4" w:rsidRDefault="000F31F4">
      <w:pPr>
        <w:spacing w:after="0" w:line="240" w:lineRule="auto"/>
        <w:rPr>
          <w:rFonts w:cs="Arial"/>
        </w:rPr>
      </w:pPr>
      <w:r>
        <w:br w:type="page"/>
      </w:r>
    </w:p>
    <w:p w14:paraId="5C7BB992" w14:textId="48D65C65" w:rsidR="000F31F4" w:rsidRPr="00E162C4" w:rsidRDefault="000F31F4" w:rsidP="000F31F4">
      <w:pPr>
        <w:pStyle w:val="Heading1"/>
      </w:pPr>
      <w:bookmarkStart w:id="52" w:name="_Appendix_A:_Licensing"/>
      <w:bookmarkStart w:id="53" w:name="_Toc348105641"/>
      <w:bookmarkStart w:id="54" w:name="_Toc92265100"/>
      <w:bookmarkStart w:id="55" w:name="_Toc117072418"/>
      <w:bookmarkEnd w:id="52"/>
      <w:r w:rsidRPr="00E162C4">
        <w:lastRenderedPageBreak/>
        <w:t>Appendix A</w:t>
      </w:r>
      <w:bookmarkEnd w:id="53"/>
      <w:r w:rsidRPr="00E162C4">
        <w:t xml:space="preserve">: </w:t>
      </w:r>
      <w:bookmarkEnd w:id="54"/>
      <w:r>
        <w:t>Licensing of space</w:t>
      </w:r>
      <w:r w:rsidR="008C1ADA">
        <w:t>-</w:t>
      </w:r>
      <w:r>
        <w:t>based communications systems</w:t>
      </w:r>
      <w:bookmarkEnd w:id="55"/>
    </w:p>
    <w:p w14:paraId="0916CCA3" w14:textId="48AB9555" w:rsidR="008C1ADA" w:rsidRDefault="008C1ADA" w:rsidP="008C1ADA">
      <w:pPr>
        <w:pStyle w:val="Paragraph"/>
        <w:rPr>
          <w:rFonts w:eastAsiaTheme="minorHAnsi"/>
        </w:rPr>
      </w:pPr>
      <w:r>
        <w:t xml:space="preserve">As for all other types of radiocommunications, a space-based radiocommunications system may not be operated in Australia without a licence. In general, there are </w:t>
      </w:r>
      <w:r w:rsidR="00E64C53">
        <w:t xml:space="preserve">2 </w:t>
      </w:r>
      <w:r>
        <w:t>broad options for licensing of space systems in Australia.</w:t>
      </w:r>
    </w:p>
    <w:p w14:paraId="4AB53F3D" w14:textId="44F27F31" w:rsidR="008C1ADA" w:rsidRDefault="008C1ADA" w:rsidP="008C1ADA">
      <w:pPr>
        <w:pStyle w:val="Paragraph"/>
      </w:pPr>
      <w:r>
        <w:t xml:space="preserve">The first requires operators to obtain apparatus licences for each of their earth stations individually: an </w:t>
      </w:r>
      <w:r w:rsidRPr="00CF1A8A">
        <w:t>earth licence</w:t>
      </w:r>
      <w:r>
        <w:t xml:space="preserve"> for the uplink and an </w:t>
      </w:r>
      <w:r w:rsidRPr="00CF1A8A">
        <w:t>earth</w:t>
      </w:r>
      <w:r w:rsidR="00E64C53">
        <w:t>-</w:t>
      </w:r>
      <w:r w:rsidRPr="00CF1A8A">
        <w:t>receive licence</w:t>
      </w:r>
      <w:r>
        <w:t xml:space="preserve"> for the downlink. Under this approach, a licence is </w:t>
      </w:r>
      <w:r w:rsidR="00E934D5">
        <w:t xml:space="preserve">generally </w:t>
      </w:r>
      <w:r>
        <w:t>not required for the space stations or space</w:t>
      </w:r>
      <w:r w:rsidR="00E64C53">
        <w:t>-</w:t>
      </w:r>
      <w:r>
        <w:t xml:space="preserve">receive stations onboard a satellite. </w:t>
      </w:r>
    </w:p>
    <w:p w14:paraId="2647DF94" w14:textId="2179468D" w:rsidR="008C1ADA" w:rsidRDefault="008C1ADA" w:rsidP="008C1ADA">
      <w:pPr>
        <w:pStyle w:val="Paragraph"/>
      </w:pPr>
      <w:r>
        <w:t xml:space="preserve">The second option involves a combination of apparatus and class licences. In certain bands specified in the </w:t>
      </w:r>
      <w:hyperlink r:id="rId46" w:history="1">
        <w:r w:rsidRPr="00CF1A8A">
          <w:rPr>
            <w:rStyle w:val="Hyperlink"/>
          </w:rPr>
          <w:t>Radiocommunications (Communication with Space Object) Class Licence 2015</w:t>
        </w:r>
      </w:hyperlink>
      <w:r>
        <w:t xml:space="preserve"> </w:t>
      </w:r>
      <w:r w:rsidR="00320312">
        <w:t xml:space="preserve">(the CSO </w:t>
      </w:r>
      <w:r w:rsidR="00E64C53">
        <w:t>c</w:t>
      </w:r>
      <w:r w:rsidR="00320312">
        <w:t xml:space="preserve">lass </w:t>
      </w:r>
      <w:r w:rsidR="00E64C53">
        <w:t>l</w:t>
      </w:r>
      <w:r w:rsidR="00320312">
        <w:t>icence),</w:t>
      </w:r>
      <w:r>
        <w:t xml:space="preserve"> operators</w:t>
      </w:r>
      <w:r w:rsidR="00A34933">
        <w:t xml:space="preserve"> are required</w:t>
      </w:r>
      <w:r>
        <w:t xml:space="preserve"> to obtain an apparatus licence for the space stations onboard a satellite with a </w:t>
      </w:r>
      <w:r w:rsidRPr="00CF1A8A">
        <w:t>space licence</w:t>
      </w:r>
      <w:r>
        <w:t xml:space="preserve"> for the downlink and a </w:t>
      </w:r>
      <w:r w:rsidRPr="00CF1A8A">
        <w:t>space</w:t>
      </w:r>
      <w:r w:rsidR="00E64C53">
        <w:t>-</w:t>
      </w:r>
      <w:r w:rsidRPr="00CF1A8A">
        <w:t>receive licence</w:t>
      </w:r>
      <w:r>
        <w:t xml:space="preserve"> for the uplink. Earth stations</w:t>
      </w:r>
      <w:r w:rsidR="00E934D5">
        <w:t xml:space="preserve"> and earth</w:t>
      </w:r>
      <w:r w:rsidR="00E64C53">
        <w:t>-</w:t>
      </w:r>
      <w:r w:rsidR="00E934D5">
        <w:t>receive stations</w:t>
      </w:r>
      <w:r>
        <w:t xml:space="preserve"> in the system are then automatically authorised collectively under </w:t>
      </w:r>
      <w:bookmarkStart w:id="56" w:name="_Hlk347270"/>
      <w:r>
        <w:t>the</w:t>
      </w:r>
      <w:bookmarkEnd w:id="56"/>
      <w:r>
        <w:t xml:space="preserve"> CSO </w:t>
      </w:r>
      <w:r w:rsidR="00E64C53">
        <w:t>c</w:t>
      </w:r>
      <w:r>
        <w:t xml:space="preserve">lass </w:t>
      </w:r>
      <w:r w:rsidR="00E64C53">
        <w:t>l</w:t>
      </w:r>
      <w:r>
        <w:t>icence. This approach is typically used for satellite systems with numerous or ubiquitous FSS earth stations. It provides an efficient means of licensing a large number of earth</w:t>
      </w:r>
      <w:r w:rsidR="00E934D5">
        <w:t xml:space="preserve"> and earth</w:t>
      </w:r>
      <w:r w:rsidR="00E64C53">
        <w:t>-</w:t>
      </w:r>
      <w:r w:rsidR="00E934D5">
        <w:t>receive</w:t>
      </w:r>
      <w:r>
        <w:t xml:space="preserve"> stations, avoiding the need to obtain a</w:t>
      </w:r>
      <w:r w:rsidR="00E934D5">
        <w:t>n apparatus</w:t>
      </w:r>
      <w:r>
        <w:t xml:space="preserve"> licence for every earth </w:t>
      </w:r>
      <w:r w:rsidR="00E934D5">
        <w:t>and earth</w:t>
      </w:r>
      <w:r w:rsidR="00E64C53">
        <w:t>-</w:t>
      </w:r>
      <w:r w:rsidR="00E934D5">
        <w:t xml:space="preserve">receive </w:t>
      </w:r>
      <w:r>
        <w:t xml:space="preserve">station in a satellite system. </w:t>
      </w:r>
    </w:p>
    <w:p w14:paraId="2E58F121" w14:textId="77777777" w:rsidR="008C1ADA" w:rsidRDefault="008C1ADA" w:rsidP="008C1ADA">
      <w:pPr>
        <w:pStyle w:val="Paragraph"/>
      </w:pPr>
      <w:r>
        <w:t xml:space="preserve">A key requirement, irrespective of which approach to licensing is used, is that the satellite system must normally be filed with the International Telecommunication Union (ITU) by the ACMA or equivalent national administration of an ITU member state. </w:t>
      </w:r>
    </w:p>
    <w:p w14:paraId="252759F4" w14:textId="449442EC" w:rsidR="008C1ADA" w:rsidRDefault="008C1ADA" w:rsidP="008C1ADA">
      <w:pPr>
        <w:pStyle w:val="Paragraph"/>
      </w:pPr>
      <w:r>
        <w:t xml:space="preserve">If an operator wishes to licence a satellite system under the second option, the controlling business entity must first be included in either the </w:t>
      </w:r>
      <w:hyperlink r:id="rId47" w:history="1">
        <w:r w:rsidRPr="00CF1A8A">
          <w:rPr>
            <w:rStyle w:val="Hyperlink"/>
          </w:rPr>
          <w:t>Radiocommunications (Australian Space Objects) Determination 2014</w:t>
        </w:r>
      </w:hyperlink>
      <w:r>
        <w:t xml:space="preserve"> or the </w:t>
      </w:r>
      <w:hyperlink r:id="rId48" w:history="1">
        <w:r w:rsidRPr="00CF1A8A">
          <w:rPr>
            <w:rStyle w:val="Hyperlink"/>
          </w:rPr>
          <w:t>Radiocommunications (Foreign Space Objects) Determination 2014</w:t>
        </w:r>
      </w:hyperlink>
      <w:r w:rsidR="00E934D5">
        <w:t>, so that the relevant space stations and space</w:t>
      </w:r>
      <w:r w:rsidR="00E64C53">
        <w:t>-</w:t>
      </w:r>
      <w:r w:rsidR="00E934D5">
        <w:t xml:space="preserve">receive stations are brought within the Australian regulatory regime. </w:t>
      </w:r>
      <w:r>
        <w:t xml:space="preserve"> </w:t>
      </w:r>
    </w:p>
    <w:p w14:paraId="71B2ACBF" w14:textId="21931662" w:rsidR="008C1ADA" w:rsidRDefault="008C1ADA" w:rsidP="008C1ADA">
      <w:pPr>
        <w:pStyle w:val="Paragraph"/>
      </w:pPr>
      <w:r>
        <w:t xml:space="preserve">Information on how licence applications for space-based radiocommunications systems are assessed for compliance with ITU and other satellite regulatory matters is outlined in the ACMA’s </w:t>
      </w:r>
      <w:hyperlink r:id="rId49" w:history="1">
        <w:r w:rsidR="00A34933">
          <w:rPr>
            <w:rStyle w:val="Hyperlink"/>
          </w:rPr>
          <w:t>B</w:t>
        </w:r>
        <w:r>
          <w:rPr>
            <w:rStyle w:val="Hyperlink"/>
          </w:rPr>
          <w:t xml:space="preserve">usiness </w:t>
        </w:r>
        <w:r w:rsidR="00A34933">
          <w:rPr>
            <w:rStyle w:val="Hyperlink"/>
          </w:rPr>
          <w:t>O</w:t>
        </w:r>
        <w:r>
          <w:rPr>
            <w:rStyle w:val="Hyperlink"/>
          </w:rPr>
          <w:t xml:space="preserve">perating </w:t>
        </w:r>
        <w:r w:rsidR="00A34933">
          <w:rPr>
            <w:rStyle w:val="Hyperlink"/>
          </w:rPr>
          <w:t>P</w:t>
        </w:r>
        <w:r>
          <w:rPr>
            <w:rStyle w:val="Hyperlink"/>
          </w:rPr>
          <w:t>rocedures</w:t>
        </w:r>
      </w:hyperlink>
      <w:r>
        <w:t>.</w:t>
      </w:r>
      <w:r w:rsidR="00320312">
        <w:rPr>
          <w:rStyle w:val="FootnoteReference"/>
        </w:rPr>
        <w:footnoteReference w:id="17"/>
      </w:r>
    </w:p>
    <w:p w14:paraId="78E740C2" w14:textId="77D873DF" w:rsidR="008C1ADA" w:rsidRPr="00023C2A" w:rsidRDefault="008C1ADA" w:rsidP="0053280C">
      <w:pPr>
        <w:pStyle w:val="Heading2"/>
      </w:pPr>
      <w:bookmarkStart w:id="57" w:name="_Toc13140218"/>
      <w:bookmarkStart w:id="58" w:name="_Toc26277349"/>
      <w:bookmarkStart w:id="59" w:name="_Toc117072419"/>
      <w:bookmarkStart w:id="60" w:name="_Hlk10626146"/>
      <w:bookmarkStart w:id="61" w:name="_Toc86418684"/>
      <w:r>
        <w:t>Requirement to licen</w:t>
      </w:r>
      <w:r w:rsidR="00130979">
        <w:t>s</w:t>
      </w:r>
      <w:r>
        <w:t>e earth station receivers</w:t>
      </w:r>
      <w:bookmarkEnd w:id="57"/>
      <w:bookmarkEnd w:id="58"/>
      <w:bookmarkEnd w:id="59"/>
      <w:r>
        <w:t xml:space="preserve"> </w:t>
      </w:r>
    </w:p>
    <w:p w14:paraId="5AAC3D66" w14:textId="36931194" w:rsidR="008C1ADA" w:rsidRDefault="008C1ADA" w:rsidP="008C1ADA">
      <w:pPr>
        <w:rPr>
          <w:rFonts w:cs="Arial"/>
        </w:rPr>
      </w:pPr>
      <w:r>
        <w:rPr>
          <w:rFonts w:cs="Arial"/>
        </w:rPr>
        <w:t>Section 46 of t</w:t>
      </w:r>
      <w:r w:rsidRPr="00023C2A">
        <w:rPr>
          <w:rFonts w:cs="Arial"/>
        </w:rPr>
        <w:t xml:space="preserve">he </w:t>
      </w:r>
      <w:r w:rsidRPr="00023C2A">
        <w:rPr>
          <w:rFonts w:cs="Arial"/>
          <w:i/>
        </w:rPr>
        <w:t>Radiocommunications Act 1992</w:t>
      </w:r>
      <w:r w:rsidRPr="00023C2A">
        <w:rPr>
          <w:rFonts w:cs="Arial"/>
        </w:rPr>
        <w:t xml:space="preserve"> (the Act) </w:t>
      </w:r>
      <w:r w:rsidR="00E934D5">
        <w:rPr>
          <w:rFonts w:cs="Arial"/>
        </w:rPr>
        <w:t>provides</w:t>
      </w:r>
      <w:r w:rsidR="00E934D5" w:rsidRPr="00023C2A">
        <w:rPr>
          <w:rFonts w:cs="Arial"/>
        </w:rPr>
        <w:t xml:space="preserve"> </w:t>
      </w:r>
      <w:r w:rsidRPr="00023C2A">
        <w:rPr>
          <w:rFonts w:cs="Arial"/>
        </w:rPr>
        <w:t xml:space="preserve">that </w:t>
      </w:r>
      <w:r>
        <w:rPr>
          <w:rFonts w:cs="Arial"/>
        </w:rPr>
        <w:t>a person must not operate a radiocommunications device otherwise than as authorised by a spectrum, apparatus or class licence.</w:t>
      </w:r>
    </w:p>
    <w:p w14:paraId="1CBC53B0" w14:textId="43162B9D" w:rsidR="008C1ADA" w:rsidRDefault="008C1ADA" w:rsidP="008C1ADA">
      <w:pPr>
        <w:rPr>
          <w:rFonts w:cs="Arial"/>
          <w:color w:val="000000"/>
          <w:szCs w:val="20"/>
        </w:rPr>
      </w:pPr>
      <w:r>
        <w:rPr>
          <w:rFonts w:cs="Arial"/>
        </w:rPr>
        <w:t xml:space="preserve">Under section 7 of the Act, radiocommunications devices are radiocommunications transmitters </w:t>
      </w:r>
      <w:r>
        <w:t>(other than of a kind specified by the ACMA)</w:t>
      </w:r>
      <w:r>
        <w:rPr>
          <w:rFonts w:cs="Arial"/>
        </w:rPr>
        <w:t xml:space="preserve"> and radiocommunications receivers of a kind specified by the ACMA. In the </w:t>
      </w:r>
      <w:hyperlink r:id="rId50" w:history="1">
        <w:r w:rsidRPr="00CF1A8A">
          <w:rPr>
            <w:rStyle w:val="Hyperlink"/>
          </w:rPr>
          <w:t>Radiocommunications (Specified Radiocommunications Receivers and Types of Transmitter Licences and Receiver Licences) Determination 2014</w:t>
        </w:r>
      </w:hyperlink>
      <w:r>
        <w:rPr>
          <w:rFonts w:cs="Arial"/>
        </w:rPr>
        <w:t xml:space="preserve">, </w:t>
      </w:r>
      <w:r w:rsidRPr="00B5283E">
        <w:rPr>
          <w:rFonts w:cs="Arial"/>
          <w:color w:val="000000"/>
          <w:szCs w:val="20"/>
        </w:rPr>
        <w:t>an earth</w:t>
      </w:r>
      <w:r w:rsidR="00746127">
        <w:rPr>
          <w:rFonts w:cs="Arial"/>
          <w:color w:val="000000"/>
          <w:szCs w:val="20"/>
        </w:rPr>
        <w:t>-</w:t>
      </w:r>
      <w:r w:rsidRPr="00B5283E">
        <w:rPr>
          <w:rFonts w:cs="Arial"/>
          <w:color w:val="000000"/>
          <w:szCs w:val="20"/>
        </w:rPr>
        <w:t xml:space="preserve">receive station </w:t>
      </w:r>
      <w:r>
        <w:rPr>
          <w:rFonts w:cs="Arial"/>
          <w:color w:val="000000"/>
          <w:szCs w:val="20"/>
        </w:rPr>
        <w:t>is s</w:t>
      </w:r>
      <w:r w:rsidRPr="00B5283E">
        <w:rPr>
          <w:rFonts w:cs="Arial"/>
          <w:color w:val="000000"/>
          <w:szCs w:val="20"/>
        </w:rPr>
        <w:t xml:space="preserve">pecified </w:t>
      </w:r>
      <w:r>
        <w:rPr>
          <w:rFonts w:cs="Arial"/>
          <w:color w:val="000000"/>
          <w:szCs w:val="20"/>
        </w:rPr>
        <w:t xml:space="preserve">as a </w:t>
      </w:r>
      <w:r w:rsidRPr="00B5283E">
        <w:rPr>
          <w:rFonts w:cs="Arial"/>
          <w:color w:val="000000"/>
          <w:szCs w:val="20"/>
        </w:rPr>
        <w:t>radiocommunications</w:t>
      </w:r>
      <w:r>
        <w:rPr>
          <w:rFonts w:cs="Arial"/>
          <w:color w:val="000000"/>
          <w:szCs w:val="20"/>
        </w:rPr>
        <w:t xml:space="preserve"> receiver and is therefore a radiocommunications device. For this reason, all earth station receivers are required to be licensed</w:t>
      </w:r>
      <w:bookmarkEnd w:id="60"/>
      <w:r>
        <w:rPr>
          <w:rFonts w:cs="Arial"/>
          <w:color w:val="000000"/>
          <w:szCs w:val="20"/>
        </w:rPr>
        <w:t>.</w:t>
      </w:r>
    </w:p>
    <w:p w14:paraId="6E9A03AF" w14:textId="7CBDA6B1" w:rsidR="008C1ADA" w:rsidRDefault="008C1ADA" w:rsidP="0053280C">
      <w:pPr>
        <w:pStyle w:val="Heading2"/>
      </w:pPr>
      <w:bookmarkStart w:id="62" w:name="_Toc117072420"/>
      <w:r>
        <w:lastRenderedPageBreak/>
        <w:t xml:space="preserve">CSO </w:t>
      </w:r>
      <w:r w:rsidR="00746127">
        <w:t>c</w:t>
      </w:r>
      <w:r>
        <w:t xml:space="preserve">lass </w:t>
      </w:r>
      <w:r w:rsidR="00746127">
        <w:t>l</w:t>
      </w:r>
      <w:r>
        <w:t>icence</w:t>
      </w:r>
      <w:bookmarkEnd w:id="61"/>
      <w:bookmarkEnd w:id="62"/>
    </w:p>
    <w:p w14:paraId="258C4AC9" w14:textId="2625446D" w:rsidR="008C1ADA" w:rsidRDefault="008C1ADA" w:rsidP="008C1ADA">
      <w:pPr>
        <w:pStyle w:val="Paragraph"/>
        <w:rPr>
          <w:rFonts w:eastAsiaTheme="minorHAnsi"/>
        </w:rPr>
      </w:pPr>
      <w:r>
        <w:t>The</w:t>
      </w:r>
      <w:r w:rsidR="00E934D5">
        <w:t xml:space="preserve"> CSO </w:t>
      </w:r>
      <w:r w:rsidR="00746127">
        <w:t>c</w:t>
      </w:r>
      <w:r w:rsidR="00E934D5">
        <w:t xml:space="preserve">lass </w:t>
      </w:r>
      <w:r w:rsidR="00746127">
        <w:t>l</w:t>
      </w:r>
      <w:r w:rsidR="00E934D5">
        <w:t>icence</w:t>
      </w:r>
      <w:r>
        <w:t xml:space="preserve"> is a legislative instrument made by the ACMA under section 132 of the</w:t>
      </w:r>
      <w:r w:rsidR="00E934D5">
        <w:t xml:space="preserve"> Act</w:t>
      </w:r>
      <w:r>
        <w:t>. It provides a standing authorisation for the operation of earth stations</w:t>
      </w:r>
      <w:r w:rsidR="00E934D5">
        <w:t xml:space="preserve"> and earth</w:t>
      </w:r>
      <w:r w:rsidR="0064083D">
        <w:t>-</w:t>
      </w:r>
      <w:r w:rsidR="00E934D5">
        <w:t>receive stations</w:t>
      </w:r>
      <w:r>
        <w:t xml:space="preserve"> in specified frequency bands</w:t>
      </w:r>
      <w:r w:rsidR="0064083D">
        <w:t>. This is on the condition</w:t>
      </w:r>
      <w:r>
        <w:t xml:space="preserve"> the operator of an associated satellite system has obtained space and space</w:t>
      </w:r>
      <w:r w:rsidR="0064083D">
        <w:t>-</w:t>
      </w:r>
      <w:r>
        <w:t>receive licences authorising operation of the space-based segment of their system.</w:t>
      </w:r>
    </w:p>
    <w:p w14:paraId="121DBE64" w14:textId="390D82F0" w:rsidR="008C1ADA" w:rsidRDefault="008C1ADA" w:rsidP="008C1ADA">
      <w:pPr>
        <w:pStyle w:val="Paragraph"/>
      </w:pPr>
      <w:r>
        <w:t xml:space="preserve">The CSO </w:t>
      </w:r>
      <w:r w:rsidR="0064083D">
        <w:t>c</w:t>
      </w:r>
      <w:r>
        <w:t xml:space="preserve">lass </w:t>
      </w:r>
      <w:r w:rsidR="0064083D">
        <w:t>l</w:t>
      </w:r>
      <w:r>
        <w:t>icence also sets out</w:t>
      </w:r>
      <w:r w:rsidR="00E934D5">
        <w:t xml:space="preserve"> the</w:t>
      </w:r>
      <w:r>
        <w:t xml:space="preserve"> equipment rules that earth</w:t>
      </w:r>
      <w:r w:rsidR="00E934D5">
        <w:t xml:space="preserve"> and earth</w:t>
      </w:r>
      <w:r w:rsidR="0064083D">
        <w:t>-</w:t>
      </w:r>
      <w:r w:rsidR="00E934D5">
        <w:t>receive</w:t>
      </w:r>
      <w:r>
        <w:t xml:space="preserve"> stations authorised by </w:t>
      </w:r>
      <w:r w:rsidR="00E934D5">
        <w:t xml:space="preserve">the CSO </w:t>
      </w:r>
      <w:r w:rsidR="0064083D">
        <w:t>c</w:t>
      </w:r>
      <w:r w:rsidR="00E934D5">
        <w:t xml:space="preserve">lass </w:t>
      </w:r>
      <w:r w:rsidR="0064083D">
        <w:t>l</w:t>
      </w:r>
      <w:r>
        <w:t>icence must comply with</w:t>
      </w:r>
      <w:r w:rsidR="0064083D">
        <w:t>. It also includes</w:t>
      </w:r>
      <w:r>
        <w:t xml:space="preserve"> technical conditions that must be met for transmissions in certain bands for minimising interference with other radiocommunications services.</w:t>
      </w:r>
    </w:p>
    <w:p w14:paraId="166BA012" w14:textId="56650375" w:rsidR="008C1ADA" w:rsidRDefault="008C1ADA" w:rsidP="0053280C">
      <w:pPr>
        <w:pStyle w:val="Heading2"/>
      </w:pPr>
      <w:bookmarkStart w:id="63" w:name="_Toc117072421"/>
      <w:bookmarkStart w:id="64" w:name="_Toc86418685"/>
      <w:r>
        <w:t>Taxes for apparatus</w:t>
      </w:r>
      <w:r w:rsidR="00884920">
        <w:t>-</w:t>
      </w:r>
      <w:r>
        <w:t>licensed space</w:t>
      </w:r>
      <w:r w:rsidR="00320312">
        <w:t>-</w:t>
      </w:r>
      <w:r>
        <w:t>based communication systems</w:t>
      </w:r>
      <w:bookmarkEnd w:id="63"/>
      <w:r>
        <w:t xml:space="preserve"> </w:t>
      </w:r>
    </w:p>
    <w:p w14:paraId="39E895D3" w14:textId="3F2D2825" w:rsidR="008C1ADA" w:rsidRDefault="008C1ADA" w:rsidP="008C1ADA">
      <w:r>
        <w:t xml:space="preserve">The </w:t>
      </w:r>
      <w:hyperlink r:id="rId51" w:history="1">
        <w:r w:rsidRPr="00CF1A8A">
          <w:rPr>
            <w:rStyle w:val="Hyperlink"/>
          </w:rPr>
          <w:t>Radiocommunications (Transmitter Licence Tax) Determination 2015</w:t>
        </w:r>
      </w:hyperlink>
      <w:r>
        <w:t xml:space="preserve"> </w:t>
      </w:r>
      <w:r w:rsidRPr="00FE0060">
        <w:t xml:space="preserve">sets out the different amounts of transmitter licence tax </w:t>
      </w:r>
      <w:r w:rsidR="00884920">
        <w:t xml:space="preserve">we have </w:t>
      </w:r>
      <w:r w:rsidRPr="00FE0060">
        <w:t xml:space="preserve">determined and that </w:t>
      </w:r>
      <w:r w:rsidR="00884920">
        <w:t>is</w:t>
      </w:r>
      <w:r w:rsidR="00884920" w:rsidRPr="00FE0060">
        <w:t xml:space="preserve"> </w:t>
      </w:r>
      <w:r w:rsidRPr="00FE0060">
        <w:t>payable by licensees of particular apparatus licences for transmitters.</w:t>
      </w:r>
      <w:r>
        <w:t xml:space="preserve"> This includes the taxes payable for space licences which </w:t>
      </w:r>
      <w:r w:rsidR="00E934D5">
        <w:t xml:space="preserve">authorise </w:t>
      </w:r>
      <w:r>
        <w:t xml:space="preserve">the transmission of radio emissions from a space object. The CSO </w:t>
      </w:r>
      <w:r w:rsidR="00884920">
        <w:t>c</w:t>
      </w:r>
      <w:r w:rsidRPr="007F306B">
        <w:t xml:space="preserve">lass </w:t>
      </w:r>
      <w:r w:rsidR="00884920">
        <w:t>l</w:t>
      </w:r>
      <w:r w:rsidRPr="007F306B">
        <w:t>icence</w:t>
      </w:r>
      <w:r>
        <w:t xml:space="preserve"> then authorises reception of these radio emissions on earth. </w:t>
      </w:r>
    </w:p>
    <w:p w14:paraId="2AC89DD7" w14:textId="58C4E1D3" w:rsidR="008C1ADA" w:rsidRDefault="008C1ADA" w:rsidP="008C1ADA">
      <w:r>
        <w:t xml:space="preserve">The </w:t>
      </w:r>
      <w:hyperlink r:id="rId52" w:history="1">
        <w:r w:rsidRPr="00CF1A8A">
          <w:rPr>
            <w:rStyle w:val="Hyperlink"/>
          </w:rPr>
          <w:t>Radiocommunications (Receiver Licence Tax) Determination 2015</w:t>
        </w:r>
      </w:hyperlink>
      <w:r>
        <w:t xml:space="preserve"> </w:t>
      </w:r>
      <w:r w:rsidRPr="00FE0060">
        <w:t xml:space="preserve">sets out the different amounts of receiver licence tax </w:t>
      </w:r>
      <w:r w:rsidR="00884920">
        <w:t>we have</w:t>
      </w:r>
      <w:r w:rsidRPr="00FE0060">
        <w:t xml:space="preserve"> determined is payable by licensees of particular types of receiver licences.</w:t>
      </w:r>
      <w:r>
        <w:t xml:space="preserve"> This includes the taxes payable for space</w:t>
      </w:r>
      <w:r w:rsidR="00884920">
        <w:t>-</w:t>
      </w:r>
      <w:r>
        <w:t xml:space="preserve">receive licences </w:t>
      </w:r>
      <w:r w:rsidR="00884920">
        <w:t>that</w:t>
      </w:r>
      <w:r>
        <w:t xml:space="preserve"> </w:t>
      </w:r>
      <w:r w:rsidR="00E934D5">
        <w:t xml:space="preserve">authorise </w:t>
      </w:r>
      <w:r>
        <w:t xml:space="preserve">the reception of radio emissions on a space object. The CSO </w:t>
      </w:r>
      <w:r w:rsidR="00884920">
        <w:t>c</w:t>
      </w:r>
      <w:r w:rsidRPr="007F306B">
        <w:t xml:space="preserve">lass </w:t>
      </w:r>
      <w:r w:rsidR="00884920">
        <w:t>l</w:t>
      </w:r>
      <w:r w:rsidRPr="007F306B">
        <w:t>icence</w:t>
      </w:r>
      <w:r>
        <w:t xml:space="preserve"> then authorises transmission of these radio emissions from earth. </w:t>
      </w:r>
    </w:p>
    <w:p w14:paraId="1A1DACBD" w14:textId="77777777" w:rsidR="008C1ADA" w:rsidRDefault="008C1ADA" w:rsidP="0053280C">
      <w:pPr>
        <w:pStyle w:val="Heading2"/>
      </w:pPr>
      <w:bookmarkStart w:id="65" w:name="_Toc117072422"/>
      <w:r>
        <w:t>International obligations</w:t>
      </w:r>
      <w:bookmarkEnd w:id="64"/>
      <w:bookmarkEnd w:id="65"/>
    </w:p>
    <w:p w14:paraId="7F78A127" w14:textId="1DDF7823" w:rsidR="008C1ADA" w:rsidRDefault="008C1ADA" w:rsidP="008C1ADA">
      <w:pPr>
        <w:pStyle w:val="Paragraph"/>
        <w:rPr>
          <w:rFonts w:eastAsiaTheme="minorHAnsi"/>
        </w:rPr>
      </w:pPr>
      <w:r>
        <w:t>The ACMA’s current practice is that a satellite filing with the International Telecommunication Union (ITU) for the associated space object will be required</w:t>
      </w:r>
      <w:r w:rsidR="00D939B8">
        <w:t xml:space="preserve"> for domestic licensing to be considered</w:t>
      </w:r>
      <w:r>
        <w:t>, in accordance with Australia’s obligations as a member of the ITU.</w:t>
      </w:r>
    </w:p>
    <w:p w14:paraId="1B1796D6" w14:textId="0C1C0CD4" w:rsidR="008C1ADA" w:rsidRDefault="008C1ADA" w:rsidP="008C1ADA">
      <w:pPr>
        <w:pStyle w:val="Paragraph"/>
      </w:pPr>
      <w:r>
        <w:t>It should be noted that while the ACMA can develop a framework to support the licensing of a satellite service, the viability of a satellite service is in large part dependent on the status of the satellite system in the ITU satellite coordination process. This a matter for prospective licensees to assess, and the ACMA makes no assurances in this regard.</w:t>
      </w:r>
    </w:p>
    <w:p w14:paraId="1CE175BB" w14:textId="369FCC87" w:rsidR="008C1ADA" w:rsidRDefault="008C1ADA" w:rsidP="005B2F0D">
      <w:pPr>
        <w:pStyle w:val="Paragraph"/>
      </w:pPr>
    </w:p>
    <w:p w14:paraId="2B761C81" w14:textId="77777777" w:rsidR="00A4193E" w:rsidRPr="00E162C4" w:rsidRDefault="00A4193E" w:rsidP="005B2F0D">
      <w:pPr>
        <w:pStyle w:val="Paragraph"/>
      </w:pPr>
    </w:p>
    <w:bookmarkEnd w:id="48"/>
    <w:sectPr w:rsidR="00A4193E" w:rsidRPr="00E162C4" w:rsidSect="0063780F">
      <w:headerReference w:type="even" r:id="rId53"/>
      <w:headerReference w:type="default" r:id="rId54"/>
      <w:footerReference w:type="even" r:id="rId55"/>
      <w:footerReference w:type="default" r:id="rId56"/>
      <w:pgSz w:w="11906" w:h="16838" w:code="9"/>
      <w:pgMar w:top="1701" w:right="3101" w:bottom="993"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15606A" w14:textId="77777777" w:rsidR="00727C6C" w:rsidRDefault="00727C6C">
      <w:r>
        <w:separator/>
      </w:r>
    </w:p>
  </w:endnote>
  <w:endnote w:type="continuationSeparator" w:id="0">
    <w:p w14:paraId="47F4C7CB" w14:textId="77777777" w:rsidR="00727C6C" w:rsidRDefault="00727C6C">
      <w:r>
        <w:continuationSeparator/>
      </w:r>
    </w:p>
  </w:endnote>
  <w:endnote w:type="continuationNotice" w:id="1">
    <w:p w14:paraId="181FFA8B" w14:textId="77777777" w:rsidR="00525AAA" w:rsidRDefault="00525AA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11E40C" w14:textId="77777777" w:rsidR="005E250B" w:rsidRDefault="005E250B" w:rsidP="005E250B">
    <w:pPr>
      <w:pStyle w:val="Footer"/>
      <w:jc w:val="right"/>
    </w:pPr>
    <w:r w:rsidRPr="005E250B">
      <w:rPr>
        <w:noProof/>
        <w:vertAlign w:val="subscript"/>
      </w:rPr>
      <w:drawing>
        <wp:inline distT="0" distB="0" distL="0" distR="0" wp14:anchorId="52851BBC" wp14:editId="5785CDDE">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82F6BC"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40305"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D22EB9"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7E572DB2"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D9C946"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100B8EC6"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F9A3A"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6C8C8380"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61B1D"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464AEAF9"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6BB1D"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4B8500DB"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BBC5B7" w14:textId="77777777" w:rsidR="00727C6C" w:rsidRDefault="00727C6C" w:rsidP="00EA0969">
      <w:pPr>
        <w:spacing w:after="0"/>
      </w:pPr>
      <w:r>
        <w:separator/>
      </w:r>
    </w:p>
  </w:footnote>
  <w:footnote w:type="continuationSeparator" w:id="0">
    <w:p w14:paraId="2CD195DF" w14:textId="77777777" w:rsidR="00727C6C" w:rsidRDefault="00727C6C">
      <w:r>
        <w:continuationSeparator/>
      </w:r>
    </w:p>
  </w:footnote>
  <w:footnote w:type="continuationNotice" w:id="1">
    <w:p w14:paraId="6F2A734C" w14:textId="77777777" w:rsidR="00525AAA" w:rsidRDefault="00525AAA">
      <w:pPr>
        <w:spacing w:after="0" w:line="240" w:lineRule="auto"/>
      </w:pPr>
    </w:p>
  </w:footnote>
  <w:footnote w:id="2">
    <w:p w14:paraId="08E7B282" w14:textId="4CDD3F34" w:rsidR="00727C6C" w:rsidRPr="006B12D2" w:rsidRDefault="00727C6C" w:rsidP="00727C6C">
      <w:pPr>
        <w:pStyle w:val="FootnoteText"/>
        <w:rPr>
          <w:rFonts w:cs="Arial"/>
        </w:rPr>
      </w:pPr>
      <w:r w:rsidRPr="006B12D2">
        <w:rPr>
          <w:rStyle w:val="FootnoteReference"/>
          <w:rFonts w:cs="Arial"/>
        </w:rPr>
        <w:footnoteRef/>
      </w:r>
      <w:r w:rsidRPr="006B12D2">
        <w:rPr>
          <w:rFonts w:cs="Arial"/>
        </w:rPr>
        <w:t xml:space="preserve"> </w:t>
      </w:r>
      <w:r>
        <w:rPr>
          <w:rFonts w:cs="Arial"/>
        </w:rPr>
        <w:t>T</w:t>
      </w:r>
      <w:r w:rsidRPr="006B12D2">
        <w:rPr>
          <w:rFonts w:cs="Arial"/>
        </w:rPr>
        <w:t xml:space="preserve">he </w:t>
      </w:r>
      <w:r>
        <w:rPr>
          <w:rFonts w:cs="Arial"/>
        </w:rPr>
        <w:t xml:space="preserve">current version of the LIPD </w:t>
      </w:r>
      <w:r w:rsidR="0036074A">
        <w:rPr>
          <w:rFonts w:cs="Arial"/>
        </w:rPr>
        <w:t>c</w:t>
      </w:r>
      <w:r w:rsidRPr="006B12D2">
        <w:rPr>
          <w:rFonts w:cs="Arial"/>
        </w:rPr>
        <w:t xml:space="preserve">lass </w:t>
      </w:r>
      <w:r w:rsidR="0036074A">
        <w:rPr>
          <w:rFonts w:cs="Arial"/>
        </w:rPr>
        <w:t>l</w:t>
      </w:r>
      <w:r w:rsidRPr="006B12D2">
        <w:rPr>
          <w:rFonts w:cs="Arial"/>
        </w:rPr>
        <w:t xml:space="preserve">icence is available </w:t>
      </w:r>
      <w:r>
        <w:rPr>
          <w:rFonts w:cs="Arial"/>
        </w:rPr>
        <w:t xml:space="preserve">on the </w:t>
      </w:r>
      <w:hyperlink r:id="rId1" w:history="1">
        <w:r w:rsidRPr="003F78E4">
          <w:rPr>
            <w:rStyle w:val="Hyperlink"/>
            <w:rFonts w:cs="Arial"/>
          </w:rPr>
          <w:t>Federal Register of Legislation</w:t>
        </w:r>
      </w:hyperlink>
      <w:r>
        <w:rPr>
          <w:rFonts w:cs="Arial"/>
        </w:rPr>
        <w:t xml:space="preserve">. </w:t>
      </w:r>
    </w:p>
  </w:footnote>
  <w:footnote w:id="3">
    <w:p w14:paraId="3BB7E631" w14:textId="5E9FB4A4" w:rsidR="00727C6C" w:rsidRDefault="00727C6C" w:rsidP="00727C6C">
      <w:pPr>
        <w:pStyle w:val="FootnoteText"/>
      </w:pPr>
      <w:r>
        <w:rPr>
          <w:rStyle w:val="FootnoteReference"/>
        </w:rPr>
        <w:footnoteRef/>
      </w:r>
      <w:r>
        <w:t xml:space="preserve"> The current version of the </w:t>
      </w:r>
      <w:r w:rsidR="0036074A">
        <w:t>s</w:t>
      </w:r>
      <w:r>
        <w:t xml:space="preserve">pectrum </w:t>
      </w:r>
      <w:r w:rsidR="0036074A">
        <w:t>p</w:t>
      </w:r>
      <w:r>
        <w:t xml:space="preserve">lan is </w:t>
      </w:r>
      <w:r w:rsidRPr="006B12D2">
        <w:rPr>
          <w:rFonts w:cs="Arial"/>
        </w:rPr>
        <w:t xml:space="preserve">available </w:t>
      </w:r>
      <w:r>
        <w:rPr>
          <w:rFonts w:cs="Arial"/>
        </w:rPr>
        <w:t xml:space="preserve">on the </w:t>
      </w:r>
      <w:hyperlink r:id="rId2" w:history="1">
        <w:r w:rsidRPr="003F78E4">
          <w:rPr>
            <w:rStyle w:val="Hyperlink"/>
            <w:rFonts w:cs="Arial"/>
          </w:rPr>
          <w:t>Federal Register of Legislation</w:t>
        </w:r>
      </w:hyperlink>
      <w:r>
        <w:rPr>
          <w:rFonts w:cs="Arial"/>
        </w:rPr>
        <w:t xml:space="preserve">. </w:t>
      </w:r>
    </w:p>
  </w:footnote>
  <w:footnote w:id="4">
    <w:p w14:paraId="64B59A5F" w14:textId="39AE0B7D" w:rsidR="00B46008" w:rsidRPr="00B46008" w:rsidRDefault="00B46008">
      <w:pPr>
        <w:pStyle w:val="FootnoteText"/>
      </w:pPr>
      <w:r>
        <w:rPr>
          <w:rStyle w:val="FootnoteReference"/>
        </w:rPr>
        <w:footnoteRef/>
      </w:r>
      <w:r>
        <w:t xml:space="preserve"> B</w:t>
      </w:r>
      <w:r w:rsidRPr="00B46008">
        <w:t xml:space="preserve">y operation of the transitional provisions of the </w:t>
      </w:r>
      <w:r w:rsidRPr="0063780F">
        <w:t>Radiocommunications Legislation Amendment (Reform and Modernisation) Act 2020</w:t>
      </w:r>
      <w:r>
        <w:t>.</w:t>
      </w:r>
    </w:p>
  </w:footnote>
  <w:footnote w:id="5">
    <w:p w14:paraId="4870187E" w14:textId="77777777" w:rsidR="00FA7AF8" w:rsidRDefault="00FA7AF8" w:rsidP="00FA7AF8">
      <w:pPr>
        <w:pStyle w:val="FootnoteText"/>
      </w:pPr>
      <w:r>
        <w:rPr>
          <w:rStyle w:val="FootnoteReference"/>
        </w:rPr>
        <w:footnoteRef/>
      </w:r>
      <w:r>
        <w:t xml:space="preserve"> A scientific licence is currently issued to one organisation to authorise operation of their network in the short term. </w:t>
      </w:r>
    </w:p>
  </w:footnote>
  <w:footnote w:id="6">
    <w:p w14:paraId="37F05EDC" w14:textId="2FE1D9E3" w:rsidR="003D542B" w:rsidRDefault="003D542B" w:rsidP="003D542B">
      <w:pPr>
        <w:pStyle w:val="FootnoteText"/>
      </w:pPr>
      <w:r>
        <w:rPr>
          <w:rStyle w:val="FootnoteReference"/>
        </w:rPr>
        <w:footnoteRef/>
      </w:r>
      <w:r>
        <w:t xml:space="preserve"> For example, refer to ITU RR 8.4 and 8.5. Any framework developed is likely to need mechanisms to ensure that the satellite operator will act in accordance with these obligations. </w:t>
      </w:r>
      <w:r w:rsidR="00470EDE">
        <w:t>R</w:t>
      </w:r>
      <w:r w:rsidR="00470EDE" w:rsidRPr="00834EF9">
        <w:t xml:space="preserve">efer </w:t>
      </w:r>
      <w:r w:rsidR="00470EDE">
        <w:t xml:space="preserve">to the </w:t>
      </w:r>
      <w:hyperlink r:id="rId3" w:history="1">
        <w:r w:rsidR="00470EDE" w:rsidRPr="00834EF9">
          <w:rPr>
            <w:rStyle w:val="Hyperlink"/>
          </w:rPr>
          <w:t>ITU Rules of Procedure</w:t>
        </w:r>
      </w:hyperlink>
      <w:r w:rsidR="003E7639">
        <w:t>:</w:t>
      </w:r>
      <w:r w:rsidR="00470EDE" w:rsidRPr="00834EF9">
        <w:t xml:space="preserve"> Rules concerning Article 4 of the Radio Regulations</w:t>
      </w:r>
      <w:r w:rsidR="00470EDE">
        <w:t>.</w:t>
      </w:r>
    </w:p>
  </w:footnote>
  <w:footnote w:id="7">
    <w:p w14:paraId="7AD45514" w14:textId="557A723F" w:rsidR="00193F66" w:rsidRDefault="00193F66">
      <w:pPr>
        <w:pStyle w:val="FootnoteText"/>
      </w:pPr>
      <w:r>
        <w:rPr>
          <w:rStyle w:val="FootnoteReference"/>
        </w:rPr>
        <w:footnoteRef/>
      </w:r>
      <w:r>
        <w:t xml:space="preserve"> See </w:t>
      </w:r>
      <w:hyperlink r:id="rId4" w:history="1">
        <w:r w:rsidRPr="00193F66">
          <w:rPr>
            <w:rStyle w:val="Hyperlink"/>
          </w:rPr>
          <w:t>CEPT Report 75</w:t>
        </w:r>
      </w:hyperlink>
      <w:r>
        <w:t xml:space="preserve">. </w:t>
      </w:r>
    </w:p>
  </w:footnote>
  <w:footnote w:id="8">
    <w:p w14:paraId="5DB0E81C" w14:textId="3F832C47" w:rsidR="00193F66" w:rsidRDefault="00193F66">
      <w:pPr>
        <w:pStyle w:val="FootnoteText"/>
      </w:pPr>
      <w:r>
        <w:rPr>
          <w:rStyle w:val="FootnoteReference"/>
        </w:rPr>
        <w:footnoteRef/>
      </w:r>
      <w:r>
        <w:t xml:space="preserve"> </w:t>
      </w:r>
      <w:hyperlink r:id="rId5" w:history="1">
        <w:r w:rsidRPr="00193F66">
          <w:rPr>
            <w:rStyle w:val="Hyperlink"/>
          </w:rPr>
          <w:t>See</w:t>
        </w:r>
        <w:r>
          <w:rPr>
            <w:rStyle w:val="Hyperlink"/>
          </w:rPr>
          <w:t xml:space="preserve"> Ofcom statement:</w:t>
        </w:r>
        <w:r w:rsidRPr="00193F66">
          <w:rPr>
            <w:rStyle w:val="Hyperlink"/>
          </w:rPr>
          <w:t xml:space="preserve"> Improving spectrum access for Wi-Fi</w:t>
        </w:r>
      </w:hyperlink>
      <w:r>
        <w:t>.</w:t>
      </w:r>
    </w:p>
  </w:footnote>
  <w:footnote w:id="9">
    <w:p w14:paraId="25A03F2D" w14:textId="067098EF" w:rsidR="00FB2412" w:rsidRDefault="00FB2412" w:rsidP="00FB2412">
      <w:pPr>
        <w:pStyle w:val="FootnoteText"/>
      </w:pPr>
      <w:r>
        <w:rPr>
          <w:rStyle w:val="FootnoteReference"/>
        </w:rPr>
        <w:footnoteRef/>
      </w:r>
      <w:r>
        <w:t xml:space="preserve"> Each of the </w:t>
      </w:r>
      <w:r w:rsidR="00012CCD">
        <w:t xml:space="preserve">2 </w:t>
      </w:r>
      <w:r>
        <w:t>options has its own sub-options in relation to proposed emission masks, discussed below.</w:t>
      </w:r>
    </w:p>
  </w:footnote>
  <w:footnote w:id="10">
    <w:p w14:paraId="5C6A0213" w14:textId="28A7B688" w:rsidR="007F3E5A" w:rsidRDefault="007F3E5A">
      <w:pPr>
        <w:pStyle w:val="FootnoteText"/>
      </w:pPr>
      <w:r>
        <w:rPr>
          <w:rStyle w:val="FootnoteReference"/>
        </w:rPr>
        <w:footnoteRef/>
      </w:r>
      <w:r>
        <w:t xml:space="preserve"> The ACMA </w:t>
      </w:r>
      <w:r w:rsidR="00DD2452">
        <w:t>acknowledges</w:t>
      </w:r>
      <w:r>
        <w:t xml:space="preserve"> that </w:t>
      </w:r>
      <w:r w:rsidR="00CA3C38">
        <w:t xml:space="preserve">a </w:t>
      </w:r>
      <w:r>
        <w:t xml:space="preserve">more complex mask is also identified as an option in this </w:t>
      </w:r>
      <w:r w:rsidR="005C61EC">
        <w:t>r</w:t>
      </w:r>
      <w:r>
        <w:t>esolution</w:t>
      </w:r>
      <w:r w:rsidR="00CA3C38">
        <w:t xml:space="preserve">. However, </w:t>
      </w:r>
      <w:r w:rsidR="00DD2452">
        <w:t>the simple mask options identified are preferred</w:t>
      </w:r>
      <w:r>
        <w:t xml:space="preserve">. </w:t>
      </w:r>
    </w:p>
  </w:footnote>
  <w:footnote w:id="11">
    <w:p w14:paraId="546E9E6D" w14:textId="77777777" w:rsidR="00913AB4" w:rsidRDefault="00913AB4" w:rsidP="00913AB4">
      <w:pPr>
        <w:pStyle w:val="FootnoteText"/>
      </w:pPr>
      <w:r>
        <w:rPr>
          <w:rStyle w:val="FootnoteReference"/>
        </w:rPr>
        <w:footnoteRef/>
      </w:r>
      <w:r>
        <w:t xml:space="preserve"> See the </w:t>
      </w:r>
      <w:hyperlink r:id="rId6" w:anchor="sA" w:history="1">
        <w:r w:rsidRPr="00913AB4">
          <w:rPr>
            <w:rStyle w:val="Hyperlink"/>
          </w:rPr>
          <w:t>Innovation, Science and Economic Development Canada website</w:t>
        </w:r>
      </w:hyperlink>
      <w:r>
        <w:t xml:space="preserve"> for more information. </w:t>
      </w:r>
    </w:p>
  </w:footnote>
  <w:footnote w:id="12">
    <w:p w14:paraId="3A27F10D" w14:textId="4512519A" w:rsidR="00ED31AF" w:rsidRDefault="00ED31AF" w:rsidP="00ED31AF">
      <w:pPr>
        <w:pStyle w:val="FootnoteText"/>
      </w:pPr>
      <w:r>
        <w:rPr>
          <w:rStyle w:val="FootnoteReference"/>
        </w:rPr>
        <w:footnoteRef/>
      </w:r>
      <w:r>
        <w:t xml:space="preserve"> This includes Shure </w:t>
      </w:r>
      <w:r w:rsidRPr="00686456">
        <w:t xml:space="preserve">in their submission to the </w:t>
      </w:r>
      <w:hyperlink r:id="rId7" w:history="1">
        <w:r w:rsidRPr="00686456">
          <w:rPr>
            <w:rStyle w:val="Hyperlink"/>
          </w:rPr>
          <w:t>draft FYSO 2022</w:t>
        </w:r>
        <w:r w:rsidR="00C75D59">
          <w:rPr>
            <w:rStyle w:val="Hyperlink"/>
          </w:rPr>
          <w:t>–</w:t>
        </w:r>
        <w:r w:rsidRPr="00686456">
          <w:rPr>
            <w:rStyle w:val="Hyperlink"/>
          </w:rPr>
          <w:t>27</w:t>
        </w:r>
      </w:hyperlink>
      <w:r>
        <w:t>.</w:t>
      </w:r>
      <w:r w:rsidR="00EA0217">
        <w:t xml:space="preserve"> </w:t>
      </w:r>
    </w:p>
  </w:footnote>
  <w:footnote w:id="13">
    <w:p w14:paraId="23528245" w14:textId="2E694A5A" w:rsidR="00407FAA" w:rsidRDefault="00407FAA">
      <w:pPr>
        <w:pStyle w:val="FootnoteText"/>
      </w:pPr>
      <w:r>
        <w:rPr>
          <w:rStyle w:val="FootnoteReference"/>
        </w:rPr>
        <w:footnoteRef/>
      </w:r>
      <w:r>
        <w:t xml:space="preserve"> Technical characteristics and parameters for </w:t>
      </w:r>
      <w:r w:rsidRPr="00407FAA">
        <w:t>WMAS</w:t>
      </w:r>
      <w:r>
        <w:t xml:space="preserve"> are described in System Reference document </w:t>
      </w:r>
      <w:hyperlink r:id="rId8" w:history="1">
        <w:r w:rsidRPr="00407FAA">
          <w:rPr>
            <w:rStyle w:val="Hyperlink"/>
          </w:rPr>
          <w:t>ETSI TR 103 450</w:t>
        </w:r>
      </w:hyperlink>
      <w:r>
        <w:t>.</w:t>
      </w:r>
    </w:p>
  </w:footnote>
  <w:footnote w:id="14">
    <w:p w14:paraId="4BFB144D" w14:textId="77777777" w:rsidR="00ED31AF" w:rsidRDefault="00ED31AF" w:rsidP="00ED31AF">
      <w:pPr>
        <w:pStyle w:val="FootnoteText"/>
      </w:pPr>
      <w:r>
        <w:rPr>
          <w:rStyle w:val="FootnoteReference"/>
        </w:rPr>
        <w:footnoteRef/>
      </w:r>
      <w:r>
        <w:t xml:space="preserve"> See the </w:t>
      </w:r>
      <w:hyperlink r:id="rId9" w:history="1">
        <w:r w:rsidRPr="006B70BA">
          <w:rPr>
            <w:rStyle w:val="Hyperlink"/>
          </w:rPr>
          <w:t>FCC website</w:t>
        </w:r>
      </w:hyperlink>
      <w:r>
        <w:t xml:space="preserve"> for further information. </w:t>
      </w:r>
    </w:p>
  </w:footnote>
  <w:footnote w:id="15">
    <w:p w14:paraId="49F1B599" w14:textId="0A60E0D4" w:rsidR="000D05CB" w:rsidRDefault="000D05CB" w:rsidP="003D3C36">
      <w:pPr>
        <w:pStyle w:val="FootnoteText"/>
      </w:pPr>
      <w:r>
        <w:rPr>
          <w:rStyle w:val="FootnoteReference"/>
        </w:rPr>
        <w:footnoteRef/>
      </w:r>
      <w:r>
        <w:t xml:space="preserve"> EIRP is the Effective isotropic radiated power</w:t>
      </w:r>
      <w:r w:rsidR="003E20E5">
        <w:t xml:space="preserve"> and</w:t>
      </w:r>
      <w:r w:rsidR="00C52875">
        <w:t xml:space="preserve"> </w:t>
      </w:r>
      <w:r>
        <w:t>ERP is Effective Radiated Power</w:t>
      </w:r>
      <w:r w:rsidR="00C52875">
        <w:t>.</w:t>
      </w:r>
    </w:p>
  </w:footnote>
  <w:footnote w:id="16">
    <w:p w14:paraId="27EF7E47" w14:textId="4C2A19E3" w:rsidR="002D375B" w:rsidRDefault="002D375B">
      <w:pPr>
        <w:pStyle w:val="FootnoteText"/>
      </w:pPr>
      <w:r>
        <w:rPr>
          <w:rStyle w:val="FootnoteReference"/>
        </w:rPr>
        <w:footnoteRef/>
      </w:r>
      <w:r>
        <w:t xml:space="preserve"> See </w:t>
      </w:r>
      <w:hyperlink r:id="rId10" w:history="1">
        <w:r w:rsidRPr="002D375B">
          <w:rPr>
            <w:rStyle w:val="Hyperlink"/>
          </w:rPr>
          <w:t>RALI MS33</w:t>
        </w:r>
      </w:hyperlink>
      <w:r>
        <w:t xml:space="preserve"> for arrangements in the 2 GHz band (</w:t>
      </w:r>
      <w:r w:rsidRPr="002D375B">
        <w:t>1920</w:t>
      </w:r>
      <w:r w:rsidR="00B81D00">
        <w:t>–</w:t>
      </w:r>
      <w:r w:rsidRPr="002D375B">
        <w:t xml:space="preserve">1980 MHz </w:t>
      </w:r>
      <w:r>
        <w:t xml:space="preserve">paired with </w:t>
      </w:r>
      <w:r w:rsidRPr="002D375B">
        <w:t>2110</w:t>
      </w:r>
      <w:r w:rsidR="00B81D00">
        <w:t>–</w:t>
      </w:r>
      <w:r w:rsidRPr="002D375B">
        <w:t>2170 MHz</w:t>
      </w:r>
      <w:r>
        <w:t xml:space="preserve">) and </w:t>
      </w:r>
      <w:hyperlink r:id="rId11" w:history="1">
        <w:r w:rsidRPr="002D375B">
          <w:rPr>
            <w:rStyle w:val="Hyperlink"/>
          </w:rPr>
          <w:t>RALI MS34</w:t>
        </w:r>
      </w:hyperlink>
      <w:r>
        <w:t xml:space="preserve"> for arrangements in the 1.8 GHz band (</w:t>
      </w:r>
      <w:r w:rsidR="00C52875" w:rsidRPr="00C52875">
        <w:t>1710</w:t>
      </w:r>
      <w:r w:rsidR="00B81D00">
        <w:t>–</w:t>
      </w:r>
      <w:r w:rsidR="00C52875" w:rsidRPr="00C52875">
        <w:t>1785</w:t>
      </w:r>
      <w:r w:rsidR="00C52875">
        <w:t xml:space="preserve"> paired with</w:t>
      </w:r>
      <w:r w:rsidR="00C52875" w:rsidRPr="00C52875">
        <w:t xml:space="preserve"> 1805</w:t>
      </w:r>
      <w:r w:rsidR="00B81D00">
        <w:t>–</w:t>
      </w:r>
      <w:r w:rsidR="00C52875" w:rsidRPr="00C52875">
        <w:t>1880 MHz</w:t>
      </w:r>
      <w:r>
        <w:t>).</w:t>
      </w:r>
    </w:p>
  </w:footnote>
  <w:footnote w:id="17">
    <w:p w14:paraId="2C2E63E8" w14:textId="78596BB8" w:rsidR="00320312" w:rsidRDefault="00320312">
      <w:pPr>
        <w:pStyle w:val="FootnoteText"/>
      </w:pPr>
      <w:r>
        <w:rPr>
          <w:rStyle w:val="FootnoteReference"/>
        </w:rPr>
        <w:footnoteRef/>
      </w:r>
      <w:r>
        <w:t xml:space="preserve"> Specifically, procedures for submission and processing of applications for </w:t>
      </w:r>
      <w:hyperlink r:id="rId12" w:history="1">
        <w:r>
          <w:rPr>
            <w:rStyle w:val="Hyperlink"/>
            <w:rFonts w:eastAsiaTheme="minorHAnsi"/>
          </w:rPr>
          <w:t>space and space</w:t>
        </w:r>
        <w:r w:rsidR="00746127">
          <w:rPr>
            <w:rStyle w:val="Hyperlink"/>
            <w:rFonts w:eastAsiaTheme="minorHAnsi"/>
          </w:rPr>
          <w:t>-</w:t>
        </w:r>
        <w:r>
          <w:rPr>
            <w:rStyle w:val="Hyperlink"/>
            <w:rFonts w:eastAsiaTheme="minorHAnsi"/>
          </w:rPr>
          <w:t>receive apparatus licences</w:t>
        </w:r>
      </w:hyperlink>
      <w:r>
        <w:t xml:space="preserve"> and </w:t>
      </w:r>
      <w:hyperlink r:id="rId13" w:history="1">
        <w:r w:rsidRPr="00CF1A8A">
          <w:rPr>
            <w:rStyle w:val="Hyperlink"/>
            <w:rFonts w:eastAsiaTheme="minorHAnsi"/>
          </w:rPr>
          <w:t>earth, earth</w:t>
        </w:r>
        <w:r w:rsidR="00746127" w:rsidRPr="00CF1A8A">
          <w:rPr>
            <w:rStyle w:val="Hyperlink"/>
            <w:rFonts w:eastAsiaTheme="minorHAnsi"/>
          </w:rPr>
          <w:t>-</w:t>
        </w:r>
        <w:r w:rsidRPr="00CF1A8A">
          <w:rPr>
            <w:rStyle w:val="Hyperlink"/>
            <w:rFonts w:eastAsiaTheme="minorHAnsi"/>
          </w:rPr>
          <w:t>receive apparatus licences and device registrations under area-wide apparatus licences for fixed earth stations</w:t>
        </w:r>
      </w:hyperlink>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AB4CA" w14:textId="77777777" w:rsidR="00C053A1" w:rsidRPr="00A5474E" w:rsidRDefault="0021426C" w:rsidP="00A5474E">
    <w:pPr>
      <w:pStyle w:val="Header"/>
    </w:pPr>
    <w:r>
      <w:rPr>
        <w:noProof/>
      </w:rPr>
      <w:drawing>
        <wp:inline distT="0" distB="0" distL="0" distR="0" wp14:anchorId="400C62C6" wp14:editId="36360C5D">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79AA16"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4617A"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FA10BC"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202C1159" w14:textId="77777777" w:rsidTr="003B0421">
      <w:trPr>
        <w:trHeight w:hRule="exact" w:val="988"/>
      </w:trPr>
      <w:tc>
        <w:tcPr>
          <w:tcW w:w="7678" w:type="dxa"/>
          <w:shd w:val="clear" w:color="auto" w:fill="auto"/>
        </w:tcPr>
        <w:p w14:paraId="686C5CAC" w14:textId="77777777" w:rsidR="00971914" w:rsidRDefault="00971914" w:rsidP="00971914">
          <w:pPr>
            <w:pStyle w:val="Header"/>
          </w:pPr>
        </w:p>
      </w:tc>
    </w:tr>
    <w:tr w:rsidR="00971914" w14:paraId="4ADE37B7" w14:textId="77777777" w:rsidTr="003B0421">
      <w:tc>
        <w:tcPr>
          <w:tcW w:w="7678" w:type="dxa"/>
          <w:shd w:val="clear" w:color="auto" w:fill="auto"/>
        </w:tcPr>
        <w:p w14:paraId="55A23529" w14:textId="77777777" w:rsidR="00971914" w:rsidRDefault="00971914" w:rsidP="00971914">
          <w:pPr>
            <w:pStyle w:val="GridTable31"/>
          </w:pPr>
          <w:r>
            <w:t xml:space="preserve">Contents </w:t>
          </w:r>
          <w:r w:rsidRPr="00915B1C">
            <w:rPr>
              <w:b w:val="0"/>
              <w:spacing w:val="0"/>
              <w:sz w:val="28"/>
              <w:szCs w:val="28"/>
            </w:rPr>
            <w:t>(Continued)</w:t>
          </w:r>
        </w:p>
      </w:tc>
    </w:tr>
    <w:tr w:rsidR="00971914" w14:paraId="5538212E" w14:textId="77777777" w:rsidTr="003B0421">
      <w:trPr>
        <w:trHeight w:val="1220"/>
      </w:trPr>
      <w:tc>
        <w:tcPr>
          <w:tcW w:w="7678" w:type="dxa"/>
          <w:shd w:val="clear" w:color="auto" w:fill="auto"/>
        </w:tcPr>
        <w:p w14:paraId="4A0C4ECE" w14:textId="77777777" w:rsidR="00971914" w:rsidRDefault="00971914" w:rsidP="00971914"/>
      </w:tc>
    </w:tr>
  </w:tbl>
  <w:p w14:paraId="655DD493"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0A4FB115" w14:textId="77777777" w:rsidTr="003B0421">
      <w:trPr>
        <w:trHeight w:hRule="exact" w:val="988"/>
      </w:trPr>
      <w:tc>
        <w:tcPr>
          <w:tcW w:w="7678" w:type="dxa"/>
          <w:shd w:val="clear" w:color="auto" w:fill="auto"/>
        </w:tcPr>
        <w:p w14:paraId="2EF50F10" w14:textId="77777777" w:rsidR="00971914" w:rsidRDefault="00971914" w:rsidP="00971914">
          <w:pPr>
            <w:pStyle w:val="Header"/>
          </w:pPr>
        </w:p>
      </w:tc>
    </w:tr>
    <w:tr w:rsidR="00971914" w14:paraId="471F6D4A" w14:textId="77777777" w:rsidTr="003B0421">
      <w:tc>
        <w:tcPr>
          <w:tcW w:w="7678" w:type="dxa"/>
          <w:shd w:val="clear" w:color="auto" w:fill="auto"/>
        </w:tcPr>
        <w:p w14:paraId="2E49250F" w14:textId="77777777" w:rsidR="00971914" w:rsidRDefault="00971914" w:rsidP="00971914">
          <w:pPr>
            <w:pStyle w:val="GridTable31"/>
          </w:pPr>
          <w:r>
            <w:t xml:space="preserve">Contents </w:t>
          </w:r>
          <w:r w:rsidRPr="00915B1C">
            <w:rPr>
              <w:b w:val="0"/>
              <w:spacing w:val="0"/>
              <w:sz w:val="28"/>
              <w:szCs w:val="28"/>
            </w:rPr>
            <w:t>(Continued)</w:t>
          </w:r>
        </w:p>
      </w:tc>
    </w:tr>
    <w:tr w:rsidR="00971914" w14:paraId="6174AF49" w14:textId="77777777" w:rsidTr="003B0421">
      <w:trPr>
        <w:trHeight w:val="1220"/>
      </w:trPr>
      <w:tc>
        <w:tcPr>
          <w:tcW w:w="7678" w:type="dxa"/>
          <w:shd w:val="clear" w:color="auto" w:fill="auto"/>
        </w:tcPr>
        <w:p w14:paraId="1BB09C9B" w14:textId="77777777" w:rsidR="00971914" w:rsidRDefault="00971914" w:rsidP="00971914"/>
      </w:tc>
    </w:tr>
  </w:tbl>
  <w:p w14:paraId="54758093"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660B57"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EE453"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0C090017"/>
    <w:lvl w:ilvl="0">
      <w:start w:val="1"/>
      <w:numFmt w:val="lowerLetter"/>
      <w:lvlText w:val="%1)"/>
      <w:lvlJc w:val="left"/>
      <w:pPr>
        <w:ind w:left="360" w:hanging="360"/>
      </w:pPr>
      <w:rPr>
        <w:rFonts w:hint="default"/>
        <w:b w:val="0"/>
        <w:bCs/>
        <w:caps/>
        <w:sz w:val="20"/>
      </w:rPr>
    </w:lvl>
  </w:abstractNum>
  <w:abstractNum w:abstractNumId="3" w15:restartNumberingAfterBreak="0">
    <w:nsid w:val="FFFFFF89"/>
    <w:multiLevelType w:val="singleLevel"/>
    <w:tmpl w:val="05029EB2"/>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78D6EB5"/>
    <w:multiLevelType w:val="hybridMultilevel"/>
    <w:tmpl w:val="D74862BC"/>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C0E3983"/>
    <w:multiLevelType w:val="hybridMultilevel"/>
    <w:tmpl w:val="2514D20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D73719D"/>
    <w:multiLevelType w:val="hybridMultilevel"/>
    <w:tmpl w:val="D74862B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F135297"/>
    <w:multiLevelType w:val="hybridMultilevel"/>
    <w:tmpl w:val="D74862BC"/>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230B100D"/>
    <w:multiLevelType w:val="hybridMultilevel"/>
    <w:tmpl w:val="DF5430FA"/>
    <w:lvl w:ilvl="0" w:tplc="550AF1E8">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2D554BF3"/>
    <w:multiLevelType w:val="hybridMultilevel"/>
    <w:tmpl w:val="D74862BC"/>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3" w15:restartNumberingAfterBreak="0">
    <w:nsid w:val="2E5C3FBF"/>
    <w:multiLevelType w:val="hybridMultilevel"/>
    <w:tmpl w:val="C034022E"/>
    <w:lvl w:ilvl="0" w:tplc="F46A33F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F5A5080"/>
    <w:multiLevelType w:val="hybridMultilevel"/>
    <w:tmpl w:val="BE2AF6CE"/>
    <w:lvl w:ilvl="0" w:tplc="D05E2434">
      <w:start w:val="1"/>
      <w:numFmt w:val="bullet"/>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15" w15:restartNumberingAfterBreak="0">
    <w:nsid w:val="2FA6274D"/>
    <w:multiLevelType w:val="hybridMultilevel"/>
    <w:tmpl w:val="E6B435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5CC0B0B"/>
    <w:multiLevelType w:val="hybridMultilevel"/>
    <w:tmpl w:val="D48CB42E"/>
    <w:lvl w:ilvl="0" w:tplc="C53E5F3C">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E40623B"/>
    <w:multiLevelType w:val="hybridMultilevel"/>
    <w:tmpl w:val="A00C9A6E"/>
    <w:lvl w:ilvl="0" w:tplc="FFFFFFFF">
      <w:start w:val="1"/>
      <w:numFmt w:val="lowerLetter"/>
      <w:lvlText w:val="%1)"/>
      <w:lvlJc w:val="left"/>
      <w:pPr>
        <w:ind w:left="720" w:hanging="360"/>
      </w:pPr>
    </w:lvl>
    <w:lvl w:ilvl="1" w:tplc="0C09001B">
      <w:start w:val="1"/>
      <w:numFmt w:val="lowerRoman"/>
      <w:lvlText w:val="%2."/>
      <w:lvlJc w:val="righ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72FB4A75"/>
    <w:multiLevelType w:val="hybridMultilevel"/>
    <w:tmpl w:val="72F0FD3C"/>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3"/>
  </w:num>
  <w:num w:numId="2">
    <w:abstractNumId w:val="1"/>
  </w:num>
  <w:num w:numId="3">
    <w:abstractNumId w:val="2"/>
  </w:num>
  <w:num w:numId="4">
    <w:abstractNumId w:val="0"/>
  </w:num>
  <w:num w:numId="5">
    <w:abstractNumId w:val="12"/>
  </w:num>
  <w:num w:numId="6">
    <w:abstractNumId w:val="18"/>
  </w:num>
  <w:num w:numId="7">
    <w:abstractNumId w:val="16"/>
  </w:num>
  <w:num w:numId="8">
    <w:abstractNumId w:val="17"/>
  </w:num>
  <w:num w:numId="9">
    <w:abstractNumId w:val="20"/>
  </w:num>
  <w:num w:numId="10">
    <w:abstractNumId w:val="6"/>
  </w:num>
  <w:num w:numId="11">
    <w:abstractNumId w:val="4"/>
  </w:num>
  <w:num w:numId="12">
    <w:abstractNumId w:val="3"/>
  </w:num>
  <w:num w:numId="13">
    <w:abstractNumId w:val="2"/>
    <w:lvlOverride w:ilvl="0">
      <w:startOverride w:val="1"/>
    </w:lvlOverride>
  </w:num>
  <w:num w:numId="14">
    <w:abstractNumId w:val="2"/>
    <w:lvlOverride w:ilvl="0">
      <w:startOverride w:val="1"/>
    </w:lvlOverride>
  </w:num>
  <w:num w:numId="15">
    <w:abstractNumId w:val="2"/>
    <w:lvlOverride w:ilvl="0">
      <w:startOverride w:val="1"/>
    </w:lvlOverride>
  </w:num>
  <w:num w:numId="16">
    <w:abstractNumId w:val="14"/>
  </w:num>
  <w:num w:numId="17">
    <w:abstractNumId w:val="2"/>
    <w:lvlOverride w:ilvl="0">
      <w:startOverride w:val="1"/>
    </w:lvlOverride>
  </w:num>
  <w:num w:numId="18">
    <w:abstractNumId w:val="3"/>
  </w:num>
  <w:num w:numId="19">
    <w:abstractNumId w:val="3"/>
  </w:num>
  <w:num w:numId="20">
    <w:abstractNumId w:val="3"/>
  </w:num>
  <w:num w:numId="21">
    <w:abstractNumId w:val="3"/>
  </w:num>
  <w:num w:numId="22">
    <w:abstractNumId w:val="3"/>
  </w:num>
  <w:num w:numId="23">
    <w:abstractNumId w:val="3"/>
  </w:num>
  <w:num w:numId="24">
    <w:abstractNumId w:val="3"/>
  </w:num>
  <w:num w:numId="25">
    <w:abstractNumId w:val="3"/>
  </w:num>
  <w:num w:numId="26">
    <w:abstractNumId w:val="8"/>
  </w:num>
  <w:num w:numId="27">
    <w:abstractNumId w:val="11"/>
  </w:num>
  <w:num w:numId="28">
    <w:abstractNumId w:val="9"/>
  </w:num>
  <w:num w:numId="29">
    <w:abstractNumId w:val="5"/>
  </w:num>
  <w:num w:numId="30">
    <w:abstractNumId w:val="21"/>
  </w:num>
  <w:num w:numId="31">
    <w:abstractNumId w:val="10"/>
  </w:num>
  <w:num w:numId="32">
    <w:abstractNumId w:val="19"/>
  </w:num>
  <w:num w:numId="33">
    <w:abstractNumId w:val="15"/>
  </w:num>
  <w:num w:numId="34">
    <w:abstractNumId w:val="3"/>
  </w:num>
  <w:num w:numId="35">
    <w:abstractNumId w:val="3"/>
  </w:num>
  <w:num w:numId="36">
    <w:abstractNumId w:val="7"/>
  </w:num>
  <w:num w:numId="37">
    <w:abstractNumId w:val="3"/>
  </w:num>
  <w:num w:numId="38">
    <w:abstractNumId w:val="3"/>
  </w:num>
  <w:num w:numId="39">
    <w:abstractNumId w:val="13"/>
  </w:num>
  <w:num w:numId="40">
    <w:abstractNumId w:val="22"/>
  </w:num>
  <w:num w:numId="41">
    <w:abstractNumId w:val="3"/>
  </w:num>
  <w:num w:numId="42">
    <w:abstractNumId w:val="3"/>
  </w:num>
  <w:num w:numId="43">
    <w:abstractNumId w:val="3"/>
  </w:num>
  <w:num w:numId="44">
    <w:abstractNumId w:val="3"/>
  </w:num>
  <w:num w:numId="45">
    <w:abstractNumId w:val="3"/>
  </w:num>
  <w:num w:numId="46">
    <w:abstractNumId w:val="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7C6C"/>
    <w:rsid w:val="000038A7"/>
    <w:rsid w:val="00010247"/>
    <w:rsid w:val="00010667"/>
    <w:rsid w:val="000129D5"/>
    <w:rsid w:val="00012CCD"/>
    <w:rsid w:val="00012D25"/>
    <w:rsid w:val="000149A7"/>
    <w:rsid w:val="000156A0"/>
    <w:rsid w:val="00015AE7"/>
    <w:rsid w:val="00016E21"/>
    <w:rsid w:val="0001719C"/>
    <w:rsid w:val="0002224E"/>
    <w:rsid w:val="00023A36"/>
    <w:rsid w:val="000245E5"/>
    <w:rsid w:val="00024C33"/>
    <w:rsid w:val="00026F91"/>
    <w:rsid w:val="00032621"/>
    <w:rsid w:val="00040AF0"/>
    <w:rsid w:val="0004563F"/>
    <w:rsid w:val="0004764C"/>
    <w:rsid w:val="0005011A"/>
    <w:rsid w:val="0005045A"/>
    <w:rsid w:val="000511BD"/>
    <w:rsid w:val="00051C1E"/>
    <w:rsid w:val="00052C20"/>
    <w:rsid w:val="000539F9"/>
    <w:rsid w:val="00054C27"/>
    <w:rsid w:val="00055EC3"/>
    <w:rsid w:val="000563CE"/>
    <w:rsid w:val="000659B6"/>
    <w:rsid w:val="0006686F"/>
    <w:rsid w:val="0006722A"/>
    <w:rsid w:val="000732CF"/>
    <w:rsid w:val="00075B96"/>
    <w:rsid w:val="0008196A"/>
    <w:rsid w:val="00081F8A"/>
    <w:rsid w:val="00082BC3"/>
    <w:rsid w:val="00082E0A"/>
    <w:rsid w:val="000915ED"/>
    <w:rsid w:val="0009209D"/>
    <w:rsid w:val="0009463C"/>
    <w:rsid w:val="000969BD"/>
    <w:rsid w:val="000969BF"/>
    <w:rsid w:val="000A09A9"/>
    <w:rsid w:val="000A0C22"/>
    <w:rsid w:val="000A1400"/>
    <w:rsid w:val="000A14B6"/>
    <w:rsid w:val="000A3C43"/>
    <w:rsid w:val="000A4A51"/>
    <w:rsid w:val="000A5D2B"/>
    <w:rsid w:val="000B4664"/>
    <w:rsid w:val="000B5DE3"/>
    <w:rsid w:val="000C0A57"/>
    <w:rsid w:val="000C230C"/>
    <w:rsid w:val="000C38D5"/>
    <w:rsid w:val="000C6AB4"/>
    <w:rsid w:val="000D05CB"/>
    <w:rsid w:val="000D1100"/>
    <w:rsid w:val="000D5868"/>
    <w:rsid w:val="000D71D9"/>
    <w:rsid w:val="000D76E0"/>
    <w:rsid w:val="000D7E8B"/>
    <w:rsid w:val="000E4449"/>
    <w:rsid w:val="000E6097"/>
    <w:rsid w:val="000F148F"/>
    <w:rsid w:val="000F31F4"/>
    <w:rsid w:val="00101C54"/>
    <w:rsid w:val="0010235F"/>
    <w:rsid w:val="00103829"/>
    <w:rsid w:val="00111FCE"/>
    <w:rsid w:val="001136E4"/>
    <w:rsid w:val="001229A5"/>
    <w:rsid w:val="0012489B"/>
    <w:rsid w:val="00130017"/>
    <w:rsid w:val="00130979"/>
    <w:rsid w:val="00130F91"/>
    <w:rsid w:val="001337BD"/>
    <w:rsid w:val="001349ED"/>
    <w:rsid w:val="00137424"/>
    <w:rsid w:val="00140318"/>
    <w:rsid w:val="00141AD9"/>
    <w:rsid w:val="00146CE6"/>
    <w:rsid w:val="00152903"/>
    <w:rsid w:val="00152F62"/>
    <w:rsid w:val="00153FD5"/>
    <w:rsid w:val="0015614F"/>
    <w:rsid w:val="001577C2"/>
    <w:rsid w:val="0016057C"/>
    <w:rsid w:val="0016285E"/>
    <w:rsid w:val="001633C4"/>
    <w:rsid w:val="001704D5"/>
    <w:rsid w:val="00171591"/>
    <w:rsid w:val="00173981"/>
    <w:rsid w:val="0017719D"/>
    <w:rsid w:val="00181DD3"/>
    <w:rsid w:val="00183FD7"/>
    <w:rsid w:val="00185CAB"/>
    <w:rsid w:val="001875B7"/>
    <w:rsid w:val="00187CB3"/>
    <w:rsid w:val="0019050A"/>
    <w:rsid w:val="00190B6B"/>
    <w:rsid w:val="001910D4"/>
    <w:rsid w:val="00193F66"/>
    <w:rsid w:val="001976E3"/>
    <w:rsid w:val="001A40FB"/>
    <w:rsid w:val="001A44EC"/>
    <w:rsid w:val="001B5329"/>
    <w:rsid w:val="001B58AA"/>
    <w:rsid w:val="001B5A49"/>
    <w:rsid w:val="001B7A12"/>
    <w:rsid w:val="001B7E48"/>
    <w:rsid w:val="001C17CE"/>
    <w:rsid w:val="001C2BCA"/>
    <w:rsid w:val="001C36CA"/>
    <w:rsid w:val="001C44D1"/>
    <w:rsid w:val="001C6AEE"/>
    <w:rsid w:val="001C7630"/>
    <w:rsid w:val="001D6D15"/>
    <w:rsid w:val="001E1C66"/>
    <w:rsid w:val="001E221E"/>
    <w:rsid w:val="001E765C"/>
    <w:rsid w:val="001F3B4A"/>
    <w:rsid w:val="001F50F7"/>
    <w:rsid w:val="001F7558"/>
    <w:rsid w:val="00201EE2"/>
    <w:rsid w:val="002043AF"/>
    <w:rsid w:val="00205B57"/>
    <w:rsid w:val="0021426C"/>
    <w:rsid w:val="002157E0"/>
    <w:rsid w:val="00216A57"/>
    <w:rsid w:val="00217448"/>
    <w:rsid w:val="00222223"/>
    <w:rsid w:val="0022334F"/>
    <w:rsid w:val="00223720"/>
    <w:rsid w:val="00226819"/>
    <w:rsid w:val="00233101"/>
    <w:rsid w:val="00233817"/>
    <w:rsid w:val="0023539A"/>
    <w:rsid w:val="002367FF"/>
    <w:rsid w:val="00240299"/>
    <w:rsid w:val="00240CE9"/>
    <w:rsid w:val="00240F88"/>
    <w:rsid w:val="002434BA"/>
    <w:rsid w:val="00246089"/>
    <w:rsid w:val="00246093"/>
    <w:rsid w:val="00246702"/>
    <w:rsid w:val="00247C59"/>
    <w:rsid w:val="00247F2E"/>
    <w:rsid w:val="00250ADC"/>
    <w:rsid w:val="00250B07"/>
    <w:rsid w:val="00257553"/>
    <w:rsid w:val="00260FB2"/>
    <w:rsid w:val="00261EB7"/>
    <w:rsid w:val="00262128"/>
    <w:rsid w:val="0027165D"/>
    <w:rsid w:val="00273CEB"/>
    <w:rsid w:val="00281C89"/>
    <w:rsid w:val="0028282F"/>
    <w:rsid w:val="00291059"/>
    <w:rsid w:val="0029593B"/>
    <w:rsid w:val="00297FC5"/>
    <w:rsid w:val="002A0417"/>
    <w:rsid w:val="002A16D8"/>
    <w:rsid w:val="002A1BC8"/>
    <w:rsid w:val="002A3EF2"/>
    <w:rsid w:val="002A69A8"/>
    <w:rsid w:val="002B0DED"/>
    <w:rsid w:val="002B19A2"/>
    <w:rsid w:val="002B3731"/>
    <w:rsid w:val="002B381A"/>
    <w:rsid w:val="002B4FCC"/>
    <w:rsid w:val="002B7408"/>
    <w:rsid w:val="002B7CFD"/>
    <w:rsid w:val="002C0530"/>
    <w:rsid w:val="002C1995"/>
    <w:rsid w:val="002C210F"/>
    <w:rsid w:val="002D16EA"/>
    <w:rsid w:val="002D3600"/>
    <w:rsid w:val="002D375B"/>
    <w:rsid w:val="002D6278"/>
    <w:rsid w:val="002E4DDC"/>
    <w:rsid w:val="002E6899"/>
    <w:rsid w:val="003001A4"/>
    <w:rsid w:val="00302480"/>
    <w:rsid w:val="00302758"/>
    <w:rsid w:val="0030387C"/>
    <w:rsid w:val="003165E6"/>
    <w:rsid w:val="00320312"/>
    <w:rsid w:val="003215B5"/>
    <w:rsid w:val="003221CF"/>
    <w:rsid w:val="003233ED"/>
    <w:rsid w:val="00323866"/>
    <w:rsid w:val="00324D9F"/>
    <w:rsid w:val="003253EE"/>
    <w:rsid w:val="0032689C"/>
    <w:rsid w:val="00327948"/>
    <w:rsid w:val="0033000F"/>
    <w:rsid w:val="0033196B"/>
    <w:rsid w:val="00332011"/>
    <w:rsid w:val="00332518"/>
    <w:rsid w:val="00332925"/>
    <w:rsid w:val="00332E3F"/>
    <w:rsid w:val="003332ED"/>
    <w:rsid w:val="003368DC"/>
    <w:rsid w:val="0034490B"/>
    <w:rsid w:val="00345927"/>
    <w:rsid w:val="00350584"/>
    <w:rsid w:val="00351857"/>
    <w:rsid w:val="003545E8"/>
    <w:rsid w:val="003545E9"/>
    <w:rsid w:val="003568A9"/>
    <w:rsid w:val="0036074A"/>
    <w:rsid w:val="003610E1"/>
    <w:rsid w:val="003635CC"/>
    <w:rsid w:val="00365A4B"/>
    <w:rsid w:val="003671BE"/>
    <w:rsid w:val="0037170E"/>
    <w:rsid w:val="00372485"/>
    <w:rsid w:val="00373200"/>
    <w:rsid w:val="00375EF5"/>
    <w:rsid w:val="003767A5"/>
    <w:rsid w:val="003803BD"/>
    <w:rsid w:val="00381D15"/>
    <w:rsid w:val="00385254"/>
    <w:rsid w:val="00390D91"/>
    <w:rsid w:val="003933E8"/>
    <w:rsid w:val="00394031"/>
    <w:rsid w:val="00396DC2"/>
    <w:rsid w:val="00397CDA"/>
    <w:rsid w:val="003A04DB"/>
    <w:rsid w:val="003A5F5B"/>
    <w:rsid w:val="003A620B"/>
    <w:rsid w:val="003A789A"/>
    <w:rsid w:val="003B12EC"/>
    <w:rsid w:val="003C03B8"/>
    <w:rsid w:val="003C77E0"/>
    <w:rsid w:val="003D1293"/>
    <w:rsid w:val="003D17D7"/>
    <w:rsid w:val="003D2678"/>
    <w:rsid w:val="003D3C36"/>
    <w:rsid w:val="003D50B5"/>
    <w:rsid w:val="003D542B"/>
    <w:rsid w:val="003D71A3"/>
    <w:rsid w:val="003E20E5"/>
    <w:rsid w:val="003E2B8A"/>
    <w:rsid w:val="003E3FF8"/>
    <w:rsid w:val="003E7639"/>
    <w:rsid w:val="003F10EE"/>
    <w:rsid w:val="003F16F6"/>
    <w:rsid w:val="003F3206"/>
    <w:rsid w:val="003F4DC7"/>
    <w:rsid w:val="003F516D"/>
    <w:rsid w:val="003F5235"/>
    <w:rsid w:val="004027E4"/>
    <w:rsid w:val="00407FAA"/>
    <w:rsid w:val="0041071D"/>
    <w:rsid w:val="00414AFC"/>
    <w:rsid w:val="004151A7"/>
    <w:rsid w:val="00415310"/>
    <w:rsid w:val="00421709"/>
    <w:rsid w:val="00423763"/>
    <w:rsid w:val="00425074"/>
    <w:rsid w:val="0042762F"/>
    <w:rsid w:val="00427DC7"/>
    <w:rsid w:val="00431613"/>
    <w:rsid w:val="00431792"/>
    <w:rsid w:val="0043297A"/>
    <w:rsid w:val="00432EB2"/>
    <w:rsid w:val="0043714F"/>
    <w:rsid w:val="004438B5"/>
    <w:rsid w:val="00447037"/>
    <w:rsid w:val="0045124D"/>
    <w:rsid w:val="00454596"/>
    <w:rsid w:val="004545E0"/>
    <w:rsid w:val="0045605D"/>
    <w:rsid w:val="0046135B"/>
    <w:rsid w:val="00461D47"/>
    <w:rsid w:val="0046208B"/>
    <w:rsid w:val="0046384A"/>
    <w:rsid w:val="00470EDE"/>
    <w:rsid w:val="004718CC"/>
    <w:rsid w:val="0047262E"/>
    <w:rsid w:val="00475CB5"/>
    <w:rsid w:val="00477D7E"/>
    <w:rsid w:val="00481695"/>
    <w:rsid w:val="00482E5F"/>
    <w:rsid w:val="0048640D"/>
    <w:rsid w:val="00486FF6"/>
    <w:rsid w:val="00495A96"/>
    <w:rsid w:val="00495BB3"/>
    <w:rsid w:val="00497C03"/>
    <w:rsid w:val="004A0FF6"/>
    <w:rsid w:val="004A2C8A"/>
    <w:rsid w:val="004A56BB"/>
    <w:rsid w:val="004A70D6"/>
    <w:rsid w:val="004B08D1"/>
    <w:rsid w:val="004B1751"/>
    <w:rsid w:val="004C0253"/>
    <w:rsid w:val="004C38D4"/>
    <w:rsid w:val="004D2662"/>
    <w:rsid w:val="004D56FF"/>
    <w:rsid w:val="004D7779"/>
    <w:rsid w:val="004E12AC"/>
    <w:rsid w:val="004E35D2"/>
    <w:rsid w:val="004E39D3"/>
    <w:rsid w:val="004E508A"/>
    <w:rsid w:val="004E616D"/>
    <w:rsid w:val="004F1BDE"/>
    <w:rsid w:val="004F2CEE"/>
    <w:rsid w:val="004F556E"/>
    <w:rsid w:val="004F591C"/>
    <w:rsid w:val="004F7F44"/>
    <w:rsid w:val="005037B4"/>
    <w:rsid w:val="005047DA"/>
    <w:rsid w:val="00505089"/>
    <w:rsid w:val="005079BF"/>
    <w:rsid w:val="0051269A"/>
    <w:rsid w:val="00515181"/>
    <w:rsid w:val="00515DFA"/>
    <w:rsid w:val="00516B7D"/>
    <w:rsid w:val="005203B6"/>
    <w:rsid w:val="0052197C"/>
    <w:rsid w:val="005219E7"/>
    <w:rsid w:val="00525AAA"/>
    <w:rsid w:val="00531B9A"/>
    <w:rsid w:val="00531D15"/>
    <w:rsid w:val="0053280C"/>
    <w:rsid w:val="00537604"/>
    <w:rsid w:val="00542377"/>
    <w:rsid w:val="005476EB"/>
    <w:rsid w:val="00551782"/>
    <w:rsid w:val="00563EF1"/>
    <w:rsid w:val="00566AB4"/>
    <w:rsid w:val="00573812"/>
    <w:rsid w:val="005751C2"/>
    <w:rsid w:val="00575AC5"/>
    <w:rsid w:val="0057605D"/>
    <w:rsid w:val="00581347"/>
    <w:rsid w:val="00581463"/>
    <w:rsid w:val="00581AC9"/>
    <w:rsid w:val="005849F8"/>
    <w:rsid w:val="00584B51"/>
    <w:rsid w:val="0059322E"/>
    <w:rsid w:val="005938DF"/>
    <w:rsid w:val="00594E9C"/>
    <w:rsid w:val="005A099B"/>
    <w:rsid w:val="005A0B09"/>
    <w:rsid w:val="005A2D9C"/>
    <w:rsid w:val="005A55FE"/>
    <w:rsid w:val="005A6170"/>
    <w:rsid w:val="005A65C3"/>
    <w:rsid w:val="005A6A11"/>
    <w:rsid w:val="005A72CA"/>
    <w:rsid w:val="005B2F0D"/>
    <w:rsid w:val="005B4AED"/>
    <w:rsid w:val="005B5782"/>
    <w:rsid w:val="005B67D2"/>
    <w:rsid w:val="005C25AD"/>
    <w:rsid w:val="005C34EF"/>
    <w:rsid w:val="005C61EC"/>
    <w:rsid w:val="005D2502"/>
    <w:rsid w:val="005D40BB"/>
    <w:rsid w:val="005D47F3"/>
    <w:rsid w:val="005D49BF"/>
    <w:rsid w:val="005D4AA5"/>
    <w:rsid w:val="005D6F4E"/>
    <w:rsid w:val="005D77AB"/>
    <w:rsid w:val="005D78C0"/>
    <w:rsid w:val="005D7C73"/>
    <w:rsid w:val="005E250B"/>
    <w:rsid w:val="005E3ACD"/>
    <w:rsid w:val="005E6A50"/>
    <w:rsid w:val="005E7226"/>
    <w:rsid w:val="005E7A57"/>
    <w:rsid w:val="005F24B0"/>
    <w:rsid w:val="005F419C"/>
    <w:rsid w:val="005F7E89"/>
    <w:rsid w:val="00604315"/>
    <w:rsid w:val="00604E26"/>
    <w:rsid w:val="0060523F"/>
    <w:rsid w:val="006052CF"/>
    <w:rsid w:val="00607B8D"/>
    <w:rsid w:val="00611F5C"/>
    <w:rsid w:val="00612777"/>
    <w:rsid w:val="00616E09"/>
    <w:rsid w:val="00622A3B"/>
    <w:rsid w:val="00622EEA"/>
    <w:rsid w:val="0062396C"/>
    <w:rsid w:val="00623FF9"/>
    <w:rsid w:val="0062437D"/>
    <w:rsid w:val="00625491"/>
    <w:rsid w:val="00625D6F"/>
    <w:rsid w:val="00627D4E"/>
    <w:rsid w:val="00632B89"/>
    <w:rsid w:val="0063346D"/>
    <w:rsid w:val="00633798"/>
    <w:rsid w:val="00634478"/>
    <w:rsid w:val="006377E7"/>
    <w:rsid w:val="0063780F"/>
    <w:rsid w:val="0064083D"/>
    <w:rsid w:val="00644373"/>
    <w:rsid w:val="0064495F"/>
    <w:rsid w:val="00645915"/>
    <w:rsid w:val="00646CC4"/>
    <w:rsid w:val="006519C3"/>
    <w:rsid w:val="00652B30"/>
    <w:rsid w:val="00656345"/>
    <w:rsid w:val="00656DC6"/>
    <w:rsid w:val="006602B4"/>
    <w:rsid w:val="00660EC6"/>
    <w:rsid w:val="00664110"/>
    <w:rsid w:val="00664D17"/>
    <w:rsid w:val="00666520"/>
    <w:rsid w:val="00667C5B"/>
    <w:rsid w:val="006732D8"/>
    <w:rsid w:val="00681676"/>
    <w:rsid w:val="00686456"/>
    <w:rsid w:val="00691EB8"/>
    <w:rsid w:val="00692CDE"/>
    <w:rsid w:val="00693073"/>
    <w:rsid w:val="006977FF"/>
    <w:rsid w:val="006A01FA"/>
    <w:rsid w:val="006A0E9E"/>
    <w:rsid w:val="006A25C7"/>
    <w:rsid w:val="006A3934"/>
    <w:rsid w:val="006A3ECF"/>
    <w:rsid w:val="006A4AAD"/>
    <w:rsid w:val="006A4CCA"/>
    <w:rsid w:val="006A6DA2"/>
    <w:rsid w:val="006A7AB2"/>
    <w:rsid w:val="006A7DF5"/>
    <w:rsid w:val="006B0765"/>
    <w:rsid w:val="006B0912"/>
    <w:rsid w:val="006B52DE"/>
    <w:rsid w:val="006B5717"/>
    <w:rsid w:val="006B582F"/>
    <w:rsid w:val="006B5A75"/>
    <w:rsid w:val="006B5EB2"/>
    <w:rsid w:val="006B70BA"/>
    <w:rsid w:val="006C0CEB"/>
    <w:rsid w:val="006C1631"/>
    <w:rsid w:val="006C3B1E"/>
    <w:rsid w:val="006C47FD"/>
    <w:rsid w:val="006C5C19"/>
    <w:rsid w:val="006C5FD4"/>
    <w:rsid w:val="006C61EA"/>
    <w:rsid w:val="006C70A0"/>
    <w:rsid w:val="006D27CB"/>
    <w:rsid w:val="006D2B46"/>
    <w:rsid w:val="006D2F08"/>
    <w:rsid w:val="006D420A"/>
    <w:rsid w:val="006D576C"/>
    <w:rsid w:val="006D5865"/>
    <w:rsid w:val="006E2C6C"/>
    <w:rsid w:val="006E4B1B"/>
    <w:rsid w:val="006E5445"/>
    <w:rsid w:val="006E6061"/>
    <w:rsid w:val="006E7D93"/>
    <w:rsid w:val="006F1D7C"/>
    <w:rsid w:val="0070133D"/>
    <w:rsid w:val="007029A3"/>
    <w:rsid w:val="0070500D"/>
    <w:rsid w:val="00706E4E"/>
    <w:rsid w:val="0070791C"/>
    <w:rsid w:val="0071383C"/>
    <w:rsid w:val="007141A7"/>
    <w:rsid w:val="00715722"/>
    <w:rsid w:val="00715BAF"/>
    <w:rsid w:val="00716703"/>
    <w:rsid w:val="00721032"/>
    <w:rsid w:val="00721B55"/>
    <w:rsid w:val="00722DAF"/>
    <w:rsid w:val="00724D7C"/>
    <w:rsid w:val="00726CE4"/>
    <w:rsid w:val="00727C6C"/>
    <w:rsid w:val="00734143"/>
    <w:rsid w:val="00737E47"/>
    <w:rsid w:val="007406A8"/>
    <w:rsid w:val="00740EAC"/>
    <w:rsid w:val="00743477"/>
    <w:rsid w:val="00744956"/>
    <w:rsid w:val="00745A5C"/>
    <w:rsid w:val="00745B89"/>
    <w:rsid w:val="0074605F"/>
    <w:rsid w:val="00746127"/>
    <w:rsid w:val="00747E94"/>
    <w:rsid w:val="00754C83"/>
    <w:rsid w:val="00756CF0"/>
    <w:rsid w:val="0076066F"/>
    <w:rsid w:val="00761E5C"/>
    <w:rsid w:val="0076580A"/>
    <w:rsid w:val="00765DF8"/>
    <w:rsid w:val="00766749"/>
    <w:rsid w:val="00767C1B"/>
    <w:rsid w:val="00770B3F"/>
    <w:rsid w:val="007714A9"/>
    <w:rsid w:val="00774F88"/>
    <w:rsid w:val="00774FDB"/>
    <w:rsid w:val="00777BA2"/>
    <w:rsid w:val="00781408"/>
    <w:rsid w:val="00784F7F"/>
    <w:rsid w:val="007878BD"/>
    <w:rsid w:val="00794BAF"/>
    <w:rsid w:val="00796F25"/>
    <w:rsid w:val="007A2E98"/>
    <w:rsid w:val="007A3BA3"/>
    <w:rsid w:val="007A5EF9"/>
    <w:rsid w:val="007A6CC0"/>
    <w:rsid w:val="007A7FEC"/>
    <w:rsid w:val="007B1499"/>
    <w:rsid w:val="007B1BBF"/>
    <w:rsid w:val="007B2960"/>
    <w:rsid w:val="007B355D"/>
    <w:rsid w:val="007B3C4B"/>
    <w:rsid w:val="007B7980"/>
    <w:rsid w:val="007C0DEF"/>
    <w:rsid w:val="007C50A5"/>
    <w:rsid w:val="007C5D5A"/>
    <w:rsid w:val="007C607F"/>
    <w:rsid w:val="007C64CA"/>
    <w:rsid w:val="007C79DD"/>
    <w:rsid w:val="007C7B36"/>
    <w:rsid w:val="007D00E7"/>
    <w:rsid w:val="007D1A97"/>
    <w:rsid w:val="007D2CD6"/>
    <w:rsid w:val="007D3063"/>
    <w:rsid w:val="007D3CEB"/>
    <w:rsid w:val="007E7683"/>
    <w:rsid w:val="007F3E5A"/>
    <w:rsid w:val="007F49FA"/>
    <w:rsid w:val="007F54C4"/>
    <w:rsid w:val="007F6E9A"/>
    <w:rsid w:val="00800CCD"/>
    <w:rsid w:val="00801FEB"/>
    <w:rsid w:val="008044D4"/>
    <w:rsid w:val="008069AB"/>
    <w:rsid w:val="0081075F"/>
    <w:rsid w:val="00810AB4"/>
    <w:rsid w:val="00814236"/>
    <w:rsid w:val="00817B56"/>
    <w:rsid w:val="00821A88"/>
    <w:rsid w:val="0082322E"/>
    <w:rsid w:val="0082495D"/>
    <w:rsid w:val="00831AC3"/>
    <w:rsid w:val="00833DCE"/>
    <w:rsid w:val="00834EF9"/>
    <w:rsid w:val="00836FCE"/>
    <w:rsid w:val="008408FF"/>
    <w:rsid w:val="00851F3F"/>
    <w:rsid w:val="00854E76"/>
    <w:rsid w:val="00856EDC"/>
    <w:rsid w:val="008623B5"/>
    <w:rsid w:val="00863B42"/>
    <w:rsid w:val="00870ABA"/>
    <w:rsid w:val="008710E1"/>
    <w:rsid w:val="008716E5"/>
    <w:rsid w:val="008806F7"/>
    <w:rsid w:val="00881CA9"/>
    <w:rsid w:val="00882AF1"/>
    <w:rsid w:val="00883628"/>
    <w:rsid w:val="00884920"/>
    <w:rsid w:val="00885544"/>
    <w:rsid w:val="00885735"/>
    <w:rsid w:val="0088634E"/>
    <w:rsid w:val="0089059D"/>
    <w:rsid w:val="00893AB8"/>
    <w:rsid w:val="008A04C8"/>
    <w:rsid w:val="008A3F31"/>
    <w:rsid w:val="008A4066"/>
    <w:rsid w:val="008A4532"/>
    <w:rsid w:val="008A6913"/>
    <w:rsid w:val="008B4DAE"/>
    <w:rsid w:val="008B70F3"/>
    <w:rsid w:val="008B71C4"/>
    <w:rsid w:val="008B76DF"/>
    <w:rsid w:val="008C10F4"/>
    <w:rsid w:val="008C1ADA"/>
    <w:rsid w:val="008C3819"/>
    <w:rsid w:val="008C65F7"/>
    <w:rsid w:val="008D1EF6"/>
    <w:rsid w:val="008E0428"/>
    <w:rsid w:val="008E0F52"/>
    <w:rsid w:val="008E3B2B"/>
    <w:rsid w:val="008E4767"/>
    <w:rsid w:val="008E7A8C"/>
    <w:rsid w:val="008F1432"/>
    <w:rsid w:val="0090203B"/>
    <w:rsid w:val="00903285"/>
    <w:rsid w:val="00904794"/>
    <w:rsid w:val="00906D20"/>
    <w:rsid w:val="00906F40"/>
    <w:rsid w:val="0090731E"/>
    <w:rsid w:val="00913AB4"/>
    <w:rsid w:val="00915B1C"/>
    <w:rsid w:val="009174F3"/>
    <w:rsid w:val="0091797D"/>
    <w:rsid w:val="00923CBA"/>
    <w:rsid w:val="00926703"/>
    <w:rsid w:val="00927691"/>
    <w:rsid w:val="00927A5F"/>
    <w:rsid w:val="00930510"/>
    <w:rsid w:val="00931BF7"/>
    <w:rsid w:val="00935B63"/>
    <w:rsid w:val="00936E95"/>
    <w:rsid w:val="0094078F"/>
    <w:rsid w:val="00940FA3"/>
    <w:rsid w:val="00941FB0"/>
    <w:rsid w:val="009426D4"/>
    <w:rsid w:val="00947078"/>
    <w:rsid w:val="00947F25"/>
    <w:rsid w:val="00950159"/>
    <w:rsid w:val="009515FA"/>
    <w:rsid w:val="0095490B"/>
    <w:rsid w:val="00960A33"/>
    <w:rsid w:val="00971914"/>
    <w:rsid w:val="00974363"/>
    <w:rsid w:val="00981898"/>
    <w:rsid w:val="00985FAA"/>
    <w:rsid w:val="00994944"/>
    <w:rsid w:val="0099577C"/>
    <w:rsid w:val="009A021C"/>
    <w:rsid w:val="009A25CC"/>
    <w:rsid w:val="009A549E"/>
    <w:rsid w:val="009B24A5"/>
    <w:rsid w:val="009B2601"/>
    <w:rsid w:val="009B4E9E"/>
    <w:rsid w:val="009C1690"/>
    <w:rsid w:val="009C41F9"/>
    <w:rsid w:val="009C6881"/>
    <w:rsid w:val="009C73A3"/>
    <w:rsid w:val="009C7759"/>
    <w:rsid w:val="009D043D"/>
    <w:rsid w:val="009D07C8"/>
    <w:rsid w:val="009D4C85"/>
    <w:rsid w:val="009D6C71"/>
    <w:rsid w:val="009E0631"/>
    <w:rsid w:val="009E16D0"/>
    <w:rsid w:val="009E2051"/>
    <w:rsid w:val="009E38FD"/>
    <w:rsid w:val="009E3FA7"/>
    <w:rsid w:val="009F13D6"/>
    <w:rsid w:val="009F4C6B"/>
    <w:rsid w:val="009F78A8"/>
    <w:rsid w:val="00A00DF4"/>
    <w:rsid w:val="00A017E0"/>
    <w:rsid w:val="00A02AD6"/>
    <w:rsid w:val="00A03CD8"/>
    <w:rsid w:val="00A07096"/>
    <w:rsid w:val="00A07318"/>
    <w:rsid w:val="00A10706"/>
    <w:rsid w:val="00A1075A"/>
    <w:rsid w:val="00A11370"/>
    <w:rsid w:val="00A224CE"/>
    <w:rsid w:val="00A22522"/>
    <w:rsid w:val="00A24AFD"/>
    <w:rsid w:val="00A24F5C"/>
    <w:rsid w:val="00A27571"/>
    <w:rsid w:val="00A32F96"/>
    <w:rsid w:val="00A34933"/>
    <w:rsid w:val="00A40871"/>
    <w:rsid w:val="00A412AB"/>
    <w:rsid w:val="00A41625"/>
    <w:rsid w:val="00A4193E"/>
    <w:rsid w:val="00A4260E"/>
    <w:rsid w:val="00A440E0"/>
    <w:rsid w:val="00A442EF"/>
    <w:rsid w:val="00A51D1A"/>
    <w:rsid w:val="00A5418D"/>
    <w:rsid w:val="00A5474E"/>
    <w:rsid w:val="00A62E1A"/>
    <w:rsid w:val="00A64234"/>
    <w:rsid w:val="00A70ADF"/>
    <w:rsid w:val="00A70CE9"/>
    <w:rsid w:val="00A71466"/>
    <w:rsid w:val="00A73EDF"/>
    <w:rsid w:val="00A74B5E"/>
    <w:rsid w:val="00A81BED"/>
    <w:rsid w:val="00A81EC4"/>
    <w:rsid w:val="00A824E8"/>
    <w:rsid w:val="00A82661"/>
    <w:rsid w:val="00A85C35"/>
    <w:rsid w:val="00A967FD"/>
    <w:rsid w:val="00AA2DE5"/>
    <w:rsid w:val="00AA32F3"/>
    <w:rsid w:val="00AB156C"/>
    <w:rsid w:val="00AB5EBE"/>
    <w:rsid w:val="00AB6814"/>
    <w:rsid w:val="00AC04BA"/>
    <w:rsid w:val="00AC0E39"/>
    <w:rsid w:val="00AC104E"/>
    <w:rsid w:val="00AC3F8E"/>
    <w:rsid w:val="00AD045B"/>
    <w:rsid w:val="00AD14E2"/>
    <w:rsid w:val="00AD3082"/>
    <w:rsid w:val="00AD32B4"/>
    <w:rsid w:val="00AD3ECE"/>
    <w:rsid w:val="00AD4AD0"/>
    <w:rsid w:val="00AD5436"/>
    <w:rsid w:val="00AD60CD"/>
    <w:rsid w:val="00AD6C8C"/>
    <w:rsid w:val="00AE091D"/>
    <w:rsid w:val="00AE3B60"/>
    <w:rsid w:val="00AE53A1"/>
    <w:rsid w:val="00AE72A6"/>
    <w:rsid w:val="00AF2484"/>
    <w:rsid w:val="00AF63E7"/>
    <w:rsid w:val="00AF6E17"/>
    <w:rsid w:val="00B0165D"/>
    <w:rsid w:val="00B01B60"/>
    <w:rsid w:val="00B031F3"/>
    <w:rsid w:val="00B052A4"/>
    <w:rsid w:val="00B077B0"/>
    <w:rsid w:val="00B125DE"/>
    <w:rsid w:val="00B13FDD"/>
    <w:rsid w:val="00B1666A"/>
    <w:rsid w:val="00B20F1B"/>
    <w:rsid w:val="00B212BF"/>
    <w:rsid w:val="00B2244B"/>
    <w:rsid w:val="00B22966"/>
    <w:rsid w:val="00B22EB2"/>
    <w:rsid w:val="00B27442"/>
    <w:rsid w:val="00B31167"/>
    <w:rsid w:val="00B329C2"/>
    <w:rsid w:val="00B329D8"/>
    <w:rsid w:val="00B32BB9"/>
    <w:rsid w:val="00B33AE1"/>
    <w:rsid w:val="00B33D82"/>
    <w:rsid w:val="00B37C38"/>
    <w:rsid w:val="00B41860"/>
    <w:rsid w:val="00B4288C"/>
    <w:rsid w:val="00B43262"/>
    <w:rsid w:val="00B44100"/>
    <w:rsid w:val="00B46008"/>
    <w:rsid w:val="00B46CBA"/>
    <w:rsid w:val="00B46F94"/>
    <w:rsid w:val="00B512CB"/>
    <w:rsid w:val="00B6003C"/>
    <w:rsid w:val="00B61F03"/>
    <w:rsid w:val="00B626E4"/>
    <w:rsid w:val="00B70A31"/>
    <w:rsid w:val="00B72F4A"/>
    <w:rsid w:val="00B747B8"/>
    <w:rsid w:val="00B75AA5"/>
    <w:rsid w:val="00B81D00"/>
    <w:rsid w:val="00B82390"/>
    <w:rsid w:val="00B83C27"/>
    <w:rsid w:val="00B84BC3"/>
    <w:rsid w:val="00B84BDD"/>
    <w:rsid w:val="00B92516"/>
    <w:rsid w:val="00B92812"/>
    <w:rsid w:val="00BA6623"/>
    <w:rsid w:val="00BA66BC"/>
    <w:rsid w:val="00BA7D6E"/>
    <w:rsid w:val="00BB45A1"/>
    <w:rsid w:val="00BB541B"/>
    <w:rsid w:val="00BB6335"/>
    <w:rsid w:val="00BB7686"/>
    <w:rsid w:val="00BB7802"/>
    <w:rsid w:val="00BC23F9"/>
    <w:rsid w:val="00BC3421"/>
    <w:rsid w:val="00BC65CC"/>
    <w:rsid w:val="00BC732C"/>
    <w:rsid w:val="00BD0240"/>
    <w:rsid w:val="00BD3B7A"/>
    <w:rsid w:val="00BD4421"/>
    <w:rsid w:val="00BE2580"/>
    <w:rsid w:val="00BE266D"/>
    <w:rsid w:val="00BE3938"/>
    <w:rsid w:val="00BE45AE"/>
    <w:rsid w:val="00BE4C11"/>
    <w:rsid w:val="00BE71C0"/>
    <w:rsid w:val="00BF0E15"/>
    <w:rsid w:val="00BF610C"/>
    <w:rsid w:val="00C0060B"/>
    <w:rsid w:val="00C01A6C"/>
    <w:rsid w:val="00C0277D"/>
    <w:rsid w:val="00C02F26"/>
    <w:rsid w:val="00C03843"/>
    <w:rsid w:val="00C053A1"/>
    <w:rsid w:val="00C06CBE"/>
    <w:rsid w:val="00C07C8A"/>
    <w:rsid w:val="00C12702"/>
    <w:rsid w:val="00C13198"/>
    <w:rsid w:val="00C16198"/>
    <w:rsid w:val="00C2083D"/>
    <w:rsid w:val="00C24466"/>
    <w:rsid w:val="00C246A2"/>
    <w:rsid w:val="00C24A53"/>
    <w:rsid w:val="00C34A05"/>
    <w:rsid w:val="00C35CCE"/>
    <w:rsid w:val="00C4032F"/>
    <w:rsid w:val="00C41F21"/>
    <w:rsid w:val="00C43EF8"/>
    <w:rsid w:val="00C44047"/>
    <w:rsid w:val="00C45155"/>
    <w:rsid w:val="00C451D4"/>
    <w:rsid w:val="00C52875"/>
    <w:rsid w:val="00C5498F"/>
    <w:rsid w:val="00C54BDC"/>
    <w:rsid w:val="00C55235"/>
    <w:rsid w:val="00C64CD0"/>
    <w:rsid w:val="00C65F61"/>
    <w:rsid w:val="00C6684F"/>
    <w:rsid w:val="00C672E5"/>
    <w:rsid w:val="00C70E70"/>
    <w:rsid w:val="00C73351"/>
    <w:rsid w:val="00C75D59"/>
    <w:rsid w:val="00C75F8D"/>
    <w:rsid w:val="00C77380"/>
    <w:rsid w:val="00C85636"/>
    <w:rsid w:val="00C863C6"/>
    <w:rsid w:val="00C87E8A"/>
    <w:rsid w:val="00C90184"/>
    <w:rsid w:val="00C913D6"/>
    <w:rsid w:val="00C97736"/>
    <w:rsid w:val="00CA345A"/>
    <w:rsid w:val="00CA3C38"/>
    <w:rsid w:val="00CA3E70"/>
    <w:rsid w:val="00CB0E75"/>
    <w:rsid w:val="00CB1E82"/>
    <w:rsid w:val="00CB310B"/>
    <w:rsid w:val="00CB400C"/>
    <w:rsid w:val="00CB4BA8"/>
    <w:rsid w:val="00CB52D7"/>
    <w:rsid w:val="00CC4667"/>
    <w:rsid w:val="00CC4913"/>
    <w:rsid w:val="00CC4C53"/>
    <w:rsid w:val="00CC6732"/>
    <w:rsid w:val="00CD313C"/>
    <w:rsid w:val="00CD6ACF"/>
    <w:rsid w:val="00CD7BA7"/>
    <w:rsid w:val="00CE3C96"/>
    <w:rsid w:val="00CE4EE9"/>
    <w:rsid w:val="00CE51A8"/>
    <w:rsid w:val="00CE7033"/>
    <w:rsid w:val="00CF0BFE"/>
    <w:rsid w:val="00CF1A8A"/>
    <w:rsid w:val="00CF2FA2"/>
    <w:rsid w:val="00CF369B"/>
    <w:rsid w:val="00D00E28"/>
    <w:rsid w:val="00D0142D"/>
    <w:rsid w:val="00D0269E"/>
    <w:rsid w:val="00D03276"/>
    <w:rsid w:val="00D05D6C"/>
    <w:rsid w:val="00D1177E"/>
    <w:rsid w:val="00D15810"/>
    <w:rsid w:val="00D16D4E"/>
    <w:rsid w:val="00D16FE3"/>
    <w:rsid w:val="00D27F41"/>
    <w:rsid w:val="00D3024E"/>
    <w:rsid w:val="00D36441"/>
    <w:rsid w:val="00D4064E"/>
    <w:rsid w:val="00D41F13"/>
    <w:rsid w:val="00D43B47"/>
    <w:rsid w:val="00D44E9B"/>
    <w:rsid w:val="00D47AEB"/>
    <w:rsid w:val="00D50DB9"/>
    <w:rsid w:val="00D51302"/>
    <w:rsid w:val="00D52C43"/>
    <w:rsid w:val="00D61243"/>
    <w:rsid w:val="00D64F59"/>
    <w:rsid w:val="00D6507F"/>
    <w:rsid w:val="00D7090A"/>
    <w:rsid w:val="00D730BC"/>
    <w:rsid w:val="00D73912"/>
    <w:rsid w:val="00D74258"/>
    <w:rsid w:val="00D7452F"/>
    <w:rsid w:val="00D750E3"/>
    <w:rsid w:val="00D813B6"/>
    <w:rsid w:val="00D85226"/>
    <w:rsid w:val="00D87B94"/>
    <w:rsid w:val="00D90F2B"/>
    <w:rsid w:val="00D92D49"/>
    <w:rsid w:val="00D92EC1"/>
    <w:rsid w:val="00D939B8"/>
    <w:rsid w:val="00D96DEA"/>
    <w:rsid w:val="00DA4E41"/>
    <w:rsid w:val="00DA54D2"/>
    <w:rsid w:val="00DB117A"/>
    <w:rsid w:val="00DB1ED9"/>
    <w:rsid w:val="00DB3AE6"/>
    <w:rsid w:val="00DB5173"/>
    <w:rsid w:val="00DB7873"/>
    <w:rsid w:val="00DC187B"/>
    <w:rsid w:val="00DD1A43"/>
    <w:rsid w:val="00DD2452"/>
    <w:rsid w:val="00DD5BD6"/>
    <w:rsid w:val="00DD73C2"/>
    <w:rsid w:val="00DE1FB4"/>
    <w:rsid w:val="00DE319B"/>
    <w:rsid w:val="00DE4F65"/>
    <w:rsid w:val="00DF34FE"/>
    <w:rsid w:val="00DF56AA"/>
    <w:rsid w:val="00DF56AF"/>
    <w:rsid w:val="00DF64A8"/>
    <w:rsid w:val="00DF78E7"/>
    <w:rsid w:val="00E04F66"/>
    <w:rsid w:val="00E051FE"/>
    <w:rsid w:val="00E06ECC"/>
    <w:rsid w:val="00E10B82"/>
    <w:rsid w:val="00E110E0"/>
    <w:rsid w:val="00E131A2"/>
    <w:rsid w:val="00E15371"/>
    <w:rsid w:val="00E162C4"/>
    <w:rsid w:val="00E21056"/>
    <w:rsid w:val="00E217E7"/>
    <w:rsid w:val="00E23044"/>
    <w:rsid w:val="00E24104"/>
    <w:rsid w:val="00E302D0"/>
    <w:rsid w:val="00E35707"/>
    <w:rsid w:val="00E36AA1"/>
    <w:rsid w:val="00E41ECB"/>
    <w:rsid w:val="00E42676"/>
    <w:rsid w:val="00E431B4"/>
    <w:rsid w:val="00E528D3"/>
    <w:rsid w:val="00E5426D"/>
    <w:rsid w:val="00E54FDB"/>
    <w:rsid w:val="00E5617D"/>
    <w:rsid w:val="00E563D7"/>
    <w:rsid w:val="00E5735D"/>
    <w:rsid w:val="00E64C53"/>
    <w:rsid w:val="00E663F4"/>
    <w:rsid w:val="00E666F2"/>
    <w:rsid w:val="00E66DD4"/>
    <w:rsid w:val="00E71872"/>
    <w:rsid w:val="00E748CC"/>
    <w:rsid w:val="00E74F15"/>
    <w:rsid w:val="00E75415"/>
    <w:rsid w:val="00E775B1"/>
    <w:rsid w:val="00E77682"/>
    <w:rsid w:val="00E810A7"/>
    <w:rsid w:val="00E8152A"/>
    <w:rsid w:val="00E91CEC"/>
    <w:rsid w:val="00E934D5"/>
    <w:rsid w:val="00E93629"/>
    <w:rsid w:val="00E93B5C"/>
    <w:rsid w:val="00E94CEC"/>
    <w:rsid w:val="00E9695D"/>
    <w:rsid w:val="00E9774D"/>
    <w:rsid w:val="00EA0217"/>
    <w:rsid w:val="00EA04EF"/>
    <w:rsid w:val="00EA0969"/>
    <w:rsid w:val="00EA3560"/>
    <w:rsid w:val="00EA53C3"/>
    <w:rsid w:val="00EA6C79"/>
    <w:rsid w:val="00EA6F19"/>
    <w:rsid w:val="00EB7090"/>
    <w:rsid w:val="00EC1BBE"/>
    <w:rsid w:val="00EC2B68"/>
    <w:rsid w:val="00EC2F32"/>
    <w:rsid w:val="00EC3AEF"/>
    <w:rsid w:val="00EC5CD7"/>
    <w:rsid w:val="00ED1560"/>
    <w:rsid w:val="00ED2944"/>
    <w:rsid w:val="00ED31AF"/>
    <w:rsid w:val="00EE5831"/>
    <w:rsid w:val="00EE5951"/>
    <w:rsid w:val="00EE5FB3"/>
    <w:rsid w:val="00EE7F79"/>
    <w:rsid w:val="00EF3D80"/>
    <w:rsid w:val="00EF5779"/>
    <w:rsid w:val="00EF715A"/>
    <w:rsid w:val="00F039E1"/>
    <w:rsid w:val="00F04B8A"/>
    <w:rsid w:val="00F06E14"/>
    <w:rsid w:val="00F15F18"/>
    <w:rsid w:val="00F179D4"/>
    <w:rsid w:val="00F22A23"/>
    <w:rsid w:val="00F33C56"/>
    <w:rsid w:val="00F347C7"/>
    <w:rsid w:val="00F34848"/>
    <w:rsid w:val="00F359BF"/>
    <w:rsid w:val="00F361D7"/>
    <w:rsid w:val="00F42D46"/>
    <w:rsid w:val="00F4496C"/>
    <w:rsid w:val="00F44F3A"/>
    <w:rsid w:val="00F51F10"/>
    <w:rsid w:val="00F529A5"/>
    <w:rsid w:val="00F5310D"/>
    <w:rsid w:val="00F56076"/>
    <w:rsid w:val="00F60F00"/>
    <w:rsid w:val="00F614C0"/>
    <w:rsid w:val="00F66030"/>
    <w:rsid w:val="00F67FA7"/>
    <w:rsid w:val="00F83848"/>
    <w:rsid w:val="00F8385F"/>
    <w:rsid w:val="00F92A08"/>
    <w:rsid w:val="00F975E9"/>
    <w:rsid w:val="00FA1B7D"/>
    <w:rsid w:val="00FA6BB4"/>
    <w:rsid w:val="00FA7AF8"/>
    <w:rsid w:val="00FB2412"/>
    <w:rsid w:val="00FB4E52"/>
    <w:rsid w:val="00FC07B9"/>
    <w:rsid w:val="00FC4E21"/>
    <w:rsid w:val="00FC5F6D"/>
    <w:rsid w:val="00FD0107"/>
    <w:rsid w:val="00FD2C2F"/>
    <w:rsid w:val="00FD3B31"/>
    <w:rsid w:val="00FE1823"/>
    <w:rsid w:val="00FE487A"/>
    <w:rsid w:val="00FE54E7"/>
    <w:rsid w:val="00FE714E"/>
    <w:rsid w:val="00FF0569"/>
    <w:rsid w:val="00FF1D0A"/>
    <w:rsid w:val="00FF206E"/>
    <w:rsid w:val="00FF3C69"/>
    <w:rsid w:val="00FF6E0A"/>
    <w:rsid w:val="00FF755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6846CA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390D91"/>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uiPriority w:val="3"/>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aliases w:val="List Bullet 1"/>
    <w:basedOn w:val="Normal"/>
    <w:link w:val="ListBulletChar"/>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semiHidden/>
    <w:qFormat/>
    <w:rsid w:val="00C24A53"/>
    <w:p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Style 12,(NECG) Footnote Reference,Style 124,o,fr,Style 3,Appel note de bas de p1,Appel note de bas de p2,Appel note de bas de p3,Footnote Reference/,Style 13,FR"/>
    <w:basedOn w:val="DefaultParagraphFont"/>
    <w:uiPriority w:val="99"/>
    <w:rsid w:val="00566AB4"/>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uiPriority w:val="23"/>
    <w:rsid w:val="00C24466"/>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rsid w:val="00390D91"/>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D43B47"/>
    <w:pPr>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801FEB"/>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3803B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Protectivemarking">
    <w:name w:val="Protective marking"/>
    <w:basedOn w:val="Normal"/>
    <w:uiPriority w:val="99"/>
    <w:qFormat/>
    <w:rsid w:val="00390D91"/>
    <w:pPr>
      <w:tabs>
        <w:tab w:val="left" w:pos="720"/>
      </w:tabs>
      <w:spacing w:after="0" w:line="240" w:lineRule="auto"/>
      <w:jc w:val="center"/>
    </w:pPr>
    <w:rPr>
      <w:rFonts w:cs="Arial"/>
      <w:b/>
      <w:bCs/>
      <w:color w:val="FF0000"/>
      <w:sz w:val="32"/>
      <w:lang w:eastAsia="en-US"/>
    </w:rPr>
  </w:style>
  <w:style w:type="paragraph" w:styleId="Revision">
    <w:name w:val="Revision"/>
    <w:hidden/>
    <w:semiHidden/>
    <w:rsid w:val="00023A36"/>
    <w:rPr>
      <w:rFonts w:ascii="Arial" w:hAnsi="Arial"/>
      <w:sz w:val="20"/>
    </w:rPr>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uiPriority w:val="23"/>
    <w:rsid w:val="00727C6C"/>
    <w:rPr>
      <w:rFonts w:ascii="Arial" w:hAnsi="Arial"/>
      <w:sz w:val="16"/>
      <w:szCs w:val="16"/>
    </w:rPr>
  </w:style>
  <w:style w:type="character" w:customStyle="1" w:styleId="ListBulletChar">
    <w:name w:val="List Bullet Char"/>
    <w:aliases w:val="List Bullet 1 Char"/>
    <w:basedOn w:val="DefaultParagraphFont"/>
    <w:link w:val="ListBullet"/>
    <w:uiPriority w:val="99"/>
    <w:rsid w:val="00727C6C"/>
    <w:rPr>
      <w:rFonts w:ascii="Arial" w:hAnsi="Arial"/>
      <w:sz w:val="20"/>
    </w:rPr>
  </w:style>
  <w:style w:type="paragraph" w:customStyle="1" w:styleId="Default">
    <w:name w:val="Default"/>
    <w:rsid w:val="00686456"/>
    <w:pPr>
      <w:autoSpaceDE w:val="0"/>
      <w:autoSpaceDN w:val="0"/>
      <w:adjustRightInd w:val="0"/>
    </w:pPr>
    <w:rPr>
      <w:rFonts w:ascii="Arial" w:hAnsi="Arial" w:cs="Arial"/>
      <w:color w:val="000000"/>
    </w:rPr>
  </w:style>
  <w:style w:type="paragraph" w:customStyle="1" w:styleId="Item">
    <w:name w:val="Item"/>
    <w:aliases w:val="i"/>
    <w:basedOn w:val="Normal"/>
    <w:next w:val="Normal"/>
    <w:rsid w:val="00F15F18"/>
    <w:pPr>
      <w:keepLines/>
      <w:spacing w:before="80" w:after="0" w:line="240" w:lineRule="auto"/>
      <w:ind w:left="709"/>
    </w:pPr>
    <w:rPr>
      <w:rFonts w:ascii="Times New Roman" w:hAnsi="Times New Roman"/>
      <w:sz w:val="22"/>
      <w:szCs w:val="20"/>
    </w:rPr>
  </w:style>
  <w:style w:type="character" w:customStyle="1" w:styleId="CharPartNo">
    <w:name w:val="CharPartNo"/>
    <w:basedOn w:val="DefaultParagraphFont"/>
    <w:rsid w:val="00C43EF8"/>
  </w:style>
  <w:style w:type="character" w:customStyle="1" w:styleId="apple-converted-space">
    <w:name w:val="apple-converted-space"/>
    <w:basedOn w:val="DefaultParagraphFont"/>
    <w:rsid w:val="00525AAA"/>
  </w:style>
  <w:style w:type="paragraph" w:styleId="ListParagraph">
    <w:name w:val="List Paragraph"/>
    <w:basedOn w:val="Normal"/>
    <w:semiHidden/>
    <w:rsid w:val="00E051F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641734306">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607225966">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legislation.gov.au/Details/F2021C00399" TargetMode="External"/><Relationship Id="rId39" Type="http://schemas.openxmlformats.org/officeDocument/2006/relationships/hyperlink" Target="https://docdb.cept.org/download/4079" TargetMode="External"/><Relationship Id="rId21" Type="http://schemas.openxmlformats.org/officeDocument/2006/relationships/footer" Target="footer4.xml"/><Relationship Id="rId34" Type="http://schemas.openxmlformats.org/officeDocument/2006/relationships/hyperlink" Target="https://www.acma.gov.au/consultations/2021-04/rlan-use-5-ghz-and-6-ghz-bands-consultation-122021" TargetMode="External"/><Relationship Id="rId42" Type="http://schemas.openxmlformats.org/officeDocument/2006/relationships/hyperlink" Target="https://www.acma.gov.au/have-your-say" TargetMode="External"/><Relationship Id="rId47" Type="http://schemas.openxmlformats.org/officeDocument/2006/relationships/hyperlink" Target="https://www.legislation.gov.au/Details/F2021C00361" TargetMode="External"/><Relationship Id="rId50" Type="http://schemas.openxmlformats.org/officeDocument/2006/relationships/hyperlink" Target="https://www.legislation.gov.au/Details/F2014L01790" TargetMode="External"/><Relationship Id="rId55" Type="http://schemas.openxmlformats.org/officeDocument/2006/relationships/footer" Target="footer7.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4.xml"/><Relationship Id="rId29" Type="http://schemas.openxmlformats.org/officeDocument/2006/relationships/hyperlink" Target="https://www.acma.gov.au/sites/default/files/2021-10/Proposed%20changes%20to%20LIPD%20class%20licence%20for%206GHz%20RLAN_consultation%20paper.docx" TargetMode="External"/><Relationship Id="rId11" Type="http://schemas.openxmlformats.org/officeDocument/2006/relationships/hyperlink" Target="http://i.creativecommons.org/l/by/3.0/88x31.png" TargetMode="External"/><Relationship Id="rId24" Type="http://schemas.openxmlformats.org/officeDocument/2006/relationships/hyperlink" Target="https://www.legislation.gov.au/Details/F2022C00281" TargetMode="External"/><Relationship Id="rId32" Type="http://schemas.openxmlformats.org/officeDocument/2006/relationships/hyperlink" Target="https://eur-lex.europa.eu/legal-content/EN/TXT/PDF/?uri=CELEX:32021D1067&amp;from=EN" TargetMode="External"/><Relationship Id="rId37" Type="http://schemas.openxmlformats.org/officeDocument/2006/relationships/hyperlink" Target="https://www.acma.gov.au/sites/default/files/2021-10/Proposed%20changes%20to%20LIPD%20class%20licence%20for%206GHz%20RLAN_consultation%20paper.docx" TargetMode="External"/><Relationship Id="rId40" Type="http://schemas.openxmlformats.org/officeDocument/2006/relationships/hyperlink" Target="https://docs.fcc.gov/public/attachments/FCC-21-46A1.pdf" TargetMode="External"/><Relationship Id="rId45" Type="http://schemas.openxmlformats.org/officeDocument/2006/relationships/hyperlink" Target="https://www.acma.gov.au/privacy-policy" TargetMode="External"/><Relationship Id="rId53" Type="http://schemas.openxmlformats.org/officeDocument/2006/relationships/header" Target="header7.xml"/><Relationship Id="rId58" Type="http://schemas.openxmlformats.org/officeDocument/2006/relationships/theme" Target="theme/theme1.xml"/><Relationship Id="rId5" Type="http://schemas.openxmlformats.org/officeDocument/2006/relationships/webSettings" Target="webSettings.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acma.gov.au/five-year-spectrum-outlook" TargetMode="External"/><Relationship Id="rId30" Type="http://schemas.openxmlformats.org/officeDocument/2006/relationships/hyperlink" Target="https://www.acma.gov.au/sites/default/files/2022-03/Outcomes%20Paper_Proposed%20updates%20to%20the%20LIPD%20Class%20Licence%20for%206%20GHz%20RLANs.pdf" TargetMode="External"/><Relationship Id="rId35" Type="http://schemas.openxmlformats.org/officeDocument/2006/relationships/hyperlink" Target="https://www.acma.gov.au/sites/default/files/2021-10/Proposed%20changes%20to%20LIPD%20class%20licence%20for%206GHz%20RLAN_consultation%20paper.docx" TargetMode="External"/><Relationship Id="rId43" Type="http://schemas.openxmlformats.org/officeDocument/2006/relationships/hyperlink" Target="mailto:freqplan@acma.gov.au" TargetMode="External"/><Relationship Id="rId48" Type="http://schemas.openxmlformats.org/officeDocument/2006/relationships/hyperlink" Target="https://www.legislation.gov.au/Details/F2021C00363/" TargetMode="External"/><Relationship Id="rId56" Type="http://schemas.openxmlformats.org/officeDocument/2006/relationships/footer" Target="footer8.xml"/><Relationship Id="rId8" Type="http://schemas.openxmlformats.org/officeDocument/2006/relationships/header" Target="header1.xml"/><Relationship Id="rId51" Type="http://schemas.openxmlformats.org/officeDocument/2006/relationships/hyperlink" Target="https://www.legislation.gov.au/Series/F2015L00322" TargetMode="Externa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legislation.gov.au/Details/F2022C00281" TargetMode="External"/><Relationship Id="rId33" Type="http://schemas.openxmlformats.org/officeDocument/2006/relationships/hyperlink" Target="https://www.acma.gov.au/sites/default/files/2022-03/Outcomes%20Paper_Proposed%20updates%20to%20the%20LIPD%20Class%20Licence%20for%206%20GHz%20RLANs.pdf" TargetMode="External"/><Relationship Id="rId38" Type="http://schemas.openxmlformats.org/officeDocument/2006/relationships/hyperlink" Target="https://www.etsi.org/deliver/etsi_en/300400_300499/30042201/02.02.01_60/en_30042201v020201p.pdf" TargetMode="External"/><Relationship Id="rId46" Type="http://schemas.openxmlformats.org/officeDocument/2006/relationships/hyperlink" Target="http://www.legislation.gov.au/Series/F2015L01486" TargetMode="External"/><Relationship Id="rId20" Type="http://schemas.openxmlformats.org/officeDocument/2006/relationships/header" Target="header6.xml"/><Relationship Id="rId41" Type="http://schemas.openxmlformats.org/officeDocument/2006/relationships/hyperlink" Target="https://www.acma.gov.au/local-area-wireless-broadband-services" TargetMode="External"/><Relationship Id="rId54"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legislation.gov.au/Details/F2022C00699" TargetMode="External"/><Relationship Id="rId36" Type="http://schemas.openxmlformats.org/officeDocument/2006/relationships/hyperlink" Target="https://www.acma.gov.au/sites/default/files/2022-03/Outcomes%20Paper_Proposed%20updates%20to%20the%20LIPD%20Class%20Licence%20for%206%20GHz%20RLANs.pdf" TargetMode="External"/><Relationship Id="rId49" Type="http://schemas.openxmlformats.org/officeDocument/2006/relationships/hyperlink" Target="https://www.acma.gov.au/business-operating-procedures-spectrum" TargetMode="External"/><Relationship Id="rId57" Type="http://schemas.openxmlformats.org/officeDocument/2006/relationships/fontTable" Target="fontTable.xml"/><Relationship Id="rId10" Type="http://schemas.openxmlformats.org/officeDocument/2006/relationships/header" Target="header2.xml"/><Relationship Id="rId31" Type="http://schemas.openxmlformats.org/officeDocument/2006/relationships/hyperlink" Target="https://www.google.com/url?sa=t&amp;rct=j&amp;q=&amp;esrc=s&amp;source=web&amp;cd=&amp;ved=2ahUKEwjXgK-p0vz5AhVvUGwGHdvwAe4QFnoECCQQAQ&amp;url=https%3A%2F%2Fwww.acma.gov.au%2Fsites%2Fdefault%2Ffiles%2F2021-04%2FExploring-RLAN-use-in-the-5-GHz-and-6-GHz-bands_Discussion-and-options-paper.docx&amp;usg=AOvVaw2b_fm7j1DOWFlG_pP_vXYk" TargetMode="External"/><Relationship Id="rId44" Type="http://schemas.openxmlformats.org/officeDocument/2006/relationships/hyperlink" Target="https://www.acma.gov.au/publication-submissions" TargetMode="External"/><Relationship Id="rId52" Type="http://schemas.openxmlformats.org/officeDocument/2006/relationships/hyperlink" Target="https://www.legislation.gov.au/Details/F2019C00196"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ww.etsi.org/deliver/etsi_tr/103400_103499/103450/01.01.01_60/tr_103450v010101p.pdf" TargetMode="External"/><Relationship Id="rId13" Type="http://schemas.openxmlformats.org/officeDocument/2006/relationships/hyperlink" Target="https://www.acma.gov.au/procedure-earth-and-earth-receive-licensing-and-registering-earth-stations" TargetMode="External"/><Relationship Id="rId3" Type="http://schemas.openxmlformats.org/officeDocument/2006/relationships/hyperlink" Target="https://www.itu.int/hub/publication/r-reg-rop-2021/" TargetMode="External"/><Relationship Id="rId7" Type="http://schemas.openxmlformats.org/officeDocument/2006/relationships/hyperlink" Target="https://www.acma.gov.au/consultations/2022-03/draft-five-year-spectrum-outlook-2022-27-consultation-122022" TargetMode="External"/><Relationship Id="rId12" Type="http://schemas.openxmlformats.org/officeDocument/2006/relationships/hyperlink" Target="https://www.acma.gov.au/procedures-space-and-space-receive-licensing" TargetMode="External"/><Relationship Id="rId2" Type="http://schemas.openxmlformats.org/officeDocument/2006/relationships/hyperlink" Target="https://www.legislation.gov.au/Details/F2021L00617" TargetMode="External"/><Relationship Id="rId1" Type="http://schemas.openxmlformats.org/officeDocument/2006/relationships/hyperlink" Target="https://www.legislation.gov.au/Details/F2022C00281" TargetMode="External"/><Relationship Id="rId6" Type="http://schemas.openxmlformats.org/officeDocument/2006/relationships/hyperlink" Target="https://www.ic.gc.ca/eic/site/smt-gst.nsf/eng/sf11294.html" TargetMode="External"/><Relationship Id="rId11" Type="http://schemas.openxmlformats.org/officeDocument/2006/relationships/hyperlink" Target="https://www.acma.gov.au/publications/2019-08/instruction/frequency-coordination-and-licensing-procedures-apparatus-licensed-pts-1800-mhz-bands" TargetMode="External"/><Relationship Id="rId5" Type="http://schemas.openxmlformats.org/officeDocument/2006/relationships/hyperlink" Target="https://www.ofcom.org.uk/__data/assets/pdf_file/0036/198927/6ghz-statement.pdf" TargetMode="External"/><Relationship Id="rId10" Type="http://schemas.openxmlformats.org/officeDocument/2006/relationships/hyperlink" Target="https://www.acma.gov.au/publications/2019-08/instruction/rali-ms33-frequency-coordination-and-licensing-procedures-apparatus-licensed-pts-2-ghz-bands" TargetMode="External"/><Relationship Id="rId4" Type="http://schemas.openxmlformats.org/officeDocument/2006/relationships/hyperlink" Target="https://docdb.cept.org/document/16734" TargetMode="External"/><Relationship Id="rId9" Type="http://schemas.openxmlformats.org/officeDocument/2006/relationships/hyperlink" Target="https://www.fcc.gov/document/fcc-looks-open-door-new-wireless-microphone-technologies-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7F8262-1C21-46BC-9DE5-9254E2ABE8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Pages>
  <Words>9571</Words>
  <Characters>52450</Characters>
  <Application>Microsoft Office Word</Application>
  <DocSecurity>0</DocSecurity>
  <Lines>1248</Lines>
  <Paragraphs>530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61491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2022-10-19T00:43:00Z</dcterms:created>
  <dcterms:modified xsi:type="dcterms:W3CDTF">2022-10-21T02:21:00Z</dcterms:modified>
  <cp:category/>
</cp:coreProperties>
</file>