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1.xml" ContentType="application/vnd.openxmlformats-officedocument.themeOverride+xml"/>
  <Override PartName="/word/drawings/drawing2.xml" ContentType="application/vnd.openxmlformats-officedocument.drawingml.chartshapes+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2.xml" ContentType="application/vnd.openxmlformats-officedocument.themeOverride+xml"/>
  <Override PartName="/word/drawings/drawing3.xml" ContentType="application/vnd.openxmlformats-officedocument.drawingml.chartshapes+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3.xml" ContentType="application/vnd.openxmlformats-officedocument.themeOverride+xml"/>
  <Override PartName="/word/drawings/drawing4.xml" ContentType="application/vnd.openxmlformats-officedocument.drawingml.chartshapes+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4.xml" ContentType="application/vnd.openxmlformats-officedocument.themeOverride+xml"/>
  <Override PartName="/word/drawings/drawing5.xml" ContentType="application/vnd.openxmlformats-officedocument.drawingml.chartshapes+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5.xml" ContentType="application/vnd.openxmlformats-officedocument.themeOverride+xml"/>
  <Override PartName="/word/drawings/drawing6.xml" ContentType="application/vnd.openxmlformats-officedocument.drawingml.chartshapes+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6.xml" ContentType="application/vnd.openxmlformats-officedocument.themeOverride+xml"/>
  <Override PartName="/word/drawings/drawing7.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CB53EF" w14:textId="086BD359" w:rsidR="00F06E14" w:rsidRPr="00A17B1B" w:rsidRDefault="00706398" w:rsidP="00A51D1A">
      <w:pPr>
        <w:pStyle w:val="Reporttitle"/>
      </w:pPr>
      <w:r>
        <w:t>Comparison of annual compliance results</w:t>
      </w:r>
    </w:p>
    <w:p w14:paraId="165FD5A3" w14:textId="3BC6F1BC" w:rsidR="00F06E14" w:rsidRPr="00A17B1B" w:rsidRDefault="00706398" w:rsidP="00F06E14">
      <w:pPr>
        <w:pStyle w:val="Reportsubtitle"/>
      </w:pPr>
      <w:r>
        <w:t>Metropolitan commercial television networks</w:t>
      </w:r>
    </w:p>
    <w:p w14:paraId="75939193" w14:textId="233B21FD" w:rsidR="00C97736" w:rsidRPr="00A17B1B" w:rsidRDefault="00357C5B" w:rsidP="00EC2B68">
      <w:pPr>
        <w:pStyle w:val="Reportdate"/>
        <w:spacing w:after="720"/>
        <w:rPr>
          <w:rFonts w:cs="Arial"/>
        </w:rPr>
        <w:sectPr w:rsidR="00C97736" w:rsidRPr="00A17B1B"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357C5B">
        <w:t>SEPTEMBER</w:t>
      </w:r>
      <w:r w:rsidR="00BD4421" w:rsidRPr="00357C5B">
        <w:t xml:space="preserve"> 20</w:t>
      </w:r>
      <w:r w:rsidR="000971BD" w:rsidRPr="00357C5B">
        <w:t>2</w:t>
      </w:r>
      <w:r w:rsidR="00A17B1B" w:rsidRPr="00357C5B">
        <w:t>2</w:t>
      </w:r>
    </w:p>
    <w:p w14:paraId="3944998E" w14:textId="77777777" w:rsidR="00284A74" w:rsidRPr="00A17B1B" w:rsidRDefault="00284A74" w:rsidP="00284A74">
      <w:pPr>
        <w:pStyle w:val="ACMACorporateAddressHeader"/>
      </w:pPr>
      <w:r w:rsidRPr="00A17B1B">
        <w:lastRenderedPageBreak/>
        <w:t>Canberra</w:t>
      </w:r>
    </w:p>
    <w:p w14:paraId="17C3BED2"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4B7C36C9" w14:textId="77777777" w:rsidR="00284A74" w:rsidRPr="00A17B1B" w:rsidRDefault="00284A74" w:rsidP="00284A74">
      <w:pPr>
        <w:pStyle w:val="ACMACorporateAddresses"/>
      </w:pPr>
      <w:r w:rsidRPr="00A17B1B">
        <w:t>PO Box 78</w:t>
      </w:r>
      <w:r w:rsidRPr="00A17B1B">
        <w:br/>
        <w:t>Belconnen ACT 2616</w:t>
      </w:r>
    </w:p>
    <w:p w14:paraId="774E9535"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1CBF0A71" w14:textId="77777777" w:rsidR="00284A74" w:rsidRPr="00A17B1B" w:rsidRDefault="00284A74" w:rsidP="00284A74">
      <w:pPr>
        <w:pStyle w:val="ACMACorporateAddressHeader"/>
      </w:pPr>
      <w:r w:rsidRPr="00A17B1B">
        <w:t>Melbourne</w:t>
      </w:r>
    </w:p>
    <w:p w14:paraId="68005203"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6F57296F"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7DDD7A30"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34A56ED0" w14:textId="77777777" w:rsidR="00284A74" w:rsidRPr="00A17B1B" w:rsidRDefault="00284A74" w:rsidP="00284A74">
      <w:pPr>
        <w:pStyle w:val="ACMACorporateAddressHeader"/>
      </w:pPr>
      <w:r w:rsidRPr="00A17B1B">
        <w:t>Sydney</w:t>
      </w:r>
    </w:p>
    <w:p w14:paraId="4998E047"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08E0DEE9"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35D43F53"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2A8E3336" w14:textId="77777777" w:rsidR="00284A74" w:rsidRPr="00A17B1B" w:rsidRDefault="00284A74" w:rsidP="00284A74">
      <w:pPr>
        <w:pStyle w:val="ACMACopyrightHeader"/>
      </w:pPr>
      <w:r w:rsidRPr="00A17B1B">
        <w:t>Copyright notice</w:t>
      </w:r>
    </w:p>
    <w:p w14:paraId="2C4F7336" w14:textId="77777777" w:rsidR="00284A74" w:rsidRPr="00A17B1B" w:rsidRDefault="00284A74" w:rsidP="00284A74">
      <w:pPr>
        <w:pStyle w:val="ACMACClogo"/>
      </w:pPr>
      <w:r w:rsidRPr="00A17B1B">
        <w:rPr>
          <w:noProof/>
        </w:rPr>
        <w:drawing>
          <wp:inline distT="0" distB="0" distL="0" distR="0" wp14:anchorId="5D7E5105" wp14:editId="51F714F7">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F03BB3A" w14:textId="77777777" w:rsidR="00284A74" w:rsidRPr="00A17B1B" w:rsidRDefault="002C3076" w:rsidP="00284A74">
      <w:pPr>
        <w:pStyle w:val="ACMACorporateAddresses"/>
        <w:rPr>
          <w:rStyle w:val="Hyperlink"/>
        </w:rPr>
      </w:pPr>
      <w:hyperlink r:id="rId13" w:history="1">
        <w:r w:rsidR="00284A74" w:rsidRPr="00A17B1B">
          <w:rPr>
            <w:rStyle w:val="Hyperlink"/>
          </w:rPr>
          <w:t>https://creativecommons.org/licenses/by/4.0/</w:t>
        </w:r>
      </w:hyperlink>
    </w:p>
    <w:p w14:paraId="4D328D64"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27670FC5" w14:textId="77777777" w:rsidR="00284A74" w:rsidRPr="00A17B1B" w:rsidRDefault="00284A74" w:rsidP="00284A74">
      <w:pPr>
        <w:pStyle w:val="ACMACorporateAddresses"/>
      </w:pPr>
      <w:r w:rsidRPr="00A17B1B">
        <w:t>We request attribution as © Commonwealth of Australia (Australian Communications and Media Authority) 202</w:t>
      </w:r>
      <w:r w:rsidR="00A17B1B" w:rsidRPr="00A17B1B">
        <w:t>2</w:t>
      </w:r>
      <w:r w:rsidRPr="00A17B1B">
        <w:t>.</w:t>
      </w:r>
    </w:p>
    <w:p w14:paraId="37D4B542" w14:textId="77777777" w:rsidR="00284A74" w:rsidRPr="00A17B1B" w:rsidRDefault="00284A74" w:rsidP="00284A74">
      <w:pPr>
        <w:pStyle w:val="ACMACorporateAddresses"/>
      </w:pPr>
      <w:r w:rsidRPr="00A17B1B">
        <w:t>All other rights are reserved.</w:t>
      </w:r>
    </w:p>
    <w:p w14:paraId="763A83C2"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DDDA110" w14:textId="77777777" w:rsidR="00284A74" w:rsidRPr="00A17B1B" w:rsidRDefault="00284A74" w:rsidP="00284A74">
      <w:pPr>
        <w:pStyle w:val="ACMACorporateAddresses"/>
      </w:pPr>
      <w:r w:rsidRPr="00A17B1B">
        <w:t>Written enquiries may be sent to:</w:t>
      </w:r>
    </w:p>
    <w:p w14:paraId="7A78B8C1"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0454AB12"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6897AB9" w14:textId="4F818E59" w:rsidR="00E70BE3"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12835076" w:history="1">
        <w:r w:rsidR="00E70BE3" w:rsidRPr="00067A18">
          <w:rPr>
            <w:rStyle w:val="Hyperlink"/>
          </w:rPr>
          <w:t>Executive summary</w:t>
        </w:r>
        <w:r w:rsidR="00E70BE3">
          <w:rPr>
            <w:webHidden/>
          </w:rPr>
          <w:tab/>
        </w:r>
        <w:r w:rsidR="00E70BE3">
          <w:rPr>
            <w:webHidden/>
          </w:rPr>
          <w:fldChar w:fldCharType="begin"/>
        </w:r>
        <w:r w:rsidR="00E70BE3">
          <w:rPr>
            <w:webHidden/>
          </w:rPr>
          <w:instrText xml:space="preserve"> PAGEREF _Toc112835076 \h </w:instrText>
        </w:r>
        <w:r w:rsidR="00E70BE3">
          <w:rPr>
            <w:webHidden/>
          </w:rPr>
        </w:r>
        <w:r w:rsidR="00E70BE3">
          <w:rPr>
            <w:webHidden/>
          </w:rPr>
          <w:fldChar w:fldCharType="separate"/>
        </w:r>
        <w:r w:rsidR="00E70BE3">
          <w:rPr>
            <w:webHidden/>
          </w:rPr>
          <w:t>1</w:t>
        </w:r>
        <w:r w:rsidR="00E70BE3">
          <w:rPr>
            <w:webHidden/>
          </w:rPr>
          <w:fldChar w:fldCharType="end"/>
        </w:r>
      </w:hyperlink>
    </w:p>
    <w:p w14:paraId="7335FBBF" w14:textId="59C0B7EF" w:rsidR="00E70BE3" w:rsidRDefault="002C3076">
      <w:pPr>
        <w:pStyle w:val="TOC1"/>
        <w:rPr>
          <w:rFonts w:asciiTheme="minorHAnsi" w:eastAsiaTheme="minorEastAsia" w:hAnsiTheme="minorHAnsi" w:cstheme="minorBidi"/>
          <w:b w:val="0"/>
          <w:spacing w:val="0"/>
          <w:sz w:val="22"/>
          <w:szCs w:val="22"/>
        </w:rPr>
      </w:pPr>
      <w:hyperlink w:anchor="_Toc112835077" w:history="1">
        <w:r w:rsidR="00E70BE3" w:rsidRPr="00067A18">
          <w:rPr>
            <w:rStyle w:val="Hyperlink"/>
          </w:rPr>
          <w:t>Part 1: Australian content transmission</w:t>
        </w:r>
        <w:r w:rsidR="00E70BE3">
          <w:rPr>
            <w:webHidden/>
          </w:rPr>
          <w:tab/>
        </w:r>
        <w:r w:rsidR="00E70BE3">
          <w:rPr>
            <w:webHidden/>
          </w:rPr>
          <w:fldChar w:fldCharType="begin"/>
        </w:r>
        <w:r w:rsidR="00E70BE3">
          <w:rPr>
            <w:webHidden/>
          </w:rPr>
          <w:instrText xml:space="preserve"> PAGEREF _Toc112835077 \h </w:instrText>
        </w:r>
        <w:r w:rsidR="00E70BE3">
          <w:rPr>
            <w:webHidden/>
          </w:rPr>
        </w:r>
        <w:r w:rsidR="00E70BE3">
          <w:rPr>
            <w:webHidden/>
          </w:rPr>
          <w:fldChar w:fldCharType="separate"/>
        </w:r>
        <w:r w:rsidR="00E70BE3">
          <w:rPr>
            <w:webHidden/>
          </w:rPr>
          <w:t>2</w:t>
        </w:r>
        <w:r w:rsidR="00E70BE3">
          <w:rPr>
            <w:webHidden/>
          </w:rPr>
          <w:fldChar w:fldCharType="end"/>
        </w:r>
      </w:hyperlink>
    </w:p>
    <w:p w14:paraId="7907C7D8" w14:textId="30A3E337" w:rsidR="00E70BE3" w:rsidRDefault="002C3076">
      <w:pPr>
        <w:pStyle w:val="TOC2"/>
        <w:rPr>
          <w:rFonts w:asciiTheme="minorHAnsi" w:eastAsiaTheme="minorEastAsia" w:hAnsiTheme="minorHAnsi" w:cstheme="minorBidi"/>
          <w:spacing w:val="0"/>
          <w:sz w:val="22"/>
          <w:szCs w:val="22"/>
        </w:rPr>
      </w:pPr>
      <w:hyperlink w:anchor="_Toc112835078" w:history="1">
        <w:r w:rsidR="00E70BE3" w:rsidRPr="00067A18">
          <w:rPr>
            <w:rStyle w:val="Hyperlink"/>
          </w:rPr>
          <w:t>Compliance obligations – transmission quotas</w:t>
        </w:r>
        <w:r w:rsidR="00E70BE3">
          <w:rPr>
            <w:webHidden/>
          </w:rPr>
          <w:tab/>
        </w:r>
        <w:r w:rsidR="00E70BE3">
          <w:rPr>
            <w:webHidden/>
          </w:rPr>
          <w:fldChar w:fldCharType="begin"/>
        </w:r>
        <w:r w:rsidR="00E70BE3">
          <w:rPr>
            <w:webHidden/>
          </w:rPr>
          <w:instrText xml:space="preserve"> PAGEREF _Toc112835078 \h </w:instrText>
        </w:r>
        <w:r w:rsidR="00E70BE3">
          <w:rPr>
            <w:webHidden/>
          </w:rPr>
        </w:r>
        <w:r w:rsidR="00E70BE3">
          <w:rPr>
            <w:webHidden/>
          </w:rPr>
          <w:fldChar w:fldCharType="separate"/>
        </w:r>
        <w:r w:rsidR="00E70BE3">
          <w:rPr>
            <w:webHidden/>
          </w:rPr>
          <w:t>2</w:t>
        </w:r>
        <w:r w:rsidR="00E70BE3">
          <w:rPr>
            <w:webHidden/>
          </w:rPr>
          <w:fldChar w:fldCharType="end"/>
        </w:r>
      </w:hyperlink>
    </w:p>
    <w:p w14:paraId="3A8A943E" w14:textId="7FBD140A" w:rsidR="00E70BE3" w:rsidRDefault="002C3076">
      <w:pPr>
        <w:pStyle w:val="TOC2"/>
        <w:rPr>
          <w:rFonts w:asciiTheme="minorHAnsi" w:eastAsiaTheme="minorEastAsia" w:hAnsiTheme="minorHAnsi" w:cstheme="minorBidi"/>
          <w:spacing w:val="0"/>
          <w:sz w:val="22"/>
          <w:szCs w:val="22"/>
        </w:rPr>
      </w:pPr>
      <w:hyperlink w:anchor="_Toc112835079" w:history="1">
        <w:r w:rsidR="00E70BE3" w:rsidRPr="00067A18">
          <w:rPr>
            <w:rStyle w:val="Hyperlink"/>
          </w:rPr>
          <w:t>Primary channel by network, 2012 to 2021</w:t>
        </w:r>
        <w:r w:rsidR="00E70BE3">
          <w:rPr>
            <w:webHidden/>
          </w:rPr>
          <w:tab/>
        </w:r>
        <w:r w:rsidR="00E70BE3">
          <w:rPr>
            <w:webHidden/>
          </w:rPr>
          <w:fldChar w:fldCharType="begin"/>
        </w:r>
        <w:r w:rsidR="00E70BE3">
          <w:rPr>
            <w:webHidden/>
          </w:rPr>
          <w:instrText xml:space="preserve"> PAGEREF _Toc112835079 \h </w:instrText>
        </w:r>
        <w:r w:rsidR="00E70BE3">
          <w:rPr>
            <w:webHidden/>
          </w:rPr>
        </w:r>
        <w:r w:rsidR="00E70BE3">
          <w:rPr>
            <w:webHidden/>
          </w:rPr>
          <w:fldChar w:fldCharType="separate"/>
        </w:r>
        <w:r w:rsidR="00E70BE3">
          <w:rPr>
            <w:webHidden/>
          </w:rPr>
          <w:t>2</w:t>
        </w:r>
        <w:r w:rsidR="00E70BE3">
          <w:rPr>
            <w:webHidden/>
          </w:rPr>
          <w:fldChar w:fldCharType="end"/>
        </w:r>
      </w:hyperlink>
    </w:p>
    <w:p w14:paraId="7165E237" w14:textId="71863894" w:rsidR="00E70BE3" w:rsidRDefault="002C3076">
      <w:pPr>
        <w:pStyle w:val="TOC3"/>
        <w:rPr>
          <w:rFonts w:asciiTheme="minorHAnsi" w:eastAsiaTheme="minorEastAsia" w:hAnsiTheme="minorHAnsi" w:cstheme="minorBidi"/>
        </w:rPr>
      </w:pPr>
      <w:hyperlink w:anchor="_Toc112835080" w:history="1">
        <w:r w:rsidR="00E70BE3" w:rsidRPr="00067A18">
          <w:rPr>
            <w:rStyle w:val="Hyperlink"/>
          </w:rPr>
          <w:t>Non-primary channel by network, 2013 to 2021</w:t>
        </w:r>
        <w:r w:rsidR="00E70BE3">
          <w:rPr>
            <w:webHidden/>
          </w:rPr>
          <w:tab/>
        </w:r>
        <w:r w:rsidR="00E70BE3">
          <w:rPr>
            <w:webHidden/>
          </w:rPr>
          <w:fldChar w:fldCharType="begin"/>
        </w:r>
        <w:r w:rsidR="00E70BE3">
          <w:rPr>
            <w:webHidden/>
          </w:rPr>
          <w:instrText xml:space="preserve"> PAGEREF _Toc112835080 \h </w:instrText>
        </w:r>
        <w:r w:rsidR="00E70BE3">
          <w:rPr>
            <w:webHidden/>
          </w:rPr>
        </w:r>
        <w:r w:rsidR="00E70BE3">
          <w:rPr>
            <w:webHidden/>
          </w:rPr>
          <w:fldChar w:fldCharType="separate"/>
        </w:r>
        <w:r w:rsidR="00E70BE3">
          <w:rPr>
            <w:webHidden/>
          </w:rPr>
          <w:t>3</w:t>
        </w:r>
        <w:r w:rsidR="00E70BE3">
          <w:rPr>
            <w:webHidden/>
          </w:rPr>
          <w:fldChar w:fldCharType="end"/>
        </w:r>
      </w:hyperlink>
    </w:p>
    <w:p w14:paraId="6CA4540F" w14:textId="7F225806" w:rsidR="00E70BE3" w:rsidRDefault="002C3076">
      <w:pPr>
        <w:pStyle w:val="TOC1"/>
        <w:rPr>
          <w:rFonts w:asciiTheme="minorHAnsi" w:eastAsiaTheme="minorEastAsia" w:hAnsiTheme="minorHAnsi" w:cstheme="minorBidi"/>
          <w:b w:val="0"/>
          <w:spacing w:val="0"/>
          <w:sz w:val="22"/>
          <w:szCs w:val="22"/>
        </w:rPr>
      </w:pPr>
      <w:hyperlink w:anchor="_Toc112835081" w:history="1">
        <w:r w:rsidR="00E70BE3" w:rsidRPr="00067A18">
          <w:rPr>
            <w:rStyle w:val="Hyperlink"/>
          </w:rPr>
          <w:t>Part 2: First release Australian program points quota</w:t>
        </w:r>
        <w:r w:rsidR="00E70BE3">
          <w:rPr>
            <w:webHidden/>
          </w:rPr>
          <w:tab/>
        </w:r>
        <w:r w:rsidR="00E70BE3">
          <w:rPr>
            <w:webHidden/>
          </w:rPr>
          <w:fldChar w:fldCharType="begin"/>
        </w:r>
        <w:r w:rsidR="00E70BE3">
          <w:rPr>
            <w:webHidden/>
          </w:rPr>
          <w:instrText xml:space="preserve"> PAGEREF _Toc112835081 \h </w:instrText>
        </w:r>
        <w:r w:rsidR="00E70BE3">
          <w:rPr>
            <w:webHidden/>
          </w:rPr>
        </w:r>
        <w:r w:rsidR="00E70BE3">
          <w:rPr>
            <w:webHidden/>
          </w:rPr>
          <w:fldChar w:fldCharType="separate"/>
        </w:r>
        <w:r w:rsidR="00E70BE3">
          <w:rPr>
            <w:webHidden/>
          </w:rPr>
          <w:t>4</w:t>
        </w:r>
        <w:r w:rsidR="00E70BE3">
          <w:rPr>
            <w:webHidden/>
          </w:rPr>
          <w:fldChar w:fldCharType="end"/>
        </w:r>
      </w:hyperlink>
    </w:p>
    <w:p w14:paraId="7739BBDB" w14:textId="5EAB61F9" w:rsidR="00E70BE3" w:rsidRDefault="002C3076">
      <w:pPr>
        <w:pStyle w:val="TOC2"/>
        <w:rPr>
          <w:rFonts w:asciiTheme="minorHAnsi" w:eastAsiaTheme="minorEastAsia" w:hAnsiTheme="minorHAnsi" w:cstheme="minorBidi"/>
          <w:spacing w:val="0"/>
          <w:sz w:val="22"/>
          <w:szCs w:val="22"/>
        </w:rPr>
      </w:pPr>
      <w:hyperlink w:anchor="_Toc112835082" w:history="1">
        <w:r w:rsidR="00E70BE3" w:rsidRPr="00067A18">
          <w:rPr>
            <w:rStyle w:val="Hyperlink"/>
          </w:rPr>
          <w:t>Compliance obligations – points quota</w:t>
        </w:r>
        <w:r w:rsidR="00E70BE3">
          <w:rPr>
            <w:webHidden/>
          </w:rPr>
          <w:tab/>
        </w:r>
        <w:r w:rsidR="00E70BE3">
          <w:rPr>
            <w:webHidden/>
          </w:rPr>
          <w:fldChar w:fldCharType="begin"/>
        </w:r>
        <w:r w:rsidR="00E70BE3">
          <w:rPr>
            <w:webHidden/>
          </w:rPr>
          <w:instrText xml:space="preserve"> PAGEREF _Toc112835082 \h </w:instrText>
        </w:r>
        <w:r w:rsidR="00E70BE3">
          <w:rPr>
            <w:webHidden/>
          </w:rPr>
        </w:r>
        <w:r w:rsidR="00E70BE3">
          <w:rPr>
            <w:webHidden/>
          </w:rPr>
          <w:fldChar w:fldCharType="separate"/>
        </w:r>
        <w:r w:rsidR="00E70BE3">
          <w:rPr>
            <w:webHidden/>
          </w:rPr>
          <w:t>4</w:t>
        </w:r>
        <w:r w:rsidR="00E70BE3">
          <w:rPr>
            <w:webHidden/>
          </w:rPr>
          <w:fldChar w:fldCharType="end"/>
        </w:r>
      </w:hyperlink>
    </w:p>
    <w:p w14:paraId="7CE8BCDC" w14:textId="6A8BC36C" w:rsidR="00E70BE3" w:rsidRDefault="002C3076">
      <w:pPr>
        <w:pStyle w:val="TOC2"/>
        <w:rPr>
          <w:rFonts w:asciiTheme="minorHAnsi" w:eastAsiaTheme="minorEastAsia" w:hAnsiTheme="minorHAnsi" w:cstheme="minorBidi"/>
          <w:spacing w:val="0"/>
          <w:sz w:val="22"/>
          <w:szCs w:val="22"/>
        </w:rPr>
      </w:pPr>
      <w:hyperlink w:anchor="_Toc112835083" w:history="1">
        <w:r w:rsidR="00E70BE3" w:rsidRPr="00067A18">
          <w:rPr>
            <w:rStyle w:val="Hyperlink"/>
          </w:rPr>
          <w:t>First release Australian drama (hours)</w:t>
        </w:r>
        <w:r w:rsidR="00E70BE3">
          <w:rPr>
            <w:webHidden/>
          </w:rPr>
          <w:tab/>
        </w:r>
        <w:r w:rsidR="00E70BE3">
          <w:rPr>
            <w:webHidden/>
          </w:rPr>
          <w:fldChar w:fldCharType="begin"/>
        </w:r>
        <w:r w:rsidR="00E70BE3">
          <w:rPr>
            <w:webHidden/>
          </w:rPr>
          <w:instrText xml:space="preserve"> PAGEREF _Toc112835083 \h </w:instrText>
        </w:r>
        <w:r w:rsidR="00E70BE3">
          <w:rPr>
            <w:webHidden/>
          </w:rPr>
        </w:r>
        <w:r w:rsidR="00E70BE3">
          <w:rPr>
            <w:webHidden/>
          </w:rPr>
          <w:fldChar w:fldCharType="separate"/>
        </w:r>
        <w:r w:rsidR="00E70BE3">
          <w:rPr>
            <w:webHidden/>
          </w:rPr>
          <w:t>5</w:t>
        </w:r>
        <w:r w:rsidR="00E70BE3">
          <w:rPr>
            <w:webHidden/>
          </w:rPr>
          <w:fldChar w:fldCharType="end"/>
        </w:r>
      </w:hyperlink>
    </w:p>
    <w:p w14:paraId="07A25151" w14:textId="2559ECEB" w:rsidR="00E70BE3" w:rsidRDefault="002C3076">
      <w:pPr>
        <w:pStyle w:val="TOC3"/>
        <w:rPr>
          <w:rFonts w:asciiTheme="minorHAnsi" w:eastAsiaTheme="minorEastAsia" w:hAnsiTheme="minorHAnsi" w:cstheme="minorBidi"/>
        </w:rPr>
      </w:pPr>
      <w:hyperlink w:anchor="_Toc112835084" w:history="1">
        <w:r w:rsidR="00E70BE3" w:rsidRPr="00067A18">
          <w:rPr>
            <w:rStyle w:val="Hyperlink"/>
          </w:rPr>
          <w:t>First release Australian children’s drama (hours)</w:t>
        </w:r>
        <w:r w:rsidR="00E70BE3">
          <w:rPr>
            <w:webHidden/>
          </w:rPr>
          <w:tab/>
        </w:r>
        <w:r w:rsidR="00E70BE3">
          <w:rPr>
            <w:webHidden/>
          </w:rPr>
          <w:fldChar w:fldCharType="begin"/>
        </w:r>
        <w:r w:rsidR="00E70BE3">
          <w:rPr>
            <w:webHidden/>
          </w:rPr>
          <w:instrText xml:space="preserve"> PAGEREF _Toc112835084 \h </w:instrText>
        </w:r>
        <w:r w:rsidR="00E70BE3">
          <w:rPr>
            <w:webHidden/>
          </w:rPr>
        </w:r>
        <w:r w:rsidR="00E70BE3">
          <w:rPr>
            <w:webHidden/>
          </w:rPr>
          <w:fldChar w:fldCharType="separate"/>
        </w:r>
        <w:r w:rsidR="00E70BE3">
          <w:rPr>
            <w:webHidden/>
          </w:rPr>
          <w:t>6</w:t>
        </w:r>
        <w:r w:rsidR="00E70BE3">
          <w:rPr>
            <w:webHidden/>
          </w:rPr>
          <w:fldChar w:fldCharType="end"/>
        </w:r>
      </w:hyperlink>
    </w:p>
    <w:p w14:paraId="79163A9B" w14:textId="2E2EE98C" w:rsidR="00E70BE3" w:rsidRDefault="002C3076">
      <w:pPr>
        <w:pStyle w:val="TOC3"/>
        <w:rPr>
          <w:rFonts w:asciiTheme="minorHAnsi" w:eastAsiaTheme="minorEastAsia" w:hAnsiTheme="minorHAnsi" w:cstheme="minorBidi"/>
        </w:rPr>
      </w:pPr>
      <w:hyperlink w:anchor="_Toc112835085" w:history="1">
        <w:r w:rsidR="00E70BE3" w:rsidRPr="00067A18">
          <w:rPr>
            <w:rStyle w:val="Hyperlink"/>
          </w:rPr>
          <w:t>First release Australian children’s programs (including drama)</w:t>
        </w:r>
        <w:r w:rsidR="00E70BE3">
          <w:rPr>
            <w:webHidden/>
          </w:rPr>
          <w:tab/>
        </w:r>
        <w:r w:rsidR="00E70BE3">
          <w:rPr>
            <w:webHidden/>
          </w:rPr>
          <w:fldChar w:fldCharType="begin"/>
        </w:r>
        <w:r w:rsidR="00E70BE3">
          <w:rPr>
            <w:webHidden/>
          </w:rPr>
          <w:instrText xml:space="preserve"> PAGEREF _Toc112835085 \h </w:instrText>
        </w:r>
        <w:r w:rsidR="00E70BE3">
          <w:rPr>
            <w:webHidden/>
          </w:rPr>
        </w:r>
        <w:r w:rsidR="00E70BE3">
          <w:rPr>
            <w:webHidden/>
          </w:rPr>
          <w:fldChar w:fldCharType="separate"/>
        </w:r>
        <w:r w:rsidR="00E70BE3">
          <w:rPr>
            <w:webHidden/>
          </w:rPr>
          <w:t>7</w:t>
        </w:r>
        <w:r w:rsidR="00E70BE3">
          <w:rPr>
            <w:webHidden/>
          </w:rPr>
          <w:fldChar w:fldCharType="end"/>
        </w:r>
      </w:hyperlink>
    </w:p>
    <w:p w14:paraId="64D356A0" w14:textId="6E051F83" w:rsidR="00E70BE3" w:rsidRDefault="002C3076">
      <w:pPr>
        <w:pStyle w:val="TOC3"/>
        <w:rPr>
          <w:rFonts w:asciiTheme="minorHAnsi" w:eastAsiaTheme="minorEastAsia" w:hAnsiTheme="minorHAnsi" w:cstheme="minorBidi"/>
        </w:rPr>
      </w:pPr>
      <w:hyperlink w:anchor="_Toc112835086" w:history="1">
        <w:r w:rsidR="00E70BE3" w:rsidRPr="00067A18">
          <w:rPr>
            <w:rStyle w:val="Hyperlink"/>
          </w:rPr>
          <w:t>First release Australian documentary (hours)</w:t>
        </w:r>
        <w:r w:rsidR="00E70BE3">
          <w:rPr>
            <w:webHidden/>
          </w:rPr>
          <w:tab/>
        </w:r>
        <w:r w:rsidR="00E70BE3">
          <w:rPr>
            <w:webHidden/>
          </w:rPr>
          <w:fldChar w:fldCharType="begin"/>
        </w:r>
        <w:r w:rsidR="00E70BE3">
          <w:rPr>
            <w:webHidden/>
          </w:rPr>
          <w:instrText xml:space="preserve"> PAGEREF _Toc112835086 \h </w:instrText>
        </w:r>
        <w:r w:rsidR="00E70BE3">
          <w:rPr>
            <w:webHidden/>
          </w:rPr>
        </w:r>
        <w:r w:rsidR="00E70BE3">
          <w:rPr>
            <w:webHidden/>
          </w:rPr>
          <w:fldChar w:fldCharType="separate"/>
        </w:r>
        <w:r w:rsidR="00E70BE3">
          <w:rPr>
            <w:webHidden/>
          </w:rPr>
          <w:t>8</w:t>
        </w:r>
        <w:r w:rsidR="00E70BE3">
          <w:rPr>
            <w:webHidden/>
          </w:rPr>
          <w:fldChar w:fldCharType="end"/>
        </w:r>
      </w:hyperlink>
    </w:p>
    <w:p w14:paraId="1AAF1DF5" w14:textId="2778045F" w:rsidR="00E70BE3" w:rsidRDefault="002C3076">
      <w:pPr>
        <w:pStyle w:val="TOC3"/>
        <w:rPr>
          <w:rFonts w:asciiTheme="minorHAnsi" w:eastAsiaTheme="minorEastAsia" w:hAnsiTheme="minorHAnsi" w:cstheme="minorBidi"/>
        </w:rPr>
      </w:pPr>
      <w:hyperlink w:anchor="_Toc112835087" w:history="1">
        <w:r w:rsidR="00E70BE3" w:rsidRPr="00067A18">
          <w:rPr>
            <w:rStyle w:val="Hyperlink"/>
          </w:rPr>
          <w:t>First release acquired Australian films (hours)</w:t>
        </w:r>
        <w:r w:rsidR="00E70BE3">
          <w:rPr>
            <w:webHidden/>
          </w:rPr>
          <w:tab/>
        </w:r>
        <w:r w:rsidR="00E70BE3">
          <w:rPr>
            <w:webHidden/>
          </w:rPr>
          <w:fldChar w:fldCharType="begin"/>
        </w:r>
        <w:r w:rsidR="00E70BE3">
          <w:rPr>
            <w:webHidden/>
          </w:rPr>
          <w:instrText xml:space="preserve"> PAGEREF _Toc112835087 \h </w:instrText>
        </w:r>
        <w:r w:rsidR="00E70BE3">
          <w:rPr>
            <w:webHidden/>
          </w:rPr>
        </w:r>
        <w:r w:rsidR="00E70BE3">
          <w:rPr>
            <w:webHidden/>
          </w:rPr>
          <w:fldChar w:fldCharType="separate"/>
        </w:r>
        <w:r w:rsidR="00E70BE3">
          <w:rPr>
            <w:webHidden/>
          </w:rPr>
          <w:t>9</w:t>
        </w:r>
        <w:r w:rsidR="00E70BE3">
          <w:rPr>
            <w:webHidden/>
          </w:rPr>
          <w:fldChar w:fldCharType="end"/>
        </w:r>
      </w:hyperlink>
    </w:p>
    <w:p w14:paraId="4B1CEDB6" w14:textId="7B385A85" w:rsidR="00E70BE3" w:rsidRDefault="002C3076">
      <w:pPr>
        <w:pStyle w:val="TOC3"/>
        <w:rPr>
          <w:rFonts w:asciiTheme="minorHAnsi" w:eastAsiaTheme="minorEastAsia" w:hAnsiTheme="minorHAnsi" w:cstheme="minorBidi"/>
        </w:rPr>
      </w:pPr>
      <w:hyperlink w:anchor="_Toc112835088" w:history="1">
        <w:r w:rsidR="00E70BE3" w:rsidRPr="00067A18">
          <w:rPr>
            <w:rStyle w:val="Hyperlink"/>
          </w:rPr>
          <w:t>New Zealand drama (hours)</w:t>
        </w:r>
        <w:r w:rsidR="00E70BE3">
          <w:rPr>
            <w:webHidden/>
          </w:rPr>
          <w:tab/>
        </w:r>
        <w:r w:rsidR="00E70BE3">
          <w:rPr>
            <w:webHidden/>
          </w:rPr>
          <w:fldChar w:fldCharType="begin"/>
        </w:r>
        <w:r w:rsidR="00E70BE3">
          <w:rPr>
            <w:webHidden/>
          </w:rPr>
          <w:instrText xml:space="preserve"> PAGEREF _Toc112835088 \h </w:instrText>
        </w:r>
        <w:r w:rsidR="00E70BE3">
          <w:rPr>
            <w:webHidden/>
          </w:rPr>
        </w:r>
        <w:r w:rsidR="00E70BE3">
          <w:rPr>
            <w:webHidden/>
          </w:rPr>
          <w:fldChar w:fldCharType="separate"/>
        </w:r>
        <w:r w:rsidR="00E70BE3">
          <w:rPr>
            <w:webHidden/>
          </w:rPr>
          <w:t>10</w:t>
        </w:r>
        <w:r w:rsidR="00E70BE3">
          <w:rPr>
            <w:webHidden/>
          </w:rPr>
          <w:fldChar w:fldCharType="end"/>
        </w:r>
      </w:hyperlink>
    </w:p>
    <w:p w14:paraId="2FD83151" w14:textId="2127F09A" w:rsidR="00E70BE3" w:rsidRDefault="002C3076">
      <w:pPr>
        <w:pStyle w:val="TOC1"/>
        <w:rPr>
          <w:rFonts w:asciiTheme="minorHAnsi" w:eastAsiaTheme="minorEastAsia" w:hAnsiTheme="minorHAnsi" w:cstheme="minorBidi"/>
          <w:b w:val="0"/>
          <w:spacing w:val="0"/>
          <w:sz w:val="22"/>
          <w:szCs w:val="22"/>
        </w:rPr>
      </w:pPr>
      <w:hyperlink w:anchor="_Toc112835089" w:history="1">
        <w:r w:rsidR="00E70BE3" w:rsidRPr="00067A18">
          <w:rPr>
            <w:rStyle w:val="Hyperlink"/>
          </w:rPr>
          <w:t>Part 3: Expenditure on Australian drama</w:t>
        </w:r>
        <w:r w:rsidR="00E70BE3">
          <w:rPr>
            <w:webHidden/>
          </w:rPr>
          <w:tab/>
        </w:r>
        <w:r w:rsidR="00E70BE3">
          <w:rPr>
            <w:webHidden/>
          </w:rPr>
          <w:fldChar w:fldCharType="begin"/>
        </w:r>
        <w:r w:rsidR="00E70BE3">
          <w:rPr>
            <w:webHidden/>
          </w:rPr>
          <w:instrText xml:space="preserve"> PAGEREF _Toc112835089 \h </w:instrText>
        </w:r>
        <w:r w:rsidR="00E70BE3">
          <w:rPr>
            <w:webHidden/>
          </w:rPr>
        </w:r>
        <w:r w:rsidR="00E70BE3">
          <w:rPr>
            <w:webHidden/>
          </w:rPr>
          <w:fldChar w:fldCharType="separate"/>
        </w:r>
        <w:r w:rsidR="00E70BE3">
          <w:rPr>
            <w:webHidden/>
          </w:rPr>
          <w:t>11</w:t>
        </w:r>
        <w:r w:rsidR="00E70BE3">
          <w:rPr>
            <w:webHidden/>
          </w:rPr>
          <w:fldChar w:fldCharType="end"/>
        </w:r>
      </w:hyperlink>
    </w:p>
    <w:p w14:paraId="13E8ADDF" w14:textId="4A9A6DDA" w:rsidR="00E70BE3" w:rsidRDefault="002C3076">
      <w:pPr>
        <w:pStyle w:val="TOC1"/>
        <w:rPr>
          <w:rFonts w:asciiTheme="minorHAnsi" w:eastAsiaTheme="minorEastAsia" w:hAnsiTheme="minorHAnsi" w:cstheme="minorBidi"/>
          <w:b w:val="0"/>
          <w:spacing w:val="0"/>
          <w:sz w:val="22"/>
          <w:szCs w:val="22"/>
        </w:rPr>
      </w:pPr>
      <w:hyperlink w:anchor="_Toc112835090" w:history="1">
        <w:r w:rsidR="00E70BE3" w:rsidRPr="00067A18">
          <w:rPr>
            <w:rStyle w:val="Hyperlink"/>
          </w:rPr>
          <w:t>Appendix A: Comparison of annual Australian content obligations under the ACCTS versus the ACS/CTS</w:t>
        </w:r>
        <w:r w:rsidR="00E70BE3">
          <w:rPr>
            <w:webHidden/>
          </w:rPr>
          <w:tab/>
        </w:r>
        <w:r w:rsidR="00E70BE3">
          <w:rPr>
            <w:webHidden/>
          </w:rPr>
          <w:fldChar w:fldCharType="begin"/>
        </w:r>
        <w:r w:rsidR="00E70BE3">
          <w:rPr>
            <w:webHidden/>
          </w:rPr>
          <w:instrText xml:space="preserve"> PAGEREF _Toc112835090 \h </w:instrText>
        </w:r>
        <w:r w:rsidR="00E70BE3">
          <w:rPr>
            <w:webHidden/>
          </w:rPr>
        </w:r>
        <w:r w:rsidR="00E70BE3">
          <w:rPr>
            <w:webHidden/>
          </w:rPr>
          <w:fldChar w:fldCharType="separate"/>
        </w:r>
        <w:r w:rsidR="00E70BE3">
          <w:rPr>
            <w:webHidden/>
          </w:rPr>
          <w:t>12</w:t>
        </w:r>
        <w:r w:rsidR="00E70BE3">
          <w:rPr>
            <w:webHidden/>
          </w:rPr>
          <w:fldChar w:fldCharType="end"/>
        </w:r>
      </w:hyperlink>
    </w:p>
    <w:p w14:paraId="54C3AC39" w14:textId="6062F563" w:rsidR="004D56FF" w:rsidRPr="00A17B1B" w:rsidRDefault="00DF0799">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A17B1B">
        <w:rPr>
          <w:rFonts w:cs="Arial"/>
        </w:rPr>
        <w:fldChar w:fldCharType="end"/>
      </w:r>
    </w:p>
    <w:p w14:paraId="71B2E3EA" w14:textId="77777777" w:rsidR="009D6C71" w:rsidRPr="00A17B1B" w:rsidRDefault="009D6C71" w:rsidP="009174F3">
      <w:pPr>
        <w:pStyle w:val="Execsummaryheading"/>
      </w:pPr>
      <w:bookmarkStart w:id="0" w:name="_Toc112835076"/>
      <w:r w:rsidRPr="00A17B1B">
        <w:lastRenderedPageBreak/>
        <w:t>Executive summary</w:t>
      </w:r>
      <w:bookmarkEnd w:id="0"/>
    </w:p>
    <w:p w14:paraId="4BEC24A3" w14:textId="4CA30AB7" w:rsidR="00A4450A" w:rsidRDefault="00A4450A" w:rsidP="00F61C77">
      <w:pPr>
        <w:pStyle w:val="Paragraph"/>
      </w:pPr>
      <w:r>
        <w:t>Commercial television licensees in Australia are required to meet certain minimum standards for the broadcast of Australian content. Each year</w:t>
      </w:r>
      <w:r w:rsidR="00DE1A77">
        <w:t>,</w:t>
      </w:r>
      <w:r>
        <w:t xml:space="preserve"> licensees report to the Australian Communications and Media Authority (ACMA) on their compliance with those minimum standards. The ACMA publishes the annual results on its </w:t>
      </w:r>
      <w:hyperlink r:id="rId24" w:history="1">
        <w:r w:rsidRPr="00EA2FCB">
          <w:rPr>
            <w:rStyle w:val="Hyperlink"/>
          </w:rPr>
          <w:t>website</w:t>
        </w:r>
      </w:hyperlink>
      <w:r>
        <w:t xml:space="preserve">. </w:t>
      </w:r>
    </w:p>
    <w:p w14:paraId="27FF6FB5" w14:textId="1C29B706" w:rsidR="00A4450A" w:rsidRDefault="00A4450A" w:rsidP="008D5083">
      <w:pPr>
        <w:pStyle w:val="Paragraphbeforelist"/>
      </w:pPr>
      <w:r>
        <w:t xml:space="preserve">The minimum standards are: </w:t>
      </w:r>
    </w:p>
    <w:p w14:paraId="3D98A918" w14:textId="25DEE387" w:rsidR="00A4450A" w:rsidRPr="00A4450A" w:rsidRDefault="00A4450A" w:rsidP="008D5083">
      <w:pPr>
        <w:pStyle w:val="Numberlistlevel1"/>
      </w:pPr>
      <w:r w:rsidRPr="00A4450A">
        <w:t>the Australian content transmission quotas</w:t>
      </w:r>
      <w:r w:rsidR="00DE1A77">
        <w:t>,</w:t>
      </w:r>
      <w:r w:rsidRPr="00A4450A">
        <w:t xml:space="preserve"> required by section 121G of the </w:t>
      </w:r>
      <w:r w:rsidRPr="00A4450A">
        <w:rPr>
          <w:i/>
          <w:iCs/>
        </w:rPr>
        <w:t>Broadcasting Services Act 1992</w:t>
      </w:r>
      <w:r w:rsidRPr="00A4450A">
        <w:t xml:space="preserve"> (BSA) – the transmission quotas </w:t>
      </w:r>
    </w:p>
    <w:p w14:paraId="249BC487" w14:textId="0D75A2AE" w:rsidR="00A4450A" w:rsidRPr="00A4450A" w:rsidRDefault="00A4450A" w:rsidP="008D5083">
      <w:pPr>
        <w:pStyle w:val="Numberlistlast"/>
      </w:pPr>
      <w:r w:rsidRPr="00A4450A">
        <w:t xml:space="preserve">the new </w:t>
      </w:r>
      <w:r w:rsidR="00E6313C">
        <w:t>first release</w:t>
      </w:r>
      <w:r w:rsidRPr="00A4450A">
        <w:t xml:space="preserve"> Australian program points quotas</w:t>
      </w:r>
      <w:r w:rsidR="00DE1A77">
        <w:t>,</w:t>
      </w:r>
      <w:r w:rsidRPr="00A4450A">
        <w:t xml:space="preserve"> required by the Broadcasting Services (Australian Content and Children’s Television) Standards 2020 (ACCTS) – the points quota.</w:t>
      </w:r>
    </w:p>
    <w:p w14:paraId="3DA451DE" w14:textId="77777777" w:rsidR="00A4450A" w:rsidRDefault="00A4450A" w:rsidP="00F61C77">
      <w:pPr>
        <w:pStyle w:val="Paragraph"/>
      </w:pPr>
      <w:r>
        <w:t xml:space="preserve">While the BSA transmission quota obligations have been long standing, the ACCTS points quota is new and came into effect on 1 January 2021. As such, 2021 is the first year of reporting under the ACCTS. </w:t>
      </w:r>
    </w:p>
    <w:p w14:paraId="38A32CBA" w14:textId="74EEB37E" w:rsidR="00362675" w:rsidRDefault="00A4450A" w:rsidP="00A4450A">
      <w:pPr>
        <w:pStyle w:val="Paragraph"/>
      </w:pPr>
      <w:r>
        <w:t xml:space="preserve">The ACCTS consolidated and replaced the </w:t>
      </w:r>
      <w:r w:rsidRPr="008D5083">
        <w:rPr>
          <w:iCs/>
        </w:rPr>
        <w:t>Broadcasting Services (Australian Content) Standard 2016</w:t>
      </w:r>
      <w:r w:rsidRPr="00DE1A77">
        <w:rPr>
          <w:iCs/>
        </w:rPr>
        <w:t xml:space="preserve"> </w:t>
      </w:r>
      <w:r w:rsidRPr="00A4450A">
        <w:t xml:space="preserve">(the ACS) and the </w:t>
      </w:r>
      <w:r w:rsidRPr="008D5083">
        <w:rPr>
          <w:iCs/>
        </w:rPr>
        <w:t>Children’s Television Standards 2009</w:t>
      </w:r>
      <w:r w:rsidRPr="00A4450A">
        <w:t xml:space="preserve"> (CTS)</w:t>
      </w:r>
      <w:r>
        <w:t xml:space="preserve">. The ACS and CTS </w:t>
      </w:r>
      <w:r w:rsidRPr="00A4450A">
        <w:t>set out format</w:t>
      </w:r>
      <w:r w:rsidR="00DE1A77">
        <w:t>-</w:t>
      </w:r>
      <w:r w:rsidRPr="00A4450A">
        <w:t>specific sub-quotas for Australian drama, children’s content (including Australian children’s drama)</w:t>
      </w:r>
      <w:r w:rsidR="00DE1A77">
        <w:t>,</w:t>
      </w:r>
      <w:r w:rsidRPr="00A4450A">
        <w:t xml:space="preserve"> and documentaries. </w:t>
      </w:r>
      <w:r w:rsidR="00362675">
        <w:t>In addition,</w:t>
      </w:r>
      <w:r w:rsidRPr="00A4450A">
        <w:t xml:space="preserve"> for Australian drama and Australian children’s drama,</w:t>
      </w:r>
      <w:r w:rsidR="00362675">
        <w:t xml:space="preserve"> they set out</w:t>
      </w:r>
      <w:r w:rsidRPr="00A4450A">
        <w:t xml:space="preserve"> triennial requirements.</w:t>
      </w:r>
      <w:r w:rsidR="00362675">
        <w:t xml:space="preserve"> </w:t>
      </w:r>
    </w:p>
    <w:p w14:paraId="60275A13" w14:textId="299E317D" w:rsidR="00B71E56" w:rsidRDefault="00362675" w:rsidP="00A4450A">
      <w:pPr>
        <w:pStyle w:val="Paragraph"/>
      </w:pPr>
      <w:r>
        <w:t>Like the ACCTS, the ACS and CTS ran on a points system.</w:t>
      </w:r>
    </w:p>
    <w:p w14:paraId="750C238A" w14:textId="77777777" w:rsidR="00DE1A77" w:rsidRPr="00B71E56" w:rsidRDefault="00DE1A77" w:rsidP="00DE1A77">
      <w:pPr>
        <w:pStyle w:val="Paragraph"/>
        <w:pBdr>
          <w:top w:val="single" w:sz="4" w:space="1" w:color="DCDCDC"/>
          <w:left w:val="single" w:sz="4" w:space="4" w:color="DCDCDC"/>
          <w:bottom w:val="single" w:sz="4" w:space="1" w:color="DCDCDC"/>
          <w:right w:val="single" w:sz="4" w:space="4" w:color="DCDCDC"/>
        </w:pBdr>
        <w:shd w:val="clear" w:color="auto" w:fill="F2F2F2" w:themeFill="background1" w:themeFillShade="F2"/>
        <w:spacing w:before="120" w:after="120"/>
        <w:rPr>
          <w:b/>
          <w:bCs/>
        </w:rPr>
      </w:pPr>
      <w:r w:rsidRPr="00B71E56">
        <w:rPr>
          <w:b/>
          <w:bCs/>
        </w:rPr>
        <w:t>Approach to comparing data</w:t>
      </w:r>
    </w:p>
    <w:p w14:paraId="6DBC5200" w14:textId="77777777" w:rsidR="00DE1A77" w:rsidRPr="00B71E56" w:rsidRDefault="00DE1A77" w:rsidP="00DE1A77">
      <w:pPr>
        <w:pStyle w:val="Paragraph"/>
        <w:pBdr>
          <w:top w:val="single" w:sz="4" w:space="1" w:color="DCDCDC"/>
          <w:left w:val="single" w:sz="4" w:space="4" w:color="DCDCDC"/>
          <w:bottom w:val="single" w:sz="4" w:space="1" w:color="DCDCDC"/>
          <w:right w:val="single" w:sz="4" w:space="4" w:color="DCDCDC"/>
        </w:pBdr>
        <w:shd w:val="clear" w:color="auto" w:fill="F2F2F2" w:themeFill="background1" w:themeFillShade="F2"/>
        <w:spacing w:before="120" w:after="120"/>
      </w:pPr>
      <w:r w:rsidRPr="00B71E56">
        <w:t xml:space="preserve">The 2021 ACCTS </w:t>
      </w:r>
      <w:r w:rsidRPr="00B71E56">
        <w:rPr>
          <w:i/>
          <w:iCs/>
        </w:rPr>
        <w:t>points quota</w:t>
      </w:r>
      <w:r w:rsidRPr="00B71E56">
        <w:t xml:space="preserve"> results for metro licensees cannot be directly compared to the 2020 results. This is because results under the previous standards and the ACCTS calibrate their respective quota points differently. For example, the new standard provides increased points for commissioned Australian drama programs with higher production budgets. </w:t>
      </w:r>
    </w:p>
    <w:p w14:paraId="6CA2C75A" w14:textId="442C79B1" w:rsidR="00DE1A77" w:rsidRPr="00B71E56" w:rsidRDefault="00DE1A77" w:rsidP="00DE1A77">
      <w:pPr>
        <w:pStyle w:val="Paragraph"/>
        <w:pBdr>
          <w:top w:val="single" w:sz="4" w:space="1" w:color="DCDCDC"/>
          <w:left w:val="single" w:sz="4" w:space="4" w:color="DCDCDC"/>
          <w:bottom w:val="single" w:sz="4" w:space="1" w:color="DCDCDC"/>
          <w:right w:val="single" w:sz="4" w:space="4" w:color="DCDCDC"/>
        </w:pBdr>
        <w:shd w:val="clear" w:color="auto" w:fill="F2F2F2" w:themeFill="background1" w:themeFillShade="F2"/>
        <w:spacing w:before="120" w:after="120"/>
      </w:pPr>
      <w:r w:rsidRPr="00B71E56">
        <w:t xml:space="preserve">The </w:t>
      </w:r>
      <w:r w:rsidRPr="00B71E56">
        <w:rPr>
          <w:i/>
          <w:iCs/>
        </w:rPr>
        <w:t>hours</w:t>
      </w:r>
      <w:r w:rsidRPr="00B71E56">
        <w:t xml:space="preserve"> of </w:t>
      </w:r>
      <w:r>
        <w:t>first release</w:t>
      </w:r>
      <w:r w:rsidRPr="00B71E56">
        <w:t xml:space="preserve"> Australian content broadcast to audiences for 2020 and 2021 claimed by licensees could be compared</w:t>
      </w:r>
      <w:r>
        <w:t>;</w:t>
      </w:r>
      <w:r w:rsidRPr="00B71E56">
        <w:t xml:space="preserve"> however, less categories of content can be claimed under the ACCTS so such a comparison </w:t>
      </w:r>
      <w:r>
        <w:t>may</w:t>
      </w:r>
      <w:r w:rsidRPr="00B71E56">
        <w:t xml:space="preserve"> be misleading. For example, broadcasters can no longer claim first release acquired programs (aside from Australian films).</w:t>
      </w:r>
    </w:p>
    <w:p w14:paraId="3BC6C38D" w14:textId="75C5E1E4" w:rsidR="00DE1A77" w:rsidRPr="00B71E56" w:rsidRDefault="00DE1A77" w:rsidP="00DE1A77">
      <w:pPr>
        <w:pStyle w:val="Paragraph"/>
        <w:pBdr>
          <w:top w:val="single" w:sz="4" w:space="1" w:color="DCDCDC"/>
          <w:left w:val="single" w:sz="4" w:space="4" w:color="DCDCDC"/>
          <w:bottom w:val="single" w:sz="4" w:space="1" w:color="DCDCDC"/>
          <w:right w:val="single" w:sz="4" w:space="4" w:color="DCDCDC"/>
        </w:pBdr>
        <w:shd w:val="clear" w:color="auto" w:fill="F2F2F2" w:themeFill="background1" w:themeFillShade="F2"/>
        <w:spacing w:before="120" w:after="120"/>
        <w:rPr>
          <w:b/>
          <w:bCs/>
        </w:rPr>
      </w:pPr>
      <w:r w:rsidRPr="00B71E56">
        <w:t>As the points scheme introduced by the ACCTS favours high</w:t>
      </w:r>
      <w:r>
        <w:t>-</w:t>
      </w:r>
      <w:r w:rsidRPr="00B71E56">
        <w:t xml:space="preserve">budget drama productions (including children’s drama), the overall high cost </w:t>
      </w:r>
      <w:r>
        <w:t xml:space="preserve">of </w:t>
      </w:r>
      <w:r w:rsidRPr="00B71E56">
        <w:t xml:space="preserve">these productions mean less hours are likely to be produced and </w:t>
      </w:r>
      <w:r>
        <w:t>claimed by licensees</w:t>
      </w:r>
      <w:r w:rsidRPr="00B71E56">
        <w:t>.</w:t>
      </w:r>
      <w:r w:rsidRPr="00B71E56">
        <w:rPr>
          <w:b/>
          <w:bCs/>
        </w:rPr>
        <w:t xml:space="preserve"> </w:t>
      </w:r>
    </w:p>
    <w:p w14:paraId="34DD5A9C" w14:textId="2D2530AC" w:rsidR="00DE1A77" w:rsidRDefault="00DE1A77" w:rsidP="00DE1A77">
      <w:pPr>
        <w:pStyle w:val="Paragraph"/>
        <w:pBdr>
          <w:top w:val="single" w:sz="4" w:space="1" w:color="DCDCDC"/>
          <w:left w:val="single" w:sz="4" w:space="4" w:color="DCDCDC"/>
          <w:bottom w:val="single" w:sz="4" w:space="1" w:color="DCDCDC"/>
          <w:right w:val="single" w:sz="4" w:space="4" w:color="DCDCDC"/>
        </w:pBdr>
        <w:shd w:val="clear" w:color="auto" w:fill="F2F2F2" w:themeFill="background1" w:themeFillShade="F2"/>
      </w:pPr>
      <w:r w:rsidRPr="00B71E56">
        <w:rPr>
          <w:b/>
          <w:bCs/>
        </w:rPr>
        <w:t>Appendix A</w:t>
      </w:r>
      <w:r w:rsidRPr="00B71E56">
        <w:t xml:space="preserve"> sets out the differences between the ACS/CTS and the ACCTS points quotas</w:t>
      </w:r>
      <w:r>
        <w:t>.</w:t>
      </w:r>
    </w:p>
    <w:p w14:paraId="780F3ECD" w14:textId="691BD784" w:rsidR="00362675" w:rsidRDefault="00362675" w:rsidP="008D5083">
      <w:pPr>
        <w:pStyle w:val="Paragraphbeforelist"/>
      </w:pPr>
      <w:r>
        <w:t xml:space="preserve">This paper </w:t>
      </w:r>
      <w:r w:rsidR="00DE1A77">
        <w:t>comprises</w:t>
      </w:r>
      <w:r w:rsidR="00E05E82">
        <w:t>:</w:t>
      </w:r>
    </w:p>
    <w:p w14:paraId="3188B9DD" w14:textId="0F199A84" w:rsidR="00B71E56" w:rsidRPr="00186D0C" w:rsidRDefault="00B71E56" w:rsidP="008D5083">
      <w:pPr>
        <w:pStyle w:val="Bulletlevel1"/>
      </w:pPr>
      <w:r w:rsidRPr="00186D0C">
        <w:rPr>
          <w:b/>
          <w:bCs/>
        </w:rPr>
        <w:t>Part 1</w:t>
      </w:r>
      <w:r w:rsidR="00DE1A77">
        <w:rPr>
          <w:b/>
          <w:bCs/>
        </w:rPr>
        <w:t>:</w:t>
      </w:r>
      <w:r w:rsidRPr="00186D0C">
        <w:rPr>
          <w:b/>
          <w:bCs/>
        </w:rPr>
        <w:t xml:space="preserve"> </w:t>
      </w:r>
      <w:r w:rsidR="00DE1A77">
        <w:t>t</w:t>
      </w:r>
      <w:r w:rsidRPr="00186D0C">
        <w:t>ransmission quota annual compliance results for commercial television networks from 2012 (primary channels) and 2013 (non-primary channels) to 2021</w:t>
      </w:r>
    </w:p>
    <w:p w14:paraId="654F0E2D" w14:textId="0C9D00E2" w:rsidR="00B71E56" w:rsidRPr="00186D0C" w:rsidRDefault="00B71E56" w:rsidP="008D5083">
      <w:pPr>
        <w:pStyle w:val="Bulletlevel1"/>
      </w:pPr>
      <w:r w:rsidRPr="00186D0C">
        <w:rPr>
          <w:b/>
          <w:bCs/>
        </w:rPr>
        <w:t>Part 2</w:t>
      </w:r>
      <w:r w:rsidR="00DE1A77">
        <w:rPr>
          <w:b/>
          <w:bCs/>
        </w:rPr>
        <w:t xml:space="preserve">: </w:t>
      </w:r>
      <w:r w:rsidR="00DE1A77">
        <w:t>t</w:t>
      </w:r>
      <w:r w:rsidR="00DE1A77" w:rsidRPr="00186D0C">
        <w:t xml:space="preserve">he </w:t>
      </w:r>
      <w:r w:rsidRPr="00186D0C">
        <w:rPr>
          <w:i/>
          <w:iCs/>
        </w:rPr>
        <w:t>hours</w:t>
      </w:r>
      <w:r w:rsidRPr="00186D0C">
        <w:t xml:space="preserve"> claimed as part of the annual points quota for first release of certain genres in the ACS/CTS or </w:t>
      </w:r>
      <w:r w:rsidR="00186D0C">
        <w:t xml:space="preserve">the </w:t>
      </w:r>
      <w:r w:rsidRPr="00186D0C">
        <w:t>ACCTS from 2012 to 2021</w:t>
      </w:r>
    </w:p>
    <w:p w14:paraId="6036CA02" w14:textId="51B33F2C" w:rsidR="00430C6A" w:rsidRDefault="00B71E56" w:rsidP="008D5083">
      <w:pPr>
        <w:pStyle w:val="Bulletlevel1"/>
      </w:pPr>
      <w:r w:rsidRPr="00186D0C">
        <w:rPr>
          <w:b/>
          <w:bCs/>
        </w:rPr>
        <w:t>Part 3</w:t>
      </w:r>
      <w:r w:rsidR="00DE1A77">
        <w:rPr>
          <w:b/>
          <w:bCs/>
        </w:rPr>
        <w:t xml:space="preserve">: </w:t>
      </w:r>
      <w:r w:rsidR="00DE1A77">
        <w:t>e</w:t>
      </w:r>
      <w:r w:rsidRPr="00186D0C">
        <w:t>xpenditure on Australian drama programs</w:t>
      </w:r>
      <w:r w:rsidR="00B25AC8">
        <w:t xml:space="preserve"> broadcast</w:t>
      </w:r>
      <w:r w:rsidRPr="00186D0C">
        <w:t xml:space="preserve"> from 2012</w:t>
      </w:r>
      <w:r w:rsidR="00DE1A77">
        <w:t>–</w:t>
      </w:r>
      <w:r w:rsidRPr="00186D0C">
        <w:t>13 FY to 2020</w:t>
      </w:r>
      <w:r w:rsidR="00DE1A77">
        <w:t>–</w:t>
      </w:r>
      <w:r w:rsidRPr="00186D0C">
        <w:t>21 FY.</w:t>
      </w:r>
      <w:r w:rsidR="00706398">
        <w:br w:type="page"/>
      </w:r>
    </w:p>
    <w:p w14:paraId="7679A09C" w14:textId="648B6289" w:rsidR="00706398" w:rsidRDefault="0060082C" w:rsidP="00706398">
      <w:pPr>
        <w:pStyle w:val="Heading1"/>
      </w:pPr>
      <w:bookmarkStart w:id="1" w:name="_Toc112835077"/>
      <w:r>
        <w:lastRenderedPageBreak/>
        <w:t>Part 1</w:t>
      </w:r>
      <w:r w:rsidR="00DE1A77">
        <w:t xml:space="preserve">: </w:t>
      </w:r>
      <w:r w:rsidR="00706398">
        <w:t>Australian content transmission</w:t>
      </w:r>
      <w:bookmarkEnd w:id="1"/>
    </w:p>
    <w:p w14:paraId="7A9994CF" w14:textId="3E567DE8" w:rsidR="00D60B92" w:rsidRPr="00D60B92" w:rsidRDefault="00D60B92" w:rsidP="00D60B92">
      <w:pPr>
        <w:pStyle w:val="Heading2"/>
      </w:pPr>
      <w:bookmarkStart w:id="2" w:name="_Toc112835078"/>
      <w:bookmarkStart w:id="3" w:name="_Hlk111633990"/>
      <w:r w:rsidRPr="00D60B92">
        <w:t>Compliance obligations – transmission quotas</w:t>
      </w:r>
      <w:bookmarkEnd w:id="2"/>
    </w:p>
    <w:bookmarkEnd w:id="3"/>
    <w:p w14:paraId="13C7AB13" w14:textId="333E0799" w:rsidR="00D60B92" w:rsidRPr="00D60B92" w:rsidRDefault="00D60B92" w:rsidP="008D5083">
      <w:pPr>
        <w:pStyle w:val="Paragraphbeforelist"/>
      </w:pPr>
      <w:r w:rsidRPr="00D60B92">
        <w:t>The Australian content transmission quotas in the BSA require commercial television licensees to transmit:</w:t>
      </w:r>
    </w:p>
    <w:p w14:paraId="6DFAAE13" w14:textId="2BDEAFD5" w:rsidR="00D60B92" w:rsidRPr="00D60B92" w:rsidRDefault="00D60B92" w:rsidP="008D5083">
      <w:pPr>
        <w:pStyle w:val="ListNumber"/>
        <w:numPr>
          <w:ilvl w:val="0"/>
          <w:numId w:val="24"/>
        </w:numPr>
      </w:pPr>
      <w:r w:rsidRPr="00D60B92">
        <w:t>Australian programs</w:t>
      </w:r>
      <w:r w:rsidRPr="00CB4D7A">
        <w:rPr>
          <w:vertAlign w:val="superscript"/>
        </w:rPr>
        <w:footnoteReference w:id="2"/>
      </w:r>
      <w:r w:rsidRPr="00D60B92">
        <w:t xml:space="preserve"> for at least 55% of all programming broadcast between 6</w:t>
      </w:r>
      <w:r w:rsidR="00DE1A77">
        <w:t xml:space="preserve"> </w:t>
      </w:r>
      <w:r w:rsidRPr="00D60B92">
        <w:t>am and midnight on their primary television services</w:t>
      </w:r>
      <w:r w:rsidR="008F05F0">
        <w:t>;</w:t>
      </w:r>
      <w:r w:rsidRPr="00D60B92">
        <w:t xml:space="preserve"> and</w:t>
      </w:r>
    </w:p>
    <w:p w14:paraId="44F4F541" w14:textId="5C3FFC24" w:rsidR="00D60B92" w:rsidRPr="00D60B92" w:rsidRDefault="00D60B92" w:rsidP="008D5083">
      <w:pPr>
        <w:pStyle w:val="ListNumber"/>
        <w:numPr>
          <w:ilvl w:val="0"/>
          <w:numId w:val="24"/>
        </w:numPr>
      </w:pPr>
      <w:r w:rsidRPr="00D60B92">
        <w:t>at least 1,460 hours of Australian programs between 6</w:t>
      </w:r>
      <w:r w:rsidR="00DE1A77">
        <w:t xml:space="preserve"> </w:t>
      </w:r>
      <w:r w:rsidRPr="00D60B92">
        <w:t xml:space="preserve">am and midnight on their non-primary television services (multi-channels). </w:t>
      </w:r>
    </w:p>
    <w:p w14:paraId="2D44BD5B" w14:textId="0704D8AA" w:rsidR="006054C4" w:rsidRPr="006054C4" w:rsidRDefault="00706398" w:rsidP="008D5083">
      <w:pPr>
        <w:pStyle w:val="Heading2"/>
        <w:spacing w:after="120"/>
      </w:pPr>
      <w:bookmarkStart w:id="4" w:name="_Toc112835079"/>
      <w:r>
        <w:t>Primary channel by network</w:t>
      </w:r>
      <w:r w:rsidR="00DE1A77">
        <w:t>,</w:t>
      </w:r>
      <w:r w:rsidR="00703E77">
        <w:t xml:space="preserve"> 2012</w:t>
      </w:r>
      <w:r w:rsidR="00DE1A77">
        <w:t xml:space="preserve"> to </w:t>
      </w:r>
      <w:r w:rsidR="00703E77">
        <w:t>2021</w:t>
      </w:r>
      <w:bookmarkEnd w:id="4"/>
    </w:p>
    <w:p w14:paraId="419C4704" w14:textId="73145BFE" w:rsidR="006054C4" w:rsidRPr="00A17B1B" w:rsidRDefault="002A5CF6" w:rsidP="006054C4">
      <w:pPr>
        <w:pStyle w:val="Tableheading"/>
        <w:keepLines/>
      </w:pPr>
      <w:r>
        <w:t>Average p</w:t>
      </w:r>
      <w:r w:rsidR="006054C4">
        <w:t>ercentage of Australian content claimed by primary channels</w:t>
      </w:r>
      <w:r w:rsidR="00DE1A77">
        <w:t xml:space="preserve">, </w:t>
      </w:r>
      <w:r w:rsidR="006054C4">
        <w:t>2012</w:t>
      </w:r>
      <w:r w:rsidR="00DE1A77">
        <w:t xml:space="preserve"> to </w:t>
      </w:r>
      <w:r w:rsidR="006054C4">
        <w:t>2021</w:t>
      </w:r>
    </w:p>
    <w:tbl>
      <w:tblPr>
        <w:tblW w:w="9320" w:type="dxa"/>
        <w:tblCellMar>
          <w:top w:w="57" w:type="dxa"/>
          <w:left w:w="57" w:type="dxa"/>
          <w:bottom w:w="57" w:type="dxa"/>
          <w:right w:w="57" w:type="dxa"/>
        </w:tblCellMar>
        <w:tblLook w:val="04A0" w:firstRow="1" w:lastRow="0" w:firstColumn="1" w:lastColumn="0" w:noHBand="0" w:noVBand="1"/>
      </w:tblPr>
      <w:tblGrid>
        <w:gridCol w:w="2060"/>
        <w:gridCol w:w="736"/>
        <w:gridCol w:w="716"/>
        <w:gridCol w:w="736"/>
        <w:gridCol w:w="716"/>
        <w:gridCol w:w="736"/>
        <w:gridCol w:w="716"/>
        <w:gridCol w:w="736"/>
        <w:gridCol w:w="716"/>
        <w:gridCol w:w="736"/>
        <w:gridCol w:w="716"/>
      </w:tblGrid>
      <w:tr w:rsidR="00A16E7E" w:rsidRPr="0092637A" w14:paraId="4887CDDD" w14:textId="77777777" w:rsidTr="00A16E7E">
        <w:trPr>
          <w:trHeight w:val="300"/>
        </w:trPr>
        <w:tc>
          <w:tcPr>
            <w:tcW w:w="2060" w:type="dxa"/>
            <w:vMerge w:val="restart"/>
            <w:tcBorders>
              <w:top w:val="nil"/>
              <w:left w:val="single" w:sz="4" w:space="0" w:color="D3D3D3"/>
              <w:right w:val="single" w:sz="4" w:space="0" w:color="D3D3D3"/>
            </w:tcBorders>
            <w:shd w:val="clear" w:color="auto" w:fill="39457C"/>
            <w:vAlign w:val="center"/>
          </w:tcPr>
          <w:p w14:paraId="5CFCB335" w14:textId="4BD91B5F" w:rsidR="00A16E7E" w:rsidRPr="00A16E7E" w:rsidRDefault="00A16E7E" w:rsidP="00A16E7E">
            <w:pPr>
              <w:spacing w:after="0" w:line="240" w:lineRule="auto"/>
              <w:rPr>
                <w:rFonts w:cs="Arial"/>
                <w:b/>
                <w:bCs/>
                <w:color w:val="000000"/>
                <w:szCs w:val="20"/>
              </w:rPr>
            </w:pPr>
            <w:r>
              <w:rPr>
                <w:rFonts w:cs="Arial"/>
                <w:b/>
                <w:bCs/>
                <w:color w:val="FFFFFF"/>
                <w:szCs w:val="20"/>
              </w:rPr>
              <w:t>Network</w:t>
            </w:r>
          </w:p>
        </w:tc>
        <w:tc>
          <w:tcPr>
            <w:tcW w:w="7260" w:type="dxa"/>
            <w:gridSpan w:val="10"/>
            <w:tcBorders>
              <w:top w:val="nil"/>
              <w:left w:val="nil"/>
              <w:bottom w:val="single" w:sz="4" w:space="0" w:color="D3D3D3"/>
              <w:right w:val="single" w:sz="4" w:space="0" w:color="D3D3D3"/>
            </w:tcBorders>
            <w:shd w:val="clear" w:color="auto" w:fill="8995C9"/>
            <w:vAlign w:val="center"/>
          </w:tcPr>
          <w:p w14:paraId="34E9F33E" w14:textId="77777777" w:rsidR="00A16E7E" w:rsidRDefault="00A16E7E" w:rsidP="00A16E7E">
            <w:pPr>
              <w:spacing w:after="0" w:line="240" w:lineRule="auto"/>
              <w:jc w:val="center"/>
              <w:rPr>
                <w:rFonts w:cs="Arial"/>
                <w:b/>
                <w:bCs/>
                <w:color w:val="FFFFFF"/>
                <w:szCs w:val="20"/>
              </w:rPr>
            </w:pPr>
            <w:r w:rsidRPr="0092637A">
              <w:rPr>
                <w:rFonts w:cs="Arial"/>
                <w:b/>
                <w:bCs/>
                <w:color w:val="FFFFFF"/>
                <w:szCs w:val="20"/>
              </w:rPr>
              <w:t>Minimum annual requirement</w:t>
            </w:r>
            <w:r>
              <w:rPr>
                <w:rFonts w:cs="Arial"/>
                <w:b/>
                <w:bCs/>
                <w:color w:val="FFFFFF"/>
                <w:szCs w:val="20"/>
              </w:rPr>
              <w:t>:</w:t>
            </w:r>
          </w:p>
          <w:p w14:paraId="32718854" w14:textId="0E255543"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55% of programs broadcast between 6</w:t>
            </w:r>
            <w:r>
              <w:rPr>
                <w:rFonts w:cs="Arial"/>
                <w:b/>
                <w:bCs/>
                <w:color w:val="FFFFFF"/>
                <w:szCs w:val="20"/>
              </w:rPr>
              <w:t xml:space="preserve"> </w:t>
            </w:r>
            <w:r w:rsidRPr="0092637A">
              <w:rPr>
                <w:rFonts w:cs="Arial"/>
                <w:b/>
                <w:bCs/>
                <w:color w:val="FFFFFF"/>
                <w:szCs w:val="20"/>
              </w:rPr>
              <w:t>am and midnight in a year</w:t>
            </w:r>
          </w:p>
        </w:tc>
      </w:tr>
      <w:tr w:rsidR="00A16E7E" w:rsidRPr="0092637A" w14:paraId="1342E8D0" w14:textId="77777777" w:rsidTr="00C80BA0">
        <w:trPr>
          <w:trHeight w:val="300"/>
        </w:trPr>
        <w:tc>
          <w:tcPr>
            <w:tcW w:w="2060" w:type="dxa"/>
            <w:vMerge/>
            <w:tcBorders>
              <w:left w:val="single" w:sz="4" w:space="0" w:color="D3D3D3"/>
              <w:bottom w:val="single" w:sz="4" w:space="0" w:color="D3D3D3"/>
              <w:right w:val="single" w:sz="4" w:space="0" w:color="D3D3D3"/>
            </w:tcBorders>
            <w:shd w:val="clear" w:color="auto" w:fill="39457C"/>
            <w:vAlign w:val="center"/>
          </w:tcPr>
          <w:p w14:paraId="4CA7C107" w14:textId="7A4BDFE4" w:rsidR="00A16E7E" w:rsidRPr="00A16E7E" w:rsidRDefault="00A16E7E" w:rsidP="00A16E7E">
            <w:pPr>
              <w:spacing w:after="0" w:line="240" w:lineRule="auto"/>
              <w:rPr>
                <w:rFonts w:cs="Arial"/>
                <w:b/>
                <w:bCs/>
                <w:color w:val="000000"/>
                <w:szCs w:val="20"/>
              </w:rPr>
            </w:pPr>
          </w:p>
        </w:tc>
        <w:tc>
          <w:tcPr>
            <w:tcW w:w="736" w:type="dxa"/>
            <w:tcBorders>
              <w:top w:val="nil"/>
              <w:left w:val="nil"/>
              <w:bottom w:val="single" w:sz="4" w:space="0" w:color="D3D3D3"/>
              <w:right w:val="single" w:sz="4" w:space="0" w:color="D3D3D3"/>
            </w:tcBorders>
            <w:shd w:val="clear" w:color="auto" w:fill="39457C"/>
            <w:vAlign w:val="center"/>
          </w:tcPr>
          <w:p w14:paraId="5AA506E7" w14:textId="18E7F1C2"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2012</w:t>
            </w:r>
          </w:p>
        </w:tc>
        <w:tc>
          <w:tcPr>
            <w:tcW w:w="716" w:type="dxa"/>
            <w:tcBorders>
              <w:top w:val="nil"/>
              <w:left w:val="nil"/>
              <w:bottom w:val="single" w:sz="4" w:space="0" w:color="D3D3D3"/>
              <w:right w:val="single" w:sz="4" w:space="0" w:color="D3D3D3"/>
            </w:tcBorders>
            <w:shd w:val="clear" w:color="auto" w:fill="39457C"/>
            <w:vAlign w:val="center"/>
          </w:tcPr>
          <w:p w14:paraId="0806B233" w14:textId="15325773"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2013</w:t>
            </w:r>
          </w:p>
        </w:tc>
        <w:tc>
          <w:tcPr>
            <w:tcW w:w="736" w:type="dxa"/>
            <w:tcBorders>
              <w:top w:val="nil"/>
              <w:left w:val="nil"/>
              <w:bottom w:val="single" w:sz="4" w:space="0" w:color="D3D3D3"/>
              <w:right w:val="single" w:sz="4" w:space="0" w:color="D3D3D3"/>
            </w:tcBorders>
            <w:shd w:val="clear" w:color="auto" w:fill="39457C"/>
            <w:vAlign w:val="center"/>
          </w:tcPr>
          <w:p w14:paraId="03EEFFAF" w14:textId="4751A48E"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2014</w:t>
            </w:r>
          </w:p>
        </w:tc>
        <w:tc>
          <w:tcPr>
            <w:tcW w:w="716" w:type="dxa"/>
            <w:tcBorders>
              <w:top w:val="single" w:sz="4" w:space="0" w:color="D3D3D3"/>
              <w:left w:val="nil"/>
              <w:bottom w:val="single" w:sz="4" w:space="0" w:color="D3D3D3"/>
              <w:right w:val="single" w:sz="4" w:space="0" w:color="D3D3D3"/>
            </w:tcBorders>
            <w:shd w:val="clear" w:color="auto" w:fill="39457C"/>
            <w:vAlign w:val="center"/>
          </w:tcPr>
          <w:p w14:paraId="02D3960C" w14:textId="2222A3E5"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2015</w:t>
            </w:r>
          </w:p>
        </w:tc>
        <w:tc>
          <w:tcPr>
            <w:tcW w:w="736" w:type="dxa"/>
            <w:tcBorders>
              <w:top w:val="nil"/>
              <w:left w:val="nil"/>
              <w:bottom w:val="single" w:sz="4" w:space="0" w:color="D3D3D3"/>
              <w:right w:val="single" w:sz="4" w:space="0" w:color="D3D3D3"/>
            </w:tcBorders>
            <w:shd w:val="clear" w:color="auto" w:fill="39457C"/>
            <w:vAlign w:val="center"/>
          </w:tcPr>
          <w:p w14:paraId="0A300A0D" w14:textId="25F64689"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2016</w:t>
            </w:r>
          </w:p>
        </w:tc>
        <w:tc>
          <w:tcPr>
            <w:tcW w:w="716" w:type="dxa"/>
            <w:tcBorders>
              <w:top w:val="nil"/>
              <w:left w:val="nil"/>
              <w:bottom w:val="single" w:sz="4" w:space="0" w:color="D3D3D3"/>
              <w:right w:val="single" w:sz="4" w:space="0" w:color="D3D3D3"/>
            </w:tcBorders>
            <w:shd w:val="clear" w:color="auto" w:fill="39457C"/>
            <w:vAlign w:val="center"/>
          </w:tcPr>
          <w:p w14:paraId="6FFE5755" w14:textId="73FCAE0A"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2017</w:t>
            </w:r>
          </w:p>
        </w:tc>
        <w:tc>
          <w:tcPr>
            <w:tcW w:w="736" w:type="dxa"/>
            <w:tcBorders>
              <w:top w:val="nil"/>
              <w:left w:val="nil"/>
              <w:bottom w:val="single" w:sz="4" w:space="0" w:color="D3D3D3"/>
              <w:right w:val="single" w:sz="4" w:space="0" w:color="D3D3D3"/>
            </w:tcBorders>
            <w:shd w:val="clear" w:color="auto" w:fill="39457C"/>
            <w:vAlign w:val="center"/>
          </w:tcPr>
          <w:p w14:paraId="0B695B13" w14:textId="3FAD9F48"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2018</w:t>
            </w:r>
          </w:p>
        </w:tc>
        <w:tc>
          <w:tcPr>
            <w:tcW w:w="716" w:type="dxa"/>
            <w:tcBorders>
              <w:top w:val="nil"/>
              <w:left w:val="nil"/>
              <w:bottom w:val="single" w:sz="4" w:space="0" w:color="D3D3D3"/>
              <w:right w:val="single" w:sz="4" w:space="0" w:color="D3D3D3"/>
            </w:tcBorders>
            <w:shd w:val="clear" w:color="auto" w:fill="39457C"/>
            <w:vAlign w:val="center"/>
          </w:tcPr>
          <w:p w14:paraId="63D78E30" w14:textId="02C46B7F"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2019</w:t>
            </w:r>
          </w:p>
        </w:tc>
        <w:tc>
          <w:tcPr>
            <w:tcW w:w="736" w:type="dxa"/>
            <w:tcBorders>
              <w:top w:val="nil"/>
              <w:left w:val="nil"/>
              <w:bottom w:val="single" w:sz="4" w:space="0" w:color="D3D3D3"/>
              <w:right w:val="single" w:sz="4" w:space="0" w:color="D3D3D3"/>
            </w:tcBorders>
            <w:shd w:val="clear" w:color="auto" w:fill="39457C"/>
            <w:vAlign w:val="center"/>
          </w:tcPr>
          <w:p w14:paraId="5F76C0AB" w14:textId="445C8E8D"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2020</w:t>
            </w:r>
          </w:p>
        </w:tc>
        <w:tc>
          <w:tcPr>
            <w:tcW w:w="716" w:type="dxa"/>
            <w:tcBorders>
              <w:top w:val="single" w:sz="4" w:space="0" w:color="D3D3D3"/>
              <w:left w:val="nil"/>
              <w:bottom w:val="single" w:sz="4" w:space="0" w:color="D3D3D3"/>
              <w:right w:val="single" w:sz="4" w:space="0" w:color="D3D3D3"/>
            </w:tcBorders>
            <w:shd w:val="clear" w:color="auto" w:fill="39457C"/>
            <w:vAlign w:val="center"/>
          </w:tcPr>
          <w:p w14:paraId="69CA5C46" w14:textId="2DD57F88" w:rsidR="00A16E7E" w:rsidRPr="0092637A" w:rsidRDefault="00A16E7E" w:rsidP="00A16E7E">
            <w:pPr>
              <w:spacing w:after="0" w:line="240" w:lineRule="auto"/>
              <w:jc w:val="right"/>
              <w:rPr>
                <w:rFonts w:cs="Arial"/>
                <w:color w:val="000000"/>
                <w:szCs w:val="20"/>
              </w:rPr>
            </w:pPr>
            <w:r w:rsidRPr="0092637A">
              <w:rPr>
                <w:rFonts w:cs="Arial"/>
                <w:b/>
                <w:bCs/>
                <w:color w:val="FFFFFF"/>
                <w:szCs w:val="20"/>
              </w:rPr>
              <w:t>2021</w:t>
            </w:r>
          </w:p>
        </w:tc>
      </w:tr>
      <w:tr w:rsidR="00A16E7E" w:rsidRPr="0092637A" w14:paraId="66349DA3" w14:textId="77777777" w:rsidTr="008D5083">
        <w:trPr>
          <w:trHeight w:val="300"/>
        </w:trPr>
        <w:tc>
          <w:tcPr>
            <w:tcW w:w="2060" w:type="dxa"/>
            <w:tcBorders>
              <w:top w:val="nil"/>
              <w:left w:val="single" w:sz="4" w:space="0" w:color="D3D3D3"/>
              <w:bottom w:val="single" w:sz="4" w:space="0" w:color="D3D3D3"/>
              <w:right w:val="single" w:sz="4" w:space="0" w:color="D3D3D3"/>
            </w:tcBorders>
            <w:shd w:val="clear" w:color="auto" w:fill="auto"/>
            <w:vAlign w:val="center"/>
            <w:hideMark/>
          </w:tcPr>
          <w:p w14:paraId="316D4F2B" w14:textId="645F5656" w:rsidR="00A16E7E" w:rsidRPr="0092637A" w:rsidRDefault="00A16E7E" w:rsidP="00A16E7E">
            <w:pPr>
              <w:spacing w:after="0" w:line="240" w:lineRule="auto"/>
              <w:rPr>
                <w:rFonts w:cs="Arial"/>
                <w:color w:val="000000"/>
                <w:szCs w:val="20"/>
              </w:rPr>
            </w:pPr>
            <w:r w:rsidRPr="008D5083">
              <w:rPr>
                <w:rFonts w:cs="Arial"/>
                <w:b/>
                <w:bCs/>
                <w:color w:val="000000"/>
                <w:szCs w:val="20"/>
              </w:rPr>
              <w:t>Seven</w:t>
            </w:r>
            <w:r>
              <w:rPr>
                <w:rFonts w:cs="Arial"/>
                <w:color w:val="000000"/>
                <w:szCs w:val="20"/>
              </w:rPr>
              <w:t>:</w:t>
            </w:r>
            <w:r w:rsidRPr="0092637A">
              <w:rPr>
                <w:rFonts w:cs="Arial"/>
                <w:color w:val="000000"/>
                <w:szCs w:val="20"/>
              </w:rPr>
              <w:t xml:space="preserve"> average % claimed</w:t>
            </w:r>
          </w:p>
        </w:tc>
        <w:tc>
          <w:tcPr>
            <w:tcW w:w="736" w:type="dxa"/>
            <w:tcBorders>
              <w:top w:val="nil"/>
              <w:left w:val="nil"/>
              <w:bottom w:val="single" w:sz="4" w:space="0" w:color="D3D3D3"/>
              <w:right w:val="single" w:sz="4" w:space="0" w:color="D3D3D3"/>
            </w:tcBorders>
            <w:shd w:val="clear" w:color="auto" w:fill="auto"/>
            <w:vAlign w:val="center"/>
            <w:hideMark/>
          </w:tcPr>
          <w:p w14:paraId="49830368"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67.94</w:t>
            </w:r>
          </w:p>
        </w:tc>
        <w:tc>
          <w:tcPr>
            <w:tcW w:w="716" w:type="dxa"/>
            <w:tcBorders>
              <w:top w:val="nil"/>
              <w:left w:val="nil"/>
              <w:bottom w:val="single" w:sz="4" w:space="0" w:color="D3D3D3"/>
              <w:right w:val="single" w:sz="4" w:space="0" w:color="D3D3D3"/>
            </w:tcBorders>
            <w:shd w:val="clear" w:color="auto" w:fill="auto"/>
            <w:vAlign w:val="center"/>
            <w:hideMark/>
          </w:tcPr>
          <w:p w14:paraId="42267E01"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69.13</w:t>
            </w:r>
          </w:p>
        </w:tc>
        <w:tc>
          <w:tcPr>
            <w:tcW w:w="736" w:type="dxa"/>
            <w:tcBorders>
              <w:top w:val="nil"/>
              <w:left w:val="nil"/>
              <w:bottom w:val="single" w:sz="4" w:space="0" w:color="D3D3D3"/>
              <w:right w:val="single" w:sz="4" w:space="0" w:color="D3D3D3"/>
            </w:tcBorders>
            <w:shd w:val="clear" w:color="auto" w:fill="auto"/>
            <w:vAlign w:val="center"/>
            <w:hideMark/>
          </w:tcPr>
          <w:p w14:paraId="59BCC24E"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70.46</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3977114A"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69.77</w:t>
            </w:r>
          </w:p>
        </w:tc>
        <w:tc>
          <w:tcPr>
            <w:tcW w:w="736" w:type="dxa"/>
            <w:tcBorders>
              <w:top w:val="nil"/>
              <w:left w:val="nil"/>
              <w:bottom w:val="single" w:sz="4" w:space="0" w:color="D3D3D3"/>
              <w:right w:val="single" w:sz="4" w:space="0" w:color="D3D3D3"/>
            </w:tcBorders>
            <w:shd w:val="clear" w:color="auto" w:fill="auto"/>
            <w:vAlign w:val="center"/>
            <w:hideMark/>
          </w:tcPr>
          <w:p w14:paraId="27DF0D64"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72.55</w:t>
            </w:r>
          </w:p>
        </w:tc>
        <w:tc>
          <w:tcPr>
            <w:tcW w:w="716" w:type="dxa"/>
            <w:tcBorders>
              <w:top w:val="nil"/>
              <w:left w:val="nil"/>
              <w:bottom w:val="single" w:sz="4" w:space="0" w:color="D3D3D3"/>
              <w:right w:val="single" w:sz="4" w:space="0" w:color="D3D3D3"/>
            </w:tcBorders>
            <w:shd w:val="clear" w:color="auto" w:fill="auto"/>
            <w:vAlign w:val="center"/>
            <w:hideMark/>
          </w:tcPr>
          <w:p w14:paraId="33117013"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73.41</w:t>
            </w:r>
          </w:p>
        </w:tc>
        <w:tc>
          <w:tcPr>
            <w:tcW w:w="736" w:type="dxa"/>
            <w:tcBorders>
              <w:top w:val="nil"/>
              <w:left w:val="nil"/>
              <w:bottom w:val="single" w:sz="4" w:space="0" w:color="D3D3D3"/>
              <w:right w:val="single" w:sz="4" w:space="0" w:color="D3D3D3"/>
            </w:tcBorders>
            <w:shd w:val="clear" w:color="auto" w:fill="auto"/>
            <w:vAlign w:val="center"/>
            <w:hideMark/>
          </w:tcPr>
          <w:p w14:paraId="3F054BF7"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77.33</w:t>
            </w:r>
          </w:p>
        </w:tc>
        <w:tc>
          <w:tcPr>
            <w:tcW w:w="716" w:type="dxa"/>
            <w:tcBorders>
              <w:top w:val="nil"/>
              <w:left w:val="nil"/>
              <w:bottom w:val="single" w:sz="4" w:space="0" w:color="D3D3D3"/>
              <w:right w:val="single" w:sz="4" w:space="0" w:color="D3D3D3"/>
            </w:tcBorders>
            <w:shd w:val="clear" w:color="auto" w:fill="auto"/>
            <w:vAlign w:val="center"/>
            <w:hideMark/>
          </w:tcPr>
          <w:p w14:paraId="49400C03"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77.15</w:t>
            </w:r>
          </w:p>
        </w:tc>
        <w:tc>
          <w:tcPr>
            <w:tcW w:w="736" w:type="dxa"/>
            <w:tcBorders>
              <w:top w:val="nil"/>
              <w:left w:val="nil"/>
              <w:bottom w:val="single" w:sz="4" w:space="0" w:color="D3D3D3"/>
              <w:right w:val="single" w:sz="4" w:space="0" w:color="D3D3D3"/>
            </w:tcBorders>
            <w:shd w:val="clear" w:color="auto" w:fill="auto"/>
            <w:vAlign w:val="center"/>
            <w:hideMark/>
          </w:tcPr>
          <w:p w14:paraId="39199B4B"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72.14</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26675BAC"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73.73</w:t>
            </w:r>
          </w:p>
        </w:tc>
      </w:tr>
      <w:tr w:rsidR="00A16E7E" w:rsidRPr="0092637A" w14:paraId="57E25D9F" w14:textId="77777777" w:rsidTr="008D5083">
        <w:trPr>
          <w:trHeight w:val="300"/>
        </w:trPr>
        <w:tc>
          <w:tcPr>
            <w:tcW w:w="2060" w:type="dxa"/>
            <w:tcBorders>
              <w:top w:val="nil"/>
              <w:left w:val="single" w:sz="4" w:space="0" w:color="D3D3D3"/>
              <w:bottom w:val="single" w:sz="4" w:space="0" w:color="D3D3D3"/>
              <w:right w:val="single" w:sz="4" w:space="0" w:color="D3D3D3"/>
            </w:tcBorders>
            <w:shd w:val="clear" w:color="auto" w:fill="auto"/>
            <w:vAlign w:val="center"/>
            <w:hideMark/>
          </w:tcPr>
          <w:p w14:paraId="6C6B3379" w14:textId="0E1DBDCE" w:rsidR="00A16E7E" w:rsidRPr="0092637A" w:rsidRDefault="00A16E7E" w:rsidP="00A16E7E">
            <w:pPr>
              <w:spacing w:after="0" w:line="240" w:lineRule="auto"/>
              <w:rPr>
                <w:rFonts w:cs="Arial"/>
                <w:color w:val="000000"/>
                <w:szCs w:val="20"/>
              </w:rPr>
            </w:pPr>
            <w:r w:rsidRPr="008D5083">
              <w:rPr>
                <w:rFonts w:cs="Arial"/>
                <w:b/>
                <w:bCs/>
                <w:color w:val="000000"/>
                <w:szCs w:val="20"/>
              </w:rPr>
              <w:t>Nine</w:t>
            </w:r>
            <w:r>
              <w:rPr>
                <w:rFonts w:cs="Arial"/>
                <w:color w:val="000000"/>
                <w:szCs w:val="20"/>
              </w:rPr>
              <w:t>:</w:t>
            </w:r>
            <w:r w:rsidRPr="0092637A">
              <w:rPr>
                <w:rFonts w:cs="Arial"/>
                <w:color w:val="000000"/>
                <w:szCs w:val="20"/>
              </w:rPr>
              <w:t xml:space="preserve"> average % claimed</w:t>
            </w:r>
          </w:p>
        </w:tc>
        <w:tc>
          <w:tcPr>
            <w:tcW w:w="736" w:type="dxa"/>
            <w:tcBorders>
              <w:top w:val="nil"/>
              <w:left w:val="nil"/>
              <w:bottom w:val="single" w:sz="4" w:space="0" w:color="D3D3D3"/>
              <w:right w:val="single" w:sz="4" w:space="0" w:color="D3D3D3"/>
            </w:tcBorders>
            <w:shd w:val="clear" w:color="auto" w:fill="auto"/>
            <w:vAlign w:val="center"/>
            <w:hideMark/>
          </w:tcPr>
          <w:p w14:paraId="67A289B0"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67.86</w:t>
            </w:r>
          </w:p>
        </w:tc>
        <w:tc>
          <w:tcPr>
            <w:tcW w:w="716" w:type="dxa"/>
            <w:tcBorders>
              <w:top w:val="nil"/>
              <w:left w:val="nil"/>
              <w:bottom w:val="single" w:sz="4" w:space="0" w:color="D3D3D3"/>
              <w:right w:val="single" w:sz="4" w:space="0" w:color="D3D3D3"/>
            </w:tcBorders>
            <w:shd w:val="clear" w:color="auto" w:fill="auto"/>
            <w:vAlign w:val="center"/>
            <w:hideMark/>
          </w:tcPr>
          <w:p w14:paraId="618911F5"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65.49</w:t>
            </w:r>
          </w:p>
        </w:tc>
        <w:tc>
          <w:tcPr>
            <w:tcW w:w="736" w:type="dxa"/>
            <w:tcBorders>
              <w:top w:val="nil"/>
              <w:left w:val="nil"/>
              <w:bottom w:val="single" w:sz="4" w:space="0" w:color="D3D3D3"/>
              <w:right w:val="single" w:sz="4" w:space="0" w:color="D3D3D3"/>
            </w:tcBorders>
            <w:shd w:val="clear" w:color="auto" w:fill="auto"/>
            <w:vAlign w:val="center"/>
            <w:hideMark/>
          </w:tcPr>
          <w:p w14:paraId="6282C8DB"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70.59</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4E606621"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71.63</w:t>
            </w:r>
          </w:p>
        </w:tc>
        <w:tc>
          <w:tcPr>
            <w:tcW w:w="736" w:type="dxa"/>
            <w:tcBorders>
              <w:top w:val="nil"/>
              <w:left w:val="nil"/>
              <w:bottom w:val="single" w:sz="4" w:space="0" w:color="D3D3D3"/>
              <w:right w:val="single" w:sz="4" w:space="0" w:color="D3D3D3"/>
            </w:tcBorders>
            <w:shd w:val="clear" w:color="auto" w:fill="auto"/>
            <w:vAlign w:val="center"/>
            <w:hideMark/>
          </w:tcPr>
          <w:p w14:paraId="633AE165"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71.98</w:t>
            </w:r>
          </w:p>
        </w:tc>
        <w:tc>
          <w:tcPr>
            <w:tcW w:w="716" w:type="dxa"/>
            <w:tcBorders>
              <w:top w:val="nil"/>
              <w:left w:val="nil"/>
              <w:bottom w:val="single" w:sz="4" w:space="0" w:color="D3D3D3"/>
              <w:right w:val="single" w:sz="4" w:space="0" w:color="D3D3D3"/>
            </w:tcBorders>
            <w:shd w:val="clear" w:color="auto" w:fill="auto"/>
            <w:vAlign w:val="center"/>
            <w:hideMark/>
          </w:tcPr>
          <w:p w14:paraId="64E5BEA0"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74.77</w:t>
            </w:r>
          </w:p>
        </w:tc>
        <w:tc>
          <w:tcPr>
            <w:tcW w:w="736" w:type="dxa"/>
            <w:tcBorders>
              <w:top w:val="nil"/>
              <w:left w:val="nil"/>
              <w:bottom w:val="single" w:sz="4" w:space="0" w:color="D3D3D3"/>
              <w:right w:val="single" w:sz="4" w:space="0" w:color="D3D3D3"/>
            </w:tcBorders>
            <w:shd w:val="clear" w:color="auto" w:fill="auto"/>
            <w:vAlign w:val="center"/>
            <w:hideMark/>
          </w:tcPr>
          <w:p w14:paraId="5CCEDF48"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73.81</w:t>
            </w:r>
          </w:p>
        </w:tc>
        <w:tc>
          <w:tcPr>
            <w:tcW w:w="716" w:type="dxa"/>
            <w:tcBorders>
              <w:top w:val="nil"/>
              <w:left w:val="nil"/>
              <w:bottom w:val="single" w:sz="4" w:space="0" w:color="D3D3D3"/>
              <w:right w:val="single" w:sz="4" w:space="0" w:color="D3D3D3"/>
            </w:tcBorders>
            <w:shd w:val="clear" w:color="auto" w:fill="auto"/>
            <w:vAlign w:val="center"/>
            <w:hideMark/>
          </w:tcPr>
          <w:p w14:paraId="0758C139"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74.93</w:t>
            </w:r>
          </w:p>
        </w:tc>
        <w:tc>
          <w:tcPr>
            <w:tcW w:w="736" w:type="dxa"/>
            <w:tcBorders>
              <w:top w:val="nil"/>
              <w:left w:val="nil"/>
              <w:bottom w:val="single" w:sz="4" w:space="0" w:color="D3D3D3"/>
              <w:right w:val="single" w:sz="4" w:space="0" w:color="D3D3D3"/>
            </w:tcBorders>
            <w:shd w:val="clear" w:color="auto" w:fill="auto"/>
            <w:vAlign w:val="center"/>
            <w:hideMark/>
          </w:tcPr>
          <w:p w14:paraId="72F9690B"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73.18</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653FB3D2"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77.10</w:t>
            </w:r>
          </w:p>
        </w:tc>
      </w:tr>
      <w:tr w:rsidR="00A16E7E" w:rsidRPr="0092637A" w14:paraId="56D56DBB" w14:textId="77777777" w:rsidTr="008D5083">
        <w:trPr>
          <w:trHeight w:val="300"/>
        </w:trPr>
        <w:tc>
          <w:tcPr>
            <w:tcW w:w="2060" w:type="dxa"/>
            <w:tcBorders>
              <w:top w:val="nil"/>
              <w:left w:val="single" w:sz="4" w:space="0" w:color="D3D3D3"/>
              <w:bottom w:val="single" w:sz="4" w:space="0" w:color="D3D3D3"/>
              <w:right w:val="single" w:sz="4" w:space="0" w:color="D3D3D3"/>
            </w:tcBorders>
            <w:shd w:val="clear" w:color="auto" w:fill="auto"/>
            <w:vAlign w:val="center"/>
            <w:hideMark/>
          </w:tcPr>
          <w:p w14:paraId="57C92426" w14:textId="38A722E9" w:rsidR="00A16E7E" w:rsidRPr="0092637A" w:rsidRDefault="00A16E7E" w:rsidP="00A16E7E">
            <w:pPr>
              <w:spacing w:after="0" w:line="240" w:lineRule="auto"/>
              <w:rPr>
                <w:rFonts w:cs="Arial"/>
                <w:color w:val="000000"/>
                <w:szCs w:val="20"/>
              </w:rPr>
            </w:pPr>
            <w:r w:rsidRPr="008D5083">
              <w:rPr>
                <w:rFonts w:cs="Arial"/>
                <w:b/>
                <w:bCs/>
                <w:color w:val="000000"/>
                <w:szCs w:val="20"/>
              </w:rPr>
              <w:t>Ten</w:t>
            </w:r>
            <w:r>
              <w:rPr>
                <w:rFonts w:cs="Arial"/>
                <w:color w:val="000000"/>
                <w:szCs w:val="20"/>
              </w:rPr>
              <w:t>:</w:t>
            </w:r>
            <w:r w:rsidRPr="0092637A">
              <w:rPr>
                <w:rFonts w:cs="Arial"/>
                <w:color w:val="000000"/>
                <w:szCs w:val="20"/>
              </w:rPr>
              <w:t xml:space="preserve"> average % claimed</w:t>
            </w:r>
          </w:p>
        </w:tc>
        <w:tc>
          <w:tcPr>
            <w:tcW w:w="736" w:type="dxa"/>
            <w:tcBorders>
              <w:top w:val="nil"/>
              <w:left w:val="nil"/>
              <w:bottom w:val="single" w:sz="4" w:space="0" w:color="D3D3D3"/>
              <w:right w:val="single" w:sz="4" w:space="0" w:color="D3D3D3"/>
            </w:tcBorders>
            <w:shd w:val="clear" w:color="auto" w:fill="auto"/>
            <w:vAlign w:val="center"/>
            <w:hideMark/>
          </w:tcPr>
          <w:p w14:paraId="5A7CA496"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60.19</w:t>
            </w:r>
          </w:p>
        </w:tc>
        <w:tc>
          <w:tcPr>
            <w:tcW w:w="716" w:type="dxa"/>
            <w:tcBorders>
              <w:top w:val="nil"/>
              <w:left w:val="nil"/>
              <w:bottom w:val="single" w:sz="4" w:space="0" w:color="D3D3D3"/>
              <w:right w:val="single" w:sz="4" w:space="0" w:color="D3D3D3"/>
            </w:tcBorders>
            <w:shd w:val="clear" w:color="auto" w:fill="auto"/>
            <w:vAlign w:val="center"/>
            <w:hideMark/>
          </w:tcPr>
          <w:p w14:paraId="7AC30613"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59.45</w:t>
            </w:r>
          </w:p>
        </w:tc>
        <w:tc>
          <w:tcPr>
            <w:tcW w:w="736" w:type="dxa"/>
            <w:tcBorders>
              <w:top w:val="nil"/>
              <w:left w:val="nil"/>
              <w:bottom w:val="single" w:sz="4" w:space="0" w:color="D3D3D3"/>
              <w:right w:val="single" w:sz="4" w:space="0" w:color="D3D3D3"/>
            </w:tcBorders>
            <w:shd w:val="clear" w:color="auto" w:fill="auto"/>
            <w:vAlign w:val="center"/>
            <w:hideMark/>
          </w:tcPr>
          <w:p w14:paraId="26CD0336"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62.90</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2200EF48"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63.28</w:t>
            </w:r>
          </w:p>
        </w:tc>
        <w:tc>
          <w:tcPr>
            <w:tcW w:w="736" w:type="dxa"/>
            <w:tcBorders>
              <w:top w:val="nil"/>
              <w:left w:val="nil"/>
              <w:bottom w:val="single" w:sz="4" w:space="0" w:color="D3D3D3"/>
              <w:right w:val="single" w:sz="4" w:space="0" w:color="D3D3D3"/>
            </w:tcBorders>
            <w:shd w:val="clear" w:color="auto" w:fill="auto"/>
            <w:vAlign w:val="center"/>
            <w:hideMark/>
          </w:tcPr>
          <w:p w14:paraId="18E86DA2"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64.99</w:t>
            </w:r>
          </w:p>
        </w:tc>
        <w:tc>
          <w:tcPr>
            <w:tcW w:w="716" w:type="dxa"/>
            <w:tcBorders>
              <w:top w:val="nil"/>
              <w:left w:val="nil"/>
              <w:bottom w:val="single" w:sz="4" w:space="0" w:color="D3D3D3"/>
              <w:right w:val="single" w:sz="4" w:space="0" w:color="D3D3D3"/>
            </w:tcBorders>
            <w:shd w:val="clear" w:color="auto" w:fill="auto"/>
            <w:vAlign w:val="center"/>
            <w:hideMark/>
          </w:tcPr>
          <w:p w14:paraId="27C2967A"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68.43</w:t>
            </w:r>
          </w:p>
        </w:tc>
        <w:tc>
          <w:tcPr>
            <w:tcW w:w="736" w:type="dxa"/>
            <w:tcBorders>
              <w:top w:val="nil"/>
              <w:left w:val="nil"/>
              <w:bottom w:val="single" w:sz="4" w:space="0" w:color="D3D3D3"/>
              <w:right w:val="single" w:sz="4" w:space="0" w:color="D3D3D3"/>
            </w:tcBorders>
            <w:shd w:val="clear" w:color="auto" w:fill="auto"/>
            <w:vAlign w:val="center"/>
            <w:hideMark/>
          </w:tcPr>
          <w:p w14:paraId="6F1389C1"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68.70</w:t>
            </w:r>
          </w:p>
        </w:tc>
        <w:tc>
          <w:tcPr>
            <w:tcW w:w="716" w:type="dxa"/>
            <w:tcBorders>
              <w:top w:val="nil"/>
              <w:left w:val="nil"/>
              <w:bottom w:val="single" w:sz="4" w:space="0" w:color="D3D3D3"/>
              <w:right w:val="single" w:sz="4" w:space="0" w:color="D3D3D3"/>
            </w:tcBorders>
            <w:shd w:val="clear" w:color="auto" w:fill="auto"/>
            <w:vAlign w:val="center"/>
            <w:hideMark/>
          </w:tcPr>
          <w:p w14:paraId="5B989D3C"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69.94</w:t>
            </w:r>
          </w:p>
        </w:tc>
        <w:tc>
          <w:tcPr>
            <w:tcW w:w="736" w:type="dxa"/>
            <w:tcBorders>
              <w:top w:val="nil"/>
              <w:left w:val="nil"/>
              <w:bottom w:val="single" w:sz="4" w:space="0" w:color="D3D3D3"/>
              <w:right w:val="single" w:sz="4" w:space="0" w:color="D3D3D3"/>
            </w:tcBorders>
            <w:shd w:val="clear" w:color="auto" w:fill="auto"/>
            <w:vAlign w:val="center"/>
            <w:hideMark/>
          </w:tcPr>
          <w:p w14:paraId="08D4E4D6"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66.76</w:t>
            </w:r>
          </w:p>
        </w:tc>
        <w:tc>
          <w:tcPr>
            <w:tcW w:w="716" w:type="dxa"/>
            <w:tcBorders>
              <w:top w:val="single" w:sz="4" w:space="0" w:color="D3D3D3"/>
              <w:left w:val="nil"/>
              <w:bottom w:val="single" w:sz="4" w:space="0" w:color="D3D3D3"/>
              <w:right w:val="single" w:sz="4" w:space="0" w:color="D3D3D3"/>
            </w:tcBorders>
            <w:shd w:val="clear" w:color="auto" w:fill="auto"/>
            <w:vAlign w:val="center"/>
            <w:hideMark/>
          </w:tcPr>
          <w:p w14:paraId="6A5B97A4" w14:textId="77777777" w:rsidR="00A16E7E" w:rsidRPr="0092637A" w:rsidRDefault="00A16E7E" w:rsidP="008D5083">
            <w:pPr>
              <w:spacing w:after="0" w:line="240" w:lineRule="auto"/>
              <w:jc w:val="right"/>
              <w:rPr>
                <w:rFonts w:cs="Arial"/>
                <w:color w:val="000000"/>
                <w:szCs w:val="20"/>
              </w:rPr>
            </w:pPr>
            <w:r w:rsidRPr="0092637A">
              <w:rPr>
                <w:rFonts w:cs="Arial"/>
                <w:color w:val="000000"/>
                <w:szCs w:val="20"/>
              </w:rPr>
              <w:t>67.85</w:t>
            </w:r>
          </w:p>
        </w:tc>
      </w:tr>
    </w:tbl>
    <w:p w14:paraId="5D8F07AE" w14:textId="3326C3A2" w:rsidR="00D60B92" w:rsidRDefault="00F94BC8" w:rsidP="005E6E9E">
      <w:pPr>
        <w:pStyle w:val="Tableorfigurenote"/>
        <w:spacing w:after="360"/>
      </w:pPr>
      <w:r w:rsidRPr="00B8084A">
        <w:t>Note: Discrepancies may exist in the totals due to rounding.</w:t>
      </w:r>
    </w:p>
    <w:p w14:paraId="2D8A1351" w14:textId="016FA4DE" w:rsidR="006054C4" w:rsidRDefault="002A5CF6" w:rsidP="0092637A">
      <w:pPr>
        <w:pStyle w:val="Figureheading"/>
      </w:pPr>
      <w:r>
        <w:t>Average p</w:t>
      </w:r>
      <w:r w:rsidR="0092637A">
        <w:t>ercentage of Australian content claimed by primary channels</w:t>
      </w:r>
      <w:r w:rsidR="00DE1A77">
        <w:t xml:space="preserve">, </w:t>
      </w:r>
      <w:r w:rsidR="0092637A">
        <w:t>2012</w:t>
      </w:r>
      <w:r w:rsidR="00DE1A77">
        <w:t xml:space="preserve"> to </w:t>
      </w:r>
      <w:r w:rsidR="0092637A">
        <w:t>2021</w:t>
      </w:r>
    </w:p>
    <w:p w14:paraId="6E4C107A" w14:textId="46F89D44" w:rsidR="004501A2" w:rsidRDefault="006679BE" w:rsidP="00D60B92">
      <w:pPr>
        <w:pStyle w:val="Paragraph"/>
      </w:pPr>
      <w:r>
        <w:rPr>
          <w:noProof/>
        </w:rPr>
        <w:drawing>
          <wp:inline distT="0" distB="0" distL="0" distR="0" wp14:anchorId="1EECEE36" wp14:editId="6BBB272E">
            <wp:extent cx="5915025" cy="2600325"/>
            <wp:effectExtent l="0" t="0" r="0" b="0"/>
            <wp:docPr id="2" name="Chart 2"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02880C0B-5C86-4E03-9AC6-AAD349D47FC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r w:rsidR="004501A2">
        <w:br w:type="page"/>
      </w:r>
    </w:p>
    <w:p w14:paraId="38A8F44B" w14:textId="25BCB04D" w:rsidR="006054C4" w:rsidRPr="006054C4" w:rsidRDefault="001A6F90" w:rsidP="00A6011F">
      <w:pPr>
        <w:pStyle w:val="Heading2"/>
        <w:spacing w:after="120"/>
      </w:pPr>
      <w:bookmarkStart w:id="5" w:name="_Toc112835080"/>
      <w:r w:rsidRPr="00E60F13">
        <w:lastRenderedPageBreak/>
        <w:t>Non-primary channel by network</w:t>
      </w:r>
      <w:r w:rsidR="00DE1A77" w:rsidRPr="00E60F13">
        <w:t>,</w:t>
      </w:r>
      <w:r w:rsidRPr="00E60F13">
        <w:t xml:space="preserve"> 201</w:t>
      </w:r>
      <w:r w:rsidR="00586B76" w:rsidRPr="00E60F13">
        <w:t>3</w:t>
      </w:r>
      <w:r w:rsidR="00DE1A77" w:rsidRPr="00E60F13">
        <w:t xml:space="preserve"> to </w:t>
      </w:r>
      <w:r w:rsidRPr="00E60F13">
        <w:t>2021</w:t>
      </w:r>
      <w:bookmarkEnd w:id="5"/>
    </w:p>
    <w:p w14:paraId="35AA5757" w14:textId="3CE1FB86" w:rsidR="006054C4" w:rsidRPr="00A17B1B" w:rsidRDefault="002A5CF6" w:rsidP="006054C4">
      <w:pPr>
        <w:pStyle w:val="Tableheading"/>
        <w:keepLines/>
      </w:pPr>
      <w:r>
        <w:t>Average h</w:t>
      </w:r>
      <w:r w:rsidR="00117232">
        <w:t xml:space="preserve">ours </w:t>
      </w:r>
      <w:r w:rsidR="006054C4">
        <w:t>of Australian content claimed by non-primary channels</w:t>
      </w:r>
      <w:r w:rsidR="00DE1A77">
        <w:t xml:space="preserve">, </w:t>
      </w:r>
      <w:r w:rsidR="006054C4">
        <w:t>201</w:t>
      </w:r>
      <w:r w:rsidR="00586B76">
        <w:t>3</w:t>
      </w:r>
      <w:r w:rsidR="00DE1A77">
        <w:t xml:space="preserve"> to </w:t>
      </w:r>
      <w:r w:rsidR="006054C4">
        <w:t>2021</w:t>
      </w:r>
    </w:p>
    <w:tbl>
      <w:tblPr>
        <w:tblW w:w="10327" w:type="dxa"/>
        <w:tblCellMar>
          <w:top w:w="57" w:type="dxa"/>
          <w:left w:w="57" w:type="dxa"/>
          <w:bottom w:w="57" w:type="dxa"/>
          <w:right w:w="57" w:type="dxa"/>
        </w:tblCellMar>
        <w:tblLook w:val="04A0" w:firstRow="1" w:lastRow="0" w:firstColumn="1" w:lastColumn="0" w:noHBand="0" w:noVBand="1"/>
      </w:tblPr>
      <w:tblGrid>
        <w:gridCol w:w="1782"/>
        <w:gridCol w:w="995"/>
        <w:gridCol w:w="943"/>
        <w:gridCol w:w="943"/>
        <w:gridCol w:w="944"/>
        <w:gridCol w:w="944"/>
        <w:gridCol w:w="944"/>
        <w:gridCol w:w="944"/>
        <w:gridCol w:w="944"/>
        <w:gridCol w:w="944"/>
      </w:tblGrid>
      <w:tr w:rsidR="00E60F13" w:rsidRPr="00586B76" w14:paraId="5417328B" w14:textId="77777777" w:rsidTr="00FB4153">
        <w:trPr>
          <w:trHeight w:val="32"/>
        </w:trPr>
        <w:tc>
          <w:tcPr>
            <w:tcW w:w="1782" w:type="dxa"/>
            <w:vMerge w:val="restart"/>
            <w:tcBorders>
              <w:top w:val="nil"/>
              <w:left w:val="single" w:sz="4" w:space="0" w:color="D3D3D3"/>
              <w:right w:val="single" w:sz="4" w:space="0" w:color="D3D3D3"/>
            </w:tcBorders>
            <w:shd w:val="clear" w:color="auto" w:fill="39457C"/>
            <w:vAlign w:val="center"/>
          </w:tcPr>
          <w:p w14:paraId="5F4A7DE1" w14:textId="180700D5" w:rsidR="00E60F13" w:rsidRPr="00E60F13" w:rsidRDefault="00E60F13" w:rsidP="00E60F13">
            <w:pPr>
              <w:spacing w:after="0" w:line="240" w:lineRule="auto"/>
              <w:rPr>
                <w:rFonts w:cs="Arial"/>
                <w:b/>
                <w:bCs/>
                <w:color w:val="000000"/>
                <w:szCs w:val="20"/>
              </w:rPr>
            </w:pPr>
            <w:r>
              <w:rPr>
                <w:rFonts w:cs="Arial"/>
                <w:b/>
                <w:bCs/>
                <w:color w:val="FFFFFF"/>
                <w:szCs w:val="20"/>
              </w:rPr>
              <w:t>Network</w:t>
            </w:r>
          </w:p>
        </w:tc>
        <w:tc>
          <w:tcPr>
            <w:tcW w:w="8545" w:type="dxa"/>
            <w:gridSpan w:val="9"/>
            <w:tcBorders>
              <w:left w:val="nil"/>
              <w:bottom w:val="single" w:sz="4" w:space="0" w:color="D3D3D3"/>
              <w:right w:val="single" w:sz="4" w:space="0" w:color="D3D3D3"/>
            </w:tcBorders>
            <w:shd w:val="clear" w:color="auto" w:fill="8995C9"/>
            <w:vAlign w:val="center"/>
          </w:tcPr>
          <w:p w14:paraId="74C8BD68" w14:textId="447B18F3" w:rsidR="00E60F13" w:rsidRPr="00586B76" w:rsidRDefault="00E60F13" w:rsidP="00E60F13">
            <w:pPr>
              <w:spacing w:after="0" w:line="240" w:lineRule="auto"/>
              <w:jc w:val="center"/>
              <w:rPr>
                <w:rFonts w:cs="Arial"/>
                <w:color w:val="000000"/>
                <w:szCs w:val="20"/>
              </w:rPr>
            </w:pPr>
            <w:r w:rsidRPr="00586B76">
              <w:rPr>
                <w:rFonts w:cs="Arial"/>
                <w:b/>
                <w:bCs/>
                <w:color w:val="FFFFFF"/>
                <w:szCs w:val="20"/>
              </w:rPr>
              <w:t>Minimum annual requirement</w:t>
            </w:r>
            <w:r>
              <w:rPr>
                <w:rFonts w:cs="Arial"/>
                <w:b/>
                <w:bCs/>
                <w:color w:val="FFFFFF"/>
                <w:szCs w:val="20"/>
              </w:rPr>
              <w:t xml:space="preserve"> – h</w:t>
            </w:r>
            <w:r w:rsidRPr="00586B76">
              <w:rPr>
                <w:rFonts w:cs="Arial"/>
                <w:b/>
                <w:bCs/>
                <w:color w:val="FFFFFF"/>
                <w:szCs w:val="20"/>
              </w:rPr>
              <w:t>ours broadcast between 6</w:t>
            </w:r>
            <w:r>
              <w:rPr>
                <w:rFonts w:cs="Arial"/>
                <w:b/>
                <w:bCs/>
                <w:color w:val="FFFFFF"/>
                <w:szCs w:val="20"/>
              </w:rPr>
              <w:t xml:space="preserve"> </w:t>
            </w:r>
            <w:r w:rsidRPr="00586B76">
              <w:rPr>
                <w:rFonts w:cs="Arial"/>
                <w:b/>
                <w:bCs/>
                <w:color w:val="FFFFFF"/>
                <w:szCs w:val="20"/>
              </w:rPr>
              <w:t>am and midnight</w:t>
            </w:r>
            <w:r>
              <w:rPr>
                <w:rFonts w:cs="Arial"/>
                <w:b/>
                <w:bCs/>
                <w:color w:val="FFFFFF"/>
                <w:szCs w:val="20"/>
              </w:rPr>
              <w:t>:</w:t>
            </w:r>
          </w:p>
        </w:tc>
      </w:tr>
      <w:tr w:rsidR="00E60F13" w:rsidRPr="00586B76" w14:paraId="7866BBCF" w14:textId="77777777" w:rsidTr="00FB4153">
        <w:trPr>
          <w:trHeight w:val="32"/>
        </w:trPr>
        <w:tc>
          <w:tcPr>
            <w:tcW w:w="1782" w:type="dxa"/>
            <w:vMerge/>
            <w:tcBorders>
              <w:left w:val="single" w:sz="4" w:space="0" w:color="D3D3D3"/>
              <w:right w:val="single" w:sz="4" w:space="0" w:color="D3D3D3"/>
            </w:tcBorders>
            <w:shd w:val="clear" w:color="auto" w:fill="39457C"/>
            <w:vAlign w:val="center"/>
          </w:tcPr>
          <w:p w14:paraId="3FD1941C" w14:textId="51A73E1F" w:rsidR="00E60F13" w:rsidRPr="00E60F13" w:rsidRDefault="00E60F13" w:rsidP="00E60F13">
            <w:pPr>
              <w:spacing w:after="0" w:line="240" w:lineRule="auto"/>
              <w:rPr>
                <w:rFonts w:cs="Arial"/>
                <w:b/>
                <w:bCs/>
                <w:color w:val="000000"/>
                <w:szCs w:val="20"/>
              </w:rPr>
            </w:pPr>
          </w:p>
        </w:tc>
        <w:tc>
          <w:tcPr>
            <w:tcW w:w="995" w:type="dxa"/>
            <w:tcBorders>
              <w:left w:val="nil"/>
              <w:bottom w:val="single" w:sz="4" w:space="0" w:color="D3D3D3"/>
              <w:right w:val="single" w:sz="4" w:space="0" w:color="D3D3D3"/>
            </w:tcBorders>
            <w:shd w:val="clear" w:color="auto" w:fill="8995C9"/>
            <w:vAlign w:val="center"/>
          </w:tcPr>
          <w:p w14:paraId="662BD1BB" w14:textId="1AD3FAF5"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730</w:t>
            </w:r>
          </w:p>
        </w:tc>
        <w:tc>
          <w:tcPr>
            <w:tcW w:w="943" w:type="dxa"/>
            <w:tcBorders>
              <w:left w:val="nil"/>
              <w:bottom w:val="single" w:sz="4" w:space="0" w:color="D3D3D3"/>
              <w:right w:val="single" w:sz="4" w:space="0" w:color="D3D3D3"/>
            </w:tcBorders>
            <w:shd w:val="clear" w:color="auto" w:fill="8995C9"/>
            <w:vAlign w:val="center"/>
          </w:tcPr>
          <w:p w14:paraId="3A19F1CA" w14:textId="514F3F2D"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1,095</w:t>
            </w:r>
          </w:p>
        </w:tc>
        <w:tc>
          <w:tcPr>
            <w:tcW w:w="943" w:type="dxa"/>
            <w:tcBorders>
              <w:left w:val="nil"/>
              <w:bottom w:val="single" w:sz="4" w:space="0" w:color="D3D3D3"/>
              <w:right w:val="single" w:sz="4" w:space="0" w:color="D3D3D3"/>
            </w:tcBorders>
            <w:shd w:val="clear" w:color="auto" w:fill="8995C9"/>
            <w:vAlign w:val="center"/>
          </w:tcPr>
          <w:p w14:paraId="105D99B8" w14:textId="683787B3"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71DED852" w14:textId="355DBC83"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0D1DAFA3" w14:textId="6815C94D"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46E7BEC8" w14:textId="26D87567"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438ECBD5" w14:textId="591CAF82"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582E87AA" w14:textId="3C85E5D1"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c>
          <w:tcPr>
            <w:tcW w:w="944" w:type="dxa"/>
            <w:tcBorders>
              <w:left w:val="nil"/>
              <w:bottom w:val="single" w:sz="4" w:space="0" w:color="D3D3D3"/>
              <w:right w:val="single" w:sz="4" w:space="0" w:color="D3D3D3"/>
            </w:tcBorders>
            <w:shd w:val="clear" w:color="auto" w:fill="8995C9"/>
            <w:vAlign w:val="center"/>
          </w:tcPr>
          <w:p w14:paraId="0C176412" w14:textId="77CE69B9"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1,460</w:t>
            </w:r>
          </w:p>
        </w:tc>
      </w:tr>
      <w:tr w:rsidR="00E60F13" w:rsidRPr="00586B76" w14:paraId="57FAE169" w14:textId="77777777" w:rsidTr="00FB4153">
        <w:trPr>
          <w:trHeight w:val="32"/>
        </w:trPr>
        <w:tc>
          <w:tcPr>
            <w:tcW w:w="1782" w:type="dxa"/>
            <w:vMerge/>
            <w:tcBorders>
              <w:left w:val="single" w:sz="4" w:space="0" w:color="D3D3D3"/>
              <w:bottom w:val="single" w:sz="4" w:space="0" w:color="D3D3D3"/>
              <w:right w:val="single" w:sz="4" w:space="0" w:color="D3D3D3"/>
            </w:tcBorders>
            <w:shd w:val="clear" w:color="auto" w:fill="39457C"/>
            <w:vAlign w:val="center"/>
          </w:tcPr>
          <w:p w14:paraId="27212C0E" w14:textId="12D425A0" w:rsidR="00E60F13" w:rsidRPr="00E60F13" w:rsidRDefault="00E60F13" w:rsidP="00E60F13">
            <w:pPr>
              <w:spacing w:after="0" w:line="240" w:lineRule="auto"/>
              <w:rPr>
                <w:rFonts w:cs="Arial"/>
                <w:b/>
                <w:bCs/>
                <w:color w:val="000000"/>
                <w:szCs w:val="20"/>
              </w:rPr>
            </w:pPr>
          </w:p>
        </w:tc>
        <w:tc>
          <w:tcPr>
            <w:tcW w:w="995" w:type="dxa"/>
            <w:tcBorders>
              <w:left w:val="nil"/>
              <w:bottom w:val="single" w:sz="4" w:space="0" w:color="D3D3D3"/>
              <w:right w:val="single" w:sz="4" w:space="0" w:color="D3D3D3"/>
            </w:tcBorders>
            <w:shd w:val="clear" w:color="auto" w:fill="39457C"/>
            <w:vAlign w:val="center"/>
          </w:tcPr>
          <w:p w14:paraId="3EA3D1C7" w14:textId="00422A29"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2013</w:t>
            </w:r>
          </w:p>
        </w:tc>
        <w:tc>
          <w:tcPr>
            <w:tcW w:w="943" w:type="dxa"/>
            <w:tcBorders>
              <w:left w:val="nil"/>
              <w:bottom w:val="single" w:sz="4" w:space="0" w:color="D3D3D3"/>
              <w:right w:val="single" w:sz="4" w:space="0" w:color="D3D3D3"/>
            </w:tcBorders>
            <w:shd w:val="clear" w:color="auto" w:fill="39457C"/>
            <w:vAlign w:val="center"/>
          </w:tcPr>
          <w:p w14:paraId="2DB39E14" w14:textId="055812BB"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2014</w:t>
            </w:r>
          </w:p>
        </w:tc>
        <w:tc>
          <w:tcPr>
            <w:tcW w:w="943" w:type="dxa"/>
            <w:tcBorders>
              <w:left w:val="nil"/>
              <w:bottom w:val="single" w:sz="4" w:space="0" w:color="D3D3D3"/>
              <w:right w:val="single" w:sz="4" w:space="0" w:color="D3D3D3"/>
            </w:tcBorders>
            <w:shd w:val="clear" w:color="auto" w:fill="39457C"/>
            <w:vAlign w:val="center"/>
          </w:tcPr>
          <w:p w14:paraId="5EC4367D" w14:textId="1ED34D61"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2015</w:t>
            </w:r>
          </w:p>
        </w:tc>
        <w:tc>
          <w:tcPr>
            <w:tcW w:w="944" w:type="dxa"/>
            <w:tcBorders>
              <w:left w:val="nil"/>
              <w:bottom w:val="single" w:sz="4" w:space="0" w:color="D3D3D3"/>
              <w:right w:val="single" w:sz="4" w:space="0" w:color="D3D3D3"/>
            </w:tcBorders>
            <w:shd w:val="clear" w:color="auto" w:fill="39457C"/>
            <w:vAlign w:val="center"/>
          </w:tcPr>
          <w:p w14:paraId="286B2F5B" w14:textId="2B4C41FD"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2016</w:t>
            </w:r>
          </w:p>
        </w:tc>
        <w:tc>
          <w:tcPr>
            <w:tcW w:w="944" w:type="dxa"/>
            <w:tcBorders>
              <w:left w:val="nil"/>
              <w:bottom w:val="single" w:sz="4" w:space="0" w:color="D3D3D3"/>
              <w:right w:val="single" w:sz="4" w:space="0" w:color="D3D3D3"/>
            </w:tcBorders>
            <w:shd w:val="clear" w:color="auto" w:fill="39457C"/>
            <w:vAlign w:val="center"/>
          </w:tcPr>
          <w:p w14:paraId="330476A6" w14:textId="278C5FF7"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2017</w:t>
            </w:r>
          </w:p>
        </w:tc>
        <w:tc>
          <w:tcPr>
            <w:tcW w:w="944" w:type="dxa"/>
            <w:tcBorders>
              <w:left w:val="nil"/>
              <w:bottom w:val="single" w:sz="4" w:space="0" w:color="D3D3D3"/>
              <w:right w:val="single" w:sz="4" w:space="0" w:color="D3D3D3"/>
            </w:tcBorders>
            <w:shd w:val="clear" w:color="auto" w:fill="39457C"/>
            <w:vAlign w:val="center"/>
          </w:tcPr>
          <w:p w14:paraId="4D4887CF" w14:textId="4F4A48C7"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2018</w:t>
            </w:r>
          </w:p>
        </w:tc>
        <w:tc>
          <w:tcPr>
            <w:tcW w:w="944" w:type="dxa"/>
            <w:tcBorders>
              <w:left w:val="nil"/>
              <w:bottom w:val="single" w:sz="4" w:space="0" w:color="D3D3D3"/>
              <w:right w:val="single" w:sz="4" w:space="0" w:color="D3D3D3"/>
            </w:tcBorders>
            <w:shd w:val="clear" w:color="auto" w:fill="39457C"/>
            <w:vAlign w:val="center"/>
          </w:tcPr>
          <w:p w14:paraId="728EF14E" w14:textId="6FD6EBC5"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2019</w:t>
            </w:r>
          </w:p>
        </w:tc>
        <w:tc>
          <w:tcPr>
            <w:tcW w:w="944" w:type="dxa"/>
            <w:tcBorders>
              <w:left w:val="nil"/>
              <w:bottom w:val="single" w:sz="4" w:space="0" w:color="D3D3D3"/>
              <w:right w:val="single" w:sz="4" w:space="0" w:color="D3D3D3"/>
            </w:tcBorders>
            <w:shd w:val="clear" w:color="auto" w:fill="39457C"/>
            <w:vAlign w:val="center"/>
          </w:tcPr>
          <w:p w14:paraId="70CC26C2" w14:textId="231FD543"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2020</w:t>
            </w:r>
          </w:p>
        </w:tc>
        <w:tc>
          <w:tcPr>
            <w:tcW w:w="944" w:type="dxa"/>
            <w:tcBorders>
              <w:left w:val="nil"/>
              <w:bottom w:val="single" w:sz="4" w:space="0" w:color="D3D3D3"/>
              <w:right w:val="single" w:sz="4" w:space="0" w:color="D3D3D3"/>
            </w:tcBorders>
            <w:shd w:val="clear" w:color="auto" w:fill="39457C"/>
            <w:vAlign w:val="center"/>
          </w:tcPr>
          <w:p w14:paraId="62F7D031" w14:textId="17452603" w:rsidR="00E60F13" w:rsidRPr="00586B76" w:rsidRDefault="00E60F13" w:rsidP="00E60F13">
            <w:pPr>
              <w:spacing w:after="0" w:line="240" w:lineRule="auto"/>
              <w:jc w:val="right"/>
              <w:rPr>
                <w:rFonts w:cs="Arial"/>
                <w:color w:val="000000"/>
                <w:szCs w:val="20"/>
              </w:rPr>
            </w:pPr>
            <w:r w:rsidRPr="00586B76">
              <w:rPr>
                <w:rFonts w:cs="Arial"/>
                <w:b/>
                <w:bCs/>
                <w:color w:val="FFFFFF"/>
                <w:szCs w:val="20"/>
              </w:rPr>
              <w:t>2021</w:t>
            </w:r>
          </w:p>
        </w:tc>
      </w:tr>
      <w:tr w:rsidR="00DD6CA4" w:rsidRPr="00586B76" w14:paraId="7D7AD1D2" w14:textId="77777777" w:rsidTr="008D5083">
        <w:trPr>
          <w:trHeight w:val="32"/>
        </w:trPr>
        <w:tc>
          <w:tcPr>
            <w:tcW w:w="1782" w:type="dxa"/>
            <w:tcBorders>
              <w:top w:val="nil"/>
              <w:left w:val="single" w:sz="4" w:space="0" w:color="D3D3D3"/>
              <w:bottom w:val="single" w:sz="4" w:space="0" w:color="D3D3D3"/>
              <w:right w:val="single" w:sz="4" w:space="0" w:color="D3D3D3"/>
            </w:tcBorders>
            <w:shd w:val="clear" w:color="auto" w:fill="auto"/>
            <w:vAlign w:val="center"/>
            <w:hideMark/>
          </w:tcPr>
          <w:p w14:paraId="0CB31509" w14:textId="35DDB668" w:rsidR="001A6F90" w:rsidRPr="00586B76" w:rsidRDefault="00586B76" w:rsidP="00B35FA9">
            <w:pPr>
              <w:spacing w:after="0" w:line="240" w:lineRule="auto"/>
              <w:rPr>
                <w:rFonts w:cs="Arial"/>
                <w:color w:val="000000"/>
                <w:szCs w:val="20"/>
              </w:rPr>
            </w:pPr>
            <w:r w:rsidRPr="008D5083">
              <w:rPr>
                <w:rFonts w:cs="Arial"/>
                <w:b/>
                <w:bCs/>
                <w:color w:val="000000"/>
                <w:szCs w:val="20"/>
              </w:rPr>
              <w:t>Seven</w:t>
            </w:r>
            <w:r w:rsidR="00DE1A77">
              <w:rPr>
                <w:rFonts w:cs="Arial"/>
                <w:color w:val="000000"/>
                <w:szCs w:val="20"/>
              </w:rPr>
              <w:t>:</w:t>
            </w:r>
            <w:r w:rsidRPr="00586B76">
              <w:rPr>
                <w:rFonts w:cs="Arial"/>
                <w:color w:val="000000"/>
                <w:szCs w:val="20"/>
              </w:rPr>
              <w:t xml:space="preserve"> a</w:t>
            </w:r>
            <w:r w:rsidR="001A6F90" w:rsidRPr="00586B76">
              <w:rPr>
                <w:rFonts w:cs="Arial"/>
                <w:color w:val="000000"/>
                <w:szCs w:val="20"/>
              </w:rPr>
              <w:t xml:space="preserve">verage </w:t>
            </w:r>
            <w:r w:rsidRPr="00586B76">
              <w:rPr>
                <w:rFonts w:cs="Arial"/>
                <w:color w:val="000000"/>
                <w:szCs w:val="20"/>
              </w:rPr>
              <w:t>h</w:t>
            </w:r>
            <w:r w:rsidR="001A6F90" w:rsidRPr="00586B76">
              <w:rPr>
                <w:rFonts w:cs="Arial"/>
                <w:color w:val="000000"/>
                <w:szCs w:val="20"/>
              </w:rPr>
              <w:t xml:space="preserve">ours </w:t>
            </w:r>
            <w:r w:rsidRPr="00586B76">
              <w:rPr>
                <w:rFonts w:cs="Arial"/>
                <w:color w:val="000000"/>
                <w:szCs w:val="20"/>
              </w:rPr>
              <w:t>c</w:t>
            </w:r>
            <w:r w:rsidR="001A6F90" w:rsidRPr="00586B76">
              <w:rPr>
                <w:rFonts w:cs="Arial"/>
                <w:color w:val="000000"/>
                <w:szCs w:val="20"/>
              </w:rPr>
              <w:t>laimed</w:t>
            </w:r>
          </w:p>
        </w:tc>
        <w:tc>
          <w:tcPr>
            <w:tcW w:w="995" w:type="dxa"/>
            <w:tcBorders>
              <w:left w:val="nil"/>
              <w:bottom w:val="single" w:sz="4" w:space="0" w:color="D3D3D3"/>
              <w:right w:val="single" w:sz="4" w:space="0" w:color="D3D3D3"/>
            </w:tcBorders>
            <w:shd w:val="clear" w:color="auto" w:fill="auto"/>
            <w:vAlign w:val="center"/>
            <w:hideMark/>
          </w:tcPr>
          <w:p w14:paraId="4D3AAB0C"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2,393.28</w:t>
            </w:r>
          </w:p>
        </w:tc>
        <w:tc>
          <w:tcPr>
            <w:tcW w:w="943" w:type="dxa"/>
            <w:tcBorders>
              <w:left w:val="nil"/>
              <w:bottom w:val="single" w:sz="4" w:space="0" w:color="D3D3D3"/>
              <w:right w:val="single" w:sz="4" w:space="0" w:color="D3D3D3"/>
            </w:tcBorders>
            <w:shd w:val="clear" w:color="auto" w:fill="auto"/>
            <w:vAlign w:val="center"/>
            <w:hideMark/>
          </w:tcPr>
          <w:p w14:paraId="5EC0CEB6"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3,092.21</w:t>
            </w:r>
          </w:p>
        </w:tc>
        <w:tc>
          <w:tcPr>
            <w:tcW w:w="943" w:type="dxa"/>
            <w:tcBorders>
              <w:left w:val="nil"/>
              <w:bottom w:val="single" w:sz="4" w:space="0" w:color="D3D3D3"/>
              <w:right w:val="single" w:sz="4" w:space="0" w:color="D3D3D3"/>
            </w:tcBorders>
            <w:shd w:val="clear" w:color="auto" w:fill="auto"/>
            <w:vAlign w:val="center"/>
            <w:hideMark/>
          </w:tcPr>
          <w:p w14:paraId="25C716C7"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2,959.96</w:t>
            </w:r>
          </w:p>
        </w:tc>
        <w:tc>
          <w:tcPr>
            <w:tcW w:w="944" w:type="dxa"/>
            <w:tcBorders>
              <w:left w:val="nil"/>
              <w:bottom w:val="single" w:sz="4" w:space="0" w:color="D3D3D3"/>
              <w:right w:val="single" w:sz="4" w:space="0" w:color="D3D3D3"/>
            </w:tcBorders>
            <w:shd w:val="clear" w:color="auto" w:fill="auto"/>
            <w:vAlign w:val="center"/>
            <w:hideMark/>
          </w:tcPr>
          <w:p w14:paraId="61C19107"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4,162.95</w:t>
            </w:r>
          </w:p>
        </w:tc>
        <w:tc>
          <w:tcPr>
            <w:tcW w:w="944" w:type="dxa"/>
            <w:tcBorders>
              <w:left w:val="nil"/>
              <w:bottom w:val="single" w:sz="4" w:space="0" w:color="D3D3D3"/>
              <w:right w:val="single" w:sz="4" w:space="0" w:color="D3D3D3"/>
            </w:tcBorders>
            <w:shd w:val="clear" w:color="auto" w:fill="auto"/>
            <w:vAlign w:val="center"/>
            <w:hideMark/>
          </w:tcPr>
          <w:p w14:paraId="59E5B759"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4,501.88</w:t>
            </w:r>
          </w:p>
        </w:tc>
        <w:tc>
          <w:tcPr>
            <w:tcW w:w="944" w:type="dxa"/>
            <w:tcBorders>
              <w:left w:val="nil"/>
              <w:bottom w:val="single" w:sz="4" w:space="0" w:color="D3D3D3"/>
              <w:right w:val="single" w:sz="4" w:space="0" w:color="D3D3D3"/>
            </w:tcBorders>
            <w:shd w:val="clear" w:color="auto" w:fill="auto"/>
            <w:vAlign w:val="center"/>
            <w:hideMark/>
          </w:tcPr>
          <w:p w14:paraId="5CB7AA32"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5,210.20</w:t>
            </w:r>
          </w:p>
        </w:tc>
        <w:tc>
          <w:tcPr>
            <w:tcW w:w="944" w:type="dxa"/>
            <w:tcBorders>
              <w:left w:val="nil"/>
              <w:bottom w:val="single" w:sz="4" w:space="0" w:color="D3D3D3"/>
              <w:right w:val="single" w:sz="4" w:space="0" w:color="D3D3D3"/>
            </w:tcBorders>
            <w:shd w:val="clear" w:color="auto" w:fill="auto"/>
            <w:vAlign w:val="center"/>
            <w:hideMark/>
          </w:tcPr>
          <w:p w14:paraId="0D092A57"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4,770.46</w:t>
            </w:r>
          </w:p>
        </w:tc>
        <w:tc>
          <w:tcPr>
            <w:tcW w:w="944" w:type="dxa"/>
            <w:tcBorders>
              <w:left w:val="nil"/>
              <w:bottom w:val="single" w:sz="4" w:space="0" w:color="D3D3D3"/>
              <w:right w:val="single" w:sz="4" w:space="0" w:color="D3D3D3"/>
            </w:tcBorders>
            <w:shd w:val="clear" w:color="auto" w:fill="auto"/>
            <w:vAlign w:val="center"/>
            <w:hideMark/>
          </w:tcPr>
          <w:p w14:paraId="33AA0DD8"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4,422.21</w:t>
            </w:r>
          </w:p>
        </w:tc>
        <w:tc>
          <w:tcPr>
            <w:tcW w:w="944" w:type="dxa"/>
            <w:tcBorders>
              <w:left w:val="nil"/>
              <w:bottom w:val="single" w:sz="4" w:space="0" w:color="D3D3D3"/>
              <w:right w:val="single" w:sz="4" w:space="0" w:color="D3D3D3"/>
            </w:tcBorders>
            <w:shd w:val="clear" w:color="auto" w:fill="auto"/>
            <w:vAlign w:val="center"/>
            <w:hideMark/>
          </w:tcPr>
          <w:p w14:paraId="1DE1E0D3"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5,307.00</w:t>
            </w:r>
          </w:p>
        </w:tc>
      </w:tr>
      <w:tr w:rsidR="00DD6CA4" w:rsidRPr="00586B76" w14:paraId="0C325206" w14:textId="77777777" w:rsidTr="008D5083">
        <w:trPr>
          <w:trHeight w:val="90"/>
        </w:trPr>
        <w:tc>
          <w:tcPr>
            <w:tcW w:w="1782" w:type="dxa"/>
            <w:tcBorders>
              <w:top w:val="nil"/>
              <w:left w:val="single" w:sz="4" w:space="0" w:color="D3D3D3"/>
              <w:bottom w:val="single" w:sz="4" w:space="0" w:color="D3D3D3"/>
              <w:right w:val="single" w:sz="4" w:space="0" w:color="D3D3D3"/>
            </w:tcBorders>
            <w:shd w:val="clear" w:color="auto" w:fill="auto"/>
            <w:vAlign w:val="center"/>
            <w:hideMark/>
          </w:tcPr>
          <w:p w14:paraId="3692BE3C" w14:textId="6D6B65E7" w:rsidR="001A6F90" w:rsidRPr="00586B76" w:rsidRDefault="00586B76" w:rsidP="00B35FA9">
            <w:pPr>
              <w:spacing w:after="0" w:line="240" w:lineRule="auto"/>
              <w:rPr>
                <w:rFonts w:cs="Arial"/>
                <w:color w:val="000000"/>
                <w:szCs w:val="20"/>
              </w:rPr>
            </w:pPr>
            <w:r w:rsidRPr="008D5083">
              <w:rPr>
                <w:rFonts w:cs="Arial"/>
                <w:b/>
                <w:bCs/>
                <w:color w:val="000000"/>
                <w:szCs w:val="20"/>
              </w:rPr>
              <w:t>Nine</w:t>
            </w:r>
            <w:r w:rsidR="00DE1A77">
              <w:rPr>
                <w:rFonts w:cs="Arial"/>
                <w:color w:val="000000"/>
                <w:szCs w:val="20"/>
              </w:rPr>
              <w:t>:</w:t>
            </w:r>
            <w:r w:rsidRPr="00586B76">
              <w:rPr>
                <w:rFonts w:cs="Arial"/>
                <w:color w:val="000000"/>
                <w:szCs w:val="20"/>
              </w:rPr>
              <w:t xml:space="preserve"> a</w:t>
            </w:r>
            <w:r w:rsidR="001A6F90" w:rsidRPr="00586B76">
              <w:rPr>
                <w:rFonts w:cs="Arial"/>
                <w:color w:val="000000"/>
                <w:szCs w:val="20"/>
              </w:rPr>
              <w:t xml:space="preserve">verage </w:t>
            </w:r>
            <w:r w:rsidRPr="00586B76">
              <w:rPr>
                <w:rFonts w:cs="Arial"/>
                <w:color w:val="000000"/>
                <w:szCs w:val="20"/>
              </w:rPr>
              <w:t>h</w:t>
            </w:r>
            <w:r w:rsidR="001A6F90" w:rsidRPr="00586B76">
              <w:rPr>
                <w:rFonts w:cs="Arial"/>
                <w:color w:val="000000"/>
                <w:szCs w:val="20"/>
              </w:rPr>
              <w:t xml:space="preserve">ours </w:t>
            </w:r>
            <w:r w:rsidRPr="00586B76">
              <w:rPr>
                <w:rFonts w:cs="Arial"/>
                <w:color w:val="000000"/>
                <w:szCs w:val="20"/>
              </w:rPr>
              <w:t>c</w:t>
            </w:r>
            <w:r w:rsidR="001A6F90" w:rsidRPr="00586B76">
              <w:rPr>
                <w:rFonts w:cs="Arial"/>
                <w:color w:val="000000"/>
                <w:szCs w:val="20"/>
              </w:rPr>
              <w:t>laimed</w:t>
            </w:r>
          </w:p>
        </w:tc>
        <w:tc>
          <w:tcPr>
            <w:tcW w:w="995" w:type="dxa"/>
            <w:tcBorders>
              <w:top w:val="nil"/>
              <w:left w:val="nil"/>
              <w:bottom w:val="single" w:sz="4" w:space="0" w:color="D3D3D3"/>
              <w:right w:val="single" w:sz="4" w:space="0" w:color="D3D3D3"/>
            </w:tcBorders>
            <w:shd w:val="clear" w:color="auto" w:fill="auto"/>
            <w:vAlign w:val="center"/>
            <w:hideMark/>
          </w:tcPr>
          <w:p w14:paraId="3698DE63"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1,935.73</w:t>
            </w:r>
          </w:p>
        </w:tc>
        <w:tc>
          <w:tcPr>
            <w:tcW w:w="943" w:type="dxa"/>
            <w:tcBorders>
              <w:top w:val="single" w:sz="4" w:space="0" w:color="D3D3D3"/>
              <w:left w:val="nil"/>
              <w:bottom w:val="single" w:sz="4" w:space="0" w:color="D3D3D3"/>
              <w:right w:val="single" w:sz="4" w:space="0" w:color="D3D3D3"/>
            </w:tcBorders>
            <w:shd w:val="clear" w:color="auto" w:fill="auto"/>
            <w:vAlign w:val="center"/>
            <w:hideMark/>
          </w:tcPr>
          <w:p w14:paraId="21984698"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1,662.32</w:t>
            </w:r>
          </w:p>
        </w:tc>
        <w:tc>
          <w:tcPr>
            <w:tcW w:w="943" w:type="dxa"/>
            <w:tcBorders>
              <w:top w:val="nil"/>
              <w:left w:val="nil"/>
              <w:bottom w:val="single" w:sz="4" w:space="0" w:color="D3D3D3"/>
              <w:right w:val="single" w:sz="4" w:space="0" w:color="D3D3D3"/>
            </w:tcBorders>
            <w:shd w:val="clear" w:color="auto" w:fill="auto"/>
            <w:vAlign w:val="center"/>
            <w:hideMark/>
          </w:tcPr>
          <w:p w14:paraId="69D90BC2"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1,604.04</w:t>
            </w:r>
          </w:p>
        </w:tc>
        <w:tc>
          <w:tcPr>
            <w:tcW w:w="944" w:type="dxa"/>
            <w:tcBorders>
              <w:top w:val="nil"/>
              <w:left w:val="nil"/>
              <w:bottom w:val="single" w:sz="4" w:space="0" w:color="D3D3D3"/>
              <w:right w:val="single" w:sz="4" w:space="0" w:color="D3D3D3"/>
            </w:tcBorders>
            <w:shd w:val="clear" w:color="auto" w:fill="auto"/>
            <w:vAlign w:val="center"/>
            <w:hideMark/>
          </w:tcPr>
          <w:p w14:paraId="46A509D0"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2,364.53</w:t>
            </w:r>
          </w:p>
        </w:tc>
        <w:tc>
          <w:tcPr>
            <w:tcW w:w="944" w:type="dxa"/>
            <w:tcBorders>
              <w:top w:val="nil"/>
              <w:left w:val="nil"/>
              <w:bottom w:val="single" w:sz="4" w:space="0" w:color="D3D3D3"/>
              <w:right w:val="single" w:sz="4" w:space="0" w:color="D3D3D3"/>
            </w:tcBorders>
            <w:shd w:val="clear" w:color="auto" w:fill="auto"/>
            <w:vAlign w:val="center"/>
            <w:hideMark/>
          </w:tcPr>
          <w:p w14:paraId="44763F76"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2,157.85</w:t>
            </w:r>
          </w:p>
        </w:tc>
        <w:tc>
          <w:tcPr>
            <w:tcW w:w="944" w:type="dxa"/>
            <w:tcBorders>
              <w:top w:val="single" w:sz="4" w:space="0" w:color="D3D3D3"/>
              <w:left w:val="nil"/>
              <w:bottom w:val="single" w:sz="4" w:space="0" w:color="D3D3D3"/>
              <w:right w:val="single" w:sz="4" w:space="0" w:color="D3D3D3"/>
            </w:tcBorders>
            <w:shd w:val="clear" w:color="auto" w:fill="auto"/>
            <w:vAlign w:val="center"/>
            <w:hideMark/>
          </w:tcPr>
          <w:p w14:paraId="076D75FA"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3,696.44</w:t>
            </w:r>
          </w:p>
        </w:tc>
        <w:tc>
          <w:tcPr>
            <w:tcW w:w="944" w:type="dxa"/>
            <w:tcBorders>
              <w:top w:val="nil"/>
              <w:left w:val="nil"/>
              <w:bottom w:val="single" w:sz="4" w:space="0" w:color="D3D3D3"/>
              <w:right w:val="single" w:sz="4" w:space="0" w:color="D3D3D3"/>
            </w:tcBorders>
            <w:shd w:val="clear" w:color="auto" w:fill="auto"/>
            <w:vAlign w:val="center"/>
            <w:hideMark/>
          </w:tcPr>
          <w:p w14:paraId="0D539EB6"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2,597.64</w:t>
            </w:r>
          </w:p>
        </w:tc>
        <w:tc>
          <w:tcPr>
            <w:tcW w:w="944" w:type="dxa"/>
            <w:tcBorders>
              <w:top w:val="nil"/>
              <w:left w:val="nil"/>
              <w:bottom w:val="single" w:sz="4" w:space="0" w:color="D3D3D3"/>
              <w:right w:val="single" w:sz="4" w:space="0" w:color="D3D3D3"/>
            </w:tcBorders>
            <w:shd w:val="clear" w:color="auto" w:fill="auto"/>
            <w:vAlign w:val="center"/>
            <w:hideMark/>
          </w:tcPr>
          <w:p w14:paraId="5BFC6A02"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2,519.95</w:t>
            </w:r>
          </w:p>
        </w:tc>
        <w:tc>
          <w:tcPr>
            <w:tcW w:w="944" w:type="dxa"/>
            <w:tcBorders>
              <w:top w:val="nil"/>
              <w:left w:val="nil"/>
              <w:bottom w:val="single" w:sz="4" w:space="0" w:color="D3D3D3"/>
              <w:right w:val="single" w:sz="4" w:space="0" w:color="D3D3D3"/>
            </w:tcBorders>
            <w:shd w:val="clear" w:color="auto" w:fill="auto"/>
            <w:vAlign w:val="center"/>
            <w:hideMark/>
          </w:tcPr>
          <w:p w14:paraId="7D7BA9E9"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2,230.33</w:t>
            </w:r>
          </w:p>
        </w:tc>
      </w:tr>
      <w:tr w:rsidR="00DD6CA4" w:rsidRPr="00586B76" w14:paraId="54DFD541" w14:textId="77777777" w:rsidTr="008D5083">
        <w:trPr>
          <w:trHeight w:val="138"/>
        </w:trPr>
        <w:tc>
          <w:tcPr>
            <w:tcW w:w="1782" w:type="dxa"/>
            <w:tcBorders>
              <w:top w:val="nil"/>
              <w:left w:val="single" w:sz="4" w:space="0" w:color="D3D3D3"/>
              <w:bottom w:val="single" w:sz="4" w:space="0" w:color="D3D3D3"/>
              <w:right w:val="single" w:sz="4" w:space="0" w:color="D3D3D3"/>
            </w:tcBorders>
            <w:shd w:val="clear" w:color="auto" w:fill="auto"/>
            <w:vAlign w:val="center"/>
            <w:hideMark/>
          </w:tcPr>
          <w:p w14:paraId="3B2EFD31" w14:textId="6DD49A3C" w:rsidR="001A6F90" w:rsidRPr="00586B76" w:rsidRDefault="00586B76" w:rsidP="00B35FA9">
            <w:pPr>
              <w:spacing w:after="0" w:line="240" w:lineRule="auto"/>
              <w:rPr>
                <w:rFonts w:cs="Arial"/>
                <w:color w:val="000000"/>
                <w:szCs w:val="20"/>
              </w:rPr>
            </w:pPr>
            <w:r w:rsidRPr="008D5083">
              <w:rPr>
                <w:rFonts w:cs="Arial"/>
                <w:b/>
                <w:bCs/>
                <w:color w:val="000000"/>
                <w:szCs w:val="20"/>
              </w:rPr>
              <w:t>Ten</w:t>
            </w:r>
            <w:r w:rsidR="00DE1A77">
              <w:rPr>
                <w:rFonts w:cs="Arial"/>
                <w:color w:val="000000"/>
                <w:szCs w:val="20"/>
              </w:rPr>
              <w:t>:</w:t>
            </w:r>
            <w:r w:rsidRPr="00586B76">
              <w:rPr>
                <w:rFonts w:cs="Arial"/>
                <w:color w:val="000000"/>
                <w:szCs w:val="20"/>
              </w:rPr>
              <w:t xml:space="preserve"> a</w:t>
            </w:r>
            <w:r w:rsidR="001A6F90" w:rsidRPr="00586B76">
              <w:rPr>
                <w:rFonts w:cs="Arial"/>
                <w:color w:val="000000"/>
                <w:szCs w:val="20"/>
              </w:rPr>
              <w:t xml:space="preserve">verage </w:t>
            </w:r>
            <w:r w:rsidRPr="00586B76">
              <w:rPr>
                <w:rFonts w:cs="Arial"/>
                <w:color w:val="000000"/>
                <w:szCs w:val="20"/>
              </w:rPr>
              <w:t>h</w:t>
            </w:r>
            <w:r w:rsidR="001A6F90" w:rsidRPr="00586B76">
              <w:rPr>
                <w:rFonts w:cs="Arial"/>
                <w:color w:val="000000"/>
                <w:szCs w:val="20"/>
              </w:rPr>
              <w:t xml:space="preserve">ours </w:t>
            </w:r>
            <w:r w:rsidRPr="00586B76">
              <w:rPr>
                <w:rFonts w:cs="Arial"/>
                <w:color w:val="000000"/>
                <w:szCs w:val="20"/>
              </w:rPr>
              <w:t>c</w:t>
            </w:r>
            <w:r w:rsidR="001A6F90" w:rsidRPr="00586B76">
              <w:rPr>
                <w:rFonts w:cs="Arial"/>
                <w:color w:val="000000"/>
                <w:szCs w:val="20"/>
              </w:rPr>
              <w:t>laimed</w:t>
            </w:r>
          </w:p>
        </w:tc>
        <w:tc>
          <w:tcPr>
            <w:tcW w:w="995" w:type="dxa"/>
            <w:tcBorders>
              <w:top w:val="nil"/>
              <w:left w:val="nil"/>
              <w:bottom w:val="single" w:sz="4" w:space="0" w:color="D3D3D3"/>
              <w:right w:val="single" w:sz="4" w:space="0" w:color="D3D3D3"/>
            </w:tcBorders>
            <w:shd w:val="clear" w:color="auto" w:fill="auto"/>
            <w:vAlign w:val="center"/>
            <w:hideMark/>
          </w:tcPr>
          <w:p w14:paraId="14B41F70"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2,365.92</w:t>
            </w:r>
          </w:p>
        </w:tc>
        <w:tc>
          <w:tcPr>
            <w:tcW w:w="943" w:type="dxa"/>
            <w:tcBorders>
              <w:top w:val="single" w:sz="4" w:space="0" w:color="D3D3D3"/>
              <w:left w:val="nil"/>
              <w:bottom w:val="single" w:sz="4" w:space="0" w:color="D3D3D3"/>
              <w:right w:val="single" w:sz="4" w:space="0" w:color="D3D3D3"/>
            </w:tcBorders>
            <w:shd w:val="clear" w:color="auto" w:fill="auto"/>
            <w:vAlign w:val="center"/>
            <w:hideMark/>
          </w:tcPr>
          <w:p w14:paraId="5D26CEF9"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3,490.59</w:t>
            </w:r>
          </w:p>
        </w:tc>
        <w:tc>
          <w:tcPr>
            <w:tcW w:w="943" w:type="dxa"/>
            <w:tcBorders>
              <w:top w:val="nil"/>
              <w:left w:val="nil"/>
              <w:bottom w:val="single" w:sz="4" w:space="0" w:color="D3D3D3"/>
              <w:right w:val="single" w:sz="4" w:space="0" w:color="D3D3D3"/>
            </w:tcBorders>
            <w:shd w:val="clear" w:color="auto" w:fill="auto"/>
            <w:vAlign w:val="center"/>
            <w:hideMark/>
          </w:tcPr>
          <w:p w14:paraId="34DF04A5"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4,077.94</w:t>
            </w:r>
          </w:p>
        </w:tc>
        <w:tc>
          <w:tcPr>
            <w:tcW w:w="944" w:type="dxa"/>
            <w:tcBorders>
              <w:top w:val="nil"/>
              <w:left w:val="nil"/>
              <w:bottom w:val="single" w:sz="4" w:space="0" w:color="D3D3D3"/>
              <w:right w:val="single" w:sz="4" w:space="0" w:color="D3D3D3"/>
            </w:tcBorders>
            <w:shd w:val="clear" w:color="auto" w:fill="auto"/>
            <w:vAlign w:val="center"/>
            <w:hideMark/>
          </w:tcPr>
          <w:p w14:paraId="6AC1EDC7"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2,707.29</w:t>
            </w:r>
          </w:p>
        </w:tc>
        <w:tc>
          <w:tcPr>
            <w:tcW w:w="944" w:type="dxa"/>
            <w:tcBorders>
              <w:top w:val="nil"/>
              <w:left w:val="nil"/>
              <w:bottom w:val="single" w:sz="4" w:space="0" w:color="D3D3D3"/>
              <w:right w:val="single" w:sz="4" w:space="0" w:color="D3D3D3"/>
            </w:tcBorders>
            <w:shd w:val="clear" w:color="auto" w:fill="auto"/>
            <w:vAlign w:val="center"/>
            <w:hideMark/>
          </w:tcPr>
          <w:p w14:paraId="2CCBE235"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2,561.82</w:t>
            </w:r>
          </w:p>
        </w:tc>
        <w:tc>
          <w:tcPr>
            <w:tcW w:w="944" w:type="dxa"/>
            <w:tcBorders>
              <w:top w:val="single" w:sz="4" w:space="0" w:color="D3D3D3"/>
              <w:left w:val="nil"/>
              <w:bottom w:val="single" w:sz="4" w:space="0" w:color="D3D3D3"/>
              <w:right w:val="single" w:sz="4" w:space="0" w:color="D3D3D3"/>
            </w:tcBorders>
            <w:shd w:val="clear" w:color="auto" w:fill="auto"/>
            <w:vAlign w:val="center"/>
            <w:hideMark/>
          </w:tcPr>
          <w:p w14:paraId="24B1C8D9"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2,696.83</w:t>
            </w:r>
          </w:p>
        </w:tc>
        <w:tc>
          <w:tcPr>
            <w:tcW w:w="944" w:type="dxa"/>
            <w:tcBorders>
              <w:top w:val="nil"/>
              <w:left w:val="nil"/>
              <w:bottom w:val="single" w:sz="4" w:space="0" w:color="D3D3D3"/>
              <w:right w:val="single" w:sz="4" w:space="0" w:color="D3D3D3"/>
            </w:tcBorders>
            <w:shd w:val="clear" w:color="auto" w:fill="auto"/>
            <w:vAlign w:val="center"/>
            <w:hideMark/>
          </w:tcPr>
          <w:p w14:paraId="5372EC25"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2,532.94</w:t>
            </w:r>
          </w:p>
        </w:tc>
        <w:tc>
          <w:tcPr>
            <w:tcW w:w="944" w:type="dxa"/>
            <w:tcBorders>
              <w:top w:val="nil"/>
              <w:left w:val="nil"/>
              <w:bottom w:val="single" w:sz="4" w:space="0" w:color="D3D3D3"/>
              <w:right w:val="single" w:sz="4" w:space="0" w:color="D3D3D3"/>
            </w:tcBorders>
            <w:shd w:val="clear" w:color="auto" w:fill="auto"/>
            <w:vAlign w:val="center"/>
            <w:hideMark/>
          </w:tcPr>
          <w:p w14:paraId="7ADA33EF"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2,063.53</w:t>
            </w:r>
          </w:p>
        </w:tc>
        <w:tc>
          <w:tcPr>
            <w:tcW w:w="944" w:type="dxa"/>
            <w:tcBorders>
              <w:top w:val="nil"/>
              <w:left w:val="nil"/>
              <w:bottom w:val="single" w:sz="4" w:space="0" w:color="D3D3D3"/>
              <w:right w:val="single" w:sz="4" w:space="0" w:color="D3D3D3"/>
            </w:tcBorders>
            <w:shd w:val="clear" w:color="auto" w:fill="auto"/>
            <w:vAlign w:val="center"/>
            <w:hideMark/>
          </w:tcPr>
          <w:p w14:paraId="200758A1" w14:textId="77777777" w:rsidR="001A6F90" w:rsidRPr="00586B76" w:rsidRDefault="001A6F90" w:rsidP="008D5083">
            <w:pPr>
              <w:spacing w:after="0" w:line="240" w:lineRule="auto"/>
              <w:jc w:val="right"/>
              <w:rPr>
                <w:rFonts w:cs="Arial"/>
                <w:color w:val="000000"/>
                <w:szCs w:val="20"/>
              </w:rPr>
            </w:pPr>
            <w:r w:rsidRPr="00586B76">
              <w:rPr>
                <w:rFonts w:cs="Arial"/>
                <w:color w:val="000000"/>
                <w:szCs w:val="20"/>
              </w:rPr>
              <w:t>1,727.38</w:t>
            </w:r>
          </w:p>
        </w:tc>
      </w:tr>
    </w:tbl>
    <w:p w14:paraId="7DC986F2" w14:textId="39C4D7E3" w:rsidR="00DD6CA4" w:rsidRDefault="00B8084A" w:rsidP="008D5083">
      <w:pPr>
        <w:pStyle w:val="Tableorfigurenote"/>
        <w:spacing w:after="360"/>
      </w:pPr>
      <w:r w:rsidRPr="00B8084A">
        <w:t>Note: Discrepancies may exist in the totals due to rounding. This quota requirement was</w:t>
      </w:r>
      <w:r>
        <w:t xml:space="preserve"> </w:t>
      </w:r>
      <w:r w:rsidR="00D80E2D">
        <w:t>i</w:t>
      </w:r>
      <w:r w:rsidRPr="00B8084A">
        <w:t>ntroduced in 2013.</w:t>
      </w:r>
    </w:p>
    <w:p w14:paraId="25A89CC6" w14:textId="4178F0E1" w:rsidR="0092637A" w:rsidRDefault="002A5CF6" w:rsidP="00B23653">
      <w:pPr>
        <w:pStyle w:val="Figureheading"/>
      </w:pPr>
      <w:r>
        <w:t>Average h</w:t>
      </w:r>
      <w:r w:rsidR="00117232">
        <w:t>ours</w:t>
      </w:r>
      <w:r w:rsidR="0092637A">
        <w:t xml:space="preserve"> of Australian content claimed by non-primary channels</w:t>
      </w:r>
      <w:r w:rsidR="00B23653">
        <w:t xml:space="preserve">, </w:t>
      </w:r>
      <w:r w:rsidR="0092637A">
        <w:t>201</w:t>
      </w:r>
      <w:r w:rsidR="00586B76">
        <w:t>3</w:t>
      </w:r>
      <w:r w:rsidR="00B23653">
        <w:t xml:space="preserve"> to </w:t>
      </w:r>
      <w:r w:rsidR="0092637A">
        <w:t>2021</w:t>
      </w:r>
    </w:p>
    <w:p w14:paraId="3AE0BDD8" w14:textId="463ADC33" w:rsidR="00BC02CA" w:rsidRDefault="00BC02CA" w:rsidP="003620D6">
      <w:pPr>
        <w:pStyle w:val="Paragraph"/>
        <w:rPr>
          <w:sz w:val="18"/>
          <w:szCs w:val="18"/>
        </w:rPr>
      </w:pPr>
      <w:r>
        <w:rPr>
          <w:noProof/>
        </w:rPr>
        <w:drawing>
          <wp:inline distT="0" distB="0" distL="0" distR="0" wp14:anchorId="5A0B8CB4" wp14:editId="7445282E">
            <wp:extent cx="6019800" cy="2857500"/>
            <wp:effectExtent l="0" t="0" r="0" b="0"/>
            <wp:docPr id="3" name="Chart 3"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E0915F49-7511-439A-BB89-64538AFD94A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408AC28" w14:textId="1BC14935" w:rsidR="004B3688" w:rsidRDefault="004B3688" w:rsidP="003620D6">
      <w:pPr>
        <w:pStyle w:val="Paragraph"/>
        <w:rPr>
          <w:sz w:val="18"/>
          <w:szCs w:val="18"/>
        </w:rPr>
      </w:pPr>
    </w:p>
    <w:p w14:paraId="01CC61ED" w14:textId="77777777" w:rsidR="00395779" w:rsidRDefault="00395779">
      <w:pPr>
        <w:spacing w:after="0" w:line="240" w:lineRule="auto"/>
        <w:rPr>
          <w:rFonts w:cs="Arial"/>
          <w:sz w:val="18"/>
          <w:szCs w:val="18"/>
        </w:rPr>
      </w:pPr>
      <w:r>
        <w:rPr>
          <w:bCs/>
          <w:sz w:val="18"/>
          <w:szCs w:val="18"/>
        </w:rPr>
        <w:br w:type="page"/>
      </w:r>
    </w:p>
    <w:p w14:paraId="0B2318E6" w14:textId="57BDAFF8" w:rsidR="00D60B92" w:rsidRDefault="0060082C" w:rsidP="00ED117B">
      <w:pPr>
        <w:pStyle w:val="Heading1"/>
      </w:pPr>
      <w:bookmarkStart w:id="6" w:name="_Toc112835081"/>
      <w:r>
        <w:lastRenderedPageBreak/>
        <w:t>Part 2</w:t>
      </w:r>
      <w:r w:rsidR="00B23653">
        <w:t xml:space="preserve">: </w:t>
      </w:r>
      <w:r w:rsidR="00E6313C">
        <w:t>First release</w:t>
      </w:r>
      <w:r w:rsidR="00D60B92" w:rsidRPr="00A4450A">
        <w:t xml:space="preserve"> Australian program points quota</w:t>
      </w:r>
      <w:bookmarkEnd w:id="6"/>
    </w:p>
    <w:p w14:paraId="29855F05" w14:textId="111E8A8B" w:rsidR="00D60B92" w:rsidRPr="00D60B92" w:rsidRDefault="00D60B92" w:rsidP="00D60B92">
      <w:pPr>
        <w:pStyle w:val="Heading2"/>
      </w:pPr>
      <w:bookmarkStart w:id="7" w:name="_Toc112835082"/>
      <w:r w:rsidRPr="00D60B92">
        <w:t xml:space="preserve">Compliance obligations – </w:t>
      </w:r>
      <w:r>
        <w:t xml:space="preserve">points </w:t>
      </w:r>
      <w:r w:rsidRPr="00D60B92">
        <w:t>quota</w:t>
      </w:r>
      <w:bookmarkEnd w:id="7"/>
    </w:p>
    <w:p w14:paraId="7C339B33" w14:textId="688499C5" w:rsidR="00D60B92" w:rsidRPr="00D60B92" w:rsidRDefault="00D60B92" w:rsidP="008D5083">
      <w:pPr>
        <w:pStyle w:val="Paragraphbeforelist"/>
      </w:pPr>
      <w:r w:rsidRPr="00D60B92">
        <w:t xml:space="preserve">The </w:t>
      </w:r>
      <w:hyperlink r:id="rId27" w:history="1">
        <w:r w:rsidRPr="00D60B92">
          <w:rPr>
            <w:color w:val="0000FF"/>
            <w:u w:val="single" w:color="0000FF"/>
          </w:rPr>
          <w:t>ACCTS</w:t>
        </w:r>
      </w:hyperlink>
      <w:r>
        <w:rPr>
          <w:color w:val="0000FF"/>
          <w:u w:val="single" w:color="0000FF"/>
        </w:rPr>
        <w:t xml:space="preserve"> </w:t>
      </w:r>
      <w:r>
        <w:t>c</w:t>
      </w:r>
      <w:r w:rsidRPr="00D60B92">
        <w:t xml:space="preserve">ommenced on 1 January 2021. </w:t>
      </w:r>
      <w:r w:rsidR="00B23653">
        <w:t xml:space="preserve">It </w:t>
      </w:r>
      <w:r w:rsidRPr="00D60B92">
        <w:t>requires commercial television licensees to broadcast at least 250 points of first release Australian programs, across certain genres, each calendar year. The genres include:</w:t>
      </w:r>
    </w:p>
    <w:p w14:paraId="7D8299C4" w14:textId="77777777" w:rsidR="001154AC" w:rsidRPr="00D60B92" w:rsidRDefault="001154AC" w:rsidP="001154AC">
      <w:pPr>
        <w:pStyle w:val="Bulletlevel1"/>
      </w:pPr>
      <w:r w:rsidRPr="00D60B92">
        <w:t>commissioned first release Australian drama programs</w:t>
      </w:r>
    </w:p>
    <w:p w14:paraId="62D5FF31" w14:textId="0F955CF0" w:rsidR="00D60B92" w:rsidRPr="00D60B92" w:rsidRDefault="00D60B92" w:rsidP="001154AC">
      <w:pPr>
        <w:pStyle w:val="Bulletlevel1"/>
      </w:pPr>
      <w:r w:rsidRPr="00D60B92">
        <w:t xml:space="preserve">commissioned </w:t>
      </w:r>
      <w:r w:rsidR="00E6313C">
        <w:t>first release</w:t>
      </w:r>
      <w:r w:rsidRPr="00D60B92">
        <w:t xml:space="preserve"> Australian documentary programs</w:t>
      </w:r>
    </w:p>
    <w:p w14:paraId="46ABEAD2" w14:textId="77777777" w:rsidR="00D60B92" w:rsidRPr="00D60B92" w:rsidRDefault="00D60B92" w:rsidP="001154AC">
      <w:pPr>
        <w:pStyle w:val="Bulletlevel1"/>
      </w:pPr>
      <w:r w:rsidRPr="00D60B92">
        <w:t>commissioned first release Australian children’s programs (non-drama)</w:t>
      </w:r>
    </w:p>
    <w:p w14:paraId="7CA88B4B" w14:textId="2523DEE5" w:rsidR="005D173A" w:rsidRPr="00A07E5A" w:rsidRDefault="00D60B92" w:rsidP="00A07E5A">
      <w:pPr>
        <w:pStyle w:val="Bulletlevel1"/>
        <w:spacing w:after="240"/>
      </w:pPr>
      <w:r w:rsidRPr="00D60B92">
        <w:t>acquired first release Australian films.</w:t>
      </w:r>
    </w:p>
    <w:p w14:paraId="3DB34861" w14:textId="0E4A8A85" w:rsidR="005D173A" w:rsidRPr="005D173A" w:rsidRDefault="005D173A" w:rsidP="005D173A">
      <w:pPr>
        <w:rPr>
          <w:rFonts w:cs="Arial"/>
        </w:rPr>
      </w:pPr>
      <w:bookmarkStart w:id="8" w:name="_Hlk104906358"/>
      <w:r w:rsidRPr="005D173A">
        <w:rPr>
          <w:rFonts w:cs="Arial"/>
        </w:rPr>
        <w:t xml:space="preserve">‘Commissioned’ in relation to a program is defined in section 8 of the ACCTS to mean that a licensee or its program supplier has made a </w:t>
      </w:r>
      <w:r>
        <w:rPr>
          <w:rFonts w:cs="Arial"/>
        </w:rPr>
        <w:t>‘</w:t>
      </w:r>
      <w:r w:rsidRPr="005D173A">
        <w:rPr>
          <w:rFonts w:cs="Arial"/>
        </w:rPr>
        <w:t>material and meaningful</w:t>
      </w:r>
      <w:r>
        <w:rPr>
          <w:rFonts w:cs="Arial"/>
        </w:rPr>
        <w:t>’</w:t>
      </w:r>
      <w:r w:rsidRPr="005D173A">
        <w:rPr>
          <w:rFonts w:cs="Arial"/>
        </w:rPr>
        <w:t xml:space="preserve"> financial contribution to the production of a program</w:t>
      </w:r>
      <w:bookmarkEnd w:id="8"/>
      <w:r w:rsidRPr="005D173A">
        <w:rPr>
          <w:rFonts w:cs="Arial"/>
        </w:rPr>
        <w:t xml:space="preserve"> (before completion). Commissioned programs may include in-house productions or domestic co-productions with national broadcasters, streaming video services or subscription broadcast channels.</w:t>
      </w:r>
    </w:p>
    <w:p w14:paraId="0C59A4BA" w14:textId="0E8AC4B2" w:rsidR="0060082C" w:rsidRDefault="0060082C" w:rsidP="001154AC">
      <w:pPr>
        <w:rPr>
          <w:rFonts w:cs="Arial"/>
        </w:rPr>
      </w:pPr>
      <w:r>
        <w:rPr>
          <w:rFonts w:cs="Arial"/>
        </w:rPr>
        <w:t>The ACMA recognises that the</w:t>
      </w:r>
      <w:r w:rsidR="001154AC" w:rsidRPr="001154AC">
        <w:rPr>
          <w:rFonts w:cs="Arial"/>
        </w:rPr>
        <w:t xml:space="preserve"> points quota results reported under the ACS/CTS cannot be </w:t>
      </w:r>
      <w:r>
        <w:rPr>
          <w:rFonts w:cs="Arial"/>
        </w:rPr>
        <w:t xml:space="preserve">directly </w:t>
      </w:r>
      <w:r w:rsidR="001154AC" w:rsidRPr="001154AC">
        <w:rPr>
          <w:rFonts w:cs="Arial"/>
        </w:rPr>
        <w:t xml:space="preserve">compared to those under the ACCTS as the allocation and calculation of points under each system is different. </w:t>
      </w:r>
      <w:r w:rsidR="001154AC" w:rsidRPr="008D5083">
        <w:rPr>
          <w:rFonts w:cs="Arial"/>
        </w:rPr>
        <w:t>Appendix A</w:t>
      </w:r>
      <w:r w:rsidR="001154AC" w:rsidRPr="001154AC">
        <w:rPr>
          <w:rFonts w:cs="Arial"/>
        </w:rPr>
        <w:t xml:space="preserve"> sets out the differences in how points are allocated under the ACS/CTS versus the ACCTS. </w:t>
      </w:r>
    </w:p>
    <w:p w14:paraId="64180173" w14:textId="77777777" w:rsidR="00852839" w:rsidRPr="00852839" w:rsidRDefault="00852839" w:rsidP="008D5083">
      <w:pPr>
        <w:pStyle w:val="Paragraphbeforelist"/>
      </w:pPr>
      <w:r w:rsidRPr="00852839">
        <w:t xml:space="preserve">This section compares the </w:t>
      </w:r>
      <w:r w:rsidRPr="00852839">
        <w:rPr>
          <w:i/>
          <w:iCs/>
        </w:rPr>
        <w:t>hours</w:t>
      </w:r>
      <w:r w:rsidRPr="00852839">
        <w:t xml:space="preserve"> claimed under the points quota annual compliance results for first release of certain genres from 2012 to 2021. The points allocated under both systems show the broadcast hours for:</w:t>
      </w:r>
    </w:p>
    <w:p w14:paraId="07FC8DBF" w14:textId="77777777" w:rsidR="00852839" w:rsidRPr="00852839" w:rsidRDefault="00852839" w:rsidP="00A07E5A">
      <w:pPr>
        <w:pStyle w:val="Bulletlevel1"/>
      </w:pPr>
      <w:r w:rsidRPr="00852839">
        <w:t xml:space="preserve">first release drama </w:t>
      </w:r>
    </w:p>
    <w:p w14:paraId="7ED67A40" w14:textId="77777777" w:rsidR="00852839" w:rsidRPr="00852839" w:rsidRDefault="00852839" w:rsidP="00A07E5A">
      <w:pPr>
        <w:pStyle w:val="Bulletlevel1"/>
      </w:pPr>
      <w:r w:rsidRPr="00852839">
        <w:t>first release children’s drama</w:t>
      </w:r>
    </w:p>
    <w:p w14:paraId="051CED5A" w14:textId="77777777" w:rsidR="00852839" w:rsidRPr="00852839" w:rsidRDefault="00852839" w:rsidP="00A07E5A">
      <w:pPr>
        <w:pStyle w:val="Bulletlevel1"/>
      </w:pPr>
      <w:r w:rsidRPr="00852839">
        <w:t>first release children’s programming</w:t>
      </w:r>
    </w:p>
    <w:p w14:paraId="41CA522A" w14:textId="77777777" w:rsidR="00852839" w:rsidRPr="00852839" w:rsidRDefault="00852839" w:rsidP="00A07E5A">
      <w:pPr>
        <w:pStyle w:val="Bulletlevel1"/>
      </w:pPr>
      <w:r w:rsidRPr="00852839">
        <w:t>first release documentary</w:t>
      </w:r>
    </w:p>
    <w:p w14:paraId="09BEDF24" w14:textId="77777777" w:rsidR="00852839" w:rsidRPr="00852839" w:rsidRDefault="00852839" w:rsidP="00A07E5A">
      <w:pPr>
        <w:pStyle w:val="Bulletlevel1"/>
        <w:spacing w:after="240"/>
      </w:pPr>
      <w:r w:rsidRPr="00852839">
        <w:t>acquired Australian films.</w:t>
      </w:r>
    </w:p>
    <w:p w14:paraId="7A831F4C" w14:textId="420C03D7" w:rsidR="00852839" w:rsidRPr="00852839" w:rsidRDefault="00852839" w:rsidP="00852839">
      <w:pPr>
        <w:rPr>
          <w:rFonts w:cs="Arial"/>
        </w:rPr>
      </w:pPr>
      <w:r w:rsidRPr="00852839">
        <w:rPr>
          <w:rFonts w:cs="Arial"/>
        </w:rPr>
        <w:t xml:space="preserve">We reiterate the ACCTS points allocation system is skewed towards commissioned first release drama programs (including children’s drama) with high production costs. That is, the greater the production cost, the great number of points per hour allocated. Hence, there may be an incentive for broadcasters to claim higher points for commissioned first release drama programs </w:t>
      </w:r>
      <w:r w:rsidR="00B23653">
        <w:rPr>
          <w:rFonts w:cs="Arial"/>
        </w:rPr>
        <w:t>that</w:t>
      </w:r>
      <w:r w:rsidR="00B23653" w:rsidRPr="00852839">
        <w:rPr>
          <w:rFonts w:cs="Arial"/>
        </w:rPr>
        <w:t xml:space="preserve"> </w:t>
      </w:r>
      <w:r w:rsidRPr="00852839">
        <w:rPr>
          <w:rFonts w:cs="Arial"/>
        </w:rPr>
        <w:t xml:space="preserve">have less hours of content, overall. </w:t>
      </w:r>
    </w:p>
    <w:p w14:paraId="2EC3EEAF" w14:textId="3BFC7463" w:rsidR="00395779" w:rsidRDefault="00B23653" w:rsidP="00395779">
      <w:pPr>
        <w:pStyle w:val="Paragraph"/>
        <w:rPr>
          <w:sz w:val="18"/>
          <w:szCs w:val="18"/>
        </w:rPr>
      </w:pPr>
      <w:r>
        <w:t xml:space="preserve">From </w:t>
      </w:r>
      <w:r w:rsidR="00852839" w:rsidRPr="00852839">
        <w:t>2012</w:t>
      </w:r>
      <w:r>
        <w:t xml:space="preserve"> to </w:t>
      </w:r>
      <w:r w:rsidR="00852839" w:rsidRPr="00852839">
        <w:t>2020</w:t>
      </w:r>
      <w:r>
        <w:t>,</w:t>
      </w:r>
      <w:r w:rsidR="00852839" w:rsidRPr="00852839">
        <w:t xml:space="preserve"> the ACS/CTS also specified the minimum hours to be broadcast in any given year</w:t>
      </w:r>
      <w:r>
        <w:t xml:space="preserve"> –</w:t>
      </w:r>
      <w:r w:rsidR="00852839" w:rsidRPr="00852839">
        <w:t xml:space="preserve"> for example, children’s programming </w:t>
      </w:r>
      <w:r>
        <w:t xml:space="preserve">required </w:t>
      </w:r>
      <w:r w:rsidR="00852839" w:rsidRPr="00852839">
        <w:t>130 hours including 25 hours of children’s drama</w:t>
      </w:r>
      <w:r>
        <w:t>,</w:t>
      </w:r>
      <w:r w:rsidR="00852839" w:rsidRPr="00852839">
        <w:t xml:space="preserve"> and Australian documentary </w:t>
      </w:r>
      <w:r>
        <w:t xml:space="preserve">required </w:t>
      </w:r>
      <w:r w:rsidR="00852839" w:rsidRPr="00852839">
        <w:t>20 hours</w:t>
      </w:r>
      <w:r>
        <w:t xml:space="preserve">, </w:t>
      </w:r>
      <w:r w:rsidR="00852839" w:rsidRPr="00852839">
        <w:t xml:space="preserve">which resulted in higher hours of first release content being broadcast in order to comply with the standards.  </w:t>
      </w:r>
    </w:p>
    <w:p w14:paraId="2DA88D89" w14:textId="77777777" w:rsidR="00395779" w:rsidRDefault="00395779" w:rsidP="00395779">
      <w:pPr>
        <w:pStyle w:val="Paragraph"/>
        <w:rPr>
          <w:sz w:val="18"/>
          <w:szCs w:val="18"/>
        </w:rPr>
        <w:sectPr w:rsidR="00395779" w:rsidSect="00B8084A">
          <w:headerReference w:type="even" r:id="rId28"/>
          <w:headerReference w:type="default" r:id="rId29"/>
          <w:footerReference w:type="even" r:id="rId30"/>
          <w:footerReference w:type="default" r:id="rId31"/>
          <w:pgSz w:w="11906" w:h="16838" w:code="9"/>
          <w:pgMar w:top="1945" w:right="1274" w:bottom="1134" w:left="1134" w:header="709" w:footer="119" w:gutter="0"/>
          <w:pgNumType w:start="1"/>
          <w:cols w:space="708"/>
          <w:docGrid w:linePitch="360"/>
        </w:sectPr>
      </w:pPr>
    </w:p>
    <w:p w14:paraId="469491AE" w14:textId="20706823" w:rsidR="002C0C73" w:rsidRPr="002C0C73" w:rsidRDefault="00ED117B" w:rsidP="008D5083">
      <w:pPr>
        <w:pStyle w:val="Heading2"/>
      </w:pPr>
      <w:bookmarkStart w:id="9" w:name="_Toc112835083"/>
      <w:r w:rsidRPr="00ED117B">
        <w:lastRenderedPageBreak/>
        <w:t xml:space="preserve">First release Australian </w:t>
      </w:r>
      <w:r w:rsidR="00467C43">
        <w:t>drama</w:t>
      </w:r>
      <w:r w:rsidR="00E93246">
        <w:t xml:space="preserve"> (hours)</w:t>
      </w:r>
      <w:bookmarkEnd w:id="9"/>
    </w:p>
    <w:p w14:paraId="085AFA47" w14:textId="27B9D989" w:rsidR="00DD6CA4" w:rsidRPr="00A17B1B" w:rsidRDefault="00DD6CA4" w:rsidP="008D5083">
      <w:pPr>
        <w:pStyle w:val="Tableheading"/>
      </w:pPr>
      <w:r>
        <w:t>Average hours claimed by networks for first release Australian drama</w:t>
      </w:r>
      <w:r w:rsidR="00B23653">
        <w:t xml:space="preserve">, </w:t>
      </w:r>
      <w:r>
        <w:t>2012</w:t>
      </w:r>
      <w:r w:rsidR="00B23653">
        <w:t xml:space="preserve"> to </w:t>
      </w:r>
      <w:r>
        <w:t>2021</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2973"/>
        <w:gridCol w:w="952"/>
        <w:gridCol w:w="1092"/>
        <w:gridCol w:w="1092"/>
        <w:gridCol w:w="1091"/>
        <w:gridCol w:w="1091"/>
        <w:gridCol w:w="1091"/>
        <w:gridCol w:w="1091"/>
        <w:gridCol w:w="1091"/>
        <w:gridCol w:w="1091"/>
        <w:gridCol w:w="1091"/>
      </w:tblGrid>
      <w:tr w:rsidR="002A5CF6" w:rsidRPr="00DD6CA4" w14:paraId="2FCE5A82" w14:textId="37B750C1" w:rsidTr="008D5083">
        <w:trPr>
          <w:trHeight w:val="341"/>
        </w:trPr>
        <w:tc>
          <w:tcPr>
            <w:tcW w:w="1081" w:type="pct"/>
            <w:shd w:val="clear" w:color="auto" w:fill="7C426F"/>
            <w:vAlign w:val="center"/>
            <w:hideMark/>
          </w:tcPr>
          <w:p w14:paraId="627C4703" w14:textId="535600ED" w:rsidR="00AA58BD" w:rsidRPr="00DD6CA4" w:rsidRDefault="00B23653" w:rsidP="008D5083">
            <w:pPr>
              <w:spacing w:after="0"/>
              <w:rPr>
                <w:rFonts w:cs="Arial"/>
                <w:b/>
                <w:bCs/>
                <w:color w:val="FFFFFF"/>
                <w:szCs w:val="20"/>
              </w:rPr>
            </w:pPr>
            <w:r>
              <w:rPr>
                <w:rFonts w:cs="Arial"/>
                <w:b/>
                <w:bCs/>
                <w:color w:val="FFFFFF"/>
                <w:szCs w:val="20"/>
              </w:rPr>
              <w:t>Network</w:t>
            </w:r>
          </w:p>
        </w:tc>
        <w:tc>
          <w:tcPr>
            <w:tcW w:w="346" w:type="pct"/>
            <w:shd w:val="clear" w:color="auto" w:fill="7C426F"/>
            <w:vAlign w:val="center"/>
            <w:hideMark/>
          </w:tcPr>
          <w:p w14:paraId="07C869F2" w14:textId="77777777" w:rsidR="00AA58BD" w:rsidRPr="00DD6CA4" w:rsidRDefault="00AA58BD" w:rsidP="008D5083">
            <w:pPr>
              <w:spacing w:after="0"/>
              <w:jc w:val="right"/>
              <w:rPr>
                <w:rFonts w:cs="Arial"/>
                <w:b/>
                <w:bCs/>
                <w:color w:val="FFFFFF"/>
                <w:szCs w:val="20"/>
              </w:rPr>
            </w:pPr>
            <w:r w:rsidRPr="00DD6CA4">
              <w:rPr>
                <w:rFonts w:cs="Arial"/>
                <w:b/>
                <w:bCs/>
                <w:color w:val="FFFFFF"/>
                <w:szCs w:val="20"/>
              </w:rPr>
              <w:t>2012</w:t>
            </w:r>
          </w:p>
        </w:tc>
        <w:tc>
          <w:tcPr>
            <w:tcW w:w="397" w:type="pct"/>
            <w:shd w:val="clear" w:color="auto" w:fill="7C426F"/>
            <w:vAlign w:val="center"/>
            <w:hideMark/>
          </w:tcPr>
          <w:p w14:paraId="69F8745F" w14:textId="77777777" w:rsidR="00AA58BD" w:rsidRPr="00DD6CA4" w:rsidRDefault="00AA58BD" w:rsidP="008D5083">
            <w:pPr>
              <w:spacing w:after="0"/>
              <w:jc w:val="right"/>
              <w:rPr>
                <w:rFonts w:cs="Arial"/>
                <w:b/>
                <w:bCs/>
                <w:color w:val="FFFFFF"/>
                <w:szCs w:val="20"/>
              </w:rPr>
            </w:pPr>
            <w:r w:rsidRPr="00DD6CA4">
              <w:rPr>
                <w:rFonts w:cs="Arial"/>
                <w:b/>
                <w:bCs/>
                <w:color w:val="FFFFFF"/>
                <w:szCs w:val="20"/>
              </w:rPr>
              <w:t>2013</w:t>
            </w:r>
          </w:p>
        </w:tc>
        <w:tc>
          <w:tcPr>
            <w:tcW w:w="397" w:type="pct"/>
            <w:shd w:val="clear" w:color="auto" w:fill="7C426F"/>
            <w:vAlign w:val="center"/>
            <w:hideMark/>
          </w:tcPr>
          <w:p w14:paraId="2E491027" w14:textId="77777777" w:rsidR="00AA58BD" w:rsidRPr="00DD6CA4" w:rsidRDefault="00AA58BD" w:rsidP="008D5083">
            <w:pPr>
              <w:spacing w:after="0"/>
              <w:jc w:val="right"/>
              <w:rPr>
                <w:rFonts w:cs="Arial"/>
                <w:b/>
                <w:bCs/>
                <w:color w:val="FFFFFF"/>
                <w:szCs w:val="20"/>
              </w:rPr>
            </w:pPr>
            <w:r w:rsidRPr="00DD6CA4">
              <w:rPr>
                <w:rFonts w:cs="Arial"/>
                <w:b/>
                <w:bCs/>
                <w:color w:val="FFFFFF"/>
                <w:szCs w:val="20"/>
              </w:rPr>
              <w:t>2014</w:t>
            </w:r>
          </w:p>
        </w:tc>
        <w:tc>
          <w:tcPr>
            <w:tcW w:w="397" w:type="pct"/>
            <w:shd w:val="clear" w:color="auto" w:fill="7C426F"/>
            <w:vAlign w:val="center"/>
            <w:hideMark/>
          </w:tcPr>
          <w:p w14:paraId="1D6B5479" w14:textId="77777777" w:rsidR="00AA58BD" w:rsidRPr="00DD6CA4" w:rsidRDefault="00AA58BD" w:rsidP="008D5083">
            <w:pPr>
              <w:spacing w:after="0"/>
              <w:jc w:val="right"/>
              <w:rPr>
                <w:rFonts w:cs="Arial"/>
                <w:b/>
                <w:bCs/>
                <w:color w:val="FFFFFF"/>
                <w:szCs w:val="20"/>
              </w:rPr>
            </w:pPr>
            <w:r w:rsidRPr="00DD6CA4">
              <w:rPr>
                <w:rFonts w:cs="Arial"/>
                <w:b/>
                <w:bCs/>
                <w:color w:val="FFFFFF"/>
                <w:szCs w:val="20"/>
              </w:rPr>
              <w:t>2015</w:t>
            </w:r>
          </w:p>
        </w:tc>
        <w:tc>
          <w:tcPr>
            <w:tcW w:w="397" w:type="pct"/>
            <w:shd w:val="clear" w:color="auto" w:fill="7C426F"/>
            <w:vAlign w:val="center"/>
            <w:hideMark/>
          </w:tcPr>
          <w:p w14:paraId="6456F02A" w14:textId="77777777" w:rsidR="00AA58BD" w:rsidRPr="00DD6CA4" w:rsidRDefault="00AA58BD" w:rsidP="008D5083">
            <w:pPr>
              <w:spacing w:after="0"/>
              <w:jc w:val="right"/>
              <w:rPr>
                <w:rFonts w:cs="Arial"/>
                <w:b/>
                <w:bCs/>
                <w:color w:val="FFFFFF"/>
                <w:szCs w:val="20"/>
              </w:rPr>
            </w:pPr>
            <w:r w:rsidRPr="00DD6CA4">
              <w:rPr>
                <w:rFonts w:cs="Arial"/>
                <w:b/>
                <w:bCs/>
                <w:color w:val="FFFFFF"/>
                <w:szCs w:val="20"/>
              </w:rPr>
              <w:t>2016</w:t>
            </w:r>
          </w:p>
        </w:tc>
        <w:tc>
          <w:tcPr>
            <w:tcW w:w="397" w:type="pct"/>
            <w:shd w:val="clear" w:color="auto" w:fill="7C426F"/>
            <w:vAlign w:val="center"/>
          </w:tcPr>
          <w:p w14:paraId="4AF5E96F" w14:textId="4B664D34" w:rsidR="00AA58BD" w:rsidRPr="00DD6CA4" w:rsidRDefault="00AA58BD" w:rsidP="008D5083">
            <w:pPr>
              <w:spacing w:after="0"/>
              <w:jc w:val="right"/>
              <w:rPr>
                <w:rFonts w:cs="Arial"/>
                <w:b/>
                <w:bCs/>
                <w:color w:val="FFFFFF"/>
                <w:szCs w:val="20"/>
              </w:rPr>
            </w:pPr>
            <w:r w:rsidRPr="00DD6CA4">
              <w:rPr>
                <w:rFonts w:cs="Arial"/>
                <w:b/>
                <w:bCs/>
                <w:color w:val="FFFFFF"/>
                <w:szCs w:val="20"/>
              </w:rPr>
              <w:t>2017</w:t>
            </w:r>
          </w:p>
        </w:tc>
        <w:tc>
          <w:tcPr>
            <w:tcW w:w="397" w:type="pct"/>
            <w:shd w:val="clear" w:color="auto" w:fill="7C426F"/>
            <w:vAlign w:val="center"/>
          </w:tcPr>
          <w:p w14:paraId="32AB2DB2" w14:textId="2EAC95DD" w:rsidR="00AA58BD" w:rsidRPr="00DD6CA4" w:rsidRDefault="00AA58BD" w:rsidP="008D5083">
            <w:pPr>
              <w:spacing w:after="0"/>
              <w:jc w:val="right"/>
              <w:rPr>
                <w:rFonts w:cs="Arial"/>
                <w:b/>
                <w:bCs/>
                <w:color w:val="FFFFFF"/>
                <w:szCs w:val="20"/>
              </w:rPr>
            </w:pPr>
            <w:r w:rsidRPr="00DD6CA4">
              <w:rPr>
                <w:rFonts w:cs="Arial"/>
                <w:b/>
                <w:bCs/>
                <w:color w:val="FFFFFF"/>
                <w:szCs w:val="20"/>
              </w:rPr>
              <w:t>2018</w:t>
            </w:r>
          </w:p>
        </w:tc>
        <w:tc>
          <w:tcPr>
            <w:tcW w:w="397" w:type="pct"/>
            <w:shd w:val="clear" w:color="auto" w:fill="7C426F"/>
            <w:vAlign w:val="center"/>
          </w:tcPr>
          <w:p w14:paraId="10FAFE46" w14:textId="2DFE0E30" w:rsidR="00AA58BD" w:rsidRPr="00DD6CA4" w:rsidRDefault="00AA58BD" w:rsidP="008D5083">
            <w:pPr>
              <w:spacing w:after="0"/>
              <w:jc w:val="right"/>
              <w:rPr>
                <w:rFonts w:cs="Arial"/>
                <w:b/>
                <w:bCs/>
                <w:color w:val="FFFFFF"/>
                <w:szCs w:val="20"/>
              </w:rPr>
            </w:pPr>
            <w:r w:rsidRPr="00DD6CA4">
              <w:rPr>
                <w:rFonts w:cs="Arial"/>
                <w:b/>
                <w:bCs/>
                <w:color w:val="FFFFFF"/>
                <w:szCs w:val="20"/>
              </w:rPr>
              <w:t>2019</w:t>
            </w:r>
          </w:p>
        </w:tc>
        <w:tc>
          <w:tcPr>
            <w:tcW w:w="397" w:type="pct"/>
            <w:shd w:val="clear" w:color="auto" w:fill="7C426F"/>
            <w:vAlign w:val="center"/>
          </w:tcPr>
          <w:p w14:paraId="4AB4FFA2" w14:textId="231F0922" w:rsidR="00AA58BD" w:rsidRPr="00DD6CA4" w:rsidRDefault="00AA58BD" w:rsidP="008D5083">
            <w:pPr>
              <w:spacing w:after="0"/>
              <w:jc w:val="right"/>
              <w:rPr>
                <w:rFonts w:cs="Arial"/>
                <w:b/>
                <w:bCs/>
                <w:color w:val="FFFFFF"/>
                <w:szCs w:val="20"/>
              </w:rPr>
            </w:pPr>
            <w:r w:rsidRPr="00DD6CA4">
              <w:rPr>
                <w:rFonts w:cs="Arial"/>
                <w:b/>
                <w:bCs/>
                <w:color w:val="FFFFFF"/>
                <w:szCs w:val="20"/>
              </w:rPr>
              <w:t>2020</w:t>
            </w:r>
            <w:r w:rsidR="00487052">
              <w:rPr>
                <w:rFonts w:cs="Arial"/>
                <w:b/>
                <w:bCs/>
                <w:color w:val="FFFFFF"/>
                <w:szCs w:val="20"/>
              </w:rPr>
              <w:t>*</w:t>
            </w:r>
          </w:p>
        </w:tc>
        <w:tc>
          <w:tcPr>
            <w:tcW w:w="397" w:type="pct"/>
            <w:shd w:val="clear" w:color="auto" w:fill="7C426F"/>
            <w:vAlign w:val="center"/>
          </w:tcPr>
          <w:p w14:paraId="0EA1D9DA" w14:textId="059A82F7" w:rsidR="00AA58BD" w:rsidRPr="00DD6CA4" w:rsidRDefault="00AA58BD" w:rsidP="008D5083">
            <w:pPr>
              <w:spacing w:after="0"/>
              <w:jc w:val="right"/>
              <w:rPr>
                <w:rFonts w:cs="Arial"/>
                <w:b/>
                <w:bCs/>
                <w:color w:val="FFFFFF"/>
                <w:szCs w:val="20"/>
              </w:rPr>
            </w:pPr>
            <w:r w:rsidRPr="00DD6CA4">
              <w:rPr>
                <w:rFonts w:cs="Arial"/>
                <w:b/>
                <w:bCs/>
                <w:color w:val="FFFFFF"/>
                <w:szCs w:val="20"/>
              </w:rPr>
              <w:t>2021</w:t>
            </w:r>
          </w:p>
        </w:tc>
      </w:tr>
      <w:tr w:rsidR="009510D0" w:rsidRPr="00DD6CA4" w14:paraId="1FCD96AC" w14:textId="021953FD" w:rsidTr="008D5083">
        <w:trPr>
          <w:trHeight w:val="300"/>
        </w:trPr>
        <w:tc>
          <w:tcPr>
            <w:tcW w:w="1081" w:type="pct"/>
            <w:shd w:val="clear" w:color="auto" w:fill="auto"/>
            <w:vAlign w:val="center"/>
            <w:hideMark/>
          </w:tcPr>
          <w:p w14:paraId="3B3AE327" w14:textId="1492693B" w:rsidR="00AA58BD" w:rsidRPr="00DD6CA4" w:rsidRDefault="00AA58BD" w:rsidP="00041267">
            <w:pPr>
              <w:spacing w:after="0"/>
              <w:rPr>
                <w:rFonts w:cs="Arial"/>
                <w:color w:val="000000"/>
                <w:szCs w:val="20"/>
              </w:rPr>
            </w:pPr>
            <w:r w:rsidRPr="008D5083">
              <w:rPr>
                <w:rFonts w:cs="Arial"/>
                <w:b/>
                <w:bCs/>
                <w:color w:val="000000"/>
                <w:szCs w:val="20"/>
              </w:rPr>
              <w:t>Seven</w:t>
            </w:r>
            <w:r w:rsidR="00B23653">
              <w:rPr>
                <w:rFonts w:cs="Arial"/>
                <w:color w:val="000000"/>
                <w:szCs w:val="20"/>
              </w:rPr>
              <w:t>:</w:t>
            </w:r>
            <w:r w:rsidRPr="00DD6CA4">
              <w:rPr>
                <w:rFonts w:cs="Arial"/>
                <w:color w:val="000000"/>
                <w:szCs w:val="20"/>
              </w:rPr>
              <w:t xml:space="preserve"> average</w:t>
            </w:r>
            <w:r>
              <w:rPr>
                <w:rFonts w:cs="Arial"/>
                <w:color w:val="000000"/>
                <w:szCs w:val="20"/>
              </w:rPr>
              <w:t xml:space="preserve"> hours</w:t>
            </w:r>
            <w:r w:rsidR="00B23653">
              <w:rPr>
                <w:rFonts w:cs="Arial"/>
                <w:color w:val="000000"/>
                <w:szCs w:val="20"/>
              </w:rPr>
              <w:t xml:space="preserve"> claimed</w:t>
            </w:r>
          </w:p>
        </w:tc>
        <w:tc>
          <w:tcPr>
            <w:tcW w:w="346" w:type="pct"/>
            <w:shd w:val="clear" w:color="auto" w:fill="auto"/>
            <w:vAlign w:val="center"/>
            <w:hideMark/>
          </w:tcPr>
          <w:p w14:paraId="5D2930B9" w14:textId="77777777" w:rsidR="00AA58BD" w:rsidRPr="00DD6CA4" w:rsidRDefault="00AA58BD" w:rsidP="008D5083">
            <w:pPr>
              <w:spacing w:after="0"/>
              <w:jc w:val="right"/>
              <w:rPr>
                <w:rFonts w:cs="Arial"/>
                <w:color w:val="000000"/>
                <w:szCs w:val="20"/>
              </w:rPr>
            </w:pPr>
            <w:r w:rsidRPr="00DD6CA4">
              <w:rPr>
                <w:rFonts w:cs="Arial"/>
                <w:color w:val="000000"/>
                <w:szCs w:val="20"/>
              </w:rPr>
              <w:t>165.51</w:t>
            </w:r>
          </w:p>
        </w:tc>
        <w:tc>
          <w:tcPr>
            <w:tcW w:w="397" w:type="pct"/>
            <w:shd w:val="clear" w:color="auto" w:fill="auto"/>
            <w:vAlign w:val="center"/>
            <w:hideMark/>
          </w:tcPr>
          <w:p w14:paraId="5F3ED42E" w14:textId="77777777" w:rsidR="00AA58BD" w:rsidRPr="00DD6CA4" w:rsidRDefault="00AA58BD" w:rsidP="008D5083">
            <w:pPr>
              <w:spacing w:after="0"/>
              <w:jc w:val="right"/>
              <w:rPr>
                <w:rFonts w:cs="Arial"/>
                <w:color w:val="000000"/>
                <w:szCs w:val="20"/>
              </w:rPr>
            </w:pPr>
            <w:r w:rsidRPr="00DD6CA4">
              <w:rPr>
                <w:rFonts w:cs="Arial"/>
                <w:color w:val="000000"/>
                <w:szCs w:val="20"/>
              </w:rPr>
              <w:t>181.01</w:t>
            </w:r>
          </w:p>
        </w:tc>
        <w:tc>
          <w:tcPr>
            <w:tcW w:w="397" w:type="pct"/>
            <w:shd w:val="clear" w:color="auto" w:fill="auto"/>
            <w:vAlign w:val="center"/>
            <w:hideMark/>
          </w:tcPr>
          <w:p w14:paraId="59154F38" w14:textId="77777777" w:rsidR="00AA58BD" w:rsidRPr="00DD6CA4" w:rsidRDefault="00AA58BD" w:rsidP="008D5083">
            <w:pPr>
              <w:spacing w:after="0"/>
              <w:jc w:val="right"/>
              <w:rPr>
                <w:rFonts w:cs="Arial"/>
                <w:color w:val="000000"/>
                <w:szCs w:val="20"/>
              </w:rPr>
            </w:pPr>
            <w:r w:rsidRPr="00DD6CA4">
              <w:rPr>
                <w:rFonts w:cs="Arial"/>
                <w:color w:val="000000"/>
                <w:szCs w:val="20"/>
              </w:rPr>
              <w:t>172.43</w:t>
            </w:r>
          </w:p>
        </w:tc>
        <w:tc>
          <w:tcPr>
            <w:tcW w:w="397" w:type="pct"/>
            <w:shd w:val="clear" w:color="auto" w:fill="auto"/>
            <w:vAlign w:val="center"/>
            <w:hideMark/>
          </w:tcPr>
          <w:p w14:paraId="3846BBA6" w14:textId="77777777" w:rsidR="00AA58BD" w:rsidRPr="00DD6CA4" w:rsidRDefault="00AA58BD" w:rsidP="008D5083">
            <w:pPr>
              <w:spacing w:after="0"/>
              <w:jc w:val="right"/>
              <w:rPr>
                <w:rFonts w:cs="Arial"/>
                <w:color w:val="000000"/>
                <w:szCs w:val="20"/>
              </w:rPr>
            </w:pPr>
            <w:r w:rsidRPr="00DD6CA4">
              <w:rPr>
                <w:rFonts w:cs="Arial"/>
                <w:color w:val="000000"/>
                <w:szCs w:val="20"/>
              </w:rPr>
              <w:t>165.88</w:t>
            </w:r>
          </w:p>
        </w:tc>
        <w:tc>
          <w:tcPr>
            <w:tcW w:w="397" w:type="pct"/>
            <w:shd w:val="clear" w:color="auto" w:fill="auto"/>
            <w:vAlign w:val="center"/>
            <w:hideMark/>
          </w:tcPr>
          <w:p w14:paraId="7F95CF9E" w14:textId="77777777" w:rsidR="00AA58BD" w:rsidRPr="00DD6CA4" w:rsidRDefault="00AA58BD" w:rsidP="008D5083">
            <w:pPr>
              <w:spacing w:after="0"/>
              <w:jc w:val="right"/>
              <w:rPr>
                <w:rFonts w:cs="Arial"/>
                <w:color w:val="000000"/>
                <w:szCs w:val="20"/>
              </w:rPr>
            </w:pPr>
            <w:r w:rsidRPr="00DD6CA4">
              <w:rPr>
                <w:rFonts w:cs="Arial"/>
                <w:color w:val="000000"/>
                <w:szCs w:val="20"/>
              </w:rPr>
              <w:t>156.81</w:t>
            </w:r>
          </w:p>
        </w:tc>
        <w:tc>
          <w:tcPr>
            <w:tcW w:w="397" w:type="pct"/>
            <w:vAlign w:val="center"/>
          </w:tcPr>
          <w:p w14:paraId="0CD6CB4E" w14:textId="139EFBA0" w:rsidR="00AA58BD" w:rsidRPr="00DD6CA4" w:rsidRDefault="00AA58BD" w:rsidP="008D5083">
            <w:pPr>
              <w:spacing w:after="0"/>
              <w:jc w:val="right"/>
              <w:rPr>
                <w:rFonts w:cs="Arial"/>
                <w:color w:val="000000"/>
                <w:szCs w:val="20"/>
              </w:rPr>
            </w:pPr>
            <w:r w:rsidRPr="00DD6CA4">
              <w:rPr>
                <w:rFonts w:cs="Arial"/>
                <w:color w:val="000000"/>
                <w:szCs w:val="20"/>
              </w:rPr>
              <w:t>156.22</w:t>
            </w:r>
          </w:p>
        </w:tc>
        <w:tc>
          <w:tcPr>
            <w:tcW w:w="397" w:type="pct"/>
            <w:vAlign w:val="center"/>
          </w:tcPr>
          <w:p w14:paraId="0AFEF9EF" w14:textId="5527DDF3" w:rsidR="00AA58BD" w:rsidRPr="00DD6CA4" w:rsidRDefault="00AA58BD" w:rsidP="008D5083">
            <w:pPr>
              <w:spacing w:after="0"/>
              <w:jc w:val="right"/>
              <w:rPr>
                <w:rFonts w:cs="Arial"/>
                <w:color w:val="000000"/>
                <w:szCs w:val="20"/>
              </w:rPr>
            </w:pPr>
            <w:r w:rsidRPr="00DD6CA4">
              <w:rPr>
                <w:rFonts w:cs="Arial"/>
                <w:color w:val="000000"/>
                <w:szCs w:val="20"/>
              </w:rPr>
              <w:t>160.78</w:t>
            </w:r>
          </w:p>
        </w:tc>
        <w:tc>
          <w:tcPr>
            <w:tcW w:w="397" w:type="pct"/>
            <w:vAlign w:val="center"/>
          </w:tcPr>
          <w:p w14:paraId="20F7930E" w14:textId="757A8F49" w:rsidR="00AA58BD" w:rsidRPr="00DD6CA4" w:rsidRDefault="00AA58BD" w:rsidP="008D5083">
            <w:pPr>
              <w:spacing w:after="0"/>
              <w:jc w:val="right"/>
              <w:rPr>
                <w:rFonts w:cs="Arial"/>
                <w:color w:val="000000"/>
                <w:szCs w:val="20"/>
              </w:rPr>
            </w:pPr>
            <w:r w:rsidRPr="00DD6CA4">
              <w:rPr>
                <w:rFonts w:cs="Arial"/>
                <w:color w:val="000000"/>
                <w:szCs w:val="20"/>
              </w:rPr>
              <w:t>184.22</w:t>
            </w:r>
          </w:p>
        </w:tc>
        <w:tc>
          <w:tcPr>
            <w:tcW w:w="397" w:type="pct"/>
            <w:vAlign w:val="center"/>
          </w:tcPr>
          <w:p w14:paraId="391C0445" w14:textId="79D7E5D1" w:rsidR="00AA58BD" w:rsidRPr="00DD6CA4" w:rsidRDefault="00AA58BD" w:rsidP="008D5083">
            <w:pPr>
              <w:spacing w:after="0"/>
              <w:jc w:val="right"/>
              <w:rPr>
                <w:rFonts w:cs="Arial"/>
                <w:color w:val="000000"/>
                <w:szCs w:val="20"/>
              </w:rPr>
            </w:pPr>
            <w:r w:rsidRPr="00DD6CA4">
              <w:rPr>
                <w:rFonts w:cs="Arial"/>
                <w:color w:val="000000"/>
                <w:szCs w:val="20"/>
              </w:rPr>
              <w:t>148.53</w:t>
            </w:r>
          </w:p>
        </w:tc>
        <w:tc>
          <w:tcPr>
            <w:tcW w:w="397" w:type="pct"/>
            <w:vAlign w:val="center"/>
          </w:tcPr>
          <w:p w14:paraId="20B7C5F6" w14:textId="5D6F1446" w:rsidR="00AA58BD" w:rsidRPr="00383DD9" w:rsidRDefault="00AA58BD" w:rsidP="008D5083">
            <w:pPr>
              <w:spacing w:after="0"/>
              <w:jc w:val="right"/>
              <w:rPr>
                <w:rFonts w:cs="Arial"/>
                <w:color w:val="000000"/>
                <w:szCs w:val="20"/>
              </w:rPr>
            </w:pPr>
            <w:r w:rsidRPr="00383DD9">
              <w:rPr>
                <w:rFonts w:cs="Arial"/>
                <w:color w:val="000000"/>
                <w:szCs w:val="20"/>
              </w:rPr>
              <w:t>138.5</w:t>
            </w:r>
            <w:r w:rsidR="00747D3C">
              <w:rPr>
                <w:rFonts w:cs="Arial"/>
                <w:color w:val="000000"/>
                <w:szCs w:val="20"/>
              </w:rPr>
              <w:t>0</w:t>
            </w:r>
          </w:p>
        </w:tc>
      </w:tr>
      <w:tr w:rsidR="009510D0" w:rsidRPr="00DD6CA4" w14:paraId="219A33C0" w14:textId="557F7616" w:rsidTr="008D5083">
        <w:trPr>
          <w:trHeight w:val="300"/>
        </w:trPr>
        <w:tc>
          <w:tcPr>
            <w:tcW w:w="1081" w:type="pct"/>
            <w:shd w:val="clear" w:color="auto" w:fill="auto"/>
            <w:vAlign w:val="center"/>
            <w:hideMark/>
          </w:tcPr>
          <w:p w14:paraId="1D55CA96" w14:textId="2EE24C53" w:rsidR="00AA58BD" w:rsidRPr="00DD6CA4" w:rsidRDefault="00AA58BD" w:rsidP="00041267">
            <w:pPr>
              <w:spacing w:after="0"/>
              <w:rPr>
                <w:rFonts w:cs="Arial"/>
                <w:color w:val="000000"/>
                <w:szCs w:val="20"/>
              </w:rPr>
            </w:pPr>
            <w:r w:rsidRPr="008D5083">
              <w:rPr>
                <w:rFonts w:cs="Arial"/>
                <w:b/>
                <w:bCs/>
                <w:color w:val="000000"/>
                <w:szCs w:val="20"/>
              </w:rPr>
              <w:t>Nine</w:t>
            </w:r>
            <w:r w:rsidR="00B23653">
              <w:rPr>
                <w:rFonts w:cs="Arial"/>
                <w:color w:val="000000"/>
                <w:szCs w:val="20"/>
              </w:rPr>
              <w:t>:</w:t>
            </w:r>
            <w:r w:rsidRPr="00DD6CA4">
              <w:rPr>
                <w:rFonts w:cs="Arial"/>
                <w:color w:val="000000"/>
                <w:szCs w:val="20"/>
              </w:rPr>
              <w:t xml:space="preserve"> average</w:t>
            </w:r>
            <w:r>
              <w:rPr>
                <w:rFonts w:cs="Arial"/>
                <w:color w:val="000000"/>
                <w:szCs w:val="20"/>
              </w:rPr>
              <w:t xml:space="preserve"> hours</w:t>
            </w:r>
            <w:r w:rsidR="00B23653">
              <w:rPr>
                <w:rFonts w:cs="Arial"/>
                <w:color w:val="000000"/>
                <w:szCs w:val="20"/>
              </w:rPr>
              <w:t xml:space="preserve"> claimed</w:t>
            </w:r>
          </w:p>
        </w:tc>
        <w:tc>
          <w:tcPr>
            <w:tcW w:w="346" w:type="pct"/>
            <w:shd w:val="clear" w:color="auto" w:fill="auto"/>
            <w:vAlign w:val="center"/>
            <w:hideMark/>
          </w:tcPr>
          <w:p w14:paraId="7F49A95D" w14:textId="77777777" w:rsidR="00AA58BD" w:rsidRPr="00DD6CA4" w:rsidRDefault="00AA58BD" w:rsidP="008D5083">
            <w:pPr>
              <w:spacing w:after="0"/>
              <w:jc w:val="right"/>
              <w:rPr>
                <w:rFonts w:cs="Arial"/>
                <w:color w:val="000000"/>
                <w:szCs w:val="20"/>
              </w:rPr>
            </w:pPr>
            <w:r w:rsidRPr="00DD6CA4">
              <w:rPr>
                <w:rFonts w:cs="Arial"/>
                <w:color w:val="000000"/>
                <w:szCs w:val="20"/>
              </w:rPr>
              <w:t>65.42</w:t>
            </w:r>
          </w:p>
        </w:tc>
        <w:tc>
          <w:tcPr>
            <w:tcW w:w="397" w:type="pct"/>
            <w:shd w:val="clear" w:color="auto" w:fill="auto"/>
            <w:vAlign w:val="center"/>
            <w:hideMark/>
          </w:tcPr>
          <w:p w14:paraId="5F26E79A" w14:textId="77777777" w:rsidR="00AA58BD" w:rsidRPr="00DD6CA4" w:rsidRDefault="00AA58BD" w:rsidP="008D5083">
            <w:pPr>
              <w:spacing w:after="0"/>
              <w:jc w:val="right"/>
              <w:rPr>
                <w:rFonts w:cs="Arial"/>
                <w:color w:val="000000"/>
                <w:szCs w:val="20"/>
              </w:rPr>
            </w:pPr>
            <w:r w:rsidRPr="00DD6CA4">
              <w:rPr>
                <w:rFonts w:cs="Arial"/>
                <w:color w:val="000000"/>
                <w:szCs w:val="20"/>
              </w:rPr>
              <w:t>103.40</w:t>
            </w:r>
          </w:p>
        </w:tc>
        <w:tc>
          <w:tcPr>
            <w:tcW w:w="397" w:type="pct"/>
            <w:shd w:val="clear" w:color="auto" w:fill="auto"/>
            <w:vAlign w:val="center"/>
            <w:hideMark/>
          </w:tcPr>
          <w:p w14:paraId="6F774728" w14:textId="77777777" w:rsidR="00AA58BD" w:rsidRPr="00DD6CA4" w:rsidRDefault="00AA58BD" w:rsidP="008D5083">
            <w:pPr>
              <w:spacing w:after="0"/>
              <w:jc w:val="right"/>
              <w:rPr>
                <w:rFonts w:cs="Arial"/>
                <w:color w:val="000000"/>
                <w:szCs w:val="20"/>
              </w:rPr>
            </w:pPr>
            <w:r w:rsidRPr="00DD6CA4">
              <w:rPr>
                <w:rFonts w:cs="Arial"/>
                <w:color w:val="000000"/>
                <w:szCs w:val="20"/>
              </w:rPr>
              <w:t>73.10</w:t>
            </w:r>
          </w:p>
        </w:tc>
        <w:tc>
          <w:tcPr>
            <w:tcW w:w="397" w:type="pct"/>
            <w:shd w:val="clear" w:color="auto" w:fill="auto"/>
            <w:vAlign w:val="center"/>
            <w:hideMark/>
          </w:tcPr>
          <w:p w14:paraId="4ED52EA1" w14:textId="77777777" w:rsidR="00AA58BD" w:rsidRPr="00DD6CA4" w:rsidRDefault="00AA58BD" w:rsidP="008D5083">
            <w:pPr>
              <w:spacing w:after="0"/>
              <w:jc w:val="right"/>
              <w:rPr>
                <w:rFonts w:cs="Arial"/>
                <w:color w:val="000000"/>
                <w:szCs w:val="20"/>
              </w:rPr>
            </w:pPr>
            <w:r w:rsidRPr="00DD6CA4">
              <w:rPr>
                <w:rFonts w:cs="Arial"/>
                <w:color w:val="000000"/>
                <w:szCs w:val="20"/>
              </w:rPr>
              <w:t>77.50</w:t>
            </w:r>
          </w:p>
        </w:tc>
        <w:tc>
          <w:tcPr>
            <w:tcW w:w="397" w:type="pct"/>
            <w:shd w:val="clear" w:color="auto" w:fill="auto"/>
            <w:vAlign w:val="center"/>
            <w:hideMark/>
          </w:tcPr>
          <w:p w14:paraId="0E79FE03" w14:textId="77777777" w:rsidR="00AA58BD" w:rsidRPr="00DD6CA4" w:rsidRDefault="00AA58BD" w:rsidP="008D5083">
            <w:pPr>
              <w:spacing w:after="0"/>
              <w:jc w:val="right"/>
              <w:rPr>
                <w:rFonts w:cs="Arial"/>
                <w:color w:val="000000"/>
                <w:szCs w:val="20"/>
              </w:rPr>
            </w:pPr>
            <w:r w:rsidRPr="00DD6CA4">
              <w:rPr>
                <w:rFonts w:cs="Arial"/>
                <w:color w:val="000000"/>
                <w:szCs w:val="20"/>
              </w:rPr>
              <w:t>104.25</w:t>
            </w:r>
          </w:p>
        </w:tc>
        <w:tc>
          <w:tcPr>
            <w:tcW w:w="397" w:type="pct"/>
            <w:vAlign w:val="center"/>
          </w:tcPr>
          <w:p w14:paraId="7E68DE4E" w14:textId="77336302" w:rsidR="00AA58BD" w:rsidRPr="00DD6CA4" w:rsidRDefault="00AA58BD" w:rsidP="008D5083">
            <w:pPr>
              <w:spacing w:after="0"/>
              <w:jc w:val="right"/>
              <w:rPr>
                <w:rFonts w:cs="Arial"/>
                <w:color w:val="000000"/>
                <w:szCs w:val="20"/>
              </w:rPr>
            </w:pPr>
            <w:r w:rsidRPr="00DD6CA4">
              <w:rPr>
                <w:rFonts w:cs="Arial"/>
                <w:color w:val="000000"/>
                <w:szCs w:val="20"/>
              </w:rPr>
              <w:t>99.08</w:t>
            </w:r>
          </w:p>
        </w:tc>
        <w:tc>
          <w:tcPr>
            <w:tcW w:w="397" w:type="pct"/>
            <w:vAlign w:val="center"/>
          </w:tcPr>
          <w:p w14:paraId="65DA2690" w14:textId="096A45A8" w:rsidR="00AA58BD" w:rsidRPr="00DD6CA4" w:rsidRDefault="00AA58BD" w:rsidP="008D5083">
            <w:pPr>
              <w:spacing w:after="0"/>
              <w:jc w:val="right"/>
              <w:rPr>
                <w:rFonts w:cs="Arial"/>
                <w:color w:val="000000"/>
                <w:szCs w:val="20"/>
              </w:rPr>
            </w:pPr>
            <w:r w:rsidRPr="00DD6CA4">
              <w:rPr>
                <w:rFonts w:cs="Arial"/>
                <w:color w:val="000000"/>
                <w:szCs w:val="20"/>
              </w:rPr>
              <w:t>85.58</w:t>
            </w:r>
          </w:p>
        </w:tc>
        <w:tc>
          <w:tcPr>
            <w:tcW w:w="397" w:type="pct"/>
            <w:vAlign w:val="center"/>
          </w:tcPr>
          <w:p w14:paraId="236023A6" w14:textId="4CFEF04F" w:rsidR="00AA58BD" w:rsidRPr="00DD6CA4" w:rsidRDefault="00AA58BD" w:rsidP="008D5083">
            <w:pPr>
              <w:spacing w:after="0"/>
              <w:jc w:val="right"/>
              <w:rPr>
                <w:rFonts w:cs="Arial"/>
                <w:color w:val="000000"/>
                <w:szCs w:val="20"/>
              </w:rPr>
            </w:pPr>
            <w:r w:rsidRPr="00DD6CA4">
              <w:rPr>
                <w:rFonts w:cs="Arial"/>
                <w:color w:val="000000"/>
                <w:szCs w:val="20"/>
              </w:rPr>
              <w:t>75.50</w:t>
            </w:r>
          </w:p>
        </w:tc>
        <w:tc>
          <w:tcPr>
            <w:tcW w:w="397" w:type="pct"/>
            <w:vAlign w:val="center"/>
          </w:tcPr>
          <w:p w14:paraId="44AE9679" w14:textId="6B55DBF7" w:rsidR="00AA58BD" w:rsidRPr="00DD6CA4" w:rsidRDefault="00AA58BD" w:rsidP="008D5083">
            <w:pPr>
              <w:spacing w:after="0"/>
              <w:jc w:val="right"/>
              <w:rPr>
                <w:rFonts w:cs="Arial"/>
                <w:color w:val="000000"/>
                <w:szCs w:val="20"/>
              </w:rPr>
            </w:pPr>
            <w:r w:rsidRPr="00DD6CA4">
              <w:rPr>
                <w:rFonts w:cs="Arial"/>
                <w:color w:val="000000"/>
                <w:szCs w:val="20"/>
              </w:rPr>
              <w:t>45.42</w:t>
            </w:r>
          </w:p>
        </w:tc>
        <w:tc>
          <w:tcPr>
            <w:tcW w:w="397" w:type="pct"/>
            <w:vAlign w:val="center"/>
          </w:tcPr>
          <w:p w14:paraId="15E21FB5" w14:textId="3713D029" w:rsidR="00AA58BD" w:rsidRPr="00383DD9" w:rsidRDefault="00AA58BD" w:rsidP="008D5083">
            <w:pPr>
              <w:spacing w:after="0"/>
              <w:jc w:val="right"/>
              <w:rPr>
                <w:rFonts w:cs="Arial"/>
                <w:color w:val="000000"/>
                <w:szCs w:val="20"/>
              </w:rPr>
            </w:pPr>
            <w:r w:rsidRPr="00383DD9">
              <w:rPr>
                <w:rFonts w:cs="Arial"/>
                <w:color w:val="000000"/>
                <w:szCs w:val="20"/>
              </w:rPr>
              <w:t>19</w:t>
            </w:r>
            <w:r w:rsidR="00747D3C">
              <w:rPr>
                <w:rFonts w:cs="Arial"/>
                <w:color w:val="000000"/>
                <w:szCs w:val="20"/>
              </w:rPr>
              <w:t>.00</w:t>
            </w:r>
          </w:p>
        </w:tc>
      </w:tr>
      <w:tr w:rsidR="009510D0" w:rsidRPr="00DD6CA4" w14:paraId="2194414B" w14:textId="46094230" w:rsidTr="008D5083">
        <w:trPr>
          <w:trHeight w:val="80"/>
        </w:trPr>
        <w:tc>
          <w:tcPr>
            <w:tcW w:w="1081" w:type="pct"/>
            <w:shd w:val="clear" w:color="auto" w:fill="auto"/>
            <w:vAlign w:val="center"/>
            <w:hideMark/>
          </w:tcPr>
          <w:p w14:paraId="791E99E6" w14:textId="0CFAF0F5" w:rsidR="00AA58BD" w:rsidRPr="00DD6CA4" w:rsidRDefault="00AA58BD" w:rsidP="00041267">
            <w:pPr>
              <w:spacing w:after="0"/>
              <w:rPr>
                <w:rFonts w:cs="Arial"/>
                <w:color w:val="000000"/>
                <w:szCs w:val="20"/>
              </w:rPr>
            </w:pPr>
            <w:r w:rsidRPr="008D5083">
              <w:rPr>
                <w:rFonts w:cs="Arial"/>
                <w:b/>
                <w:bCs/>
                <w:color w:val="000000"/>
                <w:szCs w:val="20"/>
              </w:rPr>
              <w:t>Ten</w:t>
            </w:r>
            <w:r w:rsidR="00B23653">
              <w:rPr>
                <w:rFonts w:cs="Arial"/>
                <w:color w:val="000000"/>
                <w:szCs w:val="20"/>
              </w:rPr>
              <w:t>:</w:t>
            </w:r>
            <w:r w:rsidRPr="00DD6CA4">
              <w:rPr>
                <w:rFonts w:cs="Arial"/>
                <w:color w:val="000000"/>
                <w:szCs w:val="20"/>
              </w:rPr>
              <w:t xml:space="preserve"> average</w:t>
            </w:r>
            <w:r>
              <w:rPr>
                <w:rFonts w:cs="Arial"/>
                <w:color w:val="000000"/>
                <w:szCs w:val="20"/>
              </w:rPr>
              <w:t xml:space="preserve"> hours</w:t>
            </w:r>
            <w:r w:rsidR="00B23653">
              <w:rPr>
                <w:rFonts w:cs="Arial"/>
                <w:color w:val="000000"/>
                <w:szCs w:val="20"/>
              </w:rPr>
              <w:t xml:space="preserve"> claimed</w:t>
            </w:r>
          </w:p>
        </w:tc>
        <w:tc>
          <w:tcPr>
            <w:tcW w:w="346" w:type="pct"/>
            <w:shd w:val="clear" w:color="auto" w:fill="auto"/>
            <w:vAlign w:val="center"/>
            <w:hideMark/>
          </w:tcPr>
          <w:p w14:paraId="26030E8F" w14:textId="77777777" w:rsidR="00AA58BD" w:rsidRPr="00DD6CA4" w:rsidRDefault="00AA58BD" w:rsidP="008D5083">
            <w:pPr>
              <w:spacing w:after="0"/>
              <w:jc w:val="right"/>
              <w:rPr>
                <w:rFonts w:cs="Arial"/>
                <w:color w:val="000000"/>
                <w:szCs w:val="20"/>
              </w:rPr>
            </w:pPr>
            <w:r w:rsidRPr="00DD6CA4">
              <w:rPr>
                <w:rFonts w:cs="Arial"/>
                <w:color w:val="000000"/>
                <w:szCs w:val="20"/>
              </w:rPr>
              <w:t>75.77</w:t>
            </w:r>
          </w:p>
        </w:tc>
        <w:tc>
          <w:tcPr>
            <w:tcW w:w="397" w:type="pct"/>
            <w:shd w:val="clear" w:color="auto" w:fill="auto"/>
            <w:vAlign w:val="center"/>
            <w:hideMark/>
          </w:tcPr>
          <w:p w14:paraId="13FF9872" w14:textId="77777777" w:rsidR="00AA58BD" w:rsidRPr="00DD6CA4" w:rsidRDefault="00AA58BD" w:rsidP="008D5083">
            <w:pPr>
              <w:spacing w:after="0"/>
              <w:jc w:val="right"/>
              <w:rPr>
                <w:rFonts w:cs="Arial"/>
                <w:color w:val="000000"/>
                <w:szCs w:val="20"/>
              </w:rPr>
            </w:pPr>
            <w:r w:rsidRPr="00DD6CA4">
              <w:rPr>
                <w:rFonts w:cs="Arial"/>
                <w:color w:val="000000"/>
                <w:szCs w:val="20"/>
              </w:rPr>
              <w:t>178.50</w:t>
            </w:r>
          </w:p>
        </w:tc>
        <w:tc>
          <w:tcPr>
            <w:tcW w:w="397" w:type="pct"/>
            <w:shd w:val="clear" w:color="auto" w:fill="auto"/>
            <w:vAlign w:val="center"/>
            <w:hideMark/>
          </w:tcPr>
          <w:p w14:paraId="09A059BC" w14:textId="77777777" w:rsidR="00AA58BD" w:rsidRPr="00DD6CA4" w:rsidRDefault="00AA58BD" w:rsidP="008D5083">
            <w:pPr>
              <w:spacing w:after="0"/>
              <w:jc w:val="right"/>
              <w:rPr>
                <w:rFonts w:cs="Arial"/>
                <w:color w:val="000000"/>
                <w:szCs w:val="20"/>
              </w:rPr>
            </w:pPr>
            <w:r w:rsidRPr="00DD6CA4">
              <w:rPr>
                <w:rFonts w:cs="Arial"/>
                <w:color w:val="000000"/>
                <w:szCs w:val="20"/>
              </w:rPr>
              <w:t>177.25</w:t>
            </w:r>
          </w:p>
        </w:tc>
        <w:tc>
          <w:tcPr>
            <w:tcW w:w="397" w:type="pct"/>
            <w:shd w:val="clear" w:color="auto" w:fill="auto"/>
            <w:vAlign w:val="center"/>
            <w:hideMark/>
          </w:tcPr>
          <w:p w14:paraId="60AD0DA1" w14:textId="77777777" w:rsidR="00AA58BD" w:rsidRPr="00DD6CA4" w:rsidRDefault="00AA58BD" w:rsidP="008D5083">
            <w:pPr>
              <w:spacing w:after="0"/>
              <w:jc w:val="right"/>
              <w:rPr>
                <w:rFonts w:cs="Arial"/>
                <w:color w:val="000000"/>
                <w:szCs w:val="20"/>
              </w:rPr>
            </w:pPr>
            <w:r w:rsidRPr="00DD6CA4">
              <w:rPr>
                <w:rFonts w:cs="Arial"/>
                <w:color w:val="000000"/>
                <w:szCs w:val="20"/>
              </w:rPr>
              <w:t>160.05</w:t>
            </w:r>
          </w:p>
        </w:tc>
        <w:tc>
          <w:tcPr>
            <w:tcW w:w="397" w:type="pct"/>
            <w:shd w:val="clear" w:color="auto" w:fill="auto"/>
            <w:vAlign w:val="center"/>
            <w:hideMark/>
          </w:tcPr>
          <w:p w14:paraId="51FCD09C" w14:textId="77777777" w:rsidR="00AA58BD" w:rsidRPr="00DD6CA4" w:rsidRDefault="00AA58BD" w:rsidP="008D5083">
            <w:pPr>
              <w:spacing w:after="0"/>
              <w:jc w:val="right"/>
              <w:rPr>
                <w:rFonts w:cs="Arial"/>
                <w:color w:val="000000"/>
                <w:szCs w:val="20"/>
              </w:rPr>
            </w:pPr>
            <w:r w:rsidRPr="00DD6CA4">
              <w:rPr>
                <w:rFonts w:cs="Arial"/>
                <w:color w:val="000000"/>
                <w:szCs w:val="20"/>
              </w:rPr>
              <w:t>166.75</w:t>
            </w:r>
          </w:p>
        </w:tc>
        <w:tc>
          <w:tcPr>
            <w:tcW w:w="397" w:type="pct"/>
            <w:vAlign w:val="center"/>
          </w:tcPr>
          <w:p w14:paraId="35F3CEAB" w14:textId="75367FF8" w:rsidR="00AA58BD" w:rsidRPr="00DD6CA4" w:rsidRDefault="00AA58BD" w:rsidP="008D5083">
            <w:pPr>
              <w:spacing w:after="0"/>
              <w:jc w:val="right"/>
              <w:rPr>
                <w:rFonts w:cs="Arial"/>
                <w:color w:val="000000"/>
                <w:szCs w:val="20"/>
              </w:rPr>
            </w:pPr>
            <w:r w:rsidRPr="00DD6CA4">
              <w:rPr>
                <w:rFonts w:cs="Arial"/>
                <w:color w:val="000000"/>
                <w:szCs w:val="20"/>
              </w:rPr>
              <w:t>161.40</w:t>
            </w:r>
          </w:p>
        </w:tc>
        <w:tc>
          <w:tcPr>
            <w:tcW w:w="397" w:type="pct"/>
            <w:vAlign w:val="center"/>
          </w:tcPr>
          <w:p w14:paraId="1A0A401C" w14:textId="46D831CC" w:rsidR="00AA58BD" w:rsidRPr="00DD6CA4" w:rsidRDefault="00AA58BD" w:rsidP="008D5083">
            <w:pPr>
              <w:spacing w:after="0"/>
              <w:jc w:val="right"/>
              <w:rPr>
                <w:rFonts w:cs="Arial"/>
                <w:color w:val="000000"/>
                <w:szCs w:val="20"/>
              </w:rPr>
            </w:pPr>
            <w:r w:rsidRPr="00DD6CA4">
              <w:rPr>
                <w:rFonts w:cs="Arial"/>
                <w:color w:val="000000"/>
                <w:szCs w:val="20"/>
              </w:rPr>
              <w:t>186.08</w:t>
            </w:r>
          </w:p>
        </w:tc>
        <w:tc>
          <w:tcPr>
            <w:tcW w:w="397" w:type="pct"/>
            <w:vAlign w:val="center"/>
          </w:tcPr>
          <w:p w14:paraId="2FD366FB" w14:textId="6EFB3DBE" w:rsidR="00AA58BD" w:rsidRPr="00DD6CA4" w:rsidRDefault="00AA58BD" w:rsidP="008D5083">
            <w:pPr>
              <w:spacing w:after="0"/>
              <w:jc w:val="right"/>
              <w:rPr>
                <w:rFonts w:cs="Arial"/>
                <w:color w:val="000000"/>
                <w:szCs w:val="20"/>
              </w:rPr>
            </w:pPr>
            <w:r w:rsidRPr="00DD6CA4">
              <w:rPr>
                <w:rFonts w:cs="Arial"/>
                <w:color w:val="000000"/>
                <w:szCs w:val="20"/>
              </w:rPr>
              <w:t>184.33</w:t>
            </w:r>
          </w:p>
        </w:tc>
        <w:tc>
          <w:tcPr>
            <w:tcW w:w="397" w:type="pct"/>
            <w:vAlign w:val="center"/>
          </w:tcPr>
          <w:p w14:paraId="7D6CC93A" w14:textId="377C8BAC" w:rsidR="00AA58BD" w:rsidRPr="00DD6CA4" w:rsidRDefault="00AA58BD" w:rsidP="008D5083">
            <w:pPr>
              <w:spacing w:after="0"/>
              <w:jc w:val="right"/>
              <w:rPr>
                <w:rFonts w:cs="Arial"/>
                <w:color w:val="000000"/>
                <w:szCs w:val="20"/>
              </w:rPr>
            </w:pPr>
            <w:r w:rsidRPr="00DD6CA4">
              <w:rPr>
                <w:rFonts w:cs="Arial"/>
                <w:color w:val="000000"/>
                <w:szCs w:val="20"/>
              </w:rPr>
              <w:t>164.20</w:t>
            </w:r>
          </w:p>
        </w:tc>
        <w:tc>
          <w:tcPr>
            <w:tcW w:w="397" w:type="pct"/>
            <w:vAlign w:val="center"/>
          </w:tcPr>
          <w:p w14:paraId="6C3D17DB" w14:textId="36510665" w:rsidR="00AA58BD" w:rsidRPr="00383DD9" w:rsidRDefault="00AA58BD" w:rsidP="008D5083">
            <w:pPr>
              <w:spacing w:after="0"/>
              <w:jc w:val="right"/>
              <w:rPr>
                <w:rFonts w:cs="Arial"/>
                <w:color w:val="000000"/>
                <w:szCs w:val="20"/>
              </w:rPr>
            </w:pPr>
            <w:r w:rsidRPr="00383DD9">
              <w:rPr>
                <w:rFonts w:cs="Arial"/>
                <w:color w:val="000000"/>
                <w:szCs w:val="20"/>
              </w:rPr>
              <w:t>120</w:t>
            </w:r>
            <w:r w:rsidR="00747D3C">
              <w:rPr>
                <w:rFonts w:cs="Arial"/>
                <w:color w:val="000000"/>
                <w:szCs w:val="20"/>
              </w:rPr>
              <w:t>.00</w:t>
            </w:r>
          </w:p>
        </w:tc>
      </w:tr>
    </w:tbl>
    <w:p w14:paraId="05495002" w14:textId="10E9A63D" w:rsidR="003B237A" w:rsidRDefault="000D0EE0" w:rsidP="003B237A">
      <w:pPr>
        <w:pStyle w:val="Tableorfigurenotemultiple"/>
      </w:pPr>
      <w:r w:rsidRPr="00B8084A">
        <w:t>Discrepancies may exist in the totals due to rounding</w:t>
      </w:r>
      <w:r w:rsidR="003B237A">
        <w:t>.</w:t>
      </w:r>
      <w:r w:rsidR="00DA6DFF">
        <w:t xml:space="preserve"> </w:t>
      </w:r>
    </w:p>
    <w:p w14:paraId="54DAB91A" w14:textId="54584959" w:rsidR="00395779" w:rsidRPr="00487052" w:rsidRDefault="00DA6DFF" w:rsidP="005E6E9E">
      <w:pPr>
        <w:pStyle w:val="Tableorfigurenote"/>
        <w:spacing w:after="360"/>
      </w:pPr>
      <w:r>
        <w:t>*</w:t>
      </w:r>
      <w:r w:rsidR="00487052">
        <w:t>Due to the COVID-19 pandemic, the ACMA agreed to exercise forbearance in relation to non-compliance for this obligation.</w:t>
      </w:r>
    </w:p>
    <w:p w14:paraId="0AEF410D" w14:textId="34CAAC36" w:rsidR="00B0218F" w:rsidRPr="00B0218F" w:rsidRDefault="0028248A" w:rsidP="00F13FA2">
      <w:pPr>
        <w:pStyle w:val="Figureheading"/>
      </w:pPr>
      <w:r>
        <w:t>Average h</w:t>
      </w:r>
      <w:r w:rsidR="00B0218F">
        <w:t>ours claimed by networks for first release Australian drama</w:t>
      </w:r>
      <w:r w:rsidR="003A22BB">
        <w:t xml:space="preserve">, </w:t>
      </w:r>
      <w:r w:rsidR="00B0218F">
        <w:t>2012</w:t>
      </w:r>
      <w:r w:rsidR="003A22BB">
        <w:t xml:space="preserve"> to </w:t>
      </w:r>
      <w:r w:rsidR="00B0218F">
        <w:t>2021</w:t>
      </w:r>
    </w:p>
    <w:p w14:paraId="5D4F9A98" w14:textId="24F90C88" w:rsidR="002C0C73" w:rsidRDefault="003B4CAC" w:rsidP="002C0C73">
      <w:r>
        <w:rPr>
          <w:noProof/>
        </w:rPr>
        <w:drawing>
          <wp:inline distT="0" distB="0" distL="0" distR="0" wp14:anchorId="01628305" wp14:editId="12FCC274">
            <wp:extent cx="8599714" cy="3048000"/>
            <wp:effectExtent l="0" t="0" r="0" b="0"/>
            <wp:docPr id="7" name="Chart 7"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7855A231-94AA-492E-86D7-71596FEC3D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r w:rsidR="002C0C73">
        <w:br w:type="page"/>
      </w:r>
    </w:p>
    <w:p w14:paraId="256743EA" w14:textId="3F64D331" w:rsidR="002C0C73" w:rsidRPr="002C0C73" w:rsidRDefault="006B05B4" w:rsidP="00A6011F">
      <w:pPr>
        <w:pStyle w:val="Heading2"/>
        <w:spacing w:after="120"/>
      </w:pPr>
      <w:bookmarkStart w:id="10" w:name="_Toc112835084"/>
      <w:r w:rsidRPr="00E60F13">
        <w:lastRenderedPageBreak/>
        <w:t xml:space="preserve">First release Australian </w:t>
      </w:r>
      <w:r w:rsidR="00C568E6" w:rsidRPr="00E60F13">
        <w:t>c</w:t>
      </w:r>
      <w:r w:rsidRPr="00E60F13">
        <w:t>hildren’s drama (hours)</w:t>
      </w:r>
      <w:bookmarkEnd w:id="10"/>
    </w:p>
    <w:p w14:paraId="022D5170" w14:textId="14305790" w:rsidR="006B05B4" w:rsidRPr="006B05B4" w:rsidRDefault="006B05B4" w:rsidP="008D5083">
      <w:pPr>
        <w:pStyle w:val="Tableheading"/>
      </w:pPr>
      <w:r>
        <w:t>Average hours claimed by networks for first release Australian children’s drama programs</w:t>
      </w:r>
      <w:r w:rsidR="00041267">
        <w:t xml:space="preserve">, </w:t>
      </w:r>
      <w:r>
        <w:t>201</w:t>
      </w:r>
      <w:r w:rsidR="001B312C">
        <w:t>2</w:t>
      </w:r>
      <w:r w:rsidR="00041267">
        <w:t xml:space="preserve"> to </w:t>
      </w:r>
      <w:r>
        <w:t>2021</w:t>
      </w:r>
    </w:p>
    <w:tbl>
      <w:tblPr>
        <w:tblStyle w:val="TableGrid"/>
        <w:tblW w:w="4999" w:type="pct"/>
        <w:tblCellMar>
          <w:top w:w="57" w:type="dxa"/>
          <w:left w:w="57" w:type="dxa"/>
          <w:bottom w:w="57" w:type="dxa"/>
          <w:right w:w="57" w:type="dxa"/>
        </w:tblCellMar>
        <w:tblLook w:val="04A0" w:firstRow="1" w:lastRow="0" w:firstColumn="1" w:lastColumn="0" w:noHBand="0" w:noVBand="1"/>
      </w:tblPr>
      <w:tblGrid>
        <w:gridCol w:w="2971"/>
        <w:gridCol w:w="1077"/>
        <w:gridCol w:w="1077"/>
        <w:gridCol w:w="1078"/>
        <w:gridCol w:w="1078"/>
        <w:gridCol w:w="1078"/>
        <w:gridCol w:w="1078"/>
        <w:gridCol w:w="1078"/>
        <w:gridCol w:w="1078"/>
        <w:gridCol w:w="1078"/>
        <w:gridCol w:w="1075"/>
      </w:tblGrid>
      <w:tr w:rsidR="002354E8" w:rsidRPr="00231937" w14:paraId="7AA5101E" w14:textId="77777777" w:rsidTr="001C77A3">
        <w:tc>
          <w:tcPr>
            <w:tcW w:w="1081" w:type="pct"/>
            <w:vMerge w:val="restart"/>
            <w:shd w:val="clear" w:color="auto" w:fill="7C426F"/>
            <w:vAlign w:val="center"/>
          </w:tcPr>
          <w:p w14:paraId="1D7B5C8E" w14:textId="433824C8" w:rsidR="002354E8" w:rsidRDefault="002354E8" w:rsidP="002A5CF6">
            <w:pPr>
              <w:spacing w:after="0"/>
              <w:rPr>
                <w:rFonts w:cs="Arial"/>
                <w:b/>
                <w:bCs/>
                <w:color w:val="FFFFFF" w:themeColor="background1"/>
                <w:szCs w:val="20"/>
              </w:rPr>
            </w:pPr>
            <w:r>
              <w:rPr>
                <w:rFonts w:cs="Arial"/>
                <w:b/>
                <w:bCs/>
                <w:color w:val="FFFFFF" w:themeColor="background1"/>
                <w:szCs w:val="20"/>
              </w:rPr>
              <w:t>Network</w:t>
            </w:r>
          </w:p>
        </w:tc>
        <w:tc>
          <w:tcPr>
            <w:tcW w:w="3528" w:type="pct"/>
            <w:gridSpan w:val="9"/>
            <w:shd w:val="clear" w:color="auto" w:fill="D4AFC8"/>
          </w:tcPr>
          <w:p w14:paraId="114788ED" w14:textId="51D674B8" w:rsidR="002354E8" w:rsidRPr="001C77A3" w:rsidRDefault="002354E8" w:rsidP="008D5083">
            <w:pPr>
              <w:spacing w:after="0"/>
              <w:jc w:val="center"/>
              <w:rPr>
                <w:rFonts w:cs="Arial"/>
                <w:b/>
                <w:bCs/>
                <w:color w:val="FFFFFF" w:themeColor="background1"/>
                <w:szCs w:val="20"/>
              </w:rPr>
            </w:pPr>
            <w:r w:rsidRPr="008D5083">
              <w:rPr>
                <w:rFonts w:cs="Arial"/>
                <w:b/>
                <w:bCs/>
                <w:color w:val="FFFFFF" w:themeColor="background1"/>
                <w:szCs w:val="20"/>
              </w:rPr>
              <w:t>Minimum hours required</w:t>
            </w:r>
            <w:r w:rsidRPr="001C77A3">
              <w:rPr>
                <w:rFonts w:cs="Arial"/>
                <w:b/>
                <w:bCs/>
                <w:color w:val="FFFFFF" w:themeColor="background1"/>
                <w:szCs w:val="20"/>
              </w:rPr>
              <w:t>: 25</w:t>
            </w:r>
          </w:p>
        </w:tc>
        <w:tc>
          <w:tcPr>
            <w:tcW w:w="391" w:type="pct"/>
            <w:shd w:val="clear" w:color="auto" w:fill="D4AFC8"/>
            <w:vAlign w:val="center"/>
          </w:tcPr>
          <w:p w14:paraId="005C93F7" w14:textId="47B8C867" w:rsidR="002354E8" w:rsidRPr="001C77A3" w:rsidRDefault="002354E8" w:rsidP="00FD50A7">
            <w:pPr>
              <w:spacing w:after="0"/>
              <w:jc w:val="right"/>
              <w:rPr>
                <w:rFonts w:cs="Arial"/>
                <w:b/>
                <w:bCs/>
                <w:color w:val="FFFFFF" w:themeColor="background1"/>
                <w:szCs w:val="20"/>
              </w:rPr>
            </w:pPr>
            <w:r w:rsidRPr="001C77A3">
              <w:rPr>
                <w:rFonts w:cs="Arial"/>
                <w:b/>
                <w:bCs/>
                <w:color w:val="FFFFFF" w:themeColor="background1"/>
                <w:szCs w:val="20"/>
              </w:rPr>
              <w:t>n/a</w:t>
            </w:r>
          </w:p>
        </w:tc>
      </w:tr>
      <w:tr w:rsidR="002354E8" w:rsidRPr="00231937" w14:paraId="0BC1CB86" w14:textId="77777777" w:rsidTr="002354E8">
        <w:tc>
          <w:tcPr>
            <w:tcW w:w="1081" w:type="pct"/>
            <w:vMerge/>
            <w:vAlign w:val="center"/>
          </w:tcPr>
          <w:p w14:paraId="6C9530A9" w14:textId="68C2E01B" w:rsidR="002354E8" w:rsidRPr="00231937" w:rsidRDefault="002354E8" w:rsidP="002A5CF6">
            <w:pPr>
              <w:spacing w:after="0"/>
              <w:rPr>
                <w:rFonts w:cs="Arial"/>
                <w:szCs w:val="20"/>
              </w:rPr>
            </w:pPr>
          </w:p>
        </w:tc>
        <w:tc>
          <w:tcPr>
            <w:tcW w:w="392" w:type="pct"/>
            <w:shd w:val="clear" w:color="auto" w:fill="7C426F"/>
          </w:tcPr>
          <w:p w14:paraId="2FA92005" w14:textId="5A6572EA"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2012</w:t>
            </w:r>
          </w:p>
        </w:tc>
        <w:tc>
          <w:tcPr>
            <w:tcW w:w="392" w:type="pct"/>
            <w:shd w:val="clear" w:color="auto" w:fill="7C426F"/>
          </w:tcPr>
          <w:p w14:paraId="319E63E8" w14:textId="4726554F"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2013</w:t>
            </w:r>
          </w:p>
        </w:tc>
        <w:tc>
          <w:tcPr>
            <w:tcW w:w="392" w:type="pct"/>
            <w:shd w:val="clear" w:color="auto" w:fill="7C426F"/>
          </w:tcPr>
          <w:p w14:paraId="66600341" w14:textId="78C3548F"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2014</w:t>
            </w:r>
          </w:p>
        </w:tc>
        <w:tc>
          <w:tcPr>
            <w:tcW w:w="392" w:type="pct"/>
            <w:shd w:val="clear" w:color="auto" w:fill="7C426F"/>
          </w:tcPr>
          <w:p w14:paraId="3278C4DF" w14:textId="1A3CA990"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2015</w:t>
            </w:r>
          </w:p>
        </w:tc>
        <w:tc>
          <w:tcPr>
            <w:tcW w:w="392" w:type="pct"/>
            <w:shd w:val="clear" w:color="auto" w:fill="7C426F"/>
          </w:tcPr>
          <w:p w14:paraId="5E25740E" w14:textId="76B82E0D"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2016</w:t>
            </w:r>
          </w:p>
        </w:tc>
        <w:tc>
          <w:tcPr>
            <w:tcW w:w="392" w:type="pct"/>
            <w:shd w:val="clear" w:color="auto" w:fill="7C426F"/>
          </w:tcPr>
          <w:p w14:paraId="5DE21D24" w14:textId="7101A8A4"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2017</w:t>
            </w:r>
          </w:p>
        </w:tc>
        <w:tc>
          <w:tcPr>
            <w:tcW w:w="392" w:type="pct"/>
            <w:shd w:val="clear" w:color="auto" w:fill="7C426F"/>
          </w:tcPr>
          <w:p w14:paraId="4684E909" w14:textId="46218117"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2018</w:t>
            </w:r>
          </w:p>
        </w:tc>
        <w:tc>
          <w:tcPr>
            <w:tcW w:w="392" w:type="pct"/>
            <w:shd w:val="clear" w:color="auto" w:fill="7C426F"/>
          </w:tcPr>
          <w:p w14:paraId="73ECDAE1" w14:textId="35AB0BC5"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2019</w:t>
            </w:r>
          </w:p>
        </w:tc>
        <w:tc>
          <w:tcPr>
            <w:tcW w:w="392" w:type="pct"/>
            <w:shd w:val="clear" w:color="auto" w:fill="7C426F"/>
          </w:tcPr>
          <w:p w14:paraId="6095D70F" w14:textId="57000103"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2020</w:t>
            </w:r>
          </w:p>
        </w:tc>
        <w:tc>
          <w:tcPr>
            <w:tcW w:w="391" w:type="pct"/>
            <w:shd w:val="clear" w:color="auto" w:fill="7C426F"/>
          </w:tcPr>
          <w:p w14:paraId="6F6834E3" w14:textId="42BF98F0" w:rsidR="002354E8" w:rsidRPr="002354E8" w:rsidRDefault="002354E8" w:rsidP="008D5083">
            <w:pPr>
              <w:spacing w:after="0"/>
              <w:jc w:val="right"/>
              <w:rPr>
                <w:rFonts w:cs="Arial"/>
                <w:b/>
                <w:bCs/>
                <w:color w:val="FFFFFF" w:themeColor="background1"/>
                <w:szCs w:val="20"/>
              </w:rPr>
            </w:pPr>
            <w:r w:rsidRPr="002354E8">
              <w:rPr>
                <w:rFonts w:cs="Arial"/>
                <w:b/>
                <w:bCs/>
                <w:color w:val="FFFFFF" w:themeColor="background1"/>
                <w:szCs w:val="20"/>
              </w:rPr>
              <w:t>2021</w:t>
            </w:r>
          </w:p>
        </w:tc>
      </w:tr>
      <w:tr w:rsidR="008D5083" w:rsidRPr="00231937" w14:paraId="66FC064C" w14:textId="77777777" w:rsidTr="001C77A3">
        <w:tc>
          <w:tcPr>
            <w:tcW w:w="1081" w:type="pct"/>
            <w:vAlign w:val="center"/>
          </w:tcPr>
          <w:p w14:paraId="6F29F860" w14:textId="2715A832" w:rsidR="008D5083" w:rsidRPr="008D5083" w:rsidRDefault="008D5083" w:rsidP="008D5083">
            <w:pPr>
              <w:spacing w:after="0"/>
              <w:rPr>
                <w:rFonts w:cs="Arial"/>
                <w:b/>
                <w:bCs/>
                <w:szCs w:val="20"/>
              </w:rPr>
            </w:pPr>
            <w:r w:rsidRPr="008D5083">
              <w:rPr>
                <w:rFonts w:cs="Arial"/>
                <w:b/>
                <w:bCs/>
                <w:szCs w:val="20"/>
              </w:rPr>
              <w:t>Seven</w:t>
            </w:r>
            <w:r>
              <w:rPr>
                <w:rFonts w:cs="Arial"/>
                <w:szCs w:val="20"/>
              </w:rPr>
              <w:t>:</w:t>
            </w:r>
            <w:r w:rsidRPr="00231937">
              <w:rPr>
                <w:rFonts w:cs="Arial"/>
                <w:szCs w:val="20"/>
              </w:rPr>
              <w:t xml:space="preserve"> average hours</w:t>
            </w:r>
            <w:r>
              <w:rPr>
                <w:rFonts w:cs="Arial"/>
                <w:szCs w:val="20"/>
              </w:rPr>
              <w:t xml:space="preserve"> claimed</w:t>
            </w:r>
          </w:p>
        </w:tc>
        <w:tc>
          <w:tcPr>
            <w:tcW w:w="392" w:type="pct"/>
          </w:tcPr>
          <w:p w14:paraId="382A7AB4" w14:textId="04E25D62" w:rsidR="008D5083" w:rsidRPr="00854054" w:rsidRDefault="008D5083" w:rsidP="008D5083">
            <w:pPr>
              <w:spacing w:after="0"/>
              <w:jc w:val="right"/>
            </w:pPr>
            <w:r w:rsidRPr="00854054">
              <w:t>32.50</w:t>
            </w:r>
          </w:p>
        </w:tc>
        <w:tc>
          <w:tcPr>
            <w:tcW w:w="392" w:type="pct"/>
          </w:tcPr>
          <w:p w14:paraId="50B22C1F" w14:textId="7B253C8F" w:rsidR="008D5083" w:rsidRPr="00854054" w:rsidRDefault="008D5083" w:rsidP="008D5083">
            <w:pPr>
              <w:spacing w:after="0"/>
              <w:jc w:val="right"/>
            </w:pPr>
            <w:r w:rsidRPr="00854054">
              <w:t>27.00</w:t>
            </w:r>
          </w:p>
        </w:tc>
        <w:tc>
          <w:tcPr>
            <w:tcW w:w="392" w:type="pct"/>
          </w:tcPr>
          <w:p w14:paraId="5E538E35" w14:textId="5E91307C" w:rsidR="008D5083" w:rsidRPr="00854054" w:rsidRDefault="008D5083" w:rsidP="008D5083">
            <w:pPr>
              <w:spacing w:after="0"/>
              <w:jc w:val="right"/>
            </w:pPr>
            <w:r w:rsidRPr="00854054">
              <w:t>37.00</w:t>
            </w:r>
          </w:p>
        </w:tc>
        <w:tc>
          <w:tcPr>
            <w:tcW w:w="392" w:type="pct"/>
          </w:tcPr>
          <w:p w14:paraId="46836524" w14:textId="02FDECAD" w:rsidR="008D5083" w:rsidRPr="00217DF6" w:rsidRDefault="008D5083" w:rsidP="008D5083">
            <w:pPr>
              <w:spacing w:after="0"/>
              <w:jc w:val="right"/>
            </w:pPr>
            <w:r w:rsidRPr="00217DF6">
              <w:t>26.50</w:t>
            </w:r>
          </w:p>
        </w:tc>
        <w:tc>
          <w:tcPr>
            <w:tcW w:w="392" w:type="pct"/>
          </w:tcPr>
          <w:p w14:paraId="39CBE068" w14:textId="626D6457" w:rsidR="008D5083" w:rsidRPr="00217DF6" w:rsidRDefault="008D5083" w:rsidP="008D5083">
            <w:pPr>
              <w:spacing w:after="0"/>
              <w:jc w:val="right"/>
            </w:pPr>
            <w:r w:rsidRPr="00217DF6">
              <w:t>33.50</w:t>
            </w:r>
          </w:p>
        </w:tc>
        <w:tc>
          <w:tcPr>
            <w:tcW w:w="392" w:type="pct"/>
          </w:tcPr>
          <w:p w14:paraId="5D6CD6D0" w14:textId="19AF3FFE" w:rsidR="008D5083" w:rsidRPr="00217DF6" w:rsidRDefault="008D5083" w:rsidP="008D5083">
            <w:pPr>
              <w:spacing w:after="0"/>
              <w:jc w:val="right"/>
            </w:pPr>
            <w:r w:rsidRPr="00217DF6">
              <w:t>36.00</w:t>
            </w:r>
          </w:p>
        </w:tc>
        <w:tc>
          <w:tcPr>
            <w:tcW w:w="392" w:type="pct"/>
          </w:tcPr>
          <w:p w14:paraId="3379CC05" w14:textId="7336AA58" w:rsidR="008D5083" w:rsidRPr="00217DF6" w:rsidRDefault="008D5083" w:rsidP="008D5083">
            <w:pPr>
              <w:spacing w:after="0"/>
              <w:jc w:val="right"/>
            </w:pPr>
            <w:r w:rsidRPr="00217DF6">
              <w:t>26.50</w:t>
            </w:r>
          </w:p>
        </w:tc>
        <w:tc>
          <w:tcPr>
            <w:tcW w:w="392" w:type="pct"/>
          </w:tcPr>
          <w:p w14:paraId="6294A937" w14:textId="1331DF38" w:rsidR="008D5083" w:rsidRPr="00217DF6" w:rsidRDefault="008D5083" w:rsidP="008D5083">
            <w:pPr>
              <w:spacing w:after="0"/>
              <w:jc w:val="right"/>
            </w:pPr>
            <w:r w:rsidRPr="00217DF6">
              <w:t>33.50</w:t>
            </w:r>
          </w:p>
        </w:tc>
        <w:tc>
          <w:tcPr>
            <w:tcW w:w="392" w:type="pct"/>
          </w:tcPr>
          <w:p w14:paraId="7C2C952B" w14:textId="7B4D1486" w:rsidR="008D5083" w:rsidRPr="00217DF6" w:rsidRDefault="008D5083" w:rsidP="008D5083">
            <w:pPr>
              <w:spacing w:after="0"/>
              <w:jc w:val="right"/>
            </w:pPr>
            <w:r w:rsidRPr="00217DF6">
              <w:t>4.00</w:t>
            </w:r>
          </w:p>
        </w:tc>
        <w:tc>
          <w:tcPr>
            <w:tcW w:w="391" w:type="pct"/>
          </w:tcPr>
          <w:p w14:paraId="55638BEE" w14:textId="571946D3" w:rsidR="008D5083" w:rsidRPr="00217DF6" w:rsidRDefault="008D5083" w:rsidP="008D5083">
            <w:pPr>
              <w:spacing w:after="0"/>
              <w:jc w:val="right"/>
            </w:pPr>
            <w:r w:rsidRPr="00217DF6">
              <w:t>6.50</w:t>
            </w:r>
          </w:p>
        </w:tc>
      </w:tr>
      <w:tr w:rsidR="008D5083" w:rsidRPr="00231937" w14:paraId="54478ED5" w14:textId="77777777" w:rsidTr="001C77A3">
        <w:tc>
          <w:tcPr>
            <w:tcW w:w="1081" w:type="pct"/>
            <w:vAlign w:val="center"/>
          </w:tcPr>
          <w:p w14:paraId="24A98C41" w14:textId="55C2C120" w:rsidR="008D5083" w:rsidRPr="00231937" w:rsidRDefault="008D5083" w:rsidP="008D5083">
            <w:pPr>
              <w:spacing w:after="0"/>
              <w:rPr>
                <w:rFonts w:cs="Arial"/>
                <w:szCs w:val="20"/>
              </w:rPr>
            </w:pPr>
            <w:r w:rsidRPr="008D5083">
              <w:rPr>
                <w:rFonts w:cs="Arial"/>
                <w:b/>
                <w:bCs/>
                <w:szCs w:val="20"/>
              </w:rPr>
              <w:t>Nine</w:t>
            </w:r>
            <w:r>
              <w:rPr>
                <w:rFonts w:cs="Arial"/>
                <w:szCs w:val="20"/>
              </w:rPr>
              <w:t>:</w:t>
            </w:r>
            <w:r w:rsidRPr="00231937">
              <w:rPr>
                <w:rFonts w:cs="Arial"/>
                <w:szCs w:val="20"/>
              </w:rPr>
              <w:t xml:space="preserve"> average hours</w:t>
            </w:r>
            <w:r>
              <w:rPr>
                <w:rFonts w:cs="Arial"/>
                <w:szCs w:val="20"/>
              </w:rPr>
              <w:t xml:space="preserve"> claimed</w:t>
            </w:r>
          </w:p>
        </w:tc>
        <w:tc>
          <w:tcPr>
            <w:tcW w:w="392" w:type="pct"/>
          </w:tcPr>
          <w:p w14:paraId="441941DF" w14:textId="6164207E" w:rsidR="008D5083" w:rsidRPr="00217DF6" w:rsidRDefault="008D5083" w:rsidP="008D5083">
            <w:pPr>
              <w:spacing w:after="0"/>
              <w:jc w:val="right"/>
            </w:pPr>
            <w:r w:rsidRPr="00854054">
              <w:t>32.00</w:t>
            </w:r>
          </w:p>
        </w:tc>
        <w:tc>
          <w:tcPr>
            <w:tcW w:w="392" w:type="pct"/>
          </w:tcPr>
          <w:p w14:paraId="4E170C19" w14:textId="593F6AD2" w:rsidR="008D5083" w:rsidRPr="00217DF6" w:rsidRDefault="008D5083" w:rsidP="008D5083">
            <w:pPr>
              <w:spacing w:after="0"/>
              <w:jc w:val="right"/>
            </w:pPr>
            <w:r w:rsidRPr="00854054">
              <w:t>27.50</w:t>
            </w:r>
          </w:p>
        </w:tc>
        <w:tc>
          <w:tcPr>
            <w:tcW w:w="392" w:type="pct"/>
          </w:tcPr>
          <w:p w14:paraId="04212529" w14:textId="70F1ED74" w:rsidR="008D5083" w:rsidRPr="00217DF6" w:rsidRDefault="008D5083" w:rsidP="008D5083">
            <w:pPr>
              <w:spacing w:after="0"/>
              <w:jc w:val="right"/>
            </w:pPr>
            <w:r w:rsidRPr="00854054">
              <w:t>32.00</w:t>
            </w:r>
          </w:p>
        </w:tc>
        <w:tc>
          <w:tcPr>
            <w:tcW w:w="392" w:type="pct"/>
          </w:tcPr>
          <w:p w14:paraId="17765269" w14:textId="3BB75ABF" w:rsidR="008D5083" w:rsidRPr="00231937" w:rsidRDefault="008D5083" w:rsidP="008D5083">
            <w:pPr>
              <w:spacing w:after="0"/>
              <w:jc w:val="right"/>
              <w:rPr>
                <w:rFonts w:cs="Arial"/>
                <w:szCs w:val="20"/>
              </w:rPr>
            </w:pPr>
            <w:r w:rsidRPr="00217DF6">
              <w:t>32.00</w:t>
            </w:r>
          </w:p>
        </w:tc>
        <w:tc>
          <w:tcPr>
            <w:tcW w:w="392" w:type="pct"/>
          </w:tcPr>
          <w:p w14:paraId="314453D9" w14:textId="2BE4853A" w:rsidR="008D5083" w:rsidRPr="00231937" w:rsidRDefault="008D5083" w:rsidP="008D5083">
            <w:pPr>
              <w:spacing w:after="0"/>
              <w:jc w:val="right"/>
              <w:rPr>
                <w:rFonts w:cs="Arial"/>
                <w:szCs w:val="20"/>
              </w:rPr>
            </w:pPr>
            <w:r w:rsidRPr="00217DF6">
              <w:t>32.00</w:t>
            </w:r>
          </w:p>
        </w:tc>
        <w:tc>
          <w:tcPr>
            <w:tcW w:w="392" w:type="pct"/>
          </w:tcPr>
          <w:p w14:paraId="25516D2C" w14:textId="0998684A" w:rsidR="008D5083" w:rsidRPr="00231937" w:rsidRDefault="008D5083" w:rsidP="008D5083">
            <w:pPr>
              <w:spacing w:after="0"/>
              <w:jc w:val="right"/>
              <w:rPr>
                <w:rFonts w:cs="Arial"/>
                <w:szCs w:val="20"/>
              </w:rPr>
            </w:pPr>
            <w:r w:rsidRPr="00217DF6">
              <w:t>33.00</w:t>
            </w:r>
          </w:p>
        </w:tc>
        <w:tc>
          <w:tcPr>
            <w:tcW w:w="392" w:type="pct"/>
          </w:tcPr>
          <w:p w14:paraId="3FD5F372" w14:textId="207D217A" w:rsidR="008D5083" w:rsidRPr="00231937" w:rsidRDefault="008D5083" w:rsidP="008D5083">
            <w:pPr>
              <w:spacing w:after="0"/>
              <w:jc w:val="right"/>
              <w:rPr>
                <w:rFonts w:cs="Arial"/>
                <w:szCs w:val="20"/>
              </w:rPr>
            </w:pPr>
            <w:r w:rsidRPr="00217DF6">
              <w:t>26.00</w:t>
            </w:r>
          </w:p>
        </w:tc>
        <w:tc>
          <w:tcPr>
            <w:tcW w:w="392" w:type="pct"/>
          </w:tcPr>
          <w:p w14:paraId="0DE93AAD" w14:textId="112DBD14" w:rsidR="008D5083" w:rsidRPr="00231937" w:rsidRDefault="008D5083" w:rsidP="008D5083">
            <w:pPr>
              <w:spacing w:after="0"/>
              <w:jc w:val="right"/>
              <w:rPr>
                <w:rFonts w:cs="Arial"/>
                <w:szCs w:val="20"/>
              </w:rPr>
            </w:pPr>
            <w:r w:rsidRPr="00217DF6">
              <w:t>32.50</w:t>
            </w:r>
          </w:p>
        </w:tc>
        <w:tc>
          <w:tcPr>
            <w:tcW w:w="392" w:type="pct"/>
          </w:tcPr>
          <w:p w14:paraId="477CC5A8" w14:textId="0917558F" w:rsidR="008D5083" w:rsidRPr="00231937" w:rsidRDefault="008D5083" w:rsidP="008D5083">
            <w:pPr>
              <w:spacing w:after="0"/>
              <w:jc w:val="right"/>
              <w:rPr>
                <w:rFonts w:cs="Arial"/>
                <w:szCs w:val="20"/>
              </w:rPr>
            </w:pPr>
            <w:r w:rsidRPr="00217DF6">
              <w:t>25.00</w:t>
            </w:r>
          </w:p>
        </w:tc>
        <w:tc>
          <w:tcPr>
            <w:tcW w:w="391" w:type="pct"/>
          </w:tcPr>
          <w:p w14:paraId="18B78A76" w14:textId="52A67CCC" w:rsidR="008D5083" w:rsidRPr="00231937" w:rsidRDefault="008D5083" w:rsidP="008D5083">
            <w:pPr>
              <w:spacing w:after="0"/>
              <w:jc w:val="right"/>
              <w:rPr>
                <w:rFonts w:cs="Arial"/>
                <w:szCs w:val="20"/>
              </w:rPr>
            </w:pPr>
            <w:r w:rsidRPr="00217DF6">
              <w:t>24.08</w:t>
            </w:r>
          </w:p>
        </w:tc>
      </w:tr>
      <w:tr w:rsidR="008D5083" w:rsidRPr="00231937" w14:paraId="719A0633" w14:textId="77777777" w:rsidTr="001C77A3">
        <w:tc>
          <w:tcPr>
            <w:tcW w:w="1081" w:type="pct"/>
            <w:vAlign w:val="center"/>
          </w:tcPr>
          <w:p w14:paraId="583F6389" w14:textId="584183A9" w:rsidR="008D5083" w:rsidRPr="00231937" w:rsidRDefault="008D5083" w:rsidP="008D5083">
            <w:pPr>
              <w:spacing w:after="0"/>
              <w:rPr>
                <w:rFonts w:cs="Arial"/>
                <w:szCs w:val="20"/>
              </w:rPr>
            </w:pPr>
            <w:r w:rsidRPr="008D5083">
              <w:rPr>
                <w:rFonts w:cs="Arial"/>
                <w:b/>
                <w:bCs/>
                <w:szCs w:val="20"/>
              </w:rPr>
              <w:t>Ten</w:t>
            </w:r>
            <w:r>
              <w:rPr>
                <w:rFonts w:cs="Arial"/>
                <w:szCs w:val="20"/>
              </w:rPr>
              <w:t>:</w:t>
            </w:r>
            <w:r w:rsidRPr="00231937">
              <w:rPr>
                <w:rFonts w:cs="Arial"/>
                <w:szCs w:val="20"/>
              </w:rPr>
              <w:t xml:space="preserve"> average hours</w:t>
            </w:r>
            <w:r>
              <w:rPr>
                <w:rFonts w:cs="Arial"/>
                <w:szCs w:val="20"/>
              </w:rPr>
              <w:t xml:space="preserve"> claimed</w:t>
            </w:r>
          </w:p>
        </w:tc>
        <w:tc>
          <w:tcPr>
            <w:tcW w:w="392" w:type="pct"/>
          </w:tcPr>
          <w:p w14:paraId="477C3341" w14:textId="0C2F5BF4" w:rsidR="008D5083" w:rsidRPr="00217DF6" w:rsidRDefault="008D5083" w:rsidP="008D5083">
            <w:pPr>
              <w:spacing w:after="0"/>
              <w:jc w:val="right"/>
            </w:pPr>
            <w:r w:rsidRPr="00854054">
              <w:t>25.00</w:t>
            </w:r>
          </w:p>
        </w:tc>
        <w:tc>
          <w:tcPr>
            <w:tcW w:w="392" w:type="pct"/>
          </w:tcPr>
          <w:p w14:paraId="47C9C8B5" w14:textId="0FE746D5" w:rsidR="008D5083" w:rsidRPr="00217DF6" w:rsidRDefault="008D5083" w:rsidP="008D5083">
            <w:pPr>
              <w:spacing w:after="0"/>
              <w:jc w:val="right"/>
            </w:pPr>
            <w:r w:rsidRPr="00854054">
              <w:t>34.00</w:t>
            </w:r>
          </w:p>
        </w:tc>
        <w:tc>
          <w:tcPr>
            <w:tcW w:w="392" w:type="pct"/>
          </w:tcPr>
          <w:p w14:paraId="3328CA29" w14:textId="36950CC8" w:rsidR="008D5083" w:rsidRPr="00217DF6" w:rsidRDefault="008D5083" w:rsidP="008D5083">
            <w:pPr>
              <w:spacing w:after="0"/>
              <w:jc w:val="right"/>
            </w:pPr>
            <w:r w:rsidRPr="00854054">
              <w:t>37.50</w:t>
            </w:r>
          </w:p>
        </w:tc>
        <w:tc>
          <w:tcPr>
            <w:tcW w:w="392" w:type="pct"/>
          </w:tcPr>
          <w:p w14:paraId="12DA56AA" w14:textId="22410350" w:rsidR="008D5083" w:rsidRPr="00231937" w:rsidRDefault="008D5083" w:rsidP="008D5083">
            <w:pPr>
              <w:spacing w:after="0"/>
              <w:jc w:val="right"/>
              <w:rPr>
                <w:rFonts w:cs="Arial"/>
                <w:szCs w:val="20"/>
              </w:rPr>
            </w:pPr>
            <w:r w:rsidRPr="00217DF6">
              <w:t>26.50</w:t>
            </w:r>
          </w:p>
        </w:tc>
        <w:tc>
          <w:tcPr>
            <w:tcW w:w="392" w:type="pct"/>
          </w:tcPr>
          <w:p w14:paraId="5D3B6DB4" w14:textId="3393F388" w:rsidR="008D5083" w:rsidRPr="00231937" w:rsidRDefault="008D5083" w:rsidP="008D5083">
            <w:pPr>
              <w:spacing w:after="0"/>
              <w:jc w:val="right"/>
              <w:rPr>
                <w:rFonts w:cs="Arial"/>
                <w:szCs w:val="20"/>
              </w:rPr>
            </w:pPr>
            <w:r w:rsidRPr="00217DF6">
              <w:t>26.50</w:t>
            </w:r>
          </w:p>
        </w:tc>
        <w:tc>
          <w:tcPr>
            <w:tcW w:w="392" w:type="pct"/>
          </w:tcPr>
          <w:p w14:paraId="4BEC8A33" w14:textId="6B367FA9" w:rsidR="008D5083" w:rsidRPr="00231937" w:rsidRDefault="008D5083" w:rsidP="008D5083">
            <w:pPr>
              <w:spacing w:after="0"/>
              <w:jc w:val="right"/>
              <w:rPr>
                <w:rFonts w:cs="Arial"/>
                <w:szCs w:val="20"/>
              </w:rPr>
            </w:pPr>
            <w:r w:rsidRPr="00217DF6">
              <w:t>43.00</w:t>
            </w:r>
          </w:p>
        </w:tc>
        <w:tc>
          <w:tcPr>
            <w:tcW w:w="392" w:type="pct"/>
          </w:tcPr>
          <w:p w14:paraId="4C7EB160" w14:textId="50707A0A" w:rsidR="008D5083" w:rsidRPr="00231937" w:rsidRDefault="008D5083" w:rsidP="008D5083">
            <w:pPr>
              <w:spacing w:after="0"/>
              <w:jc w:val="right"/>
              <w:rPr>
                <w:rFonts w:cs="Arial"/>
                <w:szCs w:val="20"/>
              </w:rPr>
            </w:pPr>
            <w:r w:rsidRPr="00217DF6">
              <w:t>32.00</w:t>
            </w:r>
          </w:p>
        </w:tc>
        <w:tc>
          <w:tcPr>
            <w:tcW w:w="392" w:type="pct"/>
          </w:tcPr>
          <w:p w14:paraId="33678A77" w14:textId="4906F177" w:rsidR="008D5083" w:rsidRPr="00231937" w:rsidRDefault="008D5083" w:rsidP="008D5083">
            <w:pPr>
              <w:spacing w:after="0"/>
              <w:jc w:val="right"/>
              <w:rPr>
                <w:rFonts w:cs="Arial"/>
                <w:szCs w:val="20"/>
              </w:rPr>
            </w:pPr>
            <w:r w:rsidRPr="00217DF6">
              <w:t>32.00</w:t>
            </w:r>
          </w:p>
        </w:tc>
        <w:tc>
          <w:tcPr>
            <w:tcW w:w="392" w:type="pct"/>
          </w:tcPr>
          <w:p w14:paraId="2637C1DC" w14:textId="48AEEECA" w:rsidR="008D5083" w:rsidRPr="00231937" w:rsidRDefault="008D5083" w:rsidP="008D5083">
            <w:pPr>
              <w:spacing w:after="0"/>
              <w:jc w:val="right"/>
              <w:rPr>
                <w:rFonts w:cs="Arial"/>
                <w:szCs w:val="20"/>
              </w:rPr>
            </w:pPr>
            <w:r w:rsidRPr="00217DF6">
              <w:t>32.00</w:t>
            </w:r>
          </w:p>
        </w:tc>
        <w:tc>
          <w:tcPr>
            <w:tcW w:w="391" w:type="pct"/>
          </w:tcPr>
          <w:p w14:paraId="4414EB77" w14:textId="284BEA2F" w:rsidR="008D5083" w:rsidRPr="00231937" w:rsidRDefault="008D5083" w:rsidP="008D5083">
            <w:pPr>
              <w:spacing w:after="0"/>
              <w:jc w:val="right"/>
              <w:rPr>
                <w:rFonts w:cs="Arial"/>
                <w:szCs w:val="20"/>
              </w:rPr>
            </w:pPr>
            <w:r w:rsidRPr="00217DF6">
              <w:t>16.00</w:t>
            </w:r>
          </w:p>
        </w:tc>
      </w:tr>
    </w:tbl>
    <w:p w14:paraId="13E29E97" w14:textId="66AADE2F" w:rsidR="003B237A" w:rsidRDefault="00772A35" w:rsidP="003B237A">
      <w:pPr>
        <w:pStyle w:val="Tableorfigurenotemultiple"/>
      </w:pPr>
      <w:r w:rsidRPr="00B8084A">
        <w:t>Note:</w:t>
      </w:r>
      <w:r w:rsidR="00DA6DFF">
        <w:t xml:space="preserve"> </w:t>
      </w:r>
      <w:r w:rsidRPr="00B8084A">
        <w:t>Discrepancies may exist in the totals due to rounding</w:t>
      </w:r>
      <w:r w:rsidR="003B237A">
        <w:t>.</w:t>
      </w:r>
    </w:p>
    <w:p w14:paraId="7E98B43E" w14:textId="12103C36" w:rsidR="00772A35" w:rsidRPr="000572C9" w:rsidRDefault="00DA6DFF" w:rsidP="005E6E9E">
      <w:pPr>
        <w:pStyle w:val="Tableorfigurenote"/>
        <w:spacing w:after="360"/>
      </w:pPr>
      <w:r>
        <w:t>*</w:t>
      </w:r>
      <w:r w:rsidR="00AD1C6F" w:rsidRPr="00DA6DFF">
        <w:t>Due to the COVID-19 pandemic, the ACMA agreed to exercise forbearance in relation to non-compliance for this obligation, provided a reduced amount of 64 hours was met for the triennial period.</w:t>
      </w:r>
    </w:p>
    <w:p w14:paraId="62B9748F" w14:textId="4E382C2A" w:rsidR="006B05B4" w:rsidRPr="006B05B4" w:rsidRDefault="006B05B4" w:rsidP="00231937">
      <w:pPr>
        <w:pStyle w:val="Figureheading"/>
      </w:pPr>
      <w:r>
        <w:t>Average hours claimed by networks for first release Australian children’s drama programs</w:t>
      </w:r>
      <w:r w:rsidR="002A5CF6">
        <w:t xml:space="preserve">, </w:t>
      </w:r>
      <w:r>
        <w:t>2015</w:t>
      </w:r>
      <w:r w:rsidR="002A5CF6">
        <w:t xml:space="preserve"> to </w:t>
      </w:r>
      <w:r>
        <w:t>2021</w:t>
      </w:r>
    </w:p>
    <w:p w14:paraId="5920C4C2" w14:textId="450FC611" w:rsidR="006B05B4" w:rsidRDefault="00A869F7" w:rsidP="006B05B4">
      <w:r>
        <w:rPr>
          <w:noProof/>
        </w:rPr>
        <w:drawing>
          <wp:inline distT="0" distB="0" distL="0" distR="0" wp14:anchorId="092E62C8" wp14:editId="2CD31E19">
            <wp:extent cx="9241790" cy="3004457"/>
            <wp:effectExtent l="0" t="0" r="0" b="5715"/>
            <wp:docPr id="8" name="Chart 8"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50950A26-79C4-4354-B2B3-E51B54C501E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B20FB92" w14:textId="7AB381FC" w:rsidR="000571E6" w:rsidRPr="000571E6" w:rsidRDefault="00197536" w:rsidP="00A6011F">
      <w:pPr>
        <w:pStyle w:val="Heading2"/>
        <w:spacing w:after="120"/>
      </w:pPr>
      <w:bookmarkStart w:id="11" w:name="_Toc112835085"/>
      <w:r w:rsidRPr="00E60F13">
        <w:lastRenderedPageBreak/>
        <w:t>First release Australian children’s</w:t>
      </w:r>
      <w:r w:rsidR="00214FFD" w:rsidRPr="00E60F13">
        <w:t xml:space="preserve"> </w:t>
      </w:r>
      <w:r w:rsidR="00E7467F" w:rsidRPr="00E60F13">
        <w:t>programs</w:t>
      </w:r>
      <w:r w:rsidR="00214FFD" w:rsidRPr="00E60F13">
        <w:t xml:space="preserve"> (including drama)</w:t>
      </w:r>
      <w:bookmarkEnd w:id="11"/>
    </w:p>
    <w:p w14:paraId="5F871515" w14:textId="2146BCAC" w:rsidR="00231937" w:rsidRPr="006B05B4" w:rsidRDefault="00231937" w:rsidP="000572C9">
      <w:pPr>
        <w:pStyle w:val="Tableheading"/>
        <w:keepLines/>
        <w:widowControl w:val="0"/>
        <w:suppressAutoHyphens/>
      </w:pPr>
      <w:r>
        <w:t>Average hours claimed by networks for first release Australian children’s programs</w:t>
      </w:r>
      <w:r w:rsidR="00E7467F">
        <w:t xml:space="preserve"> (including drama)</w:t>
      </w:r>
      <w:r w:rsidR="00B33992">
        <w:t xml:space="preserve">, </w:t>
      </w:r>
      <w:r>
        <w:t>2012</w:t>
      </w:r>
      <w:r w:rsidR="00B33992">
        <w:t xml:space="preserve"> to </w:t>
      </w:r>
      <w:r>
        <w:t>2021</w:t>
      </w:r>
    </w:p>
    <w:tbl>
      <w:tblPr>
        <w:tblStyle w:val="TableGrid"/>
        <w:tblW w:w="0" w:type="auto"/>
        <w:tblLook w:val="04A0" w:firstRow="1" w:lastRow="0" w:firstColumn="1" w:lastColumn="0" w:noHBand="0" w:noVBand="1"/>
      </w:tblPr>
      <w:tblGrid>
        <w:gridCol w:w="2972"/>
        <w:gridCol w:w="1077"/>
        <w:gridCol w:w="1078"/>
        <w:gridCol w:w="1078"/>
        <w:gridCol w:w="1077"/>
        <w:gridCol w:w="1078"/>
        <w:gridCol w:w="1078"/>
        <w:gridCol w:w="1077"/>
        <w:gridCol w:w="1078"/>
        <w:gridCol w:w="1078"/>
        <w:gridCol w:w="1078"/>
      </w:tblGrid>
      <w:tr w:rsidR="001723B9" w:rsidRPr="00231937" w14:paraId="139A5F0C" w14:textId="77777777" w:rsidTr="001723B9">
        <w:tc>
          <w:tcPr>
            <w:tcW w:w="2972" w:type="dxa"/>
            <w:vMerge w:val="restart"/>
            <w:shd w:val="clear" w:color="auto" w:fill="7C426F"/>
            <w:vAlign w:val="center"/>
          </w:tcPr>
          <w:p w14:paraId="0265D198" w14:textId="14442BD5" w:rsidR="001723B9" w:rsidRPr="000572C9" w:rsidRDefault="001723B9" w:rsidP="000572C9">
            <w:pPr>
              <w:keepNext/>
              <w:keepLines/>
              <w:widowControl w:val="0"/>
              <w:suppressAutoHyphens/>
              <w:spacing w:before="80" w:after="80"/>
              <w:rPr>
                <w:rFonts w:cs="Arial"/>
                <w:b/>
                <w:bCs/>
                <w:color w:val="FFFFFF" w:themeColor="background1"/>
                <w:szCs w:val="20"/>
              </w:rPr>
            </w:pPr>
            <w:r w:rsidRPr="000572C9">
              <w:rPr>
                <w:rFonts w:cs="Arial"/>
                <w:b/>
                <w:bCs/>
                <w:color w:val="FFFFFF" w:themeColor="background1"/>
                <w:szCs w:val="20"/>
              </w:rPr>
              <w:t>Network</w:t>
            </w:r>
          </w:p>
        </w:tc>
        <w:tc>
          <w:tcPr>
            <w:tcW w:w="9699" w:type="dxa"/>
            <w:gridSpan w:val="9"/>
            <w:shd w:val="clear" w:color="auto" w:fill="D4AFC8"/>
            <w:vAlign w:val="center"/>
          </w:tcPr>
          <w:p w14:paraId="569D9A84" w14:textId="3106E072" w:rsidR="001723B9" w:rsidRPr="001723B9" w:rsidRDefault="001723B9" w:rsidP="001723B9">
            <w:pPr>
              <w:keepNext/>
              <w:keepLines/>
              <w:widowControl w:val="0"/>
              <w:suppressAutoHyphens/>
              <w:spacing w:before="80" w:after="80"/>
              <w:jc w:val="center"/>
              <w:rPr>
                <w:rFonts w:cs="Arial"/>
                <w:b/>
                <w:bCs/>
                <w:color w:val="FFFFFF" w:themeColor="background1"/>
                <w:szCs w:val="20"/>
              </w:rPr>
            </w:pPr>
            <w:r w:rsidRPr="001723B9">
              <w:rPr>
                <w:rFonts w:cs="Arial"/>
                <w:b/>
                <w:bCs/>
                <w:color w:val="FFFFFF" w:themeColor="background1"/>
                <w:szCs w:val="20"/>
              </w:rPr>
              <w:t>Minimum hours required: 130</w:t>
            </w:r>
          </w:p>
        </w:tc>
        <w:tc>
          <w:tcPr>
            <w:tcW w:w="1078" w:type="dxa"/>
            <w:shd w:val="clear" w:color="auto" w:fill="D4AFC8"/>
            <w:vAlign w:val="center"/>
          </w:tcPr>
          <w:p w14:paraId="773DA972" w14:textId="77BDC3C2" w:rsidR="001723B9" w:rsidRPr="00231937" w:rsidRDefault="001723B9" w:rsidP="001723B9">
            <w:pPr>
              <w:keepNext/>
              <w:keepLines/>
              <w:widowControl w:val="0"/>
              <w:suppressAutoHyphens/>
              <w:spacing w:before="80" w:after="80"/>
              <w:jc w:val="right"/>
              <w:rPr>
                <w:rFonts w:cs="Arial"/>
                <w:b/>
                <w:bCs/>
                <w:color w:val="FFFFFF" w:themeColor="background1"/>
                <w:szCs w:val="20"/>
              </w:rPr>
            </w:pPr>
            <w:r>
              <w:rPr>
                <w:rFonts w:cs="Arial"/>
                <w:b/>
                <w:bCs/>
                <w:color w:val="FFFFFF" w:themeColor="background1"/>
                <w:szCs w:val="20"/>
              </w:rPr>
              <w:t>n/a</w:t>
            </w:r>
          </w:p>
        </w:tc>
      </w:tr>
      <w:tr w:rsidR="001723B9" w:rsidRPr="00231937" w14:paraId="2E043335" w14:textId="77777777" w:rsidTr="001723B9">
        <w:tc>
          <w:tcPr>
            <w:tcW w:w="2972" w:type="dxa"/>
            <w:vMerge/>
            <w:shd w:val="clear" w:color="auto" w:fill="7C426F"/>
            <w:vAlign w:val="center"/>
          </w:tcPr>
          <w:p w14:paraId="70D3A0B1" w14:textId="2FC784F3" w:rsidR="001723B9" w:rsidRPr="00231937" w:rsidRDefault="001723B9" w:rsidP="000572C9">
            <w:pPr>
              <w:keepNext/>
              <w:keepLines/>
              <w:widowControl w:val="0"/>
              <w:suppressAutoHyphens/>
              <w:spacing w:before="80" w:after="80"/>
              <w:rPr>
                <w:rFonts w:cs="Arial"/>
                <w:szCs w:val="20"/>
              </w:rPr>
            </w:pPr>
          </w:p>
        </w:tc>
        <w:tc>
          <w:tcPr>
            <w:tcW w:w="1077" w:type="dxa"/>
            <w:shd w:val="clear" w:color="auto" w:fill="7C426F"/>
            <w:vAlign w:val="center"/>
          </w:tcPr>
          <w:p w14:paraId="01C889BC" w14:textId="51E74BCF"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2012</w:t>
            </w:r>
          </w:p>
        </w:tc>
        <w:tc>
          <w:tcPr>
            <w:tcW w:w="1078" w:type="dxa"/>
            <w:shd w:val="clear" w:color="auto" w:fill="7C426F"/>
            <w:vAlign w:val="center"/>
          </w:tcPr>
          <w:p w14:paraId="0558A646" w14:textId="3154126D"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2013</w:t>
            </w:r>
          </w:p>
        </w:tc>
        <w:tc>
          <w:tcPr>
            <w:tcW w:w="1078" w:type="dxa"/>
            <w:shd w:val="clear" w:color="auto" w:fill="7C426F"/>
            <w:vAlign w:val="center"/>
          </w:tcPr>
          <w:p w14:paraId="34EF8F05" w14:textId="0153AB5B"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2014</w:t>
            </w:r>
          </w:p>
        </w:tc>
        <w:tc>
          <w:tcPr>
            <w:tcW w:w="1077" w:type="dxa"/>
            <w:shd w:val="clear" w:color="auto" w:fill="7C426F"/>
            <w:vAlign w:val="center"/>
          </w:tcPr>
          <w:p w14:paraId="654E7724" w14:textId="01E167AD"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2015</w:t>
            </w:r>
          </w:p>
        </w:tc>
        <w:tc>
          <w:tcPr>
            <w:tcW w:w="1078" w:type="dxa"/>
            <w:shd w:val="clear" w:color="auto" w:fill="7C426F"/>
            <w:vAlign w:val="center"/>
          </w:tcPr>
          <w:p w14:paraId="0E3D83D9" w14:textId="3F53125E"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2016</w:t>
            </w:r>
          </w:p>
        </w:tc>
        <w:tc>
          <w:tcPr>
            <w:tcW w:w="1078" w:type="dxa"/>
            <w:shd w:val="clear" w:color="auto" w:fill="7C426F"/>
            <w:vAlign w:val="center"/>
          </w:tcPr>
          <w:p w14:paraId="68F7DCDE" w14:textId="70F4802A"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2017</w:t>
            </w:r>
          </w:p>
        </w:tc>
        <w:tc>
          <w:tcPr>
            <w:tcW w:w="1077" w:type="dxa"/>
            <w:shd w:val="clear" w:color="auto" w:fill="7C426F"/>
            <w:vAlign w:val="center"/>
          </w:tcPr>
          <w:p w14:paraId="07E123F8" w14:textId="6EE5BEF2"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2018</w:t>
            </w:r>
          </w:p>
        </w:tc>
        <w:tc>
          <w:tcPr>
            <w:tcW w:w="1078" w:type="dxa"/>
            <w:shd w:val="clear" w:color="auto" w:fill="7C426F"/>
            <w:vAlign w:val="center"/>
          </w:tcPr>
          <w:p w14:paraId="632D831C" w14:textId="7EDB3522"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2019</w:t>
            </w:r>
          </w:p>
        </w:tc>
        <w:tc>
          <w:tcPr>
            <w:tcW w:w="1078" w:type="dxa"/>
            <w:shd w:val="clear" w:color="auto" w:fill="7C426F"/>
            <w:vAlign w:val="center"/>
          </w:tcPr>
          <w:p w14:paraId="640BB4D8" w14:textId="3A9256DB" w:rsidR="001723B9" w:rsidRPr="00231937" w:rsidRDefault="001723B9" w:rsidP="008D5083">
            <w:pPr>
              <w:keepNext/>
              <w:keepLines/>
              <w:widowControl w:val="0"/>
              <w:suppressAutoHyphens/>
              <w:spacing w:before="80" w:after="80"/>
              <w:jc w:val="right"/>
              <w:rPr>
                <w:rFonts w:cs="Arial"/>
                <w:color w:val="000000"/>
                <w:szCs w:val="20"/>
              </w:rPr>
            </w:pPr>
            <w:r w:rsidRPr="00231937">
              <w:rPr>
                <w:rFonts w:cs="Arial"/>
                <w:b/>
                <w:bCs/>
                <w:color w:val="FFFFFF" w:themeColor="background1"/>
                <w:szCs w:val="20"/>
              </w:rPr>
              <w:t>2020</w:t>
            </w:r>
            <w:r>
              <w:rPr>
                <w:rFonts w:cs="Arial"/>
                <w:b/>
                <w:bCs/>
                <w:color w:val="FFFFFF" w:themeColor="background1"/>
                <w:szCs w:val="20"/>
              </w:rPr>
              <w:t>*</w:t>
            </w:r>
          </w:p>
        </w:tc>
        <w:tc>
          <w:tcPr>
            <w:tcW w:w="1078" w:type="dxa"/>
            <w:shd w:val="clear" w:color="auto" w:fill="7C426F"/>
            <w:vAlign w:val="center"/>
          </w:tcPr>
          <w:p w14:paraId="30259CFC" w14:textId="1B1AF2FE" w:rsidR="001723B9" w:rsidRDefault="001723B9" w:rsidP="008D5083">
            <w:pPr>
              <w:keepNext/>
              <w:keepLines/>
              <w:widowControl w:val="0"/>
              <w:suppressAutoHyphens/>
              <w:spacing w:before="80" w:after="80"/>
              <w:jc w:val="right"/>
              <w:rPr>
                <w:rFonts w:cs="Arial"/>
                <w:szCs w:val="20"/>
              </w:rPr>
            </w:pPr>
            <w:r w:rsidRPr="00231937">
              <w:rPr>
                <w:rFonts w:cs="Arial"/>
                <w:b/>
                <w:bCs/>
                <w:color w:val="FFFFFF" w:themeColor="background1"/>
                <w:szCs w:val="20"/>
              </w:rPr>
              <w:t>2021</w:t>
            </w:r>
          </w:p>
        </w:tc>
      </w:tr>
      <w:tr w:rsidR="00231937" w:rsidRPr="00231937" w14:paraId="417704D7" w14:textId="77777777" w:rsidTr="001723B9">
        <w:tc>
          <w:tcPr>
            <w:tcW w:w="2972" w:type="dxa"/>
            <w:vAlign w:val="center"/>
          </w:tcPr>
          <w:p w14:paraId="7EC414EF" w14:textId="5CB1D909" w:rsidR="00231937" w:rsidRPr="00231937" w:rsidRDefault="00231937" w:rsidP="000572C9">
            <w:pPr>
              <w:keepNext/>
              <w:keepLines/>
              <w:widowControl w:val="0"/>
              <w:suppressAutoHyphens/>
              <w:spacing w:before="80" w:after="80"/>
              <w:rPr>
                <w:rFonts w:cs="Arial"/>
                <w:szCs w:val="20"/>
              </w:rPr>
            </w:pPr>
            <w:r w:rsidRPr="008D5083">
              <w:rPr>
                <w:rFonts w:cs="Arial"/>
                <w:b/>
                <w:bCs/>
                <w:szCs w:val="20"/>
              </w:rPr>
              <w:t>Seven</w:t>
            </w:r>
            <w:r w:rsidR="00212791">
              <w:rPr>
                <w:rFonts w:cs="Arial"/>
                <w:szCs w:val="20"/>
              </w:rPr>
              <w:t>:</w:t>
            </w:r>
            <w:r w:rsidRPr="00231937">
              <w:rPr>
                <w:rFonts w:cs="Arial"/>
                <w:szCs w:val="20"/>
              </w:rPr>
              <w:t xml:space="preserve"> average hours</w:t>
            </w:r>
            <w:r w:rsidR="00212791">
              <w:rPr>
                <w:rFonts w:cs="Arial"/>
                <w:szCs w:val="20"/>
              </w:rPr>
              <w:t xml:space="preserve"> claimed</w:t>
            </w:r>
          </w:p>
        </w:tc>
        <w:tc>
          <w:tcPr>
            <w:tcW w:w="1077" w:type="dxa"/>
            <w:vAlign w:val="center"/>
          </w:tcPr>
          <w:p w14:paraId="034042FE" w14:textId="5A032AD3"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130.00</w:t>
            </w:r>
          </w:p>
        </w:tc>
        <w:tc>
          <w:tcPr>
            <w:tcW w:w="1078" w:type="dxa"/>
            <w:vAlign w:val="center"/>
          </w:tcPr>
          <w:p w14:paraId="3500E4F0" w14:textId="468ED1A5"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130.00</w:t>
            </w:r>
          </w:p>
        </w:tc>
        <w:tc>
          <w:tcPr>
            <w:tcW w:w="1078" w:type="dxa"/>
            <w:vAlign w:val="center"/>
          </w:tcPr>
          <w:p w14:paraId="784FBA45" w14:textId="700D7D7B"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130.00</w:t>
            </w:r>
          </w:p>
        </w:tc>
        <w:tc>
          <w:tcPr>
            <w:tcW w:w="1077" w:type="dxa"/>
            <w:vAlign w:val="center"/>
          </w:tcPr>
          <w:p w14:paraId="43640AC3" w14:textId="51A01EDD"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6FFDB114" w14:textId="0012B987"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727F4F16" w14:textId="435FC3B8"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7" w:type="dxa"/>
            <w:vAlign w:val="center"/>
          </w:tcPr>
          <w:p w14:paraId="190A04E4" w14:textId="10F6ABE0"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306A6915" w14:textId="5E527918"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7D4E24B0" w14:textId="1E7058D5"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9.00</w:t>
            </w:r>
          </w:p>
        </w:tc>
        <w:tc>
          <w:tcPr>
            <w:tcW w:w="1078" w:type="dxa"/>
            <w:vAlign w:val="center"/>
          </w:tcPr>
          <w:p w14:paraId="39E280E1" w14:textId="54E79CD0" w:rsidR="00231937" w:rsidRPr="00231937" w:rsidRDefault="003D04E8" w:rsidP="008D5083">
            <w:pPr>
              <w:keepNext/>
              <w:keepLines/>
              <w:widowControl w:val="0"/>
              <w:suppressAutoHyphens/>
              <w:spacing w:before="80" w:after="80"/>
              <w:jc w:val="right"/>
              <w:rPr>
                <w:rFonts w:cs="Arial"/>
                <w:szCs w:val="20"/>
              </w:rPr>
            </w:pPr>
            <w:r>
              <w:rPr>
                <w:rFonts w:cs="Arial"/>
                <w:szCs w:val="20"/>
              </w:rPr>
              <w:t>6.5</w:t>
            </w:r>
            <w:r w:rsidR="00863A2E">
              <w:rPr>
                <w:rFonts w:cs="Arial"/>
                <w:szCs w:val="20"/>
              </w:rPr>
              <w:t>0</w:t>
            </w:r>
          </w:p>
        </w:tc>
      </w:tr>
      <w:tr w:rsidR="00231937" w:rsidRPr="00231937" w14:paraId="037D32D8" w14:textId="77777777" w:rsidTr="001723B9">
        <w:tc>
          <w:tcPr>
            <w:tcW w:w="2972" w:type="dxa"/>
            <w:vAlign w:val="center"/>
          </w:tcPr>
          <w:p w14:paraId="0E01826D" w14:textId="518F13B5" w:rsidR="00231937" w:rsidRPr="00231937" w:rsidRDefault="00231937" w:rsidP="000572C9">
            <w:pPr>
              <w:keepNext/>
              <w:keepLines/>
              <w:widowControl w:val="0"/>
              <w:suppressAutoHyphens/>
              <w:spacing w:before="80" w:after="80"/>
              <w:rPr>
                <w:rFonts w:cs="Arial"/>
                <w:szCs w:val="20"/>
              </w:rPr>
            </w:pPr>
            <w:r w:rsidRPr="008D5083">
              <w:rPr>
                <w:rFonts w:cs="Arial"/>
                <w:b/>
                <w:bCs/>
                <w:szCs w:val="20"/>
              </w:rPr>
              <w:t>Nine</w:t>
            </w:r>
            <w:r w:rsidR="00212791">
              <w:rPr>
                <w:rFonts w:cs="Arial"/>
                <w:szCs w:val="20"/>
              </w:rPr>
              <w:t>:</w:t>
            </w:r>
            <w:r w:rsidRPr="00231937">
              <w:rPr>
                <w:rFonts w:cs="Arial"/>
                <w:szCs w:val="20"/>
              </w:rPr>
              <w:t xml:space="preserve"> average hours</w:t>
            </w:r>
            <w:r w:rsidR="00212791">
              <w:rPr>
                <w:rFonts w:cs="Arial"/>
                <w:szCs w:val="20"/>
              </w:rPr>
              <w:t xml:space="preserve"> claimed</w:t>
            </w:r>
          </w:p>
        </w:tc>
        <w:tc>
          <w:tcPr>
            <w:tcW w:w="1077" w:type="dxa"/>
            <w:vAlign w:val="center"/>
          </w:tcPr>
          <w:p w14:paraId="3AE59A11" w14:textId="71534881"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130.50</w:t>
            </w:r>
          </w:p>
        </w:tc>
        <w:tc>
          <w:tcPr>
            <w:tcW w:w="1078" w:type="dxa"/>
            <w:vAlign w:val="center"/>
          </w:tcPr>
          <w:p w14:paraId="2CAE5BF7" w14:textId="23117760"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124.00</w:t>
            </w:r>
          </w:p>
        </w:tc>
        <w:tc>
          <w:tcPr>
            <w:tcW w:w="1078" w:type="dxa"/>
            <w:vAlign w:val="center"/>
          </w:tcPr>
          <w:p w14:paraId="1CA68A00" w14:textId="701D50C0"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130.00</w:t>
            </w:r>
          </w:p>
        </w:tc>
        <w:tc>
          <w:tcPr>
            <w:tcW w:w="1077" w:type="dxa"/>
            <w:vAlign w:val="center"/>
          </w:tcPr>
          <w:p w14:paraId="6AF54CA9" w14:textId="03DB8F91"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130.50</w:t>
            </w:r>
          </w:p>
        </w:tc>
        <w:tc>
          <w:tcPr>
            <w:tcW w:w="1078" w:type="dxa"/>
            <w:vAlign w:val="center"/>
          </w:tcPr>
          <w:p w14:paraId="5F8AF105" w14:textId="63C50800"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130.50</w:t>
            </w:r>
          </w:p>
        </w:tc>
        <w:tc>
          <w:tcPr>
            <w:tcW w:w="1078" w:type="dxa"/>
            <w:vAlign w:val="center"/>
          </w:tcPr>
          <w:p w14:paraId="704D2FF2" w14:textId="2126C78A"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130.50</w:t>
            </w:r>
          </w:p>
        </w:tc>
        <w:tc>
          <w:tcPr>
            <w:tcW w:w="1077" w:type="dxa"/>
            <w:vAlign w:val="center"/>
          </w:tcPr>
          <w:p w14:paraId="5C353CAA" w14:textId="0EAB2FF5"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01653960" w14:textId="47711A4C"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130.50</w:t>
            </w:r>
          </w:p>
        </w:tc>
        <w:tc>
          <w:tcPr>
            <w:tcW w:w="1078" w:type="dxa"/>
            <w:vAlign w:val="center"/>
          </w:tcPr>
          <w:p w14:paraId="2356D5C5" w14:textId="0A52BC72"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95.00</w:t>
            </w:r>
          </w:p>
        </w:tc>
        <w:tc>
          <w:tcPr>
            <w:tcW w:w="1078" w:type="dxa"/>
            <w:vAlign w:val="center"/>
          </w:tcPr>
          <w:p w14:paraId="55539B64" w14:textId="05A9C4AA" w:rsidR="00231937" w:rsidRPr="00231937" w:rsidRDefault="003D04E8" w:rsidP="008D5083">
            <w:pPr>
              <w:keepNext/>
              <w:keepLines/>
              <w:widowControl w:val="0"/>
              <w:suppressAutoHyphens/>
              <w:spacing w:before="80" w:after="80"/>
              <w:jc w:val="right"/>
              <w:rPr>
                <w:rFonts w:cs="Arial"/>
                <w:szCs w:val="20"/>
              </w:rPr>
            </w:pPr>
            <w:r>
              <w:rPr>
                <w:rFonts w:cs="Arial"/>
                <w:szCs w:val="20"/>
              </w:rPr>
              <w:t>46.58</w:t>
            </w:r>
          </w:p>
        </w:tc>
      </w:tr>
      <w:tr w:rsidR="00231937" w:rsidRPr="00231937" w14:paraId="7B7B94B0" w14:textId="77777777" w:rsidTr="001723B9">
        <w:tc>
          <w:tcPr>
            <w:tcW w:w="2972" w:type="dxa"/>
            <w:vAlign w:val="center"/>
          </w:tcPr>
          <w:p w14:paraId="75144CA7" w14:textId="7A540A74" w:rsidR="00231937" w:rsidRPr="00231937" w:rsidRDefault="00231937" w:rsidP="000572C9">
            <w:pPr>
              <w:keepNext/>
              <w:keepLines/>
              <w:widowControl w:val="0"/>
              <w:suppressAutoHyphens/>
              <w:spacing w:before="80" w:after="80"/>
              <w:rPr>
                <w:rFonts w:cs="Arial"/>
                <w:szCs w:val="20"/>
              </w:rPr>
            </w:pPr>
            <w:r w:rsidRPr="008D5083">
              <w:rPr>
                <w:rFonts w:cs="Arial"/>
                <w:b/>
                <w:bCs/>
                <w:szCs w:val="20"/>
              </w:rPr>
              <w:t>Ten</w:t>
            </w:r>
            <w:r w:rsidR="00212791">
              <w:rPr>
                <w:rFonts w:cs="Arial"/>
                <w:szCs w:val="20"/>
              </w:rPr>
              <w:t>:</w:t>
            </w:r>
            <w:r w:rsidRPr="00231937">
              <w:rPr>
                <w:rFonts w:cs="Arial"/>
                <w:szCs w:val="20"/>
              </w:rPr>
              <w:t xml:space="preserve"> average hours</w:t>
            </w:r>
            <w:r w:rsidR="00212791">
              <w:rPr>
                <w:rFonts w:cs="Arial"/>
                <w:szCs w:val="20"/>
              </w:rPr>
              <w:t xml:space="preserve"> claimed</w:t>
            </w:r>
          </w:p>
        </w:tc>
        <w:tc>
          <w:tcPr>
            <w:tcW w:w="1077" w:type="dxa"/>
            <w:vAlign w:val="center"/>
          </w:tcPr>
          <w:p w14:paraId="74ABF4E4" w14:textId="5BFEE506"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131.20</w:t>
            </w:r>
          </w:p>
        </w:tc>
        <w:tc>
          <w:tcPr>
            <w:tcW w:w="1078" w:type="dxa"/>
            <w:vAlign w:val="center"/>
          </w:tcPr>
          <w:p w14:paraId="356C6245" w14:textId="5CA4F091"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130.00</w:t>
            </w:r>
          </w:p>
        </w:tc>
        <w:tc>
          <w:tcPr>
            <w:tcW w:w="1078" w:type="dxa"/>
            <w:vAlign w:val="center"/>
          </w:tcPr>
          <w:p w14:paraId="35A9D903" w14:textId="3EADDF44" w:rsidR="00231937" w:rsidRPr="00231937" w:rsidRDefault="00231937" w:rsidP="008D5083">
            <w:pPr>
              <w:keepNext/>
              <w:keepLines/>
              <w:widowControl w:val="0"/>
              <w:suppressAutoHyphens/>
              <w:spacing w:before="80" w:after="80"/>
              <w:jc w:val="right"/>
              <w:rPr>
                <w:rFonts w:cs="Arial"/>
                <w:color w:val="000000"/>
                <w:szCs w:val="20"/>
              </w:rPr>
            </w:pPr>
            <w:r w:rsidRPr="00231937">
              <w:rPr>
                <w:rFonts w:cs="Arial"/>
                <w:color w:val="000000"/>
                <w:szCs w:val="20"/>
              </w:rPr>
              <w:t>130.50</w:t>
            </w:r>
          </w:p>
        </w:tc>
        <w:tc>
          <w:tcPr>
            <w:tcW w:w="1077" w:type="dxa"/>
            <w:vAlign w:val="center"/>
          </w:tcPr>
          <w:p w14:paraId="26CD87C0" w14:textId="5106F77B"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130.50</w:t>
            </w:r>
          </w:p>
        </w:tc>
        <w:tc>
          <w:tcPr>
            <w:tcW w:w="1078" w:type="dxa"/>
            <w:vAlign w:val="center"/>
          </w:tcPr>
          <w:p w14:paraId="35DD8593" w14:textId="270F3132"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133.00</w:t>
            </w:r>
          </w:p>
        </w:tc>
        <w:tc>
          <w:tcPr>
            <w:tcW w:w="1078" w:type="dxa"/>
            <w:vAlign w:val="center"/>
          </w:tcPr>
          <w:p w14:paraId="0E5A346B" w14:textId="66FA7046"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132.50</w:t>
            </w:r>
          </w:p>
        </w:tc>
        <w:tc>
          <w:tcPr>
            <w:tcW w:w="1077" w:type="dxa"/>
            <w:vAlign w:val="center"/>
          </w:tcPr>
          <w:p w14:paraId="3599A272" w14:textId="3E933144"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132.50</w:t>
            </w:r>
          </w:p>
        </w:tc>
        <w:tc>
          <w:tcPr>
            <w:tcW w:w="1078" w:type="dxa"/>
            <w:vAlign w:val="center"/>
          </w:tcPr>
          <w:p w14:paraId="61F9C462" w14:textId="386D502C"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130.00</w:t>
            </w:r>
          </w:p>
        </w:tc>
        <w:tc>
          <w:tcPr>
            <w:tcW w:w="1078" w:type="dxa"/>
            <w:vAlign w:val="center"/>
          </w:tcPr>
          <w:p w14:paraId="45EFBCB1" w14:textId="02BBB1CC" w:rsidR="00231937" w:rsidRPr="00231937" w:rsidRDefault="00231937" w:rsidP="008D5083">
            <w:pPr>
              <w:keepNext/>
              <w:keepLines/>
              <w:widowControl w:val="0"/>
              <w:suppressAutoHyphens/>
              <w:spacing w:before="80" w:after="80"/>
              <w:jc w:val="right"/>
              <w:rPr>
                <w:rFonts w:cs="Arial"/>
                <w:szCs w:val="20"/>
              </w:rPr>
            </w:pPr>
            <w:r w:rsidRPr="00231937">
              <w:rPr>
                <w:rFonts w:cs="Arial"/>
                <w:color w:val="000000"/>
                <w:szCs w:val="20"/>
              </w:rPr>
              <w:t>109.50</w:t>
            </w:r>
          </w:p>
        </w:tc>
        <w:tc>
          <w:tcPr>
            <w:tcW w:w="1078" w:type="dxa"/>
            <w:vAlign w:val="center"/>
          </w:tcPr>
          <w:p w14:paraId="1926AB05" w14:textId="53BAF118" w:rsidR="00231937" w:rsidRPr="00231937" w:rsidRDefault="003D04E8" w:rsidP="008D5083">
            <w:pPr>
              <w:keepNext/>
              <w:keepLines/>
              <w:widowControl w:val="0"/>
              <w:suppressAutoHyphens/>
              <w:spacing w:before="80" w:after="80"/>
              <w:jc w:val="right"/>
              <w:rPr>
                <w:rFonts w:cs="Arial"/>
                <w:szCs w:val="20"/>
              </w:rPr>
            </w:pPr>
            <w:r>
              <w:rPr>
                <w:rFonts w:cs="Arial"/>
                <w:szCs w:val="20"/>
              </w:rPr>
              <w:t>40</w:t>
            </w:r>
            <w:r w:rsidR="00137A96">
              <w:rPr>
                <w:rFonts w:cs="Arial"/>
                <w:szCs w:val="20"/>
              </w:rPr>
              <w:t>.00</w:t>
            </w:r>
          </w:p>
        </w:tc>
      </w:tr>
    </w:tbl>
    <w:p w14:paraId="616A2759" w14:textId="2C9D74E4" w:rsidR="003B237A" w:rsidRDefault="00752749" w:rsidP="003B237A">
      <w:pPr>
        <w:pStyle w:val="Tableorfigurenotemultiple"/>
      </w:pPr>
      <w:r w:rsidRPr="00B8084A">
        <w:t>Note: Discrepancies may exist in the totals due to rounding</w:t>
      </w:r>
      <w:r w:rsidR="00212791">
        <w:t>;</w:t>
      </w:r>
      <w:r w:rsidR="00DA6DFF">
        <w:t xml:space="preserve"> </w:t>
      </w:r>
    </w:p>
    <w:p w14:paraId="4F89A9E8" w14:textId="4F831686" w:rsidR="003B237A" w:rsidRPr="003B237A" w:rsidRDefault="00DA6DFF" w:rsidP="005E6E9E">
      <w:pPr>
        <w:pStyle w:val="Tableorfigurenote"/>
        <w:spacing w:after="360"/>
      </w:pPr>
      <w:r>
        <w:t>*</w:t>
      </w:r>
      <w:r w:rsidR="00752749">
        <w:t>Due to the COVID-19 pandemic, the ACMA agreed to exercise forbearance in relation to non-compliance for this obligation.</w:t>
      </w:r>
    </w:p>
    <w:p w14:paraId="52C3648F" w14:textId="659A7CA8" w:rsidR="00231937" w:rsidRPr="006B05B4" w:rsidRDefault="00231937" w:rsidP="000572C9">
      <w:pPr>
        <w:pStyle w:val="Figureheading"/>
        <w:keepLines/>
        <w:widowControl w:val="0"/>
        <w:suppressAutoHyphens/>
      </w:pPr>
      <w:r>
        <w:t>Average hours claimed by networks for first release Australian children’s programs</w:t>
      </w:r>
      <w:r w:rsidR="00E7467F">
        <w:t xml:space="preserve"> (including drama)</w:t>
      </w:r>
      <w:r>
        <w:t xml:space="preserve"> – 2012-2021</w:t>
      </w:r>
    </w:p>
    <w:p w14:paraId="0ED35D31" w14:textId="1AA485E1" w:rsidR="00197536" w:rsidRPr="00197536" w:rsidRDefault="004D496B" w:rsidP="00197536">
      <w:r>
        <w:rPr>
          <w:noProof/>
        </w:rPr>
        <w:drawing>
          <wp:inline distT="0" distB="0" distL="0" distR="0" wp14:anchorId="34B0C9ED" wp14:editId="579056D4">
            <wp:extent cx="8708572" cy="3135085"/>
            <wp:effectExtent l="0" t="0" r="0" b="8255"/>
            <wp:docPr id="9" name="Chart 9"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8895C0B7-642D-4CDF-AB9C-20AA02AFFCE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DD646EE" w14:textId="18E05864" w:rsidR="00F22C92" w:rsidRPr="00F22C92" w:rsidRDefault="00430C6A" w:rsidP="00A6011F">
      <w:pPr>
        <w:pStyle w:val="Heading2"/>
        <w:spacing w:after="120"/>
      </w:pPr>
      <w:bookmarkStart w:id="12" w:name="_Toc112835086"/>
      <w:r w:rsidRPr="00E60F13">
        <w:lastRenderedPageBreak/>
        <w:t xml:space="preserve">First release Australian </w:t>
      </w:r>
      <w:r w:rsidR="00F93143" w:rsidRPr="00E60F13">
        <w:t xml:space="preserve">documentary </w:t>
      </w:r>
      <w:r w:rsidRPr="00E60F13">
        <w:t>(hours)</w:t>
      </w:r>
      <w:bookmarkEnd w:id="12"/>
    </w:p>
    <w:p w14:paraId="6DD0E5DF" w14:textId="6079C535" w:rsidR="00130E07" w:rsidRPr="00A17B1B" w:rsidRDefault="00130E07" w:rsidP="00130E07">
      <w:pPr>
        <w:pStyle w:val="Tableheading"/>
        <w:keepLines/>
      </w:pPr>
      <w:r>
        <w:t>Average hours claimed by networks for first release Australian documentary</w:t>
      </w:r>
      <w:r w:rsidR="00683D96">
        <w:t xml:space="preserve">, </w:t>
      </w:r>
      <w:r>
        <w:t>2012</w:t>
      </w:r>
      <w:r w:rsidR="00683D96">
        <w:t xml:space="preserve"> to </w:t>
      </w:r>
      <w:r>
        <w:t>2021</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972"/>
        <w:gridCol w:w="1063"/>
        <w:gridCol w:w="1063"/>
        <w:gridCol w:w="1063"/>
        <w:gridCol w:w="1063"/>
        <w:gridCol w:w="1063"/>
        <w:gridCol w:w="1063"/>
        <w:gridCol w:w="1063"/>
        <w:gridCol w:w="1063"/>
        <w:gridCol w:w="1063"/>
        <w:gridCol w:w="1064"/>
      </w:tblGrid>
      <w:tr w:rsidR="002354E8" w:rsidRPr="00F93143" w14:paraId="09C8CEDE" w14:textId="77777777" w:rsidTr="001C77A3">
        <w:tc>
          <w:tcPr>
            <w:tcW w:w="2972" w:type="dxa"/>
            <w:vMerge w:val="restart"/>
            <w:shd w:val="clear" w:color="auto" w:fill="7C426F"/>
            <w:vAlign w:val="center"/>
          </w:tcPr>
          <w:p w14:paraId="0F093583" w14:textId="72598F94" w:rsidR="002354E8" w:rsidRPr="000572C9" w:rsidRDefault="002354E8" w:rsidP="001723B9">
            <w:pPr>
              <w:spacing w:after="0"/>
              <w:rPr>
                <w:rFonts w:cs="Arial"/>
                <w:b/>
                <w:bCs/>
                <w:color w:val="FFFFFF" w:themeColor="background1"/>
                <w:szCs w:val="20"/>
              </w:rPr>
            </w:pPr>
            <w:r w:rsidRPr="000572C9">
              <w:rPr>
                <w:rFonts w:cs="Arial"/>
                <w:b/>
                <w:bCs/>
                <w:color w:val="FFFFFF" w:themeColor="background1"/>
                <w:szCs w:val="20"/>
              </w:rPr>
              <w:t>Network</w:t>
            </w:r>
          </w:p>
        </w:tc>
        <w:tc>
          <w:tcPr>
            <w:tcW w:w="9567" w:type="dxa"/>
            <w:gridSpan w:val="9"/>
            <w:shd w:val="clear" w:color="auto" w:fill="D4AFC8"/>
            <w:vAlign w:val="center"/>
          </w:tcPr>
          <w:p w14:paraId="34329FBC" w14:textId="2D35B230" w:rsidR="002354E8" w:rsidRPr="00F93143" w:rsidRDefault="002354E8" w:rsidP="001C77A3">
            <w:pPr>
              <w:spacing w:after="0"/>
              <w:jc w:val="center"/>
              <w:rPr>
                <w:rFonts w:cs="Arial"/>
                <w:b/>
                <w:bCs/>
                <w:color w:val="FFFFFF" w:themeColor="background1"/>
                <w:szCs w:val="20"/>
              </w:rPr>
            </w:pPr>
            <w:r w:rsidRPr="00FD50A7">
              <w:rPr>
                <w:rFonts w:cs="Arial"/>
                <w:b/>
                <w:bCs/>
                <w:color w:val="FFFFFF" w:themeColor="background1"/>
                <w:szCs w:val="20"/>
              </w:rPr>
              <w:t>Minimum hours required: 20</w:t>
            </w:r>
          </w:p>
        </w:tc>
        <w:tc>
          <w:tcPr>
            <w:tcW w:w="1064" w:type="dxa"/>
            <w:shd w:val="clear" w:color="auto" w:fill="D4AFC8"/>
            <w:vAlign w:val="center"/>
          </w:tcPr>
          <w:p w14:paraId="1526BA61" w14:textId="2517B9FD" w:rsidR="002354E8" w:rsidRPr="00F93143" w:rsidRDefault="002354E8" w:rsidP="00FD50A7">
            <w:pPr>
              <w:spacing w:after="0"/>
              <w:jc w:val="right"/>
              <w:rPr>
                <w:rFonts w:cs="Arial"/>
                <w:b/>
                <w:bCs/>
                <w:color w:val="FFFFFF" w:themeColor="background1"/>
                <w:szCs w:val="20"/>
              </w:rPr>
            </w:pPr>
            <w:r>
              <w:rPr>
                <w:rFonts w:cs="Arial"/>
                <w:b/>
                <w:bCs/>
                <w:color w:val="FFFFFF" w:themeColor="background1"/>
                <w:szCs w:val="20"/>
              </w:rPr>
              <w:t>n/a</w:t>
            </w:r>
          </w:p>
        </w:tc>
      </w:tr>
      <w:tr w:rsidR="002354E8" w:rsidRPr="00F93143" w14:paraId="6EE14502" w14:textId="77777777" w:rsidTr="002354E8">
        <w:tc>
          <w:tcPr>
            <w:tcW w:w="2972" w:type="dxa"/>
            <w:vMerge/>
            <w:shd w:val="clear" w:color="auto" w:fill="7C426F"/>
            <w:vAlign w:val="center"/>
          </w:tcPr>
          <w:p w14:paraId="2244C28F" w14:textId="6FF4FF09" w:rsidR="002354E8" w:rsidRPr="001C77A3" w:rsidRDefault="002354E8" w:rsidP="002354E8">
            <w:pPr>
              <w:spacing w:after="0"/>
              <w:rPr>
                <w:rFonts w:cs="Arial"/>
                <w:b/>
                <w:bCs/>
                <w:szCs w:val="20"/>
              </w:rPr>
            </w:pPr>
          </w:p>
        </w:tc>
        <w:tc>
          <w:tcPr>
            <w:tcW w:w="1063" w:type="dxa"/>
            <w:shd w:val="clear" w:color="auto" w:fill="7C426F"/>
          </w:tcPr>
          <w:p w14:paraId="42E8BDAB" w14:textId="36ED2927"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2012</w:t>
            </w:r>
          </w:p>
        </w:tc>
        <w:tc>
          <w:tcPr>
            <w:tcW w:w="1063" w:type="dxa"/>
            <w:shd w:val="clear" w:color="auto" w:fill="7C426F"/>
          </w:tcPr>
          <w:p w14:paraId="75C11B2A" w14:textId="5112D959"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2013</w:t>
            </w:r>
          </w:p>
        </w:tc>
        <w:tc>
          <w:tcPr>
            <w:tcW w:w="1063" w:type="dxa"/>
            <w:shd w:val="clear" w:color="auto" w:fill="7C426F"/>
          </w:tcPr>
          <w:p w14:paraId="0C3C167E" w14:textId="47B841A5"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2014</w:t>
            </w:r>
          </w:p>
        </w:tc>
        <w:tc>
          <w:tcPr>
            <w:tcW w:w="1063" w:type="dxa"/>
            <w:shd w:val="clear" w:color="auto" w:fill="7C426F"/>
          </w:tcPr>
          <w:p w14:paraId="7837998A" w14:textId="60692954"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2015</w:t>
            </w:r>
          </w:p>
        </w:tc>
        <w:tc>
          <w:tcPr>
            <w:tcW w:w="1063" w:type="dxa"/>
            <w:shd w:val="clear" w:color="auto" w:fill="7C426F"/>
          </w:tcPr>
          <w:p w14:paraId="080A4510" w14:textId="2DD8E480"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2016</w:t>
            </w:r>
          </w:p>
        </w:tc>
        <w:tc>
          <w:tcPr>
            <w:tcW w:w="1063" w:type="dxa"/>
            <w:shd w:val="clear" w:color="auto" w:fill="7C426F"/>
          </w:tcPr>
          <w:p w14:paraId="0D082918" w14:textId="6A76003A"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2017</w:t>
            </w:r>
          </w:p>
        </w:tc>
        <w:tc>
          <w:tcPr>
            <w:tcW w:w="1063" w:type="dxa"/>
            <w:shd w:val="clear" w:color="auto" w:fill="7C426F"/>
          </w:tcPr>
          <w:p w14:paraId="0D1D2CA1" w14:textId="6E404F54"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2018</w:t>
            </w:r>
          </w:p>
        </w:tc>
        <w:tc>
          <w:tcPr>
            <w:tcW w:w="1063" w:type="dxa"/>
            <w:shd w:val="clear" w:color="auto" w:fill="7C426F"/>
          </w:tcPr>
          <w:p w14:paraId="3345C4BA" w14:textId="2E635DEE"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2019</w:t>
            </w:r>
          </w:p>
        </w:tc>
        <w:tc>
          <w:tcPr>
            <w:tcW w:w="1063" w:type="dxa"/>
            <w:shd w:val="clear" w:color="auto" w:fill="7C426F"/>
          </w:tcPr>
          <w:p w14:paraId="1698DBCE" w14:textId="3A5C63A7"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2020</w:t>
            </w:r>
          </w:p>
        </w:tc>
        <w:tc>
          <w:tcPr>
            <w:tcW w:w="1064" w:type="dxa"/>
            <w:shd w:val="clear" w:color="auto" w:fill="7C426F"/>
          </w:tcPr>
          <w:p w14:paraId="01352536" w14:textId="69C9ED58" w:rsidR="002354E8" w:rsidRPr="002354E8" w:rsidRDefault="002354E8" w:rsidP="002354E8">
            <w:pPr>
              <w:spacing w:after="0"/>
              <w:jc w:val="right"/>
              <w:rPr>
                <w:rFonts w:cs="Arial"/>
                <w:b/>
                <w:bCs/>
                <w:color w:val="FFFFFF" w:themeColor="background1"/>
                <w:szCs w:val="20"/>
              </w:rPr>
            </w:pPr>
            <w:r w:rsidRPr="002354E8">
              <w:rPr>
                <w:rFonts w:cs="Arial"/>
                <w:b/>
                <w:bCs/>
                <w:color w:val="FFFFFF" w:themeColor="background1"/>
                <w:szCs w:val="20"/>
              </w:rPr>
              <w:t>2021</w:t>
            </w:r>
          </w:p>
        </w:tc>
      </w:tr>
      <w:tr w:rsidR="002354E8" w:rsidRPr="00F93143" w14:paraId="72C613CE" w14:textId="77777777" w:rsidTr="001C77A3">
        <w:tc>
          <w:tcPr>
            <w:tcW w:w="2972" w:type="dxa"/>
            <w:vAlign w:val="center"/>
          </w:tcPr>
          <w:p w14:paraId="018DF4D5" w14:textId="6C217C25" w:rsidR="002354E8" w:rsidRPr="008D5083" w:rsidRDefault="002354E8" w:rsidP="002354E8">
            <w:pPr>
              <w:spacing w:after="0"/>
              <w:rPr>
                <w:rFonts w:cs="Arial"/>
                <w:b/>
                <w:bCs/>
                <w:szCs w:val="20"/>
              </w:rPr>
            </w:pPr>
            <w:r w:rsidRPr="001C77A3">
              <w:rPr>
                <w:rFonts w:cs="Arial"/>
                <w:b/>
                <w:bCs/>
                <w:szCs w:val="20"/>
              </w:rPr>
              <w:t>Seven</w:t>
            </w:r>
            <w:r w:rsidRPr="008D5083">
              <w:rPr>
                <w:rFonts w:cs="Arial"/>
                <w:szCs w:val="20"/>
              </w:rPr>
              <w:t>:</w:t>
            </w:r>
            <w:r w:rsidRPr="00F93143">
              <w:rPr>
                <w:rFonts w:cs="Arial"/>
                <w:szCs w:val="20"/>
              </w:rPr>
              <w:t xml:space="preserve"> average </w:t>
            </w:r>
            <w:r>
              <w:rPr>
                <w:rFonts w:cs="Arial"/>
                <w:szCs w:val="20"/>
              </w:rPr>
              <w:t>hours claimed</w:t>
            </w:r>
          </w:p>
        </w:tc>
        <w:tc>
          <w:tcPr>
            <w:tcW w:w="1063" w:type="dxa"/>
          </w:tcPr>
          <w:p w14:paraId="3DF6524A" w14:textId="5BA4994A" w:rsidR="002354E8" w:rsidRPr="00F93143" w:rsidRDefault="002354E8" w:rsidP="002354E8">
            <w:pPr>
              <w:spacing w:after="0"/>
              <w:jc w:val="right"/>
              <w:rPr>
                <w:rFonts w:cs="Arial"/>
                <w:color w:val="000000"/>
                <w:szCs w:val="20"/>
              </w:rPr>
            </w:pPr>
            <w:r w:rsidRPr="00F93143">
              <w:rPr>
                <w:rFonts w:cs="Arial"/>
                <w:color w:val="000000"/>
                <w:szCs w:val="20"/>
              </w:rPr>
              <w:t>54.10</w:t>
            </w:r>
          </w:p>
        </w:tc>
        <w:tc>
          <w:tcPr>
            <w:tcW w:w="1063" w:type="dxa"/>
          </w:tcPr>
          <w:p w14:paraId="2DBFC298" w14:textId="5499A3D8" w:rsidR="002354E8" w:rsidRPr="00F93143" w:rsidRDefault="002354E8" w:rsidP="002354E8">
            <w:pPr>
              <w:spacing w:after="0"/>
              <w:jc w:val="right"/>
              <w:rPr>
                <w:rFonts w:cs="Arial"/>
                <w:color w:val="000000"/>
                <w:szCs w:val="20"/>
              </w:rPr>
            </w:pPr>
            <w:r w:rsidRPr="00F93143">
              <w:rPr>
                <w:rFonts w:cs="Arial"/>
                <w:color w:val="000000"/>
                <w:szCs w:val="20"/>
              </w:rPr>
              <w:t>59.59</w:t>
            </w:r>
          </w:p>
        </w:tc>
        <w:tc>
          <w:tcPr>
            <w:tcW w:w="1063" w:type="dxa"/>
          </w:tcPr>
          <w:p w14:paraId="3098FAC4" w14:textId="252F67E4" w:rsidR="002354E8" w:rsidRPr="00F93143" w:rsidRDefault="002354E8" w:rsidP="002354E8">
            <w:pPr>
              <w:spacing w:after="0"/>
              <w:jc w:val="right"/>
              <w:rPr>
                <w:rFonts w:cs="Arial"/>
                <w:color w:val="000000"/>
                <w:szCs w:val="20"/>
              </w:rPr>
            </w:pPr>
            <w:r w:rsidRPr="00F93143">
              <w:rPr>
                <w:rFonts w:cs="Arial"/>
                <w:color w:val="000000"/>
                <w:szCs w:val="20"/>
              </w:rPr>
              <w:t>70.85</w:t>
            </w:r>
          </w:p>
        </w:tc>
        <w:tc>
          <w:tcPr>
            <w:tcW w:w="1063" w:type="dxa"/>
          </w:tcPr>
          <w:p w14:paraId="77D8F7DC" w14:textId="26B1682D" w:rsidR="002354E8" w:rsidRPr="00F93143" w:rsidRDefault="002354E8" w:rsidP="002354E8">
            <w:pPr>
              <w:spacing w:after="0"/>
              <w:jc w:val="right"/>
              <w:rPr>
                <w:rFonts w:cs="Arial"/>
                <w:color w:val="000000"/>
                <w:szCs w:val="20"/>
              </w:rPr>
            </w:pPr>
            <w:r w:rsidRPr="00F93143">
              <w:rPr>
                <w:rFonts w:cs="Arial"/>
                <w:color w:val="000000"/>
                <w:szCs w:val="20"/>
              </w:rPr>
              <w:t>62.58</w:t>
            </w:r>
          </w:p>
        </w:tc>
        <w:tc>
          <w:tcPr>
            <w:tcW w:w="1063" w:type="dxa"/>
          </w:tcPr>
          <w:p w14:paraId="59A997C6" w14:textId="7EF651B9" w:rsidR="002354E8" w:rsidRPr="00F93143" w:rsidRDefault="002354E8" w:rsidP="002354E8">
            <w:pPr>
              <w:spacing w:after="0"/>
              <w:jc w:val="right"/>
              <w:rPr>
                <w:rFonts w:cs="Arial"/>
                <w:color w:val="000000"/>
                <w:szCs w:val="20"/>
              </w:rPr>
            </w:pPr>
            <w:r w:rsidRPr="00F93143">
              <w:rPr>
                <w:rFonts w:cs="Arial"/>
                <w:color w:val="000000"/>
                <w:szCs w:val="20"/>
              </w:rPr>
              <w:t>79.62</w:t>
            </w:r>
          </w:p>
        </w:tc>
        <w:tc>
          <w:tcPr>
            <w:tcW w:w="1063" w:type="dxa"/>
          </w:tcPr>
          <w:p w14:paraId="5A3073A6" w14:textId="4AAA1C12" w:rsidR="002354E8" w:rsidRPr="00F93143" w:rsidRDefault="002354E8" w:rsidP="002354E8">
            <w:pPr>
              <w:spacing w:after="0"/>
              <w:jc w:val="right"/>
              <w:rPr>
                <w:rFonts w:cs="Arial"/>
                <w:color w:val="000000"/>
                <w:szCs w:val="20"/>
              </w:rPr>
            </w:pPr>
            <w:r w:rsidRPr="00F93143">
              <w:rPr>
                <w:rFonts w:cs="Arial"/>
                <w:color w:val="000000"/>
                <w:szCs w:val="20"/>
              </w:rPr>
              <w:t>126.04</w:t>
            </w:r>
          </w:p>
        </w:tc>
        <w:tc>
          <w:tcPr>
            <w:tcW w:w="1063" w:type="dxa"/>
          </w:tcPr>
          <w:p w14:paraId="0FD196A7" w14:textId="7B03ADBC" w:rsidR="002354E8" w:rsidRPr="00F93143" w:rsidRDefault="002354E8" w:rsidP="002354E8">
            <w:pPr>
              <w:spacing w:after="0"/>
              <w:jc w:val="right"/>
              <w:rPr>
                <w:rFonts w:cs="Arial"/>
                <w:color w:val="000000"/>
                <w:szCs w:val="20"/>
              </w:rPr>
            </w:pPr>
            <w:r w:rsidRPr="00F93143">
              <w:rPr>
                <w:rFonts w:cs="Arial"/>
                <w:color w:val="000000"/>
                <w:szCs w:val="20"/>
              </w:rPr>
              <w:t>94.82</w:t>
            </w:r>
          </w:p>
        </w:tc>
        <w:tc>
          <w:tcPr>
            <w:tcW w:w="1063" w:type="dxa"/>
          </w:tcPr>
          <w:p w14:paraId="768D34FE" w14:textId="572D0546" w:rsidR="002354E8" w:rsidRPr="00F93143" w:rsidRDefault="002354E8" w:rsidP="002354E8">
            <w:pPr>
              <w:spacing w:after="0"/>
              <w:jc w:val="right"/>
              <w:rPr>
                <w:rFonts w:cs="Arial"/>
                <w:color w:val="000000"/>
                <w:szCs w:val="20"/>
              </w:rPr>
            </w:pPr>
            <w:r w:rsidRPr="00F93143">
              <w:rPr>
                <w:rFonts w:cs="Arial"/>
                <w:color w:val="000000"/>
                <w:szCs w:val="20"/>
              </w:rPr>
              <w:t>78.54</w:t>
            </w:r>
          </w:p>
        </w:tc>
        <w:tc>
          <w:tcPr>
            <w:tcW w:w="1063" w:type="dxa"/>
          </w:tcPr>
          <w:p w14:paraId="2236FA8C" w14:textId="7530318F" w:rsidR="002354E8" w:rsidRPr="00F93143" w:rsidRDefault="002354E8" w:rsidP="002354E8">
            <w:pPr>
              <w:spacing w:after="0"/>
              <w:jc w:val="right"/>
              <w:rPr>
                <w:rFonts w:cs="Arial"/>
                <w:color w:val="000000"/>
                <w:szCs w:val="20"/>
              </w:rPr>
            </w:pPr>
            <w:r w:rsidRPr="00F93143">
              <w:rPr>
                <w:rFonts w:cs="Arial"/>
                <w:color w:val="000000"/>
                <w:szCs w:val="20"/>
              </w:rPr>
              <w:t>79.87</w:t>
            </w:r>
          </w:p>
        </w:tc>
        <w:tc>
          <w:tcPr>
            <w:tcW w:w="1064" w:type="dxa"/>
          </w:tcPr>
          <w:p w14:paraId="32369385" w14:textId="54EA20B3" w:rsidR="002354E8" w:rsidRPr="00F93143" w:rsidRDefault="002354E8" w:rsidP="002354E8">
            <w:pPr>
              <w:spacing w:after="0"/>
              <w:jc w:val="right"/>
              <w:rPr>
                <w:rFonts w:cs="Arial"/>
                <w:color w:val="000000"/>
                <w:szCs w:val="20"/>
              </w:rPr>
            </w:pPr>
            <w:r w:rsidRPr="00F93143">
              <w:rPr>
                <w:rFonts w:cs="Arial"/>
                <w:color w:val="000000"/>
                <w:szCs w:val="20"/>
              </w:rPr>
              <w:t>35.50</w:t>
            </w:r>
          </w:p>
        </w:tc>
      </w:tr>
      <w:tr w:rsidR="002354E8" w:rsidRPr="00F93143" w14:paraId="435F1C5D" w14:textId="77777777" w:rsidTr="001C77A3">
        <w:tc>
          <w:tcPr>
            <w:tcW w:w="2972" w:type="dxa"/>
            <w:vAlign w:val="center"/>
          </w:tcPr>
          <w:p w14:paraId="40D4A05F" w14:textId="1D53E1DF" w:rsidR="002354E8" w:rsidRPr="00F93143" w:rsidRDefault="002354E8" w:rsidP="002354E8">
            <w:pPr>
              <w:spacing w:after="0"/>
              <w:rPr>
                <w:rFonts w:cs="Arial"/>
                <w:szCs w:val="20"/>
              </w:rPr>
            </w:pPr>
            <w:r w:rsidRPr="008D5083">
              <w:rPr>
                <w:rFonts w:cs="Arial"/>
                <w:b/>
                <w:bCs/>
                <w:szCs w:val="20"/>
              </w:rPr>
              <w:t>Nine</w:t>
            </w:r>
            <w:r>
              <w:rPr>
                <w:rFonts w:cs="Arial"/>
                <w:szCs w:val="20"/>
              </w:rPr>
              <w:t>:</w:t>
            </w:r>
            <w:r w:rsidRPr="00F93143">
              <w:rPr>
                <w:rFonts w:cs="Arial"/>
                <w:szCs w:val="20"/>
              </w:rPr>
              <w:t xml:space="preserve"> average </w:t>
            </w:r>
            <w:r>
              <w:rPr>
                <w:rFonts w:cs="Arial"/>
                <w:szCs w:val="20"/>
              </w:rPr>
              <w:t>hours claimed</w:t>
            </w:r>
          </w:p>
        </w:tc>
        <w:tc>
          <w:tcPr>
            <w:tcW w:w="1063" w:type="dxa"/>
          </w:tcPr>
          <w:p w14:paraId="381931A2" w14:textId="1E4D55AD" w:rsidR="002354E8" w:rsidRPr="00F93143" w:rsidRDefault="002354E8" w:rsidP="002354E8">
            <w:pPr>
              <w:spacing w:after="0"/>
              <w:jc w:val="right"/>
              <w:rPr>
                <w:rFonts w:cs="Arial"/>
                <w:szCs w:val="20"/>
              </w:rPr>
            </w:pPr>
            <w:r w:rsidRPr="00F93143">
              <w:rPr>
                <w:rFonts w:cs="Arial"/>
                <w:color w:val="000000"/>
                <w:szCs w:val="20"/>
              </w:rPr>
              <w:t>21.50</w:t>
            </w:r>
          </w:p>
        </w:tc>
        <w:tc>
          <w:tcPr>
            <w:tcW w:w="1063" w:type="dxa"/>
          </w:tcPr>
          <w:p w14:paraId="3991D484" w14:textId="031A8AA7" w:rsidR="002354E8" w:rsidRPr="00F93143" w:rsidRDefault="002354E8" w:rsidP="002354E8">
            <w:pPr>
              <w:spacing w:after="0"/>
              <w:jc w:val="right"/>
              <w:rPr>
                <w:rFonts w:cs="Arial"/>
                <w:szCs w:val="20"/>
              </w:rPr>
            </w:pPr>
            <w:r w:rsidRPr="00F93143">
              <w:rPr>
                <w:rFonts w:cs="Arial"/>
                <w:color w:val="000000"/>
                <w:szCs w:val="20"/>
              </w:rPr>
              <w:t>20.00</w:t>
            </w:r>
          </w:p>
        </w:tc>
        <w:tc>
          <w:tcPr>
            <w:tcW w:w="1063" w:type="dxa"/>
          </w:tcPr>
          <w:p w14:paraId="2A929C6E" w14:textId="106E79DC" w:rsidR="002354E8" w:rsidRPr="00F93143" w:rsidRDefault="002354E8" w:rsidP="002354E8">
            <w:pPr>
              <w:spacing w:after="0"/>
              <w:jc w:val="right"/>
              <w:rPr>
                <w:rFonts w:cs="Arial"/>
                <w:szCs w:val="20"/>
              </w:rPr>
            </w:pPr>
            <w:r w:rsidRPr="00F93143">
              <w:rPr>
                <w:rFonts w:cs="Arial"/>
                <w:color w:val="000000"/>
                <w:szCs w:val="20"/>
              </w:rPr>
              <w:t>20.25</w:t>
            </w:r>
          </w:p>
        </w:tc>
        <w:tc>
          <w:tcPr>
            <w:tcW w:w="1063" w:type="dxa"/>
          </w:tcPr>
          <w:p w14:paraId="5587DE95" w14:textId="7EA5E08B" w:rsidR="002354E8" w:rsidRPr="00F93143" w:rsidRDefault="002354E8" w:rsidP="002354E8">
            <w:pPr>
              <w:spacing w:after="0"/>
              <w:jc w:val="right"/>
              <w:rPr>
                <w:rFonts w:cs="Arial"/>
                <w:szCs w:val="20"/>
              </w:rPr>
            </w:pPr>
            <w:r w:rsidRPr="00F93143">
              <w:rPr>
                <w:rFonts w:cs="Arial"/>
                <w:color w:val="000000"/>
                <w:szCs w:val="20"/>
              </w:rPr>
              <w:t>21.83</w:t>
            </w:r>
          </w:p>
        </w:tc>
        <w:tc>
          <w:tcPr>
            <w:tcW w:w="1063" w:type="dxa"/>
          </w:tcPr>
          <w:p w14:paraId="5872E3ED" w14:textId="0183D46B" w:rsidR="002354E8" w:rsidRPr="00F93143" w:rsidRDefault="002354E8" w:rsidP="002354E8">
            <w:pPr>
              <w:spacing w:after="0"/>
              <w:jc w:val="right"/>
              <w:rPr>
                <w:rFonts w:cs="Arial"/>
                <w:szCs w:val="20"/>
              </w:rPr>
            </w:pPr>
            <w:r w:rsidRPr="00F93143">
              <w:rPr>
                <w:rFonts w:cs="Arial"/>
                <w:color w:val="000000"/>
                <w:szCs w:val="20"/>
              </w:rPr>
              <w:t>34.25</w:t>
            </w:r>
          </w:p>
        </w:tc>
        <w:tc>
          <w:tcPr>
            <w:tcW w:w="1063" w:type="dxa"/>
          </w:tcPr>
          <w:p w14:paraId="4A9EE738" w14:textId="678952BD" w:rsidR="002354E8" w:rsidRPr="00F93143" w:rsidRDefault="002354E8" w:rsidP="002354E8">
            <w:pPr>
              <w:spacing w:after="0"/>
              <w:jc w:val="right"/>
              <w:rPr>
                <w:rFonts w:cs="Arial"/>
                <w:szCs w:val="20"/>
              </w:rPr>
            </w:pPr>
            <w:r w:rsidRPr="00F93143">
              <w:rPr>
                <w:rFonts w:cs="Arial"/>
                <w:color w:val="000000"/>
                <w:szCs w:val="20"/>
              </w:rPr>
              <w:t>25.17</w:t>
            </w:r>
          </w:p>
        </w:tc>
        <w:tc>
          <w:tcPr>
            <w:tcW w:w="1063" w:type="dxa"/>
          </w:tcPr>
          <w:p w14:paraId="4D192D4E" w14:textId="712350B8" w:rsidR="002354E8" w:rsidRPr="00F93143" w:rsidRDefault="002354E8" w:rsidP="002354E8">
            <w:pPr>
              <w:spacing w:after="0"/>
              <w:jc w:val="right"/>
              <w:rPr>
                <w:rFonts w:cs="Arial"/>
                <w:szCs w:val="20"/>
              </w:rPr>
            </w:pPr>
            <w:r w:rsidRPr="00F93143">
              <w:rPr>
                <w:rFonts w:cs="Arial"/>
                <w:color w:val="000000"/>
                <w:szCs w:val="20"/>
              </w:rPr>
              <w:t>34.75</w:t>
            </w:r>
          </w:p>
        </w:tc>
        <w:tc>
          <w:tcPr>
            <w:tcW w:w="1063" w:type="dxa"/>
          </w:tcPr>
          <w:p w14:paraId="59EBDAA2" w14:textId="1459A144" w:rsidR="002354E8" w:rsidRPr="00F93143" w:rsidRDefault="002354E8" w:rsidP="002354E8">
            <w:pPr>
              <w:spacing w:after="0"/>
              <w:jc w:val="right"/>
              <w:rPr>
                <w:rFonts w:cs="Arial"/>
                <w:szCs w:val="20"/>
              </w:rPr>
            </w:pPr>
            <w:r w:rsidRPr="00F93143">
              <w:rPr>
                <w:rFonts w:cs="Arial"/>
                <w:color w:val="000000"/>
                <w:szCs w:val="20"/>
              </w:rPr>
              <w:t>42.03</w:t>
            </w:r>
          </w:p>
        </w:tc>
        <w:tc>
          <w:tcPr>
            <w:tcW w:w="1063" w:type="dxa"/>
          </w:tcPr>
          <w:p w14:paraId="482F55C3" w14:textId="1F05A18A" w:rsidR="002354E8" w:rsidRPr="00F93143" w:rsidRDefault="002354E8" w:rsidP="002354E8">
            <w:pPr>
              <w:spacing w:after="0"/>
              <w:jc w:val="right"/>
              <w:rPr>
                <w:rFonts w:cs="Arial"/>
                <w:szCs w:val="20"/>
              </w:rPr>
            </w:pPr>
            <w:r w:rsidRPr="00F93143">
              <w:rPr>
                <w:rFonts w:cs="Arial"/>
                <w:color w:val="000000"/>
                <w:szCs w:val="20"/>
              </w:rPr>
              <w:t>67.50</w:t>
            </w:r>
          </w:p>
        </w:tc>
        <w:tc>
          <w:tcPr>
            <w:tcW w:w="1064" w:type="dxa"/>
          </w:tcPr>
          <w:p w14:paraId="5AF9FCAB" w14:textId="0DE44D7C" w:rsidR="002354E8" w:rsidRPr="00F93143" w:rsidRDefault="002354E8" w:rsidP="002354E8">
            <w:pPr>
              <w:spacing w:after="0"/>
              <w:jc w:val="right"/>
              <w:rPr>
                <w:rFonts w:cs="Arial"/>
                <w:szCs w:val="20"/>
              </w:rPr>
            </w:pPr>
            <w:r w:rsidRPr="00F93143">
              <w:rPr>
                <w:rFonts w:cs="Arial"/>
                <w:color w:val="000000"/>
                <w:szCs w:val="20"/>
              </w:rPr>
              <w:t>41.47</w:t>
            </w:r>
          </w:p>
        </w:tc>
      </w:tr>
      <w:tr w:rsidR="002354E8" w:rsidRPr="00F93143" w14:paraId="0C4D7B24" w14:textId="77777777" w:rsidTr="001C77A3">
        <w:tc>
          <w:tcPr>
            <w:tcW w:w="2972" w:type="dxa"/>
            <w:vAlign w:val="center"/>
          </w:tcPr>
          <w:p w14:paraId="32CFF95F" w14:textId="1C7D4494" w:rsidR="002354E8" w:rsidRPr="00F93143" w:rsidRDefault="002354E8" w:rsidP="002354E8">
            <w:pPr>
              <w:spacing w:after="0"/>
              <w:rPr>
                <w:rFonts w:cs="Arial"/>
                <w:szCs w:val="20"/>
              </w:rPr>
            </w:pPr>
            <w:r w:rsidRPr="008D5083">
              <w:rPr>
                <w:rFonts w:cs="Arial"/>
                <w:b/>
                <w:bCs/>
                <w:szCs w:val="20"/>
              </w:rPr>
              <w:t>Ten</w:t>
            </w:r>
            <w:r>
              <w:rPr>
                <w:rFonts w:cs="Arial"/>
                <w:szCs w:val="20"/>
              </w:rPr>
              <w:t>:</w:t>
            </w:r>
            <w:r w:rsidRPr="00F93143">
              <w:rPr>
                <w:rFonts w:cs="Arial"/>
                <w:szCs w:val="20"/>
              </w:rPr>
              <w:t xml:space="preserve"> average </w:t>
            </w:r>
            <w:r>
              <w:rPr>
                <w:rFonts w:cs="Arial"/>
                <w:szCs w:val="20"/>
              </w:rPr>
              <w:t>hours claimed</w:t>
            </w:r>
          </w:p>
        </w:tc>
        <w:tc>
          <w:tcPr>
            <w:tcW w:w="1063" w:type="dxa"/>
          </w:tcPr>
          <w:p w14:paraId="6F9E8654" w14:textId="0213C5AF" w:rsidR="002354E8" w:rsidRPr="00F93143" w:rsidRDefault="002354E8" w:rsidP="002354E8">
            <w:pPr>
              <w:spacing w:after="0"/>
              <w:jc w:val="right"/>
              <w:rPr>
                <w:rFonts w:cs="Arial"/>
                <w:szCs w:val="20"/>
              </w:rPr>
            </w:pPr>
            <w:r w:rsidRPr="00F93143">
              <w:rPr>
                <w:rFonts w:cs="Arial"/>
                <w:color w:val="000000"/>
                <w:szCs w:val="20"/>
              </w:rPr>
              <w:t>21.00</w:t>
            </w:r>
          </w:p>
        </w:tc>
        <w:tc>
          <w:tcPr>
            <w:tcW w:w="1063" w:type="dxa"/>
          </w:tcPr>
          <w:p w14:paraId="2F943609" w14:textId="73E48F91" w:rsidR="002354E8" w:rsidRPr="00F93143" w:rsidRDefault="002354E8" w:rsidP="002354E8">
            <w:pPr>
              <w:spacing w:after="0"/>
              <w:jc w:val="right"/>
              <w:rPr>
                <w:rFonts w:cs="Arial"/>
                <w:szCs w:val="20"/>
              </w:rPr>
            </w:pPr>
            <w:r w:rsidRPr="00F93143">
              <w:rPr>
                <w:rFonts w:cs="Arial"/>
                <w:color w:val="000000"/>
                <w:szCs w:val="20"/>
              </w:rPr>
              <w:t>33.40</w:t>
            </w:r>
          </w:p>
        </w:tc>
        <w:tc>
          <w:tcPr>
            <w:tcW w:w="1063" w:type="dxa"/>
          </w:tcPr>
          <w:p w14:paraId="63E9B1F0" w14:textId="0AC5CA0B" w:rsidR="002354E8" w:rsidRPr="00F93143" w:rsidRDefault="002354E8" w:rsidP="002354E8">
            <w:pPr>
              <w:spacing w:after="0"/>
              <w:jc w:val="right"/>
              <w:rPr>
                <w:rFonts w:cs="Arial"/>
                <w:szCs w:val="20"/>
              </w:rPr>
            </w:pPr>
            <w:r w:rsidRPr="00F93143">
              <w:rPr>
                <w:rFonts w:cs="Arial"/>
                <w:color w:val="000000"/>
                <w:szCs w:val="20"/>
              </w:rPr>
              <w:t>41.70</w:t>
            </w:r>
          </w:p>
        </w:tc>
        <w:tc>
          <w:tcPr>
            <w:tcW w:w="1063" w:type="dxa"/>
          </w:tcPr>
          <w:p w14:paraId="175C26A5" w14:textId="43D8ED08" w:rsidR="002354E8" w:rsidRPr="00F93143" w:rsidRDefault="002354E8" w:rsidP="002354E8">
            <w:pPr>
              <w:spacing w:after="0"/>
              <w:jc w:val="right"/>
              <w:rPr>
                <w:rFonts w:cs="Arial"/>
                <w:szCs w:val="20"/>
              </w:rPr>
            </w:pPr>
            <w:r w:rsidRPr="00F93143">
              <w:rPr>
                <w:rFonts w:cs="Arial"/>
                <w:color w:val="000000"/>
                <w:szCs w:val="20"/>
              </w:rPr>
              <w:t>30.00</w:t>
            </w:r>
          </w:p>
        </w:tc>
        <w:tc>
          <w:tcPr>
            <w:tcW w:w="1063" w:type="dxa"/>
          </w:tcPr>
          <w:p w14:paraId="45435558" w14:textId="449EBED3" w:rsidR="002354E8" w:rsidRPr="00F93143" w:rsidRDefault="002354E8" w:rsidP="002354E8">
            <w:pPr>
              <w:spacing w:after="0"/>
              <w:jc w:val="right"/>
              <w:rPr>
                <w:rFonts w:cs="Arial"/>
                <w:szCs w:val="20"/>
              </w:rPr>
            </w:pPr>
            <w:r w:rsidRPr="00F93143">
              <w:rPr>
                <w:rFonts w:cs="Arial"/>
                <w:color w:val="000000"/>
                <w:szCs w:val="20"/>
              </w:rPr>
              <w:t>29.00</w:t>
            </w:r>
          </w:p>
        </w:tc>
        <w:tc>
          <w:tcPr>
            <w:tcW w:w="1063" w:type="dxa"/>
          </w:tcPr>
          <w:p w14:paraId="432DDCCC" w14:textId="6AC0E545" w:rsidR="002354E8" w:rsidRPr="00F93143" w:rsidRDefault="002354E8" w:rsidP="002354E8">
            <w:pPr>
              <w:spacing w:after="0"/>
              <w:jc w:val="right"/>
              <w:rPr>
                <w:rFonts w:cs="Arial"/>
                <w:szCs w:val="20"/>
              </w:rPr>
            </w:pPr>
            <w:r w:rsidRPr="00F93143">
              <w:rPr>
                <w:rFonts w:cs="Arial"/>
                <w:color w:val="000000"/>
                <w:szCs w:val="20"/>
              </w:rPr>
              <w:t>20.58</w:t>
            </w:r>
          </w:p>
        </w:tc>
        <w:tc>
          <w:tcPr>
            <w:tcW w:w="1063" w:type="dxa"/>
          </w:tcPr>
          <w:p w14:paraId="517C510E" w14:textId="7A9403B0" w:rsidR="002354E8" w:rsidRPr="00F93143" w:rsidRDefault="002354E8" w:rsidP="002354E8">
            <w:pPr>
              <w:spacing w:after="0"/>
              <w:jc w:val="right"/>
              <w:rPr>
                <w:rFonts w:cs="Arial"/>
                <w:szCs w:val="20"/>
              </w:rPr>
            </w:pPr>
            <w:r w:rsidRPr="00F93143">
              <w:rPr>
                <w:rFonts w:cs="Arial"/>
                <w:color w:val="000000"/>
                <w:szCs w:val="20"/>
              </w:rPr>
              <w:t>47.33</w:t>
            </w:r>
          </w:p>
        </w:tc>
        <w:tc>
          <w:tcPr>
            <w:tcW w:w="1063" w:type="dxa"/>
          </w:tcPr>
          <w:p w14:paraId="293E62D9" w14:textId="13D95D23" w:rsidR="002354E8" w:rsidRPr="00F93143" w:rsidRDefault="002354E8" w:rsidP="002354E8">
            <w:pPr>
              <w:spacing w:after="0"/>
              <w:jc w:val="right"/>
              <w:rPr>
                <w:rFonts w:cs="Arial"/>
                <w:szCs w:val="20"/>
              </w:rPr>
            </w:pPr>
            <w:r w:rsidRPr="00F93143">
              <w:rPr>
                <w:rFonts w:cs="Arial"/>
                <w:color w:val="000000"/>
                <w:szCs w:val="20"/>
              </w:rPr>
              <w:t>40.17</w:t>
            </w:r>
          </w:p>
        </w:tc>
        <w:tc>
          <w:tcPr>
            <w:tcW w:w="1063" w:type="dxa"/>
          </w:tcPr>
          <w:p w14:paraId="5962F3B9" w14:textId="0CBE39A4" w:rsidR="002354E8" w:rsidRPr="00F93143" w:rsidRDefault="002354E8" w:rsidP="002354E8">
            <w:pPr>
              <w:spacing w:after="0"/>
              <w:jc w:val="right"/>
              <w:rPr>
                <w:rFonts w:cs="Arial"/>
                <w:szCs w:val="20"/>
              </w:rPr>
            </w:pPr>
            <w:r w:rsidRPr="00F93143">
              <w:rPr>
                <w:rFonts w:cs="Arial"/>
                <w:color w:val="000000"/>
                <w:szCs w:val="20"/>
              </w:rPr>
              <w:t>22.00</w:t>
            </w:r>
          </w:p>
        </w:tc>
        <w:tc>
          <w:tcPr>
            <w:tcW w:w="1064" w:type="dxa"/>
          </w:tcPr>
          <w:p w14:paraId="442CF8B1" w14:textId="785159BB" w:rsidR="002354E8" w:rsidRPr="00F93143" w:rsidRDefault="002354E8" w:rsidP="002354E8">
            <w:pPr>
              <w:spacing w:after="0"/>
              <w:jc w:val="right"/>
              <w:rPr>
                <w:rFonts w:cs="Arial"/>
                <w:szCs w:val="20"/>
              </w:rPr>
            </w:pPr>
            <w:r w:rsidRPr="00F93143">
              <w:rPr>
                <w:rFonts w:cs="Arial"/>
                <w:color w:val="000000"/>
                <w:szCs w:val="20"/>
              </w:rPr>
              <w:t>24.00</w:t>
            </w:r>
          </w:p>
        </w:tc>
      </w:tr>
    </w:tbl>
    <w:p w14:paraId="740B9EB0" w14:textId="549271A5" w:rsidR="00F93143" w:rsidRDefault="00D06761" w:rsidP="005E6E9E">
      <w:pPr>
        <w:pStyle w:val="Tableorfigurenote"/>
        <w:spacing w:after="360"/>
      </w:pPr>
      <w:r w:rsidRPr="00B8084A">
        <w:t>Note: Discrepancies may exist in the totals due to rounding.</w:t>
      </w:r>
    </w:p>
    <w:p w14:paraId="1824DA2C" w14:textId="2911D34A" w:rsidR="006433E0" w:rsidRPr="00B0218F" w:rsidRDefault="0028248A" w:rsidP="006433E0">
      <w:pPr>
        <w:pStyle w:val="Figureheading"/>
      </w:pPr>
      <w:r>
        <w:t>Average</w:t>
      </w:r>
      <w:r w:rsidR="006433E0">
        <w:t xml:space="preserve"> hours claimed by networks for first release Australian documentary</w:t>
      </w:r>
      <w:r w:rsidR="000572C9">
        <w:t xml:space="preserve">, </w:t>
      </w:r>
      <w:r w:rsidR="006433E0">
        <w:t>2012</w:t>
      </w:r>
      <w:r w:rsidR="000572C9">
        <w:t xml:space="preserve"> to </w:t>
      </w:r>
      <w:r w:rsidR="006433E0">
        <w:t>2021</w:t>
      </w:r>
    </w:p>
    <w:p w14:paraId="55B488DE" w14:textId="77777777" w:rsidR="00F82A3F" w:rsidRDefault="00F93143">
      <w:pPr>
        <w:spacing w:after="0" w:line="240" w:lineRule="auto"/>
      </w:pPr>
      <w:r>
        <w:rPr>
          <w:noProof/>
        </w:rPr>
        <w:drawing>
          <wp:inline distT="0" distB="0" distL="0" distR="0" wp14:anchorId="3BA8E8B9" wp14:editId="14A2A3FB">
            <wp:extent cx="8937172" cy="2912745"/>
            <wp:effectExtent l="0" t="0" r="0" b="1905"/>
            <wp:docPr id="19" name="Chart 19"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6B954F13-6E95-4EC9-B019-CEBEB8B2CA0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r w:rsidR="007332CF">
        <w:br w:type="page"/>
      </w:r>
    </w:p>
    <w:p w14:paraId="172995DA" w14:textId="21E2BAA1" w:rsidR="00F82A3F" w:rsidRDefault="00F82A3F" w:rsidP="00A6011F">
      <w:pPr>
        <w:pStyle w:val="Heading2"/>
        <w:spacing w:after="120"/>
      </w:pPr>
      <w:bookmarkStart w:id="13" w:name="_Toc112835087"/>
      <w:r w:rsidRPr="00E60F13">
        <w:lastRenderedPageBreak/>
        <w:t>First release acquired Australian films (hours)</w:t>
      </w:r>
      <w:bookmarkEnd w:id="13"/>
    </w:p>
    <w:p w14:paraId="4CF6A101" w14:textId="47C4CF1A" w:rsidR="00B31B01" w:rsidRPr="00A17B1B" w:rsidRDefault="00B31B01" w:rsidP="00B31B01">
      <w:pPr>
        <w:pStyle w:val="Tableheading"/>
        <w:keepLines/>
      </w:pPr>
      <w:r>
        <w:t>Average hours claimed by networks for first release acquired Australian feature films</w:t>
      </w:r>
      <w:r w:rsidR="001C77A3">
        <w:t xml:space="preserve">, </w:t>
      </w:r>
      <w:r>
        <w:t>2012</w:t>
      </w:r>
      <w:r w:rsidR="001C77A3">
        <w:t xml:space="preserve"> to </w:t>
      </w:r>
      <w:r>
        <w:t>2021</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972"/>
        <w:gridCol w:w="1077"/>
        <w:gridCol w:w="1078"/>
        <w:gridCol w:w="1078"/>
        <w:gridCol w:w="1077"/>
        <w:gridCol w:w="1078"/>
        <w:gridCol w:w="1078"/>
        <w:gridCol w:w="1077"/>
        <w:gridCol w:w="1078"/>
        <w:gridCol w:w="1078"/>
        <w:gridCol w:w="1078"/>
      </w:tblGrid>
      <w:tr w:rsidR="00F82A3F" w:rsidRPr="00F93143" w14:paraId="3F3674F8" w14:textId="77777777" w:rsidTr="0078265C">
        <w:tc>
          <w:tcPr>
            <w:tcW w:w="2972" w:type="dxa"/>
            <w:shd w:val="clear" w:color="auto" w:fill="7C426F"/>
            <w:vAlign w:val="center"/>
          </w:tcPr>
          <w:p w14:paraId="557F6CE8" w14:textId="59B3F089" w:rsidR="00F82A3F" w:rsidRPr="00F93143" w:rsidRDefault="0078265C" w:rsidP="0078265C">
            <w:pPr>
              <w:spacing w:after="0"/>
              <w:rPr>
                <w:rFonts w:cs="Arial"/>
                <w:b/>
                <w:bCs/>
                <w:color w:val="FFFFFF" w:themeColor="background1"/>
                <w:szCs w:val="20"/>
              </w:rPr>
            </w:pPr>
            <w:r>
              <w:rPr>
                <w:rFonts w:cs="Arial"/>
                <w:b/>
                <w:bCs/>
                <w:color w:val="FFFFFF" w:themeColor="background1"/>
                <w:szCs w:val="20"/>
              </w:rPr>
              <w:t>Network</w:t>
            </w:r>
          </w:p>
        </w:tc>
        <w:tc>
          <w:tcPr>
            <w:tcW w:w="1077" w:type="dxa"/>
            <w:shd w:val="clear" w:color="auto" w:fill="7C426F"/>
            <w:vAlign w:val="center"/>
          </w:tcPr>
          <w:p w14:paraId="1481DD6C" w14:textId="61B0FDDB" w:rsidR="00F82A3F" w:rsidRPr="00F93143" w:rsidRDefault="0021209E" w:rsidP="00E70BE3">
            <w:pPr>
              <w:spacing w:after="0"/>
              <w:jc w:val="right"/>
              <w:rPr>
                <w:rFonts w:cs="Arial"/>
                <w:b/>
                <w:bCs/>
                <w:color w:val="FFFFFF" w:themeColor="background1"/>
                <w:szCs w:val="20"/>
              </w:rPr>
            </w:pPr>
            <w:r>
              <w:rPr>
                <w:rFonts w:cs="Arial"/>
                <w:b/>
                <w:bCs/>
                <w:color w:val="FFFFFF" w:themeColor="background1"/>
                <w:szCs w:val="20"/>
              </w:rPr>
              <w:t>2012</w:t>
            </w:r>
          </w:p>
        </w:tc>
        <w:tc>
          <w:tcPr>
            <w:tcW w:w="1078" w:type="dxa"/>
            <w:shd w:val="clear" w:color="auto" w:fill="7C426F"/>
            <w:vAlign w:val="center"/>
          </w:tcPr>
          <w:p w14:paraId="5518233E"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2013</w:t>
            </w:r>
          </w:p>
        </w:tc>
        <w:tc>
          <w:tcPr>
            <w:tcW w:w="1078" w:type="dxa"/>
            <w:shd w:val="clear" w:color="auto" w:fill="7C426F"/>
            <w:vAlign w:val="center"/>
          </w:tcPr>
          <w:p w14:paraId="1A0CE568"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2014</w:t>
            </w:r>
          </w:p>
        </w:tc>
        <w:tc>
          <w:tcPr>
            <w:tcW w:w="1077" w:type="dxa"/>
            <w:shd w:val="clear" w:color="auto" w:fill="7C426F"/>
            <w:vAlign w:val="center"/>
          </w:tcPr>
          <w:p w14:paraId="7BC97F20"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2015</w:t>
            </w:r>
          </w:p>
        </w:tc>
        <w:tc>
          <w:tcPr>
            <w:tcW w:w="1078" w:type="dxa"/>
            <w:shd w:val="clear" w:color="auto" w:fill="7C426F"/>
            <w:vAlign w:val="center"/>
          </w:tcPr>
          <w:p w14:paraId="7C1EDF3D"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2016</w:t>
            </w:r>
          </w:p>
        </w:tc>
        <w:tc>
          <w:tcPr>
            <w:tcW w:w="1078" w:type="dxa"/>
            <w:shd w:val="clear" w:color="auto" w:fill="7C426F"/>
            <w:vAlign w:val="center"/>
          </w:tcPr>
          <w:p w14:paraId="476727A9"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2017</w:t>
            </w:r>
          </w:p>
        </w:tc>
        <w:tc>
          <w:tcPr>
            <w:tcW w:w="1077" w:type="dxa"/>
            <w:shd w:val="clear" w:color="auto" w:fill="7C426F"/>
            <w:vAlign w:val="center"/>
          </w:tcPr>
          <w:p w14:paraId="5B696C03"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2018</w:t>
            </w:r>
          </w:p>
        </w:tc>
        <w:tc>
          <w:tcPr>
            <w:tcW w:w="1078" w:type="dxa"/>
            <w:shd w:val="clear" w:color="auto" w:fill="7C426F"/>
            <w:vAlign w:val="center"/>
          </w:tcPr>
          <w:p w14:paraId="7661A553"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2019</w:t>
            </w:r>
          </w:p>
        </w:tc>
        <w:tc>
          <w:tcPr>
            <w:tcW w:w="1078" w:type="dxa"/>
            <w:shd w:val="clear" w:color="auto" w:fill="7C426F"/>
            <w:vAlign w:val="center"/>
          </w:tcPr>
          <w:p w14:paraId="1B10531F"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2020</w:t>
            </w:r>
          </w:p>
        </w:tc>
        <w:tc>
          <w:tcPr>
            <w:tcW w:w="1078" w:type="dxa"/>
            <w:shd w:val="clear" w:color="auto" w:fill="7C426F"/>
            <w:vAlign w:val="center"/>
          </w:tcPr>
          <w:p w14:paraId="5C518A60" w14:textId="77777777" w:rsidR="00F82A3F" w:rsidRPr="00F93143" w:rsidRDefault="00F82A3F" w:rsidP="00E70BE3">
            <w:pPr>
              <w:spacing w:after="0"/>
              <w:jc w:val="right"/>
              <w:rPr>
                <w:rFonts w:cs="Arial"/>
                <w:b/>
                <w:bCs/>
                <w:color w:val="FFFFFF" w:themeColor="background1"/>
                <w:szCs w:val="20"/>
              </w:rPr>
            </w:pPr>
            <w:r w:rsidRPr="00F93143">
              <w:rPr>
                <w:rFonts w:cs="Arial"/>
                <w:b/>
                <w:bCs/>
                <w:color w:val="FFFFFF" w:themeColor="background1"/>
                <w:szCs w:val="20"/>
              </w:rPr>
              <w:t>2021</w:t>
            </w:r>
          </w:p>
        </w:tc>
      </w:tr>
      <w:tr w:rsidR="00427C50" w:rsidRPr="00F93143" w14:paraId="1CF51DCF" w14:textId="77777777" w:rsidTr="0078265C">
        <w:tc>
          <w:tcPr>
            <w:tcW w:w="2972" w:type="dxa"/>
            <w:vAlign w:val="center"/>
          </w:tcPr>
          <w:p w14:paraId="0AC979CF" w14:textId="6931973A" w:rsidR="00427C50" w:rsidRPr="00F93143" w:rsidRDefault="00427C50" w:rsidP="0078265C">
            <w:pPr>
              <w:spacing w:after="0"/>
              <w:rPr>
                <w:rFonts w:cs="Arial"/>
                <w:szCs w:val="20"/>
              </w:rPr>
            </w:pPr>
            <w:r w:rsidRPr="00E70BE3">
              <w:rPr>
                <w:rFonts w:cs="Arial"/>
                <w:b/>
                <w:bCs/>
                <w:szCs w:val="20"/>
              </w:rPr>
              <w:t>Seven</w:t>
            </w:r>
            <w:r w:rsidR="0078265C">
              <w:rPr>
                <w:rFonts w:cs="Arial"/>
                <w:szCs w:val="20"/>
              </w:rPr>
              <w:t>:</w:t>
            </w:r>
            <w:r w:rsidRPr="00F93143">
              <w:rPr>
                <w:rFonts w:cs="Arial"/>
                <w:szCs w:val="20"/>
              </w:rPr>
              <w:t xml:space="preserve"> average </w:t>
            </w:r>
            <w:r>
              <w:rPr>
                <w:rFonts w:cs="Arial"/>
                <w:szCs w:val="20"/>
              </w:rPr>
              <w:t>hours</w:t>
            </w:r>
            <w:r w:rsidR="0078265C">
              <w:rPr>
                <w:rFonts w:cs="Arial"/>
                <w:szCs w:val="20"/>
              </w:rPr>
              <w:t xml:space="preserve"> claimed</w:t>
            </w:r>
          </w:p>
        </w:tc>
        <w:tc>
          <w:tcPr>
            <w:tcW w:w="1077" w:type="dxa"/>
          </w:tcPr>
          <w:p w14:paraId="6E52B3AB" w14:textId="6EA6421C" w:rsidR="00427C50" w:rsidRPr="00F93143" w:rsidRDefault="00446E28" w:rsidP="00E70BE3">
            <w:pPr>
              <w:spacing w:after="0"/>
              <w:jc w:val="right"/>
              <w:rPr>
                <w:rFonts w:cs="Arial"/>
                <w:szCs w:val="20"/>
              </w:rPr>
            </w:pPr>
            <w:r>
              <w:rPr>
                <w:rFonts w:cs="Arial"/>
                <w:szCs w:val="20"/>
              </w:rPr>
              <w:t>8.29</w:t>
            </w:r>
          </w:p>
        </w:tc>
        <w:tc>
          <w:tcPr>
            <w:tcW w:w="1078" w:type="dxa"/>
          </w:tcPr>
          <w:p w14:paraId="75C38D2C" w14:textId="34F6714C" w:rsidR="00427C50" w:rsidRPr="00F93143" w:rsidRDefault="00446E28" w:rsidP="00E70BE3">
            <w:pPr>
              <w:spacing w:after="0"/>
              <w:jc w:val="right"/>
              <w:rPr>
                <w:rFonts w:cs="Arial"/>
                <w:szCs w:val="20"/>
              </w:rPr>
            </w:pPr>
            <w:r>
              <w:rPr>
                <w:rFonts w:cs="Arial"/>
                <w:color w:val="000000"/>
                <w:szCs w:val="20"/>
              </w:rPr>
              <w:t>6.63</w:t>
            </w:r>
          </w:p>
        </w:tc>
        <w:tc>
          <w:tcPr>
            <w:tcW w:w="1078" w:type="dxa"/>
          </w:tcPr>
          <w:p w14:paraId="6A0BBA1B" w14:textId="48A82635" w:rsidR="001B7E1E" w:rsidRPr="00F93143" w:rsidRDefault="001B7E1E" w:rsidP="00E70BE3">
            <w:pPr>
              <w:spacing w:after="0"/>
              <w:jc w:val="right"/>
              <w:rPr>
                <w:rFonts w:cs="Arial"/>
                <w:szCs w:val="20"/>
              </w:rPr>
            </w:pPr>
            <w:r>
              <w:rPr>
                <w:rFonts w:cs="Arial"/>
                <w:szCs w:val="20"/>
              </w:rPr>
              <w:t>1.36</w:t>
            </w:r>
          </w:p>
        </w:tc>
        <w:tc>
          <w:tcPr>
            <w:tcW w:w="1077" w:type="dxa"/>
          </w:tcPr>
          <w:p w14:paraId="5EEF9804" w14:textId="5E7CDCB7" w:rsidR="001B7E1E" w:rsidRPr="00F93143" w:rsidRDefault="001B7E1E" w:rsidP="00E70BE3">
            <w:pPr>
              <w:spacing w:after="0"/>
              <w:jc w:val="right"/>
              <w:rPr>
                <w:rFonts w:cs="Arial"/>
                <w:szCs w:val="20"/>
              </w:rPr>
            </w:pPr>
            <w:r>
              <w:rPr>
                <w:rFonts w:cs="Arial"/>
                <w:szCs w:val="20"/>
              </w:rPr>
              <w:t>8.34</w:t>
            </w:r>
          </w:p>
        </w:tc>
        <w:tc>
          <w:tcPr>
            <w:tcW w:w="1078" w:type="dxa"/>
          </w:tcPr>
          <w:p w14:paraId="28A7B51C" w14:textId="30D83D5F" w:rsidR="00427C50" w:rsidRPr="00F93143" w:rsidRDefault="007A5A5A" w:rsidP="00E70BE3">
            <w:pPr>
              <w:spacing w:after="0"/>
              <w:jc w:val="right"/>
              <w:rPr>
                <w:rFonts w:cs="Arial"/>
                <w:szCs w:val="20"/>
              </w:rPr>
            </w:pPr>
            <w:r>
              <w:rPr>
                <w:rFonts w:cs="Arial"/>
                <w:szCs w:val="20"/>
              </w:rPr>
              <w:t>3.92</w:t>
            </w:r>
          </w:p>
        </w:tc>
        <w:tc>
          <w:tcPr>
            <w:tcW w:w="1078" w:type="dxa"/>
          </w:tcPr>
          <w:p w14:paraId="44DBBCFA" w14:textId="1B621F40" w:rsidR="00427C50" w:rsidRPr="00F93143" w:rsidRDefault="007A5A5A" w:rsidP="00E70BE3">
            <w:pPr>
              <w:spacing w:after="0"/>
              <w:jc w:val="right"/>
              <w:rPr>
                <w:rFonts w:cs="Arial"/>
                <w:szCs w:val="20"/>
              </w:rPr>
            </w:pPr>
            <w:r>
              <w:rPr>
                <w:rFonts w:cs="Arial"/>
                <w:szCs w:val="20"/>
              </w:rPr>
              <w:t>4.62</w:t>
            </w:r>
          </w:p>
        </w:tc>
        <w:tc>
          <w:tcPr>
            <w:tcW w:w="1077" w:type="dxa"/>
          </w:tcPr>
          <w:p w14:paraId="3CED9970" w14:textId="5FBDC992" w:rsidR="00427C50" w:rsidRPr="00F93143" w:rsidRDefault="00C9365D" w:rsidP="00E70BE3">
            <w:pPr>
              <w:spacing w:after="0"/>
              <w:jc w:val="right"/>
              <w:rPr>
                <w:rFonts w:cs="Arial"/>
                <w:szCs w:val="20"/>
              </w:rPr>
            </w:pPr>
            <w:r>
              <w:rPr>
                <w:rFonts w:cs="Arial"/>
                <w:szCs w:val="20"/>
              </w:rPr>
              <w:t>20.48</w:t>
            </w:r>
          </w:p>
        </w:tc>
        <w:tc>
          <w:tcPr>
            <w:tcW w:w="1078" w:type="dxa"/>
          </w:tcPr>
          <w:p w14:paraId="022436A2" w14:textId="41E6BAB3" w:rsidR="007F149A" w:rsidRPr="00F93143" w:rsidRDefault="007F149A" w:rsidP="00E70BE3">
            <w:pPr>
              <w:spacing w:after="0"/>
              <w:jc w:val="right"/>
              <w:rPr>
                <w:rFonts w:cs="Arial"/>
                <w:szCs w:val="20"/>
              </w:rPr>
            </w:pPr>
            <w:r>
              <w:rPr>
                <w:rFonts w:cs="Arial"/>
                <w:szCs w:val="20"/>
              </w:rPr>
              <w:t>28.84</w:t>
            </w:r>
          </w:p>
        </w:tc>
        <w:tc>
          <w:tcPr>
            <w:tcW w:w="1078" w:type="dxa"/>
          </w:tcPr>
          <w:p w14:paraId="42508944" w14:textId="239C3126" w:rsidR="00427C50" w:rsidRPr="00F93143" w:rsidRDefault="00520103" w:rsidP="00E70BE3">
            <w:pPr>
              <w:spacing w:after="0"/>
              <w:jc w:val="right"/>
              <w:rPr>
                <w:rFonts w:cs="Arial"/>
                <w:szCs w:val="20"/>
              </w:rPr>
            </w:pPr>
            <w:r>
              <w:rPr>
                <w:rFonts w:cs="Arial"/>
                <w:szCs w:val="20"/>
              </w:rPr>
              <w:t>19.65</w:t>
            </w:r>
          </w:p>
        </w:tc>
        <w:tc>
          <w:tcPr>
            <w:tcW w:w="1078" w:type="dxa"/>
          </w:tcPr>
          <w:p w14:paraId="26AEDA30" w14:textId="4623D2C5" w:rsidR="00427C50" w:rsidRPr="00F93143" w:rsidRDefault="00427C50" w:rsidP="00E70BE3">
            <w:pPr>
              <w:spacing w:after="0"/>
              <w:jc w:val="right"/>
              <w:rPr>
                <w:rFonts w:cs="Arial"/>
                <w:szCs w:val="20"/>
              </w:rPr>
            </w:pPr>
            <w:r>
              <w:rPr>
                <w:rFonts w:cs="Arial"/>
                <w:color w:val="000000"/>
                <w:szCs w:val="20"/>
              </w:rPr>
              <w:t>11.5</w:t>
            </w:r>
          </w:p>
        </w:tc>
      </w:tr>
      <w:tr w:rsidR="00427C50" w:rsidRPr="00F93143" w14:paraId="59A7DD8E" w14:textId="77777777" w:rsidTr="0078265C">
        <w:tc>
          <w:tcPr>
            <w:tcW w:w="2972" w:type="dxa"/>
            <w:vAlign w:val="center"/>
          </w:tcPr>
          <w:p w14:paraId="028554C9" w14:textId="47FE3078" w:rsidR="00427C50" w:rsidRPr="00F93143" w:rsidRDefault="00427C50" w:rsidP="0078265C">
            <w:pPr>
              <w:spacing w:after="0"/>
              <w:rPr>
                <w:rFonts w:cs="Arial"/>
                <w:szCs w:val="20"/>
              </w:rPr>
            </w:pPr>
            <w:r w:rsidRPr="00E70BE3">
              <w:rPr>
                <w:rFonts w:cs="Arial"/>
                <w:b/>
                <w:bCs/>
                <w:szCs w:val="20"/>
              </w:rPr>
              <w:t>Nine</w:t>
            </w:r>
            <w:r w:rsidR="0078265C">
              <w:rPr>
                <w:rFonts w:cs="Arial"/>
                <w:szCs w:val="20"/>
              </w:rPr>
              <w:t>:</w:t>
            </w:r>
            <w:r w:rsidRPr="00F93143">
              <w:rPr>
                <w:rFonts w:cs="Arial"/>
                <w:szCs w:val="20"/>
              </w:rPr>
              <w:t xml:space="preserve"> average </w:t>
            </w:r>
            <w:r>
              <w:rPr>
                <w:rFonts w:cs="Arial"/>
                <w:szCs w:val="20"/>
              </w:rPr>
              <w:t>hours</w:t>
            </w:r>
            <w:r w:rsidR="0078265C">
              <w:rPr>
                <w:rFonts w:cs="Arial"/>
                <w:szCs w:val="20"/>
              </w:rPr>
              <w:t xml:space="preserve"> claimed</w:t>
            </w:r>
          </w:p>
        </w:tc>
        <w:tc>
          <w:tcPr>
            <w:tcW w:w="1077" w:type="dxa"/>
          </w:tcPr>
          <w:p w14:paraId="50125A8A" w14:textId="348F70FB" w:rsidR="00427C50" w:rsidRPr="00F93143" w:rsidRDefault="00446E28" w:rsidP="00E70BE3">
            <w:pPr>
              <w:spacing w:after="0"/>
              <w:jc w:val="right"/>
              <w:rPr>
                <w:rFonts w:cs="Arial"/>
                <w:szCs w:val="20"/>
              </w:rPr>
            </w:pPr>
            <w:r>
              <w:rPr>
                <w:rFonts w:cs="Arial"/>
                <w:szCs w:val="20"/>
              </w:rPr>
              <w:t>21.08</w:t>
            </w:r>
          </w:p>
        </w:tc>
        <w:tc>
          <w:tcPr>
            <w:tcW w:w="1078" w:type="dxa"/>
          </w:tcPr>
          <w:p w14:paraId="6B2850D3" w14:textId="201AFEDD" w:rsidR="00427C50" w:rsidRPr="00F93143" w:rsidRDefault="00446E28" w:rsidP="00E70BE3">
            <w:pPr>
              <w:spacing w:after="0"/>
              <w:jc w:val="right"/>
              <w:rPr>
                <w:rFonts w:cs="Arial"/>
                <w:szCs w:val="20"/>
              </w:rPr>
            </w:pPr>
            <w:r>
              <w:rPr>
                <w:rFonts w:cs="Arial"/>
                <w:color w:val="000000"/>
                <w:szCs w:val="20"/>
              </w:rPr>
              <w:t>20.40</w:t>
            </w:r>
          </w:p>
        </w:tc>
        <w:tc>
          <w:tcPr>
            <w:tcW w:w="1078" w:type="dxa"/>
          </w:tcPr>
          <w:p w14:paraId="04B1A6B1" w14:textId="6A3F646B" w:rsidR="00427C50" w:rsidRPr="00F93143" w:rsidRDefault="001B7E1E" w:rsidP="00E70BE3">
            <w:pPr>
              <w:spacing w:after="0"/>
              <w:jc w:val="right"/>
              <w:rPr>
                <w:rFonts w:cs="Arial"/>
                <w:szCs w:val="20"/>
              </w:rPr>
            </w:pPr>
            <w:r>
              <w:rPr>
                <w:rFonts w:cs="Arial"/>
                <w:szCs w:val="20"/>
              </w:rPr>
              <w:t>12.25</w:t>
            </w:r>
          </w:p>
        </w:tc>
        <w:tc>
          <w:tcPr>
            <w:tcW w:w="1077" w:type="dxa"/>
          </w:tcPr>
          <w:p w14:paraId="2E54877A" w14:textId="7FEDBDA7" w:rsidR="00427C50" w:rsidRPr="00F93143" w:rsidRDefault="001B7E1E" w:rsidP="00E70BE3">
            <w:pPr>
              <w:spacing w:after="0"/>
              <w:jc w:val="right"/>
              <w:rPr>
                <w:rFonts w:cs="Arial"/>
                <w:szCs w:val="20"/>
              </w:rPr>
            </w:pPr>
            <w:r>
              <w:rPr>
                <w:rFonts w:cs="Arial"/>
                <w:szCs w:val="20"/>
              </w:rPr>
              <w:t>7.67</w:t>
            </w:r>
          </w:p>
        </w:tc>
        <w:tc>
          <w:tcPr>
            <w:tcW w:w="1078" w:type="dxa"/>
          </w:tcPr>
          <w:p w14:paraId="7BDE2F7B" w14:textId="60065909" w:rsidR="00427C50" w:rsidRPr="00F93143" w:rsidRDefault="007A5A5A" w:rsidP="00E70BE3">
            <w:pPr>
              <w:spacing w:after="0"/>
              <w:jc w:val="right"/>
              <w:rPr>
                <w:rFonts w:cs="Arial"/>
                <w:szCs w:val="20"/>
              </w:rPr>
            </w:pPr>
            <w:r>
              <w:rPr>
                <w:rFonts w:cs="Arial"/>
                <w:szCs w:val="20"/>
              </w:rPr>
              <w:t>27.25</w:t>
            </w:r>
          </w:p>
        </w:tc>
        <w:tc>
          <w:tcPr>
            <w:tcW w:w="1078" w:type="dxa"/>
          </w:tcPr>
          <w:p w14:paraId="15D06B8F" w14:textId="02E4961B" w:rsidR="00427C50" w:rsidRPr="00F93143" w:rsidRDefault="004E3FAE" w:rsidP="00E70BE3">
            <w:pPr>
              <w:spacing w:after="0"/>
              <w:jc w:val="right"/>
              <w:rPr>
                <w:rFonts w:cs="Arial"/>
                <w:szCs w:val="20"/>
              </w:rPr>
            </w:pPr>
            <w:r>
              <w:rPr>
                <w:rFonts w:cs="Arial"/>
                <w:szCs w:val="20"/>
              </w:rPr>
              <w:t>19.25</w:t>
            </w:r>
          </w:p>
        </w:tc>
        <w:tc>
          <w:tcPr>
            <w:tcW w:w="1077" w:type="dxa"/>
          </w:tcPr>
          <w:p w14:paraId="77BB19BF" w14:textId="304E109E" w:rsidR="00427C50" w:rsidRPr="00F93143" w:rsidRDefault="00B36150" w:rsidP="00E70BE3">
            <w:pPr>
              <w:spacing w:after="0"/>
              <w:jc w:val="right"/>
              <w:rPr>
                <w:rFonts w:cs="Arial"/>
                <w:szCs w:val="20"/>
              </w:rPr>
            </w:pPr>
            <w:r>
              <w:rPr>
                <w:rFonts w:cs="Arial"/>
                <w:szCs w:val="20"/>
              </w:rPr>
              <w:t>38.00</w:t>
            </w:r>
          </w:p>
        </w:tc>
        <w:tc>
          <w:tcPr>
            <w:tcW w:w="1078" w:type="dxa"/>
          </w:tcPr>
          <w:p w14:paraId="5FD7BB8E" w14:textId="22AA9DF3" w:rsidR="00427C50" w:rsidRPr="00F93143" w:rsidRDefault="007F149A" w:rsidP="00E70BE3">
            <w:pPr>
              <w:spacing w:after="0"/>
              <w:jc w:val="right"/>
              <w:rPr>
                <w:rFonts w:cs="Arial"/>
                <w:szCs w:val="20"/>
              </w:rPr>
            </w:pPr>
            <w:r>
              <w:rPr>
                <w:rFonts w:cs="Arial"/>
                <w:szCs w:val="20"/>
              </w:rPr>
              <w:t>20.83</w:t>
            </w:r>
          </w:p>
        </w:tc>
        <w:tc>
          <w:tcPr>
            <w:tcW w:w="1078" w:type="dxa"/>
          </w:tcPr>
          <w:p w14:paraId="72432A7F" w14:textId="6F988B4D" w:rsidR="00427C50" w:rsidRPr="00F93143" w:rsidRDefault="00520103" w:rsidP="00E70BE3">
            <w:pPr>
              <w:spacing w:after="0"/>
              <w:jc w:val="right"/>
              <w:rPr>
                <w:rFonts w:cs="Arial"/>
                <w:szCs w:val="20"/>
              </w:rPr>
            </w:pPr>
            <w:r>
              <w:rPr>
                <w:rFonts w:cs="Arial"/>
                <w:szCs w:val="20"/>
              </w:rPr>
              <w:t>0.00</w:t>
            </w:r>
          </w:p>
        </w:tc>
        <w:tc>
          <w:tcPr>
            <w:tcW w:w="1078" w:type="dxa"/>
          </w:tcPr>
          <w:p w14:paraId="15C24A44" w14:textId="7609C959" w:rsidR="00427C50" w:rsidRPr="00F93143" w:rsidRDefault="00427C50" w:rsidP="00E70BE3">
            <w:pPr>
              <w:spacing w:after="0"/>
              <w:jc w:val="right"/>
              <w:rPr>
                <w:rFonts w:cs="Arial"/>
                <w:szCs w:val="20"/>
              </w:rPr>
            </w:pPr>
            <w:r>
              <w:rPr>
                <w:rFonts w:cs="Arial"/>
                <w:color w:val="000000"/>
                <w:szCs w:val="20"/>
              </w:rPr>
              <w:t>7.15</w:t>
            </w:r>
          </w:p>
        </w:tc>
      </w:tr>
      <w:tr w:rsidR="00427C50" w:rsidRPr="00F93143" w14:paraId="673B31DD" w14:textId="77777777" w:rsidTr="0078265C">
        <w:tc>
          <w:tcPr>
            <w:tcW w:w="2972" w:type="dxa"/>
            <w:vAlign w:val="center"/>
          </w:tcPr>
          <w:p w14:paraId="17EB7C09" w14:textId="53492114" w:rsidR="00427C50" w:rsidRPr="00F93143" w:rsidRDefault="00427C50" w:rsidP="0078265C">
            <w:pPr>
              <w:spacing w:after="0"/>
              <w:rPr>
                <w:rFonts w:cs="Arial"/>
                <w:szCs w:val="20"/>
              </w:rPr>
            </w:pPr>
            <w:r w:rsidRPr="00E70BE3">
              <w:rPr>
                <w:rFonts w:cs="Arial"/>
                <w:b/>
                <w:bCs/>
                <w:szCs w:val="20"/>
              </w:rPr>
              <w:t>Ten</w:t>
            </w:r>
            <w:r w:rsidR="0078265C">
              <w:rPr>
                <w:rFonts w:cs="Arial"/>
                <w:szCs w:val="20"/>
              </w:rPr>
              <w:t>:</w:t>
            </w:r>
            <w:r w:rsidRPr="00F93143">
              <w:rPr>
                <w:rFonts w:cs="Arial"/>
                <w:szCs w:val="20"/>
              </w:rPr>
              <w:t xml:space="preserve"> average </w:t>
            </w:r>
            <w:r>
              <w:rPr>
                <w:rFonts w:cs="Arial"/>
                <w:szCs w:val="20"/>
              </w:rPr>
              <w:t>hours</w:t>
            </w:r>
            <w:r w:rsidR="0078265C">
              <w:rPr>
                <w:rFonts w:cs="Arial"/>
                <w:szCs w:val="20"/>
              </w:rPr>
              <w:t xml:space="preserve"> claimed</w:t>
            </w:r>
          </w:p>
        </w:tc>
        <w:tc>
          <w:tcPr>
            <w:tcW w:w="1077" w:type="dxa"/>
          </w:tcPr>
          <w:p w14:paraId="40022AE1" w14:textId="6E1D6424" w:rsidR="00427C50" w:rsidRPr="00F93143" w:rsidRDefault="00446E28" w:rsidP="00E70BE3">
            <w:pPr>
              <w:spacing w:after="0"/>
              <w:jc w:val="right"/>
              <w:rPr>
                <w:rFonts w:cs="Arial"/>
                <w:szCs w:val="20"/>
              </w:rPr>
            </w:pPr>
            <w:r>
              <w:rPr>
                <w:rFonts w:cs="Arial"/>
                <w:szCs w:val="20"/>
              </w:rPr>
              <w:t>19.77</w:t>
            </w:r>
          </w:p>
        </w:tc>
        <w:tc>
          <w:tcPr>
            <w:tcW w:w="1078" w:type="dxa"/>
          </w:tcPr>
          <w:p w14:paraId="2E33C9C3" w14:textId="01FFF158" w:rsidR="00427C50" w:rsidRPr="00F93143" w:rsidRDefault="00446E28" w:rsidP="00E70BE3">
            <w:pPr>
              <w:spacing w:after="0"/>
              <w:jc w:val="right"/>
              <w:rPr>
                <w:rFonts w:cs="Arial"/>
                <w:szCs w:val="20"/>
              </w:rPr>
            </w:pPr>
            <w:r>
              <w:rPr>
                <w:rFonts w:cs="Arial"/>
                <w:color w:val="000000"/>
                <w:szCs w:val="20"/>
              </w:rPr>
              <w:t>0.00</w:t>
            </w:r>
          </w:p>
        </w:tc>
        <w:tc>
          <w:tcPr>
            <w:tcW w:w="1078" w:type="dxa"/>
          </w:tcPr>
          <w:p w14:paraId="13D01762" w14:textId="5B7E98C4" w:rsidR="00427C50" w:rsidRPr="00F93143" w:rsidRDefault="001B7E1E" w:rsidP="00E70BE3">
            <w:pPr>
              <w:spacing w:after="0"/>
              <w:jc w:val="right"/>
              <w:rPr>
                <w:rFonts w:cs="Arial"/>
                <w:szCs w:val="20"/>
              </w:rPr>
            </w:pPr>
            <w:r>
              <w:rPr>
                <w:rFonts w:cs="Arial"/>
                <w:szCs w:val="20"/>
              </w:rPr>
              <w:t>8.25</w:t>
            </w:r>
          </w:p>
        </w:tc>
        <w:tc>
          <w:tcPr>
            <w:tcW w:w="1077" w:type="dxa"/>
          </w:tcPr>
          <w:p w14:paraId="311DC067" w14:textId="4FEC6B67" w:rsidR="00427C50" w:rsidRPr="00F93143" w:rsidRDefault="007A5A5A" w:rsidP="00E70BE3">
            <w:pPr>
              <w:spacing w:after="0"/>
              <w:jc w:val="right"/>
              <w:rPr>
                <w:rFonts w:cs="Arial"/>
                <w:szCs w:val="20"/>
              </w:rPr>
            </w:pPr>
            <w:r>
              <w:rPr>
                <w:rFonts w:cs="Arial"/>
                <w:szCs w:val="20"/>
              </w:rPr>
              <w:t>19.05</w:t>
            </w:r>
          </w:p>
        </w:tc>
        <w:tc>
          <w:tcPr>
            <w:tcW w:w="1078" w:type="dxa"/>
          </w:tcPr>
          <w:p w14:paraId="5D6AF2ED" w14:textId="34A06157" w:rsidR="00427C50" w:rsidRPr="00F93143" w:rsidRDefault="007A5A5A" w:rsidP="00E70BE3">
            <w:pPr>
              <w:spacing w:after="0"/>
              <w:jc w:val="right"/>
              <w:rPr>
                <w:rFonts w:cs="Arial"/>
                <w:szCs w:val="20"/>
              </w:rPr>
            </w:pPr>
            <w:r>
              <w:rPr>
                <w:rFonts w:cs="Arial"/>
                <w:szCs w:val="20"/>
              </w:rPr>
              <w:t>12.42</w:t>
            </w:r>
          </w:p>
        </w:tc>
        <w:tc>
          <w:tcPr>
            <w:tcW w:w="1078" w:type="dxa"/>
          </w:tcPr>
          <w:p w14:paraId="6AF6612F" w14:textId="6A730221" w:rsidR="00427C50" w:rsidRPr="00F93143" w:rsidRDefault="00C9365D" w:rsidP="00E70BE3">
            <w:pPr>
              <w:spacing w:after="0"/>
              <w:jc w:val="right"/>
              <w:rPr>
                <w:rFonts w:cs="Arial"/>
                <w:szCs w:val="20"/>
              </w:rPr>
            </w:pPr>
            <w:r>
              <w:rPr>
                <w:rFonts w:cs="Arial"/>
                <w:szCs w:val="20"/>
              </w:rPr>
              <w:t>9.90</w:t>
            </w:r>
          </w:p>
        </w:tc>
        <w:tc>
          <w:tcPr>
            <w:tcW w:w="1077" w:type="dxa"/>
          </w:tcPr>
          <w:p w14:paraId="08FB4848" w14:textId="46026A82" w:rsidR="00427C50" w:rsidRPr="00F93143" w:rsidRDefault="00B36150" w:rsidP="00E70BE3">
            <w:pPr>
              <w:spacing w:after="0"/>
              <w:jc w:val="right"/>
              <w:rPr>
                <w:rFonts w:cs="Arial"/>
                <w:szCs w:val="20"/>
              </w:rPr>
            </w:pPr>
            <w:r>
              <w:rPr>
                <w:rFonts w:cs="Arial"/>
                <w:szCs w:val="20"/>
              </w:rPr>
              <w:t>31.17</w:t>
            </w:r>
          </w:p>
        </w:tc>
        <w:tc>
          <w:tcPr>
            <w:tcW w:w="1078" w:type="dxa"/>
          </w:tcPr>
          <w:p w14:paraId="2B109D8B" w14:textId="68C7F502" w:rsidR="00427C50" w:rsidRPr="00F93143" w:rsidRDefault="00912775" w:rsidP="00E70BE3">
            <w:pPr>
              <w:spacing w:after="0"/>
              <w:jc w:val="right"/>
              <w:rPr>
                <w:rFonts w:cs="Arial"/>
                <w:szCs w:val="20"/>
              </w:rPr>
            </w:pPr>
            <w:r>
              <w:rPr>
                <w:rFonts w:cs="Arial"/>
                <w:szCs w:val="20"/>
              </w:rPr>
              <w:t>10.33</w:t>
            </w:r>
          </w:p>
        </w:tc>
        <w:tc>
          <w:tcPr>
            <w:tcW w:w="1078" w:type="dxa"/>
          </w:tcPr>
          <w:p w14:paraId="3778977E" w14:textId="62986800" w:rsidR="00427C50" w:rsidRPr="00F93143" w:rsidRDefault="00520103" w:rsidP="00E70BE3">
            <w:pPr>
              <w:spacing w:after="0"/>
              <w:jc w:val="right"/>
              <w:rPr>
                <w:rFonts w:cs="Arial"/>
                <w:szCs w:val="20"/>
              </w:rPr>
            </w:pPr>
            <w:r>
              <w:rPr>
                <w:rFonts w:cs="Arial"/>
                <w:szCs w:val="20"/>
              </w:rPr>
              <w:t>14.70</w:t>
            </w:r>
          </w:p>
        </w:tc>
        <w:tc>
          <w:tcPr>
            <w:tcW w:w="1078" w:type="dxa"/>
          </w:tcPr>
          <w:p w14:paraId="285886E1" w14:textId="37264F93" w:rsidR="00427C50" w:rsidRPr="00F93143" w:rsidRDefault="00427C50" w:rsidP="00E70BE3">
            <w:pPr>
              <w:spacing w:after="0"/>
              <w:jc w:val="right"/>
              <w:rPr>
                <w:rFonts w:cs="Arial"/>
                <w:szCs w:val="20"/>
              </w:rPr>
            </w:pPr>
            <w:r>
              <w:rPr>
                <w:rFonts w:cs="Arial"/>
                <w:color w:val="000000"/>
                <w:szCs w:val="20"/>
              </w:rPr>
              <w:t>3.67</w:t>
            </w:r>
          </w:p>
        </w:tc>
      </w:tr>
    </w:tbl>
    <w:p w14:paraId="4DE64E6F" w14:textId="19E3E2AB" w:rsidR="00F82A3F" w:rsidRDefault="0019507C" w:rsidP="005E6E9E">
      <w:pPr>
        <w:pStyle w:val="Tableorfigurenote"/>
        <w:spacing w:after="360"/>
      </w:pPr>
      <w:r w:rsidRPr="00B8084A">
        <w:t>Note: Discrepancies may exist in the totals due to rounding.</w:t>
      </w:r>
    </w:p>
    <w:p w14:paraId="3694FE36" w14:textId="5C3BC94F" w:rsidR="00F82A3F" w:rsidRDefault="00B31B01" w:rsidP="003B237A">
      <w:pPr>
        <w:pStyle w:val="Tableheading"/>
        <w:keepLines/>
      </w:pPr>
      <w:r>
        <w:t>Average hours claimed by networks for first release acquired Australian feature films</w:t>
      </w:r>
      <w:r w:rsidR="0078265C">
        <w:t xml:space="preserve">, </w:t>
      </w:r>
      <w:r>
        <w:t>2012</w:t>
      </w:r>
      <w:r w:rsidR="0078265C">
        <w:t xml:space="preserve"> to </w:t>
      </w:r>
      <w:r>
        <w:t>2021</w:t>
      </w:r>
    </w:p>
    <w:p w14:paraId="661EC1EC" w14:textId="6270F728" w:rsidR="00F82A3F" w:rsidRDefault="00520103">
      <w:pPr>
        <w:spacing w:after="0" w:line="240" w:lineRule="auto"/>
      </w:pPr>
      <w:r>
        <w:rPr>
          <w:noProof/>
        </w:rPr>
        <w:drawing>
          <wp:inline distT="0" distB="0" distL="0" distR="0" wp14:anchorId="22C6B3BE" wp14:editId="5B07E584">
            <wp:extent cx="8937172" cy="3200400"/>
            <wp:effectExtent l="0" t="0" r="0" b="0"/>
            <wp:docPr id="4" name="Chart 4"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0C3722F4-7826-4B14-8F41-8BD4BA4C62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10063B51" w14:textId="45025A91" w:rsidR="00F82A3F" w:rsidRDefault="00F82A3F">
      <w:pPr>
        <w:spacing w:after="0" w:line="240" w:lineRule="auto"/>
      </w:pPr>
      <w:r>
        <w:br w:type="page"/>
      </w:r>
    </w:p>
    <w:p w14:paraId="3701F3BE" w14:textId="48E8E53F" w:rsidR="00F22C92" w:rsidRPr="00A57269" w:rsidRDefault="006054C4" w:rsidP="00A6011F">
      <w:pPr>
        <w:pStyle w:val="Heading2"/>
        <w:spacing w:after="120"/>
      </w:pPr>
      <w:bookmarkStart w:id="14" w:name="_Toc112835088"/>
      <w:r w:rsidRPr="00E60F13">
        <w:lastRenderedPageBreak/>
        <w:t>New Zealand drama (hours)</w:t>
      </w:r>
      <w:bookmarkEnd w:id="14"/>
    </w:p>
    <w:p w14:paraId="3567ECEE" w14:textId="4BD9E3DD" w:rsidR="006433E0" w:rsidRPr="00A17B1B" w:rsidRDefault="006433E0" w:rsidP="006433E0">
      <w:pPr>
        <w:pStyle w:val="Tableheading"/>
        <w:keepLines/>
      </w:pPr>
      <w:r>
        <w:t>Average hours claimed by networks for New Zealand drama programs</w:t>
      </w:r>
      <w:r w:rsidR="0078265C">
        <w:t xml:space="preserve">, </w:t>
      </w:r>
      <w:r>
        <w:t>2012</w:t>
      </w:r>
      <w:r w:rsidR="0078265C">
        <w:t xml:space="preserve"> to </w:t>
      </w:r>
      <w:r>
        <w:t>2021</w:t>
      </w:r>
    </w:p>
    <w:tbl>
      <w:tblPr>
        <w:tblStyle w:val="TableGrid"/>
        <w:tblW w:w="0" w:type="auto"/>
        <w:tblLook w:val="04A0" w:firstRow="1" w:lastRow="0" w:firstColumn="1" w:lastColumn="0" w:noHBand="0" w:noVBand="1"/>
      </w:tblPr>
      <w:tblGrid>
        <w:gridCol w:w="2972"/>
        <w:gridCol w:w="1077"/>
        <w:gridCol w:w="1078"/>
        <w:gridCol w:w="1078"/>
        <w:gridCol w:w="1077"/>
        <w:gridCol w:w="1078"/>
        <w:gridCol w:w="1078"/>
        <w:gridCol w:w="1077"/>
        <w:gridCol w:w="1078"/>
        <w:gridCol w:w="1078"/>
        <w:gridCol w:w="1078"/>
      </w:tblGrid>
      <w:tr w:rsidR="006054C4" w:rsidRPr="006054C4" w14:paraId="7AC5DE7A" w14:textId="77777777" w:rsidTr="0078265C">
        <w:tc>
          <w:tcPr>
            <w:tcW w:w="2972" w:type="dxa"/>
            <w:shd w:val="clear" w:color="auto" w:fill="7C426F"/>
            <w:vAlign w:val="center"/>
          </w:tcPr>
          <w:p w14:paraId="14006EBB" w14:textId="49694267" w:rsidR="006054C4" w:rsidRPr="006054C4" w:rsidRDefault="0078265C" w:rsidP="00EA56F3">
            <w:pPr>
              <w:spacing w:before="80" w:after="80"/>
              <w:rPr>
                <w:rFonts w:cs="Arial"/>
                <w:b/>
                <w:bCs/>
                <w:color w:val="FFFFFF" w:themeColor="background1"/>
                <w:szCs w:val="20"/>
              </w:rPr>
            </w:pPr>
            <w:r>
              <w:rPr>
                <w:rFonts w:cs="Arial"/>
                <w:b/>
                <w:bCs/>
                <w:color w:val="FFFFFF" w:themeColor="background1"/>
                <w:szCs w:val="20"/>
              </w:rPr>
              <w:t>Network</w:t>
            </w:r>
          </w:p>
        </w:tc>
        <w:tc>
          <w:tcPr>
            <w:tcW w:w="1077" w:type="dxa"/>
            <w:shd w:val="clear" w:color="auto" w:fill="7C426F"/>
            <w:vAlign w:val="center"/>
          </w:tcPr>
          <w:p w14:paraId="6FA4C343"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2012</w:t>
            </w:r>
          </w:p>
        </w:tc>
        <w:tc>
          <w:tcPr>
            <w:tcW w:w="1078" w:type="dxa"/>
            <w:shd w:val="clear" w:color="auto" w:fill="7C426F"/>
            <w:vAlign w:val="center"/>
          </w:tcPr>
          <w:p w14:paraId="1EE3DE8C"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2013</w:t>
            </w:r>
          </w:p>
        </w:tc>
        <w:tc>
          <w:tcPr>
            <w:tcW w:w="1078" w:type="dxa"/>
            <w:shd w:val="clear" w:color="auto" w:fill="7C426F"/>
            <w:vAlign w:val="center"/>
          </w:tcPr>
          <w:p w14:paraId="26DD686B"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2014</w:t>
            </w:r>
          </w:p>
        </w:tc>
        <w:tc>
          <w:tcPr>
            <w:tcW w:w="1077" w:type="dxa"/>
            <w:shd w:val="clear" w:color="auto" w:fill="7C426F"/>
            <w:vAlign w:val="center"/>
          </w:tcPr>
          <w:p w14:paraId="16FB9642"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2015</w:t>
            </w:r>
          </w:p>
        </w:tc>
        <w:tc>
          <w:tcPr>
            <w:tcW w:w="1078" w:type="dxa"/>
            <w:shd w:val="clear" w:color="auto" w:fill="7C426F"/>
            <w:vAlign w:val="center"/>
          </w:tcPr>
          <w:p w14:paraId="4CC01D18"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2016</w:t>
            </w:r>
          </w:p>
        </w:tc>
        <w:tc>
          <w:tcPr>
            <w:tcW w:w="1078" w:type="dxa"/>
            <w:shd w:val="clear" w:color="auto" w:fill="7C426F"/>
            <w:vAlign w:val="center"/>
          </w:tcPr>
          <w:p w14:paraId="012907A0"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2017</w:t>
            </w:r>
          </w:p>
        </w:tc>
        <w:tc>
          <w:tcPr>
            <w:tcW w:w="1077" w:type="dxa"/>
            <w:shd w:val="clear" w:color="auto" w:fill="7C426F"/>
            <w:vAlign w:val="center"/>
          </w:tcPr>
          <w:p w14:paraId="1E1639CD"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2018</w:t>
            </w:r>
          </w:p>
        </w:tc>
        <w:tc>
          <w:tcPr>
            <w:tcW w:w="1078" w:type="dxa"/>
            <w:shd w:val="clear" w:color="auto" w:fill="7C426F"/>
            <w:vAlign w:val="center"/>
          </w:tcPr>
          <w:p w14:paraId="55B43B8C"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2019</w:t>
            </w:r>
          </w:p>
        </w:tc>
        <w:tc>
          <w:tcPr>
            <w:tcW w:w="1078" w:type="dxa"/>
            <w:shd w:val="clear" w:color="auto" w:fill="7C426F"/>
            <w:vAlign w:val="center"/>
          </w:tcPr>
          <w:p w14:paraId="7E5D5989"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2020</w:t>
            </w:r>
          </w:p>
        </w:tc>
        <w:tc>
          <w:tcPr>
            <w:tcW w:w="1078" w:type="dxa"/>
            <w:shd w:val="clear" w:color="auto" w:fill="7C426F"/>
            <w:vAlign w:val="center"/>
          </w:tcPr>
          <w:p w14:paraId="5E40E609" w14:textId="77777777" w:rsidR="006054C4" w:rsidRPr="006054C4" w:rsidRDefault="006054C4" w:rsidP="00E70BE3">
            <w:pPr>
              <w:spacing w:before="80" w:after="80"/>
              <w:jc w:val="right"/>
              <w:rPr>
                <w:rFonts w:cs="Arial"/>
                <w:b/>
                <w:bCs/>
                <w:color w:val="FFFFFF" w:themeColor="background1"/>
                <w:szCs w:val="20"/>
              </w:rPr>
            </w:pPr>
            <w:r w:rsidRPr="006054C4">
              <w:rPr>
                <w:rFonts w:cs="Arial"/>
                <w:b/>
                <w:bCs/>
                <w:color w:val="FFFFFF" w:themeColor="background1"/>
                <w:szCs w:val="20"/>
              </w:rPr>
              <w:t>2021</w:t>
            </w:r>
          </w:p>
        </w:tc>
      </w:tr>
      <w:tr w:rsidR="006054C4" w:rsidRPr="006054C4" w14:paraId="45A5E324" w14:textId="77777777" w:rsidTr="0078265C">
        <w:tc>
          <w:tcPr>
            <w:tcW w:w="2972" w:type="dxa"/>
            <w:vAlign w:val="center"/>
          </w:tcPr>
          <w:p w14:paraId="31760720" w14:textId="6FB1B175" w:rsidR="006054C4" w:rsidRPr="006054C4" w:rsidRDefault="006054C4" w:rsidP="006054C4">
            <w:pPr>
              <w:spacing w:before="80" w:after="80"/>
              <w:rPr>
                <w:rFonts w:cs="Arial"/>
                <w:szCs w:val="20"/>
              </w:rPr>
            </w:pPr>
            <w:r w:rsidRPr="00E70BE3">
              <w:rPr>
                <w:rFonts w:cs="Arial"/>
                <w:b/>
                <w:bCs/>
                <w:szCs w:val="20"/>
              </w:rPr>
              <w:t>Seven</w:t>
            </w:r>
            <w:r w:rsidR="0078265C">
              <w:rPr>
                <w:rFonts w:cs="Arial"/>
                <w:szCs w:val="20"/>
              </w:rPr>
              <w:t>:</w:t>
            </w:r>
            <w:r w:rsidRPr="006054C4">
              <w:rPr>
                <w:rFonts w:cs="Arial"/>
                <w:szCs w:val="20"/>
              </w:rPr>
              <w:t xml:space="preserve"> average hours</w:t>
            </w:r>
            <w:r w:rsidR="0078265C">
              <w:rPr>
                <w:rFonts w:cs="Arial"/>
                <w:szCs w:val="20"/>
              </w:rPr>
              <w:t xml:space="preserve"> claimed</w:t>
            </w:r>
          </w:p>
        </w:tc>
        <w:tc>
          <w:tcPr>
            <w:tcW w:w="1077" w:type="dxa"/>
          </w:tcPr>
          <w:p w14:paraId="17FC1DE2" w14:textId="17B24425" w:rsidR="006054C4" w:rsidRPr="006054C4" w:rsidRDefault="006054C4" w:rsidP="00E70BE3">
            <w:pPr>
              <w:spacing w:before="80" w:after="80"/>
              <w:jc w:val="right"/>
              <w:rPr>
                <w:rFonts w:cs="Arial"/>
                <w:szCs w:val="20"/>
              </w:rPr>
            </w:pPr>
            <w:r w:rsidRPr="006054C4">
              <w:rPr>
                <w:rFonts w:cs="Arial"/>
                <w:color w:val="000000"/>
                <w:szCs w:val="20"/>
              </w:rPr>
              <w:t>5.72</w:t>
            </w:r>
          </w:p>
        </w:tc>
        <w:tc>
          <w:tcPr>
            <w:tcW w:w="1078" w:type="dxa"/>
          </w:tcPr>
          <w:p w14:paraId="3E1336FA" w14:textId="192D132D" w:rsidR="006054C4" w:rsidRPr="006054C4" w:rsidRDefault="006054C4" w:rsidP="00E70BE3">
            <w:pPr>
              <w:spacing w:before="80" w:after="80"/>
              <w:jc w:val="right"/>
              <w:rPr>
                <w:rFonts w:cs="Arial"/>
                <w:szCs w:val="20"/>
              </w:rPr>
            </w:pPr>
            <w:r w:rsidRPr="006054C4">
              <w:rPr>
                <w:rFonts w:cs="Arial"/>
                <w:color w:val="000000"/>
                <w:szCs w:val="20"/>
              </w:rPr>
              <w:t>6.19</w:t>
            </w:r>
          </w:p>
        </w:tc>
        <w:tc>
          <w:tcPr>
            <w:tcW w:w="1078" w:type="dxa"/>
          </w:tcPr>
          <w:p w14:paraId="0230E06D" w14:textId="0CFA41FE" w:rsidR="006054C4" w:rsidRPr="006054C4" w:rsidRDefault="006054C4" w:rsidP="00E70BE3">
            <w:pPr>
              <w:spacing w:before="80" w:after="80"/>
              <w:jc w:val="right"/>
              <w:rPr>
                <w:rFonts w:cs="Arial"/>
                <w:szCs w:val="20"/>
              </w:rPr>
            </w:pPr>
            <w:r w:rsidRPr="006054C4">
              <w:rPr>
                <w:rFonts w:cs="Arial"/>
                <w:color w:val="000000"/>
                <w:szCs w:val="20"/>
              </w:rPr>
              <w:t>9.20</w:t>
            </w:r>
          </w:p>
        </w:tc>
        <w:tc>
          <w:tcPr>
            <w:tcW w:w="1077" w:type="dxa"/>
          </w:tcPr>
          <w:p w14:paraId="281E73A4" w14:textId="75740986" w:rsidR="006054C4" w:rsidRPr="006054C4" w:rsidRDefault="006054C4" w:rsidP="00E70BE3">
            <w:pPr>
              <w:spacing w:before="80" w:after="80"/>
              <w:jc w:val="right"/>
              <w:rPr>
                <w:rFonts w:cs="Arial"/>
                <w:szCs w:val="20"/>
              </w:rPr>
            </w:pPr>
            <w:r w:rsidRPr="006054C4">
              <w:rPr>
                <w:rFonts w:cs="Arial"/>
                <w:color w:val="000000"/>
                <w:szCs w:val="20"/>
              </w:rPr>
              <w:t>3.88</w:t>
            </w:r>
          </w:p>
        </w:tc>
        <w:tc>
          <w:tcPr>
            <w:tcW w:w="1078" w:type="dxa"/>
          </w:tcPr>
          <w:p w14:paraId="33471D58" w14:textId="791902C7" w:rsidR="006054C4" w:rsidRPr="006054C4" w:rsidRDefault="006054C4" w:rsidP="00E70BE3">
            <w:pPr>
              <w:spacing w:before="80" w:after="80"/>
              <w:jc w:val="right"/>
              <w:rPr>
                <w:rFonts w:cs="Arial"/>
                <w:szCs w:val="20"/>
              </w:rPr>
            </w:pPr>
            <w:r w:rsidRPr="006054C4">
              <w:rPr>
                <w:rFonts w:cs="Arial"/>
                <w:color w:val="000000"/>
                <w:szCs w:val="20"/>
              </w:rPr>
              <w:t>0.00</w:t>
            </w:r>
          </w:p>
        </w:tc>
        <w:tc>
          <w:tcPr>
            <w:tcW w:w="1078" w:type="dxa"/>
          </w:tcPr>
          <w:p w14:paraId="4A3D7D61" w14:textId="5AD1DA18" w:rsidR="006054C4" w:rsidRPr="006054C4" w:rsidRDefault="006054C4" w:rsidP="00E70BE3">
            <w:pPr>
              <w:spacing w:before="80" w:after="80"/>
              <w:jc w:val="right"/>
              <w:rPr>
                <w:rFonts w:cs="Arial"/>
                <w:szCs w:val="20"/>
              </w:rPr>
            </w:pPr>
            <w:r w:rsidRPr="006054C4">
              <w:rPr>
                <w:rFonts w:cs="Arial"/>
                <w:color w:val="000000"/>
                <w:szCs w:val="20"/>
              </w:rPr>
              <w:t>0.00</w:t>
            </w:r>
          </w:p>
        </w:tc>
        <w:tc>
          <w:tcPr>
            <w:tcW w:w="1077" w:type="dxa"/>
          </w:tcPr>
          <w:p w14:paraId="33FFC5DC" w14:textId="452AE332" w:rsidR="006054C4" w:rsidRPr="006054C4" w:rsidRDefault="006054C4" w:rsidP="00E70BE3">
            <w:pPr>
              <w:spacing w:before="80" w:after="80"/>
              <w:jc w:val="right"/>
              <w:rPr>
                <w:rFonts w:cs="Arial"/>
                <w:szCs w:val="20"/>
              </w:rPr>
            </w:pPr>
            <w:r w:rsidRPr="006054C4">
              <w:rPr>
                <w:rFonts w:cs="Arial"/>
                <w:color w:val="000000"/>
                <w:szCs w:val="20"/>
              </w:rPr>
              <w:t>5.90</w:t>
            </w:r>
          </w:p>
        </w:tc>
        <w:tc>
          <w:tcPr>
            <w:tcW w:w="1078" w:type="dxa"/>
          </w:tcPr>
          <w:p w14:paraId="765657AB" w14:textId="4DC0F425" w:rsidR="006054C4" w:rsidRPr="006054C4" w:rsidRDefault="006054C4" w:rsidP="00E70BE3">
            <w:pPr>
              <w:spacing w:before="80" w:after="80"/>
              <w:jc w:val="right"/>
              <w:rPr>
                <w:rFonts w:cs="Arial"/>
                <w:szCs w:val="20"/>
              </w:rPr>
            </w:pPr>
            <w:r w:rsidRPr="006054C4">
              <w:rPr>
                <w:rFonts w:cs="Arial"/>
                <w:color w:val="000000"/>
                <w:szCs w:val="20"/>
              </w:rPr>
              <w:t>19.48</w:t>
            </w:r>
          </w:p>
        </w:tc>
        <w:tc>
          <w:tcPr>
            <w:tcW w:w="1078" w:type="dxa"/>
          </w:tcPr>
          <w:p w14:paraId="696E37A6" w14:textId="38428283" w:rsidR="006054C4" w:rsidRPr="006054C4" w:rsidRDefault="006054C4" w:rsidP="00E70BE3">
            <w:pPr>
              <w:spacing w:before="80" w:after="80"/>
              <w:jc w:val="right"/>
              <w:rPr>
                <w:rFonts w:cs="Arial"/>
                <w:szCs w:val="20"/>
              </w:rPr>
            </w:pPr>
            <w:r w:rsidRPr="006054C4">
              <w:rPr>
                <w:rFonts w:cs="Arial"/>
                <w:color w:val="000000"/>
                <w:szCs w:val="20"/>
              </w:rPr>
              <w:t>14.70</w:t>
            </w:r>
          </w:p>
        </w:tc>
        <w:tc>
          <w:tcPr>
            <w:tcW w:w="1078" w:type="dxa"/>
          </w:tcPr>
          <w:p w14:paraId="4459D750" w14:textId="08D7773F" w:rsidR="006054C4" w:rsidRPr="006054C4" w:rsidRDefault="006054C4" w:rsidP="00E70BE3">
            <w:pPr>
              <w:spacing w:before="80" w:after="80"/>
              <w:jc w:val="right"/>
              <w:rPr>
                <w:rFonts w:cs="Arial"/>
                <w:szCs w:val="20"/>
              </w:rPr>
            </w:pPr>
            <w:r w:rsidRPr="006054C4">
              <w:rPr>
                <w:rFonts w:cs="Arial"/>
                <w:color w:val="000000"/>
                <w:szCs w:val="20"/>
              </w:rPr>
              <w:t>8.50</w:t>
            </w:r>
          </w:p>
        </w:tc>
      </w:tr>
      <w:tr w:rsidR="006054C4" w:rsidRPr="006054C4" w14:paraId="3609C1A6" w14:textId="77777777" w:rsidTr="0078265C">
        <w:tc>
          <w:tcPr>
            <w:tcW w:w="2972" w:type="dxa"/>
            <w:vAlign w:val="center"/>
          </w:tcPr>
          <w:p w14:paraId="0807B612" w14:textId="09B66986" w:rsidR="006054C4" w:rsidRPr="006054C4" w:rsidRDefault="006054C4" w:rsidP="006054C4">
            <w:pPr>
              <w:spacing w:before="80" w:after="80"/>
              <w:rPr>
                <w:rFonts w:cs="Arial"/>
                <w:szCs w:val="20"/>
              </w:rPr>
            </w:pPr>
            <w:r w:rsidRPr="00E70BE3">
              <w:rPr>
                <w:rFonts w:cs="Arial"/>
                <w:b/>
                <w:bCs/>
                <w:szCs w:val="20"/>
              </w:rPr>
              <w:t>Nine</w:t>
            </w:r>
            <w:r w:rsidRPr="006054C4">
              <w:rPr>
                <w:rFonts w:cs="Arial"/>
                <w:szCs w:val="20"/>
              </w:rPr>
              <w:t xml:space="preserve"> average hours</w:t>
            </w:r>
            <w:r w:rsidR="0078265C">
              <w:rPr>
                <w:rFonts w:cs="Arial"/>
                <w:szCs w:val="20"/>
              </w:rPr>
              <w:t xml:space="preserve"> claimed</w:t>
            </w:r>
          </w:p>
        </w:tc>
        <w:tc>
          <w:tcPr>
            <w:tcW w:w="1077" w:type="dxa"/>
          </w:tcPr>
          <w:p w14:paraId="2AE089C9" w14:textId="3826A62A" w:rsidR="006054C4" w:rsidRPr="006054C4" w:rsidRDefault="006054C4" w:rsidP="00E70BE3">
            <w:pPr>
              <w:spacing w:before="80" w:after="80"/>
              <w:jc w:val="right"/>
              <w:rPr>
                <w:rFonts w:cs="Arial"/>
                <w:szCs w:val="20"/>
              </w:rPr>
            </w:pPr>
            <w:r w:rsidRPr="006054C4">
              <w:rPr>
                <w:rFonts w:cs="Arial"/>
                <w:color w:val="000000"/>
                <w:szCs w:val="20"/>
              </w:rPr>
              <w:t>5.00</w:t>
            </w:r>
          </w:p>
        </w:tc>
        <w:tc>
          <w:tcPr>
            <w:tcW w:w="1078" w:type="dxa"/>
          </w:tcPr>
          <w:p w14:paraId="0312B52C" w14:textId="3FE26958" w:rsidR="006054C4" w:rsidRPr="006054C4" w:rsidRDefault="006054C4" w:rsidP="00E70BE3">
            <w:pPr>
              <w:spacing w:before="80" w:after="80"/>
              <w:jc w:val="right"/>
              <w:rPr>
                <w:rFonts w:cs="Arial"/>
                <w:szCs w:val="20"/>
              </w:rPr>
            </w:pPr>
            <w:r w:rsidRPr="006054C4">
              <w:rPr>
                <w:rFonts w:cs="Arial"/>
                <w:color w:val="000000"/>
                <w:szCs w:val="20"/>
              </w:rPr>
              <w:t>62.23</w:t>
            </w:r>
          </w:p>
        </w:tc>
        <w:tc>
          <w:tcPr>
            <w:tcW w:w="1078" w:type="dxa"/>
          </w:tcPr>
          <w:p w14:paraId="7FBD0198" w14:textId="75F06782" w:rsidR="006054C4" w:rsidRPr="006054C4" w:rsidRDefault="006054C4" w:rsidP="00E70BE3">
            <w:pPr>
              <w:spacing w:before="80" w:after="80"/>
              <w:jc w:val="right"/>
              <w:rPr>
                <w:rFonts w:cs="Arial"/>
                <w:szCs w:val="20"/>
              </w:rPr>
            </w:pPr>
            <w:r w:rsidRPr="006054C4">
              <w:rPr>
                <w:rFonts w:cs="Arial"/>
                <w:color w:val="000000"/>
                <w:szCs w:val="20"/>
              </w:rPr>
              <w:t>29.00</w:t>
            </w:r>
          </w:p>
        </w:tc>
        <w:tc>
          <w:tcPr>
            <w:tcW w:w="1077" w:type="dxa"/>
          </w:tcPr>
          <w:p w14:paraId="10F30F4C" w14:textId="37A453F3" w:rsidR="006054C4" w:rsidRPr="006054C4" w:rsidRDefault="006054C4" w:rsidP="00E70BE3">
            <w:pPr>
              <w:spacing w:before="80" w:after="80"/>
              <w:jc w:val="right"/>
              <w:rPr>
                <w:rFonts w:cs="Arial"/>
                <w:szCs w:val="20"/>
              </w:rPr>
            </w:pPr>
            <w:r w:rsidRPr="006054C4">
              <w:rPr>
                <w:rFonts w:cs="Arial"/>
                <w:color w:val="000000"/>
                <w:szCs w:val="20"/>
              </w:rPr>
              <w:t>37.00</w:t>
            </w:r>
          </w:p>
        </w:tc>
        <w:tc>
          <w:tcPr>
            <w:tcW w:w="1078" w:type="dxa"/>
          </w:tcPr>
          <w:p w14:paraId="579E9061" w14:textId="38C5E1CE" w:rsidR="006054C4" w:rsidRPr="006054C4" w:rsidRDefault="006054C4" w:rsidP="00E70BE3">
            <w:pPr>
              <w:spacing w:before="80" w:after="80"/>
              <w:jc w:val="right"/>
              <w:rPr>
                <w:rFonts w:cs="Arial"/>
                <w:szCs w:val="20"/>
              </w:rPr>
            </w:pPr>
            <w:r w:rsidRPr="006054C4">
              <w:rPr>
                <w:rFonts w:cs="Arial"/>
                <w:color w:val="000000"/>
                <w:szCs w:val="20"/>
              </w:rPr>
              <w:t>45.00</w:t>
            </w:r>
          </w:p>
        </w:tc>
        <w:tc>
          <w:tcPr>
            <w:tcW w:w="1078" w:type="dxa"/>
          </w:tcPr>
          <w:p w14:paraId="7915B4CC" w14:textId="0199969A" w:rsidR="006054C4" w:rsidRPr="006054C4" w:rsidRDefault="006054C4" w:rsidP="00E70BE3">
            <w:pPr>
              <w:spacing w:before="80" w:after="80"/>
              <w:jc w:val="right"/>
              <w:rPr>
                <w:rFonts w:cs="Arial"/>
                <w:szCs w:val="20"/>
              </w:rPr>
            </w:pPr>
            <w:r w:rsidRPr="006054C4">
              <w:rPr>
                <w:rFonts w:cs="Arial"/>
                <w:color w:val="000000"/>
                <w:szCs w:val="20"/>
              </w:rPr>
              <w:t>25.50</w:t>
            </w:r>
          </w:p>
        </w:tc>
        <w:tc>
          <w:tcPr>
            <w:tcW w:w="1077" w:type="dxa"/>
          </w:tcPr>
          <w:p w14:paraId="50C5F4F6" w14:textId="538B4DF8" w:rsidR="006054C4" w:rsidRPr="006054C4" w:rsidRDefault="006054C4" w:rsidP="00E70BE3">
            <w:pPr>
              <w:spacing w:before="80" w:after="80"/>
              <w:jc w:val="right"/>
              <w:rPr>
                <w:rFonts w:cs="Arial"/>
                <w:szCs w:val="20"/>
              </w:rPr>
            </w:pPr>
            <w:r w:rsidRPr="006054C4">
              <w:rPr>
                <w:rFonts w:cs="Arial"/>
                <w:color w:val="000000"/>
                <w:szCs w:val="20"/>
              </w:rPr>
              <w:t>18.42</w:t>
            </w:r>
          </w:p>
        </w:tc>
        <w:tc>
          <w:tcPr>
            <w:tcW w:w="1078" w:type="dxa"/>
          </w:tcPr>
          <w:p w14:paraId="55536F23" w14:textId="4F7B86AA" w:rsidR="006054C4" w:rsidRPr="006054C4" w:rsidRDefault="006054C4" w:rsidP="00E70BE3">
            <w:pPr>
              <w:spacing w:before="80" w:after="80"/>
              <w:jc w:val="right"/>
              <w:rPr>
                <w:rFonts w:cs="Arial"/>
                <w:szCs w:val="20"/>
              </w:rPr>
            </w:pPr>
            <w:r w:rsidRPr="006054C4">
              <w:rPr>
                <w:rFonts w:cs="Arial"/>
                <w:color w:val="000000"/>
                <w:szCs w:val="20"/>
              </w:rPr>
              <w:t>37.67</w:t>
            </w:r>
          </w:p>
        </w:tc>
        <w:tc>
          <w:tcPr>
            <w:tcW w:w="1078" w:type="dxa"/>
          </w:tcPr>
          <w:p w14:paraId="7CDB6F86" w14:textId="3BBC62B9" w:rsidR="006054C4" w:rsidRPr="006054C4" w:rsidRDefault="006054C4" w:rsidP="00E70BE3">
            <w:pPr>
              <w:spacing w:before="80" w:after="80"/>
              <w:jc w:val="right"/>
              <w:rPr>
                <w:rFonts w:cs="Arial"/>
                <w:szCs w:val="20"/>
              </w:rPr>
            </w:pPr>
            <w:r w:rsidRPr="006054C4">
              <w:rPr>
                <w:rFonts w:cs="Arial"/>
                <w:color w:val="000000"/>
                <w:szCs w:val="20"/>
              </w:rPr>
              <w:t>24.00</w:t>
            </w:r>
          </w:p>
        </w:tc>
        <w:tc>
          <w:tcPr>
            <w:tcW w:w="1078" w:type="dxa"/>
          </w:tcPr>
          <w:p w14:paraId="09525168" w14:textId="14322174" w:rsidR="006054C4" w:rsidRPr="006054C4" w:rsidRDefault="006054C4" w:rsidP="00E70BE3">
            <w:pPr>
              <w:spacing w:before="80" w:after="80"/>
              <w:jc w:val="right"/>
              <w:rPr>
                <w:rFonts w:cs="Arial"/>
                <w:szCs w:val="20"/>
              </w:rPr>
            </w:pPr>
            <w:r w:rsidRPr="006054C4">
              <w:rPr>
                <w:rFonts w:cs="Arial"/>
                <w:color w:val="000000"/>
                <w:szCs w:val="20"/>
              </w:rPr>
              <w:t>0.00</w:t>
            </w:r>
          </w:p>
        </w:tc>
      </w:tr>
      <w:tr w:rsidR="006054C4" w:rsidRPr="006054C4" w14:paraId="7663C771" w14:textId="77777777" w:rsidTr="0078265C">
        <w:tc>
          <w:tcPr>
            <w:tcW w:w="2972" w:type="dxa"/>
            <w:vAlign w:val="center"/>
          </w:tcPr>
          <w:p w14:paraId="2F56BFFE" w14:textId="3E5C0F6E" w:rsidR="006054C4" w:rsidRPr="006054C4" w:rsidRDefault="006054C4" w:rsidP="006054C4">
            <w:pPr>
              <w:spacing w:before="80" w:after="80"/>
              <w:rPr>
                <w:rFonts w:cs="Arial"/>
                <w:szCs w:val="20"/>
              </w:rPr>
            </w:pPr>
            <w:r w:rsidRPr="00E70BE3">
              <w:rPr>
                <w:rFonts w:cs="Arial"/>
                <w:b/>
                <w:bCs/>
                <w:szCs w:val="20"/>
              </w:rPr>
              <w:t>Ten</w:t>
            </w:r>
            <w:r w:rsidRPr="006054C4">
              <w:rPr>
                <w:rFonts w:cs="Arial"/>
                <w:szCs w:val="20"/>
              </w:rPr>
              <w:t xml:space="preserve"> average hours</w:t>
            </w:r>
            <w:r w:rsidR="0078265C">
              <w:rPr>
                <w:rFonts w:cs="Arial"/>
                <w:szCs w:val="20"/>
              </w:rPr>
              <w:t xml:space="preserve"> claimed</w:t>
            </w:r>
          </w:p>
        </w:tc>
        <w:tc>
          <w:tcPr>
            <w:tcW w:w="1077" w:type="dxa"/>
          </w:tcPr>
          <w:p w14:paraId="2E104014" w14:textId="113984E6" w:rsidR="006054C4" w:rsidRPr="006054C4" w:rsidRDefault="006054C4" w:rsidP="00E70BE3">
            <w:pPr>
              <w:spacing w:before="80" w:after="80"/>
              <w:jc w:val="right"/>
              <w:rPr>
                <w:rFonts w:cs="Arial"/>
                <w:szCs w:val="20"/>
              </w:rPr>
            </w:pPr>
            <w:r w:rsidRPr="006054C4">
              <w:rPr>
                <w:rFonts w:cs="Arial"/>
                <w:color w:val="000000"/>
                <w:szCs w:val="20"/>
              </w:rPr>
              <w:t>30.73</w:t>
            </w:r>
          </w:p>
        </w:tc>
        <w:tc>
          <w:tcPr>
            <w:tcW w:w="1078" w:type="dxa"/>
          </w:tcPr>
          <w:p w14:paraId="4076F9B6" w14:textId="760C721B" w:rsidR="006054C4" w:rsidRPr="006054C4" w:rsidRDefault="006054C4" w:rsidP="00E70BE3">
            <w:pPr>
              <w:spacing w:before="80" w:after="80"/>
              <w:jc w:val="right"/>
              <w:rPr>
                <w:rFonts w:cs="Arial"/>
                <w:szCs w:val="20"/>
              </w:rPr>
            </w:pPr>
            <w:r w:rsidRPr="006054C4">
              <w:rPr>
                <w:rFonts w:cs="Arial"/>
                <w:color w:val="000000"/>
                <w:szCs w:val="20"/>
              </w:rPr>
              <w:t>6.50</w:t>
            </w:r>
          </w:p>
        </w:tc>
        <w:tc>
          <w:tcPr>
            <w:tcW w:w="1078" w:type="dxa"/>
          </w:tcPr>
          <w:p w14:paraId="2F5688AB" w14:textId="66DC187D" w:rsidR="006054C4" w:rsidRPr="006054C4" w:rsidRDefault="006054C4" w:rsidP="00E70BE3">
            <w:pPr>
              <w:spacing w:before="80" w:after="80"/>
              <w:jc w:val="right"/>
              <w:rPr>
                <w:rFonts w:cs="Arial"/>
                <w:szCs w:val="20"/>
              </w:rPr>
            </w:pPr>
            <w:r w:rsidRPr="006054C4">
              <w:rPr>
                <w:rFonts w:cs="Arial"/>
                <w:color w:val="000000"/>
                <w:szCs w:val="20"/>
              </w:rPr>
              <w:t>2.33</w:t>
            </w:r>
          </w:p>
        </w:tc>
        <w:tc>
          <w:tcPr>
            <w:tcW w:w="1077" w:type="dxa"/>
          </w:tcPr>
          <w:p w14:paraId="25C5E1E3" w14:textId="51845BC5" w:rsidR="006054C4" w:rsidRPr="006054C4" w:rsidRDefault="006054C4" w:rsidP="00E70BE3">
            <w:pPr>
              <w:spacing w:before="80" w:after="80"/>
              <w:jc w:val="right"/>
              <w:rPr>
                <w:rFonts w:cs="Arial"/>
                <w:szCs w:val="20"/>
              </w:rPr>
            </w:pPr>
            <w:r w:rsidRPr="006054C4">
              <w:rPr>
                <w:rFonts w:cs="Arial"/>
                <w:color w:val="000000"/>
                <w:szCs w:val="20"/>
              </w:rPr>
              <w:t>5.08</w:t>
            </w:r>
          </w:p>
        </w:tc>
        <w:tc>
          <w:tcPr>
            <w:tcW w:w="1078" w:type="dxa"/>
          </w:tcPr>
          <w:p w14:paraId="33778C2B" w14:textId="626D29AA" w:rsidR="006054C4" w:rsidRPr="006054C4" w:rsidRDefault="006054C4" w:rsidP="00E70BE3">
            <w:pPr>
              <w:spacing w:before="80" w:after="80"/>
              <w:jc w:val="right"/>
              <w:rPr>
                <w:rFonts w:cs="Arial"/>
                <w:szCs w:val="20"/>
              </w:rPr>
            </w:pPr>
            <w:r w:rsidRPr="006054C4">
              <w:rPr>
                <w:rFonts w:cs="Arial"/>
                <w:color w:val="000000"/>
                <w:szCs w:val="20"/>
              </w:rPr>
              <w:t>14.00</w:t>
            </w:r>
          </w:p>
        </w:tc>
        <w:tc>
          <w:tcPr>
            <w:tcW w:w="1078" w:type="dxa"/>
          </w:tcPr>
          <w:p w14:paraId="0C492B23" w14:textId="218992A8" w:rsidR="006054C4" w:rsidRPr="006054C4" w:rsidRDefault="006054C4" w:rsidP="00E70BE3">
            <w:pPr>
              <w:spacing w:before="80" w:after="80"/>
              <w:jc w:val="right"/>
              <w:rPr>
                <w:rFonts w:cs="Arial"/>
                <w:szCs w:val="20"/>
              </w:rPr>
            </w:pPr>
            <w:r w:rsidRPr="006054C4">
              <w:rPr>
                <w:rFonts w:cs="Arial"/>
                <w:color w:val="000000"/>
                <w:szCs w:val="20"/>
              </w:rPr>
              <w:t>0.00</w:t>
            </w:r>
          </w:p>
        </w:tc>
        <w:tc>
          <w:tcPr>
            <w:tcW w:w="1077" w:type="dxa"/>
          </w:tcPr>
          <w:p w14:paraId="6E088533" w14:textId="6E5187F8" w:rsidR="006054C4" w:rsidRPr="006054C4" w:rsidRDefault="006054C4" w:rsidP="00E70BE3">
            <w:pPr>
              <w:spacing w:before="80" w:after="80"/>
              <w:jc w:val="right"/>
              <w:rPr>
                <w:rFonts w:cs="Arial"/>
                <w:szCs w:val="20"/>
              </w:rPr>
            </w:pPr>
            <w:r w:rsidRPr="006054C4">
              <w:rPr>
                <w:rFonts w:cs="Arial"/>
                <w:color w:val="000000"/>
                <w:szCs w:val="20"/>
              </w:rPr>
              <w:t>2.00</w:t>
            </w:r>
          </w:p>
        </w:tc>
        <w:tc>
          <w:tcPr>
            <w:tcW w:w="1078" w:type="dxa"/>
          </w:tcPr>
          <w:p w14:paraId="57EAEB2A" w14:textId="743EAD52" w:rsidR="006054C4" w:rsidRPr="006054C4" w:rsidRDefault="006054C4" w:rsidP="00E70BE3">
            <w:pPr>
              <w:spacing w:before="80" w:after="80"/>
              <w:jc w:val="right"/>
              <w:rPr>
                <w:rFonts w:cs="Arial"/>
                <w:szCs w:val="20"/>
              </w:rPr>
            </w:pPr>
            <w:r w:rsidRPr="006054C4">
              <w:rPr>
                <w:rFonts w:cs="Arial"/>
                <w:color w:val="000000"/>
                <w:szCs w:val="20"/>
              </w:rPr>
              <w:t>10.00</w:t>
            </w:r>
          </w:p>
        </w:tc>
        <w:tc>
          <w:tcPr>
            <w:tcW w:w="1078" w:type="dxa"/>
          </w:tcPr>
          <w:p w14:paraId="6A4C8AFD" w14:textId="4E810620" w:rsidR="006054C4" w:rsidRPr="006054C4" w:rsidRDefault="006054C4" w:rsidP="00E70BE3">
            <w:pPr>
              <w:spacing w:before="80" w:after="80"/>
              <w:jc w:val="right"/>
              <w:rPr>
                <w:rFonts w:cs="Arial"/>
                <w:szCs w:val="20"/>
              </w:rPr>
            </w:pPr>
            <w:r w:rsidRPr="006054C4">
              <w:rPr>
                <w:rFonts w:cs="Arial"/>
                <w:color w:val="000000"/>
                <w:szCs w:val="20"/>
              </w:rPr>
              <w:t>0.00</w:t>
            </w:r>
          </w:p>
        </w:tc>
        <w:tc>
          <w:tcPr>
            <w:tcW w:w="1078" w:type="dxa"/>
          </w:tcPr>
          <w:p w14:paraId="157CF8DC" w14:textId="6F455C71" w:rsidR="006054C4" w:rsidRPr="006054C4" w:rsidRDefault="006054C4" w:rsidP="00E70BE3">
            <w:pPr>
              <w:spacing w:before="80" w:after="80"/>
              <w:jc w:val="right"/>
              <w:rPr>
                <w:rFonts w:cs="Arial"/>
                <w:szCs w:val="20"/>
              </w:rPr>
            </w:pPr>
            <w:r w:rsidRPr="006054C4">
              <w:rPr>
                <w:rFonts w:cs="Arial"/>
                <w:color w:val="000000"/>
                <w:szCs w:val="20"/>
              </w:rPr>
              <w:t>0.00</w:t>
            </w:r>
          </w:p>
        </w:tc>
      </w:tr>
    </w:tbl>
    <w:p w14:paraId="3164BF76" w14:textId="4E089938" w:rsidR="006054C4" w:rsidRDefault="0019507C" w:rsidP="005E6E9E">
      <w:pPr>
        <w:pStyle w:val="Tableorfigurenote"/>
        <w:spacing w:after="360"/>
      </w:pPr>
      <w:r w:rsidRPr="00B8084A">
        <w:t>Note: Discrepancies may exist in the totals due to rounding.</w:t>
      </w:r>
    </w:p>
    <w:p w14:paraId="235E96F6" w14:textId="5D937532" w:rsidR="006433E0" w:rsidRPr="00B0218F" w:rsidRDefault="0028248A" w:rsidP="006433E0">
      <w:pPr>
        <w:pStyle w:val="Figureheading"/>
      </w:pPr>
      <w:r>
        <w:t>Average</w:t>
      </w:r>
      <w:r w:rsidR="006433E0">
        <w:t xml:space="preserve"> hours claimed by networks for New Zealand drama programs</w:t>
      </w:r>
      <w:r w:rsidR="001723B9">
        <w:t xml:space="preserve">, </w:t>
      </w:r>
      <w:r w:rsidR="006433E0">
        <w:t>2012</w:t>
      </w:r>
      <w:r w:rsidR="001723B9">
        <w:t xml:space="preserve"> to </w:t>
      </w:r>
      <w:r w:rsidR="006433E0">
        <w:t>2021</w:t>
      </w:r>
    </w:p>
    <w:p w14:paraId="0D1A2B06" w14:textId="6DF0730E" w:rsidR="006054C4" w:rsidRPr="006054C4" w:rsidRDefault="006054C4" w:rsidP="006054C4">
      <w:r>
        <w:rPr>
          <w:noProof/>
        </w:rPr>
        <w:drawing>
          <wp:inline distT="0" distB="0" distL="0" distR="0" wp14:anchorId="3C7ADD71" wp14:editId="79E6FC9C">
            <wp:extent cx="8882743" cy="2939143"/>
            <wp:effectExtent l="0" t="0" r="0" b="0"/>
            <wp:docPr id="20" name="Chart 20"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D201B82A-6DA8-4EE9-B544-4F3DF84AAB3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25A508A6" w14:textId="7D03DE18" w:rsidR="00C4491A" w:rsidRDefault="0060082C" w:rsidP="00C4491A">
      <w:pPr>
        <w:pStyle w:val="Heading1"/>
      </w:pPr>
      <w:bookmarkStart w:id="15" w:name="_Toc112835089"/>
      <w:r>
        <w:lastRenderedPageBreak/>
        <w:t>Part 3</w:t>
      </w:r>
      <w:r w:rsidR="001723B9">
        <w:t xml:space="preserve">: </w:t>
      </w:r>
      <w:r w:rsidR="00C4491A">
        <w:t>Expenditure on Australian drama</w:t>
      </w:r>
      <w:bookmarkEnd w:id="15"/>
    </w:p>
    <w:p w14:paraId="0578E26C" w14:textId="56C9F8F1" w:rsidR="00C4491A" w:rsidRPr="00A17B1B" w:rsidRDefault="00C4491A" w:rsidP="00C4491A">
      <w:pPr>
        <w:pStyle w:val="Tableheading"/>
        <w:keepLines/>
      </w:pPr>
      <w:r>
        <w:t>Expenditure on Australian drama by commercial television licensees – 2012/13 FY to 2020/21 FY</w:t>
      </w:r>
    </w:p>
    <w:tbl>
      <w:tblPr>
        <w:tblStyle w:val="TableGrid"/>
        <w:tblW w:w="14170" w:type="dxa"/>
        <w:tblLook w:val="04A0" w:firstRow="1" w:lastRow="0" w:firstColumn="1" w:lastColumn="0" w:noHBand="0" w:noVBand="1"/>
      </w:tblPr>
      <w:tblGrid>
        <w:gridCol w:w="988"/>
        <w:gridCol w:w="1464"/>
        <w:gridCol w:w="1465"/>
        <w:gridCol w:w="1465"/>
        <w:gridCol w:w="1464"/>
        <w:gridCol w:w="1465"/>
        <w:gridCol w:w="1465"/>
        <w:gridCol w:w="1464"/>
        <w:gridCol w:w="1465"/>
        <w:gridCol w:w="1465"/>
      </w:tblGrid>
      <w:tr w:rsidR="003E18FA" w:rsidRPr="003E18FA" w14:paraId="67F2303C" w14:textId="77777777" w:rsidTr="003E18FA">
        <w:tc>
          <w:tcPr>
            <w:tcW w:w="988" w:type="dxa"/>
            <w:shd w:val="clear" w:color="auto" w:fill="00A0A4"/>
            <w:vAlign w:val="center"/>
          </w:tcPr>
          <w:p w14:paraId="0A0B665A" w14:textId="77777777" w:rsidR="0084144F" w:rsidRPr="003E18FA" w:rsidRDefault="0084144F" w:rsidP="0084144F">
            <w:pPr>
              <w:pStyle w:val="Paragraph"/>
              <w:spacing w:before="80" w:after="80"/>
              <w:jc w:val="center"/>
              <w:rPr>
                <w:b/>
                <w:bCs/>
                <w:color w:val="FFFFFF" w:themeColor="background1"/>
                <w:szCs w:val="20"/>
              </w:rPr>
            </w:pPr>
          </w:p>
        </w:tc>
        <w:tc>
          <w:tcPr>
            <w:tcW w:w="1464" w:type="dxa"/>
            <w:shd w:val="clear" w:color="auto" w:fill="00A0A4"/>
            <w:vAlign w:val="center"/>
          </w:tcPr>
          <w:p w14:paraId="726252B3" w14:textId="3BF5A0CF"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2012/13 FY</w:t>
            </w:r>
          </w:p>
        </w:tc>
        <w:tc>
          <w:tcPr>
            <w:tcW w:w="1465" w:type="dxa"/>
            <w:shd w:val="clear" w:color="auto" w:fill="00A0A4"/>
            <w:vAlign w:val="center"/>
          </w:tcPr>
          <w:p w14:paraId="410B8C39" w14:textId="7B24559F"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2013/14 FY</w:t>
            </w:r>
          </w:p>
        </w:tc>
        <w:tc>
          <w:tcPr>
            <w:tcW w:w="1465" w:type="dxa"/>
            <w:shd w:val="clear" w:color="auto" w:fill="00A0A4"/>
            <w:vAlign w:val="center"/>
          </w:tcPr>
          <w:p w14:paraId="730F2F76" w14:textId="38C86701"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2014/15 FY</w:t>
            </w:r>
          </w:p>
        </w:tc>
        <w:tc>
          <w:tcPr>
            <w:tcW w:w="1464" w:type="dxa"/>
            <w:shd w:val="clear" w:color="auto" w:fill="00A0A4"/>
            <w:vAlign w:val="center"/>
          </w:tcPr>
          <w:p w14:paraId="289CAA05" w14:textId="76F1E418"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2015/16 FY</w:t>
            </w:r>
          </w:p>
        </w:tc>
        <w:tc>
          <w:tcPr>
            <w:tcW w:w="1465" w:type="dxa"/>
            <w:shd w:val="clear" w:color="auto" w:fill="00A0A4"/>
            <w:vAlign w:val="center"/>
          </w:tcPr>
          <w:p w14:paraId="1D3347E0" w14:textId="34FA072C"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2016/17 FY</w:t>
            </w:r>
          </w:p>
        </w:tc>
        <w:tc>
          <w:tcPr>
            <w:tcW w:w="1465" w:type="dxa"/>
            <w:shd w:val="clear" w:color="auto" w:fill="00A0A4"/>
            <w:vAlign w:val="center"/>
          </w:tcPr>
          <w:p w14:paraId="53592FD8" w14:textId="7874D41B"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2017/18 FY</w:t>
            </w:r>
          </w:p>
        </w:tc>
        <w:tc>
          <w:tcPr>
            <w:tcW w:w="1464" w:type="dxa"/>
            <w:shd w:val="clear" w:color="auto" w:fill="00A0A4"/>
            <w:vAlign w:val="center"/>
          </w:tcPr>
          <w:p w14:paraId="1F8D58A6" w14:textId="05E86D74"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2018/19 FY</w:t>
            </w:r>
          </w:p>
        </w:tc>
        <w:tc>
          <w:tcPr>
            <w:tcW w:w="1465" w:type="dxa"/>
            <w:shd w:val="clear" w:color="auto" w:fill="00A0A4"/>
            <w:vAlign w:val="center"/>
          </w:tcPr>
          <w:p w14:paraId="0C8E905B" w14:textId="29EDCCBF"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2019/20 FY</w:t>
            </w:r>
            <w:r w:rsidR="00F601B8">
              <w:rPr>
                <w:b/>
                <w:bCs/>
                <w:color w:val="FFFFFF" w:themeColor="background1"/>
                <w:szCs w:val="20"/>
              </w:rPr>
              <w:t>*</w:t>
            </w:r>
          </w:p>
        </w:tc>
        <w:tc>
          <w:tcPr>
            <w:tcW w:w="1465" w:type="dxa"/>
            <w:shd w:val="clear" w:color="auto" w:fill="00A0A4"/>
            <w:vAlign w:val="center"/>
          </w:tcPr>
          <w:p w14:paraId="5444A170" w14:textId="5A35C864" w:rsidR="0084144F" w:rsidRPr="003E18FA" w:rsidRDefault="0084144F" w:rsidP="0084144F">
            <w:pPr>
              <w:pStyle w:val="Paragraph"/>
              <w:spacing w:before="80" w:after="80"/>
              <w:jc w:val="center"/>
              <w:rPr>
                <w:b/>
                <w:bCs/>
                <w:color w:val="FFFFFF" w:themeColor="background1"/>
                <w:szCs w:val="20"/>
              </w:rPr>
            </w:pPr>
            <w:r w:rsidRPr="003E18FA">
              <w:rPr>
                <w:b/>
                <w:bCs/>
                <w:color w:val="FFFFFF" w:themeColor="background1"/>
                <w:szCs w:val="20"/>
              </w:rPr>
              <w:t>2020/21 FY</w:t>
            </w:r>
          </w:p>
        </w:tc>
      </w:tr>
      <w:tr w:rsidR="0084144F" w:rsidRPr="0084144F" w14:paraId="42557461" w14:textId="77777777" w:rsidTr="003E18FA">
        <w:tc>
          <w:tcPr>
            <w:tcW w:w="988" w:type="dxa"/>
            <w:shd w:val="clear" w:color="auto" w:fill="D8EFEE"/>
            <w:vAlign w:val="center"/>
          </w:tcPr>
          <w:p w14:paraId="6F772A2B" w14:textId="17E6444D" w:rsidR="0084144F" w:rsidRPr="0084144F" w:rsidRDefault="0084144F" w:rsidP="0084144F">
            <w:pPr>
              <w:pStyle w:val="Paragraph"/>
              <w:spacing w:before="80" w:after="80"/>
              <w:jc w:val="center"/>
              <w:rPr>
                <w:szCs w:val="20"/>
              </w:rPr>
            </w:pPr>
            <w:r w:rsidRPr="0084144F">
              <w:rPr>
                <w:szCs w:val="20"/>
              </w:rPr>
              <w:t>$ (mil)</w:t>
            </w:r>
          </w:p>
        </w:tc>
        <w:tc>
          <w:tcPr>
            <w:tcW w:w="1464" w:type="dxa"/>
            <w:vAlign w:val="center"/>
          </w:tcPr>
          <w:p w14:paraId="499999AC" w14:textId="79AF9EA1" w:rsidR="0084144F" w:rsidRPr="0084144F" w:rsidRDefault="0084144F" w:rsidP="0084144F">
            <w:pPr>
              <w:pStyle w:val="Paragraph"/>
              <w:spacing w:before="80" w:after="80"/>
              <w:jc w:val="center"/>
              <w:rPr>
                <w:szCs w:val="20"/>
              </w:rPr>
            </w:pPr>
            <w:r w:rsidRPr="0084144F">
              <w:rPr>
                <w:color w:val="000000"/>
                <w:szCs w:val="20"/>
              </w:rPr>
              <w:t>129.4</w:t>
            </w:r>
          </w:p>
        </w:tc>
        <w:tc>
          <w:tcPr>
            <w:tcW w:w="1465" w:type="dxa"/>
            <w:vAlign w:val="center"/>
          </w:tcPr>
          <w:p w14:paraId="24A9449C" w14:textId="61657C0D" w:rsidR="0084144F" w:rsidRPr="0084144F" w:rsidRDefault="0084144F" w:rsidP="0084144F">
            <w:pPr>
              <w:pStyle w:val="Paragraph"/>
              <w:spacing w:before="80" w:after="80"/>
              <w:jc w:val="center"/>
              <w:rPr>
                <w:szCs w:val="20"/>
              </w:rPr>
            </w:pPr>
            <w:r w:rsidRPr="0084144F">
              <w:rPr>
                <w:color w:val="000000"/>
                <w:szCs w:val="20"/>
              </w:rPr>
              <w:t>132.3</w:t>
            </w:r>
          </w:p>
        </w:tc>
        <w:tc>
          <w:tcPr>
            <w:tcW w:w="1465" w:type="dxa"/>
            <w:vAlign w:val="center"/>
          </w:tcPr>
          <w:p w14:paraId="0CB9E872" w14:textId="0D54D86A" w:rsidR="0084144F" w:rsidRPr="0084144F" w:rsidRDefault="0084144F" w:rsidP="0084144F">
            <w:pPr>
              <w:pStyle w:val="Paragraph"/>
              <w:spacing w:before="80" w:after="80"/>
              <w:jc w:val="center"/>
              <w:rPr>
                <w:szCs w:val="20"/>
              </w:rPr>
            </w:pPr>
            <w:r w:rsidRPr="0084144F">
              <w:rPr>
                <w:color w:val="000000"/>
                <w:szCs w:val="20"/>
              </w:rPr>
              <w:t>105.4</w:t>
            </w:r>
          </w:p>
        </w:tc>
        <w:tc>
          <w:tcPr>
            <w:tcW w:w="1464" w:type="dxa"/>
            <w:vAlign w:val="center"/>
          </w:tcPr>
          <w:p w14:paraId="531713BC" w14:textId="0AFF1E3F" w:rsidR="0084144F" w:rsidRPr="0084144F" w:rsidRDefault="0084144F" w:rsidP="0084144F">
            <w:pPr>
              <w:pStyle w:val="Paragraph"/>
              <w:spacing w:before="80" w:after="80"/>
              <w:jc w:val="center"/>
              <w:rPr>
                <w:szCs w:val="20"/>
              </w:rPr>
            </w:pPr>
            <w:r w:rsidRPr="0084144F">
              <w:rPr>
                <w:color w:val="000000"/>
                <w:szCs w:val="20"/>
              </w:rPr>
              <w:t>95.2</w:t>
            </w:r>
          </w:p>
        </w:tc>
        <w:tc>
          <w:tcPr>
            <w:tcW w:w="1465" w:type="dxa"/>
            <w:vAlign w:val="center"/>
          </w:tcPr>
          <w:p w14:paraId="375D0796" w14:textId="78381227" w:rsidR="0084144F" w:rsidRPr="0084144F" w:rsidRDefault="0084144F" w:rsidP="0084144F">
            <w:pPr>
              <w:pStyle w:val="Paragraph"/>
              <w:spacing w:before="80" w:after="80"/>
              <w:jc w:val="center"/>
              <w:rPr>
                <w:szCs w:val="20"/>
              </w:rPr>
            </w:pPr>
            <w:r w:rsidRPr="0084144F">
              <w:rPr>
                <w:color w:val="000000"/>
                <w:szCs w:val="20"/>
              </w:rPr>
              <w:t>126.3</w:t>
            </w:r>
          </w:p>
        </w:tc>
        <w:tc>
          <w:tcPr>
            <w:tcW w:w="1465" w:type="dxa"/>
            <w:vAlign w:val="center"/>
          </w:tcPr>
          <w:p w14:paraId="06F8DBBD" w14:textId="1A1D5602" w:rsidR="0084144F" w:rsidRPr="0084144F" w:rsidRDefault="0084144F" w:rsidP="0084144F">
            <w:pPr>
              <w:pStyle w:val="Paragraph"/>
              <w:spacing w:before="80" w:after="80"/>
              <w:jc w:val="center"/>
              <w:rPr>
                <w:szCs w:val="20"/>
              </w:rPr>
            </w:pPr>
            <w:r w:rsidRPr="0084144F">
              <w:rPr>
                <w:color w:val="000000"/>
                <w:szCs w:val="20"/>
              </w:rPr>
              <w:t>92.4</w:t>
            </w:r>
          </w:p>
        </w:tc>
        <w:tc>
          <w:tcPr>
            <w:tcW w:w="1464" w:type="dxa"/>
            <w:vAlign w:val="center"/>
          </w:tcPr>
          <w:p w14:paraId="141297C3" w14:textId="72795DAB" w:rsidR="0084144F" w:rsidRPr="0084144F" w:rsidRDefault="0084144F" w:rsidP="0084144F">
            <w:pPr>
              <w:pStyle w:val="Paragraph"/>
              <w:spacing w:before="80" w:after="80"/>
              <w:jc w:val="center"/>
              <w:rPr>
                <w:szCs w:val="20"/>
              </w:rPr>
            </w:pPr>
            <w:r w:rsidRPr="0084144F">
              <w:rPr>
                <w:color w:val="000000"/>
                <w:szCs w:val="20"/>
              </w:rPr>
              <w:t>95.7</w:t>
            </w:r>
          </w:p>
        </w:tc>
        <w:tc>
          <w:tcPr>
            <w:tcW w:w="1465" w:type="dxa"/>
            <w:vAlign w:val="center"/>
          </w:tcPr>
          <w:p w14:paraId="2854CCDD" w14:textId="350B6C3F" w:rsidR="0084144F" w:rsidRPr="0084144F" w:rsidRDefault="0084144F" w:rsidP="0084144F">
            <w:pPr>
              <w:pStyle w:val="Paragraph"/>
              <w:spacing w:before="80" w:after="80"/>
              <w:jc w:val="center"/>
              <w:rPr>
                <w:szCs w:val="20"/>
              </w:rPr>
            </w:pPr>
            <w:r w:rsidRPr="0084144F">
              <w:rPr>
                <w:color w:val="000000"/>
                <w:szCs w:val="20"/>
              </w:rPr>
              <w:t>79.1</w:t>
            </w:r>
          </w:p>
        </w:tc>
        <w:tc>
          <w:tcPr>
            <w:tcW w:w="1465" w:type="dxa"/>
            <w:vAlign w:val="center"/>
          </w:tcPr>
          <w:p w14:paraId="5843F687" w14:textId="124481EF" w:rsidR="0084144F" w:rsidRPr="0084144F" w:rsidRDefault="0084144F" w:rsidP="0084144F">
            <w:pPr>
              <w:pStyle w:val="Paragraph"/>
              <w:spacing w:before="80" w:after="80"/>
              <w:jc w:val="center"/>
              <w:rPr>
                <w:szCs w:val="20"/>
              </w:rPr>
            </w:pPr>
            <w:r w:rsidRPr="0084144F">
              <w:rPr>
                <w:color w:val="000000"/>
                <w:szCs w:val="20"/>
              </w:rPr>
              <w:t>69.7</w:t>
            </w:r>
          </w:p>
        </w:tc>
      </w:tr>
    </w:tbl>
    <w:p w14:paraId="684DCCA0" w14:textId="307FBCAB" w:rsidR="006B6097" w:rsidRDefault="006B6097" w:rsidP="003B237A">
      <w:pPr>
        <w:pStyle w:val="Tableorfigurenotemultiple"/>
      </w:pPr>
      <w:r w:rsidRPr="003C3C56">
        <w:t>Note: Figures for 2012 to 2020 do not include spending on children’s drama</w:t>
      </w:r>
      <w:r w:rsidR="003B237A">
        <w:t>.</w:t>
      </w:r>
    </w:p>
    <w:p w14:paraId="41B2021A" w14:textId="45AFBC7B" w:rsidR="003C3C56" w:rsidRPr="003B237A" w:rsidRDefault="00F601B8" w:rsidP="005E6E9E">
      <w:pPr>
        <w:pStyle w:val="Tableorfigurenote"/>
        <w:spacing w:after="360"/>
      </w:pPr>
      <w:r w:rsidRPr="003C3C56">
        <w:t>*</w:t>
      </w:r>
      <w:r w:rsidR="006B6097" w:rsidRPr="003C3C56">
        <w:t xml:space="preserve">Due to the COVID-19 pandemic, the ACMA agreed to exercise forbearance in relation to non-compliance for first release Australian drama quota requirement which may </w:t>
      </w:r>
      <w:r w:rsidR="008039BE">
        <w:t>have impacted</w:t>
      </w:r>
      <w:r w:rsidR="006B6097" w:rsidRPr="003C3C56">
        <w:t xml:space="preserve"> these results</w:t>
      </w:r>
      <w:r w:rsidR="00747D3C">
        <w:t>.</w:t>
      </w:r>
    </w:p>
    <w:p w14:paraId="6AC27BE7" w14:textId="77777777" w:rsidR="00C4491A" w:rsidRPr="00A17B1B" w:rsidRDefault="00C4491A" w:rsidP="005637DC">
      <w:pPr>
        <w:pStyle w:val="Tableheading"/>
        <w:keepLines/>
        <w:spacing w:before="240"/>
      </w:pPr>
      <w:r>
        <w:t>Expenditure on Australian drama by commercial television licensees – 2012/13 FY to 2020/21 FY</w:t>
      </w:r>
    </w:p>
    <w:p w14:paraId="2A6426FB" w14:textId="15A4FAB4" w:rsidR="0084144F" w:rsidRDefault="00891A08" w:rsidP="006054C4">
      <w:pPr>
        <w:pStyle w:val="Paragraph"/>
      </w:pPr>
      <w:r>
        <w:rPr>
          <w:noProof/>
        </w:rPr>
        <w:drawing>
          <wp:inline distT="0" distB="0" distL="0" distR="0" wp14:anchorId="753292DF" wp14:editId="1CC8A4AF">
            <wp:extent cx="9100457" cy="2764971"/>
            <wp:effectExtent l="0" t="0" r="5715" b="0"/>
            <wp:docPr id="10" name="Chart 10"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3075C9BD-0B5E-4707-873C-85D752731C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1B0B1EE3" w14:textId="6EB8FCF9" w:rsidR="00FA211E" w:rsidRPr="006054C4" w:rsidRDefault="00FA211E" w:rsidP="005637DC">
      <w:pPr>
        <w:pStyle w:val="Paragraph"/>
        <w:spacing w:after="0"/>
      </w:pPr>
      <w:r w:rsidRPr="00FA211E">
        <w:rPr>
          <w:sz w:val="16"/>
          <w:szCs w:val="16"/>
        </w:rPr>
        <w:t xml:space="preserve">ACMA </w:t>
      </w:r>
      <w:r w:rsidR="00683D96">
        <w:rPr>
          <w:sz w:val="16"/>
          <w:szCs w:val="16"/>
        </w:rPr>
        <w:t>d</w:t>
      </w:r>
      <w:r w:rsidRPr="00FA211E">
        <w:rPr>
          <w:sz w:val="16"/>
          <w:szCs w:val="16"/>
        </w:rPr>
        <w:t>isclaimer</w:t>
      </w:r>
      <w:r w:rsidR="00986200">
        <w:rPr>
          <w:sz w:val="16"/>
          <w:szCs w:val="16"/>
        </w:rPr>
        <w:t>:</w:t>
      </w:r>
      <w:r w:rsidRPr="00FA211E">
        <w:rPr>
          <w:sz w:val="16"/>
          <w:szCs w:val="16"/>
        </w:rPr>
        <w:t xml:space="preserve"> The information contained in this report is based on data provided by commercial broadcasting licensees to the ACMA. The data has not been verified or audited by the ACMA. Therefore, the ACMA makes no representation as to the accuracy of the data. Any report, re-transmission or reproduction of this expenditure information must include: (a) a disclaimer in the same or substantially similar terms to the ACMA </w:t>
      </w:r>
      <w:r w:rsidR="00683D96">
        <w:rPr>
          <w:sz w:val="16"/>
          <w:szCs w:val="16"/>
        </w:rPr>
        <w:t>d</w:t>
      </w:r>
      <w:r w:rsidRPr="00FA211E">
        <w:rPr>
          <w:sz w:val="16"/>
          <w:szCs w:val="16"/>
        </w:rPr>
        <w:t xml:space="preserve">isclaimer; or (b) a link to the ACMA </w:t>
      </w:r>
      <w:r w:rsidR="00683D96">
        <w:rPr>
          <w:sz w:val="16"/>
          <w:szCs w:val="16"/>
        </w:rPr>
        <w:t>d</w:t>
      </w:r>
      <w:r w:rsidRPr="00FA211E">
        <w:rPr>
          <w:sz w:val="16"/>
          <w:szCs w:val="16"/>
        </w:rPr>
        <w:t>isclaimer</w:t>
      </w:r>
      <w:r w:rsidRPr="00FA211E">
        <w:t>.</w:t>
      </w:r>
    </w:p>
    <w:p w14:paraId="455F034B" w14:textId="0533C7CA" w:rsidR="00240CE9" w:rsidRDefault="00FF3C69" w:rsidP="00FF3C69">
      <w:pPr>
        <w:pStyle w:val="Heading1"/>
      </w:pPr>
      <w:bookmarkStart w:id="16" w:name="_Toc348105641"/>
      <w:bookmarkStart w:id="17" w:name="_Toc112835090"/>
      <w:r w:rsidRPr="00A17B1B">
        <w:lastRenderedPageBreak/>
        <w:t>Appendix A</w:t>
      </w:r>
      <w:bookmarkEnd w:id="16"/>
      <w:r w:rsidR="00DF0799" w:rsidRPr="00A17B1B">
        <w:t>:</w:t>
      </w:r>
      <w:r w:rsidR="000B1568">
        <w:t xml:space="preserve"> Comparison of annual Australian content obligations under the ACCTS versus the ACS/CTS</w:t>
      </w:r>
      <w:bookmarkEnd w:id="17"/>
    </w:p>
    <w:p w14:paraId="242ED4F5" w14:textId="68C12736" w:rsidR="004106AE" w:rsidRPr="00A17B1B" w:rsidRDefault="004106AE" w:rsidP="004106AE">
      <w:pPr>
        <w:pStyle w:val="Tableheading"/>
        <w:keepLines/>
      </w:pPr>
      <w:r>
        <w:t xml:space="preserve">CTS, ACS, ACCTS compliance obligations for Australian content </w:t>
      </w:r>
    </w:p>
    <w:tbl>
      <w:tblPr>
        <w:tblW w:w="14165"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ayout w:type="fixed"/>
        <w:tblCellMar>
          <w:top w:w="85" w:type="dxa"/>
          <w:left w:w="57" w:type="dxa"/>
          <w:bottom w:w="85" w:type="dxa"/>
          <w:right w:w="57" w:type="dxa"/>
        </w:tblCellMar>
        <w:tblLook w:val="04A0" w:firstRow="1" w:lastRow="0" w:firstColumn="1" w:lastColumn="0" w:noHBand="0" w:noVBand="1"/>
      </w:tblPr>
      <w:tblGrid>
        <w:gridCol w:w="3534"/>
        <w:gridCol w:w="3969"/>
        <w:gridCol w:w="2977"/>
        <w:gridCol w:w="3685"/>
      </w:tblGrid>
      <w:tr w:rsidR="001154AC" w:rsidRPr="002B39C9" w14:paraId="72E14521" w14:textId="249A2992" w:rsidTr="00FD50A7">
        <w:trPr>
          <w:cantSplit/>
          <w:trHeight w:val="175"/>
          <w:tblHeader/>
        </w:trPr>
        <w:tc>
          <w:tcPr>
            <w:tcW w:w="3534" w:type="dxa"/>
            <w:shd w:val="clear" w:color="auto" w:fill="39457C"/>
            <w:vAlign w:val="center"/>
            <w:hideMark/>
          </w:tcPr>
          <w:p w14:paraId="4594F31C" w14:textId="77777777" w:rsidR="001154AC" w:rsidRPr="002B39C9" w:rsidRDefault="001154AC" w:rsidP="00816F6D">
            <w:pPr>
              <w:spacing w:after="0" w:line="240" w:lineRule="auto"/>
              <w:rPr>
                <w:rFonts w:cs="Arial"/>
                <w:b/>
                <w:bCs/>
                <w:color w:val="FFFFFF" w:themeColor="background1"/>
                <w:sz w:val="18"/>
                <w:szCs w:val="18"/>
              </w:rPr>
            </w:pPr>
            <w:r w:rsidRPr="002B39C9">
              <w:rPr>
                <w:rFonts w:cs="Arial"/>
                <w:b/>
                <w:bCs/>
                <w:color w:val="FFFFFF" w:themeColor="background1"/>
                <w:sz w:val="18"/>
                <w:szCs w:val="18"/>
              </w:rPr>
              <w:t>Quota name</w:t>
            </w:r>
          </w:p>
        </w:tc>
        <w:tc>
          <w:tcPr>
            <w:tcW w:w="3969" w:type="dxa"/>
            <w:shd w:val="clear" w:color="auto" w:fill="39457C"/>
            <w:vAlign w:val="center"/>
            <w:hideMark/>
          </w:tcPr>
          <w:p w14:paraId="5FA25D47" w14:textId="63069A58" w:rsidR="001154AC" w:rsidRPr="002B39C9" w:rsidRDefault="001154AC" w:rsidP="00816F6D">
            <w:pPr>
              <w:spacing w:after="0" w:line="240" w:lineRule="auto"/>
              <w:rPr>
                <w:rFonts w:cs="Arial"/>
                <w:b/>
                <w:bCs/>
                <w:color w:val="FFFFFF" w:themeColor="background1"/>
                <w:sz w:val="18"/>
                <w:szCs w:val="18"/>
              </w:rPr>
            </w:pPr>
            <w:r w:rsidRPr="002B39C9">
              <w:rPr>
                <w:rFonts w:cs="Arial"/>
                <w:b/>
                <w:bCs/>
                <w:color w:val="FFFFFF" w:themeColor="background1"/>
                <w:sz w:val="18"/>
                <w:szCs w:val="18"/>
              </w:rPr>
              <w:t>ACS (to 2020)</w:t>
            </w:r>
          </w:p>
        </w:tc>
        <w:tc>
          <w:tcPr>
            <w:tcW w:w="2977" w:type="dxa"/>
            <w:shd w:val="clear" w:color="auto" w:fill="39457C"/>
            <w:vAlign w:val="center"/>
          </w:tcPr>
          <w:p w14:paraId="236BE7F7" w14:textId="0E5A2AA7" w:rsidR="001154AC" w:rsidRPr="002B39C9" w:rsidRDefault="001154AC" w:rsidP="00816F6D">
            <w:pPr>
              <w:spacing w:after="0" w:line="240" w:lineRule="auto"/>
              <w:rPr>
                <w:rFonts w:cs="Arial"/>
                <w:b/>
                <w:bCs/>
                <w:color w:val="FFFFFF" w:themeColor="background1"/>
                <w:sz w:val="18"/>
                <w:szCs w:val="18"/>
              </w:rPr>
            </w:pPr>
            <w:r w:rsidRPr="002B39C9">
              <w:rPr>
                <w:rFonts w:cs="Arial"/>
                <w:b/>
                <w:bCs/>
                <w:color w:val="FFFFFF" w:themeColor="background1"/>
                <w:sz w:val="18"/>
                <w:szCs w:val="18"/>
              </w:rPr>
              <w:t>CTS (to 2020)</w:t>
            </w:r>
          </w:p>
        </w:tc>
        <w:tc>
          <w:tcPr>
            <w:tcW w:w="3685" w:type="dxa"/>
            <w:shd w:val="clear" w:color="auto" w:fill="39457C"/>
            <w:vAlign w:val="center"/>
          </w:tcPr>
          <w:p w14:paraId="49399AA2" w14:textId="7B0A3765" w:rsidR="001154AC" w:rsidRPr="002B39C9" w:rsidRDefault="001154AC" w:rsidP="00816F6D">
            <w:pPr>
              <w:spacing w:after="0" w:line="240" w:lineRule="auto"/>
              <w:rPr>
                <w:rFonts w:cs="Arial"/>
                <w:b/>
                <w:bCs/>
                <w:color w:val="FFFFFF" w:themeColor="background1"/>
                <w:sz w:val="18"/>
                <w:szCs w:val="18"/>
              </w:rPr>
            </w:pPr>
            <w:r w:rsidRPr="002B39C9">
              <w:rPr>
                <w:rFonts w:cs="Arial"/>
                <w:b/>
                <w:bCs/>
                <w:color w:val="FFFFFF" w:themeColor="background1"/>
                <w:sz w:val="18"/>
                <w:szCs w:val="18"/>
              </w:rPr>
              <w:t>ACCTS (from 2021)</w:t>
            </w:r>
          </w:p>
        </w:tc>
      </w:tr>
      <w:tr w:rsidR="001154AC" w:rsidRPr="002B39C9" w14:paraId="6EDB6682" w14:textId="342BAD08" w:rsidTr="00FD50A7">
        <w:trPr>
          <w:cantSplit/>
          <w:trHeight w:val="128"/>
        </w:trPr>
        <w:tc>
          <w:tcPr>
            <w:tcW w:w="3534" w:type="dxa"/>
            <w:shd w:val="clear" w:color="auto" w:fill="auto"/>
            <w:noWrap/>
            <w:vAlign w:val="center"/>
            <w:hideMark/>
          </w:tcPr>
          <w:p w14:paraId="6577621D" w14:textId="77777777"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First release Australian drama</w:t>
            </w:r>
          </w:p>
        </w:tc>
        <w:tc>
          <w:tcPr>
            <w:tcW w:w="3969" w:type="dxa"/>
            <w:shd w:val="clear" w:color="auto" w:fill="auto"/>
            <w:vAlign w:val="center"/>
            <w:hideMark/>
          </w:tcPr>
          <w:p w14:paraId="6CEA2D5E" w14:textId="77777777"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250 points</w:t>
            </w:r>
            <w:r w:rsidRPr="002B39C9">
              <w:rPr>
                <w:rFonts w:cs="Arial"/>
                <w:color w:val="000000"/>
                <w:sz w:val="18"/>
                <w:szCs w:val="18"/>
                <w:vertAlign w:val="superscript"/>
              </w:rPr>
              <w:footnoteReference w:id="3"/>
            </w:r>
            <w:r w:rsidRPr="002B39C9">
              <w:rPr>
                <w:rFonts w:cs="Arial"/>
                <w:color w:val="000000"/>
                <w:sz w:val="18"/>
                <w:szCs w:val="18"/>
              </w:rPr>
              <w:t xml:space="preserve"> of first release Australian drama per year</w:t>
            </w:r>
          </w:p>
        </w:tc>
        <w:tc>
          <w:tcPr>
            <w:tcW w:w="2977" w:type="dxa"/>
            <w:vAlign w:val="center"/>
          </w:tcPr>
          <w:p w14:paraId="1C755DBF" w14:textId="49CDC296" w:rsidR="001154AC" w:rsidRPr="002B39C9" w:rsidRDefault="00683D96" w:rsidP="00683D96">
            <w:pPr>
              <w:spacing w:after="0" w:line="240" w:lineRule="auto"/>
              <w:rPr>
                <w:rFonts w:cs="Arial"/>
                <w:color w:val="000000"/>
                <w:sz w:val="18"/>
                <w:szCs w:val="18"/>
              </w:rPr>
            </w:pPr>
            <w:r>
              <w:rPr>
                <w:rFonts w:cs="Arial"/>
                <w:color w:val="000000"/>
                <w:sz w:val="18"/>
                <w:szCs w:val="18"/>
              </w:rPr>
              <w:t>n/a</w:t>
            </w:r>
          </w:p>
        </w:tc>
        <w:tc>
          <w:tcPr>
            <w:tcW w:w="3685" w:type="dxa"/>
            <w:vAlign w:val="center"/>
          </w:tcPr>
          <w:p w14:paraId="0A99DD95" w14:textId="51FC1F8B"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Points</w:t>
            </w:r>
            <w:r w:rsidR="00ED45EF" w:rsidRPr="002B39C9">
              <w:rPr>
                <w:rStyle w:val="FootnoteReference"/>
                <w:rFonts w:cs="Arial"/>
                <w:color w:val="000000"/>
                <w:sz w:val="18"/>
                <w:szCs w:val="18"/>
              </w:rPr>
              <w:footnoteReference w:id="4"/>
            </w:r>
            <w:r w:rsidRPr="002B39C9">
              <w:rPr>
                <w:rFonts w:cs="Arial"/>
                <w:color w:val="000000"/>
                <w:sz w:val="18"/>
                <w:szCs w:val="18"/>
              </w:rPr>
              <w:t xml:space="preserve"> allocated per broadcast hour dependant on production budget cost (includes children’s drama)</w:t>
            </w:r>
          </w:p>
        </w:tc>
      </w:tr>
      <w:tr w:rsidR="00683D96" w:rsidRPr="002B39C9" w14:paraId="56F9C199" w14:textId="2F9ACA3B" w:rsidTr="00E70BE3">
        <w:trPr>
          <w:cantSplit/>
          <w:trHeight w:val="82"/>
        </w:trPr>
        <w:tc>
          <w:tcPr>
            <w:tcW w:w="3534" w:type="dxa"/>
            <w:shd w:val="clear" w:color="auto" w:fill="auto"/>
            <w:vAlign w:val="center"/>
            <w:hideMark/>
          </w:tcPr>
          <w:p w14:paraId="71F870B3" w14:textId="77777777"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Triennial quota for first release Australian drama</w:t>
            </w:r>
          </w:p>
        </w:tc>
        <w:tc>
          <w:tcPr>
            <w:tcW w:w="3969" w:type="dxa"/>
            <w:shd w:val="clear" w:color="auto" w:fill="auto"/>
            <w:vAlign w:val="center"/>
            <w:hideMark/>
          </w:tcPr>
          <w:p w14:paraId="57BF0A44" w14:textId="42937B35"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860 points</w:t>
            </w:r>
            <w:r w:rsidRPr="002B39C9">
              <w:rPr>
                <w:rFonts w:cs="Arial"/>
                <w:color w:val="000000"/>
                <w:sz w:val="18"/>
                <w:szCs w:val="18"/>
                <w:vertAlign w:val="superscript"/>
              </w:rPr>
              <w:t>2</w:t>
            </w:r>
            <w:r w:rsidRPr="002B39C9">
              <w:rPr>
                <w:rFonts w:cs="Arial"/>
                <w:color w:val="000000"/>
                <w:sz w:val="18"/>
                <w:szCs w:val="18"/>
              </w:rPr>
              <w:t xml:space="preserve"> of first release Australian drama each triennium</w:t>
            </w:r>
          </w:p>
        </w:tc>
        <w:tc>
          <w:tcPr>
            <w:tcW w:w="2977" w:type="dxa"/>
          </w:tcPr>
          <w:p w14:paraId="3446036E" w14:textId="75AEBE25" w:rsidR="00683D96" w:rsidRPr="002B39C9" w:rsidRDefault="00683D96" w:rsidP="00683D96">
            <w:pPr>
              <w:spacing w:after="0" w:line="240" w:lineRule="auto"/>
              <w:rPr>
                <w:rFonts w:cs="Arial"/>
                <w:color w:val="000000"/>
                <w:sz w:val="18"/>
                <w:szCs w:val="18"/>
              </w:rPr>
            </w:pPr>
            <w:r w:rsidRPr="002177DD">
              <w:rPr>
                <w:rFonts w:cs="Arial"/>
                <w:color w:val="000000"/>
                <w:sz w:val="18"/>
                <w:szCs w:val="18"/>
              </w:rPr>
              <w:t>n/a</w:t>
            </w:r>
          </w:p>
        </w:tc>
        <w:tc>
          <w:tcPr>
            <w:tcW w:w="3685" w:type="dxa"/>
            <w:vAlign w:val="center"/>
          </w:tcPr>
          <w:p w14:paraId="604D057C" w14:textId="4BC1807C" w:rsidR="00683D96" w:rsidRPr="002B39C9" w:rsidRDefault="00683D96" w:rsidP="00683D96">
            <w:pPr>
              <w:spacing w:after="0" w:line="240" w:lineRule="auto"/>
              <w:rPr>
                <w:rFonts w:cs="Arial"/>
                <w:color w:val="000000"/>
                <w:sz w:val="18"/>
                <w:szCs w:val="18"/>
              </w:rPr>
            </w:pPr>
            <w:r>
              <w:rPr>
                <w:rFonts w:cs="Arial"/>
                <w:color w:val="000000"/>
                <w:sz w:val="18"/>
                <w:szCs w:val="18"/>
              </w:rPr>
              <w:t>n/a</w:t>
            </w:r>
          </w:p>
        </w:tc>
      </w:tr>
      <w:tr w:rsidR="00683D96" w:rsidRPr="002B39C9" w14:paraId="3C027FF1" w14:textId="3A95A6A9" w:rsidTr="00E70BE3">
        <w:trPr>
          <w:cantSplit/>
          <w:trHeight w:val="20"/>
        </w:trPr>
        <w:tc>
          <w:tcPr>
            <w:tcW w:w="3534" w:type="dxa"/>
            <w:shd w:val="clear" w:color="auto" w:fill="auto"/>
            <w:noWrap/>
            <w:vAlign w:val="center"/>
            <w:hideMark/>
          </w:tcPr>
          <w:p w14:paraId="4684DDD4" w14:textId="77777777"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First release Australian documentary</w:t>
            </w:r>
          </w:p>
        </w:tc>
        <w:tc>
          <w:tcPr>
            <w:tcW w:w="3969" w:type="dxa"/>
            <w:shd w:val="clear" w:color="auto" w:fill="auto"/>
            <w:vAlign w:val="center"/>
            <w:hideMark/>
          </w:tcPr>
          <w:p w14:paraId="712F3B4A" w14:textId="77777777"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20 hours of first release Australian documentary per year</w:t>
            </w:r>
          </w:p>
        </w:tc>
        <w:tc>
          <w:tcPr>
            <w:tcW w:w="2977" w:type="dxa"/>
          </w:tcPr>
          <w:p w14:paraId="3384098A" w14:textId="596AF661" w:rsidR="00683D96" w:rsidRPr="002B39C9" w:rsidRDefault="00683D96" w:rsidP="00683D96">
            <w:pPr>
              <w:spacing w:after="0" w:line="240" w:lineRule="auto"/>
              <w:rPr>
                <w:rFonts w:cs="Arial"/>
                <w:color w:val="000000"/>
                <w:sz w:val="18"/>
                <w:szCs w:val="18"/>
              </w:rPr>
            </w:pPr>
            <w:r w:rsidRPr="002177DD">
              <w:rPr>
                <w:rFonts w:cs="Arial"/>
                <w:color w:val="000000"/>
                <w:sz w:val="18"/>
                <w:szCs w:val="18"/>
              </w:rPr>
              <w:t>n/a</w:t>
            </w:r>
          </w:p>
        </w:tc>
        <w:tc>
          <w:tcPr>
            <w:tcW w:w="3685" w:type="dxa"/>
            <w:vAlign w:val="center"/>
          </w:tcPr>
          <w:p w14:paraId="1A2768F4" w14:textId="7D7F3929"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Points</w:t>
            </w:r>
            <w:r w:rsidRPr="002B39C9">
              <w:rPr>
                <w:rFonts w:cs="Arial"/>
                <w:color w:val="000000"/>
                <w:sz w:val="18"/>
                <w:szCs w:val="18"/>
                <w:vertAlign w:val="superscript"/>
              </w:rPr>
              <w:t>3</w:t>
            </w:r>
            <w:r w:rsidRPr="002B39C9">
              <w:rPr>
                <w:rFonts w:cs="Arial"/>
                <w:color w:val="000000"/>
                <w:sz w:val="18"/>
                <w:szCs w:val="18"/>
              </w:rPr>
              <w:t xml:space="preserve"> per broadcast hour (capped at 50 points)</w:t>
            </w:r>
          </w:p>
        </w:tc>
      </w:tr>
      <w:tr w:rsidR="00683D96" w:rsidRPr="002B39C9" w14:paraId="63DDF4AD" w14:textId="6EF1125F" w:rsidTr="00E70BE3">
        <w:trPr>
          <w:cantSplit/>
          <w:trHeight w:val="33"/>
        </w:trPr>
        <w:tc>
          <w:tcPr>
            <w:tcW w:w="3534" w:type="dxa"/>
            <w:shd w:val="clear" w:color="auto" w:fill="auto"/>
            <w:noWrap/>
            <w:vAlign w:val="center"/>
            <w:hideMark/>
          </w:tcPr>
          <w:p w14:paraId="46F31658" w14:textId="777ABF33"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First release Australian </w:t>
            </w:r>
            <w:r w:rsidR="00365B07">
              <w:rPr>
                <w:rFonts w:cs="Arial"/>
                <w:color w:val="000000"/>
                <w:sz w:val="18"/>
                <w:szCs w:val="18"/>
              </w:rPr>
              <w:t>children</w:t>
            </w:r>
            <w:r w:rsidRPr="002B39C9">
              <w:rPr>
                <w:rFonts w:cs="Arial"/>
                <w:color w:val="000000"/>
                <w:sz w:val="18"/>
                <w:szCs w:val="18"/>
              </w:rPr>
              <w:t>'s drama</w:t>
            </w:r>
          </w:p>
        </w:tc>
        <w:tc>
          <w:tcPr>
            <w:tcW w:w="3969" w:type="dxa"/>
            <w:shd w:val="clear" w:color="auto" w:fill="auto"/>
            <w:vAlign w:val="center"/>
            <w:hideMark/>
          </w:tcPr>
          <w:p w14:paraId="66F1C34B" w14:textId="3B06112C"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25 hours of first release Australian </w:t>
            </w:r>
            <w:r w:rsidR="00365B07">
              <w:rPr>
                <w:rFonts w:cs="Arial"/>
                <w:color w:val="000000"/>
                <w:sz w:val="18"/>
                <w:szCs w:val="18"/>
              </w:rPr>
              <w:t>children</w:t>
            </w:r>
            <w:r w:rsidRPr="002B39C9">
              <w:rPr>
                <w:rFonts w:cs="Arial"/>
                <w:color w:val="000000"/>
                <w:sz w:val="18"/>
                <w:szCs w:val="18"/>
              </w:rPr>
              <w:t xml:space="preserve">’s (C) drama per year </w:t>
            </w:r>
          </w:p>
        </w:tc>
        <w:tc>
          <w:tcPr>
            <w:tcW w:w="2977" w:type="dxa"/>
          </w:tcPr>
          <w:p w14:paraId="444E46A3" w14:textId="72CD9262" w:rsidR="00683D96" w:rsidRPr="002B39C9" w:rsidRDefault="00683D96" w:rsidP="00683D96">
            <w:pPr>
              <w:spacing w:after="0" w:line="240" w:lineRule="auto"/>
              <w:rPr>
                <w:rFonts w:cs="Arial"/>
                <w:color w:val="000000"/>
                <w:sz w:val="18"/>
                <w:szCs w:val="18"/>
              </w:rPr>
            </w:pPr>
            <w:r w:rsidRPr="002177DD">
              <w:rPr>
                <w:rFonts w:cs="Arial"/>
                <w:color w:val="000000"/>
                <w:sz w:val="18"/>
                <w:szCs w:val="18"/>
              </w:rPr>
              <w:t>n/a</w:t>
            </w:r>
          </w:p>
        </w:tc>
        <w:tc>
          <w:tcPr>
            <w:tcW w:w="3685" w:type="dxa"/>
            <w:vAlign w:val="center"/>
          </w:tcPr>
          <w:p w14:paraId="315AA885" w14:textId="06BAEEEC"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See first release Australian drama above</w:t>
            </w:r>
          </w:p>
        </w:tc>
      </w:tr>
      <w:tr w:rsidR="00683D96" w:rsidRPr="002B39C9" w14:paraId="18589122" w14:textId="63E4D39C" w:rsidTr="00E70BE3">
        <w:trPr>
          <w:cantSplit/>
          <w:trHeight w:val="142"/>
        </w:trPr>
        <w:tc>
          <w:tcPr>
            <w:tcW w:w="3534" w:type="dxa"/>
            <w:shd w:val="clear" w:color="auto" w:fill="auto"/>
            <w:vAlign w:val="center"/>
            <w:hideMark/>
          </w:tcPr>
          <w:p w14:paraId="55008848" w14:textId="5375ABCB"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Triennial quota for first release Australian </w:t>
            </w:r>
            <w:r w:rsidR="00365B07">
              <w:rPr>
                <w:rFonts w:cs="Arial"/>
                <w:color w:val="000000"/>
                <w:sz w:val="18"/>
                <w:szCs w:val="18"/>
              </w:rPr>
              <w:t>children</w:t>
            </w:r>
            <w:r w:rsidRPr="002B39C9">
              <w:rPr>
                <w:rFonts w:cs="Arial"/>
                <w:color w:val="000000"/>
                <w:sz w:val="18"/>
                <w:szCs w:val="18"/>
              </w:rPr>
              <w:t>'s drama</w:t>
            </w:r>
          </w:p>
        </w:tc>
        <w:tc>
          <w:tcPr>
            <w:tcW w:w="3969" w:type="dxa"/>
            <w:shd w:val="clear" w:color="auto" w:fill="auto"/>
            <w:vAlign w:val="center"/>
            <w:hideMark/>
          </w:tcPr>
          <w:p w14:paraId="11E1A3E0" w14:textId="644C5DB1"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96 hours of first release Australian </w:t>
            </w:r>
            <w:r w:rsidR="00365B07">
              <w:rPr>
                <w:rFonts w:cs="Arial"/>
                <w:color w:val="000000"/>
                <w:sz w:val="18"/>
                <w:szCs w:val="18"/>
              </w:rPr>
              <w:t>children</w:t>
            </w:r>
            <w:r w:rsidRPr="002B39C9">
              <w:rPr>
                <w:rFonts w:cs="Arial"/>
                <w:color w:val="000000"/>
                <w:sz w:val="18"/>
                <w:szCs w:val="18"/>
              </w:rPr>
              <w:t>’s drama each triennium</w:t>
            </w:r>
          </w:p>
        </w:tc>
        <w:tc>
          <w:tcPr>
            <w:tcW w:w="2977" w:type="dxa"/>
          </w:tcPr>
          <w:p w14:paraId="54E91620" w14:textId="60B32C0F" w:rsidR="00683D96" w:rsidRPr="002B39C9" w:rsidRDefault="00683D96" w:rsidP="00683D96">
            <w:pPr>
              <w:spacing w:after="0" w:line="240" w:lineRule="auto"/>
              <w:rPr>
                <w:rFonts w:cs="Arial"/>
                <w:color w:val="000000"/>
                <w:sz w:val="18"/>
                <w:szCs w:val="18"/>
              </w:rPr>
            </w:pPr>
            <w:r w:rsidRPr="002177DD">
              <w:rPr>
                <w:rFonts w:cs="Arial"/>
                <w:color w:val="000000"/>
                <w:sz w:val="18"/>
                <w:szCs w:val="18"/>
              </w:rPr>
              <w:t>n/a</w:t>
            </w:r>
          </w:p>
        </w:tc>
        <w:tc>
          <w:tcPr>
            <w:tcW w:w="3685" w:type="dxa"/>
          </w:tcPr>
          <w:p w14:paraId="5C96E123" w14:textId="54AE36B5" w:rsidR="00683D96" w:rsidRPr="002B39C9" w:rsidRDefault="00683D96" w:rsidP="00683D96">
            <w:pPr>
              <w:spacing w:after="0" w:line="240" w:lineRule="auto"/>
              <w:rPr>
                <w:rFonts w:cs="Arial"/>
                <w:color w:val="000000"/>
                <w:sz w:val="18"/>
                <w:szCs w:val="18"/>
              </w:rPr>
            </w:pPr>
            <w:r w:rsidRPr="008D5FA5">
              <w:rPr>
                <w:rFonts w:cs="Arial"/>
                <w:color w:val="000000"/>
                <w:sz w:val="18"/>
                <w:szCs w:val="18"/>
              </w:rPr>
              <w:t>n/a</w:t>
            </w:r>
          </w:p>
        </w:tc>
      </w:tr>
      <w:tr w:rsidR="00683D96" w:rsidRPr="002B39C9" w14:paraId="4D150E78" w14:textId="77C96A24" w:rsidTr="00E70BE3">
        <w:trPr>
          <w:cantSplit/>
          <w:trHeight w:val="111"/>
        </w:trPr>
        <w:tc>
          <w:tcPr>
            <w:tcW w:w="3534" w:type="dxa"/>
            <w:shd w:val="clear" w:color="auto" w:fill="auto"/>
            <w:noWrap/>
            <w:vAlign w:val="center"/>
            <w:hideMark/>
          </w:tcPr>
          <w:p w14:paraId="18C48724" w14:textId="3A758FE0"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Repeat Australian </w:t>
            </w:r>
            <w:r w:rsidR="00365B07">
              <w:rPr>
                <w:rFonts w:cs="Arial"/>
                <w:color w:val="000000"/>
                <w:sz w:val="18"/>
                <w:szCs w:val="18"/>
              </w:rPr>
              <w:t>c</w:t>
            </w:r>
            <w:r w:rsidRPr="002B39C9">
              <w:rPr>
                <w:rFonts w:cs="Arial"/>
                <w:color w:val="000000"/>
                <w:sz w:val="18"/>
                <w:szCs w:val="18"/>
              </w:rPr>
              <w:t>hildren's drama</w:t>
            </w:r>
          </w:p>
        </w:tc>
        <w:tc>
          <w:tcPr>
            <w:tcW w:w="3969" w:type="dxa"/>
            <w:shd w:val="clear" w:color="auto" w:fill="auto"/>
            <w:vAlign w:val="center"/>
            <w:hideMark/>
          </w:tcPr>
          <w:p w14:paraId="6600F071" w14:textId="4B1D6136"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8 hours of repeat Australian </w:t>
            </w:r>
            <w:r w:rsidR="00365B07">
              <w:rPr>
                <w:rFonts w:cs="Arial"/>
                <w:color w:val="000000"/>
                <w:sz w:val="18"/>
                <w:szCs w:val="18"/>
              </w:rPr>
              <w:t>children</w:t>
            </w:r>
            <w:r w:rsidRPr="002B39C9">
              <w:rPr>
                <w:rFonts w:cs="Arial"/>
                <w:color w:val="000000"/>
                <w:sz w:val="18"/>
                <w:szCs w:val="18"/>
              </w:rPr>
              <w:t>’s drama per year</w:t>
            </w:r>
          </w:p>
        </w:tc>
        <w:tc>
          <w:tcPr>
            <w:tcW w:w="2977" w:type="dxa"/>
          </w:tcPr>
          <w:p w14:paraId="464120F1" w14:textId="4127307B" w:rsidR="00683D96" w:rsidRPr="002B39C9" w:rsidRDefault="00683D96" w:rsidP="00683D96">
            <w:pPr>
              <w:spacing w:after="0" w:line="240" w:lineRule="auto"/>
              <w:rPr>
                <w:rFonts w:cs="Arial"/>
                <w:color w:val="000000"/>
                <w:sz w:val="18"/>
                <w:szCs w:val="18"/>
              </w:rPr>
            </w:pPr>
            <w:r w:rsidRPr="002177DD">
              <w:rPr>
                <w:rFonts w:cs="Arial"/>
                <w:color w:val="000000"/>
                <w:sz w:val="18"/>
                <w:szCs w:val="18"/>
              </w:rPr>
              <w:t>n/a</w:t>
            </w:r>
          </w:p>
        </w:tc>
        <w:tc>
          <w:tcPr>
            <w:tcW w:w="3685" w:type="dxa"/>
          </w:tcPr>
          <w:p w14:paraId="04F9EACE" w14:textId="177BACB0" w:rsidR="00683D96" w:rsidRPr="002B39C9" w:rsidRDefault="00683D96" w:rsidP="00683D96">
            <w:pPr>
              <w:spacing w:after="0" w:line="240" w:lineRule="auto"/>
              <w:rPr>
                <w:rFonts w:cs="Arial"/>
                <w:color w:val="000000"/>
                <w:sz w:val="18"/>
                <w:szCs w:val="18"/>
              </w:rPr>
            </w:pPr>
            <w:r w:rsidRPr="008D5FA5">
              <w:rPr>
                <w:rFonts w:cs="Arial"/>
                <w:color w:val="000000"/>
                <w:sz w:val="18"/>
                <w:szCs w:val="18"/>
              </w:rPr>
              <w:t>n/a</w:t>
            </w:r>
          </w:p>
        </w:tc>
      </w:tr>
      <w:tr w:rsidR="00683D96" w:rsidRPr="002B39C9" w14:paraId="6209871C" w14:textId="23A68D52" w:rsidTr="00E70BE3">
        <w:trPr>
          <w:cantSplit/>
          <w:trHeight w:val="20"/>
        </w:trPr>
        <w:tc>
          <w:tcPr>
            <w:tcW w:w="3534" w:type="dxa"/>
            <w:shd w:val="clear" w:color="auto" w:fill="auto"/>
            <w:noWrap/>
            <w:vAlign w:val="center"/>
            <w:hideMark/>
          </w:tcPr>
          <w:p w14:paraId="3BD8EF41" w14:textId="7E9C92C8"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All </w:t>
            </w:r>
            <w:r w:rsidR="00365B07">
              <w:rPr>
                <w:rFonts w:cs="Arial"/>
                <w:color w:val="000000"/>
                <w:sz w:val="18"/>
                <w:szCs w:val="18"/>
              </w:rPr>
              <w:t>children</w:t>
            </w:r>
            <w:r w:rsidRPr="002B39C9">
              <w:rPr>
                <w:rFonts w:cs="Arial"/>
                <w:color w:val="000000"/>
                <w:sz w:val="18"/>
                <w:szCs w:val="18"/>
              </w:rPr>
              <w:t>'s programs</w:t>
            </w:r>
          </w:p>
        </w:tc>
        <w:tc>
          <w:tcPr>
            <w:tcW w:w="3969" w:type="dxa"/>
            <w:shd w:val="clear" w:color="auto" w:fill="auto"/>
            <w:vAlign w:val="center"/>
            <w:hideMark/>
          </w:tcPr>
          <w:p w14:paraId="43CE7273" w14:textId="57B8015C" w:rsidR="00683D96" w:rsidRPr="002B39C9" w:rsidRDefault="00683D96" w:rsidP="00683D96">
            <w:pPr>
              <w:spacing w:after="0" w:line="240" w:lineRule="auto"/>
              <w:rPr>
                <w:rFonts w:cs="Arial"/>
                <w:color w:val="000000"/>
                <w:sz w:val="18"/>
                <w:szCs w:val="18"/>
              </w:rPr>
            </w:pPr>
            <w:r>
              <w:rPr>
                <w:rFonts w:cs="Arial"/>
                <w:color w:val="000000"/>
                <w:sz w:val="18"/>
                <w:szCs w:val="18"/>
              </w:rPr>
              <w:t>n/a</w:t>
            </w:r>
          </w:p>
        </w:tc>
        <w:tc>
          <w:tcPr>
            <w:tcW w:w="2977" w:type="dxa"/>
            <w:vAlign w:val="center"/>
          </w:tcPr>
          <w:p w14:paraId="50394068" w14:textId="49190641"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260 hours of </w:t>
            </w:r>
            <w:r w:rsidR="00365B07">
              <w:rPr>
                <w:rFonts w:cs="Arial"/>
                <w:color w:val="000000"/>
                <w:sz w:val="18"/>
                <w:szCs w:val="18"/>
              </w:rPr>
              <w:t>children</w:t>
            </w:r>
            <w:r w:rsidRPr="002B39C9">
              <w:rPr>
                <w:rFonts w:cs="Arial"/>
                <w:color w:val="000000"/>
                <w:sz w:val="18"/>
                <w:szCs w:val="18"/>
              </w:rPr>
              <w:t>’s programming per year</w:t>
            </w:r>
          </w:p>
        </w:tc>
        <w:tc>
          <w:tcPr>
            <w:tcW w:w="3685" w:type="dxa"/>
          </w:tcPr>
          <w:p w14:paraId="47885A3B" w14:textId="6011D1AA" w:rsidR="00683D96" w:rsidRPr="002B39C9" w:rsidRDefault="00683D96" w:rsidP="00683D96">
            <w:pPr>
              <w:spacing w:after="0" w:line="240" w:lineRule="auto"/>
              <w:rPr>
                <w:rFonts w:cs="Arial"/>
                <w:color w:val="000000"/>
                <w:sz w:val="18"/>
                <w:szCs w:val="18"/>
              </w:rPr>
            </w:pPr>
            <w:r w:rsidRPr="008D5FA5">
              <w:rPr>
                <w:rFonts w:cs="Arial"/>
                <w:color w:val="000000"/>
                <w:sz w:val="18"/>
                <w:szCs w:val="18"/>
              </w:rPr>
              <w:t>n/a</w:t>
            </w:r>
          </w:p>
        </w:tc>
      </w:tr>
      <w:tr w:rsidR="00683D96" w:rsidRPr="002B39C9" w14:paraId="26023197" w14:textId="3F5DCC42" w:rsidTr="00E70BE3">
        <w:trPr>
          <w:cantSplit/>
          <w:trHeight w:val="71"/>
        </w:trPr>
        <w:tc>
          <w:tcPr>
            <w:tcW w:w="3534" w:type="dxa"/>
            <w:shd w:val="clear" w:color="auto" w:fill="auto"/>
            <w:noWrap/>
            <w:vAlign w:val="center"/>
            <w:hideMark/>
          </w:tcPr>
          <w:p w14:paraId="22911524" w14:textId="26A54FBC"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All </w:t>
            </w:r>
            <w:r w:rsidR="00365B07">
              <w:rPr>
                <w:rFonts w:cs="Arial"/>
                <w:color w:val="000000"/>
                <w:sz w:val="18"/>
                <w:szCs w:val="18"/>
              </w:rPr>
              <w:t>children</w:t>
            </w:r>
            <w:r w:rsidRPr="002B39C9">
              <w:rPr>
                <w:rFonts w:cs="Arial"/>
                <w:color w:val="000000"/>
                <w:sz w:val="18"/>
                <w:szCs w:val="18"/>
              </w:rPr>
              <w:t>'s programs</w:t>
            </w:r>
          </w:p>
        </w:tc>
        <w:tc>
          <w:tcPr>
            <w:tcW w:w="3969" w:type="dxa"/>
            <w:shd w:val="clear" w:color="auto" w:fill="auto"/>
            <w:vAlign w:val="center"/>
            <w:hideMark/>
          </w:tcPr>
          <w:p w14:paraId="0D197DF7" w14:textId="60FBC7EA"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 xml:space="preserve">50 per cent of total </w:t>
            </w:r>
            <w:r w:rsidR="00365B07">
              <w:rPr>
                <w:rFonts w:cs="Arial"/>
                <w:color w:val="000000"/>
                <w:sz w:val="18"/>
                <w:szCs w:val="18"/>
              </w:rPr>
              <w:t>children</w:t>
            </w:r>
            <w:r w:rsidRPr="002B39C9">
              <w:rPr>
                <w:rFonts w:cs="Arial"/>
                <w:color w:val="000000"/>
                <w:sz w:val="18"/>
                <w:szCs w:val="18"/>
              </w:rPr>
              <w:t xml:space="preserve">’s programs to be first release Australian </w:t>
            </w:r>
            <w:r w:rsidR="00365B07">
              <w:rPr>
                <w:rFonts w:cs="Arial"/>
                <w:color w:val="000000"/>
                <w:sz w:val="18"/>
                <w:szCs w:val="18"/>
              </w:rPr>
              <w:t>children</w:t>
            </w:r>
            <w:r w:rsidRPr="002B39C9">
              <w:rPr>
                <w:rFonts w:cs="Arial"/>
                <w:color w:val="000000"/>
                <w:sz w:val="18"/>
                <w:szCs w:val="18"/>
              </w:rPr>
              <w:t>’s programs</w:t>
            </w:r>
          </w:p>
        </w:tc>
        <w:tc>
          <w:tcPr>
            <w:tcW w:w="2977" w:type="dxa"/>
          </w:tcPr>
          <w:p w14:paraId="5BB4DE76" w14:textId="36314F8C" w:rsidR="00683D96" w:rsidRPr="002B39C9" w:rsidRDefault="00683D96" w:rsidP="00683D96">
            <w:pPr>
              <w:spacing w:after="0" w:line="240" w:lineRule="auto"/>
              <w:rPr>
                <w:rFonts w:cs="Arial"/>
                <w:color w:val="000000"/>
                <w:sz w:val="18"/>
                <w:szCs w:val="18"/>
              </w:rPr>
            </w:pPr>
            <w:r w:rsidRPr="007F7C14">
              <w:rPr>
                <w:rFonts w:cs="Arial"/>
                <w:color w:val="000000"/>
                <w:sz w:val="18"/>
                <w:szCs w:val="18"/>
              </w:rPr>
              <w:t>n/a</w:t>
            </w:r>
          </w:p>
        </w:tc>
        <w:tc>
          <w:tcPr>
            <w:tcW w:w="3685" w:type="dxa"/>
          </w:tcPr>
          <w:p w14:paraId="0C71C956" w14:textId="1CC58B26" w:rsidR="00683D96" w:rsidRPr="002B39C9" w:rsidRDefault="00683D96" w:rsidP="00683D96">
            <w:pPr>
              <w:spacing w:after="0" w:line="240" w:lineRule="auto"/>
              <w:rPr>
                <w:rFonts w:cs="Arial"/>
                <w:color w:val="000000"/>
                <w:sz w:val="18"/>
                <w:szCs w:val="18"/>
              </w:rPr>
            </w:pPr>
            <w:r w:rsidRPr="007F7C14">
              <w:rPr>
                <w:rFonts w:cs="Arial"/>
                <w:color w:val="000000"/>
                <w:sz w:val="18"/>
                <w:szCs w:val="18"/>
              </w:rPr>
              <w:t>n/a</w:t>
            </w:r>
          </w:p>
        </w:tc>
      </w:tr>
      <w:tr w:rsidR="001154AC" w:rsidRPr="002B39C9" w14:paraId="1DE91A94" w14:textId="043FD814" w:rsidTr="00FD50A7">
        <w:trPr>
          <w:cantSplit/>
          <w:trHeight w:val="20"/>
        </w:trPr>
        <w:tc>
          <w:tcPr>
            <w:tcW w:w="3534" w:type="dxa"/>
            <w:shd w:val="clear" w:color="auto" w:fill="auto"/>
            <w:noWrap/>
            <w:vAlign w:val="center"/>
            <w:hideMark/>
          </w:tcPr>
          <w:p w14:paraId="3D3544EC" w14:textId="77777777"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Pre-school programs</w:t>
            </w:r>
          </w:p>
        </w:tc>
        <w:tc>
          <w:tcPr>
            <w:tcW w:w="3969" w:type="dxa"/>
            <w:shd w:val="clear" w:color="auto" w:fill="auto"/>
            <w:vAlign w:val="center"/>
            <w:hideMark/>
          </w:tcPr>
          <w:p w14:paraId="4238F3AD" w14:textId="6177E9C0" w:rsidR="001154AC" w:rsidRPr="002B39C9" w:rsidRDefault="00683D96" w:rsidP="00683D96">
            <w:pPr>
              <w:spacing w:after="0" w:line="240" w:lineRule="auto"/>
              <w:rPr>
                <w:rFonts w:cs="Arial"/>
                <w:color w:val="000000"/>
                <w:sz w:val="18"/>
                <w:szCs w:val="18"/>
              </w:rPr>
            </w:pPr>
            <w:r>
              <w:rPr>
                <w:rFonts w:cs="Arial"/>
                <w:color w:val="000000"/>
                <w:sz w:val="18"/>
                <w:szCs w:val="18"/>
              </w:rPr>
              <w:t>n/a</w:t>
            </w:r>
          </w:p>
        </w:tc>
        <w:tc>
          <w:tcPr>
            <w:tcW w:w="2977" w:type="dxa"/>
            <w:vAlign w:val="center"/>
          </w:tcPr>
          <w:p w14:paraId="713DD7AD" w14:textId="504F4663"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 xml:space="preserve">130 hours of Australian </w:t>
            </w:r>
            <w:r w:rsidR="00365B07">
              <w:rPr>
                <w:rFonts w:cs="Arial"/>
                <w:color w:val="000000"/>
                <w:sz w:val="18"/>
                <w:szCs w:val="18"/>
              </w:rPr>
              <w:t>preschool</w:t>
            </w:r>
            <w:r w:rsidRPr="002B39C9">
              <w:rPr>
                <w:rFonts w:cs="Arial"/>
                <w:color w:val="000000"/>
                <w:sz w:val="18"/>
                <w:szCs w:val="18"/>
              </w:rPr>
              <w:t xml:space="preserve"> (P) programming per year</w:t>
            </w:r>
          </w:p>
        </w:tc>
        <w:tc>
          <w:tcPr>
            <w:tcW w:w="3685" w:type="dxa"/>
            <w:vAlign w:val="center"/>
          </w:tcPr>
          <w:p w14:paraId="20512426" w14:textId="5354A99A" w:rsidR="001154AC" w:rsidRPr="002B39C9" w:rsidRDefault="001154AC" w:rsidP="00683D96">
            <w:pPr>
              <w:spacing w:after="0" w:line="240" w:lineRule="auto"/>
              <w:rPr>
                <w:rFonts w:cs="Arial"/>
                <w:color w:val="000000"/>
                <w:sz w:val="18"/>
                <w:szCs w:val="18"/>
              </w:rPr>
            </w:pPr>
            <w:r w:rsidRPr="002B39C9">
              <w:rPr>
                <w:rFonts w:cs="Arial"/>
                <w:color w:val="000000"/>
                <w:sz w:val="18"/>
                <w:szCs w:val="18"/>
              </w:rPr>
              <w:t>See children’s non-drama below for first release P programs</w:t>
            </w:r>
          </w:p>
        </w:tc>
      </w:tr>
      <w:tr w:rsidR="00683D96" w:rsidRPr="002B39C9" w14:paraId="0C15EA2B" w14:textId="77777777" w:rsidTr="00E70BE3">
        <w:trPr>
          <w:cantSplit/>
          <w:trHeight w:val="132"/>
        </w:trPr>
        <w:tc>
          <w:tcPr>
            <w:tcW w:w="3534" w:type="dxa"/>
            <w:shd w:val="clear" w:color="auto" w:fill="auto"/>
            <w:noWrap/>
            <w:vAlign w:val="center"/>
          </w:tcPr>
          <w:p w14:paraId="2A774D7D" w14:textId="06A14DFC"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First release children’s non-drama</w:t>
            </w:r>
          </w:p>
        </w:tc>
        <w:tc>
          <w:tcPr>
            <w:tcW w:w="3969" w:type="dxa"/>
            <w:shd w:val="clear" w:color="auto" w:fill="auto"/>
          </w:tcPr>
          <w:p w14:paraId="01635F42" w14:textId="0C4C236D" w:rsidR="00683D96" w:rsidRPr="002B39C9" w:rsidRDefault="00683D96" w:rsidP="00683D96">
            <w:pPr>
              <w:spacing w:after="0" w:line="240" w:lineRule="auto"/>
              <w:rPr>
                <w:rFonts w:cs="Arial"/>
                <w:color w:val="000000"/>
                <w:sz w:val="18"/>
                <w:szCs w:val="18"/>
              </w:rPr>
            </w:pPr>
            <w:r w:rsidRPr="006436C1">
              <w:rPr>
                <w:rFonts w:cs="Arial"/>
                <w:color w:val="000000"/>
                <w:sz w:val="18"/>
                <w:szCs w:val="18"/>
              </w:rPr>
              <w:t>n/a</w:t>
            </w:r>
          </w:p>
        </w:tc>
        <w:tc>
          <w:tcPr>
            <w:tcW w:w="2977" w:type="dxa"/>
          </w:tcPr>
          <w:p w14:paraId="5C4A1475" w14:textId="5FF7CFCF" w:rsidR="00683D96" w:rsidRPr="002B39C9" w:rsidRDefault="00683D96" w:rsidP="00683D96">
            <w:pPr>
              <w:spacing w:after="0" w:line="240" w:lineRule="auto"/>
              <w:rPr>
                <w:rFonts w:cs="Arial"/>
                <w:color w:val="000000"/>
                <w:sz w:val="18"/>
                <w:szCs w:val="18"/>
              </w:rPr>
            </w:pPr>
            <w:r w:rsidRPr="006436C1">
              <w:rPr>
                <w:rFonts w:cs="Arial"/>
                <w:color w:val="000000"/>
                <w:sz w:val="18"/>
                <w:szCs w:val="18"/>
              </w:rPr>
              <w:t>n/a</w:t>
            </w:r>
          </w:p>
        </w:tc>
        <w:tc>
          <w:tcPr>
            <w:tcW w:w="3685" w:type="dxa"/>
            <w:vAlign w:val="center"/>
          </w:tcPr>
          <w:p w14:paraId="20FFB029" w14:textId="7CED93BE"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Points</w:t>
            </w:r>
            <w:r w:rsidRPr="002B39C9">
              <w:rPr>
                <w:rFonts w:cs="Arial"/>
                <w:color w:val="000000"/>
                <w:sz w:val="18"/>
                <w:szCs w:val="18"/>
                <w:vertAlign w:val="superscript"/>
              </w:rPr>
              <w:t>3</w:t>
            </w:r>
            <w:r w:rsidRPr="002B39C9">
              <w:rPr>
                <w:rFonts w:cs="Arial"/>
                <w:color w:val="000000"/>
                <w:sz w:val="18"/>
                <w:szCs w:val="18"/>
              </w:rPr>
              <w:t xml:space="preserve"> per broadcast hour</w:t>
            </w:r>
          </w:p>
        </w:tc>
      </w:tr>
      <w:tr w:rsidR="00683D96" w:rsidRPr="002B39C9" w14:paraId="46AE1A33" w14:textId="77777777" w:rsidTr="00E70BE3">
        <w:trPr>
          <w:cantSplit/>
          <w:trHeight w:val="20"/>
        </w:trPr>
        <w:tc>
          <w:tcPr>
            <w:tcW w:w="3534" w:type="dxa"/>
            <w:shd w:val="clear" w:color="auto" w:fill="auto"/>
            <w:noWrap/>
            <w:vAlign w:val="center"/>
          </w:tcPr>
          <w:p w14:paraId="70070F9E" w14:textId="310AEAF9"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Acquired first release Australian films</w:t>
            </w:r>
          </w:p>
        </w:tc>
        <w:tc>
          <w:tcPr>
            <w:tcW w:w="3969" w:type="dxa"/>
            <w:shd w:val="clear" w:color="auto" w:fill="auto"/>
          </w:tcPr>
          <w:p w14:paraId="45A0073E" w14:textId="40EC0F6B" w:rsidR="00683D96" w:rsidRPr="002B39C9" w:rsidRDefault="00683D96" w:rsidP="00683D96">
            <w:pPr>
              <w:spacing w:after="0" w:line="240" w:lineRule="auto"/>
              <w:rPr>
                <w:rFonts w:cs="Arial"/>
                <w:color w:val="000000"/>
                <w:sz w:val="18"/>
                <w:szCs w:val="18"/>
              </w:rPr>
            </w:pPr>
            <w:r w:rsidRPr="006436C1">
              <w:rPr>
                <w:rFonts w:cs="Arial"/>
                <w:color w:val="000000"/>
                <w:sz w:val="18"/>
                <w:szCs w:val="18"/>
              </w:rPr>
              <w:t>n/a</w:t>
            </w:r>
          </w:p>
        </w:tc>
        <w:tc>
          <w:tcPr>
            <w:tcW w:w="2977" w:type="dxa"/>
          </w:tcPr>
          <w:p w14:paraId="2742C0F9" w14:textId="3B183FD5" w:rsidR="00683D96" w:rsidRPr="002B39C9" w:rsidRDefault="00683D96" w:rsidP="00683D96">
            <w:pPr>
              <w:spacing w:after="0" w:line="240" w:lineRule="auto"/>
              <w:rPr>
                <w:rFonts w:cs="Arial"/>
                <w:color w:val="000000"/>
                <w:sz w:val="18"/>
                <w:szCs w:val="18"/>
              </w:rPr>
            </w:pPr>
            <w:r w:rsidRPr="006436C1">
              <w:rPr>
                <w:rFonts w:cs="Arial"/>
                <w:color w:val="000000"/>
                <w:sz w:val="18"/>
                <w:szCs w:val="18"/>
              </w:rPr>
              <w:t>n/a</w:t>
            </w:r>
          </w:p>
        </w:tc>
        <w:tc>
          <w:tcPr>
            <w:tcW w:w="3685" w:type="dxa"/>
            <w:vAlign w:val="center"/>
          </w:tcPr>
          <w:p w14:paraId="46F1D611" w14:textId="4149E7DE" w:rsidR="00683D96" w:rsidRPr="002B39C9" w:rsidRDefault="00683D96" w:rsidP="00683D96">
            <w:pPr>
              <w:spacing w:after="0" w:line="240" w:lineRule="auto"/>
              <w:rPr>
                <w:rFonts w:cs="Arial"/>
                <w:color w:val="000000"/>
                <w:sz w:val="18"/>
                <w:szCs w:val="18"/>
              </w:rPr>
            </w:pPr>
            <w:r w:rsidRPr="002B39C9">
              <w:rPr>
                <w:rFonts w:cs="Arial"/>
                <w:color w:val="000000"/>
                <w:sz w:val="18"/>
                <w:szCs w:val="18"/>
              </w:rPr>
              <w:t>Points</w:t>
            </w:r>
            <w:r w:rsidRPr="002B39C9">
              <w:rPr>
                <w:rFonts w:cs="Arial"/>
                <w:color w:val="000000"/>
                <w:sz w:val="18"/>
                <w:szCs w:val="18"/>
                <w:vertAlign w:val="superscript"/>
              </w:rPr>
              <w:t>3</w:t>
            </w:r>
            <w:r w:rsidRPr="002B39C9">
              <w:rPr>
                <w:rFonts w:cs="Arial"/>
                <w:color w:val="000000"/>
                <w:sz w:val="18"/>
                <w:szCs w:val="18"/>
              </w:rPr>
              <w:t xml:space="preserve"> allocated per broadcast hour dependant on acquisition cost</w:t>
            </w:r>
          </w:p>
        </w:tc>
      </w:tr>
    </w:tbl>
    <w:p w14:paraId="2B98AA36" w14:textId="3BE8357D" w:rsidR="00C30ACD" w:rsidRPr="00A17B1B" w:rsidRDefault="00C30ACD" w:rsidP="00C30ACD">
      <w:pPr>
        <w:pStyle w:val="Tableheading"/>
        <w:keepLines/>
      </w:pPr>
      <w:r>
        <w:lastRenderedPageBreak/>
        <w:t xml:space="preserve">Format factor </w:t>
      </w:r>
      <w:r w:rsidR="00DF601A">
        <w:t xml:space="preserve">to calculate points per hour broadcast </w:t>
      </w:r>
      <w:r>
        <w:t>under the ACS for first release Australian drama programs</w:t>
      </w:r>
    </w:p>
    <w:tbl>
      <w:tblPr>
        <w:tblStyle w:val="TableGrid1"/>
        <w:tblW w:w="1374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85" w:type="dxa"/>
          <w:left w:w="57" w:type="dxa"/>
          <w:bottom w:w="85" w:type="dxa"/>
          <w:right w:w="57" w:type="dxa"/>
        </w:tblCellMar>
        <w:tblLook w:val="04A0" w:firstRow="1" w:lastRow="0" w:firstColumn="1" w:lastColumn="0" w:noHBand="0" w:noVBand="1"/>
        <w:tblCaption w:val="Table 3: Calculation of formal factor"/>
        <w:tblDescription w:val="This table shows Program type and Format factor"/>
      </w:tblPr>
      <w:tblGrid>
        <w:gridCol w:w="10917"/>
        <w:gridCol w:w="2830"/>
      </w:tblGrid>
      <w:tr w:rsidR="00804FC2" w:rsidRPr="00C30ACD" w14:paraId="0C7867C7" w14:textId="77777777" w:rsidTr="00A17703">
        <w:trPr>
          <w:trHeight w:val="445"/>
          <w:tblHeader/>
        </w:trPr>
        <w:tc>
          <w:tcPr>
            <w:tcW w:w="10917" w:type="dxa"/>
            <w:shd w:val="clear" w:color="auto" w:fill="436AB3"/>
            <w:tcMar>
              <w:top w:w="28" w:type="dxa"/>
              <w:bottom w:w="28" w:type="dxa"/>
            </w:tcMar>
            <w:vAlign w:val="center"/>
          </w:tcPr>
          <w:p w14:paraId="6819EF00" w14:textId="77777777" w:rsidR="00C30ACD" w:rsidRPr="00C30ACD" w:rsidRDefault="00C30ACD" w:rsidP="00816F6D">
            <w:pPr>
              <w:spacing w:after="0"/>
              <w:rPr>
                <w:b/>
                <w:color w:val="FFFFFF"/>
              </w:rPr>
            </w:pPr>
            <w:r w:rsidRPr="00C30ACD">
              <w:rPr>
                <w:b/>
                <w:color w:val="FFFFFF"/>
              </w:rPr>
              <w:t>Program type</w:t>
            </w:r>
          </w:p>
        </w:tc>
        <w:tc>
          <w:tcPr>
            <w:tcW w:w="2830" w:type="dxa"/>
            <w:shd w:val="clear" w:color="auto" w:fill="436AB3"/>
            <w:tcMar>
              <w:top w:w="28" w:type="dxa"/>
              <w:bottom w:w="28" w:type="dxa"/>
            </w:tcMar>
            <w:vAlign w:val="center"/>
          </w:tcPr>
          <w:p w14:paraId="45F2BE39" w14:textId="77777777" w:rsidR="00C30ACD" w:rsidRPr="00C30ACD" w:rsidRDefault="00C30ACD" w:rsidP="00816F6D">
            <w:pPr>
              <w:spacing w:after="0"/>
              <w:jc w:val="center"/>
              <w:rPr>
                <w:b/>
                <w:color w:val="FFFFFF"/>
              </w:rPr>
            </w:pPr>
            <w:r w:rsidRPr="00C30ACD">
              <w:rPr>
                <w:b/>
                <w:color w:val="FFFFFF"/>
              </w:rPr>
              <w:t>Format factor</w:t>
            </w:r>
          </w:p>
        </w:tc>
      </w:tr>
      <w:tr w:rsidR="00C30ACD" w:rsidRPr="00C30ACD" w14:paraId="0F2118D6" w14:textId="77777777" w:rsidTr="00A17703">
        <w:trPr>
          <w:trHeight w:val="365"/>
        </w:trPr>
        <w:tc>
          <w:tcPr>
            <w:tcW w:w="10917" w:type="dxa"/>
            <w:tcMar>
              <w:top w:w="28" w:type="dxa"/>
              <w:bottom w:w="28" w:type="dxa"/>
            </w:tcMar>
            <w:vAlign w:val="center"/>
          </w:tcPr>
          <w:p w14:paraId="0231F352" w14:textId="77777777" w:rsidR="00C30ACD" w:rsidRPr="00816F6D" w:rsidRDefault="00C30ACD" w:rsidP="00816F6D">
            <w:pPr>
              <w:keepNext/>
              <w:keepLines/>
              <w:spacing w:after="0"/>
              <w:ind w:left="82"/>
              <w:rPr>
                <w:rFonts w:cs="Arial"/>
              </w:rPr>
            </w:pPr>
            <w:r w:rsidRPr="00816F6D">
              <w:rPr>
                <w:rFonts w:cs="Arial"/>
              </w:rPr>
              <w:t>Australian drama series or serial produced at the rate of more than one hour per week</w:t>
            </w:r>
          </w:p>
        </w:tc>
        <w:tc>
          <w:tcPr>
            <w:tcW w:w="2830" w:type="dxa"/>
            <w:tcMar>
              <w:top w:w="28" w:type="dxa"/>
              <w:bottom w:w="28" w:type="dxa"/>
            </w:tcMar>
            <w:vAlign w:val="center"/>
          </w:tcPr>
          <w:p w14:paraId="515042D7"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1</w:t>
            </w:r>
          </w:p>
        </w:tc>
      </w:tr>
      <w:tr w:rsidR="00C30ACD" w:rsidRPr="00C30ACD" w14:paraId="195466A4" w14:textId="77777777" w:rsidTr="00A17703">
        <w:trPr>
          <w:trHeight w:val="354"/>
        </w:trPr>
        <w:tc>
          <w:tcPr>
            <w:tcW w:w="10917" w:type="dxa"/>
            <w:tcMar>
              <w:top w:w="28" w:type="dxa"/>
              <w:bottom w:w="28" w:type="dxa"/>
            </w:tcMar>
            <w:vAlign w:val="center"/>
          </w:tcPr>
          <w:p w14:paraId="03C29559" w14:textId="77777777" w:rsidR="00C30ACD" w:rsidRPr="00816F6D" w:rsidRDefault="00C30ACD" w:rsidP="00816F6D">
            <w:pPr>
              <w:keepNext/>
              <w:keepLines/>
              <w:spacing w:after="0"/>
              <w:ind w:left="82"/>
              <w:rPr>
                <w:rFonts w:cs="Arial"/>
              </w:rPr>
            </w:pPr>
            <w:r w:rsidRPr="00816F6D">
              <w:rPr>
                <w:rFonts w:cs="Arial"/>
              </w:rPr>
              <w:t>Australian drama series or serial produced at a rate of one hour or less per week</w:t>
            </w:r>
          </w:p>
        </w:tc>
        <w:tc>
          <w:tcPr>
            <w:tcW w:w="2830" w:type="dxa"/>
            <w:tcMar>
              <w:top w:w="28" w:type="dxa"/>
              <w:bottom w:w="28" w:type="dxa"/>
            </w:tcMar>
            <w:vAlign w:val="center"/>
          </w:tcPr>
          <w:p w14:paraId="5AE8355F"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2.5</w:t>
            </w:r>
          </w:p>
        </w:tc>
      </w:tr>
      <w:tr w:rsidR="00C30ACD" w:rsidRPr="00C30ACD" w14:paraId="110F29BA" w14:textId="77777777" w:rsidTr="00A17703">
        <w:trPr>
          <w:trHeight w:val="614"/>
        </w:trPr>
        <w:tc>
          <w:tcPr>
            <w:tcW w:w="10917" w:type="dxa"/>
            <w:tcMar>
              <w:top w:w="28" w:type="dxa"/>
              <w:bottom w:w="28" w:type="dxa"/>
            </w:tcMar>
            <w:vAlign w:val="center"/>
          </w:tcPr>
          <w:p w14:paraId="55F24EFC" w14:textId="77777777" w:rsidR="00C30ACD" w:rsidRPr="00816F6D" w:rsidRDefault="00C30ACD" w:rsidP="00816F6D">
            <w:pPr>
              <w:keepNext/>
              <w:keepLines/>
              <w:spacing w:after="0"/>
              <w:ind w:left="82"/>
              <w:rPr>
                <w:rFonts w:cs="Arial"/>
              </w:rPr>
            </w:pPr>
            <w:r w:rsidRPr="00816F6D">
              <w:rPr>
                <w:rFonts w:cs="Arial"/>
              </w:rPr>
              <w:t>Australian drama series or serial produced at a rate of one hour or less per week and acquired from an independent producer for a licence fee of at least $434,000 per hour (adjusted for CPI)</w:t>
            </w:r>
          </w:p>
        </w:tc>
        <w:tc>
          <w:tcPr>
            <w:tcW w:w="2830" w:type="dxa"/>
            <w:tcMar>
              <w:top w:w="28" w:type="dxa"/>
              <w:bottom w:w="28" w:type="dxa"/>
            </w:tcMar>
            <w:vAlign w:val="center"/>
          </w:tcPr>
          <w:p w14:paraId="4BCCF63C"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3</w:t>
            </w:r>
          </w:p>
        </w:tc>
      </w:tr>
      <w:tr w:rsidR="00C30ACD" w:rsidRPr="00C30ACD" w14:paraId="5A53CF8B" w14:textId="77777777" w:rsidTr="00A17703">
        <w:trPr>
          <w:trHeight w:val="367"/>
        </w:trPr>
        <w:tc>
          <w:tcPr>
            <w:tcW w:w="10917" w:type="dxa"/>
            <w:tcMar>
              <w:top w:w="28" w:type="dxa"/>
              <w:bottom w:w="28" w:type="dxa"/>
            </w:tcMar>
            <w:vAlign w:val="center"/>
          </w:tcPr>
          <w:p w14:paraId="0DC07474" w14:textId="77777777" w:rsidR="00C30ACD" w:rsidRPr="00816F6D" w:rsidRDefault="00C30ACD" w:rsidP="00816F6D">
            <w:pPr>
              <w:keepNext/>
              <w:keepLines/>
              <w:spacing w:after="0"/>
              <w:ind w:left="82"/>
              <w:rPr>
                <w:rFonts w:cs="Arial"/>
              </w:rPr>
            </w:pPr>
            <w:r w:rsidRPr="00816F6D">
              <w:rPr>
                <w:rFonts w:cs="Arial"/>
              </w:rPr>
              <w:t>Australian feature film</w:t>
            </w:r>
          </w:p>
        </w:tc>
        <w:tc>
          <w:tcPr>
            <w:tcW w:w="2830" w:type="dxa"/>
            <w:tcMar>
              <w:top w:w="28" w:type="dxa"/>
              <w:bottom w:w="28" w:type="dxa"/>
            </w:tcMar>
            <w:vAlign w:val="center"/>
          </w:tcPr>
          <w:p w14:paraId="2B403C3E"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2.5</w:t>
            </w:r>
          </w:p>
        </w:tc>
      </w:tr>
      <w:tr w:rsidR="00C30ACD" w:rsidRPr="00C30ACD" w14:paraId="01AF5C9C" w14:textId="77777777" w:rsidTr="00A17703">
        <w:trPr>
          <w:trHeight w:val="408"/>
        </w:trPr>
        <w:tc>
          <w:tcPr>
            <w:tcW w:w="10917" w:type="dxa"/>
            <w:tcMar>
              <w:top w:w="28" w:type="dxa"/>
              <w:bottom w:w="28" w:type="dxa"/>
            </w:tcMar>
            <w:vAlign w:val="center"/>
          </w:tcPr>
          <w:p w14:paraId="5C4DEA1A" w14:textId="77777777" w:rsidR="00C30ACD" w:rsidRPr="00816F6D" w:rsidRDefault="00C30ACD" w:rsidP="00816F6D">
            <w:pPr>
              <w:keepNext/>
              <w:keepLines/>
              <w:spacing w:after="0"/>
              <w:ind w:left="82"/>
              <w:rPr>
                <w:rFonts w:cs="Arial"/>
              </w:rPr>
            </w:pPr>
            <w:r w:rsidRPr="00816F6D">
              <w:rPr>
                <w:rFonts w:cs="Arial"/>
              </w:rPr>
              <w:t>Australian feature film that has been acquired for a licence fee of at least $218,000</w:t>
            </w:r>
          </w:p>
        </w:tc>
        <w:tc>
          <w:tcPr>
            <w:tcW w:w="2830" w:type="dxa"/>
            <w:tcMar>
              <w:top w:w="28" w:type="dxa"/>
              <w:bottom w:w="28" w:type="dxa"/>
            </w:tcMar>
            <w:vAlign w:val="center"/>
          </w:tcPr>
          <w:p w14:paraId="341AC2C9"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4</w:t>
            </w:r>
          </w:p>
        </w:tc>
      </w:tr>
      <w:tr w:rsidR="00C30ACD" w:rsidRPr="00C30ACD" w14:paraId="182164AE" w14:textId="77777777" w:rsidTr="00A17703">
        <w:trPr>
          <w:trHeight w:val="358"/>
        </w:trPr>
        <w:tc>
          <w:tcPr>
            <w:tcW w:w="10917" w:type="dxa"/>
            <w:tcMar>
              <w:top w:w="28" w:type="dxa"/>
              <w:bottom w:w="28" w:type="dxa"/>
            </w:tcMar>
            <w:vAlign w:val="center"/>
          </w:tcPr>
          <w:p w14:paraId="3F807A01" w14:textId="77777777" w:rsidR="00C30ACD" w:rsidRPr="00816F6D" w:rsidRDefault="00C30ACD" w:rsidP="00816F6D">
            <w:pPr>
              <w:keepNext/>
              <w:keepLines/>
              <w:spacing w:after="0"/>
              <w:ind w:left="82"/>
              <w:rPr>
                <w:rFonts w:cs="Arial"/>
              </w:rPr>
            </w:pPr>
            <w:r w:rsidRPr="00816F6D">
              <w:rPr>
                <w:rFonts w:cs="Arial"/>
              </w:rPr>
              <w:t>Australian telemovie, mini-series or self-contained drama of less than 90 minutes duration</w:t>
            </w:r>
          </w:p>
        </w:tc>
        <w:tc>
          <w:tcPr>
            <w:tcW w:w="2830" w:type="dxa"/>
            <w:tcMar>
              <w:top w:w="28" w:type="dxa"/>
              <w:bottom w:w="28" w:type="dxa"/>
            </w:tcMar>
            <w:vAlign w:val="center"/>
          </w:tcPr>
          <w:p w14:paraId="3ED54E16" w14:textId="77777777" w:rsidR="00C30ACD" w:rsidRPr="00C30ACD" w:rsidRDefault="00C30ACD" w:rsidP="00816F6D">
            <w:pPr>
              <w:spacing w:after="0"/>
              <w:jc w:val="center"/>
              <w:rPr>
                <w:rFonts w:eastAsia="Cambria"/>
                <w:lang w:val="en-US" w:eastAsia="en-US"/>
              </w:rPr>
            </w:pPr>
            <w:r w:rsidRPr="00C30ACD">
              <w:rPr>
                <w:rFonts w:eastAsia="Cambria"/>
                <w:lang w:val="en-US" w:eastAsia="en-US"/>
              </w:rPr>
              <w:t>4</w:t>
            </w:r>
          </w:p>
        </w:tc>
      </w:tr>
    </w:tbl>
    <w:p w14:paraId="685000AB" w14:textId="77777777" w:rsidR="00683D96" w:rsidRDefault="00683D96" w:rsidP="00683D96">
      <w:pPr>
        <w:pStyle w:val="Tableheading"/>
        <w:keepLines/>
        <w:numPr>
          <w:ilvl w:val="0"/>
          <w:numId w:val="0"/>
        </w:numPr>
        <w:ind w:left="964" w:hanging="964"/>
      </w:pPr>
      <w:bookmarkStart w:id="18" w:name="_Toc110945762"/>
    </w:p>
    <w:p w14:paraId="01C1EE83" w14:textId="6337A208" w:rsidR="00C30ACD" w:rsidRPr="00D544C3" w:rsidRDefault="00C30ACD" w:rsidP="00C30ACD">
      <w:pPr>
        <w:pStyle w:val="Tableheading"/>
        <w:keepLines/>
      </w:pPr>
      <w:r>
        <w:t>P</w:t>
      </w:r>
      <w:r w:rsidRPr="00D544C3">
        <w:t>oints allocation across genres</w:t>
      </w:r>
      <w:bookmarkEnd w:id="18"/>
      <w:r>
        <w:t xml:space="preserve"> under the ACCTS</w:t>
      </w:r>
    </w:p>
    <w:tbl>
      <w:tblPr>
        <w:tblStyle w:val="TableGrid"/>
        <w:tblW w:w="5000" w:type="pct"/>
        <w:tblCellMar>
          <w:top w:w="85" w:type="dxa"/>
          <w:left w:w="57" w:type="dxa"/>
          <w:bottom w:w="85" w:type="dxa"/>
          <w:right w:w="57" w:type="dxa"/>
        </w:tblCellMar>
        <w:tblLook w:val="04A0" w:firstRow="1" w:lastRow="0" w:firstColumn="1" w:lastColumn="0" w:noHBand="0" w:noVBand="1"/>
      </w:tblPr>
      <w:tblGrid>
        <w:gridCol w:w="10911"/>
        <w:gridCol w:w="2838"/>
      </w:tblGrid>
      <w:tr w:rsidR="00C30ACD" w:rsidRPr="0090648F" w14:paraId="6B1E7C05" w14:textId="77777777" w:rsidTr="00816F6D">
        <w:trPr>
          <w:trHeight w:val="391"/>
          <w:tblHeader/>
        </w:trPr>
        <w:tc>
          <w:tcPr>
            <w:tcW w:w="3968" w:type="pct"/>
            <w:tcBorders>
              <w:top w:val="single" w:sz="4" w:space="0" w:color="auto"/>
              <w:left w:val="single" w:sz="4" w:space="0" w:color="auto"/>
              <w:bottom w:val="single" w:sz="4" w:space="0" w:color="auto"/>
              <w:right w:val="single" w:sz="4" w:space="0" w:color="auto"/>
            </w:tcBorders>
            <w:shd w:val="clear" w:color="auto" w:fill="8797CC"/>
            <w:vAlign w:val="center"/>
            <w:hideMark/>
          </w:tcPr>
          <w:p w14:paraId="07E7BE2F" w14:textId="77777777" w:rsidR="00C30ACD" w:rsidRPr="0090648F" w:rsidRDefault="00C30ACD" w:rsidP="00816F6D">
            <w:pPr>
              <w:keepNext/>
              <w:keepLines/>
              <w:spacing w:after="0"/>
              <w:rPr>
                <w:rFonts w:eastAsiaTheme="minorHAnsi" w:cs="Arial"/>
                <w:b/>
                <w:bCs/>
                <w:color w:val="FFFFFF" w:themeColor="background1"/>
                <w:szCs w:val="20"/>
              </w:rPr>
            </w:pPr>
            <w:r w:rsidRPr="0090648F">
              <w:rPr>
                <w:rFonts w:cs="Arial"/>
                <w:b/>
                <w:bCs/>
                <w:color w:val="FFFFFF" w:themeColor="background1"/>
                <w:szCs w:val="20"/>
              </w:rPr>
              <w:t>Genre</w:t>
            </w:r>
          </w:p>
        </w:tc>
        <w:tc>
          <w:tcPr>
            <w:tcW w:w="1032" w:type="pct"/>
            <w:tcBorders>
              <w:top w:val="single" w:sz="4" w:space="0" w:color="auto"/>
              <w:left w:val="single" w:sz="4" w:space="0" w:color="auto"/>
              <w:bottom w:val="single" w:sz="4" w:space="0" w:color="auto"/>
              <w:right w:val="single" w:sz="4" w:space="0" w:color="auto"/>
            </w:tcBorders>
            <w:shd w:val="clear" w:color="auto" w:fill="8797CC"/>
            <w:vAlign w:val="center"/>
            <w:hideMark/>
          </w:tcPr>
          <w:p w14:paraId="6077B318" w14:textId="77777777" w:rsidR="00C30ACD" w:rsidRPr="0090648F" w:rsidRDefault="00C30ACD" w:rsidP="00816F6D">
            <w:pPr>
              <w:keepNext/>
              <w:keepLines/>
              <w:spacing w:after="0"/>
              <w:jc w:val="center"/>
              <w:rPr>
                <w:rFonts w:cs="Arial"/>
                <w:b/>
                <w:bCs/>
                <w:color w:val="FFFFFF" w:themeColor="background1"/>
                <w:szCs w:val="20"/>
              </w:rPr>
            </w:pPr>
            <w:r w:rsidRPr="0090648F">
              <w:rPr>
                <w:rFonts w:cs="Arial"/>
                <w:b/>
                <w:bCs/>
                <w:color w:val="FFFFFF" w:themeColor="background1"/>
                <w:szCs w:val="20"/>
              </w:rPr>
              <w:t>Points per hour broadcast</w:t>
            </w:r>
          </w:p>
        </w:tc>
      </w:tr>
      <w:tr w:rsidR="00C30ACD" w:rsidRPr="0090648F" w14:paraId="14AF9839"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0B88B458"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documentary program (capped at a maximum 50 points per calendar year)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167B566F" w14:textId="77777777" w:rsidR="00C30ACD" w:rsidRPr="0090648F" w:rsidRDefault="00C30ACD" w:rsidP="00816F6D">
            <w:pPr>
              <w:keepNext/>
              <w:keepLines/>
              <w:spacing w:after="0"/>
              <w:jc w:val="center"/>
              <w:rPr>
                <w:rFonts w:cs="Arial"/>
                <w:szCs w:val="20"/>
              </w:rPr>
            </w:pPr>
            <w:r w:rsidRPr="0090648F">
              <w:rPr>
                <w:rFonts w:cs="Arial"/>
                <w:szCs w:val="20"/>
              </w:rPr>
              <w:t>1</w:t>
            </w:r>
          </w:p>
        </w:tc>
      </w:tr>
      <w:tr w:rsidR="00C30ACD" w:rsidRPr="0090648F" w14:paraId="19A0C292"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2F6F8984"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children’s program (non-drama)</w:t>
            </w:r>
          </w:p>
        </w:tc>
        <w:tc>
          <w:tcPr>
            <w:tcW w:w="1032" w:type="pct"/>
            <w:tcBorders>
              <w:top w:val="single" w:sz="4" w:space="0" w:color="auto"/>
              <w:left w:val="single" w:sz="4" w:space="0" w:color="auto"/>
              <w:bottom w:val="single" w:sz="4" w:space="0" w:color="auto"/>
              <w:right w:val="single" w:sz="4" w:space="0" w:color="auto"/>
            </w:tcBorders>
            <w:vAlign w:val="center"/>
            <w:hideMark/>
          </w:tcPr>
          <w:p w14:paraId="64FB5961" w14:textId="77777777" w:rsidR="00C30ACD" w:rsidRPr="0090648F" w:rsidRDefault="00C30ACD" w:rsidP="00816F6D">
            <w:pPr>
              <w:keepNext/>
              <w:keepLines/>
              <w:spacing w:after="0"/>
              <w:jc w:val="center"/>
              <w:rPr>
                <w:rFonts w:cs="Arial"/>
                <w:szCs w:val="20"/>
              </w:rPr>
            </w:pPr>
            <w:r w:rsidRPr="0090648F">
              <w:rPr>
                <w:rFonts w:cs="Arial"/>
                <w:szCs w:val="20"/>
              </w:rPr>
              <w:t>1.5</w:t>
            </w:r>
          </w:p>
        </w:tc>
      </w:tr>
      <w:tr w:rsidR="00C30ACD" w:rsidRPr="0090648F" w14:paraId="5C585060"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475516D5"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drama program (less than or equal to $450,000 production budget per hour)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2659C146" w14:textId="77777777" w:rsidR="00C30ACD" w:rsidRPr="0090648F" w:rsidRDefault="00C30ACD" w:rsidP="00816F6D">
            <w:pPr>
              <w:keepNext/>
              <w:keepLines/>
              <w:spacing w:after="0"/>
              <w:jc w:val="center"/>
              <w:rPr>
                <w:rFonts w:cs="Arial"/>
                <w:szCs w:val="20"/>
              </w:rPr>
            </w:pPr>
            <w:r w:rsidRPr="0090648F">
              <w:rPr>
                <w:rFonts w:cs="Arial"/>
                <w:szCs w:val="20"/>
              </w:rPr>
              <w:t>1.5</w:t>
            </w:r>
          </w:p>
        </w:tc>
      </w:tr>
      <w:tr w:rsidR="00C30ACD" w:rsidRPr="0090648F" w14:paraId="23D257D3"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43106AAF"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drama program (more than $450,000 up to $700,000 production budget per hour)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67D9A66B" w14:textId="77777777" w:rsidR="00C30ACD" w:rsidRPr="0090648F" w:rsidRDefault="00C30ACD" w:rsidP="00816F6D">
            <w:pPr>
              <w:keepNext/>
              <w:keepLines/>
              <w:spacing w:after="0"/>
              <w:jc w:val="center"/>
              <w:rPr>
                <w:rFonts w:cs="Arial"/>
                <w:szCs w:val="20"/>
              </w:rPr>
            </w:pPr>
            <w:r w:rsidRPr="0090648F">
              <w:rPr>
                <w:rFonts w:cs="Arial"/>
                <w:szCs w:val="20"/>
              </w:rPr>
              <w:t>4</w:t>
            </w:r>
          </w:p>
        </w:tc>
      </w:tr>
      <w:tr w:rsidR="00C30ACD" w:rsidRPr="0090648F" w14:paraId="26F3E900"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57800448"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drama program (more than $700,000 up to $1,000,000 production budget per hour)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653114B2" w14:textId="77777777" w:rsidR="00C30ACD" w:rsidRPr="0090648F" w:rsidRDefault="00C30ACD" w:rsidP="00816F6D">
            <w:pPr>
              <w:keepNext/>
              <w:keepLines/>
              <w:spacing w:after="0"/>
              <w:jc w:val="center"/>
              <w:rPr>
                <w:rFonts w:cs="Arial"/>
                <w:szCs w:val="20"/>
              </w:rPr>
            </w:pPr>
            <w:r w:rsidRPr="0090648F">
              <w:rPr>
                <w:rFonts w:cs="Arial"/>
                <w:szCs w:val="20"/>
              </w:rPr>
              <w:t>5</w:t>
            </w:r>
          </w:p>
        </w:tc>
      </w:tr>
      <w:tr w:rsidR="00C30ACD" w:rsidRPr="0090648F" w14:paraId="41CB7AA5"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763E73E6"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drama program (more than $1,000,000 up to $1,400,000 production budget per hour)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54F122A8" w14:textId="77777777" w:rsidR="00C30ACD" w:rsidRPr="0090648F" w:rsidRDefault="00C30ACD" w:rsidP="00816F6D">
            <w:pPr>
              <w:keepNext/>
              <w:keepLines/>
              <w:spacing w:after="0"/>
              <w:jc w:val="center"/>
              <w:rPr>
                <w:rFonts w:cs="Arial"/>
                <w:szCs w:val="20"/>
              </w:rPr>
            </w:pPr>
            <w:r w:rsidRPr="0090648F">
              <w:rPr>
                <w:rFonts w:cs="Arial"/>
                <w:szCs w:val="20"/>
              </w:rPr>
              <w:t>6</w:t>
            </w:r>
          </w:p>
        </w:tc>
      </w:tr>
      <w:tr w:rsidR="00C30ACD" w:rsidRPr="0090648F" w14:paraId="3D2D1DB5"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362CF032" w14:textId="77777777" w:rsidR="00C30ACD" w:rsidRPr="0090648F" w:rsidRDefault="00C30ACD" w:rsidP="00816F6D">
            <w:pPr>
              <w:keepNext/>
              <w:keepLines/>
              <w:spacing w:after="0"/>
              <w:ind w:left="82"/>
              <w:rPr>
                <w:rFonts w:cs="Arial"/>
                <w:szCs w:val="20"/>
              </w:rPr>
            </w:pPr>
            <w:r w:rsidRPr="0090648F">
              <w:rPr>
                <w:rFonts w:cs="Arial"/>
                <w:szCs w:val="20"/>
              </w:rPr>
              <w:t>Commissioned first release Australian drama program (more than $1,400,000 production budget per hour)</w:t>
            </w:r>
          </w:p>
        </w:tc>
        <w:tc>
          <w:tcPr>
            <w:tcW w:w="1032" w:type="pct"/>
            <w:tcBorders>
              <w:top w:val="single" w:sz="4" w:space="0" w:color="auto"/>
              <w:left w:val="single" w:sz="4" w:space="0" w:color="auto"/>
              <w:bottom w:val="single" w:sz="4" w:space="0" w:color="auto"/>
              <w:right w:val="single" w:sz="4" w:space="0" w:color="auto"/>
            </w:tcBorders>
            <w:vAlign w:val="center"/>
            <w:hideMark/>
          </w:tcPr>
          <w:p w14:paraId="75078959" w14:textId="77777777" w:rsidR="00C30ACD" w:rsidRPr="0090648F" w:rsidRDefault="00C30ACD" w:rsidP="00816F6D">
            <w:pPr>
              <w:keepNext/>
              <w:keepLines/>
              <w:spacing w:after="0"/>
              <w:jc w:val="center"/>
              <w:rPr>
                <w:rFonts w:cs="Arial"/>
                <w:szCs w:val="20"/>
              </w:rPr>
            </w:pPr>
            <w:r w:rsidRPr="0090648F">
              <w:rPr>
                <w:rFonts w:cs="Arial"/>
                <w:szCs w:val="20"/>
              </w:rPr>
              <w:t>7</w:t>
            </w:r>
          </w:p>
        </w:tc>
      </w:tr>
      <w:tr w:rsidR="00C30ACD" w:rsidRPr="0090648F" w14:paraId="4321E328"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06D984B2" w14:textId="77777777" w:rsidR="00C30ACD" w:rsidRPr="0090648F" w:rsidRDefault="00C30ACD" w:rsidP="00816F6D">
            <w:pPr>
              <w:keepNext/>
              <w:keepLines/>
              <w:spacing w:after="0"/>
              <w:ind w:left="82"/>
              <w:rPr>
                <w:rFonts w:cs="Arial"/>
                <w:szCs w:val="20"/>
              </w:rPr>
            </w:pPr>
            <w:r w:rsidRPr="0090648F">
              <w:rPr>
                <w:rFonts w:cs="Arial"/>
                <w:szCs w:val="20"/>
              </w:rPr>
              <w:t>Acquired first release Australian film (licence fee per film less than $50,000)</w:t>
            </w:r>
          </w:p>
        </w:tc>
        <w:tc>
          <w:tcPr>
            <w:tcW w:w="1032" w:type="pct"/>
            <w:tcBorders>
              <w:top w:val="single" w:sz="4" w:space="0" w:color="auto"/>
              <w:left w:val="single" w:sz="4" w:space="0" w:color="auto"/>
              <w:bottom w:val="single" w:sz="4" w:space="0" w:color="auto"/>
              <w:right w:val="single" w:sz="4" w:space="0" w:color="auto"/>
            </w:tcBorders>
            <w:vAlign w:val="center"/>
            <w:hideMark/>
          </w:tcPr>
          <w:p w14:paraId="61C44F45" w14:textId="77777777" w:rsidR="00C30ACD" w:rsidRPr="0090648F" w:rsidRDefault="00C30ACD" w:rsidP="00816F6D">
            <w:pPr>
              <w:keepNext/>
              <w:keepLines/>
              <w:spacing w:after="0"/>
              <w:jc w:val="center"/>
              <w:rPr>
                <w:rFonts w:cs="Arial"/>
                <w:szCs w:val="20"/>
              </w:rPr>
            </w:pPr>
            <w:r w:rsidRPr="0090648F">
              <w:rPr>
                <w:rFonts w:cs="Arial"/>
                <w:szCs w:val="20"/>
              </w:rPr>
              <w:t>1</w:t>
            </w:r>
          </w:p>
        </w:tc>
      </w:tr>
      <w:tr w:rsidR="00C30ACD" w:rsidRPr="0090648F" w14:paraId="3720CD1B" w14:textId="77777777" w:rsidTr="00816F6D">
        <w:tc>
          <w:tcPr>
            <w:tcW w:w="3968" w:type="pct"/>
            <w:tcBorders>
              <w:top w:val="single" w:sz="4" w:space="0" w:color="auto"/>
              <w:left w:val="single" w:sz="4" w:space="0" w:color="auto"/>
              <w:bottom w:val="single" w:sz="4" w:space="0" w:color="auto"/>
              <w:right w:val="single" w:sz="4" w:space="0" w:color="auto"/>
            </w:tcBorders>
            <w:vAlign w:val="center"/>
            <w:hideMark/>
          </w:tcPr>
          <w:p w14:paraId="06144E40" w14:textId="77777777" w:rsidR="00C30ACD" w:rsidRPr="0090648F" w:rsidRDefault="00C30ACD" w:rsidP="00816F6D">
            <w:pPr>
              <w:keepNext/>
              <w:keepLines/>
              <w:spacing w:after="0"/>
              <w:ind w:left="82"/>
              <w:rPr>
                <w:rFonts w:cs="Arial"/>
                <w:szCs w:val="20"/>
              </w:rPr>
            </w:pPr>
            <w:r w:rsidRPr="0090648F">
              <w:rPr>
                <w:rFonts w:cs="Arial"/>
                <w:szCs w:val="20"/>
              </w:rPr>
              <w:t>Acquired first release Australian film (licence fee per film equal to or more than $50,000)</w:t>
            </w:r>
          </w:p>
        </w:tc>
        <w:tc>
          <w:tcPr>
            <w:tcW w:w="1032" w:type="pct"/>
            <w:tcBorders>
              <w:top w:val="single" w:sz="4" w:space="0" w:color="auto"/>
              <w:left w:val="single" w:sz="4" w:space="0" w:color="auto"/>
              <w:bottom w:val="single" w:sz="4" w:space="0" w:color="auto"/>
              <w:right w:val="single" w:sz="4" w:space="0" w:color="auto"/>
            </w:tcBorders>
            <w:vAlign w:val="center"/>
            <w:hideMark/>
          </w:tcPr>
          <w:p w14:paraId="540AA31F" w14:textId="77777777" w:rsidR="00C30ACD" w:rsidRPr="0090648F" w:rsidRDefault="00C30ACD" w:rsidP="00816F6D">
            <w:pPr>
              <w:keepNext/>
              <w:keepLines/>
              <w:spacing w:after="0"/>
              <w:jc w:val="center"/>
              <w:rPr>
                <w:rFonts w:cs="Arial"/>
                <w:szCs w:val="20"/>
              </w:rPr>
            </w:pPr>
            <w:r w:rsidRPr="0090648F">
              <w:rPr>
                <w:rFonts w:cs="Arial"/>
                <w:szCs w:val="20"/>
              </w:rPr>
              <w:t>2</w:t>
            </w:r>
          </w:p>
        </w:tc>
      </w:tr>
    </w:tbl>
    <w:p w14:paraId="6EF32AE8" w14:textId="77777777" w:rsidR="00C30ACD" w:rsidRPr="00A17B1B" w:rsidRDefault="00C30ACD" w:rsidP="000B1568">
      <w:pPr>
        <w:pStyle w:val="Paragraph"/>
      </w:pPr>
    </w:p>
    <w:sectPr w:rsidR="00C30ACD" w:rsidRPr="00A17B1B" w:rsidSect="00FA1ABE">
      <w:pgSz w:w="16838" w:h="11906" w:orient="landscape" w:code="9"/>
      <w:pgMar w:top="1134" w:right="1945" w:bottom="709"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2D234" w14:textId="77777777" w:rsidR="001878B5" w:rsidRDefault="001878B5">
      <w:r>
        <w:separator/>
      </w:r>
    </w:p>
  </w:endnote>
  <w:endnote w:type="continuationSeparator" w:id="0">
    <w:p w14:paraId="2156EE70" w14:textId="77777777" w:rsidR="001878B5" w:rsidRDefault="001878B5">
      <w:r>
        <w:continuationSeparator/>
      </w:r>
    </w:p>
  </w:endnote>
  <w:endnote w:type="continuationNotice" w:id="1">
    <w:p w14:paraId="32E82D76" w14:textId="77777777" w:rsidR="006B1B9E" w:rsidRDefault="006B1B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295E4" w14:textId="77777777" w:rsidR="005E250B" w:rsidRDefault="005E250B" w:rsidP="005E250B">
    <w:pPr>
      <w:pStyle w:val="Footer"/>
      <w:jc w:val="right"/>
    </w:pPr>
    <w:r w:rsidRPr="005E250B">
      <w:rPr>
        <w:noProof/>
        <w:vertAlign w:val="subscript"/>
      </w:rPr>
      <w:drawing>
        <wp:inline distT="0" distB="0" distL="0" distR="0" wp14:anchorId="1A9ACB61" wp14:editId="3F79060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20A01"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0A10A"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9599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ABFC66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A239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28405C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277A5"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8E4F70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DC2A" w14:textId="77777777" w:rsidR="00395779" w:rsidRPr="00622A3B" w:rsidRDefault="0039577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A8C2FBD" w14:textId="77777777" w:rsidR="00395779" w:rsidRPr="00A5474E" w:rsidRDefault="00395779" w:rsidP="0091420D">
    <w:pPr>
      <w:pStyle w:val="Footer"/>
      <w:tabs>
        <w:tab w:val="clear" w:pos="113"/>
        <w:tab w:val="left" w:pos="7434"/>
      </w:tabs>
    </w:pPr>
    <w:r>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39BC8" w14:textId="77777777" w:rsidR="00395779" w:rsidRPr="00622A3B" w:rsidRDefault="0039577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0CC3C05" w14:textId="77777777" w:rsidR="00395779" w:rsidRPr="00A5474E" w:rsidRDefault="0039577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D317A" w14:textId="77777777" w:rsidR="001878B5" w:rsidRDefault="001878B5" w:rsidP="00DB3A64">
      <w:pPr>
        <w:spacing w:after="0"/>
      </w:pPr>
      <w:r>
        <w:separator/>
      </w:r>
    </w:p>
  </w:footnote>
  <w:footnote w:type="continuationSeparator" w:id="0">
    <w:p w14:paraId="4CF8DC30" w14:textId="77777777" w:rsidR="001878B5" w:rsidRDefault="001878B5">
      <w:r>
        <w:continuationSeparator/>
      </w:r>
    </w:p>
  </w:footnote>
  <w:footnote w:type="continuationNotice" w:id="1">
    <w:p w14:paraId="700D6453" w14:textId="77777777" w:rsidR="006B1B9E" w:rsidRDefault="006B1B9E">
      <w:pPr>
        <w:spacing w:after="0" w:line="240" w:lineRule="auto"/>
      </w:pPr>
    </w:p>
  </w:footnote>
  <w:footnote w:id="2">
    <w:p w14:paraId="04719D40" w14:textId="4E29F6DE" w:rsidR="00D60B92" w:rsidRDefault="00D60B92" w:rsidP="00D60B92">
      <w:pPr>
        <w:pStyle w:val="FootnoteText"/>
      </w:pPr>
      <w:r>
        <w:rPr>
          <w:rStyle w:val="FootnoteReference"/>
        </w:rPr>
        <w:footnoteRef/>
      </w:r>
      <w:r>
        <w:t xml:space="preserve"> </w:t>
      </w:r>
      <w:r w:rsidRPr="006225CB">
        <w:t>An</w:t>
      </w:r>
      <w:r>
        <w:t xml:space="preserve"> ‘</w:t>
      </w:r>
      <w:r w:rsidRPr="006225CB">
        <w:t xml:space="preserve">Australian program’ </w:t>
      </w:r>
      <w:r w:rsidR="00DC549B">
        <w:t>i</w:t>
      </w:r>
      <w:r w:rsidRPr="006225CB">
        <w:t>s one that is produced under the creative control of Australians. This may include having Australian producers, directors</w:t>
      </w:r>
      <w:r>
        <w:t>,</w:t>
      </w:r>
      <w:r w:rsidRPr="006225CB">
        <w:t xml:space="preserve"> writers and cast.</w:t>
      </w:r>
    </w:p>
  </w:footnote>
  <w:footnote w:id="3">
    <w:p w14:paraId="1E8A6142" w14:textId="0773B55E" w:rsidR="001154AC" w:rsidRPr="00884BA8" w:rsidRDefault="001154AC" w:rsidP="000B1568">
      <w:pPr>
        <w:pStyle w:val="FootnoteText"/>
        <w:spacing w:line="240" w:lineRule="auto"/>
        <w:rPr>
          <w:sz w:val="18"/>
          <w:szCs w:val="18"/>
        </w:rPr>
      </w:pPr>
      <w:r w:rsidRPr="00884BA8">
        <w:rPr>
          <w:rStyle w:val="FootnoteReference"/>
          <w:sz w:val="18"/>
          <w:szCs w:val="18"/>
        </w:rPr>
        <w:footnoteRef/>
      </w:r>
      <w:r w:rsidRPr="00884BA8">
        <w:rPr>
          <w:sz w:val="18"/>
          <w:szCs w:val="18"/>
        </w:rPr>
        <w:t xml:space="preserve"> </w:t>
      </w:r>
      <w:r w:rsidRPr="00884BA8">
        <w:rPr>
          <w:rFonts w:cs="Arial"/>
          <w:color w:val="000000"/>
          <w:sz w:val="18"/>
          <w:szCs w:val="18"/>
        </w:rPr>
        <w:t xml:space="preserve">Points are equal to the duration of a program (in hours) multiplied by the relevant drama format factor, as shown in Table </w:t>
      </w:r>
      <w:r>
        <w:rPr>
          <w:rFonts w:cs="Arial"/>
          <w:color w:val="000000"/>
          <w:sz w:val="18"/>
          <w:szCs w:val="18"/>
        </w:rPr>
        <w:t>1</w:t>
      </w:r>
      <w:r w:rsidR="00B80BD5">
        <w:rPr>
          <w:rFonts w:cs="Arial"/>
          <w:color w:val="000000"/>
          <w:sz w:val="18"/>
          <w:szCs w:val="18"/>
        </w:rPr>
        <w:t>3</w:t>
      </w:r>
      <w:r w:rsidRPr="00884BA8">
        <w:rPr>
          <w:rFonts w:cs="Arial"/>
          <w:color w:val="000000"/>
          <w:sz w:val="18"/>
          <w:szCs w:val="18"/>
        </w:rPr>
        <w:t xml:space="preserve"> below.</w:t>
      </w:r>
    </w:p>
  </w:footnote>
  <w:footnote w:id="4">
    <w:p w14:paraId="5052E918" w14:textId="6C815684" w:rsidR="00ED45EF" w:rsidRDefault="00ED45EF">
      <w:pPr>
        <w:pStyle w:val="FootnoteText"/>
      </w:pPr>
      <w:r>
        <w:rPr>
          <w:rStyle w:val="FootnoteReference"/>
        </w:rPr>
        <w:footnoteRef/>
      </w:r>
      <w:r>
        <w:t xml:space="preserve"> </w:t>
      </w:r>
      <w:r w:rsidRPr="00ED45EF">
        <w:rPr>
          <w:sz w:val="18"/>
          <w:szCs w:val="18"/>
        </w:rPr>
        <w:t>Points are allocated according to</w:t>
      </w:r>
      <w:r>
        <w:rPr>
          <w:sz w:val="18"/>
          <w:szCs w:val="18"/>
        </w:rPr>
        <w:t xml:space="preserve"> broadcast hours, genre and expenditure (for films and drama programs)</w:t>
      </w:r>
      <w:r w:rsidRPr="00ED45EF">
        <w:rPr>
          <w:sz w:val="18"/>
          <w:szCs w:val="18"/>
        </w:rPr>
        <w:t>, as shown in Table 1</w:t>
      </w:r>
      <w:r w:rsidR="00B80BD5">
        <w:rPr>
          <w:sz w:val="18"/>
          <w:szCs w:val="18"/>
        </w:rPr>
        <w:t>4</w:t>
      </w:r>
      <w:r w:rsidRPr="00ED45EF">
        <w:rPr>
          <w:sz w:val="18"/>
          <w:szCs w:val="18"/>
        </w:rPr>
        <w:t xml:space="preserve"> below</w:t>
      </w:r>
      <w:r w:rsidR="00683D96">
        <w:rPr>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22D3C" w14:textId="77777777" w:rsidR="00C053A1" w:rsidRPr="00A5474E" w:rsidRDefault="00C053A1" w:rsidP="00A5474E">
    <w:pPr>
      <w:pStyle w:val="Header"/>
    </w:pPr>
    <w:r>
      <w:rPr>
        <w:noProof/>
      </w:rPr>
      <w:drawing>
        <wp:inline distT="0" distB="0" distL="0" distR="0" wp14:anchorId="064272D4" wp14:editId="3E3BE3B1">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8776"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3346C"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B74C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70D8243" w14:textId="77777777" w:rsidTr="003B0421">
      <w:trPr>
        <w:trHeight w:hRule="exact" w:val="988"/>
      </w:trPr>
      <w:tc>
        <w:tcPr>
          <w:tcW w:w="7678" w:type="dxa"/>
          <w:shd w:val="clear" w:color="auto" w:fill="auto"/>
        </w:tcPr>
        <w:p w14:paraId="7BEDA630" w14:textId="77777777" w:rsidR="00971914" w:rsidRDefault="00971914" w:rsidP="00971914">
          <w:pPr>
            <w:pStyle w:val="Header"/>
          </w:pPr>
        </w:p>
      </w:tc>
    </w:tr>
    <w:tr w:rsidR="00971914" w14:paraId="39AC128E" w14:textId="77777777" w:rsidTr="003B0421">
      <w:tc>
        <w:tcPr>
          <w:tcW w:w="7678" w:type="dxa"/>
          <w:shd w:val="clear" w:color="auto" w:fill="auto"/>
        </w:tcPr>
        <w:p w14:paraId="0C4B23E0" w14:textId="77777777" w:rsidR="00971914" w:rsidRDefault="00971914" w:rsidP="00971914">
          <w:pPr>
            <w:pStyle w:val="GridTable31"/>
          </w:pPr>
          <w:r>
            <w:t xml:space="preserve">Contents </w:t>
          </w:r>
          <w:r w:rsidRPr="00915B1C">
            <w:rPr>
              <w:b w:val="0"/>
              <w:spacing w:val="0"/>
              <w:sz w:val="28"/>
              <w:szCs w:val="28"/>
            </w:rPr>
            <w:t>(Continued)</w:t>
          </w:r>
        </w:p>
      </w:tc>
    </w:tr>
    <w:tr w:rsidR="00971914" w14:paraId="45CA91E9" w14:textId="77777777" w:rsidTr="003B0421">
      <w:trPr>
        <w:trHeight w:val="1220"/>
      </w:trPr>
      <w:tc>
        <w:tcPr>
          <w:tcW w:w="7678" w:type="dxa"/>
          <w:shd w:val="clear" w:color="auto" w:fill="auto"/>
        </w:tcPr>
        <w:p w14:paraId="1950A4AF" w14:textId="77777777" w:rsidR="00971914" w:rsidRDefault="00971914" w:rsidP="00971914"/>
      </w:tc>
    </w:tr>
  </w:tbl>
  <w:p w14:paraId="074C644D"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8112F56" w14:textId="77777777" w:rsidTr="003B0421">
      <w:trPr>
        <w:trHeight w:hRule="exact" w:val="988"/>
      </w:trPr>
      <w:tc>
        <w:tcPr>
          <w:tcW w:w="7678" w:type="dxa"/>
          <w:shd w:val="clear" w:color="auto" w:fill="auto"/>
        </w:tcPr>
        <w:p w14:paraId="47BD667A" w14:textId="77777777" w:rsidR="00971914" w:rsidRDefault="00971914" w:rsidP="00971914">
          <w:pPr>
            <w:pStyle w:val="Header"/>
          </w:pPr>
        </w:p>
      </w:tc>
    </w:tr>
    <w:tr w:rsidR="00971914" w14:paraId="1A721545" w14:textId="77777777" w:rsidTr="003B0421">
      <w:tc>
        <w:tcPr>
          <w:tcW w:w="7678" w:type="dxa"/>
          <w:shd w:val="clear" w:color="auto" w:fill="auto"/>
        </w:tcPr>
        <w:p w14:paraId="5651C7FD" w14:textId="77777777" w:rsidR="00971914" w:rsidRDefault="00971914" w:rsidP="00971914">
          <w:pPr>
            <w:pStyle w:val="GridTable31"/>
          </w:pPr>
          <w:r>
            <w:t xml:space="preserve">Contents </w:t>
          </w:r>
          <w:r w:rsidRPr="00915B1C">
            <w:rPr>
              <w:b w:val="0"/>
              <w:spacing w:val="0"/>
              <w:sz w:val="28"/>
              <w:szCs w:val="28"/>
            </w:rPr>
            <w:t>(Continued)</w:t>
          </w:r>
        </w:p>
      </w:tc>
    </w:tr>
    <w:tr w:rsidR="00971914" w14:paraId="0973DE1D" w14:textId="77777777" w:rsidTr="003B0421">
      <w:trPr>
        <w:trHeight w:val="1220"/>
      </w:trPr>
      <w:tc>
        <w:tcPr>
          <w:tcW w:w="7678" w:type="dxa"/>
          <w:shd w:val="clear" w:color="auto" w:fill="auto"/>
        </w:tcPr>
        <w:p w14:paraId="25A6C22C" w14:textId="77777777" w:rsidR="00971914" w:rsidRDefault="00971914" w:rsidP="00971914"/>
      </w:tc>
    </w:tr>
  </w:tbl>
  <w:p w14:paraId="3D1CC6FE"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27316" w14:textId="77777777" w:rsidR="00395779" w:rsidRDefault="0039577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46987" w14:textId="77777777" w:rsidR="00395779" w:rsidRDefault="003957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EA6C3E"/>
    <w:multiLevelType w:val="hybridMultilevel"/>
    <w:tmpl w:val="A156C6C0"/>
    <w:lvl w:ilvl="0" w:tplc="0C090019">
      <w:start w:val="1"/>
      <w:numFmt w:val="lowerLetter"/>
      <w:lvlText w:val="%1."/>
      <w:lvlJc w:val="left"/>
      <w:pPr>
        <w:ind w:left="780" w:hanging="360"/>
      </w:pPr>
      <w:rPr>
        <w:rFonts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6" w15:restartNumberingAfterBreak="0">
    <w:nsid w:val="2BA469B1"/>
    <w:multiLevelType w:val="hybridMultilevel"/>
    <w:tmpl w:val="D5D4D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7020905"/>
    <w:multiLevelType w:val="hybridMultilevel"/>
    <w:tmpl w:val="36E42D36"/>
    <w:lvl w:ilvl="0" w:tplc="B736214E">
      <w:start w:val="1"/>
      <w:numFmt w:val="decimal"/>
      <w:lvlText w:val="%1."/>
      <w:lvlJc w:val="left"/>
      <w:pPr>
        <w:ind w:left="360" w:hanging="360"/>
      </w:pPr>
      <w:rPr>
        <w:rFonts w:ascii="Arial" w:hAnsi="Arial" w:cs="Arial" w:hint="default"/>
        <w:b w:val="0"/>
        <w:bCs/>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47147E73"/>
    <w:multiLevelType w:val="hybridMultilevel"/>
    <w:tmpl w:val="A3324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F21F41"/>
    <w:multiLevelType w:val="hybridMultilevel"/>
    <w:tmpl w:val="14323B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1106"/>
        </w:tabs>
        <w:ind w:left="1106"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D65E9E"/>
    <w:multiLevelType w:val="hybridMultilevel"/>
    <w:tmpl w:val="18640C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8D1657"/>
    <w:multiLevelType w:val="hybridMultilevel"/>
    <w:tmpl w:val="8684201C"/>
    <w:lvl w:ilvl="0" w:tplc="0C09000F">
      <w:start w:val="1"/>
      <w:numFmt w:val="decimal"/>
      <w:lvlText w:val="%1."/>
      <w:lvlJc w:val="left"/>
      <w:pPr>
        <w:ind w:left="787" w:hanging="427"/>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4"/>
  </w:num>
  <w:num w:numId="7">
    <w:abstractNumId w:val="11"/>
  </w:num>
  <w:num w:numId="8">
    <w:abstractNumId w:val="13"/>
  </w:num>
  <w:num w:numId="9">
    <w:abstractNumId w:val="15"/>
  </w:num>
  <w:num w:numId="10">
    <w:abstractNumId w:val="4"/>
  </w:num>
  <w:num w:numId="11">
    <w:abstractNumId w:val="2"/>
    <w:lvlOverride w:ilvl="0">
      <w:startOverride w:val="1"/>
    </w:lvlOverride>
  </w:num>
  <w:num w:numId="12">
    <w:abstractNumId w:val="2"/>
    <w:lvlOverride w:ilvl="0">
      <w:startOverride w:val="1"/>
    </w:lvlOverride>
  </w:num>
  <w:num w:numId="13">
    <w:abstractNumId w:val="14"/>
  </w:num>
  <w:num w:numId="14">
    <w:abstractNumId w:val="14"/>
  </w:num>
  <w:num w:numId="15">
    <w:abstractNumId w:val="16"/>
  </w:num>
  <w:num w:numId="16">
    <w:abstractNumId w:val="8"/>
  </w:num>
  <w:num w:numId="17">
    <w:abstractNumId w:val="6"/>
  </w:num>
  <w:num w:numId="18">
    <w:abstractNumId w:val="5"/>
  </w:num>
  <w:num w:numId="19">
    <w:abstractNumId w:val="12"/>
  </w:num>
  <w:num w:numId="20">
    <w:abstractNumId w:val="3"/>
  </w:num>
  <w:num w:numId="21">
    <w:abstractNumId w:val="10"/>
  </w:num>
  <w:num w:numId="22">
    <w:abstractNumId w:val="3"/>
  </w:num>
  <w:num w:numId="23">
    <w:abstractNumId w:val="9"/>
  </w:num>
  <w:num w:numId="24">
    <w:abstractNumId w:val="2"/>
    <w:lvlOverride w:ilvl="0">
      <w:startOverride w:val="1"/>
    </w:lvlOverride>
  </w:num>
  <w:num w:numId="25">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398"/>
    <w:rsid w:val="0000178C"/>
    <w:rsid w:val="00010667"/>
    <w:rsid w:val="000129D5"/>
    <w:rsid w:val="00015AE7"/>
    <w:rsid w:val="00016E21"/>
    <w:rsid w:val="0001719C"/>
    <w:rsid w:val="0002224E"/>
    <w:rsid w:val="000245E5"/>
    <w:rsid w:val="00026413"/>
    <w:rsid w:val="00026F91"/>
    <w:rsid w:val="00033103"/>
    <w:rsid w:val="0003721F"/>
    <w:rsid w:val="00041267"/>
    <w:rsid w:val="0004244A"/>
    <w:rsid w:val="0004764C"/>
    <w:rsid w:val="0005011A"/>
    <w:rsid w:val="0005045A"/>
    <w:rsid w:val="00051C1E"/>
    <w:rsid w:val="000539F9"/>
    <w:rsid w:val="00054C27"/>
    <w:rsid w:val="00055EC3"/>
    <w:rsid w:val="000563CE"/>
    <w:rsid w:val="000571E6"/>
    <w:rsid w:val="000572C9"/>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1E3D"/>
    <w:rsid w:val="000A3C43"/>
    <w:rsid w:val="000A4A51"/>
    <w:rsid w:val="000A5D2B"/>
    <w:rsid w:val="000B1568"/>
    <w:rsid w:val="000B4664"/>
    <w:rsid w:val="000B5DE3"/>
    <w:rsid w:val="000C0A57"/>
    <w:rsid w:val="000C230C"/>
    <w:rsid w:val="000C6AB4"/>
    <w:rsid w:val="000D0EE0"/>
    <w:rsid w:val="000D71D9"/>
    <w:rsid w:val="000D76E0"/>
    <w:rsid w:val="000D7E8B"/>
    <w:rsid w:val="000E4449"/>
    <w:rsid w:val="000E4CA2"/>
    <w:rsid w:val="000E6097"/>
    <w:rsid w:val="000F7E53"/>
    <w:rsid w:val="0010267F"/>
    <w:rsid w:val="00103829"/>
    <w:rsid w:val="00111FCE"/>
    <w:rsid w:val="00113F84"/>
    <w:rsid w:val="001154AC"/>
    <w:rsid w:val="00117232"/>
    <w:rsid w:val="001229A5"/>
    <w:rsid w:val="0012489B"/>
    <w:rsid w:val="00130017"/>
    <w:rsid w:val="00130E07"/>
    <w:rsid w:val="00130F91"/>
    <w:rsid w:val="001349ED"/>
    <w:rsid w:val="00137424"/>
    <w:rsid w:val="00137A96"/>
    <w:rsid w:val="00140318"/>
    <w:rsid w:val="001410CB"/>
    <w:rsid w:val="001414F8"/>
    <w:rsid w:val="001415E4"/>
    <w:rsid w:val="00141AD9"/>
    <w:rsid w:val="00145D2C"/>
    <w:rsid w:val="00146CE6"/>
    <w:rsid w:val="00152524"/>
    <w:rsid w:val="00152903"/>
    <w:rsid w:val="00152C5B"/>
    <w:rsid w:val="00153FD5"/>
    <w:rsid w:val="0015614F"/>
    <w:rsid w:val="001577C2"/>
    <w:rsid w:val="001633C4"/>
    <w:rsid w:val="001666C0"/>
    <w:rsid w:val="001704D5"/>
    <w:rsid w:val="00171591"/>
    <w:rsid w:val="001723B9"/>
    <w:rsid w:val="001735CE"/>
    <w:rsid w:val="00173981"/>
    <w:rsid w:val="0017719D"/>
    <w:rsid w:val="00183FD7"/>
    <w:rsid w:val="00185CAB"/>
    <w:rsid w:val="00186D0C"/>
    <w:rsid w:val="001875B7"/>
    <w:rsid w:val="001878B5"/>
    <w:rsid w:val="00187CB3"/>
    <w:rsid w:val="0019050A"/>
    <w:rsid w:val="001910D4"/>
    <w:rsid w:val="0019507C"/>
    <w:rsid w:val="001951A9"/>
    <w:rsid w:val="00197536"/>
    <w:rsid w:val="001976E3"/>
    <w:rsid w:val="001A44EC"/>
    <w:rsid w:val="001A6F90"/>
    <w:rsid w:val="001B28D9"/>
    <w:rsid w:val="001B312C"/>
    <w:rsid w:val="001B58AA"/>
    <w:rsid w:val="001B7E1E"/>
    <w:rsid w:val="001B7E48"/>
    <w:rsid w:val="001C17CE"/>
    <w:rsid w:val="001C36CA"/>
    <w:rsid w:val="001C44D1"/>
    <w:rsid w:val="001C6AEE"/>
    <w:rsid w:val="001C7630"/>
    <w:rsid w:val="001C77A3"/>
    <w:rsid w:val="001D277B"/>
    <w:rsid w:val="001D3658"/>
    <w:rsid w:val="001D4DD0"/>
    <w:rsid w:val="001D6D15"/>
    <w:rsid w:val="001F7558"/>
    <w:rsid w:val="00200FD9"/>
    <w:rsid w:val="00205B57"/>
    <w:rsid w:val="0021209E"/>
    <w:rsid w:val="00212791"/>
    <w:rsid w:val="00213704"/>
    <w:rsid w:val="00214FFD"/>
    <w:rsid w:val="002157E0"/>
    <w:rsid w:val="00216A57"/>
    <w:rsid w:val="00217448"/>
    <w:rsid w:val="0022334F"/>
    <w:rsid w:val="00226819"/>
    <w:rsid w:val="00231937"/>
    <w:rsid w:val="00233101"/>
    <w:rsid w:val="00233817"/>
    <w:rsid w:val="002354E8"/>
    <w:rsid w:val="002367FF"/>
    <w:rsid w:val="00240CE9"/>
    <w:rsid w:val="002410B3"/>
    <w:rsid w:val="002414F0"/>
    <w:rsid w:val="002434BA"/>
    <w:rsid w:val="00246089"/>
    <w:rsid w:val="00246093"/>
    <w:rsid w:val="00246702"/>
    <w:rsid w:val="00247C59"/>
    <w:rsid w:val="00247F2E"/>
    <w:rsid w:val="00250ADC"/>
    <w:rsid w:val="00250B07"/>
    <w:rsid w:val="00253C6B"/>
    <w:rsid w:val="00257553"/>
    <w:rsid w:val="00260FB2"/>
    <w:rsid w:val="00262128"/>
    <w:rsid w:val="0027165D"/>
    <w:rsid w:val="00273CEB"/>
    <w:rsid w:val="00281C89"/>
    <w:rsid w:val="0028248A"/>
    <w:rsid w:val="00282616"/>
    <w:rsid w:val="0028282F"/>
    <w:rsid w:val="00284A74"/>
    <w:rsid w:val="0029593B"/>
    <w:rsid w:val="00297FC5"/>
    <w:rsid w:val="002A0417"/>
    <w:rsid w:val="002A16D8"/>
    <w:rsid w:val="002A1BC8"/>
    <w:rsid w:val="002A3EF2"/>
    <w:rsid w:val="002A5CF6"/>
    <w:rsid w:val="002B04F9"/>
    <w:rsid w:val="002B0DED"/>
    <w:rsid w:val="002B19A2"/>
    <w:rsid w:val="002B381A"/>
    <w:rsid w:val="002B39C9"/>
    <w:rsid w:val="002B3AF9"/>
    <w:rsid w:val="002B4FCC"/>
    <w:rsid w:val="002B7408"/>
    <w:rsid w:val="002B7CFD"/>
    <w:rsid w:val="002C0C73"/>
    <w:rsid w:val="002C210F"/>
    <w:rsid w:val="002C3076"/>
    <w:rsid w:val="002C6AE2"/>
    <w:rsid w:val="002D3600"/>
    <w:rsid w:val="002E4DDC"/>
    <w:rsid w:val="00302480"/>
    <w:rsid w:val="00302758"/>
    <w:rsid w:val="003125DD"/>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022"/>
    <w:rsid w:val="00351857"/>
    <w:rsid w:val="003545E8"/>
    <w:rsid w:val="00357C5B"/>
    <w:rsid w:val="003610E1"/>
    <w:rsid w:val="003620D6"/>
    <w:rsid w:val="00362675"/>
    <w:rsid w:val="0036305D"/>
    <w:rsid w:val="00365B07"/>
    <w:rsid w:val="003666E6"/>
    <w:rsid w:val="003671BE"/>
    <w:rsid w:val="00372485"/>
    <w:rsid w:val="00373200"/>
    <w:rsid w:val="00375EF5"/>
    <w:rsid w:val="003767A5"/>
    <w:rsid w:val="00381D15"/>
    <w:rsid w:val="00383DD9"/>
    <w:rsid w:val="00385254"/>
    <w:rsid w:val="00395779"/>
    <w:rsid w:val="003A04DB"/>
    <w:rsid w:val="003A22BB"/>
    <w:rsid w:val="003A5F5B"/>
    <w:rsid w:val="003A789A"/>
    <w:rsid w:val="003B12EC"/>
    <w:rsid w:val="003B237A"/>
    <w:rsid w:val="003B4CAC"/>
    <w:rsid w:val="003C3C56"/>
    <w:rsid w:val="003C77E0"/>
    <w:rsid w:val="003C7BE1"/>
    <w:rsid w:val="003D04E8"/>
    <w:rsid w:val="003D17D7"/>
    <w:rsid w:val="003D2678"/>
    <w:rsid w:val="003D71A3"/>
    <w:rsid w:val="003E18FA"/>
    <w:rsid w:val="003E2B8A"/>
    <w:rsid w:val="003F10EE"/>
    <w:rsid w:val="003F16F6"/>
    <w:rsid w:val="003F4DC7"/>
    <w:rsid w:val="003F5235"/>
    <w:rsid w:val="00401AD9"/>
    <w:rsid w:val="004027E4"/>
    <w:rsid w:val="004106AE"/>
    <w:rsid w:val="0041071D"/>
    <w:rsid w:val="00414AFC"/>
    <w:rsid w:val="004151A7"/>
    <w:rsid w:val="00415310"/>
    <w:rsid w:val="00420199"/>
    <w:rsid w:val="00421709"/>
    <w:rsid w:val="00423763"/>
    <w:rsid w:val="0042762F"/>
    <w:rsid w:val="00427C50"/>
    <w:rsid w:val="00427DC7"/>
    <w:rsid w:val="00430C6A"/>
    <w:rsid w:val="00431613"/>
    <w:rsid w:val="00431792"/>
    <w:rsid w:val="0043297A"/>
    <w:rsid w:val="00432EB2"/>
    <w:rsid w:val="00435A5D"/>
    <w:rsid w:val="0043714F"/>
    <w:rsid w:val="004438B5"/>
    <w:rsid w:val="00446E28"/>
    <w:rsid w:val="00447037"/>
    <w:rsid w:val="004501A2"/>
    <w:rsid w:val="004511C5"/>
    <w:rsid w:val="0045124D"/>
    <w:rsid w:val="00454596"/>
    <w:rsid w:val="0045605D"/>
    <w:rsid w:val="0046135B"/>
    <w:rsid w:val="00461D47"/>
    <w:rsid w:val="00467C43"/>
    <w:rsid w:val="004718CC"/>
    <w:rsid w:val="00481695"/>
    <w:rsid w:val="0048179F"/>
    <w:rsid w:val="0048627D"/>
    <w:rsid w:val="00487052"/>
    <w:rsid w:val="004953D3"/>
    <w:rsid w:val="00495A96"/>
    <w:rsid w:val="00495BB3"/>
    <w:rsid w:val="004962DC"/>
    <w:rsid w:val="004A56BB"/>
    <w:rsid w:val="004A70D6"/>
    <w:rsid w:val="004B1751"/>
    <w:rsid w:val="004B2970"/>
    <w:rsid w:val="004B3688"/>
    <w:rsid w:val="004B77BB"/>
    <w:rsid w:val="004C0253"/>
    <w:rsid w:val="004D496B"/>
    <w:rsid w:val="004D56FF"/>
    <w:rsid w:val="004E39D3"/>
    <w:rsid w:val="004E3FAE"/>
    <w:rsid w:val="004E508A"/>
    <w:rsid w:val="004E616D"/>
    <w:rsid w:val="004F1BDE"/>
    <w:rsid w:val="004F2CEE"/>
    <w:rsid w:val="004F556E"/>
    <w:rsid w:val="004F591C"/>
    <w:rsid w:val="004F7F44"/>
    <w:rsid w:val="005037B4"/>
    <w:rsid w:val="005079BF"/>
    <w:rsid w:val="00511064"/>
    <w:rsid w:val="0051269A"/>
    <w:rsid w:val="005144FA"/>
    <w:rsid w:val="00515C1E"/>
    <w:rsid w:val="00520103"/>
    <w:rsid w:val="005219E7"/>
    <w:rsid w:val="00521ED4"/>
    <w:rsid w:val="00525B37"/>
    <w:rsid w:val="00531B9A"/>
    <w:rsid w:val="00531D15"/>
    <w:rsid w:val="00533BD2"/>
    <w:rsid w:val="00537604"/>
    <w:rsid w:val="00542377"/>
    <w:rsid w:val="005476EB"/>
    <w:rsid w:val="00551782"/>
    <w:rsid w:val="005637DC"/>
    <w:rsid w:val="00563EF1"/>
    <w:rsid w:val="00566AB4"/>
    <w:rsid w:val="00575AC5"/>
    <w:rsid w:val="0057605D"/>
    <w:rsid w:val="00581347"/>
    <w:rsid w:val="00581AC9"/>
    <w:rsid w:val="005846C2"/>
    <w:rsid w:val="005849F8"/>
    <w:rsid w:val="00586B76"/>
    <w:rsid w:val="005938DF"/>
    <w:rsid w:val="00594E9C"/>
    <w:rsid w:val="005A099B"/>
    <w:rsid w:val="005A2D9C"/>
    <w:rsid w:val="005A55FE"/>
    <w:rsid w:val="005A6A11"/>
    <w:rsid w:val="005B0334"/>
    <w:rsid w:val="005B2136"/>
    <w:rsid w:val="005B7540"/>
    <w:rsid w:val="005C59DD"/>
    <w:rsid w:val="005D173A"/>
    <w:rsid w:val="005D2502"/>
    <w:rsid w:val="005D40BB"/>
    <w:rsid w:val="005D47F3"/>
    <w:rsid w:val="005D49BF"/>
    <w:rsid w:val="005D4AA5"/>
    <w:rsid w:val="005D6F4E"/>
    <w:rsid w:val="005D7C73"/>
    <w:rsid w:val="005E250B"/>
    <w:rsid w:val="005E3ACD"/>
    <w:rsid w:val="005E6E9E"/>
    <w:rsid w:val="005E7226"/>
    <w:rsid w:val="005E7A57"/>
    <w:rsid w:val="005E7E57"/>
    <w:rsid w:val="005F24B0"/>
    <w:rsid w:val="0060082C"/>
    <w:rsid w:val="00601B57"/>
    <w:rsid w:val="00604315"/>
    <w:rsid w:val="00604E26"/>
    <w:rsid w:val="0060523F"/>
    <w:rsid w:val="006052CF"/>
    <w:rsid w:val="006054C4"/>
    <w:rsid w:val="00607B8D"/>
    <w:rsid w:val="00611F5C"/>
    <w:rsid w:val="00614321"/>
    <w:rsid w:val="00616E09"/>
    <w:rsid w:val="00622A3B"/>
    <w:rsid w:val="00622EEA"/>
    <w:rsid w:val="0062396C"/>
    <w:rsid w:val="00623FF9"/>
    <w:rsid w:val="00627D4E"/>
    <w:rsid w:val="00632B89"/>
    <w:rsid w:val="0063346D"/>
    <w:rsid w:val="00634478"/>
    <w:rsid w:val="006433E0"/>
    <w:rsid w:val="00644373"/>
    <w:rsid w:val="00645915"/>
    <w:rsid w:val="006519C3"/>
    <w:rsid w:val="00652B30"/>
    <w:rsid w:val="00656345"/>
    <w:rsid w:val="00656DC6"/>
    <w:rsid w:val="0065724F"/>
    <w:rsid w:val="00660CCC"/>
    <w:rsid w:val="00660EC6"/>
    <w:rsid w:val="00664110"/>
    <w:rsid w:val="00664D17"/>
    <w:rsid w:val="00666520"/>
    <w:rsid w:val="006679BE"/>
    <w:rsid w:val="00667C5B"/>
    <w:rsid w:val="00683D96"/>
    <w:rsid w:val="00691EB8"/>
    <w:rsid w:val="00692CDE"/>
    <w:rsid w:val="00693073"/>
    <w:rsid w:val="006977FF"/>
    <w:rsid w:val="006A01FA"/>
    <w:rsid w:val="006A0E9E"/>
    <w:rsid w:val="006A25C7"/>
    <w:rsid w:val="006A4AAD"/>
    <w:rsid w:val="006A6DA2"/>
    <w:rsid w:val="006A7AB2"/>
    <w:rsid w:val="006B05B4"/>
    <w:rsid w:val="006B1B9E"/>
    <w:rsid w:val="006B3D34"/>
    <w:rsid w:val="006B52DE"/>
    <w:rsid w:val="006B5717"/>
    <w:rsid w:val="006B582F"/>
    <w:rsid w:val="006B5EB2"/>
    <w:rsid w:val="006B6097"/>
    <w:rsid w:val="006C0CEB"/>
    <w:rsid w:val="006C1631"/>
    <w:rsid w:val="006C3B1E"/>
    <w:rsid w:val="006C47FD"/>
    <w:rsid w:val="006C5C19"/>
    <w:rsid w:val="006C70A0"/>
    <w:rsid w:val="006D27CB"/>
    <w:rsid w:val="006D2F08"/>
    <w:rsid w:val="006D3A04"/>
    <w:rsid w:val="006D576C"/>
    <w:rsid w:val="006D5865"/>
    <w:rsid w:val="006E4B1B"/>
    <w:rsid w:val="006E5445"/>
    <w:rsid w:val="006E7D93"/>
    <w:rsid w:val="007029A3"/>
    <w:rsid w:val="00702EA1"/>
    <w:rsid w:val="00703E77"/>
    <w:rsid w:val="00706398"/>
    <w:rsid w:val="00706E4E"/>
    <w:rsid w:val="0070791C"/>
    <w:rsid w:val="0071383C"/>
    <w:rsid w:val="007141A7"/>
    <w:rsid w:val="007152CD"/>
    <w:rsid w:val="00715722"/>
    <w:rsid w:val="00721032"/>
    <w:rsid w:val="00721B55"/>
    <w:rsid w:val="00726CE4"/>
    <w:rsid w:val="007332CF"/>
    <w:rsid w:val="0073356C"/>
    <w:rsid w:val="00734143"/>
    <w:rsid w:val="00737E47"/>
    <w:rsid w:val="00740EAC"/>
    <w:rsid w:val="00744956"/>
    <w:rsid w:val="00745A5C"/>
    <w:rsid w:val="0074605F"/>
    <w:rsid w:val="00747D3C"/>
    <w:rsid w:val="00747E94"/>
    <w:rsid w:val="00752749"/>
    <w:rsid w:val="00754C83"/>
    <w:rsid w:val="00761E5C"/>
    <w:rsid w:val="00765DF8"/>
    <w:rsid w:val="00766749"/>
    <w:rsid w:val="00767C1B"/>
    <w:rsid w:val="007714A9"/>
    <w:rsid w:val="00772A35"/>
    <w:rsid w:val="00774F88"/>
    <w:rsid w:val="00774FDB"/>
    <w:rsid w:val="007775FC"/>
    <w:rsid w:val="00777BA2"/>
    <w:rsid w:val="00781408"/>
    <w:rsid w:val="0078265C"/>
    <w:rsid w:val="00784F7F"/>
    <w:rsid w:val="007878BD"/>
    <w:rsid w:val="00796F25"/>
    <w:rsid w:val="007A2E98"/>
    <w:rsid w:val="007A3BA3"/>
    <w:rsid w:val="007A5A5A"/>
    <w:rsid w:val="007A6CC0"/>
    <w:rsid w:val="007A7FEC"/>
    <w:rsid w:val="007B1499"/>
    <w:rsid w:val="007B1BBF"/>
    <w:rsid w:val="007B2960"/>
    <w:rsid w:val="007B355D"/>
    <w:rsid w:val="007B7980"/>
    <w:rsid w:val="007C0DEF"/>
    <w:rsid w:val="007C56BA"/>
    <w:rsid w:val="007C5D5A"/>
    <w:rsid w:val="007C607F"/>
    <w:rsid w:val="007C6E44"/>
    <w:rsid w:val="007C79DD"/>
    <w:rsid w:val="007D1A97"/>
    <w:rsid w:val="007D2CD6"/>
    <w:rsid w:val="007D3063"/>
    <w:rsid w:val="007D3CEB"/>
    <w:rsid w:val="007E3375"/>
    <w:rsid w:val="007E7683"/>
    <w:rsid w:val="007F149A"/>
    <w:rsid w:val="007F49FA"/>
    <w:rsid w:val="007F54C4"/>
    <w:rsid w:val="007F6E9A"/>
    <w:rsid w:val="00800CCD"/>
    <w:rsid w:val="008039BE"/>
    <w:rsid w:val="008044D4"/>
    <w:rsid w:val="00804FC2"/>
    <w:rsid w:val="00810443"/>
    <w:rsid w:val="00810AB4"/>
    <w:rsid w:val="00816F6D"/>
    <w:rsid w:val="00817B56"/>
    <w:rsid w:val="00821A88"/>
    <w:rsid w:val="0082495D"/>
    <w:rsid w:val="00831AC3"/>
    <w:rsid w:val="00836FCE"/>
    <w:rsid w:val="008408FF"/>
    <w:rsid w:val="0084144F"/>
    <w:rsid w:val="00851F3F"/>
    <w:rsid w:val="00852839"/>
    <w:rsid w:val="0085618F"/>
    <w:rsid w:val="00856E62"/>
    <w:rsid w:val="00856EDC"/>
    <w:rsid w:val="008623B5"/>
    <w:rsid w:val="00863A2E"/>
    <w:rsid w:val="0087007E"/>
    <w:rsid w:val="00870ABA"/>
    <w:rsid w:val="008710E1"/>
    <w:rsid w:val="008716E5"/>
    <w:rsid w:val="00873A3D"/>
    <w:rsid w:val="00881CA9"/>
    <w:rsid w:val="00883628"/>
    <w:rsid w:val="00884BA8"/>
    <w:rsid w:val="00885544"/>
    <w:rsid w:val="0088634E"/>
    <w:rsid w:val="00891A08"/>
    <w:rsid w:val="00893AB8"/>
    <w:rsid w:val="008A04C8"/>
    <w:rsid w:val="008A6913"/>
    <w:rsid w:val="008B70F3"/>
    <w:rsid w:val="008B71C4"/>
    <w:rsid w:val="008B76DF"/>
    <w:rsid w:val="008C10F4"/>
    <w:rsid w:val="008C65F7"/>
    <w:rsid w:val="008D5083"/>
    <w:rsid w:val="008E4767"/>
    <w:rsid w:val="008E62A5"/>
    <w:rsid w:val="008E7A8C"/>
    <w:rsid w:val="008F05F0"/>
    <w:rsid w:val="0090203B"/>
    <w:rsid w:val="00903285"/>
    <w:rsid w:val="00906F40"/>
    <w:rsid w:val="0090731E"/>
    <w:rsid w:val="009074B9"/>
    <w:rsid w:val="00912775"/>
    <w:rsid w:val="0091420D"/>
    <w:rsid w:val="00914CBA"/>
    <w:rsid w:val="00915B1C"/>
    <w:rsid w:val="009174F3"/>
    <w:rsid w:val="0091797D"/>
    <w:rsid w:val="00923CBA"/>
    <w:rsid w:val="009242EB"/>
    <w:rsid w:val="0092637A"/>
    <w:rsid w:val="00926703"/>
    <w:rsid w:val="00927691"/>
    <w:rsid w:val="00927A5F"/>
    <w:rsid w:val="00930510"/>
    <w:rsid w:val="00935B63"/>
    <w:rsid w:val="0094078F"/>
    <w:rsid w:val="00940FA3"/>
    <w:rsid w:val="00941FB0"/>
    <w:rsid w:val="009426D4"/>
    <w:rsid w:val="00947F25"/>
    <w:rsid w:val="00950159"/>
    <w:rsid w:val="009510D0"/>
    <w:rsid w:val="0095490B"/>
    <w:rsid w:val="00960A33"/>
    <w:rsid w:val="00971914"/>
    <w:rsid w:val="00974363"/>
    <w:rsid w:val="00981898"/>
    <w:rsid w:val="00986200"/>
    <w:rsid w:val="0099577C"/>
    <w:rsid w:val="009A1219"/>
    <w:rsid w:val="009B24A5"/>
    <w:rsid w:val="009B2601"/>
    <w:rsid w:val="009B4E9E"/>
    <w:rsid w:val="009C1690"/>
    <w:rsid w:val="009C6881"/>
    <w:rsid w:val="009C7759"/>
    <w:rsid w:val="009D043D"/>
    <w:rsid w:val="009D07C8"/>
    <w:rsid w:val="009D1D05"/>
    <w:rsid w:val="009D489C"/>
    <w:rsid w:val="009D6C71"/>
    <w:rsid w:val="009E0631"/>
    <w:rsid w:val="009E16D0"/>
    <w:rsid w:val="009E2051"/>
    <w:rsid w:val="009E38FD"/>
    <w:rsid w:val="009E6FE4"/>
    <w:rsid w:val="009F13D6"/>
    <w:rsid w:val="009F4C6B"/>
    <w:rsid w:val="009F78A8"/>
    <w:rsid w:val="00A02AD6"/>
    <w:rsid w:val="00A04D80"/>
    <w:rsid w:val="00A07096"/>
    <w:rsid w:val="00A07318"/>
    <w:rsid w:val="00A07E5A"/>
    <w:rsid w:val="00A11370"/>
    <w:rsid w:val="00A16E7E"/>
    <w:rsid w:val="00A17703"/>
    <w:rsid w:val="00A17B1B"/>
    <w:rsid w:val="00A21189"/>
    <w:rsid w:val="00A224CE"/>
    <w:rsid w:val="00A22522"/>
    <w:rsid w:val="00A2440D"/>
    <w:rsid w:val="00A24882"/>
    <w:rsid w:val="00A24AFD"/>
    <w:rsid w:val="00A24F5C"/>
    <w:rsid w:val="00A32F96"/>
    <w:rsid w:val="00A40871"/>
    <w:rsid w:val="00A412AB"/>
    <w:rsid w:val="00A4193E"/>
    <w:rsid w:val="00A440E0"/>
    <w:rsid w:val="00A442EF"/>
    <w:rsid w:val="00A4450A"/>
    <w:rsid w:val="00A51D1A"/>
    <w:rsid w:val="00A5418D"/>
    <w:rsid w:val="00A5474E"/>
    <w:rsid w:val="00A57269"/>
    <w:rsid w:val="00A6011F"/>
    <w:rsid w:val="00A64234"/>
    <w:rsid w:val="00A70ADF"/>
    <w:rsid w:val="00A711DF"/>
    <w:rsid w:val="00A71466"/>
    <w:rsid w:val="00A74B5E"/>
    <w:rsid w:val="00A81BED"/>
    <w:rsid w:val="00A81EC4"/>
    <w:rsid w:val="00A824E8"/>
    <w:rsid w:val="00A869F7"/>
    <w:rsid w:val="00A967FD"/>
    <w:rsid w:val="00AA2DE5"/>
    <w:rsid w:val="00AA58BD"/>
    <w:rsid w:val="00AB156C"/>
    <w:rsid w:val="00AB5A0D"/>
    <w:rsid w:val="00AB6814"/>
    <w:rsid w:val="00AC04BA"/>
    <w:rsid w:val="00AC0E39"/>
    <w:rsid w:val="00AC6542"/>
    <w:rsid w:val="00AC6845"/>
    <w:rsid w:val="00AD08B0"/>
    <w:rsid w:val="00AD1C6F"/>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218F"/>
    <w:rsid w:val="00B031F3"/>
    <w:rsid w:val="00B052A4"/>
    <w:rsid w:val="00B125DE"/>
    <w:rsid w:val="00B13FDD"/>
    <w:rsid w:val="00B22EB2"/>
    <w:rsid w:val="00B23653"/>
    <w:rsid w:val="00B25AC8"/>
    <w:rsid w:val="00B27442"/>
    <w:rsid w:val="00B31167"/>
    <w:rsid w:val="00B31B01"/>
    <w:rsid w:val="00B329D8"/>
    <w:rsid w:val="00B32BB9"/>
    <w:rsid w:val="00B33992"/>
    <w:rsid w:val="00B33AE1"/>
    <w:rsid w:val="00B35FA9"/>
    <w:rsid w:val="00B36150"/>
    <w:rsid w:val="00B37C38"/>
    <w:rsid w:val="00B4288C"/>
    <w:rsid w:val="00B43262"/>
    <w:rsid w:val="00B44100"/>
    <w:rsid w:val="00B46CBA"/>
    <w:rsid w:val="00B46F94"/>
    <w:rsid w:val="00B54B5B"/>
    <w:rsid w:val="00B6003C"/>
    <w:rsid w:val="00B61F03"/>
    <w:rsid w:val="00B626E4"/>
    <w:rsid w:val="00B653AA"/>
    <w:rsid w:val="00B71E56"/>
    <w:rsid w:val="00B72F4A"/>
    <w:rsid w:val="00B8084A"/>
    <w:rsid w:val="00B80BD5"/>
    <w:rsid w:val="00B83C27"/>
    <w:rsid w:val="00B84BC3"/>
    <w:rsid w:val="00B84BDD"/>
    <w:rsid w:val="00B92812"/>
    <w:rsid w:val="00B9709C"/>
    <w:rsid w:val="00BA747C"/>
    <w:rsid w:val="00BB45A1"/>
    <w:rsid w:val="00BB7686"/>
    <w:rsid w:val="00BC02CA"/>
    <w:rsid w:val="00BC0391"/>
    <w:rsid w:val="00BC055C"/>
    <w:rsid w:val="00BC23F9"/>
    <w:rsid w:val="00BC3421"/>
    <w:rsid w:val="00BC3624"/>
    <w:rsid w:val="00BC732C"/>
    <w:rsid w:val="00BD4421"/>
    <w:rsid w:val="00BD4CD2"/>
    <w:rsid w:val="00BD7249"/>
    <w:rsid w:val="00BE2580"/>
    <w:rsid w:val="00BE266D"/>
    <w:rsid w:val="00BE35CB"/>
    <w:rsid w:val="00BE3938"/>
    <w:rsid w:val="00BE4C11"/>
    <w:rsid w:val="00BE6805"/>
    <w:rsid w:val="00BE71C0"/>
    <w:rsid w:val="00BF610C"/>
    <w:rsid w:val="00C0060B"/>
    <w:rsid w:val="00C01A6C"/>
    <w:rsid w:val="00C0277D"/>
    <w:rsid w:val="00C053A1"/>
    <w:rsid w:val="00C16198"/>
    <w:rsid w:val="00C2083D"/>
    <w:rsid w:val="00C24A53"/>
    <w:rsid w:val="00C30ACD"/>
    <w:rsid w:val="00C34A05"/>
    <w:rsid w:val="00C35CCE"/>
    <w:rsid w:val="00C4032F"/>
    <w:rsid w:val="00C44047"/>
    <w:rsid w:val="00C4491A"/>
    <w:rsid w:val="00C45155"/>
    <w:rsid w:val="00C52D80"/>
    <w:rsid w:val="00C5498F"/>
    <w:rsid w:val="00C55235"/>
    <w:rsid w:val="00C568E6"/>
    <w:rsid w:val="00C64CD0"/>
    <w:rsid w:val="00C6684F"/>
    <w:rsid w:val="00C70E70"/>
    <w:rsid w:val="00C75F8D"/>
    <w:rsid w:val="00C77380"/>
    <w:rsid w:val="00C82940"/>
    <w:rsid w:val="00C87487"/>
    <w:rsid w:val="00C87E8A"/>
    <w:rsid w:val="00C9365D"/>
    <w:rsid w:val="00C95125"/>
    <w:rsid w:val="00C97736"/>
    <w:rsid w:val="00C978C5"/>
    <w:rsid w:val="00CA14A5"/>
    <w:rsid w:val="00CA345A"/>
    <w:rsid w:val="00CB1E82"/>
    <w:rsid w:val="00CB4BA8"/>
    <w:rsid w:val="00CB4D7A"/>
    <w:rsid w:val="00CB52D7"/>
    <w:rsid w:val="00CC6732"/>
    <w:rsid w:val="00CE0BB5"/>
    <w:rsid w:val="00CE3C96"/>
    <w:rsid w:val="00CE51A8"/>
    <w:rsid w:val="00CF369B"/>
    <w:rsid w:val="00D00E28"/>
    <w:rsid w:val="00D0269E"/>
    <w:rsid w:val="00D05D6C"/>
    <w:rsid w:val="00D06761"/>
    <w:rsid w:val="00D132A7"/>
    <w:rsid w:val="00D15810"/>
    <w:rsid w:val="00D16D4E"/>
    <w:rsid w:val="00D16FE3"/>
    <w:rsid w:val="00D26074"/>
    <w:rsid w:val="00D27F41"/>
    <w:rsid w:val="00D36441"/>
    <w:rsid w:val="00D4064E"/>
    <w:rsid w:val="00D414E9"/>
    <w:rsid w:val="00D42EF0"/>
    <w:rsid w:val="00D44E9B"/>
    <w:rsid w:val="00D45FD2"/>
    <w:rsid w:val="00D47AEB"/>
    <w:rsid w:val="00D50DB9"/>
    <w:rsid w:val="00D51302"/>
    <w:rsid w:val="00D521CE"/>
    <w:rsid w:val="00D52C43"/>
    <w:rsid w:val="00D57A8F"/>
    <w:rsid w:val="00D60B92"/>
    <w:rsid w:val="00D61694"/>
    <w:rsid w:val="00D62E09"/>
    <w:rsid w:val="00D6507F"/>
    <w:rsid w:val="00D730BC"/>
    <w:rsid w:val="00D73912"/>
    <w:rsid w:val="00D80E2D"/>
    <w:rsid w:val="00D82212"/>
    <w:rsid w:val="00D85226"/>
    <w:rsid w:val="00D86013"/>
    <w:rsid w:val="00D87B94"/>
    <w:rsid w:val="00D92D49"/>
    <w:rsid w:val="00D92EC1"/>
    <w:rsid w:val="00D96DEA"/>
    <w:rsid w:val="00DA339D"/>
    <w:rsid w:val="00DA4E41"/>
    <w:rsid w:val="00DA54DE"/>
    <w:rsid w:val="00DA6DFF"/>
    <w:rsid w:val="00DB117A"/>
    <w:rsid w:val="00DB3A64"/>
    <w:rsid w:val="00DB5173"/>
    <w:rsid w:val="00DB7873"/>
    <w:rsid w:val="00DC15DC"/>
    <w:rsid w:val="00DC187B"/>
    <w:rsid w:val="00DC549B"/>
    <w:rsid w:val="00DC7DEF"/>
    <w:rsid w:val="00DD1A43"/>
    <w:rsid w:val="00DD6CA4"/>
    <w:rsid w:val="00DD73C2"/>
    <w:rsid w:val="00DE1A77"/>
    <w:rsid w:val="00DE319B"/>
    <w:rsid w:val="00DE4A19"/>
    <w:rsid w:val="00DF0799"/>
    <w:rsid w:val="00DF2237"/>
    <w:rsid w:val="00DF34FE"/>
    <w:rsid w:val="00DF56AA"/>
    <w:rsid w:val="00DF56AF"/>
    <w:rsid w:val="00DF601A"/>
    <w:rsid w:val="00DF6E7D"/>
    <w:rsid w:val="00DF78E7"/>
    <w:rsid w:val="00E05E82"/>
    <w:rsid w:val="00E110E0"/>
    <w:rsid w:val="00E15371"/>
    <w:rsid w:val="00E2009B"/>
    <w:rsid w:val="00E23372"/>
    <w:rsid w:val="00E24104"/>
    <w:rsid w:val="00E302D0"/>
    <w:rsid w:val="00E332F8"/>
    <w:rsid w:val="00E35707"/>
    <w:rsid w:val="00E36AA1"/>
    <w:rsid w:val="00E41ECB"/>
    <w:rsid w:val="00E42676"/>
    <w:rsid w:val="00E507B6"/>
    <w:rsid w:val="00E53174"/>
    <w:rsid w:val="00E54FDB"/>
    <w:rsid w:val="00E5617D"/>
    <w:rsid w:val="00E563D7"/>
    <w:rsid w:val="00E60F13"/>
    <w:rsid w:val="00E623F7"/>
    <w:rsid w:val="00E6313C"/>
    <w:rsid w:val="00E64274"/>
    <w:rsid w:val="00E663F4"/>
    <w:rsid w:val="00E666F2"/>
    <w:rsid w:val="00E66DD4"/>
    <w:rsid w:val="00E70BE3"/>
    <w:rsid w:val="00E7467F"/>
    <w:rsid w:val="00E748CC"/>
    <w:rsid w:val="00E75415"/>
    <w:rsid w:val="00E775B1"/>
    <w:rsid w:val="00E8152A"/>
    <w:rsid w:val="00E83549"/>
    <w:rsid w:val="00E93246"/>
    <w:rsid w:val="00E93629"/>
    <w:rsid w:val="00E93B5C"/>
    <w:rsid w:val="00E94CEC"/>
    <w:rsid w:val="00EA04EF"/>
    <w:rsid w:val="00EA2FCB"/>
    <w:rsid w:val="00EA6F19"/>
    <w:rsid w:val="00EB7090"/>
    <w:rsid w:val="00EC1BBE"/>
    <w:rsid w:val="00EC2B68"/>
    <w:rsid w:val="00EC3AEF"/>
    <w:rsid w:val="00EC5CD7"/>
    <w:rsid w:val="00EC7908"/>
    <w:rsid w:val="00ED117B"/>
    <w:rsid w:val="00ED45EF"/>
    <w:rsid w:val="00EE5FB3"/>
    <w:rsid w:val="00EE625F"/>
    <w:rsid w:val="00EE7F79"/>
    <w:rsid w:val="00EF715A"/>
    <w:rsid w:val="00F01BC3"/>
    <w:rsid w:val="00F04366"/>
    <w:rsid w:val="00F06E14"/>
    <w:rsid w:val="00F13FA2"/>
    <w:rsid w:val="00F151B0"/>
    <w:rsid w:val="00F179D4"/>
    <w:rsid w:val="00F22C92"/>
    <w:rsid w:val="00F33C56"/>
    <w:rsid w:val="00F347C7"/>
    <w:rsid w:val="00F34848"/>
    <w:rsid w:val="00F42D46"/>
    <w:rsid w:val="00F4496C"/>
    <w:rsid w:val="00F44F3A"/>
    <w:rsid w:val="00F45DD5"/>
    <w:rsid w:val="00F51F10"/>
    <w:rsid w:val="00F529A5"/>
    <w:rsid w:val="00F566EE"/>
    <w:rsid w:val="00F601B8"/>
    <w:rsid w:val="00F60F00"/>
    <w:rsid w:val="00F614C0"/>
    <w:rsid w:val="00F61C77"/>
    <w:rsid w:val="00F67E3A"/>
    <w:rsid w:val="00F75B1C"/>
    <w:rsid w:val="00F82A3F"/>
    <w:rsid w:val="00F83848"/>
    <w:rsid w:val="00F93143"/>
    <w:rsid w:val="00F94BC8"/>
    <w:rsid w:val="00F975E9"/>
    <w:rsid w:val="00FA1ABE"/>
    <w:rsid w:val="00FA1B7D"/>
    <w:rsid w:val="00FA211E"/>
    <w:rsid w:val="00FA27E3"/>
    <w:rsid w:val="00FA47BA"/>
    <w:rsid w:val="00FA686D"/>
    <w:rsid w:val="00FC07B9"/>
    <w:rsid w:val="00FC10C3"/>
    <w:rsid w:val="00FC4A5C"/>
    <w:rsid w:val="00FC4E21"/>
    <w:rsid w:val="00FC5F6D"/>
    <w:rsid w:val="00FD0107"/>
    <w:rsid w:val="00FD2C2F"/>
    <w:rsid w:val="00FD3B31"/>
    <w:rsid w:val="00FD50A7"/>
    <w:rsid w:val="00FE1823"/>
    <w:rsid w:val="00FE2F0A"/>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C748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tabs>
        <w:tab w:val="clear" w:pos="1106"/>
        <w:tab w:val="num" w:pos="964"/>
      </w:tabs>
      <w:spacing w:after="160"/>
      <w:ind w:left="964"/>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table" w:customStyle="1" w:styleId="TableGrid1">
    <w:name w:val="Table Grid1"/>
    <w:basedOn w:val="TableNormal"/>
    <w:next w:val="TableGrid"/>
    <w:uiPriority w:val="39"/>
    <w:rsid w:val="00C30ACD"/>
    <w:pPr>
      <w:spacing w:line="240" w:lineRule="atLeast"/>
    </w:pPr>
    <w:rPr>
      <w:rFonts w:ascii="Arial" w:hAnsi="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semiHidden/>
    <w:rsid w:val="004870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018158">
      <w:bodyDiv w:val="1"/>
      <w:marLeft w:val="0"/>
      <w:marRight w:val="0"/>
      <w:marTop w:val="0"/>
      <w:marBottom w:val="0"/>
      <w:divBdr>
        <w:top w:val="none" w:sz="0" w:space="0" w:color="auto"/>
        <w:left w:val="none" w:sz="0" w:space="0" w:color="auto"/>
        <w:bottom w:val="none" w:sz="0" w:space="0" w:color="auto"/>
        <w:right w:val="none" w:sz="0" w:space="0" w:color="auto"/>
      </w:divBdr>
    </w:div>
    <w:div w:id="419496323">
      <w:bodyDiv w:val="1"/>
      <w:marLeft w:val="0"/>
      <w:marRight w:val="0"/>
      <w:marTop w:val="0"/>
      <w:marBottom w:val="0"/>
      <w:divBdr>
        <w:top w:val="none" w:sz="0" w:space="0" w:color="auto"/>
        <w:left w:val="none" w:sz="0" w:space="0" w:color="auto"/>
        <w:bottom w:val="none" w:sz="0" w:space="0" w:color="auto"/>
        <w:right w:val="none" w:sz="0" w:space="0" w:color="auto"/>
      </w:divBdr>
    </w:div>
    <w:div w:id="469594218">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28705039">
      <w:bodyDiv w:val="1"/>
      <w:marLeft w:val="0"/>
      <w:marRight w:val="0"/>
      <w:marTop w:val="0"/>
      <w:marBottom w:val="0"/>
      <w:divBdr>
        <w:top w:val="none" w:sz="0" w:space="0" w:color="auto"/>
        <w:left w:val="none" w:sz="0" w:space="0" w:color="auto"/>
        <w:bottom w:val="none" w:sz="0" w:space="0" w:color="auto"/>
        <w:right w:val="none" w:sz="0" w:space="0" w:color="auto"/>
      </w:divBdr>
    </w:div>
    <w:div w:id="118243003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93914861">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81283207">
      <w:bodyDiv w:val="1"/>
      <w:marLeft w:val="0"/>
      <w:marRight w:val="0"/>
      <w:marTop w:val="0"/>
      <w:marBottom w:val="0"/>
      <w:divBdr>
        <w:top w:val="none" w:sz="0" w:space="0" w:color="auto"/>
        <w:left w:val="none" w:sz="0" w:space="0" w:color="auto"/>
        <w:bottom w:val="none" w:sz="0" w:space="0" w:color="auto"/>
        <w:right w:val="none" w:sz="0" w:space="0" w:color="auto"/>
      </w:divBdr>
    </w:div>
    <w:div w:id="1618953213">
      <w:bodyDiv w:val="1"/>
      <w:marLeft w:val="0"/>
      <w:marRight w:val="0"/>
      <w:marTop w:val="0"/>
      <w:marBottom w:val="0"/>
      <w:divBdr>
        <w:top w:val="none" w:sz="0" w:space="0" w:color="auto"/>
        <w:left w:val="none" w:sz="0" w:space="0" w:color="auto"/>
        <w:bottom w:val="none" w:sz="0" w:space="0" w:color="auto"/>
        <w:right w:val="none" w:sz="0" w:space="0" w:color="auto"/>
      </w:divBdr>
    </w:div>
    <w:div w:id="185626170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58892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chart" Target="charts/chart2.xml"/><Relationship Id="rId39" Type="http://schemas.openxmlformats.org/officeDocument/2006/relationships/fontTable" Target="fontTable.xml"/><Relationship Id="rId21" Type="http://schemas.openxmlformats.org/officeDocument/2006/relationships/footer" Target="footer4.xml"/><Relationship Id="rId34" Type="http://schemas.openxmlformats.org/officeDocument/2006/relationships/chart" Target="charts/chart5.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chart" Target="charts/chart1.xml"/><Relationship Id="rId33" Type="http://schemas.openxmlformats.org/officeDocument/2006/relationships/chart" Target="charts/chart4.xml"/><Relationship Id="rId38" Type="http://schemas.openxmlformats.org/officeDocument/2006/relationships/chart" Target="charts/chart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broadcaster-compliance-tv-content-standards" TargetMode="External"/><Relationship Id="rId32" Type="http://schemas.openxmlformats.org/officeDocument/2006/relationships/chart" Target="charts/chart3.xml"/><Relationship Id="rId37" Type="http://schemas.openxmlformats.org/officeDocument/2006/relationships/chart" Target="charts/chart8.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36" Type="http://schemas.openxmlformats.org/officeDocument/2006/relationships/chart" Target="charts/chart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20L01653" TargetMode="External"/><Relationship Id="rId30" Type="http://schemas.openxmlformats.org/officeDocument/2006/relationships/footer" Target="footer7.xml"/><Relationship Id="rId35" Type="http://schemas.openxmlformats.org/officeDocument/2006/relationships/chart" Target="charts/chart6.xm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https://acmagovau-my.sharepoint.com/personal/amanda_henson_acma_gov_au/Documents/Desktop/Copy%20of%20CBSS%20-%20Comparison%20of%20Compliance%20Results%20and%20Scores%20by%20Network%20-%20Part%20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acmagovau-my.sharepoint.com/personal/amanda_henson_acma_gov_au/Documents/Desktop/Copy%20of%20CBSS%20-%20Comparison%20of%20Compliance%20Results%20and%20Scores%20by%20Network%20-%20Part%20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2.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4.xml"/><Relationship Id="rId1" Type="http://schemas.microsoft.com/office/2011/relationships/chartStyle" Target="style4.xml"/><Relationship Id="rId5" Type="http://schemas.openxmlformats.org/officeDocument/2006/relationships/chartUserShapes" Target="../drawings/drawing2.xml"/><Relationship Id="rId4"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2.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5.xml"/><Relationship Id="rId1" Type="http://schemas.microsoft.com/office/2011/relationships/chartStyle" Target="style5.xml"/><Relationship Id="rId5" Type="http://schemas.openxmlformats.org/officeDocument/2006/relationships/chartUserShapes" Target="../drawings/drawing3.xml"/><Relationship Id="rId4"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4.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6.xml"/><Relationship Id="rId1" Type="http://schemas.microsoft.com/office/2011/relationships/chartStyle" Target="style6.xml"/><Relationship Id="rId5" Type="http://schemas.openxmlformats.org/officeDocument/2006/relationships/chartUserShapes" Target="../drawings/drawing4.xml"/><Relationship Id="rId4"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4.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7.xml"/><Relationship Id="rId1" Type="http://schemas.microsoft.com/office/2011/relationships/chartStyle" Target="style7.xml"/><Relationship Id="rId5" Type="http://schemas.openxmlformats.org/officeDocument/2006/relationships/chartUserShapes" Target="../drawings/drawing5.xml"/><Relationship Id="rId4" Type="http://schemas.openxmlformats.org/officeDocument/2006/relationships/oleObject" Target="http://collaboration/organisation/cccd/CCB/NMBS/Docs/Australian%20Content%20compliance/Publication%20documents/Aus%20Content%20Comparision%20Report%202013-21%20Data/Films_Compliance%20with%20Australian%20and%20Childrens%20TV%20Content%20to%202020%20(4).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8.xml"/><Relationship Id="rId1" Type="http://schemas.microsoft.com/office/2011/relationships/chartStyle" Target="style8.xml"/><Relationship Id="rId5" Type="http://schemas.openxmlformats.org/officeDocument/2006/relationships/chartUserShapes" Target="../drawings/drawing6.xml"/><Relationship Id="rId4"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4.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9.xml"/><Relationship Id="rId1" Type="http://schemas.microsoft.com/office/2011/relationships/chartStyle" Target="style9.xml"/><Relationship Id="rId5" Type="http://schemas.openxmlformats.org/officeDocument/2006/relationships/chartUserShapes" Target="../drawings/drawing7.xml"/><Relationship Id="rId4" Type="http://schemas.openxmlformats.org/officeDocument/2006/relationships/oleObject" Target="http://collaboration/organisation/cccd/CCB/NMBS/Docs/Australian%20Content%20compliance/Publication%20documents/Aus%20Content%20Comparision%20Report%202013-21%20Data/Comparison%20of%20Compliance%20Results%20and%20Scores%20by%20Network%20-%20Part%20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1339247763201376E-2"/>
          <c:y val="3.4307987989993953E-2"/>
          <c:w val="0.78485368030837888"/>
          <c:h val="0.76579069310147307"/>
        </c:manualLayout>
      </c:layout>
      <c:barChart>
        <c:barDir val="col"/>
        <c:grouping val="clustered"/>
        <c:varyColors val="0"/>
        <c:ser>
          <c:idx val="0"/>
          <c:order val="0"/>
          <c:tx>
            <c:strRef>
              <c:f>Sheet2!$S$9</c:f>
              <c:strCache>
                <c:ptCount val="1"/>
                <c:pt idx="0">
                  <c:v>Seven</c:v>
                </c:pt>
              </c:strCache>
            </c:strRef>
          </c:tx>
          <c:spPr>
            <a:solidFill>
              <a:srgbClr val="436AB3"/>
            </a:solidFill>
            <a:ln>
              <a:noFill/>
            </a:ln>
            <a:effectLst/>
          </c:spPr>
          <c:invertIfNegative val="0"/>
          <c:cat>
            <c:strRef>
              <c:f>Sheet2!$T$8:$AC$8</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Sheet2!$T$9:$AC$9</c:f>
              <c:numCache>
                <c:formatCode>[$-10409]0.00;\(0.00\)</c:formatCode>
                <c:ptCount val="10"/>
                <c:pt idx="0">
                  <c:v>67.944596207193499</c:v>
                </c:pt>
                <c:pt idx="1">
                  <c:v>69.132724594490895</c:v>
                </c:pt>
                <c:pt idx="2">
                  <c:v>70.4555048928258</c:v>
                </c:pt>
                <c:pt idx="3">
                  <c:v>69.772501444664599</c:v>
                </c:pt>
                <c:pt idx="4">
                  <c:v>72.553076353345006</c:v>
                </c:pt>
                <c:pt idx="5">
                  <c:v>73.412430238459194</c:v>
                </c:pt>
                <c:pt idx="6">
                  <c:v>77.333485540336298</c:v>
                </c:pt>
                <c:pt idx="7">
                  <c:v>77.145509893456605</c:v>
                </c:pt>
                <c:pt idx="8">
                  <c:v>72.136156648450907</c:v>
                </c:pt>
                <c:pt idx="9">
                  <c:v>73.725469304922598</c:v>
                </c:pt>
              </c:numCache>
            </c:numRef>
          </c:val>
          <c:extLst>
            <c:ext xmlns:c16="http://schemas.microsoft.com/office/drawing/2014/chart" uri="{C3380CC4-5D6E-409C-BE32-E72D297353CC}">
              <c16:uniqueId val="{00000000-F1A1-4A67-973E-65E21CDBBFD6}"/>
            </c:ext>
          </c:extLst>
        </c:ser>
        <c:ser>
          <c:idx val="1"/>
          <c:order val="1"/>
          <c:tx>
            <c:strRef>
              <c:f>Sheet2!$S$10</c:f>
              <c:strCache>
                <c:ptCount val="1"/>
                <c:pt idx="0">
                  <c:v>Nine</c:v>
                </c:pt>
              </c:strCache>
            </c:strRef>
          </c:tx>
          <c:spPr>
            <a:solidFill>
              <a:srgbClr val="AA5589"/>
            </a:solidFill>
            <a:ln>
              <a:noFill/>
            </a:ln>
            <a:effectLst/>
          </c:spPr>
          <c:invertIfNegative val="0"/>
          <c:cat>
            <c:strRef>
              <c:f>Sheet2!$T$8:$AC$8</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Sheet2!$T$10:$AC$10</c:f>
              <c:numCache>
                <c:formatCode>[$-10409]0.00;\(0.00\)</c:formatCode>
                <c:ptCount val="10"/>
                <c:pt idx="0">
                  <c:v>67.859829317465596</c:v>
                </c:pt>
                <c:pt idx="1">
                  <c:v>65.487908063588407</c:v>
                </c:pt>
                <c:pt idx="2">
                  <c:v>70.585743241092203</c:v>
                </c:pt>
                <c:pt idx="3">
                  <c:v>71.634618690077303</c:v>
                </c:pt>
                <c:pt idx="4">
                  <c:v>71.981464784860904</c:v>
                </c:pt>
                <c:pt idx="5">
                  <c:v>74.769068154914606</c:v>
                </c:pt>
                <c:pt idx="6">
                  <c:v>73.809825807544499</c:v>
                </c:pt>
                <c:pt idx="7">
                  <c:v>74.929308303739305</c:v>
                </c:pt>
                <c:pt idx="8">
                  <c:v>73.182132496795106</c:v>
                </c:pt>
                <c:pt idx="9">
                  <c:v>77.100794858787395</c:v>
                </c:pt>
              </c:numCache>
            </c:numRef>
          </c:val>
          <c:extLst>
            <c:ext xmlns:c16="http://schemas.microsoft.com/office/drawing/2014/chart" uri="{C3380CC4-5D6E-409C-BE32-E72D297353CC}">
              <c16:uniqueId val="{00000001-F1A1-4A67-973E-65E21CDBBFD6}"/>
            </c:ext>
          </c:extLst>
        </c:ser>
        <c:ser>
          <c:idx val="2"/>
          <c:order val="2"/>
          <c:tx>
            <c:strRef>
              <c:f>Sheet2!$S$11</c:f>
              <c:strCache>
                <c:ptCount val="1"/>
                <c:pt idx="0">
                  <c:v>Ten</c:v>
                </c:pt>
              </c:strCache>
            </c:strRef>
          </c:tx>
          <c:spPr>
            <a:solidFill>
              <a:srgbClr val="1EBCBE"/>
            </a:solidFill>
            <a:ln>
              <a:noFill/>
            </a:ln>
            <a:effectLst/>
          </c:spPr>
          <c:invertIfNegative val="0"/>
          <c:cat>
            <c:strRef>
              <c:f>Sheet2!$T$8:$AC$8</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Sheet2!$T$11:$AC$11</c:f>
              <c:numCache>
                <c:formatCode>[$-10409]0.00;\(0.00\)</c:formatCode>
                <c:ptCount val="10"/>
                <c:pt idx="0">
                  <c:v>60.187715010970201</c:v>
                </c:pt>
                <c:pt idx="1">
                  <c:v>59.446981220817598</c:v>
                </c:pt>
                <c:pt idx="2">
                  <c:v>62.902841181648697</c:v>
                </c:pt>
                <c:pt idx="3">
                  <c:v>63.276204955344298</c:v>
                </c:pt>
                <c:pt idx="4">
                  <c:v>64.990841833085398</c:v>
                </c:pt>
                <c:pt idx="5">
                  <c:v>68.4286656519552</c:v>
                </c:pt>
                <c:pt idx="6">
                  <c:v>68.702688990362006</c:v>
                </c:pt>
                <c:pt idx="7">
                  <c:v>69.939370877728805</c:v>
                </c:pt>
                <c:pt idx="8">
                  <c:v>66.756729407002098</c:v>
                </c:pt>
                <c:pt idx="9">
                  <c:v>67.849416539829207</c:v>
                </c:pt>
              </c:numCache>
            </c:numRef>
          </c:val>
          <c:extLst>
            <c:ext xmlns:c16="http://schemas.microsoft.com/office/drawing/2014/chart" uri="{C3380CC4-5D6E-409C-BE32-E72D297353CC}">
              <c16:uniqueId val="{00000002-F1A1-4A67-973E-65E21CDBBFD6}"/>
            </c:ext>
          </c:extLst>
        </c:ser>
        <c:dLbls>
          <c:showLegendKey val="0"/>
          <c:showVal val="0"/>
          <c:showCatName val="0"/>
          <c:showSerName val="0"/>
          <c:showPercent val="0"/>
          <c:showBubbleSize val="0"/>
        </c:dLbls>
        <c:gapWidth val="219"/>
        <c:overlap val="-27"/>
        <c:axId val="2091842159"/>
        <c:axId val="2091842575"/>
      </c:barChart>
      <c:catAx>
        <c:axId val="2091842159"/>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91842575"/>
        <c:crosses val="autoZero"/>
        <c:auto val="1"/>
        <c:lblAlgn val="ctr"/>
        <c:lblOffset val="100"/>
        <c:noMultiLvlLbl val="0"/>
      </c:catAx>
      <c:valAx>
        <c:axId val="2091842575"/>
        <c:scaling>
          <c:orientation val="minMax"/>
          <c:max val="100"/>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 OF AUSTRALIAN CONTENT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91842159"/>
        <c:crosses val="autoZero"/>
        <c:crossBetween val="between"/>
        <c:majorUnit val="10"/>
        <c:minorUnit val="2"/>
      </c:valAx>
      <c:spPr>
        <a:noFill/>
        <a:ln>
          <a:noFill/>
        </a:ln>
        <a:effectLst/>
      </c:spPr>
    </c:plotArea>
    <c:legend>
      <c:legendPos val="r"/>
      <c:layout>
        <c:manualLayout>
          <c:xMode val="edge"/>
          <c:yMode val="edge"/>
          <c:x val="0.86105644345360144"/>
          <c:y val="2.1024000523686113E-2"/>
          <c:w val="0.13467234121508007"/>
          <c:h val="0.15789582257883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603558022301821"/>
          <c:y val="4.0320487802915389E-2"/>
          <c:w val="0.766449897557267"/>
          <c:h val="0.79827669765194453"/>
        </c:manualLayout>
      </c:layout>
      <c:barChart>
        <c:barDir val="col"/>
        <c:grouping val="clustered"/>
        <c:varyColors val="0"/>
        <c:ser>
          <c:idx val="0"/>
          <c:order val="0"/>
          <c:tx>
            <c:strRef>
              <c:f>Sheet3!$O$5</c:f>
              <c:strCache>
                <c:ptCount val="1"/>
                <c:pt idx="0">
                  <c:v>Seven</c:v>
                </c:pt>
              </c:strCache>
            </c:strRef>
          </c:tx>
          <c:spPr>
            <a:solidFill>
              <a:srgbClr val="436AB3"/>
            </a:solidFill>
            <a:ln>
              <a:noFill/>
            </a:ln>
            <a:effectLst/>
          </c:spPr>
          <c:invertIfNegative val="0"/>
          <c:cat>
            <c:strRef>
              <c:f>Sheet3!$P$4:$X$4</c:f>
              <c:strCache>
                <c:ptCount val="9"/>
                <c:pt idx="0">
                  <c:v>2013</c:v>
                </c:pt>
                <c:pt idx="1">
                  <c:v>2014</c:v>
                </c:pt>
                <c:pt idx="2">
                  <c:v>2015</c:v>
                </c:pt>
                <c:pt idx="3">
                  <c:v>2016</c:v>
                </c:pt>
                <c:pt idx="4">
                  <c:v>2017</c:v>
                </c:pt>
                <c:pt idx="5">
                  <c:v>2018</c:v>
                </c:pt>
                <c:pt idx="6">
                  <c:v>2019</c:v>
                </c:pt>
                <c:pt idx="7">
                  <c:v>2020</c:v>
                </c:pt>
                <c:pt idx="8">
                  <c:v>2021</c:v>
                </c:pt>
              </c:strCache>
            </c:strRef>
          </c:cat>
          <c:val>
            <c:numRef>
              <c:f>Sheet3!$P$5:$X$5</c:f>
              <c:numCache>
                <c:formatCode>[$-10409]#,##0.00;\(#,##0.00\)</c:formatCode>
                <c:ptCount val="9"/>
                <c:pt idx="0">
                  <c:v>2393.2799935809799</c:v>
                </c:pt>
                <c:pt idx="1">
                  <c:v>3092.20999322237</c:v>
                </c:pt>
                <c:pt idx="2">
                  <c:v>2959.9566622091702</c:v>
                </c:pt>
                <c:pt idx="3">
                  <c:v>4162.9466593985699</c:v>
                </c:pt>
                <c:pt idx="4">
                  <c:v>4501.8766666666597</c:v>
                </c:pt>
                <c:pt idx="5">
                  <c:v>5210.1999999999898</c:v>
                </c:pt>
                <c:pt idx="6">
                  <c:v>4770.4566666666497</c:v>
                </c:pt>
                <c:pt idx="7">
                  <c:v>4422.20999999999</c:v>
                </c:pt>
                <c:pt idx="8">
                  <c:v>5306.99999999999</c:v>
                </c:pt>
              </c:numCache>
            </c:numRef>
          </c:val>
          <c:extLst>
            <c:ext xmlns:c16="http://schemas.microsoft.com/office/drawing/2014/chart" uri="{C3380CC4-5D6E-409C-BE32-E72D297353CC}">
              <c16:uniqueId val="{00000000-4757-4D31-B7B3-E119ACC8CFE3}"/>
            </c:ext>
          </c:extLst>
        </c:ser>
        <c:ser>
          <c:idx val="1"/>
          <c:order val="1"/>
          <c:tx>
            <c:strRef>
              <c:f>Sheet3!$O$6</c:f>
              <c:strCache>
                <c:ptCount val="1"/>
                <c:pt idx="0">
                  <c:v>Nine</c:v>
                </c:pt>
              </c:strCache>
            </c:strRef>
          </c:tx>
          <c:spPr>
            <a:solidFill>
              <a:srgbClr val="AA5589"/>
            </a:solidFill>
            <a:ln>
              <a:solidFill>
                <a:srgbClr val="AA5589"/>
              </a:solidFill>
            </a:ln>
            <a:effectLst/>
          </c:spPr>
          <c:invertIfNegative val="0"/>
          <c:cat>
            <c:strRef>
              <c:f>Sheet3!$P$4:$X$4</c:f>
              <c:strCache>
                <c:ptCount val="9"/>
                <c:pt idx="0">
                  <c:v>2013</c:v>
                </c:pt>
                <c:pt idx="1">
                  <c:v>2014</c:v>
                </c:pt>
                <c:pt idx="2">
                  <c:v>2015</c:v>
                </c:pt>
                <c:pt idx="3">
                  <c:v>2016</c:v>
                </c:pt>
                <c:pt idx="4">
                  <c:v>2017</c:v>
                </c:pt>
                <c:pt idx="5">
                  <c:v>2018</c:v>
                </c:pt>
                <c:pt idx="6">
                  <c:v>2019</c:v>
                </c:pt>
                <c:pt idx="7">
                  <c:v>2020</c:v>
                </c:pt>
                <c:pt idx="8">
                  <c:v>2021</c:v>
                </c:pt>
              </c:strCache>
            </c:strRef>
          </c:cat>
          <c:val>
            <c:numRef>
              <c:f>Sheet3!$P$6:$X$6</c:f>
              <c:numCache>
                <c:formatCode>[$-10409]#,##0.00;\(#,##0.00\)</c:formatCode>
                <c:ptCount val="9"/>
                <c:pt idx="0">
                  <c:v>1935.7277745296699</c:v>
                </c:pt>
                <c:pt idx="1">
                  <c:v>1662.3166688193301</c:v>
                </c:pt>
                <c:pt idx="2">
                  <c:v>1604.04444430333</c:v>
                </c:pt>
                <c:pt idx="3">
                  <c:v>2364.5277767490002</c:v>
                </c:pt>
                <c:pt idx="4">
                  <c:v>2157.85</c:v>
                </c:pt>
                <c:pt idx="5">
                  <c:v>3696.4388888888898</c:v>
                </c:pt>
                <c:pt idx="6">
                  <c:v>2597.6444444444401</c:v>
                </c:pt>
                <c:pt idx="7">
                  <c:v>2519.9499999999998</c:v>
                </c:pt>
                <c:pt idx="8">
                  <c:v>2230.3277777777798</c:v>
                </c:pt>
              </c:numCache>
            </c:numRef>
          </c:val>
          <c:extLst>
            <c:ext xmlns:c16="http://schemas.microsoft.com/office/drawing/2014/chart" uri="{C3380CC4-5D6E-409C-BE32-E72D297353CC}">
              <c16:uniqueId val="{00000001-4757-4D31-B7B3-E119ACC8CFE3}"/>
            </c:ext>
          </c:extLst>
        </c:ser>
        <c:ser>
          <c:idx val="2"/>
          <c:order val="2"/>
          <c:tx>
            <c:strRef>
              <c:f>Sheet3!$O$7</c:f>
              <c:strCache>
                <c:ptCount val="1"/>
                <c:pt idx="0">
                  <c:v>Ten</c:v>
                </c:pt>
              </c:strCache>
            </c:strRef>
          </c:tx>
          <c:spPr>
            <a:solidFill>
              <a:srgbClr val="1EBCBE"/>
            </a:solidFill>
            <a:ln>
              <a:solidFill>
                <a:srgbClr val="1EBCBE"/>
              </a:solidFill>
            </a:ln>
            <a:effectLst/>
          </c:spPr>
          <c:invertIfNegative val="0"/>
          <c:cat>
            <c:strRef>
              <c:f>Sheet3!$P$4:$X$4</c:f>
              <c:strCache>
                <c:ptCount val="9"/>
                <c:pt idx="0">
                  <c:v>2013</c:v>
                </c:pt>
                <c:pt idx="1">
                  <c:v>2014</c:v>
                </c:pt>
                <c:pt idx="2">
                  <c:v>2015</c:v>
                </c:pt>
                <c:pt idx="3">
                  <c:v>2016</c:v>
                </c:pt>
                <c:pt idx="4">
                  <c:v>2017</c:v>
                </c:pt>
                <c:pt idx="5">
                  <c:v>2018</c:v>
                </c:pt>
                <c:pt idx="6">
                  <c:v>2019</c:v>
                </c:pt>
                <c:pt idx="7">
                  <c:v>2020</c:v>
                </c:pt>
                <c:pt idx="8">
                  <c:v>2021</c:v>
                </c:pt>
              </c:strCache>
            </c:strRef>
          </c:cat>
          <c:val>
            <c:numRef>
              <c:f>Sheet3!$P$7:$X$7</c:f>
              <c:numCache>
                <c:formatCode>[$-10409]#,##0.00;\(#,##0.00\)</c:formatCode>
                <c:ptCount val="9"/>
                <c:pt idx="0">
                  <c:v>2365.9166770543302</c:v>
                </c:pt>
                <c:pt idx="1">
                  <c:v>3490.58667263385</c:v>
                </c:pt>
                <c:pt idx="2">
                  <c:v>4077.9400064668798</c:v>
                </c:pt>
                <c:pt idx="3">
                  <c:v>2707.29000623099</c:v>
                </c:pt>
                <c:pt idx="4">
                  <c:v>2561.8200000000102</c:v>
                </c:pt>
                <c:pt idx="5">
                  <c:v>2696.8266666667</c:v>
                </c:pt>
                <c:pt idx="6">
                  <c:v>2532.9400000000101</c:v>
                </c:pt>
                <c:pt idx="7">
                  <c:v>2063.5299999999702</c:v>
                </c:pt>
                <c:pt idx="8">
                  <c:v>1727.38333333333</c:v>
                </c:pt>
              </c:numCache>
            </c:numRef>
          </c:val>
          <c:extLst>
            <c:ext xmlns:c16="http://schemas.microsoft.com/office/drawing/2014/chart" uri="{C3380CC4-5D6E-409C-BE32-E72D297353CC}">
              <c16:uniqueId val="{00000002-4757-4D31-B7B3-E119ACC8CFE3}"/>
            </c:ext>
          </c:extLst>
        </c:ser>
        <c:dLbls>
          <c:showLegendKey val="0"/>
          <c:showVal val="0"/>
          <c:showCatName val="0"/>
          <c:showSerName val="0"/>
          <c:showPercent val="0"/>
          <c:showBubbleSize val="0"/>
        </c:dLbls>
        <c:gapWidth val="219"/>
        <c:overlap val="-27"/>
        <c:axId val="2093946639"/>
        <c:axId val="2093954959"/>
      </c:barChart>
      <c:catAx>
        <c:axId val="2093946639"/>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93954959"/>
        <c:crosses val="autoZero"/>
        <c:auto val="1"/>
        <c:lblAlgn val="ctr"/>
        <c:lblOffset val="100"/>
        <c:noMultiLvlLbl val="0"/>
      </c:catAx>
      <c:valAx>
        <c:axId val="2093954959"/>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AVERAGE HOURS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93946639"/>
        <c:crosses val="autoZero"/>
        <c:crossBetween val="between"/>
      </c:valAx>
      <c:spPr>
        <a:noFill/>
        <a:ln>
          <a:noFill/>
        </a:ln>
        <a:effectLst/>
      </c:spPr>
    </c:plotArea>
    <c:legend>
      <c:legendPos val="t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Sheet1!$N$26</c:f>
              <c:strCache>
                <c:ptCount val="1"/>
                <c:pt idx="0">
                  <c:v>Seven</c:v>
                </c:pt>
              </c:strCache>
            </c:strRef>
          </c:tx>
          <c:spPr>
            <a:solidFill>
              <a:srgbClr val="436AB3"/>
            </a:solidFill>
            <a:ln>
              <a:solidFill>
                <a:srgbClr val="436AB3"/>
              </a:solidFill>
            </a:ln>
            <a:effectLst/>
          </c:spPr>
          <c:invertIfNegative val="0"/>
          <c:cat>
            <c:strRef>
              <c:f>Sheet1!$O$23:$X$23</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Sheet1!$O$26:$X$26</c:f>
              <c:numCache>
                <c:formatCode>General</c:formatCode>
                <c:ptCount val="10"/>
                <c:pt idx="0">
                  <c:v>165.51</c:v>
                </c:pt>
                <c:pt idx="1">
                  <c:v>181.01</c:v>
                </c:pt>
                <c:pt idx="2">
                  <c:v>172.43</c:v>
                </c:pt>
                <c:pt idx="3">
                  <c:v>165.88</c:v>
                </c:pt>
                <c:pt idx="4">
                  <c:v>156.81</c:v>
                </c:pt>
                <c:pt idx="5">
                  <c:v>156.22</c:v>
                </c:pt>
                <c:pt idx="6">
                  <c:v>160.78</c:v>
                </c:pt>
                <c:pt idx="7">
                  <c:v>184.22</c:v>
                </c:pt>
                <c:pt idx="8">
                  <c:v>148.53</c:v>
                </c:pt>
                <c:pt idx="9">
                  <c:v>138.5</c:v>
                </c:pt>
              </c:numCache>
            </c:numRef>
          </c:val>
          <c:extLst>
            <c:ext xmlns:c16="http://schemas.microsoft.com/office/drawing/2014/chart" uri="{C3380CC4-5D6E-409C-BE32-E72D297353CC}">
              <c16:uniqueId val="{00000000-D00A-407A-8D18-37A3008C90A1}"/>
            </c:ext>
          </c:extLst>
        </c:ser>
        <c:ser>
          <c:idx val="1"/>
          <c:order val="1"/>
          <c:tx>
            <c:strRef>
              <c:f>Sheet1!$N$27</c:f>
              <c:strCache>
                <c:ptCount val="1"/>
                <c:pt idx="0">
                  <c:v>Nine</c:v>
                </c:pt>
              </c:strCache>
            </c:strRef>
          </c:tx>
          <c:spPr>
            <a:solidFill>
              <a:srgbClr val="AA5589"/>
            </a:solidFill>
            <a:ln>
              <a:solidFill>
                <a:srgbClr val="AA5589"/>
              </a:solidFill>
            </a:ln>
            <a:effectLst/>
          </c:spPr>
          <c:invertIfNegative val="0"/>
          <c:cat>
            <c:strRef>
              <c:f>Sheet1!$O$23:$X$23</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Sheet1!$O$27:$X$27</c:f>
              <c:numCache>
                <c:formatCode>General</c:formatCode>
                <c:ptCount val="10"/>
                <c:pt idx="0">
                  <c:v>65.42</c:v>
                </c:pt>
                <c:pt idx="1">
                  <c:v>103.4</c:v>
                </c:pt>
                <c:pt idx="2">
                  <c:v>73.099999999999994</c:v>
                </c:pt>
                <c:pt idx="3">
                  <c:v>77.5</c:v>
                </c:pt>
                <c:pt idx="4">
                  <c:v>104.25</c:v>
                </c:pt>
                <c:pt idx="5">
                  <c:v>99.08</c:v>
                </c:pt>
                <c:pt idx="6">
                  <c:v>85.58</c:v>
                </c:pt>
                <c:pt idx="7">
                  <c:v>75.5</c:v>
                </c:pt>
                <c:pt idx="8">
                  <c:v>45.42</c:v>
                </c:pt>
                <c:pt idx="9">
                  <c:v>19</c:v>
                </c:pt>
              </c:numCache>
            </c:numRef>
          </c:val>
          <c:extLst>
            <c:ext xmlns:c16="http://schemas.microsoft.com/office/drawing/2014/chart" uri="{C3380CC4-5D6E-409C-BE32-E72D297353CC}">
              <c16:uniqueId val="{00000001-D00A-407A-8D18-37A3008C90A1}"/>
            </c:ext>
          </c:extLst>
        </c:ser>
        <c:ser>
          <c:idx val="2"/>
          <c:order val="2"/>
          <c:tx>
            <c:strRef>
              <c:f>Sheet1!$N$28</c:f>
              <c:strCache>
                <c:ptCount val="1"/>
                <c:pt idx="0">
                  <c:v>Ten</c:v>
                </c:pt>
              </c:strCache>
            </c:strRef>
          </c:tx>
          <c:spPr>
            <a:solidFill>
              <a:srgbClr val="1EBCBE"/>
            </a:solidFill>
            <a:ln>
              <a:solidFill>
                <a:srgbClr val="1EBCBE"/>
              </a:solidFill>
            </a:ln>
            <a:effectLst/>
          </c:spPr>
          <c:invertIfNegative val="0"/>
          <c:cat>
            <c:strRef>
              <c:f>Sheet1!$O$23:$X$23</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Sheet1!$O$28:$X$28</c:f>
              <c:numCache>
                <c:formatCode>General</c:formatCode>
                <c:ptCount val="10"/>
                <c:pt idx="0">
                  <c:v>75.77</c:v>
                </c:pt>
                <c:pt idx="1">
                  <c:v>178.5</c:v>
                </c:pt>
                <c:pt idx="2">
                  <c:v>177.25</c:v>
                </c:pt>
                <c:pt idx="3">
                  <c:v>160.05000000000001</c:v>
                </c:pt>
                <c:pt idx="4">
                  <c:v>166.75</c:v>
                </c:pt>
                <c:pt idx="5">
                  <c:v>161.4</c:v>
                </c:pt>
                <c:pt idx="6">
                  <c:v>186.08</c:v>
                </c:pt>
                <c:pt idx="7">
                  <c:v>184.33</c:v>
                </c:pt>
                <c:pt idx="8">
                  <c:v>164.2</c:v>
                </c:pt>
                <c:pt idx="9">
                  <c:v>120</c:v>
                </c:pt>
              </c:numCache>
            </c:numRef>
          </c:val>
          <c:extLst>
            <c:ext xmlns:c16="http://schemas.microsoft.com/office/drawing/2014/chart" uri="{C3380CC4-5D6E-409C-BE32-E72D297353CC}">
              <c16:uniqueId val="{00000002-D00A-407A-8D18-37A3008C90A1}"/>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2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HOURS</a:t>
                </a:r>
              </a:p>
            </c:rich>
          </c:tx>
          <c:layout>
            <c:manualLayout>
              <c:xMode val="edge"/>
              <c:yMode val="edge"/>
              <c:x val="8.7749632505611554E-3"/>
              <c:y val="0.40240765103291959"/>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Sheet5!$A$6</c:f>
              <c:strCache>
                <c:ptCount val="1"/>
                <c:pt idx="0">
                  <c:v>Seven</c:v>
                </c:pt>
              </c:strCache>
            </c:strRef>
          </c:tx>
          <c:spPr>
            <a:solidFill>
              <a:srgbClr val="436AB3"/>
            </a:solidFill>
            <a:ln>
              <a:solidFill>
                <a:srgbClr val="436AB3"/>
              </a:solidFill>
            </a:ln>
            <a:effectLst/>
          </c:spPr>
          <c:invertIfNegative val="0"/>
          <c:cat>
            <c:strRef>
              <c:f>Sheet5!$B$5:$K$5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Sheet5!$B$6:$K$6</c:f>
              <c:numCache>
                <c:formatCode>[$-10409]#,##0.00;\(#,##0.00\)</c:formatCode>
                <c:ptCount val="10"/>
                <c:pt idx="0">
                  <c:v>32.5</c:v>
                </c:pt>
                <c:pt idx="1">
                  <c:v>27</c:v>
                </c:pt>
                <c:pt idx="2">
                  <c:v>37</c:v>
                </c:pt>
                <c:pt idx="3" formatCode="0.00">
                  <c:v>26.5</c:v>
                </c:pt>
                <c:pt idx="4" formatCode="0.00">
                  <c:v>33.5</c:v>
                </c:pt>
                <c:pt idx="5" formatCode="0.00">
                  <c:v>36</c:v>
                </c:pt>
                <c:pt idx="6" formatCode="0.00">
                  <c:v>26.5</c:v>
                </c:pt>
                <c:pt idx="7" formatCode="0.00">
                  <c:v>33.5</c:v>
                </c:pt>
                <c:pt idx="8" formatCode="0.00">
                  <c:v>4</c:v>
                </c:pt>
                <c:pt idx="9" formatCode="0.00">
                  <c:v>6.5</c:v>
                </c:pt>
              </c:numCache>
            </c:numRef>
          </c:val>
          <c:extLst>
            <c:ext xmlns:c16="http://schemas.microsoft.com/office/drawing/2014/chart" uri="{C3380CC4-5D6E-409C-BE32-E72D297353CC}">
              <c16:uniqueId val="{00000000-BE39-40D6-8B71-79F9ACF3AB7E}"/>
            </c:ext>
          </c:extLst>
        </c:ser>
        <c:ser>
          <c:idx val="1"/>
          <c:order val="1"/>
          <c:tx>
            <c:strRef>
              <c:f>Sheet5!$A$7</c:f>
              <c:strCache>
                <c:ptCount val="1"/>
                <c:pt idx="0">
                  <c:v>Nine</c:v>
                </c:pt>
              </c:strCache>
            </c:strRef>
          </c:tx>
          <c:spPr>
            <a:solidFill>
              <a:srgbClr val="AA5589"/>
            </a:solidFill>
            <a:ln>
              <a:solidFill>
                <a:srgbClr val="AA5589"/>
              </a:solidFill>
            </a:ln>
            <a:effectLst/>
          </c:spPr>
          <c:invertIfNegative val="0"/>
          <c:cat>
            <c:strRef>
              <c:f>Sheet5!$B$5:$K$5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Sheet5!$B$7:$K$7</c:f>
              <c:numCache>
                <c:formatCode>[$-10409]#,##0.00;\(#,##0.00\)</c:formatCode>
                <c:ptCount val="10"/>
                <c:pt idx="0">
                  <c:v>32</c:v>
                </c:pt>
                <c:pt idx="1">
                  <c:v>27.5</c:v>
                </c:pt>
                <c:pt idx="2">
                  <c:v>32</c:v>
                </c:pt>
                <c:pt idx="3" formatCode="0.00">
                  <c:v>32</c:v>
                </c:pt>
                <c:pt idx="4" formatCode="0.00">
                  <c:v>32</c:v>
                </c:pt>
                <c:pt idx="5" formatCode="0.00">
                  <c:v>33</c:v>
                </c:pt>
                <c:pt idx="6" formatCode="0.00">
                  <c:v>26</c:v>
                </c:pt>
                <c:pt idx="7" formatCode="0.00">
                  <c:v>32.5</c:v>
                </c:pt>
                <c:pt idx="8" formatCode="0.00">
                  <c:v>25</c:v>
                </c:pt>
                <c:pt idx="9" formatCode="0.00">
                  <c:v>24.08</c:v>
                </c:pt>
              </c:numCache>
            </c:numRef>
          </c:val>
          <c:extLst>
            <c:ext xmlns:c16="http://schemas.microsoft.com/office/drawing/2014/chart" uri="{C3380CC4-5D6E-409C-BE32-E72D297353CC}">
              <c16:uniqueId val="{00000001-BE39-40D6-8B71-79F9ACF3AB7E}"/>
            </c:ext>
          </c:extLst>
        </c:ser>
        <c:ser>
          <c:idx val="2"/>
          <c:order val="2"/>
          <c:tx>
            <c:strRef>
              <c:f>Sheet5!$A$8</c:f>
              <c:strCache>
                <c:ptCount val="1"/>
                <c:pt idx="0">
                  <c:v>Ten</c:v>
                </c:pt>
              </c:strCache>
            </c:strRef>
          </c:tx>
          <c:spPr>
            <a:solidFill>
              <a:srgbClr val="1EBCBE"/>
            </a:solidFill>
            <a:ln>
              <a:solidFill>
                <a:srgbClr val="1EBCBE"/>
              </a:solidFill>
            </a:ln>
            <a:effectLst/>
          </c:spPr>
          <c:invertIfNegative val="0"/>
          <c:cat>
            <c:strRef>
              <c:f>Sheet5!$B$5:$K$5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Sheet5!$B$8:$K$8</c:f>
              <c:numCache>
                <c:formatCode>[$-10409]#,##0.00;\(#,##0.00\)</c:formatCode>
                <c:ptCount val="10"/>
                <c:pt idx="0">
                  <c:v>25</c:v>
                </c:pt>
                <c:pt idx="1">
                  <c:v>34</c:v>
                </c:pt>
                <c:pt idx="2">
                  <c:v>37.5</c:v>
                </c:pt>
                <c:pt idx="3" formatCode="0.00">
                  <c:v>26.5</c:v>
                </c:pt>
                <c:pt idx="4" formatCode="0.00">
                  <c:v>26.5</c:v>
                </c:pt>
                <c:pt idx="5" formatCode="0.00">
                  <c:v>43</c:v>
                </c:pt>
                <c:pt idx="6" formatCode="0.00">
                  <c:v>32</c:v>
                </c:pt>
                <c:pt idx="7" formatCode="0.00">
                  <c:v>32</c:v>
                </c:pt>
                <c:pt idx="8" formatCode="0.00">
                  <c:v>32</c:v>
                </c:pt>
                <c:pt idx="9" formatCode="0.00">
                  <c:v>16</c:v>
                </c:pt>
              </c:numCache>
            </c:numRef>
          </c:val>
          <c:extLst>
            <c:ext xmlns:c16="http://schemas.microsoft.com/office/drawing/2014/chart" uri="{C3380CC4-5D6E-409C-BE32-E72D297353CC}">
              <c16:uniqueId val="{00000002-BE39-40D6-8B71-79F9ACF3AB7E}"/>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5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HOURS</a:t>
                </a:r>
              </a:p>
            </c:rich>
          </c:tx>
          <c:layout>
            <c:manualLayout>
              <c:xMode val="edge"/>
              <c:yMode val="edge"/>
              <c:x val="8.7749632505611554E-3"/>
              <c:y val="0.4068595129102241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Sheet2!$AC$8</c:f>
              <c:strCache>
                <c:ptCount val="1"/>
                <c:pt idx="0">
                  <c:v>Seven</c:v>
                </c:pt>
              </c:strCache>
            </c:strRef>
          </c:tx>
          <c:spPr>
            <a:solidFill>
              <a:srgbClr val="436AB3"/>
            </a:solidFill>
            <a:ln>
              <a:solidFill>
                <a:srgbClr val="436AB3"/>
              </a:solidFill>
            </a:ln>
            <a:effectLst/>
          </c:spPr>
          <c:invertIfNegative val="0"/>
          <c:cat>
            <c:strRef>
              <c:f>Sheet2!$AD$7:$AM$7</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Sheet2!$AD$8:$AM$8</c:f>
              <c:numCache>
                <c:formatCode>[$-10409]#,##0.00;\(#,##0.00\)</c:formatCode>
                <c:ptCount val="10"/>
                <c:pt idx="0">
                  <c:v>130</c:v>
                </c:pt>
                <c:pt idx="1">
                  <c:v>130</c:v>
                </c:pt>
                <c:pt idx="2">
                  <c:v>130</c:v>
                </c:pt>
                <c:pt idx="3">
                  <c:v>130</c:v>
                </c:pt>
                <c:pt idx="4">
                  <c:v>130</c:v>
                </c:pt>
                <c:pt idx="5">
                  <c:v>130</c:v>
                </c:pt>
                <c:pt idx="6">
                  <c:v>130</c:v>
                </c:pt>
                <c:pt idx="7">
                  <c:v>130</c:v>
                </c:pt>
                <c:pt idx="8">
                  <c:v>9</c:v>
                </c:pt>
                <c:pt idx="9" formatCode="General">
                  <c:v>6.5</c:v>
                </c:pt>
              </c:numCache>
            </c:numRef>
          </c:val>
          <c:extLst>
            <c:ext xmlns:c16="http://schemas.microsoft.com/office/drawing/2014/chart" uri="{C3380CC4-5D6E-409C-BE32-E72D297353CC}">
              <c16:uniqueId val="{00000000-3EC8-4503-A7DF-46410B59F636}"/>
            </c:ext>
          </c:extLst>
        </c:ser>
        <c:ser>
          <c:idx val="1"/>
          <c:order val="1"/>
          <c:tx>
            <c:strRef>
              <c:f>Sheet2!$AC$9</c:f>
              <c:strCache>
                <c:ptCount val="1"/>
                <c:pt idx="0">
                  <c:v>Nine</c:v>
                </c:pt>
              </c:strCache>
            </c:strRef>
          </c:tx>
          <c:spPr>
            <a:solidFill>
              <a:srgbClr val="AA5589"/>
            </a:solidFill>
            <a:ln>
              <a:solidFill>
                <a:srgbClr val="AA5589"/>
              </a:solidFill>
            </a:ln>
            <a:effectLst/>
          </c:spPr>
          <c:invertIfNegative val="0"/>
          <c:cat>
            <c:strRef>
              <c:f>Sheet2!$AD$7:$AM$7</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Sheet2!$AD$9:$AM$9</c:f>
              <c:numCache>
                <c:formatCode>[$-10409]#,##0.00;\(#,##0.00\)</c:formatCode>
                <c:ptCount val="10"/>
                <c:pt idx="0">
                  <c:v>130.5</c:v>
                </c:pt>
                <c:pt idx="1">
                  <c:v>124</c:v>
                </c:pt>
                <c:pt idx="2">
                  <c:v>130</c:v>
                </c:pt>
                <c:pt idx="3">
                  <c:v>130.5</c:v>
                </c:pt>
                <c:pt idx="4">
                  <c:v>130.5</c:v>
                </c:pt>
                <c:pt idx="5">
                  <c:v>130.5</c:v>
                </c:pt>
                <c:pt idx="6">
                  <c:v>130</c:v>
                </c:pt>
                <c:pt idx="7">
                  <c:v>130.5</c:v>
                </c:pt>
                <c:pt idx="8">
                  <c:v>95</c:v>
                </c:pt>
                <c:pt idx="9" formatCode="General">
                  <c:v>46.58</c:v>
                </c:pt>
              </c:numCache>
            </c:numRef>
          </c:val>
          <c:extLst>
            <c:ext xmlns:c16="http://schemas.microsoft.com/office/drawing/2014/chart" uri="{C3380CC4-5D6E-409C-BE32-E72D297353CC}">
              <c16:uniqueId val="{00000001-3EC8-4503-A7DF-46410B59F636}"/>
            </c:ext>
          </c:extLst>
        </c:ser>
        <c:ser>
          <c:idx val="2"/>
          <c:order val="2"/>
          <c:tx>
            <c:strRef>
              <c:f>Sheet2!$AC$10</c:f>
              <c:strCache>
                <c:ptCount val="1"/>
                <c:pt idx="0">
                  <c:v>Ten</c:v>
                </c:pt>
              </c:strCache>
            </c:strRef>
          </c:tx>
          <c:spPr>
            <a:solidFill>
              <a:srgbClr val="1EBCBE"/>
            </a:solidFill>
            <a:ln>
              <a:solidFill>
                <a:srgbClr val="1EBCBE"/>
              </a:solidFill>
            </a:ln>
            <a:effectLst/>
          </c:spPr>
          <c:invertIfNegative val="0"/>
          <c:cat>
            <c:strRef>
              <c:f>Sheet2!$AD$7:$AM$7</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Sheet2!$AD$10:$AM$10</c:f>
              <c:numCache>
                <c:formatCode>[$-10409]#,##0.00;\(#,##0.00\)</c:formatCode>
                <c:ptCount val="10"/>
                <c:pt idx="0">
                  <c:v>131.19999999999999</c:v>
                </c:pt>
                <c:pt idx="1">
                  <c:v>130</c:v>
                </c:pt>
                <c:pt idx="2">
                  <c:v>130.5</c:v>
                </c:pt>
                <c:pt idx="3">
                  <c:v>130.5</c:v>
                </c:pt>
                <c:pt idx="4">
                  <c:v>133</c:v>
                </c:pt>
                <c:pt idx="5">
                  <c:v>132.5</c:v>
                </c:pt>
                <c:pt idx="6">
                  <c:v>132.5</c:v>
                </c:pt>
                <c:pt idx="7">
                  <c:v>130</c:v>
                </c:pt>
                <c:pt idx="8">
                  <c:v>109.5</c:v>
                </c:pt>
                <c:pt idx="9" formatCode="General">
                  <c:v>40</c:v>
                </c:pt>
              </c:numCache>
            </c:numRef>
          </c:val>
          <c:extLst>
            <c:ext xmlns:c16="http://schemas.microsoft.com/office/drawing/2014/chart" uri="{C3380CC4-5D6E-409C-BE32-E72D297353CC}">
              <c16:uniqueId val="{00000002-3EC8-4503-A7DF-46410B59F636}"/>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150"/>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ANNUAL AVERAGE HOURS</a:t>
                </a:r>
              </a:p>
            </c:rich>
          </c:tx>
          <c:layout>
            <c:manualLayout>
              <c:xMode val="edge"/>
              <c:yMode val="edge"/>
              <c:x val="8.7749045573848727E-3"/>
              <c:y val="0.3022135606088158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Sheet1!$R$21</c:f>
              <c:strCache>
                <c:ptCount val="1"/>
                <c:pt idx="0">
                  <c:v>Seven</c:v>
                </c:pt>
              </c:strCache>
            </c:strRef>
          </c:tx>
          <c:spPr>
            <a:solidFill>
              <a:srgbClr val="436AB3"/>
            </a:solidFill>
            <a:ln>
              <a:solidFill>
                <a:srgbClr val="436AB3"/>
              </a:solidFill>
            </a:ln>
            <a:effectLst/>
          </c:spPr>
          <c:invertIfNegative val="0"/>
          <c:cat>
            <c:strRef>
              <c:f>Sheet1!$S$20:$AB$20</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Sheet1!$S$21:$AB$21</c:f>
              <c:numCache>
                <c:formatCode>[$-10409]#,##0.00;\(#,##0.00\)</c:formatCode>
                <c:ptCount val="10"/>
                <c:pt idx="0">
                  <c:v>54.1</c:v>
                </c:pt>
                <c:pt idx="1">
                  <c:v>59.59</c:v>
                </c:pt>
                <c:pt idx="2">
                  <c:v>70.849999999999994</c:v>
                </c:pt>
                <c:pt idx="3">
                  <c:v>62.58</c:v>
                </c:pt>
                <c:pt idx="4">
                  <c:v>79.62</c:v>
                </c:pt>
                <c:pt idx="5">
                  <c:v>126.04</c:v>
                </c:pt>
                <c:pt idx="6">
                  <c:v>94.82</c:v>
                </c:pt>
                <c:pt idx="7">
                  <c:v>78.540000000000006</c:v>
                </c:pt>
                <c:pt idx="8">
                  <c:v>79.87</c:v>
                </c:pt>
                <c:pt idx="9">
                  <c:v>35.5</c:v>
                </c:pt>
              </c:numCache>
            </c:numRef>
          </c:val>
          <c:extLst>
            <c:ext xmlns:c16="http://schemas.microsoft.com/office/drawing/2014/chart" uri="{C3380CC4-5D6E-409C-BE32-E72D297353CC}">
              <c16:uniqueId val="{00000000-4797-474D-88DB-EBB12662A175}"/>
            </c:ext>
          </c:extLst>
        </c:ser>
        <c:ser>
          <c:idx val="1"/>
          <c:order val="1"/>
          <c:tx>
            <c:strRef>
              <c:f>Sheet1!$R$22</c:f>
              <c:strCache>
                <c:ptCount val="1"/>
                <c:pt idx="0">
                  <c:v>Nine</c:v>
                </c:pt>
              </c:strCache>
            </c:strRef>
          </c:tx>
          <c:spPr>
            <a:solidFill>
              <a:srgbClr val="AA5589"/>
            </a:solidFill>
            <a:ln>
              <a:solidFill>
                <a:srgbClr val="AA5589"/>
              </a:solidFill>
            </a:ln>
            <a:effectLst/>
          </c:spPr>
          <c:invertIfNegative val="0"/>
          <c:cat>
            <c:strRef>
              <c:f>Sheet1!$S$20:$AB$20</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Sheet1!$S$22:$AB$22</c:f>
              <c:numCache>
                <c:formatCode>[$-10409]#,##0.00;\(#,##0.00\)</c:formatCode>
                <c:ptCount val="10"/>
                <c:pt idx="0">
                  <c:v>21.5</c:v>
                </c:pt>
                <c:pt idx="1">
                  <c:v>20</c:v>
                </c:pt>
                <c:pt idx="2">
                  <c:v>20.25</c:v>
                </c:pt>
                <c:pt idx="3">
                  <c:v>21.83</c:v>
                </c:pt>
                <c:pt idx="4">
                  <c:v>34.25</c:v>
                </c:pt>
                <c:pt idx="5">
                  <c:v>25.17</c:v>
                </c:pt>
                <c:pt idx="6">
                  <c:v>34.75</c:v>
                </c:pt>
                <c:pt idx="7">
                  <c:v>42.03</c:v>
                </c:pt>
                <c:pt idx="8">
                  <c:v>67.5</c:v>
                </c:pt>
                <c:pt idx="9">
                  <c:v>41.47</c:v>
                </c:pt>
              </c:numCache>
            </c:numRef>
          </c:val>
          <c:extLst>
            <c:ext xmlns:c16="http://schemas.microsoft.com/office/drawing/2014/chart" uri="{C3380CC4-5D6E-409C-BE32-E72D297353CC}">
              <c16:uniqueId val="{00000001-4797-474D-88DB-EBB12662A175}"/>
            </c:ext>
          </c:extLst>
        </c:ser>
        <c:ser>
          <c:idx val="2"/>
          <c:order val="2"/>
          <c:tx>
            <c:strRef>
              <c:f>Sheet1!$R$23</c:f>
              <c:strCache>
                <c:ptCount val="1"/>
                <c:pt idx="0">
                  <c:v>Ten </c:v>
                </c:pt>
              </c:strCache>
            </c:strRef>
          </c:tx>
          <c:spPr>
            <a:solidFill>
              <a:srgbClr val="1EBCBE"/>
            </a:solidFill>
            <a:ln>
              <a:solidFill>
                <a:srgbClr val="1EBCBE"/>
              </a:solidFill>
            </a:ln>
            <a:effectLst/>
          </c:spPr>
          <c:invertIfNegative val="0"/>
          <c:cat>
            <c:strRef>
              <c:f>Sheet1!$S$20:$AB$20</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Sheet1!$S$23:$AB$23</c:f>
              <c:numCache>
                <c:formatCode>[$-10409]#,##0.00;\(#,##0.00\)</c:formatCode>
                <c:ptCount val="10"/>
                <c:pt idx="0">
                  <c:v>21</c:v>
                </c:pt>
                <c:pt idx="1">
                  <c:v>33.4</c:v>
                </c:pt>
                <c:pt idx="2">
                  <c:v>41.7</c:v>
                </c:pt>
                <c:pt idx="3">
                  <c:v>30</c:v>
                </c:pt>
                <c:pt idx="4">
                  <c:v>29</c:v>
                </c:pt>
                <c:pt idx="5">
                  <c:v>20.58</c:v>
                </c:pt>
                <c:pt idx="6">
                  <c:v>47.33</c:v>
                </c:pt>
                <c:pt idx="7">
                  <c:v>40.17</c:v>
                </c:pt>
                <c:pt idx="8">
                  <c:v>22</c:v>
                </c:pt>
                <c:pt idx="9">
                  <c:v>24</c:v>
                </c:pt>
              </c:numCache>
            </c:numRef>
          </c:val>
          <c:extLst>
            <c:ext xmlns:c16="http://schemas.microsoft.com/office/drawing/2014/chart" uri="{C3380CC4-5D6E-409C-BE32-E72D297353CC}">
              <c16:uniqueId val="{00000002-4797-474D-88DB-EBB12662A175}"/>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140"/>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HOURS</a:t>
                </a:r>
              </a:p>
            </c:rich>
          </c:tx>
          <c:layout>
            <c:manualLayout>
              <c:xMode val="edge"/>
              <c:yMode val="edge"/>
              <c:x val="8.7749632505611554E-3"/>
              <c:y val="0.4068595129102241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Sheet4!$B$7</c:f>
              <c:strCache>
                <c:ptCount val="1"/>
                <c:pt idx="0">
                  <c:v>Seven</c:v>
                </c:pt>
              </c:strCache>
            </c:strRef>
          </c:tx>
          <c:spPr>
            <a:solidFill>
              <a:srgbClr val="436AB3"/>
            </a:solidFill>
            <a:ln>
              <a:solidFill>
                <a:srgbClr val="436AB3"/>
              </a:solidFill>
            </a:ln>
            <a:effectLst/>
          </c:spPr>
          <c:invertIfNegative val="0"/>
          <c:cat>
            <c:numRef>
              <c:f>Sheet4!$C$6:$L$6</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Sheet4!$C$7:$L$7</c:f>
              <c:numCache>
                <c:formatCode>General</c:formatCode>
                <c:ptCount val="10"/>
                <c:pt idx="0">
                  <c:v>8.2899999999999991</c:v>
                </c:pt>
                <c:pt idx="1">
                  <c:v>6.63</c:v>
                </c:pt>
                <c:pt idx="2">
                  <c:v>1.36</c:v>
                </c:pt>
                <c:pt idx="3">
                  <c:v>8.34</c:v>
                </c:pt>
                <c:pt idx="4">
                  <c:v>3.92</c:v>
                </c:pt>
                <c:pt idx="5">
                  <c:v>4.62</c:v>
                </c:pt>
                <c:pt idx="6">
                  <c:v>20.48</c:v>
                </c:pt>
                <c:pt idx="7">
                  <c:v>28.84</c:v>
                </c:pt>
                <c:pt idx="8">
                  <c:v>19.649999999999999</c:v>
                </c:pt>
                <c:pt idx="9">
                  <c:v>11.5</c:v>
                </c:pt>
              </c:numCache>
            </c:numRef>
          </c:val>
          <c:extLst>
            <c:ext xmlns:c16="http://schemas.microsoft.com/office/drawing/2014/chart" uri="{C3380CC4-5D6E-409C-BE32-E72D297353CC}">
              <c16:uniqueId val="{00000000-93A8-42C2-A932-A38939EA6960}"/>
            </c:ext>
          </c:extLst>
        </c:ser>
        <c:ser>
          <c:idx val="1"/>
          <c:order val="1"/>
          <c:tx>
            <c:strRef>
              <c:f>Sheet4!$B$8</c:f>
              <c:strCache>
                <c:ptCount val="1"/>
                <c:pt idx="0">
                  <c:v>Nine</c:v>
                </c:pt>
              </c:strCache>
            </c:strRef>
          </c:tx>
          <c:spPr>
            <a:solidFill>
              <a:srgbClr val="AA5589"/>
            </a:solidFill>
            <a:ln>
              <a:solidFill>
                <a:srgbClr val="AA5589"/>
              </a:solidFill>
            </a:ln>
            <a:effectLst/>
          </c:spPr>
          <c:invertIfNegative val="0"/>
          <c:cat>
            <c:numRef>
              <c:f>Sheet4!$C$6:$L$6</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Sheet4!$C$8:$L$8</c:f>
              <c:numCache>
                <c:formatCode>General</c:formatCode>
                <c:ptCount val="10"/>
                <c:pt idx="0">
                  <c:v>21.08</c:v>
                </c:pt>
                <c:pt idx="1">
                  <c:v>20.399999999999999</c:v>
                </c:pt>
                <c:pt idx="2">
                  <c:v>12.25</c:v>
                </c:pt>
                <c:pt idx="3">
                  <c:v>7.67</c:v>
                </c:pt>
                <c:pt idx="4">
                  <c:v>27.25</c:v>
                </c:pt>
                <c:pt idx="5">
                  <c:v>19.25</c:v>
                </c:pt>
                <c:pt idx="6">
                  <c:v>38</c:v>
                </c:pt>
                <c:pt idx="7">
                  <c:v>20.83</c:v>
                </c:pt>
                <c:pt idx="8">
                  <c:v>0</c:v>
                </c:pt>
                <c:pt idx="9">
                  <c:v>7.15</c:v>
                </c:pt>
              </c:numCache>
            </c:numRef>
          </c:val>
          <c:extLst>
            <c:ext xmlns:c16="http://schemas.microsoft.com/office/drawing/2014/chart" uri="{C3380CC4-5D6E-409C-BE32-E72D297353CC}">
              <c16:uniqueId val="{00000001-93A8-42C2-A932-A38939EA6960}"/>
            </c:ext>
          </c:extLst>
        </c:ser>
        <c:ser>
          <c:idx val="2"/>
          <c:order val="2"/>
          <c:tx>
            <c:strRef>
              <c:f>Sheet4!$B$9</c:f>
              <c:strCache>
                <c:ptCount val="1"/>
                <c:pt idx="0">
                  <c:v>Ten</c:v>
                </c:pt>
              </c:strCache>
            </c:strRef>
          </c:tx>
          <c:spPr>
            <a:solidFill>
              <a:srgbClr val="1EBCBE"/>
            </a:solidFill>
            <a:ln>
              <a:solidFill>
                <a:srgbClr val="1EBCBE"/>
              </a:solidFill>
            </a:ln>
            <a:effectLst/>
          </c:spPr>
          <c:invertIfNegative val="0"/>
          <c:cat>
            <c:numRef>
              <c:f>Sheet4!$C$6:$L$6</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Sheet4!$C$9:$L$9</c:f>
              <c:numCache>
                <c:formatCode>General</c:formatCode>
                <c:ptCount val="10"/>
                <c:pt idx="0">
                  <c:v>19.77</c:v>
                </c:pt>
                <c:pt idx="1">
                  <c:v>0</c:v>
                </c:pt>
                <c:pt idx="2">
                  <c:v>8.25</c:v>
                </c:pt>
                <c:pt idx="3">
                  <c:v>19.05</c:v>
                </c:pt>
                <c:pt idx="4">
                  <c:v>12.42</c:v>
                </c:pt>
                <c:pt idx="5">
                  <c:v>9.9</c:v>
                </c:pt>
                <c:pt idx="6">
                  <c:v>31.17</c:v>
                </c:pt>
                <c:pt idx="7">
                  <c:v>10.33</c:v>
                </c:pt>
                <c:pt idx="8">
                  <c:v>14.7</c:v>
                </c:pt>
                <c:pt idx="9">
                  <c:v>3.67</c:v>
                </c:pt>
              </c:numCache>
            </c:numRef>
          </c:val>
          <c:extLst>
            <c:ext xmlns:c16="http://schemas.microsoft.com/office/drawing/2014/chart" uri="{C3380CC4-5D6E-409C-BE32-E72D297353CC}">
              <c16:uniqueId val="{00000002-93A8-42C2-A932-A38939EA6960}"/>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4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AVERAGE</a:t>
                </a:r>
                <a:r>
                  <a:rPr lang="en-AU" baseline="0"/>
                  <a:t> HOURS</a:t>
                </a:r>
                <a:endParaRPr lang="en-AU"/>
              </a:p>
            </c:rich>
          </c:tx>
          <c:layout>
            <c:manualLayout>
              <c:xMode val="edge"/>
              <c:yMode val="edge"/>
              <c:x val="8.7749632505611554E-3"/>
              <c:y val="0.4068595129102241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1801155241218749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Sheet9!$S$6</c:f>
              <c:strCache>
                <c:ptCount val="1"/>
                <c:pt idx="0">
                  <c:v>Seven</c:v>
                </c:pt>
              </c:strCache>
            </c:strRef>
          </c:tx>
          <c:spPr>
            <a:solidFill>
              <a:srgbClr val="436AB3"/>
            </a:solidFill>
            <a:ln>
              <a:solidFill>
                <a:srgbClr val="436AB3"/>
              </a:solidFill>
            </a:ln>
            <a:effectLst/>
          </c:spPr>
          <c:invertIfNegative val="0"/>
          <c:cat>
            <c:strRef>
              <c:f>Sheet9!$T$5:$AC$5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Sheet9!$T$6:$AC$6</c:f>
              <c:numCache>
                <c:formatCode>[$-10409]#,##0.00;\(#,##0.00\)</c:formatCode>
                <c:ptCount val="10"/>
                <c:pt idx="0">
                  <c:v>5.72</c:v>
                </c:pt>
                <c:pt idx="1">
                  <c:v>6.19</c:v>
                </c:pt>
                <c:pt idx="2">
                  <c:v>9.1999999999999993</c:v>
                </c:pt>
                <c:pt idx="3">
                  <c:v>3.88</c:v>
                </c:pt>
                <c:pt idx="4">
                  <c:v>0</c:v>
                </c:pt>
                <c:pt idx="5">
                  <c:v>0</c:v>
                </c:pt>
                <c:pt idx="6">
                  <c:v>5.9</c:v>
                </c:pt>
                <c:pt idx="7">
                  <c:v>19.48</c:v>
                </c:pt>
                <c:pt idx="8">
                  <c:v>14.7</c:v>
                </c:pt>
                <c:pt idx="9">
                  <c:v>8.5</c:v>
                </c:pt>
              </c:numCache>
            </c:numRef>
          </c:val>
          <c:extLst>
            <c:ext xmlns:c16="http://schemas.microsoft.com/office/drawing/2014/chart" uri="{C3380CC4-5D6E-409C-BE32-E72D297353CC}">
              <c16:uniqueId val="{00000000-9A7C-4A50-8DC3-A3A2DBD19C37}"/>
            </c:ext>
          </c:extLst>
        </c:ser>
        <c:ser>
          <c:idx val="1"/>
          <c:order val="1"/>
          <c:tx>
            <c:strRef>
              <c:f>Sheet9!$S$7</c:f>
              <c:strCache>
                <c:ptCount val="1"/>
                <c:pt idx="0">
                  <c:v>Nine</c:v>
                </c:pt>
              </c:strCache>
            </c:strRef>
          </c:tx>
          <c:spPr>
            <a:solidFill>
              <a:srgbClr val="AA5589"/>
            </a:solidFill>
            <a:ln>
              <a:solidFill>
                <a:srgbClr val="AA5589"/>
              </a:solidFill>
            </a:ln>
            <a:effectLst/>
          </c:spPr>
          <c:invertIfNegative val="0"/>
          <c:cat>
            <c:strRef>
              <c:f>Sheet9!$T$5:$AC$5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Sheet9!$T$7:$AC$7</c:f>
              <c:numCache>
                <c:formatCode>[$-10409]#,##0.00;\(#,##0.00\)</c:formatCode>
                <c:ptCount val="10"/>
                <c:pt idx="0">
                  <c:v>5</c:v>
                </c:pt>
                <c:pt idx="1">
                  <c:v>62.23</c:v>
                </c:pt>
                <c:pt idx="2">
                  <c:v>29</c:v>
                </c:pt>
                <c:pt idx="3">
                  <c:v>37</c:v>
                </c:pt>
                <c:pt idx="4">
                  <c:v>45</c:v>
                </c:pt>
                <c:pt idx="5">
                  <c:v>25.5</c:v>
                </c:pt>
                <c:pt idx="6">
                  <c:v>18.420000000000002</c:v>
                </c:pt>
                <c:pt idx="7">
                  <c:v>37.67</c:v>
                </c:pt>
                <c:pt idx="8">
                  <c:v>24</c:v>
                </c:pt>
                <c:pt idx="9">
                  <c:v>0</c:v>
                </c:pt>
              </c:numCache>
            </c:numRef>
          </c:val>
          <c:extLst>
            <c:ext xmlns:c16="http://schemas.microsoft.com/office/drawing/2014/chart" uri="{C3380CC4-5D6E-409C-BE32-E72D297353CC}">
              <c16:uniqueId val="{00000001-9A7C-4A50-8DC3-A3A2DBD19C37}"/>
            </c:ext>
          </c:extLst>
        </c:ser>
        <c:ser>
          <c:idx val="2"/>
          <c:order val="2"/>
          <c:tx>
            <c:strRef>
              <c:f>Sheet9!$S$8</c:f>
              <c:strCache>
                <c:ptCount val="1"/>
                <c:pt idx="0">
                  <c:v>Ten</c:v>
                </c:pt>
              </c:strCache>
            </c:strRef>
          </c:tx>
          <c:spPr>
            <a:solidFill>
              <a:srgbClr val="1EBCBE"/>
            </a:solidFill>
            <a:ln>
              <a:solidFill>
                <a:srgbClr val="1EBCBE"/>
              </a:solidFill>
            </a:ln>
            <a:effectLst/>
          </c:spPr>
          <c:invertIfNegative val="0"/>
          <c:cat>
            <c:strRef>
              <c:f>Sheet9!$T$5:$AC$5</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Sheet9!$T$8:$AC$8</c:f>
              <c:numCache>
                <c:formatCode>[$-10409]#,##0.00;\(#,##0.00\)</c:formatCode>
                <c:ptCount val="10"/>
                <c:pt idx="0">
                  <c:v>30.73</c:v>
                </c:pt>
                <c:pt idx="1">
                  <c:v>6.5</c:v>
                </c:pt>
                <c:pt idx="2">
                  <c:v>2.33</c:v>
                </c:pt>
                <c:pt idx="3">
                  <c:v>5.08</c:v>
                </c:pt>
                <c:pt idx="4">
                  <c:v>14</c:v>
                </c:pt>
                <c:pt idx="5">
                  <c:v>0</c:v>
                </c:pt>
                <c:pt idx="6">
                  <c:v>2</c:v>
                </c:pt>
                <c:pt idx="7">
                  <c:v>10</c:v>
                </c:pt>
                <c:pt idx="8">
                  <c:v>0</c:v>
                </c:pt>
                <c:pt idx="9">
                  <c:v>0</c:v>
                </c:pt>
              </c:numCache>
            </c:numRef>
          </c:val>
          <c:extLst>
            <c:ext xmlns:c16="http://schemas.microsoft.com/office/drawing/2014/chart" uri="{C3380CC4-5D6E-409C-BE32-E72D297353CC}">
              <c16:uniqueId val="{00000002-9A7C-4A50-8DC3-A3A2DBD19C37}"/>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7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HOURS</a:t>
                </a:r>
              </a:p>
            </c:rich>
          </c:tx>
          <c:layout>
            <c:manualLayout>
              <c:xMode val="edge"/>
              <c:yMode val="edge"/>
              <c:x val="8.7749632505611554E-3"/>
              <c:y val="0.4068595129102241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9571680571610623"/>
          <c:y val="0.14286024764270408"/>
          <c:w val="9.2198604055379135E-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383509891619657E-2"/>
          <c:y val="0.16511955702922701"/>
          <c:w val="0.75657310614607609"/>
          <c:h val="0.62976809305022297"/>
        </c:manualLayout>
      </c:layout>
      <c:barChart>
        <c:barDir val="col"/>
        <c:grouping val="clustered"/>
        <c:varyColors val="0"/>
        <c:ser>
          <c:idx val="0"/>
          <c:order val="0"/>
          <c:tx>
            <c:strRef>
              <c:f>Sheet11!$R$5</c:f>
              <c:strCache>
                <c:ptCount val="1"/>
                <c:pt idx="0">
                  <c:v>Australian Drama</c:v>
                </c:pt>
              </c:strCache>
            </c:strRef>
          </c:tx>
          <c:spPr>
            <a:solidFill>
              <a:srgbClr val="00A0A4"/>
            </a:solidFill>
            <a:ln>
              <a:solidFill>
                <a:srgbClr val="00A0A4"/>
              </a:solidFill>
            </a:ln>
            <a:effectLst/>
          </c:spPr>
          <c:invertIfNegative val="0"/>
          <c:cat>
            <c:strRef>
              <c:f>Sheet11!$S$4:$AA$4</c:f>
              <c:strCache>
                <c:ptCount val="9"/>
                <c:pt idx="0">
                  <c:v>2012-13
</c:v>
                </c:pt>
                <c:pt idx="1">
                  <c:v>2013-14
</c:v>
                </c:pt>
                <c:pt idx="2">
                  <c:v>2014-15</c:v>
                </c:pt>
                <c:pt idx="3">
                  <c:v>2015-16
</c:v>
                </c:pt>
                <c:pt idx="4">
                  <c:v>2016-17
</c:v>
                </c:pt>
                <c:pt idx="5">
                  <c:v>2017-18</c:v>
                </c:pt>
                <c:pt idx="6">
                  <c:v>2018-19
</c:v>
                </c:pt>
                <c:pt idx="7">
                  <c:v>2019-20*
</c:v>
                </c:pt>
                <c:pt idx="8">
                  <c:v>2020-21
</c:v>
                </c:pt>
              </c:strCache>
            </c:strRef>
          </c:cat>
          <c:val>
            <c:numRef>
              <c:f>Sheet11!$S$5:$AA$5</c:f>
              <c:numCache>
                <c:formatCode>General</c:formatCode>
                <c:ptCount val="9"/>
                <c:pt idx="0">
                  <c:v>129.4</c:v>
                </c:pt>
                <c:pt idx="1">
                  <c:v>132.30000000000001</c:v>
                </c:pt>
                <c:pt idx="2">
                  <c:v>105.4</c:v>
                </c:pt>
                <c:pt idx="3">
                  <c:v>95.2</c:v>
                </c:pt>
                <c:pt idx="4">
                  <c:v>126.3</c:v>
                </c:pt>
                <c:pt idx="5">
                  <c:v>92.4</c:v>
                </c:pt>
                <c:pt idx="6">
                  <c:v>95.7</c:v>
                </c:pt>
                <c:pt idx="7">
                  <c:v>79.099999999999994</c:v>
                </c:pt>
                <c:pt idx="8">
                  <c:v>69.7</c:v>
                </c:pt>
              </c:numCache>
            </c:numRef>
          </c:val>
          <c:extLst>
            <c:ext xmlns:c16="http://schemas.microsoft.com/office/drawing/2014/chart" uri="{C3380CC4-5D6E-409C-BE32-E72D297353CC}">
              <c16:uniqueId val="{00000000-570C-4F16-B6A8-A44FF976193B}"/>
            </c:ext>
          </c:extLst>
        </c:ser>
        <c:dLbls>
          <c:showLegendKey val="0"/>
          <c:showVal val="0"/>
          <c:showCatName val="0"/>
          <c:showSerName val="0"/>
          <c:showPercent val="0"/>
          <c:showBubbleSize val="0"/>
        </c:dLbls>
        <c:gapWidth val="219"/>
        <c:axId val="2044028063"/>
        <c:axId val="2044028479"/>
      </c:barChart>
      <c:catAx>
        <c:axId val="20440280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Financial 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479"/>
        <c:crosses val="autoZero"/>
        <c:auto val="1"/>
        <c:lblAlgn val="ctr"/>
        <c:lblOffset val="100"/>
        <c:noMultiLvlLbl val="0"/>
      </c:catAx>
      <c:valAx>
        <c:axId val="2044028479"/>
        <c:scaling>
          <c:orientation val="minMax"/>
          <c:max val="150"/>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Dollars ($m)</a:t>
                </a:r>
              </a:p>
            </c:rich>
          </c:tx>
          <c:layout>
            <c:manualLayout>
              <c:xMode val="edge"/>
              <c:yMode val="edge"/>
              <c:x val="8.7749632505611554E-3"/>
              <c:y val="0.4068595129102241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44028063"/>
        <c:crosses val="autoZero"/>
        <c:crossBetween val="between"/>
      </c:valAx>
      <c:spPr>
        <a:noFill/>
        <a:ln>
          <a:noFill/>
        </a:ln>
        <a:effectLst/>
      </c:spPr>
    </c:plotArea>
    <c:legend>
      <c:legendPos val="tr"/>
      <c:layout>
        <c:manualLayout>
          <c:xMode val="edge"/>
          <c:yMode val="edge"/>
          <c:x val="0.86564158427564974"/>
          <c:y val="0.14286024764270408"/>
          <c:w val="0.12227371578552682"/>
          <c:h val="0.2253770849699183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0.76769</cdr:x>
      <cdr:y>0.13022</cdr:y>
    </cdr:from>
    <cdr:to>
      <cdr:x>0.78154</cdr:x>
      <cdr:y>0.87813</cdr:y>
    </cdr:to>
    <cdr:sp macro="" textlink="">
      <cdr:nvSpPr>
        <cdr:cNvPr id="2" name="TextBox 1">
          <a:extLst xmlns:a="http://schemas.openxmlformats.org/drawingml/2006/main">
            <a:ext uri="{FF2B5EF4-FFF2-40B4-BE49-F238E27FC236}">
              <a16:creationId xmlns:a16="http://schemas.microsoft.com/office/drawing/2014/main" id="{264E1A13-9721-40F7-B671-905196E31836}"/>
            </a:ext>
          </a:extLst>
        </cdr:cNvPr>
        <cdr:cNvSpPr txBox="1"/>
      </cdr:nvSpPr>
      <cdr:spPr>
        <a:xfrm xmlns:a="http://schemas.openxmlformats.org/drawingml/2006/main">
          <a:off x="4752975" y="371475"/>
          <a:ext cx="85725" cy="21336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0.77538</cdr:x>
      <cdr:y>0.07679</cdr:y>
    </cdr:from>
    <cdr:to>
      <cdr:x>0.77538</cdr:x>
      <cdr:y>0.92821</cdr:y>
    </cdr:to>
    <cdr:cxnSp macro="">
      <cdr:nvCxnSpPr>
        <cdr:cNvPr id="4" name="Straight Connector 3">
          <a:extLst xmlns:a="http://schemas.openxmlformats.org/drawingml/2006/main">
            <a:ext uri="{FF2B5EF4-FFF2-40B4-BE49-F238E27FC236}">
              <a16:creationId xmlns:a16="http://schemas.microsoft.com/office/drawing/2014/main" id="{90CB5D95-BAB3-4982-8F7D-4135A090E8A4}"/>
            </a:ext>
          </a:extLst>
        </cdr:cNvPr>
        <cdr:cNvCxnSpPr/>
      </cdr:nvCxnSpPr>
      <cdr:spPr>
        <a:xfrm xmlns:a="http://schemas.openxmlformats.org/drawingml/2006/main">
          <a:off x="4800600" y="219075"/>
          <a:ext cx="0" cy="2428875"/>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0.77692</cdr:x>
      <cdr:y>0.06344</cdr:y>
    </cdr:from>
    <cdr:to>
      <cdr:x>0.86615</cdr:x>
      <cdr:y>0.13022</cdr:y>
    </cdr:to>
    <cdr:sp macro="" textlink="">
      <cdr:nvSpPr>
        <cdr:cNvPr id="6" name="TextBox 5">
          <a:extLst xmlns:a="http://schemas.openxmlformats.org/drawingml/2006/main">
            <a:ext uri="{FF2B5EF4-FFF2-40B4-BE49-F238E27FC236}">
              <a16:creationId xmlns:a16="http://schemas.microsoft.com/office/drawing/2014/main" id="{DAE6BE4D-854E-4E53-BB95-99721FAEE35B}"/>
            </a:ext>
          </a:extLst>
        </cdr:cNvPr>
        <cdr:cNvSpPr txBox="1"/>
      </cdr:nvSpPr>
      <cdr:spPr>
        <a:xfrm xmlns:a="http://schemas.openxmlformats.org/drawingml/2006/main">
          <a:off x="4810125" y="180975"/>
          <a:ext cx="552450" cy="1905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100"/>
            <a:t>ACCTS</a:t>
          </a:r>
        </a:p>
      </cdr:txBody>
    </cdr:sp>
  </cdr:relSizeAnchor>
  <cdr:relSizeAnchor xmlns:cdr="http://schemas.openxmlformats.org/drawingml/2006/chartDrawing">
    <cdr:from>
      <cdr:x>0.85538</cdr:x>
      <cdr:y>0.10351</cdr:y>
    </cdr:from>
    <cdr:to>
      <cdr:x>0.9</cdr:x>
      <cdr:y>0.10351</cdr:y>
    </cdr:to>
    <cdr:cxnSp macro="">
      <cdr:nvCxnSpPr>
        <cdr:cNvPr id="8" name="Straight Arrow Connector 7">
          <a:extLst xmlns:a="http://schemas.openxmlformats.org/drawingml/2006/main">
            <a:ext uri="{FF2B5EF4-FFF2-40B4-BE49-F238E27FC236}">
              <a16:creationId xmlns:a16="http://schemas.microsoft.com/office/drawing/2014/main" id="{9C882584-104B-4F6C-BA56-51251C8818E6}"/>
            </a:ext>
          </a:extLst>
        </cdr:cNvPr>
        <cdr:cNvCxnSpPr/>
      </cdr:nvCxnSpPr>
      <cdr:spPr>
        <a:xfrm xmlns:a="http://schemas.openxmlformats.org/drawingml/2006/main">
          <a:off x="5295900" y="295275"/>
          <a:ext cx="276225"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0.61924</cdr:x>
      <cdr:y>0.10638</cdr:y>
    </cdr:from>
    <cdr:to>
      <cdr:x>0.67616</cdr:x>
      <cdr:y>0.10972</cdr:y>
    </cdr:to>
    <cdr:cxnSp macro="">
      <cdr:nvCxnSpPr>
        <cdr:cNvPr id="10" name="Straight Arrow Connector 9">
          <a:extLst xmlns:a="http://schemas.openxmlformats.org/drawingml/2006/main">
            <a:ext uri="{FF2B5EF4-FFF2-40B4-BE49-F238E27FC236}">
              <a16:creationId xmlns:a16="http://schemas.microsoft.com/office/drawing/2014/main" id="{56FB6AE2-1976-4F31-984C-88281A918957}"/>
            </a:ext>
          </a:extLst>
        </cdr:cNvPr>
        <cdr:cNvCxnSpPr/>
      </cdr:nvCxnSpPr>
      <cdr:spPr>
        <a:xfrm xmlns:a="http://schemas.openxmlformats.org/drawingml/2006/main" flipH="1">
          <a:off x="5324976" y="324237"/>
          <a:ext cx="489464" cy="1018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0.67354</cdr:x>
      <cdr:y>0.06321</cdr:y>
    </cdr:from>
    <cdr:to>
      <cdr:x>0.78359</cdr:x>
      <cdr:y>0.14286</cdr:y>
    </cdr:to>
    <cdr:sp macro="" textlink="">
      <cdr:nvSpPr>
        <cdr:cNvPr id="22" name="TextBox 21">
          <a:extLst xmlns:a="http://schemas.openxmlformats.org/drawingml/2006/main">
            <a:ext uri="{FF2B5EF4-FFF2-40B4-BE49-F238E27FC236}">
              <a16:creationId xmlns:a16="http://schemas.microsoft.com/office/drawing/2014/main" id="{1D8C59BE-EBC9-4822-962F-9F72A3565B20}"/>
            </a:ext>
          </a:extLst>
        </cdr:cNvPr>
        <cdr:cNvSpPr txBox="1"/>
      </cdr:nvSpPr>
      <cdr:spPr>
        <a:xfrm xmlns:a="http://schemas.openxmlformats.org/drawingml/2006/main">
          <a:off x="5791857" y="192658"/>
          <a:ext cx="946401" cy="24276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100"/>
            <a:t>ACS</a:t>
          </a:r>
          <a:r>
            <a:rPr lang="en-AU" sz="1100" baseline="0"/>
            <a:t> and CTS</a:t>
          </a:r>
          <a:endParaRPr lang="en-AU" sz="1100"/>
        </a:p>
      </cdr:txBody>
    </cdr:sp>
  </cdr:relSizeAnchor>
</c:userShapes>
</file>

<file path=word/drawings/drawing2.xml><?xml version="1.0" encoding="utf-8"?>
<c:userShapes xmlns:c="http://schemas.openxmlformats.org/drawingml/2006/chart">
  <cdr:relSizeAnchor xmlns:cdr="http://schemas.openxmlformats.org/drawingml/2006/chartDrawing">
    <cdr:from>
      <cdr:x>0.77593</cdr:x>
      <cdr:y>0.05139</cdr:y>
    </cdr:from>
    <cdr:to>
      <cdr:x>0.77593</cdr:x>
      <cdr:y>0.90281</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4678365" y="148075"/>
          <a:ext cx="0" cy="2453209"/>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0.61939</cdr:x>
      <cdr:y>0.09794</cdr:y>
    </cdr:from>
    <cdr:to>
      <cdr:x>0.67632</cdr:x>
      <cdr:y>0.10128</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5724286" y="294229"/>
          <a:ext cx="526135" cy="10034"/>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0.83325</cdr:x>
      <cdr:y>0.09429</cdr:y>
    </cdr:from>
    <cdr:to>
      <cdr:x>0.87787</cdr:x>
      <cdr:y>0.09429</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7700676" y="283253"/>
          <a:ext cx="412369"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0.78081</cdr:x>
      <cdr:y>0.05117</cdr:y>
    </cdr:from>
    <cdr:to>
      <cdr:x>0.87516</cdr:x>
      <cdr:y>0.10744</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7216096" y="153724"/>
          <a:ext cx="871963" cy="16904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0.67272</cdr:x>
      <cdr:y>0.0545</cdr:y>
    </cdr:from>
    <cdr:to>
      <cdr:x>0.77976</cdr:x>
      <cdr:y>0.11958</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6217091" y="163729"/>
          <a:ext cx="989251" cy="19549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drawings/drawing3.xml><?xml version="1.0" encoding="utf-8"?>
<c:userShapes xmlns:c="http://schemas.openxmlformats.org/drawingml/2006/chart">
  <cdr:relSizeAnchor xmlns:cdr="http://schemas.openxmlformats.org/drawingml/2006/chartDrawing">
    <cdr:from>
      <cdr:x>0.77862</cdr:x>
      <cdr:y>0.06582</cdr:y>
    </cdr:from>
    <cdr:to>
      <cdr:x>0.77862</cdr:x>
      <cdr:y>0.91724</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5221123" y="231643"/>
          <a:ext cx="0" cy="2996563"/>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0.62272</cdr:x>
      <cdr:y>0.10141</cdr:y>
    </cdr:from>
    <cdr:to>
      <cdr:x>0.67965</cdr:x>
      <cdr:y>0.10475</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5422897" y="317927"/>
          <a:ext cx="495768" cy="10471"/>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0.83782</cdr:x>
      <cdr:y>0.0946</cdr:y>
    </cdr:from>
    <cdr:to>
      <cdr:x>0.88244</cdr:x>
      <cdr:y>0.0946</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7296060" y="296571"/>
          <a:ext cx="388569"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0.77673</cdr:x>
      <cdr:y>0.05327</cdr:y>
    </cdr:from>
    <cdr:to>
      <cdr:x>0.86596</cdr:x>
      <cdr:y>0.12005</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5208459" y="187493"/>
          <a:ext cx="598341" cy="23503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0.67634</cdr:x>
      <cdr:y>0.05738</cdr:y>
    </cdr:from>
    <cdr:to>
      <cdr:x>0.78252</cdr:x>
      <cdr:y>0.13889</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5889838" y="179894"/>
          <a:ext cx="924619" cy="2555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drawings/drawing4.xml><?xml version="1.0" encoding="utf-8"?>
<c:userShapes xmlns:c="http://schemas.openxmlformats.org/drawingml/2006/chart">
  <cdr:relSizeAnchor xmlns:cdr="http://schemas.openxmlformats.org/drawingml/2006/chartDrawing">
    <cdr:from>
      <cdr:x>0.77436</cdr:x>
      <cdr:y>0.07123</cdr:y>
    </cdr:from>
    <cdr:to>
      <cdr:x>0.77436</cdr:x>
      <cdr:y>0.92265</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4794250" y="203200"/>
          <a:ext cx="0" cy="2428875"/>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0.61229</cdr:x>
      <cdr:y>0.08958</cdr:y>
    </cdr:from>
    <cdr:to>
      <cdr:x>0.66922</cdr:x>
      <cdr:y>0.09292</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5472015" y="260924"/>
          <a:ext cx="508783" cy="9728"/>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0.83891</cdr:x>
      <cdr:y>0.08365</cdr:y>
    </cdr:from>
    <cdr:to>
      <cdr:x>0.88353</cdr:x>
      <cdr:y>0.08365</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7055206" y="243649"/>
          <a:ext cx="375252"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0.77453</cdr:x>
      <cdr:y>0.04056</cdr:y>
    </cdr:from>
    <cdr:to>
      <cdr:x>0.86376</cdr:x>
      <cdr:y>0.10734</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6513763" y="118139"/>
          <a:ext cx="750419" cy="1945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0.67066</cdr:x>
      <cdr:y>0.04111</cdr:y>
    </cdr:from>
    <cdr:to>
      <cdr:x>0.78245</cdr:x>
      <cdr:y>0.12776</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5993720" y="119743"/>
          <a:ext cx="999066" cy="25238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drawings/drawing5.xml><?xml version="1.0" encoding="utf-8"?>
<c:userShapes xmlns:c="http://schemas.openxmlformats.org/drawingml/2006/chart">
  <cdr:relSizeAnchor xmlns:cdr="http://schemas.openxmlformats.org/drawingml/2006/chartDrawing">
    <cdr:from>
      <cdr:x>0.77436</cdr:x>
      <cdr:y>0.07123</cdr:y>
    </cdr:from>
    <cdr:to>
      <cdr:x>0.77436</cdr:x>
      <cdr:y>0.92265</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4794250" y="203200"/>
          <a:ext cx="0" cy="2428875"/>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0.60432</cdr:x>
      <cdr:y>0.09511</cdr:y>
    </cdr:from>
    <cdr:to>
      <cdr:x>0.66125</cdr:x>
      <cdr:y>0.09845</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4541590" y="320248"/>
          <a:ext cx="427842" cy="11246"/>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0.85282</cdr:x>
      <cdr:y>0.0946</cdr:y>
    </cdr:from>
    <cdr:to>
      <cdr:x>0.89744</cdr:x>
      <cdr:y>0.0946</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5280025" y="269875"/>
          <a:ext cx="276225"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0.78036</cdr:x>
      <cdr:y>0.05112</cdr:y>
    </cdr:from>
    <cdr:to>
      <cdr:x>0.86959</cdr:x>
      <cdr:y>0.1179</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6147993" y="166842"/>
          <a:ext cx="702994" cy="2179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0.65893</cdr:x>
      <cdr:y>0.05403</cdr:y>
    </cdr:from>
    <cdr:to>
      <cdr:x>0.7782</cdr:x>
      <cdr:y>0.13138</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4951978" y="181920"/>
          <a:ext cx="896374" cy="26044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drawings/drawing6.xml><?xml version="1.0" encoding="utf-8"?>
<c:userShapes xmlns:c="http://schemas.openxmlformats.org/drawingml/2006/chart">
  <cdr:relSizeAnchor xmlns:cdr="http://schemas.openxmlformats.org/drawingml/2006/chartDrawing">
    <cdr:from>
      <cdr:x>0.77436</cdr:x>
      <cdr:y>0.07123</cdr:y>
    </cdr:from>
    <cdr:to>
      <cdr:x>0.77436</cdr:x>
      <cdr:y>0.92265</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4794250" y="203200"/>
          <a:ext cx="0" cy="2428875"/>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0.61116</cdr:x>
      <cdr:y>0.09794</cdr:y>
    </cdr:from>
    <cdr:to>
      <cdr:x>0.66809</cdr:x>
      <cdr:y>0.10128</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5048969" y="295722"/>
          <a:ext cx="470319" cy="10085"/>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0.85282</cdr:x>
      <cdr:y>0.0946</cdr:y>
    </cdr:from>
    <cdr:to>
      <cdr:x>0.89744</cdr:x>
      <cdr:y>0.0946</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5280025" y="269875"/>
          <a:ext cx="276225"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0.77979</cdr:x>
      <cdr:y>0.04786</cdr:y>
    </cdr:from>
    <cdr:to>
      <cdr:x>0.86902</cdr:x>
      <cdr:y>0.11464</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6442145" y="144510"/>
          <a:ext cx="737160" cy="2016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0.66739</cdr:x>
      <cdr:y>0.0512</cdr:y>
    </cdr:from>
    <cdr:to>
      <cdr:x>0.81098</cdr:x>
      <cdr:y>0.12855</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5513562" y="154595"/>
          <a:ext cx="1186247" cy="23355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drawings/drawing7.xml><?xml version="1.0" encoding="utf-8"?>
<c:userShapes xmlns:c="http://schemas.openxmlformats.org/drawingml/2006/chart">
  <cdr:relSizeAnchor xmlns:cdr="http://schemas.openxmlformats.org/drawingml/2006/chartDrawing">
    <cdr:from>
      <cdr:x>0.76684</cdr:x>
      <cdr:y>0.07123</cdr:y>
    </cdr:from>
    <cdr:to>
      <cdr:x>0.76684</cdr:x>
      <cdr:y>0.92265</cdr:y>
    </cdr:to>
    <cdr:cxnSp macro="">
      <cdr:nvCxnSpPr>
        <cdr:cNvPr id="2" name="Straight Connector 1">
          <a:extLst xmlns:a="http://schemas.openxmlformats.org/drawingml/2006/main">
            <a:ext uri="{FF2B5EF4-FFF2-40B4-BE49-F238E27FC236}">
              <a16:creationId xmlns:a16="http://schemas.microsoft.com/office/drawing/2014/main" id="{CBAD0A26-36E5-4B45-93B5-F6F9CE0C445B}"/>
            </a:ext>
          </a:extLst>
        </cdr:cNvPr>
        <cdr:cNvCxnSpPr/>
      </cdr:nvCxnSpPr>
      <cdr:spPr>
        <a:xfrm xmlns:a="http://schemas.openxmlformats.org/drawingml/2006/main">
          <a:off x="4857268" y="266976"/>
          <a:ext cx="0" cy="3191197"/>
        </a:xfrm>
        <a:prstGeom xmlns:a="http://schemas.openxmlformats.org/drawingml/2006/main" prst="line">
          <a:avLst/>
        </a:prstGeom>
        <a:ln xmlns:a="http://schemas.openxmlformats.org/drawingml/2006/main" w="12700" cap="flat" cmpd="sng" algn="ctr">
          <a:solidFill>
            <a:schemeClr val="dk1"/>
          </a:solidFill>
          <a:prstDash val="dash"/>
          <a:round/>
          <a:headEnd type="none" w="med" len="med"/>
          <a:tailEnd type="none" w="med" len="med"/>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tx1"/>
        </a:fontRef>
      </cdr:style>
    </cdr:cxnSp>
  </cdr:relSizeAnchor>
  <cdr:relSizeAnchor xmlns:cdr="http://schemas.openxmlformats.org/drawingml/2006/chartDrawing">
    <cdr:from>
      <cdr:x>0.61007</cdr:x>
      <cdr:y>0.09794</cdr:y>
    </cdr:from>
    <cdr:to>
      <cdr:x>0.667</cdr:x>
      <cdr:y>0.10128</cdr:y>
    </cdr:to>
    <cdr:cxnSp macro="">
      <cdr:nvCxnSpPr>
        <cdr:cNvPr id="3" name="Straight Arrow Connector 2">
          <a:extLst xmlns:a="http://schemas.openxmlformats.org/drawingml/2006/main">
            <a:ext uri="{FF2B5EF4-FFF2-40B4-BE49-F238E27FC236}">
              <a16:creationId xmlns:a16="http://schemas.microsoft.com/office/drawing/2014/main" id="{F776B7CF-69D8-4229-8935-79A7B73110BC}"/>
            </a:ext>
          </a:extLst>
        </cdr:cNvPr>
        <cdr:cNvCxnSpPr/>
      </cdr:nvCxnSpPr>
      <cdr:spPr>
        <a:xfrm xmlns:a="http://schemas.openxmlformats.org/drawingml/2006/main" flipH="1">
          <a:off x="5551763" y="270784"/>
          <a:ext cx="518074" cy="9234"/>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0.82531</cdr:x>
      <cdr:y>0.09066</cdr:y>
    </cdr:from>
    <cdr:to>
      <cdr:x>0.86993</cdr:x>
      <cdr:y>0.09066</cdr:y>
    </cdr:to>
    <cdr:cxnSp macro="">
      <cdr:nvCxnSpPr>
        <cdr:cNvPr id="11" name="Straight Arrow Connector 10">
          <a:extLst xmlns:a="http://schemas.openxmlformats.org/drawingml/2006/main">
            <a:ext uri="{FF2B5EF4-FFF2-40B4-BE49-F238E27FC236}">
              <a16:creationId xmlns:a16="http://schemas.microsoft.com/office/drawing/2014/main" id="{845344A7-0C3E-4030-AC65-8F54756F167E}"/>
            </a:ext>
          </a:extLst>
        </cdr:cNvPr>
        <cdr:cNvCxnSpPr/>
      </cdr:nvCxnSpPr>
      <cdr:spPr>
        <a:xfrm xmlns:a="http://schemas.openxmlformats.org/drawingml/2006/main">
          <a:off x="7510448" y="250663"/>
          <a:ext cx="406050" cy="0"/>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0.7718</cdr:x>
      <cdr:y>0.04392</cdr:y>
    </cdr:from>
    <cdr:to>
      <cdr:x>0.83256</cdr:x>
      <cdr:y>0.13387</cdr:y>
    </cdr:to>
    <cdr:sp macro="" textlink="">
      <cdr:nvSpPr>
        <cdr:cNvPr id="12"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7023510" y="121438"/>
          <a:ext cx="552947" cy="24867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ACCTS</a:t>
          </a:r>
        </a:p>
      </cdr:txBody>
    </cdr:sp>
  </cdr:relSizeAnchor>
  <cdr:relSizeAnchor xmlns:cdr="http://schemas.openxmlformats.org/drawingml/2006/chartDrawing">
    <cdr:from>
      <cdr:x>0.6658</cdr:x>
      <cdr:y>0.04726</cdr:y>
    </cdr:from>
    <cdr:to>
      <cdr:x>0.76557</cdr:x>
      <cdr:y>0.12993</cdr:y>
    </cdr:to>
    <cdr:sp macro="" textlink="">
      <cdr:nvSpPr>
        <cdr:cNvPr id="13" name="TextBox 1">
          <a:extLst xmlns:a="http://schemas.openxmlformats.org/drawingml/2006/main">
            <a:ext uri="{FF2B5EF4-FFF2-40B4-BE49-F238E27FC236}">
              <a16:creationId xmlns:a16="http://schemas.microsoft.com/office/drawing/2014/main" id="{CC080033-B804-448D-B418-7C09A62237A9}"/>
            </a:ext>
          </a:extLst>
        </cdr:cNvPr>
        <cdr:cNvSpPr txBox="1"/>
      </cdr:nvSpPr>
      <cdr:spPr>
        <a:xfrm xmlns:a="http://schemas.openxmlformats.org/drawingml/2006/main">
          <a:off x="6058937" y="130672"/>
          <a:ext cx="907919" cy="22855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ACS and CTS</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2875</Words>
  <Characters>16417</Characters>
  <Application>Microsoft Office Word</Application>
  <DocSecurity>0</DocSecurity>
  <Lines>482</Lines>
  <Paragraphs>350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18942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2022-09-01T03:39:00Z</dcterms:created>
  <dcterms:modified xsi:type="dcterms:W3CDTF">2022-09-01T03:48:00Z</dcterms:modified>
  <cp:category/>
</cp:coreProperties>
</file>