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CB4D55" w14:textId="3BB97535" w:rsidR="00F06E14" w:rsidRPr="00A51D1A" w:rsidRDefault="00D33A51" w:rsidP="00A51D1A">
      <w:pPr>
        <w:pStyle w:val="ACMAReportTitle"/>
      </w:pPr>
      <w:r>
        <w:t>Planning</w:t>
      </w:r>
      <w:r w:rsidR="00B56C7C">
        <w:t xml:space="preserve"> of the </w:t>
      </w:r>
      <w:r>
        <w:t xml:space="preserve">2 GHz band </w:t>
      </w:r>
    </w:p>
    <w:p w14:paraId="446298C9" w14:textId="43CDF749" w:rsidR="00F06E14" w:rsidRDefault="00636C06" w:rsidP="00F06E14">
      <w:pPr>
        <w:pStyle w:val="ACMAReportSubTitle"/>
      </w:pPr>
      <w:r>
        <w:t>Discussion</w:t>
      </w:r>
      <w:r w:rsidR="00D33A51">
        <w:t xml:space="preserve"> paper </w:t>
      </w:r>
    </w:p>
    <w:p w14:paraId="158C27DF" w14:textId="198D88D0" w:rsidR="00C97736" w:rsidRPr="003424C2" w:rsidRDefault="00FA7CF2" w:rsidP="003424C2">
      <w:pPr>
        <w:pStyle w:val="ACMAReportDate"/>
        <w:spacing w:after="720"/>
      </w:pPr>
      <w:r>
        <w:t>AUGUST</w:t>
      </w:r>
      <w:r w:rsidR="00050CBB">
        <w:t xml:space="preserve"> </w:t>
      </w:r>
      <w:r w:rsidR="00FA2CC1">
        <w:t>2019</w:t>
      </w:r>
    </w:p>
    <w:p w14:paraId="3CE2491D" w14:textId="77777777" w:rsidR="00C97736" w:rsidRPr="000D76E0" w:rsidRDefault="00C97736" w:rsidP="0041071D">
      <w:pPr>
        <w:rPr>
          <w:rFonts w:cs="Arial"/>
        </w:rPr>
        <w:sectPr w:rsidR="00C97736" w:rsidRPr="000D76E0" w:rsidSect="004F556E">
          <w:headerReference w:type="default" r:id="rId11"/>
          <w:footerReference w:type="default" r:id="rId12"/>
          <w:headerReference w:type="first" r:id="rId13"/>
          <w:pgSz w:w="11906" w:h="16838" w:code="9"/>
          <w:pgMar w:top="3924" w:right="1797" w:bottom="1440" w:left="1134" w:header="709" w:footer="454" w:gutter="0"/>
          <w:cols w:space="708"/>
          <w:docGrid w:linePitch="360"/>
        </w:sectPr>
      </w:pPr>
    </w:p>
    <w:p w14:paraId="501BB2BA" w14:textId="77777777" w:rsidR="0005011A" w:rsidRPr="00F44F3A" w:rsidRDefault="0005011A" w:rsidP="00FC07B9">
      <w:pPr>
        <w:pStyle w:val="ACMACorporateAddressHeader"/>
      </w:pPr>
      <w:r w:rsidRPr="00F44F3A">
        <w:lastRenderedPageBreak/>
        <w:t>Canberra</w:t>
      </w:r>
    </w:p>
    <w:p w14:paraId="51A47790"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2D8BC207" w14:textId="77777777" w:rsidR="0005011A" w:rsidRPr="00FC07B9" w:rsidRDefault="0005011A" w:rsidP="00FC07B9">
      <w:pPr>
        <w:pStyle w:val="ACMACorporateAddresses"/>
      </w:pPr>
      <w:r w:rsidRPr="00FC07B9">
        <w:t>PO Box 78</w:t>
      </w:r>
      <w:r w:rsidRPr="00FC07B9">
        <w:br/>
        <w:t>Belconnen ACT 2616</w:t>
      </w:r>
    </w:p>
    <w:p w14:paraId="659F63E7"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2EC87B32" w14:textId="77777777" w:rsidR="0005011A" w:rsidRPr="00F44F3A" w:rsidRDefault="0005011A" w:rsidP="00FC07B9">
      <w:pPr>
        <w:pStyle w:val="ACMACorporateAddressHeader"/>
      </w:pPr>
      <w:r w:rsidRPr="00F44F3A">
        <w:t>Melbourne</w:t>
      </w:r>
    </w:p>
    <w:p w14:paraId="5C2B04AE"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795F670B"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5C00F70C"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2C12707C" w14:textId="77777777" w:rsidR="0005011A" w:rsidRPr="00F44F3A" w:rsidRDefault="0005011A" w:rsidP="00FC07B9">
      <w:pPr>
        <w:pStyle w:val="ACMACorporateAddressHeader"/>
      </w:pPr>
      <w:r w:rsidRPr="00F44F3A">
        <w:t>Sydney</w:t>
      </w:r>
    </w:p>
    <w:p w14:paraId="5A7218D1"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662EE69C"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3051E2F6"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507CCD9C" w14:textId="77777777" w:rsidR="00140318" w:rsidRPr="006D46E5" w:rsidRDefault="00140318" w:rsidP="00FC07B9">
      <w:pPr>
        <w:pStyle w:val="ACMACopyrightHeader"/>
      </w:pPr>
      <w:r w:rsidRPr="00140318">
        <w:t>Copyright notice</w:t>
      </w:r>
    </w:p>
    <w:p w14:paraId="5EE8B622" w14:textId="77777777" w:rsidR="00140318" w:rsidRPr="006D46E5" w:rsidRDefault="00623FF9" w:rsidP="00623FF9">
      <w:pPr>
        <w:pStyle w:val="ACMACClogo"/>
      </w:pPr>
      <w:r w:rsidRPr="00623FF9">
        <w:rPr>
          <w:noProof/>
        </w:rPr>
        <w:drawing>
          <wp:inline distT="0" distB="0" distL="0" distR="0" wp14:anchorId="6BDFCB96" wp14:editId="039237C0">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20A015BD" w14:textId="32AFEDBE" w:rsidR="00AA2DE5" w:rsidRDefault="00993164" w:rsidP="00AA2DE5">
      <w:pPr>
        <w:pStyle w:val="ACMACorporateAddresses"/>
        <w:rPr>
          <w:rStyle w:val="Hyperlink"/>
        </w:rPr>
      </w:pPr>
      <w:hyperlink r:id="rId16" w:history="1">
        <w:r w:rsidR="00AA2DE5">
          <w:rPr>
            <w:rStyle w:val="Hyperlink"/>
          </w:rPr>
          <w:t>https://creativecommons.org/licenses/by/4.0/</w:t>
        </w:r>
      </w:hyperlink>
    </w:p>
    <w:p w14:paraId="386EAFE7"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095F0C42" w14:textId="77777777" w:rsidR="00AA2DE5" w:rsidRDefault="00AA2DE5" w:rsidP="00AA2DE5">
      <w:pPr>
        <w:pStyle w:val="ACMACorporateAddresses"/>
      </w:pPr>
      <w:r>
        <w:t>We request attribution as © Commonwealth of Australia (Australian Communications and Media Authority) 201</w:t>
      </w:r>
      <w:r w:rsidR="000245E5">
        <w:t>9</w:t>
      </w:r>
      <w:r>
        <w:t>.</w:t>
      </w:r>
    </w:p>
    <w:p w14:paraId="1E660390" w14:textId="77777777" w:rsidR="00AA2DE5" w:rsidRDefault="00AA2DE5" w:rsidP="00AA2DE5">
      <w:pPr>
        <w:pStyle w:val="ACMACorporateAddresses"/>
      </w:pPr>
      <w:r>
        <w:t>All other rights are reserved.</w:t>
      </w:r>
    </w:p>
    <w:p w14:paraId="4AA37F02"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D4C4571" w14:textId="77777777" w:rsidR="00AA2DE5" w:rsidRDefault="00AA2DE5" w:rsidP="00AA2DE5">
      <w:pPr>
        <w:pStyle w:val="ACMACorporateAddresses"/>
      </w:pPr>
      <w:r>
        <w:t>Written enquiries may be sent to:</w:t>
      </w:r>
    </w:p>
    <w:p w14:paraId="7210F875" w14:textId="22407156"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7" w:history="1">
        <w:r>
          <w:rPr>
            <w:rStyle w:val="Hyperlink"/>
          </w:rPr>
          <w:t>info@acma.gov.au</w:t>
        </w:r>
      </w:hyperlink>
    </w:p>
    <w:p w14:paraId="10189CD0" w14:textId="77777777" w:rsidR="00D16FE3" w:rsidRDefault="00D16FE3" w:rsidP="00D16FE3">
      <w:pPr>
        <w:pStyle w:val="ACMACorporateAddresses"/>
        <w:rPr>
          <w:rStyle w:val="Hyperlink"/>
        </w:rPr>
      </w:pPr>
    </w:p>
    <w:p w14:paraId="1B44983A" w14:textId="77777777" w:rsidR="00D16FE3" w:rsidRPr="00D16FE3" w:rsidRDefault="00D16FE3" w:rsidP="00D16FE3">
      <w:pPr>
        <w:pStyle w:val="ACMACorporateAddresses"/>
        <w:sectPr w:rsidR="00D16FE3" w:rsidRPr="00D16FE3">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3C5A5914" w14:textId="067847E9" w:rsidR="007719E6" w:rsidRDefault="007A6CC0">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\t "ACMA_ExecSummaryHeading,1" </w:instrText>
      </w:r>
      <w:r>
        <w:rPr>
          <w:rFonts w:cs="Arial"/>
          <w:b w:val="0"/>
        </w:rPr>
        <w:fldChar w:fldCharType="separate"/>
      </w:r>
      <w:r w:rsidR="007719E6">
        <w:t>Executive summary</w:t>
      </w:r>
      <w:r w:rsidR="007719E6">
        <w:tab/>
      </w:r>
      <w:r w:rsidR="007719E6">
        <w:fldChar w:fldCharType="begin"/>
      </w:r>
      <w:r w:rsidR="007719E6">
        <w:instrText xml:space="preserve"> PAGEREF _Toc14266313 \h </w:instrText>
      </w:r>
      <w:r w:rsidR="007719E6">
        <w:fldChar w:fldCharType="separate"/>
      </w:r>
      <w:r w:rsidR="00DB7AA1">
        <w:t>1</w:t>
      </w:r>
      <w:r w:rsidR="007719E6">
        <w:fldChar w:fldCharType="end"/>
      </w:r>
    </w:p>
    <w:p w14:paraId="711819CC" w14:textId="69757BDC" w:rsidR="007719E6" w:rsidRDefault="007719E6">
      <w:pPr>
        <w:pStyle w:val="TOC1"/>
        <w:rPr>
          <w:rFonts w:asciiTheme="minorHAnsi" w:eastAsiaTheme="minorEastAsia" w:hAnsiTheme="minorHAnsi" w:cstheme="minorBidi"/>
          <w:b w:val="0"/>
          <w:spacing w:val="0"/>
          <w:sz w:val="22"/>
          <w:szCs w:val="22"/>
        </w:rPr>
      </w:pPr>
      <w:r>
        <w:t>Issues for comment</w:t>
      </w:r>
      <w:r>
        <w:tab/>
      </w:r>
      <w:r>
        <w:fldChar w:fldCharType="begin"/>
      </w:r>
      <w:r>
        <w:instrText xml:space="preserve"> PAGEREF _Toc14266314 \h </w:instrText>
      </w:r>
      <w:r>
        <w:fldChar w:fldCharType="separate"/>
      </w:r>
      <w:r w:rsidR="00DB7AA1">
        <w:t>2</w:t>
      </w:r>
      <w:r>
        <w:fldChar w:fldCharType="end"/>
      </w:r>
    </w:p>
    <w:p w14:paraId="44A29687" w14:textId="17E1337F" w:rsidR="007719E6" w:rsidRDefault="007719E6">
      <w:pPr>
        <w:pStyle w:val="TOC1"/>
        <w:rPr>
          <w:rFonts w:asciiTheme="minorHAnsi" w:eastAsiaTheme="minorEastAsia" w:hAnsiTheme="minorHAnsi" w:cstheme="minorBidi"/>
          <w:b w:val="0"/>
          <w:spacing w:val="0"/>
          <w:sz w:val="22"/>
          <w:szCs w:val="22"/>
        </w:rPr>
      </w:pPr>
      <w:r>
        <w:t>Introduction</w:t>
      </w:r>
      <w:r>
        <w:tab/>
      </w:r>
      <w:r>
        <w:fldChar w:fldCharType="begin"/>
      </w:r>
      <w:r>
        <w:instrText xml:space="preserve"> PAGEREF _Toc14266315 \h </w:instrText>
      </w:r>
      <w:r>
        <w:fldChar w:fldCharType="separate"/>
      </w:r>
      <w:r w:rsidR="00DB7AA1">
        <w:t>3</w:t>
      </w:r>
      <w:r>
        <w:fldChar w:fldCharType="end"/>
      </w:r>
    </w:p>
    <w:p w14:paraId="2C7596C8" w14:textId="3A21DB80" w:rsidR="007719E6" w:rsidRDefault="007719E6">
      <w:pPr>
        <w:pStyle w:val="TOC2"/>
        <w:rPr>
          <w:rFonts w:asciiTheme="minorHAnsi" w:eastAsiaTheme="minorEastAsia" w:hAnsiTheme="minorHAnsi" w:cstheme="minorBidi"/>
          <w:spacing w:val="0"/>
          <w:sz w:val="22"/>
          <w:szCs w:val="22"/>
        </w:rPr>
      </w:pPr>
      <w:r>
        <w:t>Purpose</w:t>
      </w:r>
      <w:r>
        <w:tab/>
      </w:r>
      <w:r>
        <w:tab/>
      </w:r>
      <w:r>
        <w:fldChar w:fldCharType="begin"/>
      </w:r>
      <w:r>
        <w:instrText xml:space="preserve"> PAGEREF _Toc14266316 \h </w:instrText>
      </w:r>
      <w:r>
        <w:fldChar w:fldCharType="separate"/>
      </w:r>
      <w:r w:rsidR="00DB7AA1">
        <w:t>3</w:t>
      </w:r>
      <w:r>
        <w:fldChar w:fldCharType="end"/>
      </w:r>
    </w:p>
    <w:p w14:paraId="3626330D" w14:textId="40DFE2E1" w:rsidR="007719E6" w:rsidRDefault="007719E6">
      <w:pPr>
        <w:pStyle w:val="TOC2"/>
        <w:rPr>
          <w:rFonts w:asciiTheme="minorHAnsi" w:eastAsiaTheme="minorEastAsia" w:hAnsiTheme="minorHAnsi" w:cstheme="minorBidi"/>
          <w:spacing w:val="0"/>
          <w:sz w:val="22"/>
          <w:szCs w:val="22"/>
        </w:rPr>
      </w:pPr>
      <w:r>
        <w:t>Scope</w:t>
      </w:r>
      <w:r>
        <w:tab/>
      </w:r>
      <w:r>
        <w:tab/>
      </w:r>
      <w:r>
        <w:fldChar w:fldCharType="begin"/>
      </w:r>
      <w:r>
        <w:instrText xml:space="preserve"> PAGEREF _Toc14266317 \h </w:instrText>
      </w:r>
      <w:r>
        <w:fldChar w:fldCharType="separate"/>
      </w:r>
      <w:r w:rsidR="00DB7AA1">
        <w:t>3</w:t>
      </w:r>
      <w:r>
        <w:fldChar w:fldCharType="end"/>
      </w:r>
    </w:p>
    <w:p w14:paraId="72813CA2" w14:textId="3B7E26B7" w:rsidR="007719E6" w:rsidRDefault="007719E6">
      <w:pPr>
        <w:pStyle w:val="TOC2"/>
        <w:rPr>
          <w:rFonts w:asciiTheme="minorHAnsi" w:eastAsiaTheme="minorEastAsia" w:hAnsiTheme="minorHAnsi" w:cstheme="minorBidi"/>
          <w:spacing w:val="0"/>
          <w:sz w:val="22"/>
          <w:szCs w:val="22"/>
        </w:rPr>
      </w:pPr>
      <w:r>
        <w:t>History of the 2 GHz band in Australia</w:t>
      </w:r>
      <w:r>
        <w:tab/>
      </w:r>
      <w:r>
        <w:fldChar w:fldCharType="begin"/>
      </w:r>
      <w:r>
        <w:instrText xml:space="preserve"> PAGEREF _Toc14266318 \h </w:instrText>
      </w:r>
      <w:r>
        <w:fldChar w:fldCharType="separate"/>
      </w:r>
      <w:r w:rsidR="00DB7AA1">
        <w:t>3</w:t>
      </w:r>
      <w:r>
        <w:fldChar w:fldCharType="end"/>
      </w:r>
    </w:p>
    <w:p w14:paraId="62FFF48E" w14:textId="246F2884" w:rsidR="007719E6" w:rsidRDefault="007719E6">
      <w:pPr>
        <w:pStyle w:val="TOC2"/>
        <w:rPr>
          <w:rFonts w:asciiTheme="minorHAnsi" w:eastAsiaTheme="minorEastAsia" w:hAnsiTheme="minorHAnsi" w:cstheme="minorBidi"/>
          <w:spacing w:val="0"/>
          <w:sz w:val="22"/>
          <w:szCs w:val="22"/>
        </w:rPr>
      </w:pPr>
      <w:r>
        <w:t>Current national arrangements</w:t>
      </w:r>
      <w:r>
        <w:tab/>
      </w:r>
      <w:r>
        <w:fldChar w:fldCharType="begin"/>
      </w:r>
      <w:r>
        <w:instrText xml:space="preserve"> PAGEREF _Toc14266319 \h </w:instrText>
      </w:r>
      <w:r>
        <w:fldChar w:fldCharType="separate"/>
      </w:r>
      <w:r w:rsidR="00DB7AA1">
        <w:t>4</w:t>
      </w:r>
      <w:r>
        <w:fldChar w:fldCharType="end"/>
      </w:r>
    </w:p>
    <w:p w14:paraId="1055E666" w14:textId="4EE5C302" w:rsidR="007719E6" w:rsidRDefault="007719E6">
      <w:pPr>
        <w:pStyle w:val="TOC3"/>
        <w:rPr>
          <w:rFonts w:asciiTheme="minorHAnsi" w:eastAsiaTheme="minorEastAsia" w:hAnsiTheme="minorHAnsi" w:cstheme="minorBidi"/>
        </w:rPr>
      </w:pPr>
      <w:r>
        <w:t>Television Outside Broadcast (TOB)</w:t>
      </w:r>
      <w:r>
        <w:tab/>
      </w:r>
      <w:r>
        <w:fldChar w:fldCharType="begin"/>
      </w:r>
      <w:r>
        <w:instrText xml:space="preserve"> PAGEREF _Toc14266320 \h </w:instrText>
      </w:r>
      <w:r>
        <w:fldChar w:fldCharType="separate"/>
      </w:r>
      <w:r w:rsidR="00DB7AA1">
        <w:t>5</w:t>
      </w:r>
      <w:r>
        <w:fldChar w:fldCharType="end"/>
      </w:r>
    </w:p>
    <w:p w14:paraId="4A747F5E" w14:textId="7340B177" w:rsidR="007719E6" w:rsidRDefault="007719E6">
      <w:pPr>
        <w:pStyle w:val="TOC3"/>
        <w:rPr>
          <w:rFonts w:asciiTheme="minorHAnsi" w:eastAsiaTheme="minorEastAsia" w:hAnsiTheme="minorHAnsi" w:cstheme="minorBidi"/>
        </w:rPr>
      </w:pPr>
      <w:r>
        <w:t>Fixed (point-to-point) services</w:t>
      </w:r>
      <w:r>
        <w:tab/>
      </w:r>
      <w:r>
        <w:fldChar w:fldCharType="begin"/>
      </w:r>
      <w:r>
        <w:instrText xml:space="preserve"> PAGEREF _Toc14266321 \h </w:instrText>
      </w:r>
      <w:r>
        <w:fldChar w:fldCharType="separate"/>
      </w:r>
      <w:r w:rsidR="00DB7AA1">
        <w:t>5</w:t>
      </w:r>
      <w:r>
        <w:fldChar w:fldCharType="end"/>
      </w:r>
    </w:p>
    <w:p w14:paraId="72470858" w14:textId="570DDD97" w:rsidR="007719E6" w:rsidRDefault="007719E6">
      <w:pPr>
        <w:pStyle w:val="TOC3"/>
        <w:rPr>
          <w:rFonts w:asciiTheme="minorHAnsi" w:eastAsiaTheme="minorEastAsia" w:hAnsiTheme="minorHAnsi" w:cstheme="minorBidi"/>
        </w:rPr>
      </w:pPr>
      <w:r>
        <w:t>Mobile satellite services</w:t>
      </w:r>
      <w:r>
        <w:tab/>
      </w:r>
      <w:r>
        <w:fldChar w:fldCharType="begin"/>
      </w:r>
      <w:r>
        <w:instrText xml:space="preserve"> PAGEREF _Toc14266322 \h </w:instrText>
      </w:r>
      <w:r>
        <w:fldChar w:fldCharType="separate"/>
      </w:r>
      <w:r w:rsidR="00DB7AA1">
        <w:t>6</w:t>
      </w:r>
      <w:r>
        <w:fldChar w:fldCharType="end"/>
      </w:r>
    </w:p>
    <w:p w14:paraId="2A1817F3" w14:textId="348B7154" w:rsidR="007719E6" w:rsidRDefault="007719E6">
      <w:pPr>
        <w:pStyle w:val="TOC3"/>
        <w:rPr>
          <w:rFonts w:asciiTheme="minorHAnsi" w:eastAsiaTheme="minorEastAsia" w:hAnsiTheme="minorHAnsi" w:cstheme="minorBidi"/>
        </w:rPr>
      </w:pPr>
      <w:r>
        <w:t>Short term technology demonstrations including short-term satellite applications</w:t>
      </w:r>
      <w:r>
        <w:tab/>
      </w:r>
      <w:r>
        <w:fldChar w:fldCharType="begin"/>
      </w:r>
      <w:r>
        <w:instrText xml:space="preserve"> PAGEREF _Toc14266323 \h </w:instrText>
      </w:r>
      <w:r>
        <w:fldChar w:fldCharType="separate"/>
      </w:r>
      <w:r w:rsidR="00DB7AA1">
        <w:t>7</w:t>
      </w:r>
      <w:r>
        <w:fldChar w:fldCharType="end"/>
      </w:r>
    </w:p>
    <w:p w14:paraId="795B820B" w14:textId="3AE9D45D" w:rsidR="007719E6" w:rsidRDefault="007719E6">
      <w:pPr>
        <w:pStyle w:val="TOC1"/>
        <w:rPr>
          <w:rFonts w:asciiTheme="minorHAnsi" w:eastAsiaTheme="minorEastAsia" w:hAnsiTheme="minorHAnsi" w:cstheme="minorBidi"/>
          <w:b w:val="0"/>
          <w:spacing w:val="0"/>
          <w:sz w:val="22"/>
          <w:szCs w:val="22"/>
        </w:rPr>
      </w:pPr>
      <w:r>
        <w:t>International developments</w:t>
      </w:r>
      <w:r>
        <w:tab/>
      </w:r>
      <w:r>
        <w:fldChar w:fldCharType="begin"/>
      </w:r>
      <w:r>
        <w:instrText xml:space="preserve"> PAGEREF _Toc14266324 \h </w:instrText>
      </w:r>
      <w:r>
        <w:fldChar w:fldCharType="separate"/>
      </w:r>
      <w:r w:rsidR="00DB7AA1">
        <w:t>8</w:t>
      </w:r>
      <w:r>
        <w:fldChar w:fldCharType="end"/>
      </w:r>
    </w:p>
    <w:p w14:paraId="4698C5C0" w14:textId="7B97F2E4" w:rsidR="007719E6" w:rsidRDefault="007719E6">
      <w:pPr>
        <w:pStyle w:val="TOC2"/>
        <w:rPr>
          <w:rFonts w:asciiTheme="minorHAnsi" w:eastAsiaTheme="minorEastAsia" w:hAnsiTheme="minorHAnsi" w:cstheme="minorBidi"/>
          <w:spacing w:val="0"/>
          <w:sz w:val="22"/>
          <w:szCs w:val="22"/>
        </w:rPr>
      </w:pPr>
      <w:r>
        <w:t>International organisations</w:t>
      </w:r>
      <w:r>
        <w:tab/>
      </w:r>
      <w:r>
        <w:fldChar w:fldCharType="begin"/>
      </w:r>
      <w:r>
        <w:instrText xml:space="preserve"> PAGEREF _Toc14266325 \h </w:instrText>
      </w:r>
      <w:r>
        <w:fldChar w:fldCharType="separate"/>
      </w:r>
      <w:r w:rsidR="00DB7AA1">
        <w:t>8</w:t>
      </w:r>
      <w:r>
        <w:fldChar w:fldCharType="end"/>
      </w:r>
    </w:p>
    <w:p w14:paraId="6DE72400" w14:textId="3FCC19A0" w:rsidR="007719E6" w:rsidRDefault="007719E6">
      <w:pPr>
        <w:pStyle w:val="TOC3"/>
        <w:rPr>
          <w:rFonts w:asciiTheme="minorHAnsi" w:eastAsiaTheme="minorEastAsia" w:hAnsiTheme="minorHAnsi" w:cstheme="minorBidi"/>
        </w:rPr>
      </w:pPr>
      <w:r>
        <w:t>International Telecommunication Union (ITU)</w:t>
      </w:r>
      <w:r>
        <w:tab/>
      </w:r>
      <w:r>
        <w:fldChar w:fldCharType="begin"/>
      </w:r>
      <w:r>
        <w:instrText xml:space="preserve"> PAGEREF _Toc14266326 \h </w:instrText>
      </w:r>
      <w:r>
        <w:fldChar w:fldCharType="separate"/>
      </w:r>
      <w:r w:rsidR="00DB7AA1">
        <w:t>8</w:t>
      </w:r>
      <w:r>
        <w:fldChar w:fldCharType="end"/>
      </w:r>
    </w:p>
    <w:p w14:paraId="575CF841" w14:textId="59855554" w:rsidR="007719E6" w:rsidRDefault="007719E6">
      <w:pPr>
        <w:pStyle w:val="TOC3"/>
        <w:rPr>
          <w:rFonts w:asciiTheme="minorHAnsi" w:eastAsiaTheme="minorEastAsia" w:hAnsiTheme="minorHAnsi" w:cstheme="minorBidi"/>
        </w:rPr>
      </w:pPr>
      <w:r>
        <w:t>Asia-Pacific Telecommunity (APT)</w:t>
      </w:r>
      <w:r>
        <w:tab/>
      </w:r>
      <w:r>
        <w:fldChar w:fldCharType="begin"/>
      </w:r>
      <w:r>
        <w:instrText xml:space="preserve"> PAGEREF _Toc14266327 \h </w:instrText>
      </w:r>
      <w:r>
        <w:fldChar w:fldCharType="separate"/>
      </w:r>
      <w:r w:rsidR="00DB7AA1">
        <w:t>8</w:t>
      </w:r>
      <w:r>
        <w:fldChar w:fldCharType="end"/>
      </w:r>
    </w:p>
    <w:p w14:paraId="24ACB0F4" w14:textId="5D9CCAE9" w:rsidR="007719E6" w:rsidRDefault="007719E6">
      <w:pPr>
        <w:pStyle w:val="TOC3"/>
        <w:rPr>
          <w:rFonts w:asciiTheme="minorHAnsi" w:eastAsiaTheme="minorEastAsia" w:hAnsiTheme="minorHAnsi" w:cstheme="minorBidi"/>
        </w:rPr>
      </w:pPr>
      <w:r>
        <w:t>European Union (EU)</w:t>
      </w:r>
      <w:r>
        <w:tab/>
      </w:r>
      <w:r>
        <w:fldChar w:fldCharType="begin"/>
      </w:r>
      <w:r>
        <w:instrText xml:space="preserve"> PAGEREF _Toc14266328 \h </w:instrText>
      </w:r>
      <w:r>
        <w:fldChar w:fldCharType="separate"/>
      </w:r>
      <w:r w:rsidR="00DB7AA1">
        <w:t>8</w:t>
      </w:r>
      <w:r>
        <w:fldChar w:fldCharType="end"/>
      </w:r>
    </w:p>
    <w:p w14:paraId="100D443B" w14:textId="0D5A8BDB" w:rsidR="007719E6" w:rsidRDefault="007719E6">
      <w:pPr>
        <w:pStyle w:val="TOC3"/>
        <w:rPr>
          <w:rFonts w:asciiTheme="minorHAnsi" w:eastAsiaTheme="minorEastAsia" w:hAnsiTheme="minorHAnsi" w:cstheme="minorBidi"/>
        </w:rPr>
      </w:pPr>
      <w:r>
        <w:t>3GPP</w:t>
      </w:r>
      <w:r>
        <w:tab/>
      </w:r>
      <w:r>
        <w:fldChar w:fldCharType="begin"/>
      </w:r>
      <w:r>
        <w:instrText xml:space="preserve"> PAGEREF _Toc14266329 \h </w:instrText>
      </w:r>
      <w:r>
        <w:fldChar w:fldCharType="separate"/>
      </w:r>
      <w:r w:rsidR="00DB7AA1">
        <w:t>9</w:t>
      </w:r>
      <w:r>
        <w:fldChar w:fldCharType="end"/>
      </w:r>
    </w:p>
    <w:p w14:paraId="67FF38C3" w14:textId="464ADC19" w:rsidR="007719E6" w:rsidRDefault="007719E6">
      <w:pPr>
        <w:pStyle w:val="TOC2"/>
        <w:rPr>
          <w:rFonts w:asciiTheme="minorHAnsi" w:eastAsiaTheme="minorEastAsia" w:hAnsiTheme="minorHAnsi" w:cstheme="minorBidi"/>
          <w:spacing w:val="0"/>
          <w:sz w:val="22"/>
          <w:szCs w:val="22"/>
        </w:rPr>
      </w:pPr>
      <w:r>
        <w:t>Other national regulators</w:t>
      </w:r>
      <w:r>
        <w:tab/>
      </w:r>
      <w:r>
        <w:fldChar w:fldCharType="begin"/>
      </w:r>
      <w:r>
        <w:instrText xml:space="preserve"> PAGEREF _Toc14266330 \h </w:instrText>
      </w:r>
      <w:r>
        <w:fldChar w:fldCharType="separate"/>
      </w:r>
      <w:r w:rsidR="00DB7AA1">
        <w:t>9</w:t>
      </w:r>
      <w:r>
        <w:fldChar w:fldCharType="end"/>
      </w:r>
    </w:p>
    <w:p w14:paraId="45318CEC" w14:textId="7DD23C3C" w:rsidR="007719E6" w:rsidRDefault="007719E6">
      <w:pPr>
        <w:pStyle w:val="TOC3"/>
        <w:rPr>
          <w:rFonts w:asciiTheme="minorHAnsi" w:eastAsiaTheme="minorEastAsia" w:hAnsiTheme="minorHAnsi" w:cstheme="minorBidi"/>
        </w:rPr>
      </w:pPr>
      <w:r>
        <w:t>Ofcom, United Kingdom</w:t>
      </w:r>
      <w:r>
        <w:tab/>
      </w:r>
      <w:r>
        <w:fldChar w:fldCharType="begin"/>
      </w:r>
      <w:r>
        <w:instrText xml:space="preserve"> PAGEREF _Toc14266331 \h </w:instrText>
      </w:r>
      <w:r>
        <w:fldChar w:fldCharType="separate"/>
      </w:r>
      <w:r w:rsidR="00DB7AA1">
        <w:t>9</w:t>
      </w:r>
      <w:r>
        <w:fldChar w:fldCharType="end"/>
      </w:r>
    </w:p>
    <w:p w14:paraId="18F80BC9" w14:textId="77E20D5A" w:rsidR="007719E6" w:rsidRDefault="007719E6">
      <w:pPr>
        <w:pStyle w:val="TOC3"/>
        <w:rPr>
          <w:rFonts w:asciiTheme="minorHAnsi" w:eastAsiaTheme="minorEastAsia" w:hAnsiTheme="minorHAnsi" w:cstheme="minorBidi"/>
        </w:rPr>
      </w:pPr>
      <w:r>
        <w:t>FCC, United States</w:t>
      </w:r>
      <w:r>
        <w:tab/>
      </w:r>
      <w:r>
        <w:fldChar w:fldCharType="begin"/>
      </w:r>
      <w:r>
        <w:instrText xml:space="preserve"> PAGEREF _Toc14266332 \h </w:instrText>
      </w:r>
      <w:r>
        <w:fldChar w:fldCharType="separate"/>
      </w:r>
      <w:r w:rsidR="00DB7AA1">
        <w:t>9</w:t>
      </w:r>
      <w:r>
        <w:fldChar w:fldCharType="end"/>
      </w:r>
    </w:p>
    <w:p w14:paraId="7EE8CD85" w14:textId="16128F59" w:rsidR="007719E6" w:rsidRDefault="007719E6">
      <w:pPr>
        <w:pStyle w:val="TOC3"/>
        <w:rPr>
          <w:rFonts w:asciiTheme="minorHAnsi" w:eastAsiaTheme="minorEastAsia" w:hAnsiTheme="minorHAnsi" w:cstheme="minorBidi"/>
        </w:rPr>
      </w:pPr>
      <w:r>
        <w:t>ISED, Canada</w:t>
      </w:r>
      <w:r>
        <w:tab/>
      </w:r>
      <w:r>
        <w:fldChar w:fldCharType="begin"/>
      </w:r>
      <w:r>
        <w:instrText xml:space="preserve"> PAGEREF _Toc14266333 \h </w:instrText>
      </w:r>
      <w:r>
        <w:fldChar w:fldCharType="separate"/>
      </w:r>
      <w:r w:rsidR="00DB7AA1">
        <w:t>9</w:t>
      </w:r>
      <w:r>
        <w:fldChar w:fldCharType="end"/>
      </w:r>
    </w:p>
    <w:p w14:paraId="44216DAA" w14:textId="09110EE7" w:rsidR="007719E6" w:rsidRDefault="007719E6">
      <w:pPr>
        <w:pStyle w:val="TOC3"/>
        <w:rPr>
          <w:rFonts w:asciiTheme="minorHAnsi" w:eastAsiaTheme="minorEastAsia" w:hAnsiTheme="minorHAnsi" w:cstheme="minorBidi"/>
        </w:rPr>
      </w:pPr>
      <w:r>
        <w:t>MIC, Japan</w:t>
      </w:r>
      <w:r>
        <w:tab/>
      </w:r>
      <w:r>
        <w:fldChar w:fldCharType="begin"/>
      </w:r>
      <w:r>
        <w:instrText xml:space="preserve"> PAGEREF _Toc14266334 \h </w:instrText>
      </w:r>
      <w:r>
        <w:fldChar w:fldCharType="separate"/>
      </w:r>
      <w:r w:rsidR="00DB7AA1">
        <w:t>10</w:t>
      </w:r>
      <w:r>
        <w:fldChar w:fldCharType="end"/>
      </w:r>
    </w:p>
    <w:p w14:paraId="5178E075" w14:textId="28ECC0CA" w:rsidR="007719E6" w:rsidRDefault="007719E6">
      <w:pPr>
        <w:pStyle w:val="TOC3"/>
        <w:rPr>
          <w:rFonts w:asciiTheme="minorHAnsi" w:eastAsiaTheme="minorEastAsia" w:hAnsiTheme="minorHAnsi" w:cstheme="minorBidi"/>
        </w:rPr>
      </w:pPr>
      <w:r>
        <w:t>China</w:t>
      </w:r>
      <w:r>
        <w:tab/>
      </w:r>
      <w:r>
        <w:fldChar w:fldCharType="begin"/>
      </w:r>
      <w:r>
        <w:instrText xml:space="preserve"> PAGEREF _Toc14266335 \h </w:instrText>
      </w:r>
      <w:r>
        <w:fldChar w:fldCharType="separate"/>
      </w:r>
      <w:r w:rsidR="00DB7AA1">
        <w:t>10</w:t>
      </w:r>
      <w:r>
        <w:fldChar w:fldCharType="end"/>
      </w:r>
    </w:p>
    <w:p w14:paraId="2547D035" w14:textId="07399638" w:rsidR="007719E6" w:rsidRDefault="007719E6">
      <w:pPr>
        <w:pStyle w:val="TOC1"/>
        <w:rPr>
          <w:rFonts w:asciiTheme="minorHAnsi" w:eastAsiaTheme="minorEastAsia" w:hAnsiTheme="minorHAnsi" w:cstheme="minorBidi"/>
          <w:b w:val="0"/>
          <w:spacing w:val="0"/>
          <w:sz w:val="22"/>
          <w:szCs w:val="22"/>
        </w:rPr>
      </w:pPr>
      <w:r>
        <w:t>Domestic considerations</w:t>
      </w:r>
      <w:r>
        <w:tab/>
      </w:r>
      <w:r>
        <w:fldChar w:fldCharType="begin"/>
      </w:r>
      <w:r>
        <w:instrText xml:space="preserve"> PAGEREF _Toc14266336 \h </w:instrText>
      </w:r>
      <w:r>
        <w:fldChar w:fldCharType="separate"/>
      </w:r>
      <w:r w:rsidR="00DB7AA1">
        <w:t>11</w:t>
      </w:r>
      <w:r>
        <w:fldChar w:fldCharType="end"/>
      </w:r>
    </w:p>
    <w:p w14:paraId="4F0B43B7" w14:textId="2A8849BE" w:rsidR="007719E6" w:rsidRDefault="007719E6">
      <w:pPr>
        <w:pStyle w:val="TOC2"/>
        <w:rPr>
          <w:rFonts w:asciiTheme="minorHAnsi" w:eastAsiaTheme="minorEastAsia" w:hAnsiTheme="minorHAnsi" w:cstheme="minorBidi"/>
          <w:spacing w:val="0"/>
          <w:sz w:val="22"/>
          <w:szCs w:val="22"/>
        </w:rPr>
      </w:pPr>
      <w:r>
        <w:t>Television outside broadcast (TOB)</w:t>
      </w:r>
      <w:r>
        <w:tab/>
      </w:r>
      <w:r>
        <w:fldChar w:fldCharType="begin"/>
      </w:r>
      <w:r>
        <w:instrText xml:space="preserve"> PAGEREF _Toc14266337 \h </w:instrText>
      </w:r>
      <w:r>
        <w:fldChar w:fldCharType="separate"/>
      </w:r>
      <w:r w:rsidR="00DB7AA1">
        <w:t>11</w:t>
      </w:r>
      <w:r>
        <w:fldChar w:fldCharType="end"/>
      </w:r>
    </w:p>
    <w:p w14:paraId="7E31A1BD" w14:textId="12B3A872" w:rsidR="007719E6" w:rsidRDefault="007719E6">
      <w:pPr>
        <w:pStyle w:val="TOC2"/>
        <w:rPr>
          <w:rFonts w:asciiTheme="minorHAnsi" w:eastAsiaTheme="minorEastAsia" w:hAnsiTheme="minorHAnsi" w:cstheme="minorBidi"/>
          <w:spacing w:val="0"/>
          <w:sz w:val="22"/>
          <w:szCs w:val="22"/>
        </w:rPr>
      </w:pPr>
      <w:r>
        <w:t>Mobile-satellite services (MSS)</w:t>
      </w:r>
      <w:r>
        <w:tab/>
      </w:r>
      <w:r>
        <w:fldChar w:fldCharType="begin"/>
      </w:r>
      <w:r>
        <w:instrText xml:space="preserve"> PAGEREF _Toc14266338 \h </w:instrText>
      </w:r>
      <w:r>
        <w:fldChar w:fldCharType="separate"/>
      </w:r>
      <w:r w:rsidR="00DB7AA1">
        <w:t>11</w:t>
      </w:r>
      <w:r>
        <w:fldChar w:fldCharType="end"/>
      </w:r>
    </w:p>
    <w:p w14:paraId="5116BCD4" w14:textId="0D8AACB0" w:rsidR="007719E6" w:rsidRDefault="007719E6">
      <w:pPr>
        <w:pStyle w:val="TOC3"/>
        <w:rPr>
          <w:rFonts w:asciiTheme="minorHAnsi" w:eastAsiaTheme="minorEastAsia" w:hAnsiTheme="minorHAnsi" w:cstheme="minorBidi"/>
        </w:rPr>
      </w:pPr>
      <w:r>
        <w:t>Satellite IoT applications</w:t>
      </w:r>
      <w:r>
        <w:tab/>
      </w:r>
      <w:r>
        <w:fldChar w:fldCharType="begin"/>
      </w:r>
      <w:r>
        <w:instrText xml:space="preserve"> PAGEREF _Toc14266339 \h </w:instrText>
      </w:r>
      <w:r>
        <w:fldChar w:fldCharType="separate"/>
      </w:r>
      <w:r w:rsidR="00DB7AA1">
        <w:t>11</w:t>
      </w:r>
      <w:r>
        <w:fldChar w:fldCharType="end"/>
      </w:r>
    </w:p>
    <w:p w14:paraId="705703E1" w14:textId="1F3981F0" w:rsidR="007719E6" w:rsidRDefault="007719E6">
      <w:pPr>
        <w:pStyle w:val="TOC2"/>
        <w:rPr>
          <w:rFonts w:asciiTheme="minorHAnsi" w:eastAsiaTheme="minorEastAsia" w:hAnsiTheme="minorHAnsi" w:cstheme="minorBidi"/>
          <w:spacing w:val="0"/>
          <w:sz w:val="22"/>
          <w:szCs w:val="22"/>
        </w:rPr>
      </w:pPr>
      <w:r>
        <w:t>Mobile service (MS)</w:t>
      </w:r>
      <w:r>
        <w:tab/>
      </w:r>
      <w:r>
        <w:fldChar w:fldCharType="begin"/>
      </w:r>
      <w:r>
        <w:instrText xml:space="preserve"> PAGEREF _Toc14266340 \h </w:instrText>
      </w:r>
      <w:r>
        <w:fldChar w:fldCharType="separate"/>
      </w:r>
      <w:r w:rsidR="00DB7AA1">
        <w:t>11</w:t>
      </w:r>
      <w:r>
        <w:fldChar w:fldCharType="end"/>
      </w:r>
    </w:p>
    <w:p w14:paraId="553CBA09" w14:textId="6CBE1311" w:rsidR="007719E6" w:rsidRDefault="007719E6">
      <w:pPr>
        <w:pStyle w:val="TOC3"/>
        <w:rPr>
          <w:rFonts w:asciiTheme="minorHAnsi" w:eastAsiaTheme="minorEastAsia" w:hAnsiTheme="minorHAnsi" w:cstheme="minorBidi"/>
        </w:rPr>
      </w:pPr>
      <w:r>
        <w:t>Mobile broadband</w:t>
      </w:r>
      <w:r>
        <w:tab/>
      </w:r>
      <w:r>
        <w:fldChar w:fldCharType="begin"/>
      </w:r>
      <w:r>
        <w:instrText xml:space="preserve"> PAGEREF _Toc14266341 \h </w:instrText>
      </w:r>
      <w:r>
        <w:fldChar w:fldCharType="separate"/>
      </w:r>
      <w:r w:rsidR="00DB7AA1">
        <w:t>11</w:t>
      </w:r>
      <w:r>
        <w:fldChar w:fldCharType="end"/>
      </w:r>
    </w:p>
    <w:p w14:paraId="15B9C94F" w14:textId="1C2CD745" w:rsidR="007719E6" w:rsidRDefault="007719E6">
      <w:pPr>
        <w:pStyle w:val="TOC3"/>
        <w:rPr>
          <w:rFonts w:asciiTheme="minorHAnsi" w:eastAsiaTheme="minorEastAsia" w:hAnsiTheme="minorHAnsi" w:cstheme="minorBidi"/>
        </w:rPr>
      </w:pPr>
      <w:r>
        <w:t>Direct air-to-ground</w:t>
      </w:r>
      <w:r>
        <w:tab/>
      </w:r>
      <w:r>
        <w:fldChar w:fldCharType="begin"/>
      </w:r>
      <w:r>
        <w:instrText xml:space="preserve"> PAGEREF _Toc14266342 \h </w:instrText>
      </w:r>
      <w:r>
        <w:fldChar w:fldCharType="separate"/>
      </w:r>
      <w:r w:rsidR="00DB7AA1">
        <w:t>12</w:t>
      </w:r>
      <w:r>
        <w:fldChar w:fldCharType="end"/>
      </w:r>
    </w:p>
    <w:p w14:paraId="136C8D9B" w14:textId="03619AD9" w:rsidR="007719E6" w:rsidRDefault="007719E6">
      <w:pPr>
        <w:pStyle w:val="TOC1"/>
        <w:rPr>
          <w:rFonts w:asciiTheme="minorHAnsi" w:eastAsiaTheme="minorEastAsia" w:hAnsiTheme="minorHAnsi" w:cstheme="minorBidi"/>
          <w:b w:val="0"/>
          <w:spacing w:val="0"/>
          <w:sz w:val="22"/>
          <w:szCs w:val="22"/>
        </w:rPr>
      </w:pPr>
      <w:r>
        <w:lastRenderedPageBreak/>
        <w:t>Band considerations</w:t>
      </w:r>
      <w:r>
        <w:tab/>
      </w:r>
      <w:r>
        <w:fldChar w:fldCharType="begin"/>
      </w:r>
      <w:r>
        <w:instrText xml:space="preserve"> PAGEREF _Toc14266343 \h </w:instrText>
      </w:r>
      <w:r>
        <w:fldChar w:fldCharType="separate"/>
      </w:r>
      <w:r w:rsidR="00DB7AA1">
        <w:t>13</w:t>
      </w:r>
      <w:r>
        <w:fldChar w:fldCharType="end"/>
      </w:r>
    </w:p>
    <w:p w14:paraId="468125BC" w14:textId="4FD60B97" w:rsidR="007719E6" w:rsidRDefault="007719E6">
      <w:pPr>
        <w:pStyle w:val="TOC2"/>
        <w:rPr>
          <w:rFonts w:asciiTheme="minorHAnsi" w:eastAsiaTheme="minorEastAsia" w:hAnsiTheme="minorHAnsi" w:cstheme="minorBidi"/>
          <w:spacing w:val="0"/>
          <w:sz w:val="22"/>
          <w:szCs w:val="22"/>
        </w:rPr>
      </w:pPr>
      <w:r>
        <w:t>Scenario 1: Single majority service/application use of entire band</w:t>
      </w:r>
      <w:r>
        <w:tab/>
      </w:r>
      <w:r>
        <w:fldChar w:fldCharType="begin"/>
      </w:r>
      <w:r>
        <w:instrText xml:space="preserve"> PAGEREF _Toc14266344 \h </w:instrText>
      </w:r>
      <w:r>
        <w:fldChar w:fldCharType="separate"/>
      </w:r>
      <w:r w:rsidR="00DB7AA1">
        <w:t>14</w:t>
      </w:r>
      <w:r>
        <w:fldChar w:fldCharType="end"/>
      </w:r>
    </w:p>
    <w:p w14:paraId="63918080" w14:textId="27C15767" w:rsidR="007719E6" w:rsidRDefault="007719E6">
      <w:pPr>
        <w:pStyle w:val="TOC2"/>
        <w:rPr>
          <w:rFonts w:asciiTheme="minorHAnsi" w:eastAsiaTheme="minorEastAsia" w:hAnsiTheme="minorHAnsi" w:cstheme="minorBidi"/>
          <w:spacing w:val="0"/>
          <w:sz w:val="22"/>
          <w:szCs w:val="22"/>
        </w:rPr>
      </w:pPr>
      <w:r>
        <w:t>Scenario 2: All services/applications with dedicated, exclusive spectrum</w:t>
      </w:r>
      <w:r>
        <w:tab/>
      </w:r>
      <w:r>
        <w:fldChar w:fldCharType="begin"/>
      </w:r>
      <w:r>
        <w:instrText xml:space="preserve"> PAGEREF _Toc14266345 \h </w:instrText>
      </w:r>
      <w:r>
        <w:fldChar w:fldCharType="separate"/>
      </w:r>
      <w:r w:rsidR="00DB7AA1">
        <w:t>14</w:t>
      </w:r>
      <w:r>
        <w:fldChar w:fldCharType="end"/>
      </w:r>
    </w:p>
    <w:p w14:paraId="5FFB9B38" w14:textId="02FF57E1" w:rsidR="007719E6" w:rsidRDefault="007719E6">
      <w:pPr>
        <w:pStyle w:val="TOC2"/>
        <w:rPr>
          <w:rFonts w:asciiTheme="minorHAnsi" w:eastAsiaTheme="minorEastAsia" w:hAnsiTheme="minorHAnsi" w:cstheme="minorBidi"/>
          <w:spacing w:val="0"/>
          <w:sz w:val="22"/>
          <w:szCs w:val="22"/>
        </w:rPr>
      </w:pPr>
      <w:r>
        <w:t>Scenario 3: Geographic separation of services</w:t>
      </w:r>
      <w:r>
        <w:tab/>
      </w:r>
      <w:r>
        <w:fldChar w:fldCharType="begin"/>
      </w:r>
      <w:r>
        <w:instrText xml:space="preserve"> PAGEREF _Toc14266346 \h </w:instrText>
      </w:r>
      <w:r>
        <w:fldChar w:fldCharType="separate"/>
      </w:r>
      <w:r w:rsidR="00DB7AA1">
        <w:t>14</w:t>
      </w:r>
      <w:r>
        <w:fldChar w:fldCharType="end"/>
      </w:r>
    </w:p>
    <w:p w14:paraId="527EA2B0" w14:textId="246ACA97" w:rsidR="007719E6" w:rsidRDefault="007719E6">
      <w:pPr>
        <w:pStyle w:val="TOC2"/>
        <w:rPr>
          <w:rFonts w:asciiTheme="minorHAnsi" w:eastAsiaTheme="minorEastAsia" w:hAnsiTheme="minorHAnsi" w:cstheme="minorBidi"/>
          <w:spacing w:val="0"/>
          <w:sz w:val="22"/>
          <w:szCs w:val="22"/>
        </w:rPr>
      </w:pPr>
      <w:r>
        <w:t>Scenario 4: Combination or hybrid approach of other scenarios</w:t>
      </w:r>
      <w:r>
        <w:tab/>
      </w:r>
      <w:r>
        <w:fldChar w:fldCharType="begin"/>
      </w:r>
      <w:r>
        <w:instrText xml:space="preserve"> PAGEREF _Toc14266347 \h </w:instrText>
      </w:r>
      <w:r>
        <w:fldChar w:fldCharType="separate"/>
      </w:r>
      <w:r w:rsidR="00DB7AA1">
        <w:t>15</w:t>
      </w:r>
      <w:r>
        <w:fldChar w:fldCharType="end"/>
      </w:r>
    </w:p>
    <w:p w14:paraId="5F3410A1" w14:textId="5C4776B1" w:rsidR="007719E6" w:rsidRDefault="007719E6">
      <w:pPr>
        <w:pStyle w:val="TOC1"/>
        <w:rPr>
          <w:rFonts w:asciiTheme="minorHAnsi" w:eastAsiaTheme="minorEastAsia" w:hAnsiTheme="minorHAnsi" w:cstheme="minorBidi"/>
          <w:b w:val="0"/>
          <w:spacing w:val="0"/>
          <w:sz w:val="22"/>
          <w:szCs w:val="22"/>
        </w:rPr>
      </w:pPr>
      <w:r>
        <w:t>Invitation to comment</w:t>
      </w:r>
      <w:r>
        <w:tab/>
      </w:r>
      <w:r>
        <w:fldChar w:fldCharType="begin"/>
      </w:r>
      <w:r>
        <w:instrText xml:space="preserve"> PAGEREF _Toc14266348 \h </w:instrText>
      </w:r>
      <w:r>
        <w:fldChar w:fldCharType="separate"/>
      </w:r>
      <w:r w:rsidR="00DB7AA1">
        <w:t>16</w:t>
      </w:r>
      <w:r>
        <w:fldChar w:fldCharType="end"/>
      </w:r>
    </w:p>
    <w:p w14:paraId="6B6ED065" w14:textId="15A52588" w:rsidR="007719E6" w:rsidRDefault="007719E6">
      <w:pPr>
        <w:pStyle w:val="TOC2"/>
        <w:rPr>
          <w:rFonts w:asciiTheme="minorHAnsi" w:eastAsiaTheme="minorEastAsia" w:hAnsiTheme="minorHAnsi" w:cstheme="minorBidi"/>
          <w:spacing w:val="0"/>
          <w:sz w:val="22"/>
          <w:szCs w:val="22"/>
        </w:rPr>
      </w:pPr>
      <w:r>
        <w:t>Making a submission</w:t>
      </w:r>
      <w:r>
        <w:tab/>
      </w:r>
      <w:r>
        <w:fldChar w:fldCharType="begin"/>
      </w:r>
      <w:r>
        <w:instrText xml:space="preserve"> PAGEREF _Toc14266349 \h </w:instrText>
      </w:r>
      <w:r>
        <w:fldChar w:fldCharType="separate"/>
      </w:r>
      <w:r w:rsidR="00DB7AA1">
        <w:t>16</w:t>
      </w:r>
      <w:r>
        <w:fldChar w:fldCharType="end"/>
      </w:r>
    </w:p>
    <w:p w14:paraId="153D9FB7" w14:textId="65D558E2" w:rsidR="007719E6" w:rsidRDefault="007719E6">
      <w:pPr>
        <w:pStyle w:val="TOC1"/>
        <w:rPr>
          <w:rFonts w:asciiTheme="minorHAnsi" w:eastAsiaTheme="minorEastAsia" w:hAnsiTheme="minorHAnsi" w:cstheme="minorBidi"/>
          <w:b w:val="0"/>
          <w:spacing w:val="0"/>
          <w:sz w:val="22"/>
          <w:szCs w:val="22"/>
        </w:rPr>
      </w:pPr>
      <w:r>
        <w:t>Appendix A—ARSP extracts covering the 2 GHz Band</w:t>
      </w:r>
      <w:r>
        <w:tab/>
      </w:r>
      <w:r>
        <w:fldChar w:fldCharType="begin"/>
      </w:r>
      <w:r>
        <w:instrText xml:space="preserve"> PAGEREF _Toc14266350 \h </w:instrText>
      </w:r>
      <w:r>
        <w:fldChar w:fldCharType="separate"/>
      </w:r>
      <w:r w:rsidR="00DB7AA1">
        <w:t>17</w:t>
      </w:r>
      <w:r>
        <w:fldChar w:fldCharType="end"/>
      </w:r>
    </w:p>
    <w:p w14:paraId="2D925B87" w14:textId="2114F727" w:rsidR="000A4A51" w:rsidRPr="000D76E0" w:rsidRDefault="007A6CC0">
      <w:pPr>
        <w:rPr>
          <w:rFonts w:cs="Arial"/>
        </w:rPr>
      </w:pPr>
      <w:r>
        <w:rPr>
          <w:rFonts w:cs="Arial"/>
          <w:b/>
          <w:noProof/>
          <w:spacing w:val="-14"/>
          <w:sz w:val="28"/>
        </w:rPr>
        <w:fldChar w:fldCharType="end"/>
      </w:r>
    </w:p>
    <w:p w14:paraId="62CE1592" w14:textId="77777777" w:rsidR="004D56FF" w:rsidRPr="000D76E0" w:rsidRDefault="004D56FF">
      <w:pPr>
        <w:rPr>
          <w:rFonts w:cs="Arial"/>
        </w:rPr>
        <w:sectPr w:rsidR="004D56FF" w:rsidRPr="000D76E0" w:rsidSect="00C77380">
          <w:headerReference w:type="even" r:id="rId22"/>
          <w:headerReference w:type="default" r:id="rId23"/>
          <w:footerReference w:type="even" r:id="rId24"/>
          <w:footerReference w:type="default" r:id="rId25"/>
          <w:footerReference w:type="first" r:id="rId26"/>
          <w:pgSz w:w="11906" w:h="16838" w:code="9"/>
          <w:pgMar w:top="3646" w:right="3101" w:bottom="1134" w:left="1134" w:header="709" w:footer="119" w:gutter="0"/>
          <w:cols w:space="708"/>
          <w:titlePg/>
          <w:docGrid w:linePitch="360"/>
        </w:sectPr>
      </w:pPr>
    </w:p>
    <w:p w14:paraId="171E5F7A" w14:textId="72D70110" w:rsidR="009D6C71" w:rsidRPr="009174F3" w:rsidRDefault="009D6C71" w:rsidP="009174F3">
      <w:pPr>
        <w:pStyle w:val="ACMAExecSummaryHeading"/>
      </w:pPr>
      <w:bookmarkStart w:id="0" w:name="_Toc14266313"/>
      <w:r w:rsidRPr="009174F3">
        <w:lastRenderedPageBreak/>
        <w:t>Executive summary</w:t>
      </w:r>
      <w:bookmarkEnd w:id="0"/>
    </w:p>
    <w:p w14:paraId="37101BFB" w14:textId="24A49C73" w:rsidR="00680907" w:rsidRDefault="00680907" w:rsidP="00680907">
      <w:r>
        <w:rPr>
          <w:rFonts w:cs="Arial"/>
        </w:rPr>
        <w:t>T</w:t>
      </w:r>
      <w:r>
        <w:t xml:space="preserve">he </w:t>
      </w:r>
      <w:r w:rsidRPr="00680907">
        <w:t xml:space="preserve">1980–2010 </w:t>
      </w:r>
      <w:r w:rsidR="00DB2C19">
        <w:t xml:space="preserve">MHz </w:t>
      </w:r>
      <w:r w:rsidRPr="00680907">
        <w:t>and 2170–2200 MHz</w:t>
      </w:r>
      <w:r w:rsidR="006D6F9D">
        <w:t xml:space="preserve"> bands</w:t>
      </w:r>
      <w:r w:rsidRPr="00680907">
        <w:t xml:space="preserve"> </w:t>
      </w:r>
      <w:r>
        <w:t xml:space="preserve">(referred to collectively in this paper as the 2 GHz band) are currently included in the </w:t>
      </w:r>
      <w:r w:rsidR="00CF674F">
        <w:t>‘</w:t>
      </w:r>
      <w:r w:rsidRPr="006D5F90">
        <w:rPr>
          <w:iCs/>
        </w:rPr>
        <w:t>initial investigation</w:t>
      </w:r>
      <w:r>
        <w:t xml:space="preserve"> stage</w:t>
      </w:r>
      <w:r w:rsidR="00CF674F">
        <w:t>’</w:t>
      </w:r>
      <w:r>
        <w:t xml:space="preserve"> of the ACMA’s work program for major band replanning activities, as outlined in the </w:t>
      </w:r>
      <w:hyperlink r:id="rId27" w:history="1">
        <w:r w:rsidR="003F2390" w:rsidRPr="00515518">
          <w:rPr>
            <w:rStyle w:val="Hyperlink"/>
          </w:rPr>
          <w:t xml:space="preserve">Draft </w:t>
        </w:r>
        <w:r w:rsidR="00CF674F">
          <w:rPr>
            <w:rStyle w:val="Hyperlink"/>
          </w:rPr>
          <w:t>f</w:t>
        </w:r>
        <w:r w:rsidRPr="00515518">
          <w:rPr>
            <w:rStyle w:val="Hyperlink"/>
          </w:rPr>
          <w:t>ive-</w:t>
        </w:r>
        <w:r w:rsidR="00CF674F">
          <w:rPr>
            <w:rStyle w:val="Hyperlink"/>
          </w:rPr>
          <w:t>y</w:t>
        </w:r>
        <w:r w:rsidRPr="00515518">
          <w:rPr>
            <w:rStyle w:val="Hyperlink"/>
          </w:rPr>
          <w:t xml:space="preserve">ear </w:t>
        </w:r>
        <w:r w:rsidR="00CF674F">
          <w:rPr>
            <w:rStyle w:val="Hyperlink"/>
          </w:rPr>
          <w:t>s</w:t>
        </w:r>
        <w:r w:rsidRPr="00515518">
          <w:rPr>
            <w:rStyle w:val="Hyperlink"/>
          </w:rPr>
          <w:t xml:space="preserve">pectrum </w:t>
        </w:r>
        <w:r w:rsidR="00CF674F">
          <w:rPr>
            <w:rStyle w:val="Hyperlink"/>
          </w:rPr>
          <w:t>o</w:t>
        </w:r>
        <w:r w:rsidRPr="00515518">
          <w:rPr>
            <w:rStyle w:val="Hyperlink"/>
          </w:rPr>
          <w:t>utloo</w:t>
        </w:r>
        <w:r w:rsidR="0058055D" w:rsidRPr="00515518">
          <w:rPr>
            <w:rStyle w:val="Hyperlink"/>
          </w:rPr>
          <w:t>k 201</w:t>
        </w:r>
        <w:r w:rsidR="003F2390" w:rsidRPr="00515518">
          <w:rPr>
            <w:rStyle w:val="Hyperlink"/>
          </w:rPr>
          <w:t>9</w:t>
        </w:r>
        <w:r w:rsidR="00CF674F">
          <w:rPr>
            <w:rStyle w:val="Hyperlink"/>
          </w:rPr>
          <w:t>–</w:t>
        </w:r>
        <w:r w:rsidR="003F2390" w:rsidRPr="00515518">
          <w:rPr>
            <w:rStyle w:val="Hyperlink"/>
          </w:rPr>
          <w:t>23</w:t>
        </w:r>
      </w:hyperlink>
      <w:r>
        <w:t xml:space="preserve">.  </w:t>
      </w:r>
    </w:p>
    <w:p w14:paraId="1D9C55A8" w14:textId="5A12BE9E" w:rsidR="00B4246C" w:rsidRDefault="00680907" w:rsidP="00680907">
      <w:r>
        <w:t xml:space="preserve">The 2 GHz band is currently used for television outside broadcast </w:t>
      </w:r>
      <w:r w:rsidR="0058055D">
        <w:t xml:space="preserve">(TOB) </w:t>
      </w:r>
      <w:r>
        <w:t>services</w:t>
      </w:r>
      <w:r w:rsidR="006A5704">
        <w:t xml:space="preserve"> on a shared and non-exclusive basis </w:t>
      </w:r>
      <w:r w:rsidR="007258E7">
        <w:t>for short</w:t>
      </w:r>
      <w:r w:rsidR="00CF674F">
        <w:t>-</w:t>
      </w:r>
      <w:r w:rsidR="007258E7">
        <w:t xml:space="preserve">term applications such as covering special events. </w:t>
      </w:r>
    </w:p>
    <w:p w14:paraId="5380F74B" w14:textId="5F1F58A1" w:rsidR="00680907" w:rsidRDefault="00680907" w:rsidP="00F978FC">
      <w:pPr>
        <w:spacing w:after="80"/>
      </w:pPr>
      <w:r>
        <w:t xml:space="preserve">TOB </w:t>
      </w:r>
      <w:r w:rsidR="00F45DBB">
        <w:t xml:space="preserve">was introduced </w:t>
      </w:r>
      <w:r>
        <w:t xml:space="preserve">in </w:t>
      </w:r>
      <w:r w:rsidR="00DD75AF">
        <w:t>the 2</w:t>
      </w:r>
      <w:r w:rsidR="00147ED1">
        <w:t> </w:t>
      </w:r>
      <w:r w:rsidR="00DD75AF">
        <w:t>GHz band</w:t>
      </w:r>
      <w:r>
        <w:t xml:space="preserve"> in 2012 </w:t>
      </w:r>
      <w:r w:rsidR="00F45DBB">
        <w:t xml:space="preserve">on an </w:t>
      </w:r>
      <w:r w:rsidR="00BE1C12">
        <w:t>interim</w:t>
      </w:r>
      <w:r w:rsidR="00F45DBB">
        <w:t xml:space="preserve"> basis</w:t>
      </w:r>
      <w:r w:rsidR="00BE1C12">
        <w:t xml:space="preserve"> while the future use of the band is under review. </w:t>
      </w:r>
      <w:r w:rsidR="0058055D">
        <w:t xml:space="preserve">In recent times, there has been increasing interest in the use of the 2 GHz band for </w:t>
      </w:r>
      <w:r w:rsidR="00D33A51">
        <w:t>a range of services and applications, including</w:t>
      </w:r>
      <w:r w:rsidR="004C76BA">
        <w:t>:</w:t>
      </w:r>
      <w:r w:rsidR="0058055D">
        <w:t xml:space="preserve"> </w:t>
      </w:r>
    </w:p>
    <w:p w14:paraId="4A2C82F3" w14:textId="1C27A13F" w:rsidR="00993B86" w:rsidRDefault="00993B86" w:rsidP="00D33A51">
      <w:pPr>
        <w:pStyle w:val="ListBullet"/>
        <w:numPr>
          <w:ilvl w:val="0"/>
          <w:numId w:val="12"/>
        </w:numPr>
        <w:rPr>
          <w:rFonts w:cs="Arial"/>
        </w:rPr>
      </w:pPr>
      <w:r>
        <w:rPr>
          <w:rFonts w:cs="Arial"/>
        </w:rPr>
        <w:t>Long</w:t>
      </w:r>
      <w:r w:rsidR="00CF674F">
        <w:rPr>
          <w:rFonts w:cs="Arial"/>
        </w:rPr>
        <w:t>-</w:t>
      </w:r>
      <w:r>
        <w:rPr>
          <w:rFonts w:cs="Arial"/>
        </w:rPr>
        <w:t>term usage by TOB services</w:t>
      </w:r>
    </w:p>
    <w:p w14:paraId="375495C4" w14:textId="75E8780A" w:rsidR="00D33A51" w:rsidRDefault="00D33A51" w:rsidP="00D33A51">
      <w:pPr>
        <w:pStyle w:val="ListBullet"/>
        <w:numPr>
          <w:ilvl w:val="0"/>
          <w:numId w:val="12"/>
        </w:numPr>
        <w:rPr>
          <w:rFonts w:cs="Arial"/>
        </w:rPr>
      </w:pPr>
      <w:r>
        <w:rPr>
          <w:rFonts w:cs="Arial"/>
        </w:rPr>
        <w:t xml:space="preserve">Mobile-satellite </w:t>
      </w:r>
      <w:r w:rsidRPr="0091493B">
        <w:t>services</w:t>
      </w:r>
      <w:r>
        <w:t xml:space="preserve"> </w:t>
      </w:r>
      <w:r>
        <w:rPr>
          <w:rFonts w:cs="Arial"/>
        </w:rPr>
        <w:t>(</w:t>
      </w:r>
      <w:r w:rsidRPr="0091493B">
        <w:t>with</w:t>
      </w:r>
      <w:r>
        <w:rPr>
          <w:rFonts w:cs="Arial"/>
        </w:rPr>
        <w:t xml:space="preserve"> or without Ancillary Terrestrial Component/Complementary Ground Component)</w:t>
      </w:r>
    </w:p>
    <w:p w14:paraId="43025E8A" w14:textId="0F973FCA" w:rsidR="00D33A51" w:rsidRDefault="00D33A51" w:rsidP="00D33A51">
      <w:pPr>
        <w:pStyle w:val="ListBullet"/>
        <w:numPr>
          <w:ilvl w:val="0"/>
          <w:numId w:val="12"/>
        </w:numPr>
        <w:rPr>
          <w:rFonts w:cs="Arial"/>
        </w:rPr>
      </w:pPr>
      <w:r>
        <w:rPr>
          <w:rFonts w:cs="Arial"/>
        </w:rPr>
        <w:t xml:space="preserve">Mobile broadband services </w:t>
      </w:r>
    </w:p>
    <w:p w14:paraId="0BB31725" w14:textId="195A7C7F" w:rsidR="00D33A51" w:rsidRDefault="006A5704" w:rsidP="006D5F90">
      <w:pPr>
        <w:pStyle w:val="ListBulletLast"/>
      </w:pPr>
      <w:r>
        <w:t xml:space="preserve">Passenger aircraft </w:t>
      </w:r>
      <w:r w:rsidRPr="00A94AA7">
        <w:t xml:space="preserve">Direct-Air-to-Ground </w:t>
      </w:r>
      <w:r w:rsidRPr="00CF674F">
        <w:t>Communications</w:t>
      </w:r>
      <w:r w:rsidRPr="00A94AA7">
        <w:t xml:space="preserve"> </w:t>
      </w:r>
      <w:r>
        <w:t>(DA2GC) links</w:t>
      </w:r>
      <w:r w:rsidR="00CF674F">
        <w:t>.</w:t>
      </w:r>
    </w:p>
    <w:p w14:paraId="4FC1634C" w14:textId="1A39FB7E" w:rsidR="00D33A51" w:rsidRDefault="00D33A51" w:rsidP="00D33A51">
      <w:r>
        <w:t>This paper</w:t>
      </w:r>
      <w:r w:rsidR="00CF04D1">
        <w:t xml:space="preserve"> commences discussion </w:t>
      </w:r>
      <w:r w:rsidR="00732B7E">
        <w:t>of</w:t>
      </w:r>
      <w:r w:rsidR="00CF04D1">
        <w:t xml:space="preserve"> the</w:t>
      </w:r>
      <w:r>
        <w:t xml:space="preserve"> existing and </w:t>
      </w:r>
      <w:r w:rsidRPr="00AB33D6">
        <w:t>possible future uses for the 2 GHz band and associated spectrum</w:t>
      </w:r>
      <w:r w:rsidRPr="00C20A3E">
        <w:t xml:space="preserve"> needs.</w:t>
      </w:r>
      <w:r>
        <w:t xml:space="preserve"> The paper does not contain any detailed replanning options</w:t>
      </w:r>
      <w:r w:rsidR="00DB2C19">
        <w:t>,</w:t>
      </w:r>
      <w:r>
        <w:t xml:space="preserve"> Authority ‘preliminary views’</w:t>
      </w:r>
      <w:r w:rsidR="00DB2C19">
        <w:t xml:space="preserve"> or propose any </w:t>
      </w:r>
      <w:r>
        <w:t>regulatory changes.</w:t>
      </w:r>
      <w:r w:rsidR="00731434">
        <w:t xml:space="preserve"> However, </w:t>
      </w:r>
      <w:r w:rsidR="00731434">
        <w:rPr>
          <w:rFonts w:cs="Arial"/>
        </w:rPr>
        <w:t>t</w:t>
      </w:r>
      <w:r w:rsidR="00731434" w:rsidRPr="00185D3F">
        <w:rPr>
          <w:rFonts w:cs="Arial"/>
        </w:rPr>
        <w:t>o aid discussion, a number of possible planning scenarios for the band are presented</w:t>
      </w:r>
      <w:r w:rsidR="00CF674F">
        <w:rPr>
          <w:rFonts w:cs="Arial"/>
        </w:rPr>
        <w:t xml:space="preserve">. </w:t>
      </w:r>
    </w:p>
    <w:p w14:paraId="490B46CE" w14:textId="52340F96" w:rsidR="00D33A51" w:rsidRDefault="00D33A51" w:rsidP="00D33A51">
      <w:pPr>
        <w:rPr>
          <w:rFonts w:cs="Arial"/>
        </w:rPr>
      </w:pPr>
      <w:r>
        <w:t>Submissions in response to this discussion paper will help</w:t>
      </w:r>
      <w:r w:rsidR="00CF04D1">
        <w:t xml:space="preserve"> inform the ACMA’s assessment of planning </w:t>
      </w:r>
      <w:r>
        <w:t xml:space="preserve">arrangements in the 2 GHz band, including whether to progress the band to the </w:t>
      </w:r>
      <w:r w:rsidR="00CF674F">
        <w:t>‘</w:t>
      </w:r>
      <w:r w:rsidRPr="006D5F90">
        <w:rPr>
          <w:iCs/>
        </w:rPr>
        <w:t>preliminary replanning</w:t>
      </w:r>
      <w:r w:rsidR="00CF674F">
        <w:rPr>
          <w:iCs/>
        </w:rPr>
        <w:t>’</w:t>
      </w:r>
      <w:r>
        <w:t xml:space="preserve"> stage of the ACMA</w:t>
      </w:r>
      <w:r w:rsidR="00DB2C19">
        <w:t>’s</w:t>
      </w:r>
      <w:r>
        <w:t xml:space="preserve"> replanning processes. </w:t>
      </w:r>
      <w:r w:rsidR="00732B7E">
        <w:t>If that occurs</w:t>
      </w:r>
      <w:r>
        <w:t xml:space="preserve">, additional consultation with interested parties will occur before any regulatory decisions are made on planning </w:t>
      </w:r>
      <w:r w:rsidR="008A110A">
        <w:t>and</w:t>
      </w:r>
      <w:r>
        <w:t xml:space="preserve"> licensing arrangements in the band. </w:t>
      </w:r>
    </w:p>
    <w:p w14:paraId="03419235" w14:textId="6B9DE987" w:rsidR="00715722" w:rsidRPr="0058055D" w:rsidRDefault="0058055D" w:rsidP="00715722">
      <w:r>
        <w:t xml:space="preserve"> </w:t>
      </w:r>
    </w:p>
    <w:p w14:paraId="0592A84A" w14:textId="77777777" w:rsidR="00715722" w:rsidRDefault="00715722" w:rsidP="00715722">
      <w:pPr>
        <w:pStyle w:val="Heading1"/>
      </w:pPr>
      <w:bookmarkStart w:id="1" w:name="_Toc433122125"/>
      <w:bookmarkStart w:id="2" w:name="_Toc14266314"/>
      <w:r>
        <w:lastRenderedPageBreak/>
        <w:t>Issue</w:t>
      </w:r>
      <w:r w:rsidRPr="003424C2">
        <w:t>s</w:t>
      </w:r>
      <w:r>
        <w:t xml:space="preserve"> for comment</w:t>
      </w:r>
      <w:bookmarkEnd w:id="1"/>
      <w:bookmarkEnd w:id="2"/>
    </w:p>
    <w:p w14:paraId="3F2258AE" w14:textId="391BEB93" w:rsidR="007437A9" w:rsidRDefault="007437A9" w:rsidP="00F978FC">
      <w:pPr>
        <w:spacing w:after="80"/>
      </w:pPr>
      <w:r>
        <w:t xml:space="preserve">Based on the current domestic and international considerations, and taking into account the planning scenarios and the questions the different scenarios raise, the ACMA </w:t>
      </w:r>
      <w:r w:rsidR="00CF04D1">
        <w:t xml:space="preserve">invites </w:t>
      </w:r>
      <w:r>
        <w:t>comment on the scenarios and on the following question</w:t>
      </w:r>
      <w:r w:rsidR="00C42FFC">
        <w:t>s</w:t>
      </w:r>
      <w:r>
        <w:t xml:space="preserve">: </w:t>
      </w:r>
    </w:p>
    <w:p w14:paraId="672DA49A" w14:textId="77777777" w:rsidR="006D5F90" w:rsidRPr="002E1365" w:rsidRDefault="006D5F90" w:rsidP="006D5F90">
      <w:pPr>
        <w:pStyle w:val="ListNumber"/>
        <w:numPr>
          <w:ilvl w:val="0"/>
          <w:numId w:val="27"/>
        </w:numPr>
        <w:rPr>
          <w:rFonts w:cs="Arial"/>
        </w:rPr>
      </w:pPr>
      <w:r w:rsidRPr="002E1365">
        <w:rPr>
          <w:rFonts w:cs="Arial"/>
        </w:rPr>
        <w:t>What TOB services use the 2 GHz band under current arrangements? Is demand for TOB in this band growing or decreasing?</w:t>
      </w:r>
    </w:p>
    <w:p w14:paraId="42613BD8" w14:textId="77777777" w:rsidR="00732B7E" w:rsidRDefault="007437A9" w:rsidP="007437A9">
      <w:pPr>
        <w:pStyle w:val="ListNumber"/>
        <w:numPr>
          <w:ilvl w:val="0"/>
          <w:numId w:val="27"/>
        </w:numPr>
        <w:rPr>
          <w:rFonts w:cs="Arial"/>
        </w:rPr>
      </w:pPr>
      <w:r>
        <w:rPr>
          <w:rFonts w:cs="Arial"/>
        </w:rPr>
        <w:t xml:space="preserve">What interest do </w:t>
      </w:r>
      <w:r w:rsidR="00CF04D1">
        <w:rPr>
          <w:rFonts w:cs="Arial"/>
        </w:rPr>
        <w:t xml:space="preserve">you </w:t>
      </w:r>
      <w:r>
        <w:rPr>
          <w:rFonts w:cs="Arial"/>
        </w:rPr>
        <w:t xml:space="preserve">have in making further use of the 2 GHz band? </w:t>
      </w:r>
    </w:p>
    <w:p w14:paraId="23B0D65E" w14:textId="0B9D106A" w:rsidR="007437A9" w:rsidRDefault="007437A9" w:rsidP="007437A9">
      <w:pPr>
        <w:pStyle w:val="ListNumber"/>
        <w:numPr>
          <w:ilvl w:val="0"/>
          <w:numId w:val="27"/>
        </w:numPr>
        <w:rPr>
          <w:rFonts w:cs="Arial"/>
        </w:rPr>
      </w:pPr>
      <w:r>
        <w:rPr>
          <w:rFonts w:cs="Arial"/>
        </w:rPr>
        <w:t xml:space="preserve">Given the points raised in </w:t>
      </w:r>
      <w:r w:rsidR="00732B7E">
        <w:rPr>
          <w:rFonts w:cs="Arial"/>
        </w:rPr>
        <w:t>this</w:t>
      </w:r>
      <w:r>
        <w:rPr>
          <w:rFonts w:cs="Arial"/>
        </w:rPr>
        <w:t xml:space="preserve"> discussion paper:</w:t>
      </w:r>
    </w:p>
    <w:p w14:paraId="521C8EBE" w14:textId="77777777" w:rsidR="007437A9" w:rsidRDefault="007437A9" w:rsidP="007437A9">
      <w:pPr>
        <w:pStyle w:val="ListNumber"/>
        <w:numPr>
          <w:ilvl w:val="1"/>
          <w:numId w:val="27"/>
        </w:numPr>
        <w:rPr>
          <w:rFonts w:cs="Arial"/>
        </w:rPr>
      </w:pPr>
      <w:r>
        <w:rPr>
          <w:rFonts w:cs="Arial"/>
        </w:rPr>
        <w:t>How much spectrum is required to provide the service?</w:t>
      </w:r>
    </w:p>
    <w:p w14:paraId="2C9CEA83" w14:textId="04E58EF1" w:rsidR="007437A9" w:rsidRDefault="007437A9" w:rsidP="007437A9">
      <w:pPr>
        <w:pStyle w:val="ListNumber"/>
        <w:numPr>
          <w:ilvl w:val="1"/>
          <w:numId w:val="27"/>
        </w:numPr>
        <w:rPr>
          <w:rFonts w:cs="Arial"/>
        </w:rPr>
      </w:pPr>
      <w:r>
        <w:rPr>
          <w:rFonts w:cs="Arial"/>
        </w:rPr>
        <w:t>Is there a clear geographical delineation—for example, metropolitan or regional</w:t>
      </w:r>
      <w:r w:rsidR="005035C3">
        <w:rPr>
          <w:rFonts w:cs="Arial"/>
        </w:rPr>
        <w:t>—</w:t>
      </w:r>
      <w:r>
        <w:rPr>
          <w:rFonts w:cs="Arial"/>
        </w:rPr>
        <w:t>for the service?</w:t>
      </w:r>
    </w:p>
    <w:p w14:paraId="1ADD751D" w14:textId="62ECDFC8" w:rsidR="007437A9" w:rsidRDefault="007437A9" w:rsidP="007437A9">
      <w:pPr>
        <w:pStyle w:val="ListNumber"/>
        <w:numPr>
          <w:ilvl w:val="1"/>
          <w:numId w:val="27"/>
        </w:numPr>
        <w:rPr>
          <w:rFonts w:cs="Arial"/>
        </w:rPr>
      </w:pPr>
      <w:r>
        <w:rPr>
          <w:rFonts w:cs="Arial"/>
        </w:rPr>
        <w:t>Is there</w:t>
      </w:r>
      <w:r w:rsidR="00732B7E">
        <w:rPr>
          <w:rFonts w:cs="Arial"/>
        </w:rPr>
        <w:t>,</w:t>
      </w:r>
      <w:r>
        <w:rPr>
          <w:rFonts w:cs="Arial"/>
        </w:rPr>
        <w:t xml:space="preserve"> or will there be</w:t>
      </w:r>
      <w:r w:rsidR="00732B7E">
        <w:rPr>
          <w:rFonts w:cs="Arial"/>
        </w:rPr>
        <w:t>,</w:t>
      </w:r>
      <w:r>
        <w:rPr>
          <w:rFonts w:cs="Arial"/>
        </w:rPr>
        <w:t xml:space="preserve"> readily available equipment for the service?</w:t>
      </w:r>
    </w:p>
    <w:p w14:paraId="3CE2A4FD" w14:textId="77777777" w:rsidR="007437A9" w:rsidRDefault="007437A9" w:rsidP="007437A9">
      <w:pPr>
        <w:pStyle w:val="ListNumber"/>
        <w:numPr>
          <w:ilvl w:val="0"/>
          <w:numId w:val="0"/>
        </w:numPr>
        <w:ind w:left="360" w:hanging="360"/>
        <w:rPr>
          <w:rFonts w:cs="Arial"/>
        </w:rPr>
      </w:pPr>
    </w:p>
    <w:p w14:paraId="51570801" w14:textId="5678E42F" w:rsidR="00680907" w:rsidRDefault="00680907" w:rsidP="00680907">
      <w:pPr>
        <w:pStyle w:val="Heading1"/>
      </w:pPr>
      <w:bookmarkStart w:id="3" w:name="_Toc464480496"/>
      <w:bookmarkStart w:id="4" w:name="_Toc459906702"/>
      <w:bookmarkStart w:id="5" w:name="_Toc14266315"/>
      <w:r>
        <w:lastRenderedPageBreak/>
        <w:t>Introduction</w:t>
      </w:r>
      <w:bookmarkEnd w:id="3"/>
      <w:bookmarkEnd w:id="4"/>
      <w:bookmarkEnd w:id="5"/>
      <w:r>
        <w:t xml:space="preserve"> </w:t>
      </w:r>
    </w:p>
    <w:p w14:paraId="1F47C4E7" w14:textId="77777777" w:rsidR="006D6F9D" w:rsidRDefault="006D6F9D" w:rsidP="006D6F9D">
      <w:pPr>
        <w:pStyle w:val="Heading2"/>
      </w:pPr>
      <w:bookmarkStart w:id="6" w:name="_Toc14266316"/>
      <w:r>
        <w:t>Purpose</w:t>
      </w:r>
      <w:bookmarkEnd w:id="6"/>
    </w:p>
    <w:p w14:paraId="0BF6936A" w14:textId="049CE798" w:rsidR="0058055D" w:rsidRDefault="0058055D" w:rsidP="0058055D">
      <w:r>
        <w:rPr>
          <w:rFonts w:cs="Arial"/>
        </w:rPr>
        <w:t xml:space="preserve">In </w:t>
      </w:r>
      <w:r w:rsidR="000F4DCC">
        <w:t xml:space="preserve">the </w:t>
      </w:r>
      <w:hyperlink r:id="rId28" w:history="1">
        <w:r w:rsidR="000F4DCC" w:rsidRPr="00515518">
          <w:rPr>
            <w:rStyle w:val="Hyperlink"/>
          </w:rPr>
          <w:t xml:space="preserve">Draft </w:t>
        </w:r>
        <w:r w:rsidR="005035C3">
          <w:rPr>
            <w:rStyle w:val="Hyperlink"/>
          </w:rPr>
          <w:t>f</w:t>
        </w:r>
        <w:r w:rsidR="000F4DCC" w:rsidRPr="00515518">
          <w:rPr>
            <w:rStyle w:val="Hyperlink"/>
          </w:rPr>
          <w:t>ive-</w:t>
        </w:r>
        <w:r w:rsidR="005035C3">
          <w:rPr>
            <w:rStyle w:val="Hyperlink"/>
          </w:rPr>
          <w:t>y</w:t>
        </w:r>
        <w:r w:rsidR="000F4DCC" w:rsidRPr="00515518">
          <w:rPr>
            <w:rStyle w:val="Hyperlink"/>
          </w:rPr>
          <w:t xml:space="preserve">ear </w:t>
        </w:r>
        <w:r w:rsidR="005035C3">
          <w:rPr>
            <w:rStyle w:val="Hyperlink"/>
          </w:rPr>
          <w:t>s</w:t>
        </w:r>
        <w:r w:rsidR="000F4DCC" w:rsidRPr="00515518">
          <w:rPr>
            <w:rStyle w:val="Hyperlink"/>
          </w:rPr>
          <w:t xml:space="preserve">pectrum </w:t>
        </w:r>
        <w:r w:rsidR="005035C3">
          <w:rPr>
            <w:rStyle w:val="Hyperlink"/>
          </w:rPr>
          <w:t>o</w:t>
        </w:r>
        <w:r w:rsidR="000F4DCC" w:rsidRPr="00515518">
          <w:rPr>
            <w:rStyle w:val="Hyperlink"/>
          </w:rPr>
          <w:t>utlook 2019</w:t>
        </w:r>
        <w:r w:rsidR="005035C3">
          <w:rPr>
            <w:rStyle w:val="Hyperlink"/>
          </w:rPr>
          <w:t>–</w:t>
        </w:r>
        <w:r w:rsidR="000F4DCC" w:rsidRPr="00515518">
          <w:rPr>
            <w:rStyle w:val="Hyperlink"/>
          </w:rPr>
          <w:t>23</w:t>
        </w:r>
      </w:hyperlink>
      <w:r>
        <w:rPr>
          <w:rFonts w:cs="Arial"/>
        </w:rPr>
        <w:t>, the ACMA</w:t>
      </w:r>
      <w:r w:rsidR="00502EA2">
        <w:rPr>
          <w:rFonts w:cs="Arial"/>
        </w:rPr>
        <w:t xml:space="preserve"> identified the 2</w:t>
      </w:r>
      <w:r w:rsidR="009B770E">
        <w:rPr>
          <w:rFonts w:cs="Arial"/>
        </w:rPr>
        <w:t xml:space="preserve"> </w:t>
      </w:r>
      <w:r w:rsidR="00502EA2">
        <w:rPr>
          <w:rFonts w:cs="Arial"/>
        </w:rPr>
        <w:t>G</w:t>
      </w:r>
      <w:r w:rsidR="009B770E">
        <w:rPr>
          <w:rFonts w:cs="Arial"/>
        </w:rPr>
        <w:t>H</w:t>
      </w:r>
      <w:r w:rsidR="00502EA2">
        <w:rPr>
          <w:rFonts w:cs="Arial"/>
        </w:rPr>
        <w:t>z band for initial investigation in its work program.</w:t>
      </w:r>
      <w:r w:rsidR="002E503A">
        <w:t xml:space="preserve"> </w:t>
      </w:r>
    </w:p>
    <w:p w14:paraId="2E4ED7DB" w14:textId="44BC2A89" w:rsidR="006D6F9D" w:rsidRPr="00F86974" w:rsidRDefault="006D6F9D" w:rsidP="00F86974">
      <w:bookmarkStart w:id="7" w:name="_Toc464480497"/>
      <w:bookmarkStart w:id="8" w:name="_Toc459906703"/>
      <w:r w:rsidRPr="006D6F9D">
        <w:t>This paper identifies</w:t>
      </w:r>
      <w:r w:rsidR="00DB2C19">
        <w:t xml:space="preserve"> the</w:t>
      </w:r>
      <w:r w:rsidRPr="006D6F9D">
        <w:t xml:space="preserve"> current use</w:t>
      </w:r>
      <w:r w:rsidR="00DB2C19">
        <w:t>s of,</w:t>
      </w:r>
      <w:r w:rsidRPr="006D6F9D">
        <w:t xml:space="preserve"> and interest in the band domestically</w:t>
      </w:r>
      <w:r w:rsidR="00B137EA">
        <w:t>,</w:t>
      </w:r>
      <w:r w:rsidRPr="006D6F9D">
        <w:t xml:space="preserve"> and emerging international trends. The aim is to start the conversation on what, if any, changes to arrangements in the band are necessary to ensure </w:t>
      </w:r>
      <w:r w:rsidR="00B137EA">
        <w:t xml:space="preserve">maximum </w:t>
      </w:r>
      <w:r w:rsidRPr="006D6F9D">
        <w:t>public benefit</w:t>
      </w:r>
      <w:r w:rsidR="00B137EA">
        <w:t xml:space="preserve"> </w:t>
      </w:r>
      <w:r w:rsidR="00F978FC">
        <w:t xml:space="preserve">is </w:t>
      </w:r>
      <w:r w:rsidR="006D5F90">
        <w:t xml:space="preserve">derived </w:t>
      </w:r>
      <w:r w:rsidR="00B137EA">
        <w:t>from its use</w:t>
      </w:r>
      <w:r w:rsidRPr="006D6F9D">
        <w:t>.</w:t>
      </w:r>
    </w:p>
    <w:p w14:paraId="3D824823" w14:textId="0FFB1484" w:rsidR="00680907" w:rsidRDefault="006D6F9D" w:rsidP="00680907">
      <w:pPr>
        <w:pStyle w:val="Heading2"/>
      </w:pPr>
      <w:bookmarkStart w:id="9" w:name="_Toc14266317"/>
      <w:r>
        <w:t>Scope</w:t>
      </w:r>
      <w:bookmarkEnd w:id="7"/>
      <w:bookmarkEnd w:id="8"/>
      <w:bookmarkEnd w:id="9"/>
      <w:r w:rsidR="00680907">
        <w:t xml:space="preserve"> </w:t>
      </w:r>
    </w:p>
    <w:p w14:paraId="6DBC32E8" w14:textId="69B80458" w:rsidR="00506CEC" w:rsidRDefault="006D6F9D" w:rsidP="00506CEC">
      <w:r>
        <w:t xml:space="preserve">The scope of this paper is limited to the </w:t>
      </w:r>
      <w:r w:rsidRPr="00680907">
        <w:t xml:space="preserve">1980–2010 </w:t>
      </w:r>
      <w:r w:rsidR="00DB2C19">
        <w:t xml:space="preserve">MHz </w:t>
      </w:r>
      <w:r w:rsidRPr="00680907">
        <w:t>and 2170–2200 MHz</w:t>
      </w:r>
      <w:r>
        <w:t xml:space="preserve"> bands. </w:t>
      </w:r>
      <w:r w:rsidR="00426FC7">
        <w:t>A</w:t>
      </w:r>
      <w:r w:rsidR="001401AA">
        <w:t xml:space="preserve">djacent band </w:t>
      </w:r>
      <w:r w:rsidR="00506CEC">
        <w:t>arrangements are outside the scope of this review</w:t>
      </w:r>
      <w:r w:rsidR="00AE7463">
        <w:t xml:space="preserve">, though band edge coexistence </w:t>
      </w:r>
      <w:r w:rsidR="00180D55">
        <w:t xml:space="preserve">may </w:t>
      </w:r>
      <w:r w:rsidR="00AE7463">
        <w:t xml:space="preserve">be </w:t>
      </w:r>
      <w:r w:rsidR="00636C06">
        <w:t>considered</w:t>
      </w:r>
      <w:r w:rsidR="00180D55">
        <w:t xml:space="preserve"> in the future</w:t>
      </w:r>
      <w:r w:rsidR="00506CEC">
        <w:t xml:space="preserve">. </w:t>
      </w:r>
    </w:p>
    <w:p w14:paraId="339F9F87" w14:textId="7C3BA4EC" w:rsidR="006D6F9D" w:rsidRDefault="006D6F9D" w:rsidP="006D6F9D">
      <w:r>
        <w:t xml:space="preserve">The paper canvasses a range of issues for </w:t>
      </w:r>
      <w:r w:rsidR="00130B11">
        <w:t xml:space="preserve">the </w:t>
      </w:r>
      <w:r>
        <w:t xml:space="preserve">future use of the 2 GHz band. No </w:t>
      </w:r>
      <w:r w:rsidR="00841227">
        <w:t xml:space="preserve">specific </w:t>
      </w:r>
      <w:r>
        <w:t xml:space="preserve">planning options are offered or proposed. Depending on the feedback received on this paper, the ACMA may consider that arrangements in the band warrant further consideration. If so, the ACMA will engage </w:t>
      </w:r>
      <w:r w:rsidR="00732B7E">
        <w:t>in further public consultation</w:t>
      </w:r>
      <w:r>
        <w:t xml:space="preserve"> to consult on replanning options before any changes are made to planning and access arrangements in the band.</w:t>
      </w:r>
    </w:p>
    <w:p w14:paraId="295F5849" w14:textId="77777777" w:rsidR="006D6F9D" w:rsidRDefault="006D6F9D" w:rsidP="006D6F9D">
      <w:pPr>
        <w:pStyle w:val="Heading2"/>
      </w:pPr>
      <w:bookmarkStart w:id="10" w:name="_Toc14266318"/>
      <w:r>
        <w:t>History of the 2 GHz band in Australia</w:t>
      </w:r>
      <w:bookmarkEnd w:id="10"/>
    </w:p>
    <w:p w14:paraId="0D23D9F8" w14:textId="044CACF5" w:rsidR="00446596" w:rsidRDefault="00446596" w:rsidP="00446596">
      <w:r>
        <w:t>The 2 GHz band (1980</w:t>
      </w:r>
      <w:r w:rsidR="00B137EA">
        <w:t>–</w:t>
      </w:r>
      <w:r>
        <w:t>2010</w:t>
      </w:r>
      <w:r w:rsidR="00B137EA">
        <w:t xml:space="preserve"> MHz and </w:t>
      </w:r>
      <w:r>
        <w:t>2170</w:t>
      </w:r>
      <w:r w:rsidR="00B137EA">
        <w:t>–</w:t>
      </w:r>
      <w:r>
        <w:t xml:space="preserve">2200 MHz) was originally planned to support fixed point-to-point links as part of </w:t>
      </w:r>
      <w:r w:rsidR="00DB2C19">
        <w:t xml:space="preserve">the </w:t>
      </w:r>
      <w:r>
        <w:t>2.1 GHz (1900</w:t>
      </w:r>
      <w:r w:rsidR="00B137EA">
        <w:t>–</w:t>
      </w:r>
      <w:r>
        <w:t>2300 MHz) band</w:t>
      </w:r>
      <w:r>
        <w:rPr>
          <w:rStyle w:val="FootnoteReference"/>
        </w:rPr>
        <w:footnoteReference w:id="2"/>
      </w:r>
      <w:r>
        <w:t>. In the early 2000s</w:t>
      </w:r>
      <w:r w:rsidR="00B137EA">
        <w:t>,</w:t>
      </w:r>
      <w:r>
        <w:t xml:space="preserve"> fixed links were cleared from the band to support the introduction of mobile satellite services and 2</w:t>
      </w:r>
      <w:r w:rsidR="00130B11">
        <w:t>.1</w:t>
      </w:r>
      <w:r>
        <w:t xml:space="preserve"> GHz spectrum licences. While the majority of fixed point-to-point </w:t>
      </w:r>
      <w:r w:rsidR="002417C2">
        <w:t xml:space="preserve">links </w:t>
      </w:r>
      <w:r>
        <w:t>were cleared</w:t>
      </w:r>
      <w:r w:rsidR="00F144F2">
        <w:t>,</w:t>
      </w:r>
      <w:r>
        <w:t xml:space="preserve"> the envisaged mobile satellite services did not eventuate. </w:t>
      </w:r>
    </w:p>
    <w:p w14:paraId="15E7998E" w14:textId="55E3E717" w:rsidR="00446596" w:rsidRPr="00CC5B71" w:rsidRDefault="00446596" w:rsidP="00446596">
      <w:pPr>
        <w:rPr>
          <w:rFonts w:cs="Arial"/>
          <w:szCs w:val="20"/>
        </w:rPr>
      </w:pPr>
      <w:r w:rsidRPr="00CC5B71">
        <w:rPr>
          <w:rFonts w:cs="Arial"/>
          <w:szCs w:val="20"/>
        </w:rPr>
        <w:t>In October 2010</w:t>
      </w:r>
      <w:r w:rsidR="00A35B0A">
        <w:rPr>
          <w:rFonts w:cs="Arial"/>
          <w:szCs w:val="20"/>
        </w:rPr>
        <w:t>,</w:t>
      </w:r>
      <w:r w:rsidRPr="00CC5B71">
        <w:rPr>
          <w:rFonts w:cs="Arial"/>
          <w:szCs w:val="20"/>
        </w:rPr>
        <w:t xml:space="preserve"> as an outcome of the review of the 2.5 GHz band and long-term arrangements for electronic news gathering, the 2 GHz band was made available for electronic news gathering on an interim basis</w:t>
      </w:r>
      <w:r>
        <w:rPr>
          <w:rStyle w:val="FootnoteReference"/>
          <w:rFonts w:cs="Arial"/>
          <w:szCs w:val="20"/>
        </w:rPr>
        <w:footnoteReference w:id="3"/>
      </w:r>
      <w:r w:rsidRPr="00CC5B71">
        <w:rPr>
          <w:rFonts w:cs="Arial"/>
          <w:szCs w:val="20"/>
        </w:rPr>
        <w:t xml:space="preserve">. Implementation of that </w:t>
      </w:r>
      <w:r w:rsidR="001B7D51">
        <w:rPr>
          <w:rFonts w:cs="Arial"/>
          <w:szCs w:val="20"/>
        </w:rPr>
        <w:t>outcome</w:t>
      </w:r>
      <w:r w:rsidR="001B7D51" w:rsidRPr="00CC5B71">
        <w:rPr>
          <w:rFonts w:cs="Arial"/>
          <w:szCs w:val="20"/>
        </w:rPr>
        <w:t xml:space="preserve"> </w:t>
      </w:r>
      <w:r w:rsidRPr="00CC5B71">
        <w:rPr>
          <w:rFonts w:cs="Arial"/>
          <w:szCs w:val="20"/>
        </w:rPr>
        <w:t>saw:</w:t>
      </w:r>
    </w:p>
    <w:p w14:paraId="70FAA5A3" w14:textId="4C02B0F4" w:rsidR="00446596" w:rsidRPr="00367FDE" w:rsidRDefault="00671275" w:rsidP="006D5F90">
      <w:pPr>
        <w:pStyle w:val="ListBullet"/>
      </w:pPr>
      <w:r>
        <w:t xml:space="preserve">the </w:t>
      </w:r>
      <w:r w:rsidR="00446596" w:rsidRPr="00367FDE">
        <w:t xml:space="preserve">making of the </w:t>
      </w:r>
      <w:hyperlink r:id="rId29" w:history="1">
        <w:r w:rsidR="00446596" w:rsidRPr="00180D55">
          <w:rPr>
            <w:rStyle w:val="Hyperlink"/>
            <w:rFonts w:cs="Arial"/>
            <w:i/>
            <w:iCs/>
            <w:szCs w:val="20"/>
          </w:rPr>
          <w:t xml:space="preserve">Television Outside Broadcast </w:t>
        </w:r>
        <w:r w:rsidR="00B137EA">
          <w:rPr>
            <w:rStyle w:val="Hyperlink"/>
            <w:rFonts w:cs="Arial"/>
            <w:i/>
            <w:iCs/>
            <w:szCs w:val="20"/>
          </w:rPr>
          <w:t xml:space="preserve">Service </w:t>
        </w:r>
        <w:r w:rsidR="00446596" w:rsidRPr="00180D55">
          <w:rPr>
            <w:rStyle w:val="Hyperlink"/>
            <w:rFonts w:cs="Arial"/>
            <w:i/>
            <w:iCs/>
            <w:szCs w:val="20"/>
          </w:rPr>
          <w:t>(1980–2110 MHz and 2170–2300 MHz) Frequency Band Plan 2012</w:t>
        </w:r>
      </w:hyperlink>
      <w:r w:rsidR="000E6549">
        <w:t xml:space="preserve"> (the TOB Band</w:t>
      </w:r>
      <w:r w:rsidR="00010C80">
        <w:t xml:space="preserve"> </w:t>
      </w:r>
      <w:r w:rsidR="000E6549">
        <w:t>Plan)</w:t>
      </w:r>
      <w:r w:rsidR="00010C80">
        <w:t xml:space="preserve"> </w:t>
      </w:r>
    </w:p>
    <w:p w14:paraId="5AB1623D" w14:textId="1B129736" w:rsidR="00446596" w:rsidRPr="00367FDE" w:rsidRDefault="00446596" w:rsidP="006D5F90">
      <w:pPr>
        <w:pStyle w:val="ListBullet"/>
        <w:rPr>
          <w:rStyle w:val="Emphasis"/>
          <w:rFonts w:cs="Arial"/>
          <w:i w:val="0"/>
          <w:szCs w:val="20"/>
        </w:rPr>
      </w:pPr>
      <w:r w:rsidRPr="00367FDE">
        <w:rPr>
          <w:rFonts w:cs="Arial"/>
          <w:szCs w:val="20"/>
        </w:rPr>
        <w:t>development of Radiocommunications Assignment and Licensing Instruction</w:t>
      </w:r>
      <w:r w:rsidR="008F48B9">
        <w:rPr>
          <w:rFonts w:cs="Arial"/>
          <w:szCs w:val="20"/>
        </w:rPr>
        <w:t xml:space="preserve"> (RALI)</w:t>
      </w:r>
      <w:r w:rsidRPr="00367FDE">
        <w:rPr>
          <w:rFonts w:cs="Arial"/>
          <w:szCs w:val="20"/>
        </w:rPr>
        <w:t xml:space="preserve"> </w:t>
      </w:r>
      <w:hyperlink r:id="rId30" w:history="1">
        <w:r w:rsidRPr="00367FDE">
          <w:rPr>
            <w:rStyle w:val="Hyperlink"/>
            <w:rFonts w:cs="Arial"/>
            <w:szCs w:val="20"/>
          </w:rPr>
          <w:t>FX21</w:t>
        </w:r>
      </w:hyperlink>
      <w:r w:rsidRPr="00367FDE">
        <w:rPr>
          <w:rFonts w:cs="Arial"/>
          <w:szCs w:val="20"/>
        </w:rPr>
        <w:t xml:space="preserve"> </w:t>
      </w:r>
      <w:r w:rsidRPr="00367FDE">
        <w:rPr>
          <w:rStyle w:val="Emphasis"/>
          <w:rFonts w:cs="Arial"/>
          <w:szCs w:val="20"/>
        </w:rPr>
        <w:t xml:space="preserve">Television Outside Broadcasting Services in the Bands 1980–2110 MHz and 2170–2300 MHz </w:t>
      </w:r>
    </w:p>
    <w:p w14:paraId="62129A18" w14:textId="302386BB" w:rsidR="00446596" w:rsidRPr="00426457" w:rsidRDefault="00AB168A" w:rsidP="006D5F90">
      <w:pPr>
        <w:pStyle w:val="ListBulletLast"/>
        <w:rPr>
          <w:szCs w:val="20"/>
        </w:rPr>
      </w:pPr>
      <w:r>
        <w:rPr>
          <w:iCs/>
          <w:szCs w:val="20"/>
        </w:rPr>
        <w:t xml:space="preserve">an ACMA </w:t>
      </w:r>
      <w:bookmarkStart w:id="11" w:name="_Hlk14161047"/>
      <w:r>
        <w:rPr>
          <w:iCs/>
          <w:szCs w:val="20"/>
        </w:rPr>
        <w:t>pol</w:t>
      </w:r>
      <w:r w:rsidR="004F5850">
        <w:rPr>
          <w:iCs/>
          <w:szCs w:val="20"/>
        </w:rPr>
        <w:t>icy (as stated in</w:t>
      </w:r>
      <w:r w:rsidR="00446596" w:rsidRPr="00367FDE">
        <w:rPr>
          <w:iCs/>
          <w:szCs w:val="20"/>
        </w:rPr>
        <w:t xml:space="preserve"> </w:t>
      </w:r>
      <w:hyperlink r:id="rId31" w:history="1">
        <w:r w:rsidR="00446596" w:rsidRPr="00426457">
          <w:rPr>
            <w:rStyle w:val="Hyperlink"/>
            <w:szCs w:val="20"/>
          </w:rPr>
          <w:t>spectrum embargo 23</w:t>
        </w:r>
      </w:hyperlink>
      <w:r w:rsidR="004F5850" w:rsidRPr="00180D55">
        <w:t xml:space="preserve">) to </w:t>
      </w:r>
      <w:r w:rsidR="00763F63" w:rsidRPr="00180D55">
        <w:t xml:space="preserve">restrict all services except TOB </w:t>
      </w:r>
      <w:r w:rsidR="004F5850" w:rsidRPr="00180D55">
        <w:t>in the 2 GHz band</w:t>
      </w:r>
      <w:r w:rsidR="004F5850" w:rsidRPr="00884F78">
        <w:rPr>
          <w:szCs w:val="20"/>
        </w:rPr>
        <w:t xml:space="preserve"> </w:t>
      </w:r>
      <w:r w:rsidR="00446596" w:rsidRPr="00884F78">
        <w:rPr>
          <w:szCs w:val="20"/>
        </w:rPr>
        <w:t xml:space="preserve">to </w:t>
      </w:r>
      <w:bookmarkEnd w:id="11"/>
      <w:r w:rsidR="00446596" w:rsidRPr="00180D55">
        <w:rPr>
          <w:szCs w:val="20"/>
        </w:rPr>
        <w:t xml:space="preserve">support the introduction of TOB services and </w:t>
      </w:r>
      <w:r w:rsidR="00446596" w:rsidRPr="00426457">
        <w:rPr>
          <w:szCs w:val="20"/>
        </w:rPr>
        <w:t>to preserve planning options for 1980</w:t>
      </w:r>
      <w:r w:rsidR="00B137EA">
        <w:rPr>
          <w:szCs w:val="20"/>
        </w:rPr>
        <w:t>–</w:t>
      </w:r>
      <w:r w:rsidR="00446596" w:rsidRPr="00426457">
        <w:rPr>
          <w:szCs w:val="20"/>
        </w:rPr>
        <w:t>2010 MHz and 2170</w:t>
      </w:r>
      <w:r w:rsidR="00B137EA">
        <w:rPr>
          <w:szCs w:val="20"/>
        </w:rPr>
        <w:t>–</w:t>
      </w:r>
      <w:r w:rsidR="00446596" w:rsidRPr="00426457">
        <w:rPr>
          <w:szCs w:val="20"/>
        </w:rPr>
        <w:t xml:space="preserve">2200 MHz </w:t>
      </w:r>
      <w:bookmarkStart w:id="12" w:name="_Hlk14161118"/>
      <w:r w:rsidR="00446596" w:rsidRPr="00426457">
        <w:rPr>
          <w:szCs w:val="20"/>
        </w:rPr>
        <w:t>while the future use of the band is under review</w:t>
      </w:r>
      <w:bookmarkEnd w:id="12"/>
      <w:r w:rsidR="00446596" w:rsidRPr="00426457">
        <w:rPr>
          <w:szCs w:val="20"/>
        </w:rPr>
        <w:t>.</w:t>
      </w:r>
    </w:p>
    <w:p w14:paraId="2DC974C0" w14:textId="1CA15FF2" w:rsidR="006D6F9D" w:rsidRDefault="006D6F9D" w:rsidP="006D6F9D">
      <w:pPr>
        <w:pStyle w:val="Heading2"/>
      </w:pPr>
      <w:bookmarkStart w:id="13" w:name="_Toc14266319"/>
      <w:r>
        <w:lastRenderedPageBreak/>
        <w:t>Current national arrangements</w:t>
      </w:r>
      <w:bookmarkEnd w:id="13"/>
    </w:p>
    <w:p w14:paraId="4E068F35" w14:textId="6D3BB7F0" w:rsidR="00794E65" w:rsidRDefault="00342240" w:rsidP="005853EB">
      <w:pPr>
        <w:pStyle w:val="ACMANormalTabbed"/>
      </w:pPr>
      <w:r>
        <w:t xml:space="preserve">The </w:t>
      </w:r>
      <w:hyperlink r:id="rId32" w:history="1">
        <w:r w:rsidRPr="00180D55">
          <w:rPr>
            <w:rStyle w:val="Hyperlink"/>
            <w:i/>
            <w:iCs/>
          </w:rPr>
          <w:t>Australian Radiofrequency Spectrum Plan 2017</w:t>
        </w:r>
      </w:hyperlink>
      <w:r w:rsidRPr="00180D55">
        <w:rPr>
          <w:i/>
          <w:iCs/>
        </w:rPr>
        <w:t xml:space="preserve"> </w:t>
      </w:r>
      <w:r>
        <w:t xml:space="preserve">(the ARSP) </w:t>
      </w:r>
      <w:r w:rsidR="00A022C2">
        <w:t xml:space="preserve">includes allocations in </w:t>
      </w:r>
      <w:r>
        <w:t>the 2 GHz band to the fixed, mobile and mobile-satellite services on a primary basis</w:t>
      </w:r>
      <w:r w:rsidR="000F5660">
        <w:t xml:space="preserve"> as shown in Appendix A</w:t>
      </w:r>
      <w:r>
        <w:t xml:space="preserve">. </w:t>
      </w:r>
      <w:r w:rsidR="006A3B61">
        <w:t xml:space="preserve">Australian allocations are consistent with global allocations in </w:t>
      </w:r>
      <w:r w:rsidR="00DB2C19">
        <w:t xml:space="preserve">the </w:t>
      </w:r>
      <w:r w:rsidR="006A3B61">
        <w:t xml:space="preserve">2 GHz band. </w:t>
      </w:r>
      <w:r w:rsidR="007E39DE">
        <w:t xml:space="preserve">The adjacent bands support a range of fixed, mobile, space research, space operations and earth exploration services. </w:t>
      </w:r>
    </w:p>
    <w:p w14:paraId="7006E078" w14:textId="14A39387" w:rsidR="00800B05" w:rsidRDefault="00800B05" w:rsidP="005853EB">
      <w:pPr>
        <w:pStyle w:val="ACMANormalTabbed"/>
      </w:pPr>
      <w:r>
        <w:t>In Australia,</w:t>
      </w:r>
      <w:r w:rsidR="00DB2C19">
        <w:t xml:space="preserve"> policy</w:t>
      </w:r>
      <w:r>
        <w:t xml:space="preserve"> arrangements are currently in place to support the following uses in various parts of the 2 GHz band: </w:t>
      </w:r>
    </w:p>
    <w:p w14:paraId="34D038A5" w14:textId="086E87EF" w:rsidR="005D6FD9" w:rsidRDefault="005D6FD9" w:rsidP="001A39E7">
      <w:pPr>
        <w:pStyle w:val="ListBullet"/>
      </w:pPr>
      <w:r w:rsidRPr="00800B05">
        <w:t xml:space="preserve">Television </w:t>
      </w:r>
      <w:r>
        <w:t>o</w:t>
      </w:r>
      <w:r w:rsidRPr="00800B05">
        <w:t xml:space="preserve">utside </w:t>
      </w:r>
      <w:r>
        <w:t>b</w:t>
      </w:r>
      <w:r w:rsidRPr="00800B05">
        <w:t xml:space="preserve">roadcast </w:t>
      </w:r>
      <w:r w:rsidRPr="00EA7356">
        <w:t>services</w:t>
      </w:r>
      <w:r w:rsidR="008F48B9">
        <w:t>—</w:t>
      </w:r>
      <w:r w:rsidR="000D18A6">
        <w:t xml:space="preserve">as detailed in </w:t>
      </w:r>
      <w:hyperlink r:id="rId33" w:history="1">
        <w:r w:rsidR="000D18A6" w:rsidRPr="00251233">
          <w:rPr>
            <w:rStyle w:val="Hyperlink"/>
          </w:rPr>
          <w:t>RALI FX21</w:t>
        </w:r>
      </w:hyperlink>
    </w:p>
    <w:p w14:paraId="01524D8B" w14:textId="60508365" w:rsidR="005D6FD9" w:rsidRDefault="005D6FD9" w:rsidP="001A39E7">
      <w:pPr>
        <w:pStyle w:val="ListBullet"/>
      </w:pPr>
      <w:r>
        <w:t>Fixed point-to-point services that were licen</w:t>
      </w:r>
      <w:r w:rsidR="00AE7463">
        <w:t>s</w:t>
      </w:r>
      <w:r>
        <w:t>ed prior to the TOB band plan coming into effect</w:t>
      </w:r>
    </w:p>
    <w:p w14:paraId="564A095E" w14:textId="13619DFD" w:rsidR="005D6FD9" w:rsidRDefault="005D6FD9" w:rsidP="001A39E7">
      <w:pPr>
        <w:pStyle w:val="ListBulletLast"/>
      </w:pPr>
      <w:bookmarkStart w:id="14" w:name="_Hlk12439854"/>
      <w:r>
        <w:t>Short</w:t>
      </w:r>
      <w:r w:rsidR="008F48B9">
        <w:t>-</w:t>
      </w:r>
      <w:r>
        <w:t xml:space="preserve">term technology </w:t>
      </w:r>
      <w:r w:rsidR="00794E65">
        <w:t>demonstrations</w:t>
      </w:r>
      <w:r>
        <w:t xml:space="preserve"> or other short</w:t>
      </w:r>
      <w:r w:rsidR="0099184C">
        <w:t>-</w:t>
      </w:r>
      <w:r>
        <w:t>term applications</w:t>
      </w:r>
      <w:bookmarkEnd w:id="14"/>
      <w:r w:rsidR="008F48B9">
        <w:t>.</w:t>
      </w:r>
    </w:p>
    <w:p w14:paraId="72EC4044" w14:textId="1732FD7A" w:rsidR="00515544" w:rsidRPr="00515544" w:rsidRDefault="00515544" w:rsidP="00515544">
      <w:pPr>
        <w:pStyle w:val="ACMANormalTabbed"/>
      </w:pPr>
      <w:r>
        <w:t xml:space="preserve">In addition, there are requirements to protect the Australian Radio Quiet Zone Western Australia (near Boolardy Station). These requirements are specified in the </w:t>
      </w:r>
      <w:hyperlink r:id="rId34" w:history="1">
        <w:r w:rsidRPr="00515544">
          <w:rPr>
            <w:rStyle w:val="Hyperlink"/>
            <w:i/>
            <w:iCs/>
          </w:rPr>
          <w:t>Radiocommunications (Mid-West Radio Quiet Zone) Frequency Band Plan 2011</w:t>
        </w:r>
      </w:hyperlink>
      <w:r>
        <w:t xml:space="preserve">, </w:t>
      </w:r>
      <w:r w:rsidR="008F48B9">
        <w:t>RALI</w:t>
      </w:r>
      <w:r>
        <w:t xml:space="preserve"> </w:t>
      </w:r>
      <w:hyperlink r:id="rId35" w:history="1">
        <w:r>
          <w:rPr>
            <w:rStyle w:val="Hyperlink"/>
          </w:rPr>
          <w:t>MS 32</w:t>
        </w:r>
      </w:hyperlink>
      <w:r w:rsidR="008F48B9">
        <w:t xml:space="preserve"> </w:t>
      </w:r>
      <w:r>
        <w:t>on the coordination of apparatus licensed services within the Australian Radio Quiet Zone Western Australia</w:t>
      </w:r>
      <w:r w:rsidR="00732B7E">
        <w:t>,</w:t>
      </w:r>
      <w:r>
        <w:t xml:space="preserve"> and spectrum </w:t>
      </w:r>
      <w:hyperlink r:id="rId36" w:history="1">
        <w:r>
          <w:rPr>
            <w:rStyle w:val="Hyperlink"/>
          </w:rPr>
          <w:t>embargo 41</w:t>
        </w:r>
      </w:hyperlink>
      <w:r w:rsidR="003B166D">
        <w:t xml:space="preserve">, </w:t>
      </w:r>
      <w:r>
        <w:t>which covers the 70 MHz–25.25 GHz band, and therefore applies to the 2 GHz band.</w:t>
      </w:r>
    </w:p>
    <w:p w14:paraId="1553AD67" w14:textId="562E0D7C" w:rsidR="00800B05" w:rsidRDefault="005D6FD9" w:rsidP="005853EB">
      <w:pPr>
        <w:pStyle w:val="ACMANormalTabbed"/>
      </w:pPr>
      <w:r>
        <w:t>The ACMA</w:t>
      </w:r>
      <w:r w:rsidR="00AF29AE">
        <w:t xml:space="preserve"> considers </w:t>
      </w:r>
      <w:r w:rsidR="0099184C">
        <w:t xml:space="preserve">on a case-by-case basis requests </w:t>
      </w:r>
      <w:bookmarkStart w:id="15" w:name="_Hlk14164133"/>
      <w:r w:rsidR="0099184C">
        <w:t>for s</w:t>
      </w:r>
      <w:r w:rsidR="0099184C" w:rsidRPr="0099184C">
        <w:t>hort</w:t>
      </w:r>
      <w:r w:rsidR="00AE7463">
        <w:t>-</w:t>
      </w:r>
      <w:r w:rsidR="0099184C" w:rsidRPr="0099184C">
        <w:t>term technology demonstrat</w:t>
      </w:r>
      <w:r w:rsidR="003558DF">
        <w:t>ions</w:t>
      </w:r>
      <w:r w:rsidR="0099184C" w:rsidRPr="0099184C">
        <w:t xml:space="preserve"> </w:t>
      </w:r>
      <w:bookmarkEnd w:id="15"/>
      <w:r w:rsidR="0099184C" w:rsidRPr="0099184C">
        <w:t>or other short-term applications</w:t>
      </w:r>
      <w:r w:rsidR="00AF29AE">
        <w:t xml:space="preserve">. </w:t>
      </w:r>
      <w:bookmarkStart w:id="16" w:name="_Hlk14164103"/>
      <w:r w:rsidR="00AF29AE">
        <w:t xml:space="preserve">As outlined in the </w:t>
      </w:r>
      <w:hyperlink r:id="rId37" w:history="1">
        <w:r w:rsidR="005100BF">
          <w:rPr>
            <w:rStyle w:val="Hyperlink"/>
          </w:rPr>
          <w:t>Draft F</w:t>
        </w:r>
        <w:r w:rsidR="007734F2" w:rsidRPr="00426FC7">
          <w:rPr>
            <w:rStyle w:val="Hyperlink"/>
          </w:rPr>
          <w:t>ive-year spectrum outlo</w:t>
        </w:r>
        <w:r w:rsidR="003B166D">
          <w:rPr>
            <w:rStyle w:val="Hyperlink"/>
          </w:rPr>
          <w:t>ok 2019–23</w:t>
        </w:r>
      </w:hyperlink>
      <w:r w:rsidR="007734F2">
        <w:t xml:space="preserve">, </w:t>
      </w:r>
      <w:r w:rsidR="00AF29AE">
        <w:t xml:space="preserve">the ACMA is open to supporting such requests </w:t>
      </w:r>
      <w:r w:rsidR="00AF29AE" w:rsidRPr="00D970E3">
        <w:t>in the</w:t>
      </w:r>
      <w:r w:rsidR="00AF29AE">
        <w:t xml:space="preserve"> </w:t>
      </w:r>
      <w:r w:rsidR="00AF29AE" w:rsidRPr="00D970E3">
        <w:t>frequency ranges 1980</w:t>
      </w:r>
      <w:r w:rsidR="00AF29AE">
        <w:t>–</w:t>
      </w:r>
      <w:r w:rsidR="00AF29AE" w:rsidRPr="00D970E3">
        <w:t>1985</w:t>
      </w:r>
      <w:r w:rsidR="007734F2">
        <w:t xml:space="preserve"> MHz</w:t>
      </w:r>
      <w:r w:rsidR="003B166D">
        <w:t xml:space="preserve"> and </w:t>
      </w:r>
      <w:r w:rsidR="00AF29AE" w:rsidRPr="00D970E3">
        <w:t>2170</w:t>
      </w:r>
      <w:r w:rsidR="00AF29AE">
        <w:t>–</w:t>
      </w:r>
      <w:r w:rsidR="00AF29AE" w:rsidRPr="00D970E3">
        <w:t>2175</w:t>
      </w:r>
      <w:r w:rsidR="007734F2">
        <w:t xml:space="preserve"> MHz</w:t>
      </w:r>
      <w:r w:rsidR="00AF29AE" w:rsidRPr="00D970E3">
        <w:t xml:space="preserve"> on a short</w:t>
      </w:r>
      <w:r w:rsidR="00AF29AE">
        <w:t>-</w:t>
      </w:r>
      <w:r w:rsidR="00AF29AE" w:rsidRPr="00D970E3">
        <w:t>term basis</w:t>
      </w:r>
      <w:r w:rsidR="00AF29AE">
        <w:t>,</w:t>
      </w:r>
      <w:r w:rsidR="00AF29AE" w:rsidRPr="00D970E3">
        <w:t xml:space="preserve"> subject to appropriate interference management and resolution conditions</w:t>
      </w:r>
      <w:r w:rsidR="00CB7D9E">
        <w:t>,</w:t>
      </w:r>
      <w:r w:rsidR="0099184C">
        <w:t xml:space="preserve"> </w:t>
      </w:r>
      <w:r w:rsidR="00997F97">
        <w:t xml:space="preserve">where these applications </w:t>
      </w:r>
      <w:r w:rsidR="00AF29AE">
        <w:t xml:space="preserve">will </w:t>
      </w:r>
      <w:r w:rsidR="00997F97">
        <w:t>not impact on existing services</w:t>
      </w:r>
      <w:bookmarkEnd w:id="16"/>
      <w:r w:rsidR="00997F97">
        <w:t>.</w:t>
      </w:r>
      <w:r w:rsidR="0099184C">
        <w:t xml:space="preserve"> </w:t>
      </w:r>
    </w:p>
    <w:p w14:paraId="08BFD76A" w14:textId="2DD67794" w:rsidR="00F05298" w:rsidRDefault="00342240" w:rsidP="00F05298">
      <w:r w:rsidRPr="00BB7E4A">
        <w:t xml:space="preserve">An illustration of arrangements </w:t>
      </w:r>
      <w:r w:rsidR="00BB7E4A" w:rsidRPr="00BB7E4A">
        <w:t xml:space="preserve">in the 2 GHz band (and spectrum immediately adjacent) </w:t>
      </w:r>
      <w:r w:rsidRPr="00BB7E4A">
        <w:t>is provided in Figure 1.</w:t>
      </w:r>
      <w:r w:rsidR="00F05298">
        <w:t xml:space="preserve"> A breakdown of apparatus-licensed </w:t>
      </w:r>
      <w:r w:rsidR="00F05298" w:rsidRPr="002D1EB1">
        <w:t>services in the 2</w:t>
      </w:r>
      <w:r w:rsidR="00252E41">
        <w:t> </w:t>
      </w:r>
      <w:r w:rsidR="00F05298" w:rsidRPr="002D1EB1">
        <w:t xml:space="preserve">GHz band </w:t>
      </w:r>
      <w:r w:rsidR="00DB2C19">
        <w:t>is</w:t>
      </w:r>
      <w:r w:rsidR="00DB2C19" w:rsidRPr="002D1EB1">
        <w:t xml:space="preserve"> </w:t>
      </w:r>
      <w:r w:rsidR="00F05298" w:rsidRPr="002D1EB1">
        <w:t>provided in Table 1</w:t>
      </w:r>
      <w:r w:rsidR="00F05298">
        <w:t xml:space="preserve"> and Table 2</w:t>
      </w:r>
      <w:r w:rsidR="00F05298" w:rsidRPr="002D1EB1">
        <w:t>.</w:t>
      </w:r>
      <w:r w:rsidR="00F05298">
        <w:t xml:space="preserve"> </w:t>
      </w:r>
      <w:r w:rsidR="00F05298" w:rsidRPr="002D1EB1">
        <w:t xml:space="preserve"> </w:t>
      </w:r>
      <w:bookmarkStart w:id="17" w:name="_Hlk13494626"/>
    </w:p>
    <w:p w14:paraId="42B7A0A6" w14:textId="77777777" w:rsidR="00F05298" w:rsidRPr="002D1EB1" w:rsidRDefault="00F05298" w:rsidP="004767E6">
      <w:pPr>
        <w:pStyle w:val="ACMATableHeader"/>
        <w:keepLines/>
      </w:pPr>
      <w:r w:rsidRPr="002D1EB1">
        <w:t>Number of apparatus-licensed services in the 2 GHz band</w:t>
      </w:r>
    </w:p>
    <w:tbl>
      <w:tblPr>
        <w:tblW w:w="6496" w:type="dxa"/>
        <w:tblInd w:w="1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7E0" w:firstRow="1" w:lastRow="1" w:firstColumn="1" w:lastColumn="1" w:noHBand="1" w:noVBand="1"/>
        <w:tblCaption w:val="Table title to go here"/>
        <w:tblDescription w:val="Table description to go here"/>
      </w:tblPr>
      <w:tblGrid>
        <w:gridCol w:w="2129"/>
        <w:gridCol w:w="1334"/>
        <w:gridCol w:w="1334"/>
        <w:gridCol w:w="1699"/>
      </w:tblGrid>
      <w:tr w:rsidR="00F05298" w:rsidRPr="006D46E5" w14:paraId="2796E4B3" w14:textId="77777777" w:rsidTr="006D5F90">
        <w:tc>
          <w:tcPr>
            <w:tcW w:w="0" w:type="auto"/>
            <w:shd w:val="clear" w:color="auto" w:fill="404040" w:themeFill="text1" w:themeFillTint="BF"/>
            <w:vAlign w:val="center"/>
          </w:tcPr>
          <w:p w14:paraId="199AE16A" w14:textId="77777777" w:rsidR="00F05298" w:rsidRPr="00DF4A94" w:rsidRDefault="00F05298" w:rsidP="004767E6">
            <w:pPr>
              <w:pStyle w:val="TableHeading"/>
              <w:keepLines/>
              <w:rPr>
                <w:color w:val="FFFFFF" w:themeColor="background1"/>
              </w:rPr>
            </w:pPr>
            <w:r>
              <w:rPr>
                <w:color w:val="FFFFFF" w:themeColor="background1"/>
              </w:rPr>
              <w:t>Service</w:t>
            </w:r>
          </w:p>
        </w:tc>
        <w:tc>
          <w:tcPr>
            <w:tcW w:w="0" w:type="auto"/>
            <w:shd w:val="clear" w:color="auto" w:fill="404040" w:themeFill="text1" w:themeFillTint="BF"/>
            <w:vAlign w:val="center"/>
          </w:tcPr>
          <w:p w14:paraId="65C66291" w14:textId="0D2C3D8E" w:rsidR="00F05298" w:rsidRPr="00DF4A94" w:rsidRDefault="00F05298" w:rsidP="004767E6">
            <w:pPr>
              <w:pStyle w:val="TableHeading"/>
              <w:keepLines/>
              <w:rPr>
                <w:color w:val="FFFFFF" w:themeColor="background1"/>
              </w:rPr>
            </w:pPr>
            <w:r>
              <w:rPr>
                <w:color w:val="FFFFFF" w:themeColor="background1"/>
              </w:rPr>
              <w:t>1980</w:t>
            </w:r>
            <w:r w:rsidR="003B166D">
              <w:rPr>
                <w:color w:val="FFFFFF" w:themeColor="background1"/>
              </w:rPr>
              <w:t>–</w:t>
            </w:r>
            <w:r>
              <w:rPr>
                <w:color w:val="FFFFFF" w:themeColor="background1"/>
              </w:rPr>
              <w:t>2010 MHz</w:t>
            </w:r>
          </w:p>
        </w:tc>
        <w:tc>
          <w:tcPr>
            <w:tcW w:w="0" w:type="auto"/>
            <w:shd w:val="clear" w:color="auto" w:fill="404040" w:themeFill="text1" w:themeFillTint="BF"/>
            <w:vAlign w:val="center"/>
          </w:tcPr>
          <w:p w14:paraId="06C04453" w14:textId="75421A51" w:rsidR="00F05298" w:rsidRPr="00DF4A94" w:rsidRDefault="00F05298" w:rsidP="004767E6">
            <w:pPr>
              <w:pStyle w:val="TableHeading"/>
              <w:keepLines/>
              <w:rPr>
                <w:color w:val="FFFFFF" w:themeColor="background1"/>
              </w:rPr>
            </w:pPr>
            <w:r>
              <w:rPr>
                <w:color w:val="FFFFFF" w:themeColor="background1"/>
              </w:rPr>
              <w:t>2170</w:t>
            </w:r>
            <w:r w:rsidR="003B166D">
              <w:rPr>
                <w:color w:val="FFFFFF" w:themeColor="background1"/>
              </w:rPr>
              <w:t>–</w:t>
            </w:r>
            <w:r>
              <w:rPr>
                <w:color w:val="FFFFFF" w:themeColor="background1"/>
              </w:rPr>
              <w:t>2200 MHz</w:t>
            </w:r>
          </w:p>
        </w:tc>
        <w:tc>
          <w:tcPr>
            <w:tcW w:w="0" w:type="auto"/>
            <w:shd w:val="clear" w:color="auto" w:fill="404040" w:themeFill="text1" w:themeFillTint="BF"/>
            <w:vAlign w:val="center"/>
          </w:tcPr>
          <w:p w14:paraId="1909C9FE" w14:textId="77777777" w:rsidR="00F05298" w:rsidRPr="00DF4A94" w:rsidRDefault="00F05298" w:rsidP="004767E6">
            <w:pPr>
              <w:pStyle w:val="TableHeading"/>
              <w:keepLines/>
              <w:rPr>
                <w:color w:val="FFFFFF" w:themeColor="background1"/>
              </w:rPr>
            </w:pPr>
            <w:r>
              <w:rPr>
                <w:color w:val="FFFFFF" w:themeColor="background1"/>
              </w:rPr>
              <w:t>Total of each service</w:t>
            </w:r>
          </w:p>
        </w:tc>
      </w:tr>
      <w:tr w:rsidR="00F05298" w:rsidRPr="006D46E5" w14:paraId="6EE32ABA" w14:textId="77777777" w:rsidTr="006D5F90">
        <w:tc>
          <w:tcPr>
            <w:tcW w:w="0" w:type="auto"/>
            <w:vAlign w:val="center"/>
          </w:tcPr>
          <w:p w14:paraId="62D06F2E" w14:textId="77777777" w:rsidR="00F05298" w:rsidRPr="00E72A92" w:rsidRDefault="00F05298" w:rsidP="004767E6">
            <w:pPr>
              <w:keepLines/>
              <w:spacing w:after="0" w:line="240" w:lineRule="auto"/>
              <w:rPr>
                <w:rFonts w:ascii="Calibri" w:hAnsi="Calibri"/>
                <w:color w:val="000000"/>
                <w:sz w:val="22"/>
                <w:szCs w:val="22"/>
              </w:rPr>
            </w:pPr>
            <w:r w:rsidRPr="002A5F22">
              <w:rPr>
                <w:rFonts w:ascii="Calibri" w:hAnsi="Calibri"/>
                <w:color w:val="000000"/>
                <w:sz w:val="22"/>
                <w:szCs w:val="22"/>
              </w:rPr>
              <w:t>Television outside broadcast</w:t>
            </w:r>
          </w:p>
        </w:tc>
        <w:tc>
          <w:tcPr>
            <w:tcW w:w="0" w:type="auto"/>
            <w:vAlign w:val="center"/>
          </w:tcPr>
          <w:p w14:paraId="714634D7" w14:textId="48FD7495" w:rsidR="00F05298" w:rsidRPr="00E72A92" w:rsidRDefault="00F05298" w:rsidP="004767E6">
            <w:pPr>
              <w:keepLines/>
              <w:spacing w:after="0" w:line="240" w:lineRule="auto"/>
              <w:rPr>
                <w:rFonts w:ascii="Calibri" w:hAnsi="Calibri"/>
                <w:color w:val="000000"/>
                <w:sz w:val="22"/>
                <w:szCs w:val="22"/>
              </w:rPr>
            </w:pPr>
            <w:r>
              <w:rPr>
                <w:rFonts w:ascii="Calibri" w:hAnsi="Calibri"/>
                <w:color w:val="000000"/>
                <w:sz w:val="22"/>
                <w:szCs w:val="22"/>
              </w:rPr>
              <w:t>10</w:t>
            </w:r>
            <w:r w:rsidR="00E30902">
              <w:rPr>
                <w:rStyle w:val="FootnoteReference"/>
                <w:color w:val="000000"/>
                <w:sz w:val="22"/>
                <w:szCs w:val="22"/>
              </w:rPr>
              <w:footnoteReference w:id="4"/>
            </w:r>
          </w:p>
        </w:tc>
        <w:tc>
          <w:tcPr>
            <w:tcW w:w="0" w:type="auto"/>
            <w:vAlign w:val="center"/>
          </w:tcPr>
          <w:p w14:paraId="2D6602FC" w14:textId="17B62755" w:rsidR="00F05298" w:rsidRPr="00E72A92" w:rsidRDefault="006533E7" w:rsidP="004767E6">
            <w:pPr>
              <w:keepLines/>
              <w:spacing w:after="0" w:line="240" w:lineRule="auto"/>
              <w:rPr>
                <w:rFonts w:ascii="Calibri" w:hAnsi="Calibri"/>
                <w:color w:val="000000"/>
                <w:sz w:val="22"/>
                <w:szCs w:val="22"/>
              </w:rPr>
            </w:pPr>
            <w:r>
              <w:rPr>
                <w:rFonts w:ascii="Calibri" w:hAnsi="Calibri"/>
                <w:color w:val="000000"/>
                <w:sz w:val="22"/>
                <w:szCs w:val="22"/>
              </w:rPr>
              <w:t>12</w:t>
            </w:r>
            <w:r w:rsidR="009301B2">
              <w:rPr>
                <w:rStyle w:val="FootnoteReference"/>
                <w:color w:val="000000"/>
                <w:sz w:val="22"/>
                <w:szCs w:val="22"/>
              </w:rPr>
              <w:footnoteReference w:id="5"/>
            </w:r>
          </w:p>
        </w:tc>
        <w:tc>
          <w:tcPr>
            <w:tcW w:w="0" w:type="auto"/>
            <w:vAlign w:val="center"/>
          </w:tcPr>
          <w:p w14:paraId="3D8D4029" w14:textId="420FB50E" w:rsidR="00F05298" w:rsidRPr="00E72A92" w:rsidRDefault="00EE12E4" w:rsidP="004767E6">
            <w:pPr>
              <w:keepLines/>
              <w:spacing w:after="0" w:line="240" w:lineRule="auto"/>
              <w:rPr>
                <w:rFonts w:ascii="Calibri" w:hAnsi="Calibri"/>
                <w:color w:val="000000"/>
                <w:sz w:val="22"/>
                <w:szCs w:val="22"/>
              </w:rPr>
            </w:pPr>
            <w:r>
              <w:rPr>
                <w:rFonts w:ascii="Calibri" w:hAnsi="Calibri"/>
                <w:color w:val="000000"/>
                <w:sz w:val="22"/>
                <w:szCs w:val="22"/>
              </w:rPr>
              <w:t>22</w:t>
            </w:r>
          </w:p>
        </w:tc>
      </w:tr>
      <w:tr w:rsidR="00F05298" w:rsidRPr="006D46E5" w14:paraId="483BA13C" w14:textId="77777777" w:rsidTr="006D5F90">
        <w:tc>
          <w:tcPr>
            <w:tcW w:w="0" w:type="auto"/>
            <w:vAlign w:val="center"/>
          </w:tcPr>
          <w:p w14:paraId="1BEB0680" w14:textId="5FB6F712" w:rsidR="00F05298" w:rsidRPr="00E72A92" w:rsidRDefault="00F05298" w:rsidP="004767E6">
            <w:pPr>
              <w:keepLines/>
              <w:spacing w:after="0" w:line="240" w:lineRule="auto"/>
              <w:rPr>
                <w:rFonts w:ascii="Calibri" w:hAnsi="Calibri"/>
                <w:color w:val="000000"/>
                <w:sz w:val="22"/>
                <w:szCs w:val="22"/>
              </w:rPr>
            </w:pPr>
            <w:r w:rsidRPr="002A5F22">
              <w:rPr>
                <w:rFonts w:ascii="Calibri" w:hAnsi="Calibri"/>
                <w:color w:val="000000"/>
                <w:sz w:val="22"/>
                <w:szCs w:val="22"/>
              </w:rPr>
              <w:t>Fixed point-to-point</w:t>
            </w:r>
            <w:r w:rsidR="0043320D">
              <w:rPr>
                <w:rStyle w:val="FootnoteReference"/>
                <w:color w:val="000000"/>
                <w:sz w:val="22"/>
                <w:szCs w:val="22"/>
              </w:rPr>
              <w:footnoteReference w:id="6"/>
            </w:r>
          </w:p>
        </w:tc>
        <w:tc>
          <w:tcPr>
            <w:tcW w:w="0" w:type="auto"/>
            <w:vAlign w:val="center"/>
          </w:tcPr>
          <w:p w14:paraId="226529C1" w14:textId="6FA1B75E" w:rsidR="00F05298" w:rsidRPr="00E72A92" w:rsidRDefault="003D7B71" w:rsidP="004767E6">
            <w:pPr>
              <w:keepLines/>
              <w:spacing w:after="0" w:line="240" w:lineRule="auto"/>
              <w:rPr>
                <w:rFonts w:ascii="Calibri" w:hAnsi="Calibri"/>
                <w:color w:val="000000"/>
                <w:sz w:val="22"/>
                <w:szCs w:val="22"/>
              </w:rPr>
            </w:pPr>
            <w:r>
              <w:rPr>
                <w:rFonts w:ascii="Calibri" w:hAnsi="Calibri"/>
                <w:color w:val="000000"/>
                <w:sz w:val="22"/>
                <w:szCs w:val="22"/>
              </w:rPr>
              <w:t>7</w:t>
            </w:r>
          </w:p>
        </w:tc>
        <w:tc>
          <w:tcPr>
            <w:tcW w:w="0" w:type="auto"/>
            <w:vAlign w:val="center"/>
          </w:tcPr>
          <w:p w14:paraId="1DFF8F02" w14:textId="6716EF22" w:rsidR="00F05298" w:rsidRPr="00E72A92" w:rsidRDefault="003F23B3" w:rsidP="004767E6">
            <w:pPr>
              <w:keepLines/>
              <w:spacing w:after="0" w:line="240" w:lineRule="auto"/>
              <w:rPr>
                <w:rFonts w:ascii="Calibri" w:hAnsi="Calibri"/>
                <w:color w:val="000000"/>
                <w:sz w:val="22"/>
                <w:szCs w:val="22"/>
              </w:rPr>
            </w:pPr>
            <w:r>
              <w:rPr>
                <w:rFonts w:ascii="Calibri" w:hAnsi="Calibri"/>
                <w:color w:val="000000"/>
                <w:sz w:val="22"/>
                <w:szCs w:val="22"/>
              </w:rPr>
              <w:t>7</w:t>
            </w:r>
          </w:p>
        </w:tc>
        <w:tc>
          <w:tcPr>
            <w:tcW w:w="0" w:type="auto"/>
            <w:vAlign w:val="center"/>
          </w:tcPr>
          <w:p w14:paraId="701DF48C" w14:textId="2A0496D2" w:rsidR="00F05298" w:rsidRPr="00E72A92" w:rsidRDefault="003D7B71" w:rsidP="004767E6">
            <w:pPr>
              <w:keepLines/>
              <w:spacing w:after="0" w:line="240" w:lineRule="auto"/>
              <w:rPr>
                <w:rFonts w:ascii="Calibri" w:hAnsi="Calibri"/>
                <w:color w:val="000000"/>
                <w:sz w:val="22"/>
                <w:szCs w:val="22"/>
              </w:rPr>
            </w:pPr>
            <w:r>
              <w:rPr>
                <w:rFonts w:ascii="Calibri" w:hAnsi="Calibri"/>
                <w:color w:val="000000"/>
                <w:sz w:val="22"/>
                <w:szCs w:val="22"/>
              </w:rPr>
              <w:t>14</w:t>
            </w:r>
          </w:p>
        </w:tc>
      </w:tr>
      <w:tr w:rsidR="00F05298" w:rsidRPr="006D46E5" w14:paraId="65D38B1A" w14:textId="77777777" w:rsidTr="006D5F90">
        <w:tc>
          <w:tcPr>
            <w:tcW w:w="0" w:type="auto"/>
            <w:shd w:val="clear" w:color="auto" w:fill="D9D9D9" w:themeFill="background1" w:themeFillShade="D9"/>
            <w:vAlign w:val="center"/>
          </w:tcPr>
          <w:p w14:paraId="32A556BC" w14:textId="77777777" w:rsidR="00F05298" w:rsidRPr="001360C6" w:rsidRDefault="00F05298" w:rsidP="004767E6">
            <w:pPr>
              <w:keepLines/>
              <w:spacing w:after="0" w:line="240" w:lineRule="auto"/>
              <w:rPr>
                <w:rFonts w:ascii="Calibri" w:hAnsi="Calibri"/>
                <w:b/>
                <w:color w:val="000000"/>
                <w:sz w:val="22"/>
                <w:szCs w:val="22"/>
              </w:rPr>
            </w:pPr>
            <w:r w:rsidRPr="001360C6">
              <w:rPr>
                <w:rFonts w:ascii="Calibri" w:hAnsi="Calibri"/>
                <w:b/>
                <w:color w:val="000000"/>
                <w:sz w:val="22"/>
                <w:szCs w:val="22"/>
              </w:rPr>
              <w:t>Total</w:t>
            </w:r>
            <w:r>
              <w:rPr>
                <w:rFonts w:ascii="Calibri" w:hAnsi="Calibri"/>
                <w:b/>
                <w:color w:val="000000"/>
                <w:sz w:val="22"/>
                <w:szCs w:val="22"/>
              </w:rPr>
              <w:t xml:space="preserve"> in each band</w:t>
            </w:r>
          </w:p>
        </w:tc>
        <w:tc>
          <w:tcPr>
            <w:tcW w:w="0" w:type="auto"/>
            <w:shd w:val="clear" w:color="auto" w:fill="D9D9D9" w:themeFill="background1" w:themeFillShade="D9"/>
            <w:vAlign w:val="center"/>
          </w:tcPr>
          <w:p w14:paraId="0BFD3F45" w14:textId="0D1AD1EE" w:rsidR="00F05298" w:rsidRPr="001360C6" w:rsidRDefault="003D7B71" w:rsidP="004767E6">
            <w:pPr>
              <w:keepLines/>
              <w:spacing w:after="0" w:line="240" w:lineRule="auto"/>
              <w:rPr>
                <w:rFonts w:ascii="Calibri" w:hAnsi="Calibri"/>
                <w:b/>
                <w:color w:val="000000"/>
                <w:sz w:val="22"/>
                <w:szCs w:val="22"/>
              </w:rPr>
            </w:pPr>
            <w:r>
              <w:rPr>
                <w:rFonts w:ascii="Calibri" w:hAnsi="Calibri"/>
                <w:b/>
                <w:color w:val="000000"/>
                <w:sz w:val="22"/>
                <w:szCs w:val="22"/>
              </w:rPr>
              <w:t>17</w:t>
            </w:r>
          </w:p>
        </w:tc>
        <w:tc>
          <w:tcPr>
            <w:tcW w:w="0" w:type="auto"/>
            <w:shd w:val="clear" w:color="auto" w:fill="D9D9D9" w:themeFill="background1" w:themeFillShade="D9"/>
            <w:vAlign w:val="center"/>
          </w:tcPr>
          <w:p w14:paraId="0D70ECCC" w14:textId="58F4508E" w:rsidR="00F05298" w:rsidRPr="001360C6" w:rsidRDefault="003F23B3" w:rsidP="004767E6">
            <w:pPr>
              <w:keepLines/>
              <w:spacing w:after="0" w:line="240" w:lineRule="auto"/>
              <w:rPr>
                <w:rFonts w:ascii="Calibri" w:hAnsi="Calibri"/>
                <w:b/>
                <w:color w:val="000000"/>
                <w:sz w:val="22"/>
                <w:szCs w:val="22"/>
              </w:rPr>
            </w:pPr>
            <w:r>
              <w:rPr>
                <w:rFonts w:ascii="Calibri" w:hAnsi="Calibri"/>
                <w:b/>
                <w:color w:val="000000"/>
                <w:sz w:val="22"/>
                <w:szCs w:val="22"/>
              </w:rPr>
              <w:t>1</w:t>
            </w:r>
            <w:r w:rsidR="00EE12E4">
              <w:rPr>
                <w:rFonts w:ascii="Calibri" w:hAnsi="Calibri"/>
                <w:b/>
                <w:color w:val="000000"/>
                <w:sz w:val="22"/>
                <w:szCs w:val="22"/>
              </w:rPr>
              <w:t>9</w:t>
            </w:r>
          </w:p>
        </w:tc>
        <w:tc>
          <w:tcPr>
            <w:tcW w:w="0" w:type="auto"/>
            <w:shd w:val="clear" w:color="auto" w:fill="D9D9D9" w:themeFill="background1" w:themeFillShade="D9"/>
            <w:vAlign w:val="center"/>
          </w:tcPr>
          <w:p w14:paraId="40390076" w14:textId="2FC34129" w:rsidR="00F05298" w:rsidRPr="001360C6" w:rsidRDefault="003D7B71" w:rsidP="004767E6">
            <w:pPr>
              <w:keepLines/>
              <w:spacing w:after="0" w:line="240" w:lineRule="auto"/>
              <w:rPr>
                <w:rFonts w:ascii="Calibri" w:hAnsi="Calibri"/>
                <w:b/>
                <w:color w:val="000000"/>
                <w:sz w:val="22"/>
                <w:szCs w:val="22"/>
              </w:rPr>
            </w:pPr>
            <w:r>
              <w:rPr>
                <w:rFonts w:ascii="Calibri" w:hAnsi="Calibri"/>
                <w:b/>
                <w:color w:val="000000"/>
                <w:sz w:val="22"/>
                <w:szCs w:val="22"/>
              </w:rPr>
              <w:t>3</w:t>
            </w:r>
            <w:r w:rsidR="00EE12E4">
              <w:rPr>
                <w:rFonts w:ascii="Calibri" w:hAnsi="Calibri"/>
                <w:b/>
                <w:color w:val="000000"/>
                <w:sz w:val="22"/>
                <w:szCs w:val="22"/>
              </w:rPr>
              <w:t>6</w:t>
            </w:r>
          </w:p>
        </w:tc>
      </w:tr>
    </w:tbl>
    <w:p w14:paraId="7F8C5549" w14:textId="23670AE4" w:rsidR="00F05298" w:rsidRDefault="00F05298" w:rsidP="004767E6">
      <w:pPr>
        <w:keepLines/>
        <w:spacing w:before="80" w:after="0" w:line="240" w:lineRule="auto"/>
        <w:rPr>
          <w:i/>
          <w:sz w:val="16"/>
          <w:szCs w:val="16"/>
        </w:rPr>
      </w:pPr>
      <w:r w:rsidRPr="006F4B63">
        <w:rPr>
          <w:i/>
          <w:sz w:val="16"/>
          <w:szCs w:val="16"/>
        </w:rPr>
        <w:t xml:space="preserve">Data taken from </w:t>
      </w:r>
      <w:hyperlink r:id="rId38" w:history="1">
        <w:r w:rsidRPr="00DF4A94">
          <w:rPr>
            <w:rStyle w:val="Hyperlink"/>
            <w:i/>
            <w:sz w:val="16"/>
            <w:szCs w:val="16"/>
          </w:rPr>
          <w:t>R</w:t>
        </w:r>
        <w:r w:rsidR="00732B7E">
          <w:rPr>
            <w:rStyle w:val="Hyperlink"/>
            <w:i/>
            <w:sz w:val="16"/>
            <w:szCs w:val="16"/>
          </w:rPr>
          <w:t>egister of Radiocommunications Licences (R</w:t>
        </w:r>
        <w:r w:rsidRPr="00DF4A94">
          <w:rPr>
            <w:rStyle w:val="Hyperlink"/>
            <w:i/>
            <w:sz w:val="16"/>
            <w:szCs w:val="16"/>
          </w:rPr>
          <w:t>RL</w:t>
        </w:r>
      </w:hyperlink>
      <w:r w:rsidR="00732B7E">
        <w:rPr>
          <w:rStyle w:val="Hyperlink"/>
          <w:i/>
          <w:sz w:val="16"/>
          <w:szCs w:val="16"/>
        </w:rPr>
        <w:t>)</w:t>
      </w:r>
      <w:r w:rsidRPr="006F4B63">
        <w:rPr>
          <w:sz w:val="16"/>
          <w:szCs w:val="16"/>
        </w:rPr>
        <w:t xml:space="preserve"> </w:t>
      </w:r>
      <w:r w:rsidRPr="006F4B63">
        <w:rPr>
          <w:i/>
          <w:sz w:val="16"/>
          <w:szCs w:val="16"/>
        </w:rPr>
        <w:t xml:space="preserve">as at </w:t>
      </w:r>
      <w:r>
        <w:rPr>
          <w:i/>
          <w:sz w:val="16"/>
          <w:szCs w:val="16"/>
        </w:rPr>
        <w:t>1</w:t>
      </w:r>
      <w:r w:rsidRPr="006F4B63">
        <w:rPr>
          <w:i/>
          <w:sz w:val="16"/>
          <w:szCs w:val="16"/>
        </w:rPr>
        <w:t xml:space="preserve"> </w:t>
      </w:r>
      <w:r w:rsidR="003D7B71">
        <w:rPr>
          <w:i/>
          <w:sz w:val="16"/>
          <w:szCs w:val="16"/>
        </w:rPr>
        <w:t xml:space="preserve">July </w:t>
      </w:r>
      <w:r w:rsidRPr="006F4B63">
        <w:rPr>
          <w:i/>
          <w:sz w:val="16"/>
          <w:szCs w:val="16"/>
        </w:rPr>
        <w:t>201</w:t>
      </w:r>
      <w:r>
        <w:rPr>
          <w:i/>
          <w:sz w:val="16"/>
          <w:szCs w:val="16"/>
        </w:rPr>
        <w:t>9.</w:t>
      </w:r>
    </w:p>
    <w:p w14:paraId="4EB763FD" w14:textId="6C83C2D7" w:rsidR="009301B2" w:rsidRDefault="009301B2" w:rsidP="004767E6">
      <w:pPr>
        <w:keepLines/>
        <w:spacing w:before="80" w:after="0" w:line="240" w:lineRule="auto"/>
        <w:rPr>
          <w:i/>
          <w:sz w:val="16"/>
          <w:szCs w:val="16"/>
        </w:rPr>
      </w:pPr>
    </w:p>
    <w:p w14:paraId="651699F7" w14:textId="772AF8D9" w:rsidR="009301B2" w:rsidRPr="001D4D41" w:rsidRDefault="009301B2" w:rsidP="004E62CB">
      <w:pPr>
        <w:pStyle w:val="ACMAFigureHeader"/>
        <w:keepNext/>
        <w:tabs>
          <w:tab w:val="clear" w:pos="1021"/>
          <w:tab w:val="num" w:pos="1872"/>
        </w:tabs>
      </w:pPr>
      <w:r>
        <w:lastRenderedPageBreak/>
        <w:t>I</w:t>
      </w:r>
      <w:r w:rsidRPr="001D4D41">
        <w:t xml:space="preserve">llustration of current </w:t>
      </w:r>
      <w:r>
        <w:t xml:space="preserve">licensed services </w:t>
      </w:r>
      <w:r w:rsidRPr="001D4D41">
        <w:t>in the 2 GHz band</w:t>
      </w:r>
    </w:p>
    <w:p w14:paraId="2F1D76FE" w14:textId="6E945426" w:rsidR="009301B2" w:rsidRDefault="0097015A" w:rsidP="004E62CB">
      <w:pPr>
        <w:pStyle w:val="ACMAFigureHeader"/>
        <w:keepNext/>
        <w:numPr>
          <w:ilvl w:val="0"/>
          <w:numId w:val="0"/>
        </w:numPr>
        <w:spacing w:after="0"/>
      </w:pPr>
      <w:r>
        <w:rPr>
          <w:noProof/>
        </w:rPr>
        <w:drawing>
          <wp:inline distT="0" distB="0" distL="0" distR="0" wp14:anchorId="56C15E1D" wp14:editId="65BA3601">
            <wp:extent cx="4871085" cy="3121660"/>
            <wp:effectExtent l="0" t="0" r="5715" b="2540"/>
            <wp:docPr id="3" name="Picture 3" descr="Illustration of current licensed services in the 2 GHz b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871085" cy="3121660"/>
                    </a:xfrm>
                    <a:prstGeom prst="rect">
                      <a:avLst/>
                    </a:prstGeom>
                    <a:noFill/>
                    <a:ln>
                      <a:noFill/>
                    </a:ln>
                  </pic:spPr>
                </pic:pic>
              </a:graphicData>
            </a:graphic>
          </wp:inline>
        </w:drawing>
      </w:r>
    </w:p>
    <w:p w14:paraId="15D69B75" w14:textId="351D25D7" w:rsidR="009301B2" w:rsidRDefault="009301B2" w:rsidP="004E62CB">
      <w:pPr>
        <w:keepNext/>
      </w:pPr>
      <w:r w:rsidRPr="009301B2">
        <w:t>(*) Mobile broadband services utilise a mixture of spectrum licences and apparatus licences</w:t>
      </w:r>
      <w:r w:rsidR="003B166D">
        <w:t>,</w:t>
      </w:r>
      <w:r w:rsidRPr="009301B2">
        <w:t xml:space="preserve"> depending on the geographical ar</w:t>
      </w:r>
      <w:r>
        <w:t>ea</w:t>
      </w:r>
      <w:r w:rsidR="003B166D">
        <w:t xml:space="preserve">. </w:t>
      </w:r>
    </w:p>
    <w:p w14:paraId="6B03355F" w14:textId="0CCB7DF2" w:rsidR="00324EC6" w:rsidRDefault="00324EC6" w:rsidP="003320DF">
      <w:pPr>
        <w:pStyle w:val="Heading3"/>
      </w:pPr>
      <w:bookmarkStart w:id="18" w:name="_Toc14266320"/>
      <w:bookmarkEnd w:id="17"/>
      <w:r>
        <w:t xml:space="preserve">Television </w:t>
      </w:r>
      <w:r w:rsidR="00794D1D">
        <w:t>o</w:t>
      </w:r>
      <w:r>
        <w:t xml:space="preserve">utside </w:t>
      </w:r>
      <w:r w:rsidR="00794D1D">
        <w:t>b</w:t>
      </w:r>
      <w:r>
        <w:t>roadcast</w:t>
      </w:r>
      <w:r w:rsidR="00D76681">
        <w:t xml:space="preserve"> (TOB)</w:t>
      </w:r>
      <w:bookmarkEnd w:id="18"/>
    </w:p>
    <w:p w14:paraId="4D4BB13F" w14:textId="5AA87F7B" w:rsidR="00BB2960" w:rsidRDefault="00BB2960" w:rsidP="00BF614F">
      <w:r>
        <w:t xml:space="preserve">Television outside broadcast refers to wireless applications used as part of news gathering, special events </w:t>
      </w:r>
      <w:r w:rsidR="009B52FC">
        <w:t>or</w:t>
      </w:r>
      <w:r>
        <w:t xml:space="preserve"> media production. The 2 GHz band is used predominately for transmitting video using either a wireless</w:t>
      </w:r>
      <w:r w:rsidR="00807279">
        <w:t xml:space="preserve"> </w:t>
      </w:r>
      <w:r>
        <w:t xml:space="preserve">camera over a short distance or </w:t>
      </w:r>
      <w:r w:rsidR="00561EF2">
        <w:t xml:space="preserve">point-to-point link </w:t>
      </w:r>
      <w:r>
        <w:t>from an outside broadcast van to a central capture point</w:t>
      </w:r>
      <w:r w:rsidR="00794D1D">
        <w:t>,</w:t>
      </w:r>
      <w:r>
        <w:t xml:space="preserve"> typically permanently located in a high point. </w:t>
      </w:r>
    </w:p>
    <w:p w14:paraId="5E83A537" w14:textId="60E44874" w:rsidR="0052136D" w:rsidRDefault="0052136D" w:rsidP="0052136D">
      <w:r w:rsidRPr="00BF614F">
        <w:rPr>
          <w:rFonts w:cs="Arial"/>
          <w:szCs w:val="26"/>
        </w:rPr>
        <w:t>RALI</w:t>
      </w:r>
      <w:r>
        <w:rPr>
          <w:rFonts w:cs="Arial"/>
          <w:szCs w:val="26"/>
        </w:rPr>
        <w:t xml:space="preserve"> </w:t>
      </w:r>
      <w:hyperlink r:id="rId40" w:history="1">
        <w:r w:rsidRPr="00BF614F">
          <w:rPr>
            <w:rStyle w:val="Hyperlink"/>
            <w:rFonts w:cs="Arial"/>
            <w:szCs w:val="26"/>
          </w:rPr>
          <w:t>FX 21</w:t>
        </w:r>
      </w:hyperlink>
      <w:r>
        <w:rPr>
          <w:rFonts w:cs="Arial"/>
          <w:szCs w:val="26"/>
        </w:rPr>
        <w:t xml:space="preserve"> provides </w:t>
      </w:r>
      <w:r w:rsidRPr="00BF614F">
        <w:rPr>
          <w:rFonts w:cs="Arial"/>
          <w:szCs w:val="26"/>
        </w:rPr>
        <w:t xml:space="preserve">information on frequency coordination and licensing arrangements for </w:t>
      </w:r>
      <w:r w:rsidRPr="00BB7E4A">
        <w:rPr>
          <w:rFonts w:cs="Arial"/>
          <w:szCs w:val="26"/>
        </w:rPr>
        <w:t>TOB services in the bands 1980</w:t>
      </w:r>
      <w:r w:rsidR="00794D1D">
        <w:rPr>
          <w:rFonts w:cs="Arial"/>
          <w:szCs w:val="26"/>
        </w:rPr>
        <w:t>–</w:t>
      </w:r>
      <w:r w:rsidRPr="00BB7E4A">
        <w:rPr>
          <w:rFonts w:cs="Arial"/>
          <w:szCs w:val="26"/>
        </w:rPr>
        <w:t>2110</w:t>
      </w:r>
      <w:r>
        <w:rPr>
          <w:rFonts w:cs="Arial"/>
          <w:szCs w:val="26"/>
        </w:rPr>
        <w:t> </w:t>
      </w:r>
      <w:r w:rsidRPr="00BB7E4A">
        <w:rPr>
          <w:rFonts w:cs="Arial"/>
          <w:szCs w:val="26"/>
        </w:rPr>
        <w:t>MHz and 2170</w:t>
      </w:r>
      <w:r w:rsidR="00794D1D">
        <w:rPr>
          <w:rFonts w:cs="Arial"/>
          <w:szCs w:val="26"/>
        </w:rPr>
        <w:t>–</w:t>
      </w:r>
      <w:r w:rsidRPr="00BB7E4A">
        <w:rPr>
          <w:rFonts w:cs="Arial"/>
          <w:szCs w:val="26"/>
        </w:rPr>
        <w:t>2300 MHz</w:t>
      </w:r>
      <w:r>
        <w:rPr>
          <w:rFonts w:cs="Arial"/>
          <w:szCs w:val="26"/>
        </w:rPr>
        <w:t xml:space="preserve">. </w:t>
      </w:r>
      <w:r w:rsidR="00794D1D">
        <w:rPr>
          <w:rFonts w:cs="Arial"/>
          <w:szCs w:val="26"/>
        </w:rPr>
        <w:t>It</w:t>
      </w:r>
      <w:r>
        <w:rPr>
          <w:rFonts w:cs="Arial"/>
          <w:szCs w:val="26"/>
        </w:rPr>
        <w:t xml:space="preserve"> includes advice on coordination with adjacent band 2 GHz spectrum licen</w:t>
      </w:r>
      <w:r w:rsidR="00FB371E">
        <w:rPr>
          <w:rFonts w:cs="Arial"/>
          <w:szCs w:val="26"/>
        </w:rPr>
        <w:t>ced</w:t>
      </w:r>
      <w:r>
        <w:rPr>
          <w:rFonts w:cs="Arial"/>
          <w:szCs w:val="26"/>
        </w:rPr>
        <w:t xml:space="preserve"> services and p</w:t>
      </w:r>
      <w:r w:rsidRPr="002038F1">
        <w:rPr>
          <w:rFonts w:cs="Arial"/>
          <w:szCs w:val="26"/>
        </w:rPr>
        <w:t xml:space="preserve">ublic telecommunications service </w:t>
      </w:r>
      <w:r>
        <w:rPr>
          <w:rFonts w:cs="Arial"/>
          <w:szCs w:val="26"/>
        </w:rPr>
        <w:t>(PTS) apparatus licence</w:t>
      </w:r>
      <w:r w:rsidR="00FB371E">
        <w:rPr>
          <w:rFonts w:cs="Arial"/>
          <w:szCs w:val="26"/>
        </w:rPr>
        <w:t>d</w:t>
      </w:r>
      <w:r>
        <w:rPr>
          <w:rFonts w:cs="Arial"/>
          <w:szCs w:val="26"/>
        </w:rPr>
        <w:t xml:space="preserve"> services. </w:t>
      </w:r>
      <w:r>
        <w:t xml:space="preserve"> </w:t>
      </w:r>
    </w:p>
    <w:p w14:paraId="0839D585" w14:textId="1B8FB914" w:rsidR="00FA5B6A" w:rsidRDefault="00993B86" w:rsidP="00BF614F">
      <w:r>
        <w:t xml:space="preserve">The ACMA does not coordinate </w:t>
      </w:r>
      <w:r w:rsidR="00FA5B6A">
        <w:t xml:space="preserve">TOB </w:t>
      </w:r>
      <w:r>
        <w:t>services operating in the 2 GHz band</w:t>
      </w:r>
      <w:r w:rsidR="0024690C">
        <w:t>.</w:t>
      </w:r>
      <w:r>
        <w:t xml:space="preserve"> </w:t>
      </w:r>
      <w:r>
        <w:rPr>
          <w:rFonts w:cstheme="minorHAnsi"/>
        </w:rPr>
        <w:t>TOB licensees are required to coordinate usage with other TOB licensee</w:t>
      </w:r>
      <w:r w:rsidR="00C40ADE">
        <w:rPr>
          <w:rFonts w:cstheme="minorHAnsi"/>
        </w:rPr>
        <w:t>s</w:t>
      </w:r>
      <w:r w:rsidR="00FA5B6A">
        <w:t xml:space="preserve">. </w:t>
      </w:r>
    </w:p>
    <w:p w14:paraId="3DB20E50" w14:textId="4690C324" w:rsidR="00671AEB" w:rsidRDefault="002E0468" w:rsidP="00BF614F">
      <w:r>
        <w:t>T</w:t>
      </w:r>
      <w:r w:rsidR="00E77B40">
        <w:t xml:space="preserve">here are </w:t>
      </w:r>
      <w:r>
        <w:t xml:space="preserve">currently </w:t>
      </w:r>
      <w:r w:rsidR="00D61554">
        <w:t>22</w:t>
      </w:r>
      <w:r w:rsidR="00671AEB">
        <w:t xml:space="preserve"> </w:t>
      </w:r>
      <w:r w:rsidR="00664F06">
        <w:t>T</w:t>
      </w:r>
      <w:r w:rsidR="008D3E9B">
        <w:t>OB services in the 2 GHz band</w:t>
      </w:r>
      <w:r w:rsidR="00671AEB" w:rsidRPr="002D1EB1">
        <w:t xml:space="preserve"> </w:t>
      </w:r>
      <w:r w:rsidR="00671AEB">
        <w:t>used by</w:t>
      </w:r>
      <w:r w:rsidR="00F716A9">
        <w:t xml:space="preserve"> various</w:t>
      </w:r>
      <w:r w:rsidR="00671AEB">
        <w:t xml:space="preserve"> video production organisations</w:t>
      </w:r>
      <w:r w:rsidR="00671AEB" w:rsidRPr="002D1EB1">
        <w:t xml:space="preserve"> </w:t>
      </w:r>
      <w:r w:rsidR="00671AEB">
        <w:t>that have</w:t>
      </w:r>
      <w:r w:rsidR="00671AEB" w:rsidRPr="002D1EB1">
        <w:t xml:space="preserve"> a mixture of area-wide and site-specific licences.</w:t>
      </w:r>
      <w:r w:rsidR="00E77B40">
        <w:t xml:space="preserve"> The site</w:t>
      </w:r>
      <w:r w:rsidR="00794D1D">
        <w:t>-</w:t>
      </w:r>
      <w:r w:rsidR="00E77B40">
        <w:t>specific TOB apparatus licences are located in Melbourne, Adelaide and Perth.</w:t>
      </w:r>
    </w:p>
    <w:p w14:paraId="70A0BB8D" w14:textId="343F1DB0" w:rsidR="00E63C1A" w:rsidRDefault="00F716A9" w:rsidP="00B60DDB">
      <w:pPr>
        <w:keepNext/>
        <w:keepLines/>
        <w:spacing w:before="80" w:line="240" w:lineRule="auto"/>
      </w:pPr>
      <w:r w:rsidRPr="009F2EF4">
        <w:t>Th</w:t>
      </w:r>
      <w:r>
        <w:t>e 2 GHz band was extensively used during the 2018 Gold Coast Commonwealth Games special event to support the high number of wireless cameras used.</w:t>
      </w:r>
    </w:p>
    <w:p w14:paraId="741EAAB6" w14:textId="77777777" w:rsidR="0015004B" w:rsidRDefault="0015004B" w:rsidP="0015004B">
      <w:pPr>
        <w:pStyle w:val="Heading3"/>
      </w:pPr>
      <w:bookmarkStart w:id="19" w:name="_Toc525659969"/>
      <w:bookmarkStart w:id="20" w:name="_Toc14266321"/>
      <w:r>
        <w:t>Fixed (point-to-point) services</w:t>
      </w:r>
      <w:bookmarkEnd w:id="19"/>
      <w:bookmarkEnd w:id="20"/>
    </w:p>
    <w:p w14:paraId="02CB0566" w14:textId="5FA22774" w:rsidR="00680907" w:rsidRDefault="004856AF" w:rsidP="0015004B">
      <w:pPr>
        <w:pStyle w:val="ListBulletLast"/>
        <w:numPr>
          <w:ilvl w:val="0"/>
          <w:numId w:val="0"/>
        </w:numPr>
      </w:pPr>
      <w:r>
        <w:t>Arrangements for fixed p</w:t>
      </w:r>
      <w:r w:rsidR="0015004B" w:rsidRPr="007A39A0">
        <w:t>oint</w:t>
      </w:r>
      <w:r w:rsidR="0015004B">
        <w:t>-</w:t>
      </w:r>
      <w:r w:rsidR="0015004B" w:rsidRPr="007A39A0">
        <w:t>to</w:t>
      </w:r>
      <w:r w:rsidR="0015004B">
        <w:t>-</w:t>
      </w:r>
      <w:r w:rsidR="0015004B" w:rsidRPr="007A39A0">
        <w:t xml:space="preserve">point services </w:t>
      </w:r>
      <w:r w:rsidR="00FB371E">
        <w:t xml:space="preserve">in the 2 GHz band </w:t>
      </w:r>
      <w:r w:rsidR="0015004B" w:rsidRPr="007A39A0">
        <w:t xml:space="preserve">are </w:t>
      </w:r>
      <w:r>
        <w:t>detailed in RALI</w:t>
      </w:r>
      <w:r w:rsidR="00FB371E">
        <w:t> </w:t>
      </w:r>
      <w:r>
        <w:t>FX3</w:t>
      </w:r>
      <w:r w:rsidR="0015004B" w:rsidRPr="007A39A0">
        <w:t xml:space="preserve">. </w:t>
      </w:r>
      <w:r w:rsidR="00633154">
        <w:t xml:space="preserve">The </w:t>
      </w:r>
      <w:r w:rsidR="00DD3733">
        <w:t>channelling</w:t>
      </w:r>
      <w:r w:rsidR="00633154">
        <w:t xml:space="preserve"> arrangements, detailed in RALI FX3 </w:t>
      </w:r>
      <w:r w:rsidR="009C6B45">
        <w:t>and shown in Figure</w:t>
      </w:r>
      <w:r w:rsidR="00426FC7">
        <w:t> </w:t>
      </w:r>
      <w:r w:rsidR="009C6B45">
        <w:t xml:space="preserve">1, partially </w:t>
      </w:r>
      <w:r w:rsidR="00042004">
        <w:t xml:space="preserve">encroach into the 2 GHz band. </w:t>
      </w:r>
    </w:p>
    <w:p w14:paraId="11C690D1" w14:textId="4F2766E6" w:rsidR="00E77B40" w:rsidRDefault="00A67863" w:rsidP="001D127B">
      <w:pPr>
        <w:pStyle w:val="ListBulletLast"/>
        <w:numPr>
          <w:ilvl w:val="0"/>
          <w:numId w:val="0"/>
        </w:numPr>
      </w:pPr>
      <w:r>
        <w:lastRenderedPageBreak/>
        <w:t>Under the TOB Band Plan</w:t>
      </w:r>
      <w:r w:rsidR="00794D1D">
        <w:t>,</w:t>
      </w:r>
      <w:r>
        <w:rPr>
          <w:rStyle w:val="FootnoteReference"/>
        </w:rPr>
        <w:footnoteReference w:id="7"/>
      </w:r>
      <w:r>
        <w:t xml:space="preserve"> no new fixed point-to-point links may be operated in the 2</w:t>
      </w:r>
      <w:r w:rsidR="00FB371E">
        <w:t> </w:t>
      </w:r>
      <w:r>
        <w:t xml:space="preserve">GHz band. </w:t>
      </w:r>
      <w:r w:rsidR="002E0468">
        <w:t>T</w:t>
      </w:r>
      <w:r w:rsidR="00DD5F90" w:rsidRPr="002D1EB1">
        <w:t>he</w:t>
      </w:r>
      <w:r w:rsidR="00DD5F90">
        <w:t xml:space="preserve">re are </w:t>
      </w:r>
      <w:r w:rsidR="00FD2E7D">
        <w:t xml:space="preserve">currently </w:t>
      </w:r>
      <w:r w:rsidR="00D61554">
        <w:t>14</w:t>
      </w:r>
      <w:r w:rsidR="00D61554" w:rsidRPr="002D1EB1">
        <w:t xml:space="preserve"> </w:t>
      </w:r>
      <w:r w:rsidR="00DD5F90" w:rsidRPr="002D1EB1">
        <w:t xml:space="preserve">legacy point-to-point </w:t>
      </w:r>
      <w:r w:rsidR="00C21551">
        <w:t>links</w:t>
      </w:r>
      <w:r w:rsidR="00C21551">
        <w:rPr>
          <w:rStyle w:val="FootnoteReference"/>
        </w:rPr>
        <w:footnoteReference w:id="8"/>
      </w:r>
      <w:r w:rsidR="00FD2E7D">
        <w:t xml:space="preserve">, </w:t>
      </w:r>
      <w:r w:rsidR="00DD5F90" w:rsidRPr="002D1EB1">
        <w:t>all of which are licensed to Telstra in remote areas</w:t>
      </w:r>
      <w:r w:rsidR="00FD2E7D">
        <w:t xml:space="preserve"> of Australia</w:t>
      </w:r>
      <w:r w:rsidR="00794D1D">
        <w:t>,</w:t>
      </w:r>
      <w:r w:rsidR="00042004">
        <w:t xml:space="preserve"> as shown in Figure </w:t>
      </w:r>
      <w:r w:rsidR="00DD3733">
        <w:t>2</w:t>
      </w:r>
      <w:r w:rsidR="00DD5F90">
        <w:t>.</w:t>
      </w:r>
    </w:p>
    <w:p w14:paraId="3A90D958" w14:textId="319A6758" w:rsidR="007B3E02" w:rsidRDefault="007B3E02" w:rsidP="007B3E02">
      <w:pPr>
        <w:pStyle w:val="ACMAFigureHeader"/>
        <w:keepNext/>
        <w:tabs>
          <w:tab w:val="clear" w:pos="1021"/>
          <w:tab w:val="num" w:pos="1872"/>
        </w:tabs>
        <w:spacing w:line="240" w:lineRule="atLeast"/>
      </w:pPr>
      <w:r>
        <w:t xml:space="preserve">Point-to-point </w:t>
      </w:r>
      <w:r w:rsidR="00AD0AC1">
        <w:t>links</w:t>
      </w:r>
      <w:r>
        <w:t xml:space="preserve"> in the 2 GHz band</w:t>
      </w:r>
    </w:p>
    <w:p w14:paraId="61EECFE5" w14:textId="5EE37CEC" w:rsidR="007B3E02" w:rsidRDefault="003D7B71" w:rsidP="007B3E02">
      <w:pPr>
        <w:pStyle w:val="ListBulletLast"/>
        <w:numPr>
          <w:ilvl w:val="0"/>
          <w:numId w:val="0"/>
        </w:numPr>
      </w:pPr>
      <w:r>
        <w:rPr>
          <w:noProof/>
        </w:rPr>
        <w:drawing>
          <wp:inline distT="0" distB="0" distL="0" distR="0" wp14:anchorId="68408C97" wp14:editId="2BDCB6E4">
            <wp:extent cx="4871085" cy="4360545"/>
            <wp:effectExtent l="0" t="0" r="5715" b="1905"/>
            <wp:docPr id="6" name="Picture 6" descr="Point-to-point links in the 2 GHz b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4871085" cy="4360545"/>
                    </a:xfrm>
                    <a:prstGeom prst="rect">
                      <a:avLst/>
                    </a:prstGeom>
                  </pic:spPr>
                </pic:pic>
              </a:graphicData>
            </a:graphic>
          </wp:inline>
        </w:drawing>
      </w:r>
    </w:p>
    <w:p w14:paraId="0B1B9C04" w14:textId="77777777" w:rsidR="00F05298" w:rsidRDefault="00F05298" w:rsidP="00F05298">
      <w:pPr>
        <w:pStyle w:val="Heading3"/>
      </w:pPr>
      <w:bookmarkStart w:id="21" w:name="_Toc14266322"/>
      <w:r>
        <w:t>Mobile satellite services</w:t>
      </w:r>
      <w:bookmarkEnd w:id="21"/>
    </w:p>
    <w:p w14:paraId="3D3D037F" w14:textId="772CE7D8" w:rsidR="00F05298" w:rsidRDefault="00F05298" w:rsidP="00F05298">
      <w:r>
        <w:t xml:space="preserve">While </w:t>
      </w:r>
      <w:r w:rsidR="00FB371E">
        <w:t xml:space="preserve">the </w:t>
      </w:r>
      <w:r>
        <w:t>mobile satellite service</w:t>
      </w:r>
      <w:r w:rsidR="00FB371E">
        <w:t xml:space="preserve"> (MSS)</w:t>
      </w:r>
      <w:r>
        <w:t xml:space="preserve"> </w:t>
      </w:r>
      <w:r w:rsidR="00FB371E">
        <w:t>is</w:t>
      </w:r>
      <w:r>
        <w:t xml:space="preserve"> </w:t>
      </w:r>
      <w:r w:rsidR="0043320D">
        <w:t xml:space="preserve">contemplated </w:t>
      </w:r>
      <w:r>
        <w:t xml:space="preserve">in the TOB Band Plan in the 2 GHz band, </w:t>
      </w:r>
      <w:r w:rsidR="0025724C">
        <w:t xml:space="preserve">ACMA policy (as stated in </w:t>
      </w:r>
      <w:r>
        <w:t>spectrum embargo 23</w:t>
      </w:r>
      <w:r w:rsidR="0025724C">
        <w:t xml:space="preserve">) is to limit use of the band to TOB services </w:t>
      </w:r>
      <w:r>
        <w:t xml:space="preserve">pending review of arrangements in the band. </w:t>
      </w:r>
    </w:p>
    <w:p w14:paraId="1D644917" w14:textId="3A9B0BA7" w:rsidR="00F05298" w:rsidRDefault="00F05298" w:rsidP="00B60DDB">
      <w:pPr>
        <w:pStyle w:val="Heading3"/>
        <w:keepLines/>
      </w:pPr>
      <w:bookmarkStart w:id="22" w:name="_Toc14266323"/>
      <w:r>
        <w:lastRenderedPageBreak/>
        <w:t>Short</w:t>
      </w:r>
      <w:r w:rsidR="00B32543">
        <w:t>-</w:t>
      </w:r>
      <w:r>
        <w:t>term technology demonstrations including short-term satellite applications</w:t>
      </w:r>
      <w:bookmarkEnd w:id="22"/>
    </w:p>
    <w:p w14:paraId="0ED5351E" w14:textId="40D4742F" w:rsidR="009E5409" w:rsidRDefault="00F05298" w:rsidP="00B60DDB">
      <w:pPr>
        <w:keepNext/>
        <w:keepLines/>
        <w:spacing w:before="80" w:after="0" w:line="240" w:lineRule="auto"/>
      </w:pPr>
      <w:r>
        <w:t xml:space="preserve">The ACMA has supported the use of the 2 GHz band for experimental and demonstration purposes for satellite and other uses on a </w:t>
      </w:r>
      <w:r w:rsidR="0025724C">
        <w:t>short</w:t>
      </w:r>
      <w:r w:rsidR="00FB371E">
        <w:t>-</w:t>
      </w:r>
      <w:r w:rsidR="0025724C">
        <w:t>term basis</w:t>
      </w:r>
      <w:r>
        <w:t xml:space="preserve">. </w:t>
      </w:r>
    </w:p>
    <w:p w14:paraId="2B54B3AD" w14:textId="691ADBC2" w:rsidR="00F05298" w:rsidRDefault="00F05298" w:rsidP="00B60DDB">
      <w:pPr>
        <w:keepNext/>
        <w:keepLines/>
        <w:spacing w:before="80" w:line="240" w:lineRule="auto"/>
      </w:pPr>
      <w:r>
        <w:t xml:space="preserve">Table 2 lists the short-term applications currently licenced in Australia. </w:t>
      </w:r>
      <w:r w:rsidRPr="002D1EB1">
        <w:t xml:space="preserve">There are </w:t>
      </w:r>
      <w:r w:rsidR="00FB371E">
        <w:t>four</w:t>
      </w:r>
      <w:r w:rsidR="00426FC7">
        <w:t xml:space="preserve"> </w:t>
      </w:r>
      <w:r w:rsidRPr="002D1EB1">
        <w:t>scientific assigned licences in the 2 GHz</w:t>
      </w:r>
      <w:r w:rsidR="00426FC7">
        <w:t xml:space="preserve"> band</w:t>
      </w:r>
      <w:r w:rsidRPr="002D1EB1">
        <w:t>, with two held by Fleet Space in Pinkerton Plains, South Australia</w:t>
      </w:r>
      <w:r w:rsidR="00682D8D">
        <w:t>,</w:t>
      </w:r>
      <w:r w:rsidRPr="002D1EB1">
        <w:t xml:space="preserve"> and two held by Omni</w:t>
      </w:r>
      <w:r w:rsidR="00682D8D">
        <w:t>s</w:t>
      </w:r>
      <w:r w:rsidRPr="002D1EB1">
        <w:t>pace Australia in Ararat, Victoria. Sirion Global hold</w:t>
      </w:r>
      <w:r w:rsidR="009B3734">
        <w:t>s</w:t>
      </w:r>
      <w:r w:rsidRPr="002D1EB1">
        <w:t xml:space="preserve"> a</w:t>
      </w:r>
      <w:r w:rsidR="00C54D29">
        <w:t xml:space="preserve"> short-term</w:t>
      </w:r>
      <w:r w:rsidRPr="002D1EB1">
        <w:t xml:space="preserve"> earth receive licence and a fixed earth licence in Dubbo, New South Wales.</w:t>
      </w:r>
      <w:r>
        <w:t xml:space="preserve"> </w:t>
      </w:r>
    </w:p>
    <w:p w14:paraId="58A5E273" w14:textId="3BB50853" w:rsidR="00BA1332" w:rsidRPr="002D1EB1" w:rsidRDefault="00BA1332" w:rsidP="00B60DDB">
      <w:pPr>
        <w:pStyle w:val="ACMATableHeader"/>
        <w:keepNext/>
        <w:keepLines/>
      </w:pPr>
      <w:bookmarkStart w:id="23" w:name="_Hlk13494634"/>
      <w:r w:rsidRPr="002D1EB1">
        <w:t xml:space="preserve">Number of </w:t>
      </w:r>
      <w:r>
        <w:t>short</w:t>
      </w:r>
      <w:r w:rsidR="009E5409">
        <w:t>-</w:t>
      </w:r>
      <w:r>
        <w:t xml:space="preserve">term </w:t>
      </w:r>
      <w:r w:rsidRPr="002D1EB1">
        <w:t xml:space="preserve">apparatus-licensed </w:t>
      </w:r>
      <w:r>
        <w:t xml:space="preserve">or scientific-licenced </w:t>
      </w:r>
      <w:r w:rsidRPr="002D1EB1">
        <w:t>services in the 2 GHz band</w:t>
      </w:r>
    </w:p>
    <w:tbl>
      <w:tblPr>
        <w:tblW w:w="6496" w:type="dxa"/>
        <w:tblInd w:w="1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7E0" w:firstRow="1" w:lastRow="1" w:firstColumn="1" w:lastColumn="1" w:noHBand="1" w:noVBand="1"/>
        <w:tblCaption w:val="Table title to go here"/>
        <w:tblDescription w:val="Table description to go here"/>
      </w:tblPr>
      <w:tblGrid>
        <w:gridCol w:w="1684"/>
        <w:gridCol w:w="1464"/>
        <w:gridCol w:w="1464"/>
        <w:gridCol w:w="1884"/>
      </w:tblGrid>
      <w:tr w:rsidR="00BA1332" w:rsidRPr="006D46E5" w14:paraId="60E5DD02" w14:textId="77777777" w:rsidTr="006D5F90">
        <w:tc>
          <w:tcPr>
            <w:tcW w:w="0" w:type="auto"/>
            <w:shd w:val="clear" w:color="auto" w:fill="404040" w:themeFill="text1" w:themeFillTint="BF"/>
            <w:vAlign w:val="center"/>
          </w:tcPr>
          <w:p w14:paraId="6EED2A5E" w14:textId="77777777" w:rsidR="00BA1332" w:rsidRPr="00DF4A94" w:rsidRDefault="00BA1332" w:rsidP="001E17E1">
            <w:pPr>
              <w:pStyle w:val="TableHeading"/>
              <w:keepNext/>
              <w:keepLines/>
              <w:rPr>
                <w:color w:val="FFFFFF" w:themeColor="background1"/>
              </w:rPr>
            </w:pPr>
            <w:r>
              <w:rPr>
                <w:color w:val="FFFFFF" w:themeColor="background1"/>
              </w:rPr>
              <w:t>Service</w:t>
            </w:r>
          </w:p>
        </w:tc>
        <w:tc>
          <w:tcPr>
            <w:tcW w:w="0" w:type="auto"/>
            <w:shd w:val="clear" w:color="auto" w:fill="404040" w:themeFill="text1" w:themeFillTint="BF"/>
            <w:vAlign w:val="center"/>
          </w:tcPr>
          <w:p w14:paraId="1B7F5B20" w14:textId="0D8F7F01" w:rsidR="00BA1332" w:rsidRPr="00DF4A94" w:rsidRDefault="00BA1332" w:rsidP="001E17E1">
            <w:pPr>
              <w:pStyle w:val="TableHeading"/>
              <w:keepNext/>
              <w:keepLines/>
              <w:rPr>
                <w:color w:val="FFFFFF" w:themeColor="background1"/>
              </w:rPr>
            </w:pPr>
            <w:r>
              <w:rPr>
                <w:color w:val="FFFFFF" w:themeColor="background1"/>
              </w:rPr>
              <w:t>1980</w:t>
            </w:r>
            <w:r w:rsidR="00B32543">
              <w:rPr>
                <w:color w:val="FFFFFF" w:themeColor="background1"/>
              </w:rPr>
              <w:t>–</w:t>
            </w:r>
            <w:r>
              <w:rPr>
                <w:color w:val="FFFFFF" w:themeColor="background1"/>
              </w:rPr>
              <w:t>2010 MHz</w:t>
            </w:r>
          </w:p>
        </w:tc>
        <w:tc>
          <w:tcPr>
            <w:tcW w:w="0" w:type="auto"/>
            <w:shd w:val="clear" w:color="auto" w:fill="404040" w:themeFill="text1" w:themeFillTint="BF"/>
            <w:vAlign w:val="center"/>
          </w:tcPr>
          <w:p w14:paraId="7FD7A194" w14:textId="55080588" w:rsidR="00BA1332" w:rsidRPr="00DF4A94" w:rsidRDefault="00BA1332" w:rsidP="001E17E1">
            <w:pPr>
              <w:pStyle w:val="TableHeading"/>
              <w:keepNext/>
              <w:keepLines/>
              <w:rPr>
                <w:color w:val="FFFFFF" w:themeColor="background1"/>
              </w:rPr>
            </w:pPr>
            <w:r>
              <w:rPr>
                <w:color w:val="FFFFFF" w:themeColor="background1"/>
              </w:rPr>
              <w:t>2170</w:t>
            </w:r>
            <w:r w:rsidR="00B32543">
              <w:rPr>
                <w:color w:val="FFFFFF" w:themeColor="background1"/>
              </w:rPr>
              <w:t>–</w:t>
            </w:r>
            <w:r>
              <w:rPr>
                <w:color w:val="FFFFFF" w:themeColor="background1"/>
              </w:rPr>
              <w:t>2200 MHz</w:t>
            </w:r>
          </w:p>
        </w:tc>
        <w:tc>
          <w:tcPr>
            <w:tcW w:w="0" w:type="auto"/>
            <w:shd w:val="clear" w:color="auto" w:fill="404040" w:themeFill="text1" w:themeFillTint="BF"/>
            <w:vAlign w:val="center"/>
          </w:tcPr>
          <w:p w14:paraId="0E5EAB7F" w14:textId="77777777" w:rsidR="00BA1332" w:rsidRPr="00DF4A94" w:rsidRDefault="00BA1332" w:rsidP="001E17E1">
            <w:pPr>
              <w:pStyle w:val="TableHeading"/>
              <w:keepNext/>
              <w:keepLines/>
              <w:rPr>
                <w:color w:val="FFFFFF" w:themeColor="background1"/>
              </w:rPr>
            </w:pPr>
            <w:r>
              <w:rPr>
                <w:color w:val="FFFFFF" w:themeColor="background1"/>
              </w:rPr>
              <w:t>Total of each service</w:t>
            </w:r>
          </w:p>
        </w:tc>
      </w:tr>
      <w:tr w:rsidR="00BA1332" w:rsidRPr="006D46E5" w14:paraId="4D776B40" w14:textId="77777777" w:rsidTr="006D5F90">
        <w:tc>
          <w:tcPr>
            <w:tcW w:w="0" w:type="auto"/>
            <w:shd w:val="clear" w:color="auto" w:fill="FFFFFF" w:themeFill="background1"/>
            <w:vAlign w:val="center"/>
          </w:tcPr>
          <w:p w14:paraId="6D5C8691" w14:textId="77777777" w:rsidR="00BA1332" w:rsidRPr="00E72A92" w:rsidRDefault="00BA1332" w:rsidP="001E17E1">
            <w:pPr>
              <w:keepNext/>
              <w:keepLines/>
              <w:spacing w:after="0" w:line="240" w:lineRule="auto"/>
              <w:rPr>
                <w:rFonts w:ascii="Calibri" w:hAnsi="Calibri"/>
                <w:color w:val="000000"/>
                <w:sz w:val="22"/>
                <w:szCs w:val="22"/>
              </w:rPr>
            </w:pPr>
            <w:r w:rsidRPr="002A5F22">
              <w:rPr>
                <w:rFonts w:ascii="Calibri" w:hAnsi="Calibri"/>
                <w:color w:val="000000"/>
                <w:sz w:val="22"/>
                <w:szCs w:val="22"/>
              </w:rPr>
              <w:t xml:space="preserve">Fixed </w:t>
            </w:r>
            <w:r>
              <w:rPr>
                <w:rFonts w:ascii="Calibri" w:hAnsi="Calibri"/>
                <w:color w:val="000000"/>
                <w:sz w:val="22"/>
                <w:szCs w:val="22"/>
              </w:rPr>
              <w:t>e</w:t>
            </w:r>
            <w:r w:rsidRPr="002A5F22">
              <w:rPr>
                <w:rFonts w:ascii="Calibri" w:hAnsi="Calibri"/>
                <w:color w:val="000000"/>
                <w:sz w:val="22"/>
                <w:szCs w:val="22"/>
              </w:rPr>
              <w:t>arth</w:t>
            </w:r>
          </w:p>
        </w:tc>
        <w:tc>
          <w:tcPr>
            <w:tcW w:w="0" w:type="auto"/>
            <w:shd w:val="clear" w:color="auto" w:fill="FFFFFF" w:themeFill="background1"/>
            <w:vAlign w:val="center"/>
          </w:tcPr>
          <w:p w14:paraId="11A357A6" w14:textId="77777777" w:rsidR="00BA1332" w:rsidRPr="00E72A92" w:rsidRDefault="00BA1332" w:rsidP="001E17E1">
            <w:pPr>
              <w:keepNext/>
              <w:keepLines/>
              <w:spacing w:after="0" w:line="240" w:lineRule="auto"/>
              <w:rPr>
                <w:rFonts w:ascii="Calibri" w:hAnsi="Calibri"/>
                <w:color w:val="000000"/>
                <w:sz w:val="22"/>
                <w:szCs w:val="22"/>
              </w:rPr>
            </w:pPr>
            <w:r>
              <w:rPr>
                <w:rFonts w:ascii="Calibri" w:hAnsi="Calibri"/>
                <w:color w:val="000000"/>
                <w:sz w:val="22"/>
                <w:szCs w:val="22"/>
              </w:rPr>
              <w:t>1</w:t>
            </w:r>
          </w:p>
        </w:tc>
        <w:tc>
          <w:tcPr>
            <w:tcW w:w="0" w:type="auto"/>
            <w:shd w:val="clear" w:color="auto" w:fill="FFFFFF" w:themeFill="background1"/>
            <w:vAlign w:val="center"/>
          </w:tcPr>
          <w:p w14:paraId="42662F3B" w14:textId="77777777" w:rsidR="00BA1332" w:rsidRPr="00E72A92" w:rsidRDefault="00BA1332" w:rsidP="001E17E1">
            <w:pPr>
              <w:keepNext/>
              <w:keepLines/>
              <w:spacing w:after="0" w:line="240" w:lineRule="auto"/>
              <w:rPr>
                <w:rFonts w:ascii="Calibri" w:hAnsi="Calibri"/>
                <w:color w:val="000000"/>
                <w:sz w:val="22"/>
                <w:szCs w:val="22"/>
              </w:rPr>
            </w:pPr>
            <w:r>
              <w:rPr>
                <w:rFonts w:ascii="Calibri" w:hAnsi="Calibri"/>
                <w:color w:val="000000"/>
                <w:sz w:val="22"/>
                <w:szCs w:val="22"/>
              </w:rPr>
              <w:t>-</w:t>
            </w:r>
          </w:p>
        </w:tc>
        <w:tc>
          <w:tcPr>
            <w:tcW w:w="0" w:type="auto"/>
            <w:shd w:val="clear" w:color="auto" w:fill="FFFFFF" w:themeFill="background1"/>
            <w:vAlign w:val="center"/>
          </w:tcPr>
          <w:p w14:paraId="652EBF8D" w14:textId="77777777" w:rsidR="00BA1332" w:rsidRPr="00E72A92" w:rsidRDefault="00BA1332" w:rsidP="001E17E1">
            <w:pPr>
              <w:keepNext/>
              <w:keepLines/>
              <w:spacing w:after="0" w:line="240" w:lineRule="auto"/>
              <w:rPr>
                <w:rFonts w:ascii="Calibri" w:hAnsi="Calibri"/>
                <w:color w:val="000000"/>
                <w:sz w:val="22"/>
                <w:szCs w:val="22"/>
              </w:rPr>
            </w:pPr>
            <w:r>
              <w:rPr>
                <w:rFonts w:ascii="Calibri" w:hAnsi="Calibri"/>
                <w:color w:val="000000"/>
                <w:sz w:val="22"/>
                <w:szCs w:val="22"/>
              </w:rPr>
              <w:t>1</w:t>
            </w:r>
          </w:p>
        </w:tc>
      </w:tr>
      <w:tr w:rsidR="00BA1332" w:rsidRPr="006D46E5" w14:paraId="7166333D" w14:textId="77777777" w:rsidTr="006D5F90">
        <w:tc>
          <w:tcPr>
            <w:tcW w:w="0" w:type="auto"/>
            <w:vAlign w:val="center"/>
          </w:tcPr>
          <w:p w14:paraId="795A46B8" w14:textId="77777777" w:rsidR="00BA1332" w:rsidRPr="00E72A92" w:rsidRDefault="00BA1332" w:rsidP="001E17E1">
            <w:pPr>
              <w:keepNext/>
              <w:keepLines/>
              <w:spacing w:after="0" w:line="240" w:lineRule="auto"/>
              <w:rPr>
                <w:rFonts w:ascii="Calibri" w:hAnsi="Calibri"/>
                <w:color w:val="000000"/>
                <w:sz w:val="22"/>
                <w:szCs w:val="22"/>
              </w:rPr>
            </w:pPr>
            <w:r w:rsidRPr="002A5F22">
              <w:rPr>
                <w:rFonts w:ascii="Calibri" w:hAnsi="Calibri"/>
                <w:color w:val="000000"/>
                <w:sz w:val="22"/>
                <w:szCs w:val="22"/>
              </w:rPr>
              <w:t xml:space="preserve">Earth </w:t>
            </w:r>
            <w:r>
              <w:rPr>
                <w:rFonts w:ascii="Calibri" w:hAnsi="Calibri"/>
                <w:color w:val="000000"/>
                <w:sz w:val="22"/>
                <w:szCs w:val="22"/>
              </w:rPr>
              <w:t>r</w:t>
            </w:r>
            <w:r w:rsidRPr="002A5F22">
              <w:rPr>
                <w:rFonts w:ascii="Calibri" w:hAnsi="Calibri"/>
                <w:color w:val="000000"/>
                <w:sz w:val="22"/>
                <w:szCs w:val="22"/>
              </w:rPr>
              <w:t>eceive</w:t>
            </w:r>
          </w:p>
        </w:tc>
        <w:tc>
          <w:tcPr>
            <w:tcW w:w="0" w:type="auto"/>
            <w:vAlign w:val="center"/>
          </w:tcPr>
          <w:p w14:paraId="17580432" w14:textId="77777777" w:rsidR="00BA1332" w:rsidRPr="00E72A92" w:rsidRDefault="00BA1332" w:rsidP="001E17E1">
            <w:pPr>
              <w:keepNext/>
              <w:keepLines/>
              <w:spacing w:after="0" w:line="240" w:lineRule="auto"/>
              <w:rPr>
                <w:rFonts w:ascii="Calibri" w:hAnsi="Calibri"/>
                <w:color w:val="000000"/>
                <w:sz w:val="22"/>
                <w:szCs w:val="22"/>
              </w:rPr>
            </w:pPr>
            <w:r>
              <w:rPr>
                <w:rFonts w:ascii="Calibri" w:hAnsi="Calibri"/>
                <w:color w:val="000000"/>
                <w:sz w:val="22"/>
                <w:szCs w:val="22"/>
              </w:rPr>
              <w:t>-</w:t>
            </w:r>
          </w:p>
        </w:tc>
        <w:tc>
          <w:tcPr>
            <w:tcW w:w="0" w:type="auto"/>
            <w:vAlign w:val="center"/>
          </w:tcPr>
          <w:p w14:paraId="26A5B5AD" w14:textId="77777777" w:rsidR="00BA1332" w:rsidRPr="00E72A92" w:rsidRDefault="00BA1332" w:rsidP="001E17E1">
            <w:pPr>
              <w:keepNext/>
              <w:keepLines/>
              <w:spacing w:after="0" w:line="240" w:lineRule="auto"/>
              <w:rPr>
                <w:rFonts w:ascii="Calibri" w:hAnsi="Calibri"/>
                <w:color w:val="000000"/>
                <w:sz w:val="22"/>
                <w:szCs w:val="22"/>
              </w:rPr>
            </w:pPr>
            <w:r>
              <w:rPr>
                <w:rFonts w:ascii="Calibri" w:hAnsi="Calibri"/>
                <w:color w:val="000000"/>
                <w:sz w:val="22"/>
                <w:szCs w:val="22"/>
              </w:rPr>
              <w:t>1</w:t>
            </w:r>
          </w:p>
        </w:tc>
        <w:tc>
          <w:tcPr>
            <w:tcW w:w="0" w:type="auto"/>
            <w:vAlign w:val="center"/>
          </w:tcPr>
          <w:p w14:paraId="3E377A93" w14:textId="77777777" w:rsidR="00BA1332" w:rsidRPr="00E72A92" w:rsidRDefault="00BA1332" w:rsidP="001E17E1">
            <w:pPr>
              <w:keepNext/>
              <w:keepLines/>
              <w:spacing w:after="0" w:line="240" w:lineRule="auto"/>
              <w:rPr>
                <w:rFonts w:ascii="Calibri" w:hAnsi="Calibri"/>
                <w:color w:val="000000"/>
                <w:sz w:val="22"/>
                <w:szCs w:val="22"/>
              </w:rPr>
            </w:pPr>
            <w:r>
              <w:rPr>
                <w:rFonts w:ascii="Calibri" w:hAnsi="Calibri"/>
                <w:color w:val="000000"/>
                <w:sz w:val="22"/>
                <w:szCs w:val="22"/>
              </w:rPr>
              <w:t>1</w:t>
            </w:r>
          </w:p>
        </w:tc>
      </w:tr>
      <w:tr w:rsidR="00BA1332" w:rsidRPr="006D46E5" w14:paraId="6D9DF7B2" w14:textId="77777777" w:rsidTr="006D5F90">
        <w:tc>
          <w:tcPr>
            <w:tcW w:w="0" w:type="auto"/>
            <w:shd w:val="clear" w:color="auto" w:fill="FFFFFF" w:themeFill="background1"/>
            <w:vAlign w:val="center"/>
          </w:tcPr>
          <w:p w14:paraId="78C8A331" w14:textId="77777777" w:rsidR="00BA1332" w:rsidRPr="00E72A92" w:rsidRDefault="00BA1332" w:rsidP="001E17E1">
            <w:pPr>
              <w:keepNext/>
              <w:keepLines/>
              <w:spacing w:after="0" w:line="240" w:lineRule="auto"/>
              <w:rPr>
                <w:rFonts w:ascii="Calibri" w:hAnsi="Calibri"/>
                <w:color w:val="000000"/>
                <w:sz w:val="22"/>
                <w:szCs w:val="22"/>
              </w:rPr>
            </w:pPr>
            <w:r w:rsidRPr="002A5F22">
              <w:rPr>
                <w:rFonts w:ascii="Calibri" w:hAnsi="Calibri"/>
                <w:color w:val="000000"/>
                <w:sz w:val="22"/>
                <w:szCs w:val="22"/>
              </w:rPr>
              <w:t>Scientific assigned</w:t>
            </w:r>
          </w:p>
        </w:tc>
        <w:tc>
          <w:tcPr>
            <w:tcW w:w="0" w:type="auto"/>
            <w:shd w:val="clear" w:color="auto" w:fill="FFFFFF" w:themeFill="background1"/>
            <w:vAlign w:val="center"/>
          </w:tcPr>
          <w:p w14:paraId="44298EB4" w14:textId="77777777" w:rsidR="00BA1332" w:rsidRPr="00E72A92" w:rsidRDefault="00BA1332" w:rsidP="001E17E1">
            <w:pPr>
              <w:keepNext/>
              <w:keepLines/>
              <w:spacing w:after="0" w:line="240" w:lineRule="auto"/>
              <w:rPr>
                <w:rFonts w:ascii="Calibri" w:hAnsi="Calibri"/>
                <w:color w:val="000000"/>
                <w:sz w:val="22"/>
                <w:szCs w:val="22"/>
              </w:rPr>
            </w:pPr>
            <w:r>
              <w:rPr>
                <w:rFonts w:ascii="Calibri" w:hAnsi="Calibri"/>
                <w:color w:val="000000"/>
                <w:sz w:val="22"/>
                <w:szCs w:val="22"/>
              </w:rPr>
              <w:t>2</w:t>
            </w:r>
          </w:p>
        </w:tc>
        <w:tc>
          <w:tcPr>
            <w:tcW w:w="0" w:type="auto"/>
            <w:shd w:val="clear" w:color="auto" w:fill="FFFFFF" w:themeFill="background1"/>
            <w:vAlign w:val="center"/>
          </w:tcPr>
          <w:p w14:paraId="09546BA2" w14:textId="77777777" w:rsidR="00BA1332" w:rsidRPr="00E72A92" w:rsidRDefault="00BA1332" w:rsidP="001E17E1">
            <w:pPr>
              <w:keepNext/>
              <w:keepLines/>
              <w:spacing w:after="0" w:line="240" w:lineRule="auto"/>
              <w:rPr>
                <w:rFonts w:ascii="Calibri" w:hAnsi="Calibri"/>
                <w:color w:val="000000"/>
                <w:sz w:val="22"/>
                <w:szCs w:val="22"/>
              </w:rPr>
            </w:pPr>
            <w:r>
              <w:rPr>
                <w:rFonts w:ascii="Calibri" w:hAnsi="Calibri"/>
                <w:color w:val="000000"/>
                <w:sz w:val="22"/>
                <w:szCs w:val="22"/>
              </w:rPr>
              <w:t>2</w:t>
            </w:r>
          </w:p>
        </w:tc>
        <w:tc>
          <w:tcPr>
            <w:tcW w:w="0" w:type="auto"/>
            <w:shd w:val="clear" w:color="auto" w:fill="FFFFFF" w:themeFill="background1"/>
            <w:vAlign w:val="center"/>
          </w:tcPr>
          <w:p w14:paraId="06B1C9F9" w14:textId="77777777" w:rsidR="00BA1332" w:rsidRPr="00E72A92" w:rsidRDefault="00BA1332" w:rsidP="001E17E1">
            <w:pPr>
              <w:keepNext/>
              <w:keepLines/>
              <w:spacing w:after="0" w:line="240" w:lineRule="auto"/>
              <w:rPr>
                <w:rFonts w:ascii="Calibri" w:hAnsi="Calibri"/>
                <w:color w:val="000000"/>
                <w:sz w:val="22"/>
                <w:szCs w:val="22"/>
              </w:rPr>
            </w:pPr>
            <w:r>
              <w:rPr>
                <w:rFonts w:ascii="Calibri" w:hAnsi="Calibri"/>
                <w:color w:val="000000"/>
                <w:sz w:val="22"/>
                <w:szCs w:val="22"/>
              </w:rPr>
              <w:t>4</w:t>
            </w:r>
          </w:p>
        </w:tc>
      </w:tr>
      <w:tr w:rsidR="00BA1332" w:rsidRPr="006D46E5" w14:paraId="1CCBA1CA" w14:textId="77777777" w:rsidTr="006D5F90">
        <w:tc>
          <w:tcPr>
            <w:tcW w:w="0" w:type="auto"/>
            <w:shd w:val="clear" w:color="auto" w:fill="D9D9D9" w:themeFill="background1" w:themeFillShade="D9"/>
            <w:vAlign w:val="center"/>
          </w:tcPr>
          <w:p w14:paraId="6034683D" w14:textId="77777777" w:rsidR="00BA1332" w:rsidRPr="001360C6" w:rsidRDefault="00BA1332" w:rsidP="001E17E1">
            <w:pPr>
              <w:keepNext/>
              <w:keepLines/>
              <w:spacing w:after="0" w:line="240" w:lineRule="auto"/>
              <w:rPr>
                <w:rFonts w:ascii="Calibri" w:hAnsi="Calibri"/>
                <w:b/>
                <w:color w:val="000000"/>
                <w:sz w:val="22"/>
                <w:szCs w:val="22"/>
              </w:rPr>
            </w:pPr>
            <w:r w:rsidRPr="001360C6">
              <w:rPr>
                <w:rFonts w:ascii="Calibri" w:hAnsi="Calibri"/>
                <w:b/>
                <w:color w:val="000000"/>
                <w:sz w:val="22"/>
                <w:szCs w:val="22"/>
              </w:rPr>
              <w:t>Total</w:t>
            </w:r>
            <w:r>
              <w:rPr>
                <w:rFonts w:ascii="Calibri" w:hAnsi="Calibri"/>
                <w:b/>
                <w:color w:val="000000"/>
                <w:sz w:val="22"/>
                <w:szCs w:val="22"/>
              </w:rPr>
              <w:t xml:space="preserve"> in each band</w:t>
            </w:r>
          </w:p>
        </w:tc>
        <w:tc>
          <w:tcPr>
            <w:tcW w:w="0" w:type="auto"/>
            <w:shd w:val="clear" w:color="auto" w:fill="D9D9D9" w:themeFill="background1" w:themeFillShade="D9"/>
            <w:vAlign w:val="center"/>
          </w:tcPr>
          <w:p w14:paraId="558FE0AC" w14:textId="77777777" w:rsidR="00BA1332" w:rsidRPr="001360C6" w:rsidRDefault="00BA1332" w:rsidP="001E17E1">
            <w:pPr>
              <w:keepNext/>
              <w:keepLines/>
              <w:spacing w:after="0" w:line="240" w:lineRule="auto"/>
              <w:rPr>
                <w:rFonts w:ascii="Calibri" w:hAnsi="Calibri"/>
                <w:b/>
                <w:color w:val="000000"/>
                <w:sz w:val="22"/>
                <w:szCs w:val="22"/>
              </w:rPr>
            </w:pPr>
            <w:r>
              <w:rPr>
                <w:rFonts w:ascii="Calibri" w:hAnsi="Calibri"/>
                <w:b/>
                <w:color w:val="000000"/>
                <w:sz w:val="22"/>
                <w:szCs w:val="22"/>
              </w:rPr>
              <w:t>3</w:t>
            </w:r>
          </w:p>
        </w:tc>
        <w:tc>
          <w:tcPr>
            <w:tcW w:w="0" w:type="auto"/>
            <w:shd w:val="clear" w:color="auto" w:fill="D9D9D9" w:themeFill="background1" w:themeFillShade="D9"/>
            <w:vAlign w:val="center"/>
          </w:tcPr>
          <w:p w14:paraId="0BAB11A3" w14:textId="77777777" w:rsidR="00BA1332" w:rsidRPr="001360C6" w:rsidRDefault="00BA1332" w:rsidP="001E17E1">
            <w:pPr>
              <w:keepNext/>
              <w:keepLines/>
              <w:spacing w:after="0" w:line="240" w:lineRule="auto"/>
              <w:rPr>
                <w:rFonts w:ascii="Calibri" w:hAnsi="Calibri"/>
                <w:b/>
                <w:color w:val="000000"/>
                <w:sz w:val="22"/>
                <w:szCs w:val="22"/>
              </w:rPr>
            </w:pPr>
            <w:r>
              <w:rPr>
                <w:rFonts w:ascii="Calibri" w:hAnsi="Calibri"/>
                <w:b/>
                <w:color w:val="000000"/>
                <w:sz w:val="22"/>
                <w:szCs w:val="22"/>
              </w:rPr>
              <w:t>3</w:t>
            </w:r>
          </w:p>
        </w:tc>
        <w:tc>
          <w:tcPr>
            <w:tcW w:w="0" w:type="auto"/>
            <w:shd w:val="clear" w:color="auto" w:fill="D9D9D9" w:themeFill="background1" w:themeFillShade="D9"/>
            <w:vAlign w:val="center"/>
          </w:tcPr>
          <w:p w14:paraId="3CD043F3" w14:textId="77777777" w:rsidR="00BA1332" w:rsidRPr="001360C6" w:rsidRDefault="00BA1332" w:rsidP="001E17E1">
            <w:pPr>
              <w:keepNext/>
              <w:keepLines/>
              <w:spacing w:after="0" w:line="240" w:lineRule="auto"/>
              <w:rPr>
                <w:rFonts w:ascii="Calibri" w:hAnsi="Calibri"/>
                <w:b/>
                <w:color w:val="000000"/>
                <w:sz w:val="22"/>
                <w:szCs w:val="22"/>
              </w:rPr>
            </w:pPr>
            <w:r>
              <w:rPr>
                <w:rFonts w:ascii="Calibri" w:hAnsi="Calibri"/>
                <w:b/>
                <w:color w:val="000000"/>
                <w:sz w:val="22"/>
                <w:szCs w:val="22"/>
              </w:rPr>
              <w:t>6</w:t>
            </w:r>
          </w:p>
        </w:tc>
      </w:tr>
    </w:tbl>
    <w:p w14:paraId="4B0A740F" w14:textId="506A5425" w:rsidR="00BA1332" w:rsidRPr="006F4B63" w:rsidRDefault="00BA1332" w:rsidP="00BA1332">
      <w:pPr>
        <w:keepNext/>
        <w:keepLines/>
        <w:spacing w:before="80" w:after="0" w:line="240" w:lineRule="auto"/>
        <w:rPr>
          <w:sz w:val="16"/>
          <w:szCs w:val="16"/>
        </w:rPr>
      </w:pPr>
      <w:r w:rsidRPr="006F4B63">
        <w:rPr>
          <w:i/>
          <w:sz w:val="16"/>
          <w:szCs w:val="16"/>
        </w:rPr>
        <w:t xml:space="preserve">Data taken from </w:t>
      </w:r>
      <w:hyperlink r:id="rId42" w:history="1">
        <w:r w:rsidRPr="00DF4A94">
          <w:rPr>
            <w:rStyle w:val="Hyperlink"/>
            <w:i/>
            <w:sz w:val="16"/>
            <w:szCs w:val="16"/>
          </w:rPr>
          <w:t>RRL</w:t>
        </w:r>
      </w:hyperlink>
      <w:r w:rsidRPr="006F4B63">
        <w:rPr>
          <w:sz w:val="16"/>
          <w:szCs w:val="16"/>
        </w:rPr>
        <w:t xml:space="preserve"> </w:t>
      </w:r>
      <w:r w:rsidRPr="006F4B63">
        <w:rPr>
          <w:i/>
          <w:sz w:val="16"/>
          <w:szCs w:val="16"/>
        </w:rPr>
        <w:t xml:space="preserve">as at </w:t>
      </w:r>
      <w:r>
        <w:rPr>
          <w:i/>
          <w:sz w:val="16"/>
          <w:szCs w:val="16"/>
        </w:rPr>
        <w:t>1</w:t>
      </w:r>
      <w:r w:rsidRPr="006F4B63">
        <w:rPr>
          <w:i/>
          <w:sz w:val="16"/>
          <w:szCs w:val="16"/>
        </w:rPr>
        <w:t xml:space="preserve"> </w:t>
      </w:r>
      <w:r w:rsidR="003D7B71">
        <w:rPr>
          <w:i/>
          <w:sz w:val="16"/>
          <w:szCs w:val="16"/>
        </w:rPr>
        <w:t xml:space="preserve">July </w:t>
      </w:r>
      <w:r w:rsidRPr="006F4B63">
        <w:rPr>
          <w:i/>
          <w:sz w:val="16"/>
          <w:szCs w:val="16"/>
        </w:rPr>
        <w:t>201</w:t>
      </w:r>
      <w:r>
        <w:rPr>
          <w:i/>
          <w:sz w:val="16"/>
          <w:szCs w:val="16"/>
        </w:rPr>
        <w:t>9.</w:t>
      </w:r>
    </w:p>
    <w:p w14:paraId="5ED0EEBC" w14:textId="77777777" w:rsidR="00BA1332" w:rsidRDefault="00BA1332" w:rsidP="003125BB">
      <w:pPr>
        <w:pStyle w:val="Heading3"/>
      </w:pPr>
    </w:p>
    <w:p w14:paraId="2AB12948" w14:textId="77777777" w:rsidR="003125BB" w:rsidRPr="00671AEB" w:rsidRDefault="003125BB" w:rsidP="009F2EF4"/>
    <w:p w14:paraId="66647266" w14:textId="2CDE86B0" w:rsidR="00BE4C11" w:rsidRPr="000D76E0" w:rsidRDefault="006D6F9D" w:rsidP="00777BA2">
      <w:pPr>
        <w:pStyle w:val="Heading1"/>
      </w:pPr>
      <w:bookmarkStart w:id="24" w:name="_Toc14266324"/>
      <w:bookmarkEnd w:id="23"/>
      <w:r>
        <w:lastRenderedPageBreak/>
        <w:t>International developments</w:t>
      </w:r>
      <w:bookmarkEnd w:id="24"/>
    </w:p>
    <w:p w14:paraId="1B3777AE" w14:textId="5D8807D2" w:rsidR="006D6F9D" w:rsidRDefault="006D6F9D" w:rsidP="006D6F9D">
      <w:r>
        <w:t>To provide a snapshot of global activity and trends in this band,</w:t>
      </w:r>
      <w:r w:rsidRPr="005B52F2" w:rsidDel="001D0EE5">
        <w:t xml:space="preserve"> </w:t>
      </w:r>
      <w:r>
        <w:t>t</w:t>
      </w:r>
      <w:r w:rsidRPr="005B52F2">
        <w:t xml:space="preserve">his section </w:t>
      </w:r>
      <w:r>
        <w:t>outlines</w:t>
      </w:r>
      <w:r w:rsidRPr="005B52F2">
        <w:t xml:space="preserve"> the activities </w:t>
      </w:r>
      <w:r>
        <w:t xml:space="preserve">of international and regional organisations and individual country regulatory bodies in the 2 GHz band. </w:t>
      </w:r>
    </w:p>
    <w:p w14:paraId="3D809318" w14:textId="39E1D4C5" w:rsidR="00FF3C69" w:rsidRDefault="006D6F9D" w:rsidP="00FF3C69">
      <w:pPr>
        <w:pStyle w:val="Heading2"/>
      </w:pPr>
      <w:bookmarkStart w:id="25" w:name="_Toc14266325"/>
      <w:r>
        <w:t>International organisations</w:t>
      </w:r>
      <w:bookmarkEnd w:id="25"/>
    </w:p>
    <w:p w14:paraId="27AC65E1" w14:textId="7313EDA1" w:rsidR="006D6F9D" w:rsidRPr="006D6F9D" w:rsidRDefault="006D6F9D" w:rsidP="00851DC7">
      <w:pPr>
        <w:pStyle w:val="Heading3"/>
      </w:pPr>
      <w:bookmarkStart w:id="26" w:name="_Toc14266326"/>
      <w:r>
        <w:t>International Telecommunication Union (ITU)</w:t>
      </w:r>
      <w:bookmarkEnd w:id="26"/>
    </w:p>
    <w:p w14:paraId="463B95C1" w14:textId="6FE14A2D" w:rsidR="00211575" w:rsidRDefault="00211575" w:rsidP="00211575">
      <w:r w:rsidRPr="007A39A0">
        <w:t>The international and domestic table of frequency allocation</w:t>
      </w:r>
      <w:r>
        <w:t>s</w:t>
      </w:r>
      <w:r w:rsidRPr="007A39A0">
        <w:t xml:space="preserve"> for </w:t>
      </w:r>
      <w:r>
        <w:t xml:space="preserve">the </w:t>
      </w:r>
      <w:r w:rsidRPr="007A39A0">
        <w:t xml:space="preserve">2 GHz </w:t>
      </w:r>
      <w:r>
        <w:t xml:space="preserve">band </w:t>
      </w:r>
      <w:r w:rsidRPr="007A39A0">
        <w:t>(</w:t>
      </w:r>
      <w:r>
        <w:t>1980–2010 MHz and 2170–2200 MHz</w:t>
      </w:r>
      <w:r w:rsidRPr="007A39A0">
        <w:t xml:space="preserve">) is shown in </w:t>
      </w:r>
      <w:r w:rsidR="00D91162">
        <w:t>Appendix A</w:t>
      </w:r>
      <w:r w:rsidRPr="007A39A0">
        <w:t xml:space="preserve">. The band </w:t>
      </w:r>
      <w:r>
        <w:t xml:space="preserve">is </w:t>
      </w:r>
      <w:r w:rsidRPr="007A39A0">
        <w:t>allocate</w:t>
      </w:r>
      <w:r>
        <w:t>d to</w:t>
      </w:r>
      <w:r w:rsidRPr="007A39A0">
        <w:t xml:space="preserve"> </w:t>
      </w:r>
      <w:r>
        <w:t>f</w:t>
      </w:r>
      <w:r w:rsidRPr="007A39A0">
        <w:t xml:space="preserve">ixed, </w:t>
      </w:r>
      <w:r>
        <w:t>mobile and mobile s</w:t>
      </w:r>
      <w:r w:rsidRPr="007A39A0">
        <w:t xml:space="preserve">atellite </w:t>
      </w:r>
      <w:r w:rsidR="002F6148">
        <w:t>services</w:t>
      </w:r>
      <w:r w:rsidRPr="007A39A0">
        <w:t xml:space="preserve"> on a primary basis in all three </w:t>
      </w:r>
      <w:r w:rsidR="002F6148">
        <w:t xml:space="preserve">ITU </w:t>
      </w:r>
      <w:r w:rsidR="00682D8D">
        <w:t>r</w:t>
      </w:r>
      <w:r w:rsidRPr="007A39A0">
        <w:t xml:space="preserve">egions. Australia has aligned its domestic </w:t>
      </w:r>
      <w:r w:rsidR="00C7481D">
        <w:t xml:space="preserve">service </w:t>
      </w:r>
      <w:r w:rsidRPr="007A39A0">
        <w:t xml:space="preserve">allocations to </w:t>
      </w:r>
      <w:r w:rsidR="00277927">
        <w:t>the international allocations.</w:t>
      </w:r>
    </w:p>
    <w:p w14:paraId="3159D1FF" w14:textId="66FC3C25" w:rsidR="00FA3112" w:rsidRDefault="0087211F" w:rsidP="00FA3112">
      <w:pPr>
        <w:rPr>
          <w:rFonts w:cs="Arial"/>
          <w:szCs w:val="26"/>
        </w:rPr>
      </w:pPr>
      <w:r>
        <w:rPr>
          <w:rFonts w:cs="Arial"/>
        </w:rPr>
        <w:t>Activity within this band in the ITU in recent years has focused on the use of the band for</w:t>
      </w:r>
      <w:r w:rsidR="00FB371E">
        <w:rPr>
          <w:rFonts w:cs="Arial"/>
        </w:rPr>
        <w:t xml:space="preserve"> International Mobile Telecommunications (</w:t>
      </w:r>
      <w:r>
        <w:rPr>
          <w:rFonts w:cs="Arial"/>
        </w:rPr>
        <w:t>IMT</w:t>
      </w:r>
      <w:r w:rsidR="00FB371E">
        <w:rPr>
          <w:rFonts w:cs="Arial"/>
        </w:rPr>
        <w:t>)</w:t>
      </w:r>
      <w:r>
        <w:rPr>
          <w:rFonts w:cs="Arial"/>
        </w:rPr>
        <w:t xml:space="preserve"> as well as </w:t>
      </w:r>
      <w:r w:rsidR="00166350">
        <w:rPr>
          <w:rFonts w:cs="Arial"/>
        </w:rPr>
        <w:t>sharing between IMT and the mobile-satellite service</w:t>
      </w:r>
      <w:r w:rsidR="00B039FC">
        <w:rPr>
          <w:rFonts w:cs="Arial"/>
        </w:rPr>
        <w:t xml:space="preserve">, including </w:t>
      </w:r>
      <w:r w:rsidR="00704A80">
        <w:rPr>
          <w:rFonts w:cs="Arial"/>
        </w:rPr>
        <w:t>under</w:t>
      </w:r>
      <w:r w:rsidR="00B039FC" w:rsidRPr="00B039FC">
        <w:t xml:space="preserve"> </w:t>
      </w:r>
      <w:r w:rsidR="00682D8D">
        <w:t>World Radiocommunication Conference 2019 (</w:t>
      </w:r>
      <w:r w:rsidR="00B039FC">
        <w:t>WRC-19</w:t>
      </w:r>
      <w:r w:rsidR="00682D8D">
        <w:t>)</w:t>
      </w:r>
      <w:r w:rsidR="00B039FC">
        <w:t xml:space="preserve"> agenda item 9.1 (issue 9.1.1).</w:t>
      </w:r>
      <w:r w:rsidR="00166350">
        <w:rPr>
          <w:rFonts w:cs="Arial"/>
        </w:rPr>
        <w:t xml:space="preserve"> </w:t>
      </w:r>
      <w:r w:rsidR="00FA3112">
        <w:rPr>
          <w:rFonts w:cs="Arial"/>
        </w:rPr>
        <w:t xml:space="preserve">The </w:t>
      </w:r>
      <w:r w:rsidR="00FA3112">
        <w:rPr>
          <w:rFonts w:cs="Arial"/>
          <w:szCs w:val="26"/>
        </w:rPr>
        <w:t>frequency bands 1980–2010 MHz and 2170–2200 MHz</w:t>
      </w:r>
      <w:r w:rsidR="00FA3112">
        <w:rPr>
          <w:rFonts w:cs="Arial"/>
        </w:rPr>
        <w:t xml:space="preserve"> are </w:t>
      </w:r>
      <w:r w:rsidR="00FA3112">
        <w:rPr>
          <w:rFonts w:cs="Arial"/>
          <w:szCs w:val="26"/>
        </w:rPr>
        <w:t>subject to a global IMT identification via footnote 388</w:t>
      </w:r>
      <w:r w:rsidR="00785962">
        <w:rPr>
          <w:rStyle w:val="FootnoteReference"/>
        </w:rPr>
        <w:footnoteReference w:id="9"/>
      </w:r>
      <w:r w:rsidR="00FA3112">
        <w:rPr>
          <w:rFonts w:cs="Arial"/>
          <w:szCs w:val="26"/>
        </w:rPr>
        <w:t xml:space="preserve">. In Resolution </w:t>
      </w:r>
      <w:r w:rsidR="00FA3112" w:rsidRPr="00EF6094">
        <w:rPr>
          <w:rFonts w:cs="Arial"/>
          <w:b/>
          <w:szCs w:val="26"/>
        </w:rPr>
        <w:t>212 (Rev. WRC-15),</w:t>
      </w:r>
      <w:r w:rsidR="00FA3112">
        <w:rPr>
          <w:rFonts w:cs="Arial"/>
          <w:szCs w:val="26"/>
        </w:rPr>
        <w:t xml:space="preserve"> it is noted that these frequency bands are available for use for both the terrestrial and satellite component</w:t>
      </w:r>
      <w:r w:rsidR="00C7481D">
        <w:rPr>
          <w:rFonts w:cs="Arial"/>
          <w:szCs w:val="26"/>
        </w:rPr>
        <w:t>s</w:t>
      </w:r>
      <w:r w:rsidR="00FA3112">
        <w:rPr>
          <w:rFonts w:cs="Arial"/>
          <w:szCs w:val="26"/>
        </w:rPr>
        <w:t xml:space="preserve"> of IMT.</w:t>
      </w:r>
    </w:p>
    <w:p w14:paraId="66D19E03" w14:textId="5957FEB8" w:rsidR="00851BC8" w:rsidRPr="0041207A" w:rsidRDefault="006E2CD6" w:rsidP="0041207A">
      <w:pPr>
        <w:pStyle w:val="Heading3"/>
      </w:pPr>
      <w:bookmarkStart w:id="27" w:name="_Toc14266327"/>
      <w:r>
        <w:t>Asia-Pacific Telecommunity (</w:t>
      </w:r>
      <w:r w:rsidR="00851BC8" w:rsidRPr="0041207A">
        <w:t>APT</w:t>
      </w:r>
      <w:r>
        <w:t>)</w:t>
      </w:r>
      <w:bookmarkEnd w:id="27"/>
    </w:p>
    <w:p w14:paraId="46D18E59" w14:textId="14B7E7B3" w:rsidR="00851BC8" w:rsidRDefault="006E2CD6" w:rsidP="00FA3112">
      <w:pPr>
        <w:rPr>
          <w:rFonts w:ascii="Times New Roman" w:hAnsi="Times New Roman"/>
          <w:sz w:val="24"/>
        </w:rPr>
      </w:pPr>
      <w:r>
        <w:rPr>
          <w:lang w:val="en-US" w:eastAsia="ja-JP"/>
        </w:rPr>
        <w:t xml:space="preserve">In April 2018, the APT Wireless Group (AWG) completed a </w:t>
      </w:r>
      <w:r w:rsidR="00851BC8">
        <w:rPr>
          <w:lang w:val="en-US" w:eastAsia="ja-JP"/>
        </w:rPr>
        <w:t xml:space="preserve">revision of </w:t>
      </w:r>
      <w:hyperlink r:id="rId43" w:history="1">
        <w:r w:rsidR="00851BC8" w:rsidRPr="00A60E87">
          <w:rPr>
            <w:rStyle w:val="Hyperlink"/>
            <w:lang w:val="en-US" w:eastAsia="ja-JP"/>
          </w:rPr>
          <w:t xml:space="preserve">APT Report </w:t>
        </w:r>
        <w:r w:rsidRPr="00A60E87">
          <w:rPr>
            <w:rStyle w:val="Hyperlink"/>
            <w:lang w:val="en-US" w:eastAsia="ja-JP"/>
          </w:rPr>
          <w:t>46</w:t>
        </w:r>
      </w:hyperlink>
      <w:r>
        <w:rPr>
          <w:lang w:val="en-US" w:eastAsia="ja-JP"/>
        </w:rPr>
        <w:t xml:space="preserve"> </w:t>
      </w:r>
      <w:r w:rsidR="00851BC8">
        <w:rPr>
          <w:lang w:val="en-US" w:eastAsia="ja-JP"/>
        </w:rPr>
        <w:t>on the frequency usage of the bands 1980</w:t>
      </w:r>
      <w:r w:rsidR="00682D8D">
        <w:rPr>
          <w:lang w:val="en-US" w:eastAsia="ja-JP"/>
        </w:rPr>
        <w:t>–</w:t>
      </w:r>
      <w:r w:rsidR="00851BC8">
        <w:rPr>
          <w:lang w:val="en-US" w:eastAsia="ja-JP"/>
        </w:rPr>
        <w:t>2010 MHz and 2170</w:t>
      </w:r>
      <w:r w:rsidR="00682D8D">
        <w:rPr>
          <w:lang w:val="en-US" w:eastAsia="ja-JP"/>
        </w:rPr>
        <w:t>–</w:t>
      </w:r>
      <w:r w:rsidR="00851BC8">
        <w:rPr>
          <w:lang w:val="en-US" w:eastAsia="ja-JP"/>
        </w:rPr>
        <w:t>2200 MHz.</w:t>
      </w:r>
      <w:r>
        <w:rPr>
          <w:lang w:val="en-US" w:eastAsia="ja-JP"/>
        </w:rPr>
        <w:t xml:space="preserve"> The majority of administrations have planned the 2 GHz band for a combination of mobile broadband, fixed and/or </w:t>
      </w:r>
      <w:r w:rsidR="006466B8">
        <w:rPr>
          <w:lang w:val="en-US" w:eastAsia="ja-JP"/>
        </w:rPr>
        <w:t>mobile</w:t>
      </w:r>
      <w:r w:rsidR="004A260E">
        <w:rPr>
          <w:lang w:val="en-US" w:eastAsia="ja-JP"/>
        </w:rPr>
        <w:t>-</w:t>
      </w:r>
      <w:r w:rsidR="006466B8">
        <w:rPr>
          <w:lang w:val="en-US" w:eastAsia="ja-JP"/>
        </w:rPr>
        <w:t>satellite service</w:t>
      </w:r>
      <w:r w:rsidR="004A260E">
        <w:rPr>
          <w:lang w:val="en-US" w:eastAsia="ja-JP"/>
        </w:rPr>
        <w:t>s</w:t>
      </w:r>
      <w:r>
        <w:rPr>
          <w:lang w:val="en-US" w:eastAsia="ja-JP"/>
        </w:rPr>
        <w:t xml:space="preserve">. However, the </w:t>
      </w:r>
      <w:r w:rsidR="006E6D75">
        <w:rPr>
          <w:lang w:val="en-US" w:eastAsia="ja-JP"/>
        </w:rPr>
        <w:t xml:space="preserve">APT </w:t>
      </w:r>
      <w:r>
        <w:rPr>
          <w:lang w:val="en-US" w:eastAsia="ja-JP"/>
        </w:rPr>
        <w:t>Report indicates that the 2 GHz band is under</w:t>
      </w:r>
      <w:r w:rsidR="006E6D75">
        <w:rPr>
          <w:lang w:val="en-US" w:eastAsia="ja-JP"/>
        </w:rPr>
        <w:t>-</w:t>
      </w:r>
      <w:r>
        <w:rPr>
          <w:lang w:val="en-US" w:eastAsia="ja-JP"/>
        </w:rPr>
        <w:t>utilised. A number of Asia-Pacific countries indicated their intention to re</w:t>
      </w:r>
      <w:r w:rsidR="006E6D75">
        <w:rPr>
          <w:lang w:val="en-US" w:eastAsia="ja-JP"/>
        </w:rPr>
        <w:t>-</w:t>
      </w:r>
      <w:r>
        <w:rPr>
          <w:lang w:val="en-US" w:eastAsia="ja-JP"/>
        </w:rPr>
        <w:t xml:space="preserve">plan the 2 GHz band for terrestrial mobile broadband services. China </w:t>
      </w:r>
      <w:r w:rsidR="009E5409">
        <w:rPr>
          <w:lang w:val="en-US" w:eastAsia="ja-JP"/>
        </w:rPr>
        <w:t xml:space="preserve">has </w:t>
      </w:r>
      <w:r>
        <w:rPr>
          <w:lang w:val="en-US" w:eastAsia="ja-JP"/>
        </w:rPr>
        <w:t xml:space="preserve">indicated that the 2 GHz band will continue to be used for </w:t>
      </w:r>
      <w:r w:rsidR="00447193">
        <w:rPr>
          <w:lang w:val="en-US" w:eastAsia="ja-JP"/>
        </w:rPr>
        <w:t>MSS.</w:t>
      </w:r>
      <w:r>
        <w:rPr>
          <w:lang w:val="en-US" w:eastAsia="ja-JP"/>
        </w:rPr>
        <w:t xml:space="preserve">   </w:t>
      </w:r>
    </w:p>
    <w:p w14:paraId="298DE0BF" w14:textId="77777777" w:rsidR="006D6F9D" w:rsidRDefault="006D6F9D" w:rsidP="00851DC7">
      <w:pPr>
        <w:pStyle w:val="Heading3"/>
      </w:pPr>
      <w:bookmarkStart w:id="28" w:name="_Toc14266328"/>
      <w:r>
        <w:t>European Union (EU)</w:t>
      </w:r>
      <w:bookmarkEnd w:id="28"/>
    </w:p>
    <w:p w14:paraId="7517969B" w14:textId="655BF8B1" w:rsidR="006D6F9D" w:rsidRDefault="005476A5" w:rsidP="006466B8">
      <w:r w:rsidRPr="0041207A">
        <w:rPr>
          <w:rFonts w:cs="Arial"/>
        </w:rPr>
        <w:t xml:space="preserve">The 2 GHz band was </w:t>
      </w:r>
      <w:r w:rsidR="001A787F">
        <w:rPr>
          <w:rFonts w:cs="Arial"/>
        </w:rPr>
        <w:t>designated</w:t>
      </w:r>
      <w:r w:rsidR="001A787F" w:rsidRPr="0041207A">
        <w:rPr>
          <w:rFonts w:cs="Arial"/>
        </w:rPr>
        <w:t xml:space="preserve"> </w:t>
      </w:r>
      <w:r w:rsidRPr="0041207A">
        <w:rPr>
          <w:rFonts w:cs="Arial"/>
        </w:rPr>
        <w:t>for MSS use across the EU in 200</w:t>
      </w:r>
      <w:r w:rsidR="006D7B26">
        <w:rPr>
          <w:rFonts w:cs="Arial"/>
        </w:rPr>
        <w:t>6</w:t>
      </w:r>
      <w:r w:rsidR="003A2B37">
        <w:rPr>
          <w:rFonts w:cs="Arial"/>
        </w:rPr>
        <w:t xml:space="preserve"> in</w:t>
      </w:r>
      <w:r w:rsidR="003A2B37" w:rsidRPr="003A2B37">
        <w:t xml:space="preserve"> </w:t>
      </w:r>
      <w:r w:rsidR="003A2B37" w:rsidRPr="003A2B37">
        <w:rPr>
          <w:rFonts w:cs="Arial"/>
        </w:rPr>
        <w:t>ECC Decision ECC/DEC/(06)09</w:t>
      </w:r>
      <w:r w:rsidR="003A2B37">
        <w:rPr>
          <w:rStyle w:val="FootnoteReference"/>
          <w:rFonts w:cs="Arial"/>
        </w:rPr>
        <w:footnoteReference w:id="10"/>
      </w:r>
      <w:r w:rsidRPr="0041207A">
        <w:rPr>
          <w:rFonts w:cs="Arial"/>
        </w:rPr>
        <w:t>. In 2009 Inmarsat and Solaris (now EchoStar) were awarded MSS spectrum access rights across the EU under an EU-led pan-European harmonised selection and award process.</w:t>
      </w:r>
      <w:bookmarkStart w:id="29" w:name="_Ref8028423"/>
      <w:r w:rsidRPr="0041207A">
        <w:rPr>
          <w:rFonts w:cs="Arial"/>
          <w:sz w:val="22"/>
          <w:vertAlign w:val="superscript"/>
        </w:rPr>
        <w:footnoteReference w:id="11"/>
      </w:r>
      <w:bookmarkEnd w:id="29"/>
      <w:r w:rsidR="006466B8">
        <w:rPr>
          <w:rFonts w:cs="Arial"/>
        </w:rPr>
        <w:t xml:space="preserve"> T</w:t>
      </w:r>
      <w:r w:rsidR="00C16343" w:rsidRPr="00C16343">
        <w:t xml:space="preserve">he </w:t>
      </w:r>
      <w:r w:rsidR="006466B8">
        <w:t xml:space="preserve">2 GHz band continues to be </w:t>
      </w:r>
      <w:r w:rsidR="00C16343" w:rsidRPr="00C16343">
        <w:t xml:space="preserve">prioritised for MSS </w:t>
      </w:r>
      <w:r w:rsidR="0014326B">
        <w:t xml:space="preserve">with </w:t>
      </w:r>
      <w:r w:rsidR="0014326B" w:rsidRPr="0014326B">
        <w:t>Complementary Ground Component (CGC)</w:t>
      </w:r>
      <w:r w:rsidR="0014326B">
        <w:t xml:space="preserve"> </w:t>
      </w:r>
      <w:r w:rsidR="00C16343" w:rsidRPr="00C16343">
        <w:t xml:space="preserve">use in </w:t>
      </w:r>
      <w:r w:rsidR="006466B8">
        <w:t>the EU</w:t>
      </w:r>
      <w:r w:rsidR="00C16343" w:rsidRPr="00C16343">
        <w:t xml:space="preserve">. </w:t>
      </w:r>
    </w:p>
    <w:p w14:paraId="731AA2BD" w14:textId="13886463" w:rsidR="00BC04CE" w:rsidRPr="00C16343" w:rsidRDefault="0014760F" w:rsidP="006466B8">
      <w:r>
        <w:rPr>
          <w:rFonts w:cs="Arial"/>
        </w:rPr>
        <w:t>T</w:t>
      </w:r>
      <w:r w:rsidRPr="00767D81">
        <w:rPr>
          <w:rFonts w:cs="Arial"/>
        </w:rPr>
        <w:t>he European Aviation Network (EAN)</w:t>
      </w:r>
      <w:r>
        <w:rPr>
          <w:rFonts w:cs="Arial"/>
        </w:rPr>
        <w:t xml:space="preserve"> became operational in March 2019</w:t>
      </w:r>
      <w:r w:rsidR="00F262A5">
        <w:rPr>
          <w:rStyle w:val="FootnoteReference"/>
          <w:rFonts w:cs="Arial"/>
        </w:rPr>
        <w:footnoteReference w:id="12"/>
      </w:r>
      <w:r w:rsidR="00F262A5">
        <w:rPr>
          <w:rFonts w:cs="Arial"/>
        </w:rPr>
        <w:t xml:space="preserve"> </w:t>
      </w:r>
      <w:r>
        <w:rPr>
          <w:rFonts w:cs="Arial"/>
        </w:rPr>
        <w:t>and provides</w:t>
      </w:r>
      <w:r w:rsidR="000618E2">
        <w:rPr>
          <w:rFonts w:cs="Arial"/>
        </w:rPr>
        <w:t xml:space="preserve"> an</w:t>
      </w:r>
      <w:r w:rsidRPr="00767D81">
        <w:rPr>
          <w:rFonts w:cs="Arial"/>
        </w:rPr>
        <w:t xml:space="preserve"> integrated satellite</w:t>
      </w:r>
      <w:r w:rsidR="0014326B">
        <w:rPr>
          <w:rFonts w:cs="Arial"/>
        </w:rPr>
        <w:t xml:space="preserve"> </w:t>
      </w:r>
      <w:r w:rsidRPr="00767D81">
        <w:rPr>
          <w:rFonts w:cs="Arial"/>
        </w:rPr>
        <w:t xml:space="preserve">and complementary LTE-based terrestrial network </w:t>
      </w:r>
      <w:r>
        <w:rPr>
          <w:rFonts w:cs="Arial"/>
        </w:rPr>
        <w:t>across</w:t>
      </w:r>
      <w:r w:rsidRPr="00767D81">
        <w:rPr>
          <w:rFonts w:cs="Arial"/>
        </w:rPr>
        <w:t xml:space="preserve"> Europe</w:t>
      </w:r>
      <w:r w:rsidR="0014326B">
        <w:rPr>
          <w:rFonts w:cs="Arial"/>
        </w:rPr>
        <w:t xml:space="preserve"> using the 2 GHz band</w:t>
      </w:r>
      <w:r w:rsidRPr="00767D81">
        <w:rPr>
          <w:rFonts w:cs="Arial"/>
        </w:rPr>
        <w:t xml:space="preserve">. </w:t>
      </w:r>
      <w:r>
        <w:rPr>
          <w:rFonts w:cs="Arial"/>
        </w:rPr>
        <w:t>It utilises some</w:t>
      </w:r>
      <w:r w:rsidRPr="00767D81">
        <w:rPr>
          <w:rFonts w:cs="Arial"/>
        </w:rPr>
        <w:t xml:space="preserve"> 300 base stations across the European Union.</w:t>
      </w:r>
      <w:r>
        <w:rPr>
          <w:rFonts w:cs="Arial"/>
        </w:rPr>
        <w:t xml:space="preserve"> </w:t>
      </w:r>
    </w:p>
    <w:p w14:paraId="588FA649" w14:textId="4306F0E7" w:rsidR="006D6F9D" w:rsidRDefault="0061786E" w:rsidP="00851DC7">
      <w:pPr>
        <w:pStyle w:val="Heading3"/>
      </w:pPr>
      <w:bookmarkStart w:id="30" w:name="_Toc14266329"/>
      <w:r w:rsidRPr="003A3D8F">
        <w:lastRenderedPageBreak/>
        <w:t>3rd Generation Partnership Project</w:t>
      </w:r>
      <w:r>
        <w:t xml:space="preserve"> (</w:t>
      </w:r>
      <w:r w:rsidR="006D6F9D">
        <w:t>3GPP</w:t>
      </w:r>
      <w:bookmarkEnd w:id="30"/>
      <w:r>
        <w:t>)</w:t>
      </w:r>
    </w:p>
    <w:p w14:paraId="65478412" w14:textId="28FED43B" w:rsidR="00C16343" w:rsidRPr="00FE195C" w:rsidRDefault="003A3D8F">
      <w:r>
        <w:t xml:space="preserve">The </w:t>
      </w:r>
      <w:r w:rsidRPr="003A3D8F">
        <w:t>3rd Generation Partnership Project is a standards organi</w:t>
      </w:r>
      <w:r w:rsidR="00C7481D">
        <w:t>s</w:t>
      </w:r>
      <w:r w:rsidRPr="003A3D8F">
        <w:t>ation which develops protocols for mobile telephony</w:t>
      </w:r>
      <w:r w:rsidR="00D337C0">
        <w:t xml:space="preserve">, including </w:t>
      </w:r>
      <w:r w:rsidR="00DE28B0">
        <w:t xml:space="preserve">specifications </w:t>
      </w:r>
      <w:r w:rsidR="00D337C0">
        <w:t xml:space="preserve">for specific </w:t>
      </w:r>
      <w:r w:rsidR="00DE28B0">
        <w:t xml:space="preserve">frequency bands. </w:t>
      </w:r>
      <w:r w:rsidR="007C4FF8">
        <w:t>3GPP band 65 encompasses the 2 GHz band</w:t>
      </w:r>
      <w:r w:rsidR="0084620E">
        <w:t xml:space="preserve"> (1920</w:t>
      </w:r>
      <w:r w:rsidR="00474122">
        <w:t>–</w:t>
      </w:r>
      <w:r w:rsidR="0014326B">
        <w:t>201</w:t>
      </w:r>
      <w:r w:rsidR="0084620E">
        <w:t>0 MHz (uplink)</w:t>
      </w:r>
      <w:r w:rsidR="00474122">
        <w:t xml:space="preserve"> and </w:t>
      </w:r>
      <w:r w:rsidR="0084620E">
        <w:t>2110</w:t>
      </w:r>
      <w:r w:rsidR="00474122">
        <w:t>–</w:t>
      </w:r>
      <w:r w:rsidR="0084620E">
        <w:t>2</w:t>
      </w:r>
      <w:r w:rsidR="0014326B">
        <w:t>20</w:t>
      </w:r>
      <w:r w:rsidR="0084620E">
        <w:t>0</w:t>
      </w:r>
      <w:r w:rsidR="00AD5430">
        <w:t> </w:t>
      </w:r>
      <w:r w:rsidR="0084620E">
        <w:t>MHz (downlink)</w:t>
      </w:r>
      <w:r w:rsidR="00345F1D">
        <w:t>)</w:t>
      </w:r>
      <w:r w:rsidR="0084620E">
        <w:t xml:space="preserve">. </w:t>
      </w:r>
      <w:r w:rsidR="00C16343" w:rsidRPr="00C16343">
        <w:t>Australia has adopted</w:t>
      </w:r>
      <w:r w:rsidR="0084620E">
        <w:t xml:space="preserve"> arrangements in </w:t>
      </w:r>
      <w:r w:rsidR="00C16343" w:rsidRPr="00C16343">
        <w:t>3GPP band 1</w:t>
      </w:r>
      <w:r w:rsidR="007C4FF8">
        <w:t xml:space="preserve"> (</w:t>
      </w:r>
      <w:r w:rsidR="00C16343" w:rsidRPr="00C16343">
        <w:t>1920</w:t>
      </w:r>
      <w:r w:rsidR="00345F1D">
        <w:t>–</w:t>
      </w:r>
      <w:r w:rsidR="00C16343" w:rsidRPr="00C16343">
        <w:t xml:space="preserve">1980 MHz </w:t>
      </w:r>
      <w:r w:rsidR="007C4FF8">
        <w:t>(uplink)</w:t>
      </w:r>
      <w:r w:rsidR="00345F1D">
        <w:t xml:space="preserve"> and</w:t>
      </w:r>
      <w:r w:rsidR="007C4FF8">
        <w:t xml:space="preserve"> </w:t>
      </w:r>
      <w:r w:rsidR="00C16343" w:rsidRPr="00C16343">
        <w:t>2110</w:t>
      </w:r>
      <w:r w:rsidR="00345F1D">
        <w:t>–</w:t>
      </w:r>
      <w:r w:rsidR="00C16343" w:rsidRPr="00C16343">
        <w:t xml:space="preserve">2170 MHz </w:t>
      </w:r>
      <w:r w:rsidR="007C4FF8">
        <w:t>(downlink)</w:t>
      </w:r>
      <w:r w:rsidR="00345F1D">
        <w:t>)</w:t>
      </w:r>
      <w:r w:rsidR="0014326B">
        <w:t xml:space="preserve"> for terrestrial mobile broadband services</w:t>
      </w:r>
      <w:r w:rsidR="00345F1D">
        <w:t>,</w:t>
      </w:r>
      <w:r w:rsidR="0084620E">
        <w:t xml:space="preserve"> which is a subset of 3GPP band 65</w:t>
      </w:r>
      <w:r w:rsidR="00345F1D">
        <w:t>,</w:t>
      </w:r>
      <w:r w:rsidR="00285C2B">
        <w:t xml:space="preserve"> excluding the 2 GHz band</w:t>
      </w:r>
      <w:r w:rsidR="0084620E">
        <w:t>.</w:t>
      </w:r>
      <w:r w:rsidR="00C16343" w:rsidRPr="00C16343">
        <w:t xml:space="preserve"> </w:t>
      </w:r>
    </w:p>
    <w:p w14:paraId="25FA4A84" w14:textId="099CF3F4" w:rsidR="006D6F9D" w:rsidRDefault="006D6F9D" w:rsidP="00851DC7">
      <w:pPr>
        <w:pStyle w:val="Heading2"/>
      </w:pPr>
      <w:bookmarkStart w:id="31" w:name="_Toc14266330"/>
      <w:r>
        <w:t>Other national regulators</w:t>
      </w:r>
      <w:bookmarkEnd w:id="31"/>
    </w:p>
    <w:p w14:paraId="01BC1E75" w14:textId="77777777" w:rsidR="006D6F9D" w:rsidRDefault="006D6F9D" w:rsidP="00851DC7">
      <w:pPr>
        <w:pStyle w:val="Heading3"/>
      </w:pPr>
      <w:bookmarkStart w:id="32" w:name="_Toc14266331"/>
      <w:r>
        <w:t>Ofcom, United Kingdom</w:t>
      </w:r>
      <w:bookmarkEnd w:id="32"/>
    </w:p>
    <w:p w14:paraId="507FFD02" w14:textId="53209A39" w:rsidR="0084620E" w:rsidRPr="003329BD" w:rsidRDefault="0084620E" w:rsidP="003329BD">
      <w:r w:rsidRPr="003329BD">
        <w:t>The United Kingdom w</w:t>
      </w:r>
      <w:r w:rsidR="009E5409">
        <w:t>as</w:t>
      </w:r>
      <w:r w:rsidRPr="003329BD">
        <w:t xml:space="preserve"> part of the harmonised selection and award process for the 2</w:t>
      </w:r>
      <w:r w:rsidR="00241AF6">
        <w:t> </w:t>
      </w:r>
      <w:r w:rsidRPr="003329BD">
        <w:t>GHz band 2009</w:t>
      </w:r>
      <w:r w:rsidR="00241AF6">
        <w:t>,</w:t>
      </w:r>
      <w:r w:rsidRPr="003329BD">
        <w:t xml:space="preserve"> which saw MSS spectrum access rights awarded to Inmarsat and Solaris (now EchoStar) across the EU. </w:t>
      </w:r>
    </w:p>
    <w:p w14:paraId="38A5B573" w14:textId="588669D1" w:rsidR="0084620E" w:rsidRPr="003329BD" w:rsidRDefault="0084620E" w:rsidP="003329BD">
      <w:r w:rsidRPr="003329BD">
        <w:t xml:space="preserve">In 2009, Ofcom developed arrangements for terrestrial base stations (known as the Complementary Ground Components, or CGCs) to be used as part of the MSS system by both MSS operators. </w:t>
      </w:r>
    </w:p>
    <w:p w14:paraId="777B2380" w14:textId="3B8C5685" w:rsidR="0048553A" w:rsidRDefault="005F56A6" w:rsidP="00D05189">
      <w:r w:rsidRPr="003329BD">
        <w:t>As the system evolved,</w:t>
      </w:r>
      <w:r w:rsidR="005476A5" w:rsidRPr="003329BD">
        <w:t xml:space="preserve"> Inmarsat </w:t>
      </w:r>
      <w:r w:rsidRPr="003329BD">
        <w:t xml:space="preserve">developed plans to </w:t>
      </w:r>
      <w:r w:rsidR="005476A5" w:rsidRPr="003329BD">
        <w:t xml:space="preserve">use its radio spectrum assignment to deliver broadband services to aircraft, through a system comprised of a satellite </w:t>
      </w:r>
      <w:r w:rsidR="0061786E">
        <w:t xml:space="preserve">and terrestrial </w:t>
      </w:r>
      <w:r w:rsidR="005476A5" w:rsidRPr="003329BD">
        <w:t xml:space="preserve">component. As such, Inmarsat requested that Ofcom consider the authorisation regime for the CGC base stations that form part of their proposed system. Following this request, in 2016 </w:t>
      </w:r>
      <w:r w:rsidRPr="003329BD">
        <w:t xml:space="preserve">Ofcom developed arrangements which facilitated the use of the </w:t>
      </w:r>
      <w:r w:rsidR="005476A5" w:rsidRPr="003329BD">
        <w:t>aeronautical service</w:t>
      </w:r>
      <w:r w:rsidRPr="003329BD">
        <w:t xml:space="preserve"> in the 2 GHz band.</w:t>
      </w:r>
      <w:r w:rsidRPr="003329BD">
        <w:rPr>
          <w:vertAlign w:val="superscript"/>
        </w:rPr>
        <w:fldChar w:fldCharType="begin"/>
      </w:r>
      <w:r w:rsidRPr="003329BD">
        <w:rPr>
          <w:vertAlign w:val="superscript"/>
        </w:rPr>
        <w:instrText xml:space="preserve"> NOTEREF _Ref8028423 \h  \* MERGEFORMAT </w:instrText>
      </w:r>
      <w:r w:rsidRPr="003329BD">
        <w:rPr>
          <w:vertAlign w:val="superscript"/>
        </w:rPr>
      </w:r>
      <w:r w:rsidRPr="003329BD">
        <w:rPr>
          <w:vertAlign w:val="superscript"/>
        </w:rPr>
        <w:fldChar w:fldCharType="separate"/>
      </w:r>
      <w:r w:rsidR="00DB7AA1">
        <w:rPr>
          <w:vertAlign w:val="superscript"/>
        </w:rPr>
        <w:t>10</w:t>
      </w:r>
      <w:r w:rsidRPr="003329BD">
        <w:rPr>
          <w:vertAlign w:val="superscript"/>
        </w:rPr>
        <w:fldChar w:fldCharType="end"/>
      </w:r>
      <w:r w:rsidRPr="003329BD">
        <w:rPr>
          <w:vertAlign w:val="superscript"/>
        </w:rPr>
        <w:t xml:space="preserve"> </w:t>
      </w:r>
    </w:p>
    <w:p w14:paraId="61864499" w14:textId="39D5416E" w:rsidR="006D6F9D" w:rsidRDefault="006D6F9D" w:rsidP="005476A5">
      <w:pPr>
        <w:pStyle w:val="Heading3"/>
      </w:pPr>
      <w:bookmarkStart w:id="33" w:name="_Toc14266332"/>
      <w:r>
        <w:t>F</w:t>
      </w:r>
      <w:r w:rsidR="0061786E">
        <w:t xml:space="preserve">ederal </w:t>
      </w:r>
      <w:r w:rsidR="00C16343">
        <w:t>C</w:t>
      </w:r>
      <w:r w:rsidR="0061786E">
        <w:t xml:space="preserve">ommunications </w:t>
      </w:r>
      <w:r w:rsidR="00C16343">
        <w:t>C</w:t>
      </w:r>
      <w:r w:rsidR="0061786E">
        <w:t>ommission (FCC)</w:t>
      </w:r>
      <w:r>
        <w:t>, United States</w:t>
      </w:r>
      <w:bookmarkEnd w:id="33"/>
    </w:p>
    <w:p w14:paraId="2DCBC1AB" w14:textId="0D845CC6" w:rsidR="00C8030F" w:rsidRDefault="004F67DD" w:rsidP="00C8030F">
      <w:r>
        <w:t>In the United States</w:t>
      </w:r>
      <w:r w:rsidR="0061786E">
        <w:t>,</w:t>
      </w:r>
      <w:r w:rsidR="00C8030F">
        <w:t xml:space="preserve"> the </w:t>
      </w:r>
      <w:r w:rsidR="007156D4">
        <w:t>2 GHz bands are planned for a mix of advanced wireless services (AWS) and b</w:t>
      </w:r>
      <w:r w:rsidR="007156D4" w:rsidRPr="007156D4">
        <w:t xml:space="preserve">roadband </w:t>
      </w:r>
      <w:r w:rsidR="007156D4">
        <w:t>p</w:t>
      </w:r>
      <w:r w:rsidR="007156D4" w:rsidRPr="007156D4">
        <w:t xml:space="preserve">ersonal </w:t>
      </w:r>
      <w:r w:rsidR="007156D4">
        <w:t>c</w:t>
      </w:r>
      <w:r w:rsidR="007156D4" w:rsidRPr="007156D4">
        <w:t xml:space="preserve">ommunications </w:t>
      </w:r>
      <w:r w:rsidR="007156D4">
        <w:t>s</w:t>
      </w:r>
      <w:r w:rsidR="007156D4" w:rsidRPr="007156D4">
        <w:t>ervice</w:t>
      </w:r>
      <w:r w:rsidR="007156D4">
        <w:t>s</w:t>
      </w:r>
      <w:r w:rsidR="007156D4" w:rsidRPr="007156D4">
        <w:t xml:space="preserve"> (PCS)</w:t>
      </w:r>
      <w:r w:rsidR="007156D4">
        <w:t xml:space="preserve"> for cellular mobile</w:t>
      </w:r>
      <w:r w:rsidR="0061786E">
        <w:t>-</w:t>
      </w:r>
      <w:r w:rsidR="007156D4">
        <w:t>type services, and MSS.</w:t>
      </w:r>
      <w:r w:rsidR="00384FD0">
        <w:t xml:space="preserve"> These arrangements are</w:t>
      </w:r>
      <w:r w:rsidR="00D541B8">
        <w:t xml:space="preserve"> </w:t>
      </w:r>
      <w:r w:rsidR="00851F49">
        <w:t>largely</w:t>
      </w:r>
      <w:r w:rsidR="00D541B8">
        <w:t xml:space="preserve"> unique</w:t>
      </w:r>
      <w:r w:rsidR="00851F49">
        <w:t xml:space="preserve"> to North America</w:t>
      </w:r>
      <w:r w:rsidR="00D541B8">
        <w:t xml:space="preserve"> and </w:t>
      </w:r>
      <w:r w:rsidR="00E5029B">
        <w:t>incompatible</w:t>
      </w:r>
      <w:r w:rsidR="00D541B8">
        <w:t xml:space="preserve"> with arrangements in Australia</w:t>
      </w:r>
      <w:r w:rsidR="00292FF2">
        <w:t xml:space="preserve"> and </w:t>
      </w:r>
      <w:r w:rsidR="00C7481D">
        <w:t xml:space="preserve">many </w:t>
      </w:r>
      <w:r w:rsidR="00292FF2">
        <w:t>other parts of the world</w:t>
      </w:r>
      <w:r w:rsidR="00E5029B">
        <w:t xml:space="preserve"> for mobile broadband services in the </w:t>
      </w:r>
      <w:r w:rsidR="00EA223C">
        <w:t>1800 MHz and 2</w:t>
      </w:r>
      <w:r w:rsidR="0043320D">
        <w:t>.1</w:t>
      </w:r>
      <w:r w:rsidR="00EA223C">
        <w:t xml:space="preserve"> GHz</w:t>
      </w:r>
      <w:r w:rsidR="0043320D">
        <w:t xml:space="preserve"> spectrum licensed</w:t>
      </w:r>
      <w:r w:rsidR="00EA223C">
        <w:t xml:space="preserve"> frequency bands. This is</w:t>
      </w:r>
      <w:r w:rsidR="002A3A14">
        <w:t xml:space="preserve"> due to differences in the </w:t>
      </w:r>
      <w:r w:rsidR="00EA223C">
        <w:t xml:space="preserve">actual </w:t>
      </w:r>
      <w:r w:rsidR="00765E0B">
        <w:t>frequency bands</w:t>
      </w:r>
      <w:r w:rsidR="00EA223C">
        <w:t xml:space="preserve"> allocated as well as the</w:t>
      </w:r>
      <w:r w:rsidR="002A3A14">
        <w:t xml:space="preserve"> frequency separation and site-sense of these allocations</w:t>
      </w:r>
      <w:r w:rsidR="00D541B8">
        <w:t xml:space="preserve">. </w:t>
      </w:r>
      <w:r w:rsidR="007156D4">
        <w:t xml:space="preserve"> </w:t>
      </w:r>
    </w:p>
    <w:p w14:paraId="6B8E5EDC" w14:textId="32139F0C" w:rsidR="00765B74" w:rsidRPr="00765B74" w:rsidRDefault="007156D4" w:rsidP="006E504B">
      <w:r>
        <w:t>The AWS-4 spectrum (</w:t>
      </w:r>
      <w:r w:rsidRPr="007156D4">
        <w:t>2000</w:t>
      </w:r>
      <w:r w:rsidR="0061786E">
        <w:t>–</w:t>
      </w:r>
      <w:r w:rsidRPr="007156D4">
        <w:t>2020 MHz and 2180</w:t>
      </w:r>
      <w:r w:rsidR="0061786E">
        <w:t>–</w:t>
      </w:r>
      <w:r w:rsidRPr="007156D4">
        <w:t>2200 MHz</w:t>
      </w:r>
      <w:r>
        <w:t>)</w:t>
      </w:r>
      <w:r w:rsidRPr="007156D4">
        <w:t xml:space="preserve"> </w:t>
      </w:r>
      <w:r>
        <w:t xml:space="preserve">is allocated on a co-primary basis for MSS and for terrestrial </w:t>
      </w:r>
      <w:r w:rsidR="00692D0A">
        <w:t>f</w:t>
      </w:r>
      <w:r>
        <w:t xml:space="preserve">ixed and </w:t>
      </w:r>
      <w:r w:rsidR="00692D0A">
        <w:t>m</w:t>
      </w:r>
      <w:r>
        <w:t>obile services.</w:t>
      </w:r>
      <w:r w:rsidR="00692D0A">
        <w:t xml:space="preserve"> This spectrum was initially allocated on the condition that terrestrial mobile services in the band were tied to the provision of MSS in the band (a concept known as ancillary terrestrial component (ATC)). However, in December 2012, the FCC rescinded the </w:t>
      </w:r>
      <w:r w:rsidR="00692D0A" w:rsidRPr="00692D0A">
        <w:t>ATC rules in the 2 GHz band and authori</w:t>
      </w:r>
      <w:r w:rsidR="00692D0A">
        <w:t>s</w:t>
      </w:r>
      <w:r w:rsidR="00692D0A" w:rsidRPr="00692D0A">
        <w:t>ed terrestrial mobile services on a co-primary basis with MSS. The FCC now allows the deployment of stand-alone mobile terrestrial service, independent of the MSS, with the condition that AWS-4 operations not cause harmful interference to 2 GHz MSS operations and accept any interference received from duly authori</w:t>
      </w:r>
      <w:r w:rsidR="0061786E">
        <w:t>s</w:t>
      </w:r>
      <w:r w:rsidR="00692D0A" w:rsidRPr="00692D0A">
        <w:t>ed 2 GHz MSS operations.</w:t>
      </w:r>
      <w:r w:rsidR="00692D0A">
        <w:t xml:space="preserve"> </w:t>
      </w:r>
    </w:p>
    <w:p w14:paraId="1F362179" w14:textId="7447103B" w:rsidR="00851DC7" w:rsidRDefault="0061786E" w:rsidP="00851DC7">
      <w:pPr>
        <w:pStyle w:val="Heading3"/>
      </w:pPr>
      <w:bookmarkStart w:id="34" w:name="_Toc14266333"/>
      <w:r w:rsidRPr="008F230B">
        <w:t xml:space="preserve">Innovation, Science and Economic Development </w:t>
      </w:r>
      <w:r>
        <w:t>(ISED)</w:t>
      </w:r>
      <w:r w:rsidR="006D6F9D">
        <w:t>, Canada</w:t>
      </w:r>
      <w:bookmarkEnd w:id="34"/>
      <w:r w:rsidR="00851DC7" w:rsidRPr="00851DC7">
        <w:t xml:space="preserve"> </w:t>
      </w:r>
    </w:p>
    <w:p w14:paraId="7630A807" w14:textId="591CF0FE" w:rsidR="007156D4" w:rsidRDefault="008F230B" w:rsidP="00851DC7">
      <w:pPr>
        <w:rPr>
          <w:rFonts w:cs="Arial"/>
        </w:rPr>
      </w:pPr>
      <w:r>
        <w:rPr>
          <w:rFonts w:cs="Arial"/>
        </w:rPr>
        <w:t xml:space="preserve">In December, 2014, </w:t>
      </w:r>
      <w:r w:rsidR="0061786E">
        <w:rPr>
          <w:rFonts w:cs="Arial"/>
        </w:rPr>
        <w:t>ISED</w:t>
      </w:r>
      <w:r w:rsidR="00C7481D">
        <w:rPr>
          <w:rFonts w:cs="Arial"/>
        </w:rPr>
        <w:t xml:space="preserve"> </w:t>
      </w:r>
      <w:r w:rsidRPr="008F230B">
        <w:rPr>
          <w:rFonts w:cs="Arial"/>
        </w:rPr>
        <w:t xml:space="preserve">Canada </w:t>
      </w:r>
      <w:r>
        <w:rPr>
          <w:rFonts w:cs="Arial"/>
        </w:rPr>
        <w:t>(</w:t>
      </w:r>
      <w:r w:rsidR="000618E2">
        <w:rPr>
          <w:rFonts w:cs="Arial"/>
        </w:rPr>
        <w:t>formerly</w:t>
      </w:r>
      <w:r>
        <w:rPr>
          <w:rFonts w:cs="Arial"/>
        </w:rPr>
        <w:t xml:space="preserve"> known as Industry Canada) </w:t>
      </w:r>
      <w:r w:rsidR="00614980">
        <w:rPr>
          <w:rFonts w:cs="Arial"/>
        </w:rPr>
        <w:t xml:space="preserve">released its decision </w:t>
      </w:r>
      <w:r w:rsidR="00614980" w:rsidRPr="00614980">
        <w:rPr>
          <w:rFonts w:cs="Arial"/>
        </w:rPr>
        <w:t xml:space="preserve">on </w:t>
      </w:r>
      <w:r w:rsidR="00614980">
        <w:rPr>
          <w:rFonts w:cs="Arial"/>
        </w:rPr>
        <w:t xml:space="preserve">arrangements </w:t>
      </w:r>
      <w:r w:rsidR="00614980" w:rsidRPr="00614980">
        <w:rPr>
          <w:rFonts w:cs="Arial"/>
        </w:rPr>
        <w:t xml:space="preserve">for </w:t>
      </w:r>
      <w:r w:rsidR="00614980">
        <w:rPr>
          <w:rFonts w:cs="Arial"/>
        </w:rPr>
        <w:t xml:space="preserve">MSS </w:t>
      </w:r>
      <w:r w:rsidR="00614980" w:rsidRPr="00614980">
        <w:rPr>
          <w:rFonts w:cs="Arial"/>
        </w:rPr>
        <w:t xml:space="preserve">and AWS-4 in the </w:t>
      </w:r>
      <w:r w:rsidR="0061786E">
        <w:rPr>
          <w:rFonts w:cs="Arial"/>
        </w:rPr>
        <w:t>b</w:t>
      </w:r>
      <w:r w:rsidR="00614980" w:rsidRPr="00614980">
        <w:rPr>
          <w:rFonts w:cs="Arial"/>
        </w:rPr>
        <w:t>ands 2000</w:t>
      </w:r>
      <w:r w:rsidR="0061786E">
        <w:rPr>
          <w:rFonts w:cs="Arial"/>
        </w:rPr>
        <w:t>–</w:t>
      </w:r>
      <w:r w:rsidR="00614980" w:rsidRPr="00614980">
        <w:rPr>
          <w:rFonts w:cs="Arial"/>
        </w:rPr>
        <w:t>2020 MHz and 2180</w:t>
      </w:r>
      <w:r w:rsidR="0061786E">
        <w:rPr>
          <w:rFonts w:cs="Arial"/>
        </w:rPr>
        <w:t>–</w:t>
      </w:r>
      <w:r w:rsidR="00614980" w:rsidRPr="00614980">
        <w:rPr>
          <w:rFonts w:cs="Arial"/>
        </w:rPr>
        <w:t>2200 MHz</w:t>
      </w:r>
      <w:r w:rsidR="00614980">
        <w:rPr>
          <w:rFonts w:cs="Arial"/>
        </w:rPr>
        <w:t xml:space="preserve">. </w:t>
      </w:r>
      <w:r w:rsidR="0061786E">
        <w:rPr>
          <w:rFonts w:cs="Arial"/>
        </w:rPr>
        <w:t xml:space="preserve">It </w:t>
      </w:r>
      <w:r w:rsidR="00885519">
        <w:rPr>
          <w:rFonts w:cs="Arial"/>
        </w:rPr>
        <w:t xml:space="preserve">concluded that </w:t>
      </w:r>
      <w:r w:rsidR="007156D4" w:rsidRPr="007156D4">
        <w:rPr>
          <w:rFonts w:cs="Arial"/>
        </w:rPr>
        <w:t xml:space="preserve">MSS offerings </w:t>
      </w:r>
      <w:r w:rsidR="00885519">
        <w:rPr>
          <w:rFonts w:cs="Arial"/>
        </w:rPr>
        <w:t xml:space="preserve">are </w:t>
      </w:r>
      <w:r w:rsidR="007156D4" w:rsidRPr="007156D4">
        <w:rPr>
          <w:rFonts w:cs="Arial"/>
        </w:rPr>
        <w:t xml:space="preserve">beneficial in areas of </w:t>
      </w:r>
      <w:r w:rsidR="00885519">
        <w:rPr>
          <w:rFonts w:cs="Arial"/>
        </w:rPr>
        <w:t>Canada</w:t>
      </w:r>
      <w:r w:rsidR="007156D4" w:rsidRPr="007156D4">
        <w:rPr>
          <w:rFonts w:cs="Arial"/>
        </w:rPr>
        <w:t xml:space="preserve"> that are not easily covered by other technologies</w:t>
      </w:r>
      <w:r w:rsidR="00885519">
        <w:rPr>
          <w:rFonts w:cs="Arial"/>
        </w:rPr>
        <w:t>.</w:t>
      </w:r>
      <w:r w:rsidR="001C03AB">
        <w:rPr>
          <w:rFonts w:cs="Arial"/>
        </w:rPr>
        <w:t xml:space="preserve"> </w:t>
      </w:r>
      <w:r w:rsidR="00885519">
        <w:rPr>
          <w:rFonts w:cs="Arial"/>
        </w:rPr>
        <w:t xml:space="preserve">Therefore, </w:t>
      </w:r>
      <w:r w:rsidR="0061786E">
        <w:rPr>
          <w:rFonts w:cs="Arial"/>
        </w:rPr>
        <w:t xml:space="preserve">ISED </w:t>
      </w:r>
      <w:r w:rsidR="00885519">
        <w:rPr>
          <w:rFonts w:cs="Arial"/>
        </w:rPr>
        <w:t>Canada maintained the</w:t>
      </w:r>
      <w:r w:rsidR="00885519" w:rsidRPr="007156D4">
        <w:rPr>
          <w:rFonts w:cs="Arial"/>
        </w:rPr>
        <w:t xml:space="preserve"> ATC rules </w:t>
      </w:r>
      <w:r w:rsidR="00885519">
        <w:rPr>
          <w:rFonts w:cs="Arial"/>
        </w:rPr>
        <w:t xml:space="preserve">which required </w:t>
      </w:r>
      <w:r w:rsidR="00885519" w:rsidRPr="007156D4">
        <w:rPr>
          <w:rFonts w:cs="Arial"/>
        </w:rPr>
        <w:t>the deployment of terrestrial mobile services in the 2</w:t>
      </w:r>
      <w:r w:rsidR="00C058D3">
        <w:rPr>
          <w:rFonts w:cs="Arial"/>
        </w:rPr>
        <w:t> </w:t>
      </w:r>
      <w:r w:rsidR="00885519" w:rsidRPr="007156D4">
        <w:rPr>
          <w:rFonts w:cs="Arial"/>
        </w:rPr>
        <w:t>GHz band</w:t>
      </w:r>
      <w:r w:rsidR="00885519">
        <w:rPr>
          <w:rFonts w:cs="Arial"/>
        </w:rPr>
        <w:t xml:space="preserve"> to be </w:t>
      </w:r>
      <w:r w:rsidR="00885519" w:rsidRPr="007156D4">
        <w:rPr>
          <w:rFonts w:cs="Arial"/>
        </w:rPr>
        <w:t>tied to the provision of MSS.</w:t>
      </w:r>
    </w:p>
    <w:p w14:paraId="619D2539" w14:textId="14EAA85B" w:rsidR="00851DC7" w:rsidRDefault="006D6F9D" w:rsidP="00851DC7">
      <w:pPr>
        <w:pStyle w:val="Heading3"/>
      </w:pPr>
      <w:bookmarkStart w:id="35" w:name="_Toc14266334"/>
      <w:r>
        <w:lastRenderedPageBreak/>
        <w:t>M</w:t>
      </w:r>
      <w:r w:rsidR="00C058D3">
        <w:t xml:space="preserve">inistry of </w:t>
      </w:r>
      <w:r>
        <w:t>I</w:t>
      </w:r>
      <w:r w:rsidR="00C058D3">
        <w:t xml:space="preserve">nternal Affairs and </w:t>
      </w:r>
      <w:r>
        <w:t>C</w:t>
      </w:r>
      <w:r w:rsidR="00C058D3">
        <w:t>ommunications (MIC)</w:t>
      </w:r>
      <w:r>
        <w:t>, Japan</w:t>
      </w:r>
      <w:bookmarkEnd w:id="35"/>
      <w:r w:rsidR="00851DC7" w:rsidRPr="00851DC7">
        <w:t xml:space="preserve"> </w:t>
      </w:r>
    </w:p>
    <w:p w14:paraId="64A9ED4C" w14:textId="1B89772A" w:rsidR="00851DC7" w:rsidRDefault="00D82726" w:rsidP="00851DC7">
      <w:pPr>
        <w:rPr>
          <w:rFonts w:cs="Arial"/>
        </w:rPr>
      </w:pPr>
      <w:r>
        <w:rPr>
          <w:rFonts w:cs="Arial"/>
        </w:rPr>
        <w:t xml:space="preserve">The 2 GHz band is allocated to both the mobile service and MSS in Japan, with disaster relief the main application of the MSS. As </w:t>
      </w:r>
      <w:r w:rsidR="00187D23">
        <w:rPr>
          <w:rFonts w:cs="Arial"/>
        </w:rPr>
        <w:t>at</w:t>
      </w:r>
      <w:r>
        <w:rPr>
          <w:rFonts w:cs="Arial"/>
        </w:rPr>
        <w:t xml:space="preserve"> April 2018, details of the use of the 2 GHz band for future services was under consideration in Japan.</w:t>
      </w:r>
      <w:bookmarkStart w:id="36" w:name="_Ref8402325"/>
      <w:r>
        <w:rPr>
          <w:rStyle w:val="FootnoteReference"/>
          <w:color w:val="000000" w:themeColor="text1"/>
          <w:lang w:eastAsia="zh-CN"/>
        </w:rPr>
        <w:footnoteReference w:id="13"/>
      </w:r>
      <w:bookmarkEnd w:id="36"/>
    </w:p>
    <w:p w14:paraId="1EBF85AC" w14:textId="0FB08960" w:rsidR="00D82726" w:rsidRDefault="00D82726" w:rsidP="00065613">
      <w:pPr>
        <w:pStyle w:val="Heading3"/>
      </w:pPr>
      <w:bookmarkStart w:id="37" w:name="_Toc14266335"/>
      <w:r>
        <w:t>China</w:t>
      </w:r>
      <w:bookmarkEnd w:id="37"/>
    </w:p>
    <w:p w14:paraId="074EABC3" w14:textId="5B5312F3" w:rsidR="009E5409" w:rsidRDefault="00D82726" w:rsidP="00FF3C69">
      <w:pPr>
        <w:rPr>
          <w:color w:val="000000" w:themeColor="text1"/>
          <w:vertAlign w:val="superscript"/>
          <w:lang w:eastAsia="zh-CN"/>
        </w:rPr>
      </w:pPr>
      <w:r>
        <w:rPr>
          <w:color w:val="000000" w:themeColor="text1"/>
          <w:lang w:eastAsia="zh-CN"/>
        </w:rPr>
        <w:t xml:space="preserve">In China the 2 GHz band is assigned for MSS. </w:t>
      </w:r>
      <w:r w:rsidRPr="005A1FB2">
        <w:rPr>
          <w:color w:val="000000" w:themeColor="text1"/>
          <w:lang w:eastAsia="zh-CN"/>
        </w:rPr>
        <w:t>The first</w:t>
      </w:r>
      <w:r w:rsidRPr="005A1FB2">
        <w:rPr>
          <w:rFonts w:hint="eastAsia"/>
          <w:color w:val="000000" w:themeColor="text1"/>
          <w:lang w:eastAsia="zh-CN"/>
        </w:rPr>
        <w:t xml:space="preserve"> </w:t>
      </w:r>
      <w:r w:rsidRPr="005A1FB2">
        <w:rPr>
          <w:color w:val="000000" w:themeColor="text1"/>
          <w:lang w:eastAsia="zh-CN"/>
        </w:rPr>
        <w:t xml:space="preserve">Chinese </w:t>
      </w:r>
      <w:r w:rsidRPr="005A1FB2">
        <w:rPr>
          <w:rFonts w:hint="eastAsia"/>
          <w:color w:val="000000" w:themeColor="text1"/>
          <w:lang w:eastAsia="zh-CN"/>
        </w:rPr>
        <w:t>MSS</w:t>
      </w:r>
      <w:r w:rsidRPr="005A1FB2">
        <w:rPr>
          <w:color w:val="000000" w:themeColor="text1"/>
          <w:lang w:eastAsia="zh-CN"/>
        </w:rPr>
        <w:t xml:space="preserve"> satellite using these bands, named TianTong-1, </w:t>
      </w:r>
      <w:r w:rsidRPr="005A1FB2">
        <w:rPr>
          <w:rFonts w:hint="eastAsia"/>
          <w:color w:val="000000" w:themeColor="text1"/>
          <w:lang w:eastAsia="zh-CN"/>
        </w:rPr>
        <w:t>was</w:t>
      </w:r>
      <w:r w:rsidRPr="005A1FB2">
        <w:rPr>
          <w:color w:val="000000" w:themeColor="text1"/>
          <w:lang w:eastAsia="zh-CN"/>
        </w:rPr>
        <w:t xml:space="preserve"> successfully launched in August 2016. T</w:t>
      </w:r>
      <w:r w:rsidRPr="005A1FB2">
        <w:rPr>
          <w:rFonts w:hint="eastAsia"/>
          <w:color w:val="000000" w:themeColor="text1"/>
          <w:lang w:eastAsia="zh-CN"/>
        </w:rPr>
        <w:t xml:space="preserve">he MSS system is now under </w:t>
      </w:r>
      <w:r w:rsidRPr="005A1FB2">
        <w:rPr>
          <w:color w:val="000000" w:themeColor="text1"/>
          <w:lang w:eastAsia="zh-CN"/>
        </w:rPr>
        <w:t>commercial</w:t>
      </w:r>
      <w:r w:rsidRPr="005A1FB2">
        <w:rPr>
          <w:rFonts w:hint="eastAsia"/>
          <w:color w:val="000000" w:themeColor="text1"/>
          <w:lang w:eastAsia="zh-CN"/>
        </w:rPr>
        <w:t xml:space="preserve"> operation</w:t>
      </w:r>
      <w:r w:rsidRPr="005A1FB2">
        <w:rPr>
          <w:color w:val="000000" w:themeColor="text1"/>
          <w:lang w:eastAsia="zh-CN"/>
        </w:rPr>
        <w:t>, with China Telecom the main commercial operator.</w:t>
      </w:r>
      <w:r w:rsidR="00EF6094" w:rsidRPr="00EF6094">
        <w:rPr>
          <w:color w:val="000000" w:themeColor="text1"/>
          <w:vertAlign w:val="superscript"/>
          <w:lang w:eastAsia="zh-CN"/>
        </w:rPr>
        <w:fldChar w:fldCharType="begin"/>
      </w:r>
      <w:r w:rsidR="00EF6094" w:rsidRPr="00EF6094">
        <w:rPr>
          <w:color w:val="000000" w:themeColor="text1"/>
          <w:vertAlign w:val="superscript"/>
          <w:lang w:eastAsia="zh-CN"/>
        </w:rPr>
        <w:instrText xml:space="preserve"> NOTEREF _Ref8402325 \h </w:instrText>
      </w:r>
      <w:r w:rsidR="00EF6094">
        <w:rPr>
          <w:color w:val="000000" w:themeColor="text1"/>
          <w:vertAlign w:val="superscript"/>
          <w:lang w:eastAsia="zh-CN"/>
        </w:rPr>
        <w:instrText xml:space="preserve"> \* MERGEFORMAT </w:instrText>
      </w:r>
      <w:r w:rsidR="00EF6094" w:rsidRPr="00EF6094">
        <w:rPr>
          <w:color w:val="000000" w:themeColor="text1"/>
          <w:vertAlign w:val="superscript"/>
          <w:lang w:eastAsia="zh-CN"/>
        </w:rPr>
      </w:r>
      <w:r w:rsidR="00EF6094" w:rsidRPr="00EF6094">
        <w:rPr>
          <w:color w:val="000000" w:themeColor="text1"/>
          <w:vertAlign w:val="superscript"/>
          <w:lang w:eastAsia="zh-CN"/>
        </w:rPr>
        <w:fldChar w:fldCharType="separate"/>
      </w:r>
      <w:r w:rsidR="00DB7AA1">
        <w:rPr>
          <w:color w:val="000000" w:themeColor="text1"/>
          <w:vertAlign w:val="superscript"/>
          <w:lang w:eastAsia="zh-CN"/>
        </w:rPr>
        <w:t>12</w:t>
      </w:r>
      <w:r w:rsidR="00EF6094" w:rsidRPr="00EF6094">
        <w:rPr>
          <w:color w:val="000000" w:themeColor="text1"/>
          <w:vertAlign w:val="superscript"/>
          <w:lang w:eastAsia="zh-CN"/>
        </w:rPr>
        <w:fldChar w:fldCharType="end"/>
      </w:r>
    </w:p>
    <w:p w14:paraId="0129905A" w14:textId="03EAB07B" w:rsidR="004A3280" w:rsidRDefault="00EF6094" w:rsidP="00EF6094">
      <w:pPr>
        <w:pStyle w:val="Heading2"/>
      </w:pPr>
      <w:r>
        <w:t>Summary</w:t>
      </w:r>
    </w:p>
    <w:p w14:paraId="1AA83815" w14:textId="2DA62EF8" w:rsidR="004D0DA9" w:rsidRPr="004A3280" w:rsidRDefault="00731434" w:rsidP="009E5409">
      <w:pPr>
        <w:rPr>
          <w:lang w:eastAsia="zh-CN"/>
        </w:rPr>
      </w:pPr>
      <w:bookmarkStart w:id="38" w:name="_Hlk13585361"/>
      <w:r>
        <w:rPr>
          <w:lang w:eastAsia="zh-CN"/>
        </w:rPr>
        <w:t xml:space="preserve">An understanding of </w:t>
      </w:r>
      <w:r w:rsidR="00362837">
        <w:rPr>
          <w:lang w:eastAsia="zh-CN"/>
        </w:rPr>
        <w:t>the services</w:t>
      </w:r>
      <w:r>
        <w:rPr>
          <w:lang w:eastAsia="zh-CN"/>
        </w:rPr>
        <w:t xml:space="preserve"> and applications</w:t>
      </w:r>
      <w:r w:rsidR="00362837">
        <w:rPr>
          <w:lang w:eastAsia="zh-CN"/>
        </w:rPr>
        <w:t xml:space="preserve"> being contemplated in the 2 GHz band worldwide</w:t>
      </w:r>
      <w:bookmarkEnd w:id="38"/>
      <w:r w:rsidR="00362837">
        <w:rPr>
          <w:lang w:eastAsia="zh-CN"/>
        </w:rPr>
        <w:t xml:space="preserve"> gives an indication of potential applications that could be supported in Australia. </w:t>
      </w:r>
      <w:r>
        <w:rPr>
          <w:lang w:eastAsia="zh-CN"/>
        </w:rPr>
        <w:t xml:space="preserve">Importantly, international spectrum harmonisation and technology standardisation have the potential to offer </w:t>
      </w:r>
      <w:r w:rsidR="004A3280">
        <w:rPr>
          <w:lang w:eastAsia="zh-CN"/>
        </w:rPr>
        <w:t xml:space="preserve">benefits from economies of scale </w:t>
      </w:r>
      <w:r w:rsidR="005B3D28">
        <w:rPr>
          <w:lang w:eastAsia="zh-CN"/>
        </w:rPr>
        <w:t>and</w:t>
      </w:r>
      <w:r w:rsidR="00832F16">
        <w:rPr>
          <w:lang w:eastAsia="zh-CN"/>
        </w:rPr>
        <w:t xml:space="preserve"> </w:t>
      </w:r>
      <w:r>
        <w:rPr>
          <w:lang w:eastAsia="zh-CN"/>
        </w:rPr>
        <w:t>possibly</w:t>
      </w:r>
      <w:r w:rsidR="00187D23">
        <w:rPr>
          <w:lang w:eastAsia="zh-CN"/>
        </w:rPr>
        <w:t>,</w:t>
      </w:r>
      <w:r>
        <w:rPr>
          <w:lang w:eastAsia="zh-CN"/>
        </w:rPr>
        <w:t xml:space="preserve"> depending on the application, global roaming. </w:t>
      </w:r>
      <w:r w:rsidR="005B3D28">
        <w:rPr>
          <w:lang w:eastAsia="zh-CN"/>
        </w:rPr>
        <w:t xml:space="preserve">However, these international factors need to be considered in the local Australian context. </w:t>
      </w:r>
    </w:p>
    <w:p w14:paraId="39AB151D" w14:textId="4074071E" w:rsidR="00FF3C69" w:rsidRDefault="00851DC7" w:rsidP="00FF3C69">
      <w:pPr>
        <w:pStyle w:val="Heading1"/>
      </w:pPr>
      <w:bookmarkStart w:id="39" w:name="_Toc14266336"/>
      <w:r>
        <w:lastRenderedPageBreak/>
        <w:t>Domestic considerations</w:t>
      </w:r>
      <w:bookmarkEnd w:id="39"/>
    </w:p>
    <w:p w14:paraId="3E41E1CA" w14:textId="3C071C0A" w:rsidR="00851DC7" w:rsidRPr="00851DC7" w:rsidRDefault="00851DC7" w:rsidP="00851DC7">
      <w:r>
        <w:t xml:space="preserve">A number of new or evolving domestic interests have arisen in the 2 GHz band in recent years. This section provides an overview of </w:t>
      </w:r>
      <w:r w:rsidR="00D53D43">
        <w:t xml:space="preserve">these </w:t>
      </w:r>
      <w:r>
        <w:t>interest</w:t>
      </w:r>
      <w:r w:rsidR="00D53D43">
        <w:t>s</w:t>
      </w:r>
      <w:r>
        <w:t xml:space="preserve">. </w:t>
      </w:r>
    </w:p>
    <w:p w14:paraId="1CD34991" w14:textId="0742C1C4" w:rsidR="00851DC7" w:rsidRDefault="00851DC7" w:rsidP="00542F40">
      <w:pPr>
        <w:pStyle w:val="Heading2"/>
      </w:pPr>
      <w:bookmarkStart w:id="40" w:name="_Toc14266337"/>
      <w:bookmarkStart w:id="41" w:name="_Toc298924672"/>
      <w:bookmarkStart w:id="42" w:name="_Toc300909555"/>
      <w:bookmarkStart w:id="43" w:name="_Toc348105636"/>
      <w:r>
        <w:t>Television outside broadcast (TOB)</w:t>
      </w:r>
      <w:bookmarkEnd w:id="40"/>
    </w:p>
    <w:p w14:paraId="5CFB4791" w14:textId="2EF2A4DF" w:rsidR="006D5F90" w:rsidRPr="002E1365" w:rsidRDefault="000267DA" w:rsidP="00F978FC">
      <w:pPr>
        <w:rPr>
          <w:rFonts w:cs="Arial"/>
        </w:rPr>
      </w:pPr>
      <w:r>
        <w:rPr>
          <w:rFonts w:cs="Arial"/>
        </w:rPr>
        <w:t xml:space="preserve">As discussed </w:t>
      </w:r>
      <w:r w:rsidR="00187D23">
        <w:rPr>
          <w:rFonts w:cs="Arial"/>
        </w:rPr>
        <w:t>above</w:t>
      </w:r>
      <w:r>
        <w:rPr>
          <w:rFonts w:cs="Arial"/>
        </w:rPr>
        <w:t>, t</w:t>
      </w:r>
      <w:r w:rsidR="005822FA">
        <w:rPr>
          <w:rFonts w:cs="Arial"/>
        </w:rPr>
        <w:t xml:space="preserve">he 2 GHz band is </w:t>
      </w:r>
      <w:r>
        <w:rPr>
          <w:rFonts w:cs="Arial"/>
        </w:rPr>
        <w:t>currently</w:t>
      </w:r>
      <w:r w:rsidR="005822FA">
        <w:rPr>
          <w:rFonts w:cs="Arial"/>
        </w:rPr>
        <w:t xml:space="preserve"> used on a shared basis for TOB services</w:t>
      </w:r>
      <w:r w:rsidR="003D3EFC">
        <w:rPr>
          <w:rFonts w:cs="Arial"/>
        </w:rPr>
        <w:t>.</w:t>
      </w:r>
      <w:r w:rsidR="00CF0DA2">
        <w:rPr>
          <w:rFonts w:cs="Arial"/>
        </w:rPr>
        <w:t xml:space="preserve"> </w:t>
      </w:r>
      <w:r w:rsidR="003D3EFC">
        <w:rPr>
          <w:rFonts w:cs="Arial"/>
        </w:rPr>
        <w:t>T</w:t>
      </w:r>
      <w:r w:rsidR="005822FA">
        <w:rPr>
          <w:rFonts w:cs="Arial"/>
        </w:rPr>
        <w:t>his band has been predominantly used for special events o</w:t>
      </w:r>
      <w:r w:rsidR="005F684F">
        <w:rPr>
          <w:rFonts w:cs="Arial"/>
        </w:rPr>
        <w:t>r</w:t>
      </w:r>
      <w:r w:rsidR="005822FA">
        <w:rPr>
          <w:rFonts w:cs="Arial"/>
        </w:rPr>
        <w:t xml:space="preserve"> ad hoc short-term assignments by a range of users.</w:t>
      </w:r>
      <w:r w:rsidR="005F684F">
        <w:rPr>
          <w:rFonts w:cs="Arial"/>
        </w:rPr>
        <w:t xml:space="preserve"> </w:t>
      </w:r>
      <w:r w:rsidR="00084800">
        <w:rPr>
          <w:rFonts w:cs="Arial"/>
        </w:rPr>
        <w:t>T</w:t>
      </w:r>
      <w:r w:rsidR="00483823">
        <w:rPr>
          <w:rFonts w:cs="Arial"/>
        </w:rPr>
        <w:t xml:space="preserve">he continued </w:t>
      </w:r>
      <w:r w:rsidR="005B3CB3">
        <w:rPr>
          <w:rFonts w:cs="Arial"/>
        </w:rPr>
        <w:t xml:space="preserve">interest in </w:t>
      </w:r>
      <w:r w:rsidR="00483823">
        <w:rPr>
          <w:rFonts w:cs="Arial"/>
        </w:rPr>
        <w:t xml:space="preserve">use of the 2 GHz band for TOB services will be considered in this review. </w:t>
      </w:r>
    </w:p>
    <w:p w14:paraId="2EF575D8" w14:textId="77777777" w:rsidR="006D5F90" w:rsidRPr="006E2599" w:rsidRDefault="006D5F90" w:rsidP="00F978FC">
      <w:pPr>
        <w:numPr>
          <w:ilvl w:val="0"/>
          <w:numId w:val="11"/>
        </w:numPr>
        <w:pBdr>
          <w:top w:val="single" w:sz="4" w:space="1" w:color="auto"/>
          <w:left w:val="single" w:sz="4" w:space="4" w:color="auto"/>
          <w:bottom w:val="single" w:sz="4" w:space="1" w:color="auto"/>
          <w:right w:val="single" w:sz="4" w:space="4" w:color="auto"/>
        </w:pBdr>
        <w:spacing w:after="80"/>
      </w:pPr>
      <w:r>
        <w:rPr>
          <w:b/>
        </w:rPr>
        <w:t xml:space="preserve">What TOB services use the </w:t>
      </w:r>
      <w:r w:rsidRPr="001B228D">
        <w:rPr>
          <w:b/>
        </w:rPr>
        <w:t>2</w:t>
      </w:r>
      <w:r>
        <w:rPr>
          <w:b/>
        </w:rPr>
        <w:t> </w:t>
      </w:r>
      <w:r w:rsidRPr="001B228D">
        <w:rPr>
          <w:b/>
        </w:rPr>
        <w:t>GHz band</w:t>
      </w:r>
      <w:r>
        <w:rPr>
          <w:b/>
        </w:rPr>
        <w:t xml:space="preserve"> under current arrangements</w:t>
      </w:r>
      <w:r w:rsidRPr="001B228D">
        <w:rPr>
          <w:b/>
        </w:rPr>
        <w:t xml:space="preserve">? </w:t>
      </w:r>
      <w:r>
        <w:rPr>
          <w:b/>
        </w:rPr>
        <w:t xml:space="preserve">Is demand for TOB in this band growing or </w:t>
      </w:r>
      <w:r w:rsidRPr="002E1365">
        <w:rPr>
          <w:b/>
        </w:rPr>
        <w:t>decreasing?</w:t>
      </w:r>
    </w:p>
    <w:p w14:paraId="30EB4FF0" w14:textId="77777777" w:rsidR="00851DC7" w:rsidRDefault="00851DC7" w:rsidP="00542F40">
      <w:pPr>
        <w:pStyle w:val="Heading2"/>
      </w:pPr>
      <w:bookmarkStart w:id="44" w:name="_Toc14266338"/>
      <w:r>
        <w:t>Mobile-satellite services (MSS)</w:t>
      </w:r>
      <w:bookmarkEnd w:id="44"/>
      <w:r>
        <w:t xml:space="preserve"> </w:t>
      </w:r>
    </w:p>
    <w:p w14:paraId="7ADD8581" w14:textId="6A86217B" w:rsidR="00A56D7A" w:rsidRDefault="005E3EF4" w:rsidP="00A56D7A">
      <w:pPr>
        <w:rPr>
          <w:rFonts w:cs="Arial"/>
        </w:rPr>
      </w:pPr>
      <w:r>
        <w:t xml:space="preserve">Submissions to the </w:t>
      </w:r>
      <w:hyperlink r:id="rId44" w:history="1">
        <w:r w:rsidRPr="00515518">
          <w:rPr>
            <w:rStyle w:val="Hyperlink"/>
          </w:rPr>
          <w:t xml:space="preserve">Draft </w:t>
        </w:r>
        <w:r w:rsidR="00D53D43">
          <w:rPr>
            <w:rStyle w:val="Hyperlink"/>
          </w:rPr>
          <w:t>f</w:t>
        </w:r>
        <w:r w:rsidRPr="00515518">
          <w:rPr>
            <w:rStyle w:val="Hyperlink"/>
          </w:rPr>
          <w:t>ive-</w:t>
        </w:r>
        <w:r w:rsidR="00D53D43">
          <w:rPr>
            <w:rStyle w:val="Hyperlink"/>
          </w:rPr>
          <w:t>y</w:t>
        </w:r>
        <w:r w:rsidRPr="00515518">
          <w:rPr>
            <w:rStyle w:val="Hyperlink"/>
          </w:rPr>
          <w:t xml:space="preserve">ear </w:t>
        </w:r>
        <w:r w:rsidR="00D53D43">
          <w:rPr>
            <w:rStyle w:val="Hyperlink"/>
          </w:rPr>
          <w:t>s</w:t>
        </w:r>
        <w:r w:rsidRPr="00515518">
          <w:rPr>
            <w:rStyle w:val="Hyperlink"/>
          </w:rPr>
          <w:t xml:space="preserve">pectrum </w:t>
        </w:r>
        <w:r w:rsidR="00D53D43">
          <w:rPr>
            <w:rStyle w:val="Hyperlink"/>
          </w:rPr>
          <w:t>o</w:t>
        </w:r>
        <w:r w:rsidRPr="00515518">
          <w:rPr>
            <w:rStyle w:val="Hyperlink"/>
          </w:rPr>
          <w:t>utlook 2019</w:t>
        </w:r>
        <w:r w:rsidR="00D53D43">
          <w:rPr>
            <w:rStyle w:val="Hyperlink"/>
          </w:rPr>
          <w:t>–</w:t>
        </w:r>
        <w:r w:rsidRPr="00515518">
          <w:rPr>
            <w:rStyle w:val="Hyperlink"/>
          </w:rPr>
          <w:t>23</w:t>
        </w:r>
      </w:hyperlink>
      <w:r>
        <w:t xml:space="preserve"> from a number of organisations expressed an interest in the future use of the 2 GHz band for MSS</w:t>
      </w:r>
      <w:r>
        <w:rPr>
          <w:rStyle w:val="FootnoteReference"/>
        </w:rPr>
        <w:footnoteReference w:id="14"/>
      </w:r>
      <w:r>
        <w:t xml:space="preserve">. </w:t>
      </w:r>
      <w:r w:rsidR="00A944A0">
        <w:t xml:space="preserve">This included interest in deployment models with and without </w:t>
      </w:r>
      <w:bookmarkStart w:id="46" w:name="_Hlk12631732"/>
      <w:r w:rsidR="00A944A0" w:rsidRPr="00224C9D">
        <w:rPr>
          <w:rFonts w:cs="Arial"/>
        </w:rPr>
        <w:t>complementary ground component</w:t>
      </w:r>
      <w:bookmarkEnd w:id="46"/>
      <w:r w:rsidR="00A944A0" w:rsidRPr="00224C9D">
        <w:rPr>
          <w:rFonts w:cs="Arial"/>
        </w:rPr>
        <w:t xml:space="preserve"> (CGC).</w:t>
      </w:r>
    </w:p>
    <w:p w14:paraId="5BD32E56" w14:textId="088247AF" w:rsidR="00A944A0" w:rsidRDefault="00A944A0" w:rsidP="00A56D7A">
      <w:r w:rsidRPr="00A944A0">
        <w:t>CGC is ground</w:t>
      </w:r>
      <w:r w:rsidR="00D53D43">
        <w:t>-</w:t>
      </w:r>
      <w:r w:rsidRPr="00A944A0">
        <w:t xml:space="preserve">based infrastructure in a mobile satellite system </w:t>
      </w:r>
      <w:r w:rsidR="00D53D43">
        <w:t>that</w:t>
      </w:r>
      <w:r w:rsidR="00D53D43" w:rsidRPr="00A944A0">
        <w:t xml:space="preserve"> </w:t>
      </w:r>
      <w:r w:rsidRPr="00A944A0">
        <w:t>enhances the coverage of the satellite network. Ancillary Terrestrial Component (ATC) is the equivalent term used in the United States. However, the frequency arrangements used in the US are incompatible with existing Australian arrangements</w:t>
      </w:r>
      <w:r>
        <w:t xml:space="preserve">. Therefore, the European CGC model is more applicable to Australia. </w:t>
      </w:r>
    </w:p>
    <w:p w14:paraId="599B291B" w14:textId="1790B856" w:rsidR="00A56D7A" w:rsidRDefault="00A944A0" w:rsidP="00A56D7A">
      <w:r>
        <w:t xml:space="preserve">While the </w:t>
      </w:r>
      <w:r w:rsidR="00A56D7A">
        <w:t>Europasat satellite</w:t>
      </w:r>
      <w:r>
        <w:t xml:space="preserve"> network</w:t>
      </w:r>
      <w:r w:rsidR="00A56D7A">
        <w:t xml:space="preserve"> </w:t>
      </w:r>
      <w:r>
        <w:t xml:space="preserve">currently providing services across Europe does </w:t>
      </w:r>
      <w:r w:rsidR="00A56D7A">
        <w:t>not provide coverage of Australia</w:t>
      </w:r>
      <w:r>
        <w:t>, s</w:t>
      </w:r>
      <w:r w:rsidR="00A56D7A">
        <w:t>ervices similar to those provided by Europasat or other MSS services c</w:t>
      </w:r>
      <w:r>
        <w:t xml:space="preserve">ould be </w:t>
      </w:r>
      <w:r w:rsidR="00A56D7A">
        <w:t xml:space="preserve">deployed in Australia as part of an international footprint in the future.  </w:t>
      </w:r>
    </w:p>
    <w:p w14:paraId="73ACF7B0" w14:textId="0C3B47BD" w:rsidR="006E5165" w:rsidRDefault="006E5165" w:rsidP="006E5165">
      <w:pPr>
        <w:pStyle w:val="Heading3"/>
      </w:pPr>
      <w:bookmarkStart w:id="47" w:name="_Toc14266339"/>
      <w:r>
        <w:t xml:space="preserve">Satellite IoT </w:t>
      </w:r>
      <w:r w:rsidR="00E46016">
        <w:t>applications</w:t>
      </w:r>
      <w:bookmarkEnd w:id="47"/>
    </w:p>
    <w:p w14:paraId="6447C72C" w14:textId="05925D92" w:rsidR="006E5165" w:rsidRDefault="00A944A0" w:rsidP="006E5165">
      <w:r>
        <w:t xml:space="preserve">There is also interest from emerging satellite operators to </w:t>
      </w:r>
      <w:r w:rsidR="006E5165" w:rsidRPr="00E46016">
        <w:t xml:space="preserve">provide satellite IoT </w:t>
      </w:r>
      <w:r w:rsidR="00E46016">
        <w:t>applications</w:t>
      </w:r>
      <w:r w:rsidR="006E5165" w:rsidRPr="00E46016">
        <w:t xml:space="preserve"> </w:t>
      </w:r>
      <w:r w:rsidRPr="00E46016">
        <w:t xml:space="preserve">in the </w:t>
      </w:r>
      <w:r w:rsidR="006E5165" w:rsidRPr="00E46016">
        <w:t>2 GHz band. Due to the low duty cycle and data rate needs</w:t>
      </w:r>
      <w:r w:rsidR="006E5165">
        <w:t xml:space="preserve"> of IoT applications</w:t>
      </w:r>
      <w:r w:rsidR="00AD0F88">
        <w:t>,</w:t>
      </w:r>
      <w:r w:rsidR="006E5165">
        <w:t xml:space="preserve"> they would be well suited to operating in a shared frequency band supported by various operators</w:t>
      </w:r>
      <w:r w:rsidR="00036E47">
        <w:rPr>
          <w:rStyle w:val="FootnoteReference"/>
        </w:rPr>
        <w:footnoteReference w:id="15"/>
      </w:r>
      <w:r w:rsidR="006E5165">
        <w:t>.</w:t>
      </w:r>
    </w:p>
    <w:p w14:paraId="1ADA718D" w14:textId="77777777" w:rsidR="0011544A" w:rsidRDefault="0011544A" w:rsidP="0011544A">
      <w:pPr>
        <w:pStyle w:val="Heading2"/>
      </w:pPr>
      <w:bookmarkStart w:id="48" w:name="_Toc14266340"/>
      <w:r>
        <w:t>Mobile service (MS)</w:t>
      </w:r>
      <w:bookmarkEnd w:id="48"/>
    </w:p>
    <w:p w14:paraId="0EBBC036" w14:textId="4FD9F223" w:rsidR="0011544A" w:rsidRDefault="0011544A" w:rsidP="0011544A">
      <w:pPr>
        <w:pStyle w:val="Heading3"/>
      </w:pPr>
      <w:bookmarkStart w:id="49" w:name="_Toc14266341"/>
      <w:r>
        <w:t xml:space="preserve">Mobile </w:t>
      </w:r>
      <w:r w:rsidR="00E46016">
        <w:t>b</w:t>
      </w:r>
      <w:r>
        <w:t>roadband</w:t>
      </w:r>
      <w:bookmarkEnd w:id="49"/>
    </w:p>
    <w:p w14:paraId="4942EFC9" w14:textId="6CA4EB6F" w:rsidR="0011544A" w:rsidRDefault="0011544A" w:rsidP="0011544A">
      <w:pPr>
        <w:rPr>
          <w:rFonts w:cs="Arial"/>
        </w:rPr>
      </w:pPr>
      <w:r>
        <w:rPr>
          <w:rFonts w:cs="Arial"/>
        </w:rPr>
        <w:t>The adjacent band (1920</w:t>
      </w:r>
      <w:r w:rsidR="00AD0F88">
        <w:rPr>
          <w:rFonts w:cs="Arial"/>
        </w:rPr>
        <w:t>–</w:t>
      </w:r>
      <w:r>
        <w:rPr>
          <w:rFonts w:cs="Arial"/>
        </w:rPr>
        <w:t>1980 MHz and 2110</w:t>
      </w:r>
      <w:r w:rsidR="00AD0F88">
        <w:rPr>
          <w:rFonts w:cs="Arial"/>
        </w:rPr>
        <w:t>–</w:t>
      </w:r>
      <w:r>
        <w:rPr>
          <w:rFonts w:cs="Arial"/>
        </w:rPr>
        <w:t xml:space="preserve">2170 MHz) is already used </w:t>
      </w:r>
      <w:r w:rsidR="00E46016">
        <w:rPr>
          <w:rFonts w:cs="Arial"/>
        </w:rPr>
        <w:t xml:space="preserve">in Australia </w:t>
      </w:r>
      <w:r>
        <w:rPr>
          <w:rFonts w:cs="Arial"/>
        </w:rPr>
        <w:t xml:space="preserve">by mobile broadband services (3GPP Band 1). </w:t>
      </w:r>
      <w:r w:rsidR="005B3CB3">
        <w:rPr>
          <w:rFonts w:cs="Arial"/>
        </w:rPr>
        <w:t>Standards exist that would enable t</w:t>
      </w:r>
      <w:r>
        <w:rPr>
          <w:rFonts w:cs="Arial"/>
        </w:rPr>
        <w:t xml:space="preserve">his band </w:t>
      </w:r>
      <w:r w:rsidR="005B3CB3">
        <w:rPr>
          <w:rFonts w:cs="Arial"/>
        </w:rPr>
        <w:t xml:space="preserve">to </w:t>
      </w:r>
      <w:r>
        <w:rPr>
          <w:rFonts w:cs="Arial"/>
        </w:rPr>
        <w:t>be extended to cover the whole of the 2 GHz band</w:t>
      </w:r>
      <w:r w:rsidR="00AD0F88">
        <w:rPr>
          <w:rFonts w:cs="Arial"/>
        </w:rPr>
        <w:t>,</w:t>
      </w:r>
      <w:r>
        <w:rPr>
          <w:rFonts w:cs="Arial"/>
        </w:rPr>
        <w:t xml:space="preserve"> as detailed by 3GPP Band 65 (1920</w:t>
      </w:r>
      <w:r w:rsidR="00AD0F88">
        <w:rPr>
          <w:rFonts w:cs="Arial"/>
        </w:rPr>
        <w:t>–</w:t>
      </w:r>
      <w:r>
        <w:rPr>
          <w:rFonts w:cs="Arial"/>
        </w:rPr>
        <w:t>2010 MHz and 2110</w:t>
      </w:r>
      <w:r w:rsidR="00AD0F88">
        <w:rPr>
          <w:rFonts w:cs="Arial"/>
        </w:rPr>
        <w:t>–</w:t>
      </w:r>
      <w:r>
        <w:rPr>
          <w:rFonts w:cs="Arial"/>
        </w:rPr>
        <w:t xml:space="preserve">2200 MHz). </w:t>
      </w:r>
    </w:p>
    <w:p w14:paraId="1193A270" w14:textId="3C460850" w:rsidR="0032028F" w:rsidRDefault="0032028F" w:rsidP="0011544A">
      <w:pPr>
        <w:pStyle w:val="Heading3"/>
      </w:pPr>
      <w:bookmarkStart w:id="50" w:name="_Toc14266342"/>
      <w:r>
        <w:lastRenderedPageBreak/>
        <w:t xml:space="preserve">Direct </w:t>
      </w:r>
      <w:r w:rsidR="00AD0F88">
        <w:t>A</w:t>
      </w:r>
      <w:r>
        <w:t>ir-to-</w:t>
      </w:r>
      <w:r w:rsidR="00AD0F88">
        <w:t>G</w:t>
      </w:r>
      <w:r>
        <w:t>round</w:t>
      </w:r>
      <w:bookmarkEnd w:id="50"/>
    </w:p>
    <w:p w14:paraId="42679B24" w14:textId="1F1D3547" w:rsidR="00F42A36" w:rsidRDefault="00E46016" w:rsidP="002243AE">
      <w:r w:rsidRPr="002243AE">
        <w:t>Direct Air-to-Ground Communications (DA2GC) systems</w:t>
      </w:r>
      <w:r>
        <w:t xml:space="preserve"> </w:t>
      </w:r>
      <w:r w:rsidR="00F42A36">
        <w:t xml:space="preserve">refer to </w:t>
      </w:r>
      <w:r w:rsidR="00F42A36" w:rsidRPr="00F42A36">
        <w:t>broadband wireless links to passenger aircraft, facilitat</w:t>
      </w:r>
      <w:r w:rsidR="00AD0F88">
        <w:t>ing</w:t>
      </w:r>
      <w:r w:rsidR="00F42A36" w:rsidRPr="00F42A36">
        <w:t xml:space="preserve"> improved and seamless broadband access for use by both the travelling public and aircraft operators (including crews). </w:t>
      </w:r>
      <w:r>
        <w:t xml:space="preserve">Unlike CGC in the MSS, </w:t>
      </w:r>
      <w:r w:rsidR="00A55A0E">
        <w:t>DA2GC</w:t>
      </w:r>
      <w:r w:rsidR="000C4D93">
        <w:t xml:space="preserve"> systems are not integrated with a satellite component </w:t>
      </w:r>
      <w:r>
        <w:t>and are alternative deployment model for the 2 GHz band</w:t>
      </w:r>
      <w:r w:rsidR="000C4D93">
        <w:t>.</w:t>
      </w:r>
    </w:p>
    <w:p w14:paraId="5E13B9D5" w14:textId="66861F2A" w:rsidR="006C1D38" w:rsidRDefault="006C1D38" w:rsidP="002243AE">
      <w:r>
        <w:t xml:space="preserve">The </w:t>
      </w:r>
      <w:r w:rsidRPr="002243AE">
        <w:t xml:space="preserve">technical characteristics and operational features of the systems for public communications with aircraft </w:t>
      </w:r>
      <w:r>
        <w:t>are included in</w:t>
      </w:r>
      <w:r w:rsidRPr="002243AE">
        <w:t xml:space="preserve"> </w:t>
      </w:r>
      <w:bookmarkStart w:id="51" w:name="_Hlk11065698"/>
      <w:r w:rsidR="00F42A36">
        <w:fldChar w:fldCharType="begin"/>
      </w:r>
      <w:r w:rsidR="00F42A36">
        <w:instrText xml:space="preserve"> HYPERLINK "https://www.itu.int/pub/R-REP-M.2282-2013" </w:instrText>
      </w:r>
      <w:r w:rsidR="00F42A36">
        <w:fldChar w:fldCharType="separate"/>
      </w:r>
      <w:r w:rsidRPr="00F42A36">
        <w:rPr>
          <w:rStyle w:val="Hyperlink"/>
        </w:rPr>
        <w:t>Report ITU-R M.2282-0</w:t>
      </w:r>
      <w:r w:rsidR="00F42A36">
        <w:fldChar w:fldCharType="end"/>
      </w:r>
      <w:bookmarkEnd w:id="51"/>
      <w:r>
        <w:t>.</w:t>
      </w:r>
      <w:r w:rsidR="00F42A36">
        <w:t xml:space="preserve"> </w:t>
      </w:r>
      <w:r w:rsidR="0045659C">
        <w:t xml:space="preserve">However, the bands listed in this report do not include the 2 GHz band. </w:t>
      </w:r>
      <w:r w:rsidR="00F42A36">
        <w:t>There are several variants in approaches and technologies described in this report. The general approach is to have a localised</w:t>
      </w:r>
      <w:r w:rsidR="0019740E">
        <w:t xml:space="preserve"> radiofrequency </w:t>
      </w:r>
      <w:r w:rsidR="00F42A36">
        <w:t>communications system on</w:t>
      </w:r>
      <w:r w:rsidR="0019740E">
        <w:t xml:space="preserve"> </w:t>
      </w:r>
      <w:r w:rsidR="00F42A36">
        <w:t>board the plane providing connectivity between the passengers</w:t>
      </w:r>
      <w:r w:rsidR="0019740E">
        <w:t>’</w:t>
      </w:r>
      <w:r w:rsidR="00F42A36">
        <w:t xml:space="preserve"> existing mobile devices and </w:t>
      </w:r>
      <w:r w:rsidR="00187D23">
        <w:t xml:space="preserve">a </w:t>
      </w:r>
      <w:r w:rsidR="00F42A36">
        <w:t xml:space="preserve">microcell. The </w:t>
      </w:r>
      <w:r w:rsidR="00E46016">
        <w:t>DA2GC system</w:t>
      </w:r>
      <w:r w:rsidR="00F42A36">
        <w:t xml:space="preserve"> then provides the link for the microcell to existing terrestrial mobile</w:t>
      </w:r>
      <w:r w:rsidR="00EA0BA3">
        <w:t xml:space="preserve"> networks. </w:t>
      </w:r>
    </w:p>
    <w:p w14:paraId="0DFCBA1D" w14:textId="744EAC6E" w:rsidR="00EA0BA3" w:rsidRDefault="0045659C" w:rsidP="002243AE">
      <w:r>
        <w:t>Countries</w:t>
      </w:r>
      <w:r w:rsidR="00EA0BA3">
        <w:t xml:space="preserve"> including </w:t>
      </w:r>
      <w:r w:rsidR="0019740E">
        <w:t xml:space="preserve">the </w:t>
      </w:r>
      <w:r w:rsidR="00EA0BA3">
        <w:t xml:space="preserve">US, Canada and Japan have implemented </w:t>
      </w:r>
      <w:r w:rsidR="00E46016">
        <w:t>DA2GC systems</w:t>
      </w:r>
      <w:r w:rsidR="00EA0BA3">
        <w:t xml:space="preserve"> using different technologies and different frequency bands. </w:t>
      </w:r>
      <w:r w:rsidR="00106FFD">
        <w:t>Studies</w:t>
      </w:r>
      <w:r w:rsidR="00E46016">
        <w:t xml:space="preserve"> of DA2GC systems have been conducted in </w:t>
      </w:r>
      <w:r w:rsidR="00EA0BA3">
        <w:t>Europe</w:t>
      </w:r>
      <w:r w:rsidR="00106FFD">
        <w:rPr>
          <w:rStyle w:val="FootnoteReference"/>
        </w:rPr>
        <w:footnoteReference w:id="16"/>
      </w:r>
      <w:r w:rsidR="00106FFD">
        <w:t>, and some trials conducted,</w:t>
      </w:r>
      <w:r w:rsidR="00EA0BA3">
        <w:t xml:space="preserve"> </w:t>
      </w:r>
      <w:r w:rsidR="00E46016">
        <w:t xml:space="preserve">but permanent arrangements have not been finalised. </w:t>
      </w:r>
    </w:p>
    <w:p w14:paraId="7FC8E217" w14:textId="5B6498E3" w:rsidR="0009761A" w:rsidRPr="002243AE" w:rsidRDefault="005A24E2" w:rsidP="00B60DDB">
      <w:r>
        <w:t xml:space="preserve">Within the Asia-Pacific Telecommunity (APT) Wireless Group </w:t>
      </w:r>
      <w:r w:rsidR="0009761A">
        <w:t xml:space="preserve">there have been several reports prepared looking at </w:t>
      </w:r>
      <w:r w:rsidR="0045659C">
        <w:t>DA2GC</w:t>
      </w:r>
      <w:r w:rsidR="00F42A36">
        <w:t xml:space="preserve"> and </w:t>
      </w:r>
      <w:r w:rsidR="00440D82">
        <w:t xml:space="preserve">the </w:t>
      </w:r>
      <w:r w:rsidR="00F42A36">
        <w:t xml:space="preserve">applications </w:t>
      </w:r>
      <w:r w:rsidR="00440D82">
        <w:t>it could facilitate</w:t>
      </w:r>
      <w:r w:rsidR="0019740E">
        <w:t>.</w:t>
      </w:r>
      <w:r w:rsidR="002B7075">
        <w:rPr>
          <w:rStyle w:val="FootnoteReference"/>
        </w:rPr>
        <w:footnoteReference w:id="17"/>
      </w:r>
      <w:r w:rsidR="00106FFD" w:rsidRPr="00106FFD">
        <w:rPr>
          <w:vertAlign w:val="superscript"/>
        </w:rPr>
        <w:t>,</w:t>
      </w:r>
      <w:r w:rsidR="00440D82">
        <w:rPr>
          <w:rStyle w:val="FootnoteReference"/>
        </w:rPr>
        <w:footnoteReference w:id="18"/>
      </w:r>
      <w:r w:rsidR="0009761A">
        <w:t xml:space="preserve"> </w:t>
      </w:r>
    </w:p>
    <w:p w14:paraId="46D495D1" w14:textId="2C835F83" w:rsidR="00851DC7" w:rsidRDefault="00851DC7" w:rsidP="00851DC7">
      <w:pPr>
        <w:pStyle w:val="Heading1"/>
      </w:pPr>
      <w:bookmarkStart w:id="52" w:name="_Toc14266343"/>
      <w:r>
        <w:lastRenderedPageBreak/>
        <w:t>Band considerations</w:t>
      </w:r>
      <w:bookmarkEnd w:id="52"/>
    </w:p>
    <w:p w14:paraId="7AEB830B" w14:textId="63A8BA8F" w:rsidR="009E5409" w:rsidRDefault="009E5409" w:rsidP="000858B0">
      <w:pPr>
        <w:rPr>
          <w:rFonts w:cs="Arial"/>
        </w:rPr>
      </w:pPr>
      <w:r>
        <w:rPr>
          <w:rFonts w:cs="Arial"/>
        </w:rPr>
        <w:t>T</w:t>
      </w:r>
      <w:r w:rsidR="000858B0">
        <w:rPr>
          <w:rFonts w:cs="Arial"/>
        </w:rPr>
        <w:t xml:space="preserve">here is interest in access to 2 GHz spectrum for a number of different, and potentially competing, uses. The ACMA is seeking </w:t>
      </w:r>
      <w:r>
        <w:rPr>
          <w:rFonts w:cs="Arial"/>
        </w:rPr>
        <w:t xml:space="preserve">evidence and views </w:t>
      </w:r>
      <w:r w:rsidR="000858B0">
        <w:rPr>
          <w:rFonts w:cs="Arial"/>
        </w:rPr>
        <w:t>to inform</w:t>
      </w:r>
      <w:r>
        <w:rPr>
          <w:rFonts w:cs="Arial"/>
        </w:rPr>
        <w:t xml:space="preserve"> its consideration of</w:t>
      </w:r>
      <w:r w:rsidR="000858B0">
        <w:rPr>
          <w:rFonts w:cs="Arial"/>
        </w:rPr>
        <w:t xml:space="preserve"> whether arrangements in the band should be reviewed and</w:t>
      </w:r>
      <w:r>
        <w:rPr>
          <w:rFonts w:cs="Arial"/>
        </w:rPr>
        <w:t xml:space="preserve"> relevant </w:t>
      </w:r>
      <w:r w:rsidR="000858B0">
        <w:rPr>
          <w:rFonts w:cs="Arial"/>
        </w:rPr>
        <w:t>factors to consider</w:t>
      </w:r>
      <w:r>
        <w:rPr>
          <w:rFonts w:cs="Arial"/>
        </w:rPr>
        <w:t xml:space="preserve"> in any review</w:t>
      </w:r>
      <w:r w:rsidR="000858B0">
        <w:rPr>
          <w:rFonts w:cs="Arial"/>
        </w:rPr>
        <w:t xml:space="preserve">. </w:t>
      </w:r>
    </w:p>
    <w:p w14:paraId="7688A6B2" w14:textId="10A74CEF" w:rsidR="000858B0" w:rsidRDefault="009E5409" w:rsidP="000858B0">
      <w:pPr>
        <w:rPr>
          <w:rFonts w:cs="Arial"/>
        </w:rPr>
      </w:pPr>
      <w:r>
        <w:rPr>
          <w:rFonts w:cs="Arial"/>
        </w:rPr>
        <w:t xml:space="preserve">The ACMA notes that </w:t>
      </w:r>
      <w:r w:rsidR="001A39E7" w:rsidRPr="001A39E7">
        <w:rPr>
          <w:rFonts w:cs="Arial"/>
        </w:rPr>
        <w:t xml:space="preserve">some form of planning will be necessary, even if it is simply to </w:t>
      </w:r>
      <w:r>
        <w:rPr>
          <w:rFonts w:cs="Arial"/>
        </w:rPr>
        <w:t xml:space="preserve">provide ongoing certainty to the current </w:t>
      </w:r>
      <w:r w:rsidR="001A39E7" w:rsidRPr="001A39E7">
        <w:rPr>
          <w:rFonts w:cs="Arial"/>
        </w:rPr>
        <w:t>interim TOB arrangements</w:t>
      </w:r>
      <w:r w:rsidR="001A39E7">
        <w:rPr>
          <w:rFonts w:cs="Arial"/>
        </w:rPr>
        <w:t xml:space="preserve">. </w:t>
      </w:r>
    </w:p>
    <w:p w14:paraId="273AF9AC" w14:textId="7ACE6621" w:rsidR="00CC1929" w:rsidRDefault="0091493B" w:rsidP="00EF6094">
      <w:pPr>
        <w:spacing w:after="80"/>
        <w:rPr>
          <w:rFonts w:cs="Arial"/>
        </w:rPr>
      </w:pPr>
      <w:r>
        <w:rPr>
          <w:rFonts w:cs="Arial"/>
        </w:rPr>
        <w:t>Reflecting on international and domestic trends in the 2 GHz band, it appears one or a combination of the following four services could potentially make use of this spectrum in the future:</w:t>
      </w:r>
    </w:p>
    <w:p w14:paraId="7CB2B41A" w14:textId="0DA95221" w:rsidR="0091493B" w:rsidRDefault="0091493B" w:rsidP="0091493B">
      <w:pPr>
        <w:pStyle w:val="ListBullet"/>
        <w:numPr>
          <w:ilvl w:val="0"/>
          <w:numId w:val="12"/>
        </w:numPr>
        <w:rPr>
          <w:rFonts w:cs="Arial"/>
        </w:rPr>
      </w:pPr>
      <w:r w:rsidRPr="0091493B">
        <w:t>Television</w:t>
      </w:r>
      <w:r>
        <w:rPr>
          <w:rFonts w:cs="Arial"/>
        </w:rPr>
        <w:t xml:space="preserve"> outside broadcast</w:t>
      </w:r>
    </w:p>
    <w:p w14:paraId="33C06D11" w14:textId="11858440" w:rsidR="0091493B" w:rsidRDefault="0091493B" w:rsidP="0091493B">
      <w:pPr>
        <w:pStyle w:val="ListBullet"/>
        <w:numPr>
          <w:ilvl w:val="0"/>
          <w:numId w:val="12"/>
        </w:numPr>
        <w:rPr>
          <w:rFonts w:cs="Arial"/>
        </w:rPr>
      </w:pPr>
      <w:r>
        <w:rPr>
          <w:rFonts w:cs="Arial"/>
        </w:rPr>
        <w:t xml:space="preserve">Mobile-satellite </w:t>
      </w:r>
      <w:r w:rsidRPr="0091493B">
        <w:t>services</w:t>
      </w:r>
      <w:r w:rsidR="00A242C7">
        <w:t xml:space="preserve"> </w:t>
      </w:r>
      <w:r w:rsidR="00A242C7">
        <w:rPr>
          <w:rFonts w:cs="Arial"/>
        </w:rPr>
        <w:t>(</w:t>
      </w:r>
      <w:r w:rsidR="00A242C7" w:rsidRPr="0091493B">
        <w:t>with</w:t>
      </w:r>
      <w:r w:rsidR="00A242C7">
        <w:rPr>
          <w:rFonts w:cs="Arial"/>
        </w:rPr>
        <w:t xml:space="preserve"> or without Ancillary Terrestrial Component/Complementary Ground Component rules)</w:t>
      </w:r>
      <w:r w:rsidR="00BE432D">
        <w:rPr>
          <w:rFonts w:cs="Arial"/>
        </w:rPr>
        <w:t>,</w:t>
      </w:r>
      <w:r w:rsidR="00E5192F">
        <w:rPr>
          <w:rFonts w:cs="Arial"/>
        </w:rPr>
        <w:t xml:space="preserve"> including satellite IoT</w:t>
      </w:r>
    </w:p>
    <w:p w14:paraId="18B35AA8" w14:textId="0F7BBF22" w:rsidR="0091493B" w:rsidRDefault="0091493B" w:rsidP="0091493B">
      <w:pPr>
        <w:pStyle w:val="ListBullet"/>
        <w:numPr>
          <w:ilvl w:val="0"/>
          <w:numId w:val="12"/>
        </w:numPr>
        <w:rPr>
          <w:rFonts w:cs="Arial"/>
        </w:rPr>
      </w:pPr>
      <w:r>
        <w:rPr>
          <w:rFonts w:cs="Arial"/>
        </w:rPr>
        <w:t xml:space="preserve">Mobile broadband services </w:t>
      </w:r>
    </w:p>
    <w:p w14:paraId="45068C49" w14:textId="72C867EB" w:rsidR="0091493B" w:rsidRDefault="0091493B" w:rsidP="0091493B">
      <w:pPr>
        <w:pStyle w:val="ListBulletLast"/>
        <w:numPr>
          <w:ilvl w:val="0"/>
          <w:numId w:val="12"/>
        </w:numPr>
      </w:pPr>
      <w:r>
        <w:t>Direct air-to-ground</w:t>
      </w:r>
      <w:r w:rsidR="006134BA">
        <w:t xml:space="preserve"> communications</w:t>
      </w:r>
      <w:r w:rsidR="00BE432D">
        <w:t xml:space="preserve">. </w:t>
      </w:r>
    </w:p>
    <w:p w14:paraId="270F69D1" w14:textId="690275FF" w:rsidR="000858B0" w:rsidRDefault="0091493B" w:rsidP="000858B0">
      <w:pPr>
        <w:pStyle w:val="ListBulletLast"/>
        <w:numPr>
          <w:ilvl w:val="0"/>
          <w:numId w:val="0"/>
        </w:numPr>
        <w:tabs>
          <w:tab w:val="left" w:pos="720"/>
        </w:tabs>
      </w:pPr>
      <w:r>
        <w:t xml:space="preserve">Four general scenarios are outlined below to enable consideration of the broad options for future arrangements in this band. </w:t>
      </w:r>
    </w:p>
    <w:p w14:paraId="155B4993" w14:textId="77777777" w:rsidR="000858B0" w:rsidRDefault="000858B0" w:rsidP="000858B0">
      <w:pPr>
        <w:spacing w:after="80"/>
        <w:rPr>
          <w:rFonts w:cs="Arial"/>
        </w:rPr>
      </w:pPr>
      <w:r>
        <w:rPr>
          <w:rFonts w:cs="Arial"/>
        </w:rPr>
        <w:t>A number of questions have been identified:</w:t>
      </w:r>
    </w:p>
    <w:p w14:paraId="6A224D4A" w14:textId="77777777" w:rsidR="000858B0" w:rsidRDefault="000858B0" w:rsidP="000858B0">
      <w:pPr>
        <w:pStyle w:val="ListBullet"/>
        <w:numPr>
          <w:ilvl w:val="0"/>
          <w:numId w:val="12"/>
        </w:numPr>
      </w:pPr>
      <w:r>
        <w:t>What services/applications should be accommodated in the band?</w:t>
      </w:r>
    </w:p>
    <w:p w14:paraId="40FBF543" w14:textId="77777777" w:rsidR="000858B0" w:rsidRDefault="000858B0" w:rsidP="000858B0">
      <w:pPr>
        <w:pStyle w:val="ListBullet"/>
        <w:numPr>
          <w:ilvl w:val="0"/>
          <w:numId w:val="12"/>
        </w:numPr>
      </w:pPr>
      <w:r>
        <w:t>Which frequencies ranges should be made available for these services/applications?</w:t>
      </w:r>
    </w:p>
    <w:p w14:paraId="1CFCDBF7" w14:textId="77777777" w:rsidR="000858B0" w:rsidRDefault="000858B0" w:rsidP="000858B0">
      <w:pPr>
        <w:pStyle w:val="ListBullet"/>
        <w:numPr>
          <w:ilvl w:val="0"/>
          <w:numId w:val="12"/>
        </w:numPr>
      </w:pPr>
      <w:r>
        <w:t>Which geographic areas should be made available for these services/applications?</w:t>
      </w:r>
    </w:p>
    <w:p w14:paraId="2B8F574B" w14:textId="77777777" w:rsidR="000858B0" w:rsidRDefault="000858B0" w:rsidP="000858B0">
      <w:pPr>
        <w:pStyle w:val="ListBullet"/>
        <w:numPr>
          <w:ilvl w:val="0"/>
          <w:numId w:val="12"/>
        </w:numPr>
      </w:pPr>
      <w:r>
        <w:t xml:space="preserve">On what basis should access be provided? Should access be granted on an exclusive or shared basis, coordinated or uncoordinated, et cetera? </w:t>
      </w:r>
    </w:p>
    <w:p w14:paraId="35149371" w14:textId="77777777" w:rsidR="000858B0" w:rsidRDefault="000858B0" w:rsidP="000858B0">
      <w:pPr>
        <w:pStyle w:val="ListBulletLast"/>
        <w:numPr>
          <w:ilvl w:val="0"/>
          <w:numId w:val="12"/>
        </w:numPr>
      </w:pPr>
      <w:r>
        <w:t xml:space="preserve">What licensing mechanisms are appropriate? </w:t>
      </w:r>
    </w:p>
    <w:p w14:paraId="71691C8E" w14:textId="7D3F36B3" w:rsidR="000858B0" w:rsidRDefault="000858B0" w:rsidP="000858B0">
      <w:pPr>
        <w:rPr>
          <w:rFonts w:cs="Arial"/>
        </w:rPr>
      </w:pPr>
      <w:r>
        <w:rPr>
          <w:rFonts w:cs="Arial"/>
        </w:rPr>
        <w:t xml:space="preserve">The ACMA is at the </w:t>
      </w:r>
      <w:r w:rsidRPr="00EF6094">
        <w:rPr>
          <w:rFonts w:cs="Arial"/>
          <w:iCs/>
        </w:rPr>
        <w:t>initial investigation</w:t>
      </w:r>
      <w:r>
        <w:rPr>
          <w:rFonts w:cs="Arial"/>
        </w:rPr>
        <w:t xml:space="preserve"> phase of consideration of this band. It is seeking to understand which arrangements would maximise the overall public benefit derived from use of the band. We anticipate that industry responses to the above questions will inform a more structured analysis of the band’s highest value use, which would be the subject of a later consultation.</w:t>
      </w:r>
    </w:p>
    <w:p w14:paraId="1CB91182" w14:textId="3BEF893C" w:rsidR="00C123CC" w:rsidRDefault="000858B0" w:rsidP="0091493B">
      <w:pPr>
        <w:rPr>
          <w:rFonts w:cs="Arial"/>
        </w:rPr>
      </w:pPr>
      <w:r>
        <w:rPr>
          <w:rFonts w:cs="Arial"/>
        </w:rPr>
        <w:t xml:space="preserve">The scenarios below have been developed to help stimulate thinking. They range from what are essentially ‘bookend’ approaches (such as allocation to a single service/application) to more nuanced hybrids of these approaches. </w:t>
      </w:r>
    </w:p>
    <w:p w14:paraId="13B94E01" w14:textId="77777777" w:rsidR="00C123CC" w:rsidRDefault="00C123CC" w:rsidP="00C123CC">
      <w:pPr>
        <w:pStyle w:val="BodySubHeader"/>
      </w:pPr>
      <w:r>
        <w:t xml:space="preserve">Supporting </w:t>
      </w:r>
      <w:r w:rsidRPr="00D970E3">
        <w:t>test and demonstration</w:t>
      </w:r>
      <w:r>
        <w:t xml:space="preserve"> of possible applications</w:t>
      </w:r>
    </w:p>
    <w:p w14:paraId="46F24ABD" w14:textId="77E32EED" w:rsidR="00C123CC" w:rsidRDefault="00D564BC" w:rsidP="00515544">
      <w:pPr>
        <w:pStyle w:val="ACMANormalTabbed"/>
      </w:pPr>
      <w:r>
        <w:t xml:space="preserve">As previously outlined in the </w:t>
      </w:r>
      <w:hyperlink r:id="rId45" w:history="1">
        <w:r w:rsidRPr="00426FC7">
          <w:rPr>
            <w:rStyle w:val="Hyperlink"/>
          </w:rPr>
          <w:t>Five-year spectrum outlook</w:t>
        </w:r>
      </w:hyperlink>
      <w:r>
        <w:t>, current ACMA policy</w:t>
      </w:r>
      <w:r w:rsidR="00807C2A">
        <w:t xml:space="preserve"> is to </w:t>
      </w:r>
      <w:r w:rsidR="00C123CC">
        <w:t xml:space="preserve">support </w:t>
      </w:r>
      <w:r w:rsidR="00C123CC" w:rsidRPr="00D970E3">
        <w:t xml:space="preserve">case-by-case consideration of </w:t>
      </w:r>
      <w:r w:rsidR="00F40F15">
        <w:t xml:space="preserve">licence </w:t>
      </w:r>
      <w:r w:rsidR="00C123CC" w:rsidRPr="00D970E3">
        <w:t>applications for test and demonstration purposes in the frequency ranges 1980</w:t>
      </w:r>
      <w:r w:rsidR="00C123CC">
        <w:t>–</w:t>
      </w:r>
      <w:r w:rsidR="00C123CC" w:rsidRPr="00D970E3">
        <w:t>1985</w:t>
      </w:r>
      <w:r w:rsidR="00F40F15">
        <w:t xml:space="preserve"> MHz and </w:t>
      </w:r>
      <w:r w:rsidR="00C123CC" w:rsidRPr="00D970E3">
        <w:t>2170</w:t>
      </w:r>
      <w:r w:rsidR="00C123CC">
        <w:t>–</w:t>
      </w:r>
      <w:r w:rsidR="00C123CC" w:rsidRPr="00D970E3">
        <w:t>2175</w:t>
      </w:r>
      <w:r w:rsidR="00843564">
        <w:t> </w:t>
      </w:r>
      <w:r w:rsidR="00C123CC" w:rsidRPr="00D970E3">
        <w:t>MHz (</w:t>
      </w:r>
      <w:r w:rsidR="00C123CC">
        <w:t xml:space="preserve">the </w:t>
      </w:r>
      <w:r w:rsidR="00C123CC" w:rsidRPr="00214E77">
        <w:t>guard band</w:t>
      </w:r>
      <w:r w:rsidR="00C123CC" w:rsidRPr="00D970E3">
        <w:t xml:space="preserve"> between TOB and frequency adjacent spectrum licensing and </w:t>
      </w:r>
      <w:r w:rsidR="00C123CC">
        <w:t xml:space="preserve">apparatus-licensed public mobile telecommunications </w:t>
      </w:r>
      <w:r w:rsidR="00C123CC" w:rsidRPr="00D970E3">
        <w:t>services) on a short</w:t>
      </w:r>
      <w:r w:rsidR="00C123CC">
        <w:t>-</w:t>
      </w:r>
      <w:r w:rsidR="00C123CC" w:rsidRPr="00D970E3">
        <w:t>term basis</w:t>
      </w:r>
      <w:r w:rsidR="00C123CC">
        <w:t>,</w:t>
      </w:r>
      <w:r w:rsidR="00C123CC" w:rsidRPr="00D970E3">
        <w:t xml:space="preserve"> subject to appropriate interference management and resolution conditions</w:t>
      </w:r>
      <w:r w:rsidR="00807C2A">
        <w:t xml:space="preserve"> where these applications will not impact on existing services</w:t>
      </w:r>
      <w:r w:rsidR="00917F67">
        <w:t>.</w:t>
      </w:r>
    </w:p>
    <w:p w14:paraId="72240381" w14:textId="2EDE4769" w:rsidR="00C123CC" w:rsidRDefault="00C123CC" w:rsidP="00C123CC">
      <w:r>
        <w:t>With TOB usage typical</w:t>
      </w:r>
      <w:r w:rsidR="00843564">
        <w:t>ly</w:t>
      </w:r>
      <w:r>
        <w:t xml:space="preserve"> limited to capital city areas and regional areas for major events, the ACMA considers it is also possible to support </w:t>
      </w:r>
      <w:r w:rsidR="00F40F15">
        <w:t xml:space="preserve">licence applications for </w:t>
      </w:r>
      <w:r>
        <w:t xml:space="preserve">test </w:t>
      </w:r>
      <w:r>
        <w:lastRenderedPageBreak/>
        <w:t xml:space="preserve">and demonstration </w:t>
      </w:r>
      <w:r w:rsidR="00F40F15">
        <w:t xml:space="preserve">purposes </w:t>
      </w:r>
      <w:r>
        <w:t>in the wider 1980</w:t>
      </w:r>
      <w:r w:rsidR="00B64A4C">
        <w:t>–</w:t>
      </w:r>
      <w:r>
        <w:t>2010</w:t>
      </w:r>
      <w:r w:rsidR="00F40F15">
        <w:t xml:space="preserve"> MHz</w:t>
      </w:r>
      <w:r w:rsidR="00B64A4C">
        <w:t xml:space="preserve"> and </w:t>
      </w:r>
      <w:r>
        <w:t>2170</w:t>
      </w:r>
      <w:r w:rsidR="00B64A4C">
        <w:t>–</w:t>
      </w:r>
      <w:r>
        <w:t xml:space="preserve">2200 </w:t>
      </w:r>
      <w:r w:rsidR="00F40F15">
        <w:t>M</w:t>
      </w:r>
      <w:r>
        <w:t xml:space="preserve">Hz </w:t>
      </w:r>
      <w:r w:rsidR="00F40F15">
        <w:t>band</w:t>
      </w:r>
      <w:r w:rsidR="00B64A4C">
        <w:t>s</w:t>
      </w:r>
      <w:r w:rsidR="00F40F15">
        <w:t xml:space="preserve"> </w:t>
      </w:r>
      <w:r>
        <w:t>in remote</w:t>
      </w:r>
      <w:r w:rsidR="00B64A4C">
        <w:t>-</w:t>
      </w:r>
      <w:r>
        <w:t>density and some low</w:t>
      </w:r>
      <w:r w:rsidR="00B64A4C">
        <w:t>-</w:t>
      </w:r>
      <w:r>
        <w:t xml:space="preserve">density areas </w:t>
      </w:r>
      <w:r w:rsidRPr="00D970E3">
        <w:t>on a short</w:t>
      </w:r>
      <w:r>
        <w:t>-</w:t>
      </w:r>
      <w:r w:rsidRPr="00D970E3">
        <w:t>term basis</w:t>
      </w:r>
      <w:r>
        <w:t>,</w:t>
      </w:r>
      <w:r w:rsidRPr="00D970E3">
        <w:t xml:space="preserve"> subject to appropriate interference management and resolution conditions</w:t>
      </w:r>
      <w:r>
        <w:t xml:space="preserve">.  </w:t>
      </w:r>
    </w:p>
    <w:p w14:paraId="18F8FE02" w14:textId="20CD5D4D" w:rsidR="00C123CC" w:rsidRDefault="00C123CC" w:rsidP="0091493B">
      <w:pPr>
        <w:rPr>
          <w:rFonts w:cs="Arial"/>
        </w:rPr>
      </w:pPr>
      <w:r w:rsidRPr="00A944A0">
        <w:t>In the meantime</w:t>
      </w:r>
      <w:r>
        <w:t>,</w:t>
      </w:r>
      <w:r w:rsidRPr="00A944A0">
        <w:t xml:space="preserve"> while options are </w:t>
      </w:r>
      <w:r>
        <w:t xml:space="preserve">developed for further consideration in partnership with industry, the </w:t>
      </w:r>
      <w:r w:rsidRPr="00A944A0">
        <w:t>ACMA seek</w:t>
      </w:r>
      <w:r>
        <w:t>s stakeholder</w:t>
      </w:r>
      <w:r w:rsidRPr="00A944A0">
        <w:t xml:space="preserve"> views </w:t>
      </w:r>
      <w:r>
        <w:t xml:space="preserve">on such a </w:t>
      </w:r>
      <w:r w:rsidRPr="00A944A0">
        <w:t>proposal.</w:t>
      </w:r>
    </w:p>
    <w:p w14:paraId="7CFE0D29" w14:textId="122AE1B2" w:rsidR="00851DC7" w:rsidRDefault="0091493B">
      <w:pPr>
        <w:pStyle w:val="Heading2"/>
      </w:pPr>
      <w:bookmarkStart w:id="53" w:name="_Toc525659989"/>
      <w:bookmarkStart w:id="54" w:name="_Toc14266344"/>
      <w:r>
        <w:t>S</w:t>
      </w:r>
      <w:r w:rsidR="00851DC7">
        <w:t>cenario</w:t>
      </w:r>
      <w:r w:rsidR="00851DC7" w:rsidRPr="00722B79">
        <w:t xml:space="preserve"> 1: </w:t>
      </w:r>
      <w:r w:rsidR="00851DC7">
        <w:t>S</w:t>
      </w:r>
      <w:r w:rsidR="00851DC7" w:rsidRPr="00722B79">
        <w:t xml:space="preserve">ingle </w:t>
      </w:r>
      <w:r w:rsidR="00851DC7">
        <w:t xml:space="preserve">majority </w:t>
      </w:r>
      <w:r w:rsidR="00851DC7" w:rsidRPr="00722B79">
        <w:t>service</w:t>
      </w:r>
      <w:r w:rsidR="00851DC7">
        <w:t>/application</w:t>
      </w:r>
      <w:r w:rsidR="00851DC7" w:rsidRPr="00722B79">
        <w:t xml:space="preserve"> use of </w:t>
      </w:r>
      <w:r w:rsidR="00851DC7">
        <w:t xml:space="preserve">entire </w:t>
      </w:r>
      <w:r w:rsidR="00851DC7" w:rsidRPr="00722B79">
        <w:t>band</w:t>
      </w:r>
      <w:bookmarkEnd w:id="53"/>
      <w:bookmarkEnd w:id="54"/>
    </w:p>
    <w:p w14:paraId="3DCB15B2" w14:textId="6B814B25" w:rsidR="00851DC7" w:rsidRDefault="00851DC7" w:rsidP="0032028F">
      <w:r>
        <w:t xml:space="preserve">One approach may be to establish optimised arrangements across the majority of the band for a single </w:t>
      </w:r>
      <w:r w:rsidR="00FB371E">
        <w:t xml:space="preserve">type of </w:t>
      </w:r>
      <w:r>
        <w:t xml:space="preserve">service or application. </w:t>
      </w:r>
    </w:p>
    <w:p w14:paraId="330C1C0A" w14:textId="77777777" w:rsidR="00851DC7" w:rsidRDefault="00851DC7" w:rsidP="00851DC7">
      <w:pPr>
        <w:spacing w:after="80"/>
      </w:pPr>
      <w:r>
        <w:t>Questions raised by these scenarios include:</w:t>
      </w:r>
    </w:p>
    <w:p w14:paraId="729C8552" w14:textId="77777777" w:rsidR="00851DC7" w:rsidRDefault="00851DC7" w:rsidP="00851DC7">
      <w:pPr>
        <w:pStyle w:val="ListBullet"/>
      </w:pPr>
      <w:r>
        <w:t>Will the demand for a single service be sufficient to justify the exclusion of other service types?</w:t>
      </w:r>
    </w:p>
    <w:p w14:paraId="79B384E2" w14:textId="77777777" w:rsidR="00851DC7" w:rsidRDefault="00851DC7" w:rsidP="00851DC7">
      <w:pPr>
        <w:pStyle w:val="ListBullet"/>
      </w:pPr>
      <w:r>
        <w:t>What is the impact on services excluded from the band? Can they be accommodated in other bands?</w:t>
      </w:r>
    </w:p>
    <w:p w14:paraId="76FDDA18" w14:textId="5D321BDF" w:rsidR="00851DC7" w:rsidRDefault="00225302" w:rsidP="00EF3123">
      <w:pPr>
        <w:pStyle w:val="ListBullet"/>
      </w:pPr>
      <w:r>
        <w:t xml:space="preserve">Are there </w:t>
      </w:r>
      <w:r w:rsidR="00851DC7">
        <w:t>related spectrum considerations?</w:t>
      </w:r>
      <w:r w:rsidR="00102426">
        <w:t xml:space="preserve"> How should spectrum be divided between different users?</w:t>
      </w:r>
      <w:r w:rsidR="00EF3123" w:rsidRPr="00EF3123">
        <w:t xml:space="preserve"> </w:t>
      </w:r>
      <w:r w:rsidR="00EF3123">
        <w:t xml:space="preserve">What are the adjacent band considerations? </w:t>
      </w:r>
    </w:p>
    <w:p w14:paraId="03A4BEA3" w14:textId="77777777" w:rsidR="00851DC7" w:rsidRDefault="00851DC7" w:rsidP="00851DC7">
      <w:pPr>
        <w:pStyle w:val="Heading2"/>
      </w:pPr>
      <w:bookmarkStart w:id="55" w:name="_Toc525659990"/>
      <w:bookmarkStart w:id="56" w:name="_Toc14266345"/>
      <w:r>
        <w:t>Scenario</w:t>
      </w:r>
      <w:r w:rsidRPr="00722B79">
        <w:t xml:space="preserve"> </w:t>
      </w:r>
      <w:r>
        <w:t>2</w:t>
      </w:r>
      <w:r w:rsidRPr="00722B79">
        <w:t xml:space="preserve">: </w:t>
      </w:r>
      <w:r>
        <w:t xml:space="preserve">All </w:t>
      </w:r>
      <w:r w:rsidRPr="00722B79">
        <w:t>service</w:t>
      </w:r>
      <w:r>
        <w:t>s/applications</w:t>
      </w:r>
      <w:r w:rsidRPr="00722B79">
        <w:t xml:space="preserve"> </w:t>
      </w:r>
      <w:r>
        <w:t>with dedicated, exclusive spectrum</w:t>
      </w:r>
      <w:bookmarkEnd w:id="55"/>
      <w:bookmarkEnd w:id="56"/>
    </w:p>
    <w:p w14:paraId="6427EC9B" w14:textId="20665586" w:rsidR="002403F9" w:rsidRDefault="00851DC7" w:rsidP="00851DC7">
      <w:r>
        <w:t xml:space="preserve">Another approach might be to provide </w:t>
      </w:r>
      <w:r w:rsidR="00C42FFC">
        <w:t xml:space="preserve">for use of the band for </w:t>
      </w:r>
      <w:r w:rsidR="002403F9">
        <w:t>several different</w:t>
      </w:r>
      <w:r>
        <w:t xml:space="preserve"> services/applications with dedicated Australia-wide allocations. Providing </w:t>
      </w:r>
      <w:r w:rsidR="002403F9">
        <w:t>several</w:t>
      </w:r>
      <w:r>
        <w:t xml:space="preserve"> services/applications with dedicated spectrum (given there is only finite spectrum available in the band) would result in each service/allocation only having access to a modest subset for the band</w:t>
      </w:r>
      <w:r w:rsidR="00FB30C0">
        <w:t>.</w:t>
      </w:r>
      <w:r w:rsidR="002403F9">
        <w:t xml:space="preserve"> </w:t>
      </w:r>
    </w:p>
    <w:p w14:paraId="6EB3A3C2" w14:textId="02116B86" w:rsidR="00FB30C0" w:rsidRDefault="009E5409" w:rsidP="00851DC7">
      <w:r>
        <w:t xml:space="preserve">Noting the potential amount of spectrum available, </w:t>
      </w:r>
      <w:r w:rsidR="00FB30C0">
        <w:t xml:space="preserve">there is </w:t>
      </w:r>
      <w:r>
        <w:t xml:space="preserve">a </w:t>
      </w:r>
      <w:r w:rsidR="00FB30C0">
        <w:t xml:space="preserve">limited opportunity to support all services </w:t>
      </w:r>
      <w:r w:rsidR="002602E3">
        <w:t xml:space="preserve">that have expressed an interest in using the 2 GHz band </w:t>
      </w:r>
      <w:r w:rsidR="00FB30C0">
        <w:t xml:space="preserve">in a particular area. </w:t>
      </w:r>
      <w:r w:rsidR="002602E3">
        <w:t xml:space="preserve">For example, </w:t>
      </w:r>
      <w:r w:rsidR="002403F9">
        <w:t xml:space="preserve">if mobile broadband, MSS and TOB services were each provided with 2 x 10 MHz of spectrum, DA2GC would not be facilitated in the 2 GHz band. </w:t>
      </w:r>
    </w:p>
    <w:p w14:paraId="281D9F88" w14:textId="77777777" w:rsidR="00851DC7" w:rsidRDefault="00851DC7" w:rsidP="00851DC7">
      <w:pPr>
        <w:spacing w:after="80"/>
      </w:pPr>
      <w:r>
        <w:t>Questions raised by this scenario include:</w:t>
      </w:r>
    </w:p>
    <w:p w14:paraId="137DF8EE" w14:textId="77777777" w:rsidR="00851DC7" w:rsidRDefault="00851DC7" w:rsidP="00851DC7">
      <w:pPr>
        <w:pStyle w:val="ListBullet"/>
      </w:pPr>
      <w:r>
        <w:t>Is there demand for each service/application in the band?</w:t>
      </w:r>
    </w:p>
    <w:p w14:paraId="62C371BD" w14:textId="6268F3E1" w:rsidR="00851DC7" w:rsidRDefault="00851DC7" w:rsidP="00142162">
      <w:pPr>
        <w:pStyle w:val="ListBullet"/>
      </w:pPr>
      <w:r>
        <w:t xml:space="preserve">Does this allow enough spectrum for </w:t>
      </w:r>
      <w:r w:rsidR="00917F67">
        <w:t xml:space="preserve">all </w:t>
      </w:r>
      <w:r>
        <w:t>the services/applications?</w:t>
      </w:r>
    </w:p>
    <w:p w14:paraId="52D42CB3" w14:textId="7402192C" w:rsidR="00142162" w:rsidRDefault="00142162" w:rsidP="00102426">
      <w:pPr>
        <w:pStyle w:val="ListBullet"/>
      </w:pPr>
      <w:r>
        <w:t xml:space="preserve">What part of the band should be made available for each service? What are the adjacent band considerations? </w:t>
      </w:r>
    </w:p>
    <w:p w14:paraId="258E302E" w14:textId="5ADB1081" w:rsidR="00102426" w:rsidRDefault="00102426" w:rsidP="00851DC7">
      <w:pPr>
        <w:pStyle w:val="ListBulletLast"/>
      </w:pPr>
      <w:r>
        <w:t>How should spectrum be divided between different users?</w:t>
      </w:r>
    </w:p>
    <w:p w14:paraId="7EEF5119" w14:textId="77777777" w:rsidR="00851DC7" w:rsidRDefault="00851DC7" w:rsidP="00851DC7">
      <w:pPr>
        <w:pStyle w:val="Heading2"/>
      </w:pPr>
      <w:bookmarkStart w:id="57" w:name="_Toc525659991"/>
      <w:bookmarkStart w:id="58" w:name="_Toc14266346"/>
      <w:r>
        <w:t>Scenario</w:t>
      </w:r>
      <w:r w:rsidRPr="00722B79">
        <w:t xml:space="preserve"> </w:t>
      </w:r>
      <w:r>
        <w:t>3</w:t>
      </w:r>
      <w:r w:rsidRPr="00722B79">
        <w:t xml:space="preserve">: </w:t>
      </w:r>
      <w:r>
        <w:t>Geographic separation of services</w:t>
      </w:r>
      <w:bookmarkEnd w:id="57"/>
      <w:bookmarkEnd w:id="58"/>
    </w:p>
    <w:p w14:paraId="07F42B53" w14:textId="6C8C90B9" w:rsidR="00851DC7" w:rsidRPr="006D5E68" w:rsidRDefault="00851DC7" w:rsidP="00225302">
      <w:r>
        <w:t xml:space="preserve">There is a strong likelihood that at least some services/applications may be localised to certain geographic areas. For example, the </w:t>
      </w:r>
      <w:r w:rsidR="002403F9">
        <w:t xml:space="preserve">mobile broadband and TOB services </w:t>
      </w:r>
      <w:r>
        <w:t xml:space="preserve">could be limited to major population areas and </w:t>
      </w:r>
      <w:r w:rsidR="00225302">
        <w:t>MSS</w:t>
      </w:r>
      <w:r>
        <w:t xml:space="preserve"> </w:t>
      </w:r>
      <w:r w:rsidR="002403F9">
        <w:t xml:space="preserve">supported in </w:t>
      </w:r>
      <w:r>
        <w:t xml:space="preserve">regional areas, thus increasing the potential spectrum for the </w:t>
      </w:r>
      <w:r w:rsidR="002403F9">
        <w:t>individual</w:t>
      </w:r>
      <w:r>
        <w:t xml:space="preserve"> services. </w:t>
      </w:r>
    </w:p>
    <w:p w14:paraId="3D2ED43D" w14:textId="77777777" w:rsidR="00851DC7" w:rsidRDefault="00851DC7" w:rsidP="00851DC7">
      <w:pPr>
        <w:spacing w:after="80"/>
      </w:pPr>
      <w:r>
        <w:t>Questions raised by this scenario include:</w:t>
      </w:r>
    </w:p>
    <w:p w14:paraId="4890EDC5" w14:textId="77777777" w:rsidR="00851DC7" w:rsidRDefault="00851DC7" w:rsidP="00851DC7">
      <w:pPr>
        <w:pStyle w:val="ListBullet"/>
      </w:pPr>
      <w:r>
        <w:t>What is the impact of constraining a service geographically?</w:t>
      </w:r>
    </w:p>
    <w:p w14:paraId="0DE57066" w14:textId="77777777" w:rsidR="00851DC7" w:rsidRDefault="00851DC7" w:rsidP="00851DC7">
      <w:pPr>
        <w:pStyle w:val="ListBulletLast"/>
      </w:pPr>
      <w:r>
        <w:t xml:space="preserve">How do trends/demand for allocations vary geographically? </w:t>
      </w:r>
    </w:p>
    <w:p w14:paraId="4BF0E56E" w14:textId="41118436" w:rsidR="00851DC7" w:rsidRDefault="00851DC7" w:rsidP="00851DC7">
      <w:pPr>
        <w:pStyle w:val="Heading2"/>
      </w:pPr>
      <w:bookmarkStart w:id="59" w:name="_Toc525659993"/>
      <w:bookmarkStart w:id="60" w:name="_Toc14266347"/>
      <w:r>
        <w:lastRenderedPageBreak/>
        <w:t>Scenario</w:t>
      </w:r>
      <w:r w:rsidRPr="00722B79">
        <w:t xml:space="preserve"> </w:t>
      </w:r>
      <w:r w:rsidR="0001042C">
        <w:t>4</w:t>
      </w:r>
      <w:r w:rsidRPr="00722B79">
        <w:t xml:space="preserve">: </w:t>
      </w:r>
      <w:r>
        <w:t>Combination or hybrid approach of other scenarios</w:t>
      </w:r>
      <w:bookmarkEnd w:id="59"/>
      <w:bookmarkEnd w:id="60"/>
    </w:p>
    <w:p w14:paraId="6322188D" w14:textId="511067BE" w:rsidR="00851DC7" w:rsidRDefault="00851DC7" w:rsidP="00225302">
      <w:r>
        <w:t xml:space="preserve">In considering scenarios 1 to </w:t>
      </w:r>
      <w:r w:rsidR="00225302">
        <w:t>3</w:t>
      </w:r>
      <w:r>
        <w:t xml:space="preserve">, different possibilities may present themselves. Some services may be able to coexist in the same geographic area in the same spectrum, while other services may be able to share the same frequency range </w:t>
      </w:r>
      <w:r w:rsidR="00917F67">
        <w:t>if</w:t>
      </w:r>
      <w:r>
        <w:t xml:space="preserve"> separated by geographic area. Some services/applications may require dedicated Australia-wide spectrum. Scenario </w:t>
      </w:r>
      <w:r w:rsidR="00225302">
        <w:t>4</w:t>
      </w:r>
      <w:r>
        <w:t xml:space="preserve"> is a combination of scenarios 1 to </w:t>
      </w:r>
      <w:r w:rsidR="00225302">
        <w:t>3</w:t>
      </w:r>
      <w:r>
        <w:t>.</w:t>
      </w:r>
      <w:r w:rsidRPr="00731761">
        <w:t xml:space="preserve"> </w:t>
      </w:r>
    </w:p>
    <w:p w14:paraId="73F6DF4E" w14:textId="17ED4C62" w:rsidR="002403F9" w:rsidRDefault="002403F9" w:rsidP="00225302">
      <w:r>
        <w:t>Further, technical conditions to facilitate sharing between services, including guard bands, provide opportunities for services such as satellite IoT</w:t>
      </w:r>
      <w:r w:rsidR="002E322C">
        <w:t>,</w:t>
      </w:r>
      <w:r>
        <w:t xml:space="preserve"> which has low data rate and low bandwidth requirements. </w:t>
      </w:r>
    </w:p>
    <w:p w14:paraId="753AC8BE" w14:textId="00AC84ED" w:rsidR="00E40EA7" w:rsidRDefault="00E40EA7" w:rsidP="00225302">
      <w:r>
        <w:t xml:space="preserve">One potential approach under this scenario is allowing DA2GC systems Australia-wide on a shared basis with TOB services in major population areas. MSS could also be supported Australia-wide but </w:t>
      </w:r>
      <w:r w:rsidR="00917F67">
        <w:t xml:space="preserve">be </w:t>
      </w:r>
      <w:r>
        <w:t xml:space="preserve">secondary to DA2GC systems Australia-wide and to TOB services in major population areas. Any guard bands required to facilitate sharing with adjacent band services could be considered for satellite IoT. </w:t>
      </w:r>
    </w:p>
    <w:p w14:paraId="2E14CBCA" w14:textId="77777777" w:rsidR="00851DC7" w:rsidRDefault="00851DC7" w:rsidP="00851DC7">
      <w:r>
        <w:t>All questions raised in the previous scenarios would be relevant to this scenario.</w:t>
      </w:r>
    </w:p>
    <w:p w14:paraId="3B0A1180" w14:textId="1BFD2984" w:rsidR="00EF6094" w:rsidRDefault="00EF6094" w:rsidP="00EF6094">
      <w:pPr>
        <w:pStyle w:val="Heading2"/>
      </w:pPr>
      <w:r>
        <w:t>Issue for comment</w:t>
      </w:r>
    </w:p>
    <w:p w14:paraId="6EDAD3CE" w14:textId="22663195" w:rsidR="00851DC7" w:rsidRDefault="00851DC7" w:rsidP="00851DC7">
      <w:r>
        <w:t>Based on the current domestic and international considerations, and taking into account the planning scenarios and the questions the different scenarios raise, the ACMA invite</w:t>
      </w:r>
      <w:r w:rsidR="00C42FFC">
        <w:t>s</w:t>
      </w:r>
      <w:r>
        <w:t xml:space="preserve"> comment on the scenarios and on the following question</w:t>
      </w:r>
      <w:r w:rsidR="00C42FFC">
        <w:t>s</w:t>
      </w:r>
      <w:r>
        <w:t xml:space="preserve">: </w:t>
      </w:r>
    </w:p>
    <w:tbl>
      <w:tblPr>
        <w:tblStyle w:val="TableGrid"/>
        <w:tblW w:w="0" w:type="auto"/>
        <w:tblInd w:w="644" w:type="dxa"/>
        <w:tblBorders>
          <w:insideH w:val="none" w:sz="0" w:space="0" w:color="auto"/>
        </w:tblBorders>
        <w:tblLook w:val="04A0" w:firstRow="1" w:lastRow="0" w:firstColumn="1" w:lastColumn="0" w:noHBand="0" w:noVBand="1"/>
      </w:tblPr>
      <w:tblGrid>
        <w:gridCol w:w="7017"/>
      </w:tblGrid>
      <w:tr w:rsidR="003B19AD" w:rsidRPr="003B19AD" w14:paraId="7A02000B" w14:textId="77777777" w:rsidTr="00D17E49">
        <w:tc>
          <w:tcPr>
            <w:tcW w:w="7661" w:type="dxa"/>
          </w:tcPr>
          <w:p w14:paraId="6EC44117" w14:textId="77777777" w:rsidR="003B19AD" w:rsidRPr="003B19AD" w:rsidRDefault="003B19AD" w:rsidP="00D17E49">
            <w:pPr>
              <w:numPr>
                <w:ilvl w:val="0"/>
                <w:numId w:val="11"/>
              </w:numPr>
              <w:spacing w:before="60" w:after="80"/>
              <w:ind w:left="641" w:hanging="357"/>
              <w:rPr>
                <w:bCs/>
              </w:rPr>
            </w:pPr>
            <w:r w:rsidRPr="003B19AD">
              <w:rPr>
                <w:bCs/>
              </w:rPr>
              <w:t xml:space="preserve">What interest do you have in making further use of the 2 GHz band? </w:t>
            </w:r>
          </w:p>
        </w:tc>
      </w:tr>
      <w:tr w:rsidR="003B19AD" w:rsidRPr="003B19AD" w14:paraId="62B0B7DB" w14:textId="77777777" w:rsidTr="00D17E49">
        <w:tc>
          <w:tcPr>
            <w:tcW w:w="7661" w:type="dxa"/>
          </w:tcPr>
          <w:p w14:paraId="39C8AD64" w14:textId="77777777" w:rsidR="003B19AD" w:rsidRPr="003B19AD" w:rsidRDefault="003B19AD" w:rsidP="0024690C">
            <w:pPr>
              <w:numPr>
                <w:ilvl w:val="0"/>
                <w:numId w:val="11"/>
              </w:numPr>
              <w:spacing w:after="80"/>
              <w:rPr>
                <w:bCs/>
              </w:rPr>
            </w:pPr>
            <w:r w:rsidRPr="003B19AD">
              <w:rPr>
                <w:bCs/>
              </w:rPr>
              <w:t>Given the points raised in this discussion paper:</w:t>
            </w:r>
          </w:p>
        </w:tc>
      </w:tr>
      <w:tr w:rsidR="003B19AD" w:rsidRPr="003B19AD" w14:paraId="43DDCFF4" w14:textId="77777777" w:rsidTr="00D17E49">
        <w:tc>
          <w:tcPr>
            <w:tcW w:w="7661" w:type="dxa"/>
          </w:tcPr>
          <w:p w14:paraId="308A474B" w14:textId="77777777" w:rsidR="003B19AD" w:rsidRPr="003B19AD" w:rsidRDefault="003B19AD" w:rsidP="0024690C">
            <w:pPr>
              <w:numPr>
                <w:ilvl w:val="1"/>
                <w:numId w:val="11"/>
              </w:numPr>
              <w:spacing w:after="80"/>
              <w:ind w:left="1134" w:hanging="425"/>
              <w:rPr>
                <w:bCs/>
              </w:rPr>
            </w:pPr>
            <w:r w:rsidRPr="003B19AD">
              <w:rPr>
                <w:bCs/>
              </w:rPr>
              <w:t>How much spectrum is required to provide the service?</w:t>
            </w:r>
          </w:p>
        </w:tc>
      </w:tr>
      <w:tr w:rsidR="003B19AD" w:rsidRPr="003B19AD" w14:paraId="4CCF349B" w14:textId="77777777" w:rsidTr="00D17E49">
        <w:tc>
          <w:tcPr>
            <w:tcW w:w="7661" w:type="dxa"/>
          </w:tcPr>
          <w:p w14:paraId="2F7F96F6" w14:textId="77777777" w:rsidR="003B19AD" w:rsidRPr="003B19AD" w:rsidRDefault="003B19AD" w:rsidP="0024690C">
            <w:pPr>
              <w:numPr>
                <w:ilvl w:val="1"/>
                <w:numId w:val="11"/>
              </w:numPr>
              <w:spacing w:after="80"/>
              <w:ind w:left="1134" w:hanging="425"/>
              <w:rPr>
                <w:bCs/>
              </w:rPr>
            </w:pPr>
            <w:r w:rsidRPr="003B19AD">
              <w:rPr>
                <w:bCs/>
              </w:rPr>
              <w:t>Is there a clear geographical delineation—for example, metropolitan or regional for the service?</w:t>
            </w:r>
          </w:p>
        </w:tc>
      </w:tr>
      <w:tr w:rsidR="003B19AD" w:rsidRPr="003B19AD" w14:paraId="6825255C" w14:textId="77777777" w:rsidTr="00D17E49">
        <w:tc>
          <w:tcPr>
            <w:tcW w:w="7661" w:type="dxa"/>
          </w:tcPr>
          <w:p w14:paraId="442204F6" w14:textId="77777777" w:rsidR="003B19AD" w:rsidRPr="003B19AD" w:rsidRDefault="003B19AD" w:rsidP="0024690C">
            <w:pPr>
              <w:numPr>
                <w:ilvl w:val="1"/>
                <w:numId w:val="11"/>
              </w:numPr>
              <w:spacing w:after="80"/>
              <w:ind w:left="1134" w:hanging="425"/>
              <w:rPr>
                <w:bCs/>
              </w:rPr>
            </w:pPr>
            <w:r w:rsidRPr="003B19AD">
              <w:rPr>
                <w:bCs/>
              </w:rPr>
              <w:t>Is there or will there be readily available equipment for the service?</w:t>
            </w:r>
          </w:p>
        </w:tc>
      </w:tr>
    </w:tbl>
    <w:p w14:paraId="5C37DDCC" w14:textId="7C818F37" w:rsidR="00CC1929" w:rsidRDefault="00CC1929" w:rsidP="00CC1929">
      <w:pPr>
        <w:spacing w:after="80"/>
      </w:pPr>
    </w:p>
    <w:p w14:paraId="0A2D9432" w14:textId="36F9E289" w:rsidR="00FF3C69" w:rsidRPr="006D46E5" w:rsidRDefault="00FF3C69" w:rsidP="00FF3C69">
      <w:pPr>
        <w:pStyle w:val="Heading1"/>
      </w:pPr>
      <w:bookmarkStart w:id="61" w:name="_Toc14266348"/>
      <w:r w:rsidRPr="006D46E5">
        <w:lastRenderedPageBreak/>
        <w:t>Invitation to comment</w:t>
      </w:r>
      <w:bookmarkEnd w:id="41"/>
      <w:bookmarkEnd w:id="42"/>
      <w:bookmarkEnd w:id="43"/>
      <w:bookmarkEnd w:id="61"/>
    </w:p>
    <w:p w14:paraId="119B0634" w14:textId="77777777" w:rsidR="00715722" w:rsidRPr="006D46E5" w:rsidRDefault="00715722" w:rsidP="00715722">
      <w:pPr>
        <w:pStyle w:val="Heading2"/>
      </w:pPr>
      <w:bookmarkStart w:id="62" w:name="_Toc298924673"/>
      <w:bookmarkStart w:id="63" w:name="_Toc300909556"/>
      <w:bookmarkStart w:id="64" w:name="_Toc348105637"/>
      <w:bookmarkStart w:id="65" w:name="_Toc433122131"/>
      <w:bookmarkStart w:id="66" w:name="_Toc14266349"/>
      <w:bookmarkStart w:id="67" w:name="_Toc300909557"/>
      <w:bookmarkStart w:id="68" w:name="_Toc348105638"/>
      <w:bookmarkStart w:id="69" w:name="_Toc274296357"/>
      <w:bookmarkStart w:id="70" w:name="_Toc298924674"/>
      <w:r w:rsidRPr="006D46E5">
        <w:t>Making a submission</w:t>
      </w:r>
      <w:bookmarkEnd w:id="62"/>
      <w:bookmarkEnd w:id="63"/>
      <w:bookmarkEnd w:id="64"/>
      <w:bookmarkEnd w:id="65"/>
      <w:bookmarkEnd w:id="66"/>
    </w:p>
    <w:p w14:paraId="0349A9AC" w14:textId="77777777" w:rsidR="00715722" w:rsidRPr="005E7226" w:rsidRDefault="00715722" w:rsidP="00715722">
      <w:pPr>
        <w:spacing w:after="80"/>
      </w:pPr>
      <w:r w:rsidRPr="005E7226">
        <w:t xml:space="preserve">The ACMA invites comments on the issues set out in this discussion paper or any other issues relevant to </w:t>
      </w:r>
      <w:r w:rsidR="003424C2">
        <w:t xml:space="preserve">the </w:t>
      </w:r>
      <w:r w:rsidR="003424C2" w:rsidRPr="003424C2">
        <w:t>1980–2010 and 2170–2200 MHz bands</w:t>
      </w:r>
      <w:r w:rsidRPr="005E7226">
        <w:t xml:space="preserve">. </w:t>
      </w:r>
    </w:p>
    <w:p w14:paraId="3BFEE87A" w14:textId="5B958FAA" w:rsidR="00715722" w:rsidRDefault="00993164" w:rsidP="00715722">
      <w:pPr>
        <w:pStyle w:val="ListBullet"/>
      </w:pPr>
      <w:hyperlink r:id="rId46" w:history="1">
        <w:r w:rsidR="00715722" w:rsidRPr="00153FD5">
          <w:rPr>
            <w:rStyle w:val="Hyperlink"/>
            <w:b/>
            <w:bCs/>
          </w:rPr>
          <w:t>Online submissions</w:t>
        </w:r>
      </w:hyperlink>
      <w:r w:rsidR="007C1D66" w:rsidRPr="006311F9">
        <w:rPr>
          <w:rStyle w:val="Hyperlink"/>
          <w:b/>
          <w:bCs/>
          <w:u w:val="none"/>
        </w:rPr>
        <w:t xml:space="preserve"> </w:t>
      </w:r>
      <w:r w:rsidR="007C1D66" w:rsidRPr="007C1D66">
        <w:t>can be made via the comment function or by uploading a document. Submissions in Microsoft Word or Rich Text Format are preferred.</w:t>
      </w:r>
    </w:p>
    <w:p w14:paraId="3D29649E" w14:textId="13B5591B" w:rsidR="00715722" w:rsidRDefault="00715722" w:rsidP="007C0DEF">
      <w:pPr>
        <w:pStyle w:val="ListBullet"/>
      </w:pPr>
      <w:r w:rsidRPr="00EF6094">
        <w:rPr>
          <w:bCs/>
        </w:rPr>
        <w:t>Submissions by post</w:t>
      </w:r>
      <w:r w:rsidR="007C1D66">
        <w:t xml:space="preserve"> </w:t>
      </w:r>
      <w:r w:rsidRPr="00D60C33">
        <w:t>can</w:t>
      </w:r>
      <w:r>
        <w:t xml:space="preserve"> be sent to: </w:t>
      </w:r>
    </w:p>
    <w:p w14:paraId="7805D923" w14:textId="77777777" w:rsidR="009B2601" w:rsidRPr="003424C2" w:rsidRDefault="009B2601" w:rsidP="007C0DEF">
      <w:pPr>
        <w:pStyle w:val="ACMANormalTabbed"/>
        <w:tabs>
          <w:tab w:val="num" w:pos="295"/>
        </w:tabs>
        <w:spacing w:after="0"/>
        <w:ind w:left="295"/>
      </w:pPr>
      <w:r w:rsidRPr="003424C2">
        <w:t>The Manager</w:t>
      </w:r>
    </w:p>
    <w:p w14:paraId="13680875" w14:textId="26751255" w:rsidR="009B2601" w:rsidRPr="003424C2" w:rsidRDefault="009B2601" w:rsidP="009B2601">
      <w:pPr>
        <w:pStyle w:val="ACMANormalTabbed"/>
        <w:spacing w:after="0"/>
        <w:ind w:left="295"/>
      </w:pPr>
      <w:r w:rsidRPr="003424C2">
        <w:t xml:space="preserve">Space </w:t>
      </w:r>
      <w:r w:rsidR="00DA45CF">
        <w:t xml:space="preserve">Systems </w:t>
      </w:r>
      <w:r w:rsidRPr="003424C2">
        <w:t>Section</w:t>
      </w:r>
    </w:p>
    <w:p w14:paraId="191923FB" w14:textId="77777777" w:rsidR="009B2601" w:rsidRPr="003424C2" w:rsidRDefault="00715722" w:rsidP="009B2601">
      <w:pPr>
        <w:pStyle w:val="ACMANormalTabbed"/>
        <w:spacing w:after="0"/>
        <w:ind w:left="295"/>
      </w:pPr>
      <w:r w:rsidRPr="003424C2">
        <w:t xml:space="preserve">Spectrum </w:t>
      </w:r>
      <w:r w:rsidR="003424C2" w:rsidRPr="003424C2">
        <w:t>Planning and Engineering</w:t>
      </w:r>
      <w:r w:rsidR="009B2601" w:rsidRPr="003424C2">
        <w:t xml:space="preserve"> Branch</w:t>
      </w:r>
    </w:p>
    <w:p w14:paraId="748625DA" w14:textId="77777777" w:rsidR="009B2601" w:rsidRPr="003424C2" w:rsidRDefault="00715722" w:rsidP="009B2601">
      <w:pPr>
        <w:pStyle w:val="ACMANormalTabbed"/>
        <w:spacing w:after="0"/>
        <w:ind w:left="295"/>
      </w:pPr>
      <w:r w:rsidRPr="003424C2">
        <w:t>Australian Comm</w:t>
      </w:r>
      <w:r w:rsidR="009B2601" w:rsidRPr="003424C2">
        <w:t>unications and Media Authority</w:t>
      </w:r>
    </w:p>
    <w:p w14:paraId="59671BF2" w14:textId="77777777" w:rsidR="009B2601" w:rsidRPr="003424C2" w:rsidRDefault="009B2601" w:rsidP="009B2601">
      <w:pPr>
        <w:pStyle w:val="ACMANormalTabbed"/>
        <w:spacing w:after="0"/>
        <w:ind w:left="295"/>
      </w:pPr>
      <w:r w:rsidRPr="003424C2">
        <w:t>PO Box 78</w:t>
      </w:r>
    </w:p>
    <w:p w14:paraId="63A80793" w14:textId="77777777" w:rsidR="00715722" w:rsidRPr="005E7226" w:rsidRDefault="00715722" w:rsidP="009B2601">
      <w:pPr>
        <w:pStyle w:val="ACMANormalTabbed"/>
        <w:ind w:left="295"/>
      </w:pPr>
      <w:r w:rsidRPr="003424C2">
        <w:t>Belconnen ACT 2616</w:t>
      </w:r>
    </w:p>
    <w:p w14:paraId="40378B7D" w14:textId="6CD98468" w:rsidR="00715722" w:rsidRPr="006D576C" w:rsidRDefault="00715722" w:rsidP="00715722">
      <w:pPr>
        <w:rPr>
          <w:rStyle w:val="Strong"/>
        </w:rPr>
      </w:pPr>
      <w:r w:rsidRPr="006D576C">
        <w:rPr>
          <w:rStyle w:val="Strong"/>
        </w:rPr>
        <w:t>The closing date f</w:t>
      </w:r>
      <w:r>
        <w:rPr>
          <w:rStyle w:val="Strong"/>
        </w:rPr>
        <w:t xml:space="preserve">or submissions </w:t>
      </w:r>
      <w:r w:rsidRPr="00185E64">
        <w:rPr>
          <w:rStyle w:val="Strong"/>
        </w:rPr>
        <w:t xml:space="preserve">is COB, </w:t>
      </w:r>
      <w:r w:rsidR="00185E64" w:rsidRPr="00185E64">
        <w:rPr>
          <w:rStyle w:val="Strong"/>
        </w:rPr>
        <w:t>Friday 1</w:t>
      </w:r>
      <w:r w:rsidR="001A39E7">
        <w:rPr>
          <w:rStyle w:val="Strong"/>
        </w:rPr>
        <w:t>3</w:t>
      </w:r>
      <w:r w:rsidRPr="00185E64">
        <w:rPr>
          <w:rStyle w:val="Strong"/>
        </w:rPr>
        <w:t xml:space="preserve"> </w:t>
      </w:r>
      <w:r w:rsidR="001A39E7">
        <w:rPr>
          <w:rStyle w:val="Strong"/>
        </w:rPr>
        <w:t xml:space="preserve">September </w:t>
      </w:r>
      <w:r w:rsidRPr="00185E64">
        <w:rPr>
          <w:rStyle w:val="Strong"/>
        </w:rPr>
        <w:t>201</w:t>
      </w:r>
      <w:r w:rsidR="000245E5" w:rsidRPr="00185E64">
        <w:rPr>
          <w:rStyle w:val="Strong"/>
        </w:rPr>
        <w:t>9</w:t>
      </w:r>
      <w:r w:rsidRPr="00185E64">
        <w:rPr>
          <w:rStyle w:val="Strong"/>
        </w:rPr>
        <w:t>.</w:t>
      </w:r>
    </w:p>
    <w:p w14:paraId="623B6D5D" w14:textId="7ED5C4AC" w:rsidR="00765DF8" w:rsidRPr="006D5F90" w:rsidRDefault="00765DF8" w:rsidP="00EF6094">
      <w:pPr>
        <w:pStyle w:val="BodySubHeader"/>
        <w:rPr>
          <w:bCs/>
          <w:iCs/>
        </w:rPr>
      </w:pPr>
      <w:r w:rsidRPr="00EF6094">
        <w:rPr>
          <w:b w:val="0"/>
          <w:bCs/>
          <w:i w:val="0"/>
          <w:iCs/>
        </w:rPr>
        <w:t xml:space="preserve">Consultation enquiries </w:t>
      </w:r>
      <w:r w:rsidR="00B01B60" w:rsidRPr="00EF6094">
        <w:rPr>
          <w:b w:val="0"/>
          <w:bCs/>
          <w:i w:val="0"/>
          <w:iCs/>
        </w:rPr>
        <w:t>can be emailed to</w:t>
      </w:r>
      <w:r w:rsidRPr="00EF6094">
        <w:rPr>
          <w:b w:val="0"/>
          <w:bCs/>
          <w:i w:val="0"/>
          <w:iCs/>
        </w:rPr>
        <w:t xml:space="preserve"> </w:t>
      </w:r>
      <w:hyperlink r:id="rId47" w:history="1">
        <w:r w:rsidR="003424C2" w:rsidRPr="00EF6094">
          <w:rPr>
            <w:rStyle w:val="Hyperlink"/>
            <w:b w:val="0"/>
            <w:bCs/>
            <w:i w:val="0"/>
            <w:iCs/>
          </w:rPr>
          <w:t>freqplan@acma.gov.au</w:t>
        </w:r>
      </w:hyperlink>
      <w:r w:rsidRPr="00EF6094">
        <w:rPr>
          <w:b w:val="0"/>
          <w:bCs/>
          <w:i w:val="0"/>
          <w:iCs/>
        </w:rPr>
        <w:t>.</w:t>
      </w:r>
    </w:p>
    <w:p w14:paraId="43A0AFCE" w14:textId="6D0E12BE" w:rsidR="007C1D66" w:rsidRDefault="007C1D66" w:rsidP="007C1D66">
      <w:pPr>
        <w:pStyle w:val="BodySubHeader"/>
      </w:pPr>
      <w:r>
        <w:t>Publication of submissions</w:t>
      </w:r>
    </w:p>
    <w:p w14:paraId="06854C0E" w14:textId="77777777" w:rsidR="007C1D66" w:rsidRDefault="007C1D66" w:rsidP="007C1D66">
      <w:r>
        <w:t>The ACMA publishes submissions on our website</w:t>
      </w:r>
      <w:r>
        <w:rPr>
          <w:rFonts w:cs="Arial"/>
        </w:rPr>
        <w:t>, including personal information (such as names and contact details)</w:t>
      </w:r>
      <w:r>
        <w:t xml:space="preserve">, except for information that you have claimed (and we have accepted) is confidential. </w:t>
      </w:r>
    </w:p>
    <w:p w14:paraId="42C35CDF" w14:textId="77777777" w:rsidR="007C1D66" w:rsidRDefault="007C1D66" w:rsidP="007C1D66">
      <w:r>
        <w:t>Confidential information will not be published or otherwise released unless required or authorised by law.</w:t>
      </w:r>
    </w:p>
    <w:p w14:paraId="5BCEC228" w14:textId="77777777" w:rsidR="007C1D66" w:rsidRDefault="007C1D66" w:rsidP="007C1D66">
      <w:pPr>
        <w:pStyle w:val="BodySubHeader"/>
      </w:pPr>
      <w:r>
        <w:t>Privacy</w:t>
      </w:r>
    </w:p>
    <w:p w14:paraId="25FB6EFF" w14:textId="77777777" w:rsidR="007C1D66" w:rsidRDefault="00993164" w:rsidP="007C1D66">
      <w:pPr>
        <w:spacing w:after="0"/>
      </w:pPr>
      <w:hyperlink r:id="rId48" w:history="1">
        <w:r w:rsidR="007C1D66">
          <w:rPr>
            <w:rStyle w:val="Hyperlink"/>
            <w:i/>
          </w:rPr>
          <w:t>Privacy and consultation</w:t>
        </w:r>
      </w:hyperlink>
      <w:r w:rsidR="007C1D66">
        <w:t xml:space="preserve"> provides information about the ACMA’s collection of personal information during consultation and how we handle that information.  </w:t>
      </w:r>
    </w:p>
    <w:p w14:paraId="39DDE6C8" w14:textId="77777777" w:rsidR="007C1D66" w:rsidRDefault="007C1D66" w:rsidP="007C1D66">
      <w:pPr>
        <w:spacing w:after="0"/>
      </w:pPr>
    </w:p>
    <w:p w14:paraId="10EB5EB3" w14:textId="77777777" w:rsidR="007C1D66" w:rsidRPr="0041233F" w:rsidRDefault="007C1D66" w:rsidP="007C1D66">
      <w:r>
        <w:t xml:space="preserve">Information on the </w:t>
      </w:r>
      <w:r>
        <w:rPr>
          <w:i/>
        </w:rPr>
        <w:t xml:space="preserve">Privacy Act 1988 </w:t>
      </w:r>
      <w:r>
        <w:t xml:space="preserve">and the ACMA’s privacy policy (including how to access or correct personal information, how to make a privacy complaint and how we will deal with the complaint) is available at </w:t>
      </w:r>
      <w:hyperlink r:id="rId49" w:tooltip="ACMA Privacy Policy" w:history="1">
        <w:r>
          <w:rPr>
            <w:rStyle w:val="Hyperlink"/>
          </w:rPr>
          <w:t>acma.gov.au/privacypolicy</w:t>
        </w:r>
      </w:hyperlink>
      <w:r>
        <w:t xml:space="preserve">. </w:t>
      </w:r>
    </w:p>
    <w:bookmarkEnd w:id="67"/>
    <w:bookmarkEnd w:id="68"/>
    <w:bookmarkEnd w:id="69"/>
    <w:bookmarkEnd w:id="70"/>
    <w:p w14:paraId="5DD59092" w14:textId="37DBF3F5" w:rsidR="007C1D66" w:rsidRDefault="007C1D66" w:rsidP="001A44EC"/>
    <w:p w14:paraId="443AAFFB" w14:textId="1DB903DA" w:rsidR="00A4193E" w:rsidRPr="0041233F" w:rsidRDefault="00A4193E" w:rsidP="001A44EC">
      <w:r>
        <w:t xml:space="preserve"> </w:t>
      </w:r>
    </w:p>
    <w:p w14:paraId="0800B7F2" w14:textId="0999D6D2" w:rsidR="00ED6D1C" w:rsidRDefault="00ED6D1C" w:rsidP="00ED6D1C">
      <w:pPr>
        <w:pStyle w:val="Heading1"/>
      </w:pPr>
      <w:bookmarkStart w:id="71" w:name="_Toc5880221"/>
      <w:bookmarkStart w:id="72" w:name="_Toc4561165"/>
      <w:bookmarkStart w:id="73" w:name="_Toc14266350"/>
      <w:bookmarkStart w:id="74" w:name="_Toc348105641"/>
      <w:r>
        <w:lastRenderedPageBreak/>
        <w:t>Appendix A—ARSP extracts</w:t>
      </w:r>
      <w:bookmarkEnd w:id="71"/>
      <w:bookmarkEnd w:id="72"/>
      <w:r w:rsidR="00584B84">
        <w:t xml:space="preserve"> covering the 2 GHz Band</w:t>
      </w:r>
      <w:bookmarkEnd w:id="73"/>
    </w:p>
    <w:p w14:paraId="1E9D7EE8" w14:textId="76F80F58" w:rsidR="00ED6D1C" w:rsidRDefault="00ED6D1C" w:rsidP="00ED6D1C">
      <w:pPr>
        <w:rPr>
          <w:rFonts w:cs="Arial"/>
        </w:rPr>
      </w:pPr>
      <w:r>
        <w:rPr>
          <w:rFonts w:cs="Arial"/>
        </w:rPr>
        <w:t xml:space="preserve">Table </w:t>
      </w:r>
      <w:r w:rsidR="006311F9">
        <w:rPr>
          <w:rFonts w:cs="Arial"/>
        </w:rPr>
        <w:t>3</w:t>
      </w:r>
      <w:r>
        <w:rPr>
          <w:rFonts w:cs="Arial"/>
        </w:rPr>
        <w:t xml:space="preserve"> shows an extract from the Australian Radiofrequency Spectrum Plan (ARSP) for </w:t>
      </w:r>
      <w:r>
        <w:t xml:space="preserve">the </w:t>
      </w:r>
      <w:bookmarkStart w:id="75" w:name="_Hlk7615084"/>
      <w:r w:rsidRPr="00680907">
        <w:t xml:space="preserve">1980–2010 </w:t>
      </w:r>
      <w:r w:rsidR="007C1D66">
        <w:t xml:space="preserve">MHz </w:t>
      </w:r>
      <w:r w:rsidRPr="00680907">
        <w:t>and 2170–2200 MHz</w:t>
      </w:r>
      <w:r>
        <w:t xml:space="preserve"> bands</w:t>
      </w:r>
      <w:bookmarkEnd w:id="75"/>
      <w:r>
        <w:rPr>
          <w:rFonts w:cs="Arial"/>
        </w:rPr>
        <w:t xml:space="preserve">. Also included is text of relevant footnotes in Table </w:t>
      </w:r>
      <w:r w:rsidR="006311F9">
        <w:rPr>
          <w:rFonts w:cs="Arial"/>
        </w:rPr>
        <w:t>4</w:t>
      </w:r>
      <w:r>
        <w:rPr>
          <w:rFonts w:cs="Arial"/>
        </w:rPr>
        <w:t>.</w:t>
      </w:r>
    </w:p>
    <w:p w14:paraId="1B1A4268" w14:textId="5FE84B8B" w:rsidR="00ED6D1C" w:rsidRDefault="00ED6D1C" w:rsidP="006311F9">
      <w:pPr>
        <w:pStyle w:val="ACMATableHeader"/>
      </w:pPr>
      <w:r>
        <w:t xml:space="preserve">Extract from the Australian Radiofrequency Spectrum Plan 2017 for the </w:t>
      </w:r>
      <w:r w:rsidRPr="00ED6D1C">
        <w:t xml:space="preserve">1980–2010 </w:t>
      </w:r>
      <w:r w:rsidR="007C1D66">
        <w:t xml:space="preserve">MHz </w:t>
      </w:r>
      <w:r w:rsidRPr="00ED6D1C">
        <w:t>and 2170–2200 MHz bands</w:t>
      </w:r>
    </w:p>
    <w:tbl>
      <w:tblPr>
        <w:tblStyle w:val="TableGrid"/>
        <w:tblW w:w="9634" w:type="dxa"/>
        <w:tblLook w:val="04A0" w:firstRow="1" w:lastRow="0" w:firstColumn="1" w:lastColumn="0" w:noHBand="0" w:noVBand="1"/>
      </w:tblPr>
      <w:tblGrid>
        <w:gridCol w:w="2405"/>
        <w:gridCol w:w="2126"/>
        <w:gridCol w:w="1843"/>
        <w:gridCol w:w="3260"/>
      </w:tblGrid>
      <w:tr w:rsidR="00983ACC" w14:paraId="29516CF6" w14:textId="77777777" w:rsidTr="00EF6094">
        <w:trPr>
          <w:tblHeader/>
        </w:trPr>
        <w:tc>
          <w:tcPr>
            <w:tcW w:w="6374" w:type="dxa"/>
            <w:gridSpan w:val="3"/>
            <w:tcBorders>
              <w:top w:val="single" w:sz="4" w:space="0" w:color="auto"/>
              <w:left w:val="single" w:sz="4" w:space="0" w:color="auto"/>
              <w:bottom w:val="single" w:sz="4" w:space="0" w:color="auto"/>
              <w:right w:val="single" w:sz="4" w:space="0" w:color="auto"/>
            </w:tcBorders>
            <w:hideMark/>
          </w:tcPr>
          <w:p w14:paraId="59724521" w14:textId="77777777" w:rsidR="00983ACC" w:rsidRDefault="00983ACC">
            <w:pPr>
              <w:pStyle w:val="ACMATableHeader"/>
              <w:numPr>
                <w:ilvl w:val="0"/>
                <w:numId w:val="0"/>
              </w:numPr>
              <w:tabs>
                <w:tab w:val="left" w:pos="720"/>
              </w:tabs>
              <w:rPr>
                <w:rFonts w:cs="Arial"/>
              </w:rPr>
            </w:pPr>
            <w:r>
              <w:t xml:space="preserve">Column 1: ITU Radio Regulations Table of Allocations </w:t>
            </w:r>
          </w:p>
        </w:tc>
        <w:tc>
          <w:tcPr>
            <w:tcW w:w="3260" w:type="dxa"/>
            <w:vMerge w:val="restart"/>
            <w:tcBorders>
              <w:top w:val="single" w:sz="4" w:space="0" w:color="auto"/>
              <w:left w:val="single" w:sz="4" w:space="0" w:color="auto"/>
              <w:right w:val="single" w:sz="4" w:space="0" w:color="auto"/>
            </w:tcBorders>
            <w:hideMark/>
          </w:tcPr>
          <w:p w14:paraId="2F42D381" w14:textId="0D6723BE" w:rsidR="00983ACC" w:rsidRPr="006311F9" w:rsidRDefault="00983ACC">
            <w:pPr>
              <w:pStyle w:val="ACMATableHeader"/>
              <w:numPr>
                <w:ilvl w:val="0"/>
                <w:numId w:val="0"/>
              </w:numPr>
              <w:tabs>
                <w:tab w:val="left" w:pos="720"/>
              </w:tabs>
            </w:pPr>
            <w:r>
              <w:t xml:space="preserve">Column 2: </w:t>
            </w:r>
          </w:p>
          <w:p w14:paraId="0FD2E96B" w14:textId="31B8D434" w:rsidR="00983ACC" w:rsidRPr="006311F9" w:rsidRDefault="00983ACC" w:rsidP="00EF6094">
            <w:pPr>
              <w:pStyle w:val="ACMATableHeader"/>
              <w:tabs>
                <w:tab w:val="left" w:pos="720"/>
              </w:tabs>
              <w:ind w:left="0"/>
            </w:pPr>
            <w:r>
              <w:t>Australian Table of Allocations</w:t>
            </w:r>
          </w:p>
        </w:tc>
      </w:tr>
      <w:tr w:rsidR="00983ACC" w14:paraId="7A9BD2C4" w14:textId="77777777" w:rsidTr="00EF6094">
        <w:trPr>
          <w:tblHeader/>
        </w:trPr>
        <w:tc>
          <w:tcPr>
            <w:tcW w:w="2405" w:type="dxa"/>
            <w:tcBorders>
              <w:top w:val="single" w:sz="4" w:space="0" w:color="auto"/>
              <w:left w:val="single" w:sz="4" w:space="0" w:color="auto"/>
              <w:bottom w:val="single" w:sz="4" w:space="0" w:color="auto"/>
              <w:right w:val="single" w:sz="4" w:space="0" w:color="auto"/>
            </w:tcBorders>
            <w:hideMark/>
          </w:tcPr>
          <w:p w14:paraId="33CDF0F6" w14:textId="77777777" w:rsidR="00983ACC" w:rsidRDefault="00983ACC">
            <w:pPr>
              <w:pStyle w:val="ACMATableHeader"/>
              <w:numPr>
                <w:ilvl w:val="0"/>
                <w:numId w:val="0"/>
              </w:numPr>
              <w:tabs>
                <w:tab w:val="left" w:pos="720"/>
              </w:tabs>
              <w:rPr>
                <w:rFonts w:cs="Arial"/>
              </w:rPr>
            </w:pPr>
            <w:r>
              <w:t xml:space="preserve">Region 1 </w:t>
            </w:r>
          </w:p>
        </w:tc>
        <w:tc>
          <w:tcPr>
            <w:tcW w:w="2126" w:type="dxa"/>
            <w:tcBorders>
              <w:top w:val="single" w:sz="4" w:space="0" w:color="auto"/>
              <w:left w:val="single" w:sz="4" w:space="0" w:color="auto"/>
              <w:bottom w:val="single" w:sz="4" w:space="0" w:color="auto"/>
              <w:right w:val="single" w:sz="4" w:space="0" w:color="auto"/>
            </w:tcBorders>
            <w:hideMark/>
          </w:tcPr>
          <w:p w14:paraId="7EA1CDCD" w14:textId="77777777" w:rsidR="00983ACC" w:rsidRDefault="00983ACC">
            <w:pPr>
              <w:pStyle w:val="ACMATableHeader"/>
              <w:numPr>
                <w:ilvl w:val="0"/>
                <w:numId w:val="0"/>
              </w:numPr>
              <w:tabs>
                <w:tab w:val="left" w:pos="720"/>
              </w:tabs>
              <w:rPr>
                <w:rFonts w:cs="Arial"/>
              </w:rPr>
            </w:pPr>
            <w:r>
              <w:t xml:space="preserve">Region 2 </w:t>
            </w:r>
          </w:p>
        </w:tc>
        <w:tc>
          <w:tcPr>
            <w:tcW w:w="1843" w:type="dxa"/>
            <w:tcBorders>
              <w:top w:val="single" w:sz="4" w:space="0" w:color="auto"/>
              <w:left w:val="single" w:sz="4" w:space="0" w:color="auto"/>
              <w:bottom w:val="single" w:sz="4" w:space="0" w:color="auto"/>
              <w:right w:val="single" w:sz="4" w:space="0" w:color="auto"/>
            </w:tcBorders>
            <w:hideMark/>
          </w:tcPr>
          <w:p w14:paraId="206139C5" w14:textId="77777777" w:rsidR="00983ACC" w:rsidRDefault="00983ACC">
            <w:pPr>
              <w:pStyle w:val="ACMATableHeader"/>
              <w:numPr>
                <w:ilvl w:val="0"/>
                <w:numId w:val="0"/>
              </w:numPr>
              <w:tabs>
                <w:tab w:val="left" w:pos="720"/>
              </w:tabs>
              <w:rPr>
                <w:rFonts w:cs="Arial"/>
              </w:rPr>
            </w:pPr>
            <w:r>
              <w:t xml:space="preserve">Region 3 </w:t>
            </w:r>
          </w:p>
        </w:tc>
        <w:tc>
          <w:tcPr>
            <w:tcW w:w="3260" w:type="dxa"/>
            <w:vMerge/>
            <w:tcBorders>
              <w:left w:val="single" w:sz="4" w:space="0" w:color="auto"/>
              <w:bottom w:val="single" w:sz="4" w:space="0" w:color="auto"/>
              <w:right w:val="single" w:sz="4" w:space="0" w:color="auto"/>
            </w:tcBorders>
            <w:hideMark/>
          </w:tcPr>
          <w:p w14:paraId="4CF1FDA0" w14:textId="362E74C7" w:rsidR="00983ACC" w:rsidRDefault="00983ACC">
            <w:pPr>
              <w:pStyle w:val="ACMATableHeader"/>
              <w:numPr>
                <w:ilvl w:val="0"/>
                <w:numId w:val="0"/>
              </w:numPr>
              <w:tabs>
                <w:tab w:val="left" w:pos="720"/>
              </w:tabs>
              <w:rPr>
                <w:rFonts w:cs="Arial"/>
              </w:rPr>
            </w:pPr>
          </w:p>
        </w:tc>
      </w:tr>
      <w:tr w:rsidR="00ED6D1C" w14:paraId="623DA42D" w14:textId="77777777" w:rsidTr="00EF6094">
        <w:tc>
          <w:tcPr>
            <w:tcW w:w="6374" w:type="dxa"/>
            <w:gridSpan w:val="3"/>
            <w:tcBorders>
              <w:top w:val="single" w:sz="4" w:space="0" w:color="auto"/>
              <w:left w:val="single" w:sz="4" w:space="0" w:color="auto"/>
              <w:bottom w:val="single" w:sz="4" w:space="0" w:color="auto"/>
              <w:right w:val="single" w:sz="4" w:space="0" w:color="auto"/>
            </w:tcBorders>
            <w:hideMark/>
          </w:tcPr>
          <w:p w14:paraId="794B266B" w14:textId="641FE5A9" w:rsidR="00ED6D1C" w:rsidRPr="00EF6094" w:rsidRDefault="00ED6D1C" w:rsidP="00D04AE0">
            <w:pPr>
              <w:pStyle w:val="Default"/>
              <w:ind w:left="1723" w:hanging="1723"/>
              <w:rPr>
                <w:rFonts w:ascii="Arial" w:hAnsi="Arial" w:cs="Arial"/>
                <w:sz w:val="16"/>
                <w:szCs w:val="16"/>
              </w:rPr>
            </w:pPr>
            <w:bookmarkStart w:id="76" w:name="_Hlk2091966"/>
            <w:r w:rsidRPr="00EF6094">
              <w:rPr>
                <w:rFonts w:ascii="Arial" w:hAnsi="Arial" w:cs="Arial"/>
                <w:b/>
                <w:bCs/>
                <w:sz w:val="16"/>
                <w:szCs w:val="16"/>
              </w:rPr>
              <w:t xml:space="preserve">1 980 – 2 010 </w:t>
            </w:r>
            <w:r w:rsidRPr="00EF6094">
              <w:rPr>
                <w:rFonts w:ascii="Arial" w:hAnsi="Arial" w:cs="Arial"/>
                <w:b/>
                <w:bCs/>
                <w:sz w:val="16"/>
                <w:szCs w:val="16"/>
              </w:rPr>
              <w:tab/>
            </w:r>
            <w:r w:rsidRPr="00EF6094">
              <w:rPr>
                <w:rFonts w:ascii="Arial" w:hAnsi="Arial" w:cs="Arial"/>
                <w:sz w:val="16"/>
                <w:szCs w:val="16"/>
              </w:rPr>
              <w:t xml:space="preserve">FIXED </w:t>
            </w:r>
          </w:p>
          <w:p w14:paraId="74A4EC99" w14:textId="36BA795C" w:rsidR="00ED6D1C" w:rsidRPr="00EF6094" w:rsidRDefault="00ED6D1C" w:rsidP="00D04AE0">
            <w:pPr>
              <w:pStyle w:val="Default"/>
              <w:ind w:left="2007" w:hanging="284"/>
              <w:rPr>
                <w:rFonts w:ascii="Arial" w:hAnsi="Arial" w:cs="Arial"/>
                <w:sz w:val="16"/>
                <w:szCs w:val="16"/>
              </w:rPr>
            </w:pPr>
            <w:r w:rsidRPr="00EF6094">
              <w:rPr>
                <w:rFonts w:ascii="Arial" w:hAnsi="Arial" w:cs="Arial"/>
                <w:sz w:val="16"/>
                <w:szCs w:val="16"/>
              </w:rPr>
              <w:t>MOBILE</w:t>
            </w:r>
          </w:p>
          <w:p w14:paraId="6E2C9CA3" w14:textId="26CD5C2D" w:rsidR="00ED6D1C" w:rsidRPr="00EF6094" w:rsidRDefault="00ED6D1C" w:rsidP="00D04AE0">
            <w:pPr>
              <w:pStyle w:val="Default"/>
              <w:ind w:left="2007" w:hanging="284"/>
              <w:rPr>
                <w:rFonts w:ascii="Arial" w:hAnsi="Arial" w:cs="Arial"/>
                <w:sz w:val="16"/>
                <w:szCs w:val="16"/>
              </w:rPr>
            </w:pPr>
            <w:r w:rsidRPr="00EF6094">
              <w:rPr>
                <w:rFonts w:ascii="Arial" w:hAnsi="Arial" w:cs="Arial"/>
                <w:sz w:val="16"/>
                <w:szCs w:val="16"/>
              </w:rPr>
              <w:t>MOBILE-SATELLITE (Earth-to-Space) 351A</w:t>
            </w:r>
          </w:p>
          <w:p w14:paraId="3D0C01F6" w14:textId="73EB79B0" w:rsidR="00D04AE0" w:rsidRPr="00EF6094" w:rsidRDefault="00D04AE0">
            <w:pPr>
              <w:pStyle w:val="ACMATableHeader"/>
              <w:numPr>
                <w:ilvl w:val="0"/>
                <w:numId w:val="0"/>
              </w:numPr>
              <w:tabs>
                <w:tab w:val="left" w:pos="720"/>
              </w:tabs>
              <w:ind w:left="306" w:hanging="284"/>
              <w:rPr>
                <w:rFonts w:cs="Arial"/>
                <w:b w:val="0"/>
                <w:sz w:val="16"/>
                <w:szCs w:val="16"/>
              </w:rPr>
            </w:pPr>
          </w:p>
          <w:p w14:paraId="3C464B4A" w14:textId="36564E9F" w:rsidR="00ED6D1C" w:rsidRPr="00EF6094" w:rsidRDefault="00ED6D1C" w:rsidP="00D04AE0">
            <w:pPr>
              <w:pStyle w:val="ACMATableHeader"/>
              <w:numPr>
                <w:ilvl w:val="0"/>
                <w:numId w:val="0"/>
              </w:numPr>
              <w:tabs>
                <w:tab w:val="left" w:pos="720"/>
              </w:tabs>
              <w:ind w:left="1723"/>
              <w:rPr>
                <w:rFonts w:cs="Arial"/>
                <w:b w:val="0"/>
                <w:sz w:val="16"/>
                <w:szCs w:val="16"/>
              </w:rPr>
            </w:pPr>
            <w:r w:rsidRPr="00EF6094">
              <w:rPr>
                <w:rFonts w:cs="Arial"/>
                <w:b w:val="0"/>
                <w:sz w:val="16"/>
                <w:szCs w:val="16"/>
              </w:rPr>
              <w:t>388</w:t>
            </w:r>
            <w:r w:rsidR="00D04AE0" w:rsidRPr="00EF6094">
              <w:rPr>
                <w:rFonts w:cs="Arial"/>
                <w:b w:val="0"/>
                <w:sz w:val="16"/>
                <w:szCs w:val="16"/>
              </w:rPr>
              <w:t xml:space="preserve">  </w:t>
            </w:r>
            <w:r w:rsidRPr="00EF6094">
              <w:rPr>
                <w:rFonts w:cs="Arial"/>
                <w:b w:val="0"/>
                <w:sz w:val="16"/>
                <w:szCs w:val="16"/>
              </w:rPr>
              <w:t xml:space="preserve">389A  389B  </w:t>
            </w:r>
            <w:r w:rsidR="00D04AE0" w:rsidRPr="00EF6094">
              <w:rPr>
                <w:rFonts w:cs="Arial"/>
                <w:b w:val="0"/>
                <w:sz w:val="16"/>
                <w:szCs w:val="16"/>
              </w:rPr>
              <w:t xml:space="preserve">389F  </w:t>
            </w:r>
            <w:r w:rsidRPr="00EF6094">
              <w:rPr>
                <w:rFonts w:cs="Arial"/>
                <w:b w:val="0"/>
                <w:sz w:val="16"/>
                <w:szCs w:val="16"/>
              </w:rPr>
              <w:t xml:space="preserve"> </w:t>
            </w:r>
          </w:p>
        </w:tc>
        <w:tc>
          <w:tcPr>
            <w:tcW w:w="3260" w:type="dxa"/>
            <w:tcBorders>
              <w:top w:val="single" w:sz="4" w:space="0" w:color="auto"/>
              <w:left w:val="single" w:sz="4" w:space="0" w:color="auto"/>
              <w:bottom w:val="single" w:sz="4" w:space="0" w:color="auto"/>
              <w:right w:val="single" w:sz="4" w:space="0" w:color="auto"/>
            </w:tcBorders>
            <w:hideMark/>
          </w:tcPr>
          <w:p w14:paraId="50F1F604" w14:textId="070F0BD8" w:rsidR="00D04AE0" w:rsidRPr="00EF6094" w:rsidRDefault="00D04AE0">
            <w:pPr>
              <w:pStyle w:val="Default"/>
              <w:ind w:left="306" w:hanging="284"/>
              <w:rPr>
                <w:rFonts w:ascii="Arial" w:hAnsi="Arial" w:cs="Arial"/>
                <w:b/>
                <w:bCs/>
                <w:sz w:val="16"/>
                <w:szCs w:val="16"/>
              </w:rPr>
            </w:pPr>
            <w:r w:rsidRPr="00EF6094">
              <w:rPr>
                <w:rFonts w:ascii="Arial" w:hAnsi="Arial" w:cs="Arial"/>
                <w:b/>
                <w:bCs/>
                <w:sz w:val="16"/>
                <w:szCs w:val="16"/>
              </w:rPr>
              <w:t xml:space="preserve">1 980 – 2 010 </w:t>
            </w:r>
          </w:p>
          <w:p w14:paraId="2EAB96A3" w14:textId="2F55ED43" w:rsidR="00ED6D1C" w:rsidRPr="00EF6094" w:rsidRDefault="00ED6D1C">
            <w:pPr>
              <w:pStyle w:val="Default"/>
              <w:ind w:left="306" w:hanging="284"/>
              <w:rPr>
                <w:rFonts w:ascii="Arial" w:hAnsi="Arial" w:cs="Arial"/>
                <w:sz w:val="16"/>
                <w:szCs w:val="16"/>
              </w:rPr>
            </w:pPr>
            <w:r w:rsidRPr="00EF6094">
              <w:rPr>
                <w:rFonts w:ascii="Arial" w:hAnsi="Arial" w:cs="Arial"/>
                <w:sz w:val="16"/>
                <w:szCs w:val="16"/>
              </w:rPr>
              <w:t xml:space="preserve">FIXED </w:t>
            </w:r>
          </w:p>
          <w:p w14:paraId="6141A5CC" w14:textId="0E7BDEB0" w:rsidR="00D04AE0" w:rsidRPr="00EF6094" w:rsidRDefault="00D04AE0" w:rsidP="00D04AE0">
            <w:pPr>
              <w:pStyle w:val="Default"/>
              <w:ind w:left="306" w:hanging="284"/>
              <w:rPr>
                <w:rFonts w:ascii="Arial" w:hAnsi="Arial" w:cs="Arial"/>
                <w:sz w:val="16"/>
                <w:szCs w:val="16"/>
              </w:rPr>
            </w:pPr>
            <w:r w:rsidRPr="00EF6094">
              <w:rPr>
                <w:rFonts w:cs="Arial"/>
                <w:sz w:val="16"/>
                <w:szCs w:val="16"/>
              </w:rPr>
              <w:t>MOBILE</w:t>
            </w:r>
          </w:p>
          <w:p w14:paraId="2E827F31" w14:textId="7CC2C1AA" w:rsidR="00D04AE0" w:rsidRPr="00EF6094" w:rsidRDefault="00D04AE0" w:rsidP="00D04AE0">
            <w:pPr>
              <w:pStyle w:val="Default"/>
              <w:ind w:left="306" w:hanging="284"/>
              <w:rPr>
                <w:rFonts w:ascii="Arial" w:hAnsi="Arial" w:cs="Arial"/>
                <w:sz w:val="16"/>
                <w:szCs w:val="16"/>
              </w:rPr>
            </w:pPr>
            <w:r w:rsidRPr="00EF6094">
              <w:rPr>
                <w:rFonts w:ascii="Arial" w:hAnsi="Arial" w:cs="Arial"/>
                <w:sz w:val="16"/>
                <w:szCs w:val="16"/>
              </w:rPr>
              <w:t>MOBILE-SATELLITE (Earth-to-Space) 351A</w:t>
            </w:r>
          </w:p>
          <w:p w14:paraId="3C77FD4F" w14:textId="13988B75" w:rsidR="00ED6D1C" w:rsidRPr="00EF6094" w:rsidRDefault="00D04AE0">
            <w:pPr>
              <w:pStyle w:val="ACMATableHeader"/>
              <w:numPr>
                <w:ilvl w:val="0"/>
                <w:numId w:val="0"/>
              </w:numPr>
              <w:tabs>
                <w:tab w:val="left" w:pos="720"/>
              </w:tabs>
              <w:ind w:left="306" w:hanging="284"/>
              <w:rPr>
                <w:rFonts w:cs="Arial"/>
                <w:b w:val="0"/>
                <w:sz w:val="16"/>
                <w:szCs w:val="16"/>
              </w:rPr>
            </w:pPr>
            <w:r w:rsidRPr="00EF6094">
              <w:rPr>
                <w:rFonts w:cs="Arial"/>
                <w:b w:val="0"/>
                <w:sz w:val="16"/>
                <w:szCs w:val="16"/>
              </w:rPr>
              <w:t>388  389A</w:t>
            </w:r>
          </w:p>
        </w:tc>
      </w:tr>
      <w:tr w:rsidR="00D04AE0" w14:paraId="741F5EC4" w14:textId="1BC074E8" w:rsidTr="00EF6094">
        <w:tc>
          <w:tcPr>
            <w:tcW w:w="9634" w:type="dxa"/>
            <w:gridSpan w:val="4"/>
            <w:tcBorders>
              <w:top w:val="single" w:sz="4" w:space="0" w:color="auto"/>
              <w:left w:val="single" w:sz="4" w:space="0" w:color="auto"/>
              <w:bottom w:val="single" w:sz="4" w:space="0" w:color="auto"/>
              <w:right w:val="single" w:sz="4" w:space="0" w:color="auto"/>
            </w:tcBorders>
          </w:tcPr>
          <w:p w14:paraId="23F7CA7A" w14:textId="7EA50512" w:rsidR="00D04AE0" w:rsidRPr="00EF6094" w:rsidRDefault="00D04AE0" w:rsidP="00D04AE0">
            <w:pPr>
              <w:pStyle w:val="ACMATableHeader"/>
              <w:numPr>
                <w:ilvl w:val="0"/>
                <w:numId w:val="0"/>
              </w:numPr>
              <w:tabs>
                <w:tab w:val="left" w:pos="720"/>
              </w:tabs>
              <w:ind w:left="306" w:hanging="284"/>
              <w:rPr>
                <w:rFonts w:cs="Arial"/>
                <w:b w:val="0"/>
                <w:sz w:val="16"/>
                <w:szCs w:val="16"/>
              </w:rPr>
            </w:pPr>
            <w:r w:rsidRPr="00EF6094">
              <w:rPr>
                <w:rFonts w:cs="Arial"/>
                <w:bCs w:val="0"/>
                <w:sz w:val="16"/>
                <w:szCs w:val="16"/>
              </w:rPr>
              <w:t>….</w:t>
            </w:r>
          </w:p>
        </w:tc>
      </w:tr>
      <w:tr w:rsidR="00D04AE0" w14:paraId="2519F5EB" w14:textId="77777777" w:rsidTr="00EF6094">
        <w:tc>
          <w:tcPr>
            <w:tcW w:w="6374" w:type="dxa"/>
            <w:gridSpan w:val="3"/>
            <w:tcBorders>
              <w:top w:val="single" w:sz="4" w:space="0" w:color="auto"/>
              <w:left w:val="single" w:sz="4" w:space="0" w:color="auto"/>
              <w:bottom w:val="single" w:sz="4" w:space="0" w:color="auto"/>
              <w:right w:val="single" w:sz="4" w:space="0" w:color="auto"/>
            </w:tcBorders>
          </w:tcPr>
          <w:p w14:paraId="00E492AD" w14:textId="568CA2DF" w:rsidR="00D04AE0" w:rsidRPr="00EF6094" w:rsidRDefault="00D04AE0" w:rsidP="00D04AE0">
            <w:pPr>
              <w:pStyle w:val="Default"/>
              <w:ind w:left="1723" w:hanging="1723"/>
              <w:rPr>
                <w:rFonts w:ascii="Arial" w:hAnsi="Arial" w:cs="Arial"/>
                <w:sz w:val="16"/>
                <w:szCs w:val="16"/>
              </w:rPr>
            </w:pPr>
            <w:r w:rsidRPr="00EF6094">
              <w:rPr>
                <w:rFonts w:ascii="Arial" w:hAnsi="Arial" w:cs="Arial"/>
                <w:b/>
                <w:bCs/>
                <w:sz w:val="16"/>
                <w:szCs w:val="16"/>
              </w:rPr>
              <w:t xml:space="preserve">2 170 – 2 200 </w:t>
            </w:r>
            <w:r w:rsidRPr="00EF6094">
              <w:rPr>
                <w:rFonts w:ascii="Arial" w:hAnsi="Arial" w:cs="Arial"/>
                <w:b/>
                <w:bCs/>
                <w:sz w:val="16"/>
                <w:szCs w:val="16"/>
              </w:rPr>
              <w:tab/>
            </w:r>
            <w:r w:rsidRPr="00EF6094">
              <w:rPr>
                <w:rFonts w:ascii="Arial" w:hAnsi="Arial" w:cs="Arial"/>
                <w:sz w:val="16"/>
                <w:szCs w:val="16"/>
              </w:rPr>
              <w:t xml:space="preserve">FIXED </w:t>
            </w:r>
          </w:p>
          <w:p w14:paraId="5BDB9B56" w14:textId="6C5138A0" w:rsidR="00D04AE0" w:rsidRPr="00EF6094" w:rsidRDefault="00D04AE0" w:rsidP="00D04AE0">
            <w:pPr>
              <w:pStyle w:val="Default"/>
              <w:ind w:left="2007" w:hanging="284"/>
              <w:rPr>
                <w:rFonts w:ascii="Arial" w:hAnsi="Arial" w:cs="Arial"/>
                <w:sz w:val="16"/>
                <w:szCs w:val="16"/>
              </w:rPr>
            </w:pPr>
            <w:r w:rsidRPr="00EF6094">
              <w:rPr>
                <w:rFonts w:ascii="Arial" w:hAnsi="Arial" w:cs="Arial"/>
                <w:sz w:val="16"/>
                <w:szCs w:val="16"/>
              </w:rPr>
              <w:t>MOBILE</w:t>
            </w:r>
          </w:p>
          <w:p w14:paraId="12E31DB2" w14:textId="2EE68665" w:rsidR="00D04AE0" w:rsidRPr="00EF6094" w:rsidRDefault="00D04AE0" w:rsidP="00D04AE0">
            <w:pPr>
              <w:pStyle w:val="Default"/>
              <w:ind w:left="2007" w:hanging="284"/>
              <w:rPr>
                <w:rFonts w:ascii="Arial" w:hAnsi="Arial" w:cs="Arial"/>
                <w:sz w:val="16"/>
                <w:szCs w:val="16"/>
              </w:rPr>
            </w:pPr>
            <w:r w:rsidRPr="00EF6094">
              <w:rPr>
                <w:rFonts w:ascii="Arial" w:hAnsi="Arial" w:cs="Arial"/>
                <w:sz w:val="16"/>
                <w:szCs w:val="16"/>
              </w:rPr>
              <w:t>MOBILE-SATELLITE (Earth-to-Space) 351A</w:t>
            </w:r>
          </w:p>
          <w:p w14:paraId="2DF6E060" w14:textId="40F6B41C" w:rsidR="00D04AE0" w:rsidRPr="00EF6094" w:rsidRDefault="00D04AE0" w:rsidP="00D04AE0">
            <w:pPr>
              <w:pStyle w:val="ACMATableHeader"/>
              <w:numPr>
                <w:ilvl w:val="0"/>
                <w:numId w:val="0"/>
              </w:numPr>
              <w:tabs>
                <w:tab w:val="left" w:pos="720"/>
              </w:tabs>
              <w:ind w:left="306" w:hanging="284"/>
              <w:rPr>
                <w:rFonts w:cs="Arial"/>
                <w:b w:val="0"/>
                <w:sz w:val="16"/>
                <w:szCs w:val="16"/>
              </w:rPr>
            </w:pPr>
          </w:p>
          <w:p w14:paraId="3D079028" w14:textId="6944AD42" w:rsidR="00D04AE0" w:rsidRPr="00EF6094" w:rsidRDefault="00D04AE0" w:rsidP="00D04AE0">
            <w:pPr>
              <w:pStyle w:val="ACMATableHeader"/>
              <w:numPr>
                <w:ilvl w:val="0"/>
                <w:numId w:val="0"/>
              </w:numPr>
              <w:tabs>
                <w:tab w:val="left" w:pos="720"/>
              </w:tabs>
              <w:ind w:left="1723"/>
              <w:rPr>
                <w:rFonts w:cs="Arial"/>
                <w:b w:val="0"/>
                <w:sz w:val="16"/>
                <w:szCs w:val="16"/>
              </w:rPr>
            </w:pPr>
            <w:r w:rsidRPr="00EF6094">
              <w:rPr>
                <w:rFonts w:cs="Arial"/>
                <w:b w:val="0"/>
                <w:sz w:val="16"/>
                <w:szCs w:val="16"/>
              </w:rPr>
              <w:t xml:space="preserve">388  389A  389F   </w:t>
            </w:r>
          </w:p>
        </w:tc>
        <w:tc>
          <w:tcPr>
            <w:tcW w:w="3260" w:type="dxa"/>
            <w:tcBorders>
              <w:top w:val="single" w:sz="4" w:space="0" w:color="auto"/>
              <w:left w:val="single" w:sz="4" w:space="0" w:color="auto"/>
              <w:bottom w:val="single" w:sz="4" w:space="0" w:color="auto"/>
              <w:right w:val="single" w:sz="4" w:space="0" w:color="auto"/>
            </w:tcBorders>
            <w:hideMark/>
          </w:tcPr>
          <w:p w14:paraId="78EF4194" w14:textId="5BD92353" w:rsidR="00D04AE0" w:rsidRPr="00EF6094" w:rsidRDefault="00D04AE0" w:rsidP="00D04AE0">
            <w:pPr>
              <w:pStyle w:val="Default"/>
              <w:ind w:left="306" w:hanging="284"/>
              <w:rPr>
                <w:rFonts w:ascii="Arial" w:hAnsi="Arial" w:cs="Arial"/>
                <w:b/>
                <w:bCs/>
                <w:sz w:val="16"/>
                <w:szCs w:val="16"/>
              </w:rPr>
            </w:pPr>
            <w:r w:rsidRPr="00EF6094">
              <w:rPr>
                <w:rFonts w:ascii="Arial" w:hAnsi="Arial" w:cs="Arial"/>
                <w:b/>
                <w:bCs/>
                <w:sz w:val="16"/>
                <w:szCs w:val="16"/>
              </w:rPr>
              <w:t xml:space="preserve">2 170 – 2 200 </w:t>
            </w:r>
          </w:p>
          <w:p w14:paraId="0DB3B2FF" w14:textId="5CBE9D57" w:rsidR="00D04AE0" w:rsidRPr="00EF6094" w:rsidRDefault="00D04AE0" w:rsidP="00D04AE0">
            <w:pPr>
              <w:pStyle w:val="Default"/>
              <w:ind w:left="306" w:hanging="284"/>
              <w:rPr>
                <w:rFonts w:ascii="Arial" w:hAnsi="Arial" w:cs="Arial"/>
                <w:sz w:val="16"/>
                <w:szCs w:val="16"/>
              </w:rPr>
            </w:pPr>
            <w:r w:rsidRPr="00EF6094">
              <w:rPr>
                <w:rFonts w:ascii="Arial" w:hAnsi="Arial" w:cs="Arial"/>
                <w:sz w:val="16"/>
                <w:szCs w:val="16"/>
              </w:rPr>
              <w:t xml:space="preserve">FIXED </w:t>
            </w:r>
          </w:p>
          <w:p w14:paraId="41E6873A" w14:textId="17A70BD8" w:rsidR="00D04AE0" w:rsidRPr="00EF6094" w:rsidRDefault="00D04AE0" w:rsidP="00D04AE0">
            <w:pPr>
              <w:pStyle w:val="Default"/>
              <w:ind w:left="306" w:hanging="284"/>
              <w:rPr>
                <w:rFonts w:ascii="Arial" w:hAnsi="Arial" w:cs="Arial"/>
                <w:sz w:val="16"/>
                <w:szCs w:val="16"/>
              </w:rPr>
            </w:pPr>
            <w:r w:rsidRPr="00EF6094">
              <w:rPr>
                <w:rFonts w:ascii="Arial" w:hAnsi="Arial" w:cs="Arial"/>
                <w:sz w:val="16"/>
                <w:szCs w:val="16"/>
              </w:rPr>
              <w:t>MOBILE</w:t>
            </w:r>
          </w:p>
          <w:p w14:paraId="43DE8473" w14:textId="693DB560" w:rsidR="00D04AE0" w:rsidRPr="00EF6094" w:rsidRDefault="00D04AE0" w:rsidP="00D04AE0">
            <w:pPr>
              <w:pStyle w:val="Default"/>
              <w:ind w:left="306" w:hanging="284"/>
              <w:rPr>
                <w:rFonts w:ascii="Arial" w:hAnsi="Arial" w:cs="Arial"/>
                <w:sz w:val="16"/>
                <w:szCs w:val="16"/>
              </w:rPr>
            </w:pPr>
            <w:r w:rsidRPr="00EF6094">
              <w:rPr>
                <w:rFonts w:ascii="Arial" w:hAnsi="Arial" w:cs="Arial"/>
                <w:sz w:val="16"/>
                <w:szCs w:val="16"/>
              </w:rPr>
              <w:t>MOBILE-SATELLITE (Earth-to-Space) 351A</w:t>
            </w:r>
          </w:p>
          <w:p w14:paraId="26339CFA" w14:textId="4A8C1B73" w:rsidR="00D04AE0" w:rsidRPr="00EF6094" w:rsidRDefault="00D04AE0" w:rsidP="00D04AE0">
            <w:pPr>
              <w:pStyle w:val="ACMATableHeader"/>
              <w:numPr>
                <w:ilvl w:val="0"/>
                <w:numId w:val="0"/>
              </w:numPr>
              <w:tabs>
                <w:tab w:val="left" w:pos="720"/>
              </w:tabs>
              <w:ind w:left="306" w:hanging="284"/>
              <w:rPr>
                <w:rFonts w:cs="Arial"/>
                <w:b w:val="0"/>
                <w:sz w:val="16"/>
                <w:szCs w:val="16"/>
              </w:rPr>
            </w:pPr>
            <w:r w:rsidRPr="00EF6094">
              <w:rPr>
                <w:rFonts w:cs="Arial"/>
                <w:b w:val="0"/>
                <w:sz w:val="16"/>
                <w:szCs w:val="16"/>
              </w:rPr>
              <w:t>388  389A</w:t>
            </w:r>
          </w:p>
        </w:tc>
      </w:tr>
      <w:bookmarkEnd w:id="76"/>
    </w:tbl>
    <w:p w14:paraId="168338CF" w14:textId="77777777" w:rsidR="00ED6D1C" w:rsidRDefault="00ED6D1C" w:rsidP="00ED6D1C">
      <w:pPr>
        <w:spacing w:after="0" w:line="240" w:lineRule="auto"/>
        <w:rPr>
          <w:b/>
          <w:bCs/>
          <w:color w:val="323232"/>
          <w:szCs w:val="20"/>
        </w:rPr>
      </w:pPr>
      <w:r>
        <w:br w:type="page"/>
      </w:r>
    </w:p>
    <w:p w14:paraId="43271120" w14:textId="77777777" w:rsidR="00ED6D1C" w:rsidRDefault="00ED6D1C" w:rsidP="006311F9">
      <w:pPr>
        <w:pStyle w:val="ACMATableHeader"/>
        <w:numPr>
          <w:ilvl w:val="0"/>
          <w:numId w:val="29"/>
        </w:numPr>
      </w:pPr>
      <w:r>
        <w:lastRenderedPageBreak/>
        <w:t>Extract from the Australian Radiofrequency Spectrum Plan—footnotes</w:t>
      </w:r>
    </w:p>
    <w:tbl>
      <w:tblPr>
        <w:tblW w:w="582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0"/>
        <w:gridCol w:w="7797"/>
      </w:tblGrid>
      <w:tr w:rsidR="00ED6D1C" w14:paraId="19589833" w14:textId="77777777" w:rsidTr="006311F9">
        <w:trPr>
          <w:cantSplit/>
          <w:trHeight w:val="600"/>
          <w:tblHeader/>
        </w:trPr>
        <w:tc>
          <w:tcPr>
            <w:tcW w:w="1130" w:type="dxa"/>
            <w:tcBorders>
              <w:top w:val="single" w:sz="4" w:space="0" w:color="auto"/>
              <w:left w:val="single" w:sz="4" w:space="0" w:color="auto"/>
              <w:bottom w:val="single" w:sz="4" w:space="0" w:color="auto"/>
              <w:right w:val="single" w:sz="4" w:space="0" w:color="auto"/>
            </w:tcBorders>
            <w:shd w:val="clear" w:color="auto" w:fill="404040" w:themeFill="text1" w:themeFillTint="BF"/>
            <w:noWrap/>
            <w:vAlign w:val="center"/>
            <w:hideMark/>
          </w:tcPr>
          <w:p w14:paraId="4CC8CDBE" w14:textId="77777777" w:rsidR="00ED6D1C" w:rsidRDefault="00ED6D1C">
            <w:pPr>
              <w:pStyle w:val="TableHeading"/>
              <w:keepNext/>
              <w:keepLines/>
              <w:jc w:val="center"/>
              <w:rPr>
                <w:rFonts w:cs="Arial"/>
                <w:color w:val="FFFFFF" w:themeColor="background1"/>
              </w:rPr>
            </w:pPr>
            <w:r>
              <w:rPr>
                <w:rFonts w:cs="Arial"/>
                <w:color w:val="FFFFFF" w:themeColor="background1"/>
              </w:rPr>
              <w:t>Footnote</w:t>
            </w:r>
          </w:p>
        </w:tc>
        <w:tc>
          <w:tcPr>
            <w:tcW w:w="7797"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4E89D90D" w14:textId="77777777" w:rsidR="00ED6D1C" w:rsidRDefault="00ED6D1C">
            <w:pPr>
              <w:pStyle w:val="TableHeading"/>
              <w:keepNext/>
              <w:keepLines/>
              <w:jc w:val="center"/>
              <w:rPr>
                <w:rFonts w:cs="Arial"/>
                <w:color w:val="FFFFFF" w:themeColor="background1"/>
              </w:rPr>
            </w:pPr>
            <w:r>
              <w:rPr>
                <w:rFonts w:cs="Arial"/>
                <w:color w:val="FFFFFF" w:themeColor="background1"/>
              </w:rPr>
              <w:t>Text</w:t>
            </w:r>
          </w:p>
        </w:tc>
      </w:tr>
      <w:tr w:rsidR="00ED6D1C" w14:paraId="608DBA11" w14:textId="77777777" w:rsidTr="006311F9">
        <w:trPr>
          <w:cantSplit/>
          <w:trHeight w:val="258"/>
        </w:trPr>
        <w:tc>
          <w:tcPr>
            <w:tcW w:w="1130" w:type="dxa"/>
            <w:tcBorders>
              <w:top w:val="single" w:sz="4" w:space="0" w:color="auto"/>
              <w:left w:val="single" w:sz="4" w:space="0" w:color="auto"/>
              <w:bottom w:val="single" w:sz="4" w:space="0" w:color="auto"/>
              <w:right w:val="single" w:sz="4" w:space="0" w:color="auto"/>
            </w:tcBorders>
            <w:noWrap/>
            <w:hideMark/>
          </w:tcPr>
          <w:p w14:paraId="76D39326" w14:textId="124DB946" w:rsidR="00ED6D1C" w:rsidRPr="006311F9" w:rsidRDefault="00D04AE0" w:rsidP="002F300E">
            <w:pPr>
              <w:spacing w:before="60" w:after="80" w:line="240" w:lineRule="auto"/>
              <w:jc w:val="center"/>
              <w:rPr>
                <w:rFonts w:cs="Arial"/>
                <w:b/>
                <w:bCs/>
                <w:color w:val="000000"/>
                <w:szCs w:val="20"/>
              </w:rPr>
            </w:pPr>
            <w:r w:rsidRPr="006311F9">
              <w:rPr>
                <w:rFonts w:cs="Arial"/>
                <w:b/>
                <w:bCs/>
                <w:color w:val="000000"/>
                <w:szCs w:val="20"/>
              </w:rPr>
              <w:t>351A</w:t>
            </w:r>
          </w:p>
        </w:tc>
        <w:tc>
          <w:tcPr>
            <w:tcW w:w="7797" w:type="dxa"/>
            <w:tcBorders>
              <w:top w:val="single" w:sz="4" w:space="0" w:color="auto"/>
              <w:left w:val="single" w:sz="4" w:space="0" w:color="auto"/>
              <w:bottom w:val="single" w:sz="4" w:space="0" w:color="auto"/>
              <w:right w:val="single" w:sz="4" w:space="0" w:color="auto"/>
            </w:tcBorders>
          </w:tcPr>
          <w:p w14:paraId="4AF62C53" w14:textId="2571A68B" w:rsidR="00ED6D1C" w:rsidRPr="00383DC7" w:rsidRDefault="00D04AE0" w:rsidP="002F300E">
            <w:pPr>
              <w:spacing w:before="60" w:after="80" w:line="240" w:lineRule="auto"/>
              <w:rPr>
                <w:rFonts w:cs="Arial"/>
                <w:color w:val="000000"/>
                <w:szCs w:val="20"/>
              </w:rPr>
            </w:pPr>
            <w:r w:rsidRPr="00383DC7">
              <w:rPr>
                <w:rFonts w:cs="Arial"/>
                <w:color w:val="000000"/>
                <w:szCs w:val="20"/>
              </w:rPr>
              <w:t xml:space="preserve">For the use of the bands 1 518–1 544 MHz, 1 545–1 559 MHz, 1 610–1 645.5 MHz, 1 646.5–1 660.5 MHz, 1 668–1675 MHz, 1 980–2 010 MHz, 2 170–2 200 MHz, 2 483.5–2 520 MHz and 2 670–2 690 MHz by the mobile–satellite service, see Resolutions </w:t>
            </w:r>
            <w:r w:rsidRPr="006311F9">
              <w:rPr>
                <w:rFonts w:cs="Arial"/>
                <w:b/>
                <w:color w:val="000000"/>
                <w:szCs w:val="20"/>
              </w:rPr>
              <w:t>212</w:t>
            </w:r>
            <w:r w:rsidRPr="00383DC7">
              <w:rPr>
                <w:rFonts w:cs="Arial"/>
                <w:color w:val="000000"/>
                <w:szCs w:val="20"/>
              </w:rPr>
              <w:t xml:space="preserve"> (</w:t>
            </w:r>
            <w:r w:rsidRPr="006311F9">
              <w:rPr>
                <w:rFonts w:cs="Arial"/>
                <w:b/>
                <w:color w:val="000000"/>
                <w:szCs w:val="20"/>
              </w:rPr>
              <w:t>Rev.WRC-07</w:t>
            </w:r>
            <w:r w:rsidRPr="00383DC7">
              <w:rPr>
                <w:rFonts w:cs="Arial"/>
                <w:color w:val="000000"/>
                <w:szCs w:val="20"/>
              </w:rPr>
              <w:t xml:space="preserve">) and </w:t>
            </w:r>
            <w:r w:rsidRPr="006311F9">
              <w:rPr>
                <w:rFonts w:cs="Arial"/>
                <w:b/>
                <w:color w:val="000000"/>
                <w:szCs w:val="20"/>
              </w:rPr>
              <w:t>225</w:t>
            </w:r>
            <w:r w:rsidRPr="00383DC7">
              <w:rPr>
                <w:rFonts w:cs="Arial"/>
                <w:color w:val="000000"/>
                <w:szCs w:val="20"/>
              </w:rPr>
              <w:t xml:space="preserve"> (</w:t>
            </w:r>
            <w:r w:rsidRPr="006311F9">
              <w:rPr>
                <w:rFonts w:cs="Arial"/>
                <w:b/>
                <w:color w:val="000000"/>
                <w:szCs w:val="20"/>
              </w:rPr>
              <w:t>Rev.WRC-07</w:t>
            </w:r>
            <w:r w:rsidRPr="00383DC7">
              <w:rPr>
                <w:rFonts w:cs="Arial"/>
                <w:color w:val="000000"/>
                <w:szCs w:val="20"/>
              </w:rPr>
              <w:t xml:space="preserve">). </w:t>
            </w:r>
            <w:r w:rsidRPr="006311F9">
              <w:rPr>
                <w:rFonts w:cs="Arial"/>
                <w:color w:val="000000"/>
                <w:sz w:val="18"/>
                <w:szCs w:val="20"/>
              </w:rPr>
              <w:t>(WRC-07)</w:t>
            </w:r>
          </w:p>
          <w:p w14:paraId="2DC1029B" w14:textId="7DBCB199" w:rsidR="00D04AE0" w:rsidRPr="00383DC7" w:rsidRDefault="00D04AE0" w:rsidP="002F300E">
            <w:pPr>
              <w:spacing w:before="60" w:after="80" w:line="240" w:lineRule="auto"/>
              <w:rPr>
                <w:rFonts w:cs="Arial"/>
                <w:color w:val="000000"/>
                <w:szCs w:val="20"/>
              </w:rPr>
            </w:pPr>
          </w:p>
        </w:tc>
      </w:tr>
      <w:tr w:rsidR="00ED6D1C" w14:paraId="3F6DFC00" w14:textId="77777777" w:rsidTr="006311F9">
        <w:trPr>
          <w:cantSplit/>
          <w:trHeight w:val="600"/>
        </w:trPr>
        <w:tc>
          <w:tcPr>
            <w:tcW w:w="113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3827FC23" w14:textId="549C917C" w:rsidR="00ED6D1C" w:rsidRPr="006311F9" w:rsidRDefault="00D04AE0" w:rsidP="002F300E">
            <w:pPr>
              <w:spacing w:before="60" w:after="80" w:line="240" w:lineRule="auto"/>
              <w:jc w:val="center"/>
              <w:rPr>
                <w:rFonts w:cs="Arial"/>
                <w:b/>
                <w:bCs/>
                <w:color w:val="000000"/>
                <w:szCs w:val="20"/>
              </w:rPr>
            </w:pPr>
            <w:r w:rsidRPr="006311F9">
              <w:rPr>
                <w:rFonts w:cs="Arial"/>
                <w:b/>
                <w:bCs/>
                <w:color w:val="000000"/>
                <w:szCs w:val="20"/>
              </w:rPr>
              <w:t>388</w:t>
            </w:r>
          </w:p>
        </w:tc>
        <w:tc>
          <w:tcPr>
            <w:tcW w:w="779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CA9541B" w14:textId="1DB9C381" w:rsidR="00ED6D1C" w:rsidRPr="00383DC7" w:rsidRDefault="00D04AE0" w:rsidP="002F300E">
            <w:pPr>
              <w:spacing w:before="60" w:after="80" w:line="240" w:lineRule="auto"/>
              <w:rPr>
                <w:rFonts w:cs="Arial"/>
                <w:color w:val="000000"/>
                <w:szCs w:val="20"/>
              </w:rPr>
            </w:pPr>
            <w:r w:rsidRPr="00383DC7">
              <w:rPr>
                <w:rFonts w:cs="Arial"/>
                <w:color w:val="000000"/>
                <w:szCs w:val="20"/>
              </w:rPr>
              <w:t xml:space="preserve">The frequency bands 1 885–2 025 MHz and 2 110–2 200 MHz are intended for use, on a worldwide basis, by administrations wishing to implement International Mobile Telecommunications (IMT). Such use does not preclude the use of these frequency bands by other services to which they are allocated. The frequency bands should be made available for IMT in accordance with Resolution </w:t>
            </w:r>
            <w:r w:rsidRPr="006311F9">
              <w:rPr>
                <w:rFonts w:cs="Arial"/>
                <w:b/>
                <w:color w:val="000000"/>
                <w:szCs w:val="20"/>
              </w:rPr>
              <w:t>212</w:t>
            </w:r>
            <w:r w:rsidRPr="00383DC7">
              <w:rPr>
                <w:rFonts w:cs="Arial"/>
                <w:color w:val="000000"/>
                <w:szCs w:val="20"/>
              </w:rPr>
              <w:t xml:space="preserve"> (</w:t>
            </w:r>
            <w:r w:rsidRPr="006311F9">
              <w:rPr>
                <w:rFonts w:cs="Arial"/>
                <w:b/>
                <w:color w:val="000000"/>
                <w:szCs w:val="20"/>
              </w:rPr>
              <w:t>Rev.WRC-15</w:t>
            </w:r>
            <w:r w:rsidRPr="00383DC7">
              <w:rPr>
                <w:rFonts w:cs="Arial"/>
                <w:color w:val="000000"/>
                <w:szCs w:val="20"/>
              </w:rPr>
              <w:t xml:space="preserve">) (see also Resolution </w:t>
            </w:r>
            <w:r w:rsidRPr="006311F9">
              <w:rPr>
                <w:rFonts w:cs="Arial"/>
                <w:b/>
                <w:color w:val="000000"/>
                <w:szCs w:val="20"/>
              </w:rPr>
              <w:t>223</w:t>
            </w:r>
            <w:r w:rsidRPr="00383DC7">
              <w:rPr>
                <w:rFonts w:cs="Arial"/>
                <w:color w:val="000000"/>
                <w:szCs w:val="20"/>
              </w:rPr>
              <w:t xml:space="preserve"> (</w:t>
            </w:r>
            <w:r w:rsidRPr="006311F9">
              <w:rPr>
                <w:rFonts w:cs="Arial"/>
                <w:b/>
                <w:color w:val="000000"/>
                <w:szCs w:val="20"/>
              </w:rPr>
              <w:t>Rev.WRC-15</w:t>
            </w:r>
            <w:r w:rsidRPr="00383DC7">
              <w:rPr>
                <w:rFonts w:cs="Arial"/>
                <w:color w:val="000000"/>
                <w:szCs w:val="20"/>
              </w:rPr>
              <w:t xml:space="preserve">)). </w:t>
            </w:r>
            <w:r w:rsidRPr="006311F9">
              <w:rPr>
                <w:rFonts w:cs="Arial"/>
                <w:color w:val="000000"/>
                <w:sz w:val="18"/>
                <w:szCs w:val="20"/>
              </w:rPr>
              <w:t>(WRC-15)</w:t>
            </w:r>
          </w:p>
          <w:p w14:paraId="71009C02" w14:textId="6088015E" w:rsidR="00D04AE0" w:rsidRPr="00383DC7" w:rsidRDefault="00D04AE0" w:rsidP="002F300E">
            <w:pPr>
              <w:spacing w:before="60" w:after="80" w:line="240" w:lineRule="auto"/>
              <w:rPr>
                <w:rFonts w:cs="Arial"/>
                <w:color w:val="000000"/>
                <w:szCs w:val="20"/>
              </w:rPr>
            </w:pPr>
          </w:p>
        </w:tc>
      </w:tr>
      <w:tr w:rsidR="00ED6D1C" w14:paraId="592FE0B6" w14:textId="77777777" w:rsidTr="006311F9">
        <w:trPr>
          <w:cantSplit/>
          <w:trHeight w:val="428"/>
        </w:trPr>
        <w:tc>
          <w:tcPr>
            <w:tcW w:w="1130" w:type="dxa"/>
            <w:tcBorders>
              <w:top w:val="single" w:sz="4" w:space="0" w:color="auto"/>
              <w:left w:val="single" w:sz="4" w:space="0" w:color="auto"/>
              <w:bottom w:val="single" w:sz="4" w:space="0" w:color="auto"/>
              <w:right w:val="single" w:sz="4" w:space="0" w:color="auto"/>
            </w:tcBorders>
            <w:noWrap/>
            <w:hideMark/>
          </w:tcPr>
          <w:p w14:paraId="79696ED4" w14:textId="3776BE04" w:rsidR="00ED6D1C" w:rsidRPr="006311F9" w:rsidRDefault="00D04AE0" w:rsidP="002F300E">
            <w:pPr>
              <w:spacing w:before="60" w:after="80" w:line="240" w:lineRule="auto"/>
              <w:jc w:val="center"/>
              <w:rPr>
                <w:rFonts w:cs="Arial"/>
                <w:b/>
                <w:bCs/>
                <w:color w:val="000000"/>
                <w:szCs w:val="20"/>
              </w:rPr>
            </w:pPr>
            <w:r w:rsidRPr="006311F9">
              <w:rPr>
                <w:rFonts w:cs="Arial"/>
                <w:b/>
                <w:bCs/>
                <w:color w:val="000000"/>
                <w:szCs w:val="20"/>
              </w:rPr>
              <w:t>389A</w:t>
            </w:r>
          </w:p>
        </w:tc>
        <w:tc>
          <w:tcPr>
            <w:tcW w:w="7797" w:type="dxa"/>
            <w:tcBorders>
              <w:top w:val="single" w:sz="4" w:space="0" w:color="auto"/>
              <w:left w:val="single" w:sz="4" w:space="0" w:color="auto"/>
              <w:bottom w:val="single" w:sz="4" w:space="0" w:color="auto"/>
              <w:right w:val="single" w:sz="4" w:space="0" w:color="auto"/>
            </w:tcBorders>
          </w:tcPr>
          <w:p w14:paraId="403A9301" w14:textId="488D4261" w:rsidR="00ED6D1C" w:rsidRPr="00383DC7" w:rsidRDefault="00D04AE0" w:rsidP="002F300E">
            <w:pPr>
              <w:spacing w:before="60" w:after="80" w:line="240" w:lineRule="auto"/>
              <w:rPr>
                <w:rFonts w:cs="Arial"/>
                <w:color w:val="000000"/>
                <w:szCs w:val="20"/>
              </w:rPr>
            </w:pPr>
            <w:r w:rsidRPr="00383DC7">
              <w:rPr>
                <w:rFonts w:cs="Arial"/>
                <w:color w:val="000000"/>
                <w:szCs w:val="20"/>
              </w:rPr>
              <w:t xml:space="preserve">The use of the bands 1 980–2 010 MHz and 2 170–2 200 MHz by the mobile–satellite service is subject to coordination under No. 9.11A and to the provisions of Resolution </w:t>
            </w:r>
            <w:r w:rsidRPr="006311F9">
              <w:rPr>
                <w:rFonts w:cs="Arial"/>
                <w:b/>
                <w:color w:val="000000"/>
                <w:szCs w:val="20"/>
              </w:rPr>
              <w:t>716</w:t>
            </w:r>
            <w:r w:rsidRPr="00383DC7">
              <w:rPr>
                <w:rFonts w:cs="Arial"/>
                <w:color w:val="000000"/>
                <w:szCs w:val="20"/>
              </w:rPr>
              <w:t xml:space="preserve"> (</w:t>
            </w:r>
            <w:r w:rsidRPr="006311F9">
              <w:rPr>
                <w:rFonts w:cs="Arial"/>
                <w:b/>
                <w:color w:val="000000"/>
                <w:szCs w:val="20"/>
              </w:rPr>
              <w:t>Rev.WRC-2000</w:t>
            </w:r>
            <w:r w:rsidRPr="00383DC7">
              <w:rPr>
                <w:rFonts w:cs="Arial"/>
                <w:color w:val="000000"/>
                <w:szCs w:val="20"/>
              </w:rPr>
              <w:t xml:space="preserve">). </w:t>
            </w:r>
            <w:r w:rsidRPr="006311F9">
              <w:rPr>
                <w:rFonts w:cs="Arial"/>
                <w:color w:val="000000"/>
                <w:sz w:val="18"/>
                <w:szCs w:val="20"/>
              </w:rPr>
              <w:t>(WRC-07)</w:t>
            </w:r>
          </w:p>
          <w:p w14:paraId="5CCDAB42" w14:textId="2FF0B41D" w:rsidR="00D04AE0" w:rsidRPr="00383DC7" w:rsidRDefault="00D04AE0" w:rsidP="002F300E">
            <w:pPr>
              <w:spacing w:before="60" w:after="80" w:line="240" w:lineRule="auto"/>
              <w:rPr>
                <w:rFonts w:cs="Arial"/>
                <w:color w:val="000000"/>
                <w:szCs w:val="20"/>
              </w:rPr>
            </w:pPr>
          </w:p>
        </w:tc>
      </w:tr>
      <w:tr w:rsidR="00D04AE0" w14:paraId="70631E39" w14:textId="77777777" w:rsidTr="006311F9">
        <w:trPr>
          <w:cantSplit/>
          <w:trHeight w:val="315"/>
        </w:trPr>
        <w:tc>
          <w:tcPr>
            <w:tcW w:w="113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14:paraId="1CCC88E0" w14:textId="51FB3A6D" w:rsidR="00D04AE0" w:rsidRPr="006311F9" w:rsidRDefault="00D04AE0" w:rsidP="002F300E">
            <w:pPr>
              <w:spacing w:before="60" w:after="80" w:line="240" w:lineRule="auto"/>
              <w:jc w:val="center"/>
              <w:rPr>
                <w:rFonts w:cs="Arial"/>
                <w:b/>
                <w:bCs/>
                <w:color w:val="000000"/>
                <w:szCs w:val="20"/>
              </w:rPr>
            </w:pPr>
            <w:r w:rsidRPr="006311F9">
              <w:rPr>
                <w:rFonts w:cs="Arial"/>
                <w:b/>
                <w:bCs/>
                <w:color w:val="000000"/>
                <w:szCs w:val="20"/>
              </w:rPr>
              <w:t>389B</w:t>
            </w:r>
          </w:p>
        </w:tc>
        <w:tc>
          <w:tcPr>
            <w:tcW w:w="779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FF27932" w14:textId="3087153A" w:rsidR="00D04AE0" w:rsidRPr="00383DC7" w:rsidRDefault="00D04AE0" w:rsidP="002F300E">
            <w:pPr>
              <w:spacing w:before="60" w:after="80" w:line="240" w:lineRule="auto"/>
              <w:rPr>
                <w:rFonts w:cs="Arial"/>
                <w:color w:val="000000"/>
                <w:szCs w:val="20"/>
              </w:rPr>
            </w:pPr>
            <w:r w:rsidRPr="00383DC7">
              <w:rPr>
                <w:rFonts w:cs="Arial"/>
                <w:color w:val="000000"/>
                <w:szCs w:val="20"/>
              </w:rPr>
              <w:t>The use of the band 1 980–1 990 MHz by the mobile–satellite service shall not cause harmful interference to or constrain the development of the fixed and mobile services in Argentina, Brazil, Canada, Chile, Ecuador, the United States, Honduras, Jamaica, Mexico, Peru, Suriname, Trinidad and Tobago, Uruguay and Venezuela.</w:t>
            </w:r>
          </w:p>
          <w:p w14:paraId="6DABBC49" w14:textId="47C65D34" w:rsidR="00D04AE0" w:rsidRPr="00383DC7" w:rsidRDefault="00D04AE0" w:rsidP="002F300E">
            <w:pPr>
              <w:spacing w:before="60" w:after="80" w:line="240" w:lineRule="auto"/>
              <w:rPr>
                <w:rFonts w:cs="Arial"/>
                <w:color w:val="000000"/>
                <w:szCs w:val="20"/>
              </w:rPr>
            </w:pPr>
          </w:p>
        </w:tc>
      </w:tr>
      <w:tr w:rsidR="00D04AE0" w14:paraId="2C094752" w14:textId="77777777" w:rsidTr="006311F9">
        <w:trPr>
          <w:cantSplit/>
          <w:trHeight w:val="70"/>
        </w:trPr>
        <w:tc>
          <w:tcPr>
            <w:tcW w:w="1130" w:type="dxa"/>
            <w:tcBorders>
              <w:top w:val="single" w:sz="4" w:space="0" w:color="auto"/>
              <w:left w:val="single" w:sz="4" w:space="0" w:color="auto"/>
              <w:bottom w:val="single" w:sz="4" w:space="0" w:color="auto"/>
              <w:right w:val="single" w:sz="4" w:space="0" w:color="auto"/>
            </w:tcBorders>
            <w:noWrap/>
            <w:hideMark/>
          </w:tcPr>
          <w:p w14:paraId="136F4B84" w14:textId="67F7F508" w:rsidR="00D04AE0" w:rsidRPr="006311F9" w:rsidRDefault="00D04AE0" w:rsidP="002F300E">
            <w:pPr>
              <w:spacing w:before="60" w:after="80" w:line="240" w:lineRule="auto"/>
              <w:jc w:val="center"/>
              <w:rPr>
                <w:rFonts w:cs="Arial"/>
                <w:b/>
                <w:bCs/>
                <w:color w:val="000000"/>
                <w:szCs w:val="20"/>
              </w:rPr>
            </w:pPr>
            <w:r w:rsidRPr="006311F9">
              <w:rPr>
                <w:rFonts w:cs="Arial"/>
                <w:b/>
                <w:bCs/>
                <w:color w:val="000000"/>
                <w:szCs w:val="20"/>
              </w:rPr>
              <w:t>389F</w:t>
            </w:r>
          </w:p>
        </w:tc>
        <w:tc>
          <w:tcPr>
            <w:tcW w:w="7797" w:type="dxa"/>
            <w:tcBorders>
              <w:top w:val="single" w:sz="4" w:space="0" w:color="auto"/>
              <w:left w:val="single" w:sz="4" w:space="0" w:color="auto"/>
              <w:bottom w:val="single" w:sz="4" w:space="0" w:color="auto"/>
              <w:right w:val="single" w:sz="4" w:space="0" w:color="auto"/>
            </w:tcBorders>
          </w:tcPr>
          <w:p w14:paraId="5575A457" w14:textId="2285B129" w:rsidR="00D04AE0" w:rsidRPr="00383DC7" w:rsidRDefault="00D04AE0" w:rsidP="002F300E">
            <w:pPr>
              <w:spacing w:before="60" w:after="80" w:line="240" w:lineRule="auto"/>
              <w:rPr>
                <w:rFonts w:cs="Arial"/>
                <w:color w:val="000000"/>
                <w:szCs w:val="20"/>
              </w:rPr>
            </w:pPr>
            <w:r w:rsidRPr="00383DC7">
              <w:rPr>
                <w:rFonts w:cs="Arial"/>
                <w:color w:val="000000"/>
                <w:szCs w:val="20"/>
              </w:rPr>
              <w:t>In Algeria, Benin, Cape Verde, Egypt, Iran (Islamic Republic of), Mali, the Syrian Arab Republic and Tunisia, the use of the bands 1 980–2 010 MHz and 2 170–2 200 MHz by the mobile–satellite service shall neither cause harmful interference to the fixed and mobile services, nor hamper the development of those services prior to 1 January 2005, nor shall the former service request protection from the latter services.</w:t>
            </w:r>
          </w:p>
          <w:p w14:paraId="2FB0C884" w14:textId="680CFDE8" w:rsidR="00D04AE0" w:rsidRPr="00383DC7" w:rsidRDefault="00D04AE0" w:rsidP="002F300E">
            <w:pPr>
              <w:spacing w:before="60" w:after="80" w:line="240" w:lineRule="auto"/>
              <w:rPr>
                <w:rFonts w:cs="Arial"/>
                <w:color w:val="000000"/>
                <w:szCs w:val="20"/>
              </w:rPr>
            </w:pPr>
          </w:p>
        </w:tc>
      </w:tr>
    </w:tbl>
    <w:p w14:paraId="6AF97268" w14:textId="77777777" w:rsidR="00227706" w:rsidRDefault="00227706" w:rsidP="00227706"/>
    <w:bookmarkEnd w:id="74"/>
    <w:p w14:paraId="3153229E" w14:textId="77777777" w:rsidR="00227706" w:rsidRDefault="00227706"/>
    <w:sectPr w:rsidR="00227706" w:rsidSect="005A4390">
      <w:headerReference w:type="even" r:id="rId50"/>
      <w:headerReference w:type="default" r:id="rId51"/>
      <w:footerReference w:type="even" r:id="rId52"/>
      <w:footerReference w:type="default" r:id="rId53"/>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C251C9" w14:textId="77777777" w:rsidR="00993164" w:rsidRDefault="00993164">
      <w:r>
        <w:separator/>
      </w:r>
    </w:p>
  </w:endnote>
  <w:endnote w:type="continuationSeparator" w:id="0">
    <w:p w14:paraId="05767261" w14:textId="77777777" w:rsidR="00993164" w:rsidRDefault="00993164">
      <w:r>
        <w:continuationSeparator/>
      </w:r>
    </w:p>
  </w:endnote>
  <w:endnote w:type="continuationNotice" w:id="1">
    <w:p w14:paraId="46B767D4" w14:textId="77777777" w:rsidR="00993164" w:rsidRDefault="0099316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4281C8" w14:textId="77777777" w:rsidR="00B60DDB" w:rsidRPr="00A5474E" w:rsidRDefault="00B60DDB" w:rsidP="00A5474E">
    <w:pPr>
      <w:pStyle w:val="Footer"/>
    </w:pPr>
    <w:r>
      <w:rPr>
        <w:noProof/>
      </w:rPr>
      <w:drawing>
        <wp:inline distT="0" distB="0" distL="0" distR="0" wp14:anchorId="1B54785A" wp14:editId="1299E506">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1E88BA" w14:textId="77777777" w:rsidR="00B60DDB" w:rsidRDefault="00B60DD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73A2AC" w14:textId="77777777" w:rsidR="00B60DDB" w:rsidRDefault="00B60DD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AC68BF" w14:textId="77777777" w:rsidR="00B60DDB" w:rsidRPr="00622A3B" w:rsidRDefault="00B60DDB"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3D3B4173" w14:textId="77777777" w:rsidR="00B60DDB" w:rsidRPr="00A5474E" w:rsidRDefault="00B60DDB"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9BD316" w14:textId="77777777" w:rsidR="00B60DDB" w:rsidRPr="00622A3B" w:rsidRDefault="00B60DDB"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57FDC257" w14:textId="77777777" w:rsidR="00B60DDB" w:rsidRPr="00A5474E" w:rsidRDefault="00B60DDB"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BCB86B" w14:textId="77777777" w:rsidR="00B60DDB" w:rsidRPr="00622A3B" w:rsidRDefault="00B60DDB"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57FBC75F" w14:textId="77777777" w:rsidR="00B60DDB" w:rsidRPr="00A5474E" w:rsidRDefault="00B60DDB"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3C086C" w14:textId="77777777" w:rsidR="00B60DDB" w:rsidRPr="00622A3B" w:rsidRDefault="00B60DDB"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F1BCF5B" w14:textId="77777777" w:rsidR="00B60DDB" w:rsidRPr="00A5474E" w:rsidRDefault="00B60DDB"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26B8FF" w14:textId="77777777" w:rsidR="00B60DDB" w:rsidRPr="00622A3B" w:rsidRDefault="00B60DDB"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5093CDBA" w14:textId="77777777" w:rsidR="00B60DDB" w:rsidRPr="00A5474E" w:rsidRDefault="00B60DDB"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9EB803" w14:textId="77777777" w:rsidR="00993164" w:rsidRDefault="00993164">
      <w:r>
        <w:separator/>
      </w:r>
    </w:p>
  </w:footnote>
  <w:footnote w:type="continuationSeparator" w:id="0">
    <w:p w14:paraId="5645C3DD" w14:textId="77777777" w:rsidR="00993164" w:rsidRDefault="00993164">
      <w:r>
        <w:continuationSeparator/>
      </w:r>
    </w:p>
  </w:footnote>
  <w:footnote w:type="continuationNotice" w:id="1">
    <w:p w14:paraId="09CA5F5C" w14:textId="77777777" w:rsidR="00993164" w:rsidRDefault="00993164">
      <w:pPr>
        <w:spacing w:after="0" w:line="240" w:lineRule="auto"/>
      </w:pPr>
    </w:p>
  </w:footnote>
  <w:footnote w:id="2">
    <w:p w14:paraId="7EAE860C" w14:textId="5515A03A" w:rsidR="00B60DDB" w:rsidRDefault="00B60DDB" w:rsidP="00367FDE">
      <w:pPr>
        <w:pStyle w:val="FootnoteText"/>
        <w:spacing w:after="0" w:line="240" w:lineRule="auto"/>
      </w:pPr>
      <w:r>
        <w:rPr>
          <w:rStyle w:val="FootnoteReference"/>
        </w:rPr>
        <w:footnoteRef/>
      </w:r>
      <w:r>
        <w:t xml:space="preserve"> Refer Radiocommunications Assignment and Licensing Instruction </w:t>
      </w:r>
      <w:hyperlink r:id="rId1" w:history="1">
        <w:r>
          <w:rPr>
            <w:rStyle w:val="Hyperlink"/>
          </w:rPr>
          <w:t>FX 3</w:t>
        </w:r>
      </w:hyperlink>
      <w:r>
        <w:t xml:space="preserve">, Microwave fixed services frequency coordination.   </w:t>
      </w:r>
    </w:p>
  </w:footnote>
  <w:footnote w:id="3">
    <w:p w14:paraId="42FDF8B7" w14:textId="39B0B3D4" w:rsidR="00B60DDB" w:rsidRDefault="00B60DDB" w:rsidP="00367FDE">
      <w:pPr>
        <w:pStyle w:val="FootnoteText"/>
        <w:spacing w:after="0" w:line="240" w:lineRule="auto"/>
      </w:pPr>
      <w:r>
        <w:rPr>
          <w:rStyle w:val="FootnoteReference"/>
        </w:rPr>
        <w:footnoteRef/>
      </w:r>
      <w:r>
        <w:t xml:space="preserve"> Refer </w:t>
      </w:r>
      <w:hyperlink r:id="rId2" w:history="1">
        <w:r w:rsidRPr="00233BEC">
          <w:rPr>
            <w:rStyle w:val="Hyperlink"/>
          </w:rPr>
          <w:t>IFC 01/2010</w:t>
        </w:r>
      </w:hyperlink>
      <w:r>
        <w:t xml:space="preserve">, </w:t>
      </w:r>
      <w:r w:rsidRPr="00233BEC">
        <w:t>Review of the 2.5 GHz band and long-term arrangements for ENG</w:t>
      </w:r>
      <w:r>
        <w:t xml:space="preserve">. </w:t>
      </w:r>
    </w:p>
  </w:footnote>
  <w:footnote w:id="4">
    <w:p w14:paraId="543268A9" w14:textId="7A8AEF21" w:rsidR="00B60DDB" w:rsidRDefault="00B60DDB" w:rsidP="009301B2">
      <w:pPr>
        <w:pStyle w:val="FootnoteText"/>
        <w:spacing w:after="0"/>
      </w:pPr>
      <w:r>
        <w:rPr>
          <w:rStyle w:val="FootnoteReference"/>
        </w:rPr>
        <w:footnoteRef/>
      </w:r>
      <w:r>
        <w:t xml:space="preserve"> Consisting of six area-wide licences (three NSW, two Victoria, one low/remote density area) and four site-specific. </w:t>
      </w:r>
    </w:p>
  </w:footnote>
  <w:footnote w:id="5">
    <w:p w14:paraId="50A69A4A" w14:textId="15A5D841" w:rsidR="00B60DDB" w:rsidRDefault="00B60DDB" w:rsidP="009301B2">
      <w:pPr>
        <w:pStyle w:val="FootnoteText"/>
        <w:spacing w:after="0"/>
      </w:pPr>
      <w:r>
        <w:rPr>
          <w:rStyle w:val="FootnoteReference"/>
        </w:rPr>
        <w:footnoteRef/>
      </w:r>
      <w:r>
        <w:t xml:space="preserve"> Consisting of 10 area-wide licences (two NSW, four Victoria, three Queensland, one low/remote density area) and two site-specific. </w:t>
      </w:r>
    </w:p>
  </w:footnote>
  <w:footnote w:id="6">
    <w:p w14:paraId="09315505" w14:textId="0EE08E6F" w:rsidR="00B60DDB" w:rsidRDefault="00B60DDB" w:rsidP="009301B2">
      <w:pPr>
        <w:pStyle w:val="FootnoteText"/>
        <w:spacing w:after="0"/>
      </w:pPr>
      <w:r>
        <w:rPr>
          <w:rStyle w:val="FootnoteReference"/>
        </w:rPr>
        <w:footnoteRef/>
      </w:r>
      <w:r>
        <w:t xml:space="preserve"> One </w:t>
      </w:r>
      <w:r w:rsidRPr="009D7609">
        <w:t>fixed link</w:t>
      </w:r>
      <w:r>
        <w:t xml:space="preserve"> comprises of one transmitting station and one receiving station, each at a fixed location.</w:t>
      </w:r>
    </w:p>
  </w:footnote>
  <w:footnote w:id="7">
    <w:p w14:paraId="64083AB8" w14:textId="2453D02F" w:rsidR="00B60DDB" w:rsidRDefault="00B60DDB" w:rsidP="00A02AC3">
      <w:pPr>
        <w:pStyle w:val="FootnoteText"/>
        <w:spacing w:after="0" w:line="240" w:lineRule="auto"/>
      </w:pPr>
      <w:r>
        <w:rPr>
          <w:rStyle w:val="FootnoteReference"/>
        </w:rPr>
        <w:footnoteRef/>
      </w:r>
      <w:r>
        <w:t xml:space="preserve"> Refer to section 8 of the TOB Band Plan.</w:t>
      </w:r>
    </w:p>
  </w:footnote>
  <w:footnote w:id="8">
    <w:p w14:paraId="0E3D8DF9" w14:textId="1665FC33" w:rsidR="00B60DDB" w:rsidRDefault="00B60DDB" w:rsidP="00A02AC3">
      <w:pPr>
        <w:pStyle w:val="FootnoteText"/>
        <w:spacing w:after="0" w:line="240" w:lineRule="auto"/>
      </w:pPr>
      <w:r>
        <w:rPr>
          <w:rStyle w:val="FootnoteReference"/>
        </w:rPr>
        <w:footnoteRef/>
      </w:r>
      <w:r>
        <w:t xml:space="preserve"> Referring to Figure 1,</w:t>
      </w:r>
      <w:r w:rsidRPr="003D7B71">
        <w:t xml:space="preserve"> </w:t>
      </w:r>
      <w:r>
        <w:t xml:space="preserve">in the 2 GHz band there are seven point-to-point links on channel 5I and seven on channel 2’M. </w:t>
      </w:r>
    </w:p>
  </w:footnote>
  <w:footnote w:id="9">
    <w:p w14:paraId="70CAD6D6" w14:textId="77777777" w:rsidR="00B60DDB" w:rsidRDefault="00B60DDB" w:rsidP="00422464">
      <w:pPr>
        <w:pStyle w:val="FootnoteText"/>
        <w:spacing w:after="0"/>
      </w:pPr>
      <w:r>
        <w:rPr>
          <w:rStyle w:val="FootnoteReference"/>
        </w:rPr>
        <w:footnoteRef/>
      </w:r>
      <w:r>
        <w:t xml:space="preserve"> </w:t>
      </w:r>
      <w:r>
        <w:rPr>
          <w:noProof/>
        </w:rPr>
        <w:t>ITU, Radio Regulation 5.388, Articles, 2016.</w:t>
      </w:r>
    </w:p>
  </w:footnote>
  <w:footnote w:id="10">
    <w:p w14:paraId="624291FD" w14:textId="388F1941" w:rsidR="00B60DDB" w:rsidRDefault="00B60DDB" w:rsidP="00422464">
      <w:pPr>
        <w:pStyle w:val="FootnoteText"/>
        <w:spacing w:after="0"/>
      </w:pPr>
      <w:r>
        <w:rPr>
          <w:rStyle w:val="FootnoteReference"/>
        </w:rPr>
        <w:footnoteRef/>
      </w:r>
      <w:r>
        <w:t xml:space="preserve"> </w:t>
      </w:r>
      <w:hyperlink r:id="rId3" w:history="1">
        <w:r w:rsidRPr="006D7B26">
          <w:rPr>
            <w:rStyle w:val="Hyperlink"/>
          </w:rPr>
          <w:t>ECC Decision ECC/DEC/(06)09</w:t>
        </w:r>
      </w:hyperlink>
      <w:r>
        <w:t xml:space="preserve">: </w:t>
      </w:r>
      <w:r w:rsidRPr="006D7B26">
        <w:t>ECC Decision of 1 December 2006 on the designation of the bands 1980-2010 MHz and 2170-2200 MHz for use by systems in the Mobile-Satellite Service</w:t>
      </w:r>
      <w:r>
        <w:t>,</w:t>
      </w:r>
      <w:r w:rsidRPr="006D7B26">
        <w:t xml:space="preserve"> including those supplemented by a Complementary Ground Component (CGC)</w:t>
      </w:r>
      <w:r>
        <w:t>.</w:t>
      </w:r>
    </w:p>
  </w:footnote>
  <w:footnote w:id="11">
    <w:p w14:paraId="3AD022F5" w14:textId="6188E80C" w:rsidR="00B60DDB" w:rsidRDefault="00B60DDB" w:rsidP="00422464">
      <w:pPr>
        <w:pStyle w:val="FootnoteText"/>
        <w:spacing w:after="0"/>
      </w:pPr>
      <w:r>
        <w:rPr>
          <w:rStyle w:val="FootnoteReference"/>
        </w:rPr>
        <w:footnoteRef/>
      </w:r>
      <w:r>
        <w:t xml:space="preserve"> </w:t>
      </w:r>
      <w:hyperlink r:id="rId4" w:history="1">
        <w:r w:rsidRPr="00552FE1">
          <w:rPr>
            <w:rStyle w:val="Hyperlink"/>
          </w:rPr>
          <w:t>https://www.ofcom.org.uk/__data/assets/pdf_file/0022/107464/Authorisation-terrestrial-mobile-networks-2-GHz-MSS.pdf</w:t>
        </w:r>
      </w:hyperlink>
      <w:r>
        <w:t>.</w:t>
      </w:r>
    </w:p>
  </w:footnote>
  <w:footnote w:id="12">
    <w:p w14:paraId="283488D4" w14:textId="32548033" w:rsidR="00B60DDB" w:rsidRDefault="00B60DDB" w:rsidP="00422464">
      <w:pPr>
        <w:pStyle w:val="FootnoteText"/>
        <w:spacing w:after="0"/>
      </w:pPr>
      <w:r>
        <w:rPr>
          <w:rStyle w:val="FootnoteReference"/>
        </w:rPr>
        <w:footnoteRef/>
      </w:r>
      <w:r>
        <w:t xml:space="preserve"> </w:t>
      </w:r>
      <w:hyperlink r:id="rId5" w:history="1">
        <w:r>
          <w:rPr>
            <w:rStyle w:val="Hyperlink"/>
          </w:rPr>
          <w:t>https://paxex.aero/2019/03/inmarsat-british-airways-launch-ean-connectivity-in-europe/</w:t>
        </w:r>
      </w:hyperlink>
      <w:r w:rsidRPr="006311F9">
        <w:rPr>
          <w:rStyle w:val="Hyperlink"/>
          <w:u w:val="none"/>
        </w:rPr>
        <w:t>.</w:t>
      </w:r>
    </w:p>
  </w:footnote>
  <w:footnote w:id="13">
    <w:p w14:paraId="15CFCF14" w14:textId="5AE66291" w:rsidR="00B60DDB" w:rsidRDefault="00B60DDB" w:rsidP="00D82726">
      <w:pPr>
        <w:pStyle w:val="FootnoteText"/>
      </w:pPr>
      <w:r>
        <w:rPr>
          <w:rStyle w:val="FootnoteReference"/>
        </w:rPr>
        <w:footnoteRef/>
      </w:r>
      <w:r>
        <w:t xml:space="preserve"> </w:t>
      </w:r>
      <w:r w:rsidRPr="00D82726">
        <w:t xml:space="preserve">APT </w:t>
      </w:r>
      <w:r>
        <w:t>r</w:t>
      </w:r>
      <w:r w:rsidRPr="00D82726">
        <w:t>eport</w:t>
      </w:r>
      <w:r>
        <w:t>, ‘</w:t>
      </w:r>
      <w:r w:rsidRPr="00D82726">
        <w:t>Frequency Usage of the Bands 1 980-2 010 MHZ AND 2 170 - 2 200 MHz in Asia Pacific Region</w:t>
      </w:r>
      <w:r>
        <w:t>’,</w:t>
      </w:r>
      <w:r w:rsidRPr="00D82726">
        <w:t xml:space="preserve"> </w:t>
      </w:r>
      <w:r>
        <w:t>No. APT/AWG/REP-46(Rev2), April 2018.</w:t>
      </w:r>
    </w:p>
  </w:footnote>
  <w:footnote w:id="14">
    <w:p w14:paraId="3C02EF16" w14:textId="393D73DB" w:rsidR="00B60DDB" w:rsidRDefault="00B60DDB" w:rsidP="00036E47">
      <w:pPr>
        <w:pStyle w:val="FootnoteText"/>
        <w:spacing w:after="0"/>
      </w:pPr>
      <w:r>
        <w:rPr>
          <w:rStyle w:val="FootnoteReference"/>
        </w:rPr>
        <w:footnoteRef/>
      </w:r>
      <w:r>
        <w:t xml:space="preserve"> See submissions from the </w:t>
      </w:r>
      <w:bookmarkStart w:id="45" w:name="_Hlk13584141"/>
      <w:r>
        <w:t xml:space="preserve">Communications Alliance Satellite Services Working Group, Inmarsat, Omnispace Australia, Kepler Communications and Optus </w:t>
      </w:r>
      <w:bookmarkEnd w:id="45"/>
      <w:r>
        <w:t xml:space="preserve">to </w:t>
      </w:r>
      <w:hyperlink r:id="rId6" w:history="1">
        <w:r w:rsidRPr="000A6835">
          <w:rPr>
            <w:rStyle w:val="Hyperlink"/>
          </w:rPr>
          <w:t>IFC 10/2019- Draft five-year spectrum outlook 2019-23</w:t>
        </w:r>
      </w:hyperlink>
      <w:r w:rsidRPr="006311F9">
        <w:rPr>
          <w:rStyle w:val="Hyperlink"/>
          <w:u w:val="none"/>
        </w:rPr>
        <w:t>.</w:t>
      </w:r>
    </w:p>
  </w:footnote>
  <w:footnote w:id="15">
    <w:p w14:paraId="5D9203F7" w14:textId="4410C649" w:rsidR="00B60DDB" w:rsidRDefault="00B60DDB" w:rsidP="00036E47">
      <w:pPr>
        <w:pStyle w:val="FootnoteText"/>
        <w:spacing w:after="0"/>
      </w:pPr>
      <w:r>
        <w:rPr>
          <w:rStyle w:val="FootnoteReference"/>
        </w:rPr>
        <w:footnoteRef/>
      </w:r>
      <w:r>
        <w:t xml:space="preserve"> See, for example, Omnispace Australia and Kepler Communications submissions to </w:t>
      </w:r>
      <w:hyperlink r:id="rId7" w:history="1">
        <w:r w:rsidRPr="000A6835">
          <w:rPr>
            <w:rStyle w:val="Hyperlink"/>
          </w:rPr>
          <w:t>IFC 10/2019- Draft five-year spectrum outlook 2019-23</w:t>
        </w:r>
      </w:hyperlink>
      <w:r w:rsidRPr="006311F9">
        <w:rPr>
          <w:rStyle w:val="Hyperlink"/>
          <w:u w:val="none"/>
        </w:rPr>
        <w:t>.</w:t>
      </w:r>
    </w:p>
  </w:footnote>
  <w:footnote w:id="16">
    <w:p w14:paraId="69C20615" w14:textId="28ABF812" w:rsidR="00B60DDB" w:rsidRDefault="00B60DDB" w:rsidP="0001042C">
      <w:pPr>
        <w:pStyle w:val="FootnoteText"/>
        <w:spacing w:after="0"/>
      </w:pPr>
      <w:r>
        <w:rPr>
          <w:rStyle w:val="FootnoteReference"/>
        </w:rPr>
        <w:footnoteRef/>
      </w:r>
      <w:r>
        <w:t xml:space="preserve"> </w:t>
      </w:r>
      <w:hyperlink r:id="rId8" w:history="1">
        <w:r w:rsidRPr="00106FFD">
          <w:rPr>
            <w:rStyle w:val="Hyperlink"/>
          </w:rPr>
          <w:t>ECC Report 214</w:t>
        </w:r>
      </w:hyperlink>
      <w:r>
        <w:t xml:space="preserve"> Broadband Direct-Air-to-Ground Communications (DA2GC), June 2014.</w:t>
      </w:r>
    </w:p>
  </w:footnote>
  <w:footnote w:id="17">
    <w:p w14:paraId="50AE2931" w14:textId="2FC7E2E1" w:rsidR="00B60DDB" w:rsidRDefault="00B60DDB" w:rsidP="0001042C">
      <w:pPr>
        <w:pStyle w:val="FootnoteText"/>
        <w:spacing w:after="0"/>
      </w:pPr>
      <w:r>
        <w:rPr>
          <w:rStyle w:val="FootnoteReference"/>
        </w:rPr>
        <w:footnoteRef/>
      </w:r>
      <w:r>
        <w:t xml:space="preserve"> </w:t>
      </w:r>
      <w:r w:rsidRPr="002B7075">
        <w:t xml:space="preserve">APT Report on </w:t>
      </w:r>
      <w:r>
        <w:t>‘</w:t>
      </w:r>
      <w:r w:rsidRPr="002B7075">
        <w:t>Possible Radio Services and Applications onboard Aircraft and Vessels</w:t>
      </w:r>
      <w:r>
        <w:t>’ (</w:t>
      </w:r>
      <w:hyperlink r:id="rId9" w:history="1">
        <w:r w:rsidRPr="00F52D12">
          <w:rPr>
            <w:rStyle w:val="Hyperlink"/>
          </w:rPr>
          <w:t>APT/AWG/REP-56</w:t>
        </w:r>
      </w:hyperlink>
      <w:r>
        <w:t>), September 2014</w:t>
      </w:r>
    </w:p>
  </w:footnote>
  <w:footnote w:id="18">
    <w:p w14:paraId="3339D188" w14:textId="262571C0" w:rsidR="00B60DDB" w:rsidRDefault="00B60DDB" w:rsidP="0001042C">
      <w:pPr>
        <w:pStyle w:val="FootnoteText"/>
        <w:spacing w:after="0"/>
      </w:pPr>
      <w:r>
        <w:rPr>
          <w:rStyle w:val="FootnoteReference"/>
        </w:rPr>
        <w:footnoteRef/>
      </w:r>
      <w:r>
        <w:t xml:space="preserve"> </w:t>
      </w:r>
      <w:r w:rsidRPr="00106FFD">
        <w:t>APT Survey Report on "Application of Direct Broadband Radio Communication System between Air and Ground"</w:t>
      </w:r>
      <w:r>
        <w:t xml:space="preserve"> (</w:t>
      </w:r>
      <w:hyperlink r:id="rId10" w:history="1">
        <w:r w:rsidRPr="00106FFD">
          <w:rPr>
            <w:rStyle w:val="Hyperlink"/>
          </w:rPr>
          <w:t>APT/AWG/REP-63</w:t>
        </w:r>
      </w:hyperlink>
      <w:r>
        <w:t>), March 2015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504E74" w14:textId="77777777" w:rsidR="00B60DDB" w:rsidRPr="00A5474E" w:rsidRDefault="00B60DDB" w:rsidP="00A5474E">
    <w:pPr>
      <w:pStyle w:val="Header"/>
    </w:pPr>
    <w:r>
      <w:rPr>
        <w:noProof/>
      </w:rPr>
      <w:drawing>
        <wp:inline distT="0" distB="0" distL="0" distR="0" wp14:anchorId="31D23D99" wp14:editId="6991D991">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299104" w14:textId="77777777" w:rsidR="00B60DDB" w:rsidRPr="00A5474E" w:rsidRDefault="00B60DDB"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A3EDAB" w14:textId="77777777" w:rsidR="00B60DDB" w:rsidRDefault="00B60DD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0F78BA" w14:textId="77777777" w:rsidR="00B60DDB" w:rsidRDefault="00B60DD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B60DDB" w14:paraId="4685D4AB" w14:textId="77777777" w:rsidTr="00680907">
      <w:trPr>
        <w:trHeight w:hRule="exact" w:val="988"/>
      </w:trPr>
      <w:tc>
        <w:tcPr>
          <w:tcW w:w="7678" w:type="dxa"/>
          <w:shd w:val="clear" w:color="auto" w:fill="auto"/>
        </w:tcPr>
        <w:p w14:paraId="31CAA76D" w14:textId="77777777" w:rsidR="00B60DDB" w:rsidRDefault="00B60DDB" w:rsidP="00971914">
          <w:pPr>
            <w:pStyle w:val="Header"/>
          </w:pPr>
        </w:p>
      </w:tc>
    </w:tr>
    <w:tr w:rsidR="00B60DDB" w14:paraId="0593E53C" w14:textId="77777777" w:rsidTr="00680907">
      <w:tc>
        <w:tcPr>
          <w:tcW w:w="7678" w:type="dxa"/>
          <w:shd w:val="clear" w:color="auto" w:fill="auto"/>
        </w:tcPr>
        <w:p w14:paraId="173C7652" w14:textId="77777777" w:rsidR="00B60DDB" w:rsidRDefault="00B60DDB" w:rsidP="00971914">
          <w:pPr>
            <w:pStyle w:val="GridTable31"/>
          </w:pPr>
          <w:r>
            <w:t xml:space="preserve">Contents </w:t>
          </w:r>
          <w:r w:rsidRPr="00915B1C">
            <w:rPr>
              <w:b w:val="0"/>
              <w:spacing w:val="0"/>
              <w:sz w:val="28"/>
              <w:szCs w:val="28"/>
            </w:rPr>
            <w:t>(Continued)</w:t>
          </w:r>
        </w:p>
      </w:tc>
    </w:tr>
    <w:tr w:rsidR="00B60DDB" w14:paraId="161DECBA" w14:textId="77777777" w:rsidTr="00680907">
      <w:trPr>
        <w:trHeight w:val="1220"/>
      </w:trPr>
      <w:tc>
        <w:tcPr>
          <w:tcW w:w="7678" w:type="dxa"/>
          <w:shd w:val="clear" w:color="auto" w:fill="auto"/>
        </w:tcPr>
        <w:p w14:paraId="15CDE02D" w14:textId="77777777" w:rsidR="00B60DDB" w:rsidRDefault="00B60DDB" w:rsidP="00971914"/>
      </w:tc>
    </w:tr>
  </w:tbl>
  <w:p w14:paraId="150F4EE6" w14:textId="77777777" w:rsidR="00B60DDB" w:rsidRDefault="00B60DDB"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B60DDB" w14:paraId="6586866D" w14:textId="77777777" w:rsidTr="00680907">
      <w:trPr>
        <w:trHeight w:hRule="exact" w:val="988"/>
      </w:trPr>
      <w:tc>
        <w:tcPr>
          <w:tcW w:w="7678" w:type="dxa"/>
          <w:shd w:val="clear" w:color="auto" w:fill="auto"/>
        </w:tcPr>
        <w:p w14:paraId="059CA585" w14:textId="77777777" w:rsidR="00B60DDB" w:rsidRDefault="00B60DDB" w:rsidP="00971914">
          <w:pPr>
            <w:pStyle w:val="Header"/>
          </w:pPr>
        </w:p>
      </w:tc>
    </w:tr>
    <w:tr w:rsidR="00B60DDB" w14:paraId="4FF06D4D" w14:textId="77777777" w:rsidTr="00680907">
      <w:tc>
        <w:tcPr>
          <w:tcW w:w="7678" w:type="dxa"/>
          <w:shd w:val="clear" w:color="auto" w:fill="auto"/>
        </w:tcPr>
        <w:p w14:paraId="74DFFCC1" w14:textId="77777777" w:rsidR="00B60DDB" w:rsidRDefault="00B60DDB" w:rsidP="00971914">
          <w:pPr>
            <w:pStyle w:val="GridTable31"/>
          </w:pPr>
          <w:r>
            <w:t xml:space="preserve">Contents </w:t>
          </w:r>
          <w:r w:rsidRPr="00915B1C">
            <w:rPr>
              <w:b w:val="0"/>
              <w:spacing w:val="0"/>
              <w:sz w:val="28"/>
              <w:szCs w:val="28"/>
            </w:rPr>
            <w:t>(Continued)</w:t>
          </w:r>
        </w:p>
      </w:tc>
    </w:tr>
    <w:tr w:rsidR="00B60DDB" w14:paraId="2977038C" w14:textId="77777777" w:rsidTr="00680907">
      <w:trPr>
        <w:trHeight w:val="1220"/>
      </w:trPr>
      <w:tc>
        <w:tcPr>
          <w:tcW w:w="7678" w:type="dxa"/>
          <w:shd w:val="clear" w:color="auto" w:fill="auto"/>
        </w:tcPr>
        <w:p w14:paraId="559E001C" w14:textId="77777777" w:rsidR="00B60DDB" w:rsidRDefault="00B60DDB" w:rsidP="00971914"/>
      </w:tc>
    </w:tr>
  </w:tbl>
  <w:p w14:paraId="55CFCF60" w14:textId="77777777" w:rsidR="00B60DDB" w:rsidRPr="00A5474E" w:rsidRDefault="00B60DDB"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986B4B" w14:textId="77777777" w:rsidR="00B60DDB" w:rsidRDefault="00B60DD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EAE475" w14:textId="77777777" w:rsidR="00B60DDB" w:rsidRDefault="00B60DD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6D1EA2E4"/>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56321AFC"/>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26504F6"/>
    <w:multiLevelType w:val="hybridMultilevel"/>
    <w:tmpl w:val="FC1C44EA"/>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07BA1072"/>
    <w:multiLevelType w:val="hybridMultilevel"/>
    <w:tmpl w:val="03227634"/>
    <w:lvl w:ilvl="0" w:tplc="691CE742">
      <w:start w:val="1"/>
      <w:numFmt w:val="decimal"/>
      <w:lvlText w:val="%1."/>
      <w:lvlJc w:val="left"/>
      <w:pPr>
        <w:ind w:left="644" w:hanging="360"/>
      </w:pPr>
      <w:rPr>
        <w:rFonts w:hint="default"/>
        <w:b/>
      </w:rPr>
    </w:lvl>
    <w:lvl w:ilvl="1" w:tplc="14289602">
      <w:start w:val="1"/>
      <w:numFmt w:val="lowerLetter"/>
      <w:lvlText w:val="%2."/>
      <w:lvlJc w:val="left"/>
      <w:pPr>
        <w:ind w:left="1364" w:hanging="360"/>
      </w:pPr>
      <w:rPr>
        <w:b/>
      </w:r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7" w15:restartNumberingAfterBreak="0">
    <w:nsid w:val="1EAC6FA7"/>
    <w:multiLevelType w:val="hybridMultilevel"/>
    <w:tmpl w:val="B60211F8"/>
    <w:lvl w:ilvl="0" w:tplc="4CC8E2E0">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8"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384D1164"/>
    <w:multiLevelType w:val="hybridMultilevel"/>
    <w:tmpl w:val="B378B08E"/>
    <w:lvl w:ilvl="0" w:tplc="0C090001">
      <w:start w:val="1"/>
      <w:numFmt w:val="bullet"/>
      <w:lvlText w:val=""/>
      <w:lvlJc w:val="left"/>
      <w:pPr>
        <w:ind w:left="777" w:hanging="360"/>
      </w:pPr>
      <w:rPr>
        <w:rFonts w:ascii="Symbol" w:hAnsi="Symbol" w:hint="default"/>
      </w:rPr>
    </w:lvl>
    <w:lvl w:ilvl="1" w:tplc="0C090003" w:tentative="1">
      <w:start w:val="1"/>
      <w:numFmt w:val="bullet"/>
      <w:lvlText w:val="o"/>
      <w:lvlJc w:val="left"/>
      <w:pPr>
        <w:ind w:left="1497" w:hanging="360"/>
      </w:pPr>
      <w:rPr>
        <w:rFonts w:ascii="Courier New" w:hAnsi="Courier New" w:cs="Courier New" w:hint="default"/>
      </w:rPr>
    </w:lvl>
    <w:lvl w:ilvl="2" w:tplc="0C090005" w:tentative="1">
      <w:start w:val="1"/>
      <w:numFmt w:val="bullet"/>
      <w:lvlText w:val=""/>
      <w:lvlJc w:val="left"/>
      <w:pPr>
        <w:ind w:left="2217" w:hanging="360"/>
      </w:pPr>
      <w:rPr>
        <w:rFonts w:ascii="Wingdings" w:hAnsi="Wingdings" w:hint="default"/>
      </w:rPr>
    </w:lvl>
    <w:lvl w:ilvl="3" w:tplc="0C090001" w:tentative="1">
      <w:start w:val="1"/>
      <w:numFmt w:val="bullet"/>
      <w:lvlText w:val=""/>
      <w:lvlJc w:val="left"/>
      <w:pPr>
        <w:ind w:left="2937" w:hanging="360"/>
      </w:pPr>
      <w:rPr>
        <w:rFonts w:ascii="Symbol" w:hAnsi="Symbol" w:hint="default"/>
      </w:rPr>
    </w:lvl>
    <w:lvl w:ilvl="4" w:tplc="0C090003" w:tentative="1">
      <w:start w:val="1"/>
      <w:numFmt w:val="bullet"/>
      <w:lvlText w:val="o"/>
      <w:lvlJc w:val="left"/>
      <w:pPr>
        <w:ind w:left="3657" w:hanging="360"/>
      </w:pPr>
      <w:rPr>
        <w:rFonts w:ascii="Courier New" w:hAnsi="Courier New" w:cs="Courier New" w:hint="default"/>
      </w:rPr>
    </w:lvl>
    <w:lvl w:ilvl="5" w:tplc="0C090005" w:tentative="1">
      <w:start w:val="1"/>
      <w:numFmt w:val="bullet"/>
      <w:lvlText w:val=""/>
      <w:lvlJc w:val="left"/>
      <w:pPr>
        <w:ind w:left="4377" w:hanging="360"/>
      </w:pPr>
      <w:rPr>
        <w:rFonts w:ascii="Wingdings" w:hAnsi="Wingdings" w:hint="default"/>
      </w:rPr>
    </w:lvl>
    <w:lvl w:ilvl="6" w:tplc="0C090001" w:tentative="1">
      <w:start w:val="1"/>
      <w:numFmt w:val="bullet"/>
      <w:lvlText w:val=""/>
      <w:lvlJc w:val="left"/>
      <w:pPr>
        <w:ind w:left="5097" w:hanging="360"/>
      </w:pPr>
      <w:rPr>
        <w:rFonts w:ascii="Symbol" w:hAnsi="Symbol" w:hint="default"/>
      </w:rPr>
    </w:lvl>
    <w:lvl w:ilvl="7" w:tplc="0C090003" w:tentative="1">
      <w:start w:val="1"/>
      <w:numFmt w:val="bullet"/>
      <w:lvlText w:val="o"/>
      <w:lvlJc w:val="left"/>
      <w:pPr>
        <w:ind w:left="5817" w:hanging="360"/>
      </w:pPr>
      <w:rPr>
        <w:rFonts w:ascii="Courier New" w:hAnsi="Courier New" w:cs="Courier New" w:hint="default"/>
      </w:rPr>
    </w:lvl>
    <w:lvl w:ilvl="8" w:tplc="0C090005" w:tentative="1">
      <w:start w:val="1"/>
      <w:numFmt w:val="bullet"/>
      <w:lvlText w:val=""/>
      <w:lvlJc w:val="left"/>
      <w:pPr>
        <w:ind w:left="6537" w:hanging="360"/>
      </w:pPr>
      <w:rPr>
        <w:rFonts w:ascii="Wingdings" w:hAnsi="Wingdings" w:hint="default"/>
      </w:rPr>
    </w:lvl>
  </w:abstractNum>
  <w:abstractNum w:abstractNumId="10" w15:restartNumberingAfterBreak="0">
    <w:nsid w:val="55AA21F0"/>
    <w:multiLevelType w:val="hybridMultilevel"/>
    <w:tmpl w:val="630E87B4"/>
    <w:lvl w:ilvl="0" w:tplc="C128BD30">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1CA3F73"/>
    <w:multiLevelType w:val="hybridMultilevel"/>
    <w:tmpl w:val="482C3EE2"/>
    <w:lvl w:ilvl="0" w:tplc="BC2A1BF4">
      <w:start w:val="1"/>
      <w:numFmt w:val="decimal"/>
      <w:lvlText w:val="%1."/>
      <w:lvlJc w:val="left"/>
      <w:pPr>
        <w:ind w:left="644" w:hanging="360"/>
      </w:pPr>
      <w:rPr>
        <w:rFonts w:hint="default"/>
        <w:b w:val="0"/>
        <w:bCs w:val="0"/>
      </w:rPr>
    </w:lvl>
    <w:lvl w:ilvl="1" w:tplc="E5EE8870">
      <w:start w:val="1"/>
      <w:numFmt w:val="lowerLetter"/>
      <w:lvlText w:val="%2."/>
      <w:lvlJc w:val="left"/>
      <w:pPr>
        <w:ind w:left="1364" w:hanging="360"/>
      </w:pPr>
      <w:rPr>
        <w:b w:val="0"/>
        <w:bCs w:val="0"/>
      </w:r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12"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5071478"/>
    <w:multiLevelType w:val="hybridMultilevel"/>
    <w:tmpl w:val="D8D2A17A"/>
    <w:lvl w:ilvl="0" w:tplc="32206B1E">
      <w:start w:val="1"/>
      <w:numFmt w:val="decimal"/>
      <w:pStyle w:val="ACMAFigureHeader"/>
      <w:lvlText w:val="Figure %1: "/>
      <w:lvlJc w:val="left"/>
      <w:pPr>
        <w:tabs>
          <w:tab w:val="num" w:pos="1021"/>
        </w:tabs>
        <w:ind w:left="1021" w:hanging="1021"/>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BF54844"/>
    <w:multiLevelType w:val="hybridMultilevel"/>
    <w:tmpl w:val="BC9C5FF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2"/>
  </w:num>
  <w:num w:numId="3">
    <w:abstractNumId w:val="3"/>
  </w:num>
  <w:num w:numId="4">
    <w:abstractNumId w:val="1"/>
  </w:num>
  <w:num w:numId="5">
    <w:abstractNumId w:val="8"/>
  </w:num>
  <w:num w:numId="6">
    <w:abstractNumId w:val="13"/>
  </w:num>
  <w:num w:numId="7">
    <w:abstractNumId w:val="10"/>
  </w:num>
  <w:num w:numId="8">
    <w:abstractNumId w:val="12"/>
  </w:num>
  <w:num w:numId="9">
    <w:abstractNumId w:val="14"/>
  </w:num>
  <w:num w:numId="10">
    <w:abstractNumId w:val="5"/>
  </w:num>
  <w:num w:numId="11">
    <w:abstractNumId w:val="11"/>
  </w:num>
  <w:num w:numId="12">
    <w:abstractNumId w:val="4"/>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num>
  <w:num w:numId="15">
    <w:abstractNumId w:val="6"/>
  </w:num>
  <w:num w:numId="16">
    <w:abstractNumId w:val="4"/>
  </w:num>
  <w:num w:numId="17">
    <w:abstractNumId w:val="4"/>
  </w:num>
  <w:num w:numId="18">
    <w:abstractNumId w:val="4"/>
  </w:num>
  <w:num w:numId="19">
    <w:abstractNumId w:val="4"/>
  </w:num>
  <w:num w:numId="20">
    <w:abstractNumId w:val="7"/>
  </w:num>
  <w:num w:numId="21">
    <w:abstractNumId w:val="9"/>
  </w:num>
  <w:num w:numId="22">
    <w:abstractNumId w:val="15"/>
  </w:num>
  <w:num w:numId="23">
    <w:abstractNumId w:val="4"/>
  </w:num>
  <w:num w:numId="24">
    <w:abstractNumId w:val="4"/>
  </w:num>
  <w:num w:numId="25">
    <w:abstractNumId w:val="0"/>
  </w:num>
  <w:num w:numId="26">
    <w:abstractNumId w:val="3"/>
    <w:lvlOverride w:ilvl="0">
      <w:startOverride w:val="1"/>
    </w:lvlOverride>
  </w:num>
  <w:num w:numId="2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0"/>
  </w:num>
  <w:num w:numId="29">
    <w:abstractNumId w:val="10"/>
    <w:lvlOverride w:ilvl="0">
      <w:startOverride w:val="4"/>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removePersonalInformation/>
  <w:removeDateAndTime/>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6C7C"/>
    <w:rsid w:val="000013BD"/>
    <w:rsid w:val="00001923"/>
    <w:rsid w:val="00003AAF"/>
    <w:rsid w:val="0001042C"/>
    <w:rsid w:val="00010667"/>
    <w:rsid w:val="00010C80"/>
    <w:rsid w:val="000129D5"/>
    <w:rsid w:val="00015AE7"/>
    <w:rsid w:val="00016E21"/>
    <w:rsid w:val="0001719C"/>
    <w:rsid w:val="00017CFD"/>
    <w:rsid w:val="0002224E"/>
    <w:rsid w:val="00023BFF"/>
    <w:rsid w:val="000245E5"/>
    <w:rsid w:val="00024D24"/>
    <w:rsid w:val="00025AC3"/>
    <w:rsid w:val="000267DA"/>
    <w:rsid w:val="00026F91"/>
    <w:rsid w:val="00036E47"/>
    <w:rsid w:val="00037E88"/>
    <w:rsid w:val="00042004"/>
    <w:rsid w:val="00045681"/>
    <w:rsid w:val="0004764C"/>
    <w:rsid w:val="0005011A"/>
    <w:rsid w:val="0005045A"/>
    <w:rsid w:val="00050CBB"/>
    <w:rsid w:val="00051C1E"/>
    <w:rsid w:val="000539F9"/>
    <w:rsid w:val="00054C27"/>
    <w:rsid w:val="00055EC3"/>
    <w:rsid w:val="000563CE"/>
    <w:rsid w:val="000618E2"/>
    <w:rsid w:val="00062405"/>
    <w:rsid w:val="00065613"/>
    <w:rsid w:val="000659B6"/>
    <w:rsid w:val="0006686F"/>
    <w:rsid w:val="0006722A"/>
    <w:rsid w:val="000732CF"/>
    <w:rsid w:val="00074EBB"/>
    <w:rsid w:val="00075B96"/>
    <w:rsid w:val="00075ED6"/>
    <w:rsid w:val="0008196A"/>
    <w:rsid w:val="0008332A"/>
    <w:rsid w:val="00084800"/>
    <w:rsid w:val="000858B0"/>
    <w:rsid w:val="00087E1F"/>
    <w:rsid w:val="000915ED"/>
    <w:rsid w:val="0009209D"/>
    <w:rsid w:val="00095098"/>
    <w:rsid w:val="000969BD"/>
    <w:rsid w:val="000969BF"/>
    <w:rsid w:val="0009761A"/>
    <w:rsid w:val="000A0C22"/>
    <w:rsid w:val="000A1400"/>
    <w:rsid w:val="000A3C43"/>
    <w:rsid w:val="000A4A51"/>
    <w:rsid w:val="000A5D2B"/>
    <w:rsid w:val="000A6835"/>
    <w:rsid w:val="000A7A6D"/>
    <w:rsid w:val="000B4513"/>
    <w:rsid w:val="000B5DE3"/>
    <w:rsid w:val="000C0A57"/>
    <w:rsid w:val="000C230C"/>
    <w:rsid w:val="000C4D93"/>
    <w:rsid w:val="000C6AB4"/>
    <w:rsid w:val="000D18A6"/>
    <w:rsid w:val="000D71D9"/>
    <w:rsid w:val="000D76E0"/>
    <w:rsid w:val="000D7E8B"/>
    <w:rsid w:val="000E4449"/>
    <w:rsid w:val="000E6097"/>
    <w:rsid w:val="000E6549"/>
    <w:rsid w:val="000E7CB4"/>
    <w:rsid w:val="000F3BB0"/>
    <w:rsid w:val="000F4DCC"/>
    <w:rsid w:val="000F5660"/>
    <w:rsid w:val="001000DE"/>
    <w:rsid w:val="00102426"/>
    <w:rsid w:val="00103829"/>
    <w:rsid w:val="00103B79"/>
    <w:rsid w:val="00104DE5"/>
    <w:rsid w:val="00106FFD"/>
    <w:rsid w:val="00111FCE"/>
    <w:rsid w:val="0011544A"/>
    <w:rsid w:val="00115C02"/>
    <w:rsid w:val="001229A5"/>
    <w:rsid w:val="0012489B"/>
    <w:rsid w:val="0012605C"/>
    <w:rsid w:val="00130017"/>
    <w:rsid w:val="00130B11"/>
    <w:rsid w:val="00130F91"/>
    <w:rsid w:val="00133ED3"/>
    <w:rsid w:val="001349ED"/>
    <w:rsid w:val="00135673"/>
    <w:rsid w:val="00137424"/>
    <w:rsid w:val="00137672"/>
    <w:rsid w:val="001401AA"/>
    <w:rsid w:val="00140318"/>
    <w:rsid w:val="00141AD9"/>
    <w:rsid w:val="00142162"/>
    <w:rsid w:val="0014326B"/>
    <w:rsid w:val="0014449D"/>
    <w:rsid w:val="00144E8D"/>
    <w:rsid w:val="001464D8"/>
    <w:rsid w:val="00146CE6"/>
    <w:rsid w:val="0014760F"/>
    <w:rsid w:val="00147ED1"/>
    <w:rsid w:val="0015004B"/>
    <w:rsid w:val="00152903"/>
    <w:rsid w:val="00153FD5"/>
    <w:rsid w:val="0015614F"/>
    <w:rsid w:val="001577C2"/>
    <w:rsid w:val="00161DB5"/>
    <w:rsid w:val="001633C4"/>
    <w:rsid w:val="00166350"/>
    <w:rsid w:val="001704D5"/>
    <w:rsid w:val="00171591"/>
    <w:rsid w:val="00172ECB"/>
    <w:rsid w:val="00173981"/>
    <w:rsid w:val="00173B5A"/>
    <w:rsid w:val="001749B8"/>
    <w:rsid w:val="0017719D"/>
    <w:rsid w:val="00180571"/>
    <w:rsid w:val="00180D55"/>
    <w:rsid w:val="00182DC3"/>
    <w:rsid w:val="00183FD7"/>
    <w:rsid w:val="00185CAB"/>
    <w:rsid w:val="00185E64"/>
    <w:rsid w:val="00186187"/>
    <w:rsid w:val="001875B7"/>
    <w:rsid w:val="00187CB3"/>
    <w:rsid w:val="00187D23"/>
    <w:rsid w:val="0019050A"/>
    <w:rsid w:val="00191094"/>
    <w:rsid w:val="001910D4"/>
    <w:rsid w:val="0019740E"/>
    <w:rsid w:val="0019755E"/>
    <w:rsid w:val="001976E3"/>
    <w:rsid w:val="001A39E7"/>
    <w:rsid w:val="001A44EC"/>
    <w:rsid w:val="001A787F"/>
    <w:rsid w:val="001B58AA"/>
    <w:rsid w:val="001B6E7C"/>
    <w:rsid w:val="001B7D51"/>
    <w:rsid w:val="001B7E48"/>
    <w:rsid w:val="001C03AB"/>
    <w:rsid w:val="001C17CE"/>
    <w:rsid w:val="001C36CA"/>
    <w:rsid w:val="001C44D1"/>
    <w:rsid w:val="001C5C8E"/>
    <w:rsid w:val="001C6AEE"/>
    <w:rsid w:val="001C7630"/>
    <w:rsid w:val="001D127B"/>
    <w:rsid w:val="001D4D41"/>
    <w:rsid w:val="001D6D15"/>
    <w:rsid w:val="001E17E1"/>
    <w:rsid w:val="001E2365"/>
    <w:rsid w:val="001E4482"/>
    <w:rsid w:val="001F6DC3"/>
    <w:rsid w:val="001F7558"/>
    <w:rsid w:val="00203487"/>
    <w:rsid w:val="002038F1"/>
    <w:rsid w:val="00205B57"/>
    <w:rsid w:val="00211575"/>
    <w:rsid w:val="00211CE0"/>
    <w:rsid w:val="00213DD3"/>
    <w:rsid w:val="002157E0"/>
    <w:rsid w:val="00216A57"/>
    <w:rsid w:val="00216F66"/>
    <w:rsid w:val="00217D30"/>
    <w:rsid w:val="0022334F"/>
    <w:rsid w:val="002243AE"/>
    <w:rsid w:val="00224C9D"/>
    <w:rsid w:val="00224F57"/>
    <w:rsid w:val="00225302"/>
    <w:rsid w:val="002257F5"/>
    <w:rsid w:val="00226819"/>
    <w:rsid w:val="00227706"/>
    <w:rsid w:val="00233101"/>
    <w:rsid w:val="00233817"/>
    <w:rsid w:val="00233BEC"/>
    <w:rsid w:val="00234B81"/>
    <w:rsid w:val="002367FF"/>
    <w:rsid w:val="00236E83"/>
    <w:rsid w:val="002403F9"/>
    <w:rsid w:val="00240CE9"/>
    <w:rsid w:val="002417C2"/>
    <w:rsid w:val="00241AF6"/>
    <w:rsid w:val="00242979"/>
    <w:rsid w:val="002434BA"/>
    <w:rsid w:val="00246089"/>
    <w:rsid w:val="00246093"/>
    <w:rsid w:val="00246702"/>
    <w:rsid w:val="0024690C"/>
    <w:rsid w:val="00247C59"/>
    <w:rsid w:val="00247F2E"/>
    <w:rsid w:val="00250ADC"/>
    <w:rsid w:val="00250B07"/>
    <w:rsid w:val="00251233"/>
    <w:rsid w:val="00252E41"/>
    <w:rsid w:val="0025724C"/>
    <w:rsid w:val="00257553"/>
    <w:rsid w:val="002602E3"/>
    <w:rsid w:val="00260FB2"/>
    <w:rsid w:val="00262128"/>
    <w:rsid w:val="0027165D"/>
    <w:rsid w:val="00273CEB"/>
    <w:rsid w:val="00277927"/>
    <w:rsid w:val="00280F0D"/>
    <w:rsid w:val="00281C89"/>
    <w:rsid w:val="0028282F"/>
    <w:rsid w:val="00285C2B"/>
    <w:rsid w:val="00292FF2"/>
    <w:rsid w:val="0029593B"/>
    <w:rsid w:val="00297FC5"/>
    <w:rsid w:val="002A0417"/>
    <w:rsid w:val="002A0DA0"/>
    <w:rsid w:val="002A140C"/>
    <w:rsid w:val="002A16D8"/>
    <w:rsid w:val="002A1BC8"/>
    <w:rsid w:val="002A3A14"/>
    <w:rsid w:val="002A3EF2"/>
    <w:rsid w:val="002A5F22"/>
    <w:rsid w:val="002B0DED"/>
    <w:rsid w:val="002B19A2"/>
    <w:rsid w:val="002B381A"/>
    <w:rsid w:val="002B38F4"/>
    <w:rsid w:val="002B44BD"/>
    <w:rsid w:val="002B4FCC"/>
    <w:rsid w:val="002B7075"/>
    <w:rsid w:val="002B7408"/>
    <w:rsid w:val="002B7CFD"/>
    <w:rsid w:val="002C210F"/>
    <w:rsid w:val="002D1EB1"/>
    <w:rsid w:val="002D3600"/>
    <w:rsid w:val="002E0468"/>
    <w:rsid w:val="002E322C"/>
    <w:rsid w:val="002E3339"/>
    <w:rsid w:val="002E4DDC"/>
    <w:rsid w:val="002E503A"/>
    <w:rsid w:val="002F300E"/>
    <w:rsid w:val="002F60BB"/>
    <w:rsid w:val="002F6148"/>
    <w:rsid w:val="00302480"/>
    <w:rsid w:val="00302632"/>
    <w:rsid w:val="003125BB"/>
    <w:rsid w:val="003125C6"/>
    <w:rsid w:val="00314709"/>
    <w:rsid w:val="00315BE4"/>
    <w:rsid w:val="003165E6"/>
    <w:rsid w:val="003177DD"/>
    <w:rsid w:val="0032028F"/>
    <w:rsid w:val="003215B5"/>
    <w:rsid w:val="003221CF"/>
    <w:rsid w:val="003233ED"/>
    <w:rsid w:val="00324D9F"/>
    <w:rsid w:val="00324EC6"/>
    <w:rsid w:val="00326D65"/>
    <w:rsid w:val="00327948"/>
    <w:rsid w:val="0033000F"/>
    <w:rsid w:val="00332011"/>
    <w:rsid w:val="003320DF"/>
    <w:rsid w:val="00332518"/>
    <w:rsid w:val="00332925"/>
    <w:rsid w:val="003329BD"/>
    <w:rsid w:val="003332ED"/>
    <w:rsid w:val="00336217"/>
    <w:rsid w:val="003368DC"/>
    <w:rsid w:val="00342240"/>
    <w:rsid w:val="003424C2"/>
    <w:rsid w:val="00345927"/>
    <w:rsid w:val="00345F1D"/>
    <w:rsid w:val="00350584"/>
    <w:rsid w:val="00351804"/>
    <w:rsid w:val="00351857"/>
    <w:rsid w:val="003545E8"/>
    <w:rsid w:val="003558DF"/>
    <w:rsid w:val="00357D37"/>
    <w:rsid w:val="003610E1"/>
    <w:rsid w:val="0036278D"/>
    <w:rsid w:val="00362837"/>
    <w:rsid w:val="00364FF9"/>
    <w:rsid w:val="003671BE"/>
    <w:rsid w:val="00367FDE"/>
    <w:rsid w:val="00372485"/>
    <w:rsid w:val="00373200"/>
    <w:rsid w:val="00373F17"/>
    <w:rsid w:val="00375EF5"/>
    <w:rsid w:val="003767A5"/>
    <w:rsid w:val="00381D15"/>
    <w:rsid w:val="00382ED6"/>
    <w:rsid w:val="00383DC7"/>
    <w:rsid w:val="003847A9"/>
    <w:rsid w:val="00384FD0"/>
    <w:rsid w:val="00385254"/>
    <w:rsid w:val="00386D26"/>
    <w:rsid w:val="00396480"/>
    <w:rsid w:val="003A04DB"/>
    <w:rsid w:val="003A173F"/>
    <w:rsid w:val="003A2B37"/>
    <w:rsid w:val="003A3D8F"/>
    <w:rsid w:val="003A595C"/>
    <w:rsid w:val="003A5F5B"/>
    <w:rsid w:val="003A6480"/>
    <w:rsid w:val="003A789A"/>
    <w:rsid w:val="003B12EC"/>
    <w:rsid w:val="003B166D"/>
    <w:rsid w:val="003B19AD"/>
    <w:rsid w:val="003B4B0F"/>
    <w:rsid w:val="003C77E0"/>
    <w:rsid w:val="003D17D7"/>
    <w:rsid w:val="003D2678"/>
    <w:rsid w:val="003D3EFC"/>
    <w:rsid w:val="003D71A3"/>
    <w:rsid w:val="003D7B71"/>
    <w:rsid w:val="003E2B8A"/>
    <w:rsid w:val="003F10EE"/>
    <w:rsid w:val="003F16F6"/>
    <w:rsid w:val="003F2390"/>
    <w:rsid w:val="003F23B3"/>
    <w:rsid w:val="003F4DC7"/>
    <w:rsid w:val="003F5235"/>
    <w:rsid w:val="004027E4"/>
    <w:rsid w:val="0040285D"/>
    <w:rsid w:val="0041071D"/>
    <w:rsid w:val="0041207A"/>
    <w:rsid w:val="00412520"/>
    <w:rsid w:val="00414AFC"/>
    <w:rsid w:val="004151A7"/>
    <w:rsid w:val="00415310"/>
    <w:rsid w:val="00421709"/>
    <w:rsid w:val="00422464"/>
    <w:rsid w:val="00423763"/>
    <w:rsid w:val="00426457"/>
    <w:rsid w:val="00426FC7"/>
    <w:rsid w:val="0042762F"/>
    <w:rsid w:val="00427DC7"/>
    <w:rsid w:val="00431613"/>
    <w:rsid w:val="00431792"/>
    <w:rsid w:val="0043297A"/>
    <w:rsid w:val="00432EB2"/>
    <w:rsid w:val="0043320D"/>
    <w:rsid w:val="0043714F"/>
    <w:rsid w:val="00440D82"/>
    <w:rsid w:val="004438B5"/>
    <w:rsid w:val="00445706"/>
    <w:rsid w:val="00446596"/>
    <w:rsid w:val="00447037"/>
    <w:rsid w:val="00447193"/>
    <w:rsid w:val="0045019B"/>
    <w:rsid w:val="0045124D"/>
    <w:rsid w:val="004519D1"/>
    <w:rsid w:val="00452832"/>
    <w:rsid w:val="00454596"/>
    <w:rsid w:val="0045605D"/>
    <w:rsid w:val="0045659C"/>
    <w:rsid w:val="0046032A"/>
    <w:rsid w:val="0046135B"/>
    <w:rsid w:val="00461D47"/>
    <w:rsid w:val="004718CC"/>
    <w:rsid w:val="00471CEC"/>
    <w:rsid w:val="00474122"/>
    <w:rsid w:val="004767E6"/>
    <w:rsid w:val="00477EED"/>
    <w:rsid w:val="00481695"/>
    <w:rsid w:val="00483823"/>
    <w:rsid w:val="0048553A"/>
    <w:rsid w:val="004856AF"/>
    <w:rsid w:val="00491D23"/>
    <w:rsid w:val="00495A96"/>
    <w:rsid w:val="00495BB3"/>
    <w:rsid w:val="004A1E0B"/>
    <w:rsid w:val="004A260E"/>
    <w:rsid w:val="004A27D5"/>
    <w:rsid w:val="004A3280"/>
    <w:rsid w:val="004A56BB"/>
    <w:rsid w:val="004B1751"/>
    <w:rsid w:val="004B78C6"/>
    <w:rsid w:val="004B7B32"/>
    <w:rsid w:val="004C0253"/>
    <w:rsid w:val="004C76BA"/>
    <w:rsid w:val="004D0054"/>
    <w:rsid w:val="004D0DA9"/>
    <w:rsid w:val="004D56FF"/>
    <w:rsid w:val="004D6CBC"/>
    <w:rsid w:val="004E39D3"/>
    <w:rsid w:val="004E508A"/>
    <w:rsid w:val="004E616D"/>
    <w:rsid w:val="004E62CB"/>
    <w:rsid w:val="004E737F"/>
    <w:rsid w:val="004F1BDE"/>
    <w:rsid w:val="004F2CEE"/>
    <w:rsid w:val="004F364B"/>
    <w:rsid w:val="004F556E"/>
    <w:rsid w:val="004F5850"/>
    <w:rsid w:val="004F591C"/>
    <w:rsid w:val="004F67DD"/>
    <w:rsid w:val="004F7F44"/>
    <w:rsid w:val="00500195"/>
    <w:rsid w:val="00502EA2"/>
    <w:rsid w:val="005035C3"/>
    <w:rsid w:val="005037B4"/>
    <w:rsid w:val="00503FA9"/>
    <w:rsid w:val="00506CEC"/>
    <w:rsid w:val="005079BF"/>
    <w:rsid w:val="005100BF"/>
    <w:rsid w:val="0051269A"/>
    <w:rsid w:val="00515518"/>
    <w:rsid w:val="00515544"/>
    <w:rsid w:val="0052136D"/>
    <w:rsid w:val="005219E7"/>
    <w:rsid w:val="00530DF6"/>
    <w:rsid w:val="00531B9A"/>
    <w:rsid w:val="00531D15"/>
    <w:rsid w:val="0053360C"/>
    <w:rsid w:val="00537604"/>
    <w:rsid w:val="00542377"/>
    <w:rsid w:val="00542F40"/>
    <w:rsid w:val="005476A5"/>
    <w:rsid w:val="005476EB"/>
    <w:rsid w:val="00551782"/>
    <w:rsid w:val="00561EF2"/>
    <w:rsid w:val="00563EF1"/>
    <w:rsid w:val="00566AB4"/>
    <w:rsid w:val="00571338"/>
    <w:rsid w:val="00571F4C"/>
    <w:rsid w:val="00575AC5"/>
    <w:rsid w:val="0057605D"/>
    <w:rsid w:val="0058055D"/>
    <w:rsid w:val="00581347"/>
    <w:rsid w:val="00581AC9"/>
    <w:rsid w:val="005822FA"/>
    <w:rsid w:val="005849F8"/>
    <w:rsid w:val="00584B84"/>
    <w:rsid w:val="005853EB"/>
    <w:rsid w:val="00590F48"/>
    <w:rsid w:val="0059327B"/>
    <w:rsid w:val="005938DF"/>
    <w:rsid w:val="0059405F"/>
    <w:rsid w:val="00594E9C"/>
    <w:rsid w:val="00595481"/>
    <w:rsid w:val="00595D64"/>
    <w:rsid w:val="005A099B"/>
    <w:rsid w:val="005A24E2"/>
    <w:rsid w:val="005A2D9C"/>
    <w:rsid w:val="005A4390"/>
    <w:rsid w:val="005A55FE"/>
    <w:rsid w:val="005A5E93"/>
    <w:rsid w:val="005A6A11"/>
    <w:rsid w:val="005A7D12"/>
    <w:rsid w:val="005A7FEE"/>
    <w:rsid w:val="005B3CB3"/>
    <w:rsid w:val="005B3D28"/>
    <w:rsid w:val="005B5501"/>
    <w:rsid w:val="005B7D6E"/>
    <w:rsid w:val="005C12CB"/>
    <w:rsid w:val="005D2502"/>
    <w:rsid w:val="005D40BB"/>
    <w:rsid w:val="005D47F3"/>
    <w:rsid w:val="005D49BF"/>
    <w:rsid w:val="005D4AA5"/>
    <w:rsid w:val="005D6F4E"/>
    <w:rsid w:val="005D6FD9"/>
    <w:rsid w:val="005D7C73"/>
    <w:rsid w:val="005E2283"/>
    <w:rsid w:val="005E3ACD"/>
    <w:rsid w:val="005E3EF4"/>
    <w:rsid w:val="005E7226"/>
    <w:rsid w:val="005E7A57"/>
    <w:rsid w:val="005F24B0"/>
    <w:rsid w:val="005F4967"/>
    <w:rsid w:val="005F56A6"/>
    <w:rsid w:val="005F684F"/>
    <w:rsid w:val="005F7E83"/>
    <w:rsid w:val="00604315"/>
    <w:rsid w:val="00604E26"/>
    <w:rsid w:val="006052CF"/>
    <w:rsid w:val="00606FBC"/>
    <w:rsid w:val="006075D7"/>
    <w:rsid w:val="00607B8D"/>
    <w:rsid w:val="00611952"/>
    <w:rsid w:val="00611F5C"/>
    <w:rsid w:val="006134BA"/>
    <w:rsid w:val="00614980"/>
    <w:rsid w:val="00616E09"/>
    <w:rsid w:val="0061786E"/>
    <w:rsid w:val="00622A3B"/>
    <w:rsid w:val="00622EEA"/>
    <w:rsid w:val="0062396C"/>
    <w:rsid w:val="00623FF9"/>
    <w:rsid w:val="00627D4E"/>
    <w:rsid w:val="006311F9"/>
    <w:rsid w:val="00632B89"/>
    <w:rsid w:val="00633154"/>
    <w:rsid w:val="00634478"/>
    <w:rsid w:val="00636C06"/>
    <w:rsid w:val="00644373"/>
    <w:rsid w:val="00645915"/>
    <w:rsid w:val="006466B8"/>
    <w:rsid w:val="006519C3"/>
    <w:rsid w:val="00652B30"/>
    <w:rsid w:val="006533E7"/>
    <w:rsid w:val="00656345"/>
    <w:rsid w:val="00656DC6"/>
    <w:rsid w:val="00660EC6"/>
    <w:rsid w:val="00663CDE"/>
    <w:rsid w:val="00664110"/>
    <w:rsid w:val="00664D17"/>
    <w:rsid w:val="00664F06"/>
    <w:rsid w:val="00666304"/>
    <w:rsid w:val="00666520"/>
    <w:rsid w:val="00667C5B"/>
    <w:rsid w:val="00671275"/>
    <w:rsid w:val="00671AEB"/>
    <w:rsid w:val="00680907"/>
    <w:rsid w:val="00682D8D"/>
    <w:rsid w:val="00684197"/>
    <w:rsid w:val="00685F68"/>
    <w:rsid w:val="00691EB8"/>
    <w:rsid w:val="00692CDE"/>
    <w:rsid w:val="00692D0A"/>
    <w:rsid w:val="00693073"/>
    <w:rsid w:val="00694A77"/>
    <w:rsid w:val="006977FF"/>
    <w:rsid w:val="006A01FA"/>
    <w:rsid w:val="006A0E9E"/>
    <w:rsid w:val="006A25C7"/>
    <w:rsid w:val="006A3B61"/>
    <w:rsid w:val="006A4AAD"/>
    <w:rsid w:val="006A5704"/>
    <w:rsid w:val="006A6DA2"/>
    <w:rsid w:val="006A7AB2"/>
    <w:rsid w:val="006B5717"/>
    <w:rsid w:val="006B582F"/>
    <w:rsid w:val="006B5EB2"/>
    <w:rsid w:val="006B7529"/>
    <w:rsid w:val="006B7597"/>
    <w:rsid w:val="006C0CEB"/>
    <w:rsid w:val="006C188C"/>
    <w:rsid w:val="006C1D38"/>
    <w:rsid w:val="006C3B1E"/>
    <w:rsid w:val="006C47FD"/>
    <w:rsid w:val="006C5C19"/>
    <w:rsid w:val="006C70A0"/>
    <w:rsid w:val="006D27CB"/>
    <w:rsid w:val="006D2F08"/>
    <w:rsid w:val="006D576C"/>
    <w:rsid w:val="006D5865"/>
    <w:rsid w:val="006D5F90"/>
    <w:rsid w:val="006D6F9D"/>
    <w:rsid w:val="006D7B26"/>
    <w:rsid w:val="006E0158"/>
    <w:rsid w:val="006E2CD6"/>
    <w:rsid w:val="006E4B1B"/>
    <w:rsid w:val="006E504B"/>
    <w:rsid w:val="006E5165"/>
    <w:rsid w:val="006E5445"/>
    <w:rsid w:val="006E6D75"/>
    <w:rsid w:val="006E7A4C"/>
    <w:rsid w:val="006E7D93"/>
    <w:rsid w:val="00701B90"/>
    <w:rsid w:val="007029A3"/>
    <w:rsid w:val="00704A80"/>
    <w:rsid w:val="00706E4E"/>
    <w:rsid w:val="0070791C"/>
    <w:rsid w:val="0071383C"/>
    <w:rsid w:val="007141A7"/>
    <w:rsid w:val="007156D4"/>
    <w:rsid w:val="00715722"/>
    <w:rsid w:val="00721032"/>
    <w:rsid w:val="00721B55"/>
    <w:rsid w:val="007239DD"/>
    <w:rsid w:val="00724DF6"/>
    <w:rsid w:val="007258E7"/>
    <w:rsid w:val="00726CE4"/>
    <w:rsid w:val="00731434"/>
    <w:rsid w:val="00732B7E"/>
    <w:rsid w:val="00733CD0"/>
    <w:rsid w:val="00734143"/>
    <w:rsid w:val="00736A97"/>
    <w:rsid w:val="00737E47"/>
    <w:rsid w:val="00740D48"/>
    <w:rsid w:val="00740EAC"/>
    <w:rsid w:val="007437A9"/>
    <w:rsid w:val="00744956"/>
    <w:rsid w:val="00745A5C"/>
    <w:rsid w:val="0074605F"/>
    <w:rsid w:val="00747E94"/>
    <w:rsid w:val="00754C83"/>
    <w:rsid w:val="00763F63"/>
    <w:rsid w:val="00765B74"/>
    <w:rsid w:val="00765DF8"/>
    <w:rsid w:val="00765E0B"/>
    <w:rsid w:val="00766749"/>
    <w:rsid w:val="00767C1B"/>
    <w:rsid w:val="00767D81"/>
    <w:rsid w:val="007714A9"/>
    <w:rsid w:val="007719E6"/>
    <w:rsid w:val="007734F2"/>
    <w:rsid w:val="00773C22"/>
    <w:rsid w:val="00774F88"/>
    <w:rsid w:val="00774FDB"/>
    <w:rsid w:val="007751A8"/>
    <w:rsid w:val="00777BA2"/>
    <w:rsid w:val="00781408"/>
    <w:rsid w:val="007843B2"/>
    <w:rsid w:val="00784F7F"/>
    <w:rsid w:val="00785962"/>
    <w:rsid w:val="00785E0F"/>
    <w:rsid w:val="007878BD"/>
    <w:rsid w:val="00794D1D"/>
    <w:rsid w:val="00794E65"/>
    <w:rsid w:val="00796F25"/>
    <w:rsid w:val="007A2E98"/>
    <w:rsid w:val="007A3BA3"/>
    <w:rsid w:val="007A6CC0"/>
    <w:rsid w:val="007A7FEC"/>
    <w:rsid w:val="007B1499"/>
    <w:rsid w:val="007B1BBF"/>
    <w:rsid w:val="007B2960"/>
    <w:rsid w:val="007B355D"/>
    <w:rsid w:val="007B3E02"/>
    <w:rsid w:val="007B5DAA"/>
    <w:rsid w:val="007B7980"/>
    <w:rsid w:val="007C0DEF"/>
    <w:rsid w:val="007C1D66"/>
    <w:rsid w:val="007C3F11"/>
    <w:rsid w:val="007C4FF8"/>
    <w:rsid w:val="007C5D5A"/>
    <w:rsid w:val="007C607F"/>
    <w:rsid w:val="007C79DD"/>
    <w:rsid w:val="007D1A97"/>
    <w:rsid w:val="007D2CD6"/>
    <w:rsid w:val="007D3063"/>
    <w:rsid w:val="007D3CEB"/>
    <w:rsid w:val="007E1625"/>
    <w:rsid w:val="007E39DE"/>
    <w:rsid w:val="007E7683"/>
    <w:rsid w:val="007F39C4"/>
    <w:rsid w:val="007F49FA"/>
    <w:rsid w:val="007F54C4"/>
    <w:rsid w:val="007F6E9A"/>
    <w:rsid w:val="00800B05"/>
    <w:rsid w:val="00803FF8"/>
    <w:rsid w:val="008044D4"/>
    <w:rsid w:val="00804731"/>
    <w:rsid w:val="008070F7"/>
    <w:rsid w:val="00807279"/>
    <w:rsid w:val="00807C2A"/>
    <w:rsid w:val="00810AB4"/>
    <w:rsid w:val="00811B15"/>
    <w:rsid w:val="00811D62"/>
    <w:rsid w:val="00813488"/>
    <w:rsid w:val="00817B56"/>
    <w:rsid w:val="00821A88"/>
    <w:rsid w:val="008220F6"/>
    <w:rsid w:val="0082495D"/>
    <w:rsid w:val="00827A0A"/>
    <w:rsid w:val="00831AC3"/>
    <w:rsid w:val="0083242B"/>
    <w:rsid w:val="00832F16"/>
    <w:rsid w:val="008408FF"/>
    <w:rsid w:val="00841227"/>
    <w:rsid w:val="00843564"/>
    <w:rsid w:val="00844CAE"/>
    <w:rsid w:val="0084620E"/>
    <w:rsid w:val="00851BC8"/>
    <w:rsid w:val="00851DC7"/>
    <w:rsid w:val="00851F3F"/>
    <w:rsid w:val="00851F49"/>
    <w:rsid w:val="00852F09"/>
    <w:rsid w:val="00856EDC"/>
    <w:rsid w:val="008570C8"/>
    <w:rsid w:val="008623B5"/>
    <w:rsid w:val="008708CA"/>
    <w:rsid w:val="00870ABA"/>
    <w:rsid w:val="008710E1"/>
    <w:rsid w:val="008716E5"/>
    <w:rsid w:val="0087211F"/>
    <w:rsid w:val="00873345"/>
    <w:rsid w:val="00881CA9"/>
    <w:rsid w:val="00883628"/>
    <w:rsid w:val="00884F78"/>
    <w:rsid w:val="00885519"/>
    <w:rsid w:val="00885544"/>
    <w:rsid w:val="00885A7B"/>
    <w:rsid w:val="00885E55"/>
    <w:rsid w:val="0088634E"/>
    <w:rsid w:val="008872F1"/>
    <w:rsid w:val="00893803"/>
    <w:rsid w:val="00893AB8"/>
    <w:rsid w:val="00894067"/>
    <w:rsid w:val="008A04C8"/>
    <w:rsid w:val="008A110A"/>
    <w:rsid w:val="008A2EA5"/>
    <w:rsid w:val="008A6913"/>
    <w:rsid w:val="008B0C31"/>
    <w:rsid w:val="008B70F3"/>
    <w:rsid w:val="008B71C4"/>
    <w:rsid w:val="008B76DF"/>
    <w:rsid w:val="008C10F4"/>
    <w:rsid w:val="008C65F7"/>
    <w:rsid w:val="008D25C6"/>
    <w:rsid w:val="008D3E9B"/>
    <w:rsid w:val="008E4767"/>
    <w:rsid w:val="008E6C82"/>
    <w:rsid w:val="008E7A8C"/>
    <w:rsid w:val="008F230B"/>
    <w:rsid w:val="008F48B9"/>
    <w:rsid w:val="008F490A"/>
    <w:rsid w:val="008F68CC"/>
    <w:rsid w:val="008F7A7F"/>
    <w:rsid w:val="00900B02"/>
    <w:rsid w:val="00903285"/>
    <w:rsid w:val="009048C1"/>
    <w:rsid w:val="00906F40"/>
    <w:rsid w:val="0090731E"/>
    <w:rsid w:val="0091493B"/>
    <w:rsid w:val="00915B1C"/>
    <w:rsid w:val="009174F3"/>
    <w:rsid w:val="0091797D"/>
    <w:rsid w:val="00917F67"/>
    <w:rsid w:val="00923CBA"/>
    <w:rsid w:val="009253DC"/>
    <w:rsid w:val="00926703"/>
    <w:rsid w:val="00927691"/>
    <w:rsid w:val="00927A5F"/>
    <w:rsid w:val="009301B2"/>
    <w:rsid w:val="009359AC"/>
    <w:rsid w:val="00935B63"/>
    <w:rsid w:val="0094078F"/>
    <w:rsid w:val="00940FA3"/>
    <w:rsid w:val="00941FB0"/>
    <w:rsid w:val="009426D4"/>
    <w:rsid w:val="009428EC"/>
    <w:rsid w:val="009434B4"/>
    <w:rsid w:val="00947F25"/>
    <w:rsid w:val="00950159"/>
    <w:rsid w:val="00950FBD"/>
    <w:rsid w:val="0095490B"/>
    <w:rsid w:val="00955376"/>
    <w:rsid w:val="00960A33"/>
    <w:rsid w:val="0097015A"/>
    <w:rsid w:val="0097135B"/>
    <w:rsid w:val="00971914"/>
    <w:rsid w:val="00974363"/>
    <w:rsid w:val="00974569"/>
    <w:rsid w:val="009775DF"/>
    <w:rsid w:val="00981898"/>
    <w:rsid w:val="009834F7"/>
    <w:rsid w:val="00983ACC"/>
    <w:rsid w:val="00983DFA"/>
    <w:rsid w:val="0099184C"/>
    <w:rsid w:val="00993164"/>
    <w:rsid w:val="00993B86"/>
    <w:rsid w:val="0099577C"/>
    <w:rsid w:val="00997F97"/>
    <w:rsid w:val="009A41BE"/>
    <w:rsid w:val="009A6A6E"/>
    <w:rsid w:val="009A78CA"/>
    <w:rsid w:val="009B2601"/>
    <w:rsid w:val="009B3734"/>
    <w:rsid w:val="009B4E9E"/>
    <w:rsid w:val="009B52FC"/>
    <w:rsid w:val="009B770E"/>
    <w:rsid w:val="009C1690"/>
    <w:rsid w:val="009C4533"/>
    <w:rsid w:val="009C54F2"/>
    <w:rsid w:val="009C6881"/>
    <w:rsid w:val="009C6B45"/>
    <w:rsid w:val="009C7759"/>
    <w:rsid w:val="009D043D"/>
    <w:rsid w:val="009D07C8"/>
    <w:rsid w:val="009D0DAA"/>
    <w:rsid w:val="009D6181"/>
    <w:rsid w:val="009D6C71"/>
    <w:rsid w:val="009D70A6"/>
    <w:rsid w:val="009D7274"/>
    <w:rsid w:val="009E0631"/>
    <w:rsid w:val="009E16D0"/>
    <w:rsid w:val="009E38FD"/>
    <w:rsid w:val="009E4AC7"/>
    <w:rsid w:val="009E5409"/>
    <w:rsid w:val="009F13D6"/>
    <w:rsid w:val="009F2EF4"/>
    <w:rsid w:val="009F3283"/>
    <w:rsid w:val="009F408B"/>
    <w:rsid w:val="009F469F"/>
    <w:rsid w:val="009F4C6B"/>
    <w:rsid w:val="009F56F8"/>
    <w:rsid w:val="009F78A8"/>
    <w:rsid w:val="00A022C2"/>
    <w:rsid w:val="00A02AC3"/>
    <w:rsid w:val="00A02AD6"/>
    <w:rsid w:val="00A0510B"/>
    <w:rsid w:val="00A07096"/>
    <w:rsid w:val="00A07318"/>
    <w:rsid w:val="00A11370"/>
    <w:rsid w:val="00A1170A"/>
    <w:rsid w:val="00A21799"/>
    <w:rsid w:val="00A21C14"/>
    <w:rsid w:val="00A224CE"/>
    <w:rsid w:val="00A22522"/>
    <w:rsid w:val="00A242C7"/>
    <w:rsid w:val="00A24AFD"/>
    <w:rsid w:val="00A24F5C"/>
    <w:rsid w:val="00A32F96"/>
    <w:rsid w:val="00A35923"/>
    <w:rsid w:val="00A35B0A"/>
    <w:rsid w:val="00A40871"/>
    <w:rsid w:val="00A412AB"/>
    <w:rsid w:val="00A4193E"/>
    <w:rsid w:val="00A440E0"/>
    <w:rsid w:val="00A442EF"/>
    <w:rsid w:val="00A47B0C"/>
    <w:rsid w:val="00A51D1A"/>
    <w:rsid w:val="00A526FF"/>
    <w:rsid w:val="00A53D31"/>
    <w:rsid w:val="00A5418D"/>
    <w:rsid w:val="00A5474E"/>
    <w:rsid w:val="00A55A0E"/>
    <w:rsid w:val="00A56D7A"/>
    <w:rsid w:val="00A604AF"/>
    <w:rsid w:val="00A60E87"/>
    <w:rsid w:val="00A64234"/>
    <w:rsid w:val="00A66745"/>
    <w:rsid w:val="00A67863"/>
    <w:rsid w:val="00A70ADF"/>
    <w:rsid w:val="00A71466"/>
    <w:rsid w:val="00A74B5E"/>
    <w:rsid w:val="00A81928"/>
    <w:rsid w:val="00A81BED"/>
    <w:rsid w:val="00A81EC4"/>
    <w:rsid w:val="00A944A0"/>
    <w:rsid w:val="00A967FD"/>
    <w:rsid w:val="00AA0FF5"/>
    <w:rsid w:val="00AA109A"/>
    <w:rsid w:val="00AA2DE5"/>
    <w:rsid w:val="00AB156C"/>
    <w:rsid w:val="00AB168A"/>
    <w:rsid w:val="00AB6814"/>
    <w:rsid w:val="00AC04BA"/>
    <w:rsid w:val="00AC0E39"/>
    <w:rsid w:val="00AD0AC1"/>
    <w:rsid w:val="00AD0F88"/>
    <w:rsid w:val="00AD3082"/>
    <w:rsid w:val="00AD32B4"/>
    <w:rsid w:val="00AD4AD0"/>
    <w:rsid w:val="00AD5430"/>
    <w:rsid w:val="00AD5436"/>
    <w:rsid w:val="00AD60CD"/>
    <w:rsid w:val="00AD618E"/>
    <w:rsid w:val="00AD6C8C"/>
    <w:rsid w:val="00AE091D"/>
    <w:rsid w:val="00AE3B60"/>
    <w:rsid w:val="00AE53A1"/>
    <w:rsid w:val="00AE7463"/>
    <w:rsid w:val="00AF2484"/>
    <w:rsid w:val="00AF29AE"/>
    <w:rsid w:val="00AF4953"/>
    <w:rsid w:val="00AF4B0D"/>
    <w:rsid w:val="00AF63E7"/>
    <w:rsid w:val="00AF6E17"/>
    <w:rsid w:val="00B0165D"/>
    <w:rsid w:val="00B01B60"/>
    <w:rsid w:val="00B031F3"/>
    <w:rsid w:val="00B039FC"/>
    <w:rsid w:val="00B052A4"/>
    <w:rsid w:val="00B06DCB"/>
    <w:rsid w:val="00B125DE"/>
    <w:rsid w:val="00B137EA"/>
    <w:rsid w:val="00B13FDD"/>
    <w:rsid w:val="00B20763"/>
    <w:rsid w:val="00B22BB3"/>
    <w:rsid w:val="00B22EB2"/>
    <w:rsid w:val="00B27442"/>
    <w:rsid w:val="00B31134"/>
    <w:rsid w:val="00B31167"/>
    <w:rsid w:val="00B32543"/>
    <w:rsid w:val="00B329D8"/>
    <w:rsid w:val="00B32BB9"/>
    <w:rsid w:val="00B33AE1"/>
    <w:rsid w:val="00B36B4F"/>
    <w:rsid w:val="00B36EE1"/>
    <w:rsid w:val="00B37C38"/>
    <w:rsid w:val="00B4114E"/>
    <w:rsid w:val="00B4246C"/>
    <w:rsid w:val="00B4288C"/>
    <w:rsid w:val="00B43262"/>
    <w:rsid w:val="00B43D57"/>
    <w:rsid w:val="00B44100"/>
    <w:rsid w:val="00B46CBA"/>
    <w:rsid w:val="00B46F94"/>
    <w:rsid w:val="00B52CF3"/>
    <w:rsid w:val="00B539DE"/>
    <w:rsid w:val="00B56C7C"/>
    <w:rsid w:val="00B6003C"/>
    <w:rsid w:val="00B60DDB"/>
    <w:rsid w:val="00B614EE"/>
    <w:rsid w:val="00B61534"/>
    <w:rsid w:val="00B61F03"/>
    <w:rsid w:val="00B626E4"/>
    <w:rsid w:val="00B649C2"/>
    <w:rsid w:val="00B64A4C"/>
    <w:rsid w:val="00B65BC7"/>
    <w:rsid w:val="00B664F0"/>
    <w:rsid w:val="00B72F4A"/>
    <w:rsid w:val="00B7589A"/>
    <w:rsid w:val="00B82F2F"/>
    <w:rsid w:val="00B83155"/>
    <w:rsid w:val="00B83C27"/>
    <w:rsid w:val="00B84BC3"/>
    <w:rsid w:val="00B84BDD"/>
    <w:rsid w:val="00B87FDE"/>
    <w:rsid w:val="00B92812"/>
    <w:rsid w:val="00BA1332"/>
    <w:rsid w:val="00BA7B99"/>
    <w:rsid w:val="00BB2960"/>
    <w:rsid w:val="00BB45A1"/>
    <w:rsid w:val="00BB7686"/>
    <w:rsid w:val="00BB7E4A"/>
    <w:rsid w:val="00BC04CE"/>
    <w:rsid w:val="00BC23F9"/>
    <w:rsid w:val="00BC3421"/>
    <w:rsid w:val="00BC732C"/>
    <w:rsid w:val="00BC7F89"/>
    <w:rsid w:val="00BD1E34"/>
    <w:rsid w:val="00BE1C12"/>
    <w:rsid w:val="00BE2580"/>
    <w:rsid w:val="00BE266D"/>
    <w:rsid w:val="00BE3938"/>
    <w:rsid w:val="00BE432D"/>
    <w:rsid w:val="00BE4C11"/>
    <w:rsid w:val="00BE71C0"/>
    <w:rsid w:val="00BE7DFD"/>
    <w:rsid w:val="00BF610C"/>
    <w:rsid w:val="00BF614F"/>
    <w:rsid w:val="00C0060B"/>
    <w:rsid w:val="00C0277D"/>
    <w:rsid w:val="00C053A1"/>
    <w:rsid w:val="00C058D3"/>
    <w:rsid w:val="00C123CC"/>
    <w:rsid w:val="00C16198"/>
    <w:rsid w:val="00C16343"/>
    <w:rsid w:val="00C2083D"/>
    <w:rsid w:val="00C21551"/>
    <w:rsid w:val="00C24A53"/>
    <w:rsid w:val="00C34A05"/>
    <w:rsid w:val="00C37820"/>
    <w:rsid w:val="00C37835"/>
    <w:rsid w:val="00C4032F"/>
    <w:rsid w:val="00C40ADE"/>
    <w:rsid w:val="00C42FFC"/>
    <w:rsid w:val="00C44047"/>
    <w:rsid w:val="00C45155"/>
    <w:rsid w:val="00C47C2E"/>
    <w:rsid w:val="00C5498F"/>
    <w:rsid w:val="00C54D29"/>
    <w:rsid w:val="00C55235"/>
    <w:rsid w:val="00C64CD0"/>
    <w:rsid w:val="00C6684F"/>
    <w:rsid w:val="00C70E70"/>
    <w:rsid w:val="00C7481D"/>
    <w:rsid w:val="00C75F8D"/>
    <w:rsid w:val="00C77380"/>
    <w:rsid w:val="00C8030F"/>
    <w:rsid w:val="00C97736"/>
    <w:rsid w:val="00CA0532"/>
    <w:rsid w:val="00CA345A"/>
    <w:rsid w:val="00CA4571"/>
    <w:rsid w:val="00CA60D4"/>
    <w:rsid w:val="00CB08BE"/>
    <w:rsid w:val="00CB1E82"/>
    <w:rsid w:val="00CB4A4B"/>
    <w:rsid w:val="00CB4BA8"/>
    <w:rsid w:val="00CB52D7"/>
    <w:rsid w:val="00CB7D9E"/>
    <w:rsid w:val="00CC1929"/>
    <w:rsid w:val="00CC1BA4"/>
    <w:rsid w:val="00CC5B71"/>
    <w:rsid w:val="00CC5F3B"/>
    <w:rsid w:val="00CC6732"/>
    <w:rsid w:val="00CE28C5"/>
    <w:rsid w:val="00CE3C96"/>
    <w:rsid w:val="00CE4B2A"/>
    <w:rsid w:val="00CE51A8"/>
    <w:rsid w:val="00CE58A4"/>
    <w:rsid w:val="00CF04D1"/>
    <w:rsid w:val="00CF0DA2"/>
    <w:rsid w:val="00CF12D7"/>
    <w:rsid w:val="00CF22BD"/>
    <w:rsid w:val="00CF369B"/>
    <w:rsid w:val="00CF5FFC"/>
    <w:rsid w:val="00CF674F"/>
    <w:rsid w:val="00CF7FA1"/>
    <w:rsid w:val="00D00E28"/>
    <w:rsid w:val="00D0269E"/>
    <w:rsid w:val="00D031EF"/>
    <w:rsid w:val="00D048A3"/>
    <w:rsid w:val="00D04AE0"/>
    <w:rsid w:val="00D05189"/>
    <w:rsid w:val="00D05D6C"/>
    <w:rsid w:val="00D06389"/>
    <w:rsid w:val="00D15810"/>
    <w:rsid w:val="00D16D4E"/>
    <w:rsid w:val="00D16FE3"/>
    <w:rsid w:val="00D17E49"/>
    <w:rsid w:val="00D23127"/>
    <w:rsid w:val="00D27F41"/>
    <w:rsid w:val="00D337C0"/>
    <w:rsid w:val="00D33A51"/>
    <w:rsid w:val="00D36441"/>
    <w:rsid w:val="00D4064E"/>
    <w:rsid w:val="00D40709"/>
    <w:rsid w:val="00D44E9B"/>
    <w:rsid w:val="00D47AEB"/>
    <w:rsid w:val="00D50DB9"/>
    <w:rsid w:val="00D51302"/>
    <w:rsid w:val="00D52C43"/>
    <w:rsid w:val="00D53D43"/>
    <w:rsid w:val="00D541B8"/>
    <w:rsid w:val="00D564BC"/>
    <w:rsid w:val="00D61554"/>
    <w:rsid w:val="00D6507F"/>
    <w:rsid w:val="00D730BC"/>
    <w:rsid w:val="00D73912"/>
    <w:rsid w:val="00D76681"/>
    <w:rsid w:val="00D82726"/>
    <w:rsid w:val="00D82CB9"/>
    <w:rsid w:val="00D85226"/>
    <w:rsid w:val="00D87B94"/>
    <w:rsid w:val="00D91162"/>
    <w:rsid w:val="00D92D49"/>
    <w:rsid w:val="00D92EC1"/>
    <w:rsid w:val="00D96DEA"/>
    <w:rsid w:val="00D9792A"/>
    <w:rsid w:val="00DA45CF"/>
    <w:rsid w:val="00DA4E41"/>
    <w:rsid w:val="00DA57C8"/>
    <w:rsid w:val="00DA6A4D"/>
    <w:rsid w:val="00DB117A"/>
    <w:rsid w:val="00DB2C19"/>
    <w:rsid w:val="00DB5173"/>
    <w:rsid w:val="00DB7873"/>
    <w:rsid w:val="00DB7AA1"/>
    <w:rsid w:val="00DC187B"/>
    <w:rsid w:val="00DC4FC9"/>
    <w:rsid w:val="00DD07FF"/>
    <w:rsid w:val="00DD1A43"/>
    <w:rsid w:val="00DD3733"/>
    <w:rsid w:val="00DD5F90"/>
    <w:rsid w:val="00DD73C2"/>
    <w:rsid w:val="00DD75AF"/>
    <w:rsid w:val="00DE24DB"/>
    <w:rsid w:val="00DE28B0"/>
    <w:rsid w:val="00DE319B"/>
    <w:rsid w:val="00DF34FE"/>
    <w:rsid w:val="00DF56AA"/>
    <w:rsid w:val="00DF56AF"/>
    <w:rsid w:val="00DF78E7"/>
    <w:rsid w:val="00E03680"/>
    <w:rsid w:val="00E068B8"/>
    <w:rsid w:val="00E07D68"/>
    <w:rsid w:val="00E110E0"/>
    <w:rsid w:val="00E1265C"/>
    <w:rsid w:val="00E15371"/>
    <w:rsid w:val="00E24104"/>
    <w:rsid w:val="00E302D0"/>
    <w:rsid w:val="00E30902"/>
    <w:rsid w:val="00E32292"/>
    <w:rsid w:val="00E3471F"/>
    <w:rsid w:val="00E3561E"/>
    <w:rsid w:val="00E35707"/>
    <w:rsid w:val="00E36AA1"/>
    <w:rsid w:val="00E40EA7"/>
    <w:rsid w:val="00E41ECB"/>
    <w:rsid w:val="00E44DDA"/>
    <w:rsid w:val="00E4597C"/>
    <w:rsid w:val="00E46016"/>
    <w:rsid w:val="00E46FE3"/>
    <w:rsid w:val="00E5029B"/>
    <w:rsid w:val="00E5192F"/>
    <w:rsid w:val="00E54FDB"/>
    <w:rsid w:val="00E5617D"/>
    <w:rsid w:val="00E563D7"/>
    <w:rsid w:val="00E56932"/>
    <w:rsid w:val="00E61402"/>
    <w:rsid w:val="00E631A4"/>
    <w:rsid w:val="00E63C1A"/>
    <w:rsid w:val="00E663F4"/>
    <w:rsid w:val="00E666F2"/>
    <w:rsid w:val="00E66DD4"/>
    <w:rsid w:val="00E73646"/>
    <w:rsid w:val="00E748CC"/>
    <w:rsid w:val="00E75415"/>
    <w:rsid w:val="00E775B1"/>
    <w:rsid w:val="00E77B40"/>
    <w:rsid w:val="00E8152A"/>
    <w:rsid w:val="00E817A2"/>
    <w:rsid w:val="00E93629"/>
    <w:rsid w:val="00E93B5C"/>
    <w:rsid w:val="00E94CEC"/>
    <w:rsid w:val="00EA04EF"/>
    <w:rsid w:val="00EA085E"/>
    <w:rsid w:val="00EA0BA3"/>
    <w:rsid w:val="00EA0C7B"/>
    <w:rsid w:val="00EA223C"/>
    <w:rsid w:val="00EA6F19"/>
    <w:rsid w:val="00EB7090"/>
    <w:rsid w:val="00EC1BBE"/>
    <w:rsid w:val="00EC5CD7"/>
    <w:rsid w:val="00ED69AB"/>
    <w:rsid w:val="00ED6D1C"/>
    <w:rsid w:val="00EE12E4"/>
    <w:rsid w:val="00EE5FB3"/>
    <w:rsid w:val="00EE7F79"/>
    <w:rsid w:val="00EF3123"/>
    <w:rsid w:val="00EF6094"/>
    <w:rsid w:val="00EF715A"/>
    <w:rsid w:val="00F02A1B"/>
    <w:rsid w:val="00F045C0"/>
    <w:rsid w:val="00F05298"/>
    <w:rsid w:val="00F05FB4"/>
    <w:rsid w:val="00F06E14"/>
    <w:rsid w:val="00F11986"/>
    <w:rsid w:val="00F144F2"/>
    <w:rsid w:val="00F16278"/>
    <w:rsid w:val="00F179D4"/>
    <w:rsid w:val="00F262A5"/>
    <w:rsid w:val="00F26AE4"/>
    <w:rsid w:val="00F33C56"/>
    <w:rsid w:val="00F347C7"/>
    <w:rsid w:val="00F34848"/>
    <w:rsid w:val="00F3709F"/>
    <w:rsid w:val="00F40C93"/>
    <w:rsid w:val="00F40F15"/>
    <w:rsid w:val="00F42A36"/>
    <w:rsid w:val="00F42D46"/>
    <w:rsid w:val="00F4496C"/>
    <w:rsid w:val="00F44F3A"/>
    <w:rsid w:val="00F45DBB"/>
    <w:rsid w:val="00F51AA7"/>
    <w:rsid w:val="00F51F10"/>
    <w:rsid w:val="00F529A5"/>
    <w:rsid w:val="00F52D12"/>
    <w:rsid w:val="00F60F00"/>
    <w:rsid w:val="00F614C0"/>
    <w:rsid w:val="00F716A9"/>
    <w:rsid w:val="00F75CDE"/>
    <w:rsid w:val="00F83848"/>
    <w:rsid w:val="00F86974"/>
    <w:rsid w:val="00F975E9"/>
    <w:rsid w:val="00F978FC"/>
    <w:rsid w:val="00FA1B7D"/>
    <w:rsid w:val="00FA2CC1"/>
    <w:rsid w:val="00FA2F1E"/>
    <w:rsid w:val="00FA3112"/>
    <w:rsid w:val="00FA3A58"/>
    <w:rsid w:val="00FA5B6A"/>
    <w:rsid w:val="00FA7CF2"/>
    <w:rsid w:val="00FB10D0"/>
    <w:rsid w:val="00FB30C0"/>
    <w:rsid w:val="00FB371E"/>
    <w:rsid w:val="00FC07B9"/>
    <w:rsid w:val="00FC4E21"/>
    <w:rsid w:val="00FC4E56"/>
    <w:rsid w:val="00FC581D"/>
    <w:rsid w:val="00FC5F6D"/>
    <w:rsid w:val="00FD0107"/>
    <w:rsid w:val="00FD2C2F"/>
    <w:rsid w:val="00FD2E7D"/>
    <w:rsid w:val="00FD3B31"/>
    <w:rsid w:val="00FD3FFA"/>
    <w:rsid w:val="00FE1823"/>
    <w:rsid w:val="00FE195C"/>
    <w:rsid w:val="00FE2EE9"/>
    <w:rsid w:val="00FE487A"/>
    <w:rsid w:val="00FF0569"/>
    <w:rsid w:val="00FF206E"/>
    <w:rsid w:val="00FF3C69"/>
    <w:rsid w:val="00FF5515"/>
    <w:rsid w:val="00FF66F1"/>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061473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Intense Reference" w:qFormat="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D4D41"/>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
    <w:basedOn w:val="DefaultParagraphFont"/>
    <w:semiHidden/>
    <w:qFormat/>
    <w:rsid w:val="00566AB4"/>
    <w:rPr>
      <w:rFonts w:ascii="Arial" w:hAnsi="Arial"/>
      <w:vertAlign w:val="superscript"/>
    </w:rPr>
  </w:style>
  <w:style w:type="paragraph" w:styleId="FootnoteText">
    <w:name w:val="footnote text"/>
    <w:aliases w:val="ACMA Footnote Text,footnote text,Footnote Text Char Char,Footnote Text Char1 Char Char,Footnote Text Char Char Char Char,Footnote Text Char1 Char Char Char Char,Footnote Text Char Char Char Char Char Char,f,fn,ALTS FOOTNOTE"/>
    <w:basedOn w:val="Normal"/>
    <w:link w:val="FootnoteTextChar"/>
    <w:semiHidden/>
    <w:qFormat/>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styleId="UnresolvedMention">
    <w:name w:val="Unresolved Mention"/>
    <w:basedOn w:val="DefaultParagraphFont"/>
    <w:uiPriority w:val="99"/>
    <w:semiHidden/>
    <w:unhideWhenUsed/>
    <w:rsid w:val="003424C2"/>
    <w:rPr>
      <w:color w:val="605E5C"/>
      <w:shd w:val="clear" w:color="auto" w:fill="E1DFDD"/>
    </w:rPr>
  </w:style>
  <w:style w:type="character" w:customStyle="1" w:styleId="Heading1Char">
    <w:name w:val="Heading 1 Char"/>
    <w:basedOn w:val="DefaultParagraphFont"/>
    <w:link w:val="Heading1"/>
    <w:rsid w:val="00680907"/>
    <w:rPr>
      <w:rFonts w:ascii="Arial" w:hAnsi="Arial" w:cs="Arial"/>
      <w:bCs/>
      <w:color w:val="323232"/>
      <w:kern w:val="32"/>
      <w:sz w:val="53"/>
      <w:szCs w:val="32"/>
    </w:rPr>
  </w:style>
  <w:style w:type="character" w:customStyle="1" w:styleId="Heading2Char">
    <w:name w:val="Heading 2 Char"/>
    <w:basedOn w:val="DefaultParagraphFont"/>
    <w:link w:val="Heading2"/>
    <w:rsid w:val="00680907"/>
    <w:rPr>
      <w:rFonts w:ascii="Arial" w:hAnsi="Arial" w:cs="Arial"/>
      <w:b/>
      <w:bCs/>
      <w:iCs/>
      <w:sz w:val="28"/>
      <w:szCs w:val="28"/>
    </w:rPr>
  </w:style>
  <w:style w:type="character" w:customStyle="1" w:styleId="Heading3Char">
    <w:name w:val="Heading 3 Char"/>
    <w:basedOn w:val="DefaultParagraphFont"/>
    <w:link w:val="Heading3"/>
    <w:rsid w:val="00680907"/>
    <w:rPr>
      <w:rFonts w:ascii="Arial" w:hAnsi="Arial" w:cs="Arial"/>
      <w:b/>
      <w:bCs/>
      <w:sz w:val="20"/>
      <w:szCs w:val="26"/>
    </w:rPr>
  </w:style>
  <w:style w:type="character" w:customStyle="1" w:styleId="FootnoteTextChar">
    <w:name w:val="Footnote Text Char"/>
    <w:aliases w:val="ACMA Footnote Text Char,footnote text Char,Footnote Text Char Char Char,Footnote Text Char1 Char Char Char,Footnote Text Char Char Char Char Char,Footnote Text Char1 Char Char Char Char Char,f Char,fn Char,ALTS FOOTNOTE Char"/>
    <w:basedOn w:val="DefaultParagraphFont"/>
    <w:link w:val="FootnoteText"/>
    <w:uiPriority w:val="99"/>
    <w:semiHidden/>
    <w:qFormat/>
    <w:locked/>
    <w:rsid w:val="00680907"/>
    <w:rPr>
      <w:rFonts w:ascii="Arial" w:hAnsi="Arial"/>
      <w:sz w:val="16"/>
      <w:szCs w:val="16"/>
    </w:rPr>
  </w:style>
  <w:style w:type="paragraph" w:styleId="ListParagraph">
    <w:name w:val="List Paragraph"/>
    <w:basedOn w:val="Normal"/>
    <w:uiPriority w:val="34"/>
    <w:qFormat/>
    <w:rsid w:val="00680907"/>
    <w:pPr>
      <w:spacing w:after="160" w:line="256" w:lineRule="auto"/>
      <w:ind w:left="720"/>
      <w:contextualSpacing/>
    </w:pPr>
    <w:rPr>
      <w:rFonts w:asciiTheme="minorHAnsi" w:eastAsiaTheme="minorHAnsi" w:hAnsiTheme="minorHAnsi" w:cstheme="minorBidi"/>
      <w:sz w:val="22"/>
      <w:szCs w:val="22"/>
      <w:lang w:eastAsia="en-US"/>
    </w:rPr>
  </w:style>
  <w:style w:type="character" w:styleId="IntenseReference">
    <w:name w:val="Intense Reference"/>
    <w:basedOn w:val="DefaultParagraphFont"/>
    <w:qFormat/>
    <w:rsid w:val="00680907"/>
    <w:rPr>
      <w:b/>
      <w:bCs/>
      <w:smallCaps/>
      <w:color w:val="4F81BD" w:themeColor="accent1"/>
      <w:spacing w:val="5"/>
    </w:rPr>
  </w:style>
  <w:style w:type="paragraph" w:customStyle="1" w:styleId="Default">
    <w:name w:val="Default"/>
    <w:rsid w:val="00ED6D1C"/>
    <w:pPr>
      <w:autoSpaceDE w:val="0"/>
      <w:autoSpaceDN w:val="0"/>
      <w:adjustRightInd w:val="0"/>
    </w:pPr>
    <w:rPr>
      <w:color w:val="000000"/>
    </w:rPr>
  </w:style>
  <w:style w:type="paragraph" w:styleId="Revision">
    <w:name w:val="Revision"/>
    <w:hidden/>
    <w:semiHidden/>
    <w:rsid w:val="00803FF8"/>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94396609">
      <w:bodyDiv w:val="1"/>
      <w:marLeft w:val="0"/>
      <w:marRight w:val="0"/>
      <w:marTop w:val="0"/>
      <w:marBottom w:val="0"/>
      <w:divBdr>
        <w:top w:val="none" w:sz="0" w:space="0" w:color="auto"/>
        <w:left w:val="none" w:sz="0" w:space="0" w:color="auto"/>
        <w:bottom w:val="none" w:sz="0" w:space="0" w:color="auto"/>
        <w:right w:val="none" w:sz="0" w:space="0" w:color="auto"/>
      </w:divBdr>
    </w:div>
    <w:div w:id="465121242">
      <w:bodyDiv w:val="1"/>
      <w:marLeft w:val="0"/>
      <w:marRight w:val="0"/>
      <w:marTop w:val="0"/>
      <w:marBottom w:val="0"/>
      <w:divBdr>
        <w:top w:val="none" w:sz="0" w:space="0" w:color="auto"/>
        <w:left w:val="none" w:sz="0" w:space="0" w:color="auto"/>
        <w:bottom w:val="none" w:sz="0" w:space="0" w:color="auto"/>
        <w:right w:val="none" w:sz="0" w:space="0" w:color="auto"/>
      </w:divBdr>
    </w:div>
    <w:div w:id="600913922">
      <w:bodyDiv w:val="1"/>
      <w:marLeft w:val="0"/>
      <w:marRight w:val="0"/>
      <w:marTop w:val="0"/>
      <w:marBottom w:val="0"/>
      <w:divBdr>
        <w:top w:val="none" w:sz="0" w:space="0" w:color="auto"/>
        <w:left w:val="none" w:sz="0" w:space="0" w:color="auto"/>
        <w:bottom w:val="none" w:sz="0" w:space="0" w:color="auto"/>
        <w:right w:val="none" w:sz="0" w:space="0" w:color="auto"/>
      </w:divBdr>
    </w:div>
    <w:div w:id="837890088">
      <w:bodyDiv w:val="1"/>
      <w:marLeft w:val="0"/>
      <w:marRight w:val="0"/>
      <w:marTop w:val="0"/>
      <w:marBottom w:val="0"/>
      <w:divBdr>
        <w:top w:val="none" w:sz="0" w:space="0" w:color="auto"/>
        <w:left w:val="none" w:sz="0" w:space="0" w:color="auto"/>
        <w:bottom w:val="none" w:sz="0" w:space="0" w:color="auto"/>
        <w:right w:val="none" w:sz="0" w:space="0" w:color="auto"/>
      </w:divBdr>
    </w:div>
    <w:div w:id="934678776">
      <w:bodyDiv w:val="1"/>
      <w:marLeft w:val="0"/>
      <w:marRight w:val="0"/>
      <w:marTop w:val="0"/>
      <w:marBottom w:val="0"/>
      <w:divBdr>
        <w:top w:val="none" w:sz="0" w:space="0" w:color="auto"/>
        <w:left w:val="none" w:sz="0" w:space="0" w:color="auto"/>
        <w:bottom w:val="none" w:sz="0" w:space="0" w:color="auto"/>
        <w:right w:val="none" w:sz="0" w:space="0" w:color="auto"/>
      </w:divBdr>
    </w:div>
    <w:div w:id="1031305175">
      <w:bodyDiv w:val="1"/>
      <w:marLeft w:val="0"/>
      <w:marRight w:val="0"/>
      <w:marTop w:val="0"/>
      <w:marBottom w:val="0"/>
      <w:divBdr>
        <w:top w:val="none" w:sz="0" w:space="0" w:color="auto"/>
        <w:left w:val="none" w:sz="0" w:space="0" w:color="auto"/>
        <w:bottom w:val="none" w:sz="0" w:space="0" w:color="auto"/>
        <w:right w:val="none" w:sz="0" w:space="0" w:color="auto"/>
      </w:divBdr>
    </w:div>
    <w:div w:id="1072120839">
      <w:bodyDiv w:val="1"/>
      <w:marLeft w:val="0"/>
      <w:marRight w:val="0"/>
      <w:marTop w:val="0"/>
      <w:marBottom w:val="0"/>
      <w:divBdr>
        <w:top w:val="none" w:sz="0" w:space="0" w:color="auto"/>
        <w:left w:val="none" w:sz="0" w:space="0" w:color="auto"/>
        <w:bottom w:val="none" w:sz="0" w:space="0" w:color="auto"/>
        <w:right w:val="none" w:sz="0" w:space="0" w:color="auto"/>
      </w:divBdr>
    </w:div>
    <w:div w:id="1100492240">
      <w:bodyDiv w:val="1"/>
      <w:marLeft w:val="0"/>
      <w:marRight w:val="0"/>
      <w:marTop w:val="0"/>
      <w:marBottom w:val="0"/>
      <w:divBdr>
        <w:top w:val="none" w:sz="0" w:space="0" w:color="auto"/>
        <w:left w:val="none" w:sz="0" w:space="0" w:color="auto"/>
        <w:bottom w:val="none" w:sz="0" w:space="0" w:color="auto"/>
        <w:right w:val="none" w:sz="0" w:space="0" w:color="auto"/>
      </w:divBdr>
    </w:div>
    <w:div w:id="1122383880">
      <w:bodyDiv w:val="1"/>
      <w:marLeft w:val="0"/>
      <w:marRight w:val="0"/>
      <w:marTop w:val="0"/>
      <w:marBottom w:val="0"/>
      <w:divBdr>
        <w:top w:val="none" w:sz="0" w:space="0" w:color="auto"/>
        <w:left w:val="none" w:sz="0" w:space="0" w:color="auto"/>
        <w:bottom w:val="none" w:sz="0" w:space="0" w:color="auto"/>
        <w:right w:val="none" w:sz="0" w:space="0" w:color="auto"/>
      </w:divBdr>
    </w:div>
    <w:div w:id="1144588531">
      <w:bodyDiv w:val="1"/>
      <w:marLeft w:val="0"/>
      <w:marRight w:val="0"/>
      <w:marTop w:val="0"/>
      <w:marBottom w:val="0"/>
      <w:divBdr>
        <w:top w:val="none" w:sz="0" w:space="0" w:color="auto"/>
        <w:left w:val="none" w:sz="0" w:space="0" w:color="auto"/>
        <w:bottom w:val="none" w:sz="0" w:space="0" w:color="auto"/>
        <w:right w:val="none" w:sz="0" w:space="0" w:color="auto"/>
      </w:divBdr>
    </w:div>
    <w:div w:id="1343165794">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608610936">
      <w:bodyDiv w:val="1"/>
      <w:marLeft w:val="0"/>
      <w:marRight w:val="0"/>
      <w:marTop w:val="0"/>
      <w:marBottom w:val="0"/>
      <w:divBdr>
        <w:top w:val="none" w:sz="0" w:space="0" w:color="auto"/>
        <w:left w:val="none" w:sz="0" w:space="0" w:color="auto"/>
        <w:bottom w:val="none" w:sz="0" w:space="0" w:color="auto"/>
        <w:right w:val="none" w:sz="0" w:space="0" w:color="auto"/>
      </w:divBdr>
    </w:div>
    <w:div w:id="1835754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eader" Target="header3.xml"/><Relationship Id="rId26" Type="http://schemas.openxmlformats.org/officeDocument/2006/relationships/footer" Target="footer6.xml"/><Relationship Id="rId39" Type="http://schemas.openxmlformats.org/officeDocument/2006/relationships/image" Target="media/image4.png"/><Relationship Id="rId21" Type="http://schemas.openxmlformats.org/officeDocument/2006/relationships/footer" Target="footer3.xml"/><Relationship Id="rId34" Type="http://schemas.openxmlformats.org/officeDocument/2006/relationships/hyperlink" Target="https://www.legislation.gov.au/Series/F2011L01520" TargetMode="External"/><Relationship Id="rId42" Type="http://schemas.openxmlformats.org/officeDocument/2006/relationships/hyperlink" Target="https://web.acma.gov.au/rrl/register_search.main_page" TargetMode="External"/><Relationship Id="rId47" Type="http://schemas.openxmlformats.org/officeDocument/2006/relationships/hyperlink" Target="mailto:freqplan@acma.gov.au" TargetMode="External"/><Relationship Id="rId50" Type="http://schemas.openxmlformats.org/officeDocument/2006/relationships/header" Target="header7.xml"/><Relationship Id="rId55"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info@acma.gov.au" TargetMode="External"/><Relationship Id="rId25" Type="http://schemas.openxmlformats.org/officeDocument/2006/relationships/footer" Target="footer5.xml"/><Relationship Id="rId33" Type="http://schemas.openxmlformats.org/officeDocument/2006/relationships/hyperlink" Target="https://www.acma.gov.au/Industry/Spectrum/Spectrum-planning/Current-APs-info-and-resources/rali-fx21-tv-ob-services" TargetMode="External"/><Relationship Id="rId38" Type="http://schemas.openxmlformats.org/officeDocument/2006/relationships/hyperlink" Target="https://web.acma.gov.au/rrl/register_search.main_page" TargetMode="External"/><Relationship Id="rId46" Type="http://schemas.openxmlformats.org/officeDocument/2006/relationships/hyperlink" Target="http://www.acma.gov.au/theACMA/Consultations/Consultations" TargetMode="External"/><Relationship Id="rId2" Type="http://schemas.openxmlformats.org/officeDocument/2006/relationships/customXml" Target="../customXml/item2.xml"/><Relationship Id="rId16" Type="http://schemas.openxmlformats.org/officeDocument/2006/relationships/hyperlink" Target="https://creativecommons.org/licenses/by/4.0/" TargetMode="External"/><Relationship Id="rId20" Type="http://schemas.openxmlformats.org/officeDocument/2006/relationships/footer" Target="footer2.xml"/><Relationship Id="rId29" Type="http://schemas.openxmlformats.org/officeDocument/2006/relationships/hyperlink" Target="https://www.legislation.gov.au/Details/F2012L00731" TargetMode="External"/><Relationship Id="rId41" Type="http://schemas.openxmlformats.org/officeDocument/2006/relationships/image" Target="media/image5.png"/><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4.xml"/><Relationship Id="rId32" Type="http://schemas.openxmlformats.org/officeDocument/2006/relationships/hyperlink" Target="https://www.legislation.gov.au/Details/F2016L02001" TargetMode="External"/><Relationship Id="rId37" Type="http://schemas.openxmlformats.org/officeDocument/2006/relationships/hyperlink" Target="https://www.acma.gov.au/Industry/Spectrum/Spectrum-projects/5-Year-Spectrum-Outlook" TargetMode="External"/><Relationship Id="rId40" Type="http://schemas.openxmlformats.org/officeDocument/2006/relationships/hyperlink" Target="https://www.acma.gov.au/Industry/Spectrum/Spectrum-planning/Current-APs-info-and-resources/rali-fx21-tv-ob-services" TargetMode="External"/><Relationship Id="rId45" Type="http://schemas.openxmlformats.org/officeDocument/2006/relationships/hyperlink" Target="https://www.acma.gov.au/Industry/Spectrum/Spectrum-projects/5-Year-Spectrum-Outlook" TargetMode="External"/><Relationship Id="rId53" Type="http://schemas.openxmlformats.org/officeDocument/2006/relationships/footer" Target="footer8.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header" Target="header6.xml"/><Relationship Id="rId28" Type="http://schemas.openxmlformats.org/officeDocument/2006/relationships/hyperlink" Target="https://www.acma.gov.au/theACMA/draft-five-year-spectrum-outlook-2019-23" TargetMode="External"/><Relationship Id="rId36" Type="http://schemas.openxmlformats.org/officeDocument/2006/relationships/hyperlink" Target="https://www.acma.gov.au/-/media/Spectrum-Engineering/Regulation/pdf/Embargo-No-41.pdf?la=en" TargetMode="External"/><Relationship Id="rId49" Type="http://schemas.openxmlformats.org/officeDocument/2006/relationships/hyperlink" Target="http://www.acma.gov.au/privacypolicy" TargetMode="External"/><Relationship Id="rId10" Type="http://schemas.openxmlformats.org/officeDocument/2006/relationships/endnotes" Target="endnotes.xml"/><Relationship Id="rId19" Type="http://schemas.openxmlformats.org/officeDocument/2006/relationships/header" Target="header4.xml"/><Relationship Id="rId31" Type="http://schemas.openxmlformats.org/officeDocument/2006/relationships/hyperlink" Target="https://www.acma.gov.au/-/media/Spectrum-Engineering/Regulation/pdf/Embargo-No-23.pdf?la=en" TargetMode="External"/><Relationship Id="rId44" Type="http://schemas.openxmlformats.org/officeDocument/2006/relationships/hyperlink" Target="https://www.acma.gov.au/theACMA/draft-five-year-spectrum-outlook-2019-23" TargetMode="External"/><Relationship Id="rId52" Type="http://schemas.openxmlformats.org/officeDocument/2006/relationships/footer" Target="footer7.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creativecommons.org/l/by/3.0/88x31.png" TargetMode="External"/><Relationship Id="rId22" Type="http://schemas.openxmlformats.org/officeDocument/2006/relationships/header" Target="header5.xml"/><Relationship Id="rId27" Type="http://schemas.openxmlformats.org/officeDocument/2006/relationships/hyperlink" Target="https://www.acma.gov.au/theACMA/draft-five-year-spectrum-outlook-2019-23" TargetMode="External"/><Relationship Id="rId30" Type="http://schemas.openxmlformats.org/officeDocument/2006/relationships/hyperlink" Target="https://www.acma.gov.au/Industry/Spectrum/Spectrum-planning/Current-APs-info-and-resources/rali-fx21-tv-ob-services" TargetMode="External"/><Relationship Id="rId35" Type="http://schemas.openxmlformats.org/officeDocument/2006/relationships/hyperlink" Target="https://www.acma.gov.au/-/media/Spectrum-Engineering/Information/Word-Document/RALI-MS32-ARQZWA.docx?la=en" TargetMode="External"/><Relationship Id="rId43" Type="http://schemas.openxmlformats.org/officeDocument/2006/relationships/hyperlink" Target="https://www.google.com/url?sa=t&amp;rct=j&amp;q=&amp;esrc=s&amp;source=web&amp;cd=1&amp;ved=2ahUKEwid56fGppXjAhUVfH0KHVl0BNwQFjAAegQIAxAC&amp;url=https%3A%2F%2Fwww.apt.int%2Fsites%2Fdefault%2Ffiles%2FUpload-files%2FAWG%2FAPT-AWG-REP-46-APT_Report_on_2_1GHz_Survey_Study.docx&amp;usg=AOvVaw3qed42rX-aizfbudTBg4Zy" TargetMode="External"/><Relationship Id="rId48" Type="http://schemas.openxmlformats.org/officeDocument/2006/relationships/hyperlink" Target="https://www.acma.gov.au/theACMA/About/Corporate/Accountability/privacy-and-consultations" TargetMode="External"/><Relationship Id="rId8" Type="http://schemas.openxmlformats.org/officeDocument/2006/relationships/webSettings" Target="webSettings.xml"/><Relationship Id="rId51" Type="http://schemas.openxmlformats.org/officeDocument/2006/relationships/header" Target="header8.xml"/><Relationship Id="rId3" Type="http://schemas.openxmlformats.org/officeDocument/2006/relationships/customXml" Target="../customXml/item3.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8" Type="http://schemas.openxmlformats.org/officeDocument/2006/relationships/hyperlink" Target="https://www.ecodocdb.dk/document/321" TargetMode="External"/><Relationship Id="rId3" Type="http://schemas.openxmlformats.org/officeDocument/2006/relationships/hyperlink" Target="https://www.ecodocdb.dk/download/cdf6fecf-f27e/ECCDEC0609.PDF" TargetMode="External"/><Relationship Id="rId7" Type="http://schemas.openxmlformats.org/officeDocument/2006/relationships/hyperlink" Target="https://www.acma.gov.au/theACMA/draft-five-year-spectrum-outlook-2019-23" TargetMode="External"/><Relationship Id="rId2" Type="http://schemas.openxmlformats.org/officeDocument/2006/relationships/hyperlink" Target="https://www.acma.gov.au/theACMA/ifc-01-2010" TargetMode="External"/><Relationship Id="rId1" Type="http://schemas.openxmlformats.org/officeDocument/2006/relationships/hyperlink" Target="https://www.acma.gov.au/theACMA/rali-fx3-microwave-fixed-services-frequency-coordination" TargetMode="External"/><Relationship Id="rId6" Type="http://schemas.openxmlformats.org/officeDocument/2006/relationships/hyperlink" Target="https://www.acma.gov.au/theACMA/draft-five-year-spectrum-outlook-2019-23" TargetMode="External"/><Relationship Id="rId5" Type="http://schemas.openxmlformats.org/officeDocument/2006/relationships/hyperlink" Target="https://paxex.aero/2019/03/inmarsat-british-airways-launch-ean-connectivity-in-europe/" TargetMode="External"/><Relationship Id="rId10" Type="http://schemas.openxmlformats.org/officeDocument/2006/relationships/hyperlink" Target="https://www.apt.int/sites/default/files/Upload-files/AWG/APT-AWG-REP-63-APT_Report_on_Air_to_Ground_Communication.docx" TargetMode="External"/><Relationship Id="rId4" Type="http://schemas.openxmlformats.org/officeDocument/2006/relationships/hyperlink" Target="https://www.ofcom.org.uk/__data/assets/pdf_file/0022/107464/Authorisation-terrestrial-mobile-networks-2-GHz-MSS.pdf" TargetMode="External"/><Relationship Id="rId9" Type="http://schemas.openxmlformats.org/officeDocument/2006/relationships/hyperlink" Target="https://www.apt.int/sites/default/files/Upload-files/AWG/APT-AWG-REP-56-APT_Report_on_service_and_application_onboard_aricraft_and_vessel.doc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00ACE45694B3D4892C74020F839F147" ma:contentTypeVersion="16" ma:contentTypeDescription="Create a new document." ma:contentTypeScope="" ma:versionID="9239f4960bea8bb52a849c241c333692">
  <xsd:schema xmlns:xsd="http://www.w3.org/2001/XMLSchema" xmlns:xs="http://www.w3.org/2001/XMLSchema" xmlns:p="http://schemas.microsoft.com/office/2006/metadata/properties" xmlns:ns2="85d45f94-32ec-4546-b73b-9a6848394926" xmlns:ns3="fb919850-406e-4d20-9cee-cf3a55172231" targetNamespace="http://schemas.microsoft.com/office/2006/metadata/properties" ma:root="true" ma:fieldsID="737f86c4e465b9646a10b6e59f1fd544" ns2:_="" ns3:_="">
    <xsd:import namespace="85d45f94-32ec-4546-b73b-9a6848394926"/>
    <xsd:import namespace="fb919850-406e-4d20-9cee-cf3a5517223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d45f94-32ec-4546-b73b-9a68483949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8fe8815-ddc4-4b7c-be07-fec6d2f953c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b919850-406e-4d20-9cee-cf3a5517223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136ea6b-f371-41c9-afaf-5925768188c8}" ma:internalName="TaxCatchAll" ma:showField="CatchAllData" ma:web="fb919850-406e-4d20-9cee-cf3a551722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85d45f94-32ec-4546-b73b-9a6848394926">
      <Terms xmlns="http://schemas.microsoft.com/office/infopath/2007/PartnerControls"/>
    </lcf76f155ced4ddcb4097134ff3c332f>
    <TaxCatchAll xmlns="fb919850-406e-4d20-9cee-cf3a55172231" xsi:nil="true"/>
  </documentManagement>
</p:properties>
</file>

<file path=customXml/itemProps1.xml><?xml version="1.0" encoding="utf-8"?>
<ds:datastoreItem xmlns:ds="http://schemas.openxmlformats.org/officeDocument/2006/customXml" ds:itemID="{A0B9A73A-DC92-4D68-B100-D8F139EDB8CF}">
  <ds:schemaRefs>
    <ds:schemaRef ds:uri="http://schemas.microsoft.com/sharepoint/v3/contenttype/forms"/>
  </ds:schemaRefs>
</ds:datastoreItem>
</file>

<file path=customXml/itemProps2.xml><?xml version="1.0" encoding="utf-8"?>
<ds:datastoreItem xmlns:ds="http://schemas.openxmlformats.org/officeDocument/2006/customXml" ds:itemID="{B9AF16D8-BD10-4875-87DA-8C040A187A6D}"/>
</file>

<file path=customXml/itemProps3.xml><?xml version="1.0" encoding="utf-8"?>
<ds:datastoreItem xmlns:ds="http://schemas.openxmlformats.org/officeDocument/2006/customXml" ds:itemID="{34DF2322-6144-4F56-A261-08E0B9730F7F}">
  <ds:schemaRefs>
    <ds:schemaRef ds:uri="http://schemas.openxmlformats.org/officeDocument/2006/bibliography"/>
  </ds:schemaRefs>
</ds:datastoreItem>
</file>

<file path=customXml/itemProps4.xml><?xml version="1.0" encoding="utf-8"?>
<ds:datastoreItem xmlns:ds="http://schemas.openxmlformats.org/officeDocument/2006/customXml" ds:itemID="{272844A8-5590-45E9-8062-629889B580D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5645</Words>
  <Characters>32179</Characters>
  <Application>Microsoft Office Word</Application>
  <DocSecurity>0</DocSecurity>
  <Lines>268</Lines>
  <Paragraphs>75</Paragraphs>
  <ScaleCrop>false</ScaleCrop>
  <HeadingPairs>
    <vt:vector size="2" baseType="variant">
      <vt:variant>
        <vt:lpstr>Title</vt:lpstr>
      </vt:variant>
      <vt:variant>
        <vt:i4>1</vt:i4>
      </vt:variant>
    </vt:vector>
  </HeadingPairs>
  <TitlesOfParts>
    <vt:vector size="1" baseType="lpstr">
      <vt:lpstr>Initial investigation of the 2GHz band properties</vt:lpstr>
    </vt:vector>
  </TitlesOfParts>
  <Manager/>
  <Company/>
  <LinksUpToDate>false</LinksUpToDate>
  <CharactersWithSpaces>37749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Initial investigation of the 2GHz band properties</dc:title>
  <dc:subject/>
  <dc:creator/>
  <cp:keywords/>
  <dc:description/>
  <cp:lastModifiedBy/>
  <cp:revision>1</cp:revision>
  <dcterms:created xsi:type="dcterms:W3CDTF">2019-08-06T23:48:00Z</dcterms:created>
  <dcterms:modified xsi:type="dcterms:W3CDTF">2021-02-24T01:34:00Z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ecfebfc7-ba02-4a0c-97c9-b56c7afe0e41</vt:lpwstr>
  </property>
  <property fmtid="{D5CDD505-2E9C-101B-9397-08002B2CF9AE}" pid="3" name="ContentTypeId">
    <vt:lpwstr>0x010100100ACE45694B3D4892C74020F839F147</vt:lpwstr>
  </property>
</Properties>
</file>