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footer4.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07DC5E" w14:textId="7C3F1928" w:rsidR="00F06E14" w:rsidRPr="00A51D1A" w:rsidRDefault="007162F1" w:rsidP="00A51D1A">
      <w:pPr>
        <w:pStyle w:val="ACMAReportTitle"/>
      </w:pPr>
      <w:r w:rsidRPr="007162F1">
        <w:t>Business operating procedure</w:t>
      </w:r>
    </w:p>
    <w:p w14:paraId="5FB7E803" w14:textId="03294BB2" w:rsidR="007162F1" w:rsidRPr="00FB74F6" w:rsidRDefault="007162F1" w:rsidP="00A06241">
      <w:pPr>
        <w:pStyle w:val="ACMAReportSubTitle"/>
        <w:spacing w:after="0"/>
      </w:pPr>
      <w:r w:rsidRPr="007162F1">
        <w:t xml:space="preserve">Interim arrangements for the submission and processing of applications for space and space receive apparatus licences authorising the use of earth stations in motion </w:t>
      </w:r>
      <w:r w:rsidR="00E11C27">
        <w:t xml:space="preserve">(ESIM) </w:t>
      </w:r>
      <w:r w:rsidRPr="007162F1">
        <w:t>in the fixed-satellite service communicating with</w:t>
      </w:r>
      <w:r w:rsidR="0071702E">
        <w:t xml:space="preserve"> </w:t>
      </w:r>
      <w:r w:rsidR="008002CF">
        <w:t>n</w:t>
      </w:r>
      <w:r w:rsidRPr="00A06241">
        <w:t>on</w:t>
      </w:r>
      <w:r w:rsidRPr="00FB74F6">
        <w:t>-geostationary space stations in the frequency ranges</w:t>
      </w:r>
      <w:r w:rsidR="00DF0595">
        <w:t xml:space="preserve"> </w:t>
      </w:r>
      <w:r w:rsidRPr="00FB74F6">
        <w:t>17.7</w:t>
      </w:r>
      <w:r w:rsidR="00255379" w:rsidRPr="00FB74F6">
        <w:t>–</w:t>
      </w:r>
      <w:r w:rsidRPr="00FB74F6">
        <w:t>18.</w:t>
      </w:r>
      <w:r w:rsidR="00EA7610">
        <w:t>6</w:t>
      </w:r>
      <w:r w:rsidRPr="00FB74F6">
        <w:t xml:space="preserve"> GHz, 18.8</w:t>
      </w:r>
      <w:r w:rsidR="00255379" w:rsidRPr="00FB74F6">
        <w:t>–</w:t>
      </w:r>
      <w:r w:rsidRPr="00FB74F6">
        <w:t>19.3 GHz, 19.7</w:t>
      </w:r>
      <w:r w:rsidR="00255379" w:rsidRPr="00FB74F6">
        <w:t>–</w:t>
      </w:r>
      <w:r w:rsidRPr="00FB74F6">
        <w:t>20.2 GHz,</w:t>
      </w:r>
      <w:r w:rsidR="00EA0119">
        <w:t xml:space="preserve"> </w:t>
      </w:r>
      <w:r w:rsidRPr="00FB74F6">
        <w:t>28.5</w:t>
      </w:r>
      <w:r w:rsidR="00255379" w:rsidRPr="00FB74F6">
        <w:t>–</w:t>
      </w:r>
      <w:r w:rsidRPr="00FB74F6">
        <w:t>29.1 GHz and 29.5</w:t>
      </w:r>
      <w:r w:rsidR="00255379" w:rsidRPr="00FB74F6">
        <w:t>–</w:t>
      </w:r>
      <w:r w:rsidRPr="00FB74F6">
        <w:t>30 GHz</w:t>
      </w:r>
    </w:p>
    <w:p w14:paraId="07EF3EC0" w14:textId="77777777" w:rsidR="00391E72" w:rsidRDefault="00391E72" w:rsidP="00391E72">
      <w:pPr>
        <w:pStyle w:val="ACMAReportDate"/>
        <w:spacing w:after="0"/>
        <w:rPr>
          <w:color w:val="595959" w:themeColor="text1" w:themeTint="A6"/>
          <w:szCs w:val="20"/>
        </w:rPr>
      </w:pPr>
    </w:p>
    <w:p w14:paraId="7A0656A2" w14:textId="11B34C38" w:rsidR="00536B47" w:rsidRDefault="00187EDA" w:rsidP="00D47AEB">
      <w:pPr>
        <w:pStyle w:val="ACMAReportDate"/>
        <w:spacing w:after="720"/>
      </w:pPr>
      <w:r>
        <w:rPr>
          <w:szCs w:val="20"/>
        </w:rPr>
        <w:t xml:space="preserve">august </w:t>
      </w:r>
      <w:r w:rsidR="00DB62DC">
        <w:rPr>
          <w:szCs w:val="20"/>
        </w:rPr>
        <w:t>2022</w:t>
      </w:r>
    </w:p>
    <w:p w14:paraId="7EEB8A95" w14:textId="39D6CD03" w:rsidR="00C97736" w:rsidRPr="000D76E0" w:rsidRDefault="00C97736" w:rsidP="00270222">
      <w:pPr>
        <w:tabs>
          <w:tab w:val="left" w:pos="2760"/>
        </w:tabs>
        <w:rPr>
          <w:rFonts w:cs="Arial"/>
        </w:rPr>
        <w:sectPr w:rsidR="00C97736" w:rsidRPr="000D76E0" w:rsidSect="004F556E">
          <w:headerReference w:type="even" r:id="rId11"/>
          <w:headerReference w:type="default" r:id="rId12"/>
          <w:footerReference w:type="default" r:id="rId13"/>
          <w:headerReference w:type="first" r:id="rId14"/>
          <w:pgSz w:w="11906" w:h="16838" w:code="9"/>
          <w:pgMar w:top="3924" w:right="1797" w:bottom="1440" w:left="1134" w:header="709" w:footer="454" w:gutter="0"/>
          <w:cols w:space="708"/>
          <w:docGrid w:linePitch="360"/>
        </w:sectPr>
      </w:pPr>
    </w:p>
    <w:p w14:paraId="2D3071B0" w14:textId="77777777" w:rsidR="0005011A" w:rsidRPr="00F44F3A" w:rsidRDefault="0005011A" w:rsidP="00FC07B9">
      <w:pPr>
        <w:pStyle w:val="ACMACorporateAddressHeader"/>
      </w:pPr>
      <w:r w:rsidRPr="00F44F3A">
        <w:lastRenderedPageBreak/>
        <w:t>Canberra</w:t>
      </w:r>
    </w:p>
    <w:p w14:paraId="368634A5"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559E7143" w14:textId="77777777" w:rsidR="0005011A" w:rsidRPr="00FC07B9" w:rsidRDefault="0005011A" w:rsidP="00FC07B9">
      <w:pPr>
        <w:pStyle w:val="ACMACorporateAddresses"/>
      </w:pPr>
      <w:r w:rsidRPr="00FC07B9">
        <w:t>PO Box 78</w:t>
      </w:r>
      <w:r w:rsidRPr="00FC07B9">
        <w:br/>
        <w:t>Belconnen ACT 2616</w:t>
      </w:r>
    </w:p>
    <w:p w14:paraId="3A6BF095"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59F9446B" w14:textId="77777777" w:rsidR="0005011A" w:rsidRPr="00F44F3A" w:rsidRDefault="0005011A" w:rsidP="00FC07B9">
      <w:pPr>
        <w:pStyle w:val="ACMACorporateAddressHeader"/>
      </w:pPr>
      <w:r w:rsidRPr="00F44F3A">
        <w:t>Melbourne</w:t>
      </w:r>
    </w:p>
    <w:p w14:paraId="4AC290DE"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253C5FE1"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1836FC4E"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1079ED58" w14:textId="77777777" w:rsidR="0005011A" w:rsidRPr="00F44F3A" w:rsidRDefault="0005011A" w:rsidP="00FC07B9">
      <w:pPr>
        <w:pStyle w:val="ACMACorporateAddressHeader"/>
      </w:pPr>
      <w:r w:rsidRPr="00F44F3A">
        <w:t>Sydney</w:t>
      </w:r>
    </w:p>
    <w:p w14:paraId="3092F481"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10BAC0CC"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678313F8" w14:textId="77777777" w:rsidR="0005011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0AE0D8BC" w14:textId="77777777" w:rsidR="00050AA2" w:rsidRDefault="00050AA2" w:rsidP="00FC07B9">
      <w:pPr>
        <w:pStyle w:val="ACMACorporateAddresses"/>
      </w:pPr>
    </w:p>
    <w:p w14:paraId="3C5EAC62" w14:textId="77777777" w:rsidR="00050AA2" w:rsidRPr="006D46E5" w:rsidRDefault="00050AA2">
      <w:pPr>
        <w:pStyle w:val="ACMACopyrightHeader"/>
        <w:spacing w:before="1320"/>
      </w:pPr>
      <w:r w:rsidRPr="00140318">
        <w:t>Copyright notice</w:t>
      </w:r>
    </w:p>
    <w:p w14:paraId="1707FA47" w14:textId="77777777" w:rsidR="00050AA2" w:rsidRPr="006D46E5" w:rsidRDefault="00050AA2" w:rsidP="00050AA2">
      <w:pPr>
        <w:pStyle w:val="ACMACClogo"/>
      </w:pPr>
      <w:r w:rsidRPr="00623FF9">
        <w:rPr>
          <w:noProof/>
        </w:rPr>
        <w:drawing>
          <wp:inline distT="0" distB="0" distL="0" distR="0" wp14:anchorId="1861BB6D" wp14:editId="78600854">
            <wp:extent cx="838200" cy="295275"/>
            <wp:effectExtent l="0" t="0" r="0" b="0"/>
            <wp:docPr id="2" name="Picture 2" title="Creative Commons logo">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5"/>
                    </pic:cNvPr>
                    <pic:cNvPicPr>
                      <a:picLocks noChangeAspect="1" noChangeArrowheads="1"/>
                    </pic:cNvPicPr>
                  </pic:nvPicPr>
                  <pic:blipFill>
                    <a:blip r:embed="rId16" cstate="print"/>
                    <a:srcRect/>
                    <a:stretch>
                      <a:fillRect/>
                    </a:stretch>
                  </pic:blipFill>
                  <pic:spPr bwMode="auto">
                    <a:xfrm>
                      <a:off x="0" y="0"/>
                      <a:ext cx="838200" cy="295275"/>
                    </a:xfrm>
                    <a:prstGeom prst="rect">
                      <a:avLst/>
                    </a:prstGeom>
                    <a:noFill/>
                  </pic:spPr>
                </pic:pic>
              </a:graphicData>
            </a:graphic>
          </wp:inline>
        </w:drawing>
      </w:r>
    </w:p>
    <w:p w14:paraId="081CC7CE" w14:textId="77777777" w:rsidR="00050AA2" w:rsidRPr="00431792" w:rsidRDefault="001662F9" w:rsidP="00050AA2">
      <w:pPr>
        <w:pStyle w:val="ACMACorporateAddresses"/>
        <w:rPr>
          <w:rStyle w:val="Hyperlink"/>
        </w:rPr>
      </w:pPr>
      <w:hyperlink r:id="rId17" w:tooltip="Creative Commons Licenses" w:history="1">
        <w:r w:rsidR="00050AA2" w:rsidRPr="00431792">
          <w:rPr>
            <w:rStyle w:val="Hyperlink"/>
          </w:rPr>
          <w:t>http://creativecommons.org/licenses/by/3.0/au/</w:t>
        </w:r>
      </w:hyperlink>
    </w:p>
    <w:p w14:paraId="5329D1D9" w14:textId="77777777" w:rsidR="00050AA2" w:rsidRPr="006D46E5" w:rsidRDefault="00050AA2" w:rsidP="00050AA2">
      <w:pPr>
        <w:pStyle w:val="ACMACorporateAddresses"/>
      </w:pPr>
      <w:r w:rsidRPr="006D46E5">
        <w:t xml:space="preserve">With the exception of coats of arms, logos, emblems, images, other third-party material or devices protected by a trademark, this content is licensed under the Creative Commons Australia Attribution 3.0 Licence. </w:t>
      </w:r>
    </w:p>
    <w:p w14:paraId="06644B86" w14:textId="77777777" w:rsidR="00050AA2" w:rsidRPr="006D46E5" w:rsidRDefault="00050AA2" w:rsidP="00050AA2">
      <w:pPr>
        <w:pStyle w:val="ACMACorporateAddresses"/>
      </w:pPr>
      <w:r>
        <w:t>We request attribution as</w:t>
      </w:r>
      <w:r w:rsidRPr="006D46E5">
        <w:t xml:space="preserve"> © Commonwealth of Australia (Australian Communic</w:t>
      </w:r>
      <w:r>
        <w:t>ations and Media Authority) 2017</w:t>
      </w:r>
      <w:r w:rsidRPr="006D46E5">
        <w:t>.</w:t>
      </w:r>
    </w:p>
    <w:p w14:paraId="50B2176A" w14:textId="77777777" w:rsidR="00050AA2" w:rsidRPr="006D46E5" w:rsidRDefault="00050AA2" w:rsidP="00050AA2">
      <w:pPr>
        <w:pStyle w:val="ACMACorporateAddresses"/>
      </w:pPr>
      <w:r>
        <w:t>All other rights are reserved.</w:t>
      </w:r>
    </w:p>
    <w:p w14:paraId="5B391F23" w14:textId="77777777" w:rsidR="00050AA2" w:rsidRPr="006D46E5" w:rsidRDefault="00050AA2" w:rsidP="00050AA2">
      <w:pPr>
        <w:pStyle w:val="ACMACorporateAddresses"/>
      </w:pPr>
      <w:r w:rsidRPr="006D46E5">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396C758E" w14:textId="77777777" w:rsidR="00050AA2" w:rsidRPr="006D46E5" w:rsidRDefault="00050AA2" w:rsidP="00050AA2">
      <w:pPr>
        <w:pStyle w:val="ACMACorporateAddresses"/>
      </w:pPr>
      <w:r w:rsidRPr="006D46E5">
        <w:t>Written enquiries may be sent to:</w:t>
      </w:r>
    </w:p>
    <w:p w14:paraId="10E69B63" w14:textId="221691D0" w:rsidR="00574223" w:rsidRDefault="00050AA2" w:rsidP="00050AA2">
      <w:pPr>
        <w:pStyle w:val="ACMACorporateAddresses"/>
        <w:rPr>
          <w:rStyle w:val="Hyperlink"/>
        </w:rPr>
      </w:pPr>
      <w:r w:rsidRPr="006D46E5">
        <w:t>Manager, Editorial and Design</w:t>
      </w:r>
      <w:r>
        <w:br/>
      </w:r>
      <w:r w:rsidRPr="006D46E5">
        <w:t>PO Box 13112</w:t>
      </w:r>
      <w:r>
        <w:br/>
      </w:r>
      <w:r w:rsidRPr="006D46E5">
        <w:t>Law Courts</w:t>
      </w:r>
      <w:r>
        <w:br/>
      </w:r>
      <w:r w:rsidRPr="006D46E5">
        <w:t>Melbourne VIC 8010</w:t>
      </w:r>
      <w:r>
        <w:br/>
      </w:r>
      <w:r w:rsidRPr="006D46E5">
        <w:t xml:space="preserve">Email: </w:t>
      </w:r>
      <w:hyperlink r:id="rId18" w:history="1">
        <w:r w:rsidRPr="00826BEB">
          <w:rPr>
            <w:rStyle w:val="Hyperlink"/>
          </w:rPr>
          <w:t>info@acma.gov.au</w:t>
        </w:r>
      </w:hyperlink>
    </w:p>
    <w:p w14:paraId="56E4916F" w14:textId="77777777" w:rsidR="00574223" w:rsidRDefault="00574223">
      <w:pPr>
        <w:spacing w:after="0" w:line="240" w:lineRule="auto"/>
        <w:rPr>
          <w:rStyle w:val="Hyperlink"/>
          <w:sz w:val="13"/>
        </w:rPr>
      </w:pPr>
      <w:r>
        <w:rPr>
          <w:rStyle w:val="Hyperlink"/>
        </w:rPr>
        <w:br w:type="page"/>
      </w:r>
    </w:p>
    <w:p w14:paraId="3B57C387" w14:textId="77777777" w:rsidR="00574223" w:rsidRPr="007C4502" w:rsidRDefault="00574223" w:rsidP="00574223">
      <w:pPr>
        <w:spacing w:after="60"/>
        <w:rPr>
          <w:rFonts w:cs="Arial"/>
          <w:bCs/>
          <w:szCs w:val="20"/>
        </w:rPr>
      </w:pPr>
      <w:r w:rsidRPr="007C4502">
        <w:rPr>
          <w:rFonts w:cs="Arial"/>
          <w:bCs/>
          <w:szCs w:val="20"/>
        </w:rPr>
        <w:lastRenderedPageBreak/>
        <w:t xml:space="preserve">Amendment </w:t>
      </w:r>
      <w:r>
        <w:rPr>
          <w:rFonts w:cs="Arial"/>
          <w:bCs/>
          <w:szCs w:val="20"/>
        </w:rPr>
        <w:t>h</w:t>
      </w:r>
      <w:r w:rsidRPr="007C4502">
        <w:rPr>
          <w:rFonts w:cs="Arial"/>
          <w:bCs/>
          <w:szCs w:val="20"/>
        </w:rPr>
        <w:t>istory</w:t>
      </w:r>
    </w:p>
    <w:tbl>
      <w:tblPr>
        <w:tblW w:w="8813" w:type="dxa"/>
        <w:tblBorders>
          <w:top w:val="single" w:sz="8" w:space="0" w:color="000000"/>
          <w:left w:val="single" w:sz="8" w:space="0" w:color="000000"/>
          <w:bottom w:val="single" w:sz="4" w:space="0" w:color="auto"/>
          <w:right w:val="single" w:sz="8" w:space="0" w:color="000000"/>
          <w:insideH w:val="single" w:sz="8" w:space="0" w:color="000000"/>
          <w:insideV w:val="single" w:sz="8" w:space="0" w:color="000000"/>
        </w:tblBorders>
        <w:tblLayout w:type="fixed"/>
        <w:tblCellMar>
          <w:left w:w="0" w:type="dxa"/>
          <w:right w:w="0" w:type="dxa"/>
        </w:tblCellMar>
        <w:tblLook w:val="04A0" w:firstRow="1" w:lastRow="0" w:firstColumn="1" w:lastColumn="0" w:noHBand="0" w:noVBand="1"/>
      </w:tblPr>
      <w:tblGrid>
        <w:gridCol w:w="2252"/>
        <w:gridCol w:w="2252"/>
        <w:gridCol w:w="4309"/>
      </w:tblGrid>
      <w:tr w:rsidR="00574223" w:rsidRPr="007C4502" w14:paraId="2A9C27CA" w14:textId="77777777" w:rsidTr="00DB49E6">
        <w:trPr>
          <w:trHeight w:val="425"/>
        </w:trPr>
        <w:tc>
          <w:tcPr>
            <w:tcW w:w="2252" w:type="dxa"/>
            <w:tcMar>
              <w:top w:w="0" w:type="dxa"/>
              <w:left w:w="108" w:type="dxa"/>
              <w:bottom w:w="0" w:type="dxa"/>
              <w:right w:w="108" w:type="dxa"/>
            </w:tcMar>
            <w:vAlign w:val="center"/>
            <w:hideMark/>
          </w:tcPr>
          <w:p w14:paraId="30F4E058" w14:textId="77777777" w:rsidR="00574223" w:rsidRPr="00D14DB9" w:rsidRDefault="00574223" w:rsidP="00B526A7">
            <w:pPr>
              <w:spacing w:after="0"/>
              <w:rPr>
                <w:rFonts w:eastAsiaTheme="minorHAnsi" w:cs="Arial"/>
                <w:b/>
                <w:bCs/>
                <w:szCs w:val="20"/>
              </w:rPr>
            </w:pPr>
            <w:r w:rsidRPr="00D14DB9">
              <w:rPr>
                <w:rFonts w:cs="Arial"/>
                <w:b/>
                <w:bCs/>
                <w:szCs w:val="20"/>
              </w:rPr>
              <w:t>Version</w:t>
            </w:r>
          </w:p>
        </w:tc>
        <w:tc>
          <w:tcPr>
            <w:tcW w:w="2252" w:type="dxa"/>
            <w:tcMar>
              <w:top w:w="0" w:type="dxa"/>
              <w:left w:w="108" w:type="dxa"/>
              <w:bottom w:w="0" w:type="dxa"/>
              <w:right w:w="108" w:type="dxa"/>
            </w:tcMar>
            <w:vAlign w:val="center"/>
            <w:hideMark/>
          </w:tcPr>
          <w:p w14:paraId="3D4F62B1" w14:textId="77777777" w:rsidR="00574223" w:rsidRPr="00D14DB9" w:rsidRDefault="00574223" w:rsidP="00B526A7">
            <w:pPr>
              <w:spacing w:after="0"/>
              <w:rPr>
                <w:rFonts w:eastAsiaTheme="minorHAnsi" w:cs="Arial"/>
                <w:b/>
                <w:bCs/>
                <w:szCs w:val="20"/>
              </w:rPr>
            </w:pPr>
            <w:r w:rsidRPr="00D14DB9">
              <w:rPr>
                <w:rFonts w:cs="Arial"/>
                <w:b/>
                <w:bCs/>
                <w:szCs w:val="20"/>
              </w:rPr>
              <w:t>Date of effect</w:t>
            </w:r>
          </w:p>
        </w:tc>
        <w:tc>
          <w:tcPr>
            <w:tcW w:w="4309" w:type="dxa"/>
            <w:tcMar>
              <w:top w:w="0" w:type="dxa"/>
              <w:left w:w="108" w:type="dxa"/>
              <w:bottom w:w="0" w:type="dxa"/>
              <w:right w:w="108" w:type="dxa"/>
            </w:tcMar>
            <w:vAlign w:val="center"/>
            <w:hideMark/>
          </w:tcPr>
          <w:p w14:paraId="2989E829" w14:textId="77777777" w:rsidR="00574223" w:rsidRPr="00D14DB9" w:rsidRDefault="00574223" w:rsidP="00B526A7">
            <w:pPr>
              <w:spacing w:after="0"/>
              <w:rPr>
                <w:rFonts w:eastAsiaTheme="minorHAnsi" w:cs="Arial"/>
                <w:b/>
                <w:bCs/>
                <w:szCs w:val="20"/>
              </w:rPr>
            </w:pPr>
            <w:r w:rsidRPr="00D14DB9">
              <w:rPr>
                <w:rFonts w:cs="Arial"/>
                <w:b/>
                <w:bCs/>
                <w:szCs w:val="20"/>
              </w:rPr>
              <w:t>Comments</w:t>
            </w:r>
          </w:p>
        </w:tc>
      </w:tr>
      <w:tr w:rsidR="00574223" w:rsidRPr="007C4502" w14:paraId="6E643EC9" w14:textId="77777777" w:rsidTr="00DB49E6">
        <w:trPr>
          <w:trHeight w:val="425"/>
        </w:trPr>
        <w:tc>
          <w:tcPr>
            <w:tcW w:w="2252" w:type="dxa"/>
            <w:tcMar>
              <w:top w:w="0" w:type="dxa"/>
              <w:left w:w="108" w:type="dxa"/>
              <w:bottom w:w="0" w:type="dxa"/>
              <w:right w:w="108" w:type="dxa"/>
            </w:tcMar>
            <w:vAlign w:val="center"/>
            <w:hideMark/>
          </w:tcPr>
          <w:p w14:paraId="43AF4161" w14:textId="77777777" w:rsidR="00574223" w:rsidRPr="00042282" w:rsidRDefault="00574223" w:rsidP="00B526A7">
            <w:pPr>
              <w:spacing w:after="0"/>
              <w:rPr>
                <w:rFonts w:eastAsiaTheme="minorHAnsi" w:cs="Arial"/>
                <w:szCs w:val="20"/>
              </w:rPr>
            </w:pPr>
            <w:r w:rsidRPr="00042282">
              <w:rPr>
                <w:rFonts w:cs="Arial"/>
                <w:szCs w:val="20"/>
              </w:rPr>
              <w:t>0.1</w:t>
            </w:r>
          </w:p>
        </w:tc>
        <w:tc>
          <w:tcPr>
            <w:tcW w:w="2252" w:type="dxa"/>
            <w:tcMar>
              <w:top w:w="0" w:type="dxa"/>
              <w:left w:w="108" w:type="dxa"/>
              <w:bottom w:w="0" w:type="dxa"/>
              <w:right w:w="108" w:type="dxa"/>
            </w:tcMar>
            <w:vAlign w:val="center"/>
          </w:tcPr>
          <w:p w14:paraId="356C0DA4" w14:textId="77777777" w:rsidR="00574223" w:rsidRPr="00042282" w:rsidRDefault="00574223" w:rsidP="00B526A7">
            <w:pPr>
              <w:spacing w:after="0"/>
              <w:rPr>
                <w:rFonts w:eastAsiaTheme="minorHAnsi" w:cs="Arial"/>
                <w:szCs w:val="20"/>
              </w:rPr>
            </w:pPr>
            <w:r w:rsidRPr="00042282">
              <w:rPr>
                <w:rFonts w:eastAsiaTheme="minorHAnsi" w:cs="Arial"/>
                <w:szCs w:val="20"/>
              </w:rPr>
              <w:t>05/07/2017</w:t>
            </w:r>
          </w:p>
        </w:tc>
        <w:tc>
          <w:tcPr>
            <w:tcW w:w="4309" w:type="dxa"/>
            <w:tcMar>
              <w:top w:w="0" w:type="dxa"/>
              <w:left w:w="108" w:type="dxa"/>
              <w:bottom w:w="0" w:type="dxa"/>
              <w:right w:w="108" w:type="dxa"/>
            </w:tcMar>
            <w:vAlign w:val="center"/>
            <w:hideMark/>
          </w:tcPr>
          <w:p w14:paraId="0D541988" w14:textId="77777777" w:rsidR="00574223" w:rsidRPr="00042282" w:rsidRDefault="00574223" w:rsidP="00B526A7">
            <w:pPr>
              <w:spacing w:after="0"/>
              <w:rPr>
                <w:rFonts w:eastAsiaTheme="minorHAnsi" w:cs="Arial"/>
                <w:szCs w:val="20"/>
              </w:rPr>
            </w:pPr>
            <w:r w:rsidRPr="00042282">
              <w:rPr>
                <w:rFonts w:cs="Arial"/>
                <w:szCs w:val="20"/>
              </w:rPr>
              <w:t>Consultation draft</w:t>
            </w:r>
          </w:p>
        </w:tc>
      </w:tr>
      <w:tr w:rsidR="00574223" w:rsidRPr="007C4502" w14:paraId="11C5900D" w14:textId="77777777" w:rsidTr="00DB49E6">
        <w:trPr>
          <w:trHeight w:val="425"/>
        </w:trPr>
        <w:tc>
          <w:tcPr>
            <w:tcW w:w="2252" w:type="dxa"/>
            <w:tcMar>
              <w:top w:w="0" w:type="dxa"/>
              <w:left w:w="108" w:type="dxa"/>
              <w:bottom w:w="0" w:type="dxa"/>
              <w:right w:w="108" w:type="dxa"/>
            </w:tcMar>
            <w:vAlign w:val="center"/>
          </w:tcPr>
          <w:p w14:paraId="16C990B2" w14:textId="77777777" w:rsidR="00574223" w:rsidRPr="00042282" w:rsidRDefault="00574223" w:rsidP="00B526A7">
            <w:pPr>
              <w:spacing w:after="0"/>
              <w:rPr>
                <w:rFonts w:cs="Arial"/>
                <w:szCs w:val="20"/>
              </w:rPr>
            </w:pPr>
            <w:r w:rsidRPr="00042282">
              <w:rPr>
                <w:rFonts w:cs="Arial"/>
                <w:szCs w:val="20"/>
              </w:rPr>
              <w:t>1.0</w:t>
            </w:r>
          </w:p>
        </w:tc>
        <w:tc>
          <w:tcPr>
            <w:tcW w:w="2252" w:type="dxa"/>
            <w:tcMar>
              <w:top w:w="0" w:type="dxa"/>
              <w:left w:w="108" w:type="dxa"/>
              <w:bottom w:w="0" w:type="dxa"/>
              <w:right w:w="108" w:type="dxa"/>
            </w:tcMar>
            <w:vAlign w:val="center"/>
          </w:tcPr>
          <w:p w14:paraId="4DC0B0E3" w14:textId="75FBA633" w:rsidR="00574223" w:rsidRPr="00042282" w:rsidRDefault="009627F8" w:rsidP="00B526A7">
            <w:pPr>
              <w:spacing w:after="0"/>
              <w:rPr>
                <w:rFonts w:eastAsiaTheme="minorHAnsi" w:cs="Arial"/>
                <w:szCs w:val="20"/>
              </w:rPr>
            </w:pPr>
            <w:r>
              <w:rPr>
                <w:rFonts w:eastAsiaTheme="minorHAnsi" w:cs="Arial"/>
                <w:szCs w:val="20"/>
              </w:rPr>
              <w:t>20</w:t>
            </w:r>
            <w:r w:rsidR="00574223" w:rsidRPr="00042282">
              <w:rPr>
                <w:rFonts w:eastAsiaTheme="minorHAnsi" w:cs="Arial"/>
                <w:szCs w:val="20"/>
              </w:rPr>
              <w:t>/10/2017</w:t>
            </w:r>
          </w:p>
        </w:tc>
        <w:tc>
          <w:tcPr>
            <w:tcW w:w="4309" w:type="dxa"/>
            <w:tcMar>
              <w:top w:w="0" w:type="dxa"/>
              <w:left w:w="108" w:type="dxa"/>
              <w:bottom w:w="0" w:type="dxa"/>
              <w:right w:w="108" w:type="dxa"/>
            </w:tcMar>
            <w:vAlign w:val="center"/>
          </w:tcPr>
          <w:p w14:paraId="744EE574" w14:textId="4EA69DFD" w:rsidR="00574223" w:rsidRPr="00042282" w:rsidRDefault="00574223" w:rsidP="00EE03DF">
            <w:pPr>
              <w:spacing w:after="0"/>
              <w:rPr>
                <w:rFonts w:cs="Arial"/>
                <w:szCs w:val="20"/>
              </w:rPr>
            </w:pPr>
            <w:r w:rsidRPr="00042282">
              <w:rPr>
                <w:rFonts w:cs="Arial"/>
                <w:szCs w:val="20"/>
              </w:rPr>
              <w:t>Final after consultation</w:t>
            </w:r>
            <w:r w:rsidR="001A3EAD">
              <w:rPr>
                <w:rFonts w:cs="Arial"/>
                <w:szCs w:val="20"/>
              </w:rPr>
              <w:t xml:space="preserve"> </w:t>
            </w:r>
            <w:r w:rsidR="001A3EAD" w:rsidRPr="00042282">
              <w:rPr>
                <w:rFonts w:cs="Arial"/>
                <w:szCs w:val="20"/>
              </w:rPr>
              <w:t xml:space="preserve">(See </w:t>
            </w:r>
            <w:r w:rsidR="001A3EAD" w:rsidRPr="00042282">
              <w:rPr>
                <w:rFonts w:cs="Arial"/>
                <w:szCs w:val="20"/>
                <w:lang w:val="en"/>
              </w:rPr>
              <w:t xml:space="preserve">IFC </w:t>
            </w:r>
            <w:hyperlink r:id="rId19" w:history="1">
              <w:r w:rsidR="001A3EAD" w:rsidRPr="00742E4B">
                <w:rPr>
                  <w:rStyle w:val="Hyperlink"/>
                  <w:rFonts w:cs="Arial"/>
                  <w:szCs w:val="20"/>
                  <w:lang w:val="en"/>
                </w:rPr>
                <w:t>11/2017</w:t>
              </w:r>
            </w:hyperlink>
            <w:r w:rsidR="00767DCE">
              <w:rPr>
                <w:rFonts w:cs="Arial"/>
                <w:szCs w:val="20"/>
                <w:lang w:val="en"/>
              </w:rPr>
              <w:t xml:space="preserve"> </w:t>
            </w:r>
            <w:r w:rsidR="001A3EAD" w:rsidRPr="001A3EAD">
              <w:rPr>
                <w:rFonts w:cs="Arial"/>
                <w:szCs w:val="20"/>
              </w:rPr>
              <w:t>Regulatory arrangements for GSO and NGSO ESIM</w:t>
            </w:r>
            <w:r w:rsidRPr="00042282">
              <w:rPr>
                <w:rFonts w:cs="Arial"/>
                <w:szCs w:val="20"/>
              </w:rPr>
              <w:t xml:space="preserve"> </w:t>
            </w:r>
            <w:r w:rsidRPr="00042282">
              <w:rPr>
                <w:rFonts w:cs="Arial"/>
                <w:szCs w:val="20"/>
                <w:lang w:val="en"/>
              </w:rPr>
              <w:t>(5 July, closed 11 August 2017)</w:t>
            </w:r>
          </w:p>
        </w:tc>
      </w:tr>
      <w:tr w:rsidR="00536B47" w:rsidRPr="007C4502" w14:paraId="498DBFB9" w14:textId="77777777" w:rsidTr="00DB49E6">
        <w:trPr>
          <w:trHeight w:val="425"/>
        </w:trPr>
        <w:tc>
          <w:tcPr>
            <w:tcW w:w="2252" w:type="dxa"/>
            <w:tcMar>
              <w:top w:w="0" w:type="dxa"/>
              <w:left w:w="108" w:type="dxa"/>
              <w:bottom w:w="0" w:type="dxa"/>
              <w:right w:w="108" w:type="dxa"/>
            </w:tcMar>
            <w:vAlign w:val="center"/>
          </w:tcPr>
          <w:p w14:paraId="26F35D79" w14:textId="3B4F17A4" w:rsidR="00536B47" w:rsidRPr="00042282" w:rsidRDefault="004B4CD1" w:rsidP="00B526A7">
            <w:pPr>
              <w:spacing w:after="0"/>
              <w:rPr>
                <w:rFonts w:cs="Arial"/>
                <w:szCs w:val="20"/>
              </w:rPr>
            </w:pPr>
            <w:r>
              <w:rPr>
                <w:rFonts w:cs="Arial"/>
                <w:szCs w:val="20"/>
              </w:rPr>
              <w:t>1.1</w:t>
            </w:r>
          </w:p>
        </w:tc>
        <w:tc>
          <w:tcPr>
            <w:tcW w:w="2252" w:type="dxa"/>
            <w:tcMar>
              <w:top w:w="0" w:type="dxa"/>
              <w:left w:w="108" w:type="dxa"/>
              <w:bottom w:w="0" w:type="dxa"/>
              <w:right w:w="108" w:type="dxa"/>
            </w:tcMar>
            <w:vAlign w:val="center"/>
          </w:tcPr>
          <w:p w14:paraId="6155B283" w14:textId="5FE1AC7C" w:rsidR="00536B47" w:rsidRDefault="00104088" w:rsidP="00B526A7">
            <w:pPr>
              <w:spacing w:after="0"/>
              <w:rPr>
                <w:rFonts w:eastAsiaTheme="minorHAnsi" w:cs="Arial"/>
                <w:szCs w:val="20"/>
              </w:rPr>
            </w:pPr>
            <w:r>
              <w:rPr>
                <w:rFonts w:eastAsiaTheme="minorHAnsi" w:cs="Arial"/>
                <w:szCs w:val="20"/>
              </w:rPr>
              <w:t xml:space="preserve">2021 September </w:t>
            </w:r>
          </w:p>
        </w:tc>
        <w:tc>
          <w:tcPr>
            <w:tcW w:w="4309" w:type="dxa"/>
            <w:tcMar>
              <w:top w:w="0" w:type="dxa"/>
              <w:left w:w="108" w:type="dxa"/>
              <w:bottom w:w="0" w:type="dxa"/>
              <w:right w:w="108" w:type="dxa"/>
            </w:tcMar>
            <w:vAlign w:val="center"/>
          </w:tcPr>
          <w:p w14:paraId="2FAE3757" w14:textId="5AE5311E" w:rsidR="00536B47" w:rsidRPr="00042282" w:rsidRDefault="004B16AE" w:rsidP="00B526A7">
            <w:pPr>
              <w:spacing w:after="0"/>
              <w:rPr>
                <w:rFonts w:cs="Arial"/>
                <w:szCs w:val="20"/>
              </w:rPr>
            </w:pPr>
            <w:r w:rsidRPr="004B16AE">
              <w:rPr>
                <w:rFonts w:cs="Arial"/>
                <w:szCs w:val="20"/>
              </w:rPr>
              <w:t>Draft for industry consultation</w:t>
            </w:r>
            <w:r w:rsidR="00626398">
              <w:rPr>
                <w:rFonts w:cs="Arial"/>
                <w:szCs w:val="20"/>
              </w:rPr>
              <w:t xml:space="preserve"> -</w:t>
            </w:r>
            <w:r w:rsidRPr="004B16AE">
              <w:rPr>
                <w:rFonts w:cs="Arial"/>
                <w:szCs w:val="20"/>
              </w:rPr>
              <w:t xml:space="preserve"> </w:t>
            </w:r>
            <w:r w:rsidR="00104088">
              <w:rPr>
                <w:rFonts w:cs="Arial"/>
                <w:szCs w:val="20"/>
              </w:rPr>
              <w:t>removal of GSO ESIM</w:t>
            </w:r>
            <w:r w:rsidR="005525DF">
              <w:rPr>
                <w:rFonts w:cs="Arial"/>
                <w:szCs w:val="20"/>
              </w:rPr>
              <w:t xml:space="preserve"> (</w:t>
            </w:r>
            <w:r w:rsidR="00F425B4" w:rsidRPr="00F425B4">
              <w:rPr>
                <w:rFonts w:cs="Arial"/>
                <w:szCs w:val="20"/>
              </w:rPr>
              <w:t xml:space="preserve">Updating regulatory requirements for earth stations in motion - consultation IFC </w:t>
            </w:r>
            <w:hyperlink r:id="rId20" w:history="1">
              <w:r w:rsidR="00F425B4" w:rsidRPr="00F425B4">
                <w:rPr>
                  <w:rStyle w:val="Hyperlink"/>
                  <w:rFonts w:cs="Arial"/>
                  <w:szCs w:val="20"/>
                </w:rPr>
                <w:t>33/2021</w:t>
              </w:r>
            </w:hyperlink>
            <w:r w:rsidR="005525DF">
              <w:rPr>
                <w:rFonts w:cs="Arial"/>
                <w:szCs w:val="20"/>
              </w:rPr>
              <w:t>)</w:t>
            </w:r>
          </w:p>
        </w:tc>
      </w:tr>
      <w:tr w:rsidR="004B16DD" w:rsidRPr="007C4502" w14:paraId="7AE8D011" w14:textId="77777777" w:rsidTr="00DB49E6">
        <w:trPr>
          <w:trHeight w:val="425"/>
        </w:trPr>
        <w:tc>
          <w:tcPr>
            <w:tcW w:w="2252" w:type="dxa"/>
            <w:tcMar>
              <w:top w:w="0" w:type="dxa"/>
              <w:left w:w="108" w:type="dxa"/>
              <w:bottom w:w="0" w:type="dxa"/>
              <w:right w:w="108" w:type="dxa"/>
            </w:tcMar>
            <w:vAlign w:val="center"/>
          </w:tcPr>
          <w:p w14:paraId="10EC278B" w14:textId="3C8CEFE6" w:rsidR="004B16DD" w:rsidRDefault="004B16DD" w:rsidP="00B526A7">
            <w:pPr>
              <w:spacing w:after="0"/>
              <w:rPr>
                <w:rFonts w:cs="Arial"/>
                <w:szCs w:val="20"/>
              </w:rPr>
            </w:pPr>
            <w:r>
              <w:rPr>
                <w:rFonts w:cs="Arial"/>
                <w:szCs w:val="20"/>
              </w:rPr>
              <w:t>1.2</w:t>
            </w:r>
          </w:p>
        </w:tc>
        <w:tc>
          <w:tcPr>
            <w:tcW w:w="2252" w:type="dxa"/>
            <w:tcMar>
              <w:top w:w="0" w:type="dxa"/>
              <w:left w:w="108" w:type="dxa"/>
              <w:bottom w:w="0" w:type="dxa"/>
              <w:right w:w="108" w:type="dxa"/>
            </w:tcMar>
            <w:vAlign w:val="center"/>
          </w:tcPr>
          <w:p w14:paraId="4EB5BD76" w14:textId="36B960DC" w:rsidR="004B16DD" w:rsidRDefault="004B16DD" w:rsidP="00B526A7">
            <w:pPr>
              <w:spacing w:after="0"/>
              <w:rPr>
                <w:rFonts w:eastAsiaTheme="minorHAnsi" w:cs="Arial"/>
                <w:szCs w:val="20"/>
              </w:rPr>
            </w:pPr>
            <w:r>
              <w:rPr>
                <w:rFonts w:eastAsiaTheme="minorHAnsi" w:cs="Arial"/>
                <w:szCs w:val="20"/>
              </w:rPr>
              <w:t xml:space="preserve">2022 </w:t>
            </w:r>
            <w:r w:rsidR="00D7544D">
              <w:rPr>
                <w:rFonts w:eastAsiaTheme="minorHAnsi" w:cs="Arial"/>
                <w:szCs w:val="20"/>
              </w:rPr>
              <w:t>August</w:t>
            </w:r>
          </w:p>
        </w:tc>
        <w:tc>
          <w:tcPr>
            <w:tcW w:w="4309" w:type="dxa"/>
            <w:tcMar>
              <w:top w:w="0" w:type="dxa"/>
              <w:left w:w="108" w:type="dxa"/>
              <w:bottom w:w="0" w:type="dxa"/>
              <w:right w:w="108" w:type="dxa"/>
            </w:tcMar>
            <w:vAlign w:val="center"/>
          </w:tcPr>
          <w:p w14:paraId="0DFB03EE" w14:textId="713AE7FF" w:rsidR="00036123" w:rsidRPr="00DF164A" w:rsidRDefault="004B16DD" w:rsidP="00DF164A">
            <w:pPr>
              <w:spacing w:after="0"/>
              <w:rPr>
                <w:rFonts w:cs="Arial"/>
                <w:szCs w:val="20"/>
              </w:rPr>
            </w:pPr>
            <w:r>
              <w:rPr>
                <w:rFonts w:cs="Arial"/>
                <w:szCs w:val="20"/>
              </w:rPr>
              <w:t xml:space="preserve">Finalisation </w:t>
            </w:r>
            <w:r w:rsidR="005525DF">
              <w:rPr>
                <w:rFonts w:cs="Arial"/>
                <w:szCs w:val="20"/>
              </w:rPr>
              <w:t xml:space="preserve">of </w:t>
            </w:r>
            <w:r w:rsidR="005525DF" w:rsidRPr="005525DF">
              <w:rPr>
                <w:rFonts w:cs="Arial"/>
                <w:szCs w:val="20"/>
              </w:rPr>
              <w:t>IFC 33/2021</w:t>
            </w:r>
            <w:r w:rsidR="003E3CE6">
              <w:rPr>
                <w:rFonts w:cs="Arial"/>
                <w:szCs w:val="20"/>
              </w:rPr>
              <w:t xml:space="preserve"> </w:t>
            </w:r>
            <w:r w:rsidR="00036123">
              <w:rPr>
                <w:rFonts w:cs="Arial"/>
                <w:szCs w:val="20"/>
              </w:rPr>
              <w:t xml:space="preserve">after </w:t>
            </w:r>
            <w:r w:rsidR="00036123" w:rsidRPr="001D6588">
              <w:rPr>
                <w:rFonts w:cs="Arial"/>
                <w:szCs w:val="20"/>
              </w:rPr>
              <w:t>consultation</w:t>
            </w:r>
            <w:r w:rsidR="00DF164A">
              <w:rPr>
                <w:rFonts w:cs="Arial"/>
                <w:szCs w:val="20"/>
              </w:rPr>
              <w:t xml:space="preserve"> the </w:t>
            </w:r>
            <w:r w:rsidR="00036123" w:rsidRPr="00DF164A">
              <w:rPr>
                <w:rFonts w:cs="Arial"/>
                <w:szCs w:val="20"/>
              </w:rPr>
              <w:t xml:space="preserve">with inclusion of the space-to-Earth band </w:t>
            </w:r>
            <w:r w:rsidR="00036123" w:rsidRPr="00F9349C">
              <w:rPr>
                <w:rFonts w:cs="Arial"/>
                <w:color w:val="000000"/>
                <w:szCs w:val="20"/>
                <w:shd w:val="clear" w:color="auto" w:fill="FFFFFF"/>
              </w:rPr>
              <w:t>18.2 to 18.6 GHz to align with WRC-23 agenda item as supported under Spectrum Plan section 10(9))</w:t>
            </w:r>
            <w:r w:rsidR="00EA7610">
              <w:rPr>
                <w:rFonts w:cs="Arial"/>
                <w:color w:val="000000"/>
                <w:szCs w:val="20"/>
                <w:shd w:val="clear" w:color="auto" w:fill="FFFFFF"/>
              </w:rPr>
              <w:t xml:space="preserve">, </w:t>
            </w:r>
            <w:r w:rsidR="00036123" w:rsidRPr="00F9349C">
              <w:rPr>
                <w:rFonts w:cs="Arial"/>
                <w:color w:val="000000"/>
                <w:szCs w:val="20"/>
                <w:shd w:val="clear" w:color="auto" w:fill="FFFFFF"/>
              </w:rPr>
              <w:t xml:space="preserve">advice that under the CSO Class </w:t>
            </w:r>
            <w:r w:rsidR="00F9349C" w:rsidRPr="00F9349C">
              <w:rPr>
                <w:rFonts w:cs="Arial"/>
                <w:color w:val="000000"/>
                <w:szCs w:val="20"/>
                <w:shd w:val="clear" w:color="auto" w:fill="FFFFFF"/>
              </w:rPr>
              <w:t>l</w:t>
            </w:r>
            <w:r w:rsidR="00F9349C">
              <w:rPr>
                <w:rFonts w:cs="Arial"/>
                <w:color w:val="000000"/>
                <w:szCs w:val="20"/>
                <w:shd w:val="clear" w:color="auto" w:fill="FFFFFF"/>
              </w:rPr>
              <w:t>icence</w:t>
            </w:r>
            <w:r w:rsidR="00DF164A">
              <w:rPr>
                <w:rFonts w:cs="Arial"/>
                <w:color w:val="000000"/>
                <w:szCs w:val="20"/>
                <w:shd w:val="clear" w:color="auto" w:fill="FFFFFF"/>
              </w:rPr>
              <w:t xml:space="preserve"> </w:t>
            </w:r>
            <w:r w:rsidR="00036123" w:rsidRPr="00F9349C">
              <w:rPr>
                <w:rFonts w:cs="Arial"/>
                <w:color w:val="000000"/>
                <w:szCs w:val="20"/>
                <w:shd w:val="clear" w:color="auto" w:fill="FFFFFF"/>
              </w:rPr>
              <w:t xml:space="preserve">earth station </w:t>
            </w:r>
            <w:r w:rsidR="00F9349C" w:rsidRPr="00F9349C">
              <w:rPr>
                <w:rFonts w:cs="Arial"/>
                <w:color w:val="000000"/>
                <w:szCs w:val="20"/>
                <w:shd w:val="clear" w:color="auto" w:fill="FFFFFF"/>
              </w:rPr>
              <w:t>receivers</w:t>
            </w:r>
            <w:r w:rsidR="00036123" w:rsidRPr="00F9349C">
              <w:rPr>
                <w:rFonts w:cs="Arial"/>
                <w:color w:val="000000"/>
                <w:szCs w:val="20"/>
                <w:shd w:val="clear" w:color="auto" w:fill="FFFFFF"/>
              </w:rPr>
              <w:t xml:space="preserve"> are not protected with interference in this band</w:t>
            </w:r>
            <w:r w:rsidR="00F9349C">
              <w:rPr>
                <w:rFonts w:cs="Arial"/>
                <w:color w:val="000000"/>
                <w:szCs w:val="20"/>
                <w:shd w:val="clear" w:color="auto" w:fill="FFFFFF"/>
              </w:rPr>
              <w:t xml:space="preserve">, </w:t>
            </w:r>
          </w:p>
          <w:p w14:paraId="2D323A06" w14:textId="16F66CCC" w:rsidR="004B16DD" w:rsidRPr="004B16AE" w:rsidRDefault="00EC0534" w:rsidP="00F1380F">
            <w:pPr>
              <w:spacing w:after="0"/>
              <w:rPr>
                <w:rFonts w:cs="Arial"/>
                <w:szCs w:val="20"/>
              </w:rPr>
            </w:pPr>
            <w:r>
              <w:rPr>
                <w:rFonts w:cs="Arial"/>
                <w:szCs w:val="20"/>
              </w:rPr>
              <w:t xml:space="preserve">inclusion of additional information explaining  decision </w:t>
            </w:r>
            <w:r>
              <w:t xml:space="preserve">subsection 10(10) of the Spectrum Plan </w:t>
            </w:r>
            <w:r>
              <w:rPr>
                <w:rFonts w:cs="Arial"/>
                <w:szCs w:val="20"/>
              </w:rPr>
              <w:t xml:space="preserve">10(10) </w:t>
            </w:r>
          </w:p>
        </w:tc>
      </w:tr>
    </w:tbl>
    <w:p w14:paraId="58BF3B6E" w14:textId="77777777" w:rsidR="00574223" w:rsidRDefault="00574223">
      <w:pPr>
        <w:spacing w:after="0" w:line="240" w:lineRule="auto"/>
        <w:rPr>
          <w:rStyle w:val="Hyperlink"/>
          <w:sz w:val="13"/>
        </w:rPr>
      </w:pPr>
      <w:r>
        <w:rPr>
          <w:rStyle w:val="Hyperlink"/>
        </w:rPr>
        <w:br w:type="page"/>
      </w:r>
    </w:p>
    <w:p w14:paraId="09A217DE" w14:textId="29B1187C" w:rsidR="00B5056D" w:rsidRDefault="00633031">
      <w:pPr>
        <w:pStyle w:val="TOC2"/>
        <w:rPr>
          <w:rFonts w:asciiTheme="minorHAnsi" w:eastAsiaTheme="minorEastAsia" w:hAnsiTheme="minorHAnsi" w:cstheme="minorBidi"/>
          <w:spacing w:val="0"/>
          <w:sz w:val="22"/>
          <w:szCs w:val="22"/>
        </w:rPr>
      </w:pPr>
      <w:r>
        <w:rPr>
          <w:rFonts w:cs="Arial"/>
          <w:b/>
        </w:rPr>
        <w:lastRenderedPageBreak/>
        <w:fldChar w:fldCharType="begin"/>
      </w:r>
      <w:r>
        <w:rPr>
          <w:rFonts w:cs="Arial"/>
          <w:b/>
        </w:rPr>
        <w:instrText xml:space="preserve"> TOC \o "1-3" \h \z \u </w:instrText>
      </w:r>
      <w:r>
        <w:rPr>
          <w:rFonts w:cs="Arial"/>
          <w:b/>
        </w:rPr>
        <w:fldChar w:fldCharType="separate"/>
      </w:r>
      <w:hyperlink w:anchor="_Toc111750921" w:history="1">
        <w:r w:rsidR="00B5056D" w:rsidRPr="000A7040">
          <w:rPr>
            <w:rStyle w:val="Hyperlink"/>
          </w:rPr>
          <w:t>1.</w:t>
        </w:r>
        <w:r w:rsidR="00B5056D">
          <w:rPr>
            <w:rFonts w:asciiTheme="minorHAnsi" w:eastAsiaTheme="minorEastAsia" w:hAnsiTheme="minorHAnsi" w:cstheme="minorBidi"/>
            <w:spacing w:val="0"/>
            <w:sz w:val="22"/>
            <w:szCs w:val="22"/>
          </w:rPr>
          <w:tab/>
        </w:r>
        <w:r w:rsidR="00B5056D" w:rsidRPr="000A7040">
          <w:rPr>
            <w:rStyle w:val="Hyperlink"/>
          </w:rPr>
          <w:t>Purpose</w:t>
        </w:r>
        <w:r w:rsidR="00B5056D">
          <w:rPr>
            <w:webHidden/>
          </w:rPr>
          <w:tab/>
        </w:r>
        <w:r w:rsidR="00B5056D">
          <w:rPr>
            <w:webHidden/>
          </w:rPr>
          <w:fldChar w:fldCharType="begin"/>
        </w:r>
        <w:r w:rsidR="00B5056D">
          <w:rPr>
            <w:webHidden/>
          </w:rPr>
          <w:instrText xml:space="preserve"> PAGEREF _Toc111750921 \h </w:instrText>
        </w:r>
        <w:r w:rsidR="00B5056D">
          <w:rPr>
            <w:webHidden/>
          </w:rPr>
        </w:r>
        <w:r w:rsidR="00B5056D">
          <w:rPr>
            <w:webHidden/>
          </w:rPr>
          <w:fldChar w:fldCharType="separate"/>
        </w:r>
        <w:r w:rsidR="00B5056D">
          <w:rPr>
            <w:webHidden/>
          </w:rPr>
          <w:t>1</w:t>
        </w:r>
        <w:r w:rsidR="00B5056D">
          <w:rPr>
            <w:webHidden/>
          </w:rPr>
          <w:fldChar w:fldCharType="end"/>
        </w:r>
      </w:hyperlink>
    </w:p>
    <w:p w14:paraId="2A7A567F" w14:textId="727DA6A4" w:rsidR="00B5056D" w:rsidRDefault="00B5056D">
      <w:pPr>
        <w:pStyle w:val="TOC2"/>
        <w:rPr>
          <w:rFonts w:asciiTheme="minorHAnsi" w:eastAsiaTheme="minorEastAsia" w:hAnsiTheme="minorHAnsi" w:cstheme="minorBidi"/>
          <w:spacing w:val="0"/>
          <w:sz w:val="22"/>
          <w:szCs w:val="22"/>
        </w:rPr>
      </w:pPr>
      <w:hyperlink w:anchor="_Toc111750922" w:history="1">
        <w:r w:rsidRPr="000A7040">
          <w:rPr>
            <w:rStyle w:val="Hyperlink"/>
          </w:rPr>
          <w:t>2.</w:t>
        </w:r>
        <w:r>
          <w:rPr>
            <w:rFonts w:asciiTheme="minorHAnsi" w:eastAsiaTheme="minorEastAsia" w:hAnsiTheme="minorHAnsi" w:cstheme="minorBidi"/>
            <w:spacing w:val="0"/>
            <w:sz w:val="22"/>
            <w:szCs w:val="22"/>
          </w:rPr>
          <w:tab/>
        </w:r>
        <w:r w:rsidRPr="000A7040">
          <w:rPr>
            <w:rStyle w:val="Hyperlink"/>
          </w:rPr>
          <w:t>Background</w:t>
        </w:r>
        <w:r>
          <w:rPr>
            <w:webHidden/>
          </w:rPr>
          <w:tab/>
        </w:r>
        <w:r>
          <w:rPr>
            <w:webHidden/>
          </w:rPr>
          <w:fldChar w:fldCharType="begin"/>
        </w:r>
        <w:r>
          <w:rPr>
            <w:webHidden/>
          </w:rPr>
          <w:instrText xml:space="preserve"> PAGEREF _Toc111750922 \h </w:instrText>
        </w:r>
        <w:r>
          <w:rPr>
            <w:webHidden/>
          </w:rPr>
        </w:r>
        <w:r>
          <w:rPr>
            <w:webHidden/>
          </w:rPr>
          <w:fldChar w:fldCharType="separate"/>
        </w:r>
        <w:r>
          <w:rPr>
            <w:webHidden/>
          </w:rPr>
          <w:t>1</w:t>
        </w:r>
        <w:r>
          <w:rPr>
            <w:webHidden/>
          </w:rPr>
          <w:fldChar w:fldCharType="end"/>
        </w:r>
      </w:hyperlink>
    </w:p>
    <w:p w14:paraId="32551E7A" w14:textId="18BE5B3A" w:rsidR="00B5056D" w:rsidRDefault="00B5056D">
      <w:pPr>
        <w:pStyle w:val="TOC3"/>
        <w:tabs>
          <w:tab w:val="left" w:pos="885"/>
        </w:tabs>
        <w:rPr>
          <w:rFonts w:asciiTheme="minorHAnsi" w:eastAsiaTheme="minorEastAsia" w:hAnsiTheme="minorHAnsi" w:cstheme="minorBidi"/>
        </w:rPr>
      </w:pPr>
      <w:hyperlink w:anchor="_Toc111750923" w:history="1">
        <w:r w:rsidRPr="000A7040">
          <w:rPr>
            <w:rStyle w:val="Hyperlink"/>
          </w:rPr>
          <w:t>2.1</w:t>
        </w:r>
        <w:r>
          <w:rPr>
            <w:rFonts w:asciiTheme="minorHAnsi" w:eastAsiaTheme="minorEastAsia" w:hAnsiTheme="minorHAnsi" w:cstheme="minorBidi"/>
          </w:rPr>
          <w:tab/>
        </w:r>
        <w:r w:rsidRPr="000A7040">
          <w:rPr>
            <w:rStyle w:val="Hyperlink"/>
          </w:rPr>
          <w:t>Interim arrangements</w:t>
        </w:r>
        <w:r>
          <w:rPr>
            <w:webHidden/>
          </w:rPr>
          <w:tab/>
        </w:r>
        <w:r>
          <w:rPr>
            <w:webHidden/>
          </w:rPr>
          <w:fldChar w:fldCharType="begin"/>
        </w:r>
        <w:r>
          <w:rPr>
            <w:webHidden/>
          </w:rPr>
          <w:instrText xml:space="preserve"> PAGEREF _Toc111750923 \h </w:instrText>
        </w:r>
        <w:r>
          <w:rPr>
            <w:webHidden/>
          </w:rPr>
        </w:r>
        <w:r>
          <w:rPr>
            <w:webHidden/>
          </w:rPr>
          <w:fldChar w:fldCharType="separate"/>
        </w:r>
        <w:r>
          <w:rPr>
            <w:webHidden/>
          </w:rPr>
          <w:t>2</w:t>
        </w:r>
        <w:r>
          <w:rPr>
            <w:webHidden/>
          </w:rPr>
          <w:fldChar w:fldCharType="end"/>
        </w:r>
      </w:hyperlink>
    </w:p>
    <w:p w14:paraId="067F0E15" w14:textId="7E89CD21" w:rsidR="00B5056D" w:rsidRDefault="00B5056D">
      <w:pPr>
        <w:pStyle w:val="TOC3"/>
        <w:tabs>
          <w:tab w:val="left" w:pos="885"/>
        </w:tabs>
        <w:rPr>
          <w:rFonts w:asciiTheme="minorHAnsi" w:eastAsiaTheme="minorEastAsia" w:hAnsiTheme="minorHAnsi" w:cstheme="minorBidi"/>
        </w:rPr>
      </w:pPr>
      <w:hyperlink w:anchor="_Toc111750924" w:history="1">
        <w:r w:rsidRPr="000A7040">
          <w:rPr>
            <w:rStyle w:val="Hyperlink"/>
          </w:rPr>
          <w:t>2.2</w:t>
        </w:r>
        <w:r>
          <w:rPr>
            <w:rFonts w:asciiTheme="minorHAnsi" w:eastAsiaTheme="minorEastAsia" w:hAnsiTheme="minorHAnsi" w:cstheme="minorBidi"/>
          </w:rPr>
          <w:tab/>
        </w:r>
        <w:r w:rsidRPr="000A7040">
          <w:rPr>
            <w:rStyle w:val="Hyperlink"/>
          </w:rPr>
          <w:t>Decision under subsection 10(10) of the Spectrum Plan</w:t>
        </w:r>
        <w:r>
          <w:rPr>
            <w:webHidden/>
          </w:rPr>
          <w:tab/>
        </w:r>
        <w:r>
          <w:rPr>
            <w:webHidden/>
          </w:rPr>
          <w:fldChar w:fldCharType="begin"/>
        </w:r>
        <w:r>
          <w:rPr>
            <w:webHidden/>
          </w:rPr>
          <w:instrText xml:space="preserve"> PAGEREF _Toc111750924 \h </w:instrText>
        </w:r>
        <w:r>
          <w:rPr>
            <w:webHidden/>
          </w:rPr>
        </w:r>
        <w:r>
          <w:rPr>
            <w:webHidden/>
          </w:rPr>
          <w:fldChar w:fldCharType="separate"/>
        </w:r>
        <w:r>
          <w:rPr>
            <w:webHidden/>
          </w:rPr>
          <w:t>2</w:t>
        </w:r>
        <w:r>
          <w:rPr>
            <w:webHidden/>
          </w:rPr>
          <w:fldChar w:fldCharType="end"/>
        </w:r>
      </w:hyperlink>
    </w:p>
    <w:p w14:paraId="534BF459" w14:textId="7A82113E" w:rsidR="00B5056D" w:rsidRDefault="00B5056D">
      <w:pPr>
        <w:pStyle w:val="TOC3"/>
        <w:tabs>
          <w:tab w:val="left" w:pos="885"/>
        </w:tabs>
        <w:rPr>
          <w:rFonts w:asciiTheme="minorHAnsi" w:eastAsiaTheme="minorEastAsia" w:hAnsiTheme="minorHAnsi" w:cstheme="minorBidi"/>
        </w:rPr>
      </w:pPr>
      <w:hyperlink w:anchor="_Toc111750925" w:history="1">
        <w:r w:rsidRPr="000A7040">
          <w:rPr>
            <w:rStyle w:val="Hyperlink"/>
          </w:rPr>
          <w:t>2.3</w:t>
        </w:r>
        <w:r>
          <w:rPr>
            <w:rFonts w:asciiTheme="minorHAnsi" w:eastAsiaTheme="minorEastAsia" w:hAnsiTheme="minorHAnsi" w:cstheme="minorBidi"/>
          </w:rPr>
          <w:tab/>
        </w:r>
        <w:r w:rsidRPr="000A7040">
          <w:rPr>
            <w:rStyle w:val="Hyperlink"/>
          </w:rPr>
          <w:t>Regulatory status of ubiquitous ESIM</w:t>
        </w:r>
        <w:r>
          <w:rPr>
            <w:webHidden/>
          </w:rPr>
          <w:tab/>
        </w:r>
        <w:r>
          <w:rPr>
            <w:webHidden/>
          </w:rPr>
          <w:fldChar w:fldCharType="begin"/>
        </w:r>
        <w:r>
          <w:rPr>
            <w:webHidden/>
          </w:rPr>
          <w:instrText xml:space="preserve"> PAGEREF _Toc111750925 \h </w:instrText>
        </w:r>
        <w:r>
          <w:rPr>
            <w:webHidden/>
          </w:rPr>
        </w:r>
        <w:r>
          <w:rPr>
            <w:webHidden/>
          </w:rPr>
          <w:fldChar w:fldCharType="separate"/>
        </w:r>
        <w:r>
          <w:rPr>
            <w:webHidden/>
          </w:rPr>
          <w:t>3</w:t>
        </w:r>
        <w:r>
          <w:rPr>
            <w:webHidden/>
          </w:rPr>
          <w:fldChar w:fldCharType="end"/>
        </w:r>
      </w:hyperlink>
    </w:p>
    <w:p w14:paraId="23E9E76E" w14:textId="5D6190EF" w:rsidR="00B5056D" w:rsidRDefault="00B5056D">
      <w:pPr>
        <w:pStyle w:val="TOC3"/>
        <w:tabs>
          <w:tab w:val="left" w:pos="885"/>
        </w:tabs>
        <w:rPr>
          <w:rFonts w:asciiTheme="minorHAnsi" w:eastAsiaTheme="minorEastAsia" w:hAnsiTheme="minorHAnsi" w:cstheme="minorBidi"/>
        </w:rPr>
      </w:pPr>
      <w:hyperlink w:anchor="_Toc111750926" w:history="1">
        <w:r w:rsidRPr="000A7040">
          <w:rPr>
            <w:rStyle w:val="Hyperlink"/>
          </w:rPr>
          <w:t>2.4</w:t>
        </w:r>
        <w:r>
          <w:rPr>
            <w:rFonts w:asciiTheme="minorHAnsi" w:eastAsiaTheme="minorEastAsia" w:hAnsiTheme="minorHAnsi" w:cstheme="minorBidi"/>
          </w:rPr>
          <w:tab/>
        </w:r>
        <w:r w:rsidRPr="000A7040">
          <w:rPr>
            <w:rStyle w:val="Hyperlink"/>
          </w:rPr>
          <w:t>Interference management requirements</w:t>
        </w:r>
        <w:r>
          <w:rPr>
            <w:webHidden/>
          </w:rPr>
          <w:tab/>
        </w:r>
        <w:r>
          <w:rPr>
            <w:webHidden/>
          </w:rPr>
          <w:fldChar w:fldCharType="begin"/>
        </w:r>
        <w:r>
          <w:rPr>
            <w:webHidden/>
          </w:rPr>
          <w:instrText xml:space="preserve"> PAGEREF _Toc111750926 \h </w:instrText>
        </w:r>
        <w:r>
          <w:rPr>
            <w:webHidden/>
          </w:rPr>
        </w:r>
        <w:r>
          <w:rPr>
            <w:webHidden/>
          </w:rPr>
          <w:fldChar w:fldCharType="separate"/>
        </w:r>
        <w:r>
          <w:rPr>
            <w:webHidden/>
          </w:rPr>
          <w:t>3</w:t>
        </w:r>
        <w:r>
          <w:rPr>
            <w:webHidden/>
          </w:rPr>
          <w:fldChar w:fldCharType="end"/>
        </w:r>
      </w:hyperlink>
    </w:p>
    <w:p w14:paraId="5F602C6B" w14:textId="06E29D4B" w:rsidR="00B5056D" w:rsidRDefault="00B5056D">
      <w:pPr>
        <w:pStyle w:val="TOC3"/>
        <w:tabs>
          <w:tab w:val="left" w:pos="885"/>
        </w:tabs>
        <w:rPr>
          <w:rFonts w:asciiTheme="minorHAnsi" w:eastAsiaTheme="minorEastAsia" w:hAnsiTheme="minorHAnsi" w:cstheme="minorBidi"/>
        </w:rPr>
      </w:pPr>
      <w:hyperlink w:anchor="_Toc111750927" w:history="1">
        <w:r w:rsidRPr="000A7040">
          <w:rPr>
            <w:rStyle w:val="Hyperlink"/>
          </w:rPr>
          <w:t>2.5</w:t>
        </w:r>
        <w:r>
          <w:rPr>
            <w:rFonts w:asciiTheme="minorHAnsi" w:eastAsiaTheme="minorEastAsia" w:hAnsiTheme="minorHAnsi" w:cstheme="minorBidi"/>
          </w:rPr>
          <w:tab/>
        </w:r>
        <w:r w:rsidRPr="000A7040">
          <w:rPr>
            <w:rStyle w:val="Hyperlink"/>
            <w:lang w:val="en"/>
          </w:rPr>
          <w:t>Earth station receivers and 18 GHz point to point fixed link transmitters</w:t>
        </w:r>
        <w:r>
          <w:rPr>
            <w:webHidden/>
          </w:rPr>
          <w:tab/>
        </w:r>
        <w:r>
          <w:rPr>
            <w:webHidden/>
          </w:rPr>
          <w:fldChar w:fldCharType="begin"/>
        </w:r>
        <w:r>
          <w:rPr>
            <w:webHidden/>
          </w:rPr>
          <w:instrText xml:space="preserve"> PAGEREF _Toc111750927 \h </w:instrText>
        </w:r>
        <w:r>
          <w:rPr>
            <w:webHidden/>
          </w:rPr>
        </w:r>
        <w:r>
          <w:rPr>
            <w:webHidden/>
          </w:rPr>
          <w:fldChar w:fldCharType="separate"/>
        </w:r>
        <w:r>
          <w:rPr>
            <w:webHidden/>
          </w:rPr>
          <w:t>3</w:t>
        </w:r>
        <w:r>
          <w:rPr>
            <w:webHidden/>
          </w:rPr>
          <w:fldChar w:fldCharType="end"/>
        </w:r>
      </w:hyperlink>
    </w:p>
    <w:p w14:paraId="0794ED53" w14:textId="4445BEA2" w:rsidR="00B5056D" w:rsidRDefault="00B5056D">
      <w:pPr>
        <w:pStyle w:val="TOC2"/>
        <w:rPr>
          <w:rFonts w:asciiTheme="minorHAnsi" w:eastAsiaTheme="minorEastAsia" w:hAnsiTheme="minorHAnsi" w:cstheme="minorBidi"/>
          <w:spacing w:val="0"/>
          <w:sz w:val="22"/>
          <w:szCs w:val="22"/>
        </w:rPr>
      </w:pPr>
      <w:hyperlink w:anchor="_Toc111750928" w:history="1">
        <w:r w:rsidRPr="000A7040">
          <w:rPr>
            <w:rStyle w:val="Hyperlink"/>
          </w:rPr>
          <w:t>3.</w:t>
        </w:r>
        <w:r>
          <w:rPr>
            <w:rFonts w:asciiTheme="minorHAnsi" w:eastAsiaTheme="minorEastAsia" w:hAnsiTheme="minorHAnsi" w:cstheme="minorBidi"/>
            <w:spacing w:val="0"/>
            <w:sz w:val="22"/>
            <w:szCs w:val="22"/>
          </w:rPr>
          <w:tab/>
        </w:r>
        <w:r w:rsidRPr="000A7040">
          <w:rPr>
            <w:rStyle w:val="Hyperlink"/>
          </w:rPr>
          <w:t>Regulatory considerations</w:t>
        </w:r>
        <w:r>
          <w:rPr>
            <w:webHidden/>
          </w:rPr>
          <w:tab/>
        </w:r>
        <w:r>
          <w:rPr>
            <w:webHidden/>
          </w:rPr>
          <w:fldChar w:fldCharType="begin"/>
        </w:r>
        <w:r>
          <w:rPr>
            <w:webHidden/>
          </w:rPr>
          <w:instrText xml:space="preserve"> PAGEREF _Toc111750928 \h </w:instrText>
        </w:r>
        <w:r>
          <w:rPr>
            <w:webHidden/>
          </w:rPr>
        </w:r>
        <w:r>
          <w:rPr>
            <w:webHidden/>
          </w:rPr>
          <w:fldChar w:fldCharType="separate"/>
        </w:r>
        <w:r>
          <w:rPr>
            <w:webHidden/>
          </w:rPr>
          <w:t>4</w:t>
        </w:r>
        <w:r>
          <w:rPr>
            <w:webHidden/>
          </w:rPr>
          <w:fldChar w:fldCharType="end"/>
        </w:r>
      </w:hyperlink>
    </w:p>
    <w:p w14:paraId="77614491" w14:textId="5B44FB8C" w:rsidR="00B5056D" w:rsidRDefault="00B5056D">
      <w:pPr>
        <w:pStyle w:val="TOC3"/>
        <w:tabs>
          <w:tab w:val="left" w:pos="885"/>
        </w:tabs>
        <w:rPr>
          <w:rFonts w:asciiTheme="minorHAnsi" w:eastAsiaTheme="minorEastAsia" w:hAnsiTheme="minorHAnsi" w:cstheme="minorBidi"/>
        </w:rPr>
      </w:pPr>
      <w:hyperlink w:anchor="_Toc111750929" w:history="1">
        <w:r w:rsidRPr="000A7040">
          <w:rPr>
            <w:rStyle w:val="Hyperlink"/>
          </w:rPr>
          <w:t>3.1</w:t>
        </w:r>
        <w:r>
          <w:rPr>
            <w:rFonts w:asciiTheme="minorHAnsi" w:eastAsiaTheme="minorEastAsia" w:hAnsiTheme="minorHAnsi" w:cstheme="minorBidi"/>
          </w:rPr>
          <w:tab/>
        </w:r>
        <w:r w:rsidRPr="000A7040">
          <w:rPr>
            <w:rStyle w:val="Hyperlink"/>
          </w:rPr>
          <w:t>Australian space regulations</w:t>
        </w:r>
        <w:r>
          <w:rPr>
            <w:webHidden/>
          </w:rPr>
          <w:tab/>
        </w:r>
        <w:r>
          <w:rPr>
            <w:webHidden/>
          </w:rPr>
          <w:fldChar w:fldCharType="begin"/>
        </w:r>
        <w:r>
          <w:rPr>
            <w:webHidden/>
          </w:rPr>
          <w:instrText xml:space="preserve"> PAGEREF _Toc111750929 \h </w:instrText>
        </w:r>
        <w:r>
          <w:rPr>
            <w:webHidden/>
          </w:rPr>
        </w:r>
        <w:r>
          <w:rPr>
            <w:webHidden/>
          </w:rPr>
          <w:fldChar w:fldCharType="separate"/>
        </w:r>
        <w:r>
          <w:rPr>
            <w:webHidden/>
          </w:rPr>
          <w:t>4</w:t>
        </w:r>
        <w:r>
          <w:rPr>
            <w:webHidden/>
          </w:rPr>
          <w:fldChar w:fldCharType="end"/>
        </w:r>
      </w:hyperlink>
    </w:p>
    <w:p w14:paraId="69907073" w14:textId="26EB8FBA" w:rsidR="00B5056D" w:rsidRDefault="00B5056D">
      <w:pPr>
        <w:pStyle w:val="TOC3"/>
        <w:tabs>
          <w:tab w:val="left" w:pos="885"/>
        </w:tabs>
        <w:rPr>
          <w:rFonts w:asciiTheme="minorHAnsi" w:eastAsiaTheme="minorEastAsia" w:hAnsiTheme="minorHAnsi" w:cstheme="minorBidi"/>
        </w:rPr>
      </w:pPr>
      <w:hyperlink w:anchor="_Toc111750930" w:history="1">
        <w:r w:rsidRPr="000A7040">
          <w:rPr>
            <w:rStyle w:val="Hyperlink"/>
          </w:rPr>
          <w:t>3.2</w:t>
        </w:r>
        <w:r>
          <w:rPr>
            <w:rFonts w:asciiTheme="minorHAnsi" w:eastAsiaTheme="minorEastAsia" w:hAnsiTheme="minorHAnsi" w:cstheme="minorBidi"/>
          </w:rPr>
          <w:tab/>
        </w:r>
        <w:r w:rsidRPr="000A7040">
          <w:rPr>
            <w:rStyle w:val="Hyperlink"/>
          </w:rPr>
          <w:t>International regulatory status of a satellite network</w:t>
        </w:r>
        <w:r>
          <w:rPr>
            <w:webHidden/>
          </w:rPr>
          <w:tab/>
        </w:r>
        <w:r>
          <w:rPr>
            <w:webHidden/>
          </w:rPr>
          <w:fldChar w:fldCharType="begin"/>
        </w:r>
        <w:r>
          <w:rPr>
            <w:webHidden/>
          </w:rPr>
          <w:instrText xml:space="preserve"> PAGEREF _Toc111750930 \h </w:instrText>
        </w:r>
        <w:r>
          <w:rPr>
            <w:webHidden/>
          </w:rPr>
        </w:r>
        <w:r>
          <w:rPr>
            <w:webHidden/>
          </w:rPr>
          <w:fldChar w:fldCharType="separate"/>
        </w:r>
        <w:r>
          <w:rPr>
            <w:webHidden/>
          </w:rPr>
          <w:t>4</w:t>
        </w:r>
        <w:r>
          <w:rPr>
            <w:webHidden/>
          </w:rPr>
          <w:fldChar w:fldCharType="end"/>
        </w:r>
      </w:hyperlink>
    </w:p>
    <w:p w14:paraId="6536DCB1" w14:textId="3CC48745" w:rsidR="00B5056D" w:rsidRDefault="00B5056D">
      <w:pPr>
        <w:pStyle w:val="TOC2"/>
        <w:rPr>
          <w:rFonts w:asciiTheme="minorHAnsi" w:eastAsiaTheme="minorEastAsia" w:hAnsiTheme="minorHAnsi" w:cstheme="minorBidi"/>
          <w:spacing w:val="0"/>
          <w:sz w:val="22"/>
          <w:szCs w:val="22"/>
        </w:rPr>
      </w:pPr>
      <w:hyperlink w:anchor="_Toc111750931" w:history="1">
        <w:r w:rsidRPr="000A7040">
          <w:rPr>
            <w:rStyle w:val="Hyperlink"/>
          </w:rPr>
          <w:t>4.</w:t>
        </w:r>
        <w:r>
          <w:rPr>
            <w:rFonts w:asciiTheme="minorHAnsi" w:eastAsiaTheme="minorEastAsia" w:hAnsiTheme="minorHAnsi" w:cstheme="minorBidi"/>
            <w:spacing w:val="0"/>
            <w:sz w:val="22"/>
            <w:szCs w:val="22"/>
          </w:rPr>
          <w:tab/>
        </w:r>
        <w:r w:rsidRPr="000A7040">
          <w:rPr>
            <w:rStyle w:val="Hyperlink"/>
          </w:rPr>
          <w:t>Seeking views of affected licensees</w:t>
        </w:r>
        <w:r>
          <w:rPr>
            <w:webHidden/>
          </w:rPr>
          <w:tab/>
        </w:r>
        <w:r>
          <w:rPr>
            <w:webHidden/>
          </w:rPr>
          <w:fldChar w:fldCharType="begin"/>
        </w:r>
        <w:r>
          <w:rPr>
            <w:webHidden/>
          </w:rPr>
          <w:instrText xml:space="preserve"> PAGEREF _Toc111750931 \h </w:instrText>
        </w:r>
        <w:r>
          <w:rPr>
            <w:webHidden/>
          </w:rPr>
        </w:r>
        <w:r>
          <w:rPr>
            <w:webHidden/>
          </w:rPr>
          <w:fldChar w:fldCharType="separate"/>
        </w:r>
        <w:r>
          <w:rPr>
            <w:webHidden/>
          </w:rPr>
          <w:t>5</w:t>
        </w:r>
        <w:r>
          <w:rPr>
            <w:webHidden/>
          </w:rPr>
          <w:fldChar w:fldCharType="end"/>
        </w:r>
      </w:hyperlink>
    </w:p>
    <w:p w14:paraId="04BD683E" w14:textId="41F33CDB" w:rsidR="00B5056D" w:rsidRDefault="00B5056D">
      <w:pPr>
        <w:pStyle w:val="TOC2"/>
        <w:rPr>
          <w:rFonts w:asciiTheme="minorHAnsi" w:eastAsiaTheme="minorEastAsia" w:hAnsiTheme="minorHAnsi" w:cstheme="minorBidi"/>
          <w:spacing w:val="0"/>
          <w:sz w:val="22"/>
          <w:szCs w:val="22"/>
        </w:rPr>
      </w:pPr>
      <w:hyperlink w:anchor="_Toc111750932" w:history="1">
        <w:r w:rsidRPr="000A7040">
          <w:rPr>
            <w:rStyle w:val="Hyperlink"/>
          </w:rPr>
          <w:t>5.</w:t>
        </w:r>
        <w:r>
          <w:rPr>
            <w:rFonts w:asciiTheme="minorHAnsi" w:eastAsiaTheme="minorEastAsia" w:hAnsiTheme="minorHAnsi" w:cstheme="minorBidi"/>
            <w:spacing w:val="0"/>
            <w:sz w:val="22"/>
            <w:szCs w:val="22"/>
          </w:rPr>
          <w:tab/>
        </w:r>
        <w:r w:rsidRPr="000A7040">
          <w:rPr>
            <w:rStyle w:val="Hyperlink"/>
          </w:rPr>
          <w:t>Interference management requirements</w:t>
        </w:r>
        <w:r>
          <w:rPr>
            <w:webHidden/>
          </w:rPr>
          <w:tab/>
        </w:r>
        <w:r>
          <w:rPr>
            <w:webHidden/>
          </w:rPr>
          <w:fldChar w:fldCharType="begin"/>
        </w:r>
        <w:r>
          <w:rPr>
            <w:webHidden/>
          </w:rPr>
          <w:instrText xml:space="preserve"> PAGEREF _Toc111750932 \h </w:instrText>
        </w:r>
        <w:r>
          <w:rPr>
            <w:webHidden/>
          </w:rPr>
        </w:r>
        <w:r>
          <w:rPr>
            <w:webHidden/>
          </w:rPr>
          <w:fldChar w:fldCharType="separate"/>
        </w:r>
        <w:r>
          <w:rPr>
            <w:webHidden/>
          </w:rPr>
          <w:t>6</w:t>
        </w:r>
        <w:r>
          <w:rPr>
            <w:webHidden/>
          </w:rPr>
          <w:fldChar w:fldCharType="end"/>
        </w:r>
      </w:hyperlink>
    </w:p>
    <w:p w14:paraId="7154C240" w14:textId="32299521" w:rsidR="00B5056D" w:rsidRDefault="00B5056D">
      <w:pPr>
        <w:pStyle w:val="TOC2"/>
        <w:rPr>
          <w:rFonts w:asciiTheme="minorHAnsi" w:eastAsiaTheme="minorEastAsia" w:hAnsiTheme="minorHAnsi" w:cstheme="minorBidi"/>
          <w:spacing w:val="0"/>
          <w:sz w:val="22"/>
          <w:szCs w:val="22"/>
        </w:rPr>
      </w:pPr>
      <w:hyperlink w:anchor="_Toc111750933" w:history="1">
        <w:r w:rsidRPr="000A7040">
          <w:rPr>
            <w:rStyle w:val="Hyperlink"/>
          </w:rPr>
          <w:t>6.</w:t>
        </w:r>
        <w:r>
          <w:rPr>
            <w:rFonts w:asciiTheme="minorHAnsi" w:eastAsiaTheme="minorEastAsia" w:hAnsiTheme="minorHAnsi" w:cstheme="minorBidi"/>
            <w:spacing w:val="0"/>
            <w:sz w:val="22"/>
            <w:szCs w:val="22"/>
          </w:rPr>
          <w:tab/>
        </w:r>
        <w:r w:rsidRPr="000A7040">
          <w:rPr>
            <w:rStyle w:val="Hyperlink"/>
          </w:rPr>
          <w:t>Special licence conditions and advisory notes</w:t>
        </w:r>
        <w:r>
          <w:rPr>
            <w:webHidden/>
          </w:rPr>
          <w:tab/>
        </w:r>
        <w:r>
          <w:rPr>
            <w:webHidden/>
          </w:rPr>
          <w:fldChar w:fldCharType="begin"/>
        </w:r>
        <w:r>
          <w:rPr>
            <w:webHidden/>
          </w:rPr>
          <w:instrText xml:space="preserve"> PAGEREF _Toc111750933 \h </w:instrText>
        </w:r>
        <w:r>
          <w:rPr>
            <w:webHidden/>
          </w:rPr>
        </w:r>
        <w:r>
          <w:rPr>
            <w:webHidden/>
          </w:rPr>
          <w:fldChar w:fldCharType="separate"/>
        </w:r>
        <w:r>
          <w:rPr>
            <w:webHidden/>
          </w:rPr>
          <w:t>6</w:t>
        </w:r>
        <w:r>
          <w:rPr>
            <w:webHidden/>
          </w:rPr>
          <w:fldChar w:fldCharType="end"/>
        </w:r>
      </w:hyperlink>
    </w:p>
    <w:p w14:paraId="5BAD0623" w14:textId="4B8B1746" w:rsidR="00B5056D" w:rsidRDefault="00B5056D">
      <w:pPr>
        <w:pStyle w:val="TOC3"/>
        <w:tabs>
          <w:tab w:val="left" w:pos="885"/>
        </w:tabs>
        <w:rPr>
          <w:rFonts w:asciiTheme="minorHAnsi" w:eastAsiaTheme="minorEastAsia" w:hAnsiTheme="minorHAnsi" w:cstheme="minorBidi"/>
        </w:rPr>
      </w:pPr>
      <w:hyperlink w:anchor="_Toc111750934" w:history="1">
        <w:r w:rsidRPr="000A7040">
          <w:rPr>
            <w:rStyle w:val="Hyperlink"/>
          </w:rPr>
          <w:t>6.1</w:t>
        </w:r>
        <w:r>
          <w:rPr>
            <w:rFonts w:asciiTheme="minorHAnsi" w:eastAsiaTheme="minorEastAsia" w:hAnsiTheme="minorHAnsi" w:cstheme="minorBidi"/>
          </w:rPr>
          <w:tab/>
        </w:r>
        <w:r w:rsidRPr="000A7040">
          <w:rPr>
            <w:rStyle w:val="Hyperlink"/>
          </w:rPr>
          <w:t xml:space="preserve"> Licence period</w:t>
        </w:r>
        <w:r>
          <w:rPr>
            <w:webHidden/>
          </w:rPr>
          <w:tab/>
        </w:r>
        <w:r>
          <w:rPr>
            <w:webHidden/>
          </w:rPr>
          <w:fldChar w:fldCharType="begin"/>
        </w:r>
        <w:r>
          <w:rPr>
            <w:webHidden/>
          </w:rPr>
          <w:instrText xml:space="preserve"> PAGEREF _Toc111750934 \h </w:instrText>
        </w:r>
        <w:r>
          <w:rPr>
            <w:webHidden/>
          </w:rPr>
        </w:r>
        <w:r>
          <w:rPr>
            <w:webHidden/>
          </w:rPr>
          <w:fldChar w:fldCharType="separate"/>
        </w:r>
        <w:r>
          <w:rPr>
            <w:webHidden/>
          </w:rPr>
          <w:t>7</w:t>
        </w:r>
        <w:r>
          <w:rPr>
            <w:webHidden/>
          </w:rPr>
          <w:fldChar w:fldCharType="end"/>
        </w:r>
      </w:hyperlink>
    </w:p>
    <w:p w14:paraId="17D15458" w14:textId="5979F641" w:rsidR="00B5056D" w:rsidRDefault="00B5056D">
      <w:pPr>
        <w:pStyle w:val="TOC2"/>
        <w:rPr>
          <w:rFonts w:asciiTheme="minorHAnsi" w:eastAsiaTheme="minorEastAsia" w:hAnsiTheme="minorHAnsi" w:cstheme="minorBidi"/>
          <w:spacing w:val="0"/>
          <w:sz w:val="22"/>
          <w:szCs w:val="22"/>
        </w:rPr>
      </w:pPr>
      <w:hyperlink w:anchor="_Toc111750935" w:history="1">
        <w:r w:rsidRPr="000A7040">
          <w:rPr>
            <w:rStyle w:val="Hyperlink"/>
          </w:rPr>
          <w:t>7.</w:t>
        </w:r>
        <w:r>
          <w:rPr>
            <w:rFonts w:asciiTheme="minorHAnsi" w:eastAsiaTheme="minorEastAsia" w:hAnsiTheme="minorHAnsi" w:cstheme="minorBidi"/>
            <w:spacing w:val="0"/>
            <w:sz w:val="22"/>
            <w:szCs w:val="22"/>
          </w:rPr>
          <w:tab/>
        </w:r>
        <w:r w:rsidRPr="000A7040">
          <w:rPr>
            <w:rStyle w:val="Hyperlink"/>
          </w:rPr>
          <w:t>Further information</w:t>
        </w:r>
        <w:r>
          <w:rPr>
            <w:webHidden/>
          </w:rPr>
          <w:tab/>
        </w:r>
        <w:r>
          <w:rPr>
            <w:webHidden/>
          </w:rPr>
          <w:fldChar w:fldCharType="begin"/>
        </w:r>
        <w:r>
          <w:rPr>
            <w:webHidden/>
          </w:rPr>
          <w:instrText xml:space="preserve"> PAGEREF _Toc111750935 \h </w:instrText>
        </w:r>
        <w:r>
          <w:rPr>
            <w:webHidden/>
          </w:rPr>
        </w:r>
        <w:r>
          <w:rPr>
            <w:webHidden/>
          </w:rPr>
          <w:fldChar w:fldCharType="separate"/>
        </w:r>
        <w:r>
          <w:rPr>
            <w:webHidden/>
          </w:rPr>
          <w:t>7</w:t>
        </w:r>
        <w:r>
          <w:rPr>
            <w:webHidden/>
          </w:rPr>
          <w:fldChar w:fldCharType="end"/>
        </w:r>
      </w:hyperlink>
    </w:p>
    <w:p w14:paraId="549D6F76" w14:textId="2676DB8E" w:rsidR="00B5056D" w:rsidRDefault="00B5056D">
      <w:pPr>
        <w:pStyle w:val="TOC2"/>
        <w:rPr>
          <w:rFonts w:asciiTheme="minorHAnsi" w:eastAsiaTheme="minorEastAsia" w:hAnsiTheme="minorHAnsi" w:cstheme="minorBidi"/>
          <w:spacing w:val="0"/>
          <w:sz w:val="22"/>
          <w:szCs w:val="22"/>
        </w:rPr>
      </w:pPr>
      <w:hyperlink w:anchor="_Toc111750936" w:history="1">
        <w:r w:rsidRPr="000A7040">
          <w:rPr>
            <w:rStyle w:val="Hyperlink"/>
          </w:rPr>
          <w:t>Appendix A: Space apparatus licence</w:t>
        </w:r>
        <w:r>
          <w:rPr>
            <w:webHidden/>
          </w:rPr>
          <w:tab/>
        </w:r>
        <w:r>
          <w:rPr>
            <w:webHidden/>
          </w:rPr>
          <w:fldChar w:fldCharType="begin"/>
        </w:r>
        <w:r>
          <w:rPr>
            <w:webHidden/>
          </w:rPr>
          <w:instrText xml:space="preserve"> PAGEREF _Toc111750936 \h </w:instrText>
        </w:r>
        <w:r>
          <w:rPr>
            <w:webHidden/>
          </w:rPr>
        </w:r>
        <w:r>
          <w:rPr>
            <w:webHidden/>
          </w:rPr>
          <w:fldChar w:fldCharType="separate"/>
        </w:r>
        <w:r>
          <w:rPr>
            <w:webHidden/>
          </w:rPr>
          <w:t>8</w:t>
        </w:r>
        <w:r>
          <w:rPr>
            <w:webHidden/>
          </w:rPr>
          <w:fldChar w:fldCharType="end"/>
        </w:r>
      </w:hyperlink>
    </w:p>
    <w:p w14:paraId="36C9E440" w14:textId="69907F37" w:rsidR="00B5056D" w:rsidRDefault="00B5056D">
      <w:pPr>
        <w:pStyle w:val="TOC2"/>
        <w:rPr>
          <w:rFonts w:asciiTheme="minorHAnsi" w:eastAsiaTheme="minorEastAsia" w:hAnsiTheme="minorHAnsi" w:cstheme="minorBidi"/>
          <w:spacing w:val="0"/>
          <w:sz w:val="22"/>
          <w:szCs w:val="22"/>
        </w:rPr>
      </w:pPr>
      <w:hyperlink w:anchor="_Toc111750937" w:history="1">
        <w:r w:rsidRPr="000A7040">
          <w:rPr>
            <w:rStyle w:val="Hyperlink"/>
          </w:rPr>
          <w:t>Appendix B: Space receive apparatus licence</w:t>
        </w:r>
        <w:r>
          <w:rPr>
            <w:webHidden/>
          </w:rPr>
          <w:tab/>
        </w:r>
        <w:r>
          <w:rPr>
            <w:webHidden/>
          </w:rPr>
          <w:fldChar w:fldCharType="begin"/>
        </w:r>
        <w:r>
          <w:rPr>
            <w:webHidden/>
          </w:rPr>
          <w:instrText xml:space="preserve"> PAGEREF _Toc111750937 \h </w:instrText>
        </w:r>
        <w:r>
          <w:rPr>
            <w:webHidden/>
          </w:rPr>
        </w:r>
        <w:r>
          <w:rPr>
            <w:webHidden/>
          </w:rPr>
          <w:fldChar w:fldCharType="separate"/>
        </w:r>
        <w:r>
          <w:rPr>
            <w:webHidden/>
          </w:rPr>
          <w:t>10</w:t>
        </w:r>
        <w:r>
          <w:rPr>
            <w:webHidden/>
          </w:rPr>
          <w:fldChar w:fldCharType="end"/>
        </w:r>
      </w:hyperlink>
    </w:p>
    <w:p w14:paraId="7A4631AE" w14:textId="0103D035" w:rsidR="00B5056D" w:rsidRDefault="00B5056D">
      <w:pPr>
        <w:pStyle w:val="TOC2"/>
        <w:rPr>
          <w:rFonts w:asciiTheme="minorHAnsi" w:eastAsiaTheme="minorEastAsia" w:hAnsiTheme="minorHAnsi" w:cstheme="minorBidi"/>
          <w:spacing w:val="0"/>
          <w:sz w:val="22"/>
          <w:szCs w:val="22"/>
        </w:rPr>
      </w:pPr>
      <w:hyperlink w:anchor="_Toc111750938" w:history="1">
        <w:r w:rsidRPr="000A7040">
          <w:rPr>
            <w:rStyle w:val="Hyperlink"/>
          </w:rPr>
          <w:t>Appendix C: Letter of Assurance pro forma</w:t>
        </w:r>
        <w:r>
          <w:rPr>
            <w:webHidden/>
          </w:rPr>
          <w:tab/>
        </w:r>
        <w:r>
          <w:rPr>
            <w:webHidden/>
          </w:rPr>
          <w:fldChar w:fldCharType="begin"/>
        </w:r>
        <w:r>
          <w:rPr>
            <w:webHidden/>
          </w:rPr>
          <w:instrText xml:space="preserve"> PAGEREF _Toc111750938 \h </w:instrText>
        </w:r>
        <w:r>
          <w:rPr>
            <w:webHidden/>
          </w:rPr>
        </w:r>
        <w:r>
          <w:rPr>
            <w:webHidden/>
          </w:rPr>
          <w:fldChar w:fldCharType="separate"/>
        </w:r>
        <w:r>
          <w:rPr>
            <w:webHidden/>
          </w:rPr>
          <w:t>12</w:t>
        </w:r>
        <w:r>
          <w:rPr>
            <w:webHidden/>
          </w:rPr>
          <w:fldChar w:fldCharType="end"/>
        </w:r>
      </w:hyperlink>
    </w:p>
    <w:p w14:paraId="1A6EB040" w14:textId="71ECD685" w:rsidR="000A4A51" w:rsidRPr="000D76E0" w:rsidRDefault="00633031">
      <w:pPr>
        <w:rPr>
          <w:rFonts w:cs="Arial"/>
        </w:rPr>
      </w:pPr>
      <w:r>
        <w:rPr>
          <w:rFonts w:cs="Arial"/>
          <w:b/>
          <w:noProof/>
          <w:spacing w:val="-14"/>
          <w:sz w:val="26"/>
          <w:szCs w:val="26"/>
        </w:rPr>
        <w:fldChar w:fldCharType="end"/>
      </w:r>
    </w:p>
    <w:p w14:paraId="236C5554" w14:textId="28C81697" w:rsidR="00207634" w:rsidRDefault="00207634" w:rsidP="00270222">
      <w:pPr>
        <w:tabs>
          <w:tab w:val="left" w:pos="2115"/>
          <w:tab w:val="left" w:pos="5115"/>
        </w:tabs>
        <w:rPr>
          <w:rFonts w:cs="Arial"/>
        </w:rPr>
      </w:pPr>
    </w:p>
    <w:p w14:paraId="2B5FFB13" w14:textId="0D72966F" w:rsidR="0012522F" w:rsidRDefault="0012522F" w:rsidP="00270222">
      <w:pPr>
        <w:tabs>
          <w:tab w:val="left" w:pos="2460"/>
        </w:tabs>
        <w:rPr>
          <w:rFonts w:cs="Arial"/>
        </w:rPr>
        <w:sectPr w:rsidR="0012522F" w:rsidSect="00C77380">
          <w:headerReference w:type="even" r:id="rId21"/>
          <w:headerReference w:type="default" r:id="rId22"/>
          <w:footerReference w:type="even" r:id="rId23"/>
          <w:footerReference w:type="default" r:id="rId24"/>
          <w:headerReference w:type="first" r:id="rId25"/>
          <w:footerReference w:type="first" r:id="rId26"/>
          <w:pgSz w:w="11906" w:h="16838" w:code="9"/>
          <w:pgMar w:top="3646" w:right="3101" w:bottom="1134" w:left="1134" w:header="709" w:footer="119" w:gutter="0"/>
          <w:cols w:space="708"/>
          <w:titlePg/>
          <w:docGrid w:linePitch="360"/>
        </w:sectPr>
      </w:pPr>
    </w:p>
    <w:p w14:paraId="0E123556" w14:textId="77777777" w:rsidR="007162F1" w:rsidRDefault="007162F1" w:rsidP="009C28AB">
      <w:pPr>
        <w:spacing w:after="480"/>
      </w:pPr>
      <w:bookmarkStart w:id="0" w:name="_Toc392147072"/>
      <w:r w:rsidRPr="00615474">
        <w:lastRenderedPageBreak/>
        <w:t xml:space="preserve">Accredited persons must read the </w:t>
      </w:r>
      <w:hyperlink r:id="rId27" w:history="1">
        <w:r w:rsidRPr="002A7100">
          <w:rPr>
            <w:color w:val="0000FF"/>
            <w:u w:val="single"/>
          </w:rPr>
          <w:t>Disclaimer</w:t>
        </w:r>
      </w:hyperlink>
      <w:r w:rsidRPr="00615474">
        <w:t xml:space="preserve"> in conjunction with the procedures set out below.</w:t>
      </w:r>
    </w:p>
    <w:p w14:paraId="6B94D219" w14:textId="77777777" w:rsidR="007162F1" w:rsidRPr="007162F1" w:rsidRDefault="007162F1" w:rsidP="00692A86">
      <w:pPr>
        <w:pStyle w:val="Heading2"/>
        <w:numPr>
          <w:ilvl w:val="0"/>
          <w:numId w:val="16"/>
        </w:numPr>
        <w:ind w:left="567" w:hanging="567"/>
      </w:pPr>
      <w:bookmarkStart w:id="1" w:name="_Toc475094508"/>
      <w:bookmarkStart w:id="2" w:name="_Toc486404150"/>
      <w:bookmarkStart w:id="3" w:name="_Toc111750921"/>
      <w:r w:rsidRPr="00113829">
        <w:t>Purpose</w:t>
      </w:r>
      <w:bookmarkEnd w:id="0"/>
      <w:bookmarkEnd w:id="1"/>
      <w:bookmarkEnd w:id="2"/>
      <w:bookmarkEnd w:id="3"/>
    </w:p>
    <w:p w14:paraId="2DEC92DC" w14:textId="7CF0BE05" w:rsidR="007162F1" w:rsidRDefault="007162F1" w:rsidP="00CB7131">
      <w:pPr>
        <w:pStyle w:val="ListBulletLast"/>
        <w:numPr>
          <w:ilvl w:val="0"/>
          <w:numId w:val="0"/>
        </w:numPr>
      </w:pPr>
      <w:bookmarkStart w:id="4" w:name="_Toc392147073"/>
      <w:bookmarkStart w:id="5" w:name="_Toc475094509"/>
      <w:r w:rsidRPr="00615474">
        <w:t xml:space="preserve">This business operating procedure (BOP) </w:t>
      </w:r>
      <w:r>
        <w:t xml:space="preserve">outlines the procedures to be followed when seeking the issue of space or space receive licences authorising the use of </w:t>
      </w:r>
      <w:r w:rsidRPr="00572919">
        <w:t xml:space="preserve">ubiquitous </w:t>
      </w:r>
      <w:r>
        <w:t>earth stations in motion (ESIM) communicating with</w:t>
      </w:r>
      <w:r w:rsidR="007B6C0D">
        <w:t xml:space="preserve"> </w:t>
      </w:r>
      <w:r>
        <w:t xml:space="preserve">non-geostationary (NGSO) space stations in the fixed-satellite service </w:t>
      </w:r>
      <w:r w:rsidRPr="00102F03">
        <w:t>with earth stations in motion on land</w:t>
      </w:r>
      <w:r>
        <w:t xml:space="preserve"> or </w:t>
      </w:r>
      <w:r w:rsidRPr="00102F03">
        <w:t xml:space="preserve">on water </w:t>
      </w:r>
      <w:r>
        <w:t>in the frequency ranges 17.7</w:t>
      </w:r>
      <w:r w:rsidR="00255379">
        <w:t>–</w:t>
      </w:r>
      <w:r>
        <w:t>18.</w:t>
      </w:r>
      <w:r w:rsidR="00D01543">
        <w:t>6</w:t>
      </w:r>
      <w:r>
        <w:t xml:space="preserve"> GHz (space-to-Earth), 18.8</w:t>
      </w:r>
      <w:r w:rsidR="00255379">
        <w:t>–</w:t>
      </w:r>
      <w:r>
        <w:t>19.3 GHz (space-to-Earth), 19.7</w:t>
      </w:r>
      <w:r w:rsidR="00255379">
        <w:t>–</w:t>
      </w:r>
      <w:r>
        <w:t xml:space="preserve">20.2 GHz (space-to-Earth), </w:t>
      </w:r>
      <w:r w:rsidRPr="004C2810">
        <w:rPr>
          <w:lang w:val="en"/>
        </w:rPr>
        <w:t>28.5</w:t>
      </w:r>
      <w:r w:rsidR="00255379">
        <w:rPr>
          <w:lang w:val="en"/>
        </w:rPr>
        <w:t>–</w:t>
      </w:r>
      <w:r w:rsidRPr="004C2810">
        <w:rPr>
          <w:lang w:val="en"/>
        </w:rPr>
        <w:t>29.1 GH</w:t>
      </w:r>
      <w:r>
        <w:rPr>
          <w:lang w:val="en"/>
        </w:rPr>
        <w:t xml:space="preserve">z </w:t>
      </w:r>
      <w:r w:rsidRPr="00F82F20">
        <w:t>(</w:t>
      </w:r>
      <w:r>
        <w:t>Earth</w:t>
      </w:r>
      <w:r w:rsidRPr="00F82F20">
        <w:t>-to-</w:t>
      </w:r>
      <w:r>
        <w:t>space</w:t>
      </w:r>
      <w:r w:rsidRPr="00F82F20">
        <w:t>)</w:t>
      </w:r>
      <w:r>
        <w:t xml:space="preserve"> </w:t>
      </w:r>
      <w:r>
        <w:rPr>
          <w:lang w:val="en"/>
        </w:rPr>
        <w:t>and 29.5</w:t>
      </w:r>
      <w:r w:rsidR="00255379">
        <w:rPr>
          <w:lang w:val="en"/>
        </w:rPr>
        <w:t>–</w:t>
      </w:r>
      <w:r>
        <w:rPr>
          <w:lang w:val="en"/>
        </w:rPr>
        <w:t xml:space="preserve">30 GHz </w:t>
      </w:r>
      <w:r w:rsidRPr="00F82F20">
        <w:t>(</w:t>
      </w:r>
      <w:r>
        <w:t>Earth</w:t>
      </w:r>
      <w:r w:rsidRPr="00F82F20">
        <w:t>-to-</w:t>
      </w:r>
      <w:r>
        <w:t>space</w:t>
      </w:r>
      <w:r w:rsidRPr="00F82F20">
        <w:t>)</w:t>
      </w:r>
      <w:r w:rsidR="00255379">
        <w:t>.</w:t>
      </w:r>
    </w:p>
    <w:p w14:paraId="67CAC548" w14:textId="688C4418" w:rsidR="007162F1" w:rsidRDefault="007162F1" w:rsidP="007162F1">
      <w:r>
        <w:t xml:space="preserve">These are interim arrangements that will be reviewed pending the outcomes of </w:t>
      </w:r>
      <w:r w:rsidR="00255379">
        <w:t xml:space="preserve">the </w:t>
      </w:r>
      <w:r w:rsidR="004C5D7E">
        <w:t>World Radiocommunication</w:t>
      </w:r>
      <w:r>
        <w:t xml:space="preserve"> Conference 20</w:t>
      </w:r>
      <w:r w:rsidR="00015C67">
        <w:t>23</w:t>
      </w:r>
      <w:r>
        <w:t xml:space="preserve"> (WRC-</w:t>
      </w:r>
      <w:r w:rsidR="00015C67">
        <w:t>23</w:t>
      </w:r>
      <w:r>
        <w:t>).</w:t>
      </w:r>
    </w:p>
    <w:p w14:paraId="032DF960" w14:textId="2B38BAF2" w:rsidR="00011674" w:rsidRDefault="007162F1" w:rsidP="007162F1">
      <w:r>
        <w:t xml:space="preserve">Not covered under this BOP is the issuing of a </w:t>
      </w:r>
      <w:r w:rsidRPr="000D7B5C">
        <w:rPr>
          <w:i/>
          <w:iCs/>
        </w:rPr>
        <w:t>space</w:t>
      </w:r>
      <w:r>
        <w:t xml:space="preserve"> or </w:t>
      </w:r>
      <w:r w:rsidRPr="000D7B5C">
        <w:rPr>
          <w:i/>
          <w:iCs/>
        </w:rPr>
        <w:t>space receive</w:t>
      </w:r>
      <w:r>
        <w:t xml:space="preserve"> licence authorising the use of ESIM communicating with </w:t>
      </w:r>
      <w:r w:rsidRPr="00570962">
        <w:t>geostationary</w:t>
      </w:r>
      <w:r>
        <w:t xml:space="preserve"> space station</w:t>
      </w:r>
      <w:r w:rsidR="007A78B1">
        <w:t>s</w:t>
      </w:r>
      <w:r>
        <w:t xml:space="preserve"> in the bands 19.7–20.2 </w:t>
      </w:r>
      <w:r w:rsidRPr="002E1F49">
        <w:t>GHz</w:t>
      </w:r>
      <w:r>
        <w:t xml:space="preserve"> and 29.5–30.0 GHz under </w:t>
      </w:r>
      <w:r w:rsidRPr="001D47B0">
        <w:t xml:space="preserve">ITU </w:t>
      </w:r>
      <w:r w:rsidRPr="00570962">
        <w:t>Resolution 156 (WRC-15)</w:t>
      </w:r>
      <w:r w:rsidR="009362BC">
        <w:t xml:space="preserve"> and in the bands </w:t>
      </w:r>
      <w:r w:rsidR="00B65AAB" w:rsidRPr="00B65AAB">
        <w:t>17.7–19.7 GHz</w:t>
      </w:r>
      <w:r w:rsidR="00B65AAB">
        <w:t xml:space="preserve"> and </w:t>
      </w:r>
      <w:r w:rsidR="00337502">
        <w:t>2</w:t>
      </w:r>
      <w:r w:rsidR="00D01543">
        <w:t>7.5</w:t>
      </w:r>
      <w:r w:rsidR="00337502">
        <w:t>-</w:t>
      </w:r>
      <w:r w:rsidR="00A05D92">
        <w:t>2</w:t>
      </w:r>
      <w:r w:rsidR="00337502">
        <w:t>9.5 GHz under ITU Resolution 169 (WRC-19)</w:t>
      </w:r>
      <w:r w:rsidRPr="00570962">
        <w:t xml:space="preserve">. </w:t>
      </w:r>
    </w:p>
    <w:p w14:paraId="68FF404F" w14:textId="1D20E587" w:rsidR="007162F1" w:rsidRPr="00570962" w:rsidRDefault="007162F1" w:rsidP="007162F1">
      <w:r w:rsidRPr="00570962">
        <w:t>Please see the relevant BOP</w:t>
      </w:r>
      <w:r w:rsidR="00651114">
        <w:t>s</w:t>
      </w:r>
      <w:r w:rsidRPr="00570962">
        <w:t xml:space="preserve"> on the </w:t>
      </w:r>
      <w:hyperlink r:id="rId28" w:history="1">
        <w:r w:rsidRPr="004277F5">
          <w:rPr>
            <w:rStyle w:val="Hyperlink"/>
          </w:rPr>
          <w:t>ACMA website</w:t>
        </w:r>
      </w:hyperlink>
      <w:r w:rsidRPr="00570962">
        <w:t>.</w:t>
      </w:r>
    </w:p>
    <w:p w14:paraId="2352F8C8" w14:textId="77777777" w:rsidR="007162F1" w:rsidRPr="007162F1" w:rsidRDefault="007162F1" w:rsidP="00C10E39">
      <w:pPr>
        <w:pStyle w:val="Heading2"/>
        <w:numPr>
          <w:ilvl w:val="0"/>
          <w:numId w:val="16"/>
        </w:numPr>
        <w:ind w:left="567" w:hanging="567"/>
      </w:pPr>
      <w:bookmarkStart w:id="6" w:name="_Toc486404151"/>
      <w:bookmarkStart w:id="7" w:name="_Toc111750922"/>
      <w:r w:rsidRPr="00113829">
        <w:t>Background</w:t>
      </w:r>
      <w:bookmarkEnd w:id="4"/>
      <w:bookmarkEnd w:id="5"/>
      <w:bookmarkEnd w:id="6"/>
      <w:bookmarkEnd w:id="7"/>
    </w:p>
    <w:p w14:paraId="18D6D1EB" w14:textId="579FEF3D" w:rsidR="00011674" w:rsidRPr="00474D77" w:rsidRDefault="00011674" w:rsidP="00DB3B36">
      <w:pPr>
        <w:spacing w:after="80"/>
        <w:rPr>
          <w:rFonts w:cs="Arial"/>
          <w:szCs w:val="20"/>
        </w:rPr>
      </w:pPr>
      <w:r w:rsidRPr="00615474">
        <w:t xml:space="preserve">In considering </w:t>
      </w:r>
      <w:r>
        <w:t>licence</w:t>
      </w:r>
      <w:r w:rsidRPr="00615474">
        <w:t xml:space="preserve"> application</w:t>
      </w:r>
      <w:r>
        <w:t xml:space="preserve">s </w:t>
      </w:r>
      <w:r w:rsidRPr="00474D77">
        <w:rPr>
          <w:rFonts w:cs="Arial"/>
          <w:szCs w:val="20"/>
        </w:rPr>
        <w:t xml:space="preserve">under the </w:t>
      </w:r>
      <w:hyperlink r:id="rId29" w:history="1">
        <w:r w:rsidRPr="00474D77">
          <w:rPr>
            <w:rStyle w:val="Hyperlink"/>
            <w:rFonts w:cs="Arial"/>
            <w:szCs w:val="20"/>
          </w:rPr>
          <w:t>Radiocommunications Act 1992</w:t>
        </w:r>
      </w:hyperlink>
      <w:r>
        <w:rPr>
          <w:rStyle w:val="Hyperlink"/>
          <w:rFonts w:cs="Arial"/>
          <w:szCs w:val="20"/>
        </w:rPr>
        <w:t xml:space="preserve"> </w:t>
      </w:r>
      <w:r w:rsidRPr="00615474">
        <w:t>the ACMA is required to consider a range of matters.</w:t>
      </w:r>
      <w:r>
        <w:t xml:space="preserve"> </w:t>
      </w:r>
      <w:r w:rsidRPr="00474D77">
        <w:rPr>
          <w:rFonts w:cs="Arial"/>
          <w:szCs w:val="20"/>
        </w:rPr>
        <w:t>Under section 100 (4) of the Act:</w:t>
      </w:r>
    </w:p>
    <w:p w14:paraId="043FD83A" w14:textId="77777777" w:rsidR="00011674" w:rsidRPr="00EA490A" w:rsidRDefault="00011674" w:rsidP="00011674">
      <w:pPr>
        <w:ind w:left="709"/>
        <w:rPr>
          <w:rFonts w:cs="Arial"/>
          <w:i/>
          <w:iCs/>
          <w:szCs w:val="20"/>
        </w:rPr>
      </w:pPr>
      <w:r w:rsidRPr="00EA490A">
        <w:rPr>
          <w:rFonts w:cs="Arial"/>
          <w:i/>
          <w:iCs/>
          <w:szCs w:val="20"/>
        </w:rPr>
        <w:t>In deciding whether to issue an apparatus licence, the ACMA must have regard to:</w:t>
      </w:r>
    </w:p>
    <w:p w14:paraId="2056D0DC" w14:textId="77777777" w:rsidR="00011674" w:rsidRPr="00EA490A" w:rsidRDefault="00011674" w:rsidP="00011674">
      <w:pPr>
        <w:ind w:left="1276" w:hanging="425"/>
        <w:rPr>
          <w:rFonts w:cs="Arial"/>
          <w:i/>
          <w:iCs/>
          <w:szCs w:val="20"/>
        </w:rPr>
      </w:pPr>
      <w:r w:rsidRPr="00EA490A">
        <w:rPr>
          <w:rFonts w:cs="Arial"/>
          <w:i/>
          <w:iCs/>
          <w:szCs w:val="20"/>
        </w:rPr>
        <w:t>(a) all matters that it considers relevant; and</w:t>
      </w:r>
    </w:p>
    <w:p w14:paraId="3D974CB5" w14:textId="7B147410" w:rsidR="006C4A2A" w:rsidRDefault="00011674" w:rsidP="00011674">
      <w:pPr>
        <w:ind w:left="1276" w:hanging="425"/>
        <w:rPr>
          <w:rFonts w:cs="Arial"/>
          <w:i/>
          <w:iCs/>
          <w:szCs w:val="20"/>
        </w:rPr>
      </w:pPr>
      <w:r w:rsidRPr="00EA490A">
        <w:rPr>
          <w:rFonts w:cs="Arial"/>
          <w:i/>
          <w:iCs/>
          <w:szCs w:val="20"/>
        </w:rPr>
        <w:t>(b) without limiting paragraph (a), the effect on radiocommunications of the proposed operation of the radiocommunications devices that would be authorised under the licence.</w:t>
      </w:r>
    </w:p>
    <w:p w14:paraId="19D56E1B" w14:textId="301870B8" w:rsidR="00011674" w:rsidRPr="00474D77" w:rsidRDefault="00011674" w:rsidP="00011674">
      <w:pPr>
        <w:rPr>
          <w:rFonts w:cs="Arial"/>
          <w:szCs w:val="20"/>
        </w:rPr>
      </w:pPr>
      <w:r>
        <w:t>For the space and space receive apparatus licences covered by this BOP</w:t>
      </w:r>
      <w:bookmarkStart w:id="8" w:name="_Hlk82443531"/>
      <w:bookmarkStart w:id="9" w:name="_Hlk82443545"/>
      <w:r w:rsidRPr="00011674">
        <w:rPr>
          <w:rFonts w:cs="Arial"/>
          <w:szCs w:val="20"/>
        </w:rPr>
        <w:t xml:space="preserve"> </w:t>
      </w:r>
      <w:r w:rsidRPr="00474D77">
        <w:rPr>
          <w:rFonts w:cs="Arial"/>
          <w:szCs w:val="20"/>
        </w:rPr>
        <w:t>The procedures outlined in this document record</w:t>
      </w:r>
      <w:bookmarkEnd w:id="8"/>
      <w:r w:rsidRPr="00474D77">
        <w:rPr>
          <w:rFonts w:cs="Arial"/>
          <w:szCs w:val="20"/>
        </w:rPr>
        <w:t xml:space="preserve"> the typical satellite regulatory matters considered by the ACMA</w:t>
      </w:r>
      <w:bookmarkEnd w:id="9"/>
      <w:r w:rsidRPr="00474D77">
        <w:rPr>
          <w:rFonts w:cs="Arial"/>
          <w:szCs w:val="20"/>
        </w:rPr>
        <w:t xml:space="preserve">.  Depending on </w:t>
      </w:r>
      <w:bookmarkStart w:id="10" w:name="_Hlk82443669"/>
      <w:r w:rsidRPr="00474D77">
        <w:rPr>
          <w:rFonts w:cs="Arial"/>
          <w:szCs w:val="20"/>
        </w:rPr>
        <w:t xml:space="preserve">the specific of an application the ACMA might be required to consider additional matters and request additional information or seek the views of Australia satellite operators (satellite operators on whose behalf the ACMA has submitted a satellite filing to the ITU). </w:t>
      </w:r>
      <w:bookmarkEnd w:id="10"/>
    </w:p>
    <w:p w14:paraId="7C444BF7" w14:textId="4ECB33B7" w:rsidR="00011674" w:rsidRPr="00615474" w:rsidRDefault="00011674" w:rsidP="00011674">
      <w:pPr>
        <w:spacing w:after="80"/>
      </w:pPr>
      <w:r>
        <w:t>Typically,</w:t>
      </w:r>
      <w:r w:rsidRPr="00615474">
        <w:t xml:space="preserve"> the assessment process require</w:t>
      </w:r>
      <w:r>
        <w:t>s</w:t>
      </w:r>
      <w:r w:rsidRPr="00615474">
        <w:t>:</w:t>
      </w:r>
    </w:p>
    <w:p w14:paraId="63232E53" w14:textId="77777777" w:rsidR="00011674" w:rsidRDefault="00011674" w:rsidP="00011674">
      <w:pPr>
        <w:pStyle w:val="ListBullet"/>
      </w:pPr>
      <w:r>
        <w:t>considering consistency with current regulatory arrangements</w:t>
      </w:r>
      <w:r w:rsidRPr="00DD4280">
        <w:t xml:space="preserve">, </w:t>
      </w:r>
      <w:r>
        <w:t>including</w:t>
      </w:r>
    </w:p>
    <w:p w14:paraId="57B5200F" w14:textId="77777777" w:rsidR="00011674" w:rsidRDefault="00011674" w:rsidP="00011674">
      <w:pPr>
        <w:pStyle w:val="ListBullet2"/>
      </w:pPr>
      <w:r>
        <w:t>the Australian space regulations related to space and space receive licences</w:t>
      </w:r>
    </w:p>
    <w:p w14:paraId="5A9BCD98" w14:textId="77777777" w:rsidR="00011674" w:rsidRDefault="00011674" w:rsidP="00011674">
      <w:pPr>
        <w:pStyle w:val="ListBullet2"/>
      </w:pPr>
      <w:r w:rsidRPr="00615474">
        <w:t xml:space="preserve">the international </w:t>
      </w:r>
      <w:r>
        <w:t>(ITU) regulatory status of the relevant satellite network(s)</w:t>
      </w:r>
    </w:p>
    <w:p w14:paraId="262B1A82" w14:textId="77777777" w:rsidR="00011674" w:rsidRPr="00615474" w:rsidRDefault="00011674" w:rsidP="00011674">
      <w:pPr>
        <w:pStyle w:val="ListBullet2"/>
      </w:pPr>
      <w:r>
        <w:t xml:space="preserve">details </w:t>
      </w:r>
      <w:r w:rsidRPr="00615474">
        <w:t xml:space="preserve">of the satellite network with which </w:t>
      </w:r>
      <w:r>
        <w:t xml:space="preserve">it is </w:t>
      </w:r>
      <w:r w:rsidRPr="00615474">
        <w:t>intend</w:t>
      </w:r>
      <w:r>
        <w:t>ed</w:t>
      </w:r>
      <w:r w:rsidRPr="00615474">
        <w:t xml:space="preserve"> </w:t>
      </w:r>
      <w:r>
        <w:t>for</w:t>
      </w:r>
      <w:r w:rsidRPr="00615474">
        <w:t xml:space="preserve"> communicat</w:t>
      </w:r>
      <w:r>
        <w:t xml:space="preserve">ions </w:t>
      </w:r>
      <w:r w:rsidRPr="00615474">
        <w:t>to be established</w:t>
      </w:r>
    </w:p>
    <w:p w14:paraId="5EA4C258" w14:textId="77777777" w:rsidR="00011674" w:rsidRPr="00615474" w:rsidRDefault="00011674" w:rsidP="00011674">
      <w:pPr>
        <w:pStyle w:val="ListBullet"/>
      </w:pPr>
      <w:r>
        <w:t xml:space="preserve">seeking the </w:t>
      </w:r>
      <w:r w:rsidRPr="007162F1">
        <w:t>views</w:t>
      </w:r>
      <w:r>
        <w:t xml:space="preserve"> of relevant potentially affected licensees</w:t>
      </w:r>
    </w:p>
    <w:p w14:paraId="65FE1607" w14:textId="0E8F6B73" w:rsidR="007162F1" w:rsidRPr="00615474" w:rsidRDefault="00D14DB9" w:rsidP="007162F1">
      <w:pPr>
        <w:pStyle w:val="ListBullet"/>
      </w:pPr>
      <w:r>
        <w:lastRenderedPageBreak/>
        <w:t>a</w:t>
      </w:r>
      <w:r w:rsidR="00297DA8">
        <w:t>cquiring e</w:t>
      </w:r>
      <w:r w:rsidR="007162F1" w:rsidRPr="00BB63B2">
        <w:t xml:space="preserve">vidence of a commitment from </w:t>
      </w:r>
      <w:r w:rsidR="007162F1" w:rsidRPr="00BB63B2">
        <w:rPr>
          <w:rFonts w:cs="Arial"/>
        </w:rPr>
        <w:t xml:space="preserve">the </w:t>
      </w:r>
      <w:r w:rsidR="007162F1">
        <w:rPr>
          <w:rFonts w:cs="Arial"/>
        </w:rPr>
        <w:t xml:space="preserve">licensee/satellite operator to meet interference management requirements (drawn from requirements of </w:t>
      </w:r>
      <w:r w:rsidR="007162F1">
        <w:t xml:space="preserve">European Communication Committee </w:t>
      </w:r>
      <w:r w:rsidR="007162F1" w:rsidRPr="00BB63B2">
        <w:t>Decision</w:t>
      </w:r>
      <w:r w:rsidR="007162F1">
        <w:t>s</w:t>
      </w:r>
      <w:r w:rsidR="007162F1" w:rsidRPr="00BB63B2">
        <w:t xml:space="preserve"> </w:t>
      </w:r>
      <w:hyperlink r:id="rId30" w:history="1">
        <w:r w:rsidR="007162F1" w:rsidRPr="00694F75">
          <w:rPr>
            <w:rStyle w:val="Hyperlink"/>
          </w:rPr>
          <w:t>(15)04</w:t>
        </w:r>
      </w:hyperlink>
      <w:r w:rsidR="00F61707" w:rsidRPr="00D14DB9">
        <w:rPr>
          <w:rStyle w:val="FootnoteReference"/>
        </w:rPr>
        <w:footnoteReference w:id="1"/>
      </w:r>
      <w:r w:rsidR="007162F1" w:rsidRPr="00615474">
        <w:t xml:space="preserve"> </w:t>
      </w:r>
    </w:p>
    <w:p w14:paraId="5F9FF311" w14:textId="1F871774" w:rsidR="007162F1" w:rsidRPr="00615474" w:rsidRDefault="00D14DB9" w:rsidP="007162F1">
      <w:pPr>
        <w:pStyle w:val="ListBulletLast"/>
      </w:pPr>
      <w:r>
        <w:t>a</w:t>
      </w:r>
      <w:r w:rsidR="007162F1">
        <w:t>ppl</w:t>
      </w:r>
      <w:r w:rsidR="00297DA8">
        <w:t>ying</w:t>
      </w:r>
      <w:r w:rsidR="007162F1">
        <w:t xml:space="preserve"> </w:t>
      </w:r>
      <w:r w:rsidR="007162F1" w:rsidRPr="00615474">
        <w:t>appropriate special condition(s) and/or advisory note(s) to the licence.</w:t>
      </w:r>
    </w:p>
    <w:p w14:paraId="4F4F1742" w14:textId="258AF059" w:rsidR="00BE2C8D" w:rsidRDefault="00BE2C8D" w:rsidP="007162F1">
      <w:r w:rsidRPr="00474D77">
        <w:rPr>
          <w:rFonts w:cs="Arial"/>
          <w:szCs w:val="20"/>
        </w:rPr>
        <w:t>This BOP provides an overview of the processes associated with each of these steps</w:t>
      </w:r>
    </w:p>
    <w:p w14:paraId="163CBBEE" w14:textId="4A919D5F" w:rsidR="007162F1" w:rsidRDefault="007162F1" w:rsidP="007162F1">
      <w:r w:rsidRPr="001F199F">
        <w:t>For licensees with existing space/space receive licence in the frequency ranges covered by this BOP, applications will be considered as a licence variation request.</w:t>
      </w:r>
    </w:p>
    <w:p w14:paraId="33024A64" w14:textId="3E71316D" w:rsidR="007162F1" w:rsidRDefault="007162F1" w:rsidP="007162F1">
      <w:r>
        <w:rPr>
          <w:bCs/>
        </w:rPr>
        <w:t xml:space="preserve">The information required by the ACMA to undertake this assessment is identified in the sections that follow and should be sent to </w:t>
      </w:r>
      <w:hyperlink r:id="rId31" w:history="1">
        <w:r w:rsidRPr="00E4401D">
          <w:rPr>
            <w:rStyle w:val="Hyperlink"/>
            <w:bCs/>
          </w:rPr>
          <w:t>satellite.coordination@acma.gov.au</w:t>
        </w:r>
      </w:hyperlink>
      <w:r w:rsidR="002C7431">
        <w:rPr>
          <w:bCs/>
        </w:rPr>
        <w:t>.</w:t>
      </w:r>
    </w:p>
    <w:p w14:paraId="79ECA941" w14:textId="4BDD0E52" w:rsidR="007162F1" w:rsidRDefault="007162F1" w:rsidP="007162F1">
      <w:pPr>
        <w:rPr>
          <w:rFonts w:cs="Arial"/>
          <w:lang w:val="en"/>
        </w:rPr>
      </w:pPr>
      <w:r>
        <w:t xml:space="preserve">Additional information on the arrangements for space and space receive licences can be found </w:t>
      </w:r>
      <w:r w:rsidR="00297DA8">
        <w:rPr>
          <w:rFonts w:cs="Arial"/>
        </w:rPr>
        <w:t xml:space="preserve">on </w:t>
      </w:r>
      <w:r>
        <w:rPr>
          <w:rFonts w:cs="Arial"/>
        </w:rPr>
        <w:t xml:space="preserve">the </w:t>
      </w:r>
      <w:hyperlink r:id="rId32" w:history="1">
        <w:r w:rsidRPr="00B86869">
          <w:rPr>
            <w:rStyle w:val="Hyperlink"/>
            <w:rFonts w:cs="Arial"/>
            <w:lang w:val="en"/>
          </w:rPr>
          <w:t xml:space="preserve"> </w:t>
        </w:r>
        <w:r w:rsidR="00F528D7">
          <w:rPr>
            <w:rStyle w:val="Hyperlink"/>
            <w:rFonts w:cs="Arial"/>
            <w:lang w:val="en"/>
          </w:rPr>
          <w:t>A</w:t>
        </w:r>
        <w:r w:rsidRPr="00B86869">
          <w:rPr>
            <w:rStyle w:val="Hyperlink"/>
            <w:rFonts w:cs="Arial"/>
            <w:lang w:val="en"/>
          </w:rPr>
          <w:t>pparatus licen</w:t>
        </w:r>
        <w:r w:rsidR="00F528D7">
          <w:rPr>
            <w:rStyle w:val="Hyperlink"/>
            <w:rFonts w:cs="Arial"/>
            <w:lang w:val="en"/>
          </w:rPr>
          <w:t>ces</w:t>
        </w:r>
      </w:hyperlink>
      <w:r>
        <w:rPr>
          <w:rFonts w:cs="Arial"/>
          <w:lang w:val="en"/>
        </w:rPr>
        <w:t xml:space="preserve"> and the </w:t>
      </w:r>
      <w:hyperlink r:id="rId33" w:history="1">
        <w:r w:rsidRPr="003A56C5">
          <w:rPr>
            <w:rStyle w:val="Hyperlink"/>
            <w:rFonts w:cs="Arial"/>
            <w:lang w:val="en"/>
          </w:rPr>
          <w:t>Space system regulation</w:t>
        </w:r>
      </w:hyperlink>
      <w:r>
        <w:rPr>
          <w:rFonts w:cs="Arial"/>
          <w:lang w:val="en"/>
        </w:rPr>
        <w:t xml:space="preserve"> area</w:t>
      </w:r>
      <w:r w:rsidR="00297DA8">
        <w:rPr>
          <w:rFonts w:cs="Arial"/>
          <w:lang w:val="en"/>
        </w:rPr>
        <w:t>s</w:t>
      </w:r>
      <w:r>
        <w:rPr>
          <w:rFonts w:cs="Arial"/>
          <w:lang w:val="en"/>
        </w:rPr>
        <w:t xml:space="preserve"> on the ACMA website.</w:t>
      </w:r>
    </w:p>
    <w:p w14:paraId="7CAA5C97" w14:textId="77777777" w:rsidR="00E734B8" w:rsidRPr="00474D77" w:rsidRDefault="00E734B8" w:rsidP="001557EA">
      <w:pPr>
        <w:rPr>
          <w:rFonts w:cs="Arial"/>
          <w:szCs w:val="20"/>
        </w:rPr>
      </w:pPr>
      <w:r w:rsidRPr="00474D77">
        <w:rPr>
          <w:rFonts w:cs="Arial"/>
          <w:szCs w:val="20"/>
        </w:rPr>
        <w:t>Where consideration of additional matters or consultation with Australian satellite operators is required the ACMA will consult with accredited person (AP) or applicant.</w:t>
      </w:r>
    </w:p>
    <w:p w14:paraId="07261508" w14:textId="77777777" w:rsidR="007162F1" w:rsidRDefault="00C10E39" w:rsidP="004043B8">
      <w:pPr>
        <w:pStyle w:val="Heading3"/>
        <w:keepNext w:val="0"/>
        <w:tabs>
          <w:tab w:val="left" w:pos="567"/>
        </w:tabs>
      </w:pPr>
      <w:bookmarkStart w:id="11" w:name="_Toc486404152"/>
      <w:bookmarkStart w:id="12" w:name="_Toc111750923"/>
      <w:r>
        <w:t>2.1</w:t>
      </w:r>
      <w:r>
        <w:tab/>
      </w:r>
      <w:r w:rsidR="007162F1">
        <w:t xml:space="preserve">Interim </w:t>
      </w:r>
      <w:r w:rsidR="007162F1" w:rsidRPr="007162F1">
        <w:t>arrangements</w:t>
      </w:r>
      <w:bookmarkEnd w:id="11"/>
      <w:bookmarkEnd w:id="12"/>
      <w:r w:rsidR="007162F1">
        <w:t xml:space="preserve"> </w:t>
      </w:r>
    </w:p>
    <w:p w14:paraId="5B019578" w14:textId="58958F70" w:rsidR="007162F1" w:rsidRDefault="007162F1" w:rsidP="001557EA">
      <w:pPr>
        <w:spacing w:after="80"/>
      </w:pPr>
      <w:r>
        <w:t xml:space="preserve">The processes outlined in this BOP are the interim </w:t>
      </w:r>
      <w:r w:rsidR="00297DA8">
        <w:t xml:space="preserve">arrangements </w:t>
      </w:r>
      <w:r>
        <w:t>until the outcomes of WRC-</w:t>
      </w:r>
      <w:r w:rsidR="00B21966">
        <w:t>23</w:t>
      </w:r>
      <w:r>
        <w:t xml:space="preserve"> are finalised. Under WRC-</w:t>
      </w:r>
      <w:r w:rsidR="006D515E">
        <w:t>23</w:t>
      </w:r>
      <w:r>
        <w:t>, Agenda Item 1.</w:t>
      </w:r>
      <w:r w:rsidR="00757990">
        <w:t>16</w:t>
      </w:r>
      <w:r>
        <w:t xml:space="preserve"> is looking </w:t>
      </w:r>
      <w:r w:rsidRPr="00A37918">
        <w:t>to</w:t>
      </w:r>
      <w:r>
        <w:t>:</w:t>
      </w:r>
    </w:p>
    <w:p w14:paraId="66CFF3F5" w14:textId="3A6DEFF1" w:rsidR="007162F1" w:rsidRPr="007162F1" w:rsidRDefault="00297DA8" w:rsidP="002D047A">
      <w:pPr>
        <w:ind w:left="284"/>
        <w:rPr>
          <w:sz w:val="18"/>
          <w:szCs w:val="18"/>
        </w:rPr>
      </w:pPr>
      <w:r>
        <w:rPr>
          <w:sz w:val="18"/>
          <w:szCs w:val="18"/>
        </w:rPr>
        <w:t xml:space="preserve">… </w:t>
      </w:r>
      <w:r w:rsidR="009A482C" w:rsidRPr="009A482C">
        <w:rPr>
          <w:sz w:val="18"/>
          <w:szCs w:val="18"/>
        </w:rPr>
        <w:t>the use of the frequency bands 17.7-18.6 GHz and 18.8 19.3 GHz and 19.7-20.2 GHz (space-to-Earth) and 27.5-29.1 GHz and 29.5-30 GHz (Earth-to-space) by non-GSO FSS earth stations in motion</w:t>
      </w:r>
      <w:r w:rsidR="009A482C" w:rsidRPr="009A482C" w:rsidDel="009A482C">
        <w:rPr>
          <w:sz w:val="18"/>
          <w:szCs w:val="18"/>
        </w:rPr>
        <w:t xml:space="preserve"> </w:t>
      </w:r>
      <w:r>
        <w:rPr>
          <w:sz w:val="18"/>
          <w:szCs w:val="18"/>
        </w:rPr>
        <w:t>…</w:t>
      </w:r>
    </w:p>
    <w:p w14:paraId="52CEF643" w14:textId="57BA254E" w:rsidR="007162F1" w:rsidRDefault="007162F1">
      <w:r>
        <w:t>Once there has been a decision on this Agenda Item</w:t>
      </w:r>
      <w:r w:rsidR="00297DA8">
        <w:t>,</w:t>
      </w:r>
      <w:r>
        <w:t xml:space="preserve"> the ACMA will take appropriate action to consider and possibly implement the outcomes of the WRC.</w:t>
      </w:r>
    </w:p>
    <w:p w14:paraId="68CA56A2" w14:textId="0D68D309" w:rsidR="007162F1" w:rsidRDefault="007162F1">
      <w:r>
        <w:t>Consequently, the authorisation of ESIM under this BOP is limited to 1 January 202</w:t>
      </w:r>
      <w:r w:rsidR="00BC0EAD">
        <w:t>5</w:t>
      </w:r>
      <w:r>
        <w:t>. Authorisation after that date is subject to a review of procedures after WRC</w:t>
      </w:r>
      <w:r w:rsidR="00892FBE">
        <w:t>-23</w:t>
      </w:r>
      <w:r w:rsidR="00297DA8">
        <w:t>.</w:t>
      </w:r>
    </w:p>
    <w:p w14:paraId="356A6D14" w14:textId="68C759E9" w:rsidR="007162F1" w:rsidRDefault="00C10E39" w:rsidP="004043B8">
      <w:pPr>
        <w:pStyle w:val="Heading3"/>
        <w:keepNext w:val="0"/>
        <w:tabs>
          <w:tab w:val="left" w:pos="567"/>
        </w:tabs>
      </w:pPr>
      <w:bookmarkStart w:id="13" w:name="_Ref486259571"/>
      <w:bookmarkStart w:id="14" w:name="_Toc486404153"/>
      <w:bookmarkStart w:id="15" w:name="_Toc111750924"/>
      <w:r>
        <w:t>2.2</w:t>
      </w:r>
      <w:r>
        <w:tab/>
      </w:r>
      <w:r w:rsidR="007162F1">
        <w:t>Decision under subsection 10(10) of the Spectrum Plan</w:t>
      </w:r>
      <w:bookmarkEnd w:id="13"/>
      <w:bookmarkEnd w:id="14"/>
      <w:bookmarkEnd w:id="15"/>
      <w:r w:rsidR="007162F1">
        <w:t xml:space="preserve"> </w:t>
      </w:r>
    </w:p>
    <w:p w14:paraId="1E1FFDDB" w14:textId="0435EBEE" w:rsidR="007162F1" w:rsidRDefault="00E82889" w:rsidP="004043B8">
      <w:pPr>
        <w:keepLines/>
        <w:spacing w:after="80"/>
        <w:rPr>
          <w:lang w:val="en"/>
        </w:rPr>
      </w:pPr>
      <w:r>
        <w:t>As o</w:t>
      </w:r>
      <w:r w:rsidR="007162F1">
        <w:t xml:space="preserve">utlined </w:t>
      </w:r>
      <w:r w:rsidR="00E52A0B">
        <w:t xml:space="preserve">on </w:t>
      </w:r>
      <w:r w:rsidR="007162F1" w:rsidRPr="00050AA2">
        <w:t xml:space="preserve">the </w:t>
      </w:r>
      <w:hyperlink r:id="rId34" w:history="1">
        <w:r w:rsidR="007162F1" w:rsidRPr="009627F8">
          <w:rPr>
            <w:rStyle w:val="Hyperlink"/>
          </w:rPr>
          <w:t>ACMA</w:t>
        </w:r>
        <w:r w:rsidR="00E52A0B" w:rsidRPr="009627F8">
          <w:rPr>
            <w:rStyle w:val="Hyperlink"/>
          </w:rPr>
          <w:t xml:space="preserve"> website</w:t>
        </w:r>
      </w:hyperlink>
      <w:r w:rsidR="00E52A0B">
        <w:t>, the ACMA</w:t>
      </w:r>
      <w:r w:rsidR="007162F1" w:rsidRPr="00050AA2">
        <w:t xml:space="preserve"> </w:t>
      </w:r>
      <w:r w:rsidR="00E52A0B">
        <w:t>has made</w:t>
      </w:r>
      <w:r w:rsidR="007162F1">
        <w:t xml:space="preserve"> a decision under section 10(10) of the </w:t>
      </w:r>
      <w:hyperlink r:id="rId35" w:history="1">
        <w:r w:rsidR="007162F1" w:rsidRPr="00876D7A">
          <w:rPr>
            <w:rStyle w:val="Hyperlink"/>
            <w:i/>
          </w:rPr>
          <w:t>Australian Radiofrequency Spectrum Plan 2017</w:t>
        </w:r>
      </w:hyperlink>
      <w:r w:rsidR="007162F1">
        <w:t xml:space="preserve"> </w:t>
      </w:r>
      <w:r>
        <w:t xml:space="preserve">(the Spectrum Plan) </w:t>
      </w:r>
      <w:r w:rsidR="009627F8">
        <w:t>to support the operation of</w:t>
      </w:r>
      <w:r w:rsidR="00AC5660">
        <w:t xml:space="preserve"> </w:t>
      </w:r>
      <w:r w:rsidR="007162F1" w:rsidRPr="00F82F20">
        <w:t xml:space="preserve">earth </w:t>
      </w:r>
      <w:r w:rsidR="007162F1">
        <w:t xml:space="preserve">station transmitters in motion on land or on </w:t>
      </w:r>
      <w:r w:rsidR="007162F1" w:rsidRPr="00F82F20">
        <w:t xml:space="preserve">water </w:t>
      </w:r>
      <w:r w:rsidR="007162F1" w:rsidRPr="004C2810">
        <w:rPr>
          <w:lang w:val="en"/>
        </w:rPr>
        <w:t xml:space="preserve">communicating with NGSO space stations </w:t>
      </w:r>
      <w:r w:rsidR="007162F1">
        <w:rPr>
          <w:lang w:val="en"/>
        </w:rPr>
        <w:t xml:space="preserve">in the </w:t>
      </w:r>
      <w:r w:rsidR="007162F1" w:rsidRPr="00F82F20">
        <w:t>fixed-satellite service (</w:t>
      </w:r>
      <w:r w:rsidR="007162F1">
        <w:t>Earth</w:t>
      </w:r>
      <w:r w:rsidR="007162F1" w:rsidRPr="00F82F20">
        <w:t>-to-</w:t>
      </w:r>
      <w:r w:rsidR="007162F1">
        <w:t>space</w:t>
      </w:r>
      <w:r w:rsidR="007162F1" w:rsidRPr="00F82F20">
        <w:t>)</w:t>
      </w:r>
      <w:r w:rsidR="007162F1">
        <w:t xml:space="preserve"> </w:t>
      </w:r>
      <w:r w:rsidR="007162F1" w:rsidRPr="004C2810">
        <w:rPr>
          <w:lang w:val="en"/>
        </w:rPr>
        <w:t>in the frequency range</w:t>
      </w:r>
      <w:r w:rsidR="007162F1">
        <w:rPr>
          <w:lang w:val="en"/>
        </w:rPr>
        <w:t>s</w:t>
      </w:r>
      <w:r w:rsidR="007162F1" w:rsidRPr="004C2810">
        <w:rPr>
          <w:lang w:val="en"/>
        </w:rPr>
        <w:t xml:space="preserve"> 28.5</w:t>
      </w:r>
      <w:r w:rsidR="0029177D">
        <w:rPr>
          <w:lang w:val="en"/>
        </w:rPr>
        <w:t>–</w:t>
      </w:r>
      <w:r w:rsidR="007162F1" w:rsidRPr="004C2810">
        <w:rPr>
          <w:lang w:val="en"/>
        </w:rPr>
        <w:t>29.1 GH</w:t>
      </w:r>
      <w:r w:rsidR="007162F1">
        <w:rPr>
          <w:lang w:val="en"/>
        </w:rPr>
        <w:t>z</w:t>
      </w:r>
      <w:r w:rsidR="003A421D">
        <w:rPr>
          <w:lang w:val="en"/>
        </w:rPr>
        <w:t>.</w:t>
      </w:r>
      <w:r w:rsidR="007162F1">
        <w:rPr>
          <w:lang w:val="en"/>
        </w:rPr>
        <w:t xml:space="preserve"> </w:t>
      </w:r>
    </w:p>
    <w:p w14:paraId="132E1F52" w14:textId="3B26FCE8" w:rsidR="00183535" w:rsidRDefault="007D41E4" w:rsidP="004043B8">
      <w:pPr>
        <w:keepLines/>
        <w:spacing w:after="80"/>
        <w:rPr>
          <w:lang w:val="en"/>
        </w:rPr>
      </w:pPr>
      <w:r>
        <w:rPr>
          <w:lang w:val="en"/>
        </w:rPr>
        <w:t>Note</w:t>
      </w:r>
      <w:r w:rsidR="00183535">
        <w:rPr>
          <w:lang w:val="en"/>
        </w:rPr>
        <w:t xml:space="preserve"> a decision under </w:t>
      </w:r>
      <w:r w:rsidR="00B34EA3">
        <w:rPr>
          <w:lang w:val="en"/>
        </w:rPr>
        <w:t>10(10) is not required in other frequency ranges as:</w:t>
      </w:r>
    </w:p>
    <w:p w14:paraId="7BA6019F" w14:textId="4372BF2A" w:rsidR="007D41E4" w:rsidRDefault="007D41E4" w:rsidP="004043B8">
      <w:pPr>
        <w:pStyle w:val="ListParagraph"/>
        <w:keepLines/>
        <w:numPr>
          <w:ilvl w:val="0"/>
          <w:numId w:val="20"/>
        </w:numPr>
        <w:spacing w:after="80"/>
      </w:pPr>
      <w:r>
        <w:t>Subsection 10(9)</w:t>
      </w:r>
      <w:r w:rsidR="009A0E4E">
        <w:rPr>
          <w:rStyle w:val="FootnoteReference"/>
        </w:rPr>
        <w:footnoteReference w:id="2"/>
      </w:r>
      <w:r>
        <w:t xml:space="preserve"> of the Spectrum Plan enables the use of earth station receivers in motion in the frequency ranges 17.7–18.</w:t>
      </w:r>
      <w:r w:rsidR="00A67086">
        <w:t>6</w:t>
      </w:r>
      <w:r>
        <w:t xml:space="preserve"> GHz, 18.8–19.3 GHz and 19.7–20.2 GHz.</w:t>
      </w:r>
    </w:p>
    <w:p w14:paraId="6A6422B5" w14:textId="5ECEB424" w:rsidR="00183535" w:rsidRPr="00B34EA3" w:rsidRDefault="00B34EA3" w:rsidP="004043B8">
      <w:pPr>
        <w:pStyle w:val="ListParagraph"/>
        <w:keepLines/>
        <w:numPr>
          <w:ilvl w:val="0"/>
          <w:numId w:val="20"/>
        </w:numPr>
        <w:spacing w:after="80"/>
        <w:rPr>
          <w:lang w:val="en"/>
        </w:rPr>
      </w:pPr>
      <w:r>
        <w:lastRenderedPageBreak/>
        <w:t>In</w:t>
      </w:r>
      <w:r w:rsidR="004043B8">
        <w:t xml:space="preserve"> </w:t>
      </w:r>
      <w:r w:rsidR="00183535" w:rsidRPr="00E9429D">
        <w:t>the frequency range 29.5</w:t>
      </w:r>
      <w:r w:rsidR="00183535">
        <w:t>–</w:t>
      </w:r>
      <w:r w:rsidR="00183535" w:rsidRPr="00E9429D">
        <w:t>30 GHz</w:t>
      </w:r>
      <w:r w:rsidR="00183535">
        <w:t>,</w:t>
      </w:r>
      <w:r w:rsidR="00183535" w:rsidRPr="00E9429D">
        <w:t xml:space="preserve"> </w:t>
      </w:r>
      <w:r w:rsidR="00183535">
        <w:t xml:space="preserve">in the Spectrum Plan </w:t>
      </w:r>
      <w:r w:rsidR="00183535" w:rsidRPr="00E9429D">
        <w:t>there are allocations for the mobile satellite service (secondary 29.5</w:t>
      </w:r>
      <w:r w:rsidR="00183535">
        <w:t>–</w:t>
      </w:r>
      <w:r w:rsidR="00183535" w:rsidRPr="00E9429D">
        <w:t>29.9 GHz, primary 29.9</w:t>
      </w:r>
      <w:r w:rsidR="00183535" w:rsidRPr="00B34EA3">
        <w:rPr>
          <w:rFonts w:cs="Arial"/>
        </w:rPr>
        <w:t>–</w:t>
      </w:r>
      <w:r w:rsidR="00183535" w:rsidRPr="00E9429D">
        <w:t>30</w:t>
      </w:r>
      <w:r w:rsidR="00183535">
        <w:t> </w:t>
      </w:r>
      <w:r w:rsidR="00183535" w:rsidRPr="00E9429D">
        <w:t xml:space="preserve">GHz) </w:t>
      </w:r>
      <w:r w:rsidR="00183535">
        <w:t xml:space="preserve">and </w:t>
      </w:r>
      <w:r w:rsidR="00183535" w:rsidRPr="00E9429D">
        <w:t>a decision under subsection 10(10) is not required for that frequency range.</w:t>
      </w:r>
      <w:r w:rsidR="00183535">
        <w:t xml:space="preserve"> </w:t>
      </w:r>
      <w:r w:rsidR="00183535" w:rsidRPr="00E9429D">
        <w:t xml:space="preserve">That is, </w:t>
      </w:r>
      <w:r w:rsidR="00183535">
        <w:t xml:space="preserve">in Australia </w:t>
      </w:r>
      <w:r w:rsidR="00183535" w:rsidRPr="00E9429D">
        <w:t>the operation of earth stations in motion communicating with space stations in the fixed</w:t>
      </w:r>
      <w:r w:rsidR="00183535">
        <w:t xml:space="preserve"> </w:t>
      </w:r>
      <w:r w:rsidR="00183535" w:rsidRPr="00E9429D">
        <w:t>satellite service (Earth-to-space) in the frequency range 29.5</w:t>
      </w:r>
      <w:r w:rsidR="00183535">
        <w:t>–</w:t>
      </w:r>
      <w:r w:rsidR="00183535" w:rsidRPr="00E9429D">
        <w:t>30</w:t>
      </w:r>
      <w:r w:rsidR="00183535">
        <w:t> </w:t>
      </w:r>
      <w:r w:rsidR="00183535" w:rsidRPr="00E9429D">
        <w:t>GHz would be consistent with the Spectrum Plan</w:t>
      </w:r>
      <w:r w:rsidR="00183535">
        <w:t xml:space="preserve"> (allocation for mobile satellite services provide support for moving earth stations).</w:t>
      </w:r>
    </w:p>
    <w:p w14:paraId="13C7429F" w14:textId="77777777" w:rsidR="00AC5660" w:rsidRDefault="00AC5660" w:rsidP="004043B8">
      <w:pPr>
        <w:keepLines/>
        <w:spacing w:after="80"/>
        <w:rPr>
          <w:lang w:val="en"/>
        </w:rPr>
      </w:pPr>
    </w:p>
    <w:p w14:paraId="5DAB352F" w14:textId="276B2AB5" w:rsidR="007162F1" w:rsidRDefault="00C10E39" w:rsidP="004043B8">
      <w:pPr>
        <w:pStyle w:val="Heading3"/>
        <w:keepNext w:val="0"/>
        <w:tabs>
          <w:tab w:val="left" w:pos="567"/>
        </w:tabs>
      </w:pPr>
      <w:bookmarkStart w:id="16" w:name="_Toc486404154"/>
      <w:bookmarkStart w:id="17" w:name="_Toc111750925"/>
      <w:r>
        <w:t>2.3</w:t>
      </w:r>
      <w:r>
        <w:tab/>
      </w:r>
      <w:r w:rsidR="007162F1">
        <w:t>Regulatory status of ubiquitous ESIM</w:t>
      </w:r>
      <w:bookmarkEnd w:id="16"/>
      <w:bookmarkEnd w:id="17"/>
    </w:p>
    <w:p w14:paraId="0C24422A" w14:textId="29A7FDD9" w:rsidR="007162F1" w:rsidRDefault="007162F1" w:rsidP="001557EA">
      <w:r>
        <w:t>T</w:t>
      </w:r>
      <w:r w:rsidRPr="00AD700C">
        <w:t xml:space="preserve">he operation </w:t>
      </w:r>
      <w:r>
        <w:t xml:space="preserve">of ubiquitous earth stations in frequency bands covered by this BOP is supported </w:t>
      </w:r>
      <w:r w:rsidRPr="00AD700C">
        <w:t xml:space="preserve">via the </w:t>
      </w:r>
      <w:hyperlink r:id="rId36" w:history="1">
        <w:r w:rsidRPr="00AD700C">
          <w:rPr>
            <w:rStyle w:val="Hyperlink"/>
          </w:rPr>
          <w:t>Radiocommunications (Communication with Space Object) Class Licence 2015</w:t>
        </w:r>
      </w:hyperlink>
      <w:r w:rsidRPr="00AD700C">
        <w:t xml:space="preserve"> (CSO </w:t>
      </w:r>
      <w:r w:rsidR="007A78B1">
        <w:t>C</w:t>
      </w:r>
      <w:r w:rsidRPr="00AD700C">
        <w:t xml:space="preserve">lass </w:t>
      </w:r>
      <w:r w:rsidR="007A78B1">
        <w:t>L</w:t>
      </w:r>
      <w:r w:rsidRPr="00AD700C">
        <w:t>icence)</w:t>
      </w:r>
      <w:r w:rsidR="00BA634D">
        <w:t>,</w:t>
      </w:r>
      <w:r w:rsidRPr="00AD700C">
        <w:t xml:space="preserve"> provided an applicable space/space receive apparatus has been issued (</w:t>
      </w:r>
      <w:r w:rsidR="00BA634D">
        <w:t>see the</w:t>
      </w:r>
      <w:r w:rsidR="00BA634D" w:rsidRPr="00AD700C">
        <w:t xml:space="preserve"> </w:t>
      </w:r>
      <w:hyperlink r:id="rId37" w:history="1">
        <w:r w:rsidRPr="00AD700C">
          <w:rPr>
            <w:rStyle w:val="Hyperlink"/>
            <w:lang w:val="en"/>
          </w:rPr>
          <w:t xml:space="preserve">Space </w:t>
        </w:r>
        <w:r w:rsidR="00B11932">
          <w:rPr>
            <w:rStyle w:val="Hyperlink"/>
            <w:lang w:val="en"/>
          </w:rPr>
          <w:t>licence</w:t>
        </w:r>
      </w:hyperlink>
      <w:r w:rsidR="00BA634D" w:rsidRPr="00DC2D84">
        <w:rPr>
          <w:rStyle w:val="Hyperlink"/>
          <w:u w:val="none"/>
          <w:lang w:val="en"/>
        </w:rPr>
        <w:t xml:space="preserve"> </w:t>
      </w:r>
      <w:r w:rsidR="00BA634D" w:rsidRPr="00692A86">
        <w:t>section on the ACMA website</w:t>
      </w:r>
      <w:r w:rsidRPr="00AD700C">
        <w:rPr>
          <w:lang w:val="en"/>
        </w:rPr>
        <w:t>)</w:t>
      </w:r>
      <w:r w:rsidR="00BA634D">
        <w:rPr>
          <w:lang w:val="en"/>
        </w:rPr>
        <w:t>.</w:t>
      </w:r>
    </w:p>
    <w:p w14:paraId="660B02EC" w14:textId="27B3B324" w:rsidR="007162F1" w:rsidRDefault="007162F1" w:rsidP="002D047A">
      <w:r>
        <w:t>Under the CSO Class Licence, an earth station operates under the condition that its operation does not interfere with the operation of a radiocommunications receiver. In addition</w:t>
      </w:r>
      <w:r w:rsidR="00BA634D">
        <w:t>,</w:t>
      </w:r>
      <w:r>
        <w:t xml:space="preserve"> stations authorised by CSO </w:t>
      </w:r>
      <w:r w:rsidR="005D0636">
        <w:t>C</w:t>
      </w:r>
      <w:r>
        <w:t xml:space="preserve">lass </w:t>
      </w:r>
      <w:r w:rsidR="005D0636">
        <w:t>L</w:t>
      </w:r>
      <w:r>
        <w:t xml:space="preserve">icence </w:t>
      </w:r>
      <w:r w:rsidRPr="00477E8B">
        <w:t>will not be afforded protection from the interference caused by other radiocommunications services</w:t>
      </w:r>
      <w:r>
        <w:t>.</w:t>
      </w:r>
    </w:p>
    <w:p w14:paraId="4F7C0461" w14:textId="1EBA0A21" w:rsidR="007162F1" w:rsidRDefault="007162F1">
      <w:r>
        <w:t>While there are no international arrangements</w:t>
      </w:r>
      <w:r w:rsidR="00BA634D">
        <w:t>;</w:t>
      </w:r>
      <w:r>
        <w:t xml:space="preserve"> that is</w:t>
      </w:r>
      <w:r w:rsidR="00BA634D">
        <w:t>,</w:t>
      </w:r>
      <w:r>
        <w:t xml:space="preserve"> the operation of ESIM as covered by this BOP is not provided for by the Radio Regulations of the International Telecommunication Union, operation is subject to ITU Radio Regulation No</w:t>
      </w:r>
      <w:r w:rsidR="00BA634D">
        <w:t>. </w:t>
      </w:r>
      <w:r>
        <w:t xml:space="preserve">4.4. </w:t>
      </w:r>
    </w:p>
    <w:p w14:paraId="63C0E59D" w14:textId="23DF8333" w:rsidR="007162F1" w:rsidRDefault="007162F1">
      <w:r>
        <w:t xml:space="preserve">This means that ESIMs cannot </w:t>
      </w:r>
      <w:r w:rsidR="00DD5004">
        <w:t xml:space="preserve">constrain </w:t>
      </w:r>
      <w:r>
        <w:t>the operation of services that are operated in accordance with domestic arrangements and the ITU Radio Regulations.</w:t>
      </w:r>
      <w:r w:rsidRPr="00D367D3">
        <w:t xml:space="preserve"> </w:t>
      </w:r>
    </w:p>
    <w:p w14:paraId="7A3592D8" w14:textId="77777777" w:rsidR="007162F1" w:rsidRDefault="007162F1">
      <w:r>
        <w:rPr>
          <w:lang w:val="en"/>
        </w:rPr>
        <w:t>In that regard</w:t>
      </w:r>
      <w:r w:rsidR="00BA634D">
        <w:rPr>
          <w:lang w:val="en"/>
        </w:rPr>
        <w:t>,</w:t>
      </w:r>
      <w:r>
        <w:rPr>
          <w:lang w:val="en"/>
        </w:rPr>
        <w:t xml:space="preserve"> licensees and users </w:t>
      </w:r>
      <w:r w:rsidRPr="003B014F">
        <w:rPr>
          <w:lang w:val="en"/>
        </w:rPr>
        <w:t xml:space="preserve">are encouraged to pay </w:t>
      </w:r>
      <w:proofErr w:type="gramStart"/>
      <w:r w:rsidRPr="003B014F">
        <w:rPr>
          <w:lang w:val="en"/>
        </w:rPr>
        <w:t>particular regard</w:t>
      </w:r>
      <w:proofErr w:type="gramEnd"/>
      <w:r w:rsidRPr="003B014F">
        <w:rPr>
          <w:lang w:val="en"/>
        </w:rPr>
        <w:t xml:space="preserve"> to the suitability of operating under </w:t>
      </w:r>
      <w:r>
        <w:rPr>
          <w:lang w:val="en"/>
        </w:rPr>
        <w:t xml:space="preserve">these arrangements </w:t>
      </w:r>
      <w:r w:rsidRPr="003B014F">
        <w:rPr>
          <w:lang w:val="en"/>
        </w:rPr>
        <w:t>for their radiocommunications needs</w:t>
      </w:r>
      <w:r>
        <w:rPr>
          <w:lang w:val="en"/>
        </w:rPr>
        <w:t xml:space="preserve"> (for example</w:t>
      </w:r>
      <w:r w:rsidR="00BA634D">
        <w:rPr>
          <w:lang w:val="en"/>
        </w:rPr>
        <w:t>,</w:t>
      </w:r>
      <w:r w:rsidRPr="003B014F">
        <w:rPr>
          <w:rFonts w:ascii="HelveticaNeueW01-45Ligh" w:hAnsi="HelveticaNeueW01-45Ligh"/>
          <w:szCs w:val="20"/>
          <w:lang w:val="en"/>
        </w:rPr>
        <w:t xml:space="preserve"> </w:t>
      </w:r>
      <w:r>
        <w:rPr>
          <w:lang w:val="en"/>
        </w:rPr>
        <w:t xml:space="preserve">applications with </w:t>
      </w:r>
      <w:r w:rsidRPr="003B014F">
        <w:rPr>
          <w:lang w:val="en"/>
        </w:rPr>
        <w:t>safety-of-life implications</w:t>
      </w:r>
      <w:r>
        <w:rPr>
          <w:lang w:val="en"/>
        </w:rPr>
        <w:t>)</w:t>
      </w:r>
      <w:r w:rsidRPr="003B014F">
        <w:rPr>
          <w:lang w:val="en"/>
        </w:rPr>
        <w:t>.</w:t>
      </w:r>
    </w:p>
    <w:p w14:paraId="744F6E5D" w14:textId="2598B85F" w:rsidR="007162F1" w:rsidRPr="006D46E5" w:rsidRDefault="00C10E39" w:rsidP="004043B8">
      <w:pPr>
        <w:pStyle w:val="Heading3"/>
        <w:keepNext w:val="0"/>
        <w:keepLines/>
        <w:tabs>
          <w:tab w:val="left" w:pos="567"/>
        </w:tabs>
      </w:pPr>
      <w:bookmarkStart w:id="18" w:name="_Toc486404155"/>
      <w:bookmarkStart w:id="19" w:name="_Toc111750926"/>
      <w:r>
        <w:t>2.4</w:t>
      </w:r>
      <w:r>
        <w:tab/>
      </w:r>
      <w:r w:rsidR="007162F1">
        <w:t xml:space="preserve">Interference </w:t>
      </w:r>
      <w:r w:rsidR="00BA634D">
        <w:t>m</w:t>
      </w:r>
      <w:r w:rsidR="007162F1">
        <w:t xml:space="preserve">anagement </w:t>
      </w:r>
      <w:r w:rsidR="00BA634D">
        <w:t>r</w:t>
      </w:r>
      <w:r w:rsidR="007162F1">
        <w:t>equirements</w:t>
      </w:r>
      <w:bookmarkEnd w:id="18"/>
      <w:bookmarkEnd w:id="19"/>
    </w:p>
    <w:p w14:paraId="6435C021" w14:textId="1B9E6C7E" w:rsidR="007162F1" w:rsidRPr="00DE32A1" w:rsidRDefault="007162F1" w:rsidP="004043B8">
      <w:pPr>
        <w:keepLines/>
        <w:spacing w:after="80"/>
      </w:pPr>
      <w:r w:rsidRPr="00637E79">
        <w:rPr>
          <w:szCs w:val="20"/>
        </w:rPr>
        <w:t xml:space="preserve">Interference </w:t>
      </w:r>
      <w:r>
        <w:rPr>
          <w:szCs w:val="20"/>
        </w:rPr>
        <w:t xml:space="preserve">management requirements </w:t>
      </w:r>
      <w:r w:rsidRPr="00637E79">
        <w:rPr>
          <w:szCs w:val="20"/>
        </w:rPr>
        <w:t>are based on compliance with the ECC decision</w:t>
      </w:r>
      <w:r w:rsidRPr="00B26DE3">
        <w:t xml:space="preserve"> </w:t>
      </w:r>
      <w:r w:rsidR="00A4721C">
        <w:t xml:space="preserve">approved </w:t>
      </w:r>
      <w:r w:rsidRPr="00B26DE3">
        <w:t>3 July 2015</w:t>
      </w:r>
      <w:r w:rsidR="00A4721C">
        <w:t xml:space="preserve"> and </w:t>
      </w:r>
      <w:r w:rsidR="00B939E1">
        <w:t xml:space="preserve">last </w:t>
      </w:r>
      <w:r w:rsidR="00A4721C">
        <w:t>amended 20 November 2020</w:t>
      </w:r>
      <w:r w:rsidRPr="00B26DE3">
        <w:t xml:space="preserve"> on the harmonised use, free circulation and exemption from individual </w:t>
      </w:r>
      <w:r w:rsidRPr="007162F1">
        <w:t>licensing</w:t>
      </w:r>
      <w:r w:rsidRPr="00B26DE3">
        <w:t xml:space="preserve"> of Land</w:t>
      </w:r>
      <w:r w:rsidR="00763C95">
        <w:t>,</w:t>
      </w:r>
      <w:r w:rsidRPr="00B26DE3">
        <w:t xml:space="preserve"> Maritime</w:t>
      </w:r>
      <w:r w:rsidR="00763C95">
        <w:t xml:space="preserve"> and Aeronautical</w:t>
      </w:r>
      <w:r w:rsidRPr="00B26DE3">
        <w:t xml:space="preserve"> Earth Stations On Mobile Platforms (ESOMPs) operating with NGSO FSS satellite systems in the frequency </w:t>
      </w:r>
      <w:r w:rsidRPr="00DE32A1">
        <w:t>ranges 17.3</w:t>
      </w:r>
      <w:r w:rsidR="00BA634D" w:rsidRPr="00DE32A1">
        <w:t>–</w:t>
      </w:r>
      <w:r w:rsidRPr="00DE32A1">
        <w:t>20.2 GHz, 27.5</w:t>
      </w:r>
      <w:r w:rsidR="00BA634D" w:rsidRPr="00DE32A1">
        <w:t>–</w:t>
      </w:r>
      <w:r w:rsidRPr="00DE32A1">
        <w:t>29.1 GHz and 29.5</w:t>
      </w:r>
      <w:r w:rsidR="00BA634D" w:rsidRPr="00DE32A1">
        <w:t>–</w:t>
      </w:r>
      <w:r w:rsidRPr="00DE32A1">
        <w:t>30.0 GHz (</w:t>
      </w:r>
      <w:hyperlink r:id="rId38" w:history="1">
        <w:r w:rsidRPr="00DE32A1">
          <w:rPr>
            <w:rStyle w:val="Hyperlink"/>
          </w:rPr>
          <w:t>ECC/DEC/(15)04</w:t>
        </w:r>
      </w:hyperlink>
      <w:r w:rsidR="002C7431" w:rsidRPr="00DE32A1">
        <w:t>)</w:t>
      </w:r>
      <w:r w:rsidR="00D24D03" w:rsidRPr="00DE32A1">
        <w:t>.</w:t>
      </w:r>
    </w:p>
    <w:p w14:paraId="34F4F071" w14:textId="5EA43EFF" w:rsidR="007162F1" w:rsidRDefault="007162F1" w:rsidP="001557EA">
      <w:r w:rsidRPr="00DE32A1">
        <w:t xml:space="preserve">More details on these decisions can be found on the </w:t>
      </w:r>
      <w:hyperlink r:id="rId39" w:history="1">
        <w:r w:rsidRPr="00DE32A1">
          <w:rPr>
            <w:rStyle w:val="Hyperlink"/>
          </w:rPr>
          <w:t>European Communications Office Documentation Database</w:t>
        </w:r>
      </w:hyperlink>
      <w:r w:rsidRPr="00DE32A1">
        <w:t>.</w:t>
      </w:r>
    </w:p>
    <w:p w14:paraId="29F09B20" w14:textId="44C11AAC" w:rsidR="009A4AA1" w:rsidRDefault="009A4AA1" w:rsidP="009A4AA1">
      <w:pPr>
        <w:pStyle w:val="Heading3"/>
        <w:keepNext w:val="0"/>
        <w:keepLines/>
        <w:tabs>
          <w:tab w:val="left" w:pos="567"/>
        </w:tabs>
        <w:rPr>
          <w:lang w:val="en"/>
        </w:rPr>
      </w:pPr>
      <w:bookmarkStart w:id="20" w:name="_Toc111750927"/>
      <w:r>
        <w:t>2.</w:t>
      </w:r>
      <w:r w:rsidR="002D7178">
        <w:t>5</w:t>
      </w:r>
      <w:r>
        <w:tab/>
      </w:r>
      <w:r w:rsidR="008C2E14" w:rsidRPr="00543193">
        <w:rPr>
          <w:lang w:val="en"/>
        </w:rPr>
        <w:t xml:space="preserve">Earth station receivers and 18 GHz point to point fixed link </w:t>
      </w:r>
      <w:r w:rsidR="008C2E14">
        <w:rPr>
          <w:lang w:val="en"/>
        </w:rPr>
        <w:t>transmitters</w:t>
      </w:r>
      <w:bookmarkEnd w:id="20"/>
    </w:p>
    <w:p w14:paraId="5A1D0E58" w14:textId="41B31D56" w:rsidR="00D21137" w:rsidRPr="0057000F" w:rsidRDefault="00D21137" w:rsidP="00D21137">
      <w:r w:rsidRPr="0057000F">
        <w:t xml:space="preserve">Under the CSO Class Licence, the operation of earth station receivers is authorised on the basis of no protection is afforded from interference caused by a point-to-point station in the 18.2-18.8 GHz  frequency band.  </w:t>
      </w:r>
    </w:p>
    <w:p w14:paraId="28F27343" w14:textId="70D46445" w:rsidR="009A4AA1" w:rsidRPr="0057000F" w:rsidRDefault="00D21137" w:rsidP="001557EA">
      <w:r w:rsidRPr="0057000F">
        <w:t>Written confirmation from the applicant for space apparatus licences in this band is required stating that they accept that operation of earth station receivers would be on the basis that no protection is afforded from interference — from either current or future fixed links, and that operation is not to constrain the future growth of fixed services in this band nor would they be considered in future replanning processes for fixed services.</w:t>
      </w:r>
    </w:p>
    <w:p w14:paraId="33B8FAFD" w14:textId="77777777" w:rsidR="007162F1" w:rsidRPr="00AD5166" w:rsidRDefault="007162F1" w:rsidP="00C10E39">
      <w:pPr>
        <w:pStyle w:val="Heading2"/>
        <w:numPr>
          <w:ilvl w:val="0"/>
          <w:numId w:val="16"/>
        </w:numPr>
        <w:ind w:left="567" w:hanging="567"/>
      </w:pPr>
      <w:bookmarkStart w:id="21" w:name="_Toc482603579"/>
      <w:bookmarkStart w:id="22" w:name="_Toc483400676"/>
      <w:bookmarkStart w:id="23" w:name="_Toc483406740"/>
      <w:bookmarkStart w:id="24" w:name="_Toc486404156"/>
      <w:bookmarkStart w:id="25" w:name="_Toc111750928"/>
      <w:r w:rsidRPr="00AD5166">
        <w:lastRenderedPageBreak/>
        <w:t xml:space="preserve">Regulatory </w:t>
      </w:r>
      <w:r w:rsidRPr="00C46CB6">
        <w:t>considerations</w:t>
      </w:r>
      <w:bookmarkEnd w:id="21"/>
      <w:bookmarkEnd w:id="22"/>
      <w:bookmarkEnd w:id="23"/>
      <w:bookmarkEnd w:id="24"/>
      <w:bookmarkEnd w:id="25"/>
    </w:p>
    <w:p w14:paraId="5A8190E1" w14:textId="7CEC09B3" w:rsidR="007162F1" w:rsidRPr="00692A86" w:rsidRDefault="007162F1" w:rsidP="007162F1">
      <w:r>
        <w:t>As with all radiocommunications services</w:t>
      </w:r>
      <w:r w:rsidR="0043322D">
        <w:t>,</w:t>
      </w:r>
      <w:r>
        <w:t xml:space="preserve"> frequency assigning and licensing needs to be consistent with current regulatory arrangements. At a high level, this means consistency with requirements as specified in</w:t>
      </w:r>
      <w:r w:rsidR="0043322D">
        <w:t xml:space="preserve"> the</w:t>
      </w:r>
      <w:r>
        <w:t xml:space="preserve"> </w:t>
      </w:r>
      <w:hyperlink r:id="rId40" w:history="1">
        <w:r w:rsidR="0043322D" w:rsidRPr="003018EB">
          <w:rPr>
            <w:rStyle w:val="Hyperlink"/>
            <w:i/>
          </w:rPr>
          <w:t>Radiocommunications Act 1992</w:t>
        </w:r>
      </w:hyperlink>
      <w:r>
        <w:t xml:space="preserve"> (the Act),</w:t>
      </w:r>
      <w:r w:rsidR="0043322D">
        <w:t xml:space="preserve"> the</w:t>
      </w:r>
      <w:r>
        <w:t xml:space="preserve"> </w:t>
      </w:r>
      <w:r w:rsidR="00DD5004">
        <w:t>S</w:t>
      </w:r>
      <w:r w:rsidR="00DD5004" w:rsidRPr="001B3B8E">
        <w:t>pectrum P</w:t>
      </w:r>
      <w:r w:rsidR="00DD5004" w:rsidRPr="005D0636">
        <w:t>lan</w:t>
      </w:r>
      <w:r>
        <w:rPr>
          <w:rStyle w:val="FootnoteReference"/>
        </w:rPr>
        <w:footnoteReference w:id="3"/>
      </w:r>
      <w:r>
        <w:t>,</w:t>
      </w:r>
      <w:r w:rsidRPr="0080247B">
        <w:t xml:space="preserve"> </w:t>
      </w:r>
      <w:hyperlink r:id="rId41" w:history="1">
        <w:r>
          <w:rPr>
            <w:rStyle w:val="Hyperlink"/>
          </w:rPr>
          <w:t>band plans</w:t>
        </w:r>
      </w:hyperlink>
      <w:r>
        <w:t xml:space="preserve"> (</w:t>
      </w:r>
      <w:r w:rsidRPr="0080247B">
        <w:t>both legislative</w:t>
      </w:r>
      <w:r>
        <w:rPr>
          <w:rStyle w:val="FootnoteReference"/>
        </w:rPr>
        <w:footnoteReference w:id="4"/>
      </w:r>
      <w:r w:rsidRPr="0080247B">
        <w:t xml:space="preserve"> and administrative</w:t>
      </w:r>
      <w:r>
        <w:t xml:space="preserve">) </w:t>
      </w:r>
      <w:r w:rsidRPr="0080247B">
        <w:t xml:space="preserve">and </w:t>
      </w:r>
      <w:hyperlink r:id="rId42" w:history="1">
        <w:r w:rsidRPr="0026136B">
          <w:rPr>
            <w:rStyle w:val="Hyperlink"/>
            <w:rFonts w:cs="Arial"/>
            <w:szCs w:val="20"/>
          </w:rPr>
          <w:t>spectrum embargo</w:t>
        </w:r>
        <w:r>
          <w:rPr>
            <w:rStyle w:val="Hyperlink"/>
            <w:rFonts w:cs="Arial"/>
            <w:szCs w:val="20"/>
          </w:rPr>
          <w:t>e</w:t>
        </w:r>
        <w:r w:rsidRPr="0026136B">
          <w:rPr>
            <w:rStyle w:val="Hyperlink"/>
            <w:rFonts w:cs="Arial"/>
            <w:szCs w:val="20"/>
          </w:rPr>
          <w:t>s</w:t>
        </w:r>
      </w:hyperlink>
      <w:r>
        <w:t xml:space="preserve">. </w:t>
      </w:r>
    </w:p>
    <w:p w14:paraId="379FE0D4" w14:textId="31C123B3" w:rsidR="007162F1" w:rsidRDefault="007162F1" w:rsidP="007162F1">
      <w:r>
        <w:t>For the licensing of space</w:t>
      </w:r>
      <w:r w:rsidR="0043322D">
        <w:t>-</w:t>
      </w:r>
      <w:r>
        <w:t>based communication systems (in this case</w:t>
      </w:r>
      <w:r w:rsidR="0043322D">
        <w:t>,</w:t>
      </w:r>
      <w:r>
        <w:t xml:space="preserve"> space and space receive), an additional requirement is to consider </w:t>
      </w:r>
      <w:r w:rsidRPr="00615474">
        <w:t xml:space="preserve">the </w:t>
      </w:r>
      <w:r>
        <w:t xml:space="preserve">ITU </w:t>
      </w:r>
      <w:r w:rsidRPr="00615474">
        <w:t xml:space="preserve">regulatory status </w:t>
      </w:r>
      <w:r>
        <w:t xml:space="preserve">and details </w:t>
      </w:r>
      <w:r w:rsidRPr="00615474">
        <w:t>of the satellite network with which the earth</w:t>
      </w:r>
      <w:r>
        <w:t>/space</w:t>
      </w:r>
      <w:r w:rsidRPr="00615474">
        <w:t xml:space="preserve"> station intends to communicate</w:t>
      </w:r>
      <w:r>
        <w:t xml:space="preserve">. While the operation of ESIM is unlikely to be recorded in the satellite network filing, knowing how the network </w:t>
      </w:r>
      <w:r w:rsidRPr="00615474">
        <w:t>is progressing throug</w:t>
      </w:r>
      <w:r>
        <w:t>h the ITU coordination process will be used to inform the ACMA</w:t>
      </w:r>
      <w:r w:rsidR="00900266">
        <w:t>’s</w:t>
      </w:r>
      <w:r>
        <w:t xml:space="preserve"> decision</w:t>
      </w:r>
      <w:r w:rsidR="00900266">
        <w:t>-</w:t>
      </w:r>
      <w:r>
        <w:t xml:space="preserve">making. </w:t>
      </w:r>
    </w:p>
    <w:p w14:paraId="0B80FDBC" w14:textId="77777777" w:rsidR="007162F1" w:rsidRDefault="00C10E39" w:rsidP="00C10E39">
      <w:pPr>
        <w:pStyle w:val="Heading3"/>
        <w:tabs>
          <w:tab w:val="left" w:pos="567"/>
        </w:tabs>
      </w:pPr>
      <w:bookmarkStart w:id="26" w:name="_Toc486253377"/>
      <w:bookmarkStart w:id="27" w:name="_Toc482623776"/>
      <w:bookmarkStart w:id="28" w:name="_Toc486404157"/>
      <w:bookmarkStart w:id="29" w:name="_Toc111750929"/>
      <w:bookmarkEnd w:id="26"/>
      <w:r>
        <w:t>3.1</w:t>
      </w:r>
      <w:r>
        <w:tab/>
      </w:r>
      <w:r w:rsidR="007162F1" w:rsidRPr="00D367D3">
        <w:t>Australian</w:t>
      </w:r>
      <w:r w:rsidR="007162F1">
        <w:t xml:space="preserve"> space regulations</w:t>
      </w:r>
      <w:bookmarkEnd w:id="27"/>
      <w:bookmarkEnd w:id="28"/>
      <w:bookmarkEnd w:id="29"/>
    </w:p>
    <w:p w14:paraId="6E92CB2B" w14:textId="704ECF03" w:rsidR="007162F1" w:rsidRDefault="007162F1" w:rsidP="007162F1">
      <w:pPr>
        <w:rPr>
          <w:lang w:val="en"/>
        </w:rPr>
      </w:pPr>
      <w:r w:rsidRPr="006A7956">
        <w:rPr>
          <w:lang w:val="en"/>
        </w:rPr>
        <w:t xml:space="preserve">Australian space systems operate under the requirements of Australian legislation. </w:t>
      </w:r>
      <w:r>
        <w:rPr>
          <w:lang w:val="en"/>
        </w:rPr>
        <w:t>D</w:t>
      </w:r>
      <w:r w:rsidRPr="006A7956">
        <w:rPr>
          <w:lang w:val="en"/>
        </w:rPr>
        <w:t>etails of the relev</w:t>
      </w:r>
      <w:r>
        <w:rPr>
          <w:lang w:val="en"/>
        </w:rPr>
        <w:t xml:space="preserve">ant legislation and regulations are outlined on the </w:t>
      </w:r>
      <w:hyperlink r:id="rId43" w:history="1">
        <w:r w:rsidR="000C22CF" w:rsidRPr="007C3833">
          <w:rPr>
            <w:rStyle w:val="Hyperlink"/>
            <w:lang w:val="en"/>
          </w:rPr>
          <w:t>Space licence</w:t>
        </w:r>
      </w:hyperlink>
      <w:r w:rsidR="000C22CF">
        <w:rPr>
          <w:lang w:val="en"/>
        </w:rPr>
        <w:t xml:space="preserve"> </w:t>
      </w:r>
      <w:r w:rsidR="00900266">
        <w:rPr>
          <w:lang w:val="en"/>
        </w:rPr>
        <w:t xml:space="preserve">section </w:t>
      </w:r>
      <w:r>
        <w:rPr>
          <w:lang w:val="en"/>
        </w:rPr>
        <w:t xml:space="preserve">of </w:t>
      </w:r>
      <w:r>
        <w:rPr>
          <w:rFonts w:cs="Arial"/>
          <w:lang w:val="en"/>
        </w:rPr>
        <w:t xml:space="preserve">the ACMA website. </w:t>
      </w:r>
    </w:p>
    <w:p w14:paraId="10892177" w14:textId="4F5548EE" w:rsidR="007162F1" w:rsidRDefault="007162F1" w:rsidP="005D0636">
      <w:pPr>
        <w:keepNext/>
        <w:spacing w:after="80"/>
      </w:pPr>
      <w:r>
        <w:rPr>
          <w:rFonts w:cs="Arial"/>
          <w:lang w:val="en"/>
        </w:rPr>
        <w:t xml:space="preserve">Under those requirements, </w:t>
      </w:r>
      <w:proofErr w:type="gramStart"/>
      <w:r>
        <w:rPr>
          <w:rFonts w:cs="Arial"/>
          <w:lang w:val="en"/>
        </w:rPr>
        <w:t>in</w:t>
      </w:r>
      <w:r w:rsidRPr="00045193">
        <w:t xml:space="preserve"> order to</w:t>
      </w:r>
      <w:proofErr w:type="gramEnd"/>
      <w:r w:rsidRPr="00045193">
        <w:t xml:space="preserve"> issue a s</w:t>
      </w:r>
      <w:r>
        <w:t>pace or a space receive licence</w:t>
      </w:r>
      <w:r w:rsidR="00D14DB9">
        <w:t>,</w:t>
      </w:r>
      <w:r>
        <w:t xml:space="preserve"> the:</w:t>
      </w:r>
    </w:p>
    <w:p w14:paraId="77D59AFC" w14:textId="0ECD0597" w:rsidR="007162F1" w:rsidRPr="00F41BB6" w:rsidRDefault="007162F1" w:rsidP="005D0636">
      <w:pPr>
        <w:pStyle w:val="ListBullet"/>
        <w:keepNext/>
        <w:keepLines/>
      </w:pPr>
      <w:r w:rsidRPr="00BF3C2C">
        <w:t xml:space="preserve">related </w:t>
      </w:r>
      <w:r>
        <w:t>space object</w:t>
      </w:r>
      <w:r w:rsidRPr="00BF3C2C">
        <w:t xml:space="preserve"> (</w:t>
      </w:r>
      <w:r>
        <w:t>that is</w:t>
      </w:r>
      <w:r w:rsidR="00900266">
        <w:t>,</w:t>
      </w:r>
      <w:r>
        <w:t xml:space="preserve"> the space station) must be</w:t>
      </w:r>
      <w:r w:rsidR="00900266">
        <w:t xml:space="preserve"> either:</w:t>
      </w:r>
    </w:p>
    <w:p w14:paraId="58A79DB2" w14:textId="794A9920" w:rsidR="007162F1" w:rsidRPr="00C12C8B" w:rsidRDefault="007162F1" w:rsidP="005D0636">
      <w:pPr>
        <w:pStyle w:val="ListBullet2"/>
        <w:keepNext/>
        <w:keepLines/>
        <w:rPr>
          <w:rStyle w:val="Hyperlink"/>
          <w:color w:val="auto"/>
          <w:u w:val="none"/>
        </w:rPr>
      </w:pPr>
      <w:r>
        <w:t>an Australian space object listed in</w:t>
      </w:r>
      <w:r w:rsidR="00900266">
        <w:t xml:space="preserve"> the</w:t>
      </w:r>
      <w:r>
        <w:t xml:space="preserve"> </w:t>
      </w:r>
      <w:hyperlink r:id="rId44" w:history="1">
        <w:r w:rsidRPr="00045193">
          <w:rPr>
            <w:rStyle w:val="Hyperlink"/>
          </w:rPr>
          <w:t>Radiocommunications (Australian Space Objects) Determination 2014</w:t>
        </w:r>
      </w:hyperlink>
    </w:p>
    <w:p w14:paraId="2DA7D950" w14:textId="1B48AC6E" w:rsidR="00C12C8B" w:rsidRPr="00C12C8B" w:rsidRDefault="00C12C8B" w:rsidP="00C12C8B">
      <w:pPr>
        <w:pStyle w:val="ListBullet2"/>
        <w:numPr>
          <w:ilvl w:val="0"/>
          <w:numId w:val="0"/>
        </w:numPr>
        <w:ind w:left="578" w:firstLine="267"/>
      </w:pPr>
      <w:r w:rsidRPr="00C12C8B">
        <w:rPr>
          <w:rStyle w:val="Hyperlink"/>
          <w:color w:val="auto"/>
          <w:u w:val="none"/>
        </w:rPr>
        <w:t>or</w:t>
      </w:r>
    </w:p>
    <w:p w14:paraId="3159A216" w14:textId="3DE14A80" w:rsidR="007162F1" w:rsidRDefault="007162F1" w:rsidP="00692A86">
      <w:pPr>
        <w:pStyle w:val="ListBullet2"/>
        <w:spacing w:after="240"/>
      </w:pPr>
      <w:r>
        <w:t xml:space="preserve">a space object that is </w:t>
      </w:r>
      <w:r w:rsidRPr="00BF3C2C">
        <w:t>owned</w:t>
      </w:r>
      <w:r>
        <w:t xml:space="preserve">, </w:t>
      </w:r>
      <w:r w:rsidRPr="00BF3C2C">
        <w:t xml:space="preserve">controlled </w:t>
      </w:r>
      <w:r>
        <w:t xml:space="preserve">or </w:t>
      </w:r>
      <w:r w:rsidRPr="00BF3C2C">
        <w:t>operated</w:t>
      </w:r>
      <w:r>
        <w:t xml:space="preserve"> </w:t>
      </w:r>
      <w:r w:rsidRPr="00BF3C2C">
        <w:t xml:space="preserve">by </w:t>
      </w:r>
      <w:r>
        <w:t xml:space="preserve">a company/entity </w:t>
      </w:r>
      <w:r w:rsidRPr="00BF3C2C">
        <w:t xml:space="preserve">listed in </w:t>
      </w:r>
      <w:r w:rsidRPr="00045193">
        <w:t xml:space="preserve">the </w:t>
      </w:r>
      <w:hyperlink r:id="rId45" w:history="1">
        <w:r w:rsidRPr="00045193">
          <w:rPr>
            <w:rStyle w:val="Hyperlink"/>
          </w:rPr>
          <w:t>Radiocommunications (Foreign Space Objects) Determination 2014</w:t>
        </w:r>
      </w:hyperlink>
      <w:r w:rsidR="00900266" w:rsidRPr="00692A86">
        <w:t>.</w:t>
      </w:r>
    </w:p>
    <w:p w14:paraId="1E8E0B0C" w14:textId="35A25495" w:rsidR="007162F1" w:rsidRDefault="00900266" w:rsidP="00692A86">
      <w:r>
        <w:t xml:space="preserve">Additionally, the </w:t>
      </w:r>
      <w:r w:rsidR="007162F1" w:rsidRPr="0045162A">
        <w:t>frequency range of operation</w:t>
      </w:r>
      <w:r w:rsidR="007162F1">
        <w:t xml:space="preserve"> </w:t>
      </w:r>
      <w:r w:rsidR="007162F1" w:rsidRPr="0045162A">
        <w:t xml:space="preserve">must be listed in </w:t>
      </w:r>
      <w:r w:rsidR="007162F1">
        <w:t xml:space="preserve">the </w:t>
      </w:r>
      <w:hyperlink r:id="rId46" w:history="1">
        <w:r w:rsidR="00876D7A">
          <w:rPr>
            <w:rStyle w:val="Hyperlink"/>
            <w:rFonts w:cs="Arial"/>
          </w:rPr>
          <w:t>CSO Class L</w:t>
        </w:r>
        <w:r w:rsidR="007162F1" w:rsidRPr="00165385">
          <w:rPr>
            <w:rStyle w:val="Hyperlink"/>
            <w:rFonts w:cs="Arial"/>
          </w:rPr>
          <w:t>icence</w:t>
        </w:r>
      </w:hyperlink>
      <w:r w:rsidR="00165385">
        <w:rPr>
          <w:rFonts w:cs="Arial"/>
        </w:rPr>
        <w:t>,</w:t>
      </w:r>
      <w:r w:rsidR="007162F1">
        <w:t xml:space="preserve"> which authorises the operation of the associated earth stations</w:t>
      </w:r>
      <w:r w:rsidR="00C12C8B">
        <w:t>.</w:t>
      </w:r>
      <w:r w:rsidR="00165385">
        <w:t xml:space="preserve"> </w:t>
      </w:r>
      <w:r w:rsidR="00C12C8B">
        <w:t>In addition, a</w:t>
      </w:r>
      <w:r w:rsidR="00165385">
        <w:t xml:space="preserve">ny </w:t>
      </w:r>
      <w:r w:rsidR="007162F1">
        <w:t xml:space="preserve">service provided by </w:t>
      </w:r>
      <w:r w:rsidR="00C12C8B">
        <w:t xml:space="preserve">the </w:t>
      </w:r>
      <w:r w:rsidR="007162F1">
        <w:t xml:space="preserve">associated earth stations must be consistent with the </w:t>
      </w:r>
      <w:hyperlink r:id="rId47" w:history="1">
        <w:r w:rsidR="007162F1" w:rsidRPr="00F41BB6">
          <w:rPr>
            <w:color w:val="0000FF"/>
            <w:u w:val="single"/>
          </w:rPr>
          <w:t>Australian Radiofrequency Spectrum Plan</w:t>
        </w:r>
      </w:hyperlink>
      <w:r w:rsidR="007162F1">
        <w:t>.</w:t>
      </w:r>
      <w:r w:rsidR="007162F1">
        <w:rPr>
          <w:rStyle w:val="FootnoteReference"/>
        </w:rPr>
        <w:footnoteReference w:id="5"/>
      </w:r>
      <w:r w:rsidR="007162F1">
        <w:t xml:space="preserve"> This includes services supported under decisions made under subsection 10(10) of the spectrum plan (refer section </w:t>
      </w:r>
      <w:r w:rsidR="007162F1">
        <w:fldChar w:fldCharType="begin"/>
      </w:r>
      <w:r w:rsidR="007162F1">
        <w:instrText xml:space="preserve"> REF _Ref486259571 \r \h </w:instrText>
      </w:r>
      <w:r w:rsidR="007162F1">
        <w:fldChar w:fldCharType="separate"/>
      </w:r>
      <w:r w:rsidR="0098235E">
        <w:t>0</w:t>
      </w:r>
      <w:r w:rsidR="007162F1">
        <w:fldChar w:fldCharType="end"/>
      </w:r>
      <w:r w:rsidR="007162F1">
        <w:t>).</w:t>
      </w:r>
    </w:p>
    <w:p w14:paraId="4A4A8368" w14:textId="598349B7" w:rsidR="007162F1" w:rsidRDefault="007162F1" w:rsidP="007162F1">
      <w:r>
        <w:t>Consistency with the Determinations (Australian and Foreign Space Object</w:t>
      </w:r>
      <w:r w:rsidR="00F42CBE">
        <w:t xml:space="preserve"> determination</w:t>
      </w:r>
      <w:r>
        <w:t>s) should be checked b</w:t>
      </w:r>
      <w:r w:rsidRPr="00045193">
        <w:t xml:space="preserve">efore undertaking the procedures below, as licences cannot be issued </w:t>
      </w:r>
      <w:r>
        <w:t>if those requirements cannot be met. The operation of ESIM as described in the purpose of the BOP will be consistent with</w:t>
      </w:r>
      <w:r w:rsidR="00876D7A">
        <w:t xml:space="preserve"> requirements of the CSO Class L</w:t>
      </w:r>
      <w:r>
        <w:t xml:space="preserve">icence and Spectrum Plan. </w:t>
      </w:r>
      <w:r w:rsidRPr="00045193">
        <w:t>If in doubt, seek advice from the ACMA’s</w:t>
      </w:r>
      <w:r>
        <w:t xml:space="preserve"> satellite coordination area, </w:t>
      </w:r>
      <w:r w:rsidR="00DC2D84">
        <w:t xml:space="preserve">by </w:t>
      </w:r>
      <w:r>
        <w:t>email</w:t>
      </w:r>
      <w:r w:rsidR="00DC2D84">
        <w:t>ing</w:t>
      </w:r>
      <w:r>
        <w:t xml:space="preserve"> </w:t>
      </w:r>
      <w:hyperlink r:id="rId48" w:history="1">
        <w:r w:rsidRPr="00E4401D">
          <w:rPr>
            <w:rStyle w:val="Hyperlink"/>
            <w:bCs/>
          </w:rPr>
          <w:t>satellite.coordination@acma.gov.au</w:t>
        </w:r>
      </w:hyperlink>
      <w:r w:rsidR="00DC2D84" w:rsidRPr="00692A86">
        <w:t>.</w:t>
      </w:r>
    </w:p>
    <w:p w14:paraId="27A00187" w14:textId="77777777" w:rsidR="007162F1" w:rsidRPr="006A71AB" w:rsidRDefault="00C10E39" w:rsidP="00C10E39">
      <w:pPr>
        <w:pStyle w:val="Heading3"/>
        <w:tabs>
          <w:tab w:val="left" w:pos="567"/>
        </w:tabs>
      </w:pPr>
      <w:bookmarkStart w:id="30" w:name="_Toc475094512"/>
      <w:bookmarkStart w:id="31" w:name="_Toc486404158"/>
      <w:bookmarkStart w:id="32" w:name="_Toc475094510"/>
      <w:bookmarkStart w:id="33" w:name="_Toc111750930"/>
      <w:r>
        <w:t>3.2</w:t>
      </w:r>
      <w:r>
        <w:tab/>
      </w:r>
      <w:r w:rsidR="007162F1">
        <w:t>I</w:t>
      </w:r>
      <w:r w:rsidR="007162F1" w:rsidRPr="006A71AB">
        <w:t>nternational regulatory status of a satellite network</w:t>
      </w:r>
      <w:bookmarkEnd w:id="30"/>
      <w:bookmarkEnd w:id="31"/>
      <w:bookmarkEnd w:id="33"/>
    </w:p>
    <w:p w14:paraId="40675C3A" w14:textId="77777777" w:rsidR="007162F1" w:rsidRDefault="007162F1" w:rsidP="00C46CB6">
      <w:r w:rsidRPr="00DD4280">
        <w:t xml:space="preserve">The </w:t>
      </w:r>
      <w:r>
        <w:t>ITU</w:t>
      </w:r>
      <w:r w:rsidRPr="00DD4280">
        <w:t xml:space="preserve"> regulatory status of a satellite system is determined by checking the ITU’s Master International Frequency Register (MIFR).</w:t>
      </w:r>
    </w:p>
    <w:p w14:paraId="584A0226" w14:textId="1CAFDA75" w:rsidR="007162F1" w:rsidRDefault="007162F1" w:rsidP="007162F1">
      <w:r>
        <w:t xml:space="preserve">While the operation of ESIM is unlikely to be recorded in the satellite network filing, knowing how the network </w:t>
      </w:r>
      <w:r w:rsidRPr="00615474">
        <w:t>is progressing throug</w:t>
      </w:r>
      <w:r>
        <w:t>h the ITU coordination process will be used to inform the ACMA</w:t>
      </w:r>
      <w:r w:rsidR="00DC2D84">
        <w:t>’s</w:t>
      </w:r>
      <w:r>
        <w:t xml:space="preserve"> decision</w:t>
      </w:r>
      <w:r w:rsidR="00DC2D84">
        <w:t>-</w:t>
      </w:r>
      <w:r>
        <w:t>making.</w:t>
      </w:r>
    </w:p>
    <w:p w14:paraId="2A4146EB" w14:textId="0DCD3EAC" w:rsidR="007162F1" w:rsidRDefault="007162F1" w:rsidP="007162F1">
      <w:r w:rsidRPr="00615474">
        <w:lastRenderedPageBreak/>
        <w:t>If a satellite system is recorded in the MIFR</w:t>
      </w:r>
      <w:r>
        <w:t xml:space="preserve"> </w:t>
      </w:r>
      <w:r w:rsidRPr="00615474">
        <w:t>with a favourable finding, the</w:t>
      </w:r>
      <w:r>
        <w:t xml:space="preserve"> risk of interference (when operating in accordance with the ITU filing) may be considered acceptably low and </w:t>
      </w:r>
      <w:r w:rsidR="00DC2D84">
        <w:t xml:space="preserve">the </w:t>
      </w:r>
      <w:r>
        <w:t>only measures required are those to address the interference risk from the operation of ESIM.</w:t>
      </w:r>
    </w:p>
    <w:p w14:paraId="254A7A6B" w14:textId="00DF76CA" w:rsidR="007162F1" w:rsidRDefault="007162F1" w:rsidP="007162F1">
      <w:r w:rsidRPr="00615474">
        <w:t>In the case where a satellite system is not yet recorded in the MIFR but is progressing throug</w:t>
      </w:r>
      <w:r>
        <w:t xml:space="preserve">h the ITU coordination process, </w:t>
      </w:r>
      <w:r w:rsidRPr="00615474">
        <w:t xml:space="preserve">the ACMA </w:t>
      </w:r>
      <w:r>
        <w:t>would</w:t>
      </w:r>
      <w:r w:rsidRPr="00615474">
        <w:t xml:space="preserve"> seek </w:t>
      </w:r>
      <w:r w:rsidR="00DC2D84" w:rsidRPr="00615474">
        <w:t>information</w:t>
      </w:r>
      <w:r w:rsidR="00DC2D84">
        <w:t xml:space="preserve"> </w:t>
      </w:r>
      <w:r w:rsidR="00DC2D84" w:rsidRPr="00615474">
        <w:t>about its ITU coordination status from the applicant</w:t>
      </w:r>
      <w:r w:rsidR="00DC2D84">
        <w:t xml:space="preserve"> via a Letter of Assurance (LOA), </w:t>
      </w:r>
      <w:r>
        <w:t xml:space="preserve">unless the information was already available to the ACMA. This information </w:t>
      </w:r>
      <w:r w:rsidR="00DC2D84">
        <w:t xml:space="preserve">will </w:t>
      </w:r>
      <w:r w:rsidRPr="00615474">
        <w:t>ascertain whether or not the proposed system is like</w:t>
      </w:r>
      <w:r w:rsidR="002C7431">
        <w:t>ly to be recorded in the MIFR.</w:t>
      </w:r>
    </w:p>
    <w:p w14:paraId="35471491" w14:textId="0A63060E" w:rsidR="007162F1" w:rsidRPr="00E10B1E" w:rsidRDefault="006007A1" w:rsidP="007162F1">
      <w:pPr>
        <w:rPr>
          <w:rFonts w:cs="Arial"/>
        </w:rPr>
      </w:pPr>
      <w:r>
        <w:rPr>
          <w:rFonts w:cs="Arial"/>
        </w:rPr>
        <w:t xml:space="preserve">In an </w:t>
      </w:r>
      <w:r w:rsidR="007162F1">
        <w:rPr>
          <w:rFonts w:cs="Arial"/>
        </w:rPr>
        <w:t>LOA</w:t>
      </w:r>
      <w:r>
        <w:rPr>
          <w:rFonts w:cs="Arial"/>
        </w:rPr>
        <w:t xml:space="preserve">, </w:t>
      </w:r>
      <w:r w:rsidR="007162F1" w:rsidRPr="00AF2C0C">
        <w:rPr>
          <w:rFonts w:cs="Arial"/>
        </w:rPr>
        <w:t xml:space="preserve">the applicant advises the ACMA of any ITU publications references, including coordination request and/or notification notices and </w:t>
      </w:r>
      <w:r w:rsidR="007162F1">
        <w:rPr>
          <w:rFonts w:cs="Arial"/>
        </w:rPr>
        <w:t>relevant information</w:t>
      </w:r>
      <w:r w:rsidR="007162F1" w:rsidRPr="00AF2C0C">
        <w:rPr>
          <w:rFonts w:cs="Arial"/>
        </w:rPr>
        <w:t xml:space="preserve"> of any unresolved coordination issues. The LOA will also include a statement to the effect that measures will be taken to ensure the operation of the satellite network in Australia will not cause interference to other satellite networks/systems operating in accordance with the ITU Radio Regulations. </w:t>
      </w:r>
      <w:r w:rsidR="007162F1" w:rsidRPr="00F635B4">
        <w:rPr>
          <w:rFonts w:cs="Arial"/>
        </w:rPr>
        <w:t xml:space="preserve">Details on the measures to be undertaken to not cause interference should be included in the LOA. The format of the letter of assurance is at </w:t>
      </w:r>
      <w:r w:rsidRPr="00F42CBE">
        <w:rPr>
          <w:rFonts w:cs="Arial"/>
          <w:i/>
        </w:rPr>
        <w:t xml:space="preserve"> </w:t>
      </w:r>
      <w:r w:rsidR="007162F1" w:rsidRPr="00F42CBE">
        <w:rPr>
          <w:rFonts w:cs="Arial"/>
          <w:i/>
        </w:rPr>
        <w:fldChar w:fldCharType="begin"/>
      </w:r>
      <w:r w:rsidR="007162F1" w:rsidRPr="00F42CBE">
        <w:rPr>
          <w:rFonts w:cs="Arial"/>
          <w:i/>
        </w:rPr>
        <w:instrText xml:space="preserve"> REF _Ref486327553 \h  \* MERGEFORMAT </w:instrText>
      </w:r>
      <w:r w:rsidR="007162F1" w:rsidRPr="00F42CBE">
        <w:rPr>
          <w:rFonts w:cs="Arial"/>
          <w:i/>
        </w:rPr>
      </w:r>
      <w:r w:rsidR="007162F1" w:rsidRPr="00F42CBE">
        <w:rPr>
          <w:rFonts w:cs="Arial"/>
          <w:i/>
        </w:rPr>
        <w:fldChar w:fldCharType="separate"/>
      </w:r>
      <w:r w:rsidR="0098235E" w:rsidRPr="00965235">
        <w:rPr>
          <w:i/>
        </w:rPr>
        <w:t xml:space="preserve">Appendix C: Letter of </w:t>
      </w:r>
      <w:r w:rsidR="0098235E">
        <w:t xml:space="preserve">Assurance </w:t>
      </w:r>
      <w:r w:rsidR="0098235E" w:rsidRPr="00C801C4">
        <w:t>pro forma</w:t>
      </w:r>
      <w:r w:rsidR="007162F1" w:rsidRPr="00F42CBE">
        <w:rPr>
          <w:rFonts w:cs="Arial"/>
          <w:i/>
        </w:rPr>
        <w:fldChar w:fldCharType="end"/>
      </w:r>
      <w:r w:rsidR="007162F1" w:rsidRPr="00F635B4">
        <w:rPr>
          <w:rFonts w:cs="Arial"/>
        </w:rPr>
        <w:t>.</w:t>
      </w:r>
    </w:p>
    <w:p w14:paraId="02ECD346" w14:textId="66FE3E3F" w:rsidR="007162F1" w:rsidRDefault="007162F1" w:rsidP="007162F1">
      <w:r w:rsidRPr="005F6194">
        <w:t>If information on a satellite system is yet to be published or processed by the ITU, the AC</w:t>
      </w:r>
      <w:r>
        <w:t>MA</w:t>
      </w:r>
      <w:r w:rsidRPr="005F6194">
        <w:t xml:space="preserve"> is unlikely to issue a licence</w:t>
      </w:r>
      <w:r w:rsidR="00E03DFF">
        <w:t>,</w:t>
      </w:r>
      <w:r w:rsidR="00E03DFF" w:rsidRPr="00E03DFF">
        <w:t xml:space="preserve"> </w:t>
      </w:r>
      <w:r w:rsidR="00E03DFF" w:rsidRPr="005F6194">
        <w:t>given the additional risk for the operating of ESIMs</w:t>
      </w:r>
      <w:r w:rsidRPr="005F6194">
        <w:t>.</w:t>
      </w:r>
    </w:p>
    <w:p w14:paraId="5271DAAD" w14:textId="77777777" w:rsidR="007162F1" w:rsidRPr="006D46E5" w:rsidRDefault="007162F1" w:rsidP="00C10E39">
      <w:pPr>
        <w:pStyle w:val="Heading2"/>
        <w:numPr>
          <w:ilvl w:val="0"/>
          <w:numId w:val="16"/>
        </w:numPr>
        <w:ind w:left="567" w:hanging="567"/>
      </w:pPr>
      <w:bookmarkStart w:id="34" w:name="_Toc486404159"/>
      <w:bookmarkStart w:id="35" w:name="_Toc111750931"/>
      <w:r>
        <w:t>Seeking views of affected licensees</w:t>
      </w:r>
      <w:bookmarkEnd w:id="34"/>
      <w:bookmarkEnd w:id="35"/>
    </w:p>
    <w:p w14:paraId="1F42A1E4" w14:textId="1A870B0F" w:rsidR="00A02609" w:rsidRDefault="007162F1" w:rsidP="00A02609">
      <w:r w:rsidRPr="001457E2">
        <w:t>Currently</w:t>
      </w:r>
      <w:r w:rsidR="00E03DFF">
        <w:t>,</w:t>
      </w:r>
      <w:r w:rsidRPr="001457E2">
        <w:t xml:space="preserve"> there are no international arrangements (that is, they are not provided for by the </w:t>
      </w:r>
      <w:r w:rsidR="00E03DFF">
        <w:t xml:space="preserve">ITU </w:t>
      </w:r>
      <w:r w:rsidRPr="001457E2">
        <w:t xml:space="preserve">Radio Regulations) </w:t>
      </w:r>
      <w:r w:rsidR="00E03DFF">
        <w:t>for</w:t>
      </w:r>
      <w:r w:rsidR="00E03DFF" w:rsidRPr="001457E2">
        <w:t xml:space="preserve"> </w:t>
      </w:r>
      <w:r w:rsidRPr="001457E2">
        <w:t>the</w:t>
      </w:r>
      <w:r>
        <w:t xml:space="preserve"> operation of ESIM as covered by this BOP</w:t>
      </w:r>
      <w:r w:rsidRPr="001457E2">
        <w:t>. This means</w:t>
      </w:r>
      <w:r>
        <w:t xml:space="preserve"> existing (and future) licensees for other radiocommunications services will </w:t>
      </w:r>
      <w:r w:rsidR="0083726D">
        <w:t xml:space="preserve">not </w:t>
      </w:r>
      <w:r>
        <w:t>have considered ESIM in their planning and</w:t>
      </w:r>
      <w:r w:rsidR="005D0636">
        <w:t>,</w:t>
      </w:r>
      <w:r w:rsidRPr="001457E2">
        <w:t xml:space="preserve"> </w:t>
      </w:r>
      <w:r w:rsidR="0083726D">
        <w:t xml:space="preserve">therefore, </w:t>
      </w:r>
      <w:r>
        <w:t>operation under</w:t>
      </w:r>
      <w:r w:rsidRPr="001457E2">
        <w:t xml:space="preserve"> </w:t>
      </w:r>
      <w:r>
        <w:t>this BOP</w:t>
      </w:r>
      <w:r w:rsidRPr="001457E2">
        <w:t xml:space="preserve"> will be subject to ITU Radio Regulation No 4.4</w:t>
      </w:r>
      <w:r w:rsidR="00E03DFF">
        <w:t>.</w:t>
      </w:r>
      <w:r>
        <w:rPr>
          <w:rStyle w:val="FootnoteReference"/>
        </w:rPr>
        <w:footnoteReference w:id="6"/>
      </w:r>
      <w:r w:rsidRPr="001457E2">
        <w:t xml:space="preserve"> </w:t>
      </w:r>
      <w:r>
        <w:t>As a mitigation</w:t>
      </w:r>
      <w:r w:rsidR="00E03DFF">
        <w:t>,</w:t>
      </w:r>
      <w:r>
        <w:t xml:space="preserve"> the </w:t>
      </w:r>
      <w:r w:rsidR="00E03DFF">
        <w:t xml:space="preserve">ACMA will consider the </w:t>
      </w:r>
      <w:r>
        <w:t>views of existing licensees before approving a licence application for ESIM.</w:t>
      </w:r>
      <w:r w:rsidR="00A02609">
        <w:t xml:space="preserve"> An exception is that no consultation is required with licensees of </w:t>
      </w:r>
      <w:r w:rsidR="00A02609" w:rsidRPr="001D526D">
        <w:t xml:space="preserve">body scanners </w:t>
      </w:r>
      <w:r w:rsidR="00A02609">
        <w:t>used</w:t>
      </w:r>
      <w:r w:rsidR="00A02609" w:rsidRPr="001D526D">
        <w:t xml:space="preserve"> for the purpose of aviation security screening</w:t>
      </w:r>
      <w:r w:rsidR="00A02609">
        <w:t>.</w:t>
      </w:r>
    </w:p>
    <w:p w14:paraId="2BE2BEFD" w14:textId="5E870736" w:rsidR="007162F1" w:rsidRPr="004E6072" w:rsidRDefault="007162F1" w:rsidP="007162F1">
      <w:r>
        <w:t>Applicant</w:t>
      </w:r>
      <w:r w:rsidR="00E03DFF">
        <w:t>s</w:t>
      </w:r>
      <w:r>
        <w:t xml:space="preserve"> must demonstrate they have sought the views of relevant licensees (both terrestrial</w:t>
      </w:r>
      <w:r>
        <w:rPr>
          <w:rStyle w:val="FootnoteReference"/>
        </w:rPr>
        <w:footnoteReference w:id="7"/>
      </w:r>
      <w:r>
        <w:t xml:space="preserve"> and space</w:t>
      </w:r>
      <w:r w:rsidR="00E03DFF">
        <w:t>-</w:t>
      </w:r>
      <w:r>
        <w:t xml:space="preserve">based communication services) by providing evidence </w:t>
      </w:r>
      <w:r w:rsidRPr="004E6072">
        <w:t>of consultation with relevant licensees</w:t>
      </w:r>
      <w:r w:rsidR="0083726D">
        <w:t>.</w:t>
      </w:r>
      <w:r>
        <w:t xml:space="preserve"> </w:t>
      </w:r>
      <w:r w:rsidR="0083726D">
        <w:t xml:space="preserve">This will include </w:t>
      </w:r>
      <w:r w:rsidRPr="004E6072">
        <w:t xml:space="preserve">seeking their views </w:t>
      </w:r>
      <w:r w:rsidR="00E03DFF">
        <w:t>on</w:t>
      </w:r>
      <w:r w:rsidRPr="004E6072">
        <w:t xml:space="preserve"> whether </w:t>
      </w:r>
      <w:r w:rsidR="0083726D">
        <w:t xml:space="preserve">there is </w:t>
      </w:r>
      <w:r w:rsidRPr="004E6072">
        <w:t>any significant technical potential for interference expected should the licence be granted</w:t>
      </w:r>
      <w:r w:rsidR="00FB118D" w:rsidRPr="00FB118D">
        <w:rPr>
          <w:rFonts w:cs="Arial"/>
          <w:color w:val="000000"/>
          <w:szCs w:val="20"/>
        </w:rPr>
        <w:t xml:space="preserve"> </w:t>
      </w:r>
      <w:r w:rsidR="00FB118D">
        <w:rPr>
          <w:rFonts w:cs="Arial"/>
          <w:color w:val="000000"/>
          <w:szCs w:val="20"/>
        </w:rPr>
        <w:t xml:space="preserve">and </w:t>
      </w:r>
      <w:r w:rsidR="00FB118D">
        <w:rPr>
          <w:rStyle w:val="normaltextrun"/>
          <w:rFonts w:cs="Arial"/>
          <w:color w:val="000000"/>
          <w:szCs w:val="20"/>
        </w:rPr>
        <w:t>for the licence applicant to provide advice on what efforts will be taken to address those concerns</w:t>
      </w:r>
      <w:r w:rsidRPr="004E6072">
        <w:t xml:space="preserve">. </w:t>
      </w:r>
      <w:r w:rsidR="00E03DFF">
        <w:t>A</w:t>
      </w:r>
      <w:r w:rsidRPr="004E6072">
        <w:t>dditional licence conditions and advisory notes may result from such consultation.</w:t>
      </w:r>
    </w:p>
    <w:p w14:paraId="34C5C302" w14:textId="4BC59179" w:rsidR="007162F1" w:rsidRDefault="007162F1" w:rsidP="00D14DB9">
      <w:r w:rsidRPr="004E6072">
        <w:t>The purpose of this consultation is solely to identify significant potential technical concerns with ESIM use; it does not provide an obligation to obtain ‘permission’ or provide a right of veto.</w:t>
      </w:r>
    </w:p>
    <w:p w14:paraId="4162BFDE" w14:textId="77777777" w:rsidR="00975D88" w:rsidRDefault="004800FF" w:rsidP="00661E46">
      <w:r w:rsidRPr="004E6072">
        <w:lastRenderedPageBreak/>
        <w:t>For the purpose of this item, the ACMA would consider</w:t>
      </w:r>
      <w:r>
        <w:t xml:space="preserve"> licenses whose authorised frequency range is co-frequency (or overlapping).</w:t>
      </w:r>
    </w:p>
    <w:p w14:paraId="15C27A81" w14:textId="4AD0E0EE" w:rsidR="004800FF" w:rsidRPr="006D46E5" w:rsidRDefault="004800FF" w:rsidP="004800FF">
      <w:pPr>
        <w:pStyle w:val="Heading2"/>
        <w:numPr>
          <w:ilvl w:val="0"/>
          <w:numId w:val="16"/>
        </w:numPr>
        <w:ind w:left="567" w:hanging="567"/>
      </w:pPr>
      <w:r w:rsidRPr="004E6072">
        <w:t xml:space="preserve"> </w:t>
      </w:r>
      <w:bookmarkStart w:id="36" w:name="_Toc111750932"/>
      <w:r>
        <w:t>Interference management requirements</w:t>
      </w:r>
      <w:bookmarkEnd w:id="36"/>
    </w:p>
    <w:p w14:paraId="2FE43C13" w14:textId="77777777" w:rsidR="00EA0B77" w:rsidRPr="00EA0B77" w:rsidRDefault="00EA0B77" w:rsidP="004800FF">
      <w:pPr>
        <w:pStyle w:val="ListBullet"/>
        <w:numPr>
          <w:ilvl w:val="0"/>
          <w:numId w:val="0"/>
        </w:numPr>
      </w:pPr>
    </w:p>
    <w:bookmarkEnd w:id="32"/>
    <w:p w14:paraId="73E92F13" w14:textId="45AE3B8B" w:rsidR="007162F1" w:rsidRPr="001E2559" w:rsidRDefault="007162F1" w:rsidP="00F516D4">
      <w:pPr>
        <w:pStyle w:val="ListBullet"/>
        <w:numPr>
          <w:ilvl w:val="0"/>
          <w:numId w:val="0"/>
        </w:numPr>
        <w:rPr>
          <w:szCs w:val="20"/>
        </w:rPr>
      </w:pPr>
      <w:r w:rsidRPr="001E2559">
        <w:rPr>
          <w:szCs w:val="20"/>
        </w:rPr>
        <w:t xml:space="preserve">To demonstrate compliance </w:t>
      </w:r>
      <w:r>
        <w:rPr>
          <w:szCs w:val="20"/>
        </w:rPr>
        <w:t xml:space="preserve">with interference management requirements the applicant </w:t>
      </w:r>
      <w:r w:rsidRPr="001E2559">
        <w:rPr>
          <w:szCs w:val="20"/>
        </w:rPr>
        <w:t>need</w:t>
      </w:r>
      <w:r>
        <w:rPr>
          <w:szCs w:val="20"/>
        </w:rPr>
        <w:t>s</w:t>
      </w:r>
      <w:r w:rsidRPr="001E2559">
        <w:rPr>
          <w:szCs w:val="20"/>
        </w:rPr>
        <w:t xml:space="preserve"> to</w:t>
      </w:r>
      <w:r w:rsidR="00B526A7">
        <w:rPr>
          <w:szCs w:val="20"/>
        </w:rPr>
        <w:t xml:space="preserve"> </w:t>
      </w:r>
      <w:r w:rsidR="00B526A7">
        <w:rPr>
          <w:bCs/>
        </w:rPr>
        <w:t xml:space="preserve">confirm in writing that they understand all operation of an ESIM will be in compliance with </w:t>
      </w:r>
      <w:r w:rsidR="00B526A7" w:rsidRPr="001457E2">
        <w:t>ITU Radio Regulation No 4.4</w:t>
      </w:r>
      <w:r w:rsidR="00B526A7">
        <w:t xml:space="preserve"> (this can be provided as part of the </w:t>
      </w:r>
      <w:r w:rsidR="00B526A7">
        <w:rPr>
          <w:i/>
        </w:rPr>
        <w:t>L</w:t>
      </w:r>
      <w:r w:rsidR="00B526A7" w:rsidRPr="00BB65E7">
        <w:rPr>
          <w:i/>
        </w:rPr>
        <w:t xml:space="preserve">etter of </w:t>
      </w:r>
      <w:r w:rsidR="00B526A7">
        <w:rPr>
          <w:i/>
        </w:rPr>
        <w:t xml:space="preserve">Assurance </w:t>
      </w:r>
      <w:r w:rsidR="00B526A7">
        <w:t xml:space="preserve">(see section 3.2) or separately) and </w:t>
      </w:r>
      <w:r w:rsidRPr="001E2559">
        <w:rPr>
          <w:szCs w:val="20"/>
        </w:rPr>
        <w:t>either:</w:t>
      </w:r>
    </w:p>
    <w:p w14:paraId="53BFDC5E" w14:textId="496041A3" w:rsidR="007162F1" w:rsidRDefault="00165E6E" w:rsidP="007162F1">
      <w:pPr>
        <w:pStyle w:val="ListBullet"/>
      </w:pPr>
      <w:r>
        <w:t>S</w:t>
      </w:r>
      <w:r w:rsidR="007162F1" w:rsidRPr="001E2559">
        <w:t xml:space="preserve">upply evidence </w:t>
      </w:r>
      <w:r>
        <w:t>it has</w:t>
      </w:r>
      <w:r w:rsidRPr="001E2559">
        <w:t xml:space="preserve"> </w:t>
      </w:r>
      <w:r w:rsidR="007162F1" w:rsidRPr="001E2559">
        <w:t>previously provided the European Communications Office with a declaration of compliance and have an appropriate representative of the satellite operator (preferably the same person who sign</w:t>
      </w:r>
      <w:r>
        <w:t>ed</w:t>
      </w:r>
      <w:r w:rsidR="007162F1" w:rsidRPr="001E2559">
        <w:t xml:space="preserve"> the declaration of compliance) confirm that declaration is applicable in Australia</w:t>
      </w:r>
      <w:r>
        <w:t>.</w:t>
      </w:r>
      <w:r w:rsidR="004E44EF">
        <w:t xml:space="preserve"> Note compliance with Annexes 2 &amp; 3 is not required in Australia. </w:t>
      </w:r>
    </w:p>
    <w:p w14:paraId="0275F4B8" w14:textId="77777777" w:rsidR="007162F1" w:rsidRDefault="007162F1" w:rsidP="001B3B8E">
      <w:pPr>
        <w:pStyle w:val="ListBullet"/>
        <w:numPr>
          <w:ilvl w:val="0"/>
          <w:numId w:val="0"/>
        </w:numPr>
        <w:ind w:left="295"/>
      </w:pPr>
      <w:r>
        <w:t>or</w:t>
      </w:r>
    </w:p>
    <w:p w14:paraId="0239DFE9" w14:textId="7FFB6430" w:rsidR="007162F1" w:rsidRPr="001E2559" w:rsidRDefault="00165E6E" w:rsidP="007162F1">
      <w:pPr>
        <w:pStyle w:val="ListBullet"/>
      </w:pPr>
      <w:r>
        <w:t>P</w:t>
      </w:r>
      <w:r w:rsidR="007162F1">
        <w:t xml:space="preserve">rovide </w:t>
      </w:r>
      <w:r w:rsidR="007162F1" w:rsidRPr="00356AD6">
        <w:rPr>
          <w:szCs w:val="20"/>
        </w:rPr>
        <w:t>evidence and confirmation that the</w:t>
      </w:r>
      <w:r>
        <w:rPr>
          <w:szCs w:val="20"/>
        </w:rPr>
        <w:t xml:space="preserve"> </w:t>
      </w:r>
      <w:r w:rsidR="007162F1" w:rsidRPr="00356AD6">
        <w:rPr>
          <w:szCs w:val="20"/>
        </w:rPr>
        <w:t xml:space="preserve">satellite network(s) conforms to the requirements of </w:t>
      </w:r>
      <w:r w:rsidR="007162F1">
        <w:t>Decision (15)04</w:t>
      </w:r>
      <w:r w:rsidR="00D14DB9">
        <w:t xml:space="preserve">, excluding Annexes 2 &amp; 3. </w:t>
      </w:r>
      <w:r w:rsidR="00A65007">
        <w:t>T</w:t>
      </w:r>
      <w:r w:rsidR="007162F1">
        <w:t xml:space="preserve">he information </w:t>
      </w:r>
      <w:r w:rsidR="005E5EFE">
        <w:t xml:space="preserve">should be </w:t>
      </w:r>
      <w:r w:rsidR="007162F1">
        <w:t xml:space="preserve">from an </w:t>
      </w:r>
      <w:r w:rsidR="007162F1" w:rsidRPr="001E2559">
        <w:t>appropriate representative</w:t>
      </w:r>
      <w:r w:rsidR="007162F1">
        <w:t xml:space="preserve"> (preferably the head of the regulatory affairs area or equivalent). This information should include the following:</w:t>
      </w:r>
    </w:p>
    <w:p w14:paraId="014F8F72" w14:textId="374EFDEF" w:rsidR="007162F1" w:rsidRPr="00707EC1" w:rsidRDefault="007162F1" w:rsidP="007162F1">
      <w:pPr>
        <w:pStyle w:val="ListBullet2"/>
      </w:pPr>
      <w:r>
        <w:t>T</w:t>
      </w:r>
      <w:r w:rsidRPr="00707EC1">
        <w:t>hat on receipt of a report of harmful interference with respect to any terrestrial systems, the licensee and satellite operator shall immediately cease or reduce the interference to the acceptable level</w:t>
      </w:r>
      <w:r w:rsidR="00165E6E">
        <w:t>.</w:t>
      </w:r>
    </w:p>
    <w:p w14:paraId="643EA973" w14:textId="598AAB03" w:rsidR="007162F1" w:rsidRPr="00707EC1" w:rsidRDefault="007162F1" w:rsidP="007162F1">
      <w:pPr>
        <w:pStyle w:val="ListBullet2"/>
      </w:pPr>
      <w:r>
        <w:t>T</w:t>
      </w:r>
      <w:r w:rsidRPr="00707EC1">
        <w:t>hat the administration has ensured the ESIM employ techniques to track the associated NGSO FSS satellite</w:t>
      </w:r>
      <w:r w:rsidR="00165E6E">
        <w:t>.</w:t>
      </w:r>
    </w:p>
    <w:p w14:paraId="52F79D53" w14:textId="033D7E7B" w:rsidR="007162F1" w:rsidRPr="00707EC1" w:rsidRDefault="00165E6E" w:rsidP="007162F1">
      <w:pPr>
        <w:pStyle w:val="ListBullet2"/>
      </w:pPr>
      <w:r>
        <w:t>T</w:t>
      </w:r>
      <w:r w:rsidR="007162F1" w:rsidRPr="00707EC1">
        <w:t>hat the licensee and satellite operator has ensured they have the capability to limit operations of such earth stations to the territory or territories of administrations having authori</w:t>
      </w:r>
      <w:r>
        <w:t>s</w:t>
      </w:r>
      <w:r w:rsidR="007162F1" w:rsidRPr="00707EC1">
        <w:t xml:space="preserve">ed those earth stations and to comply with Article </w:t>
      </w:r>
      <w:r w:rsidR="007162F1" w:rsidRPr="00707EC1">
        <w:rPr>
          <w:b/>
        </w:rPr>
        <w:t>18</w:t>
      </w:r>
      <w:r>
        <w:rPr>
          <w:b/>
        </w:rPr>
        <w:t>.</w:t>
      </w:r>
    </w:p>
    <w:p w14:paraId="005B4AAE" w14:textId="6929F438" w:rsidR="007162F1" w:rsidRPr="00707EC1" w:rsidRDefault="007162F1" w:rsidP="007162F1">
      <w:pPr>
        <w:pStyle w:val="ListBullet2"/>
      </w:pPr>
      <w:r>
        <w:t>T</w:t>
      </w:r>
      <w:r w:rsidRPr="00707EC1">
        <w:t>hat these earth stations are subject to permanent monitoring and control by a Network Control Facility (NCF) or equivalent facility, and are capable of receiving and acting on at least ‘enable transmission’ and ‘disable transmission’ commands from the NCF</w:t>
      </w:r>
      <w:r w:rsidR="00165E6E">
        <w:t>.</w:t>
      </w:r>
    </w:p>
    <w:p w14:paraId="494C9A4D" w14:textId="426E0169" w:rsidR="007162F1" w:rsidRPr="00707EC1" w:rsidRDefault="007162F1" w:rsidP="007162F1">
      <w:pPr>
        <w:pStyle w:val="ListBullet2"/>
      </w:pPr>
      <w:r w:rsidRPr="00707EC1">
        <w:t>The licensee and satellite operator shall ensure compliance with Annex 1 in ECC Decision (15)04</w:t>
      </w:r>
      <w:r w:rsidR="004E44EF">
        <w:t>.</w:t>
      </w:r>
    </w:p>
    <w:p w14:paraId="1AC85272" w14:textId="098B09C0" w:rsidR="007162F1" w:rsidRPr="00707EC1" w:rsidRDefault="007162F1" w:rsidP="007162F1">
      <w:pPr>
        <w:pStyle w:val="ListBullet2"/>
      </w:pPr>
      <w:r>
        <w:rPr>
          <w:bCs/>
        </w:rPr>
        <w:t>T</w:t>
      </w:r>
      <w:r w:rsidRPr="00707EC1">
        <w:rPr>
          <w:bCs/>
        </w:rPr>
        <w:t>hat</w:t>
      </w:r>
      <w:r w:rsidRPr="00707EC1">
        <w:rPr>
          <w:b/>
          <w:bCs/>
        </w:rPr>
        <w:t xml:space="preserve"> </w:t>
      </w:r>
      <w:r w:rsidRPr="00707EC1">
        <w:t>the earth stations shall remain within the envelope of the coordination agreements of the satellite networks with which this earth station is associated</w:t>
      </w:r>
      <w:r w:rsidR="00165E6E">
        <w:t>.</w:t>
      </w:r>
    </w:p>
    <w:p w14:paraId="120F9272" w14:textId="77777777" w:rsidR="007162F1" w:rsidRPr="00270222" w:rsidRDefault="007162F1" w:rsidP="007162F1">
      <w:pPr>
        <w:pStyle w:val="ListBullet2"/>
        <w:rPr>
          <w:b/>
          <w:bCs/>
        </w:rPr>
      </w:pPr>
      <w:r>
        <w:t>D</w:t>
      </w:r>
      <w:r w:rsidRPr="00707EC1">
        <w:t>etails of a point of contact for the purpose of tracing any suspected cases of interference from earth stations in motion.</w:t>
      </w:r>
    </w:p>
    <w:p w14:paraId="5E86258B" w14:textId="18C3FD3F" w:rsidR="00B526A7" w:rsidRDefault="00FB118D" w:rsidP="00270222">
      <w:pPr>
        <w:pStyle w:val="BodySubHeader"/>
      </w:pPr>
      <w:r>
        <w:t>Interference Resolution</w:t>
      </w:r>
    </w:p>
    <w:p w14:paraId="140A0E87" w14:textId="4F41D111" w:rsidR="00FA4A63" w:rsidRPr="00707EC1" w:rsidRDefault="00FA4A63" w:rsidP="00270222">
      <w:pPr>
        <w:pStyle w:val="ListBullet2"/>
        <w:numPr>
          <w:ilvl w:val="0"/>
          <w:numId w:val="0"/>
        </w:numPr>
        <w:rPr>
          <w:b/>
          <w:bCs/>
        </w:rPr>
      </w:pPr>
      <w:r w:rsidRPr="00270222">
        <w:rPr>
          <w:bCs/>
        </w:rPr>
        <w:t>I</w:t>
      </w:r>
      <w:r>
        <w:t xml:space="preserve">f Australia </w:t>
      </w:r>
      <w:r w:rsidR="00C84664">
        <w:t>is</w:t>
      </w:r>
      <w:r>
        <w:t xml:space="preserve"> required to consider interference reports from neighbouring countries, the ACMA will consider compliance with Annex 2 of</w:t>
      </w:r>
      <w:r w:rsidRPr="00707EC1">
        <w:t xml:space="preserve"> ECC Decision (15)04</w:t>
      </w:r>
      <w:r>
        <w:t xml:space="preserve"> as part of any interference resolution approach.</w:t>
      </w:r>
    </w:p>
    <w:p w14:paraId="7A71C746" w14:textId="77777777" w:rsidR="007162F1" w:rsidRPr="00F41BB6" w:rsidRDefault="007162F1" w:rsidP="00C10E39">
      <w:pPr>
        <w:pStyle w:val="Heading2"/>
        <w:numPr>
          <w:ilvl w:val="0"/>
          <w:numId w:val="16"/>
        </w:numPr>
        <w:ind w:left="567" w:hanging="567"/>
      </w:pPr>
      <w:bookmarkStart w:id="37" w:name="_Toc392147078"/>
      <w:bookmarkStart w:id="38" w:name="_Toc475094514"/>
      <w:bookmarkStart w:id="39" w:name="_Toc486404161"/>
      <w:bookmarkStart w:id="40" w:name="_Toc111750933"/>
      <w:r w:rsidRPr="00F41BB6">
        <w:t xml:space="preserve">Special </w:t>
      </w:r>
      <w:r>
        <w:t>licence c</w:t>
      </w:r>
      <w:r w:rsidRPr="00F41BB6">
        <w:t xml:space="preserve">onditions and </w:t>
      </w:r>
      <w:r>
        <w:t>a</w:t>
      </w:r>
      <w:r w:rsidRPr="00F41BB6">
        <w:t xml:space="preserve">dvisory </w:t>
      </w:r>
      <w:r>
        <w:t>n</w:t>
      </w:r>
      <w:r w:rsidRPr="00F41BB6">
        <w:t>otes</w:t>
      </w:r>
      <w:bookmarkEnd w:id="37"/>
      <w:bookmarkEnd w:id="38"/>
      <w:bookmarkEnd w:id="39"/>
      <w:bookmarkEnd w:id="40"/>
    </w:p>
    <w:p w14:paraId="79F6BA8B" w14:textId="2AFE4BD3" w:rsidR="007162F1" w:rsidRPr="00113829" w:rsidRDefault="007162F1" w:rsidP="007162F1">
      <w:r w:rsidRPr="00F41BB6">
        <w:rPr>
          <w:rFonts w:cs="Arial"/>
          <w:szCs w:val="20"/>
        </w:rPr>
        <w:t>The</w:t>
      </w:r>
      <w:r>
        <w:rPr>
          <w:rFonts w:cs="Arial"/>
          <w:szCs w:val="20"/>
        </w:rPr>
        <w:t xml:space="preserve"> </w:t>
      </w:r>
      <w:hyperlink r:id="rId49" w:history="1">
        <w:r w:rsidRPr="00F41BB6">
          <w:rPr>
            <w:rStyle w:val="Hyperlink"/>
            <w:rFonts w:cs="Arial"/>
            <w:szCs w:val="20"/>
          </w:rPr>
          <w:t>Radiocommunications Licence Condition (Apparatus Licence) Determination 20</w:t>
        </w:r>
        <w:r>
          <w:rPr>
            <w:rStyle w:val="Hyperlink"/>
            <w:rFonts w:cs="Arial"/>
            <w:szCs w:val="20"/>
          </w:rPr>
          <w:t>15</w:t>
        </w:r>
      </w:hyperlink>
      <w:r w:rsidRPr="00F41BB6">
        <w:rPr>
          <w:rFonts w:cs="Arial"/>
          <w:szCs w:val="20"/>
        </w:rPr>
        <w:t xml:space="preserve"> </w:t>
      </w:r>
      <w:r w:rsidRPr="0057343B">
        <w:rPr>
          <w:rFonts w:cs="Arial"/>
          <w:szCs w:val="20"/>
        </w:rPr>
        <w:t>(LCD</w:t>
      </w:r>
      <w:r w:rsidRPr="0057343B">
        <w:t>)</w:t>
      </w:r>
      <w:r w:rsidRPr="00113829">
        <w:t xml:space="preserve"> specifies general conditions of operation that are common to most apparatus licence types. Additional conditions not in the LCD can be included on individual apparatus licences to address issues specific to an assigned service. These conditions are printed on the licence under the heading </w:t>
      </w:r>
      <w:r w:rsidR="003C26BB">
        <w:t>‘</w:t>
      </w:r>
      <w:r w:rsidRPr="00113829">
        <w:t>Special Conditions</w:t>
      </w:r>
      <w:r w:rsidR="003C26BB">
        <w:t>’</w:t>
      </w:r>
      <w:r w:rsidRPr="00113829">
        <w:t>.</w:t>
      </w:r>
    </w:p>
    <w:p w14:paraId="095F58EA" w14:textId="77777777" w:rsidR="007162F1" w:rsidRPr="00113829" w:rsidRDefault="007162F1" w:rsidP="007162F1">
      <w:r w:rsidRPr="00113829">
        <w:lastRenderedPageBreak/>
        <w:t>In addition to the above, ‘Advisory Notes’ may also be included on licences to inform licensees of matters relevant to a particular service. Unlike licence conditions, advisory notes do not impose a legal obligation on the licensee.</w:t>
      </w:r>
    </w:p>
    <w:p w14:paraId="29E2CA92" w14:textId="78AF9E8A" w:rsidR="007162F1" w:rsidRDefault="007162F1" w:rsidP="007162F1">
      <w:r w:rsidRPr="00040367">
        <w:t xml:space="preserve">Appendixes A and B detail the special conditions and advisory notes that are to be included on </w:t>
      </w:r>
      <w:r>
        <w:t xml:space="preserve">assignments (stations) for </w:t>
      </w:r>
      <w:r w:rsidRPr="00040367">
        <w:t xml:space="preserve">space or space receive licences, respectively, </w:t>
      </w:r>
      <w:r w:rsidRPr="00040367">
        <w:rPr>
          <w:rFonts w:cs="Arial"/>
        </w:rPr>
        <w:t xml:space="preserve">authorising the use of ESIM communicating with </w:t>
      </w:r>
      <w:r w:rsidR="007663B7">
        <w:rPr>
          <w:rFonts w:cs="Arial"/>
        </w:rPr>
        <w:t>non-</w:t>
      </w:r>
      <w:r w:rsidRPr="00040367">
        <w:t>geostationary space stations in the fixed-satellite service in the frequency bands</w:t>
      </w:r>
      <w:r w:rsidR="000B0007">
        <w:t xml:space="preserve"> 17.7–18.6 GHz, 18.8–19.3 GHz, 19.7–20.2 GHz,</w:t>
      </w:r>
      <w:r w:rsidRPr="00040367">
        <w:t xml:space="preserve"> 28.5</w:t>
      </w:r>
      <w:r w:rsidR="003C26BB">
        <w:t>–</w:t>
      </w:r>
      <w:r w:rsidRPr="00040367">
        <w:t>29.1 GHz and 29.5–30.0 GHz. Where a special condition or advisory note is not predefined, an accredited person will need to request the ACMA to include the appropriate condition or advisory note on the licence.</w:t>
      </w:r>
    </w:p>
    <w:p w14:paraId="7C821A67" w14:textId="4ED6078A" w:rsidR="007162F1" w:rsidRDefault="003C26BB" w:rsidP="007162F1">
      <w:pPr>
        <w:spacing w:after="80"/>
        <w:rPr>
          <w:rFonts w:cs="Arial"/>
        </w:rPr>
      </w:pPr>
      <w:r>
        <w:t>T</w:t>
      </w:r>
      <w:r w:rsidR="007162F1">
        <w:t>he operation of ESIMs is also subject to the conditions and notes of th</w:t>
      </w:r>
      <w:r w:rsidR="007162F1" w:rsidRPr="004E6072">
        <w:t xml:space="preserve">e </w:t>
      </w:r>
      <w:hyperlink r:id="rId50" w:history="1">
        <w:r w:rsidR="007162F1" w:rsidRPr="0032629E">
          <w:rPr>
            <w:rStyle w:val="Hyperlink"/>
          </w:rPr>
          <w:t>CSO Class Licence</w:t>
        </w:r>
      </w:hyperlink>
      <w:r w:rsidR="007162F1">
        <w:rPr>
          <w:rFonts w:cs="Arial"/>
        </w:rPr>
        <w:t>. These include:</w:t>
      </w:r>
    </w:p>
    <w:p w14:paraId="263BD9AE" w14:textId="0A24A349" w:rsidR="007162F1" w:rsidRDefault="003C26BB" w:rsidP="007162F1">
      <w:pPr>
        <w:pStyle w:val="ListBullet"/>
      </w:pPr>
      <w:r>
        <w:t>t</w:t>
      </w:r>
      <w:r w:rsidR="007162F1">
        <w:t xml:space="preserve">hat operation of stations under the class licence is authorised </w:t>
      </w:r>
      <w:r w:rsidR="007162F1" w:rsidRPr="008851AF">
        <w:t>only when its operation does not interfere with the operation of a radiocommunications receiver</w:t>
      </w:r>
    </w:p>
    <w:p w14:paraId="611AB037" w14:textId="3A98D800" w:rsidR="007162F1" w:rsidRDefault="003C26BB" w:rsidP="007162F1">
      <w:pPr>
        <w:pStyle w:val="ListBulletLast"/>
      </w:pPr>
      <w:r>
        <w:t>e</w:t>
      </w:r>
      <w:r w:rsidR="007162F1" w:rsidRPr="00063037">
        <w:t>arth</w:t>
      </w:r>
      <w:r w:rsidR="007162F1">
        <w:t xml:space="preserve"> station receivers authorised by the class licence</w:t>
      </w:r>
      <w:r w:rsidR="007162F1" w:rsidRPr="0013642E">
        <w:t xml:space="preserve"> will not be afforded protection from the interference caused by other radiocommunications services</w:t>
      </w:r>
      <w:r w:rsidR="007162F1" w:rsidRPr="007926A8">
        <w:t>.</w:t>
      </w:r>
    </w:p>
    <w:p w14:paraId="54017940" w14:textId="63E4B0C1" w:rsidR="00FC6D36" w:rsidRDefault="003B33AC" w:rsidP="00270222">
      <w:pPr>
        <w:pStyle w:val="Heading3"/>
      </w:pPr>
      <w:bookmarkStart w:id="41" w:name="_Toc111750934"/>
      <w:r>
        <w:t>6.1</w:t>
      </w:r>
      <w:r>
        <w:tab/>
      </w:r>
      <w:r>
        <w:tab/>
      </w:r>
      <w:r w:rsidR="00FC6D36">
        <w:t>Licence period</w:t>
      </w:r>
      <w:bookmarkEnd w:id="41"/>
    </w:p>
    <w:p w14:paraId="6FA68FB9" w14:textId="488CBF36" w:rsidR="003B33AC" w:rsidRDefault="003B33AC" w:rsidP="00270222">
      <w:r>
        <w:t>The authorisation of ESIM under this BOP is limited to 1 January 202</w:t>
      </w:r>
      <w:r w:rsidR="00807FD9">
        <w:t>5</w:t>
      </w:r>
      <w:r>
        <w:t>. Authorisation after that date is subject to a review of procedures after WRC</w:t>
      </w:r>
      <w:r w:rsidR="00887570">
        <w:t>-23</w:t>
      </w:r>
      <w:r>
        <w:t>.</w:t>
      </w:r>
    </w:p>
    <w:p w14:paraId="05F53EF0" w14:textId="30AFD50F" w:rsidR="003B33AC" w:rsidRPr="003B33AC" w:rsidRDefault="003B33AC" w:rsidP="00270222">
      <w:r>
        <w:t>Licences are to be issued as non-renewable with a li</w:t>
      </w:r>
      <w:r w:rsidR="00D14DB9">
        <w:t>cence condition to that affect.</w:t>
      </w:r>
      <w:r>
        <w:t xml:space="preserve"> The exception being licences that also authorise operation of fixed earth stations, in which case only the special condition is required. </w:t>
      </w:r>
    </w:p>
    <w:p w14:paraId="57E71D2C" w14:textId="77777777" w:rsidR="007162F1" w:rsidRPr="00F41BB6" w:rsidRDefault="007162F1">
      <w:pPr>
        <w:pStyle w:val="Heading2"/>
        <w:numPr>
          <w:ilvl w:val="0"/>
          <w:numId w:val="16"/>
        </w:numPr>
        <w:ind w:left="567" w:hanging="567"/>
      </w:pPr>
      <w:bookmarkStart w:id="42" w:name="_Toc392147079"/>
      <w:bookmarkStart w:id="43" w:name="_Toc475094515"/>
      <w:bookmarkStart w:id="44" w:name="_Toc486404162"/>
      <w:bookmarkStart w:id="45" w:name="_Toc111750935"/>
      <w:r>
        <w:t>F</w:t>
      </w:r>
      <w:r w:rsidRPr="00F41BB6">
        <w:t>urther information</w:t>
      </w:r>
      <w:bookmarkEnd w:id="42"/>
      <w:bookmarkEnd w:id="43"/>
      <w:bookmarkEnd w:id="44"/>
      <w:bookmarkEnd w:id="45"/>
    </w:p>
    <w:p w14:paraId="5857101A" w14:textId="6CF28E9C" w:rsidR="007162F1" w:rsidRDefault="007162F1" w:rsidP="00270222">
      <w:pPr>
        <w:keepNext/>
      </w:pPr>
      <w:r>
        <w:t>For information on the procedures for licensing ESIM</w:t>
      </w:r>
      <w:r w:rsidR="003C26BB">
        <w:t>,</w:t>
      </w:r>
      <w:r>
        <w:t xml:space="preserve"> please email </w:t>
      </w:r>
      <w:hyperlink r:id="rId51" w:history="1">
        <w:r w:rsidRPr="00E4401D">
          <w:rPr>
            <w:rStyle w:val="Hyperlink"/>
            <w:bCs/>
          </w:rPr>
          <w:t>satellite.coordination@acma.gov.au</w:t>
        </w:r>
      </w:hyperlink>
      <w:r w:rsidRPr="00F62661">
        <w:t>.</w:t>
      </w:r>
    </w:p>
    <w:p w14:paraId="1F119D99" w14:textId="318C3061" w:rsidR="00B73CC2" w:rsidRDefault="007162F1" w:rsidP="00B73CC2">
      <w:pPr>
        <w:keepNext/>
      </w:pPr>
      <w:r>
        <w:t>For general questions about licensing procedures, p</w:t>
      </w:r>
      <w:r w:rsidRPr="00F41BB6">
        <w:t xml:space="preserve">lease </w:t>
      </w:r>
      <w:r w:rsidR="003C26BB">
        <w:t>email</w:t>
      </w:r>
      <w:r w:rsidR="003C26BB" w:rsidRPr="00F41BB6">
        <w:t xml:space="preserve"> </w:t>
      </w:r>
      <w:r w:rsidRPr="00F41BB6">
        <w:t>the</w:t>
      </w:r>
      <w:r>
        <w:t xml:space="preserve"> ACMA’s </w:t>
      </w:r>
      <w:hyperlink r:id="rId52" w:history="1"/>
      <w:r w:rsidRPr="009D0653">
        <w:t>Licensing Information and Allocations Section</w:t>
      </w:r>
      <w:r>
        <w:t xml:space="preserve"> </w:t>
      </w:r>
      <w:r w:rsidR="003C26BB">
        <w:t>on</w:t>
      </w:r>
      <w:r>
        <w:t xml:space="preserve"> </w:t>
      </w:r>
      <w:hyperlink r:id="rId53" w:history="1">
        <w:r w:rsidRPr="006F7E57">
          <w:rPr>
            <w:rStyle w:val="Hyperlink"/>
          </w:rPr>
          <w:t>info@acma.gov.au</w:t>
        </w:r>
      </w:hyperlink>
      <w:r>
        <w:t xml:space="preserve">. </w:t>
      </w:r>
    </w:p>
    <w:p w14:paraId="4C66F34E" w14:textId="545E252E" w:rsidR="007162F1" w:rsidRDefault="00F516D4" w:rsidP="00D14DB9">
      <w:pPr>
        <w:pStyle w:val="Heading2"/>
        <w:pageBreakBefore/>
        <w:spacing w:after="120"/>
      </w:pPr>
      <w:bookmarkStart w:id="46" w:name="_Toc475094516"/>
      <w:bookmarkStart w:id="47" w:name="_Toc486404163"/>
      <w:bookmarkStart w:id="48" w:name="_Toc111750936"/>
      <w:r>
        <w:lastRenderedPageBreak/>
        <w:t xml:space="preserve">Appendix A: </w:t>
      </w:r>
      <w:r w:rsidR="007162F1">
        <w:t>Space apparatus licence</w:t>
      </w:r>
      <w:bookmarkEnd w:id="46"/>
      <w:bookmarkEnd w:id="47"/>
      <w:bookmarkEnd w:id="48"/>
    </w:p>
    <w:p w14:paraId="28CEB050" w14:textId="024A08B9" w:rsidR="007162F1" w:rsidRDefault="007162F1" w:rsidP="00663B9C">
      <w:pPr>
        <w:spacing w:after="80"/>
      </w:pPr>
      <w:r w:rsidRPr="00CE6D37">
        <w:t xml:space="preserve">The following special conditions and advisory notes are to be applied </w:t>
      </w:r>
      <w:r>
        <w:t>to</w:t>
      </w:r>
      <w:r w:rsidRPr="00113829">
        <w:t xml:space="preserve"> </w:t>
      </w:r>
      <w:r>
        <w:t xml:space="preserve">assignments (stations) on space licences </w:t>
      </w:r>
      <w:r>
        <w:rPr>
          <w:rFonts w:cs="Arial"/>
        </w:rPr>
        <w:t>authorising the use of earth stations in motion communicating with</w:t>
      </w:r>
      <w:r w:rsidR="007B6C0D">
        <w:rPr>
          <w:rFonts w:cs="Arial"/>
        </w:rPr>
        <w:t xml:space="preserve"> </w:t>
      </w:r>
      <w:r>
        <w:t xml:space="preserve">non-geostationary (NGSO) space stations in the fixed-satellite service </w:t>
      </w:r>
      <w:r w:rsidRPr="00102F03">
        <w:t>with earth stations in motion on land</w:t>
      </w:r>
      <w:r>
        <w:t xml:space="preserve"> or </w:t>
      </w:r>
      <w:r w:rsidRPr="00102F03">
        <w:t xml:space="preserve">on water </w:t>
      </w:r>
      <w:r>
        <w:t>in the frequency ranges 17.7</w:t>
      </w:r>
      <w:r w:rsidR="00046A03">
        <w:t>–</w:t>
      </w:r>
      <w:r>
        <w:t>18.</w:t>
      </w:r>
      <w:r w:rsidR="000B0007">
        <w:t>6</w:t>
      </w:r>
      <w:r>
        <w:t xml:space="preserve"> GHz (space-to-Earth), 18.8</w:t>
      </w:r>
      <w:r w:rsidR="00046A03">
        <w:t>–</w:t>
      </w:r>
      <w:r>
        <w:t>19.3 GHz (space-to-Earth) and 19.7</w:t>
      </w:r>
      <w:r w:rsidR="00046A03">
        <w:t>–</w:t>
      </w:r>
      <w:r>
        <w:t>20.2 GHz (space-to-Earth)</w:t>
      </w:r>
      <w:r w:rsidR="00046A03">
        <w:t>.</w:t>
      </w:r>
    </w:p>
    <w:p w14:paraId="1C4EA809" w14:textId="04798E00" w:rsidR="007162F1" w:rsidRDefault="00046A03" w:rsidP="00F516D4">
      <w:r>
        <w:t>D</w:t>
      </w:r>
      <w:r w:rsidR="007162F1">
        <w:t xml:space="preserve">ifferent conditions apply depending on whether </w:t>
      </w:r>
      <w:r>
        <w:t xml:space="preserve">or not </w:t>
      </w:r>
      <w:r w:rsidR="007162F1">
        <w:t xml:space="preserve">the satellite network is recorded in </w:t>
      </w:r>
      <w:r w:rsidR="007162F1" w:rsidRPr="00DD4280">
        <w:t>MIFR</w:t>
      </w:r>
      <w:r w:rsidR="007162F1">
        <w:t>.</w:t>
      </w:r>
    </w:p>
    <w:p w14:paraId="109112E0" w14:textId="77777777" w:rsidR="007162F1" w:rsidRPr="0032629E" w:rsidRDefault="007162F1" w:rsidP="00F516D4">
      <w:pPr>
        <w:pStyle w:val="ACMATableHeader"/>
      </w:pPr>
      <w:bookmarkStart w:id="49" w:name="_Toc486404165"/>
      <w:r w:rsidRPr="0032629E">
        <w:t>S</w:t>
      </w:r>
      <w:r>
        <w:t>pecial conditions and advisory notes</w:t>
      </w:r>
      <w:bookmarkEnd w:id="49"/>
      <w:r>
        <w:t xml:space="preserve"> </w:t>
      </w:r>
    </w:p>
    <w:tbl>
      <w:tblPr>
        <w:tblStyle w:val="TableGrid"/>
        <w:tblW w:w="5929" w:type="pct"/>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top w:w="28" w:type="dxa"/>
          <w:bottom w:w="28" w:type="dxa"/>
        </w:tblCellMar>
        <w:tblLook w:val="04A0" w:firstRow="1" w:lastRow="0" w:firstColumn="1" w:lastColumn="0" w:noHBand="0" w:noVBand="1"/>
        <w:tblDescription w:val="Prior to the frequency assignments being recorded in the MIFR, this this space station and associated earth stations may operate in accordance with the operating parameters published by the ITU in Special Sections of International Frequency Information Circulars and in accordance with any agreements reached as a result of an ITU frequency coordination process.&#10;Transmissions must not occur in circumstances that result in harmful interference to stations outside of Australia where these stations are operating in accordance with the Radio Regulations of the ITU, except where the transmissions are in accordance with any agreements reached as a result of an ITU international frequency coordination process.&#10;Radiocommunications between space stations and earth stations in motion are authorised by this licence, provided operation is in accordance with provisions of ITU Resolution 156 (WRC-15)&#10;Radiocommunications between space stations and earth stations in motion authorised under this licence shall not be used or relied upon for safety-of-life applications.&#10;This space station and associated earth stations are authorised to communicate with space stations of the [satellite network name] satellite network as published by the ITU in Special Section [ITU reference – take the most recent document number] of International Frequency Information Circular [IFIC number].&#10;The MIFR is maintained by the ITU in accordance with the Radio Regulations.&#10;Coordination agreements reached as a result of an ITU international frequency coordination process are intended to minimise the potential for harmful interference to radiocommunications stations. A radiocommunications station operated prior to a frequency assignment being recorded in the MIFR cannot necessarily claim protection from harmful interference from radiocommunications stations of other countries.&#10;"/>
      </w:tblPr>
      <w:tblGrid>
        <w:gridCol w:w="1130"/>
        <w:gridCol w:w="1419"/>
        <w:gridCol w:w="850"/>
        <w:gridCol w:w="5681"/>
        <w:gridCol w:w="9"/>
      </w:tblGrid>
      <w:tr w:rsidR="007162F1" w:rsidRPr="001D15D2" w14:paraId="45BDE52B" w14:textId="77777777" w:rsidTr="00012D10">
        <w:trPr>
          <w:tblHeader/>
        </w:trPr>
        <w:tc>
          <w:tcPr>
            <w:tcW w:w="1129" w:type="dxa"/>
            <w:shd w:val="clear" w:color="auto" w:fill="404040" w:themeFill="text1" w:themeFillTint="BF"/>
            <w:tcMar>
              <w:top w:w="57" w:type="dxa"/>
              <w:bottom w:w="57" w:type="dxa"/>
            </w:tcMar>
          </w:tcPr>
          <w:p w14:paraId="288DD84B" w14:textId="77777777" w:rsidR="007162F1" w:rsidRPr="00F516D4" w:rsidRDefault="007162F1" w:rsidP="00F516D4">
            <w:pPr>
              <w:pStyle w:val="TableHeading"/>
              <w:rPr>
                <w:color w:val="FFFFFF" w:themeColor="background1"/>
              </w:rPr>
            </w:pPr>
            <w:r w:rsidRPr="00F516D4">
              <w:rPr>
                <w:color w:val="FFFFFF" w:themeColor="background1"/>
              </w:rPr>
              <w:t>Category</w:t>
            </w:r>
          </w:p>
        </w:tc>
        <w:tc>
          <w:tcPr>
            <w:tcW w:w="1418" w:type="dxa"/>
            <w:shd w:val="clear" w:color="auto" w:fill="404040" w:themeFill="text1" w:themeFillTint="BF"/>
            <w:tcMar>
              <w:top w:w="57" w:type="dxa"/>
              <w:bottom w:w="57" w:type="dxa"/>
            </w:tcMar>
          </w:tcPr>
          <w:p w14:paraId="64AF8292" w14:textId="77777777" w:rsidR="007162F1" w:rsidRPr="00F516D4" w:rsidRDefault="007162F1" w:rsidP="00F516D4">
            <w:pPr>
              <w:pStyle w:val="TableHeading"/>
              <w:rPr>
                <w:color w:val="FFFFFF" w:themeColor="background1"/>
              </w:rPr>
            </w:pPr>
            <w:r w:rsidRPr="00F516D4">
              <w:rPr>
                <w:color w:val="FFFFFF" w:themeColor="background1"/>
              </w:rPr>
              <w:t>Type</w:t>
            </w:r>
          </w:p>
        </w:tc>
        <w:tc>
          <w:tcPr>
            <w:tcW w:w="850" w:type="dxa"/>
            <w:shd w:val="clear" w:color="auto" w:fill="404040" w:themeFill="text1" w:themeFillTint="BF"/>
            <w:tcMar>
              <w:top w:w="57" w:type="dxa"/>
              <w:bottom w:w="57" w:type="dxa"/>
            </w:tcMar>
          </w:tcPr>
          <w:p w14:paraId="3C310643" w14:textId="77777777" w:rsidR="007162F1" w:rsidRPr="00F516D4" w:rsidRDefault="007162F1" w:rsidP="00F516D4">
            <w:pPr>
              <w:pStyle w:val="TableHeading"/>
              <w:rPr>
                <w:color w:val="FFFFFF" w:themeColor="background1"/>
              </w:rPr>
            </w:pPr>
            <w:r w:rsidRPr="00F516D4">
              <w:rPr>
                <w:color w:val="FFFFFF" w:themeColor="background1"/>
              </w:rPr>
              <w:t>Item</w:t>
            </w:r>
          </w:p>
        </w:tc>
        <w:tc>
          <w:tcPr>
            <w:tcW w:w="5687" w:type="dxa"/>
            <w:gridSpan w:val="2"/>
            <w:shd w:val="clear" w:color="auto" w:fill="404040" w:themeFill="text1" w:themeFillTint="BF"/>
            <w:tcMar>
              <w:top w:w="57" w:type="dxa"/>
              <w:bottom w:w="57" w:type="dxa"/>
            </w:tcMar>
          </w:tcPr>
          <w:p w14:paraId="3FCA0F68" w14:textId="77777777" w:rsidR="007162F1" w:rsidRPr="00F516D4" w:rsidRDefault="007162F1" w:rsidP="00F516D4">
            <w:pPr>
              <w:pStyle w:val="TableHeading"/>
              <w:rPr>
                <w:color w:val="FFFFFF" w:themeColor="background1"/>
              </w:rPr>
            </w:pPr>
            <w:r w:rsidRPr="00F516D4">
              <w:rPr>
                <w:color w:val="FFFFFF" w:themeColor="background1"/>
              </w:rPr>
              <w:t>Text</w:t>
            </w:r>
          </w:p>
        </w:tc>
      </w:tr>
      <w:tr w:rsidR="007162F1" w:rsidRPr="001D15D2" w14:paraId="653A6905" w14:textId="77777777" w:rsidTr="00012D10">
        <w:tc>
          <w:tcPr>
            <w:tcW w:w="1129" w:type="dxa"/>
            <w:tcMar>
              <w:top w:w="57" w:type="dxa"/>
              <w:bottom w:w="57" w:type="dxa"/>
            </w:tcMar>
          </w:tcPr>
          <w:p w14:paraId="210D7B0A" w14:textId="46495311" w:rsidR="007162F1" w:rsidRPr="002C650D" w:rsidRDefault="007162F1" w:rsidP="00692A86">
            <w:pPr>
              <w:pStyle w:val="TableBody"/>
            </w:pPr>
            <w:r w:rsidRPr="002C650D">
              <w:t>Special Condition</w:t>
            </w:r>
          </w:p>
        </w:tc>
        <w:tc>
          <w:tcPr>
            <w:tcW w:w="1418" w:type="dxa"/>
            <w:tcMar>
              <w:top w:w="57" w:type="dxa"/>
              <w:bottom w:w="57" w:type="dxa"/>
            </w:tcMar>
          </w:tcPr>
          <w:p w14:paraId="1D35EF00" w14:textId="5D0881B9" w:rsidR="007162F1" w:rsidRPr="002C650D" w:rsidRDefault="00E30422" w:rsidP="00692A86">
            <w:pPr>
              <w:pStyle w:val="TableBody"/>
            </w:pPr>
            <w:r w:rsidRPr="001D15D2">
              <w:t>Pre-defined</w:t>
            </w:r>
            <w:r w:rsidRPr="002C650D" w:rsidDel="008C750C">
              <w:t xml:space="preserve"> </w:t>
            </w:r>
            <w:r w:rsidR="007162F1" w:rsidRPr="002C650D">
              <w:t xml:space="preserve"> (</w:t>
            </w:r>
            <w:r w:rsidR="00046A03">
              <w:t>n</w:t>
            </w:r>
            <w:r w:rsidR="007162F1" w:rsidRPr="002C650D">
              <w:t>ot in MIFR)</w:t>
            </w:r>
          </w:p>
        </w:tc>
        <w:tc>
          <w:tcPr>
            <w:tcW w:w="850" w:type="dxa"/>
            <w:tcMar>
              <w:top w:w="57" w:type="dxa"/>
              <w:bottom w:w="57" w:type="dxa"/>
            </w:tcMar>
          </w:tcPr>
          <w:p w14:paraId="391E879A" w14:textId="2CBE2127" w:rsidR="007162F1" w:rsidRPr="002C650D" w:rsidRDefault="005164CE" w:rsidP="00F516D4">
            <w:pPr>
              <w:pStyle w:val="TableBody"/>
            </w:pPr>
            <w:r>
              <w:t>EJ</w:t>
            </w:r>
          </w:p>
        </w:tc>
        <w:tc>
          <w:tcPr>
            <w:tcW w:w="5687" w:type="dxa"/>
            <w:gridSpan w:val="2"/>
            <w:tcMar>
              <w:top w:w="57" w:type="dxa"/>
              <w:bottom w:w="57" w:type="dxa"/>
            </w:tcMar>
          </w:tcPr>
          <w:p w14:paraId="6344E60D" w14:textId="2F484724" w:rsidR="007162F1" w:rsidRPr="002C650D" w:rsidRDefault="007162F1" w:rsidP="00692A86">
            <w:pPr>
              <w:pStyle w:val="TableBody"/>
            </w:pPr>
            <w:r w:rsidRPr="002C650D">
              <w:t xml:space="preserve">Prior to the frequency assignments being recorded in the </w:t>
            </w:r>
            <w:r w:rsidR="003018EB" w:rsidRPr="00437953">
              <w:t>Master International Frequency Register</w:t>
            </w:r>
            <w:r w:rsidR="00E171DE">
              <w:t xml:space="preserve"> (MIFR)</w:t>
            </w:r>
            <w:r w:rsidRPr="002C650D">
              <w:t xml:space="preserve">, this space station and associated earth stations may operate in accordance with the operating parameters published by the </w:t>
            </w:r>
            <w:r w:rsidR="003018EB" w:rsidRPr="00437953">
              <w:t>International Telecommunication Union</w:t>
            </w:r>
            <w:r w:rsidR="003018EB" w:rsidRPr="002C650D">
              <w:t xml:space="preserve"> </w:t>
            </w:r>
            <w:r w:rsidR="003018EB">
              <w:t>(</w:t>
            </w:r>
            <w:r w:rsidRPr="002C650D">
              <w:t>ITU</w:t>
            </w:r>
            <w:r w:rsidR="003018EB">
              <w:t>)</w:t>
            </w:r>
            <w:r w:rsidRPr="002C650D">
              <w:t xml:space="preserve"> in Special Sections of International Frequency Information Circulars and in accordance with any agreements reached as a result of an ITU frequency coordination process. </w:t>
            </w:r>
          </w:p>
        </w:tc>
      </w:tr>
      <w:tr w:rsidR="007162F1" w:rsidRPr="001D15D2" w14:paraId="21DBFD43" w14:textId="77777777" w:rsidTr="00012D10">
        <w:tc>
          <w:tcPr>
            <w:tcW w:w="1129" w:type="dxa"/>
            <w:tcMar>
              <w:top w:w="57" w:type="dxa"/>
              <w:bottom w:w="57" w:type="dxa"/>
            </w:tcMar>
          </w:tcPr>
          <w:p w14:paraId="0CDBDF07" w14:textId="318DBCD0" w:rsidR="007162F1" w:rsidRPr="004C6A74" w:rsidRDefault="007162F1" w:rsidP="00F516D4">
            <w:pPr>
              <w:pStyle w:val="TableBody"/>
            </w:pPr>
            <w:r w:rsidRPr="002C650D">
              <w:t>Special Condition</w:t>
            </w:r>
          </w:p>
        </w:tc>
        <w:tc>
          <w:tcPr>
            <w:tcW w:w="1418" w:type="dxa"/>
            <w:tcMar>
              <w:top w:w="57" w:type="dxa"/>
              <w:bottom w:w="57" w:type="dxa"/>
            </w:tcMar>
          </w:tcPr>
          <w:p w14:paraId="6A07CCD5" w14:textId="7C2B632C" w:rsidR="007162F1" w:rsidRPr="001D15D2" w:rsidRDefault="005739E8" w:rsidP="00692A86">
            <w:pPr>
              <w:pStyle w:val="TableBody"/>
            </w:pPr>
            <w:r w:rsidRPr="001D15D2">
              <w:t>Pre-defined</w:t>
            </w:r>
            <w:r w:rsidDel="008C750C">
              <w:t xml:space="preserve"> </w:t>
            </w:r>
            <w:r w:rsidR="007162F1">
              <w:t>(in MIFR)</w:t>
            </w:r>
          </w:p>
        </w:tc>
        <w:tc>
          <w:tcPr>
            <w:tcW w:w="850" w:type="dxa"/>
            <w:tcMar>
              <w:top w:w="57" w:type="dxa"/>
              <w:bottom w:w="57" w:type="dxa"/>
            </w:tcMar>
          </w:tcPr>
          <w:p w14:paraId="4849F78C" w14:textId="263742EE" w:rsidR="007162F1" w:rsidRDefault="005739E8" w:rsidP="00F516D4">
            <w:pPr>
              <w:pStyle w:val="TableBody"/>
            </w:pPr>
            <w:r>
              <w:t>EC</w:t>
            </w:r>
          </w:p>
        </w:tc>
        <w:tc>
          <w:tcPr>
            <w:tcW w:w="5687" w:type="dxa"/>
            <w:gridSpan w:val="2"/>
            <w:tcMar>
              <w:top w:w="57" w:type="dxa"/>
              <w:bottom w:w="57" w:type="dxa"/>
            </w:tcMar>
          </w:tcPr>
          <w:p w14:paraId="58AA8C7A" w14:textId="64389CC1" w:rsidR="007162F1" w:rsidRDefault="007162F1" w:rsidP="003018EB">
            <w:pPr>
              <w:pStyle w:val="TableBody"/>
              <w:rPr>
                <w:highlight w:val="yellow"/>
              </w:rPr>
            </w:pPr>
            <w:r w:rsidRPr="00437953">
              <w:t>Operation of this space station and associated earth stations must be in accordance with frequency assignments recorded in the Master International Frequency Register of the International Telecommunication Union.</w:t>
            </w:r>
          </w:p>
        </w:tc>
      </w:tr>
      <w:tr w:rsidR="007162F1" w:rsidRPr="001D15D2" w14:paraId="08BF3A17" w14:textId="77777777" w:rsidTr="00012D10">
        <w:tc>
          <w:tcPr>
            <w:tcW w:w="1129" w:type="dxa"/>
            <w:tcMar>
              <w:top w:w="57" w:type="dxa"/>
              <w:bottom w:w="57" w:type="dxa"/>
            </w:tcMar>
          </w:tcPr>
          <w:p w14:paraId="0F8FBE1F" w14:textId="0064F233" w:rsidR="007162F1" w:rsidRPr="002C650D" w:rsidRDefault="007162F1" w:rsidP="00692A86">
            <w:pPr>
              <w:pStyle w:val="TableBody"/>
            </w:pPr>
            <w:r w:rsidRPr="002C650D">
              <w:t>Special Condition</w:t>
            </w:r>
          </w:p>
        </w:tc>
        <w:tc>
          <w:tcPr>
            <w:tcW w:w="1418" w:type="dxa"/>
            <w:tcMar>
              <w:top w:w="57" w:type="dxa"/>
              <w:bottom w:w="57" w:type="dxa"/>
            </w:tcMar>
          </w:tcPr>
          <w:p w14:paraId="187D6961" w14:textId="27888AEB" w:rsidR="007162F1" w:rsidRPr="00EF0DB1" w:rsidRDefault="00BE79BE" w:rsidP="00F516D4">
            <w:pPr>
              <w:pStyle w:val="TableBody"/>
            </w:pPr>
            <w:r>
              <w:t>Pre</w:t>
            </w:r>
            <w:r w:rsidR="004B788B">
              <w:t>-</w:t>
            </w:r>
            <w:r>
              <w:t>defined</w:t>
            </w:r>
          </w:p>
        </w:tc>
        <w:tc>
          <w:tcPr>
            <w:tcW w:w="850" w:type="dxa"/>
            <w:tcMar>
              <w:top w:w="57" w:type="dxa"/>
              <w:bottom w:w="57" w:type="dxa"/>
            </w:tcMar>
          </w:tcPr>
          <w:p w14:paraId="1E4077F8" w14:textId="7224461C" w:rsidR="007162F1" w:rsidRPr="00EF0DB1" w:rsidRDefault="00BE79BE" w:rsidP="00F516D4">
            <w:pPr>
              <w:pStyle w:val="TableBody"/>
            </w:pPr>
            <w:r>
              <w:t>ESIM8</w:t>
            </w:r>
          </w:p>
        </w:tc>
        <w:tc>
          <w:tcPr>
            <w:tcW w:w="5687" w:type="dxa"/>
            <w:gridSpan w:val="2"/>
            <w:tcMar>
              <w:top w:w="57" w:type="dxa"/>
              <w:bottom w:w="57" w:type="dxa"/>
            </w:tcMar>
          </w:tcPr>
          <w:p w14:paraId="2A4734BF" w14:textId="2F721072" w:rsidR="007162F1" w:rsidRPr="00F41BB6" w:rsidRDefault="007162F1" w:rsidP="00F516D4">
            <w:pPr>
              <w:pStyle w:val="TableBody"/>
            </w:pPr>
            <w:r w:rsidRPr="002C650D">
              <w:t xml:space="preserve">Earth station receivers in motion may be operated provided that these earth stations would, if stationary, otherwise be in accordance </w:t>
            </w:r>
            <w:r w:rsidR="00046A03">
              <w:t xml:space="preserve">with </w:t>
            </w:r>
            <w:r w:rsidRPr="002C650D">
              <w:t>the operating parameters published by the ITU in Special Sections of International Frequency Information Circulars and in accordance with any agreements reached as a result of an ITU frequency coordination process.</w:t>
            </w:r>
          </w:p>
        </w:tc>
      </w:tr>
      <w:tr w:rsidR="007162F1" w:rsidRPr="001D15D2" w14:paraId="730F4894" w14:textId="77777777" w:rsidTr="00012D10">
        <w:tc>
          <w:tcPr>
            <w:tcW w:w="1129" w:type="dxa"/>
            <w:tcMar>
              <w:top w:w="57" w:type="dxa"/>
              <w:bottom w:w="57" w:type="dxa"/>
            </w:tcMar>
          </w:tcPr>
          <w:p w14:paraId="2B242866" w14:textId="100228E8" w:rsidR="007162F1" w:rsidRPr="001D15D2" w:rsidRDefault="007162F1" w:rsidP="00F516D4">
            <w:pPr>
              <w:pStyle w:val="TableBody"/>
            </w:pPr>
            <w:r w:rsidRPr="004C6A74">
              <w:t>Special Condition</w:t>
            </w:r>
          </w:p>
        </w:tc>
        <w:tc>
          <w:tcPr>
            <w:tcW w:w="1418" w:type="dxa"/>
            <w:tcMar>
              <w:top w:w="57" w:type="dxa"/>
              <w:bottom w:w="57" w:type="dxa"/>
            </w:tcMar>
          </w:tcPr>
          <w:p w14:paraId="252E92B2" w14:textId="77777777" w:rsidR="007162F1" w:rsidRPr="001D15D2" w:rsidRDefault="007162F1" w:rsidP="00F516D4">
            <w:pPr>
              <w:pStyle w:val="TableBody"/>
            </w:pPr>
            <w:r w:rsidRPr="001D15D2">
              <w:t>Pre-defined</w:t>
            </w:r>
          </w:p>
        </w:tc>
        <w:tc>
          <w:tcPr>
            <w:tcW w:w="850" w:type="dxa"/>
            <w:tcMar>
              <w:top w:w="57" w:type="dxa"/>
              <w:bottom w:w="57" w:type="dxa"/>
            </w:tcMar>
          </w:tcPr>
          <w:p w14:paraId="06BE6EA4" w14:textId="77777777" w:rsidR="007162F1" w:rsidRPr="001D15D2" w:rsidRDefault="007162F1" w:rsidP="00F516D4">
            <w:pPr>
              <w:pStyle w:val="TableBody"/>
            </w:pPr>
            <w:r>
              <w:t>EH</w:t>
            </w:r>
          </w:p>
        </w:tc>
        <w:tc>
          <w:tcPr>
            <w:tcW w:w="5687" w:type="dxa"/>
            <w:gridSpan w:val="2"/>
            <w:tcMar>
              <w:top w:w="57" w:type="dxa"/>
              <w:bottom w:w="57" w:type="dxa"/>
            </w:tcMar>
          </w:tcPr>
          <w:p w14:paraId="52A730FD" w14:textId="77777777" w:rsidR="007162F1" w:rsidRPr="001B40A5" w:rsidRDefault="007162F1" w:rsidP="00F516D4">
            <w:pPr>
              <w:pStyle w:val="TableBody"/>
            </w:pPr>
            <w:r w:rsidRPr="00F41BB6">
              <w:t>Transmissions must not occur in circumstances that result in harmful interference to stations outside of Australia where these stations are operating in accordance with the Radio Regulations of the ITU except where the transmissions are in accordance with any agreements reached as a result of an ITU international frequency coordination process.</w:t>
            </w:r>
          </w:p>
        </w:tc>
      </w:tr>
      <w:tr w:rsidR="007162F1" w:rsidRPr="001D15D2" w14:paraId="5116393B" w14:textId="77777777" w:rsidTr="00012D10">
        <w:trPr>
          <w:gridAfter w:val="1"/>
          <w:wAfter w:w="9" w:type="dxa"/>
        </w:trPr>
        <w:tc>
          <w:tcPr>
            <w:tcW w:w="1129" w:type="dxa"/>
            <w:tcMar>
              <w:top w:w="57" w:type="dxa"/>
              <w:bottom w:w="57" w:type="dxa"/>
            </w:tcMar>
          </w:tcPr>
          <w:p w14:paraId="2C603A79" w14:textId="72B22ECF" w:rsidR="007162F1" w:rsidRDefault="007162F1" w:rsidP="00F516D4">
            <w:pPr>
              <w:pStyle w:val="TableBody"/>
            </w:pPr>
            <w:r w:rsidRPr="004C6A74">
              <w:t>Special Condition</w:t>
            </w:r>
          </w:p>
        </w:tc>
        <w:tc>
          <w:tcPr>
            <w:tcW w:w="1418" w:type="dxa"/>
            <w:tcMar>
              <w:top w:w="57" w:type="dxa"/>
              <w:bottom w:w="57" w:type="dxa"/>
            </w:tcMar>
          </w:tcPr>
          <w:p w14:paraId="02AFEC3B" w14:textId="56C5EB3E" w:rsidR="007162F1" w:rsidRDefault="007162F1" w:rsidP="00692A86">
            <w:pPr>
              <w:pStyle w:val="TableBody"/>
            </w:pPr>
            <w:r>
              <w:t>User-defined</w:t>
            </w:r>
          </w:p>
          <w:p w14:paraId="320656B8" w14:textId="6ADA3C72" w:rsidR="007162F1" w:rsidRPr="00E445AF" w:rsidRDefault="007162F1" w:rsidP="00692A86">
            <w:pPr>
              <w:pStyle w:val="TableBody"/>
            </w:pPr>
            <w:r>
              <w:t>(In MIFR)</w:t>
            </w:r>
          </w:p>
        </w:tc>
        <w:tc>
          <w:tcPr>
            <w:tcW w:w="850" w:type="dxa"/>
            <w:tcMar>
              <w:top w:w="57" w:type="dxa"/>
              <w:bottom w:w="57" w:type="dxa"/>
            </w:tcMar>
          </w:tcPr>
          <w:p w14:paraId="3839AF08" w14:textId="77777777" w:rsidR="007162F1" w:rsidRDefault="007162F1" w:rsidP="00F516D4">
            <w:pPr>
              <w:pStyle w:val="TableBody"/>
            </w:pPr>
          </w:p>
        </w:tc>
        <w:tc>
          <w:tcPr>
            <w:tcW w:w="5678" w:type="dxa"/>
            <w:tcMar>
              <w:top w:w="57" w:type="dxa"/>
              <w:bottom w:w="57" w:type="dxa"/>
            </w:tcMar>
          </w:tcPr>
          <w:p w14:paraId="17FC9CC0" w14:textId="77777777" w:rsidR="007162F1" w:rsidRPr="00F41BB6" w:rsidRDefault="007162F1" w:rsidP="00F516D4">
            <w:pPr>
              <w:pStyle w:val="TableBody"/>
            </w:pPr>
            <w:r w:rsidRPr="00F41BB6">
              <w:t xml:space="preserve">This licence authorises communications with </w:t>
            </w:r>
            <w:r w:rsidRPr="00006756">
              <w:rPr>
                <w:i/>
              </w:rPr>
              <w:t>[name of satellite].</w:t>
            </w:r>
          </w:p>
        </w:tc>
      </w:tr>
      <w:tr w:rsidR="007162F1" w:rsidRPr="001D15D2" w14:paraId="03023427" w14:textId="77777777" w:rsidTr="00012D10">
        <w:tc>
          <w:tcPr>
            <w:tcW w:w="1129" w:type="dxa"/>
            <w:shd w:val="clear" w:color="auto" w:fill="auto"/>
            <w:tcMar>
              <w:top w:w="57" w:type="dxa"/>
              <w:bottom w:w="57" w:type="dxa"/>
            </w:tcMar>
          </w:tcPr>
          <w:p w14:paraId="5C9E7136" w14:textId="514DDB3F" w:rsidR="007162F1" w:rsidRPr="00435794" w:rsidRDefault="007162F1" w:rsidP="00F516D4">
            <w:pPr>
              <w:pStyle w:val="TableBody"/>
            </w:pPr>
            <w:r w:rsidRPr="0060183E">
              <w:t>Special Condition</w:t>
            </w:r>
          </w:p>
        </w:tc>
        <w:tc>
          <w:tcPr>
            <w:tcW w:w="1418" w:type="dxa"/>
            <w:tcMar>
              <w:top w:w="57" w:type="dxa"/>
              <w:bottom w:w="57" w:type="dxa"/>
            </w:tcMar>
          </w:tcPr>
          <w:p w14:paraId="456A0A38" w14:textId="53C6E9C2" w:rsidR="007162F1" w:rsidRDefault="007162F1" w:rsidP="00692A86">
            <w:pPr>
              <w:pStyle w:val="TableBody"/>
            </w:pPr>
            <w:r>
              <w:t>User-defined</w:t>
            </w:r>
          </w:p>
          <w:p w14:paraId="1016EBE0" w14:textId="7912EEF6" w:rsidR="007162F1" w:rsidRPr="00E445AF" w:rsidRDefault="007162F1" w:rsidP="00692A86">
            <w:pPr>
              <w:pStyle w:val="TableBody"/>
            </w:pPr>
            <w:r>
              <w:t>(Not in MIFR)</w:t>
            </w:r>
          </w:p>
        </w:tc>
        <w:tc>
          <w:tcPr>
            <w:tcW w:w="850" w:type="dxa"/>
            <w:tcMar>
              <w:top w:w="57" w:type="dxa"/>
              <w:bottom w:w="57" w:type="dxa"/>
            </w:tcMar>
          </w:tcPr>
          <w:p w14:paraId="5A63A892" w14:textId="77777777" w:rsidR="007162F1" w:rsidRDefault="007162F1" w:rsidP="00F516D4">
            <w:pPr>
              <w:pStyle w:val="TableBody"/>
            </w:pPr>
          </w:p>
        </w:tc>
        <w:tc>
          <w:tcPr>
            <w:tcW w:w="5687" w:type="dxa"/>
            <w:gridSpan w:val="2"/>
            <w:tcMar>
              <w:top w:w="57" w:type="dxa"/>
              <w:bottom w:w="57" w:type="dxa"/>
            </w:tcMar>
          </w:tcPr>
          <w:p w14:paraId="3C46CBB8" w14:textId="77777777" w:rsidR="007162F1" w:rsidRPr="00F41BB6" w:rsidRDefault="007162F1" w:rsidP="00F516D4">
            <w:pPr>
              <w:pStyle w:val="TableBody"/>
            </w:pPr>
            <w:r w:rsidRPr="00F41BB6">
              <w:t xml:space="preserve">This </w:t>
            </w:r>
            <w:r>
              <w:t>space</w:t>
            </w:r>
            <w:r w:rsidRPr="00F41BB6">
              <w:t xml:space="preserve"> station</w:t>
            </w:r>
            <w:r>
              <w:t xml:space="preserve"> and associated earth stations are</w:t>
            </w:r>
            <w:r w:rsidRPr="00F41BB6">
              <w:t xml:space="preserve"> authorised to communicate with space stations of the </w:t>
            </w:r>
            <w:r w:rsidRPr="00006756">
              <w:rPr>
                <w:i/>
              </w:rPr>
              <w:t>[satellite network name]</w:t>
            </w:r>
            <w:r w:rsidRPr="00F41BB6">
              <w:t xml:space="preserve"> satellite network as published by the International Telecommunication Union (ITU) in Special Section </w:t>
            </w:r>
            <w:r w:rsidRPr="00006756">
              <w:rPr>
                <w:i/>
              </w:rPr>
              <w:t>[ITU reference – take the most recent document number]</w:t>
            </w:r>
            <w:r w:rsidRPr="00F41BB6">
              <w:t xml:space="preserve"> of International Frequency Information Circular </w:t>
            </w:r>
            <w:r w:rsidRPr="00006756">
              <w:rPr>
                <w:i/>
              </w:rPr>
              <w:t>[IFIC number]</w:t>
            </w:r>
            <w:r w:rsidRPr="00F41BB6">
              <w:t>.</w:t>
            </w:r>
          </w:p>
        </w:tc>
      </w:tr>
      <w:tr w:rsidR="007162F1" w:rsidRPr="001D15D2" w14:paraId="04354D6F" w14:textId="77777777" w:rsidTr="00012D10">
        <w:tc>
          <w:tcPr>
            <w:tcW w:w="1129" w:type="dxa"/>
            <w:tcMar>
              <w:top w:w="57" w:type="dxa"/>
              <w:bottom w:w="57" w:type="dxa"/>
            </w:tcMar>
          </w:tcPr>
          <w:p w14:paraId="06977BA3" w14:textId="6666463B" w:rsidR="007162F1" w:rsidRPr="004C6A74" w:rsidRDefault="007162F1" w:rsidP="00F516D4">
            <w:pPr>
              <w:pStyle w:val="TableBody"/>
            </w:pPr>
            <w:r>
              <w:t>Advisory Note</w:t>
            </w:r>
          </w:p>
        </w:tc>
        <w:tc>
          <w:tcPr>
            <w:tcW w:w="1418" w:type="dxa"/>
            <w:tcMar>
              <w:top w:w="57" w:type="dxa"/>
              <w:bottom w:w="57" w:type="dxa"/>
            </w:tcMar>
          </w:tcPr>
          <w:p w14:paraId="7C6EC9EC" w14:textId="77777777" w:rsidR="007162F1" w:rsidRPr="001D15D2" w:rsidRDefault="007162F1" w:rsidP="00F516D4">
            <w:pPr>
              <w:pStyle w:val="TableBody"/>
            </w:pPr>
            <w:r w:rsidRPr="00E445AF">
              <w:t>Pre-defined</w:t>
            </w:r>
          </w:p>
        </w:tc>
        <w:tc>
          <w:tcPr>
            <w:tcW w:w="850" w:type="dxa"/>
            <w:tcMar>
              <w:top w:w="57" w:type="dxa"/>
              <w:bottom w:w="57" w:type="dxa"/>
            </w:tcMar>
          </w:tcPr>
          <w:p w14:paraId="41454BED" w14:textId="77777777" w:rsidR="007162F1" w:rsidRDefault="007162F1" w:rsidP="00F516D4">
            <w:pPr>
              <w:pStyle w:val="TableBody"/>
            </w:pPr>
            <w:r>
              <w:t>EI</w:t>
            </w:r>
          </w:p>
        </w:tc>
        <w:tc>
          <w:tcPr>
            <w:tcW w:w="5687" w:type="dxa"/>
            <w:gridSpan w:val="2"/>
            <w:tcMar>
              <w:top w:w="57" w:type="dxa"/>
              <w:bottom w:w="57" w:type="dxa"/>
            </w:tcMar>
          </w:tcPr>
          <w:p w14:paraId="1A7E8EB4" w14:textId="79E68BF2" w:rsidR="007162F1" w:rsidRPr="001D15D2" w:rsidRDefault="007162F1" w:rsidP="00692A86">
            <w:pPr>
              <w:pStyle w:val="TableBody"/>
            </w:pPr>
            <w:r w:rsidRPr="00F41BB6">
              <w:t>The Master International Frequency Register (MIFR) is maintained by the International Telecommunication Union (ITU) in accordance with the Radio Regulations.</w:t>
            </w:r>
          </w:p>
        </w:tc>
      </w:tr>
      <w:tr w:rsidR="007162F1" w:rsidRPr="001D15D2" w14:paraId="10FF9E36" w14:textId="77777777" w:rsidTr="00012D10">
        <w:tc>
          <w:tcPr>
            <w:tcW w:w="1129" w:type="dxa"/>
            <w:tcMar>
              <w:top w:w="57" w:type="dxa"/>
              <w:bottom w:w="57" w:type="dxa"/>
            </w:tcMar>
          </w:tcPr>
          <w:p w14:paraId="0BE85E17" w14:textId="7CA130CD" w:rsidR="007162F1" w:rsidRDefault="007162F1" w:rsidP="001662F9">
            <w:pPr>
              <w:pStyle w:val="TableBody"/>
              <w:keepNext/>
              <w:keepLines/>
            </w:pPr>
            <w:r>
              <w:lastRenderedPageBreak/>
              <w:t>Advisory Note</w:t>
            </w:r>
          </w:p>
        </w:tc>
        <w:tc>
          <w:tcPr>
            <w:tcW w:w="1418" w:type="dxa"/>
            <w:tcMar>
              <w:top w:w="57" w:type="dxa"/>
              <w:bottom w:w="57" w:type="dxa"/>
            </w:tcMar>
          </w:tcPr>
          <w:p w14:paraId="6C6E45C2" w14:textId="77777777" w:rsidR="007162F1" w:rsidRPr="00E445AF" w:rsidRDefault="007162F1" w:rsidP="001662F9">
            <w:pPr>
              <w:pStyle w:val="TableBody"/>
              <w:keepNext/>
              <w:keepLines/>
            </w:pPr>
            <w:r w:rsidRPr="00E445AF">
              <w:t>Pre-defined</w:t>
            </w:r>
          </w:p>
        </w:tc>
        <w:tc>
          <w:tcPr>
            <w:tcW w:w="850" w:type="dxa"/>
            <w:tcMar>
              <w:top w:w="57" w:type="dxa"/>
              <w:bottom w:w="57" w:type="dxa"/>
            </w:tcMar>
          </w:tcPr>
          <w:p w14:paraId="5D772686" w14:textId="77777777" w:rsidR="007162F1" w:rsidRDefault="007162F1" w:rsidP="001662F9">
            <w:pPr>
              <w:pStyle w:val="TableBody"/>
              <w:keepNext/>
              <w:keepLines/>
            </w:pPr>
            <w:r>
              <w:t>ED</w:t>
            </w:r>
          </w:p>
        </w:tc>
        <w:tc>
          <w:tcPr>
            <w:tcW w:w="5687" w:type="dxa"/>
            <w:gridSpan w:val="2"/>
            <w:tcMar>
              <w:top w:w="57" w:type="dxa"/>
              <w:bottom w:w="57" w:type="dxa"/>
            </w:tcMar>
          </w:tcPr>
          <w:p w14:paraId="3F0DD70B" w14:textId="77777777" w:rsidR="007162F1" w:rsidRPr="00F41BB6" w:rsidRDefault="007162F1" w:rsidP="001662F9">
            <w:pPr>
              <w:pStyle w:val="TableBody"/>
              <w:keepNext/>
              <w:keepLines/>
            </w:pPr>
            <w:r w:rsidRPr="00F41BB6">
              <w:t>Coordination agreements reached as a result of an ITU international frequency coordination process are intended to minimise the potential for harmful interference to radiocommunications stations. A radiocommunications station operated prior to a frequency assignment being recorded in the MIFR cannot necessarily claim protection from harmful interference from radiocommunications stations of other countries.</w:t>
            </w:r>
          </w:p>
        </w:tc>
      </w:tr>
    </w:tbl>
    <w:p w14:paraId="39652F98" w14:textId="2FDA3CA2" w:rsidR="007162F1" w:rsidRDefault="007162F1" w:rsidP="00F516D4">
      <w:pPr>
        <w:pStyle w:val="ACMASpaceaftertable"/>
      </w:pPr>
    </w:p>
    <w:p w14:paraId="3FA3C5AC" w14:textId="310C8D84" w:rsidR="003C7FA3" w:rsidRDefault="003C7FA3" w:rsidP="0009045E">
      <w:pPr>
        <w:spacing w:line="240" w:lineRule="auto"/>
        <w:rPr>
          <w:rFonts w:cs="Arial"/>
          <w:szCs w:val="20"/>
        </w:rPr>
      </w:pPr>
      <w:r>
        <w:rPr>
          <w:rFonts w:cs="Arial"/>
          <w:szCs w:val="20"/>
        </w:rPr>
        <w:t>[Note: Operation in accordance with frequency assignments recorded in the MFIR includes the operation in accordance with any Administration agreements reached as a result of an ITU frequency coordination process]</w:t>
      </w:r>
    </w:p>
    <w:p w14:paraId="119B80B6" w14:textId="799D1FD7" w:rsidR="0009045E" w:rsidRPr="003B42CA" w:rsidRDefault="0009045E" w:rsidP="0009045E">
      <w:pPr>
        <w:spacing w:line="240" w:lineRule="auto"/>
      </w:pPr>
      <w:r>
        <w:rPr>
          <w:rFonts w:cs="Arial"/>
          <w:szCs w:val="20"/>
        </w:rPr>
        <w:t>[Note:</w:t>
      </w:r>
      <w:r w:rsidRPr="00146BBB">
        <w:t xml:space="preserve"> </w:t>
      </w:r>
      <w:r w:rsidRPr="00146BBB">
        <w:rPr>
          <w:rFonts w:cs="Arial"/>
          <w:szCs w:val="20"/>
        </w:rPr>
        <w:t>Operation of this space station and associated earth stations is only authorised if the frequency assignments of the satellite network recorded by the ITU with which communications are authorised by this licence are not cancelled</w:t>
      </w:r>
      <w:r w:rsidR="00011674">
        <w:rPr>
          <w:rFonts w:cs="Arial"/>
          <w:szCs w:val="20"/>
        </w:rPr>
        <w:t xml:space="preserve"> or suppressed</w:t>
      </w:r>
      <w:r w:rsidRPr="00146BBB">
        <w:rPr>
          <w:rFonts w:cs="Arial"/>
          <w:szCs w:val="20"/>
        </w:rPr>
        <w:t>.</w:t>
      </w:r>
      <w:r>
        <w:rPr>
          <w:rFonts w:cs="Arial"/>
          <w:szCs w:val="20"/>
        </w:rPr>
        <w:t>]</w:t>
      </w:r>
    </w:p>
    <w:p w14:paraId="6254E4D2" w14:textId="77777777" w:rsidR="0009045E" w:rsidRPr="00F516D4" w:rsidRDefault="0009045E" w:rsidP="00F516D4">
      <w:pPr>
        <w:pStyle w:val="ACMASpaceaftertable"/>
      </w:pPr>
    </w:p>
    <w:p w14:paraId="16EE8AE8" w14:textId="77777777" w:rsidR="007162F1" w:rsidRPr="007A415A" w:rsidRDefault="00F516D4" w:rsidP="00D14DB9">
      <w:pPr>
        <w:pStyle w:val="Heading2"/>
        <w:pageBreakBefore/>
        <w:spacing w:after="120"/>
      </w:pPr>
      <w:bookmarkStart w:id="50" w:name="_Toc475094521"/>
      <w:bookmarkStart w:id="51" w:name="_Toc486404166"/>
      <w:bookmarkStart w:id="52" w:name="_Toc111750937"/>
      <w:r w:rsidRPr="00C10E39">
        <w:lastRenderedPageBreak/>
        <w:t xml:space="preserve">Appendix B: </w:t>
      </w:r>
      <w:r w:rsidR="007162F1" w:rsidRPr="00C10E39">
        <w:t>Space receive apparatus</w:t>
      </w:r>
      <w:r w:rsidR="007162F1" w:rsidRPr="007A415A">
        <w:t xml:space="preserve"> licence</w:t>
      </w:r>
      <w:bookmarkEnd w:id="50"/>
      <w:bookmarkEnd w:id="51"/>
      <w:bookmarkEnd w:id="52"/>
    </w:p>
    <w:p w14:paraId="05BDA0B5" w14:textId="43F6B2BA" w:rsidR="007162F1" w:rsidRDefault="007162F1" w:rsidP="00D46335">
      <w:pPr>
        <w:spacing w:after="80"/>
      </w:pPr>
      <w:r w:rsidRPr="00CE6D37">
        <w:t xml:space="preserve">The following special conditions and advisory notes are to be applied </w:t>
      </w:r>
      <w:r>
        <w:t>to</w:t>
      </w:r>
      <w:r w:rsidRPr="00113829">
        <w:t xml:space="preserve"> </w:t>
      </w:r>
      <w:r>
        <w:t xml:space="preserve">assignments (stations) on space licences </w:t>
      </w:r>
      <w:r>
        <w:rPr>
          <w:rFonts w:cs="Arial"/>
        </w:rPr>
        <w:t>authorising the use of earth stations in motion communicating with</w:t>
      </w:r>
      <w:r w:rsidRPr="001B1FAB">
        <w:t xml:space="preserve"> </w:t>
      </w:r>
      <w:r>
        <w:t xml:space="preserve">non-geostationary (NGSO) space stations in the fixed-satellite service </w:t>
      </w:r>
      <w:r w:rsidRPr="00102F03">
        <w:t>with earth stations in motion on land</w:t>
      </w:r>
      <w:r>
        <w:t xml:space="preserve"> or </w:t>
      </w:r>
      <w:r w:rsidRPr="00102F03">
        <w:t xml:space="preserve">on water </w:t>
      </w:r>
      <w:r>
        <w:t xml:space="preserve">in the frequency ranges </w:t>
      </w:r>
      <w:r w:rsidRPr="004C2810">
        <w:rPr>
          <w:lang w:val="en"/>
        </w:rPr>
        <w:t>28.5</w:t>
      </w:r>
      <w:r w:rsidR="00F55A6E">
        <w:rPr>
          <w:lang w:val="en"/>
        </w:rPr>
        <w:t>–</w:t>
      </w:r>
      <w:r w:rsidRPr="004C2810">
        <w:rPr>
          <w:lang w:val="en"/>
        </w:rPr>
        <w:t>29.1 GH</w:t>
      </w:r>
      <w:r>
        <w:rPr>
          <w:lang w:val="en"/>
        </w:rPr>
        <w:t xml:space="preserve">z </w:t>
      </w:r>
      <w:r w:rsidRPr="00F82F20">
        <w:t>(</w:t>
      </w:r>
      <w:r>
        <w:t>Earth</w:t>
      </w:r>
      <w:r w:rsidRPr="00F82F20">
        <w:t>-to-</w:t>
      </w:r>
      <w:r>
        <w:t>space</w:t>
      </w:r>
      <w:r w:rsidRPr="00F82F20">
        <w:t>)</w:t>
      </w:r>
      <w:r>
        <w:t xml:space="preserve"> </w:t>
      </w:r>
      <w:r>
        <w:rPr>
          <w:lang w:val="en"/>
        </w:rPr>
        <w:t>and 29.5</w:t>
      </w:r>
      <w:r w:rsidR="00F55A6E">
        <w:rPr>
          <w:lang w:val="en"/>
        </w:rPr>
        <w:t>–</w:t>
      </w:r>
      <w:r>
        <w:rPr>
          <w:lang w:val="en"/>
        </w:rPr>
        <w:t xml:space="preserve">30 GHz </w:t>
      </w:r>
      <w:r w:rsidRPr="00F82F20">
        <w:t>(</w:t>
      </w:r>
      <w:r>
        <w:t>Earth</w:t>
      </w:r>
      <w:r w:rsidRPr="00F82F20">
        <w:t>-to-</w:t>
      </w:r>
      <w:r>
        <w:t>space</w:t>
      </w:r>
      <w:r w:rsidRPr="00F82F20">
        <w:t>)</w:t>
      </w:r>
      <w:r w:rsidR="00F55A6E">
        <w:t>.</w:t>
      </w:r>
    </w:p>
    <w:p w14:paraId="56CAF148" w14:textId="52CC8A0C" w:rsidR="007162F1" w:rsidRDefault="00F55A6E" w:rsidP="007162F1">
      <w:r>
        <w:t>D</w:t>
      </w:r>
      <w:r w:rsidR="007162F1">
        <w:t xml:space="preserve">ifferent conditions apply depending on whether </w:t>
      </w:r>
      <w:r w:rsidR="0004604A">
        <w:t xml:space="preserve">or not </w:t>
      </w:r>
      <w:r w:rsidR="007162F1">
        <w:t xml:space="preserve">the satellite network is recorded in </w:t>
      </w:r>
      <w:r w:rsidR="007162F1" w:rsidRPr="00DD4280">
        <w:t>MIFR</w:t>
      </w:r>
      <w:r w:rsidR="007162F1">
        <w:t>.</w:t>
      </w:r>
    </w:p>
    <w:p w14:paraId="42973378" w14:textId="77777777" w:rsidR="007162F1" w:rsidRPr="0032629E" w:rsidRDefault="007162F1" w:rsidP="00F516D4">
      <w:pPr>
        <w:pStyle w:val="ACMATableHeader"/>
      </w:pPr>
      <w:bookmarkStart w:id="53" w:name="_Toc486404168"/>
      <w:bookmarkStart w:id="54" w:name="_Toc486404169"/>
      <w:bookmarkEnd w:id="53"/>
      <w:r w:rsidRPr="0032629E">
        <w:t>S</w:t>
      </w:r>
      <w:r>
        <w:t>pecial conditions and advisory notes</w:t>
      </w:r>
      <w:bookmarkEnd w:id="54"/>
      <w:r>
        <w:t xml:space="preserve"> </w:t>
      </w:r>
    </w:p>
    <w:tbl>
      <w:tblPr>
        <w:tblStyle w:val="TableGrid"/>
        <w:tblW w:w="5929" w:type="pct"/>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4A0" w:firstRow="1" w:lastRow="0" w:firstColumn="1" w:lastColumn="0" w:noHBand="0" w:noVBand="1"/>
        <w:tblCaption w:val="Table 2: Special conditions and advisory notes "/>
        <w:tblDescription w:val="Prior to the frequency assignments being recorded in the MIFR, this this space station and associated earth stations may operate in accordance with the operating parameters published by the ITU in Special Sections of International Frequency Information Circulars and in accordance with any agreements reached as a result of an ITU frequency coordination process.&#10;Transmissions must not occur in circumstances that result in harmful interference to stations outside of Australia, where these stations are operating in accordance with the Radio Regulations of the ITU, except where the transmissions are in accordance with any agreements reached as a result of an ITU international frequency coordination process.&#10;Radiocommunications between space stations and earth stations in motion are authorised by this licence, provided operation is in accordance with provisions of ITU Resolution 156 (WRC-15).&#10;Earth stations in motion authorised by this licence shall remain within the envelope of the coordination agreements of the satellite networks with which this earth station is associated or, in the absence of such agreements, comply with the off-axis e.i.r.p. density levels given in the Annex of ITU Resolution 156 (WRC-15).&#10;Upon receipt of a report of harmful interference with respect to any terrestrial systems operating in the countries listed in ITU Radio Regulations No. 5.542, the earth stations in motion authorised under this licence shall immediately cease transmissions or otherwise reduce the interference to an acceptable level&#10;Radiocommunications between space stations and earth stations in motion authorised under this licence shall be subject to permanent monitoring and control by a NCMC or equivalent facility, and be capable of receiving and acting upon at least ‘enable transmission’ and ‘disable transmission’ commands from the NCMC.&#10;Radiocommunications between space stations and earth stations in motion authorised under this licence shall not be used or relied upon for safety-of-life applications.&#10;No harmful interference shall be caused to radiocommunications stations operating in accordance with ITU Radio Regulations No. 5.542 from earth stations in motion authorised under this licence.&#10;The licensee shall advise the ACMA of changes to the point of contact provided for the purpose of tracing any suspected cases of interference from earth stations in motion.&#10;This space station and associated earth stations are authorised to communicate with space stations of the [satellite network name] satellite network as published by the ITU in Special Section [ITU reference—take the most recent document number] of International Frequency Information Circular [IFIC number].&#10;The MIFR is maintained by the ITU in accordance with the Radio Regulations.&#10;Coordination agreements reached as a result of an ITU international frequency coordination process are intended to minimise the potential for harmful interference to radiocommunications stations. A radiocommunications station operated prior to a frequency assignment being recorded in the MIFR cannot necessarily claim protection from harmful interference from radiocommunications stations of other countries.&#10;"/>
      </w:tblPr>
      <w:tblGrid>
        <w:gridCol w:w="1130"/>
        <w:gridCol w:w="1419"/>
        <w:gridCol w:w="850"/>
        <w:gridCol w:w="5681"/>
        <w:gridCol w:w="9"/>
      </w:tblGrid>
      <w:tr w:rsidR="007162F1" w:rsidRPr="001D15D2" w14:paraId="6CD314DC" w14:textId="77777777" w:rsidTr="00012D10">
        <w:trPr>
          <w:gridAfter w:val="1"/>
          <w:wAfter w:w="9" w:type="dxa"/>
          <w:tblHeader/>
        </w:trPr>
        <w:tc>
          <w:tcPr>
            <w:tcW w:w="1129" w:type="dxa"/>
            <w:shd w:val="clear" w:color="auto" w:fill="404040" w:themeFill="text1" w:themeFillTint="BF"/>
            <w:tcMar>
              <w:top w:w="57" w:type="dxa"/>
              <w:bottom w:w="57" w:type="dxa"/>
            </w:tcMar>
          </w:tcPr>
          <w:p w14:paraId="3D9E540B" w14:textId="77777777" w:rsidR="007162F1" w:rsidRPr="00F516D4" w:rsidRDefault="007162F1" w:rsidP="00F516D4">
            <w:pPr>
              <w:pStyle w:val="TableHeading"/>
              <w:rPr>
                <w:color w:val="FFFFFF" w:themeColor="background1"/>
              </w:rPr>
            </w:pPr>
            <w:r w:rsidRPr="00F516D4">
              <w:rPr>
                <w:color w:val="FFFFFF" w:themeColor="background1"/>
              </w:rPr>
              <w:t>Category</w:t>
            </w:r>
          </w:p>
        </w:tc>
        <w:tc>
          <w:tcPr>
            <w:tcW w:w="1418" w:type="dxa"/>
            <w:shd w:val="clear" w:color="auto" w:fill="404040" w:themeFill="text1" w:themeFillTint="BF"/>
            <w:tcMar>
              <w:top w:w="57" w:type="dxa"/>
              <w:bottom w:w="57" w:type="dxa"/>
            </w:tcMar>
          </w:tcPr>
          <w:p w14:paraId="7E0AEE7A" w14:textId="77777777" w:rsidR="007162F1" w:rsidRPr="00F516D4" w:rsidRDefault="007162F1" w:rsidP="00F516D4">
            <w:pPr>
              <w:pStyle w:val="TableHeading"/>
              <w:rPr>
                <w:color w:val="FFFFFF" w:themeColor="background1"/>
              </w:rPr>
            </w:pPr>
            <w:r w:rsidRPr="00F516D4">
              <w:rPr>
                <w:color w:val="FFFFFF" w:themeColor="background1"/>
              </w:rPr>
              <w:t>Type</w:t>
            </w:r>
          </w:p>
        </w:tc>
        <w:tc>
          <w:tcPr>
            <w:tcW w:w="850" w:type="dxa"/>
            <w:shd w:val="clear" w:color="auto" w:fill="404040" w:themeFill="text1" w:themeFillTint="BF"/>
            <w:tcMar>
              <w:top w:w="57" w:type="dxa"/>
              <w:bottom w:w="57" w:type="dxa"/>
            </w:tcMar>
          </w:tcPr>
          <w:p w14:paraId="046BBF47" w14:textId="77777777" w:rsidR="007162F1" w:rsidRPr="00F516D4" w:rsidRDefault="007162F1" w:rsidP="00F516D4">
            <w:pPr>
              <w:pStyle w:val="TableHeading"/>
              <w:rPr>
                <w:color w:val="FFFFFF" w:themeColor="background1"/>
              </w:rPr>
            </w:pPr>
            <w:r w:rsidRPr="00F516D4">
              <w:rPr>
                <w:color w:val="FFFFFF" w:themeColor="background1"/>
              </w:rPr>
              <w:t>Item</w:t>
            </w:r>
          </w:p>
        </w:tc>
        <w:tc>
          <w:tcPr>
            <w:tcW w:w="5678" w:type="dxa"/>
            <w:shd w:val="clear" w:color="auto" w:fill="404040" w:themeFill="text1" w:themeFillTint="BF"/>
            <w:tcMar>
              <w:top w:w="57" w:type="dxa"/>
              <w:bottom w:w="57" w:type="dxa"/>
            </w:tcMar>
          </w:tcPr>
          <w:p w14:paraId="3495AB22" w14:textId="77777777" w:rsidR="007162F1" w:rsidRPr="00F516D4" w:rsidRDefault="007162F1" w:rsidP="00F516D4">
            <w:pPr>
              <w:pStyle w:val="TableHeading"/>
              <w:rPr>
                <w:color w:val="FFFFFF" w:themeColor="background1"/>
              </w:rPr>
            </w:pPr>
            <w:r w:rsidRPr="00F516D4">
              <w:rPr>
                <w:color w:val="FFFFFF" w:themeColor="background1"/>
              </w:rPr>
              <w:t>Text</w:t>
            </w:r>
          </w:p>
        </w:tc>
      </w:tr>
      <w:tr w:rsidR="007162F1" w:rsidRPr="00EF0DB1" w14:paraId="0AD943D3" w14:textId="77777777" w:rsidTr="00012D10">
        <w:trPr>
          <w:gridAfter w:val="1"/>
          <w:wAfter w:w="9" w:type="dxa"/>
        </w:trPr>
        <w:tc>
          <w:tcPr>
            <w:tcW w:w="1129" w:type="dxa"/>
            <w:tcMar>
              <w:top w:w="57" w:type="dxa"/>
              <w:bottom w:w="57" w:type="dxa"/>
            </w:tcMar>
          </w:tcPr>
          <w:p w14:paraId="78D43022" w14:textId="494D9A39" w:rsidR="007162F1" w:rsidRPr="00EF0DB1" w:rsidRDefault="007162F1" w:rsidP="00F516D4">
            <w:pPr>
              <w:pStyle w:val="TableBody"/>
            </w:pPr>
            <w:r w:rsidRPr="00EF0DB1">
              <w:t>Special Condition</w:t>
            </w:r>
          </w:p>
        </w:tc>
        <w:tc>
          <w:tcPr>
            <w:tcW w:w="1418" w:type="dxa"/>
            <w:tcMar>
              <w:top w:w="57" w:type="dxa"/>
              <w:bottom w:w="57" w:type="dxa"/>
            </w:tcMar>
          </w:tcPr>
          <w:p w14:paraId="7F477E0F" w14:textId="14017E38" w:rsidR="007162F1" w:rsidRPr="00EF0DB1" w:rsidRDefault="005164CE" w:rsidP="00692A86">
            <w:pPr>
              <w:pStyle w:val="TableBody"/>
            </w:pPr>
            <w:r w:rsidRPr="001D15D2">
              <w:t>Pre-defined</w:t>
            </w:r>
            <w:r w:rsidRPr="00EF0DB1" w:rsidDel="00243707">
              <w:t xml:space="preserve"> </w:t>
            </w:r>
            <w:r w:rsidR="007162F1" w:rsidRPr="00EF0DB1">
              <w:t xml:space="preserve"> </w:t>
            </w:r>
          </w:p>
        </w:tc>
        <w:tc>
          <w:tcPr>
            <w:tcW w:w="850" w:type="dxa"/>
            <w:tcMar>
              <w:top w:w="57" w:type="dxa"/>
              <w:bottom w:w="57" w:type="dxa"/>
            </w:tcMar>
          </w:tcPr>
          <w:p w14:paraId="74BC136F" w14:textId="58AAC863" w:rsidR="007162F1" w:rsidRPr="00EF0DB1" w:rsidRDefault="005164CE" w:rsidP="00F516D4">
            <w:pPr>
              <w:pStyle w:val="TableBody"/>
            </w:pPr>
            <w:r>
              <w:t>EJ</w:t>
            </w:r>
          </w:p>
        </w:tc>
        <w:tc>
          <w:tcPr>
            <w:tcW w:w="5678" w:type="dxa"/>
            <w:tcMar>
              <w:top w:w="57" w:type="dxa"/>
              <w:bottom w:w="57" w:type="dxa"/>
            </w:tcMar>
          </w:tcPr>
          <w:p w14:paraId="6E42919E" w14:textId="3D094F8B" w:rsidR="007162F1" w:rsidRPr="00EF0DB1" w:rsidRDefault="007162F1" w:rsidP="003018EB">
            <w:pPr>
              <w:pStyle w:val="TableBody"/>
            </w:pPr>
            <w:r w:rsidRPr="00EF0DB1">
              <w:t>Prior to the frequency assignments being recorded in the Master International Frequency Register</w:t>
            </w:r>
            <w:r w:rsidR="00243707">
              <w:t xml:space="preserve"> (MIFR)</w:t>
            </w:r>
            <w:r w:rsidRPr="00EF0DB1">
              <w:t>, this space station and associated earth stations may operate in accordance with the operating parameters published by the I</w:t>
            </w:r>
            <w:r w:rsidR="003018EB">
              <w:t xml:space="preserve">nternational </w:t>
            </w:r>
            <w:r w:rsidRPr="00EF0DB1">
              <w:t>T</w:t>
            </w:r>
            <w:r w:rsidR="003018EB">
              <w:t xml:space="preserve">elecommunications </w:t>
            </w:r>
            <w:r w:rsidRPr="00EF0DB1">
              <w:t>U</w:t>
            </w:r>
            <w:r w:rsidR="003018EB">
              <w:t>nion (ITU)</w:t>
            </w:r>
            <w:r w:rsidRPr="00EF0DB1">
              <w:t xml:space="preserve"> in Special Sections of International Frequency Information Circulars and in accordance with any agreements reached as a result of an ITU frequency coordination process.</w:t>
            </w:r>
          </w:p>
        </w:tc>
      </w:tr>
      <w:tr w:rsidR="007162F1" w:rsidRPr="001D15D2" w14:paraId="42FE3142" w14:textId="77777777" w:rsidTr="00012D10">
        <w:trPr>
          <w:gridAfter w:val="1"/>
          <w:wAfter w:w="9" w:type="dxa"/>
        </w:trPr>
        <w:tc>
          <w:tcPr>
            <w:tcW w:w="1129" w:type="dxa"/>
            <w:tcMar>
              <w:top w:w="57" w:type="dxa"/>
              <w:bottom w:w="57" w:type="dxa"/>
            </w:tcMar>
          </w:tcPr>
          <w:p w14:paraId="4C0BBF02" w14:textId="28C2E4E7" w:rsidR="007162F1" w:rsidRPr="00EF0DB1" w:rsidRDefault="007162F1" w:rsidP="00F516D4">
            <w:pPr>
              <w:pStyle w:val="TableBody"/>
            </w:pPr>
            <w:r w:rsidRPr="00EF0DB1">
              <w:t>Special Condition</w:t>
            </w:r>
          </w:p>
        </w:tc>
        <w:tc>
          <w:tcPr>
            <w:tcW w:w="1418" w:type="dxa"/>
            <w:tcMar>
              <w:top w:w="57" w:type="dxa"/>
              <w:bottom w:w="57" w:type="dxa"/>
            </w:tcMar>
          </w:tcPr>
          <w:p w14:paraId="1A7427C9" w14:textId="77777777" w:rsidR="00BE79BE" w:rsidRDefault="00BE79BE" w:rsidP="00692A86">
            <w:pPr>
              <w:pStyle w:val="TableBody"/>
            </w:pPr>
            <w:r>
              <w:t>Pre-defined</w:t>
            </w:r>
          </w:p>
          <w:p w14:paraId="79AB82E5" w14:textId="0356E146" w:rsidR="007162F1" w:rsidRPr="00EF0DB1" w:rsidRDefault="007162F1" w:rsidP="00692A86">
            <w:pPr>
              <w:pStyle w:val="TableBody"/>
            </w:pPr>
            <w:r w:rsidRPr="00EF0DB1">
              <w:t xml:space="preserve"> </w:t>
            </w:r>
          </w:p>
        </w:tc>
        <w:tc>
          <w:tcPr>
            <w:tcW w:w="850" w:type="dxa"/>
            <w:tcMar>
              <w:top w:w="57" w:type="dxa"/>
              <w:bottom w:w="57" w:type="dxa"/>
            </w:tcMar>
          </w:tcPr>
          <w:p w14:paraId="43C97CDC" w14:textId="0FE53CFF" w:rsidR="007162F1" w:rsidRPr="00EF0DB1" w:rsidRDefault="00BE79BE" w:rsidP="00F516D4">
            <w:pPr>
              <w:pStyle w:val="TableBody"/>
            </w:pPr>
            <w:r>
              <w:t>ESIM8</w:t>
            </w:r>
          </w:p>
        </w:tc>
        <w:tc>
          <w:tcPr>
            <w:tcW w:w="5678" w:type="dxa"/>
            <w:tcMar>
              <w:top w:w="57" w:type="dxa"/>
              <w:bottom w:w="57" w:type="dxa"/>
            </w:tcMar>
          </w:tcPr>
          <w:p w14:paraId="23C7CC88" w14:textId="77777777" w:rsidR="007162F1" w:rsidRPr="00EF0DB1" w:rsidRDefault="007162F1" w:rsidP="00F516D4">
            <w:pPr>
              <w:pStyle w:val="TableBody"/>
            </w:pPr>
            <w:r w:rsidRPr="00EF0DB1">
              <w:t>Earth stations in motion may be operated provided that these earth stations would, if stationary, otherwise be in accordance the operating parameters published by the ITU in Special Sections of International Frequency Information Circulars and in accordance with any agreements reached as a result of an ITU frequency coordination process.</w:t>
            </w:r>
          </w:p>
        </w:tc>
      </w:tr>
      <w:tr w:rsidR="007162F1" w:rsidRPr="001D15D2" w14:paraId="14307CC4" w14:textId="77777777" w:rsidTr="00012D10">
        <w:trPr>
          <w:gridAfter w:val="1"/>
          <w:wAfter w:w="9" w:type="dxa"/>
        </w:trPr>
        <w:tc>
          <w:tcPr>
            <w:tcW w:w="1129" w:type="dxa"/>
            <w:tcMar>
              <w:top w:w="57" w:type="dxa"/>
              <w:bottom w:w="57" w:type="dxa"/>
            </w:tcMar>
          </w:tcPr>
          <w:p w14:paraId="2CB47F21" w14:textId="029F8EDD" w:rsidR="007162F1" w:rsidRDefault="007162F1" w:rsidP="00F516D4">
            <w:pPr>
              <w:pStyle w:val="TableBody"/>
            </w:pPr>
            <w:r>
              <w:t xml:space="preserve">Special Condition </w:t>
            </w:r>
          </w:p>
        </w:tc>
        <w:tc>
          <w:tcPr>
            <w:tcW w:w="1418" w:type="dxa"/>
            <w:tcMar>
              <w:top w:w="57" w:type="dxa"/>
              <w:bottom w:w="57" w:type="dxa"/>
            </w:tcMar>
          </w:tcPr>
          <w:p w14:paraId="237DD9C6" w14:textId="77777777" w:rsidR="007162F1" w:rsidRPr="001D15D2" w:rsidRDefault="007162F1" w:rsidP="00F516D4">
            <w:pPr>
              <w:pStyle w:val="TableBody"/>
            </w:pPr>
            <w:r>
              <w:t>NEW</w:t>
            </w:r>
          </w:p>
        </w:tc>
        <w:tc>
          <w:tcPr>
            <w:tcW w:w="850" w:type="dxa"/>
            <w:tcMar>
              <w:top w:w="57" w:type="dxa"/>
              <w:bottom w:w="57" w:type="dxa"/>
            </w:tcMar>
          </w:tcPr>
          <w:p w14:paraId="2E185108" w14:textId="77777777" w:rsidR="007162F1" w:rsidRDefault="007162F1" w:rsidP="00F516D4">
            <w:pPr>
              <w:pStyle w:val="TableBody"/>
            </w:pPr>
          </w:p>
        </w:tc>
        <w:tc>
          <w:tcPr>
            <w:tcW w:w="5678" w:type="dxa"/>
            <w:tcMar>
              <w:top w:w="57" w:type="dxa"/>
              <w:bottom w:w="57" w:type="dxa"/>
            </w:tcMar>
          </w:tcPr>
          <w:p w14:paraId="75E95A0C" w14:textId="370CDB19" w:rsidR="007162F1" w:rsidRPr="00F41BB6" w:rsidRDefault="007162F1" w:rsidP="00F516D4">
            <w:pPr>
              <w:pStyle w:val="TableBody"/>
            </w:pPr>
            <w:r>
              <w:t>Earth station transmitters in motion are not authorised to operate after 31 December 202</w:t>
            </w:r>
            <w:r w:rsidR="007A0AD1">
              <w:t>4</w:t>
            </w:r>
          </w:p>
        </w:tc>
      </w:tr>
      <w:tr w:rsidR="007162F1" w:rsidRPr="001D15D2" w14:paraId="7E1D71EE" w14:textId="77777777" w:rsidTr="00012D10">
        <w:trPr>
          <w:gridAfter w:val="1"/>
          <w:wAfter w:w="9" w:type="dxa"/>
        </w:trPr>
        <w:tc>
          <w:tcPr>
            <w:tcW w:w="1129" w:type="dxa"/>
            <w:tcMar>
              <w:top w:w="57" w:type="dxa"/>
              <w:bottom w:w="57" w:type="dxa"/>
            </w:tcMar>
          </w:tcPr>
          <w:p w14:paraId="232F2F2A" w14:textId="3E387327" w:rsidR="007162F1" w:rsidRDefault="007162F1" w:rsidP="00F516D4">
            <w:pPr>
              <w:pStyle w:val="TableBody"/>
            </w:pPr>
            <w:r>
              <w:t>Special Condition</w:t>
            </w:r>
          </w:p>
        </w:tc>
        <w:tc>
          <w:tcPr>
            <w:tcW w:w="1418" w:type="dxa"/>
            <w:tcMar>
              <w:top w:w="57" w:type="dxa"/>
              <w:bottom w:w="57" w:type="dxa"/>
            </w:tcMar>
          </w:tcPr>
          <w:p w14:paraId="64312E6E" w14:textId="77777777" w:rsidR="007162F1" w:rsidRPr="001D15D2" w:rsidRDefault="007162F1" w:rsidP="00F516D4">
            <w:pPr>
              <w:pStyle w:val="TableBody"/>
            </w:pPr>
            <w:r w:rsidRPr="001D15D2">
              <w:t>Pre-defined</w:t>
            </w:r>
          </w:p>
        </w:tc>
        <w:tc>
          <w:tcPr>
            <w:tcW w:w="850" w:type="dxa"/>
            <w:tcMar>
              <w:top w:w="57" w:type="dxa"/>
              <w:bottom w:w="57" w:type="dxa"/>
            </w:tcMar>
          </w:tcPr>
          <w:p w14:paraId="4DCF1970" w14:textId="77777777" w:rsidR="007162F1" w:rsidRPr="001D15D2" w:rsidRDefault="007162F1" w:rsidP="00F516D4">
            <w:pPr>
              <w:pStyle w:val="TableBody"/>
            </w:pPr>
            <w:r>
              <w:t>EH</w:t>
            </w:r>
          </w:p>
        </w:tc>
        <w:tc>
          <w:tcPr>
            <w:tcW w:w="5678" w:type="dxa"/>
            <w:tcMar>
              <w:top w:w="57" w:type="dxa"/>
              <w:bottom w:w="57" w:type="dxa"/>
            </w:tcMar>
          </w:tcPr>
          <w:p w14:paraId="1D0FB19C" w14:textId="77777777" w:rsidR="007162F1" w:rsidRPr="001D15D2" w:rsidRDefault="007162F1" w:rsidP="00F516D4">
            <w:pPr>
              <w:pStyle w:val="TableBody"/>
            </w:pPr>
            <w:r w:rsidRPr="00F41BB6">
              <w:t>Transmissions must not occur in circumstances that result in harmful interference to stations outside of Australia</w:t>
            </w:r>
            <w:r>
              <w:t>,</w:t>
            </w:r>
            <w:r w:rsidRPr="00F41BB6">
              <w:t xml:space="preserve"> where these stations are operating in accordance with the Radio Regulations of the ITU</w:t>
            </w:r>
            <w:r>
              <w:t>,</w:t>
            </w:r>
            <w:r w:rsidRPr="00F41BB6">
              <w:t xml:space="preserve"> except where the transmissions are in accordance with any agreements reached as a result of an ITU international frequency coordination process.</w:t>
            </w:r>
          </w:p>
        </w:tc>
      </w:tr>
      <w:tr w:rsidR="007162F1" w:rsidRPr="00AE4863" w14:paraId="3FCDF8B5" w14:textId="77777777" w:rsidTr="00012D10">
        <w:trPr>
          <w:gridAfter w:val="1"/>
          <w:wAfter w:w="9" w:type="dxa"/>
        </w:trPr>
        <w:tc>
          <w:tcPr>
            <w:tcW w:w="1129" w:type="dxa"/>
            <w:tcMar>
              <w:top w:w="57" w:type="dxa"/>
              <w:bottom w:w="57" w:type="dxa"/>
            </w:tcMar>
          </w:tcPr>
          <w:p w14:paraId="4AA8A382" w14:textId="16A661DC" w:rsidR="007162F1" w:rsidRPr="001D15D2" w:rsidRDefault="007162F1" w:rsidP="00F516D4">
            <w:pPr>
              <w:pStyle w:val="TableBody"/>
            </w:pPr>
            <w:r w:rsidRPr="004C6A74">
              <w:t>Special Condition</w:t>
            </w:r>
          </w:p>
        </w:tc>
        <w:tc>
          <w:tcPr>
            <w:tcW w:w="1418" w:type="dxa"/>
            <w:tcMar>
              <w:top w:w="57" w:type="dxa"/>
              <w:bottom w:w="57" w:type="dxa"/>
            </w:tcMar>
          </w:tcPr>
          <w:p w14:paraId="4295895E" w14:textId="0804F25E" w:rsidR="007162F1" w:rsidRPr="00AE4863" w:rsidRDefault="007162F1" w:rsidP="00692A86">
            <w:pPr>
              <w:pStyle w:val="TableBody"/>
            </w:pPr>
            <w:r w:rsidRPr="001D15D2">
              <w:t>Pre-defined</w:t>
            </w:r>
            <w:r>
              <w:t xml:space="preserve"> – note to clarify difference between 156 and ECC</w:t>
            </w:r>
          </w:p>
        </w:tc>
        <w:tc>
          <w:tcPr>
            <w:tcW w:w="850" w:type="dxa"/>
            <w:tcMar>
              <w:top w:w="57" w:type="dxa"/>
              <w:bottom w:w="57" w:type="dxa"/>
            </w:tcMar>
          </w:tcPr>
          <w:p w14:paraId="7DC3BE80" w14:textId="77777777" w:rsidR="007162F1" w:rsidRPr="00AE4863" w:rsidRDefault="007162F1" w:rsidP="00F516D4">
            <w:pPr>
              <w:pStyle w:val="TableBody"/>
            </w:pPr>
            <w:r>
              <w:t>ESIM4</w:t>
            </w:r>
          </w:p>
        </w:tc>
        <w:tc>
          <w:tcPr>
            <w:tcW w:w="5678" w:type="dxa"/>
            <w:tcMar>
              <w:top w:w="57" w:type="dxa"/>
              <w:bottom w:w="57" w:type="dxa"/>
            </w:tcMar>
          </w:tcPr>
          <w:p w14:paraId="59702F28" w14:textId="77777777" w:rsidR="007162F1" w:rsidRPr="001D15D2" w:rsidRDefault="007162F1" w:rsidP="00F516D4">
            <w:pPr>
              <w:pStyle w:val="TableBody"/>
            </w:pPr>
            <w:r w:rsidRPr="00122253">
              <w:t xml:space="preserve">Radiocommunications between space stations and earth stations in motion authorised under this licence shall be subject to permanent monitoring and control by a Network Control </w:t>
            </w:r>
            <w:r>
              <w:t>Facility</w:t>
            </w:r>
            <w:r w:rsidRPr="00122253">
              <w:t xml:space="preserve"> (NC</w:t>
            </w:r>
            <w:r>
              <w:t>F</w:t>
            </w:r>
            <w:r w:rsidRPr="00122253">
              <w:t>) or equivalent facility</w:t>
            </w:r>
            <w:r>
              <w:t>,</w:t>
            </w:r>
            <w:r w:rsidRPr="00122253">
              <w:t xml:space="preserve"> and be capable of receiving and acting upon at least ‘enable transmission’ and ‘disable transmission’ commands from the NC</w:t>
            </w:r>
            <w:r>
              <w:t>F</w:t>
            </w:r>
            <w:r w:rsidRPr="00122253">
              <w:t>.</w:t>
            </w:r>
          </w:p>
        </w:tc>
      </w:tr>
      <w:tr w:rsidR="007162F1" w:rsidRPr="00A974C3" w14:paraId="1885254E" w14:textId="77777777" w:rsidTr="00012D10">
        <w:trPr>
          <w:gridAfter w:val="1"/>
          <w:wAfter w:w="9" w:type="dxa"/>
        </w:trPr>
        <w:tc>
          <w:tcPr>
            <w:tcW w:w="1129" w:type="dxa"/>
            <w:tcMar>
              <w:top w:w="57" w:type="dxa"/>
              <w:bottom w:w="57" w:type="dxa"/>
            </w:tcMar>
          </w:tcPr>
          <w:p w14:paraId="5BCB162A" w14:textId="40D2B187" w:rsidR="007162F1" w:rsidRPr="00AE4863" w:rsidRDefault="007162F1" w:rsidP="00F516D4">
            <w:pPr>
              <w:pStyle w:val="TableBody"/>
            </w:pPr>
            <w:r>
              <w:t>Special Condition</w:t>
            </w:r>
          </w:p>
        </w:tc>
        <w:tc>
          <w:tcPr>
            <w:tcW w:w="1418" w:type="dxa"/>
            <w:tcMar>
              <w:top w:w="57" w:type="dxa"/>
              <w:bottom w:w="57" w:type="dxa"/>
            </w:tcMar>
          </w:tcPr>
          <w:p w14:paraId="191E1E01" w14:textId="77777777" w:rsidR="007162F1" w:rsidRPr="00AE4863" w:rsidRDefault="007162F1" w:rsidP="00F516D4">
            <w:pPr>
              <w:pStyle w:val="TableBody"/>
            </w:pPr>
            <w:r w:rsidRPr="00E445AF">
              <w:t>Pre-defined</w:t>
            </w:r>
          </w:p>
        </w:tc>
        <w:tc>
          <w:tcPr>
            <w:tcW w:w="850" w:type="dxa"/>
            <w:tcMar>
              <w:top w:w="57" w:type="dxa"/>
              <w:bottom w:w="57" w:type="dxa"/>
            </w:tcMar>
          </w:tcPr>
          <w:p w14:paraId="3371D08D" w14:textId="77777777" w:rsidR="007162F1" w:rsidRPr="00AE4863" w:rsidRDefault="007162F1" w:rsidP="00F516D4">
            <w:pPr>
              <w:pStyle w:val="TableBody"/>
            </w:pPr>
            <w:r>
              <w:t>ESIM7</w:t>
            </w:r>
          </w:p>
        </w:tc>
        <w:tc>
          <w:tcPr>
            <w:tcW w:w="5678" w:type="dxa"/>
            <w:tcMar>
              <w:top w:w="57" w:type="dxa"/>
              <w:bottom w:w="57" w:type="dxa"/>
            </w:tcMar>
          </w:tcPr>
          <w:p w14:paraId="305A6FF0" w14:textId="77777777" w:rsidR="007162F1" w:rsidRPr="001D15D2" w:rsidRDefault="007162F1" w:rsidP="00F516D4">
            <w:pPr>
              <w:pStyle w:val="TableBody"/>
            </w:pPr>
            <w:r w:rsidRPr="001D15D2">
              <w:t>The licensee shall advise the ACMA of changes to the point of contact provided for the purpose of tracing any suspected cases of interference from earth stations in motion.</w:t>
            </w:r>
          </w:p>
        </w:tc>
      </w:tr>
      <w:tr w:rsidR="007162F1" w:rsidRPr="001D15D2" w14:paraId="699FE4E4" w14:textId="77777777" w:rsidTr="00012D10">
        <w:tblPrEx>
          <w:tblCellMar>
            <w:top w:w="28" w:type="dxa"/>
            <w:bottom w:w="28" w:type="dxa"/>
          </w:tblCellMar>
        </w:tblPrEx>
        <w:tc>
          <w:tcPr>
            <w:tcW w:w="1129" w:type="dxa"/>
            <w:tcMar>
              <w:top w:w="57" w:type="dxa"/>
              <w:bottom w:w="57" w:type="dxa"/>
            </w:tcMar>
          </w:tcPr>
          <w:p w14:paraId="46F4D004" w14:textId="6DF1566A" w:rsidR="007162F1" w:rsidRDefault="007162F1" w:rsidP="00F516D4">
            <w:pPr>
              <w:pStyle w:val="TableBody"/>
            </w:pPr>
            <w:r>
              <w:t>Special Condition</w:t>
            </w:r>
          </w:p>
        </w:tc>
        <w:tc>
          <w:tcPr>
            <w:tcW w:w="1418" w:type="dxa"/>
            <w:tcMar>
              <w:top w:w="57" w:type="dxa"/>
              <w:bottom w:w="57" w:type="dxa"/>
            </w:tcMar>
          </w:tcPr>
          <w:p w14:paraId="38DD0983" w14:textId="033E2F6B" w:rsidR="007162F1" w:rsidRPr="00E445AF" w:rsidRDefault="002C7431" w:rsidP="00F516D4">
            <w:pPr>
              <w:pStyle w:val="TableBody"/>
            </w:pPr>
            <w:r>
              <w:t>New</w:t>
            </w:r>
            <w:r w:rsidR="007162F1">
              <w:t xml:space="preserve"> </w:t>
            </w:r>
          </w:p>
        </w:tc>
        <w:tc>
          <w:tcPr>
            <w:tcW w:w="850" w:type="dxa"/>
            <w:tcMar>
              <w:top w:w="57" w:type="dxa"/>
              <w:bottom w:w="57" w:type="dxa"/>
            </w:tcMar>
          </w:tcPr>
          <w:p w14:paraId="12C2BB30" w14:textId="77777777" w:rsidR="007162F1" w:rsidRDefault="007162F1" w:rsidP="00F516D4">
            <w:pPr>
              <w:pStyle w:val="TableBody"/>
            </w:pPr>
          </w:p>
        </w:tc>
        <w:tc>
          <w:tcPr>
            <w:tcW w:w="5687" w:type="dxa"/>
            <w:gridSpan w:val="2"/>
            <w:tcMar>
              <w:top w:w="57" w:type="dxa"/>
              <w:bottom w:w="57" w:type="dxa"/>
            </w:tcMar>
          </w:tcPr>
          <w:p w14:paraId="5393D6AF" w14:textId="77777777" w:rsidR="007162F1" w:rsidRPr="00F41BB6" w:rsidRDefault="007162F1" w:rsidP="00F516D4">
            <w:pPr>
              <w:pStyle w:val="TableBody"/>
            </w:pPr>
            <w:r>
              <w:t>The use of earth station transmitters in motion in NGSO systems limited to earth stations on land or on water.</w:t>
            </w:r>
          </w:p>
        </w:tc>
      </w:tr>
      <w:tr w:rsidR="007162F1" w:rsidRPr="00A974C3" w14:paraId="1BB9C3C2" w14:textId="77777777" w:rsidTr="00012D10">
        <w:trPr>
          <w:gridAfter w:val="1"/>
          <w:wAfter w:w="9" w:type="dxa"/>
        </w:trPr>
        <w:tc>
          <w:tcPr>
            <w:tcW w:w="1129" w:type="dxa"/>
            <w:tcMar>
              <w:top w:w="57" w:type="dxa"/>
              <w:bottom w:w="57" w:type="dxa"/>
            </w:tcMar>
          </w:tcPr>
          <w:p w14:paraId="361CFF8E" w14:textId="5D09A5DC" w:rsidR="007162F1" w:rsidRDefault="007162F1" w:rsidP="00F516D4">
            <w:pPr>
              <w:pStyle w:val="TableBody"/>
            </w:pPr>
            <w:r w:rsidRPr="0060183E">
              <w:t>Special Condition</w:t>
            </w:r>
          </w:p>
        </w:tc>
        <w:tc>
          <w:tcPr>
            <w:tcW w:w="1418" w:type="dxa"/>
            <w:tcMar>
              <w:top w:w="57" w:type="dxa"/>
              <w:bottom w:w="57" w:type="dxa"/>
            </w:tcMar>
          </w:tcPr>
          <w:p w14:paraId="1184C6AD" w14:textId="562CD8A4" w:rsidR="007162F1" w:rsidRDefault="007162F1" w:rsidP="00692A86">
            <w:pPr>
              <w:pStyle w:val="TableBody"/>
            </w:pPr>
            <w:r>
              <w:t>User-defined</w:t>
            </w:r>
          </w:p>
          <w:p w14:paraId="2DC69764" w14:textId="117FDEC0" w:rsidR="007162F1" w:rsidRPr="00E445AF" w:rsidRDefault="007162F1" w:rsidP="00692A86">
            <w:pPr>
              <w:pStyle w:val="TableBody"/>
            </w:pPr>
            <w:r>
              <w:t>(Not in MIFR)</w:t>
            </w:r>
          </w:p>
        </w:tc>
        <w:tc>
          <w:tcPr>
            <w:tcW w:w="850" w:type="dxa"/>
            <w:tcMar>
              <w:top w:w="57" w:type="dxa"/>
              <w:bottom w:w="57" w:type="dxa"/>
            </w:tcMar>
          </w:tcPr>
          <w:p w14:paraId="36AAA82D" w14:textId="77777777" w:rsidR="007162F1" w:rsidRDefault="007162F1" w:rsidP="00F516D4">
            <w:pPr>
              <w:pStyle w:val="TableBody"/>
            </w:pPr>
          </w:p>
        </w:tc>
        <w:tc>
          <w:tcPr>
            <w:tcW w:w="5678" w:type="dxa"/>
            <w:tcMar>
              <w:top w:w="57" w:type="dxa"/>
              <w:bottom w:w="57" w:type="dxa"/>
            </w:tcMar>
          </w:tcPr>
          <w:p w14:paraId="4C029FD0" w14:textId="77777777" w:rsidR="007162F1" w:rsidRPr="00F41BB6" w:rsidRDefault="007162F1" w:rsidP="00F516D4">
            <w:pPr>
              <w:pStyle w:val="TableBody"/>
            </w:pPr>
            <w:r w:rsidRPr="00F41BB6">
              <w:t xml:space="preserve">This </w:t>
            </w:r>
            <w:r>
              <w:t>space</w:t>
            </w:r>
            <w:r w:rsidRPr="00F41BB6">
              <w:t xml:space="preserve"> station</w:t>
            </w:r>
            <w:r>
              <w:t xml:space="preserve"> and associated earth stations are</w:t>
            </w:r>
            <w:r w:rsidRPr="00F41BB6">
              <w:t xml:space="preserve"> authorised to communicate with space stations of the </w:t>
            </w:r>
            <w:r w:rsidRPr="00006756">
              <w:rPr>
                <w:i/>
              </w:rPr>
              <w:t>[satellite network name]</w:t>
            </w:r>
            <w:r w:rsidRPr="00F41BB6">
              <w:t xml:space="preserve"> satellite network as published by the International Telecommunication Union (ITU) in Special Section </w:t>
            </w:r>
            <w:r w:rsidRPr="00006756">
              <w:rPr>
                <w:i/>
              </w:rPr>
              <w:t>[ITU reference – take the most recent document number]</w:t>
            </w:r>
            <w:r w:rsidRPr="00F41BB6">
              <w:t xml:space="preserve"> of International Frequency Information Circular </w:t>
            </w:r>
            <w:r w:rsidRPr="00006756">
              <w:rPr>
                <w:i/>
              </w:rPr>
              <w:t>[IFIC number]</w:t>
            </w:r>
            <w:r w:rsidRPr="00F41BB6">
              <w:t>.</w:t>
            </w:r>
          </w:p>
        </w:tc>
      </w:tr>
      <w:tr w:rsidR="007162F1" w:rsidRPr="001D15D2" w14:paraId="3647C0BB" w14:textId="77777777" w:rsidTr="00012D10">
        <w:tblPrEx>
          <w:tblCellMar>
            <w:top w:w="28" w:type="dxa"/>
            <w:bottom w:w="28" w:type="dxa"/>
          </w:tblCellMar>
        </w:tblPrEx>
        <w:trPr>
          <w:gridAfter w:val="1"/>
          <w:wAfter w:w="9" w:type="dxa"/>
        </w:trPr>
        <w:tc>
          <w:tcPr>
            <w:tcW w:w="1129" w:type="dxa"/>
            <w:tcMar>
              <w:top w:w="57" w:type="dxa"/>
              <w:bottom w:w="57" w:type="dxa"/>
            </w:tcMar>
          </w:tcPr>
          <w:p w14:paraId="4097B11C" w14:textId="7191370D" w:rsidR="007162F1" w:rsidRDefault="007162F1" w:rsidP="00F516D4">
            <w:pPr>
              <w:pStyle w:val="TableBody"/>
            </w:pPr>
            <w:r w:rsidRPr="004C6A74">
              <w:lastRenderedPageBreak/>
              <w:t>Special Condition</w:t>
            </w:r>
          </w:p>
        </w:tc>
        <w:tc>
          <w:tcPr>
            <w:tcW w:w="1418" w:type="dxa"/>
            <w:tcMar>
              <w:top w:w="57" w:type="dxa"/>
              <w:bottom w:w="57" w:type="dxa"/>
            </w:tcMar>
          </w:tcPr>
          <w:p w14:paraId="16724B87" w14:textId="5CEEF143" w:rsidR="007162F1" w:rsidRDefault="007162F1" w:rsidP="00692A86">
            <w:pPr>
              <w:pStyle w:val="TableBody"/>
            </w:pPr>
            <w:r>
              <w:t>User-defined</w:t>
            </w:r>
          </w:p>
          <w:p w14:paraId="39C8310B" w14:textId="0E916CA6" w:rsidR="007162F1" w:rsidRPr="00E445AF" w:rsidRDefault="007162F1" w:rsidP="00692A86">
            <w:pPr>
              <w:pStyle w:val="TableBody"/>
            </w:pPr>
            <w:r>
              <w:t>(In MIFR)</w:t>
            </w:r>
          </w:p>
        </w:tc>
        <w:tc>
          <w:tcPr>
            <w:tcW w:w="850" w:type="dxa"/>
            <w:tcMar>
              <w:top w:w="57" w:type="dxa"/>
              <w:bottom w:w="57" w:type="dxa"/>
            </w:tcMar>
          </w:tcPr>
          <w:p w14:paraId="500E32E9" w14:textId="77777777" w:rsidR="007162F1" w:rsidRDefault="007162F1" w:rsidP="00F516D4">
            <w:pPr>
              <w:pStyle w:val="TableBody"/>
            </w:pPr>
          </w:p>
        </w:tc>
        <w:tc>
          <w:tcPr>
            <w:tcW w:w="5678" w:type="dxa"/>
            <w:tcMar>
              <w:top w:w="57" w:type="dxa"/>
              <w:bottom w:w="57" w:type="dxa"/>
            </w:tcMar>
          </w:tcPr>
          <w:p w14:paraId="4BC3EC29" w14:textId="77777777" w:rsidR="007162F1" w:rsidRPr="00F41BB6" w:rsidRDefault="007162F1" w:rsidP="00F516D4">
            <w:pPr>
              <w:pStyle w:val="TableBody"/>
            </w:pPr>
            <w:r w:rsidRPr="00F41BB6">
              <w:t xml:space="preserve">This licence authorises communications with </w:t>
            </w:r>
            <w:r w:rsidRPr="00006756">
              <w:rPr>
                <w:i/>
              </w:rPr>
              <w:t>[name of satellite].</w:t>
            </w:r>
          </w:p>
        </w:tc>
      </w:tr>
      <w:tr w:rsidR="007162F1" w:rsidRPr="00A974C3" w14:paraId="00E93776" w14:textId="77777777" w:rsidTr="00012D10">
        <w:trPr>
          <w:gridAfter w:val="1"/>
          <w:wAfter w:w="9" w:type="dxa"/>
        </w:trPr>
        <w:tc>
          <w:tcPr>
            <w:tcW w:w="1129" w:type="dxa"/>
            <w:tcMar>
              <w:top w:w="57" w:type="dxa"/>
              <w:bottom w:w="57" w:type="dxa"/>
            </w:tcMar>
          </w:tcPr>
          <w:p w14:paraId="79B9859F" w14:textId="7C01C849" w:rsidR="007162F1" w:rsidRDefault="007162F1" w:rsidP="00F516D4">
            <w:pPr>
              <w:pStyle w:val="TableBody"/>
            </w:pPr>
            <w:r>
              <w:t>Advisory Note</w:t>
            </w:r>
          </w:p>
        </w:tc>
        <w:tc>
          <w:tcPr>
            <w:tcW w:w="1418" w:type="dxa"/>
            <w:tcMar>
              <w:top w:w="57" w:type="dxa"/>
              <w:bottom w:w="57" w:type="dxa"/>
            </w:tcMar>
          </w:tcPr>
          <w:p w14:paraId="5D480DBC" w14:textId="77777777" w:rsidR="007162F1" w:rsidRPr="00AE4863" w:rsidRDefault="007162F1" w:rsidP="00F516D4">
            <w:pPr>
              <w:pStyle w:val="TableBody"/>
            </w:pPr>
            <w:r w:rsidRPr="00E445AF">
              <w:t>Pre-defined</w:t>
            </w:r>
          </w:p>
        </w:tc>
        <w:tc>
          <w:tcPr>
            <w:tcW w:w="850" w:type="dxa"/>
            <w:tcMar>
              <w:top w:w="57" w:type="dxa"/>
              <w:bottom w:w="57" w:type="dxa"/>
            </w:tcMar>
          </w:tcPr>
          <w:p w14:paraId="3043D192" w14:textId="77777777" w:rsidR="007162F1" w:rsidRDefault="007162F1" w:rsidP="00F516D4">
            <w:pPr>
              <w:pStyle w:val="TableBody"/>
            </w:pPr>
            <w:r>
              <w:t>EI</w:t>
            </w:r>
          </w:p>
        </w:tc>
        <w:tc>
          <w:tcPr>
            <w:tcW w:w="5678" w:type="dxa"/>
            <w:tcMar>
              <w:top w:w="57" w:type="dxa"/>
              <w:bottom w:w="57" w:type="dxa"/>
            </w:tcMar>
          </w:tcPr>
          <w:p w14:paraId="34CB9393" w14:textId="567CCE48" w:rsidR="007162F1" w:rsidRPr="001D15D2" w:rsidRDefault="007162F1" w:rsidP="00692A86">
            <w:pPr>
              <w:pStyle w:val="TableBody"/>
            </w:pPr>
            <w:r w:rsidRPr="00F41BB6">
              <w:t>The Master International Frequency Register (MIFR) is maintained by the International Telecommunication Union (ITU) in accordance with the Radio Regulations.</w:t>
            </w:r>
          </w:p>
        </w:tc>
      </w:tr>
      <w:tr w:rsidR="007162F1" w:rsidRPr="00A974C3" w14:paraId="2441E1A5" w14:textId="77777777" w:rsidTr="00012D10">
        <w:trPr>
          <w:gridAfter w:val="1"/>
          <w:wAfter w:w="9" w:type="dxa"/>
        </w:trPr>
        <w:tc>
          <w:tcPr>
            <w:tcW w:w="1129" w:type="dxa"/>
            <w:tcMar>
              <w:top w:w="57" w:type="dxa"/>
              <w:bottom w:w="57" w:type="dxa"/>
            </w:tcMar>
          </w:tcPr>
          <w:p w14:paraId="0E01612B" w14:textId="6B6D8A42" w:rsidR="007162F1" w:rsidRDefault="007162F1" w:rsidP="00F516D4">
            <w:pPr>
              <w:pStyle w:val="TableBody"/>
            </w:pPr>
            <w:r>
              <w:t>Advisory Note</w:t>
            </w:r>
          </w:p>
        </w:tc>
        <w:tc>
          <w:tcPr>
            <w:tcW w:w="1418" w:type="dxa"/>
            <w:tcMar>
              <w:top w:w="57" w:type="dxa"/>
              <w:bottom w:w="57" w:type="dxa"/>
            </w:tcMar>
          </w:tcPr>
          <w:p w14:paraId="65F9640B" w14:textId="77777777" w:rsidR="007162F1" w:rsidRPr="00E445AF" w:rsidRDefault="007162F1" w:rsidP="00F516D4">
            <w:pPr>
              <w:pStyle w:val="TableBody"/>
            </w:pPr>
            <w:r w:rsidRPr="00E445AF">
              <w:t>Pre-defined</w:t>
            </w:r>
          </w:p>
        </w:tc>
        <w:tc>
          <w:tcPr>
            <w:tcW w:w="850" w:type="dxa"/>
            <w:tcMar>
              <w:top w:w="57" w:type="dxa"/>
              <w:bottom w:w="57" w:type="dxa"/>
            </w:tcMar>
          </w:tcPr>
          <w:p w14:paraId="2B7FF2E5" w14:textId="77777777" w:rsidR="007162F1" w:rsidRDefault="007162F1" w:rsidP="00F516D4">
            <w:pPr>
              <w:pStyle w:val="TableBody"/>
            </w:pPr>
            <w:r>
              <w:t>ED</w:t>
            </w:r>
          </w:p>
        </w:tc>
        <w:tc>
          <w:tcPr>
            <w:tcW w:w="5678" w:type="dxa"/>
            <w:tcMar>
              <w:top w:w="57" w:type="dxa"/>
              <w:bottom w:w="57" w:type="dxa"/>
            </w:tcMar>
          </w:tcPr>
          <w:p w14:paraId="669604C5" w14:textId="77777777" w:rsidR="007162F1" w:rsidRPr="00F41BB6" w:rsidRDefault="007162F1" w:rsidP="00F516D4">
            <w:pPr>
              <w:pStyle w:val="TableBody"/>
            </w:pPr>
            <w:r w:rsidRPr="00F41BB6">
              <w:t>Coordination agreements reached as a result of an ITU international frequency coordination process are intended to minimise the potential for harmful interference to radiocommunications stations. A radiocommunications station operated prior to a frequency assignment being recorded in the MIFR cannot necessarily claim protection from harmful interference from radiocommunications stations of other countries.</w:t>
            </w:r>
          </w:p>
        </w:tc>
      </w:tr>
    </w:tbl>
    <w:p w14:paraId="0E7A35E2" w14:textId="7F66B67C" w:rsidR="007162F1" w:rsidRDefault="007162F1" w:rsidP="00012D10">
      <w:pPr>
        <w:pStyle w:val="ACMASpaceaftertable"/>
      </w:pPr>
    </w:p>
    <w:p w14:paraId="747D6CCC" w14:textId="03ADCD7A" w:rsidR="00A31AB5" w:rsidRDefault="00A31AB5" w:rsidP="003715DE">
      <w:pPr>
        <w:spacing w:line="240" w:lineRule="auto"/>
        <w:rPr>
          <w:rFonts w:cs="Arial"/>
          <w:szCs w:val="20"/>
        </w:rPr>
      </w:pPr>
      <w:r>
        <w:rPr>
          <w:rFonts w:cs="Arial"/>
          <w:szCs w:val="20"/>
        </w:rPr>
        <w:t>[Note: Operation in accordance with frequency assignments recorded in the MFIR includes the operation in accordance with any Administration agreements reached as a result of an ITU frequency coordination process]</w:t>
      </w:r>
    </w:p>
    <w:p w14:paraId="2273B559" w14:textId="75E9178D" w:rsidR="003715DE" w:rsidRPr="00012D10" w:rsidRDefault="003715DE" w:rsidP="00A31AB5">
      <w:pPr>
        <w:spacing w:line="240" w:lineRule="auto"/>
      </w:pPr>
      <w:r>
        <w:rPr>
          <w:rFonts w:cs="Arial"/>
          <w:szCs w:val="20"/>
        </w:rPr>
        <w:t>[Note:</w:t>
      </w:r>
      <w:r w:rsidRPr="00146BBB">
        <w:t xml:space="preserve"> </w:t>
      </w:r>
      <w:r w:rsidRPr="00146BBB">
        <w:rPr>
          <w:rFonts w:cs="Arial"/>
          <w:szCs w:val="20"/>
        </w:rPr>
        <w:t>Operation of this space station and associated earth stations is only authorised if the frequency assignments of the satellite network recorded by the ITU with which communications are authorised by this licence are not cancelled.</w:t>
      </w:r>
      <w:r>
        <w:rPr>
          <w:rFonts w:cs="Arial"/>
          <w:szCs w:val="20"/>
        </w:rPr>
        <w:t>]</w:t>
      </w:r>
    </w:p>
    <w:p w14:paraId="09FB2329" w14:textId="6ADB7294" w:rsidR="007162F1" w:rsidRDefault="00012D10" w:rsidP="00D14DB9">
      <w:pPr>
        <w:pStyle w:val="Heading2"/>
        <w:pageBreakBefore/>
        <w:spacing w:after="120"/>
      </w:pPr>
      <w:bookmarkStart w:id="55" w:name="_Toc486404170"/>
      <w:bookmarkStart w:id="56" w:name="_Toc475094526"/>
      <w:bookmarkStart w:id="57" w:name="_Toc476132721"/>
      <w:bookmarkStart w:id="58" w:name="_Ref486327545"/>
      <w:bookmarkStart w:id="59" w:name="_Ref486327553"/>
      <w:bookmarkStart w:id="60" w:name="_Toc486404171"/>
      <w:bookmarkStart w:id="61" w:name="_Toc111750938"/>
      <w:bookmarkEnd w:id="55"/>
      <w:r>
        <w:lastRenderedPageBreak/>
        <w:t xml:space="preserve">Appendix C: </w:t>
      </w:r>
      <w:r w:rsidR="007162F1">
        <w:t xml:space="preserve">Letter of Assurance </w:t>
      </w:r>
      <w:r w:rsidR="007162F1" w:rsidRPr="00C801C4">
        <w:t>pro forma</w:t>
      </w:r>
      <w:bookmarkEnd w:id="56"/>
      <w:bookmarkEnd w:id="57"/>
      <w:bookmarkEnd w:id="58"/>
      <w:bookmarkEnd w:id="59"/>
      <w:bookmarkEnd w:id="60"/>
      <w:bookmarkEnd w:id="61"/>
      <w:r w:rsidR="007162F1" w:rsidRPr="00056B99">
        <w:rPr>
          <w:i/>
        </w:rPr>
        <w:t xml:space="preserve"> </w:t>
      </w:r>
      <w:bookmarkStart w:id="62" w:name="OLE_LINK8"/>
      <w:bookmarkEnd w:id="62"/>
    </w:p>
    <w:p w14:paraId="028096B8" w14:textId="1C927B44" w:rsidR="007162F1" w:rsidRPr="00C801C4" w:rsidRDefault="007162F1" w:rsidP="007162F1">
      <w:pPr>
        <w:rPr>
          <w:i/>
        </w:rPr>
      </w:pPr>
      <w:r w:rsidRPr="00C801C4">
        <w:rPr>
          <w:i/>
        </w:rPr>
        <w:t xml:space="preserve">This pro forma is to be used when a satellite filing has not been successfully recorded in the </w:t>
      </w:r>
      <w:r>
        <w:rPr>
          <w:i/>
        </w:rPr>
        <w:t>M</w:t>
      </w:r>
      <w:r w:rsidRPr="00C801C4">
        <w:rPr>
          <w:i/>
        </w:rPr>
        <w:t xml:space="preserve">aster </w:t>
      </w:r>
      <w:r>
        <w:rPr>
          <w:i/>
        </w:rPr>
        <w:t>I</w:t>
      </w:r>
      <w:r w:rsidRPr="00C801C4">
        <w:rPr>
          <w:i/>
        </w:rPr>
        <w:t xml:space="preserve">nternational </w:t>
      </w:r>
      <w:r>
        <w:rPr>
          <w:i/>
        </w:rPr>
        <w:t>F</w:t>
      </w:r>
      <w:r w:rsidRPr="00C801C4">
        <w:rPr>
          <w:i/>
        </w:rPr>
        <w:t xml:space="preserve">requency </w:t>
      </w:r>
      <w:r>
        <w:rPr>
          <w:i/>
        </w:rPr>
        <w:t>R</w:t>
      </w:r>
      <w:r w:rsidRPr="00C801C4">
        <w:rPr>
          <w:i/>
        </w:rPr>
        <w:t>egister (MIFR)</w:t>
      </w:r>
      <w:r w:rsidR="00C971DA" w:rsidRPr="00C971DA">
        <w:rPr>
          <w:i/>
        </w:rPr>
        <w:t xml:space="preserve"> </w:t>
      </w:r>
      <w:r w:rsidR="00C971DA">
        <w:rPr>
          <w:i/>
        </w:rPr>
        <w:t>or a satellite filing has been recorded in the MIFR but with unfavourable findings under 11.41</w:t>
      </w:r>
      <w:r w:rsidRPr="00C801C4">
        <w:rPr>
          <w:i/>
        </w:rPr>
        <w:t xml:space="preserve">. </w:t>
      </w:r>
    </w:p>
    <w:p w14:paraId="1A22C004" w14:textId="0212D917" w:rsidR="007162F1" w:rsidRPr="0045162A" w:rsidRDefault="007162F1" w:rsidP="007162F1">
      <w:r w:rsidRPr="0045162A">
        <w:t>The application for a licence to communicate with [</w:t>
      </w:r>
      <w:r w:rsidRPr="0045162A">
        <w:rPr>
          <w:i/>
          <w:color w:val="0000FF"/>
        </w:rPr>
        <w:t>satellite commercial name</w:t>
      </w:r>
      <w:r w:rsidRPr="0045162A">
        <w:t>] in the frequency bands [</w:t>
      </w:r>
      <w:r w:rsidRPr="0045162A">
        <w:rPr>
          <w:i/>
          <w:color w:val="0000FF"/>
        </w:rPr>
        <w:t>insert frequency bands</w:t>
      </w:r>
      <w:r w:rsidRPr="0045162A">
        <w:t xml:space="preserve">] will use the </w:t>
      </w:r>
      <w:bookmarkStart w:id="63" w:name="OLE_LINK7"/>
      <w:r w:rsidRPr="0045162A">
        <w:t>[</w:t>
      </w:r>
      <w:r w:rsidRPr="0045162A">
        <w:rPr>
          <w:i/>
          <w:color w:val="0000FF"/>
        </w:rPr>
        <w:t>ITU satellite filing name</w:t>
      </w:r>
      <w:r w:rsidRPr="0045162A">
        <w:t>] satellite filing</w:t>
      </w:r>
      <w:bookmarkEnd w:id="63"/>
      <w:r w:rsidRPr="0045162A">
        <w:t xml:space="preserve">, for which the </w:t>
      </w:r>
      <w:r w:rsidR="003C13F4">
        <w:t>I</w:t>
      </w:r>
      <w:r w:rsidRPr="0045162A">
        <w:t xml:space="preserve">nternational Telecommunication Union (ITU) has published </w:t>
      </w:r>
      <w:r>
        <w:t>‘</w:t>
      </w:r>
      <w:r w:rsidRPr="0045162A">
        <w:t>special sections</w:t>
      </w:r>
      <w:r>
        <w:t>’</w:t>
      </w:r>
      <w:r w:rsidRPr="0045162A">
        <w:t xml:space="preserve"> such as [</w:t>
      </w:r>
      <w:r w:rsidRPr="0045162A">
        <w:rPr>
          <w:i/>
          <w:color w:val="0000FF"/>
        </w:rPr>
        <w:t xml:space="preserve">CR/C xxx in IFIC XXXX </w:t>
      </w:r>
      <w:r w:rsidRPr="0045162A">
        <w:rPr>
          <w:i/>
        </w:rPr>
        <w:t>(only include one</w:t>
      </w:r>
      <w:r>
        <w:rPr>
          <w:i/>
        </w:rPr>
        <w:t>—</w:t>
      </w:r>
      <w:r w:rsidRPr="0045162A">
        <w:rPr>
          <w:i/>
        </w:rPr>
        <w:t>preferably the CR/C publication)</w:t>
      </w:r>
      <w:r w:rsidRPr="0045162A">
        <w:t>]. This filing has been made by the Administration of [</w:t>
      </w:r>
      <w:r w:rsidRPr="0045162A">
        <w:rPr>
          <w:color w:val="0000FF"/>
        </w:rPr>
        <w:t>c</w:t>
      </w:r>
      <w:r w:rsidRPr="0045162A">
        <w:rPr>
          <w:i/>
          <w:color w:val="0000FF"/>
        </w:rPr>
        <w:t>ountry name</w:t>
      </w:r>
      <w:r w:rsidRPr="0045162A">
        <w:t xml:space="preserve">], and has </w:t>
      </w:r>
      <w:r>
        <w:t xml:space="preserve">orbital position/characteristics </w:t>
      </w:r>
      <w:r w:rsidRPr="0045162A">
        <w:t xml:space="preserve">of </w:t>
      </w:r>
      <w:r>
        <w:t xml:space="preserve">a constellation of </w:t>
      </w:r>
      <w:r>
        <w:rPr>
          <w:i/>
          <w:color w:val="0000FF"/>
        </w:rPr>
        <w:t>P</w:t>
      </w:r>
      <w:r w:rsidRPr="0045162A">
        <w:rPr>
          <w:i/>
          <w:color w:val="0000FF"/>
        </w:rPr>
        <w:t xml:space="preserve"> </w:t>
      </w:r>
      <w:r>
        <w:t xml:space="preserve">satellites in </w:t>
      </w:r>
      <w:r>
        <w:rPr>
          <w:i/>
          <w:color w:val="0000FF"/>
        </w:rPr>
        <w:t>Q</w:t>
      </w:r>
      <w:r w:rsidRPr="0045162A">
        <w:rPr>
          <w:i/>
          <w:color w:val="0000FF"/>
        </w:rPr>
        <w:t xml:space="preserve"> </w:t>
      </w:r>
      <w:r>
        <w:t xml:space="preserve">planes at </w:t>
      </w:r>
      <w:r>
        <w:rPr>
          <w:i/>
          <w:color w:val="0000FF"/>
        </w:rPr>
        <w:t>R</w:t>
      </w:r>
      <w:r w:rsidRPr="0045162A">
        <w:rPr>
          <w:i/>
          <w:color w:val="0000FF"/>
        </w:rPr>
        <w:t xml:space="preserve"> </w:t>
      </w:r>
      <w:r>
        <w:t xml:space="preserve">inclination and </w:t>
      </w:r>
      <w:r>
        <w:rPr>
          <w:i/>
          <w:color w:val="0000FF"/>
        </w:rPr>
        <w:t>S</w:t>
      </w:r>
      <w:r w:rsidRPr="0045162A">
        <w:rPr>
          <w:i/>
          <w:color w:val="0000FF"/>
        </w:rPr>
        <w:t xml:space="preserve"> </w:t>
      </w:r>
      <w:r>
        <w:t>altitude</w:t>
      </w:r>
      <w:r w:rsidRPr="0045162A">
        <w:t>.</w:t>
      </w:r>
    </w:p>
    <w:p w14:paraId="422D06E6" w14:textId="102DC25A" w:rsidR="007162F1" w:rsidRPr="0045162A" w:rsidRDefault="007162F1" w:rsidP="007162F1">
      <w:pPr>
        <w:spacing w:after="80"/>
      </w:pPr>
      <w:r w:rsidRPr="0045162A">
        <w:t>[</w:t>
      </w:r>
      <w:r w:rsidRPr="0045162A">
        <w:rPr>
          <w:i/>
          <w:color w:val="0000FF"/>
        </w:rPr>
        <w:t>Satellite operator</w:t>
      </w:r>
      <w:r w:rsidRPr="0045162A">
        <w:t>] provides the following assurances</w:t>
      </w:r>
      <w:r w:rsidRPr="0045162A">
        <w:rPr>
          <w:rStyle w:val="FootnoteReference"/>
          <w:rFonts w:cs="Arial"/>
        </w:rPr>
        <w:footnoteReference w:id="8"/>
      </w:r>
      <w:r w:rsidRPr="0045162A">
        <w:t xml:space="preserve"> to the ACMA to support applications for licen</w:t>
      </w:r>
      <w:r w:rsidR="003C13F4">
        <w:t>c</w:t>
      </w:r>
      <w:r w:rsidRPr="0045162A">
        <w:t>es within Australia:</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30"/>
        <w:gridCol w:w="3831"/>
      </w:tblGrid>
      <w:tr w:rsidR="00BE196F" w14:paraId="1321AB8A" w14:textId="77777777" w:rsidTr="007D5330">
        <w:tc>
          <w:tcPr>
            <w:tcW w:w="3830" w:type="dxa"/>
          </w:tcPr>
          <w:p w14:paraId="328BEB6C" w14:textId="77777777" w:rsidR="00BE196F" w:rsidRDefault="00BE196F" w:rsidP="007D5330">
            <w:pPr>
              <w:spacing w:after="80"/>
            </w:pPr>
            <w:r w:rsidRPr="00773F0B">
              <w:rPr>
                <w:i/>
              </w:rPr>
              <w:t>Not recorded in the MIFR</w:t>
            </w:r>
          </w:p>
        </w:tc>
        <w:tc>
          <w:tcPr>
            <w:tcW w:w="3831" w:type="dxa"/>
          </w:tcPr>
          <w:p w14:paraId="3CD3599D" w14:textId="77777777" w:rsidR="00BE196F" w:rsidRDefault="00BE196F" w:rsidP="007D5330">
            <w:pPr>
              <w:spacing w:after="80"/>
            </w:pPr>
            <w:r w:rsidRPr="00773F0B">
              <w:rPr>
                <w:i/>
              </w:rPr>
              <w:t>Recorded in MIFR under 11.41</w:t>
            </w:r>
          </w:p>
        </w:tc>
      </w:tr>
      <w:tr w:rsidR="00BE196F" w14:paraId="4C41C44A" w14:textId="77777777" w:rsidTr="007D5330">
        <w:tc>
          <w:tcPr>
            <w:tcW w:w="3830" w:type="dxa"/>
          </w:tcPr>
          <w:p w14:paraId="0DBE75E6" w14:textId="7AE043F5" w:rsidR="00BE196F" w:rsidRPr="009B0639" w:rsidRDefault="00BE196F" w:rsidP="007D5330">
            <w:pPr>
              <w:pStyle w:val="ListNumber"/>
            </w:pPr>
            <w:r w:rsidRPr="009B0639">
              <w:t>Coordination with other administrations for the [</w:t>
            </w:r>
            <w:r w:rsidRPr="009B0639">
              <w:rPr>
                <w:i/>
              </w:rPr>
              <w:t>ITU satellite filing name</w:t>
            </w:r>
            <w:r w:rsidRPr="009B0639">
              <w:t xml:space="preserve">] satellite filing has </w:t>
            </w:r>
            <w:r w:rsidR="009F108B" w:rsidRPr="009B0639">
              <w:t>begun but</w:t>
            </w:r>
            <w:r w:rsidRPr="009B0639">
              <w:t xml:space="preserve"> has not yet resulted in a ‘favourable finding’ (Part II-s) notification published by the ITU in a fortnightly international frequency information circular (IFIC).</w:t>
            </w:r>
          </w:p>
          <w:p w14:paraId="5EBDA4D6" w14:textId="77777777" w:rsidR="00BE196F" w:rsidRDefault="00BE196F" w:rsidP="007D5330">
            <w:pPr>
              <w:spacing w:after="80"/>
            </w:pPr>
          </w:p>
        </w:tc>
        <w:tc>
          <w:tcPr>
            <w:tcW w:w="3831" w:type="dxa"/>
          </w:tcPr>
          <w:p w14:paraId="2C698CFF" w14:textId="77777777" w:rsidR="00BE196F" w:rsidRPr="009B0639" w:rsidRDefault="00BE196F" w:rsidP="00BE196F">
            <w:pPr>
              <w:pStyle w:val="ListNumber"/>
              <w:numPr>
                <w:ilvl w:val="0"/>
                <w:numId w:val="17"/>
              </w:numPr>
            </w:pPr>
            <w:r w:rsidRPr="009B0639">
              <w:t>Coordination with other administrations for the [</w:t>
            </w:r>
            <w:r w:rsidRPr="00B43A09">
              <w:rPr>
                <w:i/>
              </w:rPr>
              <w:t>ITU satellite filing name</w:t>
            </w:r>
            <w:r w:rsidRPr="009B0639">
              <w:t>] satellite filing has resulted in (Part II-s) notification published by the ITU in fortnightly international frequency information circular</w:t>
            </w:r>
            <w:r>
              <w:t>(s)</w:t>
            </w:r>
            <w:r w:rsidRPr="009B0639">
              <w:t xml:space="preserve"> (IFIC)</w:t>
            </w:r>
            <w:r>
              <w:t xml:space="preserve"> IFIC-number</w:t>
            </w:r>
            <w:r w:rsidRPr="009B0639">
              <w:t>.</w:t>
            </w:r>
          </w:p>
          <w:p w14:paraId="6852D1A6" w14:textId="77777777" w:rsidR="00BE196F" w:rsidRDefault="00BE196F" w:rsidP="007D5330">
            <w:pPr>
              <w:pStyle w:val="ListNumber"/>
              <w:numPr>
                <w:ilvl w:val="0"/>
                <w:numId w:val="0"/>
              </w:numPr>
              <w:ind w:left="360"/>
            </w:pPr>
          </w:p>
        </w:tc>
      </w:tr>
    </w:tbl>
    <w:p w14:paraId="67FB662E" w14:textId="77777777" w:rsidR="00BE196F" w:rsidRPr="0045162A" w:rsidRDefault="00BE196F" w:rsidP="009F108B">
      <w:pPr>
        <w:pStyle w:val="ListNumber"/>
        <w:numPr>
          <w:ilvl w:val="0"/>
          <w:numId w:val="0"/>
        </w:numPr>
        <w:ind w:left="360"/>
      </w:pPr>
    </w:p>
    <w:p w14:paraId="2F9F95E1" w14:textId="77777777" w:rsidR="007162F1" w:rsidRDefault="007162F1" w:rsidP="007162F1">
      <w:pPr>
        <w:pStyle w:val="ListNumber"/>
      </w:pPr>
      <w:r w:rsidRPr="0045162A">
        <w:t>To the best of our knowledge, operation in accordance with the [</w:t>
      </w:r>
      <w:r w:rsidRPr="0045162A">
        <w:rPr>
          <w:i/>
          <w:color w:val="0000FF"/>
        </w:rPr>
        <w:t>ITU satellite filing name</w:t>
      </w:r>
      <w:r w:rsidRPr="0045162A">
        <w:t>] satellite filing will not cause harmful interference to other satellite networks operating as per the ITU Radio Regulations.</w:t>
      </w:r>
    </w:p>
    <w:p w14:paraId="1845A04C" w14:textId="77777777" w:rsidR="007162F1" w:rsidRPr="0045162A" w:rsidRDefault="007162F1" w:rsidP="007162F1">
      <w:pPr>
        <w:pStyle w:val="ListNumber"/>
      </w:pPr>
      <w:r w:rsidRPr="0045162A">
        <w:t xml:space="preserve">To the best of our knowledge, operation </w:t>
      </w:r>
      <w:r>
        <w:t>of earth stations in motion as part of</w:t>
      </w:r>
      <w:r w:rsidRPr="0045162A">
        <w:t xml:space="preserve"> the [</w:t>
      </w:r>
      <w:r w:rsidRPr="0045162A">
        <w:rPr>
          <w:i/>
          <w:color w:val="0000FF"/>
        </w:rPr>
        <w:t>ITU satellite filing name</w:t>
      </w:r>
      <w:r w:rsidRPr="0045162A">
        <w:t>] satellite filing will not cause harmful interference to other satellite networks operating as per the ITU Radio Regulations.</w:t>
      </w:r>
    </w:p>
    <w:p w14:paraId="1A7DAD60" w14:textId="7583EFCB" w:rsidR="006A0035" w:rsidRDefault="007162F1" w:rsidP="00D14DB9">
      <w:pPr>
        <w:pStyle w:val="ListNumberLast"/>
        <w:spacing w:after="80"/>
      </w:pPr>
      <w:r w:rsidRPr="0045162A">
        <w:t>That in the event of any actual case of harmful interference (to other satellite networks operating as per the ITU Radio Regulations), all efforts will be made to immediately address and resolve such interference.</w:t>
      </w:r>
    </w:p>
    <w:p w14:paraId="61933043" w14:textId="2186DF19" w:rsidR="006A0035" w:rsidRDefault="00A02F9A" w:rsidP="006A0035">
      <w:pPr>
        <w:pStyle w:val="ListNumberLast"/>
      </w:pPr>
      <w:r>
        <w:t>All</w:t>
      </w:r>
      <w:r w:rsidR="006A0035">
        <w:t xml:space="preserve"> operation of </w:t>
      </w:r>
      <w:r>
        <w:t xml:space="preserve">earth </w:t>
      </w:r>
      <w:r w:rsidR="006A0035">
        <w:t xml:space="preserve">stations in motion as part of the </w:t>
      </w:r>
      <w:r w:rsidR="006A0035" w:rsidRPr="0045162A">
        <w:t>[</w:t>
      </w:r>
      <w:r w:rsidR="006A0035" w:rsidRPr="0045162A">
        <w:rPr>
          <w:i/>
          <w:color w:val="0000FF"/>
        </w:rPr>
        <w:t>ITU satellite filing name</w:t>
      </w:r>
      <w:r w:rsidR="006A0035" w:rsidRPr="0045162A">
        <w:t>] satellite filing</w:t>
      </w:r>
      <w:r>
        <w:t xml:space="preserve"> will be in accordance with 4.4 of the ITU Radio Regulations</w:t>
      </w:r>
      <w:r w:rsidR="00D14DB9">
        <w:t>.</w:t>
      </w:r>
    </w:p>
    <w:sectPr w:rsidR="006A0035" w:rsidSect="00C77380">
      <w:headerReference w:type="even" r:id="rId54"/>
      <w:headerReference w:type="default" r:id="rId55"/>
      <w:footerReference w:type="even" r:id="rId56"/>
      <w:footerReference w:type="default" r:id="rId57"/>
      <w:headerReference w:type="first" r:id="rId58"/>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DFE1D4" w14:textId="77777777" w:rsidR="00985035" w:rsidRDefault="00985035">
      <w:r>
        <w:separator/>
      </w:r>
    </w:p>
  </w:endnote>
  <w:endnote w:type="continuationSeparator" w:id="0">
    <w:p w14:paraId="35778EE3" w14:textId="77777777" w:rsidR="00985035" w:rsidRDefault="009850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Arial"/>
    <w:panose1 w:val="020B0403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HelveticaNeueW01-45Ligh">
    <w:altName w:val="Times New Roman"/>
    <w:charset w:val="00"/>
    <w:family w:val="auto"/>
    <w:pitch w:val="default"/>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5868DF" w14:textId="77777777" w:rsidR="00E2113D" w:rsidRPr="00A5474E" w:rsidRDefault="00E2113D" w:rsidP="00A5474E">
    <w:pPr>
      <w:pStyle w:val="Footer"/>
    </w:pPr>
    <w:r>
      <w:rPr>
        <w:noProof/>
      </w:rPr>
      <w:drawing>
        <wp:inline distT="0" distB="0" distL="0" distR="0" wp14:anchorId="48E574D7" wp14:editId="25C03B44">
          <wp:extent cx="3483864" cy="249613"/>
          <wp:effectExtent l="0" t="0" r="0" b="0"/>
          <wp:docPr id="6" name="Picture 6"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788DC8" w14:textId="0A766A69" w:rsidR="00E2113D" w:rsidRPr="00622A3B" w:rsidRDefault="00E2113D"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0BE417C9" w14:textId="77777777" w:rsidR="00E2113D" w:rsidRPr="00A5474E" w:rsidRDefault="00E2113D" w:rsidP="00A5474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3B2CA8" w14:textId="23F8894E" w:rsidR="00E2113D" w:rsidRPr="00622A3B" w:rsidRDefault="00E2113D"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iii</w:t>
    </w:r>
    <w:r w:rsidRPr="002E4DDC">
      <w:rPr>
        <w:color w:val="505050"/>
      </w:rPr>
      <w:fldChar w:fldCharType="end"/>
    </w:r>
  </w:p>
  <w:p w14:paraId="452D0E56" w14:textId="77777777" w:rsidR="00E2113D" w:rsidRPr="00A5474E" w:rsidRDefault="00E2113D" w:rsidP="00A5474E">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C0BA3C" w14:textId="768909B2" w:rsidR="00E2113D" w:rsidRPr="00622A3B" w:rsidRDefault="00E2113D"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ii</w:t>
    </w:r>
    <w:r w:rsidRPr="002E4DDC">
      <w:rPr>
        <w:color w:val="505050"/>
      </w:rPr>
      <w:fldChar w:fldCharType="end"/>
    </w:r>
  </w:p>
  <w:p w14:paraId="24B57121" w14:textId="77777777" w:rsidR="00E2113D" w:rsidRPr="00A5474E" w:rsidRDefault="00E2113D"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28D8C3" w14:textId="53778FC0" w:rsidR="00E2113D" w:rsidRPr="00622A3B" w:rsidRDefault="00E2113D"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Pr>
        <w:noProof/>
      </w:rPr>
      <w:t>12</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171070D5" w14:textId="77777777" w:rsidR="00E2113D" w:rsidRPr="00A5474E" w:rsidRDefault="00E2113D"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213CB6" w14:textId="0DF6457D" w:rsidR="00E2113D" w:rsidRPr="00622A3B" w:rsidRDefault="00E2113D"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11</w:t>
    </w:r>
    <w:r w:rsidRPr="00575AC5">
      <w:rPr>
        <w:color w:val="505050"/>
      </w:rPr>
      <w:fldChar w:fldCharType="end"/>
    </w:r>
  </w:p>
  <w:p w14:paraId="3B23073B" w14:textId="77777777" w:rsidR="00E2113D" w:rsidRPr="00A5474E" w:rsidRDefault="00E2113D"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117C347" w14:textId="77777777" w:rsidR="00985035" w:rsidRDefault="00985035">
      <w:r>
        <w:separator/>
      </w:r>
    </w:p>
  </w:footnote>
  <w:footnote w:type="continuationSeparator" w:id="0">
    <w:p w14:paraId="2658944E" w14:textId="77777777" w:rsidR="00985035" w:rsidRDefault="00985035">
      <w:r>
        <w:continuationSeparator/>
      </w:r>
    </w:p>
  </w:footnote>
  <w:footnote w:id="1">
    <w:p w14:paraId="59CE10C3" w14:textId="3055EA23" w:rsidR="00E2113D" w:rsidRDefault="00E2113D" w:rsidP="00D14DB9">
      <w:pPr>
        <w:pStyle w:val="FootnoteText"/>
        <w:spacing w:after="0"/>
      </w:pPr>
      <w:r>
        <w:rPr>
          <w:rStyle w:val="FootnoteReference"/>
        </w:rPr>
        <w:footnoteRef/>
      </w:r>
      <w:r>
        <w:t xml:space="preserve"> Available from </w:t>
      </w:r>
      <w:r w:rsidRPr="00F61707">
        <w:t xml:space="preserve">the </w:t>
      </w:r>
      <w:hyperlink r:id="rId1" w:history="1">
        <w:r w:rsidRPr="00F61707">
          <w:rPr>
            <w:rStyle w:val="Hyperlink"/>
          </w:rPr>
          <w:t>European Communications Office Documentation Database</w:t>
        </w:r>
      </w:hyperlink>
      <w:r w:rsidRPr="00F61707">
        <w:t>.</w:t>
      </w:r>
    </w:p>
  </w:footnote>
  <w:footnote w:id="2">
    <w:p w14:paraId="1B7C55DF" w14:textId="676A8C6A" w:rsidR="009A0E4E" w:rsidRDefault="009A0E4E">
      <w:pPr>
        <w:pStyle w:val="FootnoteText"/>
      </w:pPr>
      <w:r>
        <w:rPr>
          <w:rStyle w:val="FootnoteReference"/>
        </w:rPr>
        <w:footnoteRef/>
      </w:r>
      <w:r>
        <w:t xml:space="preserve"> </w:t>
      </w:r>
      <w:r w:rsidR="00183535">
        <w:rPr>
          <w:color w:val="000000"/>
          <w:shd w:val="clear" w:color="auto" w:fill="FFFFFF"/>
        </w:rPr>
        <w:t>A frequency band may be used by an earth receive station in a frequency band allocated for the fixed-satellite service (space-to-Earth) where that station is in motion, or in a stationary position at an unspecified point on land, on water or in the air.</w:t>
      </w:r>
    </w:p>
  </w:footnote>
  <w:footnote w:id="3">
    <w:p w14:paraId="5AAE6D67" w14:textId="15EA1192" w:rsidR="00E2113D" w:rsidRDefault="00E2113D" w:rsidP="007162F1">
      <w:pPr>
        <w:pStyle w:val="FootnoteText"/>
        <w:spacing w:after="0" w:line="240" w:lineRule="auto"/>
      </w:pPr>
      <w:r>
        <w:rPr>
          <w:rStyle w:val="FootnoteReference"/>
        </w:rPr>
        <w:footnoteRef/>
      </w:r>
      <w:r>
        <w:t xml:space="preserve"> Information on the current Spectrum Plan is available at the </w:t>
      </w:r>
      <w:hyperlink r:id="rId2" w:history="1">
        <w:r w:rsidRPr="001B3B8E">
          <w:rPr>
            <w:rStyle w:val="Hyperlink"/>
          </w:rPr>
          <w:t>Australian radiofrequency spectrum plan</w:t>
        </w:r>
      </w:hyperlink>
      <w:r>
        <w:t xml:space="preserve"> page on the ACMA website.</w:t>
      </w:r>
    </w:p>
  </w:footnote>
  <w:footnote w:id="4">
    <w:p w14:paraId="70A7F01E" w14:textId="77777777" w:rsidR="00E2113D" w:rsidRDefault="00E2113D" w:rsidP="00692A86">
      <w:pPr>
        <w:pStyle w:val="FootnoteText"/>
        <w:spacing w:after="0"/>
      </w:pPr>
      <w:r>
        <w:rPr>
          <w:rStyle w:val="FootnoteReference"/>
        </w:rPr>
        <w:footnoteRef/>
      </w:r>
      <w:r>
        <w:t xml:space="preserve"> As made as under section 32 of the Act.</w:t>
      </w:r>
    </w:p>
  </w:footnote>
  <w:footnote w:id="5">
    <w:p w14:paraId="75B397B8" w14:textId="42A6E09C" w:rsidR="00E2113D" w:rsidRDefault="00E2113D" w:rsidP="00692A86">
      <w:pPr>
        <w:pStyle w:val="FootnoteText"/>
        <w:spacing w:after="0"/>
      </w:pPr>
      <w:r>
        <w:rPr>
          <w:rStyle w:val="FootnoteReference"/>
        </w:rPr>
        <w:footnoteRef/>
      </w:r>
      <w:r>
        <w:t xml:space="preserve"> Refer section 104 of the Act, </w:t>
      </w:r>
      <w:r w:rsidRPr="00F42CBE">
        <w:rPr>
          <w:i/>
        </w:rPr>
        <w:t>Compliance with plans</w:t>
      </w:r>
      <w:r>
        <w:t xml:space="preserve">. </w:t>
      </w:r>
    </w:p>
  </w:footnote>
  <w:footnote w:id="6">
    <w:p w14:paraId="05D0728C" w14:textId="05E23471" w:rsidR="00E2113D" w:rsidRDefault="00E2113D" w:rsidP="007162F1">
      <w:pPr>
        <w:pStyle w:val="FootnoteText"/>
        <w:spacing w:after="0" w:line="240" w:lineRule="auto"/>
      </w:pPr>
      <w:r>
        <w:rPr>
          <w:rStyle w:val="FootnoteReference"/>
        </w:rPr>
        <w:footnoteRef/>
      </w:r>
      <w:r>
        <w:t xml:space="preserve"> </w:t>
      </w:r>
      <w:r w:rsidRPr="001457E2">
        <w:t>ITU Radio Regulation No 4.4</w:t>
      </w:r>
      <w:r>
        <w:t xml:space="preserve">: </w:t>
      </w:r>
      <w:r w:rsidRPr="001457E2">
        <w:t>Administrations of the Member States shall not assign to a station any frequency in derogation of either the Table of Frequency Allocations in this Chapter or the other provisions of these Regulations, except on the express condition that such a station, when using such a frequency assignment, shall not cause harmful interference to, and shall not claim protection from harmful interference caused by, a station operating in accordance with the provisions of the Constitution, the Convention and these Regulations</w:t>
      </w:r>
      <w:r>
        <w:t>.</w:t>
      </w:r>
    </w:p>
  </w:footnote>
  <w:footnote w:id="7">
    <w:p w14:paraId="28C70C59" w14:textId="78188328" w:rsidR="00E2113D" w:rsidRDefault="00E2113D" w:rsidP="005D0636">
      <w:pPr>
        <w:pStyle w:val="FootnoteText"/>
        <w:spacing w:after="0" w:line="240" w:lineRule="auto"/>
      </w:pPr>
      <w:r>
        <w:rPr>
          <w:rStyle w:val="FootnoteReference"/>
        </w:rPr>
        <w:footnoteRef/>
      </w:r>
      <w:r>
        <w:t xml:space="preserve"> While predominately only space-based communication systems are supported in these bands, there are some terrestrial services, which also need to be considered. </w:t>
      </w:r>
    </w:p>
  </w:footnote>
  <w:footnote w:id="8">
    <w:p w14:paraId="7731819A" w14:textId="20385AFF" w:rsidR="00E2113D" w:rsidRDefault="00E2113D" w:rsidP="00876D7A">
      <w:pPr>
        <w:pStyle w:val="FootnoteText"/>
        <w:spacing w:after="0" w:line="240" w:lineRule="auto"/>
      </w:pPr>
      <w:r w:rsidRPr="00BD48CD">
        <w:rPr>
          <w:sz w:val="20"/>
          <w:szCs w:val="24"/>
          <w:vertAlign w:val="superscript"/>
        </w:rPr>
        <w:footnoteRef/>
      </w:r>
      <w:r w:rsidRPr="00BD48CD">
        <w:rPr>
          <w:sz w:val="20"/>
          <w:szCs w:val="24"/>
        </w:rPr>
        <w:t xml:space="preserve"> </w:t>
      </w:r>
      <w:r w:rsidRPr="00A71EA7">
        <w:rPr>
          <w:rFonts w:cs="Arial"/>
        </w:rPr>
        <w:t>If the</w:t>
      </w:r>
      <w:r w:rsidRPr="0045162A">
        <w:rPr>
          <w:rFonts w:cs="Arial"/>
        </w:rPr>
        <w:t xml:space="preserve"> above assurances do not cover all communications to/from the satellite, please indicate the limits of this assurance (for example, if it only applies to a particular frequency band or company)</w:t>
      </w:r>
      <w:r>
        <w:rPr>
          <w:rFonts w:cs="Arial"/>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710B76" w14:textId="5E964BDA" w:rsidR="00E2113D" w:rsidRDefault="001662F9">
    <w:pPr>
      <w:pStyle w:val="Header"/>
    </w:pPr>
    <w:r>
      <w:rPr>
        <w:noProof/>
      </w:rPr>
      <w:pict w14:anchorId="705DEE9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26" type="#_x0000_t136" style="position:absolute;margin-left:0;margin-top:0;width:386.25pt;height:154.5pt;rotation:315;z-index:-251658752;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14E387" w14:textId="120CC29E" w:rsidR="00E2113D" w:rsidRPr="00A5474E" w:rsidRDefault="00E2113D" w:rsidP="00A5474E">
    <w:pPr>
      <w:pStyle w:val="Header"/>
    </w:pPr>
    <w:r>
      <w:rPr>
        <w:noProof/>
      </w:rPr>
      <w:drawing>
        <wp:inline distT="0" distB="0" distL="0" distR="0" wp14:anchorId="6DA44931" wp14:editId="5298BF08">
          <wp:extent cx="6388100" cy="520700"/>
          <wp:effectExtent l="0" t="0" r="0" b="12700"/>
          <wp:docPr id="5" name="Picture 5"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extLst>
                      <a:ext uri="{28A0092B-C50C-407E-A947-70E740481C1C}">
                        <a14:useLocalDpi xmlns:a14="http://schemas.microsoft.com/office/drawing/2010/main" val="0"/>
                      </a:ext>
                    </a:extLst>
                  </a:blip>
                  <a:stretch>
                    <a:fillRect/>
                  </a:stretch>
                </pic:blipFill>
                <pic:spPr>
                  <a:xfrm>
                    <a:off x="0" y="0"/>
                    <a:ext cx="6388100" cy="520700"/>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4966C8" w14:textId="7140BC49" w:rsidR="00E2113D" w:rsidRPr="00A5474E" w:rsidRDefault="00E2113D" w:rsidP="00594E9C">
    <w:pPr>
      <w:pStyle w:val="TOCHeading"/>
    </w:pPr>
    <w:r w:rsidRPr="0029593B">
      <w:t>Contents</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E2113D" w14:paraId="7E188DD4" w14:textId="77777777" w:rsidTr="0029177D">
      <w:trPr>
        <w:trHeight w:hRule="exact" w:val="988"/>
      </w:trPr>
      <w:tc>
        <w:tcPr>
          <w:tcW w:w="7678" w:type="dxa"/>
          <w:shd w:val="clear" w:color="auto" w:fill="auto"/>
        </w:tcPr>
        <w:p w14:paraId="66F91E9E" w14:textId="77777777" w:rsidR="00E2113D" w:rsidRDefault="00E2113D" w:rsidP="00971914">
          <w:pPr>
            <w:pStyle w:val="Header"/>
          </w:pPr>
        </w:p>
      </w:tc>
    </w:tr>
    <w:tr w:rsidR="00E2113D" w14:paraId="72D14947" w14:textId="77777777" w:rsidTr="0029177D">
      <w:tc>
        <w:tcPr>
          <w:tcW w:w="7678" w:type="dxa"/>
          <w:shd w:val="clear" w:color="auto" w:fill="auto"/>
        </w:tcPr>
        <w:p w14:paraId="0F05F694" w14:textId="0E92EFB5" w:rsidR="00E2113D" w:rsidRDefault="00E2113D">
          <w:pPr>
            <w:pStyle w:val="GridTable31"/>
          </w:pPr>
          <w:r>
            <w:t xml:space="preserve">Contents </w:t>
          </w:r>
        </w:p>
      </w:tc>
    </w:tr>
    <w:tr w:rsidR="00E2113D" w14:paraId="15ED67E8" w14:textId="77777777" w:rsidTr="0029177D">
      <w:trPr>
        <w:trHeight w:val="1220"/>
      </w:trPr>
      <w:tc>
        <w:tcPr>
          <w:tcW w:w="7678" w:type="dxa"/>
          <w:shd w:val="clear" w:color="auto" w:fill="auto"/>
        </w:tcPr>
        <w:p w14:paraId="61F52DDD" w14:textId="77777777" w:rsidR="00E2113D" w:rsidRDefault="00E2113D" w:rsidP="00971914"/>
      </w:tc>
    </w:tr>
  </w:tbl>
  <w:p w14:paraId="4FB7E2FB" w14:textId="3602B118" w:rsidR="00E2113D" w:rsidRDefault="00E2113D" w:rsidP="00971914">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E2113D" w14:paraId="15B72A00" w14:textId="77777777" w:rsidTr="0029177D">
      <w:trPr>
        <w:trHeight w:hRule="exact" w:val="988"/>
      </w:trPr>
      <w:tc>
        <w:tcPr>
          <w:tcW w:w="7678" w:type="dxa"/>
          <w:shd w:val="clear" w:color="auto" w:fill="auto"/>
        </w:tcPr>
        <w:p w14:paraId="73300EDD" w14:textId="77777777" w:rsidR="00E2113D" w:rsidRDefault="00E2113D" w:rsidP="00971914">
          <w:pPr>
            <w:pStyle w:val="Header"/>
          </w:pPr>
        </w:p>
      </w:tc>
    </w:tr>
    <w:tr w:rsidR="00E2113D" w14:paraId="70310332" w14:textId="77777777" w:rsidTr="0029177D">
      <w:tc>
        <w:tcPr>
          <w:tcW w:w="7678" w:type="dxa"/>
          <w:shd w:val="clear" w:color="auto" w:fill="auto"/>
        </w:tcPr>
        <w:p w14:paraId="2ED30344" w14:textId="1AF30028" w:rsidR="00E2113D" w:rsidRDefault="00E2113D">
          <w:pPr>
            <w:pStyle w:val="GridTable31"/>
          </w:pPr>
        </w:p>
      </w:tc>
    </w:tr>
    <w:tr w:rsidR="00E2113D" w14:paraId="7A7AFC5D" w14:textId="77777777" w:rsidTr="0029177D">
      <w:trPr>
        <w:trHeight w:val="1220"/>
      </w:trPr>
      <w:tc>
        <w:tcPr>
          <w:tcW w:w="7678" w:type="dxa"/>
          <w:shd w:val="clear" w:color="auto" w:fill="auto"/>
        </w:tcPr>
        <w:p w14:paraId="2354778C" w14:textId="77777777" w:rsidR="00E2113D" w:rsidRDefault="00E2113D" w:rsidP="00971914"/>
      </w:tc>
    </w:tr>
  </w:tbl>
  <w:p w14:paraId="5B307910" w14:textId="7759BE5E" w:rsidR="00E2113D" w:rsidRPr="00A5474E" w:rsidRDefault="00E2113D" w:rsidP="00A5474E">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3582D2" w14:textId="48E9130F" w:rsidR="00E2113D" w:rsidRDefault="00E2113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6031EC" w14:textId="308D0A7B" w:rsidR="00E2113D" w:rsidRDefault="00E2113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A442AB" w14:textId="4C5EAA1B" w:rsidR="00E2113D" w:rsidRDefault="00E2113D" w:rsidP="00270222">
    <w:pPr>
      <w:pStyle w:val="Header"/>
      <w:jc w:val="right"/>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CA3240" w14:textId="681EFFEA" w:rsidR="00E2113D" w:rsidRDefault="00E2113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F1E8FC8E"/>
    <w:lvl w:ilvl="0">
      <w:start w:val="1"/>
      <w:numFmt w:val="decimal"/>
      <w:lvlText w:val="%1."/>
      <w:lvlJc w:val="left"/>
      <w:pPr>
        <w:tabs>
          <w:tab w:val="num" w:pos="1492"/>
        </w:tabs>
        <w:ind w:left="1492" w:hanging="360"/>
      </w:pPr>
    </w:lvl>
  </w:abstractNum>
  <w:abstractNum w:abstractNumId="1" w15:restartNumberingAfterBreak="0">
    <w:nsid w:val="FFFFFF7F"/>
    <w:multiLevelType w:val="singleLevel"/>
    <w:tmpl w:val="703632DA"/>
    <w:lvl w:ilvl="0">
      <w:start w:val="1"/>
      <w:numFmt w:val="decimal"/>
      <w:pStyle w:val="ListNumber2"/>
      <w:lvlText w:val="%1."/>
      <w:lvlJc w:val="left"/>
      <w:pPr>
        <w:ind w:left="360" w:hanging="360"/>
      </w:pPr>
      <w:rPr>
        <w:rFonts w:hint="default"/>
      </w:rPr>
    </w:lvl>
  </w:abstractNum>
  <w:abstractNum w:abstractNumId="2" w15:restartNumberingAfterBreak="0">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3" w15:restartNumberingAfterBreak="0">
    <w:nsid w:val="FFFFFF88"/>
    <w:multiLevelType w:val="singleLevel"/>
    <w:tmpl w:val="34367B10"/>
    <w:lvl w:ilvl="0">
      <w:start w:val="1"/>
      <w:numFmt w:val="decimal"/>
      <w:pStyle w:val="ListNumber"/>
      <w:lvlText w:val="%1."/>
      <w:lvlJc w:val="left"/>
      <w:pPr>
        <w:ind w:left="360" w:hanging="360"/>
      </w:pPr>
      <w:rPr>
        <w:rFonts w:hint="default"/>
        <w:caps/>
        <w:sz w:val="20"/>
      </w:rPr>
    </w:lvl>
  </w:abstractNum>
  <w:abstractNum w:abstractNumId="4" w15:restartNumberingAfterBreak="0">
    <w:nsid w:val="FFFFFF89"/>
    <w:multiLevelType w:val="singleLevel"/>
    <w:tmpl w:val="8D465DE8"/>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5" w15:restartNumberingAfterBreak="0">
    <w:nsid w:val="241B6671"/>
    <w:multiLevelType w:val="hybridMultilevel"/>
    <w:tmpl w:val="89DC2622"/>
    <w:lvl w:ilvl="0" w:tplc="5622D92C">
      <w:start w:val="1"/>
      <w:numFmt w:val="bullet"/>
      <w:lvlText w:val="&gt;"/>
      <w:lvlJc w:val="left"/>
      <w:pPr>
        <w:ind w:left="360" w:hanging="360"/>
      </w:pPr>
      <w:rPr>
        <w:rFonts w:ascii="HelveticaNeueLT Std Lt" w:hAnsi="HelveticaNeueLT Std Lt"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2C811EF3"/>
    <w:multiLevelType w:val="multilevel"/>
    <w:tmpl w:val="612E9FFC"/>
    <w:lvl w:ilvl="0">
      <w:start w:val="1"/>
      <w:numFmt w:val="upperLetter"/>
      <w:pStyle w:val="AppL1"/>
      <w:lvlText w:val="Appendix %1:"/>
      <w:lvlJc w:val="left"/>
      <w:pPr>
        <w:ind w:left="0" w:firstLine="0"/>
      </w:pPr>
      <w:rPr>
        <w:rFonts w:hint="default"/>
      </w:rPr>
    </w:lvl>
    <w:lvl w:ilvl="1">
      <w:start w:val="1"/>
      <w:numFmt w:val="decimal"/>
      <w:pStyle w:val="AppL2"/>
      <w:lvlText w:val="%1.%2"/>
      <w:lvlJc w:val="left"/>
      <w:pPr>
        <w:ind w:left="0" w:firstLine="0"/>
      </w:pPr>
      <w:rPr>
        <w:rFonts w:hint="default"/>
      </w:rPr>
    </w:lvl>
    <w:lvl w:ilvl="2">
      <w:start w:val="1"/>
      <w:numFmt w:val="decimal"/>
      <w:pStyle w:val="AppL3"/>
      <w:lvlText w:val="%1.%2.%3"/>
      <w:lvlJc w:val="left"/>
      <w:pPr>
        <w:ind w:left="0" w:firstLine="0"/>
      </w:pPr>
      <w:rPr>
        <w:rFonts w:hint="default"/>
      </w:rPr>
    </w:lvl>
    <w:lvl w:ilvl="3">
      <w:start w:val="1"/>
      <w:numFmt w:val="decimal"/>
      <w:lvlText w:val="(%4)"/>
      <w:lvlJc w:val="left"/>
      <w:pPr>
        <w:ind w:left="0" w:firstLine="0"/>
      </w:pPr>
      <w:rPr>
        <w:rFonts w:hint="default"/>
      </w:rPr>
    </w:lvl>
    <w:lvl w:ilvl="4">
      <w:start w:val="1"/>
      <w:numFmt w:val="lowerLetter"/>
      <w:lvlText w:val="(%5)"/>
      <w:lvlJc w:val="left"/>
      <w:pPr>
        <w:ind w:left="0" w:firstLine="0"/>
      </w:pPr>
      <w:rPr>
        <w:rFonts w:hint="default"/>
      </w:rPr>
    </w:lvl>
    <w:lvl w:ilvl="5">
      <w:start w:val="1"/>
      <w:numFmt w:val="lowerRoman"/>
      <w:lvlText w:val="(%6)"/>
      <w:lvlJc w:val="left"/>
      <w:pPr>
        <w:ind w:left="0" w:firstLine="0"/>
      </w:pPr>
      <w:rPr>
        <w:rFonts w:hint="default"/>
      </w:rPr>
    </w:lvl>
    <w:lvl w:ilvl="6">
      <w:start w:val="1"/>
      <w:numFmt w:val="decimal"/>
      <w:lvlText w:val="%7."/>
      <w:lvlJc w:val="left"/>
      <w:pPr>
        <w:ind w:left="0" w:firstLine="0"/>
      </w:pPr>
      <w:rPr>
        <w:rFonts w:hint="default"/>
      </w:rPr>
    </w:lvl>
    <w:lvl w:ilvl="7">
      <w:start w:val="1"/>
      <w:numFmt w:val="lowerLetter"/>
      <w:lvlText w:val="%8."/>
      <w:lvlJc w:val="left"/>
      <w:pPr>
        <w:ind w:left="0" w:firstLine="0"/>
      </w:pPr>
      <w:rPr>
        <w:rFonts w:hint="default"/>
      </w:rPr>
    </w:lvl>
    <w:lvl w:ilvl="8">
      <w:start w:val="1"/>
      <w:numFmt w:val="lowerRoman"/>
      <w:lvlText w:val="%9."/>
      <w:lvlJc w:val="left"/>
      <w:pPr>
        <w:ind w:left="0" w:firstLine="0"/>
      </w:pPr>
      <w:rPr>
        <w:rFonts w:hint="default"/>
      </w:rPr>
    </w:lvl>
  </w:abstractNum>
  <w:abstractNum w:abstractNumId="7"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pStyle w:val="Heading4"/>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8" w15:restartNumberingAfterBreak="0">
    <w:nsid w:val="40233ABB"/>
    <w:multiLevelType w:val="multilevel"/>
    <w:tmpl w:val="9328F660"/>
    <w:lvl w:ilvl="0">
      <w:start w:val="1"/>
      <w:numFmt w:val="decimal"/>
      <w:lvlText w:val="%1."/>
      <w:lvlJc w:val="left"/>
      <w:pPr>
        <w:ind w:left="360" w:hanging="360"/>
      </w:pPr>
      <w:rPr>
        <w:rFonts w:hint="default"/>
      </w:rPr>
    </w:lvl>
    <w:lvl w:ilvl="1">
      <w:start w:val="1"/>
      <w:numFmt w:val="decimal"/>
      <w:lvlText w:val="3.%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 w15:restartNumberingAfterBreak="0">
    <w:nsid w:val="469924C0"/>
    <w:multiLevelType w:val="multilevel"/>
    <w:tmpl w:val="9328F660"/>
    <w:lvl w:ilvl="0">
      <w:start w:val="1"/>
      <w:numFmt w:val="decimal"/>
      <w:lvlText w:val="%1."/>
      <w:lvlJc w:val="left"/>
      <w:pPr>
        <w:ind w:left="360" w:hanging="360"/>
      </w:pPr>
      <w:rPr>
        <w:rFonts w:hint="default"/>
      </w:rPr>
    </w:lvl>
    <w:lvl w:ilvl="1">
      <w:start w:val="1"/>
      <w:numFmt w:val="decimal"/>
      <w:lvlText w:val="3.%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0" w15:restartNumberingAfterBreak="0">
    <w:nsid w:val="4EA85553"/>
    <w:multiLevelType w:val="hybridMultilevel"/>
    <w:tmpl w:val="13AE4D5C"/>
    <w:lvl w:ilvl="0" w:tplc="17CC4916">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4ED1744D"/>
    <w:multiLevelType w:val="multilevel"/>
    <w:tmpl w:val="904C527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2" w15:restartNumberingAfterBreak="0">
    <w:nsid w:val="55AA21F0"/>
    <w:multiLevelType w:val="hybridMultilevel"/>
    <w:tmpl w:val="06AC6452"/>
    <w:lvl w:ilvl="0" w:tplc="075A84B2">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4061761"/>
    <w:multiLevelType w:val="multilevel"/>
    <w:tmpl w:val="44944AD4"/>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5" w15:restartNumberingAfterBreak="0">
    <w:nsid w:val="65071478"/>
    <w:multiLevelType w:val="hybridMultilevel"/>
    <w:tmpl w:val="4560EABA"/>
    <w:lvl w:ilvl="0" w:tplc="01D2533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B7E7ED8"/>
    <w:multiLevelType w:val="hybridMultilevel"/>
    <w:tmpl w:val="8A5A0E5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71005942"/>
    <w:multiLevelType w:val="hybridMultilevel"/>
    <w:tmpl w:val="14B8545C"/>
    <w:lvl w:ilvl="0" w:tplc="17CC4916">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15:restartNumberingAfterBreak="0">
    <w:nsid w:val="74B224AE"/>
    <w:multiLevelType w:val="hybridMultilevel"/>
    <w:tmpl w:val="9CAC1278"/>
    <w:lvl w:ilvl="0" w:tplc="5622D92C">
      <w:start w:val="1"/>
      <w:numFmt w:val="bullet"/>
      <w:lvlText w:val="&gt;"/>
      <w:lvlJc w:val="left"/>
      <w:pPr>
        <w:ind w:left="360" w:hanging="360"/>
      </w:pPr>
      <w:rPr>
        <w:rFonts w:ascii="HelveticaNeueLT Std Lt" w:hAnsi="HelveticaNeueLT Std Lt"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4"/>
  </w:num>
  <w:num w:numId="2">
    <w:abstractNumId w:val="2"/>
  </w:num>
  <w:num w:numId="3">
    <w:abstractNumId w:val="3"/>
  </w:num>
  <w:num w:numId="4">
    <w:abstractNumId w:val="1"/>
  </w:num>
  <w:num w:numId="5">
    <w:abstractNumId w:val="7"/>
  </w:num>
  <w:num w:numId="6">
    <w:abstractNumId w:val="15"/>
  </w:num>
  <w:num w:numId="7">
    <w:abstractNumId w:val="12"/>
  </w:num>
  <w:num w:numId="8">
    <w:abstractNumId w:val="13"/>
  </w:num>
  <w:num w:numId="9">
    <w:abstractNumId w:val="17"/>
  </w:num>
  <w:num w:numId="10">
    <w:abstractNumId w:val="10"/>
  </w:num>
  <w:num w:numId="11">
    <w:abstractNumId w:val="6"/>
  </w:num>
  <w:num w:numId="12">
    <w:abstractNumId w:val="14"/>
  </w:num>
  <w:num w:numId="13">
    <w:abstractNumId w:val="9"/>
  </w:num>
  <w:num w:numId="14">
    <w:abstractNumId w:val="8"/>
  </w:num>
  <w:num w:numId="15">
    <w:abstractNumId w:val="0"/>
  </w:num>
  <w:num w:numId="16">
    <w:abstractNumId w:val="16"/>
  </w:num>
  <w:num w:numId="17">
    <w:abstractNumId w:val="3"/>
    <w:lvlOverride w:ilvl="0">
      <w:startOverride w:val="1"/>
    </w:lvlOverride>
  </w:num>
  <w:num w:numId="18">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8"/>
  </w:num>
  <w:num w:numId="20">
    <w:abstractNumId w:val="5"/>
  </w:num>
  <w:num w:numId="21">
    <w:abstractNumId w:val="19"/>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removePersonalInformation/>
  <w:removeDateAndTime/>
  <w:proofState w:spelling="clean" w:grammar="clean"/>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efaultTabStop w:val="284"/>
  <w:evenAndOddHeaders/>
  <w:drawingGridHorizontalSpacing w:val="100"/>
  <w:displayHorizontalDrawingGridEvery w:val="2"/>
  <w:characterSpacingControl w:val="doNotCompress"/>
  <w:hdrShapeDefaults>
    <o:shapedefaults v:ext="edit" spidmax="2050">
      <o:colormru v:ext="edit" colors="red,#4d4d4f"/>
    </o:shapedefaults>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2F34"/>
    <w:rsid w:val="00010667"/>
    <w:rsid w:val="00011674"/>
    <w:rsid w:val="000129D5"/>
    <w:rsid w:val="00012D10"/>
    <w:rsid w:val="00015AE7"/>
    <w:rsid w:val="00015C67"/>
    <w:rsid w:val="00016E21"/>
    <w:rsid w:val="0001719C"/>
    <w:rsid w:val="0002224E"/>
    <w:rsid w:val="00026F91"/>
    <w:rsid w:val="0002721C"/>
    <w:rsid w:val="00030BA6"/>
    <w:rsid w:val="000338F1"/>
    <w:rsid w:val="000343DC"/>
    <w:rsid w:val="00036123"/>
    <w:rsid w:val="00040F21"/>
    <w:rsid w:val="00042282"/>
    <w:rsid w:val="0004604A"/>
    <w:rsid w:val="00046A03"/>
    <w:rsid w:val="0004764C"/>
    <w:rsid w:val="0005011A"/>
    <w:rsid w:val="0005045A"/>
    <w:rsid w:val="00050AA2"/>
    <w:rsid w:val="00051C1E"/>
    <w:rsid w:val="000539F9"/>
    <w:rsid w:val="00054C27"/>
    <w:rsid w:val="00055EC3"/>
    <w:rsid w:val="0005613F"/>
    <w:rsid w:val="000563CE"/>
    <w:rsid w:val="000659B6"/>
    <w:rsid w:val="0006686F"/>
    <w:rsid w:val="0006722A"/>
    <w:rsid w:val="000729A4"/>
    <w:rsid w:val="000732CF"/>
    <w:rsid w:val="00075B96"/>
    <w:rsid w:val="0008196A"/>
    <w:rsid w:val="0009045E"/>
    <w:rsid w:val="000915ED"/>
    <w:rsid w:val="0009209D"/>
    <w:rsid w:val="000969BD"/>
    <w:rsid w:val="000969BF"/>
    <w:rsid w:val="000978F9"/>
    <w:rsid w:val="000A0C22"/>
    <w:rsid w:val="000A1400"/>
    <w:rsid w:val="000A3C43"/>
    <w:rsid w:val="000A4A51"/>
    <w:rsid w:val="000A5D2B"/>
    <w:rsid w:val="000B0007"/>
    <w:rsid w:val="000B5DE3"/>
    <w:rsid w:val="000B6160"/>
    <w:rsid w:val="000C0A57"/>
    <w:rsid w:val="000C1761"/>
    <w:rsid w:val="000C22CF"/>
    <w:rsid w:val="000C230C"/>
    <w:rsid w:val="000C6AB4"/>
    <w:rsid w:val="000D38BB"/>
    <w:rsid w:val="000D71D9"/>
    <w:rsid w:val="000D76E0"/>
    <w:rsid w:val="000D7B5C"/>
    <w:rsid w:val="000D7E8B"/>
    <w:rsid w:val="000E4449"/>
    <w:rsid w:val="000E6097"/>
    <w:rsid w:val="00103829"/>
    <w:rsid w:val="00104088"/>
    <w:rsid w:val="0010463F"/>
    <w:rsid w:val="00111FCE"/>
    <w:rsid w:val="001229A5"/>
    <w:rsid w:val="0012489B"/>
    <w:rsid w:val="0012522F"/>
    <w:rsid w:val="00130017"/>
    <w:rsid w:val="00130F91"/>
    <w:rsid w:val="001349ED"/>
    <w:rsid w:val="00137424"/>
    <w:rsid w:val="00140318"/>
    <w:rsid w:val="00141AD9"/>
    <w:rsid w:val="00142A52"/>
    <w:rsid w:val="00146CE6"/>
    <w:rsid w:val="00150E13"/>
    <w:rsid w:val="00152903"/>
    <w:rsid w:val="00153FD5"/>
    <w:rsid w:val="001557EA"/>
    <w:rsid w:val="0015614F"/>
    <w:rsid w:val="001577C2"/>
    <w:rsid w:val="001633C4"/>
    <w:rsid w:val="00165385"/>
    <w:rsid w:val="00165E6E"/>
    <w:rsid w:val="001662F9"/>
    <w:rsid w:val="00171591"/>
    <w:rsid w:val="00173981"/>
    <w:rsid w:val="00173E29"/>
    <w:rsid w:val="0017719D"/>
    <w:rsid w:val="00181E8E"/>
    <w:rsid w:val="00183535"/>
    <w:rsid w:val="00183FD7"/>
    <w:rsid w:val="00185CAB"/>
    <w:rsid w:val="001875B7"/>
    <w:rsid w:val="00187CB3"/>
    <w:rsid w:val="00187EDA"/>
    <w:rsid w:val="0019050A"/>
    <w:rsid w:val="001910D4"/>
    <w:rsid w:val="001976E3"/>
    <w:rsid w:val="001A3EAD"/>
    <w:rsid w:val="001A44EC"/>
    <w:rsid w:val="001B3B8E"/>
    <w:rsid w:val="001B4D4B"/>
    <w:rsid w:val="001B58AA"/>
    <w:rsid w:val="001B6BD8"/>
    <w:rsid w:val="001B7E48"/>
    <w:rsid w:val="001C17CE"/>
    <w:rsid w:val="001C36CA"/>
    <w:rsid w:val="001C3FDD"/>
    <w:rsid w:val="001C44D1"/>
    <w:rsid w:val="001C6AEE"/>
    <w:rsid w:val="001C6EC4"/>
    <w:rsid w:val="001C7630"/>
    <w:rsid w:val="001D6D15"/>
    <w:rsid w:val="001F7558"/>
    <w:rsid w:val="00205B57"/>
    <w:rsid w:val="00207634"/>
    <w:rsid w:val="00210962"/>
    <w:rsid w:val="00213FCE"/>
    <w:rsid w:val="00214BD4"/>
    <w:rsid w:val="002157E0"/>
    <w:rsid w:val="00215A7C"/>
    <w:rsid w:val="00216A57"/>
    <w:rsid w:val="0022334F"/>
    <w:rsid w:val="00226819"/>
    <w:rsid w:val="00233101"/>
    <w:rsid w:val="00233817"/>
    <w:rsid w:val="00234F16"/>
    <w:rsid w:val="002367FF"/>
    <w:rsid w:val="00240CE9"/>
    <w:rsid w:val="002434BA"/>
    <w:rsid w:val="00243707"/>
    <w:rsid w:val="00246089"/>
    <w:rsid w:val="00246093"/>
    <w:rsid w:val="00246702"/>
    <w:rsid w:val="00247C59"/>
    <w:rsid w:val="00247F2E"/>
    <w:rsid w:val="00250ADC"/>
    <w:rsid w:val="00250B07"/>
    <w:rsid w:val="00252F1F"/>
    <w:rsid w:val="00255379"/>
    <w:rsid w:val="00257553"/>
    <w:rsid w:val="00260FB2"/>
    <w:rsid w:val="00262128"/>
    <w:rsid w:val="00267EAD"/>
    <w:rsid w:val="00270222"/>
    <w:rsid w:val="0027165D"/>
    <w:rsid w:val="00273CEB"/>
    <w:rsid w:val="00281C89"/>
    <w:rsid w:val="0028282F"/>
    <w:rsid w:val="0029177D"/>
    <w:rsid w:val="002917A0"/>
    <w:rsid w:val="0029593B"/>
    <w:rsid w:val="00297DA8"/>
    <w:rsid w:val="00297FC5"/>
    <w:rsid w:val="002A0417"/>
    <w:rsid w:val="002A16D8"/>
    <w:rsid w:val="002A1BC8"/>
    <w:rsid w:val="002A3A61"/>
    <w:rsid w:val="002A3EF2"/>
    <w:rsid w:val="002A4188"/>
    <w:rsid w:val="002B0DED"/>
    <w:rsid w:val="002B19A2"/>
    <w:rsid w:val="002B381A"/>
    <w:rsid w:val="002B4FCC"/>
    <w:rsid w:val="002B5E8C"/>
    <w:rsid w:val="002B7408"/>
    <w:rsid w:val="002B7CFD"/>
    <w:rsid w:val="002C0933"/>
    <w:rsid w:val="002C210F"/>
    <w:rsid w:val="002C3AE9"/>
    <w:rsid w:val="002C7431"/>
    <w:rsid w:val="002D0456"/>
    <w:rsid w:val="002D047A"/>
    <w:rsid w:val="002D3600"/>
    <w:rsid w:val="002D7178"/>
    <w:rsid w:val="002E4DDC"/>
    <w:rsid w:val="002F71CD"/>
    <w:rsid w:val="003018EB"/>
    <w:rsid w:val="00302480"/>
    <w:rsid w:val="003165E6"/>
    <w:rsid w:val="003215B5"/>
    <w:rsid w:val="003221CF"/>
    <w:rsid w:val="003233ED"/>
    <w:rsid w:val="003243B4"/>
    <w:rsid w:val="00324D9F"/>
    <w:rsid w:val="0032510F"/>
    <w:rsid w:val="00327948"/>
    <w:rsid w:val="0033000F"/>
    <w:rsid w:val="00332011"/>
    <w:rsid w:val="00332518"/>
    <w:rsid w:val="00332925"/>
    <w:rsid w:val="003332ED"/>
    <w:rsid w:val="003368DC"/>
    <w:rsid w:val="00337502"/>
    <w:rsid w:val="00345927"/>
    <w:rsid w:val="00350584"/>
    <w:rsid w:val="00351857"/>
    <w:rsid w:val="003545E8"/>
    <w:rsid w:val="003610E1"/>
    <w:rsid w:val="003671BE"/>
    <w:rsid w:val="003715DE"/>
    <w:rsid w:val="00372485"/>
    <w:rsid w:val="00373200"/>
    <w:rsid w:val="00373429"/>
    <w:rsid w:val="00375EF5"/>
    <w:rsid w:val="003767A5"/>
    <w:rsid w:val="00381D15"/>
    <w:rsid w:val="00385254"/>
    <w:rsid w:val="00385997"/>
    <w:rsid w:val="00391E72"/>
    <w:rsid w:val="00393550"/>
    <w:rsid w:val="00397A17"/>
    <w:rsid w:val="003A04DB"/>
    <w:rsid w:val="003A421D"/>
    <w:rsid w:val="003A5F5B"/>
    <w:rsid w:val="003A789A"/>
    <w:rsid w:val="003B12EC"/>
    <w:rsid w:val="003B33AC"/>
    <w:rsid w:val="003C13F4"/>
    <w:rsid w:val="003C26BB"/>
    <w:rsid w:val="003C2EF0"/>
    <w:rsid w:val="003C77E0"/>
    <w:rsid w:val="003C7FA3"/>
    <w:rsid w:val="003D17D7"/>
    <w:rsid w:val="003D2678"/>
    <w:rsid w:val="003D71A3"/>
    <w:rsid w:val="003E2B8A"/>
    <w:rsid w:val="003E3CE6"/>
    <w:rsid w:val="003E60A6"/>
    <w:rsid w:val="003E774A"/>
    <w:rsid w:val="003F10EE"/>
    <w:rsid w:val="003F16F6"/>
    <w:rsid w:val="003F1C77"/>
    <w:rsid w:val="003F4DC7"/>
    <w:rsid w:val="003F5235"/>
    <w:rsid w:val="004027E4"/>
    <w:rsid w:val="004043B8"/>
    <w:rsid w:val="0040724C"/>
    <w:rsid w:val="00407727"/>
    <w:rsid w:val="0041071D"/>
    <w:rsid w:val="00412871"/>
    <w:rsid w:val="00414113"/>
    <w:rsid w:val="00414AFC"/>
    <w:rsid w:val="00414FBE"/>
    <w:rsid w:val="004151A7"/>
    <w:rsid w:val="00415310"/>
    <w:rsid w:val="00417F6E"/>
    <w:rsid w:val="00421709"/>
    <w:rsid w:val="0042269C"/>
    <w:rsid w:val="00423763"/>
    <w:rsid w:val="004247A1"/>
    <w:rsid w:val="0042762F"/>
    <w:rsid w:val="00427DC7"/>
    <w:rsid w:val="00431613"/>
    <w:rsid w:val="00431792"/>
    <w:rsid w:val="0043297A"/>
    <w:rsid w:val="00432EB2"/>
    <w:rsid w:val="0043322D"/>
    <w:rsid w:val="00436310"/>
    <w:rsid w:val="0043714F"/>
    <w:rsid w:val="004438B5"/>
    <w:rsid w:val="00447037"/>
    <w:rsid w:val="0045124D"/>
    <w:rsid w:val="00454596"/>
    <w:rsid w:val="0045605D"/>
    <w:rsid w:val="0046135B"/>
    <w:rsid w:val="00461D47"/>
    <w:rsid w:val="004718CC"/>
    <w:rsid w:val="004800FF"/>
    <w:rsid w:val="00481695"/>
    <w:rsid w:val="00495A96"/>
    <w:rsid w:val="00495BB3"/>
    <w:rsid w:val="0049649B"/>
    <w:rsid w:val="004A09F5"/>
    <w:rsid w:val="004A56BB"/>
    <w:rsid w:val="004A7A44"/>
    <w:rsid w:val="004B16AE"/>
    <w:rsid w:val="004B16DD"/>
    <w:rsid w:val="004B1751"/>
    <w:rsid w:val="004B4CD1"/>
    <w:rsid w:val="004B788B"/>
    <w:rsid w:val="004C0253"/>
    <w:rsid w:val="004C5D7E"/>
    <w:rsid w:val="004D56FF"/>
    <w:rsid w:val="004D68BA"/>
    <w:rsid w:val="004E39D3"/>
    <w:rsid w:val="004E44EF"/>
    <w:rsid w:val="004E508A"/>
    <w:rsid w:val="004E616D"/>
    <w:rsid w:val="004F1BDE"/>
    <w:rsid w:val="004F2CEE"/>
    <w:rsid w:val="004F556E"/>
    <w:rsid w:val="004F5885"/>
    <w:rsid w:val="004F591C"/>
    <w:rsid w:val="004F7F44"/>
    <w:rsid w:val="005037B4"/>
    <w:rsid w:val="005079BF"/>
    <w:rsid w:val="0051269A"/>
    <w:rsid w:val="005164CE"/>
    <w:rsid w:val="005219E7"/>
    <w:rsid w:val="00522754"/>
    <w:rsid w:val="00531B9A"/>
    <w:rsid w:val="00531D15"/>
    <w:rsid w:val="00536B47"/>
    <w:rsid w:val="00537604"/>
    <w:rsid w:val="00542377"/>
    <w:rsid w:val="00543193"/>
    <w:rsid w:val="005476EB"/>
    <w:rsid w:val="00551782"/>
    <w:rsid w:val="005525DF"/>
    <w:rsid w:val="005606BA"/>
    <w:rsid w:val="00560BF1"/>
    <w:rsid w:val="00560DA4"/>
    <w:rsid w:val="005629B5"/>
    <w:rsid w:val="00563EF1"/>
    <w:rsid w:val="00566AB4"/>
    <w:rsid w:val="0057000F"/>
    <w:rsid w:val="00572D90"/>
    <w:rsid w:val="005739E8"/>
    <w:rsid w:val="00574223"/>
    <w:rsid w:val="00575AC5"/>
    <w:rsid w:val="0057605D"/>
    <w:rsid w:val="00580E45"/>
    <w:rsid w:val="00581347"/>
    <w:rsid w:val="00581552"/>
    <w:rsid w:val="005815C5"/>
    <w:rsid w:val="00581AC9"/>
    <w:rsid w:val="005849F8"/>
    <w:rsid w:val="005938DF"/>
    <w:rsid w:val="00594E9C"/>
    <w:rsid w:val="00594F45"/>
    <w:rsid w:val="005A099B"/>
    <w:rsid w:val="005A1B21"/>
    <w:rsid w:val="005A2D9C"/>
    <w:rsid w:val="005A55FE"/>
    <w:rsid w:val="005A6A11"/>
    <w:rsid w:val="005B4FE2"/>
    <w:rsid w:val="005D0636"/>
    <w:rsid w:val="005D2502"/>
    <w:rsid w:val="005D40BB"/>
    <w:rsid w:val="005D47F3"/>
    <w:rsid w:val="005D49BF"/>
    <w:rsid w:val="005D4AA5"/>
    <w:rsid w:val="005D6F4E"/>
    <w:rsid w:val="005D7C73"/>
    <w:rsid w:val="005E3ACD"/>
    <w:rsid w:val="005E5EFE"/>
    <w:rsid w:val="005E7226"/>
    <w:rsid w:val="005E7A57"/>
    <w:rsid w:val="005F1D5A"/>
    <w:rsid w:val="005F24B0"/>
    <w:rsid w:val="005F4BD1"/>
    <w:rsid w:val="006007A1"/>
    <w:rsid w:val="00601BB0"/>
    <w:rsid w:val="00604315"/>
    <w:rsid w:val="00604E26"/>
    <w:rsid w:val="006052CF"/>
    <w:rsid w:val="00607B8D"/>
    <w:rsid w:val="00611DA0"/>
    <w:rsid w:val="00611F5C"/>
    <w:rsid w:val="00616E09"/>
    <w:rsid w:val="00622A3B"/>
    <w:rsid w:val="00622EEA"/>
    <w:rsid w:val="0062396C"/>
    <w:rsid w:val="00623FF9"/>
    <w:rsid w:val="00626398"/>
    <w:rsid w:val="00627D4E"/>
    <w:rsid w:val="00632B89"/>
    <w:rsid w:val="00633031"/>
    <w:rsid w:val="0063420F"/>
    <w:rsid w:val="00634478"/>
    <w:rsid w:val="00643878"/>
    <w:rsid w:val="00644373"/>
    <w:rsid w:val="00645915"/>
    <w:rsid w:val="00651114"/>
    <w:rsid w:val="006519C3"/>
    <w:rsid w:val="00652B30"/>
    <w:rsid w:val="00656345"/>
    <w:rsid w:val="00656DC6"/>
    <w:rsid w:val="00660EC6"/>
    <w:rsid w:val="00661E46"/>
    <w:rsid w:val="00663B9C"/>
    <w:rsid w:val="00664110"/>
    <w:rsid w:val="00664189"/>
    <w:rsid w:val="00664D17"/>
    <w:rsid w:val="00666520"/>
    <w:rsid w:val="00667C5B"/>
    <w:rsid w:val="00685A64"/>
    <w:rsid w:val="00691EB8"/>
    <w:rsid w:val="00692A86"/>
    <w:rsid w:val="00692CDE"/>
    <w:rsid w:val="00693073"/>
    <w:rsid w:val="006977FF"/>
    <w:rsid w:val="006A0035"/>
    <w:rsid w:val="006A018C"/>
    <w:rsid w:val="006A01FA"/>
    <w:rsid w:val="006A08C2"/>
    <w:rsid w:val="006A0E9E"/>
    <w:rsid w:val="006A25C7"/>
    <w:rsid w:val="006A4338"/>
    <w:rsid w:val="006A4AAD"/>
    <w:rsid w:val="006A6DA2"/>
    <w:rsid w:val="006A7AB2"/>
    <w:rsid w:val="006B101F"/>
    <w:rsid w:val="006B5717"/>
    <w:rsid w:val="006B582F"/>
    <w:rsid w:val="006C0CEB"/>
    <w:rsid w:val="006C3B1E"/>
    <w:rsid w:val="006C47FD"/>
    <w:rsid w:val="006C4A2A"/>
    <w:rsid w:val="006C5C19"/>
    <w:rsid w:val="006C70A0"/>
    <w:rsid w:val="006C7D21"/>
    <w:rsid w:val="006D04D5"/>
    <w:rsid w:val="006D27CB"/>
    <w:rsid w:val="006D2F08"/>
    <w:rsid w:val="006D515E"/>
    <w:rsid w:val="006D576C"/>
    <w:rsid w:val="006D5865"/>
    <w:rsid w:val="006D76F5"/>
    <w:rsid w:val="006E3E13"/>
    <w:rsid w:val="006E4B1B"/>
    <w:rsid w:val="006E5445"/>
    <w:rsid w:val="006E7D93"/>
    <w:rsid w:val="007029A3"/>
    <w:rsid w:val="007061C7"/>
    <w:rsid w:val="00706E4E"/>
    <w:rsid w:val="00706F16"/>
    <w:rsid w:val="0070791C"/>
    <w:rsid w:val="0071383C"/>
    <w:rsid w:val="007141A7"/>
    <w:rsid w:val="00714B4A"/>
    <w:rsid w:val="00715722"/>
    <w:rsid w:val="00715CF6"/>
    <w:rsid w:val="007162F1"/>
    <w:rsid w:val="0071702E"/>
    <w:rsid w:val="00721032"/>
    <w:rsid w:val="00721B55"/>
    <w:rsid w:val="00726CE4"/>
    <w:rsid w:val="00727147"/>
    <w:rsid w:val="00734143"/>
    <w:rsid w:val="00737E47"/>
    <w:rsid w:val="00740EAC"/>
    <w:rsid w:val="00742E4B"/>
    <w:rsid w:val="00744956"/>
    <w:rsid w:val="00745A5C"/>
    <w:rsid w:val="0074605F"/>
    <w:rsid w:val="00747692"/>
    <w:rsid w:val="00747E94"/>
    <w:rsid w:val="00754C83"/>
    <w:rsid w:val="00757990"/>
    <w:rsid w:val="00761AFF"/>
    <w:rsid w:val="00763C95"/>
    <w:rsid w:val="00765DF8"/>
    <w:rsid w:val="007663B7"/>
    <w:rsid w:val="00766749"/>
    <w:rsid w:val="00767C1B"/>
    <w:rsid w:val="00767DCE"/>
    <w:rsid w:val="007714A9"/>
    <w:rsid w:val="00774F88"/>
    <w:rsid w:val="00774FDB"/>
    <w:rsid w:val="00777BA2"/>
    <w:rsid w:val="00781408"/>
    <w:rsid w:val="00781491"/>
    <w:rsid w:val="00784F7F"/>
    <w:rsid w:val="007878BD"/>
    <w:rsid w:val="00791E14"/>
    <w:rsid w:val="00796F25"/>
    <w:rsid w:val="007A0AD1"/>
    <w:rsid w:val="007A2E98"/>
    <w:rsid w:val="007A3BA3"/>
    <w:rsid w:val="007A6CC0"/>
    <w:rsid w:val="007A78B1"/>
    <w:rsid w:val="007A7FEC"/>
    <w:rsid w:val="007B1499"/>
    <w:rsid w:val="007B1BBF"/>
    <w:rsid w:val="007B2960"/>
    <w:rsid w:val="007B355D"/>
    <w:rsid w:val="007B6C0D"/>
    <w:rsid w:val="007B7980"/>
    <w:rsid w:val="007C0C20"/>
    <w:rsid w:val="007C0DEF"/>
    <w:rsid w:val="007C3833"/>
    <w:rsid w:val="007C5D5A"/>
    <w:rsid w:val="007C607F"/>
    <w:rsid w:val="007C79DD"/>
    <w:rsid w:val="007D1A97"/>
    <w:rsid w:val="007D1F0B"/>
    <w:rsid w:val="007D2CD6"/>
    <w:rsid w:val="007D3063"/>
    <w:rsid w:val="007D3CEB"/>
    <w:rsid w:val="007D41E4"/>
    <w:rsid w:val="007D4FAA"/>
    <w:rsid w:val="007E2152"/>
    <w:rsid w:val="007E5BE2"/>
    <w:rsid w:val="007E7683"/>
    <w:rsid w:val="007F49FA"/>
    <w:rsid w:val="007F54C4"/>
    <w:rsid w:val="007F6E9A"/>
    <w:rsid w:val="0080007A"/>
    <w:rsid w:val="008002CF"/>
    <w:rsid w:val="008044D4"/>
    <w:rsid w:val="00807FD9"/>
    <w:rsid w:val="00810AB4"/>
    <w:rsid w:val="00817B56"/>
    <w:rsid w:val="00820F46"/>
    <w:rsid w:val="00821A88"/>
    <w:rsid w:val="0082495D"/>
    <w:rsid w:val="00826930"/>
    <w:rsid w:val="00831AC3"/>
    <w:rsid w:val="00836CC5"/>
    <w:rsid w:val="0083726D"/>
    <w:rsid w:val="008408FF"/>
    <w:rsid w:val="00844C81"/>
    <w:rsid w:val="00847F28"/>
    <w:rsid w:val="0085085B"/>
    <w:rsid w:val="00851F3F"/>
    <w:rsid w:val="00856EDC"/>
    <w:rsid w:val="008623B5"/>
    <w:rsid w:val="00863A82"/>
    <w:rsid w:val="00870ABA"/>
    <w:rsid w:val="008710E1"/>
    <w:rsid w:val="008716E5"/>
    <w:rsid w:val="008765C5"/>
    <w:rsid w:val="00876D7A"/>
    <w:rsid w:val="00881CA9"/>
    <w:rsid w:val="00883628"/>
    <w:rsid w:val="00885544"/>
    <w:rsid w:val="0088634E"/>
    <w:rsid w:val="00887570"/>
    <w:rsid w:val="00892FBE"/>
    <w:rsid w:val="00893AB8"/>
    <w:rsid w:val="008A04C8"/>
    <w:rsid w:val="008A5ADC"/>
    <w:rsid w:val="008A62F7"/>
    <w:rsid w:val="008A6913"/>
    <w:rsid w:val="008B579C"/>
    <w:rsid w:val="008B70F3"/>
    <w:rsid w:val="008B71C4"/>
    <w:rsid w:val="008B76DF"/>
    <w:rsid w:val="008C10F4"/>
    <w:rsid w:val="008C2E14"/>
    <w:rsid w:val="008C4E1E"/>
    <w:rsid w:val="008C59A8"/>
    <w:rsid w:val="008C5BBB"/>
    <w:rsid w:val="008C65F7"/>
    <w:rsid w:val="008C750C"/>
    <w:rsid w:val="008D1AFE"/>
    <w:rsid w:val="008E3274"/>
    <w:rsid w:val="008E4767"/>
    <w:rsid w:val="008E69F9"/>
    <w:rsid w:val="008E7A8C"/>
    <w:rsid w:val="008F55DB"/>
    <w:rsid w:val="00900266"/>
    <w:rsid w:val="00903285"/>
    <w:rsid w:val="00906F40"/>
    <w:rsid w:val="0090731E"/>
    <w:rsid w:val="00911F68"/>
    <w:rsid w:val="00915B1C"/>
    <w:rsid w:val="009174F3"/>
    <w:rsid w:val="0091774F"/>
    <w:rsid w:val="0091797D"/>
    <w:rsid w:val="0092279D"/>
    <w:rsid w:val="00923CBA"/>
    <w:rsid w:val="00926703"/>
    <w:rsid w:val="00927691"/>
    <w:rsid w:val="00927A5F"/>
    <w:rsid w:val="00935B63"/>
    <w:rsid w:val="0093601E"/>
    <w:rsid w:val="009362BC"/>
    <w:rsid w:val="0094078F"/>
    <w:rsid w:val="00940FA3"/>
    <w:rsid w:val="00941FB0"/>
    <w:rsid w:val="009426D4"/>
    <w:rsid w:val="009471B7"/>
    <w:rsid w:val="00947F25"/>
    <w:rsid w:val="00950159"/>
    <w:rsid w:val="0095490B"/>
    <w:rsid w:val="00960A33"/>
    <w:rsid w:val="009627F8"/>
    <w:rsid w:val="00965235"/>
    <w:rsid w:val="00971914"/>
    <w:rsid w:val="00974363"/>
    <w:rsid w:val="00975D88"/>
    <w:rsid w:val="00981898"/>
    <w:rsid w:val="0098235E"/>
    <w:rsid w:val="00984161"/>
    <w:rsid w:val="00985035"/>
    <w:rsid w:val="00985A9E"/>
    <w:rsid w:val="0099577C"/>
    <w:rsid w:val="009A0E4E"/>
    <w:rsid w:val="009A482C"/>
    <w:rsid w:val="009A4AA1"/>
    <w:rsid w:val="009B0ADD"/>
    <w:rsid w:val="009B2601"/>
    <w:rsid w:val="009B4E9E"/>
    <w:rsid w:val="009C1690"/>
    <w:rsid w:val="009C28AB"/>
    <w:rsid w:val="009C6881"/>
    <w:rsid w:val="009C7759"/>
    <w:rsid w:val="009D043D"/>
    <w:rsid w:val="009D07C8"/>
    <w:rsid w:val="009D2136"/>
    <w:rsid w:val="009D6C71"/>
    <w:rsid w:val="009D7BEF"/>
    <w:rsid w:val="009E0631"/>
    <w:rsid w:val="009E16D0"/>
    <w:rsid w:val="009E38FD"/>
    <w:rsid w:val="009E4F74"/>
    <w:rsid w:val="009F108B"/>
    <w:rsid w:val="009F13D6"/>
    <w:rsid w:val="009F4C6B"/>
    <w:rsid w:val="009F7584"/>
    <w:rsid w:val="009F78A8"/>
    <w:rsid w:val="00A02609"/>
    <w:rsid w:val="00A02AD6"/>
    <w:rsid w:val="00A02F9A"/>
    <w:rsid w:val="00A05685"/>
    <w:rsid w:val="00A05D92"/>
    <w:rsid w:val="00A06241"/>
    <w:rsid w:val="00A07096"/>
    <w:rsid w:val="00A07318"/>
    <w:rsid w:val="00A11370"/>
    <w:rsid w:val="00A21BF9"/>
    <w:rsid w:val="00A224CE"/>
    <w:rsid w:val="00A22522"/>
    <w:rsid w:val="00A24AFD"/>
    <w:rsid w:val="00A24F5C"/>
    <w:rsid w:val="00A31AB5"/>
    <w:rsid w:val="00A32F96"/>
    <w:rsid w:val="00A33D00"/>
    <w:rsid w:val="00A40871"/>
    <w:rsid w:val="00A412AB"/>
    <w:rsid w:val="00A4193E"/>
    <w:rsid w:val="00A42CF0"/>
    <w:rsid w:val="00A440E0"/>
    <w:rsid w:val="00A442EF"/>
    <w:rsid w:val="00A4721C"/>
    <w:rsid w:val="00A51D1A"/>
    <w:rsid w:val="00A5418D"/>
    <w:rsid w:val="00A5474E"/>
    <w:rsid w:val="00A64234"/>
    <w:rsid w:val="00A65007"/>
    <w:rsid w:val="00A67086"/>
    <w:rsid w:val="00A70ADF"/>
    <w:rsid w:val="00A71466"/>
    <w:rsid w:val="00A74B5E"/>
    <w:rsid w:val="00A774D0"/>
    <w:rsid w:val="00A80C25"/>
    <w:rsid w:val="00A81BED"/>
    <w:rsid w:val="00A81EC4"/>
    <w:rsid w:val="00A967FD"/>
    <w:rsid w:val="00A97761"/>
    <w:rsid w:val="00AA2514"/>
    <w:rsid w:val="00AB156C"/>
    <w:rsid w:val="00AB3E0D"/>
    <w:rsid w:val="00AB6814"/>
    <w:rsid w:val="00AB7257"/>
    <w:rsid w:val="00AC04BA"/>
    <w:rsid w:val="00AC0E39"/>
    <w:rsid w:val="00AC5660"/>
    <w:rsid w:val="00AD21AA"/>
    <w:rsid w:val="00AD235B"/>
    <w:rsid w:val="00AD3082"/>
    <w:rsid w:val="00AD32B4"/>
    <w:rsid w:val="00AD4AD0"/>
    <w:rsid w:val="00AD5436"/>
    <w:rsid w:val="00AD60CD"/>
    <w:rsid w:val="00AD6C8C"/>
    <w:rsid w:val="00AE091D"/>
    <w:rsid w:val="00AE3B60"/>
    <w:rsid w:val="00AE53A1"/>
    <w:rsid w:val="00AF0380"/>
    <w:rsid w:val="00AF2484"/>
    <w:rsid w:val="00AF63E7"/>
    <w:rsid w:val="00AF6E17"/>
    <w:rsid w:val="00B0165D"/>
    <w:rsid w:val="00B01B60"/>
    <w:rsid w:val="00B031F3"/>
    <w:rsid w:val="00B052A4"/>
    <w:rsid w:val="00B0550C"/>
    <w:rsid w:val="00B10152"/>
    <w:rsid w:val="00B11932"/>
    <w:rsid w:val="00B125DE"/>
    <w:rsid w:val="00B13C4F"/>
    <w:rsid w:val="00B13FDD"/>
    <w:rsid w:val="00B15716"/>
    <w:rsid w:val="00B21966"/>
    <w:rsid w:val="00B22EB2"/>
    <w:rsid w:val="00B27442"/>
    <w:rsid w:val="00B31167"/>
    <w:rsid w:val="00B319FE"/>
    <w:rsid w:val="00B329D8"/>
    <w:rsid w:val="00B32BB9"/>
    <w:rsid w:val="00B33AE1"/>
    <w:rsid w:val="00B34EA3"/>
    <w:rsid w:val="00B34F4F"/>
    <w:rsid w:val="00B37333"/>
    <w:rsid w:val="00B37C38"/>
    <w:rsid w:val="00B414D7"/>
    <w:rsid w:val="00B4288C"/>
    <w:rsid w:val="00B43262"/>
    <w:rsid w:val="00B44100"/>
    <w:rsid w:val="00B46CBA"/>
    <w:rsid w:val="00B46F94"/>
    <w:rsid w:val="00B5056D"/>
    <w:rsid w:val="00B526A7"/>
    <w:rsid w:val="00B6003C"/>
    <w:rsid w:val="00B61F03"/>
    <w:rsid w:val="00B626E4"/>
    <w:rsid w:val="00B65AAB"/>
    <w:rsid w:val="00B72F4A"/>
    <w:rsid w:val="00B73CC2"/>
    <w:rsid w:val="00B83C27"/>
    <w:rsid w:val="00B84BC3"/>
    <w:rsid w:val="00B84BDD"/>
    <w:rsid w:val="00B86E3E"/>
    <w:rsid w:val="00B92812"/>
    <w:rsid w:val="00B939E1"/>
    <w:rsid w:val="00BA1C2B"/>
    <w:rsid w:val="00BA634D"/>
    <w:rsid w:val="00BB33E2"/>
    <w:rsid w:val="00BB45A1"/>
    <w:rsid w:val="00BB7686"/>
    <w:rsid w:val="00BC0EAD"/>
    <w:rsid w:val="00BC23F9"/>
    <w:rsid w:val="00BC3421"/>
    <w:rsid w:val="00BC732C"/>
    <w:rsid w:val="00BD2866"/>
    <w:rsid w:val="00BE196F"/>
    <w:rsid w:val="00BE2580"/>
    <w:rsid w:val="00BE266D"/>
    <w:rsid w:val="00BE2C8D"/>
    <w:rsid w:val="00BE303F"/>
    <w:rsid w:val="00BE312D"/>
    <w:rsid w:val="00BE3938"/>
    <w:rsid w:val="00BE4C11"/>
    <w:rsid w:val="00BE5106"/>
    <w:rsid w:val="00BE71C0"/>
    <w:rsid w:val="00BE79BE"/>
    <w:rsid w:val="00BF610C"/>
    <w:rsid w:val="00BF71FD"/>
    <w:rsid w:val="00C0060B"/>
    <w:rsid w:val="00C0277D"/>
    <w:rsid w:val="00C04542"/>
    <w:rsid w:val="00C053A1"/>
    <w:rsid w:val="00C10E39"/>
    <w:rsid w:val="00C12C8B"/>
    <w:rsid w:val="00C16198"/>
    <w:rsid w:val="00C2083D"/>
    <w:rsid w:val="00C24A53"/>
    <w:rsid w:val="00C26385"/>
    <w:rsid w:val="00C34A05"/>
    <w:rsid w:val="00C4032F"/>
    <w:rsid w:val="00C41B12"/>
    <w:rsid w:val="00C42F34"/>
    <w:rsid w:val="00C44047"/>
    <w:rsid w:val="00C45155"/>
    <w:rsid w:val="00C46CB6"/>
    <w:rsid w:val="00C500AE"/>
    <w:rsid w:val="00C5498F"/>
    <w:rsid w:val="00C55235"/>
    <w:rsid w:val="00C64CD0"/>
    <w:rsid w:val="00C6684F"/>
    <w:rsid w:val="00C70E70"/>
    <w:rsid w:val="00C743C9"/>
    <w:rsid w:val="00C75F8D"/>
    <w:rsid w:val="00C77380"/>
    <w:rsid w:val="00C84664"/>
    <w:rsid w:val="00C8522D"/>
    <w:rsid w:val="00C971DA"/>
    <w:rsid w:val="00C97736"/>
    <w:rsid w:val="00CA345A"/>
    <w:rsid w:val="00CB1E82"/>
    <w:rsid w:val="00CB4BA8"/>
    <w:rsid w:val="00CB52D7"/>
    <w:rsid w:val="00CB7131"/>
    <w:rsid w:val="00CB7F24"/>
    <w:rsid w:val="00CC6732"/>
    <w:rsid w:val="00CD4BE6"/>
    <w:rsid w:val="00CE25EE"/>
    <w:rsid w:val="00CE2663"/>
    <w:rsid w:val="00CE3C96"/>
    <w:rsid w:val="00CE51A8"/>
    <w:rsid w:val="00CF2FDF"/>
    <w:rsid w:val="00CF369B"/>
    <w:rsid w:val="00CF504E"/>
    <w:rsid w:val="00D00E28"/>
    <w:rsid w:val="00D01543"/>
    <w:rsid w:val="00D0269E"/>
    <w:rsid w:val="00D05D6C"/>
    <w:rsid w:val="00D14DB9"/>
    <w:rsid w:val="00D15810"/>
    <w:rsid w:val="00D16D4E"/>
    <w:rsid w:val="00D16FE3"/>
    <w:rsid w:val="00D21137"/>
    <w:rsid w:val="00D2477D"/>
    <w:rsid w:val="00D24D03"/>
    <w:rsid w:val="00D27F41"/>
    <w:rsid w:val="00D36441"/>
    <w:rsid w:val="00D4064E"/>
    <w:rsid w:val="00D40D88"/>
    <w:rsid w:val="00D44E9B"/>
    <w:rsid w:val="00D46335"/>
    <w:rsid w:val="00D47AEB"/>
    <w:rsid w:val="00D50DB9"/>
    <w:rsid w:val="00D51302"/>
    <w:rsid w:val="00D52C43"/>
    <w:rsid w:val="00D57758"/>
    <w:rsid w:val="00D6507F"/>
    <w:rsid w:val="00D712F6"/>
    <w:rsid w:val="00D730BC"/>
    <w:rsid w:val="00D73912"/>
    <w:rsid w:val="00D7544D"/>
    <w:rsid w:val="00D80FDA"/>
    <w:rsid w:val="00D83B61"/>
    <w:rsid w:val="00D85226"/>
    <w:rsid w:val="00D86C50"/>
    <w:rsid w:val="00D87B94"/>
    <w:rsid w:val="00D92D49"/>
    <w:rsid w:val="00D92EC1"/>
    <w:rsid w:val="00D96DEA"/>
    <w:rsid w:val="00DA13C0"/>
    <w:rsid w:val="00DA4E41"/>
    <w:rsid w:val="00DB117A"/>
    <w:rsid w:val="00DB3B36"/>
    <w:rsid w:val="00DB49E6"/>
    <w:rsid w:val="00DB5173"/>
    <w:rsid w:val="00DB62DC"/>
    <w:rsid w:val="00DB7873"/>
    <w:rsid w:val="00DC0F93"/>
    <w:rsid w:val="00DC187B"/>
    <w:rsid w:val="00DC2D84"/>
    <w:rsid w:val="00DD171D"/>
    <w:rsid w:val="00DD5004"/>
    <w:rsid w:val="00DD73C2"/>
    <w:rsid w:val="00DE319B"/>
    <w:rsid w:val="00DE32A1"/>
    <w:rsid w:val="00DE5691"/>
    <w:rsid w:val="00DF0595"/>
    <w:rsid w:val="00DF164A"/>
    <w:rsid w:val="00DF34FE"/>
    <w:rsid w:val="00DF56AA"/>
    <w:rsid w:val="00DF56AF"/>
    <w:rsid w:val="00DF78E7"/>
    <w:rsid w:val="00E03DFF"/>
    <w:rsid w:val="00E074D9"/>
    <w:rsid w:val="00E07690"/>
    <w:rsid w:val="00E110E0"/>
    <w:rsid w:val="00E11C27"/>
    <w:rsid w:val="00E15371"/>
    <w:rsid w:val="00E171DE"/>
    <w:rsid w:val="00E2113D"/>
    <w:rsid w:val="00E24104"/>
    <w:rsid w:val="00E265D3"/>
    <w:rsid w:val="00E302D0"/>
    <w:rsid w:val="00E30422"/>
    <w:rsid w:val="00E31A2C"/>
    <w:rsid w:val="00E3296C"/>
    <w:rsid w:val="00E33633"/>
    <w:rsid w:val="00E35707"/>
    <w:rsid w:val="00E36AA1"/>
    <w:rsid w:val="00E41ECB"/>
    <w:rsid w:val="00E438E1"/>
    <w:rsid w:val="00E441C9"/>
    <w:rsid w:val="00E52A0B"/>
    <w:rsid w:val="00E54FDB"/>
    <w:rsid w:val="00E5617D"/>
    <w:rsid w:val="00E563D7"/>
    <w:rsid w:val="00E61C92"/>
    <w:rsid w:val="00E663F4"/>
    <w:rsid w:val="00E666F2"/>
    <w:rsid w:val="00E66DD4"/>
    <w:rsid w:val="00E734B8"/>
    <w:rsid w:val="00E748CC"/>
    <w:rsid w:val="00E75415"/>
    <w:rsid w:val="00E775B1"/>
    <w:rsid w:val="00E8152A"/>
    <w:rsid w:val="00E82889"/>
    <w:rsid w:val="00E8638D"/>
    <w:rsid w:val="00E93629"/>
    <w:rsid w:val="00E93B5C"/>
    <w:rsid w:val="00E94CEC"/>
    <w:rsid w:val="00E97868"/>
    <w:rsid w:val="00EA0119"/>
    <w:rsid w:val="00EA04EF"/>
    <w:rsid w:val="00EA0B77"/>
    <w:rsid w:val="00EA490A"/>
    <w:rsid w:val="00EA6F19"/>
    <w:rsid w:val="00EA7610"/>
    <w:rsid w:val="00EA7716"/>
    <w:rsid w:val="00EB7090"/>
    <w:rsid w:val="00EC0534"/>
    <w:rsid w:val="00EC1BBE"/>
    <w:rsid w:val="00EC5CD7"/>
    <w:rsid w:val="00EC6BDB"/>
    <w:rsid w:val="00EE03DF"/>
    <w:rsid w:val="00EE5FB3"/>
    <w:rsid w:val="00EE7DEE"/>
    <w:rsid w:val="00EE7F79"/>
    <w:rsid w:val="00EF1C74"/>
    <w:rsid w:val="00EF2F50"/>
    <w:rsid w:val="00EF715A"/>
    <w:rsid w:val="00F06E14"/>
    <w:rsid w:val="00F1191B"/>
    <w:rsid w:val="00F1380F"/>
    <w:rsid w:val="00F179D4"/>
    <w:rsid w:val="00F20184"/>
    <w:rsid w:val="00F208A7"/>
    <w:rsid w:val="00F33C56"/>
    <w:rsid w:val="00F347C7"/>
    <w:rsid w:val="00F34848"/>
    <w:rsid w:val="00F425B4"/>
    <w:rsid w:val="00F42CBE"/>
    <w:rsid w:val="00F42D46"/>
    <w:rsid w:val="00F4496C"/>
    <w:rsid w:val="00F44F3A"/>
    <w:rsid w:val="00F516D4"/>
    <w:rsid w:val="00F51BEB"/>
    <w:rsid w:val="00F51F10"/>
    <w:rsid w:val="00F528D7"/>
    <w:rsid w:val="00F529A5"/>
    <w:rsid w:val="00F55A6E"/>
    <w:rsid w:val="00F60F00"/>
    <w:rsid w:val="00F614C0"/>
    <w:rsid w:val="00F61707"/>
    <w:rsid w:val="00F62661"/>
    <w:rsid w:val="00F650DF"/>
    <w:rsid w:val="00F77ED2"/>
    <w:rsid w:val="00F83848"/>
    <w:rsid w:val="00F908C9"/>
    <w:rsid w:val="00F9349C"/>
    <w:rsid w:val="00F9608E"/>
    <w:rsid w:val="00F975E9"/>
    <w:rsid w:val="00FA1B7D"/>
    <w:rsid w:val="00FA4A63"/>
    <w:rsid w:val="00FB0878"/>
    <w:rsid w:val="00FB118D"/>
    <w:rsid w:val="00FB74F6"/>
    <w:rsid w:val="00FC07B9"/>
    <w:rsid w:val="00FC0F0E"/>
    <w:rsid w:val="00FC4E21"/>
    <w:rsid w:val="00FC5F6D"/>
    <w:rsid w:val="00FC6D36"/>
    <w:rsid w:val="00FD0107"/>
    <w:rsid w:val="00FD2C2F"/>
    <w:rsid w:val="00FD3B31"/>
    <w:rsid w:val="00FE1823"/>
    <w:rsid w:val="00FE2362"/>
    <w:rsid w:val="00FE487A"/>
    <w:rsid w:val="00FE50A5"/>
    <w:rsid w:val="00FF0569"/>
    <w:rsid w:val="00FF206E"/>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colormru v:ext="edit" colors="red,#4d4d4f"/>
    </o:shapedefaults>
    <o:shapelayout v:ext="edit">
      <o:idmap v:ext="edit" data="2"/>
    </o:shapelayout>
  </w:shapeDefaults>
  <w:decimalSymbol w:val="."/>
  <w:listSeparator w:val=","/>
  <w14:docId w14:val="2C07C8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qFormat="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D0107"/>
    <w:pPr>
      <w:spacing w:after="240" w:line="240" w:lineRule="atLeast"/>
    </w:pPr>
    <w:rPr>
      <w:rFonts w:ascii="Arial" w:hAnsi="Arial"/>
      <w:sz w:val="20"/>
    </w:rPr>
  </w:style>
  <w:style w:type="paragraph" w:styleId="Heading1">
    <w:name w:val="heading 1"/>
    <w:basedOn w:val="Normal"/>
    <w:next w:val="Normal"/>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Normal"/>
    <w:qFormat/>
    <w:rsid w:val="00C55235"/>
    <w:pPr>
      <w:keepNext/>
      <w:spacing w:before="320" w:after="60"/>
      <w:outlineLvl w:val="1"/>
    </w:pPr>
    <w:rPr>
      <w:rFonts w:cs="Arial"/>
      <w:b/>
      <w:bCs/>
      <w:iCs/>
      <w:sz w:val="28"/>
      <w:szCs w:val="28"/>
    </w:rPr>
  </w:style>
  <w:style w:type="paragraph" w:styleId="Heading3">
    <w:name w:val="heading 3"/>
    <w:basedOn w:val="Normal"/>
    <w:next w:val="Normal"/>
    <w:qFormat/>
    <w:rsid w:val="00C55235"/>
    <w:pPr>
      <w:keepNext/>
      <w:spacing w:before="60" w:after="60"/>
      <w:outlineLvl w:val="2"/>
    </w:pPr>
    <w:rPr>
      <w:rFonts w:cs="Arial"/>
      <w:b/>
      <w:bCs/>
      <w:szCs w:val="26"/>
    </w:rPr>
  </w:style>
  <w:style w:type="paragraph" w:styleId="Heading4">
    <w:name w:val="heading 4"/>
    <w:basedOn w:val="Normal"/>
    <w:next w:val="Normal"/>
    <w:semiHidden/>
    <w:qFormat/>
    <w:rsid w:val="00AD5436"/>
    <w:pPr>
      <w:keepNext/>
      <w:numPr>
        <w:ilvl w:val="3"/>
        <w:numId w:val="5"/>
      </w:numPr>
      <w:spacing w:before="240" w:after="60"/>
      <w:outlineLvl w:val="3"/>
    </w:pPr>
    <w:rPr>
      <w:rFonts w:ascii="Times New Roman" w:hAnsi="Times New Roman"/>
      <w:b/>
      <w:bCs/>
      <w:sz w:val="28"/>
      <w:szCs w:val="28"/>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rsid w:val="0094078F"/>
    <w:rPr>
      <w:rFonts w:ascii="Arial" w:hAnsi="Arial"/>
      <w:color w:val="323232"/>
      <w:sz w:val="16"/>
    </w:rPr>
  </w:style>
  <w:style w:type="paragraph" w:customStyle="1" w:styleId="ACMAReportTitle">
    <w:name w:val="ACMA_ReportTitle"/>
    <w:basedOn w:val="Normal"/>
    <w:qFormat/>
    <w:rsid w:val="00A51D1A"/>
    <w:pPr>
      <w:spacing w:after="0" w:line="560" w:lineRule="exact"/>
    </w:pPr>
    <w:rPr>
      <w:b/>
      <w:spacing w:val="-28"/>
      <w:sz w:val="53"/>
    </w:rPr>
  </w:style>
  <w:style w:type="paragraph" w:customStyle="1" w:styleId="ACMAReportSubTitle">
    <w:name w:val="ACMA_ReportSubTitle"/>
    <w:basedOn w:val="Normal"/>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MAReportDate">
    <w:name w:val="ACMA_ReportDate"/>
    <w:basedOn w:val="ACMAReportSubTitle"/>
    <w:qFormat/>
    <w:rsid w:val="00950159"/>
    <w:pPr>
      <w:spacing w:after="1200" w:line="240" w:lineRule="auto"/>
    </w:pPr>
    <w:rPr>
      <w:caps/>
      <w:spacing w:val="-10"/>
      <w:sz w:val="20"/>
    </w:rPr>
  </w:style>
  <w:style w:type="paragraph" w:customStyle="1" w:styleId="TableHeading">
    <w:name w:val="Table Heading"/>
    <w:basedOn w:val="Normal"/>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qFormat/>
    <w:rsid w:val="00950159"/>
    <w:pPr>
      <w:spacing w:before="1200" w:line="240" w:lineRule="auto"/>
    </w:pPr>
    <w:rPr>
      <w:b/>
      <w:color w:val="323232"/>
      <w:spacing w:val="-28"/>
      <w:sz w:val="53"/>
    </w:rPr>
  </w:style>
  <w:style w:type="paragraph" w:styleId="Caption">
    <w:name w:val="caption"/>
    <w:aliases w:val="Caption table"/>
    <w:basedOn w:val="Normal"/>
    <w:next w:val="Normal"/>
    <w:qFormat/>
    <w:rsid w:val="00E8152A"/>
    <w:pPr>
      <w:numPr>
        <w:numId w:val="9"/>
      </w:numPr>
      <w:spacing w:after="0"/>
    </w:pPr>
    <w:rPr>
      <w:b/>
      <w:bCs/>
      <w:color w:val="323232"/>
      <w:szCs w:val="20"/>
    </w:rPr>
  </w:style>
  <w:style w:type="paragraph" w:customStyle="1" w:styleId="BodySubHeader">
    <w:name w:val="BodySubHeader"/>
    <w:basedOn w:val="Normal"/>
    <w:next w:val="Normal"/>
    <w:qFormat/>
    <w:rsid w:val="00146CE6"/>
    <w:pPr>
      <w:spacing w:before="240" w:after="0"/>
    </w:pPr>
    <w:rPr>
      <w:b/>
      <w:i/>
    </w:rPr>
  </w:style>
  <w:style w:type="paragraph" w:styleId="ListBullet">
    <w:name w:val="List Bullet"/>
    <w:aliases w:val="List Bullet 1"/>
    <w:basedOn w:val="Normal"/>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qFormat/>
    <w:rsid w:val="00C24A53"/>
    <w:pPr>
      <w:numPr>
        <w:numId w:val="3"/>
      </w:numPr>
      <w:spacing w:after="80"/>
    </w:pPr>
  </w:style>
  <w:style w:type="paragraph" w:styleId="ListNumber2">
    <w:name w:val="List Number 2"/>
    <w:basedOn w:val="Normal"/>
    <w:qFormat/>
    <w:rsid w:val="00247C59"/>
    <w:pPr>
      <w:numPr>
        <w:numId w:val="4"/>
      </w:numPr>
      <w:spacing w:after="80"/>
      <w:ind w:left="845" w:hanging="544"/>
    </w:pPr>
  </w:style>
  <w:style w:type="paragraph" w:customStyle="1" w:styleId="URLEmail">
    <w:name w:val="URL/Email"/>
    <w:basedOn w:val="Normal"/>
    <w:semiHidden/>
    <w:rsid w:val="00302480"/>
    <w:rPr>
      <w:color w:val="4D4D4F"/>
      <w:spacing w:val="4"/>
    </w:rPr>
  </w:style>
  <w:style w:type="paragraph" w:customStyle="1" w:styleId="ACMAExecSummaryHeading">
    <w:name w:val="ACMA_ExecSummaryHeading"/>
    <w:basedOn w:val="Normal"/>
    <w:qFormat/>
    <w:rsid w:val="00950159"/>
    <w:pPr>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aliases w:val="CEO_Hyperlink"/>
    <w:basedOn w:val="DefaultParagraphFont"/>
    <w:uiPriority w:val="99"/>
    <w:qFormat/>
    <w:rsid w:val="003A5F5B"/>
    <w:rPr>
      <w:color w:val="0000FF"/>
      <w:u w:val="single"/>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aliases w:val="ACMA Footnote Text"/>
    <w:basedOn w:val="Normal"/>
    <w:link w:val="FootnoteTextChar"/>
    <w:rsid w:val="00566AB4"/>
    <w:rPr>
      <w:sz w:val="16"/>
      <w:szCs w:val="16"/>
    </w:rPr>
  </w:style>
  <w:style w:type="paragraph" w:customStyle="1" w:styleId="TableBody">
    <w:name w:val="Table Body"/>
    <w:basedOn w:val="Normal"/>
    <w:qFormat/>
    <w:rsid w:val="00774FDB"/>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character" w:styleId="Strong">
    <w:name w:val="Strong"/>
    <w:basedOn w:val="DefaultParagraphFont"/>
    <w:semiHidden/>
    <w:qFormat/>
    <w:rsid w:val="0005011A"/>
    <w:rPr>
      <w:b/>
      <w:bCs/>
    </w:rPr>
  </w:style>
  <w:style w:type="paragraph" w:customStyle="1" w:styleId="ACMACorporateAddressHeader">
    <w:name w:val="ACMA_CorporateAddressHeader"/>
    <w:basedOn w:val="Normal"/>
    <w:next w:val="ACMACorporateAddresses"/>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qFormat/>
    <w:rsid w:val="00FC07B9"/>
    <w:pPr>
      <w:spacing w:before="0" w:after="120"/>
    </w:pPr>
    <w:rPr>
      <w:b w:val="0"/>
    </w:rPr>
  </w:style>
  <w:style w:type="paragraph" w:customStyle="1" w:styleId="ACMACopyrightHeader">
    <w:name w:val="ACMA_CopyrightHeader"/>
    <w:basedOn w:val="ACMACorporateAddressHeader"/>
    <w:qFormat/>
    <w:rsid w:val="00950159"/>
    <w:pPr>
      <w:spacing w:before="3000"/>
    </w:pPr>
  </w:style>
  <w:style w:type="paragraph" w:customStyle="1" w:styleId="ACMACClogo">
    <w:name w:val="ACMA_CClogo"/>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3F10EE"/>
    <w:pPr>
      <w:numPr>
        <w:numId w:val="7"/>
      </w:numPr>
      <w:spacing w:after="160"/>
    </w:pPr>
    <w:rPr>
      <w:rFonts w:ascii="Arial" w:hAnsi="Arial"/>
      <w:b/>
      <w:bCs/>
      <w:color w:val="323232"/>
      <w:sz w:val="20"/>
      <w:szCs w:val="20"/>
    </w:rPr>
  </w:style>
  <w:style w:type="paragraph" w:customStyle="1" w:styleId="ACMANotes">
    <w:name w:val="ACMA_Notes"/>
    <w:qFormat/>
    <w:rsid w:val="00FF206E"/>
    <w:pPr>
      <w:spacing w:before="80"/>
    </w:pPr>
    <w:rPr>
      <w:rFonts w:ascii="Arial" w:hAnsi="Arial" w:cs="Arial"/>
      <w:i/>
      <w:sz w:val="16"/>
    </w:rPr>
  </w:style>
  <w:style w:type="paragraph" w:customStyle="1" w:styleId="ACMANormalTabbed">
    <w:name w:val="ACMA_NormalTabbed"/>
    <w:basedOn w:val="Normal"/>
    <w:qFormat/>
    <w:rsid w:val="005E7226"/>
    <w:pPr>
      <w:tabs>
        <w:tab w:val="left" w:pos="1134"/>
      </w:tabs>
    </w:pPr>
  </w:style>
  <w:style w:type="character" w:styleId="Emphasis">
    <w:name w:val="Emphasis"/>
    <w:basedOn w:val="DefaultParagraphFont"/>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ACMASpaceaftertable">
    <w:name w:val="ACMA_Space after table"/>
    <w:basedOn w:val="Normal"/>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qFormat/>
    <w:rsid w:val="00E8152A"/>
    <w:pPr>
      <w:keepNext/>
      <w:numPr>
        <w:numId w:val="8"/>
      </w:numPr>
    </w:pPr>
    <w:rPr>
      <w:rFonts w:cs="Arial"/>
    </w:rPr>
  </w:style>
  <w:style w:type="paragraph" w:customStyle="1" w:styleId="GridTable31">
    <w:name w:val="Grid Table 31"/>
    <w:basedOn w:val="Normal"/>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FootnoteTextChar">
    <w:name w:val="Footnote Text Char"/>
    <w:aliases w:val="ACMA Footnote Text Char"/>
    <w:basedOn w:val="DefaultParagraphFont"/>
    <w:link w:val="FootnoteText"/>
    <w:rsid w:val="007162F1"/>
    <w:rPr>
      <w:rFonts w:ascii="Arial" w:hAnsi="Arial"/>
      <w:sz w:val="16"/>
      <w:szCs w:val="16"/>
    </w:rPr>
  </w:style>
  <w:style w:type="paragraph" w:customStyle="1" w:styleId="ACMABodyText">
    <w:name w:val="ACMA Body Text"/>
    <w:rsid w:val="007162F1"/>
    <w:pPr>
      <w:suppressAutoHyphens/>
      <w:spacing w:before="80" w:after="120" w:line="280" w:lineRule="atLeast"/>
    </w:pPr>
    <w:rPr>
      <w:snapToGrid w:val="0"/>
      <w:szCs w:val="20"/>
      <w:lang w:eastAsia="en-US"/>
    </w:rPr>
  </w:style>
  <w:style w:type="paragraph" w:customStyle="1" w:styleId="AppL1">
    <w:name w:val="AppL1"/>
    <w:basedOn w:val="Heading1"/>
    <w:next w:val="Normal"/>
    <w:link w:val="AppL1Char"/>
    <w:qFormat/>
    <w:rsid w:val="007162F1"/>
    <w:pPr>
      <w:pageBreakBefore w:val="0"/>
      <w:numPr>
        <w:numId w:val="11"/>
      </w:numPr>
    </w:pPr>
    <w:rPr>
      <w:b/>
      <w:color w:val="0D0D0D" w:themeColor="text1" w:themeTint="F2"/>
      <w:sz w:val="36"/>
    </w:rPr>
  </w:style>
  <w:style w:type="character" w:customStyle="1" w:styleId="AppL1Char">
    <w:name w:val="AppL1 Char"/>
    <w:basedOn w:val="DefaultParagraphFont"/>
    <w:link w:val="AppL1"/>
    <w:rsid w:val="007162F1"/>
    <w:rPr>
      <w:rFonts w:ascii="Arial" w:hAnsi="Arial" w:cs="Arial"/>
      <w:b/>
      <w:bCs/>
      <w:color w:val="0D0D0D" w:themeColor="text1" w:themeTint="F2"/>
      <w:kern w:val="32"/>
      <w:sz w:val="36"/>
      <w:szCs w:val="32"/>
    </w:rPr>
  </w:style>
  <w:style w:type="paragraph" w:customStyle="1" w:styleId="AppL2">
    <w:name w:val="AppL2"/>
    <w:basedOn w:val="Heading2"/>
    <w:next w:val="Normal"/>
    <w:qFormat/>
    <w:rsid w:val="007162F1"/>
    <w:pPr>
      <w:numPr>
        <w:ilvl w:val="1"/>
        <w:numId w:val="11"/>
      </w:numPr>
      <w:spacing w:before="60"/>
    </w:pPr>
  </w:style>
  <w:style w:type="paragraph" w:customStyle="1" w:styleId="AppL3">
    <w:name w:val="AppL3"/>
    <w:basedOn w:val="Heading3"/>
    <w:next w:val="Normal"/>
    <w:qFormat/>
    <w:rsid w:val="007162F1"/>
    <w:pPr>
      <w:numPr>
        <w:ilvl w:val="2"/>
        <w:numId w:val="11"/>
      </w:numPr>
    </w:pPr>
    <w:rPr>
      <w:sz w:val="24"/>
    </w:rPr>
  </w:style>
  <w:style w:type="paragraph" w:styleId="Revision">
    <w:name w:val="Revision"/>
    <w:hidden/>
    <w:semiHidden/>
    <w:rsid w:val="003018EB"/>
    <w:rPr>
      <w:rFonts w:ascii="Arial" w:hAnsi="Arial"/>
      <w:sz w:val="20"/>
    </w:rPr>
  </w:style>
  <w:style w:type="character" w:customStyle="1" w:styleId="normaltextrun">
    <w:name w:val="normaltextrun"/>
    <w:basedOn w:val="DefaultParagraphFont"/>
    <w:rsid w:val="00FB118D"/>
  </w:style>
  <w:style w:type="character" w:styleId="UnresolvedMention">
    <w:name w:val="Unresolved Mention"/>
    <w:basedOn w:val="DefaultParagraphFont"/>
    <w:uiPriority w:val="99"/>
    <w:semiHidden/>
    <w:unhideWhenUsed/>
    <w:rsid w:val="007C3833"/>
    <w:rPr>
      <w:color w:val="605E5C"/>
      <w:shd w:val="clear" w:color="auto" w:fill="E1DFDD"/>
    </w:rPr>
  </w:style>
  <w:style w:type="character" w:customStyle="1" w:styleId="paragraphChar">
    <w:name w:val="paragraph Char"/>
    <w:aliases w:val="a Char"/>
    <w:basedOn w:val="DefaultParagraphFont"/>
    <w:link w:val="paragraph"/>
    <w:locked/>
    <w:rsid w:val="00643878"/>
  </w:style>
  <w:style w:type="paragraph" w:customStyle="1" w:styleId="paragraph">
    <w:name w:val="paragraph"/>
    <w:aliases w:val="a"/>
    <w:basedOn w:val="Normal"/>
    <w:link w:val="paragraphChar"/>
    <w:rsid w:val="00643878"/>
    <w:pPr>
      <w:spacing w:before="40" w:after="0" w:line="240" w:lineRule="auto"/>
      <w:ind w:left="1644" w:hanging="1644"/>
    </w:pPr>
    <w:rPr>
      <w:rFonts w:ascii="Times New Roman" w:hAnsi="Times New Roman"/>
      <w:sz w:val="24"/>
    </w:rPr>
  </w:style>
  <w:style w:type="paragraph" w:styleId="ListParagraph">
    <w:name w:val="List Paragraph"/>
    <w:basedOn w:val="Normal"/>
    <w:rsid w:val="00F1191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775268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hyperlink" Target="mailto:info@acma.gov.au" TargetMode="External"/><Relationship Id="rId26" Type="http://schemas.openxmlformats.org/officeDocument/2006/relationships/footer" Target="footer4.xml"/><Relationship Id="rId39" Type="http://schemas.openxmlformats.org/officeDocument/2006/relationships/hyperlink" Target="https://docdb.cept.org/home" TargetMode="External"/><Relationship Id="rId21" Type="http://schemas.openxmlformats.org/officeDocument/2006/relationships/header" Target="header4.xml"/><Relationship Id="rId34" Type="http://schemas.openxmlformats.org/officeDocument/2006/relationships/hyperlink" Target="https://www.acma.gov.au/decisions-under-subsection-1010" TargetMode="External"/><Relationship Id="rId42" Type="http://schemas.openxmlformats.org/officeDocument/2006/relationships/hyperlink" Target="https://www.acma.gov.au/spectrum-embargoes" TargetMode="External"/><Relationship Id="rId47" Type="http://schemas.openxmlformats.org/officeDocument/2006/relationships/hyperlink" Target="https://www.acma.gov.au/australian-radiofrequency-spectrum-plan" TargetMode="External"/><Relationship Id="rId50" Type="http://schemas.openxmlformats.org/officeDocument/2006/relationships/hyperlink" Target="https://www.legislation.gov.au/Details/F2021C00630" TargetMode="External"/><Relationship Id="rId55" Type="http://schemas.openxmlformats.org/officeDocument/2006/relationships/header" Target="header8.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image" Target="media/image3.png"/><Relationship Id="rId29" Type="http://schemas.openxmlformats.org/officeDocument/2006/relationships/hyperlink" Target="https://www.legislation.gov.au/Series/C2004A04465" TargetMode="External"/><Relationship Id="rId11" Type="http://schemas.openxmlformats.org/officeDocument/2006/relationships/header" Target="header1.xml"/><Relationship Id="rId24" Type="http://schemas.openxmlformats.org/officeDocument/2006/relationships/footer" Target="footer3.xml"/><Relationship Id="rId32" Type="http://schemas.openxmlformats.org/officeDocument/2006/relationships/hyperlink" Target="https://www.acma.gov.au/apparatus-licences" TargetMode="External"/><Relationship Id="rId37" Type="http://schemas.openxmlformats.org/officeDocument/2006/relationships/hyperlink" Target="https://www.acma.gov.au/licences/space-licence" TargetMode="External"/><Relationship Id="rId40" Type="http://schemas.openxmlformats.org/officeDocument/2006/relationships/hyperlink" Target="https://www.legislation.gov.au/Series/C2004A04465" TargetMode="External"/><Relationship Id="rId45" Type="http://schemas.openxmlformats.org/officeDocument/2006/relationships/hyperlink" Target="https://www.legislation.gov.au/Series/F2014L01584" TargetMode="External"/><Relationship Id="rId53" Type="http://schemas.openxmlformats.org/officeDocument/2006/relationships/hyperlink" Target="mailto:info@acma.gov.au" TargetMode="External"/><Relationship Id="rId58" Type="http://schemas.openxmlformats.org/officeDocument/2006/relationships/header" Target="header9.xml"/><Relationship Id="rId5" Type="http://schemas.openxmlformats.org/officeDocument/2006/relationships/numbering" Target="numbering.xml"/><Relationship Id="rId19" Type="http://schemas.openxmlformats.org/officeDocument/2006/relationships/hyperlink" Target="https://webarchive.nla.gov.au/awa/20181010111839/https:/www.acma.gov.au/theACMA/regulatory-arrangements-for-gso-and-ngso-esims"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 Id="rId22" Type="http://schemas.openxmlformats.org/officeDocument/2006/relationships/header" Target="header5.xml"/><Relationship Id="rId27" Type="http://schemas.openxmlformats.org/officeDocument/2006/relationships/hyperlink" Target="http://www.acma.gov.au/theACMA/bop-disclaimer" TargetMode="External"/><Relationship Id="rId30" Type="http://schemas.openxmlformats.org/officeDocument/2006/relationships/hyperlink" Target="https://docdb.cept.org/document/447" TargetMode="External"/><Relationship Id="rId35" Type="http://schemas.openxmlformats.org/officeDocument/2006/relationships/hyperlink" Target="https://www.legislation.gov.au/Details/F2021L00617" TargetMode="External"/><Relationship Id="rId43" Type="http://schemas.openxmlformats.org/officeDocument/2006/relationships/hyperlink" Target="https://www.acma.gov.au/licences/space-licence" TargetMode="External"/><Relationship Id="rId48" Type="http://schemas.openxmlformats.org/officeDocument/2006/relationships/hyperlink" Target="mailto:satellite.coordination@acma.gov.au" TargetMode="External"/><Relationship Id="rId56" Type="http://schemas.openxmlformats.org/officeDocument/2006/relationships/footer" Target="footer5.xml"/><Relationship Id="rId8" Type="http://schemas.openxmlformats.org/officeDocument/2006/relationships/webSettings" Target="webSettings.xml"/><Relationship Id="rId51" Type="http://schemas.openxmlformats.org/officeDocument/2006/relationships/hyperlink" Target="mailto:satellite.coordination@acma.gov.au" TargetMode="External"/><Relationship Id="rId3" Type="http://schemas.openxmlformats.org/officeDocument/2006/relationships/customXml" Target="../customXml/item3.xml"/><Relationship Id="rId12" Type="http://schemas.openxmlformats.org/officeDocument/2006/relationships/header" Target="header2.xml"/><Relationship Id="rId17" Type="http://schemas.openxmlformats.org/officeDocument/2006/relationships/hyperlink" Target="http://creativecommons.org/licenses/by/3.0/au/" TargetMode="External"/><Relationship Id="rId25" Type="http://schemas.openxmlformats.org/officeDocument/2006/relationships/header" Target="header6.xml"/><Relationship Id="rId33" Type="http://schemas.openxmlformats.org/officeDocument/2006/relationships/hyperlink" Target="http://www.acma.gov.au/Industry/Spectrum/Spectrum-planning/Space-systems-regulation/space-systems-regulation-acma" TargetMode="External"/><Relationship Id="rId38" Type="http://schemas.openxmlformats.org/officeDocument/2006/relationships/hyperlink" Target="https://docdb.cept.org/document/447" TargetMode="External"/><Relationship Id="rId46" Type="http://schemas.openxmlformats.org/officeDocument/2006/relationships/hyperlink" Target="https://www.legislation.gov.au/Details/F2021C00630" TargetMode="External"/><Relationship Id="rId59" Type="http://schemas.openxmlformats.org/officeDocument/2006/relationships/fontTable" Target="fontTable.xml"/><Relationship Id="rId20" Type="http://schemas.openxmlformats.org/officeDocument/2006/relationships/hyperlink" Target="https://www.acma.gov.au/consultations/2021-09/updating-regulatory-requirements-earth-stations-motion-consultation-332021" TargetMode="External"/><Relationship Id="rId41" Type="http://schemas.openxmlformats.org/officeDocument/2006/relationships/hyperlink" Target="https://www.acma.gov.au/band-plans-allocate-spectrum" TargetMode="External"/><Relationship Id="rId54" Type="http://schemas.openxmlformats.org/officeDocument/2006/relationships/header" Target="header7.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i.creativecommons.org/l/by/3.0/88x31.png" TargetMode="External"/><Relationship Id="rId23" Type="http://schemas.openxmlformats.org/officeDocument/2006/relationships/footer" Target="footer2.xml"/><Relationship Id="rId28" Type="http://schemas.openxmlformats.org/officeDocument/2006/relationships/hyperlink" Target="https://www.acma.gov.au/business-operating-procedures-spectrum" TargetMode="External"/><Relationship Id="rId36" Type="http://schemas.openxmlformats.org/officeDocument/2006/relationships/hyperlink" Target="https://www.legislation.gov.au/Series/F2015L01486" TargetMode="External"/><Relationship Id="rId49" Type="http://schemas.openxmlformats.org/officeDocument/2006/relationships/hyperlink" Target="https://www.legislation.gov.au/Details/F2019C00870" TargetMode="External"/><Relationship Id="rId57" Type="http://schemas.openxmlformats.org/officeDocument/2006/relationships/footer" Target="footer6.xml"/><Relationship Id="rId10" Type="http://schemas.openxmlformats.org/officeDocument/2006/relationships/endnotes" Target="endnotes.xml"/><Relationship Id="rId31" Type="http://schemas.openxmlformats.org/officeDocument/2006/relationships/hyperlink" Target="mailto:satellite.coordination@acma.gov.au" TargetMode="External"/><Relationship Id="rId44" Type="http://schemas.openxmlformats.org/officeDocument/2006/relationships/hyperlink" Target="https://www.legislation.gov.au/Details/F2021C00361" TargetMode="External"/><Relationship Id="rId52" Type="http://schemas.openxmlformats.org/officeDocument/2006/relationships/hyperlink" Target="mailto:" TargetMode="External"/><Relationship Id="rId60"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2" Type="http://schemas.openxmlformats.org/officeDocument/2006/relationships/hyperlink" Target="https://www.acma.gov.au/australian-radiofrequency-spectrum-plan" TargetMode="External"/><Relationship Id="rId1" Type="http://schemas.openxmlformats.org/officeDocument/2006/relationships/hyperlink" Target="https://docdb.cept.org/home"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100ACE45694B3D4892C74020F839F147" ma:contentTypeVersion="13" ma:contentTypeDescription="Create a new document." ma:contentTypeScope="" ma:versionID="e56cda827817a9b84b5fd875bcebb124">
  <xsd:schema xmlns:xsd="http://www.w3.org/2001/XMLSchema" xmlns:xs="http://www.w3.org/2001/XMLSchema" xmlns:p="http://schemas.microsoft.com/office/2006/metadata/properties" xmlns:ns2="85d45f94-32ec-4546-b73b-9a6848394926" xmlns:ns3="fb919850-406e-4d20-9cee-cf3a55172231" targetNamespace="http://schemas.microsoft.com/office/2006/metadata/properties" ma:root="true" ma:fieldsID="ded796f1f0bd6968607fd973d804e61a" ns2:_="" ns3:_="">
    <xsd:import namespace="85d45f94-32ec-4546-b73b-9a6848394926"/>
    <xsd:import namespace="fb919850-406e-4d20-9cee-cf3a5517223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element ref="ns2:MediaServiceLocatio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5d45f94-32ec-4546-b73b-9a684839492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fb919850-406e-4d20-9cee-cf3a55172231"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059DCF7-F320-40DD-B2CC-659F79C01C7D}">
  <ds:schemaRefs>
    <ds:schemaRef ds:uri="http://schemas.microsoft.com/sharepoint/v3/contenttype/forms"/>
  </ds:schemaRefs>
</ds:datastoreItem>
</file>

<file path=customXml/itemProps2.xml><?xml version="1.0" encoding="utf-8"?>
<ds:datastoreItem xmlns:ds="http://schemas.openxmlformats.org/officeDocument/2006/customXml" ds:itemID="{E1826C64-30FA-41A7-BE65-55C1392EE8D6}">
  <ds:schemaRefs>
    <ds:schemaRef ds:uri="http://schemas.microsoft.com/office/2006/documentManagement/types"/>
    <ds:schemaRef ds:uri="fb919850-406e-4d20-9cee-cf3a55172231"/>
    <ds:schemaRef ds:uri="http://schemas.microsoft.com/office/2006/metadata/properties"/>
    <ds:schemaRef ds:uri="http://purl.org/dc/terms/"/>
    <ds:schemaRef ds:uri="http://schemas.openxmlformats.org/package/2006/metadata/core-properties"/>
    <ds:schemaRef ds:uri="http://purl.org/dc/elements/1.1/"/>
    <ds:schemaRef ds:uri="http://purl.org/dc/dcmitype/"/>
    <ds:schemaRef ds:uri="http://schemas.microsoft.com/office/infopath/2007/PartnerControls"/>
    <ds:schemaRef ds:uri="85d45f94-32ec-4546-b73b-9a6848394926"/>
    <ds:schemaRef ds:uri="http://www.w3.org/XML/1998/namespace"/>
  </ds:schemaRefs>
</ds:datastoreItem>
</file>

<file path=customXml/itemProps3.xml><?xml version="1.0" encoding="utf-8"?>
<ds:datastoreItem xmlns:ds="http://schemas.openxmlformats.org/officeDocument/2006/customXml" ds:itemID="{53926521-D7D8-424C-ADC0-042356E65E10}">
  <ds:schemaRefs>
    <ds:schemaRef ds:uri="http://schemas.openxmlformats.org/officeDocument/2006/bibliography"/>
  </ds:schemaRefs>
</ds:datastoreItem>
</file>

<file path=customXml/itemProps4.xml><?xml version="1.0" encoding="utf-8"?>
<ds:datastoreItem xmlns:ds="http://schemas.openxmlformats.org/officeDocument/2006/customXml" ds:itemID="{3903B29F-B518-413C-B5D7-86B3FA3BB78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5d45f94-32ec-4546-b73b-9a6848394926"/>
    <ds:schemaRef ds:uri="fb919850-406e-4d20-9cee-cf3a5517223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16</Pages>
  <Words>5327</Words>
  <Characters>30364</Characters>
  <Application>Microsoft Office Word</Application>
  <DocSecurity>0</DocSecurity>
  <Lines>253</Lines>
  <Paragraphs>71</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35620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2022-08-18T11:34:00Z</dcterms:created>
  <dcterms:modified xsi:type="dcterms:W3CDTF">2022-08-18T11:37:00Z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0x010100100ACE45694B3D4892C74020F839F147</vt:lpwstr>
  </property>
</Properties>
</file>