
<file path=[Content_Types].xml><?xml version="1.0" encoding="utf-8"?>
<Types xmlns="http://schemas.openxmlformats.org/package/2006/content-types">
  <Default Extension="emf" ContentType="image/x-emf"/>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footer3.xml" ContentType="application/vnd.openxmlformats-officedocument.wordprocessingml.foot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8163BA9" w14:textId="77777777" w:rsidR="00B45E91" w:rsidRPr="00D77B31" w:rsidRDefault="00B45E91" w:rsidP="00B45E91">
      <w:pPr>
        <w:pStyle w:val="ACMAReportTitle"/>
        <w:rPr>
          <w:rFonts w:cs="Arial"/>
        </w:rPr>
      </w:pPr>
      <w:r w:rsidRPr="00D77B31">
        <w:rPr>
          <w:rFonts w:cs="Arial"/>
        </w:rPr>
        <w:t>Television outside broadcasting services</w:t>
      </w:r>
    </w:p>
    <w:p w14:paraId="27FB7C17" w14:textId="77777777" w:rsidR="00B45E91" w:rsidRPr="00D77B31" w:rsidRDefault="00B45E91" w:rsidP="00B45E91">
      <w:pPr>
        <w:pStyle w:val="ACMAReportSubTitle"/>
        <w:rPr>
          <w:rFonts w:cs="Arial"/>
        </w:rPr>
      </w:pPr>
      <w:r w:rsidRPr="00D77B31">
        <w:rPr>
          <w:rFonts w:cs="Arial"/>
        </w:rPr>
        <w:t>1980–2110 MHz and 2170–2300 MHz</w:t>
      </w:r>
    </w:p>
    <w:p w14:paraId="75D452F2" w14:textId="77777777" w:rsidR="00B45E91" w:rsidRPr="00D77B31" w:rsidRDefault="00B45E91" w:rsidP="00B45E91">
      <w:pPr>
        <w:pStyle w:val="ACMAInstructions"/>
        <w:rPr>
          <w:vanish w:val="0"/>
        </w:rPr>
      </w:pPr>
      <w:r w:rsidRPr="00D77B31">
        <w:rPr>
          <w:vanish w:val="0"/>
        </w:rPr>
        <w:t>Radiocommunications Assignment and Licensing Instruction</w:t>
      </w:r>
    </w:p>
    <w:p w14:paraId="6D7F10E3" w14:textId="77777777" w:rsidR="00B45E91" w:rsidRPr="00D77B31" w:rsidRDefault="00B45E91" w:rsidP="00B45E91">
      <w:pPr>
        <w:pStyle w:val="ACMAReportDate"/>
        <w:rPr>
          <w:rFonts w:cs="Arial"/>
          <w:b/>
        </w:rPr>
      </w:pPr>
      <w:r w:rsidRPr="00D77B31">
        <w:rPr>
          <w:rFonts w:cs="Arial"/>
          <w:b/>
        </w:rPr>
        <w:t>rali: FX 21</w:t>
      </w:r>
    </w:p>
    <w:p w14:paraId="30B905DF" w14:textId="70092BB2" w:rsidR="00D83E49" w:rsidRPr="00D77B31" w:rsidRDefault="00B45E91" w:rsidP="00B45E91">
      <w:pPr>
        <w:pStyle w:val="ACMAReportDate"/>
        <w:widowControl w:val="0"/>
        <w:rPr>
          <w:rFonts w:cs="Arial"/>
          <w:b/>
        </w:rPr>
        <w:sectPr w:rsidR="00D83E49" w:rsidRPr="00D77B31" w:rsidSect="00F44CE9">
          <w:footerReference w:type="even" r:id="rId11"/>
          <w:footerReference w:type="default" r:id="rId12"/>
          <w:headerReference w:type="first" r:id="rId13"/>
          <w:footnotePr>
            <w:numRestart w:val="eachSect"/>
          </w:footnotePr>
          <w:pgSz w:w="11907" w:h="16840" w:code="9"/>
          <w:pgMar w:top="3249" w:right="1440" w:bottom="1440" w:left="1440" w:header="709" w:footer="709" w:gutter="0"/>
          <w:pgNumType w:fmt="lowerRoman" w:start="1"/>
          <w:cols w:space="720"/>
          <w:titlePg/>
          <w:docGrid w:linePitch="299"/>
        </w:sectPr>
      </w:pPr>
      <w:r w:rsidRPr="00D77B31">
        <w:rPr>
          <w:rFonts w:cs="Arial"/>
          <w:b/>
        </w:rPr>
        <w:t xml:space="preserve">date of effect: </w:t>
      </w:r>
      <w:r w:rsidR="00933896" w:rsidRPr="00D77B31">
        <w:rPr>
          <w:rFonts w:cs="Arial"/>
          <w:b/>
        </w:rPr>
        <w:t>12</w:t>
      </w:r>
      <w:r w:rsidRPr="00D77B31">
        <w:rPr>
          <w:rFonts w:cs="Arial"/>
          <w:b/>
        </w:rPr>
        <w:t xml:space="preserve"> August 2022</w:t>
      </w:r>
    </w:p>
    <w:p w14:paraId="7B15A8B0" w14:textId="0035F34A" w:rsidR="00BF4EC3" w:rsidRPr="00D77B31" w:rsidRDefault="00BF4EC3" w:rsidP="00BF4EC3">
      <w:pPr>
        <w:rPr>
          <w:rFonts w:cs="Arial"/>
          <w:sz w:val="32"/>
          <w:szCs w:val="32"/>
        </w:rPr>
      </w:pPr>
      <w:r w:rsidRPr="00D77B31">
        <w:rPr>
          <w:rFonts w:cs="Arial"/>
          <w:sz w:val="32"/>
          <w:szCs w:val="32"/>
        </w:rPr>
        <w:lastRenderedPageBreak/>
        <w:t xml:space="preserve">Amendment </w:t>
      </w:r>
      <w:r w:rsidR="006419B6" w:rsidRPr="00D77B31">
        <w:rPr>
          <w:rFonts w:cs="Arial"/>
          <w:sz w:val="32"/>
          <w:szCs w:val="32"/>
        </w:rPr>
        <w:t>h</w:t>
      </w:r>
      <w:r w:rsidRPr="00D77B31">
        <w:rPr>
          <w:rFonts w:cs="Arial"/>
          <w:sz w:val="32"/>
          <w:szCs w:val="32"/>
        </w:rPr>
        <w:t>istory</w:t>
      </w:r>
    </w:p>
    <w:tbl>
      <w:tblPr>
        <w:tblpPr w:leftFromText="180" w:rightFromText="180" w:vertAnchor="text" w:tblpY="1"/>
        <w:tblOverlap w:val="never"/>
        <w:tblW w:w="86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696"/>
        <w:gridCol w:w="6917"/>
      </w:tblGrid>
      <w:tr w:rsidR="00BF4EC3" w:rsidRPr="00D77B31" w14:paraId="28B2A16D" w14:textId="77777777" w:rsidTr="0005798A">
        <w:trPr>
          <w:cantSplit/>
          <w:tblHeader/>
        </w:trPr>
        <w:tc>
          <w:tcPr>
            <w:tcW w:w="1696" w:type="dxa"/>
            <w:shd w:val="clear" w:color="auto" w:fill="D9D9D9"/>
          </w:tcPr>
          <w:p w14:paraId="08F55E2E" w14:textId="77777777" w:rsidR="00BF4EC3" w:rsidRPr="00D77B31" w:rsidRDefault="00BF4EC3" w:rsidP="006E2F4C">
            <w:pPr>
              <w:pStyle w:val="TableHeading"/>
              <w:rPr>
                <w:rFonts w:eastAsiaTheme="minorHAnsi" w:cs="Arial"/>
              </w:rPr>
            </w:pPr>
            <w:r w:rsidRPr="00D77B31">
              <w:rPr>
                <w:rFonts w:eastAsiaTheme="minorHAnsi" w:cs="Arial"/>
              </w:rPr>
              <w:t>Date</w:t>
            </w:r>
          </w:p>
        </w:tc>
        <w:tc>
          <w:tcPr>
            <w:tcW w:w="6917" w:type="dxa"/>
            <w:shd w:val="clear" w:color="auto" w:fill="D9D9D9"/>
          </w:tcPr>
          <w:p w14:paraId="482AB01A" w14:textId="77777777" w:rsidR="00BF4EC3" w:rsidRPr="00D77B31" w:rsidRDefault="00BF4EC3">
            <w:pPr>
              <w:pStyle w:val="TableHeading"/>
              <w:rPr>
                <w:rFonts w:eastAsiaTheme="minorHAnsi" w:cs="Arial"/>
              </w:rPr>
            </w:pPr>
            <w:r w:rsidRPr="00D77B31">
              <w:rPr>
                <w:rFonts w:eastAsiaTheme="minorHAnsi" w:cs="Arial"/>
              </w:rPr>
              <w:t>Comments</w:t>
            </w:r>
          </w:p>
        </w:tc>
      </w:tr>
      <w:tr w:rsidR="00BF4EC3" w:rsidRPr="00D77B31" w14:paraId="3DA0BA84" w14:textId="77777777" w:rsidTr="0032090D">
        <w:tc>
          <w:tcPr>
            <w:tcW w:w="1696" w:type="dxa"/>
          </w:tcPr>
          <w:p w14:paraId="67E78D1D" w14:textId="77777777" w:rsidR="00BF4EC3" w:rsidRPr="00D77B31" w:rsidRDefault="00BF4EC3" w:rsidP="0032090D">
            <w:pPr>
              <w:pStyle w:val="TableBody"/>
              <w:rPr>
                <w:rFonts w:eastAsiaTheme="minorHAnsi" w:cs="Arial"/>
              </w:rPr>
            </w:pPr>
            <w:r w:rsidRPr="00D77B31">
              <w:rPr>
                <w:rFonts w:eastAsiaTheme="minorHAnsi" w:cs="Arial"/>
              </w:rPr>
              <w:t>July 2012</w:t>
            </w:r>
          </w:p>
        </w:tc>
        <w:tc>
          <w:tcPr>
            <w:tcW w:w="6917" w:type="dxa"/>
          </w:tcPr>
          <w:p w14:paraId="391D8C6B" w14:textId="5569A456" w:rsidR="00BF4EC3" w:rsidRPr="00D77B31" w:rsidRDefault="00BF4EC3">
            <w:pPr>
              <w:pStyle w:val="TableBody"/>
              <w:rPr>
                <w:rFonts w:eastAsiaTheme="minorHAnsi" w:cs="Arial"/>
              </w:rPr>
            </w:pPr>
            <w:r w:rsidRPr="00D77B31">
              <w:rPr>
                <w:rFonts w:eastAsiaTheme="minorHAnsi" w:cs="Arial"/>
              </w:rPr>
              <w:t>Initial draft covering the bands 1980-2010 MHz and 2170-2200 MHz</w:t>
            </w:r>
            <w:r w:rsidR="00011B20" w:rsidRPr="00D77B31">
              <w:rPr>
                <w:rFonts w:eastAsiaTheme="minorHAnsi" w:cs="Arial"/>
              </w:rPr>
              <w:t xml:space="preserve">, considering responses to </w:t>
            </w:r>
            <w:hyperlink r:id="rId14" w:history="1">
              <w:r w:rsidR="00011B20" w:rsidRPr="00D77B31">
                <w:rPr>
                  <w:rStyle w:val="Hyperlink"/>
                  <w:rFonts w:eastAsiaTheme="minorHAnsi" w:cs="Arial"/>
                </w:rPr>
                <w:t>IFC 11/2012</w:t>
              </w:r>
            </w:hyperlink>
            <w:r w:rsidR="00B15433" w:rsidRPr="00D77B31">
              <w:rPr>
                <w:rFonts w:eastAsiaTheme="minorHAnsi" w:cs="Arial"/>
              </w:rPr>
              <w:t xml:space="preserve"> (Introduction of television outside broadcast services into the bands 1980-2110 MHz and 2170-2300 MHz)</w:t>
            </w:r>
          </w:p>
        </w:tc>
      </w:tr>
      <w:tr w:rsidR="00BF4EC3" w:rsidRPr="00D77B31" w14:paraId="1E9F99CD" w14:textId="77777777" w:rsidTr="0032090D">
        <w:tc>
          <w:tcPr>
            <w:tcW w:w="1696" w:type="dxa"/>
          </w:tcPr>
          <w:p w14:paraId="5A202508" w14:textId="77777777" w:rsidR="00BF4EC3" w:rsidRPr="00D77B31" w:rsidRDefault="00BF4EC3" w:rsidP="0032090D">
            <w:pPr>
              <w:pStyle w:val="TableBody"/>
              <w:rPr>
                <w:rFonts w:eastAsiaTheme="minorHAnsi" w:cs="Arial"/>
              </w:rPr>
            </w:pPr>
            <w:r w:rsidRPr="00D77B31">
              <w:rPr>
                <w:rFonts w:eastAsiaTheme="minorHAnsi" w:cs="Arial"/>
              </w:rPr>
              <w:t>September 2013</w:t>
            </w:r>
          </w:p>
        </w:tc>
        <w:tc>
          <w:tcPr>
            <w:tcW w:w="6917" w:type="dxa"/>
          </w:tcPr>
          <w:p w14:paraId="1E397DE6" w14:textId="77777777" w:rsidR="00BF4EC3" w:rsidRPr="00D77B31" w:rsidRDefault="00BF4EC3">
            <w:pPr>
              <w:pStyle w:val="TableBody"/>
              <w:rPr>
                <w:rFonts w:eastAsiaTheme="minorHAnsi" w:cs="Arial"/>
              </w:rPr>
            </w:pPr>
            <w:r w:rsidRPr="00D77B31">
              <w:rPr>
                <w:rFonts w:eastAsiaTheme="minorHAnsi" w:cs="Arial"/>
              </w:rPr>
              <w:t xml:space="preserve">Revised to include channel arrangements for the bands 2010-2110 MHz and 2200-2300 MHz </w:t>
            </w:r>
          </w:p>
        </w:tc>
      </w:tr>
      <w:tr w:rsidR="00BF4EC3" w:rsidRPr="00D77B31" w14:paraId="7B7D7F84" w14:textId="77777777" w:rsidTr="0032090D">
        <w:tc>
          <w:tcPr>
            <w:tcW w:w="1696" w:type="dxa"/>
          </w:tcPr>
          <w:p w14:paraId="6BDC1E9E" w14:textId="77777777" w:rsidR="00BF4EC3" w:rsidRPr="00D77B31" w:rsidRDefault="00A82DD9" w:rsidP="0032090D">
            <w:pPr>
              <w:pStyle w:val="TableBody"/>
              <w:rPr>
                <w:rFonts w:eastAsiaTheme="minorHAnsi" w:cs="Arial"/>
              </w:rPr>
            </w:pPr>
            <w:r w:rsidRPr="00D77B31">
              <w:rPr>
                <w:rFonts w:eastAsiaTheme="minorHAnsi" w:cs="Arial"/>
              </w:rPr>
              <w:t>Dec</w:t>
            </w:r>
            <w:r w:rsidR="00A46E8F" w:rsidRPr="00D77B31">
              <w:rPr>
                <w:rFonts w:eastAsiaTheme="minorHAnsi" w:cs="Arial"/>
              </w:rPr>
              <w:t>ember 2013</w:t>
            </w:r>
          </w:p>
        </w:tc>
        <w:tc>
          <w:tcPr>
            <w:tcW w:w="6917" w:type="dxa"/>
          </w:tcPr>
          <w:p w14:paraId="768F88BC" w14:textId="13ACED84" w:rsidR="00BF4EC3" w:rsidRPr="00D77B31" w:rsidRDefault="00A46E8F">
            <w:pPr>
              <w:pStyle w:val="TableBody"/>
              <w:rPr>
                <w:rFonts w:eastAsiaTheme="minorHAnsi" w:cs="Arial"/>
              </w:rPr>
            </w:pPr>
            <w:r w:rsidRPr="00D77B31">
              <w:rPr>
                <w:rFonts w:eastAsiaTheme="minorHAnsi" w:cs="Arial"/>
              </w:rPr>
              <w:t xml:space="preserve">Revised to include </w:t>
            </w:r>
            <w:r w:rsidR="00726125" w:rsidRPr="00D77B31">
              <w:rPr>
                <w:rFonts w:eastAsiaTheme="minorHAnsi" w:cs="Arial"/>
              </w:rPr>
              <w:t>earth station</w:t>
            </w:r>
            <w:r w:rsidRPr="00D77B31">
              <w:rPr>
                <w:rFonts w:eastAsiaTheme="minorHAnsi" w:cs="Arial"/>
              </w:rPr>
              <w:t>, Fixed point-to-point and spectrum licence coordination arrangements</w:t>
            </w:r>
          </w:p>
        </w:tc>
      </w:tr>
      <w:tr w:rsidR="00BF4EC3" w:rsidRPr="00D77B31" w14:paraId="13F6B317" w14:textId="77777777" w:rsidTr="0032090D">
        <w:tc>
          <w:tcPr>
            <w:tcW w:w="1696" w:type="dxa"/>
          </w:tcPr>
          <w:p w14:paraId="1891E876" w14:textId="77777777" w:rsidR="00BF4EC3" w:rsidRPr="00D77B31" w:rsidRDefault="008557FC" w:rsidP="0032090D">
            <w:pPr>
              <w:pStyle w:val="TableBody"/>
              <w:rPr>
                <w:rFonts w:eastAsiaTheme="minorHAnsi" w:cs="Arial"/>
              </w:rPr>
            </w:pPr>
            <w:r w:rsidRPr="00D77B31">
              <w:rPr>
                <w:rFonts w:eastAsiaTheme="minorHAnsi" w:cs="Arial"/>
              </w:rPr>
              <w:t>February 2014</w:t>
            </w:r>
          </w:p>
        </w:tc>
        <w:tc>
          <w:tcPr>
            <w:tcW w:w="6917" w:type="dxa"/>
          </w:tcPr>
          <w:p w14:paraId="308FB3EF" w14:textId="782706D5" w:rsidR="00BF4EC3" w:rsidRPr="00D77B31" w:rsidRDefault="008557FC">
            <w:pPr>
              <w:pStyle w:val="TableBody"/>
              <w:rPr>
                <w:rFonts w:eastAsiaTheme="minorHAnsi" w:cs="Arial"/>
              </w:rPr>
            </w:pPr>
            <w:r w:rsidRPr="00D77B31">
              <w:rPr>
                <w:rFonts w:eastAsiaTheme="minorHAnsi" w:cs="Arial"/>
              </w:rPr>
              <w:t>Revised to separate coordination of TOB transmitters and TOB receivers and improve readability of document</w:t>
            </w:r>
            <w:r w:rsidR="004D00B8" w:rsidRPr="00D77B31">
              <w:rPr>
                <w:rFonts w:eastAsiaTheme="minorHAnsi" w:cs="Arial"/>
              </w:rPr>
              <w:t xml:space="preserve"> (</w:t>
            </w:r>
            <w:hyperlink r:id="rId15" w:history="1">
              <w:r w:rsidR="004D00B8" w:rsidRPr="00D77B31">
                <w:rPr>
                  <w:rStyle w:val="Hyperlink"/>
                  <w:rFonts w:eastAsiaTheme="minorHAnsi" w:cs="Arial"/>
                </w:rPr>
                <w:t>IFC 7/2014</w:t>
              </w:r>
            </w:hyperlink>
            <w:r w:rsidR="004D00B8" w:rsidRPr="00D77B31">
              <w:rPr>
                <w:rFonts w:eastAsiaTheme="minorHAnsi" w:cs="Arial"/>
              </w:rPr>
              <w:t>)</w:t>
            </w:r>
            <w:r w:rsidR="00F41CC2" w:rsidRPr="00D77B31">
              <w:rPr>
                <w:rFonts w:eastAsiaTheme="minorHAnsi" w:cs="Arial"/>
              </w:rPr>
              <w:t xml:space="preserve"> Draft revision to RALI FX21</w:t>
            </w:r>
          </w:p>
        </w:tc>
      </w:tr>
      <w:tr w:rsidR="00BF4EC3" w:rsidRPr="00D77B31" w14:paraId="1A9377C7" w14:textId="77777777" w:rsidTr="0032090D">
        <w:tc>
          <w:tcPr>
            <w:tcW w:w="1696" w:type="dxa"/>
          </w:tcPr>
          <w:p w14:paraId="7A4135F8" w14:textId="77777777" w:rsidR="00BF4EC3" w:rsidRPr="00D77B31" w:rsidRDefault="00BF43F3" w:rsidP="0032090D">
            <w:pPr>
              <w:pStyle w:val="TableBody"/>
              <w:rPr>
                <w:rFonts w:eastAsiaTheme="minorHAnsi" w:cs="Arial"/>
              </w:rPr>
            </w:pPr>
            <w:r w:rsidRPr="00D77B31">
              <w:rPr>
                <w:rFonts w:eastAsiaTheme="minorHAnsi" w:cs="Arial"/>
              </w:rPr>
              <w:t>May 2014</w:t>
            </w:r>
          </w:p>
        </w:tc>
        <w:tc>
          <w:tcPr>
            <w:tcW w:w="6917" w:type="dxa"/>
          </w:tcPr>
          <w:p w14:paraId="32C06946" w14:textId="058F020F" w:rsidR="00BF4EC3" w:rsidRPr="00D77B31" w:rsidRDefault="00BF43F3">
            <w:pPr>
              <w:pStyle w:val="TableBody"/>
              <w:rPr>
                <w:rFonts w:eastAsiaTheme="minorHAnsi" w:cs="Arial"/>
              </w:rPr>
            </w:pPr>
            <w:r w:rsidRPr="00D77B31">
              <w:rPr>
                <w:rFonts w:eastAsiaTheme="minorHAnsi" w:cs="Arial"/>
              </w:rPr>
              <w:t xml:space="preserve">Incorporated changes </w:t>
            </w:r>
            <w:r w:rsidR="007A7557" w:rsidRPr="00D77B31">
              <w:rPr>
                <w:rFonts w:eastAsiaTheme="minorHAnsi" w:cs="Arial"/>
              </w:rPr>
              <w:t>after</w:t>
            </w:r>
            <w:r w:rsidRPr="00D77B31">
              <w:rPr>
                <w:rFonts w:eastAsiaTheme="minorHAnsi" w:cs="Arial"/>
              </w:rPr>
              <w:t xml:space="preserve"> </w:t>
            </w:r>
            <w:hyperlink r:id="rId16" w:history="1">
              <w:r w:rsidRPr="00D77B31">
                <w:rPr>
                  <w:rStyle w:val="Hyperlink"/>
                  <w:rFonts w:eastAsiaTheme="minorHAnsi" w:cs="Arial"/>
                </w:rPr>
                <w:t>IFC 7/2014</w:t>
              </w:r>
            </w:hyperlink>
            <w:r w:rsidR="002505F3" w:rsidRPr="00D77B31">
              <w:rPr>
                <w:rFonts w:eastAsiaTheme="minorHAnsi" w:cs="Arial"/>
              </w:rPr>
              <w:t xml:space="preserve"> </w:t>
            </w:r>
            <w:r w:rsidRPr="00D77B31">
              <w:rPr>
                <w:rFonts w:eastAsiaTheme="minorHAnsi" w:cs="Arial"/>
              </w:rPr>
              <w:t>consultation and finalised RALI</w:t>
            </w:r>
          </w:p>
        </w:tc>
      </w:tr>
      <w:tr w:rsidR="00BF4EC3" w:rsidRPr="00D77B31" w14:paraId="7720C4C7" w14:textId="77777777" w:rsidTr="0032090D">
        <w:tc>
          <w:tcPr>
            <w:tcW w:w="1696" w:type="dxa"/>
          </w:tcPr>
          <w:p w14:paraId="2666BC80" w14:textId="77777777" w:rsidR="00BF4EC3" w:rsidRPr="00D77B31" w:rsidRDefault="00596584" w:rsidP="0032090D">
            <w:pPr>
              <w:pStyle w:val="TableBody"/>
              <w:rPr>
                <w:rFonts w:eastAsiaTheme="minorHAnsi" w:cs="Arial"/>
              </w:rPr>
            </w:pPr>
            <w:r w:rsidRPr="00D77B31">
              <w:rPr>
                <w:rFonts w:eastAsiaTheme="minorHAnsi" w:cs="Arial"/>
              </w:rPr>
              <w:t>July</w:t>
            </w:r>
            <w:r w:rsidR="001E218A" w:rsidRPr="00D77B31">
              <w:rPr>
                <w:rFonts w:eastAsiaTheme="minorHAnsi" w:cs="Arial"/>
              </w:rPr>
              <w:t xml:space="preserve"> 2015</w:t>
            </w:r>
          </w:p>
        </w:tc>
        <w:tc>
          <w:tcPr>
            <w:tcW w:w="6917" w:type="dxa"/>
          </w:tcPr>
          <w:p w14:paraId="4E5A3E9C" w14:textId="1FEFFC5C" w:rsidR="00BF4EC3" w:rsidRPr="00D77B31" w:rsidRDefault="001E218A">
            <w:pPr>
              <w:pStyle w:val="TableBody"/>
              <w:rPr>
                <w:rFonts w:eastAsiaTheme="minorHAnsi" w:cs="Arial"/>
              </w:rPr>
            </w:pPr>
            <w:r w:rsidRPr="00D77B31">
              <w:rPr>
                <w:rFonts w:eastAsiaTheme="minorHAnsi" w:cs="Arial"/>
              </w:rPr>
              <w:t xml:space="preserve">Incorporated changes after </w:t>
            </w:r>
            <w:hyperlink r:id="rId17" w:history="1">
              <w:r w:rsidRPr="00D77B31">
                <w:rPr>
                  <w:rStyle w:val="Hyperlink"/>
                  <w:rFonts w:eastAsiaTheme="minorHAnsi" w:cs="Arial"/>
                </w:rPr>
                <w:t>IFC 11/2015</w:t>
              </w:r>
            </w:hyperlink>
            <w:r w:rsidR="00215C45" w:rsidRPr="00D77B31">
              <w:rPr>
                <w:rFonts w:eastAsiaTheme="minorHAnsi" w:cs="Arial"/>
              </w:rPr>
              <w:t xml:space="preserve"> (</w:t>
            </w:r>
            <w:r w:rsidR="00215C45" w:rsidRPr="00D77B31">
              <w:rPr>
                <w:rFonts w:cs="Arial"/>
              </w:rPr>
              <w:t xml:space="preserve"> </w:t>
            </w:r>
            <w:r w:rsidR="00215C45" w:rsidRPr="00D77B31">
              <w:rPr>
                <w:rFonts w:eastAsiaTheme="minorHAnsi" w:cs="Arial"/>
              </w:rPr>
              <w:t xml:space="preserve">Proposed updates to several RALIs) </w:t>
            </w:r>
            <w:r w:rsidRPr="00D77B31">
              <w:rPr>
                <w:rFonts w:eastAsiaTheme="minorHAnsi" w:cs="Arial"/>
              </w:rPr>
              <w:t xml:space="preserve"> consultation</w:t>
            </w:r>
          </w:p>
        </w:tc>
      </w:tr>
      <w:tr w:rsidR="001F3802" w:rsidRPr="00D77B31" w14:paraId="4C311196" w14:textId="77777777" w:rsidTr="0032090D">
        <w:tc>
          <w:tcPr>
            <w:tcW w:w="1696" w:type="dxa"/>
          </w:tcPr>
          <w:p w14:paraId="3F2A0BE4" w14:textId="003B97D2" w:rsidR="001F3802" w:rsidRPr="00D77B31" w:rsidRDefault="0061676B" w:rsidP="0032090D">
            <w:pPr>
              <w:pStyle w:val="TableBody"/>
              <w:rPr>
                <w:rFonts w:eastAsiaTheme="minorHAnsi" w:cs="Arial"/>
              </w:rPr>
            </w:pPr>
            <w:r w:rsidRPr="00D77B31">
              <w:rPr>
                <w:rFonts w:eastAsiaTheme="minorHAnsi" w:cs="Arial"/>
              </w:rPr>
              <w:t>December</w:t>
            </w:r>
            <w:r w:rsidR="001F3802" w:rsidRPr="00D77B31">
              <w:rPr>
                <w:rFonts w:eastAsiaTheme="minorHAnsi" w:cs="Arial"/>
              </w:rPr>
              <w:t xml:space="preserve"> 2015</w:t>
            </w:r>
          </w:p>
        </w:tc>
        <w:tc>
          <w:tcPr>
            <w:tcW w:w="6917" w:type="dxa"/>
          </w:tcPr>
          <w:p w14:paraId="4B16FE92" w14:textId="222A79C6" w:rsidR="001F3802" w:rsidRPr="00D77B31" w:rsidRDefault="0061676B">
            <w:pPr>
              <w:pStyle w:val="TableBody"/>
              <w:rPr>
                <w:rFonts w:eastAsiaTheme="minorHAnsi" w:cs="Arial"/>
              </w:rPr>
            </w:pPr>
            <w:r w:rsidRPr="00D77B31">
              <w:rPr>
                <w:rFonts w:eastAsiaTheme="minorHAnsi" w:cs="Arial"/>
              </w:rPr>
              <w:t xml:space="preserve">Incorporated changes after </w:t>
            </w:r>
            <w:hyperlink r:id="rId18" w:history="1">
              <w:r w:rsidRPr="00D77B31">
                <w:rPr>
                  <w:rStyle w:val="Hyperlink"/>
                  <w:rFonts w:eastAsiaTheme="minorHAnsi" w:cs="Arial"/>
                </w:rPr>
                <w:t>IFC 27/2015</w:t>
              </w:r>
            </w:hyperlink>
            <w:r w:rsidR="00737252" w:rsidRPr="00D77B31">
              <w:rPr>
                <w:rFonts w:eastAsiaTheme="minorHAnsi" w:cs="Arial"/>
              </w:rPr>
              <w:t xml:space="preserve"> (</w:t>
            </w:r>
            <w:r w:rsidR="00737252" w:rsidRPr="00D77B31">
              <w:rPr>
                <w:rFonts w:cs="Arial"/>
              </w:rPr>
              <w:t xml:space="preserve"> </w:t>
            </w:r>
            <w:r w:rsidR="00737252" w:rsidRPr="00D77B31">
              <w:rPr>
                <w:rFonts w:eastAsiaTheme="minorHAnsi" w:cs="Arial"/>
              </w:rPr>
              <w:t>Coordination arrangements with ESA New Norcia earth station)</w:t>
            </w:r>
            <w:r w:rsidRPr="00D77B31">
              <w:rPr>
                <w:rFonts w:eastAsiaTheme="minorHAnsi" w:cs="Arial"/>
              </w:rPr>
              <w:t xml:space="preserve"> consultation which included reference to Coordination Arrangements document</w:t>
            </w:r>
          </w:p>
        </w:tc>
      </w:tr>
      <w:tr w:rsidR="00BC135A" w:rsidRPr="00D77B31" w14:paraId="69439301" w14:textId="77777777" w:rsidTr="0032090D">
        <w:tc>
          <w:tcPr>
            <w:tcW w:w="1696" w:type="dxa"/>
          </w:tcPr>
          <w:p w14:paraId="76FA7956" w14:textId="2538A12C" w:rsidR="00BC135A" w:rsidRPr="00D77B31" w:rsidRDefault="00437815" w:rsidP="0032090D">
            <w:pPr>
              <w:pStyle w:val="TableBody"/>
              <w:rPr>
                <w:rFonts w:eastAsiaTheme="minorHAnsi" w:cs="Arial"/>
              </w:rPr>
            </w:pPr>
            <w:r w:rsidRPr="00D77B31">
              <w:rPr>
                <w:rFonts w:eastAsiaTheme="minorHAnsi" w:cs="Arial"/>
              </w:rPr>
              <w:t>December</w:t>
            </w:r>
            <w:r w:rsidR="00BC135A" w:rsidRPr="00D77B31">
              <w:rPr>
                <w:rFonts w:eastAsiaTheme="minorHAnsi" w:cs="Arial"/>
              </w:rPr>
              <w:t xml:space="preserve"> 2018</w:t>
            </w:r>
          </w:p>
        </w:tc>
        <w:tc>
          <w:tcPr>
            <w:tcW w:w="6917" w:type="dxa"/>
          </w:tcPr>
          <w:p w14:paraId="020DDF7E" w14:textId="380BDA45" w:rsidR="00BC135A" w:rsidRPr="00D77B31" w:rsidRDefault="00480C01">
            <w:pPr>
              <w:pStyle w:val="TableBody"/>
              <w:rPr>
                <w:rFonts w:eastAsiaTheme="minorHAnsi" w:cs="Arial"/>
              </w:rPr>
            </w:pPr>
            <w:r w:rsidRPr="00D77B31">
              <w:rPr>
                <w:rFonts w:cs="Arial"/>
              </w:rPr>
              <w:t>Updated to remove redundant sections due to passage of time, including removal of channel arrangements that ceased on 31 January 2016 and reference to Landsdale. Coordinates were updated from GDA66 to GDA94.</w:t>
            </w:r>
          </w:p>
        </w:tc>
      </w:tr>
      <w:tr w:rsidR="00954DC5" w:rsidRPr="00D77B31" w14:paraId="042DB224" w14:textId="77777777" w:rsidTr="0032090D">
        <w:tc>
          <w:tcPr>
            <w:tcW w:w="1696" w:type="dxa"/>
          </w:tcPr>
          <w:p w14:paraId="1B497800" w14:textId="69583B80" w:rsidR="00954DC5" w:rsidRPr="00D77B31" w:rsidRDefault="00954DC5" w:rsidP="0032090D">
            <w:pPr>
              <w:pStyle w:val="TableBody"/>
              <w:rPr>
                <w:rFonts w:eastAsiaTheme="minorHAnsi" w:cs="Arial"/>
              </w:rPr>
            </w:pPr>
            <w:r w:rsidRPr="00D77B31">
              <w:rPr>
                <w:rFonts w:eastAsiaTheme="minorHAnsi" w:cs="Arial"/>
              </w:rPr>
              <w:t>September 2019</w:t>
            </w:r>
          </w:p>
        </w:tc>
        <w:tc>
          <w:tcPr>
            <w:tcW w:w="6917" w:type="dxa"/>
          </w:tcPr>
          <w:p w14:paraId="6C8D4F72" w14:textId="79C82F34" w:rsidR="00954DC5" w:rsidRPr="00D77B31" w:rsidRDefault="00415BBD">
            <w:pPr>
              <w:pStyle w:val="TableBody"/>
              <w:rPr>
                <w:rFonts w:cs="Arial"/>
              </w:rPr>
            </w:pPr>
            <w:r w:rsidRPr="00D77B31">
              <w:rPr>
                <w:rFonts w:eastAsiaTheme="minorHAnsi" w:cs="Arial"/>
              </w:rPr>
              <w:t xml:space="preserve">Section </w:t>
            </w:r>
            <w:r w:rsidR="00185452" w:rsidRPr="00D77B31">
              <w:rPr>
                <w:rFonts w:eastAsiaTheme="minorHAnsi" w:cs="Arial"/>
              </w:rPr>
              <w:t>2</w:t>
            </w:r>
            <w:r w:rsidRPr="00D77B31">
              <w:rPr>
                <w:rFonts w:eastAsiaTheme="minorHAnsi" w:cs="Arial"/>
              </w:rPr>
              <w:t>.1, co</w:t>
            </w:r>
            <w:r w:rsidR="00954DC5" w:rsidRPr="00D77B31">
              <w:rPr>
                <w:rFonts w:eastAsiaTheme="minorHAnsi" w:cs="Arial"/>
              </w:rPr>
              <w:t xml:space="preserve">rrection to </w:t>
            </w:r>
            <w:r w:rsidRPr="00D77B31">
              <w:rPr>
                <w:rFonts w:eastAsiaTheme="minorHAnsi" w:cs="Arial"/>
              </w:rPr>
              <w:t>error in</w:t>
            </w:r>
            <w:r w:rsidR="00954DC5" w:rsidRPr="00D77B31">
              <w:rPr>
                <w:rFonts w:eastAsiaTheme="minorHAnsi" w:cs="Arial"/>
              </w:rPr>
              <w:t xml:space="preserve"> Figure 1, </w:t>
            </w:r>
            <w:r w:rsidRPr="00D77B31">
              <w:rPr>
                <w:rFonts w:eastAsiaTheme="minorHAnsi" w:cs="Arial"/>
              </w:rPr>
              <w:t>with t</w:t>
            </w:r>
            <w:r w:rsidR="00954DC5" w:rsidRPr="00D77B31">
              <w:rPr>
                <w:rFonts w:eastAsiaTheme="minorHAnsi" w:cs="Arial"/>
              </w:rPr>
              <w:t>ransitional use changed to STV</w:t>
            </w:r>
            <w:r w:rsidRPr="00D77B31">
              <w:rPr>
                <w:rFonts w:eastAsiaTheme="minorHAnsi" w:cs="Arial"/>
              </w:rPr>
              <w:t xml:space="preserve"> to align with section text.</w:t>
            </w:r>
          </w:p>
        </w:tc>
      </w:tr>
      <w:tr w:rsidR="009E4FB8" w:rsidRPr="00D77B31" w14:paraId="5D9712D9" w14:textId="77777777" w:rsidTr="0032090D">
        <w:tc>
          <w:tcPr>
            <w:tcW w:w="1696" w:type="dxa"/>
          </w:tcPr>
          <w:p w14:paraId="38D5D653" w14:textId="31E358AC" w:rsidR="009E4FB8" w:rsidRPr="00D77B31" w:rsidRDefault="009E4FB8" w:rsidP="0032090D">
            <w:pPr>
              <w:pStyle w:val="TableBody"/>
              <w:rPr>
                <w:rFonts w:eastAsiaTheme="minorHAnsi" w:cs="Arial"/>
              </w:rPr>
            </w:pPr>
            <w:r w:rsidRPr="00D77B31">
              <w:rPr>
                <w:rFonts w:eastAsiaTheme="minorHAnsi" w:cs="Arial"/>
              </w:rPr>
              <w:t>February 2021</w:t>
            </w:r>
          </w:p>
        </w:tc>
        <w:tc>
          <w:tcPr>
            <w:tcW w:w="6917" w:type="dxa"/>
          </w:tcPr>
          <w:p w14:paraId="7E8C0B36" w14:textId="056038FD" w:rsidR="009E4FB8" w:rsidRPr="00D77B31" w:rsidRDefault="009E4FB8">
            <w:pPr>
              <w:pStyle w:val="TableBody"/>
              <w:rPr>
                <w:rFonts w:eastAsiaTheme="minorHAnsi" w:cs="Arial"/>
              </w:rPr>
            </w:pPr>
            <w:r w:rsidRPr="00D77B31">
              <w:rPr>
                <w:rFonts w:eastAsiaTheme="minorHAnsi" w:cs="Arial"/>
              </w:rPr>
              <w:t xml:space="preserve">Updated </w:t>
            </w:r>
            <w:r w:rsidR="00DC35DC" w:rsidRPr="00D77B31">
              <w:rPr>
                <w:rFonts w:eastAsiaTheme="minorHAnsi" w:cs="Arial"/>
              </w:rPr>
              <w:t>after</w:t>
            </w:r>
            <w:r w:rsidR="00A0161B" w:rsidRPr="00D77B31">
              <w:rPr>
                <w:rFonts w:eastAsiaTheme="minorHAnsi" w:cs="Arial"/>
              </w:rPr>
              <w:t xml:space="preserve"> </w:t>
            </w:r>
            <w:hyperlink r:id="rId19" w:history="1">
              <w:r w:rsidR="00A0161B" w:rsidRPr="00D77B31">
                <w:rPr>
                  <w:rStyle w:val="Hyperlink"/>
                  <w:rFonts w:eastAsiaTheme="minorHAnsi" w:cs="Arial"/>
                </w:rPr>
                <w:t>IFC 23/2020</w:t>
              </w:r>
            </w:hyperlink>
            <w:r w:rsidR="00A0161B" w:rsidRPr="00D77B31">
              <w:rPr>
                <w:rFonts w:eastAsiaTheme="minorHAnsi" w:cs="Arial"/>
              </w:rPr>
              <w:t xml:space="preserve"> </w:t>
            </w:r>
            <w:r w:rsidR="00ED5C99" w:rsidRPr="00D77B31">
              <w:rPr>
                <w:rFonts w:eastAsiaTheme="minorHAnsi" w:cs="Arial"/>
              </w:rPr>
              <w:t xml:space="preserve">Replanning options for 2 GHz band consultation </w:t>
            </w:r>
          </w:p>
        </w:tc>
      </w:tr>
      <w:tr w:rsidR="009D061D" w:rsidRPr="00D77B31" w14:paraId="4130C617" w14:textId="77777777" w:rsidTr="0032090D">
        <w:tc>
          <w:tcPr>
            <w:tcW w:w="1696" w:type="dxa"/>
          </w:tcPr>
          <w:p w14:paraId="364EFA57" w14:textId="3B83EE53" w:rsidR="009D061D" w:rsidRPr="00D77B31" w:rsidRDefault="009D061D" w:rsidP="0032090D">
            <w:pPr>
              <w:pStyle w:val="TableBody"/>
              <w:rPr>
                <w:rFonts w:eastAsiaTheme="minorHAnsi" w:cs="Arial"/>
              </w:rPr>
            </w:pPr>
            <w:r w:rsidRPr="00D77B31">
              <w:rPr>
                <w:rFonts w:eastAsiaTheme="minorHAnsi" w:cs="Arial"/>
              </w:rPr>
              <w:t>April 2021</w:t>
            </w:r>
          </w:p>
        </w:tc>
        <w:tc>
          <w:tcPr>
            <w:tcW w:w="6917" w:type="dxa"/>
          </w:tcPr>
          <w:p w14:paraId="0EE6A410" w14:textId="187E8AB5" w:rsidR="009D061D" w:rsidRPr="00D77B31" w:rsidRDefault="009D061D">
            <w:pPr>
              <w:pStyle w:val="TableBody"/>
              <w:rPr>
                <w:rFonts w:eastAsiaTheme="minorHAnsi" w:cs="Arial"/>
              </w:rPr>
            </w:pPr>
            <w:r w:rsidRPr="00D77B31">
              <w:rPr>
                <w:rFonts w:eastAsiaTheme="minorHAnsi" w:cs="Arial"/>
              </w:rPr>
              <w:t xml:space="preserve">Updated after </w:t>
            </w:r>
            <w:hyperlink r:id="rId20" w:history="1">
              <w:r w:rsidRPr="00D77B31">
                <w:rPr>
                  <w:rStyle w:val="Hyperlink"/>
                  <w:rFonts w:eastAsiaTheme="minorHAnsi" w:cs="Arial"/>
                </w:rPr>
                <w:t>IFC 37/2020</w:t>
              </w:r>
            </w:hyperlink>
            <w:r w:rsidRPr="00D77B31">
              <w:rPr>
                <w:rFonts w:eastAsiaTheme="minorHAnsi" w:cs="Arial"/>
              </w:rPr>
              <w:t xml:space="preserve"> Replanning options for 2.3 GHz band consultation </w:t>
            </w:r>
            <w:r w:rsidR="00C213E9" w:rsidRPr="00D77B31">
              <w:rPr>
                <w:rFonts w:eastAsiaTheme="minorHAnsi" w:cs="Arial"/>
              </w:rPr>
              <w:t xml:space="preserve">(change to </w:t>
            </w:r>
            <w:r w:rsidR="00B06F6A" w:rsidRPr="00D77B31">
              <w:rPr>
                <w:rFonts w:eastAsiaTheme="minorHAnsi" w:cs="Arial"/>
              </w:rPr>
              <w:t xml:space="preserve">Section </w:t>
            </w:r>
            <w:r w:rsidR="00EA0FD1" w:rsidRPr="00D77B31">
              <w:rPr>
                <w:rFonts w:eastAsiaTheme="minorHAnsi" w:cs="Arial"/>
              </w:rPr>
              <w:t>4</w:t>
            </w:r>
            <w:r w:rsidR="00B06F6A" w:rsidRPr="00D77B31">
              <w:rPr>
                <w:rFonts w:eastAsiaTheme="minorHAnsi" w:cs="Arial"/>
              </w:rPr>
              <w:t>.5</w:t>
            </w:r>
            <w:r w:rsidR="007D101F" w:rsidRPr="00D77B31">
              <w:rPr>
                <w:rFonts w:eastAsiaTheme="minorHAnsi" w:cs="Arial"/>
              </w:rPr>
              <w:t xml:space="preserve"> 2200-2300 MHz band and </w:t>
            </w:r>
            <w:r w:rsidR="00C213E9" w:rsidRPr="00D77B31">
              <w:rPr>
                <w:rFonts w:eastAsiaTheme="minorHAnsi" w:cs="Arial"/>
              </w:rPr>
              <w:t>Table 3.)</w:t>
            </w:r>
          </w:p>
        </w:tc>
      </w:tr>
      <w:tr w:rsidR="008E1DCA" w:rsidRPr="00D77B31" w14:paraId="1A853D08" w14:textId="77777777" w:rsidTr="0032090D">
        <w:tc>
          <w:tcPr>
            <w:tcW w:w="1696" w:type="dxa"/>
          </w:tcPr>
          <w:p w14:paraId="4CD255BD" w14:textId="04448F62" w:rsidR="008E1DCA" w:rsidRPr="00D77B31" w:rsidRDefault="00BE4980" w:rsidP="0032090D">
            <w:pPr>
              <w:pStyle w:val="TableBody"/>
              <w:rPr>
                <w:rFonts w:eastAsiaTheme="minorHAnsi" w:cs="Arial"/>
              </w:rPr>
            </w:pPr>
            <w:r w:rsidRPr="00D77B31">
              <w:rPr>
                <w:rFonts w:eastAsiaTheme="minorHAnsi" w:cs="Arial"/>
              </w:rPr>
              <w:t xml:space="preserve">August </w:t>
            </w:r>
            <w:r w:rsidR="008E1DCA" w:rsidRPr="00D77B31">
              <w:rPr>
                <w:rFonts w:eastAsiaTheme="minorHAnsi" w:cs="Arial"/>
              </w:rPr>
              <w:t>2022</w:t>
            </w:r>
          </w:p>
        </w:tc>
        <w:tc>
          <w:tcPr>
            <w:tcW w:w="6917" w:type="dxa"/>
          </w:tcPr>
          <w:p w14:paraId="431FB734" w14:textId="2F4D790B" w:rsidR="00255C0F" w:rsidRPr="00D77B31" w:rsidRDefault="008E1DCA" w:rsidP="008A5F71">
            <w:pPr>
              <w:pStyle w:val="TableBody"/>
              <w:rPr>
                <w:rFonts w:eastAsiaTheme="minorHAnsi" w:cs="Arial"/>
              </w:rPr>
            </w:pPr>
            <w:r w:rsidRPr="00D77B31">
              <w:rPr>
                <w:rFonts w:eastAsiaTheme="minorHAnsi" w:cs="Arial"/>
              </w:rPr>
              <w:t xml:space="preserve">Updates </w:t>
            </w:r>
            <w:r w:rsidR="0059764F" w:rsidRPr="00D77B31">
              <w:rPr>
                <w:rFonts w:eastAsiaTheme="minorHAnsi" w:cs="Arial"/>
              </w:rPr>
              <w:t>reflecti</w:t>
            </w:r>
            <w:r w:rsidR="001E6E59" w:rsidRPr="00D77B31">
              <w:rPr>
                <w:rFonts w:eastAsiaTheme="minorHAnsi" w:cs="Arial"/>
              </w:rPr>
              <w:t>ng</w:t>
            </w:r>
            <w:r w:rsidR="0059764F" w:rsidRPr="00D77B31">
              <w:rPr>
                <w:rFonts w:eastAsiaTheme="minorHAnsi" w:cs="Arial"/>
              </w:rPr>
              <w:t xml:space="preserve"> </w:t>
            </w:r>
            <w:r w:rsidR="00BB6488" w:rsidRPr="00D77B31">
              <w:rPr>
                <w:rFonts w:eastAsiaTheme="minorHAnsi" w:cs="Arial"/>
              </w:rPr>
              <w:t>outcomes</w:t>
            </w:r>
            <w:r w:rsidR="0059764F" w:rsidRPr="00D77B31">
              <w:rPr>
                <w:rFonts w:eastAsiaTheme="minorHAnsi" w:cs="Arial"/>
              </w:rPr>
              <w:t xml:space="preserve"> of</w:t>
            </w:r>
            <w:r w:rsidR="00BB6488" w:rsidRPr="00D77B31">
              <w:rPr>
                <w:rFonts w:eastAsiaTheme="minorHAnsi" w:cs="Arial"/>
              </w:rPr>
              <w:t xml:space="preserve"> </w:t>
            </w:r>
            <w:hyperlink r:id="rId21" w:history="1">
              <w:r w:rsidRPr="00D77B31">
                <w:rPr>
                  <w:rStyle w:val="Hyperlink"/>
                  <w:rFonts w:eastAsiaTheme="minorHAnsi" w:cs="Arial"/>
                </w:rPr>
                <w:t xml:space="preserve">IFC </w:t>
              </w:r>
              <w:r w:rsidR="00101EDF" w:rsidRPr="00D77B31">
                <w:rPr>
                  <w:rStyle w:val="Hyperlink"/>
                  <w:rFonts w:eastAsiaTheme="minorHAnsi" w:cs="Arial"/>
                </w:rPr>
                <w:t>45/2021</w:t>
              </w:r>
            </w:hyperlink>
            <w:r w:rsidR="00101EDF" w:rsidRPr="00D77B31">
              <w:rPr>
                <w:rFonts w:eastAsiaTheme="minorHAnsi" w:cs="Arial"/>
              </w:rPr>
              <w:t xml:space="preserve"> Replanning the 2 GHz band: Review of the 2 GHz Television Outside Broadcast Frequency Band Plan</w:t>
            </w:r>
            <w:r w:rsidR="00BB6488" w:rsidRPr="00D77B31">
              <w:rPr>
                <w:rFonts w:eastAsiaTheme="minorHAnsi" w:cs="Arial"/>
              </w:rPr>
              <w:t xml:space="preserve"> and </w:t>
            </w:r>
            <w:hyperlink r:id="rId22" w:history="1">
              <w:r w:rsidR="00BB6488" w:rsidRPr="00D77B31">
                <w:rPr>
                  <w:rStyle w:val="Hyperlink"/>
                  <w:rFonts w:eastAsiaTheme="minorHAnsi" w:cs="Arial"/>
                </w:rPr>
                <w:t>IFC 46/202</w:t>
              </w:r>
              <w:r w:rsidR="00BA32AE" w:rsidRPr="00D77B31">
                <w:rPr>
                  <w:rStyle w:val="Hyperlink"/>
                  <w:rFonts w:eastAsiaTheme="minorHAnsi" w:cs="Arial"/>
                </w:rPr>
                <w:t>1</w:t>
              </w:r>
            </w:hyperlink>
            <w:r w:rsidR="00BA32AE" w:rsidRPr="00D77B31">
              <w:rPr>
                <w:rFonts w:eastAsiaTheme="minorHAnsi" w:cs="Arial"/>
              </w:rPr>
              <w:t xml:space="preserve"> </w:t>
            </w:r>
            <w:r w:rsidR="00BB6488" w:rsidRPr="00D77B31">
              <w:rPr>
                <w:rFonts w:eastAsiaTheme="minorHAnsi" w:cs="Arial"/>
              </w:rPr>
              <w:t>Proposed licensing arrangements for 2</w:t>
            </w:r>
            <w:r w:rsidR="003F0BD7" w:rsidRPr="00D77B31">
              <w:rPr>
                <w:rFonts w:eastAsiaTheme="minorHAnsi" w:cs="Arial"/>
              </w:rPr>
              <w:t> </w:t>
            </w:r>
            <w:r w:rsidR="00BB6488" w:rsidRPr="00D77B31">
              <w:rPr>
                <w:rFonts w:eastAsiaTheme="minorHAnsi" w:cs="Arial"/>
              </w:rPr>
              <w:t>GHz narrowband mobile-satellite services and 28 GHz fixed-satellite services</w:t>
            </w:r>
            <w:r w:rsidR="00BA32AE" w:rsidRPr="00D77B31">
              <w:rPr>
                <w:rFonts w:eastAsiaTheme="minorHAnsi" w:cs="Arial"/>
              </w:rPr>
              <w:t>. Changes include</w:t>
            </w:r>
            <w:r w:rsidR="00255C0F" w:rsidRPr="00D77B31">
              <w:rPr>
                <w:rFonts w:eastAsiaTheme="minorHAnsi" w:cs="Arial"/>
              </w:rPr>
              <w:t>:</w:t>
            </w:r>
          </w:p>
          <w:p w14:paraId="51D01904" w14:textId="41286F6B" w:rsidR="0059764F" w:rsidRPr="00D77B31" w:rsidRDefault="001E6E59" w:rsidP="00335000">
            <w:pPr>
              <w:pStyle w:val="TableBody"/>
              <w:numPr>
                <w:ilvl w:val="0"/>
                <w:numId w:val="3"/>
              </w:numPr>
              <w:rPr>
                <w:rFonts w:eastAsiaTheme="minorHAnsi" w:cs="Arial"/>
              </w:rPr>
            </w:pPr>
            <w:r w:rsidRPr="00D77B31">
              <w:rPr>
                <w:rFonts w:eastAsiaTheme="minorHAnsi" w:cs="Arial"/>
              </w:rPr>
              <w:t>revision</w:t>
            </w:r>
            <w:r w:rsidR="005E5396" w:rsidRPr="00D77B31">
              <w:rPr>
                <w:rFonts w:eastAsiaTheme="minorHAnsi" w:cs="Arial"/>
              </w:rPr>
              <w:t xml:space="preserve">s </w:t>
            </w:r>
            <w:r w:rsidR="00024B45" w:rsidRPr="00D77B31">
              <w:rPr>
                <w:rFonts w:eastAsiaTheme="minorHAnsi" w:cs="Arial"/>
              </w:rPr>
              <w:t xml:space="preserve">to background </w:t>
            </w:r>
            <w:r w:rsidR="005E5396" w:rsidRPr="00D77B31">
              <w:rPr>
                <w:rFonts w:eastAsiaTheme="minorHAnsi" w:cs="Arial"/>
              </w:rPr>
              <w:t xml:space="preserve">section </w:t>
            </w:r>
            <w:r w:rsidR="000463A3" w:rsidRPr="00D77B31">
              <w:rPr>
                <w:rFonts w:eastAsiaTheme="minorHAnsi" w:cs="Arial"/>
              </w:rPr>
              <w:t xml:space="preserve">and inclusion of TOB </w:t>
            </w:r>
            <w:r w:rsidR="00C8699F" w:rsidRPr="00D77B31">
              <w:rPr>
                <w:rFonts w:eastAsiaTheme="minorHAnsi" w:cs="Arial"/>
              </w:rPr>
              <w:t xml:space="preserve">transitional </w:t>
            </w:r>
            <w:r w:rsidR="00C514B6" w:rsidRPr="00D77B31">
              <w:rPr>
                <w:rFonts w:eastAsiaTheme="minorHAnsi" w:cs="Arial"/>
              </w:rPr>
              <w:t>arrangements</w:t>
            </w:r>
            <w:r w:rsidR="000463A3" w:rsidRPr="00D77B31">
              <w:rPr>
                <w:rFonts w:eastAsiaTheme="minorHAnsi" w:cs="Arial"/>
              </w:rPr>
              <w:t xml:space="preserve"> with </w:t>
            </w:r>
            <w:r w:rsidR="000F3664" w:rsidRPr="00D77B31">
              <w:rPr>
                <w:rFonts w:eastAsiaTheme="minorHAnsi" w:cs="Arial"/>
              </w:rPr>
              <w:t>consequential edits</w:t>
            </w:r>
            <w:r w:rsidR="000463A3" w:rsidRPr="00D77B31">
              <w:rPr>
                <w:rFonts w:eastAsiaTheme="minorHAnsi" w:cs="Arial"/>
              </w:rPr>
              <w:t xml:space="preserve"> </w:t>
            </w:r>
            <w:r w:rsidR="0099113E" w:rsidRPr="00D77B31">
              <w:rPr>
                <w:rFonts w:eastAsiaTheme="minorHAnsi" w:cs="Arial"/>
              </w:rPr>
              <w:t xml:space="preserve">throughout the document. </w:t>
            </w:r>
          </w:p>
          <w:p w14:paraId="639B7887" w14:textId="10EC39F4" w:rsidR="00255C0F" w:rsidRPr="00D77B31" w:rsidRDefault="00255C0F" w:rsidP="00335000">
            <w:pPr>
              <w:pStyle w:val="TableBody"/>
              <w:numPr>
                <w:ilvl w:val="0"/>
                <w:numId w:val="3"/>
              </w:numPr>
              <w:rPr>
                <w:rFonts w:eastAsiaTheme="minorHAnsi" w:cs="Arial"/>
              </w:rPr>
            </w:pPr>
            <w:r w:rsidRPr="00D77B31">
              <w:rPr>
                <w:rFonts w:eastAsiaTheme="minorHAnsi" w:cs="Arial"/>
              </w:rPr>
              <w:t xml:space="preserve">In section </w:t>
            </w:r>
            <w:r w:rsidR="00B901CD" w:rsidRPr="00D77B31">
              <w:rPr>
                <w:rFonts w:eastAsiaTheme="minorHAnsi" w:cs="Arial"/>
              </w:rPr>
              <w:t>2</w:t>
            </w:r>
            <w:r w:rsidR="008B14AA" w:rsidRPr="00D77B31">
              <w:rPr>
                <w:rFonts w:eastAsiaTheme="minorHAnsi" w:cs="Arial"/>
              </w:rPr>
              <w:t xml:space="preserve">.1 </w:t>
            </w:r>
            <w:r w:rsidRPr="00D77B31">
              <w:rPr>
                <w:rFonts w:eastAsiaTheme="minorHAnsi" w:cs="Arial"/>
              </w:rPr>
              <w:t>(</w:t>
            </w:r>
            <w:r w:rsidR="005D6456" w:rsidRPr="00D77B31">
              <w:rPr>
                <w:rFonts w:eastAsiaTheme="minorHAnsi" w:cs="Arial"/>
              </w:rPr>
              <w:t>C</w:t>
            </w:r>
            <w:r w:rsidRPr="00D77B31">
              <w:rPr>
                <w:rFonts w:eastAsiaTheme="minorHAnsi" w:cs="Arial"/>
              </w:rPr>
              <w:t xml:space="preserve">hannel arrangements) reference to TOB transition </w:t>
            </w:r>
          </w:p>
          <w:p w14:paraId="3E302174" w14:textId="7A8739DA" w:rsidR="009B6A85" w:rsidRPr="00D77B31" w:rsidRDefault="004B4F16" w:rsidP="00335000">
            <w:pPr>
              <w:pStyle w:val="TableBody"/>
              <w:numPr>
                <w:ilvl w:val="0"/>
                <w:numId w:val="3"/>
              </w:numPr>
              <w:rPr>
                <w:rFonts w:eastAsiaTheme="minorHAnsi" w:cs="Arial"/>
              </w:rPr>
            </w:pPr>
            <w:r w:rsidRPr="00D77B31">
              <w:rPr>
                <w:rFonts w:eastAsiaTheme="minorHAnsi" w:cs="Arial"/>
              </w:rPr>
              <w:t xml:space="preserve">In section </w:t>
            </w:r>
            <w:r w:rsidR="000A6306" w:rsidRPr="00D77B31">
              <w:rPr>
                <w:rFonts w:eastAsiaTheme="minorHAnsi" w:cs="Arial"/>
              </w:rPr>
              <w:t>4</w:t>
            </w:r>
            <w:r w:rsidRPr="00D77B31">
              <w:rPr>
                <w:rFonts w:eastAsiaTheme="minorHAnsi" w:cs="Arial"/>
              </w:rPr>
              <w:t xml:space="preserve"> (C</w:t>
            </w:r>
            <w:r w:rsidR="009B6A85" w:rsidRPr="00D77B31">
              <w:rPr>
                <w:rFonts w:eastAsiaTheme="minorHAnsi" w:cs="Arial"/>
              </w:rPr>
              <w:t>oordination of TOB receivers</w:t>
            </w:r>
            <w:r w:rsidRPr="00D77B31">
              <w:rPr>
                <w:rFonts w:eastAsiaTheme="minorHAnsi" w:cs="Arial"/>
              </w:rPr>
              <w:t xml:space="preserve">) </w:t>
            </w:r>
            <w:r w:rsidR="005D02A2" w:rsidRPr="00D77B31">
              <w:rPr>
                <w:rFonts w:eastAsiaTheme="minorHAnsi" w:cs="Arial"/>
              </w:rPr>
              <w:t>clarified protection</w:t>
            </w:r>
            <w:r w:rsidRPr="00D77B31">
              <w:rPr>
                <w:rFonts w:eastAsiaTheme="minorHAnsi" w:cs="Arial"/>
              </w:rPr>
              <w:t xml:space="preserve"> of TOB </w:t>
            </w:r>
            <w:r w:rsidR="005D02A2" w:rsidRPr="00D77B31">
              <w:rPr>
                <w:rFonts w:eastAsiaTheme="minorHAnsi" w:cs="Arial"/>
              </w:rPr>
              <w:t>receivers</w:t>
            </w:r>
            <w:r w:rsidRPr="00D77B31">
              <w:rPr>
                <w:rFonts w:eastAsiaTheme="minorHAnsi" w:cs="Arial"/>
              </w:rPr>
              <w:t xml:space="preserve"> with </w:t>
            </w:r>
            <w:r w:rsidR="005D02A2" w:rsidRPr="00D77B31">
              <w:rPr>
                <w:rFonts w:eastAsiaTheme="minorHAnsi" w:cs="Arial"/>
              </w:rPr>
              <w:t xml:space="preserve">respect to </w:t>
            </w:r>
            <w:r w:rsidR="001C4831" w:rsidRPr="00D77B31">
              <w:rPr>
                <w:rFonts w:eastAsiaTheme="minorHAnsi" w:cs="Arial"/>
              </w:rPr>
              <w:t>services not support</w:t>
            </w:r>
            <w:r w:rsidR="0020198C" w:rsidRPr="00D77B31">
              <w:rPr>
                <w:rFonts w:eastAsiaTheme="minorHAnsi" w:cs="Arial"/>
              </w:rPr>
              <w:t>ed</w:t>
            </w:r>
            <w:r w:rsidR="001C4831" w:rsidRPr="00D77B31">
              <w:rPr>
                <w:rFonts w:eastAsiaTheme="minorHAnsi" w:cs="Arial"/>
              </w:rPr>
              <w:t xml:space="preserve"> under current planning arrangements.</w:t>
            </w:r>
          </w:p>
          <w:p w14:paraId="3C300D91" w14:textId="1E968204" w:rsidR="008E1DCA" w:rsidRPr="00D77B31" w:rsidRDefault="00FE5A84" w:rsidP="00335000">
            <w:pPr>
              <w:pStyle w:val="TableBody"/>
              <w:numPr>
                <w:ilvl w:val="0"/>
                <w:numId w:val="3"/>
              </w:numPr>
              <w:rPr>
                <w:rFonts w:eastAsiaTheme="minorHAnsi" w:cs="Arial"/>
              </w:rPr>
            </w:pPr>
            <w:r w:rsidRPr="00D77B31">
              <w:rPr>
                <w:rFonts w:eastAsiaTheme="minorHAnsi" w:cs="Arial"/>
              </w:rPr>
              <w:t>A small number of minor (editorial) changes made</w:t>
            </w:r>
            <w:r w:rsidR="00D7745B" w:rsidRPr="00D77B31">
              <w:rPr>
                <w:rFonts w:eastAsiaTheme="minorHAnsi" w:cs="Arial"/>
              </w:rPr>
              <w:t xml:space="preserve"> (for example updated hyperlinks)</w:t>
            </w:r>
          </w:p>
        </w:tc>
      </w:tr>
    </w:tbl>
    <w:p w14:paraId="7DC668D0" w14:textId="77777777" w:rsidR="006419B6" w:rsidRPr="00D77B31" w:rsidRDefault="008A5F71" w:rsidP="00BF4EC3">
      <w:pPr>
        <w:rPr>
          <w:rFonts w:cs="Arial"/>
          <w:sz w:val="32"/>
          <w:szCs w:val="32"/>
        </w:rPr>
        <w:sectPr w:rsidR="006419B6" w:rsidRPr="00D77B31" w:rsidSect="00B624EA">
          <w:footnotePr>
            <w:numRestart w:val="eachSect"/>
          </w:footnotePr>
          <w:type w:val="evenPage"/>
          <w:pgSz w:w="11907" w:h="16840" w:code="9"/>
          <w:pgMar w:top="1440" w:right="1440" w:bottom="1440" w:left="1440" w:header="720" w:footer="720" w:gutter="0"/>
          <w:pgNumType w:fmt="lowerRoman" w:start="1"/>
          <w:cols w:space="720"/>
          <w:docGrid w:linePitch="299"/>
        </w:sectPr>
      </w:pPr>
      <w:r w:rsidRPr="00D77B31">
        <w:rPr>
          <w:rFonts w:cs="Arial"/>
          <w:sz w:val="32"/>
          <w:szCs w:val="32"/>
        </w:rPr>
        <w:br w:type="textWrapping" w:clear="all"/>
      </w:r>
    </w:p>
    <w:p w14:paraId="06217CC0" w14:textId="77777777" w:rsidR="00242CE0" w:rsidRPr="00D77B31" w:rsidRDefault="00242CE0" w:rsidP="00242CE0">
      <w:pPr>
        <w:pStyle w:val="TOCHeading"/>
        <w:rPr>
          <w:rFonts w:cs="Arial"/>
        </w:rPr>
      </w:pPr>
      <w:r w:rsidRPr="00D77B31">
        <w:rPr>
          <w:rFonts w:cs="Arial"/>
        </w:rPr>
        <w:lastRenderedPageBreak/>
        <w:t>Contents</w:t>
      </w:r>
    </w:p>
    <w:p w14:paraId="7A32B700" w14:textId="68EBC102" w:rsidR="00D86638" w:rsidRDefault="00C440F0">
      <w:pPr>
        <w:pStyle w:val="TOC1"/>
        <w:tabs>
          <w:tab w:val="left" w:pos="885"/>
        </w:tabs>
        <w:rPr>
          <w:rFonts w:asciiTheme="minorHAnsi" w:eastAsiaTheme="minorEastAsia" w:hAnsiTheme="minorHAnsi" w:cstheme="minorBidi"/>
          <w:b w:val="0"/>
          <w:spacing w:val="0"/>
          <w:sz w:val="22"/>
          <w:szCs w:val="22"/>
        </w:rPr>
      </w:pPr>
      <w:r w:rsidRPr="00D77B31">
        <w:rPr>
          <w:rFonts w:cs="Arial"/>
          <w:caps/>
          <w:sz w:val="30"/>
        </w:rPr>
        <w:fldChar w:fldCharType="begin"/>
      </w:r>
      <w:r w:rsidR="00094E0C" w:rsidRPr="00D77B31">
        <w:rPr>
          <w:rFonts w:cs="Arial"/>
          <w:sz w:val="30"/>
        </w:rPr>
        <w:instrText xml:space="preserve"> TOC \o "1-3" </w:instrText>
      </w:r>
      <w:r w:rsidRPr="00D77B31">
        <w:rPr>
          <w:rFonts w:cs="Arial"/>
          <w:caps/>
          <w:sz w:val="30"/>
        </w:rPr>
        <w:fldChar w:fldCharType="separate"/>
      </w:r>
      <w:r w:rsidR="00D86638" w:rsidRPr="00473DDF">
        <w:rPr>
          <w14:scene3d>
            <w14:camera w14:prst="orthographicFront"/>
            <w14:lightRig w14:rig="threePt" w14:dir="t">
              <w14:rot w14:lat="0" w14:lon="0" w14:rev="0"/>
            </w14:lightRig>
          </w14:scene3d>
        </w:rPr>
        <w:t>1</w:t>
      </w:r>
      <w:r w:rsidR="00D86638">
        <w:rPr>
          <w:rFonts w:asciiTheme="minorHAnsi" w:eastAsiaTheme="minorEastAsia" w:hAnsiTheme="minorHAnsi" w:cstheme="minorBidi"/>
          <w:b w:val="0"/>
          <w:spacing w:val="0"/>
          <w:sz w:val="22"/>
          <w:szCs w:val="22"/>
        </w:rPr>
        <w:tab/>
      </w:r>
      <w:r w:rsidR="00D86638">
        <w:t>Introduction</w:t>
      </w:r>
      <w:r w:rsidR="00D86638">
        <w:tab/>
      </w:r>
      <w:r w:rsidR="00D86638">
        <w:fldChar w:fldCharType="begin"/>
      </w:r>
      <w:r w:rsidR="00D86638">
        <w:instrText xml:space="preserve"> PAGEREF _Toc111710844 \h </w:instrText>
      </w:r>
      <w:r w:rsidR="00D86638">
        <w:fldChar w:fldCharType="separate"/>
      </w:r>
      <w:r w:rsidR="003F79BE">
        <w:t>1</w:t>
      </w:r>
      <w:r w:rsidR="00D86638">
        <w:fldChar w:fldCharType="end"/>
      </w:r>
    </w:p>
    <w:p w14:paraId="06A37D74" w14:textId="53B9DA17" w:rsidR="00D86638" w:rsidRDefault="00D86638">
      <w:pPr>
        <w:pStyle w:val="TOC2"/>
        <w:rPr>
          <w:rFonts w:asciiTheme="minorHAnsi" w:eastAsiaTheme="minorEastAsia" w:hAnsiTheme="minorHAnsi" w:cstheme="minorBidi"/>
          <w:spacing w:val="0"/>
          <w:sz w:val="22"/>
          <w:szCs w:val="22"/>
        </w:rPr>
      </w:pPr>
      <w:r>
        <w:t>1.1</w:t>
      </w:r>
      <w:r>
        <w:rPr>
          <w:rFonts w:asciiTheme="minorHAnsi" w:eastAsiaTheme="minorEastAsia" w:hAnsiTheme="minorHAnsi" w:cstheme="minorBidi"/>
          <w:spacing w:val="0"/>
          <w:sz w:val="22"/>
          <w:szCs w:val="22"/>
        </w:rPr>
        <w:tab/>
      </w:r>
      <w:r>
        <w:t>Purpose</w:t>
      </w:r>
      <w:r>
        <w:tab/>
      </w:r>
      <w:r>
        <w:fldChar w:fldCharType="begin"/>
      </w:r>
      <w:r>
        <w:instrText xml:space="preserve"> PAGEREF _Toc111710845 \h </w:instrText>
      </w:r>
      <w:r>
        <w:fldChar w:fldCharType="separate"/>
      </w:r>
      <w:r w:rsidR="003F79BE">
        <w:t>1</w:t>
      </w:r>
      <w:r>
        <w:fldChar w:fldCharType="end"/>
      </w:r>
    </w:p>
    <w:p w14:paraId="491087C2" w14:textId="784AC61D" w:rsidR="00D86638" w:rsidRDefault="00D86638">
      <w:pPr>
        <w:pStyle w:val="TOC2"/>
        <w:rPr>
          <w:rFonts w:asciiTheme="minorHAnsi" w:eastAsiaTheme="minorEastAsia" w:hAnsiTheme="minorHAnsi" w:cstheme="minorBidi"/>
          <w:spacing w:val="0"/>
          <w:sz w:val="22"/>
          <w:szCs w:val="22"/>
        </w:rPr>
      </w:pPr>
      <w:r>
        <w:t>1.2</w:t>
      </w:r>
      <w:r>
        <w:rPr>
          <w:rFonts w:asciiTheme="minorHAnsi" w:eastAsiaTheme="minorEastAsia" w:hAnsiTheme="minorHAnsi" w:cstheme="minorBidi"/>
          <w:spacing w:val="0"/>
          <w:sz w:val="22"/>
          <w:szCs w:val="22"/>
        </w:rPr>
        <w:tab/>
      </w:r>
      <w:r>
        <w:t>Background</w:t>
      </w:r>
      <w:r>
        <w:tab/>
      </w:r>
      <w:r>
        <w:fldChar w:fldCharType="begin"/>
      </w:r>
      <w:r>
        <w:instrText xml:space="preserve"> PAGEREF _Toc111710846 \h </w:instrText>
      </w:r>
      <w:r>
        <w:fldChar w:fldCharType="separate"/>
      </w:r>
      <w:r w:rsidR="003F79BE">
        <w:t>1</w:t>
      </w:r>
      <w:r>
        <w:fldChar w:fldCharType="end"/>
      </w:r>
    </w:p>
    <w:p w14:paraId="1A34F54C" w14:textId="60AC5D8C" w:rsidR="00D86638" w:rsidRDefault="00D86638">
      <w:pPr>
        <w:pStyle w:val="TOC2"/>
        <w:rPr>
          <w:rFonts w:asciiTheme="minorHAnsi" w:eastAsiaTheme="minorEastAsia" w:hAnsiTheme="minorHAnsi" w:cstheme="minorBidi"/>
          <w:spacing w:val="0"/>
          <w:sz w:val="22"/>
          <w:szCs w:val="22"/>
        </w:rPr>
      </w:pPr>
      <w:r>
        <w:t>1.3</w:t>
      </w:r>
      <w:r>
        <w:rPr>
          <w:rFonts w:asciiTheme="minorHAnsi" w:eastAsiaTheme="minorEastAsia" w:hAnsiTheme="minorHAnsi" w:cstheme="minorBidi"/>
          <w:spacing w:val="0"/>
          <w:sz w:val="22"/>
          <w:szCs w:val="22"/>
        </w:rPr>
        <w:tab/>
      </w:r>
      <w:r>
        <w:t>Scope</w:t>
      </w:r>
      <w:r>
        <w:tab/>
      </w:r>
      <w:r>
        <w:fldChar w:fldCharType="begin"/>
      </w:r>
      <w:r>
        <w:instrText xml:space="preserve"> PAGEREF _Toc111710847 \h </w:instrText>
      </w:r>
      <w:r>
        <w:fldChar w:fldCharType="separate"/>
      </w:r>
      <w:r w:rsidR="003F79BE">
        <w:t>2</w:t>
      </w:r>
      <w:r>
        <w:fldChar w:fldCharType="end"/>
      </w:r>
    </w:p>
    <w:p w14:paraId="7CB31396" w14:textId="079CC58E" w:rsidR="00D86638" w:rsidRDefault="00D86638">
      <w:pPr>
        <w:pStyle w:val="TOC3"/>
        <w:tabs>
          <w:tab w:val="left" w:pos="885"/>
        </w:tabs>
        <w:rPr>
          <w:rFonts w:asciiTheme="minorHAnsi" w:eastAsiaTheme="minorEastAsia" w:hAnsiTheme="minorHAnsi" w:cstheme="minorBidi"/>
        </w:rPr>
      </w:pPr>
      <w:r>
        <w:t>1.3.1</w:t>
      </w:r>
      <w:r>
        <w:rPr>
          <w:rFonts w:asciiTheme="minorHAnsi" w:eastAsiaTheme="minorEastAsia" w:hAnsiTheme="minorHAnsi" w:cstheme="minorBidi"/>
        </w:rPr>
        <w:tab/>
      </w:r>
      <w:r>
        <w:t>1980-2010 MHz and 2170-2200 MHz</w:t>
      </w:r>
      <w:r>
        <w:tab/>
      </w:r>
      <w:r>
        <w:fldChar w:fldCharType="begin"/>
      </w:r>
      <w:r>
        <w:instrText xml:space="preserve"> PAGEREF _Toc111710848 \h </w:instrText>
      </w:r>
      <w:r>
        <w:fldChar w:fldCharType="separate"/>
      </w:r>
      <w:r w:rsidR="003F79BE">
        <w:t>2</w:t>
      </w:r>
      <w:r>
        <w:fldChar w:fldCharType="end"/>
      </w:r>
    </w:p>
    <w:p w14:paraId="7D035D6C" w14:textId="3575E4DF" w:rsidR="00D86638" w:rsidRDefault="00D86638">
      <w:pPr>
        <w:pStyle w:val="TOC3"/>
        <w:tabs>
          <w:tab w:val="left" w:pos="885"/>
        </w:tabs>
        <w:rPr>
          <w:rFonts w:asciiTheme="minorHAnsi" w:eastAsiaTheme="minorEastAsia" w:hAnsiTheme="minorHAnsi" w:cstheme="minorBidi"/>
        </w:rPr>
      </w:pPr>
      <w:r>
        <w:t>1.3.2</w:t>
      </w:r>
      <w:r>
        <w:rPr>
          <w:rFonts w:asciiTheme="minorHAnsi" w:eastAsiaTheme="minorEastAsia" w:hAnsiTheme="minorHAnsi" w:cstheme="minorBidi"/>
        </w:rPr>
        <w:tab/>
      </w:r>
      <w:r>
        <w:t>2010-2110 MHz and 2200-2300 MHz</w:t>
      </w:r>
      <w:r>
        <w:tab/>
      </w:r>
      <w:r>
        <w:fldChar w:fldCharType="begin"/>
      </w:r>
      <w:r>
        <w:instrText xml:space="preserve"> PAGEREF _Toc111710849 \h </w:instrText>
      </w:r>
      <w:r>
        <w:fldChar w:fldCharType="separate"/>
      </w:r>
      <w:r w:rsidR="003F79BE">
        <w:t>2</w:t>
      </w:r>
      <w:r>
        <w:fldChar w:fldCharType="end"/>
      </w:r>
    </w:p>
    <w:p w14:paraId="0523E2DC" w14:textId="771ADED2" w:rsidR="00D86638" w:rsidRDefault="00D86638">
      <w:pPr>
        <w:pStyle w:val="TOC1"/>
        <w:tabs>
          <w:tab w:val="left" w:pos="885"/>
        </w:tabs>
        <w:rPr>
          <w:rFonts w:asciiTheme="minorHAnsi" w:eastAsiaTheme="minorEastAsia" w:hAnsiTheme="minorHAnsi" w:cstheme="minorBidi"/>
          <w:b w:val="0"/>
          <w:spacing w:val="0"/>
          <w:sz w:val="22"/>
          <w:szCs w:val="22"/>
        </w:rPr>
      </w:pPr>
      <w:r w:rsidRPr="00473DDF">
        <w:rPr>
          <w14:scene3d>
            <w14:camera w14:prst="orthographicFront"/>
            <w14:lightRig w14:rig="threePt" w14:dir="t">
              <w14:rot w14:lat="0" w14:lon="0" w14:rev="0"/>
            </w14:lightRig>
          </w14:scene3d>
        </w:rPr>
        <w:t>2</w:t>
      </w:r>
      <w:r>
        <w:rPr>
          <w:rFonts w:asciiTheme="minorHAnsi" w:eastAsiaTheme="minorEastAsia" w:hAnsiTheme="minorHAnsi" w:cstheme="minorBidi"/>
          <w:b w:val="0"/>
          <w:spacing w:val="0"/>
          <w:sz w:val="22"/>
          <w:szCs w:val="22"/>
        </w:rPr>
        <w:tab/>
      </w:r>
      <w:r>
        <w:t>Channel arrangements</w:t>
      </w:r>
      <w:r>
        <w:tab/>
      </w:r>
      <w:r>
        <w:fldChar w:fldCharType="begin"/>
      </w:r>
      <w:r>
        <w:instrText xml:space="preserve"> PAGEREF _Toc111710850 \h </w:instrText>
      </w:r>
      <w:r>
        <w:fldChar w:fldCharType="separate"/>
      </w:r>
      <w:r w:rsidR="003F79BE">
        <w:t>4</w:t>
      </w:r>
      <w:r>
        <w:fldChar w:fldCharType="end"/>
      </w:r>
    </w:p>
    <w:p w14:paraId="4CC2D7AE" w14:textId="1193E840" w:rsidR="00D86638" w:rsidRDefault="00D86638">
      <w:pPr>
        <w:pStyle w:val="TOC2"/>
        <w:rPr>
          <w:rFonts w:asciiTheme="minorHAnsi" w:eastAsiaTheme="minorEastAsia" w:hAnsiTheme="minorHAnsi" w:cstheme="minorBidi"/>
          <w:spacing w:val="0"/>
          <w:sz w:val="22"/>
          <w:szCs w:val="22"/>
        </w:rPr>
      </w:pPr>
      <w:r>
        <w:t>2.1</w:t>
      </w:r>
      <w:r>
        <w:rPr>
          <w:rFonts w:asciiTheme="minorHAnsi" w:eastAsiaTheme="minorEastAsia" w:hAnsiTheme="minorHAnsi" w:cstheme="minorBidi"/>
          <w:spacing w:val="0"/>
          <w:sz w:val="22"/>
          <w:szCs w:val="22"/>
        </w:rPr>
        <w:tab/>
      </w:r>
      <w:r>
        <w:t>Channel arrangements</w:t>
      </w:r>
      <w:r>
        <w:tab/>
      </w:r>
      <w:r>
        <w:fldChar w:fldCharType="begin"/>
      </w:r>
      <w:r>
        <w:instrText xml:space="preserve"> PAGEREF _Toc111710851 \h </w:instrText>
      </w:r>
      <w:r>
        <w:fldChar w:fldCharType="separate"/>
      </w:r>
      <w:r w:rsidR="003F79BE">
        <w:t>4</w:t>
      </w:r>
      <w:r>
        <w:fldChar w:fldCharType="end"/>
      </w:r>
    </w:p>
    <w:p w14:paraId="69D90C2B" w14:textId="56EEEF07" w:rsidR="00D86638" w:rsidRDefault="00D86638">
      <w:pPr>
        <w:pStyle w:val="TOC1"/>
        <w:tabs>
          <w:tab w:val="left" w:pos="885"/>
        </w:tabs>
        <w:rPr>
          <w:rFonts w:asciiTheme="minorHAnsi" w:eastAsiaTheme="minorEastAsia" w:hAnsiTheme="minorHAnsi" w:cstheme="minorBidi"/>
          <w:b w:val="0"/>
          <w:spacing w:val="0"/>
          <w:sz w:val="22"/>
          <w:szCs w:val="22"/>
        </w:rPr>
      </w:pPr>
      <w:r w:rsidRPr="00473DDF">
        <w:rPr>
          <w14:scene3d>
            <w14:camera w14:prst="orthographicFront"/>
            <w14:lightRig w14:rig="threePt" w14:dir="t">
              <w14:rot w14:lat="0" w14:lon="0" w14:rev="0"/>
            </w14:lightRig>
          </w14:scene3d>
        </w:rPr>
        <w:t>3</w:t>
      </w:r>
      <w:r>
        <w:rPr>
          <w:rFonts w:asciiTheme="minorHAnsi" w:eastAsiaTheme="minorEastAsia" w:hAnsiTheme="minorHAnsi" w:cstheme="minorBidi"/>
          <w:b w:val="0"/>
          <w:spacing w:val="0"/>
          <w:sz w:val="22"/>
          <w:szCs w:val="22"/>
        </w:rPr>
        <w:tab/>
      </w:r>
      <w:r>
        <w:t>Coordination of TOB transmitters</w:t>
      </w:r>
      <w:r>
        <w:tab/>
      </w:r>
      <w:r>
        <w:fldChar w:fldCharType="begin"/>
      </w:r>
      <w:r>
        <w:instrText xml:space="preserve"> PAGEREF _Toc111710852 \h </w:instrText>
      </w:r>
      <w:r>
        <w:fldChar w:fldCharType="separate"/>
      </w:r>
      <w:r w:rsidR="003F79BE">
        <w:t>6</w:t>
      </w:r>
      <w:r>
        <w:fldChar w:fldCharType="end"/>
      </w:r>
    </w:p>
    <w:p w14:paraId="46B4C548" w14:textId="7ACB5A14" w:rsidR="00D86638" w:rsidRDefault="00D86638">
      <w:pPr>
        <w:pStyle w:val="TOC2"/>
        <w:rPr>
          <w:rFonts w:asciiTheme="minorHAnsi" w:eastAsiaTheme="minorEastAsia" w:hAnsiTheme="minorHAnsi" w:cstheme="minorBidi"/>
          <w:spacing w:val="0"/>
          <w:sz w:val="22"/>
          <w:szCs w:val="22"/>
        </w:rPr>
      </w:pPr>
      <w:r>
        <w:t>3.1</w:t>
      </w:r>
      <w:r>
        <w:rPr>
          <w:rFonts w:asciiTheme="minorHAnsi" w:eastAsiaTheme="minorEastAsia" w:hAnsiTheme="minorHAnsi" w:cstheme="minorBidi"/>
          <w:spacing w:val="0"/>
          <w:sz w:val="22"/>
          <w:szCs w:val="22"/>
        </w:rPr>
        <w:tab/>
      </w:r>
      <w:r>
        <w:t>Overview</w:t>
      </w:r>
      <w:r>
        <w:tab/>
      </w:r>
      <w:r>
        <w:fldChar w:fldCharType="begin"/>
      </w:r>
      <w:r>
        <w:instrText xml:space="preserve"> PAGEREF _Toc111710853 \h </w:instrText>
      </w:r>
      <w:r>
        <w:fldChar w:fldCharType="separate"/>
      </w:r>
      <w:r w:rsidR="003F79BE">
        <w:t>6</w:t>
      </w:r>
      <w:r>
        <w:fldChar w:fldCharType="end"/>
      </w:r>
    </w:p>
    <w:p w14:paraId="20013812" w14:textId="7E6BB6CA" w:rsidR="00D86638" w:rsidRDefault="00D86638">
      <w:pPr>
        <w:pStyle w:val="TOC3"/>
        <w:tabs>
          <w:tab w:val="left" w:pos="885"/>
        </w:tabs>
        <w:rPr>
          <w:rFonts w:asciiTheme="minorHAnsi" w:eastAsiaTheme="minorEastAsia" w:hAnsiTheme="minorHAnsi" w:cstheme="minorBidi"/>
        </w:rPr>
      </w:pPr>
      <w:r>
        <w:t>3.1.1</w:t>
      </w:r>
      <w:r>
        <w:rPr>
          <w:rFonts w:asciiTheme="minorHAnsi" w:eastAsiaTheme="minorEastAsia" w:hAnsiTheme="minorHAnsi" w:cstheme="minorBidi"/>
        </w:rPr>
        <w:tab/>
      </w:r>
      <w:r>
        <w:t>1980-2010 and 2170-2200 MHz</w:t>
      </w:r>
      <w:r>
        <w:tab/>
      </w:r>
      <w:r>
        <w:fldChar w:fldCharType="begin"/>
      </w:r>
      <w:r>
        <w:instrText xml:space="preserve"> PAGEREF _Toc111710854 \h </w:instrText>
      </w:r>
      <w:r>
        <w:fldChar w:fldCharType="separate"/>
      </w:r>
      <w:r w:rsidR="003F79BE">
        <w:t>6</w:t>
      </w:r>
      <w:r>
        <w:fldChar w:fldCharType="end"/>
      </w:r>
    </w:p>
    <w:p w14:paraId="69D0C701" w14:textId="76E6F05F" w:rsidR="00D86638" w:rsidRDefault="00D86638">
      <w:pPr>
        <w:pStyle w:val="TOC3"/>
        <w:tabs>
          <w:tab w:val="left" w:pos="885"/>
        </w:tabs>
        <w:rPr>
          <w:rFonts w:asciiTheme="minorHAnsi" w:eastAsiaTheme="minorEastAsia" w:hAnsiTheme="minorHAnsi" w:cstheme="minorBidi"/>
        </w:rPr>
      </w:pPr>
      <w:r>
        <w:t>3.1.2</w:t>
      </w:r>
      <w:r>
        <w:rPr>
          <w:rFonts w:asciiTheme="minorHAnsi" w:eastAsiaTheme="minorEastAsia" w:hAnsiTheme="minorHAnsi" w:cstheme="minorBidi"/>
        </w:rPr>
        <w:tab/>
      </w:r>
      <w:r>
        <w:t>2010-2110 and 2200-2300 MHz</w:t>
      </w:r>
      <w:r>
        <w:tab/>
      </w:r>
      <w:r>
        <w:fldChar w:fldCharType="begin"/>
      </w:r>
      <w:r>
        <w:instrText xml:space="preserve"> PAGEREF _Toc111710855 \h </w:instrText>
      </w:r>
      <w:r>
        <w:fldChar w:fldCharType="separate"/>
      </w:r>
      <w:r w:rsidR="003F79BE">
        <w:t>6</w:t>
      </w:r>
      <w:r>
        <w:fldChar w:fldCharType="end"/>
      </w:r>
    </w:p>
    <w:p w14:paraId="096F619C" w14:textId="6A9F8CFB" w:rsidR="00D86638" w:rsidRDefault="00D86638">
      <w:pPr>
        <w:pStyle w:val="TOC2"/>
        <w:rPr>
          <w:rFonts w:asciiTheme="minorHAnsi" w:eastAsiaTheme="minorEastAsia" w:hAnsiTheme="minorHAnsi" w:cstheme="minorBidi"/>
          <w:spacing w:val="0"/>
          <w:sz w:val="22"/>
          <w:szCs w:val="22"/>
        </w:rPr>
      </w:pPr>
      <w:r>
        <w:t>3.2</w:t>
      </w:r>
      <w:r>
        <w:rPr>
          <w:rFonts w:asciiTheme="minorHAnsi" w:eastAsiaTheme="minorEastAsia" w:hAnsiTheme="minorHAnsi" w:cstheme="minorBidi"/>
          <w:spacing w:val="0"/>
          <w:sz w:val="22"/>
          <w:szCs w:val="22"/>
        </w:rPr>
        <w:tab/>
      </w:r>
      <w:r>
        <w:t>TOB transmitters to TOB receivers</w:t>
      </w:r>
      <w:r>
        <w:tab/>
      </w:r>
      <w:r>
        <w:fldChar w:fldCharType="begin"/>
      </w:r>
      <w:r>
        <w:instrText xml:space="preserve"> PAGEREF _Toc111710856 \h </w:instrText>
      </w:r>
      <w:r>
        <w:fldChar w:fldCharType="separate"/>
      </w:r>
      <w:r w:rsidR="003F79BE">
        <w:t>7</w:t>
      </w:r>
      <w:r>
        <w:fldChar w:fldCharType="end"/>
      </w:r>
    </w:p>
    <w:p w14:paraId="110054E6" w14:textId="71546BD7" w:rsidR="00D86638" w:rsidRDefault="00D86638">
      <w:pPr>
        <w:pStyle w:val="TOC3"/>
        <w:tabs>
          <w:tab w:val="left" w:pos="885"/>
        </w:tabs>
        <w:rPr>
          <w:rFonts w:asciiTheme="minorHAnsi" w:eastAsiaTheme="minorEastAsia" w:hAnsiTheme="minorHAnsi" w:cstheme="minorBidi"/>
        </w:rPr>
      </w:pPr>
      <w:r>
        <w:t>3.2.1</w:t>
      </w:r>
      <w:r>
        <w:rPr>
          <w:rFonts w:asciiTheme="minorHAnsi" w:eastAsiaTheme="minorEastAsia" w:hAnsiTheme="minorHAnsi" w:cstheme="minorBidi"/>
        </w:rPr>
        <w:tab/>
      </w:r>
      <w:r>
        <w:t>1980-2010 and 2170-2200 MHz</w:t>
      </w:r>
      <w:r>
        <w:tab/>
      </w:r>
      <w:r>
        <w:fldChar w:fldCharType="begin"/>
      </w:r>
      <w:r>
        <w:instrText xml:space="preserve"> PAGEREF _Toc111710857 \h </w:instrText>
      </w:r>
      <w:r>
        <w:fldChar w:fldCharType="separate"/>
      </w:r>
      <w:r w:rsidR="003F79BE">
        <w:t>7</w:t>
      </w:r>
      <w:r>
        <w:fldChar w:fldCharType="end"/>
      </w:r>
    </w:p>
    <w:p w14:paraId="54C5AA02" w14:textId="4F7F9886" w:rsidR="00D86638" w:rsidRDefault="00D86638">
      <w:pPr>
        <w:pStyle w:val="TOC3"/>
        <w:tabs>
          <w:tab w:val="left" w:pos="885"/>
        </w:tabs>
        <w:rPr>
          <w:rFonts w:asciiTheme="minorHAnsi" w:eastAsiaTheme="minorEastAsia" w:hAnsiTheme="minorHAnsi" w:cstheme="minorBidi"/>
        </w:rPr>
      </w:pPr>
      <w:r>
        <w:t>3.2.2</w:t>
      </w:r>
      <w:r>
        <w:rPr>
          <w:rFonts w:asciiTheme="minorHAnsi" w:eastAsiaTheme="minorEastAsia" w:hAnsiTheme="minorHAnsi" w:cstheme="minorBidi"/>
        </w:rPr>
        <w:tab/>
      </w:r>
      <w:r>
        <w:t>2010-2110 and 2200-2300 MHz</w:t>
      </w:r>
      <w:r>
        <w:tab/>
      </w:r>
      <w:r>
        <w:fldChar w:fldCharType="begin"/>
      </w:r>
      <w:r>
        <w:instrText xml:space="preserve"> PAGEREF _Toc111710858 \h </w:instrText>
      </w:r>
      <w:r>
        <w:fldChar w:fldCharType="separate"/>
      </w:r>
      <w:r w:rsidR="003F79BE">
        <w:t>7</w:t>
      </w:r>
      <w:r>
        <w:fldChar w:fldCharType="end"/>
      </w:r>
    </w:p>
    <w:p w14:paraId="3E18003E" w14:textId="609DA4CE" w:rsidR="00D86638" w:rsidRDefault="00D86638">
      <w:pPr>
        <w:pStyle w:val="TOC2"/>
        <w:rPr>
          <w:rFonts w:asciiTheme="minorHAnsi" w:eastAsiaTheme="minorEastAsia" w:hAnsiTheme="minorHAnsi" w:cstheme="minorBidi"/>
          <w:spacing w:val="0"/>
          <w:sz w:val="22"/>
          <w:szCs w:val="22"/>
        </w:rPr>
      </w:pPr>
      <w:r>
        <w:t>3.3</w:t>
      </w:r>
      <w:r>
        <w:rPr>
          <w:rFonts w:asciiTheme="minorHAnsi" w:eastAsiaTheme="minorEastAsia" w:hAnsiTheme="minorHAnsi" w:cstheme="minorBidi"/>
          <w:spacing w:val="0"/>
          <w:sz w:val="22"/>
          <w:szCs w:val="22"/>
        </w:rPr>
        <w:tab/>
      </w:r>
      <w:r>
        <w:t>Fixed Point-to-Point link receivers</w:t>
      </w:r>
      <w:r>
        <w:tab/>
      </w:r>
      <w:r>
        <w:fldChar w:fldCharType="begin"/>
      </w:r>
      <w:r>
        <w:instrText xml:space="preserve"> PAGEREF _Toc111710859 \h </w:instrText>
      </w:r>
      <w:r>
        <w:fldChar w:fldCharType="separate"/>
      </w:r>
      <w:r w:rsidR="003F79BE">
        <w:t>7</w:t>
      </w:r>
      <w:r>
        <w:fldChar w:fldCharType="end"/>
      </w:r>
    </w:p>
    <w:p w14:paraId="39CE2B7B" w14:textId="13490278" w:rsidR="00D86638" w:rsidRDefault="00D86638">
      <w:pPr>
        <w:pStyle w:val="TOC3"/>
        <w:tabs>
          <w:tab w:val="left" w:pos="885"/>
        </w:tabs>
        <w:rPr>
          <w:rFonts w:asciiTheme="minorHAnsi" w:eastAsiaTheme="minorEastAsia" w:hAnsiTheme="minorHAnsi" w:cstheme="minorBidi"/>
        </w:rPr>
      </w:pPr>
      <w:r>
        <w:t>3.3.1</w:t>
      </w:r>
      <w:r>
        <w:rPr>
          <w:rFonts w:asciiTheme="minorHAnsi" w:eastAsiaTheme="minorEastAsia" w:hAnsiTheme="minorHAnsi" w:cstheme="minorBidi"/>
        </w:rPr>
        <w:tab/>
      </w:r>
      <w:r>
        <w:t>1980-2010 and 2170-2200 MHz</w:t>
      </w:r>
      <w:r>
        <w:tab/>
      </w:r>
      <w:r>
        <w:fldChar w:fldCharType="begin"/>
      </w:r>
      <w:r>
        <w:instrText xml:space="preserve"> PAGEREF _Toc111710860 \h </w:instrText>
      </w:r>
      <w:r>
        <w:fldChar w:fldCharType="separate"/>
      </w:r>
      <w:r w:rsidR="003F79BE">
        <w:t>7</w:t>
      </w:r>
      <w:r>
        <w:fldChar w:fldCharType="end"/>
      </w:r>
    </w:p>
    <w:p w14:paraId="3566E92C" w14:textId="0C0728B2" w:rsidR="00D86638" w:rsidRDefault="00D86638">
      <w:pPr>
        <w:pStyle w:val="TOC3"/>
        <w:tabs>
          <w:tab w:val="left" w:pos="885"/>
        </w:tabs>
        <w:rPr>
          <w:rFonts w:asciiTheme="minorHAnsi" w:eastAsiaTheme="minorEastAsia" w:hAnsiTheme="minorHAnsi" w:cstheme="minorBidi"/>
        </w:rPr>
      </w:pPr>
      <w:r>
        <w:t>3.3.2</w:t>
      </w:r>
      <w:r>
        <w:rPr>
          <w:rFonts w:asciiTheme="minorHAnsi" w:eastAsiaTheme="minorEastAsia" w:hAnsiTheme="minorHAnsi" w:cstheme="minorBidi"/>
        </w:rPr>
        <w:tab/>
      </w:r>
      <w:r>
        <w:t>2010-2110 and 2200-2300 MHz</w:t>
      </w:r>
      <w:r>
        <w:tab/>
      </w:r>
      <w:r>
        <w:fldChar w:fldCharType="begin"/>
      </w:r>
      <w:r>
        <w:instrText xml:space="preserve"> PAGEREF _Toc111710861 \h </w:instrText>
      </w:r>
      <w:r>
        <w:fldChar w:fldCharType="separate"/>
      </w:r>
      <w:r w:rsidR="003F79BE">
        <w:t>7</w:t>
      </w:r>
      <w:r>
        <w:fldChar w:fldCharType="end"/>
      </w:r>
    </w:p>
    <w:p w14:paraId="480C0E82" w14:textId="66025981" w:rsidR="00D86638" w:rsidRDefault="00D86638">
      <w:pPr>
        <w:pStyle w:val="TOC3"/>
        <w:tabs>
          <w:tab w:val="left" w:pos="885"/>
        </w:tabs>
        <w:rPr>
          <w:rFonts w:asciiTheme="minorHAnsi" w:eastAsiaTheme="minorEastAsia" w:hAnsiTheme="minorHAnsi" w:cstheme="minorBidi"/>
        </w:rPr>
      </w:pPr>
      <w:r>
        <w:t>3.3.3</w:t>
      </w:r>
      <w:r>
        <w:rPr>
          <w:rFonts w:asciiTheme="minorHAnsi" w:eastAsiaTheme="minorEastAsia" w:hAnsiTheme="minorHAnsi" w:cstheme="minorBidi"/>
        </w:rPr>
        <w:tab/>
      </w:r>
      <w:r>
        <w:t>Low power handheld TOB transmitters (wireless cameras)</w:t>
      </w:r>
      <w:r>
        <w:tab/>
      </w:r>
      <w:r>
        <w:fldChar w:fldCharType="begin"/>
      </w:r>
      <w:r>
        <w:instrText xml:space="preserve"> PAGEREF _Toc111710862 \h </w:instrText>
      </w:r>
      <w:r>
        <w:fldChar w:fldCharType="separate"/>
      </w:r>
      <w:r w:rsidR="003F79BE">
        <w:t>9</w:t>
      </w:r>
      <w:r>
        <w:fldChar w:fldCharType="end"/>
      </w:r>
    </w:p>
    <w:p w14:paraId="11955CAF" w14:textId="77841EB2" w:rsidR="00D86638" w:rsidRDefault="00D86638">
      <w:pPr>
        <w:pStyle w:val="TOC3"/>
        <w:tabs>
          <w:tab w:val="left" w:pos="885"/>
        </w:tabs>
        <w:rPr>
          <w:rFonts w:asciiTheme="minorHAnsi" w:eastAsiaTheme="minorEastAsia" w:hAnsiTheme="minorHAnsi" w:cstheme="minorBidi"/>
        </w:rPr>
      </w:pPr>
      <w:r>
        <w:t>3.3.4</w:t>
      </w:r>
      <w:r>
        <w:rPr>
          <w:rFonts w:asciiTheme="minorHAnsi" w:eastAsiaTheme="minorEastAsia" w:hAnsiTheme="minorHAnsi" w:cstheme="minorBidi"/>
        </w:rPr>
        <w:tab/>
      </w:r>
      <w:r>
        <w:t>High power TOB transmitters (ENG vans)</w:t>
      </w:r>
      <w:r>
        <w:tab/>
      </w:r>
      <w:r>
        <w:fldChar w:fldCharType="begin"/>
      </w:r>
      <w:r>
        <w:instrText xml:space="preserve"> PAGEREF _Toc111710863 \h </w:instrText>
      </w:r>
      <w:r>
        <w:fldChar w:fldCharType="separate"/>
      </w:r>
      <w:r w:rsidR="003F79BE">
        <w:t>9</w:t>
      </w:r>
      <w:r>
        <w:fldChar w:fldCharType="end"/>
      </w:r>
    </w:p>
    <w:p w14:paraId="2A1155AE" w14:textId="2020AA65" w:rsidR="00D86638" w:rsidRDefault="00D86638">
      <w:pPr>
        <w:pStyle w:val="TOC3"/>
        <w:tabs>
          <w:tab w:val="left" w:pos="885"/>
        </w:tabs>
        <w:rPr>
          <w:rFonts w:asciiTheme="minorHAnsi" w:eastAsiaTheme="minorEastAsia" w:hAnsiTheme="minorHAnsi" w:cstheme="minorBidi"/>
        </w:rPr>
      </w:pPr>
      <w:r>
        <w:t>3.3.5</w:t>
      </w:r>
      <w:r>
        <w:rPr>
          <w:rFonts w:asciiTheme="minorHAnsi" w:eastAsiaTheme="minorEastAsia" w:hAnsiTheme="minorHAnsi" w:cstheme="minorBidi"/>
        </w:rPr>
        <w:tab/>
      </w:r>
      <w:r>
        <w:t>Airborne TOB transmitters (helicopters)</w:t>
      </w:r>
      <w:r>
        <w:tab/>
      </w:r>
      <w:r>
        <w:fldChar w:fldCharType="begin"/>
      </w:r>
      <w:r>
        <w:instrText xml:space="preserve"> PAGEREF _Toc111710864 \h </w:instrText>
      </w:r>
      <w:r>
        <w:fldChar w:fldCharType="separate"/>
      </w:r>
      <w:r w:rsidR="003F79BE">
        <w:t>11</w:t>
      </w:r>
      <w:r>
        <w:fldChar w:fldCharType="end"/>
      </w:r>
    </w:p>
    <w:p w14:paraId="7610BF36" w14:textId="4329DAA5" w:rsidR="00D86638" w:rsidRDefault="00D86638">
      <w:pPr>
        <w:pStyle w:val="TOC2"/>
        <w:rPr>
          <w:rFonts w:asciiTheme="minorHAnsi" w:eastAsiaTheme="minorEastAsia" w:hAnsiTheme="minorHAnsi" w:cstheme="minorBidi"/>
          <w:spacing w:val="0"/>
          <w:sz w:val="22"/>
          <w:szCs w:val="22"/>
        </w:rPr>
      </w:pPr>
      <w:r>
        <w:t>3.4</w:t>
      </w:r>
      <w:r>
        <w:rPr>
          <w:rFonts w:asciiTheme="minorHAnsi" w:eastAsiaTheme="minorEastAsia" w:hAnsiTheme="minorHAnsi" w:cstheme="minorBidi"/>
          <w:spacing w:val="0"/>
          <w:sz w:val="22"/>
          <w:szCs w:val="22"/>
        </w:rPr>
        <w:tab/>
      </w:r>
      <w:r>
        <w:t>Mobile-satellite service</w:t>
      </w:r>
      <w:r>
        <w:tab/>
      </w:r>
      <w:r>
        <w:fldChar w:fldCharType="begin"/>
      </w:r>
      <w:r>
        <w:instrText xml:space="preserve"> PAGEREF _Toc111710865 \h </w:instrText>
      </w:r>
      <w:r>
        <w:fldChar w:fldCharType="separate"/>
      </w:r>
      <w:r w:rsidR="003F79BE">
        <w:t>11</w:t>
      </w:r>
      <w:r>
        <w:fldChar w:fldCharType="end"/>
      </w:r>
    </w:p>
    <w:p w14:paraId="7B8473FF" w14:textId="56095D74" w:rsidR="00D86638" w:rsidRDefault="00D86638">
      <w:pPr>
        <w:pStyle w:val="TOC2"/>
        <w:rPr>
          <w:rFonts w:asciiTheme="minorHAnsi" w:eastAsiaTheme="minorEastAsia" w:hAnsiTheme="minorHAnsi" w:cstheme="minorBidi"/>
          <w:spacing w:val="0"/>
          <w:sz w:val="22"/>
          <w:szCs w:val="22"/>
        </w:rPr>
      </w:pPr>
      <w:r>
        <w:t>3.5</w:t>
      </w:r>
      <w:r>
        <w:rPr>
          <w:rFonts w:asciiTheme="minorHAnsi" w:eastAsiaTheme="minorEastAsia" w:hAnsiTheme="minorHAnsi" w:cstheme="minorBidi"/>
          <w:spacing w:val="0"/>
          <w:sz w:val="22"/>
          <w:szCs w:val="22"/>
        </w:rPr>
        <w:tab/>
      </w:r>
      <w:r>
        <w:t>Earth station receivers</w:t>
      </w:r>
      <w:r>
        <w:tab/>
      </w:r>
      <w:r>
        <w:fldChar w:fldCharType="begin"/>
      </w:r>
      <w:r>
        <w:instrText xml:space="preserve"> PAGEREF _Toc111710866 \h </w:instrText>
      </w:r>
      <w:r>
        <w:fldChar w:fldCharType="separate"/>
      </w:r>
      <w:r w:rsidR="003F79BE">
        <w:t>11</w:t>
      </w:r>
      <w:r>
        <w:fldChar w:fldCharType="end"/>
      </w:r>
    </w:p>
    <w:p w14:paraId="236307BB" w14:textId="4CF2B758" w:rsidR="00D86638" w:rsidRDefault="00D86638">
      <w:pPr>
        <w:pStyle w:val="TOC3"/>
        <w:tabs>
          <w:tab w:val="left" w:pos="885"/>
        </w:tabs>
        <w:rPr>
          <w:rFonts w:asciiTheme="minorHAnsi" w:eastAsiaTheme="minorEastAsia" w:hAnsiTheme="minorHAnsi" w:cstheme="minorBidi"/>
        </w:rPr>
      </w:pPr>
      <w:r>
        <w:t>3.5.1</w:t>
      </w:r>
      <w:r>
        <w:rPr>
          <w:rFonts w:asciiTheme="minorHAnsi" w:eastAsiaTheme="minorEastAsia" w:hAnsiTheme="minorHAnsi" w:cstheme="minorBidi"/>
        </w:rPr>
        <w:tab/>
      </w:r>
      <w:r>
        <w:t>TOB operating in 2010-2110 MHz</w:t>
      </w:r>
      <w:r>
        <w:tab/>
      </w:r>
      <w:r>
        <w:fldChar w:fldCharType="begin"/>
      </w:r>
      <w:r>
        <w:instrText xml:space="preserve"> PAGEREF _Toc111710867 \h </w:instrText>
      </w:r>
      <w:r>
        <w:fldChar w:fldCharType="separate"/>
      </w:r>
      <w:r w:rsidR="003F79BE">
        <w:t>12</w:t>
      </w:r>
      <w:r>
        <w:fldChar w:fldCharType="end"/>
      </w:r>
    </w:p>
    <w:p w14:paraId="292C61C8" w14:textId="78194E8C" w:rsidR="00D86638" w:rsidRDefault="00D86638">
      <w:pPr>
        <w:pStyle w:val="TOC3"/>
        <w:tabs>
          <w:tab w:val="left" w:pos="885"/>
        </w:tabs>
        <w:rPr>
          <w:rFonts w:asciiTheme="minorHAnsi" w:eastAsiaTheme="minorEastAsia" w:hAnsiTheme="minorHAnsi" w:cstheme="minorBidi"/>
        </w:rPr>
      </w:pPr>
      <w:r>
        <w:t>3.5.2</w:t>
      </w:r>
      <w:r>
        <w:rPr>
          <w:rFonts w:asciiTheme="minorHAnsi" w:eastAsiaTheme="minorEastAsia" w:hAnsiTheme="minorHAnsi" w:cstheme="minorBidi"/>
        </w:rPr>
        <w:tab/>
      </w:r>
      <w:r>
        <w:t>TOB operating in 2170-2200 MHz</w:t>
      </w:r>
      <w:r>
        <w:tab/>
      </w:r>
      <w:r>
        <w:fldChar w:fldCharType="begin"/>
      </w:r>
      <w:r>
        <w:instrText xml:space="preserve"> PAGEREF _Toc111710868 \h </w:instrText>
      </w:r>
      <w:r>
        <w:fldChar w:fldCharType="separate"/>
      </w:r>
      <w:r w:rsidR="003F79BE">
        <w:t>12</w:t>
      </w:r>
      <w:r>
        <w:fldChar w:fldCharType="end"/>
      </w:r>
    </w:p>
    <w:p w14:paraId="26B00F1F" w14:textId="2B07280D" w:rsidR="00D86638" w:rsidRDefault="00D86638">
      <w:pPr>
        <w:pStyle w:val="TOC3"/>
        <w:tabs>
          <w:tab w:val="left" w:pos="885"/>
        </w:tabs>
        <w:rPr>
          <w:rFonts w:asciiTheme="minorHAnsi" w:eastAsiaTheme="minorEastAsia" w:hAnsiTheme="minorHAnsi" w:cstheme="minorBidi"/>
        </w:rPr>
      </w:pPr>
      <w:r>
        <w:t>3.5.3</w:t>
      </w:r>
      <w:r>
        <w:rPr>
          <w:rFonts w:asciiTheme="minorHAnsi" w:eastAsiaTheme="minorEastAsia" w:hAnsiTheme="minorHAnsi" w:cstheme="minorBidi"/>
        </w:rPr>
        <w:tab/>
      </w:r>
      <w:r>
        <w:t>Operation of TOB in the band 2200-2300 MHz (space-to-Earth)</w:t>
      </w:r>
      <w:r>
        <w:tab/>
      </w:r>
      <w:r>
        <w:fldChar w:fldCharType="begin"/>
      </w:r>
      <w:r>
        <w:instrText xml:space="preserve"> PAGEREF _Toc111710869 \h </w:instrText>
      </w:r>
      <w:r>
        <w:fldChar w:fldCharType="separate"/>
      </w:r>
      <w:r w:rsidR="003F79BE">
        <w:t>12</w:t>
      </w:r>
      <w:r>
        <w:fldChar w:fldCharType="end"/>
      </w:r>
    </w:p>
    <w:p w14:paraId="4B40ED74" w14:textId="083F0907" w:rsidR="00D86638" w:rsidRDefault="00D86638">
      <w:pPr>
        <w:pStyle w:val="TOC2"/>
        <w:rPr>
          <w:rFonts w:asciiTheme="minorHAnsi" w:eastAsiaTheme="minorEastAsia" w:hAnsiTheme="minorHAnsi" w:cstheme="minorBidi"/>
          <w:spacing w:val="0"/>
          <w:sz w:val="22"/>
          <w:szCs w:val="22"/>
        </w:rPr>
      </w:pPr>
      <w:r>
        <w:t>3.6</w:t>
      </w:r>
      <w:r>
        <w:rPr>
          <w:rFonts w:asciiTheme="minorHAnsi" w:eastAsiaTheme="minorEastAsia" w:hAnsiTheme="minorHAnsi" w:cstheme="minorBidi"/>
          <w:spacing w:val="0"/>
          <w:sz w:val="22"/>
          <w:szCs w:val="22"/>
        </w:rPr>
        <w:tab/>
      </w:r>
      <w:r>
        <w:t>Mid-West Radio Quiet Zone</w:t>
      </w:r>
      <w:r>
        <w:tab/>
      </w:r>
      <w:r>
        <w:fldChar w:fldCharType="begin"/>
      </w:r>
      <w:r>
        <w:instrText xml:space="preserve"> PAGEREF _Toc111710870 \h </w:instrText>
      </w:r>
      <w:r>
        <w:fldChar w:fldCharType="separate"/>
      </w:r>
      <w:r w:rsidR="003F79BE">
        <w:t>13</w:t>
      </w:r>
      <w:r>
        <w:fldChar w:fldCharType="end"/>
      </w:r>
    </w:p>
    <w:p w14:paraId="14E26923" w14:textId="325C31C0" w:rsidR="00D86638" w:rsidRDefault="00D86638">
      <w:pPr>
        <w:pStyle w:val="TOC2"/>
        <w:rPr>
          <w:rFonts w:asciiTheme="minorHAnsi" w:eastAsiaTheme="minorEastAsia" w:hAnsiTheme="minorHAnsi" w:cstheme="minorBidi"/>
          <w:spacing w:val="0"/>
          <w:sz w:val="22"/>
          <w:szCs w:val="22"/>
        </w:rPr>
      </w:pPr>
      <w:r>
        <w:t>3.7</w:t>
      </w:r>
      <w:r>
        <w:rPr>
          <w:rFonts w:asciiTheme="minorHAnsi" w:eastAsiaTheme="minorEastAsia" w:hAnsiTheme="minorHAnsi" w:cstheme="minorBidi"/>
          <w:spacing w:val="0"/>
          <w:sz w:val="22"/>
          <w:szCs w:val="22"/>
        </w:rPr>
        <w:tab/>
      </w:r>
      <w:r>
        <w:t>Radio astronomy</w:t>
      </w:r>
      <w:r>
        <w:tab/>
      </w:r>
      <w:r>
        <w:fldChar w:fldCharType="begin"/>
      </w:r>
      <w:r>
        <w:instrText xml:space="preserve"> PAGEREF _Toc111710871 \h </w:instrText>
      </w:r>
      <w:r>
        <w:fldChar w:fldCharType="separate"/>
      </w:r>
      <w:r w:rsidR="003F79BE">
        <w:t>14</w:t>
      </w:r>
      <w:r>
        <w:fldChar w:fldCharType="end"/>
      </w:r>
    </w:p>
    <w:p w14:paraId="4CE83011" w14:textId="4E7D44C5" w:rsidR="00D86638" w:rsidRDefault="00D86638">
      <w:pPr>
        <w:pStyle w:val="TOC2"/>
        <w:rPr>
          <w:rFonts w:asciiTheme="minorHAnsi" w:eastAsiaTheme="minorEastAsia" w:hAnsiTheme="minorHAnsi" w:cstheme="minorBidi"/>
          <w:spacing w:val="0"/>
          <w:sz w:val="22"/>
          <w:szCs w:val="22"/>
        </w:rPr>
      </w:pPr>
      <w:r>
        <w:t>3.8</w:t>
      </w:r>
      <w:r>
        <w:rPr>
          <w:rFonts w:asciiTheme="minorHAnsi" w:eastAsiaTheme="minorEastAsia" w:hAnsiTheme="minorHAnsi" w:cstheme="minorBidi"/>
          <w:spacing w:val="0"/>
          <w:sz w:val="22"/>
          <w:szCs w:val="22"/>
        </w:rPr>
        <w:tab/>
      </w:r>
      <w:r>
        <w:t>Adjacent 2 GHz, 2.3 GHz spectrum licensing and PTS receivers</w:t>
      </w:r>
      <w:r>
        <w:tab/>
      </w:r>
      <w:r>
        <w:fldChar w:fldCharType="begin"/>
      </w:r>
      <w:r>
        <w:instrText xml:space="preserve"> PAGEREF _Toc111710872 \h </w:instrText>
      </w:r>
      <w:r>
        <w:fldChar w:fldCharType="separate"/>
      </w:r>
      <w:r w:rsidR="003F79BE">
        <w:t>14</w:t>
      </w:r>
      <w:r>
        <w:fldChar w:fldCharType="end"/>
      </w:r>
    </w:p>
    <w:p w14:paraId="0288D98A" w14:textId="1DD56FAD" w:rsidR="00D86638" w:rsidRDefault="00D86638">
      <w:pPr>
        <w:pStyle w:val="TOC3"/>
        <w:tabs>
          <w:tab w:val="left" w:pos="885"/>
        </w:tabs>
        <w:rPr>
          <w:rFonts w:asciiTheme="minorHAnsi" w:eastAsiaTheme="minorEastAsia" w:hAnsiTheme="minorHAnsi" w:cstheme="minorBidi"/>
        </w:rPr>
      </w:pPr>
      <w:r>
        <w:t>3.8.1</w:t>
      </w:r>
      <w:r>
        <w:rPr>
          <w:rFonts w:asciiTheme="minorHAnsi" w:eastAsiaTheme="minorEastAsia" w:hAnsiTheme="minorHAnsi" w:cstheme="minorBidi"/>
        </w:rPr>
        <w:tab/>
      </w:r>
      <w:r>
        <w:t>1980-2010 and 2170-2200 MHz</w:t>
      </w:r>
      <w:r>
        <w:tab/>
      </w:r>
      <w:r>
        <w:fldChar w:fldCharType="begin"/>
      </w:r>
      <w:r>
        <w:instrText xml:space="preserve"> PAGEREF _Toc111710873 \h </w:instrText>
      </w:r>
      <w:r>
        <w:fldChar w:fldCharType="separate"/>
      </w:r>
      <w:r w:rsidR="003F79BE">
        <w:t>14</w:t>
      </w:r>
      <w:r>
        <w:fldChar w:fldCharType="end"/>
      </w:r>
    </w:p>
    <w:p w14:paraId="570E430C" w14:textId="06D56CE5" w:rsidR="00D86638" w:rsidRDefault="00D86638">
      <w:pPr>
        <w:pStyle w:val="TOC3"/>
        <w:tabs>
          <w:tab w:val="left" w:pos="885"/>
        </w:tabs>
        <w:rPr>
          <w:rFonts w:asciiTheme="minorHAnsi" w:eastAsiaTheme="minorEastAsia" w:hAnsiTheme="minorHAnsi" w:cstheme="minorBidi"/>
        </w:rPr>
      </w:pPr>
      <w:r>
        <w:t>3.8.2</w:t>
      </w:r>
      <w:r>
        <w:rPr>
          <w:rFonts w:asciiTheme="minorHAnsi" w:eastAsiaTheme="minorEastAsia" w:hAnsiTheme="minorHAnsi" w:cstheme="minorBidi"/>
        </w:rPr>
        <w:tab/>
      </w:r>
      <w:r>
        <w:t>2010-2110 and 2200-2300 MHz</w:t>
      </w:r>
      <w:r>
        <w:tab/>
      </w:r>
      <w:r>
        <w:fldChar w:fldCharType="begin"/>
      </w:r>
      <w:r>
        <w:instrText xml:space="preserve"> PAGEREF _Toc111710874 \h </w:instrText>
      </w:r>
      <w:r>
        <w:fldChar w:fldCharType="separate"/>
      </w:r>
      <w:r w:rsidR="003F79BE">
        <w:t>14</w:t>
      </w:r>
      <w:r>
        <w:fldChar w:fldCharType="end"/>
      </w:r>
    </w:p>
    <w:p w14:paraId="592EFAE0" w14:textId="76E48004" w:rsidR="00D86638" w:rsidRDefault="00D86638">
      <w:pPr>
        <w:pStyle w:val="TOC1"/>
        <w:tabs>
          <w:tab w:val="left" w:pos="885"/>
        </w:tabs>
        <w:rPr>
          <w:rFonts w:asciiTheme="minorHAnsi" w:eastAsiaTheme="minorEastAsia" w:hAnsiTheme="minorHAnsi" w:cstheme="minorBidi"/>
          <w:b w:val="0"/>
          <w:spacing w:val="0"/>
          <w:sz w:val="22"/>
          <w:szCs w:val="22"/>
        </w:rPr>
      </w:pPr>
      <w:r w:rsidRPr="00473DDF">
        <w:rPr>
          <w14:scene3d>
            <w14:camera w14:prst="orthographicFront"/>
            <w14:lightRig w14:rig="threePt" w14:dir="t">
              <w14:rot w14:lat="0" w14:lon="0" w14:rev="0"/>
            </w14:lightRig>
          </w14:scene3d>
        </w:rPr>
        <w:lastRenderedPageBreak/>
        <w:t>4</w:t>
      </w:r>
      <w:r>
        <w:rPr>
          <w:rFonts w:asciiTheme="minorHAnsi" w:eastAsiaTheme="minorEastAsia" w:hAnsiTheme="minorHAnsi" w:cstheme="minorBidi"/>
          <w:b w:val="0"/>
          <w:spacing w:val="0"/>
          <w:sz w:val="22"/>
          <w:szCs w:val="22"/>
        </w:rPr>
        <w:tab/>
      </w:r>
      <w:r>
        <w:t>Coordination of TOB receivers</w:t>
      </w:r>
      <w:r>
        <w:tab/>
      </w:r>
      <w:r>
        <w:fldChar w:fldCharType="begin"/>
      </w:r>
      <w:r>
        <w:instrText xml:space="preserve"> PAGEREF _Toc111710875 \h </w:instrText>
      </w:r>
      <w:r>
        <w:fldChar w:fldCharType="separate"/>
      </w:r>
      <w:r w:rsidR="003F79BE">
        <w:t>16</w:t>
      </w:r>
      <w:r>
        <w:fldChar w:fldCharType="end"/>
      </w:r>
    </w:p>
    <w:p w14:paraId="7A5B5A35" w14:textId="7E95A0B5" w:rsidR="00D86638" w:rsidRDefault="00D86638">
      <w:pPr>
        <w:pStyle w:val="TOC2"/>
        <w:rPr>
          <w:rFonts w:asciiTheme="minorHAnsi" w:eastAsiaTheme="minorEastAsia" w:hAnsiTheme="minorHAnsi" w:cstheme="minorBidi"/>
          <w:spacing w:val="0"/>
          <w:sz w:val="22"/>
          <w:szCs w:val="22"/>
        </w:rPr>
      </w:pPr>
      <w:r>
        <w:t>4.1</w:t>
      </w:r>
      <w:r>
        <w:rPr>
          <w:rFonts w:asciiTheme="minorHAnsi" w:eastAsiaTheme="minorEastAsia" w:hAnsiTheme="minorHAnsi" w:cstheme="minorBidi"/>
          <w:spacing w:val="0"/>
          <w:sz w:val="22"/>
          <w:szCs w:val="22"/>
        </w:rPr>
        <w:tab/>
      </w:r>
      <w:r>
        <w:t>Television outside broadcasting</w:t>
      </w:r>
      <w:r>
        <w:tab/>
      </w:r>
      <w:r>
        <w:fldChar w:fldCharType="begin"/>
      </w:r>
      <w:r>
        <w:instrText xml:space="preserve"> PAGEREF _Toc111710876 \h </w:instrText>
      </w:r>
      <w:r>
        <w:fldChar w:fldCharType="separate"/>
      </w:r>
      <w:r w:rsidR="003F79BE">
        <w:t>16</w:t>
      </w:r>
      <w:r>
        <w:fldChar w:fldCharType="end"/>
      </w:r>
    </w:p>
    <w:p w14:paraId="1DA0A69B" w14:textId="277811A6" w:rsidR="00D86638" w:rsidRDefault="00D86638">
      <w:pPr>
        <w:pStyle w:val="TOC2"/>
        <w:rPr>
          <w:rFonts w:asciiTheme="minorHAnsi" w:eastAsiaTheme="minorEastAsia" w:hAnsiTheme="minorHAnsi" w:cstheme="minorBidi"/>
          <w:spacing w:val="0"/>
          <w:sz w:val="22"/>
          <w:szCs w:val="22"/>
        </w:rPr>
      </w:pPr>
      <w:r>
        <w:t>4.2</w:t>
      </w:r>
      <w:r>
        <w:rPr>
          <w:rFonts w:asciiTheme="minorHAnsi" w:eastAsiaTheme="minorEastAsia" w:hAnsiTheme="minorHAnsi" w:cstheme="minorBidi"/>
          <w:spacing w:val="0"/>
          <w:sz w:val="22"/>
          <w:szCs w:val="22"/>
        </w:rPr>
        <w:tab/>
      </w:r>
      <w:r>
        <w:t>Fixed point-to-point links transmitters</w:t>
      </w:r>
      <w:r>
        <w:tab/>
      </w:r>
      <w:r>
        <w:fldChar w:fldCharType="begin"/>
      </w:r>
      <w:r>
        <w:instrText xml:space="preserve"> PAGEREF _Toc111710877 \h </w:instrText>
      </w:r>
      <w:r>
        <w:fldChar w:fldCharType="separate"/>
      </w:r>
      <w:r w:rsidR="003F79BE">
        <w:t>16</w:t>
      </w:r>
      <w:r>
        <w:fldChar w:fldCharType="end"/>
      </w:r>
    </w:p>
    <w:p w14:paraId="37244BD2" w14:textId="5D869E0A" w:rsidR="00D86638" w:rsidRDefault="00D86638">
      <w:pPr>
        <w:pStyle w:val="TOC2"/>
        <w:rPr>
          <w:rFonts w:asciiTheme="minorHAnsi" w:eastAsiaTheme="minorEastAsia" w:hAnsiTheme="minorHAnsi" w:cstheme="minorBidi"/>
          <w:spacing w:val="0"/>
          <w:sz w:val="22"/>
          <w:szCs w:val="22"/>
        </w:rPr>
      </w:pPr>
      <w:r>
        <w:t>4.3</w:t>
      </w:r>
      <w:r>
        <w:rPr>
          <w:rFonts w:asciiTheme="minorHAnsi" w:eastAsiaTheme="minorEastAsia" w:hAnsiTheme="minorHAnsi" w:cstheme="minorBidi"/>
          <w:spacing w:val="0"/>
          <w:sz w:val="22"/>
          <w:szCs w:val="22"/>
        </w:rPr>
        <w:tab/>
      </w:r>
      <w:r>
        <w:t>Earth station transmitters</w:t>
      </w:r>
      <w:r>
        <w:tab/>
      </w:r>
      <w:r>
        <w:fldChar w:fldCharType="begin"/>
      </w:r>
      <w:r>
        <w:instrText xml:space="preserve"> PAGEREF _Toc111710878 \h </w:instrText>
      </w:r>
      <w:r>
        <w:fldChar w:fldCharType="separate"/>
      </w:r>
      <w:r w:rsidR="003F79BE">
        <w:t>16</w:t>
      </w:r>
      <w:r>
        <w:fldChar w:fldCharType="end"/>
      </w:r>
    </w:p>
    <w:p w14:paraId="067D8405" w14:textId="486402C5" w:rsidR="00D86638" w:rsidRDefault="00D86638">
      <w:pPr>
        <w:pStyle w:val="TOC3"/>
        <w:tabs>
          <w:tab w:val="left" w:pos="885"/>
        </w:tabs>
        <w:rPr>
          <w:rFonts w:asciiTheme="minorHAnsi" w:eastAsiaTheme="minorEastAsia" w:hAnsiTheme="minorHAnsi" w:cstheme="minorBidi"/>
        </w:rPr>
      </w:pPr>
      <w:r>
        <w:t>4.3.1</w:t>
      </w:r>
      <w:r>
        <w:rPr>
          <w:rFonts w:asciiTheme="minorHAnsi" w:eastAsiaTheme="minorEastAsia" w:hAnsiTheme="minorHAnsi" w:cstheme="minorBidi"/>
        </w:rPr>
        <w:tab/>
      </w:r>
      <w:r>
        <w:t>Alice Springs</w:t>
      </w:r>
      <w:r>
        <w:tab/>
      </w:r>
      <w:r>
        <w:fldChar w:fldCharType="begin"/>
      </w:r>
      <w:r>
        <w:instrText xml:space="preserve"> PAGEREF _Toc111710879 \h </w:instrText>
      </w:r>
      <w:r>
        <w:fldChar w:fldCharType="separate"/>
      </w:r>
      <w:r w:rsidR="003F79BE">
        <w:t>17</w:t>
      </w:r>
      <w:r>
        <w:fldChar w:fldCharType="end"/>
      </w:r>
    </w:p>
    <w:p w14:paraId="183E674B" w14:textId="6D192245" w:rsidR="00D86638" w:rsidRDefault="00D86638">
      <w:pPr>
        <w:pStyle w:val="TOC3"/>
        <w:tabs>
          <w:tab w:val="left" w:pos="885"/>
        </w:tabs>
        <w:rPr>
          <w:rFonts w:asciiTheme="minorHAnsi" w:eastAsiaTheme="minorEastAsia" w:hAnsiTheme="minorHAnsi" w:cstheme="minorBidi"/>
        </w:rPr>
      </w:pPr>
      <w:r>
        <w:t>4.3.2</w:t>
      </w:r>
      <w:r>
        <w:rPr>
          <w:rFonts w:asciiTheme="minorHAnsi" w:eastAsiaTheme="minorEastAsia" w:hAnsiTheme="minorHAnsi" w:cstheme="minorBidi"/>
        </w:rPr>
        <w:tab/>
      </w:r>
      <w:r>
        <w:t>HMAS Cerberus</w:t>
      </w:r>
      <w:r>
        <w:tab/>
      </w:r>
      <w:r>
        <w:fldChar w:fldCharType="begin"/>
      </w:r>
      <w:r>
        <w:instrText xml:space="preserve"> PAGEREF _Toc111710880 \h </w:instrText>
      </w:r>
      <w:r>
        <w:fldChar w:fldCharType="separate"/>
      </w:r>
      <w:r w:rsidR="003F79BE">
        <w:t>17</w:t>
      </w:r>
      <w:r>
        <w:fldChar w:fldCharType="end"/>
      </w:r>
    </w:p>
    <w:p w14:paraId="2D0D79EB" w14:textId="7D4BE181" w:rsidR="00D86638" w:rsidRDefault="00D86638">
      <w:pPr>
        <w:pStyle w:val="TOC3"/>
        <w:tabs>
          <w:tab w:val="left" w:pos="885"/>
        </w:tabs>
        <w:rPr>
          <w:rFonts w:asciiTheme="minorHAnsi" w:eastAsiaTheme="minorEastAsia" w:hAnsiTheme="minorHAnsi" w:cstheme="minorBidi"/>
        </w:rPr>
      </w:pPr>
      <w:r>
        <w:t>4.3.3</w:t>
      </w:r>
      <w:r>
        <w:rPr>
          <w:rFonts w:asciiTheme="minorHAnsi" w:eastAsiaTheme="minorEastAsia" w:hAnsiTheme="minorHAnsi" w:cstheme="minorBidi"/>
        </w:rPr>
        <w:tab/>
      </w:r>
      <w:r>
        <w:t>New Norcia</w:t>
      </w:r>
      <w:r>
        <w:tab/>
      </w:r>
      <w:r>
        <w:fldChar w:fldCharType="begin"/>
      </w:r>
      <w:r>
        <w:instrText xml:space="preserve"> PAGEREF _Toc111710881 \h </w:instrText>
      </w:r>
      <w:r>
        <w:fldChar w:fldCharType="separate"/>
      </w:r>
      <w:r w:rsidR="003F79BE">
        <w:t>17</w:t>
      </w:r>
      <w:r>
        <w:fldChar w:fldCharType="end"/>
      </w:r>
    </w:p>
    <w:p w14:paraId="790B05C2" w14:textId="05C3F772" w:rsidR="00D86638" w:rsidRDefault="00D86638">
      <w:pPr>
        <w:pStyle w:val="TOC2"/>
        <w:rPr>
          <w:rFonts w:asciiTheme="minorHAnsi" w:eastAsiaTheme="minorEastAsia" w:hAnsiTheme="minorHAnsi" w:cstheme="minorBidi"/>
          <w:spacing w:val="0"/>
          <w:sz w:val="22"/>
          <w:szCs w:val="22"/>
        </w:rPr>
      </w:pPr>
      <w:r>
        <w:t>4.4</w:t>
      </w:r>
      <w:r>
        <w:rPr>
          <w:rFonts w:asciiTheme="minorHAnsi" w:eastAsiaTheme="minorEastAsia" w:hAnsiTheme="minorHAnsi" w:cstheme="minorBidi"/>
          <w:spacing w:val="0"/>
          <w:sz w:val="22"/>
          <w:szCs w:val="22"/>
        </w:rPr>
        <w:tab/>
      </w:r>
      <w:r>
        <w:t>Airborne mobile telemetry transmitters</w:t>
      </w:r>
      <w:r>
        <w:tab/>
      </w:r>
      <w:r>
        <w:fldChar w:fldCharType="begin"/>
      </w:r>
      <w:r>
        <w:instrText xml:space="preserve"> PAGEREF _Toc111710882 \h </w:instrText>
      </w:r>
      <w:r>
        <w:fldChar w:fldCharType="separate"/>
      </w:r>
      <w:r w:rsidR="003F79BE">
        <w:t>17</w:t>
      </w:r>
      <w:r>
        <w:fldChar w:fldCharType="end"/>
      </w:r>
    </w:p>
    <w:p w14:paraId="36E8D811" w14:textId="5E41AF7D" w:rsidR="00D86638" w:rsidRDefault="00D86638">
      <w:pPr>
        <w:pStyle w:val="TOC2"/>
        <w:rPr>
          <w:rFonts w:asciiTheme="minorHAnsi" w:eastAsiaTheme="minorEastAsia" w:hAnsiTheme="minorHAnsi" w:cstheme="minorBidi"/>
          <w:spacing w:val="0"/>
          <w:sz w:val="22"/>
          <w:szCs w:val="22"/>
        </w:rPr>
      </w:pPr>
      <w:r>
        <w:t>4.5</w:t>
      </w:r>
      <w:r>
        <w:rPr>
          <w:rFonts w:asciiTheme="minorHAnsi" w:eastAsiaTheme="minorEastAsia" w:hAnsiTheme="minorHAnsi" w:cstheme="minorBidi"/>
          <w:spacing w:val="0"/>
          <w:sz w:val="22"/>
          <w:szCs w:val="22"/>
        </w:rPr>
        <w:tab/>
      </w:r>
      <w:r>
        <w:t>Adjacent 2 GHz, 2.3 GHz spectrum licensing and PTS</w:t>
      </w:r>
      <w:r>
        <w:tab/>
      </w:r>
      <w:r>
        <w:fldChar w:fldCharType="begin"/>
      </w:r>
      <w:r>
        <w:instrText xml:space="preserve"> PAGEREF _Toc111710883 \h </w:instrText>
      </w:r>
      <w:r>
        <w:fldChar w:fldCharType="separate"/>
      </w:r>
      <w:r w:rsidR="003F79BE">
        <w:t>17</w:t>
      </w:r>
      <w:r>
        <w:fldChar w:fldCharType="end"/>
      </w:r>
    </w:p>
    <w:p w14:paraId="1DB5CFEE" w14:textId="3A3BA557" w:rsidR="00D86638" w:rsidRDefault="00D86638">
      <w:pPr>
        <w:pStyle w:val="TOC3"/>
        <w:tabs>
          <w:tab w:val="left" w:pos="885"/>
        </w:tabs>
        <w:rPr>
          <w:rFonts w:asciiTheme="minorHAnsi" w:eastAsiaTheme="minorEastAsia" w:hAnsiTheme="minorHAnsi" w:cstheme="minorBidi"/>
        </w:rPr>
      </w:pPr>
      <w:r>
        <w:t>4.5.1</w:t>
      </w:r>
      <w:r>
        <w:rPr>
          <w:rFonts w:asciiTheme="minorHAnsi" w:eastAsiaTheme="minorEastAsia" w:hAnsiTheme="minorHAnsi" w:cstheme="minorBidi"/>
        </w:rPr>
        <w:tab/>
      </w:r>
      <w:r>
        <w:t>Coordination procedure</w:t>
      </w:r>
      <w:r>
        <w:tab/>
      </w:r>
      <w:r>
        <w:fldChar w:fldCharType="begin"/>
      </w:r>
      <w:r>
        <w:instrText xml:space="preserve"> PAGEREF _Toc111710884 \h </w:instrText>
      </w:r>
      <w:r>
        <w:fldChar w:fldCharType="separate"/>
      </w:r>
      <w:r w:rsidR="003F79BE">
        <w:t>18</w:t>
      </w:r>
      <w:r>
        <w:fldChar w:fldCharType="end"/>
      </w:r>
    </w:p>
    <w:p w14:paraId="62F6A970" w14:textId="26A3992F" w:rsidR="00D86638" w:rsidRDefault="00D86638">
      <w:pPr>
        <w:pStyle w:val="TOC1"/>
        <w:tabs>
          <w:tab w:val="left" w:pos="885"/>
        </w:tabs>
        <w:rPr>
          <w:rFonts w:asciiTheme="minorHAnsi" w:eastAsiaTheme="minorEastAsia" w:hAnsiTheme="minorHAnsi" w:cstheme="minorBidi"/>
          <w:b w:val="0"/>
          <w:spacing w:val="0"/>
          <w:sz w:val="22"/>
          <w:szCs w:val="22"/>
        </w:rPr>
      </w:pPr>
      <w:r w:rsidRPr="00473DDF">
        <w:rPr>
          <w14:scene3d>
            <w14:camera w14:prst="orthographicFront"/>
            <w14:lightRig w14:rig="threePt" w14:dir="t">
              <w14:rot w14:lat="0" w14:lon="0" w14:rev="0"/>
            </w14:lightRig>
          </w14:scene3d>
        </w:rPr>
        <w:t>5</w:t>
      </w:r>
      <w:r>
        <w:rPr>
          <w:rFonts w:asciiTheme="minorHAnsi" w:eastAsiaTheme="minorEastAsia" w:hAnsiTheme="minorHAnsi" w:cstheme="minorBidi"/>
          <w:b w:val="0"/>
          <w:spacing w:val="0"/>
          <w:sz w:val="22"/>
          <w:szCs w:val="22"/>
        </w:rPr>
        <w:tab/>
      </w:r>
      <w:r>
        <w:t>Licensing</w:t>
      </w:r>
      <w:r>
        <w:tab/>
      </w:r>
      <w:r>
        <w:fldChar w:fldCharType="begin"/>
      </w:r>
      <w:r>
        <w:instrText xml:space="preserve"> PAGEREF _Toc111710885 \h </w:instrText>
      </w:r>
      <w:r>
        <w:fldChar w:fldCharType="separate"/>
      </w:r>
      <w:r w:rsidR="003F79BE">
        <w:t>20</w:t>
      </w:r>
      <w:r>
        <w:fldChar w:fldCharType="end"/>
      </w:r>
    </w:p>
    <w:p w14:paraId="2BCF0E92" w14:textId="28EC4BBA" w:rsidR="00D86638" w:rsidRDefault="00D86638">
      <w:pPr>
        <w:pStyle w:val="TOC2"/>
        <w:rPr>
          <w:rFonts w:asciiTheme="minorHAnsi" w:eastAsiaTheme="minorEastAsia" w:hAnsiTheme="minorHAnsi" w:cstheme="minorBidi"/>
          <w:spacing w:val="0"/>
          <w:sz w:val="22"/>
          <w:szCs w:val="22"/>
        </w:rPr>
      </w:pPr>
      <w:r>
        <w:t>5.1</w:t>
      </w:r>
      <w:r>
        <w:rPr>
          <w:rFonts w:asciiTheme="minorHAnsi" w:eastAsiaTheme="minorEastAsia" w:hAnsiTheme="minorHAnsi" w:cstheme="minorBidi"/>
          <w:spacing w:val="0"/>
          <w:sz w:val="22"/>
          <w:szCs w:val="22"/>
        </w:rPr>
        <w:tab/>
      </w:r>
      <w:r>
        <w:t>General</w:t>
      </w:r>
      <w:r>
        <w:tab/>
      </w:r>
      <w:r>
        <w:fldChar w:fldCharType="begin"/>
      </w:r>
      <w:r>
        <w:instrText xml:space="preserve"> PAGEREF _Toc111710886 \h </w:instrText>
      </w:r>
      <w:r>
        <w:fldChar w:fldCharType="separate"/>
      </w:r>
      <w:r w:rsidR="003F79BE">
        <w:t>20</w:t>
      </w:r>
      <w:r>
        <w:fldChar w:fldCharType="end"/>
      </w:r>
    </w:p>
    <w:p w14:paraId="416ECB8F" w14:textId="0C32BD9E" w:rsidR="00D86638" w:rsidRDefault="00D86638">
      <w:pPr>
        <w:pStyle w:val="TOC3"/>
        <w:tabs>
          <w:tab w:val="left" w:pos="885"/>
        </w:tabs>
        <w:rPr>
          <w:rFonts w:asciiTheme="minorHAnsi" w:eastAsiaTheme="minorEastAsia" w:hAnsiTheme="minorHAnsi" w:cstheme="minorBidi"/>
        </w:rPr>
      </w:pPr>
      <w:r>
        <w:t>5.1.1</w:t>
      </w:r>
      <w:r>
        <w:rPr>
          <w:rFonts w:asciiTheme="minorHAnsi" w:eastAsiaTheme="minorEastAsia" w:hAnsiTheme="minorHAnsi" w:cstheme="minorBidi"/>
        </w:rPr>
        <w:tab/>
      </w:r>
      <w:r>
        <w:t>1980-2010 MHz and 2170-2200 MHz</w:t>
      </w:r>
      <w:r>
        <w:tab/>
      </w:r>
      <w:r>
        <w:fldChar w:fldCharType="begin"/>
      </w:r>
      <w:r>
        <w:instrText xml:space="preserve"> PAGEREF _Toc111710887 \h </w:instrText>
      </w:r>
      <w:r>
        <w:fldChar w:fldCharType="separate"/>
      </w:r>
      <w:r w:rsidR="003F79BE">
        <w:t>20</w:t>
      </w:r>
      <w:r>
        <w:fldChar w:fldCharType="end"/>
      </w:r>
    </w:p>
    <w:p w14:paraId="52840297" w14:textId="689A7857" w:rsidR="00D86638" w:rsidRDefault="00D86638">
      <w:pPr>
        <w:pStyle w:val="TOC3"/>
        <w:tabs>
          <w:tab w:val="left" w:pos="885"/>
        </w:tabs>
        <w:rPr>
          <w:rFonts w:asciiTheme="minorHAnsi" w:eastAsiaTheme="minorEastAsia" w:hAnsiTheme="minorHAnsi" w:cstheme="minorBidi"/>
        </w:rPr>
      </w:pPr>
      <w:r>
        <w:t>5.1.2</w:t>
      </w:r>
      <w:r>
        <w:rPr>
          <w:rFonts w:asciiTheme="minorHAnsi" w:eastAsiaTheme="minorEastAsia" w:hAnsiTheme="minorHAnsi" w:cstheme="minorBidi"/>
        </w:rPr>
        <w:tab/>
      </w:r>
      <w:r>
        <w:t>2010-2110 MHz and 2200-2300 MHz</w:t>
      </w:r>
      <w:r>
        <w:tab/>
      </w:r>
      <w:r>
        <w:fldChar w:fldCharType="begin"/>
      </w:r>
      <w:r>
        <w:instrText xml:space="preserve"> PAGEREF _Toc111710888 \h </w:instrText>
      </w:r>
      <w:r>
        <w:fldChar w:fldCharType="separate"/>
      </w:r>
      <w:r w:rsidR="003F79BE">
        <w:t>20</w:t>
      </w:r>
      <w:r>
        <w:fldChar w:fldCharType="end"/>
      </w:r>
    </w:p>
    <w:p w14:paraId="2D644C4C" w14:textId="0219F36E" w:rsidR="00D86638" w:rsidRDefault="00D86638">
      <w:pPr>
        <w:pStyle w:val="TOC2"/>
        <w:rPr>
          <w:rFonts w:asciiTheme="minorHAnsi" w:eastAsiaTheme="minorEastAsia" w:hAnsiTheme="minorHAnsi" w:cstheme="minorBidi"/>
          <w:spacing w:val="0"/>
          <w:sz w:val="22"/>
          <w:szCs w:val="22"/>
        </w:rPr>
      </w:pPr>
      <w:r>
        <w:t>5.2</w:t>
      </w:r>
      <w:r>
        <w:rPr>
          <w:rFonts w:asciiTheme="minorHAnsi" w:eastAsiaTheme="minorEastAsia" w:hAnsiTheme="minorHAnsi" w:cstheme="minorBidi"/>
          <w:spacing w:val="0"/>
          <w:sz w:val="22"/>
          <w:szCs w:val="22"/>
        </w:rPr>
        <w:tab/>
      </w:r>
      <w:r>
        <w:t>Licence conditions</w:t>
      </w:r>
      <w:r>
        <w:tab/>
      </w:r>
      <w:r>
        <w:fldChar w:fldCharType="begin"/>
      </w:r>
      <w:r>
        <w:instrText xml:space="preserve"> PAGEREF _Toc111710889 \h </w:instrText>
      </w:r>
      <w:r>
        <w:fldChar w:fldCharType="separate"/>
      </w:r>
      <w:r w:rsidR="003F79BE">
        <w:t>20</w:t>
      </w:r>
      <w:r>
        <w:fldChar w:fldCharType="end"/>
      </w:r>
    </w:p>
    <w:p w14:paraId="7BCFD998" w14:textId="669DAB2B" w:rsidR="00D86638" w:rsidRDefault="00D86638">
      <w:pPr>
        <w:pStyle w:val="TOC1"/>
        <w:tabs>
          <w:tab w:val="left" w:pos="885"/>
        </w:tabs>
        <w:rPr>
          <w:rFonts w:asciiTheme="minorHAnsi" w:eastAsiaTheme="minorEastAsia" w:hAnsiTheme="minorHAnsi" w:cstheme="minorBidi"/>
          <w:b w:val="0"/>
          <w:spacing w:val="0"/>
          <w:sz w:val="22"/>
          <w:szCs w:val="22"/>
        </w:rPr>
      </w:pPr>
      <w:r w:rsidRPr="00473DDF">
        <w:rPr>
          <w14:scene3d>
            <w14:camera w14:prst="orthographicFront"/>
            <w14:lightRig w14:rig="threePt" w14:dir="t">
              <w14:rot w14:lat="0" w14:lon="0" w14:rev="0"/>
            </w14:lightRig>
          </w14:scene3d>
        </w:rPr>
        <w:t>6</w:t>
      </w:r>
      <w:r>
        <w:rPr>
          <w:rFonts w:asciiTheme="minorHAnsi" w:eastAsiaTheme="minorEastAsia" w:hAnsiTheme="minorHAnsi" w:cstheme="minorBidi"/>
          <w:b w:val="0"/>
          <w:spacing w:val="0"/>
          <w:sz w:val="22"/>
          <w:szCs w:val="22"/>
        </w:rPr>
        <w:tab/>
      </w:r>
      <w:r>
        <w:t>RALI authorisation</w:t>
      </w:r>
      <w:r>
        <w:tab/>
      </w:r>
      <w:r>
        <w:fldChar w:fldCharType="begin"/>
      </w:r>
      <w:r>
        <w:instrText xml:space="preserve"> PAGEREF _Toc111710890 \h </w:instrText>
      </w:r>
      <w:r>
        <w:fldChar w:fldCharType="separate"/>
      </w:r>
      <w:r w:rsidR="003F79BE">
        <w:t>21</w:t>
      </w:r>
      <w:r>
        <w:fldChar w:fldCharType="end"/>
      </w:r>
    </w:p>
    <w:p w14:paraId="6FDBA230" w14:textId="5FED78C4" w:rsidR="00D86638" w:rsidRDefault="00D86638">
      <w:pPr>
        <w:pStyle w:val="TOC1"/>
        <w:rPr>
          <w:rFonts w:asciiTheme="minorHAnsi" w:eastAsiaTheme="minorEastAsia" w:hAnsiTheme="minorHAnsi" w:cstheme="minorBidi"/>
          <w:b w:val="0"/>
          <w:spacing w:val="0"/>
          <w:sz w:val="22"/>
          <w:szCs w:val="22"/>
        </w:rPr>
      </w:pPr>
      <w:r>
        <w:t>Appendix A: Summary of coordination arrangements</w:t>
      </w:r>
      <w:r>
        <w:tab/>
      </w:r>
      <w:r>
        <w:fldChar w:fldCharType="begin"/>
      </w:r>
      <w:r>
        <w:instrText xml:space="preserve"> PAGEREF _Toc111710891 \h </w:instrText>
      </w:r>
      <w:r>
        <w:fldChar w:fldCharType="separate"/>
      </w:r>
      <w:r w:rsidR="003F79BE">
        <w:t>22</w:t>
      </w:r>
      <w:r>
        <w:fldChar w:fldCharType="end"/>
      </w:r>
    </w:p>
    <w:p w14:paraId="57EA02F2" w14:textId="6A92B165" w:rsidR="00D86638" w:rsidRDefault="00D86638">
      <w:pPr>
        <w:pStyle w:val="TOC1"/>
        <w:rPr>
          <w:rFonts w:asciiTheme="minorHAnsi" w:eastAsiaTheme="minorEastAsia" w:hAnsiTheme="minorHAnsi" w:cstheme="minorBidi"/>
          <w:b w:val="0"/>
          <w:spacing w:val="0"/>
          <w:sz w:val="22"/>
          <w:szCs w:val="22"/>
        </w:rPr>
      </w:pPr>
      <w:r>
        <w:t>Appendix B: Typical characteristics for TOB services operating in the bands 2010-2110 MHz and 2200-2300 MHz</w:t>
      </w:r>
      <w:r>
        <w:tab/>
      </w:r>
      <w:r>
        <w:fldChar w:fldCharType="begin"/>
      </w:r>
      <w:r>
        <w:instrText xml:space="preserve"> PAGEREF _Toc111710892 \h </w:instrText>
      </w:r>
      <w:r>
        <w:fldChar w:fldCharType="separate"/>
      </w:r>
      <w:r w:rsidR="003F79BE">
        <w:t>24</w:t>
      </w:r>
      <w:r>
        <w:fldChar w:fldCharType="end"/>
      </w:r>
    </w:p>
    <w:p w14:paraId="477FF354" w14:textId="2A339707" w:rsidR="00D86638" w:rsidRDefault="00D86638">
      <w:pPr>
        <w:pStyle w:val="TOC1"/>
        <w:rPr>
          <w:rFonts w:asciiTheme="minorHAnsi" w:eastAsiaTheme="minorEastAsia" w:hAnsiTheme="minorHAnsi" w:cstheme="minorBidi"/>
          <w:b w:val="0"/>
          <w:spacing w:val="0"/>
          <w:sz w:val="22"/>
          <w:szCs w:val="22"/>
        </w:rPr>
      </w:pPr>
      <w:r>
        <w:t>Appendix C: Coordination between a TOB Station and Earth Stations in the band 2200-2300 MHz</w:t>
      </w:r>
      <w:r>
        <w:tab/>
      </w:r>
      <w:r>
        <w:fldChar w:fldCharType="begin"/>
      </w:r>
      <w:r>
        <w:instrText xml:space="preserve"> PAGEREF _Toc111710893 \h </w:instrText>
      </w:r>
      <w:r>
        <w:fldChar w:fldCharType="separate"/>
      </w:r>
      <w:r w:rsidR="003F79BE">
        <w:t>26</w:t>
      </w:r>
      <w:r>
        <w:fldChar w:fldCharType="end"/>
      </w:r>
    </w:p>
    <w:p w14:paraId="12A6A932" w14:textId="6106813F" w:rsidR="00D86638" w:rsidRDefault="00D86638">
      <w:pPr>
        <w:pStyle w:val="TOC1"/>
        <w:rPr>
          <w:rFonts w:asciiTheme="minorHAnsi" w:eastAsiaTheme="minorEastAsia" w:hAnsiTheme="minorHAnsi" w:cstheme="minorBidi"/>
          <w:b w:val="0"/>
          <w:spacing w:val="0"/>
          <w:sz w:val="22"/>
          <w:szCs w:val="22"/>
        </w:rPr>
      </w:pPr>
      <w:r>
        <w:t>Appendix D: Coordination between a high power TOB Station and Fixed Point</w:t>
      </w:r>
      <w:r>
        <w:noBreakHyphen/>
        <w:t>to</w:t>
      </w:r>
      <w:r>
        <w:noBreakHyphen/>
        <w:t>Point links in the bands 2010-2110 MHz and 2200-2300 MHz</w:t>
      </w:r>
      <w:r>
        <w:tab/>
      </w:r>
      <w:r>
        <w:fldChar w:fldCharType="begin"/>
      </w:r>
      <w:r>
        <w:instrText xml:space="preserve"> PAGEREF _Toc111710894 \h </w:instrText>
      </w:r>
      <w:r>
        <w:fldChar w:fldCharType="separate"/>
      </w:r>
      <w:r w:rsidR="003F79BE">
        <w:t>31</w:t>
      </w:r>
      <w:r>
        <w:fldChar w:fldCharType="end"/>
      </w:r>
    </w:p>
    <w:p w14:paraId="1EB5A82D" w14:textId="7E395DD9" w:rsidR="00D86638" w:rsidRDefault="00D86638">
      <w:pPr>
        <w:pStyle w:val="TOC1"/>
        <w:rPr>
          <w:rFonts w:asciiTheme="minorHAnsi" w:eastAsiaTheme="minorEastAsia" w:hAnsiTheme="minorHAnsi" w:cstheme="minorBidi"/>
          <w:b w:val="0"/>
          <w:spacing w:val="0"/>
          <w:sz w:val="22"/>
          <w:szCs w:val="22"/>
        </w:rPr>
      </w:pPr>
      <w:r>
        <w:t>Appendix E: Designated areas for the 2.0 GHz spectrum licence</w:t>
      </w:r>
      <w:r>
        <w:tab/>
      </w:r>
      <w:r>
        <w:tab/>
      </w:r>
      <w:r>
        <w:fldChar w:fldCharType="begin"/>
      </w:r>
      <w:r>
        <w:instrText xml:space="preserve"> PAGEREF _Toc111710895 \h </w:instrText>
      </w:r>
      <w:r>
        <w:fldChar w:fldCharType="separate"/>
      </w:r>
      <w:r w:rsidR="003F79BE">
        <w:t>34</w:t>
      </w:r>
      <w:r>
        <w:fldChar w:fldCharType="end"/>
      </w:r>
    </w:p>
    <w:p w14:paraId="3A0184FD" w14:textId="128FF1E3" w:rsidR="00D86638" w:rsidRDefault="00D86638">
      <w:pPr>
        <w:pStyle w:val="TOC1"/>
        <w:rPr>
          <w:rFonts w:asciiTheme="minorHAnsi" w:eastAsiaTheme="minorEastAsia" w:hAnsiTheme="minorHAnsi" w:cstheme="minorBidi"/>
          <w:b w:val="0"/>
          <w:spacing w:val="0"/>
          <w:sz w:val="22"/>
          <w:szCs w:val="22"/>
        </w:rPr>
      </w:pPr>
      <w:r>
        <w:t>Appendix F: Perth Area (Radiocommunications Spectrum Re-allocation Declaration No. 2 of 2011)</w:t>
      </w:r>
      <w:r>
        <w:tab/>
      </w:r>
      <w:r>
        <w:fldChar w:fldCharType="begin"/>
      </w:r>
      <w:r>
        <w:instrText xml:space="preserve"> PAGEREF _Toc111710896 \h </w:instrText>
      </w:r>
      <w:r>
        <w:fldChar w:fldCharType="separate"/>
      </w:r>
      <w:r w:rsidR="003F79BE">
        <w:t>35</w:t>
      </w:r>
      <w:r>
        <w:fldChar w:fldCharType="end"/>
      </w:r>
    </w:p>
    <w:p w14:paraId="4F471C5A" w14:textId="6757B20D" w:rsidR="00094E0C" w:rsidRPr="00D77B31" w:rsidRDefault="00C440F0">
      <w:pPr>
        <w:rPr>
          <w:rFonts w:cs="Arial"/>
          <w:b/>
          <w:sz w:val="30"/>
        </w:rPr>
        <w:sectPr w:rsidR="00094E0C" w:rsidRPr="00D77B31" w:rsidSect="00E0253F">
          <w:headerReference w:type="even" r:id="rId23"/>
          <w:headerReference w:type="default" r:id="rId24"/>
          <w:headerReference w:type="first" r:id="rId25"/>
          <w:footerReference w:type="first" r:id="rId26"/>
          <w:footnotePr>
            <w:numRestart w:val="eachSect"/>
          </w:footnotePr>
          <w:pgSz w:w="11907" w:h="16840" w:code="9"/>
          <w:pgMar w:top="1440" w:right="1440" w:bottom="1440" w:left="1440" w:header="709" w:footer="709" w:gutter="0"/>
          <w:pgNumType w:fmt="lowerRoman"/>
          <w:cols w:space="720"/>
          <w:docGrid w:linePitch="299"/>
        </w:sectPr>
      </w:pPr>
      <w:r w:rsidRPr="00D77B31">
        <w:rPr>
          <w:rFonts w:cs="Arial"/>
          <w:b/>
          <w:sz w:val="30"/>
        </w:rPr>
        <w:fldChar w:fldCharType="end"/>
      </w:r>
    </w:p>
    <w:p w14:paraId="012AFA19" w14:textId="7593AC83" w:rsidR="00094E0C" w:rsidRPr="00D77B31" w:rsidRDefault="000D62DE" w:rsidP="00EA7152">
      <w:pPr>
        <w:pStyle w:val="Heading1"/>
      </w:pPr>
      <w:bookmarkStart w:id="0" w:name="_Toc111710844"/>
      <w:r w:rsidRPr="00D77B31">
        <w:lastRenderedPageBreak/>
        <w:t>Introduction</w:t>
      </w:r>
      <w:bookmarkEnd w:id="0"/>
    </w:p>
    <w:p w14:paraId="78D9C67D" w14:textId="31BDFBD4" w:rsidR="000D62DE" w:rsidRPr="00D77B31" w:rsidRDefault="000D62DE" w:rsidP="000D62DE">
      <w:pPr>
        <w:pStyle w:val="Heading2"/>
      </w:pPr>
      <w:bookmarkStart w:id="1" w:name="_Toc111710845"/>
      <w:r w:rsidRPr="00D77B31">
        <w:t>Purpose</w:t>
      </w:r>
      <w:bookmarkEnd w:id="1"/>
    </w:p>
    <w:p w14:paraId="68C94228" w14:textId="3D4E1DCB" w:rsidR="002E30C6" w:rsidRPr="00D77B31" w:rsidRDefault="002E30C6" w:rsidP="002E30C6">
      <w:pPr>
        <w:rPr>
          <w:rFonts w:cs="Arial"/>
        </w:rPr>
      </w:pPr>
      <w:r w:rsidRPr="00D77B31">
        <w:rPr>
          <w:rFonts w:cs="Arial"/>
        </w:rPr>
        <w:t xml:space="preserve">The purpose of this Radiocommunications Assignment and Licensing Instruction (RALI) is to provide information on frequency coordination and licensing arrangements for television outside broadcast (TOB) services </w:t>
      </w:r>
      <w:r w:rsidR="007C78EA" w:rsidRPr="00D77B31">
        <w:rPr>
          <w:rFonts w:cs="Arial"/>
        </w:rPr>
        <w:t>in the bands 1980</w:t>
      </w:r>
      <w:r w:rsidR="0057629B" w:rsidRPr="00D77B31">
        <w:rPr>
          <w:rFonts w:cs="Arial"/>
        </w:rPr>
        <w:t>-</w:t>
      </w:r>
      <w:r w:rsidR="007C78EA" w:rsidRPr="00D77B31">
        <w:rPr>
          <w:rFonts w:cs="Arial"/>
        </w:rPr>
        <w:t>2110 MHz and 2170</w:t>
      </w:r>
      <w:r w:rsidR="0057629B" w:rsidRPr="00D77B31">
        <w:rPr>
          <w:rFonts w:cs="Arial"/>
        </w:rPr>
        <w:t>-</w:t>
      </w:r>
      <w:r w:rsidRPr="00D77B31">
        <w:rPr>
          <w:rFonts w:cs="Arial"/>
        </w:rPr>
        <w:t>2300 MHz.</w:t>
      </w:r>
    </w:p>
    <w:p w14:paraId="5C5CC31D" w14:textId="283D5137" w:rsidR="002E30C6" w:rsidRPr="00D77B31" w:rsidRDefault="002E30C6" w:rsidP="002E30C6">
      <w:pPr>
        <w:rPr>
          <w:rFonts w:cs="Arial"/>
        </w:rPr>
      </w:pPr>
      <w:r w:rsidRPr="00D77B31">
        <w:rPr>
          <w:rFonts w:cs="Arial"/>
        </w:rPr>
        <w:t xml:space="preserve">The information in this document reflects the ACMA's statement of current policy in relation to TOB services operating in the bands </w:t>
      </w:r>
      <w:r w:rsidR="007C78EA" w:rsidRPr="00D77B31">
        <w:rPr>
          <w:rFonts w:cs="Arial"/>
        </w:rPr>
        <w:t>1980</w:t>
      </w:r>
      <w:r w:rsidR="0057629B" w:rsidRPr="00D77B31">
        <w:rPr>
          <w:rFonts w:cs="Arial"/>
        </w:rPr>
        <w:t>-</w:t>
      </w:r>
      <w:r w:rsidR="007C78EA" w:rsidRPr="00D77B31">
        <w:rPr>
          <w:rFonts w:cs="Arial"/>
        </w:rPr>
        <w:t>2110 MHz and 2170</w:t>
      </w:r>
      <w:r w:rsidR="0057629B" w:rsidRPr="00D77B31">
        <w:rPr>
          <w:rFonts w:cs="Arial"/>
        </w:rPr>
        <w:t>-</w:t>
      </w:r>
      <w:r w:rsidRPr="00D77B31">
        <w:rPr>
          <w:rFonts w:cs="Arial"/>
        </w:rPr>
        <w:t>2300 MHz</w:t>
      </w:r>
      <w:r w:rsidR="00E30E8E" w:rsidRPr="00D77B31">
        <w:rPr>
          <w:rFonts w:cs="Arial"/>
        </w:rPr>
        <w:t xml:space="preserve">. </w:t>
      </w:r>
      <w:r w:rsidR="00DF550D" w:rsidRPr="00D77B31">
        <w:rPr>
          <w:rFonts w:cs="Arial"/>
        </w:rPr>
        <w:t>I</w:t>
      </w:r>
      <w:r w:rsidRPr="00D77B31">
        <w:rPr>
          <w:rFonts w:cs="Arial"/>
        </w:rPr>
        <w:t>n making decisions, accredited frequency assigners and the ACMA’s officers should take all relevant factors into account and decide each case on its merits</w:t>
      </w:r>
      <w:r w:rsidR="00E30E8E" w:rsidRPr="00D77B31">
        <w:rPr>
          <w:rFonts w:cs="Arial"/>
        </w:rPr>
        <w:t xml:space="preserve">. </w:t>
      </w:r>
      <w:r w:rsidRPr="00D77B31">
        <w:rPr>
          <w:rFonts w:cs="Arial"/>
        </w:rPr>
        <w:t>Issues relating to this document that appear to fall outside the enunciated policy should be referred t</w:t>
      </w:r>
      <w:r w:rsidR="00907BFF" w:rsidRPr="00D77B31">
        <w:rPr>
          <w:rFonts w:cs="Arial"/>
        </w:rPr>
        <w:t>o:</w:t>
      </w:r>
    </w:p>
    <w:p w14:paraId="74E03FD5" w14:textId="77777777" w:rsidR="00907BFF" w:rsidRPr="00D77B31" w:rsidRDefault="00907BFF" w:rsidP="00907BFF">
      <w:pPr>
        <w:rPr>
          <w:rFonts w:cs="Arial"/>
          <w:szCs w:val="22"/>
        </w:rPr>
      </w:pPr>
      <w:r w:rsidRPr="00D77B31">
        <w:rPr>
          <w:rFonts w:cs="Arial"/>
          <w:szCs w:val="22"/>
        </w:rPr>
        <w:t>The Manager, Spectrum Planning Section</w:t>
      </w:r>
      <w:r w:rsidRPr="00D77B31">
        <w:rPr>
          <w:rFonts w:cs="Arial"/>
          <w:szCs w:val="22"/>
        </w:rPr>
        <w:br/>
        <w:t>Australian Communications and Media Authority</w:t>
      </w:r>
      <w:r w:rsidRPr="00D77B31">
        <w:rPr>
          <w:rFonts w:cs="Arial"/>
          <w:szCs w:val="22"/>
        </w:rPr>
        <w:br/>
        <w:t xml:space="preserve">PO Box 78 </w:t>
      </w:r>
      <w:r w:rsidRPr="00D77B31">
        <w:rPr>
          <w:rFonts w:cs="Arial"/>
          <w:szCs w:val="22"/>
        </w:rPr>
        <w:br/>
        <w:t>Belconnen ACT 2616</w:t>
      </w:r>
    </w:p>
    <w:p w14:paraId="53B2291E" w14:textId="6870D20C" w:rsidR="00907BFF" w:rsidRPr="00D77B31" w:rsidRDefault="00907BFF" w:rsidP="002E30C6">
      <w:pPr>
        <w:rPr>
          <w:rFonts w:cs="Arial"/>
          <w:szCs w:val="22"/>
        </w:rPr>
      </w:pPr>
      <w:r w:rsidRPr="00D77B31">
        <w:rPr>
          <w:rFonts w:cs="Arial"/>
          <w:szCs w:val="22"/>
        </w:rPr>
        <w:t xml:space="preserve">or by email to: </w:t>
      </w:r>
      <w:hyperlink r:id="rId27" w:history="1">
        <w:r w:rsidRPr="00D77B31">
          <w:rPr>
            <w:rStyle w:val="Hyperlink"/>
            <w:rFonts w:cs="Arial"/>
            <w:szCs w:val="22"/>
          </w:rPr>
          <w:t>freqplan@acma.gov.au</w:t>
        </w:r>
      </w:hyperlink>
    </w:p>
    <w:p w14:paraId="6DB6101E" w14:textId="77777777" w:rsidR="00BF6D9C" w:rsidRPr="00D77B31" w:rsidRDefault="002E30C6" w:rsidP="00B229AD">
      <w:pPr>
        <w:pStyle w:val="Heading2"/>
      </w:pPr>
      <w:bookmarkStart w:id="2" w:name="_Toc380391893"/>
      <w:bookmarkStart w:id="3" w:name="_Toc380417020"/>
      <w:bookmarkStart w:id="4" w:name="_Toc111710846"/>
      <w:bookmarkEnd w:id="2"/>
      <w:bookmarkEnd w:id="3"/>
      <w:r w:rsidRPr="00D77B31">
        <w:t>Background</w:t>
      </w:r>
      <w:bookmarkEnd w:id="4"/>
      <w:r w:rsidR="00C35E41" w:rsidRPr="00D77B31">
        <w:t xml:space="preserve"> </w:t>
      </w:r>
    </w:p>
    <w:p w14:paraId="15029CCD" w14:textId="4986B2E2" w:rsidR="002E30C6" w:rsidRPr="00D77B31" w:rsidRDefault="003402C8" w:rsidP="7AD850F2">
      <w:pPr>
        <w:rPr>
          <w:rFonts w:cs="Arial"/>
        </w:rPr>
      </w:pPr>
      <w:r w:rsidRPr="00D77B31">
        <w:rPr>
          <w:rFonts w:cs="Arial"/>
        </w:rPr>
        <w:t xml:space="preserve">When this RALI was first developed </w:t>
      </w:r>
      <w:r w:rsidR="00244C35" w:rsidRPr="00D77B31">
        <w:rPr>
          <w:rFonts w:cs="Arial"/>
        </w:rPr>
        <w:t>its purposes were to support t</w:t>
      </w:r>
      <w:r w:rsidR="009A12A5" w:rsidRPr="00D77B31">
        <w:rPr>
          <w:rFonts w:cs="Arial"/>
        </w:rPr>
        <w:t xml:space="preserve">he introduction of TOB services into the </w:t>
      </w:r>
      <w:r w:rsidR="00612C34" w:rsidRPr="00D77B31">
        <w:rPr>
          <w:rFonts w:cs="Arial"/>
        </w:rPr>
        <w:t xml:space="preserve">frequency </w:t>
      </w:r>
      <w:r w:rsidR="009A12A5" w:rsidRPr="00D77B31">
        <w:rPr>
          <w:rFonts w:cs="Arial"/>
        </w:rPr>
        <w:t>band</w:t>
      </w:r>
      <w:r w:rsidR="00612C34" w:rsidRPr="00D77B31">
        <w:rPr>
          <w:rFonts w:cs="Arial"/>
        </w:rPr>
        <w:t>s</w:t>
      </w:r>
      <w:r w:rsidR="009A12A5" w:rsidRPr="00D77B31">
        <w:rPr>
          <w:rFonts w:cs="Arial"/>
        </w:rPr>
        <w:t xml:space="preserve"> 1980-2110 MHz and 2170-2300 M</w:t>
      </w:r>
      <w:r w:rsidR="00DF550D" w:rsidRPr="00D77B31">
        <w:rPr>
          <w:rFonts w:cs="Arial"/>
        </w:rPr>
        <w:t xml:space="preserve">Hz, </w:t>
      </w:r>
      <w:r w:rsidR="009A12A5" w:rsidRPr="00D77B31">
        <w:rPr>
          <w:rFonts w:cs="Arial"/>
        </w:rPr>
        <w:t>an outcome of the 2010 review of th</w:t>
      </w:r>
      <w:r w:rsidR="007A7557" w:rsidRPr="00D77B31">
        <w:rPr>
          <w:rFonts w:cs="Arial"/>
        </w:rPr>
        <w:t xml:space="preserve">e 2.5 GHz band (2500-2690 MHz), </w:t>
      </w:r>
      <w:r w:rsidR="009A12A5" w:rsidRPr="00D77B31">
        <w:rPr>
          <w:rFonts w:cs="Arial"/>
        </w:rPr>
        <w:t xml:space="preserve">and </w:t>
      </w:r>
      <w:r w:rsidR="00872AA9" w:rsidRPr="00D77B31">
        <w:rPr>
          <w:rFonts w:cs="Arial"/>
        </w:rPr>
        <w:t>long-term</w:t>
      </w:r>
      <w:r w:rsidR="009A12A5" w:rsidRPr="00D77B31">
        <w:rPr>
          <w:rFonts w:cs="Arial"/>
        </w:rPr>
        <w:t xml:space="preserve"> arrangements for electronic news gathering (ENG)</w:t>
      </w:r>
      <w:r w:rsidR="006A5087">
        <w:rPr>
          <w:rFonts w:cs="Arial"/>
        </w:rPr>
        <w:t>.</w:t>
      </w:r>
      <w:r w:rsidR="009A12A5" w:rsidRPr="00D77B31">
        <w:rPr>
          <w:rFonts w:cs="Arial"/>
          <w:vertAlign w:val="superscript"/>
        </w:rPr>
        <w:footnoteReference w:id="2"/>
      </w:r>
      <w:r w:rsidR="00DA5CF4" w:rsidRPr="00D77B31">
        <w:rPr>
          <w:rFonts w:cs="Arial"/>
        </w:rPr>
        <w:t xml:space="preserve"> </w:t>
      </w:r>
      <w:r w:rsidR="002E30C6" w:rsidRPr="00D77B31">
        <w:rPr>
          <w:rFonts w:cs="Arial"/>
        </w:rPr>
        <w:t xml:space="preserve">The operation of TOB services in the bands 1980-2110 MHz and 2170-2300 MHz </w:t>
      </w:r>
      <w:r w:rsidR="00DA5CF4" w:rsidRPr="00D77B31">
        <w:rPr>
          <w:rFonts w:cs="Arial"/>
        </w:rPr>
        <w:t>wa</w:t>
      </w:r>
      <w:r w:rsidR="002E30C6" w:rsidRPr="00D77B31">
        <w:rPr>
          <w:rFonts w:cs="Arial"/>
        </w:rPr>
        <w:t xml:space="preserve">s supported by the </w:t>
      </w:r>
      <w:r w:rsidR="002E30C6" w:rsidRPr="00D77B31">
        <w:rPr>
          <w:rFonts w:cs="Arial"/>
          <w:i/>
          <w:iCs/>
        </w:rPr>
        <w:t xml:space="preserve">Television Outside Broadcast Service (1980-2110 MHz and 2170-2300 MHz) Frequency Band Plan 2012 </w:t>
      </w:r>
      <w:r w:rsidR="002E30C6" w:rsidRPr="00D77B31">
        <w:rPr>
          <w:rFonts w:cs="Arial"/>
        </w:rPr>
        <w:t>(the TOB Band Plan).</w:t>
      </w:r>
      <w:r w:rsidR="006A5087" w:rsidRPr="006A5087">
        <w:rPr>
          <w:rStyle w:val="FootnoteReference"/>
          <w:rFonts w:cs="Arial"/>
        </w:rPr>
        <w:footnoteReference w:id="3"/>
      </w:r>
    </w:p>
    <w:p w14:paraId="76574937" w14:textId="6E098564" w:rsidR="00DA5CF4" w:rsidRPr="00D77B31" w:rsidRDefault="007C5100" w:rsidP="0059477F">
      <w:pPr>
        <w:rPr>
          <w:rFonts w:cs="Arial"/>
        </w:rPr>
      </w:pPr>
      <w:r w:rsidRPr="00D77B31">
        <w:rPr>
          <w:rFonts w:cs="Arial"/>
        </w:rPr>
        <w:t>In 2021 the AC</w:t>
      </w:r>
      <w:r w:rsidR="00296A8C" w:rsidRPr="00D77B31">
        <w:rPr>
          <w:rFonts w:cs="Arial"/>
        </w:rPr>
        <w:t>MA</w:t>
      </w:r>
      <w:r w:rsidRPr="00D77B31">
        <w:rPr>
          <w:rFonts w:cs="Arial"/>
        </w:rPr>
        <w:t xml:space="preserve"> completed a review of the</w:t>
      </w:r>
      <w:r w:rsidR="00296A8C" w:rsidRPr="00D77B31">
        <w:rPr>
          <w:rFonts w:cs="Arial"/>
        </w:rPr>
        <w:t xml:space="preserve"> band</w:t>
      </w:r>
      <w:r w:rsidR="00964892" w:rsidRPr="00D77B31">
        <w:rPr>
          <w:rFonts w:cs="Arial"/>
        </w:rPr>
        <w:t>s</w:t>
      </w:r>
      <w:r w:rsidR="00296A8C" w:rsidRPr="00D77B31">
        <w:rPr>
          <w:rFonts w:cs="Arial"/>
        </w:rPr>
        <w:t xml:space="preserve"> </w:t>
      </w:r>
      <w:r w:rsidRPr="00D77B31">
        <w:rPr>
          <w:rFonts w:cs="Arial"/>
        </w:rPr>
        <w:t>1980</w:t>
      </w:r>
      <w:r w:rsidR="00296A8C" w:rsidRPr="00D77B31">
        <w:rPr>
          <w:rFonts w:cs="Arial"/>
        </w:rPr>
        <w:t>-2010</w:t>
      </w:r>
      <w:r w:rsidR="00964892" w:rsidRPr="00D77B31">
        <w:rPr>
          <w:rFonts w:cs="Arial"/>
        </w:rPr>
        <w:t xml:space="preserve"> MHz and 2</w:t>
      </w:r>
      <w:r w:rsidR="00296A8C" w:rsidRPr="00D77B31">
        <w:rPr>
          <w:rFonts w:cs="Arial"/>
        </w:rPr>
        <w:t>170-2200 MHz and made a decision to support the introduction of MSS services</w:t>
      </w:r>
      <w:r w:rsidR="00304C6A" w:rsidRPr="00D77B31">
        <w:rPr>
          <w:rFonts w:cs="Arial"/>
        </w:rPr>
        <w:t xml:space="preserve"> with TOB servi</w:t>
      </w:r>
      <w:r w:rsidR="00992766" w:rsidRPr="00D77B31">
        <w:rPr>
          <w:rFonts w:cs="Arial"/>
        </w:rPr>
        <w:t>ces to be cleared from the band.</w:t>
      </w:r>
      <w:r w:rsidR="007A6B56" w:rsidRPr="00D77B31">
        <w:rPr>
          <w:rFonts w:cs="Arial"/>
        </w:rPr>
        <w:t xml:space="preserve"> As </w:t>
      </w:r>
      <w:r w:rsidR="0077335A" w:rsidRPr="00D77B31">
        <w:rPr>
          <w:rFonts w:cs="Arial"/>
        </w:rPr>
        <w:t>part</w:t>
      </w:r>
      <w:r w:rsidR="007A6B56" w:rsidRPr="00D77B31">
        <w:rPr>
          <w:rFonts w:cs="Arial"/>
        </w:rPr>
        <w:t xml:space="preserve"> of work implementing that decision in Jun</w:t>
      </w:r>
      <w:r w:rsidR="0059477F" w:rsidRPr="00D77B31">
        <w:rPr>
          <w:rFonts w:cs="Arial"/>
        </w:rPr>
        <w:t>e 2022 t</w:t>
      </w:r>
      <w:r w:rsidR="00DA5CF4" w:rsidRPr="00D77B31">
        <w:rPr>
          <w:rFonts w:cs="Arial"/>
        </w:rPr>
        <w:t xml:space="preserve">he </w:t>
      </w:r>
      <w:hyperlink r:id="rId28" w:tgtFrame="_blank" w:history="1">
        <w:r w:rsidR="00DA5CF4" w:rsidRPr="00D77B31">
          <w:rPr>
            <w:rStyle w:val="Hyperlink"/>
            <w:rFonts w:cs="Arial"/>
          </w:rPr>
          <w:t>Television Outside Broadcast (1980–2110 MHz and 2170–2300 MHz) Frequency Band Plan 2012</w:t>
        </w:r>
      </w:hyperlink>
      <w:r w:rsidR="00ED5B29" w:rsidRPr="00D77B31">
        <w:rPr>
          <w:rFonts w:cs="Arial"/>
        </w:rPr>
        <w:t xml:space="preserve"> </w:t>
      </w:r>
      <w:r w:rsidR="00DA5CF4" w:rsidRPr="00D77B31">
        <w:rPr>
          <w:rFonts w:cs="Arial"/>
        </w:rPr>
        <w:t>was revoked, and the following new frequency band plans were made:</w:t>
      </w:r>
    </w:p>
    <w:p w14:paraId="0DA0A8D0" w14:textId="4F703259" w:rsidR="00DA5CF4" w:rsidRPr="00D77B31" w:rsidRDefault="00DA5CF4" w:rsidP="00345966">
      <w:pPr>
        <w:pStyle w:val="ListBullet1"/>
        <w:ind w:left="357" w:hanging="357"/>
        <w:contextualSpacing w:val="0"/>
        <w:rPr>
          <w:rFonts w:cs="Arial"/>
        </w:rPr>
      </w:pPr>
      <w:r w:rsidRPr="00D77B31">
        <w:rPr>
          <w:rFonts w:cs="Arial"/>
        </w:rPr>
        <w:t>the Radiocommunications (</w:t>
      </w:r>
      <w:hyperlink r:id="rId29" w:tgtFrame="_blank" w:history="1">
        <w:r w:rsidRPr="00D77B31">
          <w:rPr>
            <w:rStyle w:val="Hyperlink"/>
            <w:rFonts w:cs="Arial"/>
            <w:color w:val="auto"/>
            <w:u w:val="none"/>
          </w:rPr>
          <w:t>Mobile-Satellite Service</w:t>
        </w:r>
      </w:hyperlink>
      <w:r w:rsidRPr="00D77B31">
        <w:rPr>
          <w:rFonts w:cs="Arial"/>
        </w:rPr>
        <w:t xml:space="preserve">) (1980–2010 MHz and 2170–2200 MHz) Frequency Band Plan 2022 (the MSS </w:t>
      </w:r>
      <w:r w:rsidR="00901049" w:rsidRPr="00D77B31">
        <w:rPr>
          <w:rFonts w:cs="Arial"/>
        </w:rPr>
        <w:t>B</w:t>
      </w:r>
      <w:r w:rsidRPr="00D77B31">
        <w:rPr>
          <w:rFonts w:cs="Arial"/>
        </w:rPr>
        <w:t xml:space="preserve">and </w:t>
      </w:r>
      <w:r w:rsidR="00901049" w:rsidRPr="00D77B31">
        <w:rPr>
          <w:rFonts w:cs="Arial"/>
        </w:rPr>
        <w:t>P</w:t>
      </w:r>
      <w:r w:rsidRPr="00D77B31">
        <w:rPr>
          <w:rFonts w:cs="Arial"/>
        </w:rPr>
        <w:t>lan)</w:t>
      </w:r>
      <w:r w:rsidR="009C66AF" w:rsidRPr="00D77B31">
        <w:rPr>
          <w:rStyle w:val="FootnoteReference"/>
          <w:rFonts w:cs="Arial"/>
        </w:rPr>
        <w:footnoteReference w:id="4"/>
      </w:r>
    </w:p>
    <w:p w14:paraId="6778E157" w14:textId="52128FFE" w:rsidR="00DA5CF4" w:rsidRPr="00D77B31" w:rsidRDefault="00DA5CF4" w:rsidP="00345966">
      <w:pPr>
        <w:pStyle w:val="ListBullet1"/>
        <w:ind w:left="357" w:hanging="357"/>
        <w:contextualSpacing w:val="0"/>
        <w:rPr>
          <w:rFonts w:cs="Arial"/>
        </w:rPr>
      </w:pPr>
      <w:r w:rsidRPr="00D77B31">
        <w:rPr>
          <w:rFonts w:cs="Arial"/>
        </w:rPr>
        <w:t>the Radiocommunications (</w:t>
      </w:r>
      <w:hyperlink r:id="rId30" w:tgtFrame="_blank" w:history="1">
        <w:r w:rsidRPr="00D77B31">
          <w:rPr>
            <w:rStyle w:val="Hyperlink"/>
            <w:rFonts w:cs="Arial"/>
            <w:color w:val="auto"/>
            <w:u w:val="none"/>
          </w:rPr>
          <w:t>Television Outside Broadcasting</w:t>
        </w:r>
      </w:hyperlink>
      <w:r w:rsidRPr="00D77B31">
        <w:rPr>
          <w:rFonts w:cs="Arial"/>
        </w:rPr>
        <w:t xml:space="preserve">) (2010–2110 MHz and 2200–2300 MHz) Frequency Band Plan 2022 (the </w:t>
      </w:r>
      <w:r w:rsidR="008561C3" w:rsidRPr="00D77B31">
        <w:rPr>
          <w:rFonts w:cs="Arial"/>
        </w:rPr>
        <w:t>2022</w:t>
      </w:r>
      <w:r w:rsidRPr="00D77B31">
        <w:rPr>
          <w:rFonts w:cs="Arial"/>
        </w:rPr>
        <w:t xml:space="preserve"> TOB </w:t>
      </w:r>
      <w:r w:rsidR="00901049" w:rsidRPr="00D77B31">
        <w:rPr>
          <w:rFonts w:cs="Arial"/>
        </w:rPr>
        <w:t>B</w:t>
      </w:r>
      <w:r w:rsidRPr="00D77B31">
        <w:rPr>
          <w:rFonts w:cs="Arial"/>
        </w:rPr>
        <w:t xml:space="preserve">and </w:t>
      </w:r>
      <w:r w:rsidR="00901049" w:rsidRPr="00D77B31">
        <w:rPr>
          <w:rFonts w:cs="Arial"/>
        </w:rPr>
        <w:t>P</w:t>
      </w:r>
      <w:r w:rsidRPr="00D77B31">
        <w:rPr>
          <w:rFonts w:cs="Arial"/>
        </w:rPr>
        <w:t>lan)</w:t>
      </w:r>
      <w:r w:rsidR="003F6FEE" w:rsidRPr="00D77B31">
        <w:rPr>
          <w:rFonts w:cs="Arial"/>
        </w:rPr>
        <w:t>.</w:t>
      </w:r>
      <w:r w:rsidR="004B226F" w:rsidRPr="00D77B31">
        <w:rPr>
          <w:rStyle w:val="FootnoteReference"/>
          <w:rFonts w:cs="Arial"/>
        </w:rPr>
        <w:footnoteReference w:id="5"/>
      </w:r>
    </w:p>
    <w:p w14:paraId="5757F1DD" w14:textId="377F60BB" w:rsidR="00FA31D7" w:rsidRPr="00D77B31" w:rsidRDefault="00612448" w:rsidP="002E30C6">
      <w:pPr>
        <w:rPr>
          <w:rFonts w:cs="Arial"/>
        </w:rPr>
      </w:pPr>
      <w:r w:rsidRPr="00D77B31">
        <w:rPr>
          <w:rFonts w:cs="Arial"/>
        </w:rPr>
        <w:t>The 2022 TOB band plan give</w:t>
      </w:r>
      <w:r w:rsidR="00964892" w:rsidRPr="00D77B31">
        <w:rPr>
          <w:rFonts w:cs="Arial"/>
        </w:rPr>
        <w:t>s</w:t>
      </w:r>
      <w:r w:rsidRPr="00D77B31">
        <w:rPr>
          <w:rFonts w:cs="Arial"/>
        </w:rPr>
        <w:t xml:space="preserve"> effect to the same arrangements in 2010–2110 and 2200–2300 MHz as specified in the 2012 TOB band plan.</w:t>
      </w:r>
      <w:r w:rsidR="004E2FA3" w:rsidRPr="00D77B31">
        <w:rPr>
          <w:rFonts w:cs="Arial"/>
        </w:rPr>
        <w:t xml:space="preserve"> </w:t>
      </w:r>
      <w:r w:rsidR="009A680F" w:rsidRPr="00D77B31">
        <w:rPr>
          <w:rFonts w:cs="Arial"/>
        </w:rPr>
        <w:t>That is, t</w:t>
      </w:r>
      <w:r w:rsidR="004E2FA3" w:rsidRPr="00D77B31">
        <w:rPr>
          <w:rFonts w:cs="Arial"/>
        </w:rPr>
        <w:t>here are no changes</w:t>
      </w:r>
      <w:r w:rsidR="00322302" w:rsidRPr="00D77B31">
        <w:rPr>
          <w:rFonts w:cs="Arial"/>
        </w:rPr>
        <w:t xml:space="preserve"> to arrangements in this RALI in those bands </w:t>
      </w:r>
      <w:r w:rsidR="004E2FA3" w:rsidRPr="00D77B31">
        <w:rPr>
          <w:rFonts w:cs="Arial"/>
        </w:rPr>
        <w:t>(beyond reference updates)</w:t>
      </w:r>
      <w:r w:rsidR="00322302" w:rsidRPr="00D77B31">
        <w:rPr>
          <w:rFonts w:cs="Arial"/>
        </w:rPr>
        <w:t>.</w:t>
      </w:r>
    </w:p>
    <w:p w14:paraId="76AF0C27" w14:textId="4BB19C6A" w:rsidR="00AE0AA0" w:rsidRPr="00D77B31" w:rsidRDefault="00C55CF6" w:rsidP="00C55CF6">
      <w:pPr>
        <w:rPr>
          <w:rFonts w:cs="Arial"/>
        </w:rPr>
      </w:pPr>
      <w:r w:rsidRPr="00D77B31">
        <w:rPr>
          <w:rFonts w:cs="Arial"/>
        </w:rPr>
        <w:lastRenderedPageBreak/>
        <w:t xml:space="preserve">To support introduction of </w:t>
      </w:r>
      <w:r w:rsidR="00EE637A" w:rsidRPr="00D77B31">
        <w:rPr>
          <w:rFonts w:cs="Arial"/>
        </w:rPr>
        <w:t xml:space="preserve">mobile-satellite </w:t>
      </w:r>
      <w:r w:rsidR="00A505EF" w:rsidRPr="00D77B31">
        <w:rPr>
          <w:rFonts w:cs="Arial"/>
        </w:rPr>
        <w:t>services</w:t>
      </w:r>
      <w:r w:rsidR="00D400C1" w:rsidRPr="00D77B31">
        <w:rPr>
          <w:rFonts w:cs="Arial"/>
        </w:rPr>
        <w:t xml:space="preserve"> in the bands 1980-2010 MHz and 2170-2200 MHz</w:t>
      </w:r>
      <w:r w:rsidRPr="00D77B31">
        <w:rPr>
          <w:rFonts w:cs="Arial"/>
        </w:rPr>
        <w:t xml:space="preserve">, </w:t>
      </w:r>
      <w:r w:rsidR="004C718B" w:rsidRPr="00D77B31">
        <w:rPr>
          <w:rFonts w:cs="Arial"/>
        </w:rPr>
        <w:t xml:space="preserve">as detailed in the MSS Band Plan </w:t>
      </w:r>
      <w:r w:rsidRPr="00D77B31">
        <w:rPr>
          <w:rFonts w:cs="Arial"/>
        </w:rPr>
        <w:t xml:space="preserve">existing TOB services </w:t>
      </w:r>
      <w:r w:rsidR="000C6C77" w:rsidRPr="00D77B31">
        <w:rPr>
          <w:rFonts w:cs="Arial"/>
        </w:rPr>
        <w:t>are</w:t>
      </w:r>
      <w:r w:rsidRPr="00D77B31">
        <w:rPr>
          <w:rFonts w:cs="Arial"/>
        </w:rPr>
        <w:t xml:space="preserve"> required to cease operation</w:t>
      </w:r>
      <w:r w:rsidR="00BD68AC" w:rsidRPr="00D77B31">
        <w:rPr>
          <w:rFonts w:cs="Arial"/>
        </w:rPr>
        <w:t xml:space="preserve"> in these bands</w:t>
      </w:r>
      <w:r w:rsidR="00A67694" w:rsidRPr="00D77B31">
        <w:rPr>
          <w:rFonts w:cs="Arial"/>
        </w:rPr>
        <w:t xml:space="preserve"> </w:t>
      </w:r>
      <w:r w:rsidR="00715D22" w:rsidRPr="00D77B31">
        <w:rPr>
          <w:rFonts w:cs="Arial"/>
        </w:rPr>
        <w:t>by the following dates</w:t>
      </w:r>
      <w:r w:rsidR="00A67694" w:rsidRPr="00D77B31">
        <w:rPr>
          <w:rFonts w:cs="Arial"/>
        </w:rPr>
        <w:t>:</w:t>
      </w:r>
    </w:p>
    <w:p w14:paraId="688DC396" w14:textId="77777777" w:rsidR="00936A8C" w:rsidRPr="00D77B31" w:rsidRDefault="004C718B" w:rsidP="00335000">
      <w:pPr>
        <w:pStyle w:val="ListParagraph"/>
        <w:numPr>
          <w:ilvl w:val="0"/>
          <w:numId w:val="16"/>
        </w:numPr>
        <w:ind w:left="357" w:hanging="357"/>
        <w:contextualSpacing w:val="0"/>
        <w:rPr>
          <w:rFonts w:cs="Arial"/>
        </w:rPr>
      </w:pPr>
      <w:r w:rsidRPr="00D77B31">
        <w:rPr>
          <w:rFonts w:cs="Arial"/>
        </w:rPr>
        <w:t>1 March 2026 in metropolitan area</w:t>
      </w:r>
      <w:r w:rsidR="00503404" w:rsidRPr="00D77B31">
        <w:rPr>
          <w:rFonts w:cs="Arial"/>
        </w:rPr>
        <w:t>s</w:t>
      </w:r>
      <w:r w:rsidRPr="00D77B31">
        <w:rPr>
          <w:rFonts w:cs="Arial"/>
        </w:rPr>
        <w:t xml:space="preserve"> and designated areas as defined in the MSS Band Plan</w:t>
      </w:r>
    </w:p>
    <w:p w14:paraId="1C3EB309" w14:textId="31E68A26" w:rsidR="00AE0AA0" w:rsidRPr="00D77B31" w:rsidRDefault="004C718B" w:rsidP="00335000">
      <w:pPr>
        <w:pStyle w:val="ListParagraph"/>
        <w:numPr>
          <w:ilvl w:val="0"/>
          <w:numId w:val="16"/>
        </w:numPr>
        <w:ind w:left="295" w:hanging="295"/>
        <w:contextualSpacing w:val="0"/>
        <w:rPr>
          <w:rFonts w:cs="Arial"/>
        </w:rPr>
      </w:pPr>
      <w:r w:rsidRPr="00D77B31">
        <w:rPr>
          <w:rFonts w:cs="Arial"/>
        </w:rPr>
        <w:t>1 March 2024 elsewhere</w:t>
      </w:r>
      <w:r w:rsidR="00936A8C" w:rsidRPr="00D77B31">
        <w:rPr>
          <w:rFonts w:cs="Arial"/>
        </w:rPr>
        <w:t>.</w:t>
      </w:r>
    </w:p>
    <w:p w14:paraId="40767605" w14:textId="0CD9D518" w:rsidR="00A07AC1" w:rsidRPr="00D77B31" w:rsidRDefault="005345CB" w:rsidP="002E30C6">
      <w:pPr>
        <w:rPr>
          <w:rFonts w:cs="Arial"/>
        </w:rPr>
      </w:pPr>
      <w:r w:rsidRPr="00D77B31">
        <w:rPr>
          <w:rFonts w:cs="Arial"/>
        </w:rPr>
        <w:t>During the transition</w:t>
      </w:r>
      <w:r w:rsidR="008D511C" w:rsidRPr="00D77B31">
        <w:rPr>
          <w:rFonts w:cs="Arial"/>
        </w:rPr>
        <w:t>,</w:t>
      </w:r>
      <w:r w:rsidRPr="00D77B31">
        <w:rPr>
          <w:rFonts w:cs="Arial"/>
        </w:rPr>
        <w:t xml:space="preserve"> TOB services in the bands 1980-2010 MHz and 2170-2200 MHz will continue to be protected. </w:t>
      </w:r>
      <w:r w:rsidR="000349D0" w:rsidRPr="00D77B31">
        <w:rPr>
          <w:rFonts w:cs="Arial"/>
        </w:rPr>
        <w:t>There is</w:t>
      </w:r>
      <w:r w:rsidRPr="00D77B31">
        <w:rPr>
          <w:rFonts w:cs="Arial"/>
        </w:rPr>
        <w:t xml:space="preserve"> no change to arrangement</w:t>
      </w:r>
      <w:r w:rsidR="008971BF" w:rsidRPr="00D77B31">
        <w:rPr>
          <w:rFonts w:cs="Arial"/>
        </w:rPr>
        <w:t>s</w:t>
      </w:r>
      <w:r w:rsidRPr="00D77B31">
        <w:rPr>
          <w:rFonts w:cs="Arial"/>
        </w:rPr>
        <w:t xml:space="preserve"> </w:t>
      </w:r>
      <w:r w:rsidR="009005A1" w:rsidRPr="00D77B31">
        <w:rPr>
          <w:rFonts w:cs="Arial"/>
        </w:rPr>
        <w:t>for TOB services in the bands 2010-2110 MHz and 2200-2300 MHz from the intr</w:t>
      </w:r>
      <w:r w:rsidR="00254F3C" w:rsidRPr="00D77B31">
        <w:rPr>
          <w:rFonts w:cs="Arial"/>
        </w:rPr>
        <w:t>oduction of MSS service. MSS services are require</w:t>
      </w:r>
      <w:r w:rsidR="000349D0" w:rsidRPr="00D77B31">
        <w:rPr>
          <w:rFonts w:cs="Arial"/>
        </w:rPr>
        <w:t>d</w:t>
      </w:r>
      <w:r w:rsidR="00254F3C" w:rsidRPr="00D77B31">
        <w:rPr>
          <w:rFonts w:cs="Arial"/>
        </w:rPr>
        <w:t xml:space="preserve"> to protect and not cause interference to TOB services in the bands 2010-2110</w:t>
      </w:r>
      <w:r w:rsidR="00F13B6D" w:rsidRPr="00D77B31">
        <w:rPr>
          <w:rFonts w:cs="Arial"/>
        </w:rPr>
        <w:t> </w:t>
      </w:r>
      <w:r w:rsidR="00254F3C" w:rsidRPr="00D77B31">
        <w:rPr>
          <w:rFonts w:cs="Arial"/>
        </w:rPr>
        <w:t>MHz and 2200-2300 MHz.</w:t>
      </w:r>
    </w:p>
    <w:p w14:paraId="20D82801" w14:textId="1F836224" w:rsidR="008D0ACB" w:rsidRPr="00D77B31" w:rsidRDefault="008D0ACB" w:rsidP="002E30C6">
      <w:pPr>
        <w:rPr>
          <w:rFonts w:cs="Arial"/>
        </w:rPr>
      </w:pPr>
      <w:r w:rsidRPr="00D77B31">
        <w:rPr>
          <w:rFonts w:cs="Arial"/>
        </w:rPr>
        <w:t>Note that under the Radiocommunications Act 1992 (the Act) operation of a radiocommunications transmitter is not authorised by a transmitter licence if it is not in accordance with the conditions of the licence (subsection 97(4) of the Act). Paragraph 108(2)(a) of the Act makes it a condition of each transmitter licence that the licensee, and any person authorised to operate a radiocommunications transmitter under the licence, must not operate, or permit the operation, of the transmitter for a purpose that is inconsistent with a purpose of a kind specified in the appropriate frequency band plan (if any).</w:t>
      </w:r>
      <w:r w:rsidRPr="00D77B31">
        <w:rPr>
          <w:rStyle w:val="FootnoteReference"/>
          <w:rFonts w:cs="Arial"/>
        </w:rPr>
        <w:footnoteReference w:id="6"/>
      </w:r>
      <w:r w:rsidRPr="00D77B31">
        <w:rPr>
          <w:rFonts w:cs="Arial"/>
        </w:rPr>
        <w:t xml:space="preserve"> The MSS Band Plan is relevant in this regard.</w:t>
      </w:r>
    </w:p>
    <w:p w14:paraId="3562E4E9" w14:textId="77777777" w:rsidR="002E30C6" w:rsidRPr="00D77B31" w:rsidRDefault="002E30C6" w:rsidP="00B229AD">
      <w:pPr>
        <w:pStyle w:val="Heading2"/>
      </w:pPr>
      <w:bookmarkStart w:id="5" w:name="_Toc380391895"/>
      <w:bookmarkStart w:id="6" w:name="_Toc380417022"/>
      <w:bookmarkStart w:id="7" w:name="_Toc368045539"/>
      <w:bookmarkStart w:id="8" w:name="_Toc111710847"/>
      <w:bookmarkEnd w:id="5"/>
      <w:bookmarkEnd w:id="6"/>
      <w:r w:rsidRPr="00D77B31">
        <w:t>Scope</w:t>
      </w:r>
      <w:bookmarkEnd w:id="7"/>
      <w:bookmarkEnd w:id="8"/>
    </w:p>
    <w:p w14:paraId="2DF49184" w14:textId="5222A6B6" w:rsidR="009A12A5" w:rsidRPr="00D77B31" w:rsidRDefault="002E30C6" w:rsidP="002E30C6">
      <w:pPr>
        <w:rPr>
          <w:rFonts w:cs="Arial"/>
        </w:rPr>
      </w:pPr>
      <w:bookmarkStart w:id="9" w:name="_Toc513974782"/>
      <w:bookmarkStart w:id="10" w:name="_Toc513977649"/>
      <w:bookmarkStart w:id="11" w:name="_Toc514658973"/>
      <w:bookmarkStart w:id="12" w:name="_Toc515879135"/>
      <w:bookmarkStart w:id="13" w:name="_Toc516988314"/>
      <w:bookmarkStart w:id="14" w:name="_Toc517506875"/>
      <w:bookmarkStart w:id="15" w:name="_Toc517508845"/>
      <w:bookmarkStart w:id="16" w:name="_Toc520711884"/>
      <w:bookmarkStart w:id="17" w:name="_Toc520782320"/>
      <w:bookmarkStart w:id="18" w:name="_Toc521378819"/>
      <w:bookmarkStart w:id="19" w:name="_Toc521751688"/>
      <w:bookmarkStart w:id="20" w:name="_Toc526052736"/>
      <w:r w:rsidRPr="00D77B31">
        <w:rPr>
          <w:rFonts w:cs="Arial"/>
        </w:rPr>
        <w:t xml:space="preserve">This RALI provides the </w:t>
      </w:r>
      <w:r w:rsidR="009A12A5" w:rsidRPr="00D77B31">
        <w:rPr>
          <w:rFonts w:cs="Arial"/>
        </w:rPr>
        <w:t>coordination and licensing arrangements for TOB services operating in the bands 1980-2110 MHz and 2170-2300 MHz</w:t>
      </w:r>
      <w:r w:rsidR="00E30E8E" w:rsidRPr="00D77B31">
        <w:rPr>
          <w:rFonts w:cs="Arial"/>
        </w:rPr>
        <w:t xml:space="preserve">. </w:t>
      </w:r>
      <w:r w:rsidR="009A12A5" w:rsidRPr="00D77B31">
        <w:rPr>
          <w:rFonts w:cs="Arial"/>
        </w:rPr>
        <w:t>All TOB transmitters are to be licens</w:t>
      </w:r>
      <w:r w:rsidR="00F61827" w:rsidRPr="00D77B31">
        <w:rPr>
          <w:rFonts w:cs="Arial"/>
        </w:rPr>
        <w:t>ed</w:t>
      </w:r>
      <w:r w:rsidR="009A12A5" w:rsidRPr="00D77B31">
        <w:rPr>
          <w:rFonts w:cs="Arial"/>
        </w:rPr>
        <w:t xml:space="preserve"> and the licensing of TOB receivers i</w:t>
      </w:r>
      <w:r w:rsidR="00DF550D" w:rsidRPr="00D77B31">
        <w:rPr>
          <w:rFonts w:cs="Arial"/>
        </w:rPr>
        <w:t>s</w:t>
      </w:r>
      <w:r w:rsidR="009A12A5" w:rsidRPr="00D77B31">
        <w:rPr>
          <w:rFonts w:cs="Arial"/>
        </w:rPr>
        <w:t xml:space="preserve"> optional. </w:t>
      </w:r>
    </w:p>
    <w:p w14:paraId="20635A67" w14:textId="36F8B946" w:rsidR="009A12A5" w:rsidRPr="00D77B31" w:rsidRDefault="009A12A5" w:rsidP="009A12A5">
      <w:pPr>
        <w:rPr>
          <w:rFonts w:cs="Arial"/>
        </w:rPr>
      </w:pPr>
      <w:r w:rsidRPr="00D77B31">
        <w:rPr>
          <w:rFonts w:cs="Arial"/>
        </w:rPr>
        <w:t>Coordination, licensing and interference protection status for TOB transmitters and receivers varies depending on frequency and area of operation.</w:t>
      </w:r>
    </w:p>
    <w:p w14:paraId="1E8FF32B" w14:textId="77777777" w:rsidR="00BF6D9C" w:rsidRPr="00D77B31" w:rsidRDefault="00F61827" w:rsidP="00B229AD">
      <w:pPr>
        <w:pStyle w:val="Heading3"/>
      </w:pPr>
      <w:bookmarkStart w:id="21" w:name="_Toc111710848"/>
      <w:r w:rsidRPr="00D77B31">
        <w:t>1980-2010 MHz and 2170-2200 MHz</w:t>
      </w:r>
      <w:bookmarkEnd w:id="21"/>
    </w:p>
    <w:p w14:paraId="1D8F4AEB" w14:textId="253F5752" w:rsidR="00C76423" w:rsidRPr="00D77B31" w:rsidRDefault="009A12A5">
      <w:pPr>
        <w:keepNext/>
        <w:rPr>
          <w:rFonts w:cs="Arial"/>
        </w:rPr>
      </w:pPr>
      <w:r w:rsidRPr="00D77B31">
        <w:rPr>
          <w:rFonts w:cs="Arial"/>
        </w:rPr>
        <w:t xml:space="preserve">The bands 1980-2010 MHz and 2170-2200 MHz are available for use by </w:t>
      </w:r>
      <w:r w:rsidR="00104012" w:rsidRPr="00D77B31">
        <w:rPr>
          <w:rFonts w:cs="Arial"/>
        </w:rPr>
        <w:t xml:space="preserve">low power </w:t>
      </w:r>
      <w:r w:rsidRPr="00D77B31">
        <w:rPr>
          <w:rFonts w:cs="Arial"/>
        </w:rPr>
        <w:t xml:space="preserve">TOB </w:t>
      </w:r>
      <w:r w:rsidR="00104012" w:rsidRPr="00D77B31">
        <w:rPr>
          <w:rFonts w:cs="Arial"/>
        </w:rPr>
        <w:t>transmitters</w:t>
      </w:r>
      <w:r w:rsidR="00C76423" w:rsidRPr="00D77B31">
        <w:rPr>
          <w:rFonts w:cs="Arial"/>
        </w:rPr>
        <w:t xml:space="preserve">. Licences for TOB are </w:t>
      </w:r>
      <w:r w:rsidR="00141AAA" w:rsidRPr="00D77B31">
        <w:rPr>
          <w:rFonts w:cs="Arial"/>
        </w:rPr>
        <w:t xml:space="preserve">not </w:t>
      </w:r>
      <w:r w:rsidR="00C76423" w:rsidRPr="00D77B31">
        <w:rPr>
          <w:rFonts w:cs="Arial"/>
        </w:rPr>
        <w:t xml:space="preserve">to authorise the operation of television outside broadcast services </w:t>
      </w:r>
      <w:r w:rsidR="00141AAA" w:rsidRPr="00D77B31">
        <w:rPr>
          <w:rFonts w:cs="Arial"/>
        </w:rPr>
        <w:t xml:space="preserve">beyond the </w:t>
      </w:r>
      <w:r w:rsidR="00C72A13" w:rsidRPr="00D77B31">
        <w:rPr>
          <w:rFonts w:cs="Arial"/>
        </w:rPr>
        <w:t xml:space="preserve">transition dates of the MSS </w:t>
      </w:r>
      <w:r w:rsidR="00C1747E" w:rsidRPr="00D77B31">
        <w:rPr>
          <w:rFonts w:cs="Arial"/>
        </w:rPr>
        <w:t>Band Plan</w:t>
      </w:r>
      <w:r w:rsidR="00F66CB6" w:rsidRPr="00D77B31">
        <w:rPr>
          <w:rFonts w:cs="Arial"/>
        </w:rPr>
        <w:t>.</w:t>
      </w:r>
    </w:p>
    <w:p w14:paraId="1370729E" w14:textId="36A1F26E" w:rsidR="00BF6D9C" w:rsidRPr="00D77B31" w:rsidRDefault="009A12A5">
      <w:pPr>
        <w:keepNext/>
        <w:rPr>
          <w:rFonts w:cs="Arial"/>
        </w:rPr>
      </w:pPr>
      <w:r w:rsidRPr="00D77B31">
        <w:rPr>
          <w:rFonts w:cs="Arial"/>
        </w:rPr>
        <w:t xml:space="preserve">TOB licensees are required to coordinate usage with other </w:t>
      </w:r>
      <w:r w:rsidR="00104012" w:rsidRPr="00D77B31">
        <w:rPr>
          <w:rFonts w:cs="Arial"/>
        </w:rPr>
        <w:t xml:space="preserve">TOB </w:t>
      </w:r>
      <w:r w:rsidRPr="00D77B31">
        <w:rPr>
          <w:rFonts w:cs="Arial"/>
        </w:rPr>
        <w:t>licensees.</w:t>
      </w:r>
    </w:p>
    <w:p w14:paraId="367CDDFE" w14:textId="77777777" w:rsidR="009A12A5" w:rsidRPr="00D77B31" w:rsidRDefault="009A12A5" w:rsidP="009A12A5">
      <w:pPr>
        <w:rPr>
          <w:rFonts w:cs="Arial"/>
        </w:rPr>
      </w:pPr>
      <w:r w:rsidRPr="00D77B31">
        <w:rPr>
          <w:rFonts w:cs="Arial"/>
        </w:rPr>
        <w:t>Fixed TOB receiver</w:t>
      </w:r>
      <w:r w:rsidR="00EF0194" w:rsidRPr="00D77B31">
        <w:rPr>
          <w:rFonts w:cs="Arial"/>
        </w:rPr>
        <w:t>s</w:t>
      </w:r>
      <w:r w:rsidRPr="00D77B31">
        <w:rPr>
          <w:rFonts w:cs="Arial"/>
        </w:rPr>
        <w:t xml:space="preserve"> may be licensed to assist coordination with other TOB licensees, however no protection is provided to these receivers from TOB services, existing fixed point-to-point links or adjacent band spectrum licensed services or apparatus licensed PTS services</w:t>
      </w:r>
      <w:r w:rsidR="00E30E8E" w:rsidRPr="00D77B31">
        <w:rPr>
          <w:rFonts w:cs="Arial"/>
        </w:rPr>
        <w:t xml:space="preserve">. </w:t>
      </w:r>
      <w:r w:rsidR="00EF0194" w:rsidRPr="00D77B31">
        <w:rPr>
          <w:rFonts w:cs="Arial"/>
        </w:rPr>
        <w:t>Channelling</w:t>
      </w:r>
      <w:r w:rsidRPr="00D77B31">
        <w:rPr>
          <w:rFonts w:cs="Arial"/>
        </w:rPr>
        <w:t xml:space="preserve"> arrangements are specified</w:t>
      </w:r>
      <w:r w:rsidR="00EF0194" w:rsidRPr="00D77B31">
        <w:rPr>
          <w:rFonts w:cs="Arial"/>
        </w:rPr>
        <w:t>,</w:t>
      </w:r>
      <w:r w:rsidRPr="00D77B31">
        <w:rPr>
          <w:rFonts w:cs="Arial"/>
        </w:rPr>
        <w:t xml:space="preserve"> these are nominal only and other arrangements can be used provided the requirements of this RALI are met. </w:t>
      </w:r>
    </w:p>
    <w:p w14:paraId="62E3CF35" w14:textId="77777777" w:rsidR="00F61827" w:rsidRPr="00D77B31" w:rsidRDefault="00F61827" w:rsidP="00B229AD">
      <w:pPr>
        <w:pStyle w:val="Heading3"/>
      </w:pPr>
      <w:bookmarkStart w:id="22" w:name="_Toc111710849"/>
      <w:r w:rsidRPr="00D77B31">
        <w:t>2010-2110 MHz and 2200-2300 MHz</w:t>
      </w:r>
      <w:bookmarkEnd w:id="22"/>
    </w:p>
    <w:p w14:paraId="58912128" w14:textId="543ACF92" w:rsidR="009A12A5" w:rsidRPr="00D77B31" w:rsidRDefault="00DF6635" w:rsidP="002E30C6">
      <w:pPr>
        <w:rPr>
          <w:rFonts w:cs="Arial"/>
        </w:rPr>
      </w:pPr>
      <w:r w:rsidRPr="00D77B31">
        <w:rPr>
          <w:rFonts w:cs="Arial"/>
        </w:rPr>
        <w:t xml:space="preserve">The use of the bands 2010-2110 MHz and 2200-2300 MHz are limited to </w:t>
      </w:r>
      <w:r w:rsidR="00495BA0" w:rsidRPr="00D77B31">
        <w:rPr>
          <w:rFonts w:cs="Arial"/>
        </w:rPr>
        <w:t xml:space="preserve">ABC, Channel </w:t>
      </w:r>
      <w:r w:rsidR="00104012" w:rsidRPr="00D77B31">
        <w:rPr>
          <w:rFonts w:cs="Arial"/>
        </w:rPr>
        <w:t>Seven</w:t>
      </w:r>
      <w:r w:rsidR="00495BA0" w:rsidRPr="00D77B31">
        <w:rPr>
          <w:rFonts w:cs="Arial"/>
        </w:rPr>
        <w:t>, Nine Network</w:t>
      </w:r>
      <w:r w:rsidR="002E01B3" w:rsidRPr="00D77B31">
        <w:rPr>
          <w:rFonts w:cs="Arial"/>
        </w:rPr>
        <w:t xml:space="preserve">, </w:t>
      </w:r>
      <w:r w:rsidR="00495BA0" w:rsidRPr="00D77B31">
        <w:rPr>
          <w:rFonts w:cs="Arial"/>
        </w:rPr>
        <w:t>Network Ten</w:t>
      </w:r>
      <w:r w:rsidR="002E01B3" w:rsidRPr="00D77B31">
        <w:rPr>
          <w:rFonts w:cs="Arial"/>
        </w:rPr>
        <w:t xml:space="preserve"> and </w:t>
      </w:r>
      <w:r w:rsidR="00E07C24" w:rsidRPr="00D77B31">
        <w:rPr>
          <w:rFonts w:cs="Arial"/>
        </w:rPr>
        <w:t>FOX</w:t>
      </w:r>
      <w:r w:rsidR="00A57EB8" w:rsidRPr="00D77B31">
        <w:rPr>
          <w:rFonts w:cs="Arial"/>
        </w:rPr>
        <w:t xml:space="preserve"> </w:t>
      </w:r>
      <w:r w:rsidR="00E07C24" w:rsidRPr="00D77B31">
        <w:rPr>
          <w:rFonts w:cs="Arial"/>
        </w:rPr>
        <w:t>Sports</w:t>
      </w:r>
      <w:r w:rsidR="002E01B3" w:rsidRPr="00D77B31">
        <w:rPr>
          <w:rFonts w:cs="Arial"/>
        </w:rPr>
        <w:t xml:space="preserve"> on behalf of subscription television</w:t>
      </w:r>
      <w:r w:rsidR="00495BA0" w:rsidRPr="00D77B31">
        <w:rPr>
          <w:rFonts w:cs="Arial"/>
        </w:rPr>
        <w:t xml:space="preserve">. The channel arrangements for TOB use of the band are outlined in </w:t>
      </w:r>
      <w:r w:rsidR="00ED727E" w:rsidRPr="00D77B31">
        <w:rPr>
          <w:rFonts w:cs="Arial"/>
        </w:rPr>
        <w:t>S</w:t>
      </w:r>
      <w:r w:rsidR="00495BA0" w:rsidRPr="00D77B31">
        <w:rPr>
          <w:rFonts w:cs="Arial"/>
        </w:rPr>
        <w:t xml:space="preserve">ection </w:t>
      </w:r>
      <w:r w:rsidR="00C440F0" w:rsidRPr="00D77B31">
        <w:rPr>
          <w:rFonts w:cs="Arial"/>
        </w:rPr>
        <w:fldChar w:fldCharType="begin"/>
      </w:r>
      <w:r w:rsidR="00495BA0" w:rsidRPr="00D77B31">
        <w:rPr>
          <w:rFonts w:cs="Arial"/>
        </w:rPr>
        <w:instrText xml:space="preserve"> REF _Ref380048618 \r \h </w:instrText>
      </w:r>
      <w:r w:rsidR="00481675" w:rsidRPr="00D77B31">
        <w:rPr>
          <w:rFonts w:cs="Arial"/>
        </w:rPr>
        <w:instrText xml:space="preserve"> \* MERGEFORMAT </w:instrText>
      </w:r>
      <w:r w:rsidR="00C440F0" w:rsidRPr="00D77B31">
        <w:rPr>
          <w:rFonts w:cs="Arial"/>
        </w:rPr>
      </w:r>
      <w:r w:rsidR="00C440F0" w:rsidRPr="00D77B31">
        <w:rPr>
          <w:rFonts w:cs="Arial"/>
        </w:rPr>
        <w:fldChar w:fldCharType="separate"/>
      </w:r>
      <w:r w:rsidR="003F79BE">
        <w:rPr>
          <w:rFonts w:cs="Arial"/>
        </w:rPr>
        <w:t>2</w:t>
      </w:r>
      <w:r w:rsidR="00C440F0" w:rsidRPr="00D77B31">
        <w:rPr>
          <w:rFonts w:cs="Arial"/>
        </w:rPr>
        <w:fldChar w:fldCharType="end"/>
      </w:r>
      <w:r w:rsidR="00495BA0" w:rsidRPr="00D77B31">
        <w:rPr>
          <w:rFonts w:cs="Arial"/>
        </w:rPr>
        <w:t xml:space="preserve"> </w:t>
      </w:r>
      <w:r w:rsidR="00E07C24" w:rsidRPr="00D77B31">
        <w:rPr>
          <w:rFonts w:cs="Arial"/>
        </w:rPr>
        <w:t xml:space="preserve">of </w:t>
      </w:r>
      <w:r w:rsidR="00495BA0" w:rsidRPr="00D77B31">
        <w:rPr>
          <w:rFonts w:cs="Arial"/>
        </w:rPr>
        <w:t>this RALI</w:t>
      </w:r>
      <w:r w:rsidR="00E30E8E" w:rsidRPr="00D77B31">
        <w:rPr>
          <w:rFonts w:cs="Arial"/>
        </w:rPr>
        <w:t>.</w:t>
      </w:r>
      <w:r w:rsidR="00DF550D" w:rsidRPr="00D77B31">
        <w:rPr>
          <w:rFonts w:cs="Arial"/>
        </w:rPr>
        <w:t xml:space="preserve"> Authorisation of TOB </w:t>
      </w:r>
      <w:r w:rsidR="002E01B3" w:rsidRPr="00D77B31">
        <w:rPr>
          <w:rFonts w:cs="Arial"/>
        </w:rPr>
        <w:t xml:space="preserve">transmitters </w:t>
      </w:r>
      <w:r w:rsidR="00DF550D" w:rsidRPr="00D77B31">
        <w:rPr>
          <w:rFonts w:cs="Arial"/>
        </w:rPr>
        <w:t xml:space="preserve">for ABC, Channel Seven, Nine Network, Network Ten and </w:t>
      </w:r>
      <w:r w:rsidR="00DF550D" w:rsidRPr="00D77B31">
        <w:rPr>
          <w:rFonts w:cs="Arial"/>
        </w:rPr>
        <w:lastRenderedPageBreak/>
        <w:t>subscription television will by via Australia wide licences with licensees required to operate in accordance with the requirements in this RALI.</w:t>
      </w:r>
      <w:r w:rsidR="002E01B3" w:rsidRPr="00D77B31">
        <w:rPr>
          <w:rFonts w:cs="Arial"/>
        </w:rPr>
        <w:t xml:space="preserve"> The licensing of fixed TOB receivers in the band is optional.</w:t>
      </w:r>
    </w:p>
    <w:p w14:paraId="0FE55A8D" w14:textId="77777777" w:rsidR="00B27245" w:rsidRPr="00D77B31" w:rsidRDefault="00ED727E" w:rsidP="002E30C6">
      <w:pPr>
        <w:rPr>
          <w:rFonts w:cs="Arial"/>
        </w:rPr>
      </w:pPr>
      <w:r w:rsidRPr="00D77B31">
        <w:rPr>
          <w:rFonts w:cs="Arial"/>
        </w:rPr>
        <w:t xml:space="preserve">TOB licensees are to </w:t>
      </w:r>
      <w:r w:rsidR="001E218A" w:rsidRPr="00D77B31">
        <w:rPr>
          <w:rFonts w:cs="Arial"/>
        </w:rPr>
        <w:t>self-coordinate</w:t>
      </w:r>
      <w:r w:rsidRPr="00D77B31">
        <w:rPr>
          <w:rFonts w:cs="Arial"/>
        </w:rPr>
        <w:t xml:space="preserve"> adjacent channel use with other TOB licensees.</w:t>
      </w:r>
    </w:p>
    <w:p w14:paraId="71F920FB" w14:textId="352777DA" w:rsidR="00EF0194" w:rsidRPr="00D77B31" w:rsidRDefault="00EF0194" w:rsidP="002E30C6">
      <w:pPr>
        <w:rPr>
          <w:rFonts w:cs="Arial"/>
        </w:rPr>
      </w:pPr>
      <w:r w:rsidRPr="00D77B31">
        <w:rPr>
          <w:rFonts w:cs="Arial"/>
        </w:rPr>
        <w:t xml:space="preserve">Coordination between TOB transmitters and fixed point-to-point receivers, </w:t>
      </w:r>
      <w:r w:rsidR="00726125" w:rsidRPr="00D77B31">
        <w:rPr>
          <w:rFonts w:cs="Arial"/>
        </w:rPr>
        <w:t>earth station</w:t>
      </w:r>
      <w:r w:rsidRPr="00D77B31">
        <w:rPr>
          <w:rFonts w:cs="Arial"/>
        </w:rPr>
        <w:t xml:space="preserve"> receivers and adjacent apparatus licence and spectrum licence receivers is required.</w:t>
      </w:r>
    </w:p>
    <w:p w14:paraId="44D980D2" w14:textId="77777777" w:rsidR="00A21671" w:rsidRPr="00D77B31" w:rsidRDefault="00A21671" w:rsidP="002E30C6">
      <w:pPr>
        <w:rPr>
          <w:rFonts w:cs="Arial"/>
        </w:rPr>
      </w:pPr>
      <w:r w:rsidRPr="00D77B31">
        <w:rPr>
          <w:rFonts w:cs="Arial"/>
        </w:rPr>
        <w:t>Coordination is</w:t>
      </w:r>
      <w:r w:rsidR="00EF0194" w:rsidRPr="00D77B31">
        <w:rPr>
          <w:rFonts w:cs="Arial"/>
        </w:rPr>
        <w:t xml:space="preserve"> also</w:t>
      </w:r>
      <w:r w:rsidRPr="00D77B31">
        <w:rPr>
          <w:rFonts w:cs="Arial"/>
        </w:rPr>
        <w:t xml:space="preserve"> required between fixed TOB receivers and fixed point-to-point, adjacent apparatus licence and </w:t>
      </w:r>
      <w:r w:rsidR="00FE7E60" w:rsidRPr="00D77B31">
        <w:rPr>
          <w:rFonts w:cs="Arial"/>
        </w:rPr>
        <w:t>spectrum licensees</w:t>
      </w:r>
      <w:r w:rsidRPr="00D77B31">
        <w:rPr>
          <w:rFonts w:cs="Arial"/>
        </w:rPr>
        <w:t xml:space="preserve">. Coordination between </w:t>
      </w:r>
      <w:r w:rsidR="00BF43F3" w:rsidRPr="00D77B31">
        <w:rPr>
          <w:rFonts w:cs="Arial"/>
        </w:rPr>
        <w:t>e</w:t>
      </w:r>
      <w:r w:rsidRPr="00D77B31">
        <w:rPr>
          <w:rFonts w:cs="Arial"/>
        </w:rPr>
        <w:t>arth stations and fixed TOB receivers is not required.</w:t>
      </w:r>
    </w:p>
    <w:p w14:paraId="316084DE" w14:textId="77777777" w:rsidR="002C32E4" w:rsidRPr="00D77B31" w:rsidRDefault="00FE7E60" w:rsidP="002E30C6">
      <w:pPr>
        <w:rPr>
          <w:rFonts w:cs="Arial"/>
        </w:rPr>
      </w:pPr>
      <w:r w:rsidRPr="00D77B31">
        <w:rPr>
          <w:rFonts w:cs="Arial"/>
        </w:rPr>
        <w:t>In a majority of cases m</w:t>
      </w:r>
      <w:r w:rsidR="002C32E4" w:rsidRPr="00D77B31">
        <w:rPr>
          <w:rFonts w:cs="Arial"/>
        </w:rPr>
        <w:t>inimal coordination will be required</w:t>
      </w:r>
      <w:r w:rsidRPr="00D77B31">
        <w:rPr>
          <w:rFonts w:cs="Arial"/>
        </w:rPr>
        <w:t xml:space="preserve"> for TOB </w:t>
      </w:r>
      <w:r w:rsidR="002E01B3" w:rsidRPr="00D77B31">
        <w:rPr>
          <w:rFonts w:cs="Arial"/>
        </w:rPr>
        <w:t>service operations</w:t>
      </w:r>
      <w:r w:rsidR="002C32E4" w:rsidRPr="00D77B31">
        <w:rPr>
          <w:rFonts w:cs="Arial"/>
        </w:rPr>
        <w:t xml:space="preserve"> around Australian capital cities</w:t>
      </w:r>
      <w:r w:rsidR="002E01B3" w:rsidRPr="00D77B31">
        <w:rPr>
          <w:rFonts w:cs="Arial"/>
        </w:rPr>
        <w:t xml:space="preserve"> (Perth and Canberra being notable exceptions)</w:t>
      </w:r>
      <w:r w:rsidR="00F61827" w:rsidRPr="00D77B31">
        <w:rPr>
          <w:rFonts w:cs="Arial"/>
        </w:rPr>
        <w:t>.</w:t>
      </w:r>
    </w:p>
    <w:p w14:paraId="5ED60659" w14:textId="77777777" w:rsidR="009205C0" w:rsidRPr="00D77B31" w:rsidRDefault="009205C0" w:rsidP="009205C0">
      <w:pPr>
        <w:pStyle w:val="Heading1"/>
        <w:keepLines/>
        <w:spacing w:after="200"/>
      </w:pPr>
      <w:bookmarkStart w:id="23" w:name="_Toc380391897"/>
      <w:bookmarkStart w:id="24" w:name="_Toc380417024"/>
      <w:bookmarkStart w:id="25" w:name="_Toc368045541"/>
      <w:bookmarkStart w:id="26" w:name="_Ref380048618"/>
      <w:bookmarkStart w:id="27" w:name="_Toc111710850"/>
      <w:bookmarkEnd w:id="9"/>
      <w:bookmarkEnd w:id="10"/>
      <w:bookmarkEnd w:id="11"/>
      <w:bookmarkEnd w:id="12"/>
      <w:bookmarkEnd w:id="13"/>
      <w:bookmarkEnd w:id="14"/>
      <w:bookmarkEnd w:id="15"/>
      <w:bookmarkEnd w:id="16"/>
      <w:bookmarkEnd w:id="17"/>
      <w:bookmarkEnd w:id="18"/>
      <w:bookmarkEnd w:id="19"/>
      <w:bookmarkEnd w:id="20"/>
      <w:bookmarkEnd w:id="23"/>
      <w:bookmarkEnd w:id="24"/>
      <w:r w:rsidRPr="00D77B31">
        <w:lastRenderedPageBreak/>
        <w:t>Channel arrangements</w:t>
      </w:r>
      <w:bookmarkEnd w:id="25"/>
      <w:bookmarkEnd w:id="26"/>
      <w:bookmarkEnd w:id="27"/>
      <w:r w:rsidRPr="00D77B31">
        <w:t xml:space="preserve"> </w:t>
      </w:r>
    </w:p>
    <w:p w14:paraId="53BE6C08" w14:textId="77777777" w:rsidR="00355413" w:rsidRPr="00D77B31" w:rsidRDefault="00E70B5E" w:rsidP="009205C0">
      <w:pPr>
        <w:rPr>
          <w:rFonts w:cs="Arial"/>
        </w:rPr>
      </w:pPr>
      <w:r w:rsidRPr="00D77B31">
        <w:rPr>
          <w:rFonts w:cs="Arial"/>
        </w:rPr>
        <w:t>Channel arrangements specified for TOB services in the frequency bands 1980-2010 MHz and 2170-2200 MHz are nominal only and other arrangements can be used provided the requirements of this RALI are met.</w:t>
      </w:r>
    </w:p>
    <w:p w14:paraId="3192AD4D" w14:textId="225521D3" w:rsidR="00EF0194" w:rsidRPr="00D77B31" w:rsidRDefault="00EF0194" w:rsidP="009205C0">
      <w:pPr>
        <w:rPr>
          <w:rFonts w:cs="Arial"/>
        </w:rPr>
      </w:pPr>
      <w:r w:rsidRPr="00D77B31">
        <w:rPr>
          <w:rFonts w:cs="Arial"/>
        </w:rPr>
        <w:t xml:space="preserve">The bands in which TOB </w:t>
      </w:r>
      <w:r w:rsidR="00DF45DE" w:rsidRPr="00D77B31">
        <w:rPr>
          <w:rFonts w:cs="Arial"/>
        </w:rPr>
        <w:t xml:space="preserve">services </w:t>
      </w:r>
      <w:r w:rsidRPr="00D77B31">
        <w:rPr>
          <w:rFonts w:cs="Arial"/>
        </w:rPr>
        <w:t xml:space="preserve">can operate in the Perth area are limited by the Treaty between the Government of Australian and the European Space Agency. </w:t>
      </w:r>
      <w:r w:rsidR="00A57EB8" w:rsidRPr="00D77B31">
        <w:rPr>
          <w:rFonts w:cs="Arial"/>
        </w:rPr>
        <w:t xml:space="preserve">ESA operations </w:t>
      </w:r>
      <w:r w:rsidR="00BC135A" w:rsidRPr="00D77B31">
        <w:rPr>
          <w:rFonts w:cs="Arial"/>
        </w:rPr>
        <w:t>are</w:t>
      </w:r>
      <w:r w:rsidR="00A57EB8" w:rsidRPr="00D77B31">
        <w:rPr>
          <w:rFonts w:cs="Arial"/>
        </w:rPr>
        <w:t xml:space="preserve"> limited to </w:t>
      </w:r>
      <w:r w:rsidRPr="00D77B31">
        <w:rPr>
          <w:rFonts w:cs="Arial"/>
        </w:rPr>
        <w:t>the bands 2044</w:t>
      </w:r>
      <w:r w:rsidRPr="00D77B31">
        <w:rPr>
          <w:rFonts w:cs="Arial"/>
        </w:rPr>
        <w:noBreakHyphen/>
      </w:r>
      <w:r w:rsidR="001C2DB4" w:rsidRPr="00D77B31">
        <w:rPr>
          <w:rFonts w:cs="Arial"/>
        </w:rPr>
        <w:t>2054</w:t>
      </w:r>
      <w:r w:rsidRPr="00D77B31">
        <w:rPr>
          <w:rFonts w:cs="Arial"/>
        </w:rPr>
        <w:t> </w:t>
      </w:r>
      <w:r w:rsidR="001C2DB4" w:rsidRPr="00D77B31">
        <w:rPr>
          <w:rFonts w:cs="Arial"/>
        </w:rPr>
        <w:t>MHz</w:t>
      </w:r>
      <w:r w:rsidRPr="00D77B31">
        <w:rPr>
          <w:rFonts w:cs="Arial"/>
        </w:rPr>
        <w:t>, 2110-2120 MHz, 2215-2230 MHz and 2290-2300 MHz in the Perth area</w:t>
      </w:r>
      <w:r w:rsidR="00A57EB8" w:rsidRPr="00D77B31">
        <w:rPr>
          <w:rFonts w:cs="Arial"/>
        </w:rPr>
        <w:t>, in which TOB will not be permitted to operate</w:t>
      </w:r>
      <w:r w:rsidRPr="00D77B31">
        <w:rPr>
          <w:rFonts w:cs="Arial"/>
        </w:rPr>
        <w:t>.</w:t>
      </w:r>
      <w:r w:rsidR="004B434A" w:rsidRPr="00D77B31">
        <w:rPr>
          <w:rFonts w:cs="Arial"/>
        </w:rPr>
        <w:t xml:space="preserve"> A graphical representation of the</w:t>
      </w:r>
      <w:r w:rsidR="005F3BC5" w:rsidRPr="00D77B31">
        <w:rPr>
          <w:rFonts w:cs="Arial"/>
        </w:rPr>
        <w:t xml:space="preserve"> </w:t>
      </w:r>
      <w:r w:rsidR="004B434A" w:rsidRPr="00D77B31">
        <w:rPr>
          <w:rFonts w:cs="Arial"/>
        </w:rPr>
        <w:t xml:space="preserve">channel arrangements </w:t>
      </w:r>
      <w:r w:rsidR="005A5107" w:rsidRPr="00D77B31">
        <w:rPr>
          <w:rFonts w:cs="Arial"/>
        </w:rPr>
        <w:t xml:space="preserve">is </w:t>
      </w:r>
      <w:r w:rsidR="004B434A" w:rsidRPr="00D77B31">
        <w:rPr>
          <w:rFonts w:cs="Arial"/>
        </w:rPr>
        <w:t>outlined in Figure 2b.</w:t>
      </w:r>
    </w:p>
    <w:p w14:paraId="5B3DC1FE" w14:textId="77777777" w:rsidR="00EF0194" w:rsidRPr="00D77B31" w:rsidRDefault="00EF0194" w:rsidP="009205C0">
      <w:pPr>
        <w:rPr>
          <w:rFonts w:cs="Arial"/>
        </w:rPr>
      </w:pPr>
      <w:r w:rsidRPr="00D77B31">
        <w:rPr>
          <w:rFonts w:cs="Arial"/>
        </w:rPr>
        <w:t>The use of all TOB channels is under the requirement that the sharing and coordination requirements between existing services and TOB, outlined in this RALI, are met.</w:t>
      </w:r>
    </w:p>
    <w:p w14:paraId="334BA8FE" w14:textId="390735C9" w:rsidR="009205C0" w:rsidRPr="00D77B31" w:rsidRDefault="006159DA" w:rsidP="009318BA">
      <w:pPr>
        <w:pStyle w:val="Heading2"/>
      </w:pPr>
      <w:bookmarkStart w:id="28" w:name="_Toc380391899"/>
      <w:bookmarkStart w:id="29" w:name="_Toc380417026"/>
      <w:bookmarkStart w:id="30" w:name="_Toc519626970"/>
      <w:bookmarkStart w:id="31" w:name="_Toc525048679"/>
      <w:bookmarkStart w:id="32" w:name="_Toc525134269"/>
      <w:bookmarkStart w:id="33" w:name="_Toc519626971"/>
      <w:bookmarkStart w:id="34" w:name="_Toc525048680"/>
      <w:bookmarkStart w:id="35" w:name="_Toc525134270"/>
      <w:bookmarkStart w:id="36" w:name="_Toc519626973"/>
      <w:bookmarkStart w:id="37" w:name="_Toc525048682"/>
      <w:bookmarkStart w:id="38" w:name="_Toc525134272"/>
      <w:bookmarkStart w:id="39" w:name="_Toc519626974"/>
      <w:bookmarkStart w:id="40" w:name="_Toc525048683"/>
      <w:bookmarkStart w:id="41" w:name="_Toc525134273"/>
      <w:bookmarkStart w:id="42" w:name="_Toc519626975"/>
      <w:bookmarkStart w:id="43" w:name="_Toc525048684"/>
      <w:bookmarkStart w:id="44" w:name="_Toc525134274"/>
      <w:bookmarkStart w:id="45" w:name="_Toc519626976"/>
      <w:bookmarkStart w:id="46" w:name="_Toc525048685"/>
      <w:bookmarkStart w:id="47" w:name="_Toc525134275"/>
      <w:bookmarkStart w:id="48" w:name="_Toc519626977"/>
      <w:bookmarkStart w:id="49" w:name="_Toc525048686"/>
      <w:bookmarkStart w:id="50" w:name="_Toc525134276"/>
      <w:bookmarkStart w:id="51" w:name="_Toc519626978"/>
      <w:bookmarkStart w:id="52" w:name="_Toc525048687"/>
      <w:bookmarkStart w:id="53" w:name="_Toc525134277"/>
      <w:bookmarkStart w:id="54" w:name="_Toc519626979"/>
      <w:bookmarkStart w:id="55" w:name="_Toc525048688"/>
      <w:bookmarkStart w:id="56" w:name="_Toc525134278"/>
      <w:bookmarkStart w:id="57" w:name="_Toc380391901"/>
      <w:bookmarkStart w:id="58" w:name="_Toc380417028"/>
      <w:bookmarkStart w:id="59" w:name="_Toc344976897"/>
      <w:bookmarkStart w:id="60" w:name="_Toc368045543"/>
      <w:bookmarkStart w:id="61" w:name="_Toc111710851"/>
      <w:bookmarkEnd w:id="28"/>
      <w:bookmarkEnd w:id="29"/>
      <w:bookmarkEnd w:id="30"/>
      <w:bookmarkEnd w:id="31"/>
      <w:bookmarkEnd w:id="32"/>
      <w:bookmarkEnd w:id="33"/>
      <w:bookmarkEnd w:id="34"/>
      <w:bookmarkEnd w:id="35"/>
      <w:bookmarkEnd w:id="36"/>
      <w:bookmarkEnd w:id="37"/>
      <w:bookmarkEnd w:id="38"/>
      <w:bookmarkEnd w:id="39"/>
      <w:bookmarkEnd w:id="40"/>
      <w:bookmarkEnd w:id="41"/>
      <w:bookmarkEnd w:id="42"/>
      <w:bookmarkEnd w:id="43"/>
      <w:bookmarkEnd w:id="44"/>
      <w:bookmarkEnd w:id="45"/>
      <w:bookmarkEnd w:id="46"/>
      <w:bookmarkEnd w:id="47"/>
      <w:bookmarkEnd w:id="48"/>
      <w:bookmarkEnd w:id="49"/>
      <w:bookmarkEnd w:id="50"/>
      <w:bookmarkEnd w:id="51"/>
      <w:bookmarkEnd w:id="52"/>
      <w:bookmarkEnd w:id="53"/>
      <w:bookmarkEnd w:id="54"/>
      <w:bookmarkEnd w:id="55"/>
      <w:bookmarkEnd w:id="56"/>
      <w:bookmarkEnd w:id="57"/>
      <w:bookmarkEnd w:id="58"/>
      <w:r w:rsidRPr="00D77B31">
        <w:t>Channel arrangements</w:t>
      </w:r>
      <w:bookmarkEnd w:id="59"/>
      <w:bookmarkEnd w:id="60"/>
      <w:bookmarkEnd w:id="61"/>
    </w:p>
    <w:p w14:paraId="789EE658" w14:textId="13B9DFF7" w:rsidR="009205C0" w:rsidRPr="00D77B31" w:rsidRDefault="00BC135A" w:rsidP="009205C0">
      <w:pPr>
        <w:keepNext/>
        <w:keepLines/>
        <w:rPr>
          <w:rFonts w:cs="Arial"/>
        </w:rPr>
      </w:pPr>
      <w:r w:rsidRPr="00D77B31">
        <w:rPr>
          <w:rFonts w:cs="Arial"/>
        </w:rPr>
        <w:t>Channel arrangements</w:t>
      </w:r>
      <w:r w:rsidR="004A67A5" w:rsidRPr="00D77B31">
        <w:rPr>
          <w:rFonts w:cs="Arial"/>
        </w:rPr>
        <w:t xml:space="preserve"> are as follows:</w:t>
      </w:r>
    </w:p>
    <w:p w14:paraId="02F7C884" w14:textId="68099CD8" w:rsidR="00E14B35" w:rsidRPr="00D77B31" w:rsidRDefault="004A67A5" w:rsidP="00722030">
      <w:pPr>
        <w:keepNext/>
        <w:keepLines/>
        <w:numPr>
          <w:ilvl w:val="0"/>
          <w:numId w:val="1"/>
        </w:numPr>
        <w:ind w:left="357" w:hanging="357"/>
        <w:rPr>
          <w:rFonts w:cs="Arial"/>
        </w:rPr>
      </w:pPr>
      <w:r w:rsidRPr="00D77B31">
        <w:rPr>
          <w:rFonts w:cs="Arial"/>
        </w:rPr>
        <w:t xml:space="preserve">The </w:t>
      </w:r>
      <w:r w:rsidR="009205C0" w:rsidRPr="00D77B31">
        <w:rPr>
          <w:rFonts w:cs="Arial"/>
        </w:rPr>
        <w:t>bands 2010</w:t>
      </w:r>
      <w:r w:rsidR="00F8170F" w:rsidRPr="00D77B31">
        <w:rPr>
          <w:rFonts w:cs="Arial"/>
        </w:rPr>
        <w:noBreakHyphen/>
      </w:r>
      <w:r w:rsidR="009205C0" w:rsidRPr="00D77B31">
        <w:rPr>
          <w:rFonts w:cs="Arial"/>
        </w:rPr>
        <w:t>2110 MHz and 2200</w:t>
      </w:r>
      <w:r w:rsidR="00F8170F" w:rsidRPr="00D77B31">
        <w:rPr>
          <w:rFonts w:cs="Arial"/>
        </w:rPr>
        <w:noBreakHyphen/>
      </w:r>
      <w:r w:rsidR="009205C0" w:rsidRPr="00D77B31">
        <w:rPr>
          <w:rFonts w:cs="Arial"/>
        </w:rPr>
        <w:t xml:space="preserve">2268 MHz </w:t>
      </w:r>
      <w:r w:rsidR="005A5107" w:rsidRPr="00D77B31">
        <w:rPr>
          <w:rFonts w:cs="Arial"/>
        </w:rPr>
        <w:t>is</w:t>
      </w:r>
      <w:r w:rsidR="009205C0" w:rsidRPr="00D77B31">
        <w:rPr>
          <w:rFonts w:cs="Arial"/>
        </w:rPr>
        <w:t xml:space="preserve"> available for use by ABC, Seven Network, Nine Network Australia and Network Ten</w:t>
      </w:r>
      <w:r w:rsidRPr="00D77B31">
        <w:rPr>
          <w:rFonts w:cs="Arial"/>
        </w:rPr>
        <w:t>.</w:t>
      </w:r>
    </w:p>
    <w:p w14:paraId="76D41DE2" w14:textId="79B775A7" w:rsidR="00E14B35" w:rsidRPr="00D77B31" w:rsidRDefault="004A67A5" w:rsidP="00722030">
      <w:pPr>
        <w:keepNext/>
        <w:keepLines/>
        <w:numPr>
          <w:ilvl w:val="0"/>
          <w:numId w:val="1"/>
        </w:numPr>
        <w:ind w:left="357" w:hanging="357"/>
        <w:rPr>
          <w:rFonts w:cs="Arial"/>
        </w:rPr>
      </w:pPr>
      <w:r w:rsidRPr="00D77B31">
        <w:rPr>
          <w:rFonts w:cs="Arial"/>
        </w:rPr>
        <w:t xml:space="preserve">The </w:t>
      </w:r>
      <w:r w:rsidR="009205C0" w:rsidRPr="00D77B31">
        <w:rPr>
          <w:rFonts w:cs="Arial"/>
        </w:rPr>
        <w:t xml:space="preserve">bands 2268-2300 MHz </w:t>
      </w:r>
      <w:r w:rsidR="005A5107" w:rsidRPr="00D77B31">
        <w:rPr>
          <w:rFonts w:cs="Arial"/>
        </w:rPr>
        <w:t>is</w:t>
      </w:r>
      <w:r w:rsidR="009205C0" w:rsidRPr="00D77B31">
        <w:rPr>
          <w:rFonts w:cs="Arial"/>
        </w:rPr>
        <w:t xml:space="preserve"> available for use by </w:t>
      </w:r>
      <w:r w:rsidR="00E07C24" w:rsidRPr="00D77B31">
        <w:rPr>
          <w:rFonts w:cs="Arial"/>
        </w:rPr>
        <w:t>FOX</w:t>
      </w:r>
      <w:r w:rsidR="002F7B6C" w:rsidRPr="00D77B31">
        <w:rPr>
          <w:rFonts w:cs="Arial"/>
        </w:rPr>
        <w:t xml:space="preserve"> </w:t>
      </w:r>
      <w:r w:rsidR="00E07C24" w:rsidRPr="00D77B31">
        <w:rPr>
          <w:rFonts w:cs="Arial"/>
        </w:rPr>
        <w:t>Sports</w:t>
      </w:r>
      <w:r w:rsidR="009205C0" w:rsidRPr="00D77B31">
        <w:rPr>
          <w:rFonts w:cs="Arial"/>
        </w:rPr>
        <w:t xml:space="preserve"> who will coordinate </w:t>
      </w:r>
      <w:r w:rsidR="002E01B3" w:rsidRPr="00D77B31">
        <w:rPr>
          <w:rFonts w:cs="Arial"/>
        </w:rPr>
        <w:t xml:space="preserve">the </w:t>
      </w:r>
      <w:r w:rsidR="009205C0" w:rsidRPr="00D77B31">
        <w:rPr>
          <w:rFonts w:cs="Arial"/>
        </w:rPr>
        <w:t>subscription television (STV) use of this band</w:t>
      </w:r>
      <w:r w:rsidRPr="00D77B31">
        <w:rPr>
          <w:rFonts w:cs="Arial"/>
        </w:rPr>
        <w:t>.</w:t>
      </w:r>
    </w:p>
    <w:p w14:paraId="428B4E35" w14:textId="5DC6BD31" w:rsidR="00E14B35" w:rsidRPr="00D77B31" w:rsidRDefault="004A67A5" w:rsidP="00722030">
      <w:pPr>
        <w:keepNext/>
        <w:keepLines/>
        <w:numPr>
          <w:ilvl w:val="0"/>
          <w:numId w:val="1"/>
        </w:numPr>
        <w:ind w:left="357" w:hanging="357"/>
        <w:rPr>
          <w:rFonts w:cs="Arial"/>
        </w:rPr>
      </w:pPr>
      <w:r w:rsidRPr="00D77B31">
        <w:rPr>
          <w:rFonts w:cs="Arial"/>
        </w:rPr>
        <w:t xml:space="preserve">The </w:t>
      </w:r>
      <w:r w:rsidR="009205C0" w:rsidRPr="00D77B31">
        <w:rPr>
          <w:rFonts w:cs="Arial"/>
        </w:rPr>
        <w:t>bands 1980</w:t>
      </w:r>
      <w:r w:rsidR="00F8170F" w:rsidRPr="00D77B31">
        <w:rPr>
          <w:rFonts w:cs="Arial"/>
        </w:rPr>
        <w:noBreakHyphen/>
      </w:r>
      <w:r w:rsidR="009205C0" w:rsidRPr="00D77B31">
        <w:rPr>
          <w:rFonts w:cs="Arial"/>
        </w:rPr>
        <w:t>2010 MHz and 2170</w:t>
      </w:r>
      <w:r w:rsidR="00F8170F" w:rsidRPr="00D77B31">
        <w:rPr>
          <w:rFonts w:cs="Arial"/>
        </w:rPr>
        <w:noBreakHyphen/>
      </w:r>
      <w:r w:rsidR="009205C0" w:rsidRPr="00D77B31">
        <w:rPr>
          <w:rFonts w:cs="Arial"/>
        </w:rPr>
        <w:t xml:space="preserve">2200 MHz </w:t>
      </w:r>
      <w:r w:rsidR="006653D3" w:rsidRPr="00D77B31">
        <w:rPr>
          <w:rFonts w:cs="Arial"/>
        </w:rPr>
        <w:t xml:space="preserve">are </w:t>
      </w:r>
      <w:r w:rsidR="009205C0" w:rsidRPr="00D77B31">
        <w:rPr>
          <w:rFonts w:cs="Arial"/>
        </w:rPr>
        <w:t xml:space="preserve">available for use </w:t>
      </w:r>
      <w:r w:rsidR="009770E5" w:rsidRPr="00D77B31">
        <w:rPr>
          <w:rFonts w:cs="Arial"/>
        </w:rPr>
        <w:t xml:space="preserve">by </w:t>
      </w:r>
      <w:r w:rsidR="009205C0" w:rsidRPr="00D77B31">
        <w:rPr>
          <w:rFonts w:cs="Arial"/>
        </w:rPr>
        <w:t>TOB services</w:t>
      </w:r>
      <w:r w:rsidR="004406FA" w:rsidRPr="00D77B31">
        <w:rPr>
          <w:rFonts w:cs="Arial"/>
        </w:rPr>
        <w:t xml:space="preserve"> during the transition period (outlined in MSS Band </w:t>
      </w:r>
      <w:r w:rsidR="0039246F" w:rsidRPr="00D77B31">
        <w:rPr>
          <w:rFonts w:cs="Arial"/>
        </w:rPr>
        <w:t>Plan) on</w:t>
      </w:r>
      <w:r w:rsidR="009205C0" w:rsidRPr="00D77B31">
        <w:rPr>
          <w:rFonts w:cs="Arial"/>
        </w:rPr>
        <w:t xml:space="preserve"> a shared, non-exclusive basis. </w:t>
      </w:r>
      <w:r w:rsidR="009770E5" w:rsidRPr="00D77B31">
        <w:rPr>
          <w:rFonts w:cs="Arial"/>
        </w:rPr>
        <w:t xml:space="preserve">Following the transition period, TOB use of these bands will be </w:t>
      </w:r>
      <w:r w:rsidR="00D91F99" w:rsidRPr="00D77B31">
        <w:rPr>
          <w:rFonts w:cs="Arial"/>
        </w:rPr>
        <w:t>restricted.</w:t>
      </w:r>
      <w:r w:rsidR="009770E5" w:rsidRPr="00D77B31">
        <w:rPr>
          <w:rFonts w:cs="Arial"/>
        </w:rPr>
        <w:t xml:space="preserve"> </w:t>
      </w:r>
      <w:r w:rsidR="00F003C1" w:rsidRPr="00D77B31">
        <w:rPr>
          <w:rFonts w:cs="Arial"/>
        </w:rPr>
        <w:t xml:space="preserve">TOB licensees </w:t>
      </w:r>
      <w:r w:rsidR="009205C0" w:rsidRPr="00D77B31">
        <w:rPr>
          <w:rFonts w:cs="Arial"/>
        </w:rPr>
        <w:t xml:space="preserve">will be required to </w:t>
      </w:r>
      <w:r w:rsidR="001E218A" w:rsidRPr="00D77B31">
        <w:rPr>
          <w:rFonts w:cs="Arial"/>
        </w:rPr>
        <w:t>self-coordinate</w:t>
      </w:r>
      <w:r w:rsidR="009205C0" w:rsidRPr="00D77B31">
        <w:rPr>
          <w:rFonts w:cs="Arial"/>
        </w:rPr>
        <w:t xml:space="preserve"> use.</w:t>
      </w:r>
      <w:r w:rsidR="00BC135A" w:rsidRPr="00D77B31">
        <w:rPr>
          <w:rFonts w:cs="Arial"/>
        </w:rPr>
        <w:t xml:space="preserve"> </w:t>
      </w:r>
      <w:r w:rsidR="00BC135A" w:rsidRPr="00D77B31">
        <w:rPr>
          <w:rFonts w:cs="Arial"/>
          <w:i/>
        </w:rPr>
        <w:t xml:space="preserve">Please note that </w:t>
      </w:r>
      <w:proofErr w:type="spellStart"/>
      <w:r w:rsidR="00BC135A" w:rsidRPr="00D77B31">
        <w:rPr>
          <w:rFonts w:cs="Arial"/>
          <w:i/>
        </w:rPr>
        <w:t>channelisations</w:t>
      </w:r>
      <w:proofErr w:type="spellEnd"/>
      <w:r w:rsidR="00BC135A" w:rsidRPr="00D77B31">
        <w:rPr>
          <w:rFonts w:cs="Arial"/>
          <w:i/>
        </w:rPr>
        <w:t xml:space="preserve"> shown </w:t>
      </w:r>
      <w:r w:rsidR="00424EB9" w:rsidRPr="00D77B31">
        <w:rPr>
          <w:rFonts w:cs="Arial"/>
          <w:i/>
        </w:rPr>
        <w:t xml:space="preserve">in these bands </w:t>
      </w:r>
      <w:r w:rsidR="00BC135A" w:rsidRPr="00D77B31">
        <w:rPr>
          <w:rFonts w:cs="Arial"/>
          <w:i/>
        </w:rPr>
        <w:t>are illustrative and not prescriptive.</w:t>
      </w:r>
    </w:p>
    <w:p w14:paraId="5DE1AC24" w14:textId="53745813" w:rsidR="00F81B74" w:rsidRPr="00D77B31" w:rsidRDefault="009205C0" w:rsidP="009205C0">
      <w:pPr>
        <w:rPr>
          <w:rFonts w:cs="Arial"/>
        </w:rPr>
      </w:pPr>
      <w:r w:rsidRPr="00D77B31">
        <w:rPr>
          <w:rFonts w:cs="Arial"/>
        </w:rPr>
        <w:t xml:space="preserve">These arrangements are illustrated in </w:t>
      </w:r>
      <w:r w:rsidR="009E1B03">
        <w:rPr>
          <w:rFonts w:cs="Arial"/>
        </w:rPr>
        <w:fldChar w:fldCharType="begin"/>
      </w:r>
      <w:r w:rsidR="009E1B03">
        <w:rPr>
          <w:rFonts w:cs="Arial"/>
        </w:rPr>
        <w:instrText xml:space="preserve"> REF _Ref111710110 \r \h </w:instrText>
      </w:r>
      <w:r w:rsidR="009E1B03">
        <w:rPr>
          <w:rFonts w:cs="Arial"/>
        </w:rPr>
      </w:r>
      <w:r w:rsidR="009E1B03">
        <w:rPr>
          <w:rFonts w:cs="Arial"/>
        </w:rPr>
        <w:fldChar w:fldCharType="separate"/>
      </w:r>
      <w:r w:rsidR="003F79BE">
        <w:rPr>
          <w:rFonts w:cs="Arial"/>
        </w:rPr>
        <w:t>Figure 1</w:t>
      </w:r>
      <w:r w:rsidR="009E1B03">
        <w:rPr>
          <w:rFonts w:cs="Arial"/>
        </w:rPr>
        <w:fldChar w:fldCharType="end"/>
      </w:r>
      <w:r w:rsidR="009E1B03">
        <w:rPr>
          <w:rFonts w:cs="Arial"/>
        </w:rPr>
        <w:t xml:space="preserve"> </w:t>
      </w:r>
      <w:r w:rsidR="00B75F4C" w:rsidRPr="00D77B31">
        <w:rPr>
          <w:rFonts w:cs="Arial"/>
        </w:rPr>
        <w:t>below</w:t>
      </w:r>
      <w:r w:rsidR="004B434A" w:rsidRPr="00D77B31">
        <w:rPr>
          <w:rFonts w:cs="Arial"/>
        </w:rPr>
        <w:t xml:space="preserve"> with arrangements around the Perth </w:t>
      </w:r>
      <w:r w:rsidR="00ED77A3" w:rsidRPr="00D77B31">
        <w:rPr>
          <w:rFonts w:cs="Arial"/>
        </w:rPr>
        <w:t>A</w:t>
      </w:r>
      <w:r w:rsidR="004B434A" w:rsidRPr="00D77B31">
        <w:rPr>
          <w:rFonts w:cs="Arial"/>
        </w:rPr>
        <w:t xml:space="preserve">rea illustrated in </w:t>
      </w:r>
      <w:r w:rsidR="00F03C4C">
        <w:rPr>
          <w:rFonts w:cs="Arial"/>
        </w:rPr>
        <w:fldChar w:fldCharType="begin"/>
      </w:r>
      <w:r w:rsidR="00F03C4C">
        <w:rPr>
          <w:rFonts w:cs="Arial"/>
        </w:rPr>
        <w:instrText xml:space="preserve"> REF _Ref111710121 \r \h </w:instrText>
      </w:r>
      <w:r w:rsidR="00F03C4C">
        <w:rPr>
          <w:rFonts w:cs="Arial"/>
        </w:rPr>
      </w:r>
      <w:r w:rsidR="00F03C4C">
        <w:rPr>
          <w:rFonts w:cs="Arial"/>
        </w:rPr>
        <w:fldChar w:fldCharType="separate"/>
      </w:r>
      <w:r w:rsidR="003F79BE">
        <w:rPr>
          <w:rFonts w:cs="Arial"/>
        </w:rPr>
        <w:t>Figure 2</w:t>
      </w:r>
      <w:r w:rsidR="00F03C4C">
        <w:rPr>
          <w:rFonts w:cs="Arial"/>
        </w:rPr>
        <w:fldChar w:fldCharType="end"/>
      </w:r>
      <w:r w:rsidR="00B75F4C" w:rsidRPr="00D77B31">
        <w:rPr>
          <w:rFonts w:cs="Arial"/>
        </w:rPr>
        <w:t>.</w:t>
      </w:r>
    </w:p>
    <w:p w14:paraId="30098320" w14:textId="42D40E77" w:rsidR="002D2224" w:rsidRPr="00D77B31" w:rsidRDefault="002D2224" w:rsidP="00F81B74">
      <w:pPr>
        <w:pStyle w:val="ACMAFigureHeader"/>
        <w:rPr>
          <w:rFonts w:cs="Arial"/>
        </w:rPr>
      </w:pPr>
      <w:bookmarkStart w:id="62" w:name="_Ref111710110"/>
      <w:r w:rsidRPr="00D77B31">
        <w:rPr>
          <w:rFonts w:cs="Arial"/>
        </w:rPr>
        <w:t>TOB channelling arrangements</w:t>
      </w:r>
      <w:bookmarkEnd w:id="62"/>
    </w:p>
    <w:p w14:paraId="34BFA2AC" w14:textId="34EA8E14" w:rsidR="009205C0" w:rsidRPr="00D77B31" w:rsidRDefault="00954DC5" w:rsidP="00D21D4F">
      <w:pPr>
        <w:ind w:left="-284"/>
        <w:rPr>
          <w:rFonts w:cs="Arial"/>
        </w:rPr>
      </w:pPr>
      <w:r w:rsidRPr="00D77B31">
        <w:rPr>
          <w:rFonts w:cs="Arial"/>
          <w:noProof/>
          <w:color w:val="1F497D"/>
        </w:rPr>
        <w:drawing>
          <wp:inline distT="0" distB="0" distL="0" distR="0" wp14:anchorId="20D84043" wp14:editId="5F2C2E7F">
            <wp:extent cx="5940425" cy="2010410"/>
            <wp:effectExtent l="0" t="0" r="3175" b="8890"/>
            <wp:docPr id="1" name="Picture 1" descr="Alt bands - channel arrangement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Alt bands - channel arrangements"/>
                    <pic:cNvPicPr>
                      <a:picLocks noChangeAspect="1" noChangeArrowheads="1"/>
                    </pic:cNvPicPr>
                  </pic:nvPicPr>
                  <pic:blipFill>
                    <a:blip r:embed="rId31" r:link="rId32" cstate="print"/>
                    <a:srcRect/>
                    <a:stretch>
                      <a:fillRect/>
                    </a:stretch>
                  </pic:blipFill>
                  <pic:spPr bwMode="auto">
                    <a:xfrm>
                      <a:off x="0" y="0"/>
                      <a:ext cx="5940425" cy="2010410"/>
                    </a:xfrm>
                    <a:prstGeom prst="rect">
                      <a:avLst/>
                    </a:prstGeom>
                    <a:noFill/>
                    <a:ln w="9525">
                      <a:noFill/>
                      <a:miter lim="800000"/>
                      <a:headEnd/>
                      <a:tailEnd/>
                    </a:ln>
                  </pic:spPr>
                </pic:pic>
              </a:graphicData>
            </a:graphic>
          </wp:inline>
        </w:drawing>
      </w:r>
    </w:p>
    <w:p w14:paraId="758A43FD" w14:textId="77777777" w:rsidR="005F3BC5" w:rsidRPr="00D77B31" w:rsidRDefault="005F3BC5" w:rsidP="00E30E8E">
      <w:pPr>
        <w:rPr>
          <w:rFonts w:cs="Arial"/>
        </w:rPr>
      </w:pPr>
    </w:p>
    <w:p w14:paraId="2F76E0E3" w14:textId="55DE9273" w:rsidR="002D2224" w:rsidRPr="00D77B31" w:rsidRDefault="002D2224" w:rsidP="00F81B74">
      <w:pPr>
        <w:pStyle w:val="ACMAFigureHeader"/>
        <w:rPr>
          <w:rFonts w:cs="Arial"/>
        </w:rPr>
      </w:pPr>
      <w:bookmarkStart w:id="63" w:name="_Ref111710121"/>
      <w:r w:rsidRPr="00D77B31">
        <w:rPr>
          <w:rFonts w:cs="Arial"/>
        </w:rPr>
        <w:lastRenderedPageBreak/>
        <w:t>TOB channelling arrangements in 2010-2110 MHz and 2200-2300 MHz</w:t>
      </w:r>
      <w:r w:rsidRPr="00D77B31">
        <w:rPr>
          <w:rStyle w:val="FootnoteReference"/>
          <w:rFonts w:cs="Arial"/>
        </w:rPr>
        <w:footnoteReference w:id="7"/>
      </w:r>
      <w:r w:rsidRPr="00D77B31">
        <w:rPr>
          <w:rFonts w:cs="Arial"/>
        </w:rPr>
        <w:t xml:space="preserve"> in the Perth Area</w:t>
      </w:r>
      <w:bookmarkEnd w:id="63"/>
    </w:p>
    <w:p w14:paraId="61F64DE0" w14:textId="77777777" w:rsidR="005F3BC5" w:rsidRPr="00D77B31" w:rsidRDefault="00ED77A3" w:rsidP="00D21D4F">
      <w:pPr>
        <w:ind w:left="-426"/>
        <w:rPr>
          <w:rFonts w:cs="Arial"/>
        </w:rPr>
      </w:pPr>
      <w:r w:rsidRPr="00D77B31">
        <w:rPr>
          <w:rFonts w:cs="Arial"/>
          <w:noProof/>
        </w:rPr>
        <w:drawing>
          <wp:inline distT="0" distB="0" distL="0" distR="0" wp14:anchorId="7C36718D" wp14:editId="40A14419">
            <wp:extent cx="6489902" cy="1905000"/>
            <wp:effectExtent l="0" t="0" r="6350" b="0"/>
            <wp:docPr id="14" name="Picture 14" descr="Channel arrangement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Picture 14" descr="Channel arrangements"/>
                    <pic:cNvPicPr/>
                  </pic:nvPicPr>
                  <pic:blipFill>
                    <a:blip r:embed="rId33">
                      <a:extLst>
                        <a:ext uri="{28A0092B-C50C-407E-A947-70E740481C1C}">
                          <a14:useLocalDpi xmlns:a14="http://schemas.microsoft.com/office/drawing/2010/main" val="0"/>
                        </a:ext>
                      </a:extLst>
                    </a:blip>
                    <a:stretch>
                      <a:fillRect/>
                    </a:stretch>
                  </pic:blipFill>
                  <pic:spPr>
                    <a:xfrm>
                      <a:off x="0" y="0"/>
                      <a:ext cx="6510149" cy="1910943"/>
                    </a:xfrm>
                    <a:prstGeom prst="rect">
                      <a:avLst/>
                    </a:prstGeom>
                  </pic:spPr>
                </pic:pic>
              </a:graphicData>
            </a:graphic>
          </wp:inline>
        </w:drawing>
      </w:r>
    </w:p>
    <w:p w14:paraId="13AD7C8B" w14:textId="344566F6" w:rsidR="009205C0" w:rsidRPr="00D77B31" w:rsidRDefault="009205C0" w:rsidP="009205C0">
      <w:pPr>
        <w:pStyle w:val="Heading1"/>
        <w:keepLines/>
        <w:spacing w:after="200"/>
      </w:pPr>
      <w:bookmarkStart w:id="64" w:name="_Toc380391903"/>
      <w:bookmarkStart w:id="65" w:name="_Toc380417030"/>
      <w:bookmarkStart w:id="66" w:name="_Toc368045544"/>
      <w:bookmarkStart w:id="67" w:name="_Toc111710852"/>
      <w:bookmarkEnd w:id="64"/>
      <w:bookmarkEnd w:id="65"/>
      <w:r w:rsidRPr="00D77B31">
        <w:lastRenderedPageBreak/>
        <w:t>Coordination</w:t>
      </w:r>
      <w:bookmarkEnd w:id="66"/>
      <w:r w:rsidR="009C2D65" w:rsidRPr="00D77B31">
        <w:t xml:space="preserve"> of TOB </w:t>
      </w:r>
      <w:r w:rsidR="00B229AD" w:rsidRPr="00D77B31">
        <w:t>t</w:t>
      </w:r>
      <w:r w:rsidR="009C2D65" w:rsidRPr="00D77B31">
        <w:t>ransmitters</w:t>
      </w:r>
      <w:bookmarkEnd w:id="67"/>
    </w:p>
    <w:p w14:paraId="018F970C" w14:textId="2443F18D" w:rsidR="009205C0" w:rsidRPr="00D77B31" w:rsidRDefault="009205C0" w:rsidP="009205C0">
      <w:pPr>
        <w:rPr>
          <w:rFonts w:cs="Arial"/>
        </w:rPr>
      </w:pPr>
      <w:r w:rsidRPr="00D77B31">
        <w:rPr>
          <w:rFonts w:cs="Arial"/>
        </w:rPr>
        <w:t xml:space="preserve">Coordination </w:t>
      </w:r>
      <w:r w:rsidR="00F8170F" w:rsidRPr="00D77B31">
        <w:rPr>
          <w:rFonts w:cs="Arial"/>
        </w:rPr>
        <w:t>arrangements for</w:t>
      </w:r>
      <w:r w:rsidR="009C2D65" w:rsidRPr="00D77B31">
        <w:rPr>
          <w:rFonts w:cs="Arial"/>
        </w:rPr>
        <w:t xml:space="preserve"> TOB transmitters in</w:t>
      </w:r>
      <w:r w:rsidR="00F8170F" w:rsidRPr="00D77B31">
        <w:rPr>
          <w:rFonts w:cs="Arial"/>
        </w:rPr>
        <w:t xml:space="preserve"> the bands 1980</w:t>
      </w:r>
      <w:r w:rsidR="00F8170F" w:rsidRPr="00D77B31">
        <w:rPr>
          <w:rFonts w:cs="Arial"/>
        </w:rPr>
        <w:noBreakHyphen/>
        <w:t>2</w:t>
      </w:r>
      <w:r w:rsidR="00DA7C5C" w:rsidRPr="00D77B31">
        <w:rPr>
          <w:rFonts w:cs="Arial"/>
        </w:rPr>
        <w:t>1</w:t>
      </w:r>
      <w:r w:rsidR="00F8170F" w:rsidRPr="00D77B31">
        <w:rPr>
          <w:rFonts w:cs="Arial"/>
        </w:rPr>
        <w:t>10 MHz and 2170</w:t>
      </w:r>
      <w:r w:rsidR="00F8170F" w:rsidRPr="00D77B31">
        <w:rPr>
          <w:rFonts w:cs="Arial"/>
        </w:rPr>
        <w:noBreakHyphen/>
      </w:r>
      <w:r w:rsidRPr="00D77B31">
        <w:rPr>
          <w:rFonts w:cs="Arial"/>
        </w:rPr>
        <w:t>2</w:t>
      </w:r>
      <w:r w:rsidR="00DA7C5C" w:rsidRPr="00D77B31">
        <w:rPr>
          <w:rFonts w:cs="Arial"/>
        </w:rPr>
        <w:t>3</w:t>
      </w:r>
      <w:r w:rsidRPr="00D77B31">
        <w:rPr>
          <w:rFonts w:cs="Arial"/>
        </w:rPr>
        <w:t>00 MHz are detailed below</w:t>
      </w:r>
      <w:r w:rsidR="00E30E8E" w:rsidRPr="00D77B31">
        <w:rPr>
          <w:rFonts w:cs="Arial"/>
        </w:rPr>
        <w:t xml:space="preserve">. </w:t>
      </w:r>
      <w:r w:rsidRPr="00D77B31">
        <w:rPr>
          <w:rFonts w:cs="Arial"/>
        </w:rPr>
        <w:t xml:space="preserve">Coordination arrangements in the bands </w:t>
      </w:r>
      <w:r w:rsidR="00DA7C5C" w:rsidRPr="00D77B31">
        <w:rPr>
          <w:rFonts w:cs="Arial"/>
        </w:rPr>
        <w:t>1980-</w:t>
      </w:r>
      <w:r w:rsidR="00E7208D" w:rsidRPr="00D77B31">
        <w:rPr>
          <w:rFonts w:cs="Arial"/>
        </w:rPr>
        <w:t>2110 </w:t>
      </w:r>
      <w:r w:rsidR="00F8170F" w:rsidRPr="00D77B31">
        <w:rPr>
          <w:rFonts w:cs="Arial"/>
        </w:rPr>
        <w:t>MHz and 2</w:t>
      </w:r>
      <w:r w:rsidR="00DA7C5C" w:rsidRPr="00D77B31">
        <w:rPr>
          <w:rFonts w:cs="Arial"/>
        </w:rPr>
        <w:t>17</w:t>
      </w:r>
      <w:r w:rsidR="00F8170F" w:rsidRPr="00D77B31">
        <w:rPr>
          <w:rFonts w:cs="Arial"/>
        </w:rPr>
        <w:t>0</w:t>
      </w:r>
      <w:r w:rsidR="00F8170F" w:rsidRPr="00D77B31">
        <w:rPr>
          <w:rFonts w:cs="Arial"/>
        </w:rPr>
        <w:noBreakHyphen/>
      </w:r>
      <w:r w:rsidR="00E7208D" w:rsidRPr="00D77B31">
        <w:rPr>
          <w:rFonts w:cs="Arial"/>
        </w:rPr>
        <w:t xml:space="preserve">2300 </w:t>
      </w:r>
      <w:r w:rsidRPr="00D77B31">
        <w:rPr>
          <w:rFonts w:cs="Arial"/>
        </w:rPr>
        <w:t xml:space="preserve">MHz are </w:t>
      </w:r>
      <w:r w:rsidR="00DA7C5C" w:rsidRPr="00D77B31">
        <w:rPr>
          <w:rFonts w:cs="Arial"/>
        </w:rPr>
        <w:t>also summarised in Appendix A.</w:t>
      </w:r>
    </w:p>
    <w:p w14:paraId="7CA263D3" w14:textId="77777777" w:rsidR="009205C0" w:rsidRPr="00D77B31" w:rsidRDefault="005A5D85" w:rsidP="009318BA">
      <w:pPr>
        <w:pStyle w:val="Heading2"/>
      </w:pPr>
      <w:bookmarkStart w:id="68" w:name="_Toc380391905"/>
      <w:bookmarkStart w:id="69" w:name="_Toc380417032"/>
      <w:bookmarkStart w:id="70" w:name="_Toc368044713"/>
      <w:bookmarkStart w:id="71" w:name="_Toc368045406"/>
      <w:bookmarkStart w:id="72" w:name="_Toc368045458"/>
      <w:bookmarkStart w:id="73" w:name="_Toc368045501"/>
      <w:bookmarkStart w:id="74" w:name="_Toc368045545"/>
      <w:bookmarkStart w:id="75" w:name="_Toc111710853"/>
      <w:bookmarkEnd w:id="68"/>
      <w:bookmarkEnd w:id="69"/>
      <w:bookmarkEnd w:id="70"/>
      <w:bookmarkEnd w:id="71"/>
      <w:bookmarkEnd w:id="72"/>
      <w:bookmarkEnd w:id="73"/>
      <w:bookmarkEnd w:id="74"/>
      <w:r w:rsidRPr="00D77B31">
        <w:t>Overview</w:t>
      </w:r>
      <w:bookmarkEnd w:id="75"/>
    </w:p>
    <w:p w14:paraId="7CDC85E5" w14:textId="77777777" w:rsidR="00BF6D9C" w:rsidRPr="00D77B31" w:rsidRDefault="0091602E" w:rsidP="0030408C">
      <w:pPr>
        <w:pStyle w:val="Heading3"/>
      </w:pPr>
      <w:bookmarkStart w:id="76" w:name="_Toc111710854"/>
      <w:r w:rsidRPr="00D77B31">
        <w:t>1980-2010 and 2170-2200 MHz</w:t>
      </w:r>
      <w:bookmarkEnd w:id="76"/>
    </w:p>
    <w:p w14:paraId="33098B51" w14:textId="77777777" w:rsidR="00FA5369" w:rsidRPr="00D77B31" w:rsidRDefault="009205C0" w:rsidP="009205C0">
      <w:pPr>
        <w:rPr>
          <w:rFonts w:cs="Arial"/>
        </w:rPr>
      </w:pPr>
      <w:r w:rsidRPr="00D77B31">
        <w:rPr>
          <w:rFonts w:cs="Arial"/>
        </w:rPr>
        <w:t>Frequency ranges currently available for use by TOB are the 1985-2010 MHz and 2175-2200</w:t>
      </w:r>
      <w:r w:rsidR="00F8170F" w:rsidRPr="00D77B31">
        <w:rPr>
          <w:rFonts w:cs="Arial"/>
        </w:rPr>
        <w:t> </w:t>
      </w:r>
      <w:r w:rsidRPr="00D77B31">
        <w:rPr>
          <w:rFonts w:cs="Arial"/>
        </w:rPr>
        <w:t>MHz band</w:t>
      </w:r>
      <w:r w:rsidR="00E30E8E" w:rsidRPr="00D77B31">
        <w:rPr>
          <w:rFonts w:cs="Arial"/>
        </w:rPr>
        <w:t xml:space="preserve">. </w:t>
      </w:r>
      <w:r w:rsidR="00B63B75" w:rsidRPr="00D77B31">
        <w:rPr>
          <w:rFonts w:cs="Arial"/>
        </w:rPr>
        <w:t xml:space="preserve">TOB licensees are required to coordinate usage with other TOB licensees. </w:t>
      </w:r>
    </w:p>
    <w:p w14:paraId="7AF018B8" w14:textId="77777777" w:rsidR="00B63B75" w:rsidRPr="00D77B31" w:rsidRDefault="009205C0" w:rsidP="009205C0">
      <w:pPr>
        <w:rPr>
          <w:rFonts w:cs="Arial"/>
        </w:rPr>
      </w:pPr>
      <w:r w:rsidRPr="00D77B31">
        <w:rPr>
          <w:rFonts w:cs="Arial"/>
        </w:rPr>
        <w:t xml:space="preserve">Due to coordination requirements with adjacent band services, TOB </w:t>
      </w:r>
      <w:r w:rsidR="005A5D85" w:rsidRPr="00D77B31">
        <w:rPr>
          <w:rFonts w:cs="Arial"/>
        </w:rPr>
        <w:t xml:space="preserve">transmitters </w:t>
      </w:r>
      <w:r w:rsidRPr="00D77B31">
        <w:rPr>
          <w:rFonts w:cs="Arial"/>
        </w:rPr>
        <w:t>are not to operate in the 1980-1985 MHz and 2170-2175 MHz frequency ranges</w:t>
      </w:r>
      <w:r w:rsidR="00FA5369" w:rsidRPr="00D77B31">
        <w:rPr>
          <w:rFonts w:cs="Arial"/>
        </w:rPr>
        <w:t xml:space="preserve"> and the</w:t>
      </w:r>
      <w:r w:rsidR="00B63B75" w:rsidRPr="00D77B31">
        <w:rPr>
          <w:rFonts w:cs="Arial"/>
        </w:rPr>
        <w:t xml:space="preserve"> maximum power spectral density at the 1980 MHz and 2170 MHz frequency boundaries </w:t>
      </w:r>
      <w:r w:rsidR="00FA5369" w:rsidRPr="00D77B31">
        <w:rPr>
          <w:rFonts w:cs="Arial"/>
        </w:rPr>
        <w:t>is</w:t>
      </w:r>
      <w:r w:rsidR="00B63B75" w:rsidRPr="00D77B31">
        <w:rPr>
          <w:rFonts w:cs="Arial"/>
        </w:rPr>
        <w:t xml:space="preserve"> </w:t>
      </w:r>
      <w:r w:rsidR="00B63B75" w:rsidRPr="00D77B31">
        <w:rPr>
          <w:rFonts w:cs="Arial"/>
        </w:rPr>
        <w:noBreakHyphen/>
        <w:t>30 dBm/MHz</w:t>
      </w:r>
      <w:r w:rsidR="00FA5369" w:rsidRPr="00D77B31">
        <w:rPr>
          <w:rFonts w:cs="Arial"/>
        </w:rPr>
        <w:t>.</w:t>
      </w:r>
    </w:p>
    <w:p w14:paraId="2C71B8C9" w14:textId="77777777" w:rsidR="009205C0" w:rsidRPr="00D77B31" w:rsidRDefault="009205C0" w:rsidP="009205C0">
      <w:pPr>
        <w:rPr>
          <w:rFonts w:cs="Arial"/>
        </w:rPr>
      </w:pPr>
      <w:r w:rsidRPr="00D77B31">
        <w:rPr>
          <w:rFonts w:cs="Arial"/>
        </w:rPr>
        <w:t>The maximum</w:t>
      </w:r>
      <w:r w:rsidR="00523C0C" w:rsidRPr="00D77B31">
        <w:rPr>
          <w:rFonts w:cs="Arial"/>
        </w:rPr>
        <w:t xml:space="preserve"> TOB</w:t>
      </w:r>
      <w:r w:rsidRPr="00D77B31">
        <w:rPr>
          <w:rFonts w:cs="Arial"/>
        </w:rPr>
        <w:t xml:space="preserve"> transmitter radiated power is limited to 23 dBm/8 MHz equivalent </w:t>
      </w:r>
      <w:proofErr w:type="spellStart"/>
      <w:r w:rsidRPr="00D77B31">
        <w:rPr>
          <w:rFonts w:cs="Arial"/>
        </w:rPr>
        <w:t>isotropically</w:t>
      </w:r>
      <w:proofErr w:type="spellEnd"/>
      <w:r w:rsidRPr="00D77B31">
        <w:rPr>
          <w:rFonts w:cs="Arial"/>
        </w:rPr>
        <w:t xml:space="preserve"> radiated power (EIRP).</w:t>
      </w:r>
    </w:p>
    <w:p w14:paraId="77E47154" w14:textId="77777777" w:rsidR="009205C0" w:rsidRPr="00D77B31" w:rsidRDefault="009205C0" w:rsidP="00BB6FEE">
      <w:pPr>
        <w:rPr>
          <w:rFonts w:cs="Arial"/>
        </w:rPr>
      </w:pPr>
      <w:r w:rsidRPr="00D77B31">
        <w:rPr>
          <w:rFonts w:cs="Arial"/>
        </w:rPr>
        <w:t>Airborne</w:t>
      </w:r>
      <w:r w:rsidR="00523C0C" w:rsidRPr="00D77B31">
        <w:rPr>
          <w:rFonts w:cs="Arial"/>
        </w:rPr>
        <w:t xml:space="preserve"> TOB</w:t>
      </w:r>
      <w:r w:rsidRPr="00D77B31">
        <w:rPr>
          <w:rFonts w:cs="Arial"/>
        </w:rPr>
        <w:t xml:space="preserve"> transmitters</w:t>
      </w:r>
      <w:r w:rsidR="00523C0C" w:rsidRPr="00D77B31">
        <w:rPr>
          <w:rFonts w:cs="Arial"/>
        </w:rPr>
        <w:t xml:space="preserve"> </w:t>
      </w:r>
      <w:r w:rsidR="007F6740" w:rsidRPr="00D77B31">
        <w:rPr>
          <w:rFonts w:cs="Arial"/>
        </w:rPr>
        <w:t>(</w:t>
      </w:r>
      <w:r w:rsidR="00523C0C" w:rsidRPr="00D77B31">
        <w:rPr>
          <w:rFonts w:cs="Arial"/>
        </w:rPr>
        <w:t>e.g. helicopters</w:t>
      </w:r>
      <w:r w:rsidR="007F6740" w:rsidRPr="00D77B31">
        <w:rPr>
          <w:rFonts w:cs="Arial"/>
        </w:rPr>
        <w:t>)</w:t>
      </w:r>
      <w:r w:rsidR="00523C0C" w:rsidRPr="00D77B31">
        <w:rPr>
          <w:rFonts w:cs="Arial"/>
        </w:rPr>
        <w:t>,</w:t>
      </w:r>
      <w:r w:rsidRPr="00D77B31">
        <w:rPr>
          <w:rFonts w:cs="Arial"/>
        </w:rPr>
        <w:t xml:space="preserve"> are not permitted</w:t>
      </w:r>
      <w:r w:rsidR="006E58B8" w:rsidRPr="00D77B31">
        <w:rPr>
          <w:rFonts w:cs="Arial"/>
        </w:rPr>
        <w:t xml:space="preserve"> in the bands 1980-2010 MHz and 2170-2200 </w:t>
      </w:r>
      <w:r w:rsidR="00EF0194" w:rsidRPr="00D77B31">
        <w:rPr>
          <w:rFonts w:cs="Arial"/>
        </w:rPr>
        <w:t>MHz.</w:t>
      </w:r>
    </w:p>
    <w:p w14:paraId="5A2828A7" w14:textId="77777777" w:rsidR="00B63B75" w:rsidRPr="00D77B31" w:rsidRDefault="00B63B75" w:rsidP="00BB6FEE">
      <w:pPr>
        <w:rPr>
          <w:rFonts w:cs="Arial"/>
        </w:rPr>
      </w:pPr>
      <w:r w:rsidRPr="00D77B31">
        <w:rPr>
          <w:rFonts w:cs="Arial"/>
        </w:rPr>
        <w:t>Fixed TOB receiver may be licensed to assist coordination with other TOB licensees, however no protection is provided to these receivers from TOB services, existing fixed point-to-point links or adjacent band spectrum licensed services or apparatus licensed PTS services</w:t>
      </w:r>
      <w:r w:rsidR="00E30E8E" w:rsidRPr="00D77B31">
        <w:rPr>
          <w:rFonts w:cs="Arial"/>
        </w:rPr>
        <w:t xml:space="preserve">. </w:t>
      </w:r>
    </w:p>
    <w:p w14:paraId="616B0FC8" w14:textId="1057255E" w:rsidR="00FA5369" w:rsidRPr="00D77B31" w:rsidRDefault="00FA5369" w:rsidP="00BB6FEE">
      <w:pPr>
        <w:rPr>
          <w:rFonts w:cs="Arial"/>
        </w:rPr>
      </w:pPr>
      <w:r w:rsidRPr="00D77B31">
        <w:rPr>
          <w:rFonts w:cs="Arial"/>
        </w:rPr>
        <w:t>In most of Australia</w:t>
      </w:r>
      <w:r w:rsidR="0012030E" w:rsidRPr="00D77B31">
        <w:rPr>
          <w:rFonts w:cs="Arial"/>
        </w:rPr>
        <w:t>,</w:t>
      </w:r>
      <w:r w:rsidRPr="00D77B31">
        <w:rPr>
          <w:rFonts w:cs="Arial"/>
        </w:rPr>
        <w:t xml:space="preserve"> conditions of this RALI are met by compliance with requirements for radiated power, out-of</w:t>
      </w:r>
      <w:r w:rsidR="005A5107" w:rsidRPr="00D77B31">
        <w:rPr>
          <w:rFonts w:cs="Arial"/>
        </w:rPr>
        <w:t>-</w:t>
      </w:r>
      <w:r w:rsidRPr="00D77B31">
        <w:rPr>
          <w:rFonts w:cs="Arial"/>
        </w:rPr>
        <w:t xml:space="preserve">band emission, frequency range of operation and restrictions on use of airborne transmitters. </w:t>
      </w:r>
    </w:p>
    <w:p w14:paraId="0DE4C056" w14:textId="77777777" w:rsidR="00BF6D9C" w:rsidRPr="00D77B31" w:rsidRDefault="002F4082">
      <w:pPr>
        <w:rPr>
          <w:rFonts w:cs="Arial"/>
        </w:rPr>
      </w:pPr>
      <w:r w:rsidRPr="00D77B31">
        <w:rPr>
          <w:rFonts w:cs="Arial"/>
        </w:rPr>
        <w:t xml:space="preserve">Details of this </w:t>
      </w:r>
      <w:r w:rsidR="00FA5369" w:rsidRPr="00D77B31">
        <w:rPr>
          <w:rFonts w:cs="Arial"/>
        </w:rPr>
        <w:t xml:space="preserve">the </w:t>
      </w:r>
      <w:r w:rsidRPr="00D77B31">
        <w:rPr>
          <w:rFonts w:cs="Arial"/>
        </w:rPr>
        <w:t>coordination</w:t>
      </w:r>
      <w:r w:rsidR="00FA5369" w:rsidRPr="00D77B31">
        <w:rPr>
          <w:rFonts w:cs="Arial"/>
        </w:rPr>
        <w:t xml:space="preserve"> requirements</w:t>
      </w:r>
      <w:r w:rsidRPr="00D77B31">
        <w:rPr>
          <w:rFonts w:cs="Arial"/>
        </w:rPr>
        <w:t xml:space="preserve"> </w:t>
      </w:r>
      <w:r w:rsidR="00FA5369" w:rsidRPr="00D77B31">
        <w:rPr>
          <w:rFonts w:cs="Arial"/>
        </w:rPr>
        <w:t xml:space="preserve">for TOB transmitters </w:t>
      </w:r>
      <w:r w:rsidRPr="00D77B31">
        <w:rPr>
          <w:rFonts w:cs="Arial"/>
        </w:rPr>
        <w:t>can be found in the sections below</w:t>
      </w:r>
      <w:r w:rsidR="00B63B75" w:rsidRPr="00D77B31">
        <w:rPr>
          <w:rFonts w:cs="Arial"/>
        </w:rPr>
        <w:t xml:space="preserve"> and </w:t>
      </w:r>
      <w:r w:rsidR="00FA5369" w:rsidRPr="00D77B31">
        <w:rPr>
          <w:rFonts w:cs="Arial"/>
        </w:rPr>
        <w:t xml:space="preserve">are </w:t>
      </w:r>
      <w:r w:rsidR="00B63B75" w:rsidRPr="00D77B31">
        <w:rPr>
          <w:rFonts w:cs="Arial"/>
        </w:rPr>
        <w:t>summaries in Appendix A</w:t>
      </w:r>
      <w:r w:rsidR="00C22604" w:rsidRPr="00D77B31">
        <w:rPr>
          <w:rFonts w:cs="Arial"/>
        </w:rPr>
        <w:t>.</w:t>
      </w:r>
    </w:p>
    <w:p w14:paraId="4BB92F81" w14:textId="77777777" w:rsidR="00BF6D9C" w:rsidRPr="00D77B31" w:rsidRDefault="0091602E" w:rsidP="009318BA">
      <w:pPr>
        <w:pStyle w:val="Heading3"/>
      </w:pPr>
      <w:bookmarkStart w:id="77" w:name="_Toc380391908"/>
      <w:bookmarkStart w:id="78" w:name="_Toc380417035"/>
      <w:bookmarkStart w:id="79" w:name="_Toc111710855"/>
      <w:bookmarkEnd w:id="77"/>
      <w:bookmarkEnd w:id="78"/>
      <w:r w:rsidRPr="00D77B31">
        <w:t>2010-2110 and 2200-2300 MHz</w:t>
      </w:r>
      <w:bookmarkEnd w:id="79"/>
    </w:p>
    <w:p w14:paraId="1A604946" w14:textId="0F7B9483" w:rsidR="009205C0" w:rsidRPr="00D77B31" w:rsidRDefault="009205C0" w:rsidP="009205C0">
      <w:pPr>
        <w:rPr>
          <w:rFonts w:cs="Arial"/>
        </w:rPr>
      </w:pPr>
      <w:r w:rsidRPr="00D77B31">
        <w:rPr>
          <w:rFonts w:cs="Arial"/>
        </w:rPr>
        <w:t xml:space="preserve">The frequency ranges 2010-2110 MHz and 2200-2300 MHz </w:t>
      </w:r>
      <w:r w:rsidR="00FD0E4D" w:rsidRPr="00D77B31">
        <w:rPr>
          <w:rFonts w:cs="Arial"/>
        </w:rPr>
        <w:t xml:space="preserve">are available for use by TOB </w:t>
      </w:r>
      <w:r w:rsidR="005A5D85" w:rsidRPr="00D77B31">
        <w:rPr>
          <w:rFonts w:cs="Arial"/>
        </w:rPr>
        <w:t>transmitters</w:t>
      </w:r>
      <w:r w:rsidR="00523C0C" w:rsidRPr="00D77B31">
        <w:rPr>
          <w:rFonts w:cs="Arial"/>
        </w:rPr>
        <w:t xml:space="preserve"> </w:t>
      </w:r>
      <w:r w:rsidR="00FD0E4D" w:rsidRPr="00D77B31">
        <w:rPr>
          <w:rFonts w:cs="Arial"/>
        </w:rPr>
        <w:t>provided they meet the coordination criteria outlined in this RALI</w:t>
      </w:r>
      <w:r w:rsidR="00E30E8E" w:rsidRPr="00D77B31">
        <w:rPr>
          <w:rFonts w:cs="Arial"/>
        </w:rPr>
        <w:t xml:space="preserve">. </w:t>
      </w:r>
    </w:p>
    <w:p w14:paraId="26FDCE29" w14:textId="5FDD1C9A" w:rsidR="0013459A" w:rsidRPr="00D77B31" w:rsidRDefault="0013459A" w:rsidP="009205C0">
      <w:pPr>
        <w:rPr>
          <w:rFonts w:cs="Arial"/>
        </w:rPr>
      </w:pPr>
      <w:r w:rsidRPr="00D77B31">
        <w:rPr>
          <w:rFonts w:cs="Arial"/>
        </w:rPr>
        <w:t>TOB transmitter</w:t>
      </w:r>
      <w:r w:rsidR="005A5107" w:rsidRPr="00D77B31">
        <w:rPr>
          <w:rFonts w:cs="Arial"/>
        </w:rPr>
        <w:t>s</w:t>
      </w:r>
      <w:r w:rsidRPr="00D77B31">
        <w:rPr>
          <w:rFonts w:cs="Arial"/>
        </w:rPr>
        <w:t xml:space="preserve"> will need to coordinate use with </w:t>
      </w:r>
      <w:r w:rsidR="00726125" w:rsidRPr="00D77B31">
        <w:rPr>
          <w:rFonts w:cs="Arial"/>
        </w:rPr>
        <w:t>earth station</w:t>
      </w:r>
      <w:r w:rsidR="00EF0194" w:rsidRPr="00D77B31">
        <w:rPr>
          <w:rFonts w:cs="Arial"/>
        </w:rPr>
        <w:t xml:space="preserve"> receivers</w:t>
      </w:r>
      <w:r w:rsidR="00D03E6F" w:rsidRPr="00D77B31">
        <w:rPr>
          <w:rFonts w:cs="Arial"/>
        </w:rPr>
        <w:t>, fixed link</w:t>
      </w:r>
      <w:r w:rsidR="00EF0194" w:rsidRPr="00D77B31">
        <w:rPr>
          <w:rFonts w:cs="Arial"/>
        </w:rPr>
        <w:t xml:space="preserve"> receivers</w:t>
      </w:r>
      <w:r w:rsidR="00D03E6F" w:rsidRPr="00D77B31">
        <w:rPr>
          <w:rFonts w:cs="Arial"/>
        </w:rPr>
        <w:t xml:space="preserve">, </w:t>
      </w:r>
      <w:r w:rsidR="004364A9" w:rsidRPr="00D77B31">
        <w:rPr>
          <w:rFonts w:cs="Arial"/>
        </w:rPr>
        <w:t>and adjacent channel spectrum licence and PTS receivers.</w:t>
      </w:r>
    </w:p>
    <w:p w14:paraId="715416A8" w14:textId="684991C8" w:rsidR="00D25065" w:rsidRPr="00D77B31" w:rsidRDefault="00D25065" w:rsidP="009205C0">
      <w:pPr>
        <w:rPr>
          <w:rFonts w:cs="Arial"/>
        </w:rPr>
      </w:pPr>
      <w:r w:rsidRPr="00D77B31">
        <w:rPr>
          <w:rFonts w:cs="Arial"/>
        </w:rPr>
        <w:t xml:space="preserve">Airborne </w:t>
      </w:r>
      <w:r w:rsidR="00523C0C" w:rsidRPr="00D77B31">
        <w:rPr>
          <w:rFonts w:cs="Arial"/>
        </w:rPr>
        <w:t xml:space="preserve">TOB </w:t>
      </w:r>
      <w:r w:rsidRPr="00D77B31">
        <w:rPr>
          <w:rFonts w:cs="Arial"/>
        </w:rPr>
        <w:t xml:space="preserve">transmitters </w:t>
      </w:r>
      <w:r w:rsidR="00BB6FEE" w:rsidRPr="00D77B31">
        <w:rPr>
          <w:rFonts w:cs="Arial"/>
        </w:rPr>
        <w:t>(</w:t>
      </w:r>
      <w:r w:rsidR="00523C0C" w:rsidRPr="00D77B31">
        <w:rPr>
          <w:rFonts w:cs="Arial"/>
        </w:rPr>
        <w:t>e.g.</w:t>
      </w:r>
      <w:r w:rsidR="005A5107" w:rsidRPr="00D77B31">
        <w:rPr>
          <w:rFonts w:cs="Arial"/>
        </w:rPr>
        <w:t xml:space="preserve"> aboard</w:t>
      </w:r>
      <w:r w:rsidR="00523C0C" w:rsidRPr="00D77B31">
        <w:rPr>
          <w:rFonts w:cs="Arial"/>
        </w:rPr>
        <w:t xml:space="preserve"> helicopters</w:t>
      </w:r>
      <w:r w:rsidR="00BB6FEE" w:rsidRPr="00D77B31">
        <w:rPr>
          <w:rFonts w:cs="Arial"/>
        </w:rPr>
        <w:t>)</w:t>
      </w:r>
      <w:r w:rsidR="00523C0C" w:rsidRPr="00D77B31">
        <w:rPr>
          <w:rFonts w:cs="Arial"/>
        </w:rPr>
        <w:t xml:space="preserve">, </w:t>
      </w:r>
      <w:r w:rsidRPr="00D77B31">
        <w:rPr>
          <w:rFonts w:cs="Arial"/>
        </w:rPr>
        <w:t xml:space="preserve">are not permitted </w:t>
      </w:r>
      <w:r w:rsidR="002D0CF7" w:rsidRPr="00D77B31">
        <w:rPr>
          <w:rFonts w:cs="Arial"/>
        </w:rPr>
        <w:t xml:space="preserve">to operate </w:t>
      </w:r>
      <w:r w:rsidRPr="00D77B31">
        <w:rPr>
          <w:rFonts w:cs="Arial"/>
        </w:rPr>
        <w:t>in the band 2200-2300 MHz.</w:t>
      </w:r>
    </w:p>
    <w:p w14:paraId="1CEDE2A6" w14:textId="552A5814" w:rsidR="002F4082" w:rsidRPr="00D77B31" w:rsidRDefault="002F4082" w:rsidP="00515497">
      <w:pPr>
        <w:rPr>
          <w:rFonts w:cs="Arial"/>
        </w:rPr>
      </w:pPr>
      <w:r w:rsidRPr="00D77B31">
        <w:rPr>
          <w:rFonts w:cs="Arial"/>
        </w:rPr>
        <w:t xml:space="preserve">Details of this coordination </w:t>
      </w:r>
      <w:r w:rsidR="005A5107" w:rsidRPr="00D77B31">
        <w:rPr>
          <w:rFonts w:cs="Arial"/>
        </w:rPr>
        <w:t xml:space="preserve">arrangement </w:t>
      </w:r>
      <w:r w:rsidRPr="00D77B31">
        <w:rPr>
          <w:rFonts w:cs="Arial"/>
        </w:rPr>
        <w:t>can be found in the sections below</w:t>
      </w:r>
      <w:r w:rsidR="00C22604" w:rsidRPr="00D77B31">
        <w:rPr>
          <w:rFonts w:cs="Arial"/>
        </w:rPr>
        <w:t xml:space="preserve"> and summarised in Appendix A</w:t>
      </w:r>
      <w:r w:rsidRPr="00D77B31">
        <w:rPr>
          <w:rFonts w:cs="Arial"/>
        </w:rPr>
        <w:t>.</w:t>
      </w:r>
    </w:p>
    <w:p w14:paraId="5A69B1CE" w14:textId="77777777" w:rsidR="00437815" w:rsidRPr="00D77B31" w:rsidRDefault="00437815">
      <w:pPr>
        <w:rPr>
          <w:rFonts w:cs="Arial"/>
          <w:b/>
          <w:sz w:val="28"/>
        </w:rPr>
      </w:pPr>
      <w:bookmarkStart w:id="80" w:name="_Toc368044715"/>
      <w:bookmarkStart w:id="81" w:name="_Toc368045408"/>
      <w:bookmarkStart w:id="82" w:name="_Toc368045460"/>
      <w:bookmarkStart w:id="83" w:name="_Toc368045503"/>
      <w:bookmarkStart w:id="84" w:name="_Toc368045547"/>
      <w:bookmarkStart w:id="85" w:name="_Toc368045548"/>
      <w:bookmarkStart w:id="86" w:name="_Toc433601468"/>
      <w:bookmarkStart w:id="87" w:name="_Toc435867672"/>
      <w:bookmarkStart w:id="88" w:name="_Toc509197578"/>
      <w:bookmarkStart w:id="89" w:name="_Toc510422860"/>
      <w:bookmarkStart w:id="90" w:name="_Toc512405330"/>
      <w:bookmarkStart w:id="91" w:name="_Toc513974795"/>
      <w:bookmarkStart w:id="92" w:name="_Toc513977661"/>
      <w:bookmarkStart w:id="93" w:name="_Toc514658985"/>
      <w:bookmarkStart w:id="94" w:name="_Toc515879147"/>
      <w:bookmarkStart w:id="95" w:name="_Toc516988326"/>
      <w:bookmarkStart w:id="96" w:name="_Toc517506886"/>
      <w:bookmarkStart w:id="97" w:name="_Toc517508856"/>
      <w:bookmarkStart w:id="98" w:name="_Toc520711895"/>
      <w:bookmarkStart w:id="99" w:name="_Toc520782331"/>
      <w:bookmarkStart w:id="100" w:name="_Toc521378830"/>
      <w:bookmarkStart w:id="101" w:name="_Toc521751699"/>
      <w:bookmarkStart w:id="102" w:name="_Toc526052747"/>
      <w:bookmarkStart w:id="103" w:name="_Toc354542252"/>
      <w:bookmarkStart w:id="104" w:name="_Toc354542607"/>
      <w:bookmarkEnd w:id="80"/>
      <w:bookmarkEnd w:id="81"/>
      <w:bookmarkEnd w:id="82"/>
      <w:bookmarkEnd w:id="83"/>
      <w:bookmarkEnd w:id="84"/>
      <w:r w:rsidRPr="00D77B31">
        <w:rPr>
          <w:rFonts w:cs="Arial"/>
        </w:rPr>
        <w:br w:type="page"/>
      </w:r>
    </w:p>
    <w:p w14:paraId="6D1CB8CB" w14:textId="5D7B333E" w:rsidR="009205C0" w:rsidRPr="00D77B31" w:rsidRDefault="00B354E3" w:rsidP="009318BA">
      <w:pPr>
        <w:pStyle w:val="Heading2"/>
      </w:pPr>
      <w:bookmarkStart w:id="105" w:name="_Toc111710856"/>
      <w:r w:rsidRPr="00D77B31">
        <w:lastRenderedPageBreak/>
        <w:t xml:space="preserve">TOB transmitters to </w:t>
      </w:r>
      <w:bookmarkEnd w:id="85"/>
      <w:r w:rsidRPr="00D77B31">
        <w:t>TOB receivers</w:t>
      </w:r>
      <w:bookmarkEnd w:id="105"/>
      <w:r w:rsidRPr="00D77B31">
        <w:t xml:space="preserve"> </w:t>
      </w:r>
    </w:p>
    <w:p w14:paraId="01EA3052" w14:textId="77777777" w:rsidR="005A5D85" w:rsidRPr="00D77B31" w:rsidRDefault="005A5D85" w:rsidP="00163C87">
      <w:pPr>
        <w:pStyle w:val="Heading3"/>
      </w:pPr>
      <w:bookmarkStart w:id="106" w:name="_Toc111710857"/>
      <w:r w:rsidRPr="00D77B31">
        <w:t>1980-2010 and 2170-2200 MHz</w:t>
      </w:r>
      <w:bookmarkEnd w:id="106"/>
    </w:p>
    <w:p w14:paraId="104C74E9" w14:textId="77777777" w:rsidR="005A5D85" w:rsidRPr="00D77B31" w:rsidRDefault="005A5D85" w:rsidP="005A5D85">
      <w:pPr>
        <w:rPr>
          <w:rFonts w:cs="Arial"/>
        </w:rPr>
      </w:pPr>
      <w:r w:rsidRPr="00D77B31">
        <w:rPr>
          <w:rFonts w:cs="Arial"/>
        </w:rPr>
        <w:t>No frequency coordination within the bands 1980-2010 MHz and 2170-2200 MHz between TOB services is required for TOB assignments.</w:t>
      </w:r>
      <w:r w:rsidR="00C22604" w:rsidRPr="00D77B31">
        <w:rPr>
          <w:rFonts w:cs="Arial"/>
        </w:rPr>
        <w:t xml:space="preserve"> </w:t>
      </w:r>
      <w:r w:rsidRPr="00D77B31">
        <w:rPr>
          <w:rFonts w:cs="Arial"/>
        </w:rPr>
        <w:t>TOB licensees are required to</w:t>
      </w:r>
      <w:r w:rsidR="00EF0194" w:rsidRPr="00D77B31">
        <w:rPr>
          <w:rFonts w:cs="Arial"/>
        </w:rPr>
        <w:t xml:space="preserve"> </w:t>
      </w:r>
      <w:r w:rsidR="001E218A" w:rsidRPr="00D77B31">
        <w:rPr>
          <w:rFonts w:cs="Arial"/>
        </w:rPr>
        <w:t>self-coordinate</w:t>
      </w:r>
      <w:r w:rsidRPr="00D77B31">
        <w:rPr>
          <w:rFonts w:cs="Arial"/>
        </w:rPr>
        <w:t xml:space="preserve"> usage within the bands with other TOB licensees</w:t>
      </w:r>
      <w:r w:rsidR="00E30E8E" w:rsidRPr="00D77B31">
        <w:rPr>
          <w:rFonts w:cs="Arial"/>
        </w:rPr>
        <w:t xml:space="preserve">. </w:t>
      </w:r>
      <w:r w:rsidR="00B354E3" w:rsidRPr="00D77B31">
        <w:rPr>
          <w:rFonts w:cs="Arial"/>
        </w:rPr>
        <w:t>To assist coordination with other licensees a TOB operator may wish to identify the location of TOB receiver locations by applying to licence TOB fixed receive locations under a fixed receive licence</w:t>
      </w:r>
      <w:r w:rsidR="00E30E8E" w:rsidRPr="00D77B31">
        <w:rPr>
          <w:rFonts w:cs="Arial"/>
        </w:rPr>
        <w:t xml:space="preserve">. </w:t>
      </w:r>
      <w:r w:rsidR="00B354E3" w:rsidRPr="00D77B31">
        <w:rPr>
          <w:rFonts w:cs="Arial"/>
        </w:rPr>
        <w:t>While no protection is afforded to such receivers from TOB transmitters, TOB operators are encouraged to consider the location of such receivers when operating.</w:t>
      </w:r>
    </w:p>
    <w:p w14:paraId="584BD31D" w14:textId="77777777" w:rsidR="005A5D85" w:rsidRPr="00D77B31" w:rsidRDefault="005A5D85" w:rsidP="005A5D85">
      <w:pPr>
        <w:rPr>
          <w:rFonts w:cs="Arial"/>
        </w:rPr>
      </w:pPr>
      <w:r w:rsidRPr="00D77B31">
        <w:rPr>
          <w:rFonts w:cs="Arial"/>
        </w:rPr>
        <w:t xml:space="preserve">TOB </w:t>
      </w:r>
      <w:r w:rsidR="004364A9" w:rsidRPr="00D77B31">
        <w:rPr>
          <w:rFonts w:cs="Arial"/>
        </w:rPr>
        <w:t>transmitters</w:t>
      </w:r>
      <w:r w:rsidRPr="00D77B31">
        <w:rPr>
          <w:rFonts w:cs="Arial"/>
        </w:rPr>
        <w:t xml:space="preserve"> can be operated under an area wide or location specific licence</w:t>
      </w:r>
      <w:r w:rsidR="00E30E8E" w:rsidRPr="00D77B31">
        <w:rPr>
          <w:rFonts w:cs="Arial"/>
        </w:rPr>
        <w:t xml:space="preserve">. </w:t>
      </w:r>
      <w:r w:rsidRPr="00D77B31">
        <w:rPr>
          <w:rFonts w:cs="Arial"/>
        </w:rPr>
        <w:t>TOB licensees should consider which approach best suits their operations and provides sufficient information to identify operating locations to assist coordination with other licensees</w:t>
      </w:r>
      <w:r w:rsidR="00E30E8E" w:rsidRPr="00D77B31">
        <w:rPr>
          <w:rFonts w:cs="Arial"/>
        </w:rPr>
        <w:t xml:space="preserve">. </w:t>
      </w:r>
      <w:r w:rsidRPr="00D77B31">
        <w:rPr>
          <w:rFonts w:cs="Arial"/>
        </w:rPr>
        <w:t>Irrespective of the licensing option or when a licence is issued, TOB licensees are required to coordinate usage with other</w:t>
      </w:r>
      <w:r w:rsidR="00EF0194" w:rsidRPr="00D77B31">
        <w:rPr>
          <w:rFonts w:cs="Arial"/>
        </w:rPr>
        <w:t xml:space="preserve"> TOB</w:t>
      </w:r>
      <w:r w:rsidRPr="00D77B31">
        <w:rPr>
          <w:rFonts w:cs="Arial"/>
        </w:rPr>
        <w:t xml:space="preserve"> licensees.</w:t>
      </w:r>
    </w:p>
    <w:p w14:paraId="6FEEEAE8" w14:textId="77777777" w:rsidR="00E01113" w:rsidRPr="00D77B31" w:rsidRDefault="005A5D85">
      <w:pPr>
        <w:pStyle w:val="Heading3"/>
      </w:pPr>
      <w:bookmarkStart w:id="107" w:name="_Toc380391912"/>
      <w:bookmarkStart w:id="108" w:name="_Toc380417039"/>
      <w:bookmarkStart w:id="109" w:name="_Toc380391913"/>
      <w:bookmarkStart w:id="110" w:name="_Toc380417040"/>
      <w:bookmarkStart w:id="111" w:name="_Toc111710858"/>
      <w:bookmarkEnd w:id="107"/>
      <w:bookmarkEnd w:id="108"/>
      <w:bookmarkEnd w:id="109"/>
      <w:bookmarkEnd w:id="110"/>
      <w:r w:rsidRPr="00D77B31">
        <w:t>2010-2110 and 2200-2300 MHz</w:t>
      </w:r>
      <w:bookmarkEnd w:id="111"/>
    </w:p>
    <w:p w14:paraId="3BB6AB49" w14:textId="77777777" w:rsidR="005A5D85" w:rsidRPr="00D77B31" w:rsidRDefault="005A5D85" w:rsidP="009205C0">
      <w:pPr>
        <w:rPr>
          <w:rFonts w:cs="Arial"/>
        </w:rPr>
      </w:pPr>
      <w:r w:rsidRPr="00D77B31">
        <w:rPr>
          <w:rFonts w:cs="Arial"/>
        </w:rPr>
        <w:t>No frequency coordination within the bands 2010-2110 MHz and 2200-2300 MHz between TOB services is required for TOB assignments.</w:t>
      </w:r>
    </w:p>
    <w:p w14:paraId="4D8BC9EC" w14:textId="77777777" w:rsidR="009205C0" w:rsidRPr="00D77B31" w:rsidRDefault="009205C0" w:rsidP="009205C0">
      <w:pPr>
        <w:rPr>
          <w:rFonts w:cs="Arial"/>
        </w:rPr>
      </w:pPr>
      <w:r w:rsidRPr="00D77B31">
        <w:rPr>
          <w:rFonts w:cs="Arial"/>
        </w:rPr>
        <w:t xml:space="preserve">TOB </w:t>
      </w:r>
      <w:r w:rsidR="005A5D85" w:rsidRPr="00D77B31">
        <w:rPr>
          <w:rFonts w:cs="Arial"/>
        </w:rPr>
        <w:t xml:space="preserve">transmitters </w:t>
      </w:r>
      <w:r w:rsidRPr="00D77B31">
        <w:rPr>
          <w:rFonts w:cs="Arial"/>
        </w:rPr>
        <w:t>should be assigned in accordance with this RALI.</w:t>
      </w:r>
    </w:p>
    <w:p w14:paraId="31D6DAFD" w14:textId="74C4FD46" w:rsidR="009205C0" w:rsidRPr="00D77B31" w:rsidRDefault="009205C0" w:rsidP="009318BA">
      <w:pPr>
        <w:pStyle w:val="Heading2"/>
      </w:pPr>
      <w:bookmarkStart w:id="112" w:name="_Toc380391915"/>
      <w:bookmarkStart w:id="113" w:name="_Toc380417042"/>
      <w:bookmarkStart w:id="114" w:name="_Toc368045410"/>
      <w:bookmarkStart w:id="115" w:name="_Toc368045462"/>
      <w:bookmarkStart w:id="116" w:name="_Toc368045505"/>
      <w:bookmarkStart w:id="117" w:name="_Toc368045549"/>
      <w:bookmarkStart w:id="118" w:name="_Toc368045550"/>
      <w:bookmarkStart w:id="119" w:name="_Toc111710859"/>
      <w:bookmarkEnd w:id="112"/>
      <w:bookmarkEnd w:id="113"/>
      <w:bookmarkEnd w:id="114"/>
      <w:bookmarkEnd w:id="115"/>
      <w:bookmarkEnd w:id="116"/>
      <w:bookmarkEnd w:id="117"/>
      <w:r w:rsidRPr="00D77B31">
        <w:t xml:space="preserve">Fixed Point-to-Point </w:t>
      </w:r>
      <w:r w:rsidR="00B229AD" w:rsidRPr="00D77B31">
        <w:t>l</w:t>
      </w:r>
      <w:r w:rsidRPr="00D77B31">
        <w:t>ink</w:t>
      </w:r>
      <w:r w:rsidR="00A44879" w:rsidRPr="00D77B31">
        <w:t xml:space="preserve"> </w:t>
      </w:r>
      <w:r w:rsidR="00B229AD" w:rsidRPr="00D77B31">
        <w:t>r</w:t>
      </w:r>
      <w:r w:rsidR="00A44879" w:rsidRPr="00D77B31">
        <w:t>eceiver</w:t>
      </w:r>
      <w:r w:rsidRPr="00D77B31">
        <w:t>s</w:t>
      </w:r>
      <w:bookmarkEnd w:id="118"/>
      <w:bookmarkEnd w:id="119"/>
    </w:p>
    <w:p w14:paraId="1A9BE6C4" w14:textId="77777777" w:rsidR="001A582F" w:rsidRPr="00D77B31" w:rsidRDefault="001A582F" w:rsidP="00163C87">
      <w:pPr>
        <w:pStyle w:val="Heading3"/>
      </w:pPr>
      <w:bookmarkStart w:id="120" w:name="_Toc111710860"/>
      <w:r w:rsidRPr="00D77B31">
        <w:t>1980-2010 and 2170-2200 MHz</w:t>
      </w:r>
      <w:bookmarkEnd w:id="120"/>
    </w:p>
    <w:p w14:paraId="69F0B249" w14:textId="0257EEC4" w:rsidR="0058371C" w:rsidRPr="00D77B31" w:rsidRDefault="0058371C" w:rsidP="006E58B8">
      <w:pPr>
        <w:rPr>
          <w:rFonts w:cs="Arial"/>
        </w:rPr>
      </w:pPr>
      <w:r w:rsidRPr="00D77B31">
        <w:rPr>
          <w:rFonts w:cs="Arial"/>
        </w:rPr>
        <w:t>A small number of existing apparatus licensed fixed point-to-point links</w:t>
      </w:r>
      <w:r w:rsidR="004364A9" w:rsidRPr="00D77B31">
        <w:rPr>
          <w:rFonts w:cs="Arial"/>
        </w:rPr>
        <w:t xml:space="preserve"> (in remote Queensland)</w:t>
      </w:r>
      <w:r w:rsidRPr="00D77B31">
        <w:rPr>
          <w:rFonts w:cs="Arial"/>
        </w:rPr>
        <w:t xml:space="preserve"> operate in the bands 1980</w:t>
      </w:r>
      <w:r w:rsidRPr="00D77B31">
        <w:rPr>
          <w:rFonts w:cs="Arial"/>
        </w:rPr>
        <w:noBreakHyphen/>
        <w:t>2010 MHz and 2170-2200 MHz</w:t>
      </w:r>
      <w:r w:rsidR="00E30E8E" w:rsidRPr="00D77B31">
        <w:rPr>
          <w:rFonts w:cs="Arial"/>
        </w:rPr>
        <w:t xml:space="preserve">. </w:t>
      </w:r>
      <w:r w:rsidRPr="00D77B31">
        <w:rPr>
          <w:rFonts w:cs="Arial"/>
        </w:rPr>
        <w:t xml:space="preserve">Under the </w:t>
      </w:r>
      <w:r w:rsidR="00006B98" w:rsidRPr="00D77B31">
        <w:rPr>
          <w:rFonts w:cs="Arial"/>
        </w:rPr>
        <w:t xml:space="preserve">2022 </w:t>
      </w:r>
      <w:r w:rsidRPr="00D77B31">
        <w:rPr>
          <w:rFonts w:cs="Arial"/>
        </w:rPr>
        <w:t>TOB Band Plan no new fixed point-to-point links may be operated in these bands.</w:t>
      </w:r>
    </w:p>
    <w:p w14:paraId="2CD85FCC" w14:textId="36FF34EE" w:rsidR="00C173D7" w:rsidRPr="00D77B31" w:rsidRDefault="0058371C" w:rsidP="0058371C">
      <w:pPr>
        <w:rPr>
          <w:rFonts w:cs="Arial"/>
        </w:rPr>
      </w:pPr>
      <w:r w:rsidRPr="00D77B31">
        <w:rPr>
          <w:rFonts w:cs="Arial"/>
        </w:rPr>
        <w:t>The ACMA assessment is that low power handheld TOB transmitters (wireless cameras) are unlikely to cause interference to existing fixed point-to-point link operating in these band</w:t>
      </w:r>
      <w:r w:rsidR="00310E41" w:rsidRPr="00D77B31">
        <w:rPr>
          <w:rFonts w:cs="Arial"/>
        </w:rPr>
        <w:t>s</w:t>
      </w:r>
      <w:r w:rsidRPr="00D77B31">
        <w:rPr>
          <w:rFonts w:cs="Arial"/>
        </w:rPr>
        <w:t xml:space="preserve"> unless directly located along the fixed link path</w:t>
      </w:r>
      <w:r w:rsidR="00E30E8E" w:rsidRPr="00D77B31">
        <w:rPr>
          <w:rFonts w:cs="Arial"/>
        </w:rPr>
        <w:t xml:space="preserve">. </w:t>
      </w:r>
      <w:r w:rsidRPr="00D77B31">
        <w:rPr>
          <w:rFonts w:cs="Arial"/>
        </w:rPr>
        <w:t>No coordination with fixed point-to-point links is required outside of the fixed link path</w:t>
      </w:r>
      <w:r w:rsidRPr="00D77B31">
        <w:rPr>
          <w:rStyle w:val="FootnoteReference"/>
          <w:rFonts w:cs="Arial"/>
        </w:rPr>
        <w:footnoteReference w:id="8"/>
      </w:r>
      <w:r w:rsidRPr="00D77B31">
        <w:rPr>
          <w:rFonts w:cs="Arial"/>
        </w:rPr>
        <w:t>.</w:t>
      </w:r>
      <w:r w:rsidR="00A44879" w:rsidRPr="00D77B31">
        <w:rPr>
          <w:rFonts w:cs="Arial"/>
        </w:rPr>
        <w:t xml:space="preserve"> The procedures </w:t>
      </w:r>
      <w:r w:rsidR="00367C6E" w:rsidRPr="00D77B31">
        <w:rPr>
          <w:rFonts w:cs="Arial"/>
        </w:rPr>
        <w:t>outlined in</w:t>
      </w:r>
      <w:r w:rsidR="00A44879" w:rsidRPr="00D77B31">
        <w:rPr>
          <w:rFonts w:cs="Arial"/>
        </w:rPr>
        <w:t xml:space="preserve"> Appendix D are </w:t>
      </w:r>
      <w:r w:rsidR="007D0344" w:rsidRPr="00D77B31">
        <w:rPr>
          <w:rFonts w:cs="Arial"/>
        </w:rPr>
        <w:t>to be followed when coordinating</w:t>
      </w:r>
      <w:r w:rsidR="00A44879" w:rsidRPr="00D77B31">
        <w:rPr>
          <w:rFonts w:cs="Arial"/>
        </w:rPr>
        <w:t xml:space="preserve"> TOB transmitters with fixed point-to-point link receivers.</w:t>
      </w:r>
      <w:r w:rsidR="00523C0C" w:rsidRPr="00D77B31">
        <w:rPr>
          <w:rFonts w:cs="Arial"/>
        </w:rPr>
        <w:t xml:space="preserve"> TOB licensees should be aware of fixed link paths within their areas of </w:t>
      </w:r>
      <w:r w:rsidR="00D83A55" w:rsidRPr="00D77B31">
        <w:rPr>
          <w:rFonts w:cs="Arial"/>
        </w:rPr>
        <w:t xml:space="preserve">TOB </w:t>
      </w:r>
      <w:r w:rsidR="00523C0C" w:rsidRPr="00D77B31">
        <w:rPr>
          <w:rFonts w:cs="Arial"/>
        </w:rPr>
        <w:t>operation</w:t>
      </w:r>
      <w:r w:rsidR="00D83A55" w:rsidRPr="00D77B31">
        <w:rPr>
          <w:rFonts w:cs="Arial"/>
        </w:rPr>
        <w:t>s</w:t>
      </w:r>
      <w:r w:rsidR="00523C0C" w:rsidRPr="00D77B31">
        <w:rPr>
          <w:rFonts w:cs="Arial"/>
        </w:rPr>
        <w:t>.</w:t>
      </w:r>
    </w:p>
    <w:p w14:paraId="03DFEEA7" w14:textId="77777777" w:rsidR="0058371C" w:rsidRPr="00D77B31" w:rsidRDefault="0058371C" w:rsidP="00163C87">
      <w:pPr>
        <w:pStyle w:val="Heading3"/>
      </w:pPr>
      <w:bookmarkStart w:id="121" w:name="_Toc111710861"/>
      <w:r w:rsidRPr="00D77B31">
        <w:t>2010-2110 and 2200-2300 MHz</w:t>
      </w:r>
      <w:bookmarkEnd w:id="121"/>
    </w:p>
    <w:p w14:paraId="40D33277" w14:textId="58B860FB" w:rsidR="0058371C" w:rsidRPr="00D77B31" w:rsidRDefault="0058371C" w:rsidP="006E58B8">
      <w:pPr>
        <w:rPr>
          <w:rFonts w:cs="Arial"/>
        </w:rPr>
      </w:pPr>
      <w:r w:rsidRPr="00D77B31">
        <w:rPr>
          <w:rFonts w:cs="Arial"/>
        </w:rPr>
        <w:t>Due to the introduction of TOB in the bands 2010-2110 MHz and 2200-2300 MHz the clearance of fixed point-to-point links was necessary</w:t>
      </w:r>
      <w:r w:rsidR="00310E41" w:rsidRPr="00D77B31">
        <w:rPr>
          <w:rFonts w:cs="Arial"/>
        </w:rPr>
        <w:t xml:space="preserve"> in</w:t>
      </w:r>
      <w:r w:rsidRPr="00D77B31">
        <w:rPr>
          <w:rFonts w:cs="Arial"/>
        </w:rPr>
        <w:t xml:space="preserve"> areas of high TOB activity</w:t>
      </w:r>
      <w:r w:rsidR="00E30E8E" w:rsidRPr="00D77B31">
        <w:rPr>
          <w:rFonts w:cs="Arial"/>
        </w:rPr>
        <w:t xml:space="preserve">. </w:t>
      </w:r>
      <w:r w:rsidRPr="00D77B31">
        <w:rPr>
          <w:rFonts w:cs="Arial"/>
        </w:rPr>
        <w:t>The clearance areas for the 2010</w:t>
      </w:r>
      <w:r w:rsidR="00F17101" w:rsidRPr="00D77B31">
        <w:rPr>
          <w:rFonts w:cs="Arial"/>
        </w:rPr>
        <w:noBreakHyphen/>
      </w:r>
      <w:r w:rsidRPr="00D77B31">
        <w:rPr>
          <w:rFonts w:cs="Arial"/>
        </w:rPr>
        <w:t>2110 MHz and 2200-2300 MHz bands are defined in</w:t>
      </w:r>
      <w:r w:rsidR="00310E41" w:rsidRPr="00D77B31">
        <w:rPr>
          <w:rFonts w:cs="Arial"/>
        </w:rPr>
        <w:t xml:space="preserve"> the </w:t>
      </w:r>
      <w:hyperlink r:id="rId34" w:history="1">
        <w:r w:rsidRPr="00D77B31">
          <w:rPr>
            <w:rStyle w:val="Hyperlink"/>
            <w:rFonts w:cs="Arial"/>
          </w:rPr>
          <w:t>Television Outside Broadcast Service (1980–2110 MHz and 2170–2300 MHz) Frequency Band Plan 2012</w:t>
        </w:r>
      </w:hyperlink>
      <w:r w:rsidRPr="00D77B31">
        <w:rPr>
          <w:rFonts w:cs="Arial"/>
        </w:rPr>
        <w:t xml:space="preserve"> and shown in </w:t>
      </w:r>
      <w:r w:rsidR="002208B4">
        <w:rPr>
          <w:rFonts w:cs="Arial"/>
        </w:rPr>
        <w:fldChar w:fldCharType="begin"/>
      </w:r>
      <w:r w:rsidR="002208B4">
        <w:rPr>
          <w:rFonts w:cs="Arial"/>
        </w:rPr>
        <w:instrText xml:space="preserve"> REF _Ref111710170 \r \h </w:instrText>
      </w:r>
      <w:r w:rsidR="002208B4">
        <w:rPr>
          <w:rFonts w:cs="Arial"/>
        </w:rPr>
      </w:r>
      <w:r w:rsidR="002208B4">
        <w:rPr>
          <w:rFonts w:cs="Arial"/>
        </w:rPr>
        <w:fldChar w:fldCharType="separate"/>
      </w:r>
      <w:r w:rsidR="003F79BE">
        <w:rPr>
          <w:rFonts w:cs="Arial"/>
        </w:rPr>
        <w:t>Figure 3</w:t>
      </w:r>
      <w:r w:rsidR="002208B4">
        <w:rPr>
          <w:rFonts w:cs="Arial"/>
        </w:rPr>
        <w:fldChar w:fldCharType="end"/>
      </w:r>
      <w:r w:rsidR="002208B4">
        <w:rPr>
          <w:rFonts w:cs="Arial"/>
        </w:rPr>
        <w:t xml:space="preserve"> </w:t>
      </w:r>
      <w:r w:rsidRPr="00D77B31">
        <w:rPr>
          <w:rFonts w:cs="Arial"/>
        </w:rPr>
        <w:t xml:space="preserve">and </w:t>
      </w:r>
      <w:r w:rsidR="002208B4">
        <w:rPr>
          <w:rFonts w:cs="Arial"/>
        </w:rPr>
        <w:fldChar w:fldCharType="begin"/>
      </w:r>
      <w:r w:rsidR="002208B4">
        <w:rPr>
          <w:rFonts w:cs="Arial"/>
        </w:rPr>
        <w:instrText xml:space="preserve"> REF _Ref111710182 \r \h </w:instrText>
      </w:r>
      <w:r w:rsidR="002208B4">
        <w:rPr>
          <w:rFonts w:cs="Arial"/>
        </w:rPr>
      </w:r>
      <w:r w:rsidR="002208B4">
        <w:rPr>
          <w:rFonts w:cs="Arial"/>
        </w:rPr>
        <w:fldChar w:fldCharType="separate"/>
      </w:r>
      <w:r w:rsidR="003F79BE">
        <w:rPr>
          <w:rFonts w:cs="Arial"/>
        </w:rPr>
        <w:t>Figure 4</w:t>
      </w:r>
      <w:r w:rsidR="002208B4">
        <w:rPr>
          <w:rFonts w:cs="Arial"/>
        </w:rPr>
        <w:fldChar w:fldCharType="end"/>
      </w:r>
      <w:r w:rsidRPr="00D77B31">
        <w:rPr>
          <w:rFonts w:cs="Arial"/>
        </w:rPr>
        <w:t>.</w:t>
      </w:r>
      <w:r w:rsidR="00076509" w:rsidRPr="00D77B31">
        <w:rPr>
          <w:rFonts w:cs="Arial"/>
        </w:rPr>
        <w:t xml:space="preserve"> Under the 2022 TOB Band Plan n</w:t>
      </w:r>
      <w:r w:rsidR="00AC6593" w:rsidRPr="00D77B31">
        <w:rPr>
          <w:rFonts w:cs="Arial"/>
        </w:rPr>
        <w:t>o new fixed services are allowed in those areas.</w:t>
      </w:r>
    </w:p>
    <w:p w14:paraId="0143E91C" w14:textId="77777777" w:rsidR="0058371C" w:rsidRPr="00D77B31" w:rsidRDefault="0058371C" w:rsidP="0058371C">
      <w:pPr>
        <w:rPr>
          <w:rFonts w:cs="Arial"/>
        </w:rPr>
      </w:pPr>
    </w:p>
    <w:p w14:paraId="402A8441" w14:textId="77777777" w:rsidR="00722030" w:rsidRPr="00D77B31" w:rsidRDefault="00722030" w:rsidP="00722030">
      <w:pPr>
        <w:pStyle w:val="ACMAFigureHeader"/>
        <w:keepNext/>
        <w:rPr>
          <w:rFonts w:cs="Arial"/>
        </w:rPr>
      </w:pPr>
      <w:bookmarkStart w:id="122" w:name="_Ref111710170"/>
      <w:r w:rsidRPr="00D77B31">
        <w:rPr>
          <w:rFonts w:cs="Arial"/>
        </w:rPr>
        <w:lastRenderedPageBreak/>
        <w:t>Fixed point-to-point clearance areas for the 2010-2110 MHz band</w:t>
      </w:r>
      <w:bookmarkEnd w:id="122"/>
    </w:p>
    <w:p w14:paraId="25527D8A" w14:textId="77777777" w:rsidR="0058371C" w:rsidRPr="00D77B31" w:rsidRDefault="00D05483" w:rsidP="0058371C">
      <w:pPr>
        <w:rPr>
          <w:rFonts w:cs="Arial"/>
          <w:noProof/>
        </w:rPr>
      </w:pPr>
      <w:r w:rsidRPr="00D77B31">
        <w:rPr>
          <w:rFonts w:cs="Arial"/>
          <w:noProof/>
        </w:rPr>
        <w:drawing>
          <wp:inline distT="0" distB="0" distL="0" distR="0" wp14:anchorId="0B0E45F5" wp14:editId="3D9E77A9">
            <wp:extent cx="5324475" cy="3657600"/>
            <wp:effectExtent l="19050" t="0" r="9525" b="0"/>
            <wp:docPr id="3" name="Picture 3" descr="2010-2110MHz_combin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2010-2110MHz_combined"/>
                    <pic:cNvPicPr>
                      <a:picLocks noChangeAspect="1" noChangeArrowheads="1"/>
                    </pic:cNvPicPr>
                  </pic:nvPicPr>
                  <pic:blipFill>
                    <a:blip r:embed="rId35" cstate="print"/>
                    <a:srcRect l="3494" t="4930" r="3328" b="4930"/>
                    <a:stretch>
                      <a:fillRect/>
                    </a:stretch>
                  </pic:blipFill>
                  <pic:spPr bwMode="auto">
                    <a:xfrm>
                      <a:off x="0" y="0"/>
                      <a:ext cx="5324475" cy="3657600"/>
                    </a:xfrm>
                    <a:prstGeom prst="rect">
                      <a:avLst/>
                    </a:prstGeom>
                    <a:noFill/>
                    <a:ln w="9525">
                      <a:noFill/>
                      <a:miter lim="800000"/>
                      <a:headEnd/>
                      <a:tailEnd/>
                    </a:ln>
                  </pic:spPr>
                </pic:pic>
              </a:graphicData>
            </a:graphic>
          </wp:inline>
        </w:drawing>
      </w:r>
    </w:p>
    <w:p w14:paraId="2B1108F9" w14:textId="77777777" w:rsidR="00722030" w:rsidRPr="00D77B31" w:rsidRDefault="00722030" w:rsidP="0058371C">
      <w:pPr>
        <w:rPr>
          <w:rFonts w:cs="Arial"/>
          <w:noProof/>
        </w:rPr>
      </w:pPr>
    </w:p>
    <w:p w14:paraId="21606AA4" w14:textId="77777777" w:rsidR="00722030" w:rsidRPr="00D77B31" w:rsidRDefault="00722030" w:rsidP="00722030">
      <w:pPr>
        <w:pStyle w:val="ACMAFigureHeader"/>
        <w:rPr>
          <w:rFonts w:cs="Arial"/>
        </w:rPr>
      </w:pPr>
      <w:bookmarkStart w:id="123" w:name="_Ref111710182"/>
      <w:r w:rsidRPr="00D77B31">
        <w:rPr>
          <w:rFonts w:cs="Arial"/>
        </w:rPr>
        <w:t>Fixed point-to-point clearance areas for the 2200-2300 MHz band</w:t>
      </w:r>
      <w:bookmarkEnd w:id="123"/>
    </w:p>
    <w:p w14:paraId="61B79FD8" w14:textId="77777777" w:rsidR="0058371C" w:rsidRPr="00D77B31" w:rsidRDefault="00D05483" w:rsidP="0058371C">
      <w:pPr>
        <w:rPr>
          <w:rFonts w:cs="Arial"/>
          <w:noProof/>
        </w:rPr>
      </w:pPr>
      <w:r w:rsidRPr="00D77B31">
        <w:rPr>
          <w:rFonts w:cs="Arial"/>
          <w:noProof/>
        </w:rPr>
        <w:drawing>
          <wp:inline distT="0" distB="0" distL="0" distR="0" wp14:anchorId="036155F4" wp14:editId="482B3706">
            <wp:extent cx="5324475" cy="3657600"/>
            <wp:effectExtent l="19050" t="0" r="9525" b="0"/>
            <wp:docPr id="4" name="Picture 4" descr="2170-2300_clear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2170-2300_clearence"/>
                    <pic:cNvPicPr>
                      <a:picLocks noChangeAspect="1" noChangeArrowheads="1"/>
                    </pic:cNvPicPr>
                  </pic:nvPicPr>
                  <pic:blipFill>
                    <a:blip r:embed="rId36" cstate="print"/>
                    <a:srcRect l="3661" t="4930" r="3328" b="4930"/>
                    <a:stretch>
                      <a:fillRect/>
                    </a:stretch>
                  </pic:blipFill>
                  <pic:spPr bwMode="auto">
                    <a:xfrm>
                      <a:off x="0" y="0"/>
                      <a:ext cx="5324475" cy="3657600"/>
                    </a:xfrm>
                    <a:prstGeom prst="rect">
                      <a:avLst/>
                    </a:prstGeom>
                    <a:noFill/>
                    <a:ln w="9525">
                      <a:noFill/>
                      <a:miter lim="800000"/>
                      <a:headEnd/>
                      <a:tailEnd/>
                    </a:ln>
                  </pic:spPr>
                </pic:pic>
              </a:graphicData>
            </a:graphic>
          </wp:inline>
        </w:drawing>
      </w:r>
    </w:p>
    <w:p w14:paraId="1D841EEE" w14:textId="77777777" w:rsidR="00163C87" w:rsidRPr="00D77B31" w:rsidRDefault="00163C87" w:rsidP="0058371C">
      <w:pPr>
        <w:rPr>
          <w:rFonts w:cs="Arial"/>
        </w:rPr>
      </w:pPr>
    </w:p>
    <w:p w14:paraId="70A35E3C" w14:textId="77777777" w:rsidR="004364A9" w:rsidRPr="00D77B31" w:rsidRDefault="004364A9" w:rsidP="0058371C">
      <w:pPr>
        <w:rPr>
          <w:rFonts w:cs="Arial"/>
        </w:rPr>
      </w:pPr>
      <w:r w:rsidRPr="00D77B31">
        <w:rPr>
          <w:rFonts w:cs="Arial"/>
        </w:rPr>
        <w:lastRenderedPageBreak/>
        <w:t xml:space="preserve">Coordination procedures between TOB transmitters and fixed link receivers vary depending on whether the TOB transmitter is </w:t>
      </w:r>
      <w:r w:rsidR="007A7557" w:rsidRPr="00D77B31">
        <w:rPr>
          <w:rFonts w:cs="Arial"/>
        </w:rPr>
        <w:t>in a fixed link clearance area</w:t>
      </w:r>
      <w:r w:rsidRPr="00D77B31">
        <w:rPr>
          <w:rFonts w:cs="Arial"/>
        </w:rPr>
        <w:t xml:space="preserve"> and on the TOB transmitter power and TOB antenna height.</w:t>
      </w:r>
    </w:p>
    <w:p w14:paraId="61C84402" w14:textId="77777777" w:rsidR="004364A9" w:rsidRPr="00D77B31" w:rsidRDefault="004364A9" w:rsidP="0058371C">
      <w:pPr>
        <w:rPr>
          <w:rFonts w:cs="Arial"/>
        </w:rPr>
      </w:pPr>
      <w:r w:rsidRPr="00D77B31">
        <w:rPr>
          <w:rFonts w:cs="Arial"/>
        </w:rPr>
        <w:t>No coordination is required between TOB transmitters and fixed links receivers within the fixed link clearance areas.</w:t>
      </w:r>
    </w:p>
    <w:p w14:paraId="40C20A0B" w14:textId="77777777" w:rsidR="0058371C" w:rsidRPr="00D77B31" w:rsidRDefault="00D83A55" w:rsidP="0058371C">
      <w:pPr>
        <w:rPr>
          <w:rFonts w:cs="Arial"/>
        </w:rPr>
      </w:pPr>
      <w:r w:rsidRPr="00D77B31">
        <w:rPr>
          <w:rFonts w:cs="Arial"/>
        </w:rPr>
        <w:t>Coordination is required</w:t>
      </w:r>
      <w:r w:rsidR="0008297A" w:rsidRPr="00D77B31">
        <w:rPr>
          <w:rFonts w:cs="Arial"/>
        </w:rPr>
        <w:t xml:space="preserve"> between TOB </w:t>
      </w:r>
      <w:r w:rsidR="003B7BBD" w:rsidRPr="00D77B31">
        <w:rPr>
          <w:rFonts w:cs="Arial"/>
        </w:rPr>
        <w:t>transmitters</w:t>
      </w:r>
      <w:r w:rsidR="0008297A" w:rsidRPr="00D77B31">
        <w:rPr>
          <w:rFonts w:cs="Arial"/>
        </w:rPr>
        <w:t xml:space="preserve"> and fixed link receivers </w:t>
      </w:r>
      <w:r w:rsidRPr="00D77B31">
        <w:rPr>
          <w:rFonts w:cs="Arial"/>
        </w:rPr>
        <w:t>outside the fixed link clearance zones. TOB licensees should be aware of fixed link paths outside the clearance zones which may be within their areas of TOB operations.</w:t>
      </w:r>
    </w:p>
    <w:p w14:paraId="26BBF845" w14:textId="77777777" w:rsidR="004364A9" w:rsidRPr="00D77B31" w:rsidRDefault="004364A9" w:rsidP="0058371C">
      <w:pPr>
        <w:rPr>
          <w:rFonts w:cs="Arial"/>
        </w:rPr>
      </w:pPr>
      <w:r w:rsidRPr="00D77B31">
        <w:rPr>
          <w:rFonts w:cs="Arial"/>
        </w:rPr>
        <w:t>Detailed coordination procedures are outlined in the following subsections.</w:t>
      </w:r>
    </w:p>
    <w:p w14:paraId="16F1B16D" w14:textId="77777777" w:rsidR="0058371C" w:rsidRPr="00D77B31" w:rsidRDefault="004364A9" w:rsidP="0058371C">
      <w:pPr>
        <w:rPr>
          <w:rFonts w:cs="Arial"/>
        </w:rPr>
      </w:pPr>
      <w:r w:rsidRPr="00D77B31">
        <w:rPr>
          <w:rFonts w:cs="Arial"/>
        </w:rPr>
        <w:t xml:space="preserve">Note: </w:t>
      </w:r>
      <w:r w:rsidR="00EF0194" w:rsidRPr="00D77B31">
        <w:rPr>
          <w:rFonts w:cs="Arial"/>
        </w:rPr>
        <w:t xml:space="preserve">Fixed </w:t>
      </w:r>
      <w:r w:rsidR="0058371C" w:rsidRPr="00D77B31">
        <w:rPr>
          <w:rFonts w:cs="Arial"/>
        </w:rPr>
        <w:t xml:space="preserve">TOB </w:t>
      </w:r>
      <w:r w:rsidRPr="00D77B31">
        <w:rPr>
          <w:rFonts w:cs="Arial"/>
        </w:rPr>
        <w:t>receivers</w:t>
      </w:r>
      <w:r w:rsidR="0058371C" w:rsidRPr="00D77B31">
        <w:rPr>
          <w:rFonts w:cs="Arial"/>
        </w:rPr>
        <w:t xml:space="preserve"> operating in the bands 2010-2110 and 2200-2300 MHz will need to be </w:t>
      </w:r>
      <w:r w:rsidRPr="00D77B31">
        <w:rPr>
          <w:rFonts w:cs="Arial"/>
        </w:rPr>
        <w:t xml:space="preserve">licensed </w:t>
      </w:r>
      <w:r w:rsidR="0058371C" w:rsidRPr="00D77B31">
        <w:rPr>
          <w:rFonts w:cs="Arial"/>
        </w:rPr>
        <w:t xml:space="preserve">to </w:t>
      </w:r>
      <w:r w:rsidR="00310E41" w:rsidRPr="00D77B31">
        <w:rPr>
          <w:rFonts w:cs="Arial"/>
        </w:rPr>
        <w:t>obtain</w:t>
      </w:r>
      <w:r w:rsidR="0058371C" w:rsidRPr="00D77B31">
        <w:rPr>
          <w:rFonts w:cs="Arial"/>
        </w:rPr>
        <w:t xml:space="preserve"> protection from </w:t>
      </w:r>
      <w:r w:rsidRPr="00D77B31">
        <w:rPr>
          <w:rFonts w:cs="Arial"/>
        </w:rPr>
        <w:t xml:space="preserve">future </w:t>
      </w:r>
      <w:r w:rsidR="0058371C" w:rsidRPr="00D77B31">
        <w:rPr>
          <w:rFonts w:cs="Arial"/>
        </w:rPr>
        <w:t>fixed point-to-point</w:t>
      </w:r>
      <w:r w:rsidRPr="00D77B31">
        <w:rPr>
          <w:rFonts w:cs="Arial"/>
        </w:rPr>
        <w:t xml:space="preserve"> transmitters</w:t>
      </w:r>
      <w:r w:rsidR="0058371C" w:rsidRPr="00D77B31">
        <w:rPr>
          <w:rFonts w:cs="Arial"/>
        </w:rPr>
        <w:t xml:space="preserve"> that may operate outside of the clearance areas.</w:t>
      </w:r>
    </w:p>
    <w:p w14:paraId="5130728C" w14:textId="77777777" w:rsidR="00B9789B" w:rsidRPr="00D77B31" w:rsidRDefault="0058371C" w:rsidP="00163C87">
      <w:pPr>
        <w:pStyle w:val="Heading3"/>
      </w:pPr>
      <w:bookmarkStart w:id="124" w:name="_Toc380391919"/>
      <w:bookmarkStart w:id="125" w:name="_Toc380417046"/>
      <w:bookmarkStart w:id="126" w:name="_Toc111710862"/>
      <w:bookmarkEnd w:id="124"/>
      <w:bookmarkEnd w:id="125"/>
      <w:r w:rsidRPr="00D77B31">
        <w:t xml:space="preserve">Low power handheld TOB </w:t>
      </w:r>
      <w:r w:rsidR="00EE7043" w:rsidRPr="00D77B31">
        <w:t xml:space="preserve">transmitters </w:t>
      </w:r>
      <w:r w:rsidRPr="00D77B31">
        <w:t>(wireless cameras</w:t>
      </w:r>
      <w:r w:rsidR="00B9789B" w:rsidRPr="00D77B31">
        <w:rPr>
          <w:rStyle w:val="FootnoteReference"/>
          <w:b w:val="0"/>
        </w:rPr>
        <w:footnoteReference w:id="9"/>
      </w:r>
      <w:r w:rsidRPr="00D77B31">
        <w:t>)</w:t>
      </w:r>
      <w:bookmarkEnd w:id="126"/>
    </w:p>
    <w:p w14:paraId="4AA7376E" w14:textId="1EE56F79" w:rsidR="0058371C" w:rsidRPr="00D77B31" w:rsidRDefault="0058371C" w:rsidP="0058371C">
      <w:pPr>
        <w:rPr>
          <w:rFonts w:cs="Arial"/>
        </w:rPr>
      </w:pPr>
      <w:r w:rsidRPr="00D77B31">
        <w:rPr>
          <w:rFonts w:cs="Arial"/>
        </w:rPr>
        <w:t>The ACMA assessment is that low power (</w:t>
      </w:r>
      <w:r w:rsidR="00367C6E" w:rsidRPr="00D77B31">
        <w:rPr>
          <w:rFonts w:cs="Arial"/>
        </w:rPr>
        <w:t>EIRP</w:t>
      </w:r>
      <w:r w:rsidRPr="00D77B31">
        <w:rPr>
          <w:rFonts w:cs="Arial"/>
          <w:vertAlign w:val="subscript"/>
        </w:rPr>
        <w:t xml:space="preserve"> </w:t>
      </w:r>
      <w:r w:rsidRPr="00D77B31">
        <w:rPr>
          <w:rFonts w:cs="Arial"/>
        </w:rPr>
        <w:t>≤ 26 dBm/8 MHz, height ≤ 2m) handheld TOB transmitters (wireless cameras) are unlikely to cause interference to existing fixed point-to-point link operating in the bands 2010-2110 MHz and 2200-2300 MHz, unless directly located in the fixed link path</w:t>
      </w:r>
      <w:r w:rsidR="00E30E8E" w:rsidRPr="00D77B31">
        <w:rPr>
          <w:rFonts w:cs="Arial"/>
        </w:rPr>
        <w:t xml:space="preserve">. </w:t>
      </w:r>
      <w:r w:rsidRPr="00D77B31">
        <w:rPr>
          <w:rFonts w:cs="Arial"/>
        </w:rPr>
        <w:t>No coordination with fixed point-to-point links is required if operating outside the fixed link path</w:t>
      </w:r>
      <w:r w:rsidRPr="00D77B31">
        <w:rPr>
          <w:rStyle w:val="FootnoteReference"/>
          <w:rFonts w:cs="Arial"/>
        </w:rPr>
        <w:footnoteReference w:id="10"/>
      </w:r>
      <w:r w:rsidR="00E30E8E" w:rsidRPr="00D77B31">
        <w:rPr>
          <w:rFonts w:cs="Arial"/>
        </w:rPr>
        <w:t xml:space="preserve">. </w:t>
      </w:r>
      <w:r w:rsidR="00C46821" w:rsidRPr="00D77B31">
        <w:rPr>
          <w:rFonts w:cs="Arial"/>
        </w:rPr>
        <w:t xml:space="preserve">The procedures </w:t>
      </w:r>
      <w:r w:rsidR="00367C6E" w:rsidRPr="00D77B31">
        <w:rPr>
          <w:rFonts w:cs="Arial"/>
        </w:rPr>
        <w:t xml:space="preserve">outlined in </w:t>
      </w:r>
      <w:r w:rsidR="00C46821" w:rsidRPr="00D77B31">
        <w:rPr>
          <w:rFonts w:cs="Arial"/>
        </w:rPr>
        <w:t>Appendix D are to be followed when coordinating TOB transmitters with fixed point-to-point link receivers</w:t>
      </w:r>
      <w:r w:rsidR="00E30E8E" w:rsidRPr="00D77B31">
        <w:rPr>
          <w:rFonts w:cs="Arial"/>
        </w:rPr>
        <w:t xml:space="preserve">. </w:t>
      </w:r>
      <w:r w:rsidR="00D83A55" w:rsidRPr="00D77B31">
        <w:rPr>
          <w:rFonts w:cs="Arial"/>
        </w:rPr>
        <w:t>TOB licensees should be aware of fixed link paths within their areas of TOB operations.</w:t>
      </w:r>
    </w:p>
    <w:p w14:paraId="6A4DCF05" w14:textId="77777777" w:rsidR="00B9789B" w:rsidRPr="00D77B31" w:rsidRDefault="0058371C" w:rsidP="00163C87">
      <w:pPr>
        <w:pStyle w:val="Heading3"/>
      </w:pPr>
      <w:bookmarkStart w:id="127" w:name="_Toc380391921"/>
      <w:bookmarkStart w:id="128" w:name="_Toc380417048"/>
      <w:bookmarkStart w:id="129" w:name="_Toc111710863"/>
      <w:bookmarkEnd w:id="127"/>
      <w:bookmarkEnd w:id="128"/>
      <w:r w:rsidRPr="00D77B31">
        <w:t xml:space="preserve">High power TOB </w:t>
      </w:r>
      <w:r w:rsidR="00EE7043" w:rsidRPr="00D77B31">
        <w:t xml:space="preserve">transmitters </w:t>
      </w:r>
      <w:r w:rsidRPr="00D77B31">
        <w:t>(ENG vans</w:t>
      </w:r>
      <w:r w:rsidR="00B9789B" w:rsidRPr="00D77B31">
        <w:rPr>
          <w:rStyle w:val="FootnoteReference"/>
          <w:b w:val="0"/>
        </w:rPr>
        <w:footnoteReference w:id="11"/>
      </w:r>
      <w:r w:rsidRPr="00D77B31">
        <w:t>)</w:t>
      </w:r>
      <w:bookmarkEnd w:id="129"/>
    </w:p>
    <w:p w14:paraId="460BE96E" w14:textId="323E7A36" w:rsidR="0058371C" w:rsidRPr="00D77B31" w:rsidRDefault="0058371C" w:rsidP="0058371C">
      <w:pPr>
        <w:rPr>
          <w:rFonts w:cs="Arial"/>
        </w:rPr>
      </w:pPr>
      <w:r w:rsidRPr="00D77B31">
        <w:rPr>
          <w:rFonts w:cs="Arial"/>
        </w:rPr>
        <w:t xml:space="preserve">The operation of a high power </w:t>
      </w:r>
      <w:r w:rsidR="00EE7043" w:rsidRPr="00D77B31">
        <w:rPr>
          <w:rFonts w:cs="Arial"/>
        </w:rPr>
        <w:t>TOB transmitter</w:t>
      </w:r>
      <w:r w:rsidRPr="00D77B31">
        <w:rPr>
          <w:rFonts w:cs="Arial"/>
        </w:rPr>
        <w:t xml:space="preserve"> (</w:t>
      </w:r>
      <w:r w:rsidR="00367C6E" w:rsidRPr="00D77B31">
        <w:rPr>
          <w:rFonts w:cs="Arial"/>
        </w:rPr>
        <w:t>EIRP</w:t>
      </w:r>
      <w:r w:rsidRPr="00D77B31">
        <w:rPr>
          <w:rFonts w:cs="Arial"/>
        </w:rPr>
        <w:t>&gt; 26 dBm/8 MHz, height &gt; 2m) in the bands 2010</w:t>
      </w:r>
      <w:r w:rsidR="00EE7043" w:rsidRPr="00D77B31">
        <w:rPr>
          <w:rFonts w:cs="Arial"/>
        </w:rPr>
        <w:noBreakHyphen/>
      </w:r>
      <w:r w:rsidRPr="00D77B31">
        <w:rPr>
          <w:rFonts w:cs="Arial"/>
        </w:rPr>
        <w:t xml:space="preserve">2110 MHz and 2200-2300 MHz outside of the </w:t>
      </w:r>
      <w:r w:rsidR="00D83A55" w:rsidRPr="00D77B31">
        <w:rPr>
          <w:rFonts w:cs="Arial"/>
        </w:rPr>
        <w:t xml:space="preserve">fixed link </w:t>
      </w:r>
      <w:r w:rsidRPr="00D77B31">
        <w:rPr>
          <w:rFonts w:cs="Arial"/>
        </w:rPr>
        <w:t xml:space="preserve">clearance </w:t>
      </w:r>
      <w:r w:rsidR="006A7C9C" w:rsidRPr="00D77B31">
        <w:rPr>
          <w:rFonts w:cs="Arial"/>
        </w:rPr>
        <w:t xml:space="preserve">area </w:t>
      </w:r>
      <w:r w:rsidRPr="00D77B31">
        <w:rPr>
          <w:rFonts w:cs="Arial"/>
        </w:rPr>
        <w:t>is unlikely given that there are typically no collection stations for them to transmit to.</w:t>
      </w:r>
    </w:p>
    <w:p w14:paraId="6E271ACB" w14:textId="77777777" w:rsidR="0058371C" w:rsidRPr="00D77B31" w:rsidRDefault="0058371C" w:rsidP="00421F8E">
      <w:pPr>
        <w:rPr>
          <w:rFonts w:cs="Arial"/>
          <w:b/>
          <w:bCs/>
          <w:i/>
        </w:rPr>
      </w:pPr>
      <w:r w:rsidRPr="00D77B31">
        <w:rPr>
          <w:rFonts w:cs="Arial"/>
          <w:b/>
          <w:bCs/>
          <w:i/>
        </w:rPr>
        <w:t xml:space="preserve">TOB </w:t>
      </w:r>
      <w:r w:rsidR="006661A3" w:rsidRPr="00D77B31">
        <w:rPr>
          <w:rFonts w:cs="Arial"/>
          <w:b/>
          <w:bCs/>
          <w:i/>
        </w:rPr>
        <w:t xml:space="preserve">transmitters </w:t>
      </w:r>
      <w:r w:rsidRPr="00D77B31">
        <w:rPr>
          <w:rFonts w:cs="Arial"/>
          <w:b/>
          <w:bCs/>
          <w:i/>
        </w:rPr>
        <w:t>operat</w:t>
      </w:r>
      <w:r w:rsidR="00FD0E4D" w:rsidRPr="00D77B31">
        <w:rPr>
          <w:rFonts w:cs="Arial"/>
          <w:b/>
          <w:bCs/>
          <w:i/>
        </w:rPr>
        <w:t xml:space="preserve">ing </w:t>
      </w:r>
      <w:r w:rsidRPr="00D77B31">
        <w:rPr>
          <w:rFonts w:cs="Arial"/>
          <w:b/>
          <w:bCs/>
          <w:i/>
        </w:rPr>
        <w:t xml:space="preserve">inside the </w:t>
      </w:r>
      <w:r w:rsidR="00D83A55" w:rsidRPr="00D77B31">
        <w:rPr>
          <w:rFonts w:cs="Arial"/>
          <w:b/>
          <w:bCs/>
          <w:i/>
        </w:rPr>
        <w:t xml:space="preserve">fixed link </w:t>
      </w:r>
      <w:r w:rsidRPr="00D77B31">
        <w:rPr>
          <w:rFonts w:cs="Arial"/>
          <w:b/>
          <w:bCs/>
          <w:i/>
        </w:rPr>
        <w:t>clearance zone boundary</w:t>
      </w:r>
      <w:r w:rsidR="003914B9" w:rsidRPr="00D77B31">
        <w:rPr>
          <w:rStyle w:val="FootnoteReference"/>
          <w:rFonts w:cs="Arial"/>
          <w:b/>
          <w:bCs/>
          <w:i/>
        </w:rPr>
        <w:footnoteReference w:id="12"/>
      </w:r>
    </w:p>
    <w:p w14:paraId="6D3BC8BE" w14:textId="77777777" w:rsidR="004364A9" w:rsidRPr="00D77B31" w:rsidRDefault="004364A9" w:rsidP="004364A9">
      <w:pPr>
        <w:rPr>
          <w:rFonts w:cs="Arial"/>
        </w:rPr>
      </w:pPr>
      <w:r w:rsidRPr="00D77B31">
        <w:rPr>
          <w:rFonts w:cs="Arial"/>
        </w:rPr>
        <w:t>High power TOB transmitters do not need to coordinate with fixed links in the bands 2010-2110 MHz and 2200</w:t>
      </w:r>
      <w:r w:rsidRPr="00D77B31">
        <w:rPr>
          <w:rFonts w:cs="Arial"/>
        </w:rPr>
        <w:noBreakHyphen/>
        <w:t xml:space="preserve">2300 MHz inside of the fixed link clearance area. </w:t>
      </w:r>
    </w:p>
    <w:p w14:paraId="3C2828AF" w14:textId="77777777" w:rsidR="00C46821" w:rsidRPr="00D77B31" w:rsidRDefault="004364A9" w:rsidP="00C46821">
      <w:pPr>
        <w:rPr>
          <w:rFonts w:cs="Arial"/>
        </w:rPr>
      </w:pPr>
      <w:r w:rsidRPr="00D77B31">
        <w:rPr>
          <w:rFonts w:cs="Arial"/>
        </w:rPr>
        <w:t>This is because</w:t>
      </w:r>
      <w:r w:rsidR="00C46821" w:rsidRPr="00D77B31">
        <w:rPr>
          <w:rFonts w:cs="Arial"/>
        </w:rPr>
        <w:t xml:space="preserve"> high powered TOB transmitters operat</w:t>
      </w:r>
      <w:r w:rsidRPr="00D77B31">
        <w:rPr>
          <w:rFonts w:cs="Arial"/>
        </w:rPr>
        <w:t>e</w:t>
      </w:r>
      <w:r w:rsidR="00C46821" w:rsidRPr="00D77B31">
        <w:rPr>
          <w:rFonts w:cs="Arial"/>
        </w:rPr>
        <w:t xml:space="preserve"> </w:t>
      </w:r>
      <w:r w:rsidRPr="00D77B31">
        <w:rPr>
          <w:rFonts w:cs="Arial"/>
        </w:rPr>
        <w:t xml:space="preserve">with </w:t>
      </w:r>
      <w:r w:rsidR="00C46821" w:rsidRPr="00D77B31">
        <w:rPr>
          <w:rFonts w:cs="Arial"/>
        </w:rPr>
        <w:t>collection stations located in capital cities</w:t>
      </w:r>
      <w:r w:rsidRPr="00D77B31">
        <w:rPr>
          <w:rFonts w:cs="Arial"/>
        </w:rPr>
        <w:t>.</w:t>
      </w:r>
      <w:r w:rsidR="00C46821" w:rsidRPr="00D77B31">
        <w:rPr>
          <w:rFonts w:cs="Arial"/>
        </w:rPr>
        <w:t xml:space="preserve"> </w:t>
      </w:r>
      <w:r w:rsidRPr="00D77B31">
        <w:rPr>
          <w:rFonts w:cs="Arial"/>
        </w:rPr>
        <w:t>T</w:t>
      </w:r>
      <w:r w:rsidR="00C46821" w:rsidRPr="00D77B31">
        <w:rPr>
          <w:rFonts w:cs="Arial"/>
        </w:rPr>
        <w:t>h</w:t>
      </w:r>
      <w:r w:rsidRPr="00D77B31">
        <w:rPr>
          <w:rFonts w:cs="Arial"/>
        </w:rPr>
        <w:t>is mak</w:t>
      </w:r>
      <w:r w:rsidR="00C46821" w:rsidRPr="00D77B31">
        <w:rPr>
          <w:rFonts w:cs="Arial"/>
        </w:rPr>
        <w:t>e</w:t>
      </w:r>
      <w:r w:rsidRPr="00D77B31">
        <w:rPr>
          <w:rFonts w:cs="Arial"/>
        </w:rPr>
        <w:t>s the</w:t>
      </w:r>
      <w:r w:rsidR="00C46821" w:rsidRPr="00D77B31">
        <w:rPr>
          <w:rFonts w:cs="Arial"/>
        </w:rPr>
        <w:t xml:space="preserve"> potential for high power TOB transmitters to interfere with fixed point-to-point links in the bands 2010</w:t>
      </w:r>
      <w:r w:rsidR="00C46821" w:rsidRPr="00D77B31">
        <w:rPr>
          <w:rFonts w:cs="Arial"/>
        </w:rPr>
        <w:noBreakHyphen/>
        <w:t>2110 MHz and 2200-2300 MHz very low</w:t>
      </w:r>
      <w:r w:rsidR="00E30E8E" w:rsidRPr="00D77B31">
        <w:rPr>
          <w:rFonts w:cs="Arial"/>
        </w:rPr>
        <w:t xml:space="preserve">. </w:t>
      </w:r>
      <w:r w:rsidR="00C46821" w:rsidRPr="00D77B31">
        <w:rPr>
          <w:rFonts w:cs="Arial"/>
        </w:rPr>
        <w:t>TOB transmitters will in most cases be pointing towards the TOB collection stations and away from areas of fixed link operation and therefore no coordination is required.</w:t>
      </w:r>
    </w:p>
    <w:p w14:paraId="7ED99B8C" w14:textId="77777777" w:rsidR="0058371C" w:rsidRPr="00D77B31" w:rsidRDefault="00EE7043" w:rsidP="006305E4">
      <w:pPr>
        <w:keepNext/>
        <w:rPr>
          <w:rFonts w:cs="Arial"/>
          <w:b/>
          <w:bCs/>
          <w:i/>
        </w:rPr>
      </w:pPr>
      <w:r w:rsidRPr="00D77B31">
        <w:rPr>
          <w:rFonts w:cs="Arial"/>
          <w:b/>
          <w:bCs/>
          <w:i/>
        </w:rPr>
        <w:lastRenderedPageBreak/>
        <w:t>TOB transmitters</w:t>
      </w:r>
      <w:r w:rsidR="0058371C" w:rsidRPr="00D77B31">
        <w:rPr>
          <w:rFonts w:cs="Arial"/>
          <w:b/>
          <w:bCs/>
          <w:i/>
        </w:rPr>
        <w:t xml:space="preserve"> operat</w:t>
      </w:r>
      <w:r w:rsidR="005A3435" w:rsidRPr="00D77B31">
        <w:rPr>
          <w:rFonts w:cs="Arial"/>
          <w:b/>
          <w:bCs/>
          <w:i/>
        </w:rPr>
        <w:t>ing</w:t>
      </w:r>
      <w:r w:rsidR="00760DD4" w:rsidRPr="00D77B31">
        <w:rPr>
          <w:rFonts w:cs="Arial"/>
          <w:b/>
          <w:bCs/>
          <w:i/>
        </w:rPr>
        <w:t xml:space="preserve"> </w:t>
      </w:r>
      <w:r w:rsidR="0058371C" w:rsidRPr="00D77B31">
        <w:rPr>
          <w:rFonts w:cs="Arial"/>
          <w:b/>
          <w:bCs/>
          <w:i/>
        </w:rPr>
        <w:t>outsid</w:t>
      </w:r>
      <w:r w:rsidR="005A3435" w:rsidRPr="00D77B31">
        <w:rPr>
          <w:rFonts w:cs="Arial"/>
          <w:b/>
          <w:bCs/>
          <w:i/>
        </w:rPr>
        <w:t xml:space="preserve">e of the </w:t>
      </w:r>
      <w:r w:rsidR="00D83A55" w:rsidRPr="00D77B31">
        <w:rPr>
          <w:rFonts w:cs="Arial"/>
          <w:b/>
          <w:bCs/>
          <w:i/>
        </w:rPr>
        <w:t xml:space="preserve">fixed link </w:t>
      </w:r>
      <w:r w:rsidR="005A3435" w:rsidRPr="00D77B31">
        <w:rPr>
          <w:rFonts w:cs="Arial"/>
          <w:b/>
          <w:bCs/>
          <w:i/>
        </w:rPr>
        <w:t>clearance zones</w:t>
      </w:r>
    </w:p>
    <w:p w14:paraId="7D313CB9" w14:textId="21E33AB1" w:rsidR="0058371C" w:rsidRPr="00D77B31" w:rsidRDefault="00FF5DFA" w:rsidP="0058371C">
      <w:pPr>
        <w:rPr>
          <w:rFonts w:cs="Arial"/>
        </w:rPr>
      </w:pPr>
      <w:r w:rsidRPr="00D77B31">
        <w:rPr>
          <w:rFonts w:cs="Arial"/>
        </w:rPr>
        <w:t>W</w:t>
      </w:r>
      <w:r w:rsidR="0058371C" w:rsidRPr="00D77B31">
        <w:rPr>
          <w:rFonts w:cs="Arial"/>
        </w:rPr>
        <w:t xml:space="preserve">here a high power TOB </w:t>
      </w:r>
      <w:r w:rsidR="006661A3" w:rsidRPr="00D77B31">
        <w:rPr>
          <w:rFonts w:cs="Arial"/>
        </w:rPr>
        <w:t xml:space="preserve">transmitter </w:t>
      </w:r>
      <w:r w:rsidR="00D83A55" w:rsidRPr="00D77B31">
        <w:rPr>
          <w:rFonts w:cs="Arial"/>
        </w:rPr>
        <w:t>(</w:t>
      </w:r>
      <w:r w:rsidR="00367C6E" w:rsidRPr="00D77B31">
        <w:rPr>
          <w:rFonts w:cs="Arial"/>
        </w:rPr>
        <w:t>EIRP</w:t>
      </w:r>
      <w:r w:rsidR="00D83A55" w:rsidRPr="00D77B31">
        <w:rPr>
          <w:rFonts w:cs="Arial"/>
        </w:rPr>
        <w:t>&gt; 26 dBm/8 MHz, height &gt; 2m)</w:t>
      </w:r>
      <w:r w:rsidR="0058371C" w:rsidRPr="00D77B31">
        <w:rPr>
          <w:rFonts w:cs="Arial"/>
        </w:rPr>
        <w:t xml:space="preserve"> wishes to operate outside of the clearance zone they must do so using the procedure set out in section 4 of RALI FX 3 and summarised in Appendix D of this RALI.</w:t>
      </w:r>
    </w:p>
    <w:p w14:paraId="0D5A547E" w14:textId="77777777" w:rsidR="00437815" w:rsidRPr="00D77B31" w:rsidRDefault="00437815">
      <w:pPr>
        <w:rPr>
          <w:rFonts w:cs="Arial"/>
          <w:b/>
          <w:color w:val="000000"/>
        </w:rPr>
      </w:pPr>
      <w:bookmarkStart w:id="130" w:name="_Toc380391923"/>
      <w:bookmarkStart w:id="131" w:name="_Toc380417050"/>
      <w:bookmarkEnd w:id="130"/>
      <w:bookmarkEnd w:id="131"/>
      <w:r w:rsidRPr="00D77B31">
        <w:rPr>
          <w:rFonts w:cs="Arial"/>
        </w:rPr>
        <w:br w:type="page"/>
      </w:r>
    </w:p>
    <w:p w14:paraId="64F37094" w14:textId="23D71556" w:rsidR="00B9789B" w:rsidRPr="00D77B31" w:rsidRDefault="0052060C" w:rsidP="00163C87">
      <w:pPr>
        <w:pStyle w:val="Heading3"/>
      </w:pPr>
      <w:bookmarkStart w:id="132" w:name="_Toc111710864"/>
      <w:r w:rsidRPr="00D77B31">
        <w:lastRenderedPageBreak/>
        <w:t xml:space="preserve">Airborne </w:t>
      </w:r>
      <w:r w:rsidR="00EE7043" w:rsidRPr="00D77B31">
        <w:t>TOB transmitters</w:t>
      </w:r>
      <w:r w:rsidR="008560BB" w:rsidRPr="00D77B31">
        <w:t xml:space="preserve"> (helicopters)</w:t>
      </w:r>
      <w:bookmarkEnd w:id="132"/>
    </w:p>
    <w:p w14:paraId="6A32C2D7" w14:textId="6728098C" w:rsidR="005A3435" w:rsidRPr="00D77B31" w:rsidRDefault="00746F03" w:rsidP="0058371C">
      <w:pPr>
        <w:rPr>
          <w:rFonts w:cs="Arial"/>
        </w:rPr>
      </w:pPr>
      <w:r w:rsidRPr="00D77B31">
        <w:rPr>
          <w:rFonts w:cs="Arial"/>
        </w:rPr>
        <w:t xml:space="preserve">Under the </w:t>
      </w:r>
      <w:r w:rsidR="00F30350" w:rsidRPr="00D77B31">
        <w:rPr>
          <w:rFonts w:cs="Arial"/>
        </w:rPr>
        <w:t>2022</w:t>
      </w:r>
      <w:r w:rsidR="006E3D6A" w:rsidRPr="00D77B31">
        <w:rPr>
          <w:rFonts w:cs="Arial"/>
        </w:rPr>
        <w:t xml:space="preserve"> </w:t>
      </w:r>
      <w:r w:rsidRPr="00D77B31">
        <w:rPr>
          <w:rFonts w:cs="Arial"/>
        </w:rPr>
        <w:t>TOB Band Plan a</w:t>
      </w:r>
      <w:r w:rsidR="00280AFF" w:rsidRPr="00D77B31">
        <w:rPr>
          <w:rFonts w:cs="Arial"/>
        </w:rPr>
        <w:t xml:space="preserve">irborne transmitters are not permitted </w:t>
      </w:r>
      <w:r w:rsidR="00192601" w:rsidRPr="00D77B31">
        <w:rPr>
          <w:rFonts w:cs="Arial"/>
        </w:rPr>
        <w:t xml:space="preserve">to operate </w:t>
      </w:r>
      <w:r w:rsidR="00280AFF" w:rsidRPr="00D77B31">
        <w:rPr>
          <w:rFonts w:cs="Arial"/>
        </w:rPr>
        <w:t>in the band 2200-2300 MHz.</w:t>
      </w:r>
    </w:p>
    <w:p w14:paraId="3869B395" w14:textId="3DDDE9F1" w:rsidR="009205C0" w:rsidRPr="00D77B31" w:rsidRDefault="00E7208D" w:rsidP="009318BA">
      <w:pPr>
        <w:pStyle w:val="Heading2"/>
      </w:pPr>
      <w:bookmarkStart w:id="133" w:name="_Toc380391925"/>
      <w:bookmarkStart w:id="134" w:name="_Toc380417052"/>
      <w:bookmarkStart w:id="135" w:name="_Toc368045412"/>
      <w:bookmarkStart w:id="136" w:name="_Toc368045464"/>
      <w:bookmarkStart w:id="137" w:name="_Toc368045507"/>
      <w:bookmarkStart w:id="138" w:name="_Toc368045551"/>
      <w:bookmarkStart w:id="139" w:name="_Toc329701609"/>
      <w:bookmarkStart w:id="140" w:name="_Toc368045552"/>
      <w:bookmarkStart w:id="141" w:name="_Toc111710865"/>
      <w:bookmarkEnd w:id="133"/>
      <w:bookmarkEnd w:id="134"/>
      <w:bookmarkEnd w:id="135"/>
      <w:bookmarkEnd w:id="136"/>
      <w:bookmarkEnd w:id="137"/>
      <w:bookmarkEnd w:id="138"/>
      <w:bookmarkEnd w:id="139"/>
      <w:r w:rsidRPr="00D77B31">
        <w:t>Mobile-</w:t>
      </w:r>
      <w:r w:rsidR="006305E4" w:rsidRPr="00D77B31">
        <w:t>s</w:t>
      </w:r>
      <w:r w:rsidRPr="00D77B31">
        <w:t xml:space="preserve">atellite </w:t>
      </w:r>
      <w:r w:rsidR="006305E4" w:rsidRPr="00D77B31">
        <w:t>s</w:t>
      </w:r>
      <w:r w:rsidR="009205C0" w:rsidRPr="00D77B31">
        <w:t>ervice</w:t>
      </w:r>
      <w:bookmarkEnd w:id="140"/>
      <w:bookmarkEnd w:id="141"/>
    </w:p>
    <w:p w14:paraId="4A1B302C" w14:textId="2A5C0D20" w:rsidR="0063043E" w:rsidRPr="00D77B31" w:rsidRDefault="009205C0" w:rsidP="0063043E">
      <w:pPr>
        <w:rPr>
          <w:rFonts w:cs="Arial"/>
        </w:rPr>
      </w:pPr>
      <w:r w:rsidRPr="00D77B31">
        <w:rPr>
          <w:rFonts w:cs="Arial"/>
        </w:rPr>
        <w:t>The bands 1980-2010 MHz and 2170-2200 MHz are also allocated to the mobile-satellite service</w:t>
      </w:r>
      <w:r w:rsidR="00E30E8E" w:rsidRPr="00D77B31">
        <w:rPr>
          <w:rFonts w:cs="Arial"/>
        </w:rPr>
        <w:t xml:space="preserve">. </w:t>
      </w:r>
      <w:bookmarkStart w:id="142" w:name="_Toc368045554"/>
      <w:r w:rsidR="002710A6" w:rsidRPr="00D77B31">
        <w:rPr>
          <w:rFonts w:cs="Arial"/>
        </w:rPr>
        <w:t>During the transition periods in the MSS Band Plan,</w:t>
      </w:r>
      <w:r w:rsidR="00010190" w:rsidRPr="00D77B31">
        <w:rPr>
          <w:rFonts w:cs="Arial"/>
        </w:rPr>
        <w:t xml:space="preserve"> no coordination with mobile-satellite services is required</w:t>
      </w:r>
      <w:r w:rsidR="0086386C" w:rsidRPr="00D77B31">
        <w:rPr>
          <w:rFonts w:cs="Arial"/>
        </w:rPr>
        <w:t>.</w:t>
      </w:r>
      <w:r w:rsidR="00BB45E2" w:rsidRPr="00D77B31">
        <w:rPr>
          <w:rFonts w:cs="Arial"/>
        </w:rPr>
        <w:t xml:space="preserve"> </w:t>
      </w:r>
      <w:r w:rsidR="00F12C28" w:rsidRPr="00D77B31">
        <w:rPr>
          <w:rFonts w:cs="Arial"/>
        </w:rPr>
        <w:t>The MSS e</w:t>
      </w:r>
      <w:r w:rsidR="00BB45E2" w:rsidRPr="00D77B31">
        <w:rPr>
          <w:rFonts w:cs="Arial"/>
        </w:rPr>
        <w:t>arth stations must not cause harmful interference to, nor claim protection from, TOB stations licensed in accordance with the</w:t>
      </w:r>
      <w:r w:rsidR="00F12C28" w:rsidRPr="00D77B31">
        <w:rPr>
          <w:rFonts w:cs="Arial"/>
        </w:rPr>
        <w:t xml:space="preserve"> MSS Band Plan</w:t>
      </w:r>
      <w:r w:rsidR="00F77949" w:rsidRPr="00D77B31">
        <w:rPr>
          <w:rFonts w:cs="Arial"/>
        </w:rPr>
        <w:t>.</w:t>
      </w:r>
    </w:p>
    <w:p w14:paraId="1013E80C" w14:textId="7FE1B938" w:rsidR="009205C0" w:rsidRPr="00D77B31" w:rsidRDefault="009205C0" w:rsidP="009318BA">
      <w:pPr>
        <w:pStyle w:val="Heading2"/>
      </w:pPr>
      <w:bookmarkStart w:id="143" w:name="_Toc380391927"/>
      <w:bookmarkStart w:id="144" w:name="_Toc380417054"/>
      <w:bookmarkStart w:id="145" w:name="_Ref379288860"/>
      <w:bookmarkStart w:id="146" w:name="_Toc111710866"/>
      <w:bookmarkEnd w:id="143"/>
      <w:bookmarkEnd w:id="144"/>
      <w:r w:rsidRPr="00D77B31">
        <w:t xml:space="preserve">Earth </w:t>
      </w:r>
      <w:r w:rsidR="006305E4" w:rsidRPr="00D77B31">
        <w:t>s</w:t>
      </w:r>
      <w:r w:rsidRPr="00D77B31">
        <w:t>tation</w:t>
      </w:r>
      <w:r w:rsidR="002E6491" w:rsidRPr="00D77B31">
        <w:t xml:space="preserve"> receivers</w:t>
      </w:r>
      <w:bookmarkEnd w:id="142"/>
      <w:bookmarkEnd w:id="145"/>
      <w:bookmarkEnd w:id="146"/>
    </w:p>
    <w:p w14:paraId="66B9C297" w14:textId="77777777" w:rsidR="009205C0" w:rsidRPr="00D77B31" w:rsidRDefault="009205C0" w:rsidP="009205C0">
      <w:pPr>
        <w:rPr>
          <w:rFonts w:cs="Arial"/>
        </w:rPr>
      </w:pPr>
      <w:r w:rsidRPr="00D77B31">
        <w:rPr>
          <w:rFonts w:cs="Arial"/>
        </w:rPr>
        <w:t>The band 2025-2110 MHz and 2200-2300 MHz are allocated on a primary basis to the Space Operation, Earth Exploration Satellite and Space Research services</w:t>
      </w:r>
      <w:r w:rsidR="00E30E8E" w:rsidRPr="00D77B31">
        <w:rPr>
          <w:rFonts w:cs="Arial"/>
        </w:rPr>
        <w:t xml:space="preserve">. </w:t>
      </w:r>
      <w:r w:rsidRPr="00D77B31">
        <w:rPr>
          <w:rFonts w:cs="Arial"/>
        </w:rPr>
        <w:t xml:space="preserve">This section outlines coordination requirements for </w:t>
      </w:r>
      <w:r w:rsidR="00EE7043" w:rsidRPr="00D77B31">
        <w:rPr>
          <w:rFonts w:cs="Arial"/>
        </w:rPr>
        <w:t>TOB transmitters</w:t>
      </w:r>
      <w:r w:rsidRPr="00D77B31">
        <w:rPr>
          <w:rFonts w:cs="Arial"/>
        </w:rPr>
        <w:t xml:space="preserve"> </w:t>
      </w:r>
      <w:r w:rsidR="004364A9" w:rsidRPr="00D77B31">
        <w:rPr>
          <w:rFonts w:cs="Arial"/>
        </w:rPr>
        <w:t>with</w:t>
      </w:r>
      <w:r w:rsidR="007C093F" w:rsidRPr="00D77B31">
        <w:rPr>
          <w:rFonts w:cs="Arial"/>
        </w:rPr>
        <w:t xml:space="preserve"> </w:t>
      </w:r>
      <w:r w:rsidR="00926B18" w:rsidRPr="00D77B31">
        <w:rPr>
          <w:rFonts w:cs="Arial"/>
        </w:rPr>
        <w:t>e</w:t>
      </w:r>
      <w:r w:rsidRPr="00D77B31">
        <w:rPr>
          <w:rFonts w:cs="Arial"/>
        </w:rPr>
        <w:t>arth station</w:t>
      </w:r>
      <w:r w:rsidR="00926B18" w:rsidRPr="00D77B31">
        <w:rPr>
          <w:rFonts w:cs="Arial"/>
        </w:rPr>
        <w:t xml:space="preserve"> receivers </w:t>
      </w:r>
      <w:r w:rsidRPr="00D77B31">
        <w:rPr>
          <w:rFonts w:cs="Arial"/>
        </w:rPr>
        <w:t>at:</w:t>
      </w:r>
    </w:p>
    <w:p w14:paraId="7F6AF777" w14:textId="0E62A6F2" w:rsidR="00E14B35" w:rsidRPr="00D77B31" w:rsidRDefault="009205C0" w:rsidP="00335000">
      <w:pPr>
        <w:pStyle w:val="ListParagraph"/>
        <w:numPr>
          <w:ilvl w:val="0"/>
          <w:numId w:val="21"/>
        </w:numPr>
        <w:ind w:left="357" w:hanging="357"/>
        <w:contextualSpacing w:val="0"/>
        <w:rPr>
          <w:rFonts w:cs="Arial"/>
        </w:rPr>
      </w:pPr>
      <w:r w:rsidRPr="00D77B31">
        <w:rPr>
          <w:rFonts w:cs="Arial"/>
        </w:rPr>
        <w:t>Tidbinbilla in the ACT</w:t>
      </w:r>
    </w:p>
    <w:p w14:paraId="527164A9" w14:textId="77777777" w:rsidR="006F357A" w:rsidRPr="00D77B31" w:rsidRDefault="009205C0" w:rsidP="00335000">
      <w:pPr>
        <w:pStyle w:val="ListParagraph"/>
        <w:numPr>
          <w:ilvl w:val="0"/>
          <w:numId w:val="21"/>
        </w:numPr>
        <w:ind w:left="357" w:hanging="357"/>
        <w:contextualSpacing w:val="0"/>
        <w:rPr>
          <w:rFonts w:cs="Arial"/>
        </w:rPr>
      </w:pPr>
      <w:r w:rsidRPr="00D77B31">
        <w:rPr>
          <w:rFonts w:cs="Arial"/>
        </w:rPr>
        <w:t xml:space="preserve">New Norcia </w:t>
      </w:r>
      <w:r w:rsidR="006F357A" w:rsidRPr="00D77B31">
        <w:rPr>
          <w:rFonts w:cs="Arial"/>
        </w:rPr>
        <w:t>in WA</w:t>
      </w:r>
    </w:p>
    <w:p w14:paraId="632F8A73" w14:textId="79AB5B31" w:rsidR="00E14B35" w:rsidRPr="00D77B31" w:rsidRDefault="009205C0" w:rsidP="00335000">
      <w:pPr>
        <w:pStyle w:val="ListParagraph"/>
        <w:numPr>
          <w:ilvl w:val="0"/>
          <w:numId w:val="21"/>
        </w:numPr>
        <w:ind w:left="357" w:hanging="357"/>
        <w:contextualSpacing w:val="0"/>
        <w:rPr>
          <w:rFonts w:cs="Arial"/>
        </w:rPr>
      </w:pPr>
      <w:r w:rsidRPr="00D77B31">
        <w:rPr>
          <w:rFonts w:cs="Arial"/>
        </w:rPr>
        <w:t xml:space="preserve">Mingenew in WA </w:t>
      </w:r>
    </w:p>
    <w:p w14:paraId="31DF3C90" w14:textId="25630090" w:rsidR="00E14B35" w:rsidRPr="00D77B31" w:rsidRDefault="009205C0" w:rsidP="00335000">
      <w:pPr>
        <w:pStyle w:val="ListParagraph"/>
        <w:numPr>
          <w:ilvl w:val="0"/>
          <w:numId w:val="21"/>
        </w:numPr>
        <w:ind w:left="357" w:hanging="357"/>
        <w:contextualSpacing w:val="0"/>
        <w:rPr>
          <w:rFonts w:cs="Arial"/>
        </w:rPr>
      </w:pPr>
      <w:r w:rsidRPr="00D77B31">
        <w:rPr>
          <w:rFonts w:cs="Arial"/>
        </w:rPr>
        <w:t>HMAS Cerberus in VIC</w:t>
      </w:r>
    </w:p>
    <w:p w14:paraId="5C233189" w14:textId="77777777" w:rsidR="00E14B35" w:rsidRPr="00D77B31" w:rsidRDefault="009205C0" w:rsidP="00335000">
      <w:pPr>
        <w:pStyle w:val="ListParagraph"/>
        <w:numPr>
          <w:ilvl w:val="0"/>
          <w:numId w:val="21"/>
        </w:numPr>
        <w:ind w:left="357" w:hanging="357"/>
        <w:contextualSpacing w:val="0"/>
        <w:rPr>
          <w:rFonts w:cs="Arial"/>
        </w:rPr>
      </w:pPr>
      <w:r w:rsidRPr="00D77B31">
        <w:rPr>
          <w:rFonts w:cs="Arial"/>
        </w:rPr>
        <w:t>Alice Springs in the NT.</w:t>
      </w:r>
    </w:p>
    <w:p w14:paraId="4D302AB6" w14:textId="60969F86" w:rsidR="009205C0" w:rsidRPr="00D77B31" w:rsidRDefault="009205C0" w:rsidP="009205C0">
      <w:pPr>
        <w:rPr>
          <w:rFonts w:cs="Arial"/>
        </w:rPr>
      </w:pPr>
      <w:r w:rsidRPr="00D77B31">
        <w:rPr>
          <w:rFonts w:cs="Arial"/>
        </w:rPr>
        <w:t xml:space="preserve">Geographical coordinates of the </w:t>
      </w:r>
      <w:r w:rsidR="00726125" w:rsidRPr="00D77B31">
        <w:rPr>
          <w:rFonts w:cs="Arial"/>
        </w:rPr>
        <w:t>earth station</w:t>
      </w:r>
      <w:r w:rsidRPr="00D77B31">
        <w:rPr>
          <w:rFonts w:cs="Arial"/>
        </w:rPr>
        <w:t>s are provided in</w:t>
      </w:r>
      <w:r w:rsidR="002F54C6">
        <w:rPr>
          <w:rFonts w:cs="Arial"/>
        </w:rPr>
        <w:t xml:space="preserve"> </w:t>
      </w:r>
      <w:r w:rsidR="002208B4">
        <w:rPr>
          <w:rFonts w:cs="Arial"/>
        </w:rPr>
        <w:fldChar w:fldCharType="begin"/>
      </w:r>
      <w:r w:rsidR="002208B4">
        <w:rPr>
          <w:rFonts w:cs="Arial"/>
        </w:rPr>
        <w:instrText xml:space="preserve"> REF _Ref111710205 \r \h </w:instrText>
      </w:r>
      <w:r w:rsidR="002208B4">
        <w:rPr>
          <w:rFonts w:cs="Arial"/>
        </w:rPr>
      </w:r>
      <w:r w:rsidR="002208B4">
        <w:rPr>
          <w:rFonts w:cs="Arial"/>
        </w:rPr>
        <w:fldChar w:fldCharType="separate"/>
      </w:r>
      <w:r w:rsidR="003F79BE">
        <w:rPr>
          <w:rFonts w:cs="Arial"/>
        </w:rPr>
        <w:t>Table 1</w:t>
      </w:r>
      <w:r w:rsidR="002208B4">
        <w:rPr>
          <w:rFonts w:cs="Arial"/>
        </w:rPr>
        <w:fldChar w:fldCharType="end"/>
      </w:r>
      <w:r w:rsidR="002F54C6">
        <w:rPr>
          <w:rFonts w:cs="Arial"/>
        </w:rPr>
        <w:t xml:space="preserve"> below</w:t>
      </w:r>
      <w:r w:rsidRPr="00D77B31">
        <w:rPr>
          <w:rFonts w:cs="Arial"/>
        </w:rPr>
        <w:t>.</w:t>
      </w:r>
    </w:p>
    <w:p w14:paraId="4BE36F11" w14:textId="2476FD44" w:rsidR="007B11ED" w:rsidRPr="00D77B31" w:rsidRDefault="001D4263" w:rsidP="009205C0">
      <w:pPr>
        <w:pStyle w:val="ACMATableHeader"/>
        <w:rPr>
          <w:rFonts w:cs="Arial"/>
        </w:rPr>
      </w:pPr>
      <w:bookmarkStart w:id="147" w:name="_Ref111710205"/>
      <w:r w:rsidRPr="00D77B31">
        <w:rPr>
          <w:rFonts w:cs="Arial"/>
        </w:rPr>
        <w:t xml:space="preserve">Geographical coordinates of </w:t>
      </w:r>
      <w:r w:rsidR="00726125" w:rsidRPr="00D77B31">
        <w:rPr>
          <w:rFonts w:cs="Arial"/>
        </w:rPr>
        <w:t>earth station</w:t>
      </w:r>
      <w:r w:rsidRPr="00D77B31">
        <w:rPr>
          <w:rFonts w:cs="Arial"/>
        </w:rPr>
        <w:t>s operating in the bands 2025-2110 MHz and 2200-2300 MHz</w:t>
      </w:r>
      <w:bookmarkEnd w:id="147"/>
    </w:p>
    <w:tbl>
      <w:tblPr>
        <w:tblpPr w:leftFromText="180" w:rightFromText="180" w:vertAnchor="text" w:horzAnchor="margin" w:tblpY="119"/>
        <w:tblW w:w="0" w:type="auto"/>
        <w:tblLook w:val="04A0" w:firstRow="1" w:lastRow="0" w:firstColumn="1" w:lastColumn="0" w:noHBand="0" w:noVBand="1"/>
      </w:tblPr>
      <w:tblGrid>
        <w:gridCol w:w="4508"/>
        <w:gridCol w:w="4519"/>
      </w:tblGrid>
      <w:tr w:rsidR="00421F8E" w:rsidRPr="00D77B31" w14:paraId="703F60DE" w14:textId="77777777" w:rsidTr="00421F8E">
        <w:tc>
          <w:tcPr>
            <w:tcW w:w="4621" w:type="dxa"/>
            <w:tcBorders>
              <w:top w:val="single" w:sz="4" w:space="0" w:color="auto"/>
              <w:bottom w:val="single" w:sz="4" w:space="0" w:color="auto"/>
            </w:tcBorders>
            <w:vAlign w:val="center"/>
          </w:tcPr>
          <w:p w14:paraId="6F28CF0B" w14:textId="77777777" w:rsidR="00421F8E" w:rsidRPr="00D77B31" w:rsidRDefault="00421F8E" w:rsidP="00421F8E">
            <w:pPr>
              <w:keepLines/>
              <w:ind w:left="284" w:hanging="284"/>
              <w:jc w:val="center"/>
              <w:rPr>
                <w:rFonts w:cs="Arial"/>
                <w:b/>
                <w:bCs/>
                <w:snapToGrid w:val="0"/>
              </w:rPr>
            </w:pPr>
            <w:r w:rsidRPr="00D77B31">
              <w:rPr>
                <w:rFonts w:cs="Arial"/>
                <w:b/>
                <w:snapToGrid w:val="0"/>
              </w:rPr>
              <w:t>Earth Station</w:t>
            </w:r>
          </w:p>
        </w:tc>
        <w:tc>
          <w:tcPr>
            <w:tcW w:w="4621" w:type="dxa"/>
            <w:tcBorders>
              <w:top w:val="single" w:sz="4" w:space="0" w:color="auto"/>
              <w:bottom w:val="single" w:sz="4" w:space="0" w:color="auto"/>
            </w:tcBorders>
          </w:tcPr>
          <w:p w14:paraId="0B9BBA1B" w14:textId="77777777" w:rsidR="00421F8E" w:rsidRPr="00D77B31" w:rsidRDefault="00421F8E" w:rsidP="00421F8E">
            <w:pPr>
              <w:keepLines/>
              <w:ind w:left="284" w:hanging="284"/>
              <w:jc w:val="center"/>
              <w:rPr>
                <w:rFonts w:cs="Arial"/>
                <w:b/>
                <w:bCs/>
                <w:snapToGrid w:val="0"/>
              </w:rPr>
            </w:pPr>
            <w:r w:rsidRPr="00D77B31">
              <w:rPr>
                <w:rFonts w:cs="Arial"/>
                <w:b/>
              </w:rPr>
              <w:t xml:space="preserve">Geographical coordinates </w:t>
            </w:r>
            <w:r w:rsidRPr="00D77B31">
              <w:rPr>
                <w:rFonts w:cs="Arial"/>
                <w:b/>
              </w:rPr>
              <w:br/>
              <w:t>(latitude, longitude)</w:t>
            </w:r>
            <w:r w:rsidRPr="00D77B31">
              <w:rPr>
                <w:rStyle w:val="FootnoteReference"/>
                <w:rFonts w:cs="Arial"/>
                <w:b/>
              </w:rPr>
              <w:footnoteReference w:id="13"/>
            </w:r>
          </w:p>
        </w:tc>
      </w:tr>
      <w:tr w:rsidR="00421F8E" w:rsidRPr="00D77B31" w14:paraId="181CC3F2" w14:textId="77777777" w:rsidTr="00421F8E">
        <w:tc>
          <w:tcPr>
            <w:tcW w:w="4621" w:type="dxa"/>
            <w:tcBorders>
              <w:top w:val="single" w:sz="4" w:space="0" w:color="auto"/>
            </w:tcBorders>
          </w:tcPr>
          <w:p w14:paraId="4A74144B" w14:textId="17F052AD" w:rsidR="00421F8E" w:rsidRPr="00D77B31" w:rsidRDefault="00421F8E" w:rsidP="00421F8E">
            <w:pPr>
              <w:keepLines/>
              <w:ind w:left="284" w:hanging="284"/>
              <w:rPr>
                <w:rFonts w:cs="Arial"/>
                <w:b/>
                <w:bCs/>
                <w:snapToGrid w:val="0"/>
              </w:rPr>
            </w:pPr>
            <w:r w:rsidRPr="00D77B31">
              <w:rPr>
                <w:rFonts w:cs="Arial"/>
                <w:snapToGrid w:val="0"/>
              </w:rPr>
              <w:t xml:space="preserve">Tidbinbilla </w:t>
            </w:r>
            <w:r w:rsidR="00726125" w:rsidRPr="00D77B31">
              <w:rPr>
                <w:rFonts w:cs="Arial"/>
                <w:snapToGrid w:val="0"/>
              </w:rPr>
              <w:t>earth station</w:t>
            </w:r>
            <w:r w:rsidRPr="00D77B31">
              <w:rPr>
                <w:rFonts w:cs="Arial"/>
                <w:snapToGrid w:val="0"/>
              </w:rPr>
              <w:t xml:space="preserve"> (CDSCC)</w:t>
            </w:r>
          </w:p>
        </w:tc>
        <w:tc>
          <w:tcPr>
            <w:tcW w:w="4621" w:type="dxa"/>
            <w:tcBorders>
              <w:top w:val="single" w:sz="4" w:space="0" w:color="auto"/>
            </w:tcBorders>
            <w:vAlign w:val="center"/>
          </w:tcPr>
          <w:p w14:paraId="623B4D99" w14:textId="2D51103B" w:rsidR="00421F8E" w:rsidRPr="00D77B31" w:rsidRDefault="00D61AD4" w:rsidP="0058195F">
            <w:pPr>
              <w:keepLines/>
              <w:ind w:left="284" w:hanging="284"/>
              <w:jc w:val="center"/>
              <w:rPr>
                <w:rFonts w:cs="Arial"/>
                <w:b/>
                <w:bCs/>
                <w:snapToGrid w:val="0"/>
              </w:rPr>
            </w:pPr>
            <w:r w:rsidRPr="00D77B31">
              <w:rPr>
                <w:rFonts w:cs="Arial"/>
              </w:rPr>
              <w:t>-35.40094</w:t>
            </w:r>
            <w:r w:rsidR="00411BE2" w:rsidRPr="00D77B31">
              <w:rPr>
                <w:rFonts w:cs="Arial"/>
              </w:rPr>
              <w:t>1</w:t>
            </w:r>
            <w:r w:rsidR="00421F8E" w:rsidRPr="00D77B31">
              <w:rPr>
                <w:rFonts w:cs="Arial"/>
              </w:rPr>
              <w:t xml:space="preserve">°, </w:t>
            </w:r>
            <w:r w:rsidRPr="00D77B31">
              <w:rPr>
                <w:rFonts w:cs="Arial"/>
              </w:rPr>
              <w:t>148.982603</w:t>
            </w:r>
            <w:r w:rsidR="00421F8E" w:rsidRPr="00D77B31">
              <w:rPr>
                <w:rFonts w:cs="Arial"/>
              </w:rPr>
              <w:t>°</w:t>
            </w:r>
          </w:p>
        </w:tc>
      </w:tr>
      <w:tr w:rsidR="00421F8E" w:rsidRPr="00D77B31" w14:paraId="03E4DA21" w14:textId="77777777" w:rsidTr="00421F8E">
        <w:tc>
          <w:tcPr>
            <w:tcW w:w="4621" w:type="dxa"/>
          </w:tcPr>
          <w:p w14:paraId="7C406536" w14:textId="1AEABA84" w:rsidR="00421F8E" w:rsidRPr="00D77B31" w:rsidRDefault="00421F8E" w:rsidP="00421F8E">
            <w:pPr>
              <w:keepLines/>
              <w:ind w:left="284" w:hanging="284"/>
              <w:rPr>
                <w:rFonts w:cs="Arial"/>
                <w:b/>
                <w:bCs/>
                <w:snapToGrid w:val="0"/>
              </w:rPr>
            </w:pPr>
            <w:r w:rsidRPr="00D77B31">
              <w:rPr>
                <w:rFonts w:cs="Arial"/>
                <w:snapToGrid w:val="0"/>
              </w:rPr>
              <w:t xml:space="preserve">New Norcia </w:t>
            </w:r>
            <w:r w:rsidR="00726125" w:rsidRPr="00D77B31">
              <w:rPr>
                <w:rFonts w:cs="Arial"/>
                <w:snapToGrid w:val="0"/>
              </w:rPr>
              <w:t>earth station</w:t>
            </w:r>
          </w:p>
        </w:tc>
        <w:tc>
          <w:tcPr>
            <w:tcW w:w="4621" w:type="dxa"/>
            <w:vAlign w:val="center"/>
          </w:tcPr>
          <w:p w14:paraId="4D77B197" w14:textId="4E475A6D" w:rsidR="00421F8E" w:rsidRPr="00D77B31" w:rsidRDefault="00D61AD4" w:rsidP="00421F8E">
            <w:pPr>
              <w:keepLines/>
              <w:ind w:left="284" w:hanging="284"/>
              <w:jc w:val="center"/>
              <w:rPr>
                <w:rFonts w:cs="Arial"/>
                <w:b/>
                <w:bCs/>
              </w:rPr>
            </w:pPr>
            <w:r w:rsidRPr="00D77B31">
              <w:rPr>
                <w:rFonts w:cs="Arial"/>
              </w:rPr>
              <w:t>-31.0482</w:t>
            </w:r>
            <w:r w:rsidR="00411BE2" w:rsidRPr="00D77B31">
              <w:rPr>
                <w:rFonts w:cs="Arial"/>
              </w:rPr>
              <w:t>30</w:t>
            </w:r>
            <w:r w:rsidR="00421F8E" w:rsidRPr="00D77B31">
              <w:rPr>
                <w:rFonts w:cs="Arial"/>
              </w:rPr>
              <w:t xml:space="preserve">°, </w:t>
            </w:r>
            <w:r w:rsidR="00D42717" w:rsidRPr="00D77B31">
              <w:rPr>
                <w:rFonts w:cs="Arial"/>
              </w:rPr>
              <w:t>116.191461</w:t>
            </w:r>
            <w:r w:rsidR="00421F8E" w:rsidRPr="00D77B31">
              <w:rPr>
                <w:rFonts w:cs="Arial"/>
              </w:rPr>
              <w:t>°</w:t>
            </w:r>
          </w:p>
        </w:tc>
      </w:tr>
      <w:tr w:rsidR="00421F8E" w:rsidRPr="00D77B31" w14:paraId="40B34408" w14:textId="77777777" w:rsidTr="00421F8E">
        <w:tc>
          <w:tcPr>
            <w:tcW w:w="4621" w:type="dxa"/>
          </w:tcPr>
          <w:p w14:paraId="7D90E985" w14:textId="7D45758F" w:rsidR="00421F8E" w:rsidRPr="00D77B31" w:rsidRDefault="00421F8E" w:rsidP="00421F8E">
            <w:pPr>
              <w:keepLines/>
              <w:ind w:left="284" w:hanging="284"/>
              <w:rPr>
                <w:rFonts w:cs="Arial"/>
                <w:b/>
                <w:bCs/>
                <w:snapToGrid w:val="0"/>
              </w:rPr>
            </w:pPr>
            <w:r w:rsidRPr="00D77B31">
              <w:rPr>
                <w:rFonts w:cs="Arial"/>
                <w:snapToGrid w:val="0"/>
              </w:rPr>
              <w:t xml:space="preserve">Mingenew </w:t>
            </w:r>
            <w:r w:rsidR="00726125" w:rsidRPr="00D77B31">
              <w:rPr>
                <w:rFonts w:cs="Arial"/>
                <w:snapToGrid w:val="0"/>
              </w:rPr>
              <w:t>earth station</w:t>
            </w:r>
          </w:p>
        </w:tc>
        <w:tc>
          <w:tcPr>
            <w:tcW w:w="4621" w:type="dxa"/>
            <w:vAlign w:val="center"/>
          </w:tcPr>
          <w:p w14:paraId="3B5B82BC" w14:textId="65F6AA24" w:rsidR="00421F8E" w:rsidRPr="00D77B31" w:rsidRDefault="00D42717" w:rsidP="00421F8E">
            <w:pPr>
              <w:keepLines/>
              <w:ind w:left="284" w:hanging="284"/>
              <w:jc w:val="center"/>
              <w:rPr>
                <w:rFonts w:cs="Arial"/>
                <w:b/>
                <w:bCs/>
              </w:rPr>
            </w:pPr>
            <w:r w:rsidRPr="00D77B31">
              <w:rPr>
                <w:rFonts w:cs="Arial"/>
              </w:rPr>
              <w:t>-29.04575</w:t>
            </w:r>
            <w:r w:rsidR="00411BE2" w:rsidRPr="00D77B31">
              <w:rPr>
                <w:rFonts w:cs="Arial"/>
              </w:rPr>
              <w:t>7</w:t>
            </w:r>
            <w:r w:rsidR="00421F8E" w:rsidRPr="00D77B31">
              <w:rPr>
                <w:rFonts w:cs="Arial"/>
              </w:rPr>
              <w:t xml:space="preserve">°, </w:t>
            </w:r>
            <w:r w:rsidR="00196219" w:rsidRPr="00D77B31">
              <w:rPr>
                <w:rFonts w:cs="Arial"/>
              </w:rPr>
              <w:t>115.34861</w:t>
            </w:r>
            <w:r w:rsidR="00411BE2" w:rsidRPr="00D77B31">
              <w:rPr>
                <w:rFonts w:cs="Arial"/>
              </w:rPr>
              <w:t>4</w:t>
            </w:r>
            <w:r w:rsidR="00421F8E" w:rsidRPr="00D77B31">
              <w:rPr>
                <w:rFonts w:cs="Arial"/>
              </w:rPr>
              <w:t>°</w:t>
            </w:r>
          </w:p>
        </w:tc>
      </w:tr>
      <w:tr w:rsidR="00421F8E" w:rsidRPr="00D77B31" w14:paraId="50221ED4" w14:textId="77777777" w:rsidTr="00421F8E">
        <w:tc>
          <w:tcPr>
            <w:tcW w:w="4621" w:type="dxa"/>
          </w:tcPr>
          <w:p w14:paraId="3845C9AA" w14:textId="7FB8C996" w:rsidR="00421F8E" w:rsidRPr="00D77B31" w:rsidRDefault="00421F8E" w:rsidP="00421F8E">
            <w:pPr>
              <w:keepLines/>
              <w:ind w:left="284" w:hanging="284"/>
              <w:rPr>
                <w:rFonts w:cs="Arial"/>
                <w:b/>
                <w:bCs/>
                <w:snapToGrid w:val="0"/>
              </w:rPr>
            </w:pPr>
            <w:r w:rsidRPr="00D77B31">
              <w:rPr>
                <w:rFonts w:cs="Arial"/>
                <w:snapToGrid w:val="0"/>
              </w:rPr>
              <w:t xml:space="preserve">HMAS Cerberus </w:t>
            </w:r>
            <w:r w:rsidR="00726125" w:rsidRPr="00D77B31">
              <w:rPr>
                <w:rFonts w:cs="Arial"/>
                <w:snapToGrid w:val="0"/>
              </w:rPr>
              <w:t>earth station</w:t>
            </w:r>
          </w:p>
        </w:tc>
        <w:tc>
          <w:tcPr>
            <w:tcW w:w="4621" w:type="dxa"/>
            <w:vAlign w:val="center"/>
          </w:tcPr>
          <w:p w14:paraId="685641AB" w14:textId="506FF627" w:rsidR="00421F8E" w:rsidRPr="00D77B31" w:rsidRDefault="00196219" w:rsidP="00421F8E">
            <w:pPr>
              <w:keepLines/>
              <w:ind w:left="284" w:hanging="284"/>
              <w:jc w:val="center"/>
              <w:rPr>
                <w:rFonts w:cs="Arial"/>
                <w:b/>
                <w:bCs/>
                <w:snapToGrid w:val="0"/>
              </w:rPr>
            </w:pPr>
            <w:r w:rsidRPr="00D77B31">
              <w:rPr>
                <w:rFonts w:cs="Arial"/>
              </w:rPr>
              <w:t>-38.3637</w:t>
            </w:r>
            <w:r w:rsidR="00411BE2" w:rsidRPr="00D77B31">
              <w:rPr>
                <w:rFonts w:cs="Arial"/>
              </w:rPr>
              <w:t>80</w:t>
            </w:r>
            <w:r w:rsidR="00421F8E" w:rsidRPr="00D77B31">
              <w:rPr>
                <w:rFonts w:cs="Arial"/>
              </w:rPr>
              <w:t xml:space="preserve">°, </w:t>
            </w:r>
            <w:r w:rsidRPr="00D77B31">
              <w:rPr>
                <w:rFonts w:cs="Arial"/>
              </w:rPr>
              <w:t>145.174351</w:t>
            </w:r>
            <w:r w:rsidR="00421F8E" w:rsidRPr="00D77B31">
              <w:rPr>
                <w:rFonts w:cs="Arial"/>
              </w:rPr>
              <w:t>°</w:t>
            </w:r>
          </w:p>
        </w:tc>
      </w:tr>
      <w:tr w:rsidR="00421F8E" w:rsidRPr="00D77B31" w14:paraId="57D6C3B2" w14:textId="77777777" w:rsidTr="00421F8E">
        <w:tc>
          <w:tcPr>
            <w:tcW w:w="4621" w:type="dxa"/>
          </w:tcPr>
          <w:p w14:paraId="48057F76" w14:textId="64E6F553" w:rsidR="00421F8E" w:rsidRPr="00D77B31" w:rsidRDefault="00421F8E" w:rsidP="00421F8E">
            <w:pPr>
              <w:keepLines/>
              <w:ind w:left="284" w:hanging="284"/>
              <w:rPr>
                <w:rFonts w:cs="Arial"/>
                <w:b/>
                <w:bCs/>
                <w:snapToGrid w:val="0"/>
              </w:rPr>
            </w:pPr>
            <w:r w:rsidRPr="00D77B31">
              <w:rPr>
                <w:rFonts w:cs="Arial"/>
                <w:snapToGrid w:val="0"/>
              </w:rPr>
              <w:t xml:space="preserve">CSIRO </w:t>
            </w:r>
            <w:r w:rsidR="00726125" w:rsidRPr="00D77B31">
              <w:rPr>
                <w:rFonts w:cs="Arial"/>
                <w:snapToGrid w:val="0"/>
              </w:rPr>
              <w:t>earth station</w:t>
            </w:r>
            <w:r w:rsidRPr="00D77B31">
              <w:rPr>
                <w:rFonts w:cs="Arial"/>
                <w:snapToGrid w:val="0"/>
              </w:rPr>
              <w:t xml:space="preserve"> Alice Springs</w:t>
            </w:r>
          </w:p>
        </w:tc>
        <w:tc>
          <w:tcPr>
            <w:tcW w:w="4621" w:type="dxa"/>
            <w:vAlign w:val="center"/>
          </w:tcPr>
          <w:p w14:paraId="15F7A08B" w14:textId="65F538E5" w:rsidR="00421F8E" w:rsidRPr="00D77B31" w:rsidRDefault="00196219" w:rsidP="00421F8E">
            <w:pPr>
              <w:keepLines/>
              <w:ind w:left="284" w:hanging="284"/>
              <w:jc w:val="center"/>
              <w:rPr>
                <w:rFonts w:cs="Arial"/>
                <w:b/>
                <w:bCs/>
                <w:snapToGrid w:val="0"/>
              </w:rPr>
            </w:pPr>
            <w:r w:rsidRPr="00D77B31">
              <w:rPr>
                <w:rFonts w:cs="Arial"/>
              </w:rPr>
              <w:t>-23.759900</w:t>
            </w:r>
            <w:r w:rsidR="00421F8E" w:rsidRPr="00D77B31">
              <w:rPr>
                <w:rFonts w:cs="Arial"/>
              </w:rPr>
              <w:t xml:space="preserve">°, </w:t>
            </w:r>
            <w:r w:rsidR="00D61AD4" w:rsidRPr="00D77B31">
              <w:rPr>
                <w:rFonts w:cs="Arial"/>
              </w:rPr>
              <w:t>133.8823</w:t>
            </w:r>
            <w:r w:rsidR="00411BE2" w:rsidRPr="00D77B31">
              <w:rPr>
                <w:rFonts w:cs="Arial"/>
              </w:rPr>
              <w:t>40</w:t>
            </w:r>
            <w:r w:rsidR="00421F8E" w:rsidRPr="00D77B31">
              <w:rPr>
                <w:rFonts w:cs="Arial"/>
              </w:rPr>
              <w:t>°</w:t>
            </w:r>
          </w:p>
        </w:tc>
      </w:tr>
    </w:tbl>
    <w:p w14:paraId="58ED4FEC" w14:textId="77777777" w:rsidR="00337C4D" w:rsidRPr="00D77B31" w:rsidRDefault="00337C4D">
      <w:pPr>
        <w:rPr>
          <w:rFonts w:cs="Arial"/>
        </w:rPr>
      </w:pPr>
    </w:p>
    <w:p w14:paraId="1C3FE684" w14:textId="54E9FBAC" w:rsidR="00526762" w:rsidRPr="00D77B31" w:rsidRDefault="00EF0194" w:rsidP="00EF0194">
      <w:pPr>
        <w:rPr>
          <w:rFonts w:cs="Arial"/>
        </w:rPr>
      </w:pPr>
      <w:r w:rsidRPr="00D77B31">
        <w:rPr>
          <w:rFonts w:cs="Arial"/>
        </w:rPr>
        <w:t>The operation of TOB in the Perth area</w:t>
      </w:r>
      <w:r w:rsidRPr="00D77B31">
        <w:rPr>
          <w:rStyle w:val="FootnoteReference"/>
          <w:rFonts w:cs="Arial"/>
        </w:rPr>
        <w:footnoteReference w:id="14"/>
      </w:r>
      <w:r w:rsidRPr="00D77B31">
        <w:rPr>
          <w:rFonts w:cs="Arial"/>
        </w:rPr>
        <w:t xml:space="preserve"> is limited by the </w:t>
      </w:r>
      <w:r w:rsidR="002F54C6">
        <w:rPr>
          <w:rFonts w:cs="Arial"/>
        </w:rPr>
        <w:t>t</w:t>
      </w:r>
      <w:r w:rsidRPr="00D77B31">
        <w:rPr>
          <w:rFonts w:cs="Arial"/>
        </w:rPr>
        <w:t xml:space="preserve">reaty between the Government of Australian and the European Space Agency. To satisfy </w:t>
      </w:r>
      <w:r w:rsidR="007D0344" w:rsidRPr="00D77B31">
        <w:rPr>
          <w:rFonts w:cs="Arial"/>
        </w:rPr>
        <w:t>the</w:t>
      </w:r>
      <w:r w:rsidRPr="00D77B31">
        <w:rPr>
          <w:rFonts w:cs="Arial"/>
        </w:rPr>
        <w:t xml:space="preserve"> </w:t>
      </w:r>
      <w:r w:rsidR="002F54C6">
        <w:rPr>
          <w:rFonts w:cs="Arial"/>
        </w:rPr>
        <w:t>t</w:t>
      </w:r>
      <w:r w:rsidRPr="00D77B31">
        <w:rPr>
          <w:rFonts w:cs="Arial"/>
        </w:rPr>
        <w:t>reaty</w:t>
      </w:r>
      <w:r w:rsidR="007D0344" w:rsidRPr="00D77B31">
        <w:rPr>
          <w:rFonts w:cs="Arial"/>
        </w:rPr>
        <w:t>,</w:t>
      </w:r>
      <w:r w:rsidRPr="00D77B31">
        <w:rPr>
          <w:rFonts w:cs="Arial"/>
        </w:rPr>
        <w:t xml:space="preserve"> TOB</w:t>
      </w:r>
      <w:r w:rsidR="007D0344" w:rsidRPr="00D77B31">
        <w:rPr>
          <w:rFonts w:cs="Arial"/>
        </w:rPr>
        <w:t xml:space="preserve"> licensees</w:t>
      </w:r>
      <w:r w:rsidRPr="00D77B31">
        <w:rPr>
          <w:rFonts w:cs="Arial"/>
        </w:rPr>
        <w:t xml:space="preserve"> wishing to operate in the band 2200-2300 MHz </w:t>
      </w:r>
      <w:r w:rsidR="00FB3984" w:rsidRPr="00D77B31">
        <w:rPr>
          <w:rFonts w:cs="Arial"/>
        </w:rPr>
        <w:t>are no longer</w:t>
      </w:r>
      <w:r w:rsidRPr="00D77B31">
        <w:rPr>
          <w:rFonts w:cs="Arial"/>
        </w:rPr>
        <w:t xml:space="preserve"> permitted within 300km of the New Norcia </w:t>
      </w:r>
      <w:r w:rsidRPr="00D77B31">
        <w:rPr>
          <w:rFonts w:cs="Arial"/>
        </w:rPr>
        <w:lastRenderedPageBreak/>
        <w:t xml:space="preserve">earth stations. </w:t>
      </w:r>
      <w:r w:rsidR="00FB3984" w:rsidRPr="00D77B31">
        <w:rPr>
          <w:rFonts w:cs="Arial"/>
        </w:rPr>
        <w:t>Since</w:t>
      </w:r>
      <w:r w:rsidR="00920076" w:rsidRPr="00D77B31">
        <w:rPr>
          <w:rFonts w:cs="Arial"/>
        </w:rPr>
        <w:t xml:space="preserve"> 1 January 2016 ESA operations </w:t>
      </w:r>
      <w:r w:rsidR="00FB3984" w:rsidRPr="00D77B31">
        <w:rPr>
          <w:rFonts w:cs="Arial"/>
        </w:rPr>
        <w:t>have been</w:t>
      </w:r>
      <w:r w:rsidR="00920076" w:rsidRPr="00D77B31">
        <w:rPr>
          <w:rFonts w:cs="Arial"/>
        </w:rPr>
        <w:t xml:space="preserve"> limited to the bands 2215-2230 MHz and 2290-2300 MHz in the Perth area, in which TOB will not be permitted to operate</w:t>
      </w:r>
      <w:r w:rsidRPr="00D77B31">
        <w:rPr>
          <w:rFonts w:cs="Arial"/>
        </w:rPr>
        <w:t>.</w:t>
      </w:r>
    </w:p>
    <w:p w14:paraId="5A7B05E8" w14:textId="0F068354" w:rsidR="00526762" w:rsidRPr="00D77B31" w:rsidRDefault="001263B6" w:rsidP="0078180B">
      <w:pPr>
        <w:keepNext/>
        <w:keepLines/>
        <w:rPr>
          <w:rFonts w:cs="Arial"/>
        </w:rPr>
      </w:pPr>
      <w:r w:rsidRPr="00D77B31">
        <w:rPr>
          <w:rFonts w:cs="Arial"/>
        </w:rPr>
        <w:t>The</w:t>
      </w:r>
      <w:r w:rsidR="00526762" w:rsidRPr="00D77B31">
        <w:rPr>
          <w:rFonts w:cs="Arial"/>
        </w:rPr>
        <w:t xml:space="preserve"> European Space Agency may occasionally request access to the remainder of these bands for short duration activities, such as launcher tracking and Launch and Early Orbit </w:t>
      </w:r>
      <w:r w:rsidR="0043655A" w:rsidRPr="00D77B31">
        <w:rPr>
          <w:rFonts w:cs="Arial"/>
        </w:rPr>
        <w:t xml:space="preserve">Phase </w:t>
      </w:r>
      <w:r w:rsidR="00526762" w:rsidRPr="00D77B31">
        <w:rPr>
          <w:rFonts w:cs="Arial"/>
        </w:rPr>
        <w:t>(LEOP) support</w:t>
      </w:r>
      <w:r w:rsidR="00526762" w:rsidRPr="00D77B31">
        <w:rPr>
          <w:rStyle w:val="FootnoteReference"/>
          <w:rFonts w:cs="Arial"/>
        </w:rPr>
        <w:footnoteReference w:id="15"/>
      </w:r>
      <w:r w:rsidR="00E30E8E" w:rsidRPr="00D77B31">
        <w:rPr>
          <w:rFonts w:cs="Arial"/>
        </w:rPr>
        <w:t xml:space="preserve">. </w:t>
      </w:r>
      <w:r w:rsidR="00526762" w:rsidRPr="00D77B31">
        <w:rPr>
          <w:rFonts w:cs="Arial"/>
          <w:szCs w:val="22"/>
          <w:lang w:eastAsia="en-US"/>
        </w:rPr>
        <w:t xml:space="preserve">Spectrum coordination arrangements for such accesses and the procedures </w:t>
      </w:r>
      <w:r w:rsidR="00526762" w:rsidRPr="00D77B31">
        <w:rPr>
          <w:rFonts w:cs="Arial"/>
        </w:rPr>
        <w:t xml:space="preserve">by which such request are to be made are contained in the document “Spectrum coordination arrangements” which is available on the ACMA website </w:t>
      </w:r>
      <w:r w:rsidR="00E1166D" w:rsidRPr="00D77B31">
        <w:rPr>
          <w:rFonts w:cs="Arial"/>
        </w:rPr>
        <w:t xml:space="preserve">at the </w:t>
      </w:r>
      <w:hyperlink r:id="rId37" w:history="1">
        <w:r w:rsidR="00CB0F59" w:rsidRPr="00D77B31">
          <w:rPr>
            <w:rStyle w:val="Hyperlink"/>
            <w:rFonts w:cs="Arial"/>
          </w:rPr>
          <w:t>RALI FX21</w:t>
        </w:r>
      </w:hyperlink>
      <w:r w:rsidR="00E1166D" w:rsidRPr="00D77B31">
        <w:rPr>
          <w:rStyle w:val="Hyperlink"/>
          <w:rFonts w:cs="Arial"/>
        </w:rPr>
        <w:t xml:space="preserve"> page</w:t>
      </w:r>
      <w:r w:rsidR="00526762" w:rsidRPr="00D77B31">
        <w:rPr>
          <w:rFonts w:cs="Arial"/>
        </w:rPr>
        <w:t xml:space="preserve">. All licensing, to support Launcher and LEOP activities will be in accordance with this agreement. TOB licensees are encouraged to consider such coordination requests and support where possible. </w:t>
      </w:r>
    </w:p>
    <w:p w14:paraId="3C9E78B6" w14:textId="77777777" w:rsidR="00E01113" w:rsidRPr="00D77B31" w:rsidRDefault="00EA52E3">
      <w:pPr>
        <w:pStyle w:val="Heading3"/>
      </w:pPr>
      <w:bookmarkStart w:id="148" w:name="_Toc111710867"/>
      <w:r w:rsidRPr="00D77B31">
        <w:t>TOB operating in 2010-2110 MHz</w:t>
      </w:r>
      <w:bookmarkEnd w:id="148"/>
    </w:p>
    <w:p w14:paraId="2689B962" w14:textId="280FCCC6" w:rsidR="00EA52E3" w:rsidRPr="00D77B31" w:rsidRDefault="00EA52E3" w:rsidP="00EA52E3">
      <w:pPr>
        <w:rPr>
          <w:rFonts w:cs="Arial"/>
        </w:rPr>
      </w:pPr>
      <w:r w:rsidRPr="00D77B31">
        <w:rPr>
          <w:rFonts w:cs="Arial"/>
        </w:rPr>
        <w:t>Due to the CSIRO Earth Station in Alice Springs receiving in this band, high power TOB transmitters (</w:t>
      </w:r>
      <w:r w:rsidR="001D4263" w:rsidRPr="00D77B31">
        <w:rPr>
          <w:rFonts w:cs="Arial"/>
        </w:rPr>
        <w:t>that is,</w:t>
      </w:r>
      <w:r w:rsidRPr="00D77B31">
        <w:rPr>
          <w:rFonts w:cs="Arial"/>
        </w:rPr>
        <w:t> TOB vans) (</w:t>
      </w:r>
      <w:proofErr w:type="spellStart"/>
      <w:r w:rsidRPr="00D77B31">
        <w:rPr>
          <w:rFonts w:cs="Arial"/>
        </w:rPr>
        <w:t>e.i.r.p</w:t>
      </w:r>
      <w:proofErr w:type="spellEnd"/>
      <w:r w:rsidRPr="00D77B31">
        <w:rPr>
          <w:rFonts w:cs="Arial"/>
        </w:rPr>
        <w:t xml:space="preserve">&gt; 26 dBm/8 MHz, height &gt; 2m) must not operate within 150 km of the </w:t>
      </w:r>
      <w:r w:rsidR="00726125" w:rsidRPr="00D77B31">
        <w:rPr>
          <w:rFonts w:cs="Arial"/>
        </w:rPr>
        <w:t>earth station</w:t>
      </w:r>
      <w:r w:rsidRPr="00D77B31">
        <w:rPr>
          <w:rFonts w:cs="Arial"/>
        </w:rPr>
        <w:t xml:space="preserve"> in the band 2103.406-2109.406 MHz</w:t>
      </w:r>
      <w:r w:rsidR="00E30E8E" w:rsidRPr="00D77B31">
        <w:rPr>
          <w:rFonts w:cs="Arial"/>
        </w:rPr>
        <w:t xml:space="preserve">. </w:t>
      </w:r>
      <w:r w:rsidRPr="00D77B31">
        <w:rPr>
          <w:rFonts w:cs="Arial"/>
        </w:rPr>
        <w:t>Low power TOB (</w:t>
      </w:r>
      <w:r w:rsidR="001D4263" w:rsidRPr="00D77B31">
        <w:rPr>
          <w:rFonts w:cs="Arial"/>
        </w:rPr>
        <w:t>that is,</w:t>
      </w:r>
      <w:r w:rsidRPr="00D77B31">
        <w:rPr>
          <w:rFonts w:cs="Arial"/>
        </w:rPr>
        <w:t xml:space="preserve"> wireless cameras) (</w:t>
      </w:r>
      <w:proofErr w:type="spellStart"/>
      <w:r w:rsidRPr="00D77B31">
        <w:rPr>
          <w:rFonts w:cs="Arial"/>
        </w:rPr>
        <w:t>e.i.r.p</w:t>
      </w:r>
      <w:proofErr w:type="spellEnd"/>
      <w:r w:rsidRPr="00D77B31">
        <w:rPr>
          <w:rFonts w:cs="Arial"/>
          <w:vertAlign w:val="subscript"/>
        </w:rPr>
        <w:t xml:space="preserve"> </w:t>
      </w:r>
      <w:r w:rsidRPr="00D77B31">
        <w:rPr>
          <w:rFonts w:cs="Arial"/>
        </w:rPr>
        <w:t xml:space="preserve">≤ 26 dBm/8 MHz, height ≤ 2m) must not operate within 50 km of the Alice Springs </w:t>
      </w:r>
      <w:r w:rsidR="00726125" w:rsidRPr="00D77B31">
        <w:rPr>
          <w:rFonts w:cs="Arial"/>
        </w:rPr>
        <w:t>earth station</w:t>
      </w:r>
      <w:r w:rsidRPr="00D77B31">
        <w:rPr>
          <w:rFonts w:cs="Arial"/>
        </w:rPr>
        <w:t xml:space="preserve"> in the band 2103.406-2109.406 MHz.</w:t>
      </w:r>
    </w:p>
    <w:p w14:paraId="0C99A139" w14:textId="77777777" w:rsidR="009C2D65" w:rsidRPr="00D77B31" w:rsidRDefault="009C2D65" w:rsidP="00163C87">
      <w:pPr>
        <w:pStyle w:val="Heading3"/>
      </w:pPr>
      <w:bookmarkStart w:id="149" w:name="_Toc380391930"/>
      <w:bookmarkStart w:id="150" w:name="_Toc380417057"/>
      <w:bookmarkStart w:id="151" w:name="_Toc111710868"/>
      <w:bookmarkEnd w:id="149"/>
      <w:bookmarkEnd w:id="150"/>
      <w:r w:rsidRPr="00D77B31">
        <w:t>TOB operating in 2170-2200 MHz</w:t>
      </w:r>
      <w:bookmarkEnd w:id="151"/>
    </w:p>
    <w:p w14:paraId="7CCAB928" w14:textId="1724475E" w:rsidR="004364A9" w:rsidRPr="00D77B31" w:rsidRDefault="009C2D65" w:rsidP="009C2D65">
      <w:pPr>
        <w:rPr>
          <w:rFonts w:cs="Arial"/>
        </w:rPr>
      </w:pPr>
      <w:r w:rsidRPr="00D77B31">
        <w:rPr>
          <w:rFonts w:cs="Arial"/>
        </w:rPr>
        <w:t>Due to the sensitivity of Space Research (space-to-Earth) service</w:t>
      </w:r>
      <w:r w:rsidR="00E07C24" w:rsidRPr="00D77B31">
        <w:rPr>
          <w:rFonts w:cs="Arial"/>
        </w:rPr>
        <w:t>,</w:t>
      </w:r>
      <w:r w:rsidRPr="00D77B31">
        <w:rPr>
          <w:rFonts w:cs="Arial"/>
        </w:rPr>
        <w:t xml:space="preserve"> Space Operation (space-to-Earth) </w:t>
      </w:r>
      <w:r w:rsidR="00E07C24" w:rsidRPr="00D77B31">
        <w:rPr>
          <w:rFonts w:cs="Arial"/>
        </w:rPr>
        <w:t>and Earth Exploration-Satellite (space-to-Earth)</w:t>
      </w:r>
      <w:r w:rsidR="00726125" w:rsidRPr="00D77B31">
        <w:rPr>
          <w:rFonts w:cs="Arial"/>
        </w:rPr>
        <w:t>,</w:t>
      </w:r>
      <w:r w:rsidR="00E07C24" w:rsidRPr="00D77B31">
        <w:rPr>
          <w:rFonts w:cs="Arial"/>
        </w:rPr>
        <w:t xml:space="preserve"> </w:t>
      </w:r>
      <w:r w:rsidR="00726125" w:rsidRPr="00D77B31">
        <w:rPr>
          <w:rFonts w:cs="Arial"/>
        </w:rPr>
        <w:t>earth station</w:t>
      </w:r>
      <w:r w:rsidRPr="00D77B31">
        <w:rPr>
          <w:rFonts w:cs="Arial"/>
        </w:rPr>
        <w:t>s operating in the adjacent band 2200-2300 MHz a minimum separation distance of 100 km is required between TOB transmitters operating in the band 2175-2200 MHz and</w:t>
      </w:r>
      <w:r w:rsidR="004364A9" w:rsidRPr="00D77B31">
        <w:rPr>
          <w:rFonts w:cs="Arial"/>
        </w:rPr>
        <w:t xml:space="preserve"> New Norcia, Mingenew and Tidbinbilla</w:t>
      </w:r>
      <w:r w:rsidRPr="00D77B31">
        <w:rPr>
          <w:rFonts w:cs="Arial"/>
        </w:rPr>
        <w:t xml:space="preserve"> Space Research (space-to-Earth) and Space Operation (space-to-Earth) earth stations operating in the band 2200-2300 MHz.</w:t>
      </w:r>
    </w:p>
    <w:p w14:paraId="6ED70CCD" w14:textId="77777777" w:rsidR="009C2D65" w:rsidRPr="00D77B31" w:rsidRDefault="004364A9" w:rsidP="009C2D65">
      <w:pPr>
        <w:rPr>
          <w:rFonts w:cs="Arial"/>
        </w:rPr>
      </w:pPr>
      <w:r w:rsidRPr="00D77B31">
        <w:rPr>
          <w:rFonts w:cs="Arial"/>
        </w:rPr>
        <w:t>After 1 January 2016</w:t>
      </w:r>
      <w:r w:rsidR="009C2D65" w:rsidRPr="00D77B31">
        <w:rPr>
          <w:rFonts w:cs="Arial"/>
        </w:rPr>
        <w:t xml:space="preserve"> </w:t>
      </w:r>
      <w:r w:rsidRPr="00D77B31">
        <w:rPr>
          <w:rFonts w:cs="Arial"/>
        </w:rPr>
        <w:t>this requirement will be limited to Mingenew</w:t>
      </w:r>
      <w:r w:rsidR="00E07C24" w:rsidRPr="00D77B31">
        <w:rPr>
          <w:rFonts w:cs="Arial"/>
        </w:rPr>
        <w:t>, New Norcia</w:t>
      </w:r>
      <w:r w:rsidRPr="00D77B31">
        <w:rPr>
          <w:rFonts w:cs="Arial"/>
        </w:rPr>
        <w:t xml:space="preserve"> and Tidbinbilla earth stations only.</w:t>
      </w:r>
    </w:p>
    <w:p w14:paraId="4B1305EA" w14:textId="77777777" w:rsidR="009205C0" w:rsidRPr="00D77B31" w:rsidRDefault="009205C0" w:rsidP="00163C87">
      <w:pPr>
        <w:pStyle w:val="Heading3"/>
      </w:pPr>
      <w:bookmarkStart w:id="152" w:name="_Toc380391932"/>
      <w:bookmarkStart w:id="153" w:name="_Toc380417059"/>
      <w:bookmarkStart w:id="154" w:name="_Toc368045556"/>
      <w:bookmarkStart w:id="155" w:name="_Toc111710869"/>
      <w:bookmarkEnd w:id="152"/>
      <w:bookmarkEnd w:id="153"/>
      <w:r w:rsidRPr="00D77B31">
        <w:t>Operation of TOB in the band 2200-2300 MHz (space-to-Earth)</w:t>
      </w:r>
      <w:bookmarkEnd w:id="154"/>
      <w:bookmarkEnd w:id="155"/>
    </w:p>
    <w:p w14:paraId="33D6BC26" w14:textId="5BB7B30F" w:rsidR="009205C0" w:rsidRPr="00D77B31" w:rsidRDefault="009205C0" w:rsidP="009205C0">
      <w:pPr>
        <w:rPr>
          <w:rFonts w:cs="Arial"/>
        </w:rPr>
      </w:pPr>
      <w:r w:rsidRPr="00D77B31">
        <w:rPr>
          <w:rFonts w:cs="Arial"/>
        </w:rPr>
        <w:t>The 2200-2300 MHz</w:t>
      </w:r>
      <w:r w:rsidR="00920D39" w:rsidRPr="00D77B31">
        <w:rPr>
          <w:rStyle w:val="FootnoteReference"/>
          <w:rFonts w:cs="Arial"/>
        </w:rPr>
        <w:footnoteReference w:id="16"/>
      </w:r>
      <w:r w:rsidRPr="00D77B31">
        <w:rPr>
          <w:rFonts w:cs="Arial"/>
        </w:rPr>
        <w:t xml:space="preserve"> band is allocated to </w:t>
      </w:r>
      <w:r w:rsidR="00DB714F" w:rsidRPr="00D77B31">
        <w:rPr>
          <w:rFonts w:cs="Arial"/>
        </w:rPr>
        <w:t xml:space="preserve">the </w:t>
      </w:r>
      <w:r w:rsidRPr="00D77B31">
        <w:rPr>
          <w:rFonts w:cs="Arial"/>
        </w:rPr>
        <w:t>Space Research (space-to-Earth)</w:t>
      </w:r>
      <w:r w:rsidR="00E07C24" w:rsidRPr="00D77B31">
        <w:rPr>
          <w:rFonts w:cs="Arial"/>
        </w:rPr>
        <w:t>,</w:t>
      </w:r>
      <w:r w:rsidRPr="00D77B31">
        <w:rPr>
          <w:rFonts w:cs="Arial"/>
        </w:rPr>
        <w:t xml:space="preserve"> Space Operation (space-to-Earth) </w:t>
      </w:r>
      <w:r w:rsidR="00E07C24" w:rsidRPr="00D77B31">
        <w:rPr>
          <w:rFonts w:cs="Arial"/>
        </w:rPr>
        <w:t xml:space="preserve">and Earth Exploration-Satellite (space-to-Earth) </w:t>
      </w:r>
      <w:r w:rsidRPr="00D77B31">
        <w:rPr>
          <w:rFonts w:cs="Arial"/>
        </w:rPr>
        <w:t>service</w:t>
      </w:r>
      <w:r w:rsidR="00DB714F" w:rsidRPr="00D77B31">
        <w:rPr>
          <w:rFonts w:cs="Arial"/>
        </w:rPr>
        <w:t>s</w:t>
      </w:r>
      <w:r w:rsidRPr="00D77B31">
        <w:rPr>
          <w:rFonts w:cs="Arial"/>
        </w:rPr>
        <w:t xml:space="preserve"> on a </w:t>
      </w:r>
      <w:r w:rsidR="007C093F" w:rsidRPr="00D77B31">
        <w:rPr>
          <w:rFonts w:cs="Arial"/>
        </w:rPr>
        <w:t xml:space="preserve">Primary </w:t>
      </w:r>
      <w:r w:rsidRPr="00D77B31">
        <w:rPr>
          <w:rFonts w:cs="Arial"/>
        </w:rPr>
        <w:t>basis</w:t>
      </w:r>
      <w:r w:rsidR="00E30E8E" w:rsidRPr="00D77B31">
        <w:rPr>
          <w:rFonts w:cs="Arial"/>
        </w:rPr>
        <w:t xml:space="preserve">. </w:t>
      </w:r>
      <w:r w:rsidRPr="00D77B31">
        <w:rPr>
          <w:rFonts w:cs="Arial"/>
        </w:rPr>
        <w:t>TOB operation</w:t>
      </w:r>
      <w:r w:rsidR="007C093F" w:rsidRPr="00D77B31">
        <w:rPr>
          <w:rFonts w:cs="Arial"/>
        </w:rPr>
        <w:t>s</w:t>
      </w:r>
      <w:r w:rsidRPr="00D77B31">
        <w:rPr>
          <w:rFonts w:cs="Arial"/>
        </w:rPr>
        <w:t xml:space="preserve"> in this band shall not cause interference into </w:t>
      </w:r>
      <w:r w:rsidR="00726125" w:rsidRPr="00D77B31">
        <w:rPr>
          <w:rFonts w:cs="Arial"/>
        </w:rPr>
        <w:t>earth station</w:t>
      </w:r>
      <w:r w:rsidRPr="00D77B31">
        <w:rPr>
          <w:rFonts w:cs="Arial"/>
        </w:rPr>
        <w:t xml:space="preserve"> receivers.</w:t>
      </w:r>
    </w:p>
    <w:p w14:paraId="2F1DE6D1" w14:textId="5C256EA2" w:rsidR="009205C0" w:rsidRPr="00D77B31" w:rsidRDefault="009205C0" w:rsidP="009205C0">
      <w:pPr>
        <w:rPr>
          <w:rFonts w:cs="Arial"/>
        </w:rPr>
      </w:pPr>
      <w:r w:rsidRPr="00D77B31">
        <w:rPr>
          <w:rFonts w:cs="Arial"/>
        </w:rPr>
        <w:t xml:space="preserve">TOB </w:t>
      </w:r>
      <w:r w:rsidR="00B250D6" w:rsidRPr="00D77B31">
        <w:rPr>
          <w:rFonts w:cs="Arial"/>
        </w:rPr>
        <w:t>transmitters</w:t>
      </w:r>
      <w:r w:rsidRPr="00D77B31">
        <w:rPr>
          <w:rFonts w:cs="Arial"/>
        </w:rPr>
        <w:t xml:space="preserve"> wishing to operate in the band 2200-2300 MHz must consult the relevant section(s) of </w:t>
      </w:r>
      <w:r w:rsidRPr="00CD5A38">
        <w:rPr>
          <w:rFonts w:cs="Arial"/>
          <w:bCs/>
        </w:rPr>
        <w:t>Appendix C</w:t>
      </w:r>
      <w:r w:rsidRPr="00D77B31">
        <w:rPr>
          <w:rFonts w:cs="Arial"/>
        </w:rPr>
        <w:t xml:space="preserve"> of this RALI</w:t>
      </w:r>
      <w:r w:rsidR="00E30E8E" w:rsidRPr="00D77B31">
        <w:rPr>
          <w:rFonts w:cs="Arial"/>
        </w:rPr>
        <w:t xml:space="preserve">. </w:t>
      </w:r>
      <w:r w:rsidRPr="00D77B31">
        <w:rPr>
          <w:rFonts w:cs="Arial"/>
        </w:rPr>
        <w:t xml:space="preserve">If </w:t>
      </w:r>
      <w:r w:rsidR="00B250D6" w:rsidRPr="00D77B31">
        <w:rPr>
          <w:rFonts w:cs="Arial"/>
        </w:rPr>
        <w:t xml:space="preserve">the operation of a </w:t>
      </w:r>
      <w:r w:rsidRPr="00D77B31">
        <w:rPr>
          <w:rFonts w:cs="Arial"/>
        </w:rPr>
        <w:t xml:space="preserve">TOB </w:t>
      </w:r>
      <w:r w:rsidR="00B250D6" w:rsidRPr="00D77B31">
        <w:rPr>
          <w:rFonts w:cs="Arial"/>
        </w:rPr>
        <w:t>transmitter</w:t>
      </w:r>
      <w:r w:rsidRPr="00D77B31">
        <w:rPr>
          <w:rFonts w:cs="Arial"/>
        </w:rPr>
        <w:t xml:space="preserve"> falls outside of the areas described in Appendix C of this RALI</w:t>
      </w:r>
      <w:r w:rsidR="00CD0CC4" w:rsidRPr="00D77B31">
        <w:rPr>
          <w:rFonts w:cs="Arial"/>
        </w:rPr>
        <w:t>,</w:t>
      </w:r>
      <w:r w:rsidRPr="00D77B31">
        <w:rPr>
          <w:rFonts w:cs="Arial"/>
        </w:rPr>
        <w:t xml:space="preserve"> coordination with </w:t>
      </w:r>
      <w:r w:rsidR="007C093F" w:rsidRPr="00D77B31">
        <w:rPr>
          <w:rFonts w:cs="Arial"/>
        </w:rPr>
        <w:t>Space Research (space-to-Earth)</w:t>
      </w:r>
      <w:r w:rsidR="00E07C24" w:rsidRPr="00D77B31">
        <w:rPr>
          <w:rFonts w:cs="Arial"/>
        </w:rPr>
        <w:t>,</w:t>
      </w:r>
      <w:r w:rsidR="007C093F" w:rsidRPr="00D77B31">
        <w:rPr>
          <w:rFonts w:cs="Arial"/>
        </w:rPr>
        <w:t xml:space="preserve"> Space Operation (space-to-Earth) </w:t>
      </w:r>
      <w:r w:rsidR="00E07C24" w:rsidRPr="00D77B31">
        <w:rPr>
          <w:rFonts w:cs="Arial"/>
        </w:rPr>
        <w:t>and Earth Exploration-Satellite (space-to-Earth)</w:t>
      </w:r>
      <w:r w:rsidR="000B6801" w:rsidRPr="00D77B31">
        <w:rPr>
          <w:rFonts w:cs="Arial"/>
        </w:rPr>
        <w:t xml:space="preserve"> service</w:t>
      </w:r>
      <w:r w:rsidR="00E07C24" w:rsidRPr="00D77B31">
        <w:rPr>
          <w:rFonts w:cs="Arial"/>
        </w:rPr>
        <w:t xml:space="preserve"> </w:t>
      </w:r>
      <w:r w:rsidR="00726125" w:rsidRPr="00D77B31">
        <w:rPr>
          <w:rFonts w:cs="Arial"/>
        </w:rPr>
        <w:t>earth station</w:t>
      </w:r>
      <w:r w:rsidRPr="00D77B31">
        <w:rPr>
          <w:rFonts w:cs="Arial"/>
        </w:rPr>
        <w:t>s is not required.</w:t>
      </w:r>
    </w:p>
    <w:p w14:paraId="292CAFA7" w14:textId="6CF02771" w:rsidR="009205C0" w:rsidRPr="00D77B31" w:rsidRDefault="009205C0" w:rsidP="009318BA">
      <w:pPr>
        <w:pStyle w:val="Heading2"/>
      </w:pPr>
      <w:bookmarkStart w:id="156" w:name="_Toc380391934"/>
      <w:bookmarkStart w:id="157" w:name="_Toc380417061"/>
      <w:bookmarkStart w:id="158" w:name="_Toc368045418"/>
      <w:bookmarkStart w:id="159" w:name="_Toc368045470"/>
      <w:bookmarkStart w:id="160" w:name="_Toc368045513"/>
      <w:bookmarkStart w:id="161" w:name="_Toc368045557"/>
      <w:bookmarkStart w:id="162" w:name="_Toc368045558"/>
      <w:bookmarkStart w:id="163" w:name="_Toc111710870"/>
      <w:bookmarkEnd w:id="156"/>
      <w:bookmarkEnd w:id="157"/>
      <w:bookmarkEnd w:id="158"/>
      <w:bookmarkEnd w:id="159"/>
      <w:bookmarkEnd w:id="160"/>
      <w:bookmarkEnd w:id="161"/>
      <w:r w:rsidRPr="00D77B31">
        <w:lastRenderedPageBreak/>
        <w:t>Mid-West Radio Quiet Zone</w:t>
      </w:r>
      <w:bookmarkEnd w:id="162"/>
      <w:bookmarkEnd w:id="163"/>
    </w:p>
    <w:p w14:paraId="325B5756" w14:textId="77777777" w:rsidR="00226A5B" w:rsidRPr="00D77B31" w:rsidRDefault="009205C0" w:rsidP="009205C0">
      <w:pPr>
        <w:rPr>
          <w:rFonts w:cs="Arial"/>
        </w:rPr>
      </w:pPr>
      <w:r w:rsidRPr="00D77B31">
        <w:rPr>
          <w:rFonts w:cs="Arial"/>
        </w:rPr>
        <w:t>TOB transmitter</w:t>
      </w:r>
      <w:r w:rsidR="007C093F" w:rsidRPr="00D77B31">
        <w:rPr>
          <w:rFonts w:cs="Arial"/>
        </w:rPr>
        <w:t>s</w:t>
      </w:r>
      <w:r w:rsidRPr="00D77B31">
        <w:rPr>
          <w:rFonts w:cs="Arial"/>
        </w:rPr>
        <w:t xml:space="preserve"> must not operate within 150 km of the Mid-West Radio Quiet Zone (RQZ) as defined by the </w:t>
      </w:r>
      <w:r w:rsidRPr="00D77B31">
        <w:rPr>
          <w:rFonts w:cs="Arial"/>
          <w:i/>
        </w:rPr>
        <w:t>Radiocommunications (Mid</w:t>
      </w:r>
      <w:r w:rsidRPr="00D77B31">
        <w:rPr>
          <w:rFonts w:cs="Arial"/>
          <w:i/>
        </w:rPr>
        <w:noBreakHyphen/>
        <w:t>West Radio Quiet Zone) Frequency Band Plan 2011</w:t>
      </w:r>
      <w:r w:rsidRPr="00D77B31">
        <w:rPr>
          <w:rStyle w:val="FootnoteReference"/>
          <w:rFonts w:cs="Arial"/>
          <w:i/>
        </w:rPr>
        <w:footnoteReference w:id="17"/>
      </w:r>
      <w:r w:rsidRPr="00D77B31">
        <w:rPr>
          <w:rFonts w:cs="Arial"/>
        </w:rPr>
        <w:t>.</w:t>
      </w:r>
    </w:p>
    <w:p w14:paraId="00B3FA5D" w14:textId="77777777" w:rsidR="00437815" w:rsidRPr="00D77B31" w:rsidRDefault="00437815">
      <w:pPr>
        <w:rPr>
          <w:rFonts w:cs="Arial"/>
          <w:b/>
          <w:sz w:val="28"/>
        </w:rPr>
      </w:pPr>
      <w:bookmarkStart w:id="164" w:name="_Toc380391936"/>
      <w:bookmarkStart w:id="165" w:name="_Toc380417063"/>
      <w:bookmarkEnd w:id="164"/>
      <w:bookmarkEnd w:id="165"/>
      <w:r w:rsidRPr="00D77B31">
        <w:rPr>
          <w:rFonts w:cs="Arial"/>
        </w:rPr>
        <w:br w:type="page"/>
      </w:r>
    </w:p>
    <w:p w14:paraId="75324486" w14:textId="2EBEABB2" w:rsidR="00226A5B" w:rsidRPr="00D77B31" w:rsidRDefault="00226A5B" w:rsidP="009318BA">
      <w:pPr>
        <w:pStyle w:val="Heading2"/>
      </w:pPr>
      <w:bookmarkStart w:id="166" w:name="_Toc111710871"/>
      <w:r w:rsidRPr="00D77B31">
        <w:lastRenderedPageBreak/>
        <w:t xml:space="preserve">Radio </w:t>
      </w:r>
      <w:r w:rsidR="00063A65" w:rsidRPr="00D77B31">
        <w:t>a</w:t>
      </w:r>
      <w:r w:rsidRPr="00D77B31">
        <w:t>stronomy</w:t>
      </w:r>
      <w:bookmarkEnd w:id="166"/>
    </w:p>
    <w:p w14:paraId="247BB10F" w14:textId="77777777" w:rsidR="00226A5B" w:rsidRPr="00D77B31" w:rsidRDefault="00226A5B" w:rsidP="009205C0">
      <w:pPr>
        <w:rPr>
          <w:rFonts w:cs="Arial"/>
        </w:rPr>
      </w:pPr>
      <w:r w:rsidRPr="00D77B31">
        <w:rPr>
          <w:rFonts w:cs="Arial"/>
        </w:rPr>
        <w:t>The ACMA has established "Radio Sensitive Zones" around key Australian radio astronomy facilities, to provide the operators of the facilities the opportunity to seek better outcomes for radio astronomy when new radio transmitters are planned to be installed near these facilities.</w:t>
      </w:r>
    </w:p>
    <w:p w14:paraId="384440FA" w14:textId="4CE7CFED" w:rsidR="00745CD8" w:rsidRPr="00D77B31" w:rsidRDefault="00745CD8" w:rsidP="00745CD8">
      <w:pPr>
        <w:rPr>
          <w:rFonts w:cs="Arial"/>
        </w:rPr>
      </w:pPr>
      <w:r w:rsidRPr="00D77B31">
        <w:rPr>
          <w:rFonts w:cs="Arial"/>
        </w:rPr>
        <w:t xml:space="preserve">These radio sensitive zones and notification procedures are defined in RALI MS31 </w:t>
      </w:r>
      <w:hyperlink r:id="rId38" w:history="1">
        <w:r w:rsidRPr="00D77B31">
          <w:rPr>
            <w:rStyle w:val="Hyperlink"/>
            <w:rFonts w:cs="Arial"/>
            <w:i/>
          </w:rPr>
          <w:t>Notification Zones for Apparatus Licensed Services Around Radio Astronomy Facilities</w:t>
        </w:r>
      </w:hyperlink>
      <w:r w:rsidRPr="00D77B31">
        <w:rPr>
          <w:rFonts w:cs="Arial"/>
        </w:rPr>
        <w:t xml:space="preserve"> and cover the frequency </w:t>
      </w:r>
      <w:r w:rsidR="003D6E1D" w:rsidRPr="00D77B31">
        <w:rPr>
          <w:rFonts w:cs="Arial"/>
        </w:rPr>
        <w:t>band 2200-2300</w:t>
      </w:r>
      <w:r w:rsidR="00572499" w:rsidRPr="00D77B31">
        <w:rPr>
          <w:rFonts w:cs="Arial"/>
        </w:rPr>
        <w:t> </w:t>
      </w:r>
      <w:r w:rsidR="003D6E1D" w:rsidRPr="00D77B31">
        <w:rPr>
          <w:rFonts w:cs="Arial"/>
        </w:rPr>
        <w:t>MHz.</w:t>
      </w:r>
    </w:p>
    <w:p w14:paraId="4149816D" w14:textId="77777777" w:rsidR="00226A5B" w:rsidRPr="00D77B31" w:rsidRDefault="00226A5B" w:rsidP="009205C0">
      <w:pPr>
        <w:rPr>
          <w:rFonts w:cs="Arial"/>
        </w:rPr>
      </w:pPr>
      <w:r w:rsidRPr="00D77B31">
        <w:rPr>
          <w:rFonts w:cs="Arial"/>
        </w:rPr>
        <w:t xml:space="preserve">While </w:t>
      </w:r>
      <w:r w:rsidR="00745CD8" w:rsidRPr="00D77B31">
        <w:rPr>
          <w:rFonts w:cs="Arial"/>
        </w:rPr>
        <w:t>RALI</w:t>
      </w:r>
      <w:r w:rsidR="00901C28" w:rsidRPr="00D77B31">
        <w:rPr>
          <w:rFonts w:cs="Arial"/>
        </w:rPr>
        <w:t xml:space="preserve"> MS31</w:t>
      </w:r>
      <w:r w:rsidR="00745CD8" w:rsidRPr="00D77B31">
        <w:rPr>
          <w:rFonts w:cs="Arial"/>
        </w:rPr>
        <w:t xml:space="preserve"> does not apply to radiocommunications systems that operate in an itinerant fashion (such as TOB transmitters operating under area wide licenses)</w:t>
      </w:r>
      <w:r w:rsidRPr="00D77B31">
        <w:rPr>
          <w:rFonts w:cs="Arial"/>
        </w:rPr>
        <w:t xml:space="preserve">, </w:t>
      </w:r>
      <w:r w:rsidR="0042516B" w:rsidRPr="00D77B31">
        <w:rPr>
          <w:rFonts w:cs="Arial"/>
        </w:rPr>
        <w:t xml:space="preserve">when </w:t>
      </w:r>
      <w:r w:rsidRPr="00D77B31">
        <w:rPr>
          <w:rFonts w:cs="Arial"/>
        </w:rPr>
        <w:t xml:space="preserve">operation in the areas </w:t>
      </w:r>
      <w:r w:rsidR="00FE3B4C" w:rsidRPr="00D77B31">
        <w:rPr>
          <w:rFonts w:cs="Arial"/>
        </w:rPr>
        <w:t>around Radio Astronomy</w:t>
      </w:r>
      <w:r w:rsidRPr="00D77B31">
        <w:rPr>
          <w:rFonts w:cs="Arial"/>
        </w:rPr>
        <w:t xml:space="preserve"> </w:t>
      </w:r>
      <w:r w:rsidR="000C27B9" w:rsidRPr="00D77B31">
        <w:rPr>
          <w:rFonts w:cs="Arial"/>
        </w:rPr>
        <w:t xml:space="preserve">sites (radio sensitive zones) </w:t>
      </w:r>
      <w:r w:rsidRPr="00D77B31">
        <w:rPr>
          <w:rFonts w:cs="Arial"/>
        </w:rPr>
        <w:t xml:space="preserve">is </w:t>
      </w:r>
      <w:r w:rsidR="0042516B" w:rsidRPr="00D77B31">
        <w:rPr>
          <w:rFonts w:cs="Arial"/>
        </w:rPr>
        <w:t xml:space="preserve">planned </w:t>
      </w:r>
      <w:r w:rsidR="00745CD8" w:rsidRPr="00D77B31">
        <w:rPr>
          <w:rFonts w:cs="Arial"/>
        </w:rPr>
        <w:t>the ACMA encourage</w:t>
      </w:r>
      <w:r w:rsidR="00E14B35" w:rsidRPr="00D77B31">
        <w:rPr>
          <w:rFonts w:cs="Arial"/>
        </w:rPr>
        <w:t>s</w:t>
      </w:r>
      <w:r w:rsidR="00745CD8" w:rsidRPr="00D77B31">
        <w:rPr>
          <w:rFonts w:cs="Arial"/>
        </w:rPr>
        <w:t xml:space="preserve"> </w:t>
      </w:r>
      <w:r w:rsidR="0042516B" w:rsidRPr="00D77B31">
        <w:rPr>
          <w:rFonts w:cs="Arial"/>
        </w:rPr>
        <w:t xml:space="preserve">TOB </w:t>
      </w:r>
      <w:r w:rsidR="00727988" w:rsidRPr="00D77B31">
        <w:rPr>
          <w:rFonts w:cs="Arial"/>
        </w:rPr>
        <w:t xml:space="preserve">licensees </w:t>
      </w:r>
      <w:r w:rsidR="00E14B35" w:rsidRPr="00D77B31">
        <w:rPr>
          <w:rFonts w:cs="Arial"/>
        </w:rPr>
        <w:t>to</w:t>
      </w:r>
      <w:r w:rsidRPr="00D77B31">
        <w:rPr>
          <w:rFonts w:cs="Arial"/>
        </w:rPr>
        <w:t xml:space="preserve"> first notify the relevant </w:t>
      </w:r>
      <w:r w:rsidR="00FE3B4C" w:rsidRPr="00D77B31">
        <w:rPr>
          <w:rFonts w:cs="Arial"/>
        </w:rPr>
        <w:t>Observatory</w:t>
      </w:r>
      <w:r w:rsidRPr="00D77B31">
        <w:rPr>
          <w:rFonts w:cs="Arial"/>
        </w:rPr>
        <w:t xml:space="preserve">. </w:t>
      </w:r>
      <w:r w:rsidR="00B91FF9" w:rsidRPr="00D77B31">
        <w:rPr>
          <w:rFonts w:cs="Arial"/>
        </w:rPr>
        <w:t>TOB licensees should be aware of Radio Astronomy sites within their areas of TOB operations.</w:t>
      </w:r>
    </w:p>
    <w:p w14:paraId="3BF70611" w14:textId="2AF0BC8B" w:rsidR="00F0227E" w:rsidRPr="00D77B31" w:rsidRDefault="009205C0" w:rsidP="009318BA">
      <w:pPr>
        <w:pStyle w:val="Heading2"/>
      </w:pPr>
      <w:bookmarkStart w:id="167" w:name="_Toc380391938"/>
      <w:bookmarkStart w:id="168" w:name="_Toc380417065"/>
      <w:bookmarkStart w:id="169" w:name="_Toc380391940"/>
      <w:bookmarkStart w:id="170" w:name="_Toc380417067"/>
      <w:bookmarkStart w:id="171" w:name="_Toc380391941"/>
      <w:bookmarkStart w:id="172" w:name="_Toc380417068"/>
      <w:bookmarkStart w:id="173" w:name="_Toc380391942"/>
      <w:bookmarkStart w:id="174" w:name="_Toc380417069"/>
      <w:bookmarkStart w:id="175" w:name="_Toc368045420"/>
      <w:bookmarkStart w:id="176" w:name="_Toc368045472"/>
      <w:bookmarkStart w:id="177" w:name="_Toc368045515"/>
      <w:bookmarkStart w:id="178" w:name="_Toc368045559"/>
      <w:bookmarkStart w:id="179" w:name="_Toc368045560"/>
      <w:bookmarkStart w:id="180" w:name="_Toc111710872"/>
      <w:bookmarkEnd w:id="167"/>
      <w:bookmarkEnd w:id="168"/>
      <w:bookmarkEnd w:id="169"/>
      <w:bookmarkEnd w:id="170"/>
      <w:bookmarkEnd w:id="171"/>
      <w:bookmarkEnd w:id="172"/>
      <w:bookmarkEnd w:id="173"/>
      <w:bookmarkEnd w:id="174"/>
      <w:bookmarkEnd w:id="175"/>
      <w:bookmarkEnd w:id="176"/>
      <w:bookmarkEnd w:id="177"/>
      <w:bookmarkEnd w:id="178"/>
      <w:r w:rsidRPr="00D77B31">
        <w:t>Adjacent 2 GHz</w:t>
      </w:r>
      <w:r w:rsidR="00C61D95" w:rsidRPr="00D77B31">
        <w:t>, 2.3 GHz</w:t>
      </w:r>
      <w:r w:rsidRPr="00D77B31">
        <w:t xml:space="preserve"> </w:t>
      </w:r>
      <w:r w:rsidR="00063A65" w:rsidRPr="00D77B31">
        <w:t>s</w:t>
      </w:r>
      <w:r w:rsidRPr="00D77B31">
        <w:t xml:space="preserve">pectrum </w:t>
      </w:r>
      <w:r w:rsidR="00063A65" w:rsidRPr="00D77B31">
        <w:t>l</w:t>
      </w:r>
      <w:r w:rsidRPr="00D77B31">
        <w:t xml:space="preserve">icensing </w:t>
      </w:r>
      <w:r w:rsidR="00063A65" w:rsidRPr="00D77B31">
        <w:t>and</w:t>
      </w:r>
      <w:r w:rsidRPr="00D77B31">
        <w:t xml:space="preserve"> PTS</w:t>
      </w:r>
      <w:bookmarkEnd w:id="179"/>
      <w:r w:rsidR="002E6491" w:rsidRPr="00D77B31">
        <w:t xml:space="preserve"> </w:t>
      </w:r>
      <w:r w:rsidR="00063A65" w:rsidRPr="00D77B31">
        <w:t>r</w:t>
      </w:r>
      <w:r w:rsidR="002E6491" w:rsidRPr="00D77B31">
        <w:t>eceivers</w:t>
      </w:r>
      <w:bookmarkEnd w:id="180"/>
    </w:p>
    <w:p w14:paraId="0EB0A15B" w14:textId="77777777" w:rsidR="00292367" w:rsidRPr="00D77B31" w:rsidRDefault="00DC2BAA" w:rsidP="00292367">
      <w:pPr>
        <w:rPr>
          <w:rFonts w:cs="Arial"/>
        </w:rPr>
      </w:pPr>
      <w:r w:rsidRPr="00D77B31">
        <w:rPr>
          <w:rFonts w:cs="Arial"/>
        </w:rPr>
        <w:t>Coordination information for s</w:t>
      </w:r>
      <w:r w:rsidR="006941C5" w:rsidRPr="00D77B31">
        <w:rPr>
          <w:rFonts w:cs="Arial"/>
        </w:rPr>
        <w:t>pectrum licensed</w:t>
      </w:r>
      <w:r w:rsidR="00040DCC" w:rsidRPr="00D77B31">
        <w:rPr>
          <w:rFonts w:cs="Arial"/>
        </w:rPr>
        <w:t xml:space="preserve"> (SL)</w:t>
      </w:r>
      <w:r w:rsidR="006941C5" w:rsidRPr="00D77B31">
        <w:rPr>
          <w:rFonts w:cs="Arial"/>
        </w:rPr>
        <w:t xml:space="preserve"> services </w:t>
      </w:r>
      <w:r w:rsidR="00E86E94" w:rsidRPr="00D77B31">
        <w:rPr>
          <w:rFonts w:cs="Arial"/>
        </w:rPr>
        <w:t xml:space="preserve">operating in adjacent bands </w:t>
      </w:r>
      <w:r w:rsidR="00B91FF9" w:rsidRPr="00D77B31">
        <w:rPr>
          <w:rFonts w:cs="Arial"/>
        </w:rPr>
        <w:t xml:space="preserve">to the new TOB bands </w:t>
      </w:r>
      <w:r w:rsidR="00760DD4" w:rsidRPr="00D77B31">
        <w:rPr>
          <w:rFonts w:cs="Arial"/>
        </w:rPr>
        <w:t xml:space="preserve">can be found </w:t>
      </w:r>
      <w:r w:rsidRPr="00D77B31">
        <w:rPr>
          <w:rFonts w:cs="Arial"/>
        </w:rPr>
        <w:t>i</w:t>
      </w:r>
      <w:r w:rsidR="00760DD4" w:rsidRPr="00D77B31">
        <w:rPr>
          <w:rFonts w:cs="Arial"/>
        </w:rPr>
        <w:t>n</w:t>
      </w:r>
      <w:r w:rsidR="006941C5" w:rsidRPr="00D77B31">
        <w:rPr>
          <w:rFonts w:cs="Arial"/>
        </w:rPr>
        <w:t xml:space="preserve"> technical frameworks for the </w:t>
      </w:r>
      <w:r w:rsidR="00760DD4" w:rsidRPr="00D77B31">
        <w:rPr>
          <w:rFonts w:cs="Arial"/>
        </w:rPr>
        <w:t>spectrum licenses</w:t>
      </w:r>
      <w:r w:rsidR="00E30E8E" w:rsidRPr="00D77B31">
        <w:rPr>
          <w:rFonts w:cs="Arial"/>
        </w:rPr>
        <w:t xml:space="preserve">. </w:t>
      </w:r>
    </w:p>
    <w:p w14:paraId="292AD81B" w14:textId="77777777" w:rsidR="00E14B35" w:rsidRPr="00D77B31" w:rsidRDefault="006941C5" w:rsidP="00335000">
      <w:pPr>
        <w:numPr>
          <w:ilvl w:val="0"/>
          <w:numId w:val="2"/>
        </w:numPr>
        <w:rPr>
          <w:rFonts w:cs="Arial"/>
        </w:rPr>
      </w:pPr>
      <w:r w:rsidRPr="00D77B31">
        <w:rPr>
          <w:rFonts w:cs="Arial"/>
        </w:rPr>
        <w:t xml:space="preserve">The 2 GHz </w:t>
      </w:r>
      <w:r w:rsidR="00602E20" w:rsidRPr="00D77B31">
        <w:rPr>
          <w:rFonts w:cs="Arial"/>
        </w:rPr>
        <w:t xml:space="preserve">SL </w:t>
      </w:r>
      <w:r w:rsidRPr="00D77B31">
        <w:rPr>
          <w:rFonts w:cs="Arial"/>
        </w:rPr>
        <w:t>band</w:t>
      </w:r>
      <w:r w:rsidR="00292367" w:rsidRPr="00D77B31">
        <w:rPr>
          <w:rFonts w:cs="Arial"/>
        </w:rPr>
        <w:t xml:space="preserve"> is defined as the frequency bands: </w:t>
      </w:r>
      <w:r w:rsidRPr="00D77B31">
        <w:rPr>
          <w:rFonts w:cs="Arial"/>
        </w:rPr>
        <w:t>1920</w:t>
      </w:r>
      <w:r w:rsidRPr="00D77B31">
        <w:rPr>
          <w:rFonts w:cs="Arial"/>
        </w:rPr>
        <w:noBreakHyphen/>
        <w:t>1980 MHz and 2110-2170 MHz in capital city areas and 1960-1980 MHz and 2150-2170 MHz in regional areas</w:t>
      </w:r>
      <w:r w:rsidR="00E30E8E" w:rsidRPr="00D77B31">
        <w:rPr>
          <w:rFonts w:cs="Arial"/>
        </w:rPr>
        <w:t xml:space="preserve">. </w:t>
      </w:r>
      <w:r w:rsidR="00292367" w:rsidRPr="00D77B31">
        <w:rPr>
          <w:rFonts w:cs="Arial"/>
        </w:rPr>
        <w:t xml:space="preserve">The geographic areas of the 2 GHz spectrum licence are provided in </w:t>
      </w:r>
      <w:r w:rsidR="00103F07" w:rsidRPr="00D77B31">
        <w:rPr>
          <w:rFonts w:cs="Arial"/>
        </w:rPr>
        <w:t xml:space="preserve">Appendix </w:t>
      </w:r>
      <w:r w:rsidR="005D30D0" w:rsidRPr="00D77B31">
        <w:rPr>
          <w:rFonts w:cs="Arial"/>
        </w:rPr>
        <w:t>E</w:t>
      </w:r>
      <w:r w:rsidR="00292367" w:rsidRPr="00D77B31">
        <w:rPr>
          <w:rFonts w:cs="Arial"/>
        </w:rPr>
        <w:t xml:space="preserve">. </w:t>
      </w:r>
    </w:p>
    <w:p w14:paraId="6BB1588D" w14:textId="77777777" w:rsidR="00E14B35" w:rsidRPr="00D77B31" w:rsidRDefault="006941C5" w:rsidP="00335000">
      <w:pPr>
        <w:numPr>
          <w:ilvl w:val="0"/>
          <w:numId w:val="2"/>
        </w:numPr>
        <w:rPr>
          <w:rFonts w:cs="Arial"/>
        </w:rPr>
      </w:pPr>
      <w:r w:rsidRPr="00D77B31">
        <w:rPr>
          <w:rFonts w:cs="Arial"/>
        </w:rPr>
        <w:t xml:space="preserve">2.3 GHz </w:t>
      </w:r>
      <w:r w:rsidR="00602E20" w:rsidRPr="00D77B31">
        <w:rPr>
          <w:rFonts w:cs="Arial"/>
        </w:rPr>
        <w:t xml:space="preserve">SL </w:t>
      </w:r>
      <w:r w:rsidRPr="00D77B31">
        <w:rPr>
          <w:rFonts w:cs="Arial"/>
        </w:rPr>
        <w:t xml:space="preserve">band is defined </w:t>
      </w:r>
      <w:r w:rsidR="00602E20" w:rsidRPr="00D77B31">
        <w:rPr>
          <w:rFonts w:cs="Arial"/>
        </w:rPr>
        <w:t>as</w:t>
      </w:r>
      <w:r w:rsidRPr="00D77B31">
        <w:rPr>
          <w:rFonts w:cs="Arial"/>
        </w:rPr>
        <w:t xml:space="preserve"> the frequency range of </w:t>
      </w:r>
      <w:r w:rsidR="00EF0194" w:rsidRPr="00D77B31">
        <w:rPr>
          <w:rFonts w:cs="Arial"/>
        </w:rPr>
        <w:t xml:space="preserve">2302 </w:t>
      </w:r>
      <w:r w:rsidRPr="00D77B31">
        <w:rPr>
          <w:rFonts w:cs="Arial"/>
        </w:rPr>
        <w:t>MHz to 2400 MHz</w:t>
      </w:r>
      <w:r w:rsidR="00E30E8E" w:rsidRPr="00D77B31">
        <w:rPr>
          <w:rFonts w:cs="Arial"/>
        </w:rPr>
        <w:t xml:space="preserve">. </w:t>
      </w:r>
      <w:r w:rsidRPr="00D77B31">
        <w:rPr>
          <w:rFonts w:cs="Arial"/>
        </w:rPr>
        <w:t>The band is designated for spectrum licensing throughout Australia</w:t>
      </w:r>
      <w:r w:rsidR="00292367" w:rsidRPr="00D77B31">
        <w:rPr>
          <w:rFonts w:cs="Arial"/>
        </w:rPr>
        <w:t xml:space="preserve">. </w:t>
      </w:r>
    </w:p>
    <w:p w14:paraId="286081CC" w14:textId="77777777" w:rsidR="00595B96" w:rsidRPr="00D77B31" w:rsidRDefault="006941C5" w:rsidP="00292367">
      <w:pPr>
        <w:rPr>
          <w:rFonts w:cs="Arial"/>
        </w:rPr>
      </w:pPr>
      <w:r w:rsidRPr="00D77B31">
        <w:rPr>
          <w:rFonts w:cs="Arial"/>
        </w:rPr>
        <w:t>Apparatus licensed - public telecommunication services (PTS)</w:t>
      </w:r>
      <w:r w:rsidR="00292367" w:rsidRPr="00D77B31">
        <w:rPr>
          <w:rFonts w:cs="Arial"/>
        </w:rPr>
        <w:t xml:space="preserve"> are authorized to operate in the </w:t>
      </w:r>
      <w:r w:rsidRPr="00D77B31">
        <w:rPr>
          <w:rFonts w:cs="Arial"/>
        </w:rPr>
        <w:t>1920-1980 MHz and 2110-2170 MHz</w:t>
      </w:r>
      <w:r w:rsidR="00300BB1" w:rsidRPr="00D77B31">
        <w:rPr>
          <w:rFonts w:cs="Arial"/>
        </w:rPr>
        <w:t xml:space="preserve"> </w:t>
      </w:r>
      <w:r w:rsidR="00292367" w:rsidRPr="00D77B31">
        <w:rPr>
          <w:rFonts w:cs="Arial"/>
        </w:rPr>
        <w:t>bands in remote area</w:t>
      </w:r>
      <w:r w:rsidR="00E86E94" w:rsidRPr="00D77B31">
        <w:rPr>
          <w:rFonts w:cs="Arial"/>
        </w:rPr>
        <w:t>s</w:t>
      </w:r>
      <w:r w:rsidR="00292367" w:rsidRPr="00D77B31">
        <w:rPr>
          <w:rFonts w:cs="Arial"/>
        </w:rPr>
        <w:t xml:space="preserve"> outside of those areas specified by the 2 GHz </w:t>
      </w:r>
      <w:r w:rsidR="00B91FF9" w:rsidRPr="00D77B31">
        <w:rPr>
          <w:rFonts w:cs="Arial"/>
        </w:rPr>
        <w:t xml:space="preserve">Spectrum Marketing Plan </w:t>
      </w:r>
      <w:r w:rsidR="00E86E94" w:rsidRPr="00D77B31">
        <w:rPr>
          <w:rFonts w:cs="Arial"/>
        </w:rPr>
        <w:t xml:space="preserve">and </w:t>
      </w:r>
      <w:r w:rsidR="004F0D6E" w:rsidRPr="00D77B31">
        <w:rPr>
          <w:rFonts w:cs="Arial"/>
        </w:rPr>
        <w:t xml:space="preserve">depicted </w:t>
      </w:r>
      <w:r w:rsidR="00E86E94" w:rsidRPr="00D77B31">
        <w:rPr>
          <w:rFonts w:cs="Arial"/>
        </w:rPr>
        <w:t>in Appendix E</w:t>
      </w:r>
      <w:r w:rsidR="000215F2" w:rsidRPr="00D77B31">
        <w:rPr>
          <w:rFonts w:cs="Arial"/>
        </w:rPr>
        <w:t>.</w:t>
      </w:r>
    </w:p>
    <w:p w14:paraId="1A632BEA" w14:textId="77777777" w:rsidR="00E94534" w:rsidRPr="00D77B31" w:rsidRDefault="00E94534" w:rsidP="00292367">
      <w:pPr>
        <w:rPr>
          <w:rFonts w:cs="Arial"/>
        </w:rPr>
      </w:pPr>
      <w:r w:rsidRPr="00D77B31">
        <w:rPr>
          <w:rFonts w:cs="Arial"/>
        </w:rPr>
        <w:t xml:space="preserve">Coordination between TOB </w:t>
      </w:r>
      <w:r w:rsidR="00B250D6" w:rsidRPr="00D77B31">
        <w:rPr>
          <w:rFonts w:cs="Arial"/>
        </w:rPr>
        <w:t xml:space="preserve">transmitters </w:t>
      </w:r>
      <w:r w:rsidRPr="00D77B31">
        <w:rPr>
          <w:rFonts w:cs="Arial"/>
        </w:rPr>
        <w:t xml:space="preserve">and these adjacent </w:t>
      </w:r>
      <w:r w:rsidR="008E0B00" w:rsidRPr="00D77B31">
        <w:rPr>
          <w:rFonts w:cs="Arial"/>
        </w:rPr>
        <w:t xml:space="preserve">band </w:t>
      </w:r>
      <w:r w:rsidRPr="00D77B31">
        <w:rPr>
          <w:rFonts w:cs="Arial"/>
        </w:rPr>
        <w:t>services are outlined in the sections below.</w:t>
      </w:r>
    </w:p>
    <w:p w14:paraId="69986A73" w14:textId="77777777" w:rsidR="00E01113" w:rsidRPr="00D77B31" w:rsidRDefault="00B9789B">
      <w:pPr>
        <w:pStyle w:val="Heading3"/>
      </w:pPr>
      <w:bookmarkStart w:id="181" w:name="_Toc380391944"/>
      <w:bookmarkStart w:id="182" w:name="_Toc380417071"/>
      <w:bookmarkStart w:id="183" w:name="_Toc111710873"/>
      <w:bookmarkEnd w:id="181"/>
      <w:bookmarkEnd w:id="182"/>
      <w:r w:rsidRPr="00D77B31">
        <w:t>1980-2010 and 2170-2200 MHz</w:t>
      </w:r>
      <w:bookmarkEnd w:id="183"/>
    </w:p>
    <w:p w14:paraId="1738B1B2" w14:textId="62F23C96" w:rsidR="00595B96" w:rsidRPr="00D77B31" w:rsidRDefault="00595B96" w:rsidP="00595B96">
      <w:pPr>
        <w:rPr>
          <w:rFonts w:cs="Arial"/>
        </w:rPr>
      </w:pPr>
      <w:r w:rsidRPr="00D77B31">
        <w:rPr>
          <w:rFonts w:cs="Arial"/>
        </w:rPr>
        <w:t>Coordination between</w:t>
      </w:r>
      <w:r w:rsidR="009D478B" w:rsidRPr="00D77B31">
        <w:rPr>
          <w:rFonts w:cs="Arial"/>
        </w:rPr>
        <w:t xml:space="preserve"> TOB </w:t>
      </w:r>
      <w:r w:rsidR="00B250D6" w:rsidRPr="00D77B31">
        <w:rPr>
          <w:rFonts w:cs="Arial"/>
        </w:rPr>
        <w:t xml:space="preserve">transmitters </w:t>
      </w:r>
      <w:r w:rsidR="009D478B" w:rsidRPr="00D77B31">
        <w:rPr>
          <w:rFonts w:cs="Arial"/>
        </w:rPr>
        <w:t>and</w:t>
      </w:r>
      <w:r w:rsidRPr="00D77B31">
        <w:rPr>
          <w:rFonts w:cs="Arial"/>
        </w:rPr>
        <w:t xml:space="preserve"> spectrum licence and PTS services is achieved through the general requirements </w:t>
      </w:r>
      <w:r w:rsidR="00917497" w:rsidRPr="00D77B31">
        <w:rPr>
          <w:rFonts w:cs="Arial"/>
        </w:rPr>
        <w:t>that</w:t>
      </w:r>
      <w:r w:rsidR="008B4EC8" w:rsidRPr="00D77B31">
        <w:rPr>
          <w:rFonts w:cs="Arial"/>
        </w:rPr>
        <w:t>:</w:t>
      </w:r>
    </w:p>
    <w:p w14:paraId="7505AD10" w14:textId="77777777" w:rsidR="00CF21E7" w:rsidRPr="00D77B31" w:rsidRDefault="004D3BAC" w:rsidP="00335000">
      <w:pPr>
        <w:numPr>
          <w:ilvl w:val="0"/>
          <w:numId w:val="20"/>
        </w:numPr>
        <w:ind w:left="357" w:hanging="357"/>
        <w:rPr>
          <w:rFonts w:cs="Arial"/>
        </w:rPr>
      </w:pPr>
      <w:r w:rsidRPr="00D77B31">
        <w:rPr>
          <w:rFonts w:cs="Arial"/>
        </w:rPr>
        <w:t>Available frequency range is 1985-2010 MHz and 2175-2200 MHz</w:t>
      </w:r>
      <w:r w:rsidR="00B21921" w:rsidRPr="00D77B31">
        <w:rPr>
          <w:rFonts w:cs="Arial"/>
        </w:rPr>
        <w:t>;</w:t>
      </w:r>
    </w:p>
    <w:p w14:paraId="75CD2FE0" w14:textId="77777777" w:rsidR="00CF21E7" w:rsidRPr="00D77B31" w:rsidRDefault="003608D6" w:rsidP="00335000">
      <w:pPr>
        <w:numPr>
          <w:ilvl w:val="0"/>
          <w:numId w:val="20"/>
        </w:numPr>
        <w:ind w:left="357" w:hanging="357"/>
        <w:rPr>
          <w:rFonts w:cs="Arial"/>
        </w:rPr>
      </w:pPr>
      <w:r w:rsidRPr="00D77B31">
        <w:rPr>
          <w:rFonts w:cs="Arial"/>
        </w:rPr>
        <w:t xml:space="preserve">The radiated power of a </w:t>
      </w:r>
      <w:r w:rsidR="00B91FF9" w:rsidRPr="00D77B31">
        <w:rPr>
          <w:rFonts w:cs="Arial"/>
        </w:rPr>
        <w:t xml:space="preserve">TOB </w:t>
      </w:r>
      <w:r w:rsidRPr="00D77B31">
        <w:rPr>
          <w:rFonts w:cs="Arial"/>
        </w:rPr>
        <w:t>transmitter shall not exceed 23 dBm/8 MHz EIRP</w:t>
      </w:r>
      <w:r w:rsidR="00917497" w:rsidRPr="00D77B31">
        <w:rPr>
          <w:rFonts w:cs="Arial"/>
        </w:rPr>
        <w:t>;</w:t>
      </w:r>
    </w:p>
    <w:p w14:paraId="5BB2A853" w14:textId="77777777" w:rsidR="00CF21E7" w:rsidRPr="00D77B31" w:rsidRDefault="00917497" w:rsidP="00335000">
      <w:pPr>
        <w:numPr>
          <w:ilvl w:val="0"/>
          <w:numId w:val="20"/>
        </w:numPr>
        <w:ind w:left="357" w:hanging="357"/>
        <w:rPr>
          <w:rFonts w:cs="Arial"/>
        </w:rPr>
      </w:pPr>
      <w:r w:rsidRPr="00D77B31">
        <w:rPr>
          <w:rFonts w:cs="Arial"/>
        </w:rPr>
        <w:t xml:space="preserve">They </w:t>
      </w:r>
      <w:proofErr w:type="gramStart"/>
      <w:r w:rsidRPr="00D77B31">
        <w:rPr>
          <w:rFonts w:cs="Arial"/>
        </w:rPr>
        <w:t>not exceed</w:t>
      </w:r>
      <w:proofErr w:type="gramEnd"/>
      <w:r w:rsidRPr="00D77B31">
        <w:rPr>
          <w:rFonts w:cs="Arial"/>
        </w:rPr>
        <w:t xml:space="preserve"> a</w:t>
      </w:r>
      <w:r w:rsidR="00F55A6A" w:rsidRPr="00D77B31">
        <w:rPr>
          <w:rFonts w:cs="Arial"/>
        </w:rPr>
        <w:t xml:space="preserve"> maximum power spectral density at the 1980 MHz and 2170</w:t>
      </w:r>
      <w:r w:rsidR="00CF5022" w:rsidRPr="00D77B31">
        <w:rPr>
          <w:rFonts w:cs="Arial"/>
        </w:rPr>
        <w:t xml:space="preserve"> MHz</w:t>
      </w:r>
      <w:r w:rsidR="00005662" w:rsidRPr="00D77B31">
        <w:rPr>
          <w:rFonts w:cs="Arial"/>
        </w:rPr>
        <w:t xml:space="preserve"> frequency</w:t>
      </w:r>
      <w:r w:rsidR="00CF5022" w:rsidRPr="00D77B31">
        <w:rPr>
          <w:rFonts w:cs="Arial"/>
        </w:rPr>
        <w:t xml:space="preserve"> </w:t>
      </w:r>
      <w:r w:rsidR="002D0CF7" w:rsidRPr="00D77B31">
        <w:rPr>
          <w:rFonts w:cs="Arial"/>
        </w:rPr>
        <w:t>boundaries</w:t>
      </w:r>
      <w:r w:rsidR="00CF5022" w:rsidRPr="00D77B31">
        <w:rPr>
          <w:rFonts w:cs="Arial"/>
        </w:rPr>
        <w:t xml:space="preserve"> of </w:t>
      </w:r>
      <w:r w:rsidR="00CF5022" w:rsidRPr="00D77B31">
        <w:rPr>
          <w:rFonts w:cs="Arial"/>
        </w:rPr>
        <w:noBreakHyphen/>
      </w:r>
      <w:r w:rsidR="00F55A6A" w:rsidRPr="00D77B31">
        <w:rPr>
          <w:rFonts w:cs="Arial"/>
        </w:rPr>
        <w:t>30</w:t>
      </w:r>
      <w:r w:rsidR="00CF5022" w:rsidRPr="00D77B31">
        <w:rPr>
          <w:rFonts w:cs="Arial"/>
        </w:rPr>
        <w:t> </w:t>
      </w:r>
      <w:r w:rsidR="00F55A6A" w:rsidRPr="00D77B31">
        <w:rPr>
          <w:rFonts w:cs="Arial"/>
        </w:rPr>
        <w:t>dBm/MHz</w:t>
      </w:r>
      <w:r w:rsidRPr="00D77B31">
        <w:rPr>
          <w:rFonts w:cs="Arial"/>
        </w:rPr>
        <w:t>; and</w:t>
      </w:r>
    </w:p>
    <w:p w14:paraId="6FF04D0B" w14:textId="77777777" w:rsidR="00CF21E7" w:rsidRPr="00D77B31" w:rsidRDefault="00595B96" w:rsidP="00335000">
      <w:pPr>
        <w:numPr>
          <w:ilvl w:val="0"/>
          <w:numId w:val="20"/>
        </w:numPr>
        <w:ind w:left="357" w:hanging="357"/>
        <w:rPr>
          <w:rFonts w:cs="Arial"/>
        </w:rPr>
      </w:pPr>
      <w:r w:rsidRPr="00D77B31">
        <w:rPr>
          <w:rFonts w:cs="Arial"/>
        </w:rPr>
        <w:t xml:space="preserve">Airborne </w:t>
      </w:r>
      <w:r w:rsidR="00917497" w:rsidRPr="00D77B31">
        <w:rPr>
          <w:rFonts w:cs="Arial"/>
        </w:rPr>
        <w:t xml:space="preserve">TOB </w:t>
      </w:r>
      <w:r w:rsidRPr="00D77B31">
        <w:rPr>
          <w:rFonts w:cs="Arial"/>
        </w:rPr>
        <w:t>transmitters are not permitted</w:t>
      </w:r>
      <w:r w:rsidR="00917497" w:rsidRPr="00D77B31">
        <w:rPr>
          <w:rFonts w:cs="Arial"/>
        </w:rPr>
        <w:t xml:space="preserve"> in th</w:t>
      </w:r>
      <w:r w:rsidR="00E86E94" w:rsidRPr="00D77B31">
        <w:rPr>
          <w:rFonts w:cs="Arial"/>
        </w:rPr>
        <w:t>e</w:t>
      </w:r>
      <w:r w:rsidR="00917497" w:rsidRPr="00D77B31">
        <w:rPr>
          <w:rFonts w:cs="Arial"/>
        </w:rPr>
        <w:t>s</w:t>
      </w:r>
      <w:r w:rsidR="00E86E94" w:rsidRPr="00D77B31">
        <w:rPr>
          <w:rFonts w:cs="Arial"/>
        </w:rPr>
        <w:t>e</w:t>
      </w:r>
      <w:r w:rsidR="00917497" w:rsidRPr="00D77B31">
        <w:rPr>
          <w:rFonts w:cs="Arial"/>
        </w:rPr>
        <w:t xml:space="preserve"> band</w:t>
      </w:r>
      <w:r w:rsidR="00E86E94" w:rsidRPr="00D77B31">
        <w:rPr>
          <w:rFonts w:cs="Arial"/>
        </w:rPr>
        <w:t>s</w:t>
      </w:r>
      <w:r w:rsidRPr="00D77B31">
        <w:rPr>
          <w:rFonts w:cs="Arial"/>
        </w:rPr>
        <w:t>.</w:t>
      </w:r>
    </w:p>
    <w:p w14:paraId="70C8977A" w14:textId="77777777" w:rsidR="00E01113" w:rsidRPr="00D77B31" w:rsidRDefault="0095185F">
      <w:pPr>
        <w:pStyle w:val="Heading3"/>
      </w:pPr>
      <w:bookmarkStart w:id="184" w:name="_Toc380391946"/>
      <w:bookmarkStart w:id="185" w:name="_Toc380417073"/>
      <w:bookmarkStart w:id="186" w:name="_Toc111710874"/>
      <w:bookmarkEnd w:id="184"/>
      <w:bookmarkEnd w:id="185"/>
      <w:r w:rsidRPr="00D77B31">
        <w:t>2010-2110 and 2200-2300 MHz</w:t>
      </w:r>
      <w:bookmarkEnd w:id="186"/>
    </w:p>
    <w:p w14:paraId="5A682685" w14:textId="020B3936" w:rsidR="0095185F" w:rsidRPr="00D77B31" w:rsidRDefault="0095185F" w:rsidP="0095185F">
      <w:pPr>
        <w:rPr>
          <w:rFonts w:cs="Arial"/>
        </w:rPr>
      </w:pPr>
      <w:r w:rsidRPr="00D77B31">
        <w:rPr>
          <w:rFonts w:cs="Arial"/>
        </w:rPr>
        <w:t>Coordination</w:t>
      </w:r>
      <w:r w:rsidR="00B250D6" w:rsidRPr="00D77B31">
        <w:rPr>
          <w:rFonts w:cs="Arial"/>
        </w:rPr>
        <w:t xml:space="preserve"> of TOB transmitters</w:t>
      </w:r>
      <w:r w:rsidRPr="00D77B31">
        <w:rPr>
          <w:rFonts w:cs="Arial"/>
        </w:rPr>
        <w:t xml:space="preserve"> with spectrum license, PTS and TOB services is achieved through the coordination requirements of: </w:t>
      </w:r>
    </w:p>
    <w:p w14:paraId="689A9840" w14:textId="77777777" w:rsidR="0095185F" w:rsidRPr="00D77B31" w:rsidRDefault="0095185F" w:rsidP="00335000">
      <w:pPr>
        <w:pStyle w:val="ListParagraph"/>
        <w:numPr>
          <w:ilvl w:val="0"/>
          <w:numId w:val="19"/>
        </w:numPr>
        <w:ind w:left="357" w:hanging="357"/>
        <w:contextualSpacing w:val="0"/>
        <w:rPr>
          <w:rFonts w:cs="Arial"/>
        </w:rPr>
      </w:pPr>
      <w:r w:rsidRPr="00D77B31">
        <w:rPr>
          <w:rFonts w:cs="Arial"/>
        </w:rPr>
        <w:lastRenderedPageBreak/>
        <w:t xml:space="preserve">TOB </w:t>
      </w:r>
      <w:r w:rsidR="00B250D6" w:rsidRPr="00D77B31">
        <w:rPr>
          <w:rFonts w:cs="Arial"/>
        </w:rPr>
        <w:t>transmitters</w:t>
      </w:r>
      <w:r w:rsidRPr="00D77B31">
        <w:rPr>
          <w:rFonts w:cs="Arial"/>
        </w:rPr>
        <w:t xml:space="preserve"> operating at a power greater than 2</w:t>
      </w:r>
      <w:r w:rsidR="0021788C" w:rsidRPr="00D77B31">
        <w:rPr>
          <w:rFonts w:cs="Arial"/>
        </w:rPr>
        <w:t>3</w:t>
      </w:r>
      <w:r w:rsidRPr="00D77B31">
        <w:rPr>
          <w:rFonts w:cs="Arial"/>
        </w:rPr>
        <w:t xml:space="preserve"> dBm/8 MHz EIRP and an antenna height greater than 2m </w:t>
      </w:r>
      <w:r w:rsidR="00C22604" w:rsidRPr="00D77B31">
        <w:rPr>
          <w:rFonts w:cs="Arial"/>
        </w:rPr>
        <w:t xml:space="preserve">being </w:t>
      </w:r>
      <w:r w:rsidRPr="00D77B31">
        <w:rPr>
          <w:rFonts w:cs="Arial"/>
        </w:rPr>
        <w:t xml:space="preserve">restricted to the frequency range 2010-2105 MHz; </w:t>
      </w:r>
      <w:r w:rsidR="00D76F29" w:rsidRPr="00D77B31">
        <w:rPr>
          <w:rFonts w:cs="Arial"/>
        </w:rPr>
        <w:t>and</w:t>
      </w:r>
    </w:p>
    <w:p w14:paraId="0DCFCA96" w14:textId="77777777" w:rsidR="0095185F" w:rsidRPr="00D77B31" w:rsidRDefault="00B250D6" w:rsidP="00335000">
      <w:pPr>
        <w:pStyle w:val="ListParagraph"/>
        <w:numPr>
          <w:ilvl w:val="0"/>
          <w:numId w:val="19"/>
        </w:numPr>
        <w:ind w:left="357" w:hanging="357"/>
        <w:contextualSpacing w:val="0"/>
        <w:rPr>
          <w:rFonts w:cs="Arial"/>
        </w:rPr>
      </w:pPr>
      <w:r w:rsidRPr="00D77B31">
        <w:rPr>
          <w:rFonts w:cs="Arial"/>
        </w:rPr>
        <w:t>A</w:t>
      </w:r>
      <w:r w:rsidR="0095185F" w:rsidRPr="00D77B31">
        <w:rPr>
          <w:rFonts w:cs="Arial"/>
        </w:rPr>
        <w:t xml:space="preserve"> maximum power spectral density at the 2110 MHz and 2300 MHz boundaries of </w:t>
      </w:r>
      <w:r w:rsidR="0095185F" w:rsidRPr="00D77B31">
        <w:rPr>
          <w:rFonts w:cs="Arial"/>
        </w:rPr>
        <w:noBreakHyphen/>
        <w:t>30 dBm/MHz</w:t>
      </w:r>
      <w:r w:rsidR="00D76F29" w:rsidRPr="00D77B31">
        <w:rPr>
          <w:rFonts w:cs="Arial"/>
        </w:rPr>
        <w:t>.</w:t>
      </w:r>
    </w:p>
    <w:p w14:paraId="01BB3A2D" w14:textId="77777777" w:rsidR="00515497" w:rsidRPr="00D77B31" w:rsidRDefault="00515497">
      <w:pPr>
        <w:rPr>
          <w:rFonts w:cs="Arial"/>
          <w:b/>
          <w:kern w:val="28"/>
          <w:sz w:val="32"/>
        </w:rPr>
      </w:pPr>
      <w:bookmarkStart w:id="187" w:name="_Toc380391948"/>
      <w:bookmarkStart w:id="188" w:name="_Toc380417075"/>
      <w:bookmarkStart w:id="189" w:name="_Toc380391949"/>
      <w:bookmarkStart w:id="190" w:name="_Toc380417076"/>
      <w:bookmarkEnd w:id="187"/>
      <w:bookmarkEnd w:id="188"/>
      <w:bookmarkEnd w:id="189"/>
      <w:bookmarkEnd w:id="190"/>
      <w:r w:rsidRPr="00D77B31">
        <w:rPr>
          <w:rFonts w:cs="Arial"/>
        </w:rPr>
        <w:br w:type="page"/>
      </w:r>
    </w:p>
    <w:p w14:paraId="5C0615EB" w14:textId="3FFA55D2" w:rsidR="00442B4C" w:rsidRPr="00D77B31" w:rsidRDefault="00A934D6" w:rsidP="00442B4C">
      <w:pPr>
        <w:pStyle w:val="Heading1"/>
      </w:pPr>
      <w:bookmarkStart w:id="191" w:name="_Toc111710875"/>
      <w:r w:rsidRPr="00D77B31">
        <w:lastRenderedPageBreak/>
        <w:t xml:space="preserve">Coordination of </w:t>
      </w:r>
      <w:r w:rsidR="004364A9" w:rsidRPr="00D77B31">
        <w:t>TOB receivers</w:t>
      </w:r>
      <w:bookmarkEnd w:id="191"/>
    </w:p>
    <w:p w14:paraId="7083C384" w14:textId="287C4B4E" w:rsidR="00842DFD" w:rsidRPr="00D77B31" w:rsidRDefault="004364A9" w:rsidP="00E0728B">
      <w:pPr>
        <w:rPr>
          <w:rFonts w:cs="Arial"/>
        </w:rPr>
      </w:pPr>
      <w:r w:rsidRPr="00D77B31">
        <w:rPr>
          <w:rFonts w:cs="Arial"/>
        </w:rPr>
        <w:t>The licensing of TOB receivers is optional in the bands 1980-2110 MHz and 2170-2300 MHz. TOB receivers</w:t>
      </w:r>
      <w:r w:rsidR="00842DFD" w:rsidRPr="00D77B31">
        <w:rPr>
          <w:rFonts w:cs="Arial"/>
        </w:rPr>
        <w:t>, such as TOB collection stations</w:t>
      </w:r>
      <w:r w:rsidR="00EA52E3" w:rsidRPr="00D77B31">
        <w:rPr>
          <w:rStyle w:val="FootnoteReference"/>
          <w:rFonts w:cs="Arial"/>
          <w:b/>
        </w:rPr>
        <w:footnoteReference w:id="18"/>
      </w:r>
      <w:r w:rsidR="00842DFD" w:rsidRPr="00D77B31">
        <w:rPr>
          <w:rFonts w:cs="Arial"/>
        </w:rPr>
        <w:t xml:space="preserve">, cannot claim protection from </w:t>
      </w:r>
      <w:r w:rsidRPr="00D77B31">
        <w:rPr>
          <w:rFonts w:cs="Arial"/>
        </w:rPr>
        <w:t xml:space="preserve">new </w:t>
      </w:r>
      <w:r w:rsidR="00842DFD" w:rsidRPr="00D77B31">
        <w:rPr>
          <w:rFonts w:cs="Arial"/>
        </w:rPr>
        <w:t xml:space="preserve">services </w:t>
      </w:r>
      <w:r w:rsidRPr="00D77B31">
        <w:rPr>
          <w:rFonts w:cs="Arial"/>
        </w:rPr>
        <w:t>unless licensed</w:t>
      </w:r>
      <w:r w:rsidR="00842DFD" w:rsidRPr="00D77B31">
        <w:rPr>
          <w:rFonts w:cs="Arial"/>
        </w:rPr>
        <w:t>.</w:t>
      </w:r>
      <w:r w:rsidR="008150E9" w:rsidRPr="00D77B31">
        <w:rPr>
          <w:rFonts w:cs="Arial"/>
        </w:rPr>
        <w:t xml:space="preserve"> </w:t>
      </w:r>
      <w:r w:rsidR="00B262BF" w:rsidRPr="00D77B31">
        <w:rPr>
          <w:rFonts w:cs="Arial"/>
        </w:rPr>
        <w:t>Note this does not include services for wh</w:t>
      </w:r>
      <w:r w:rsidR="005D79E0" w:rsidRPr="00D77B31">
        <w:rPr>
          <w:rFonts w:cs="Arial"/>
        </w:rPr>
        <w:t xml:space="preserve">ich ACMA planning arrangements do not </w:t>
      </w:r>
      <w:r w:rsidR="00452D27" w:rsidRPr="00D77B31">
        <w:rPr>
          <w:rFonts w:cs="Arial"/>
        </w:rPr>
        <w:t xml:space="preserve">currently </w:t>
      </w:r>
      <w:r w:rsidR="005D79E0" w:rsidRPr="00D77B31">
        <w:rPr>
          <w:rFonts w:cs="Arial"/>
        </w:rPr>
        <w:t xml:space="preserve">support. </w:t>
      </w:r>
      <w:r w:rsidR="00967E13" w:rsidRPr="00D77B31">
        <w:rPr>
          <w:rFonts w:cs="Arial"/>
        </w:rPr>
        <w:t>For example</w:t>
      </w:r>
      <w:r w:rsidR="00822A10" w:rsidRPr="00D77B31">
        <w:rPr>
          <w:rFonts w:cs="Arial"/>
        </w:rPr>
        <w:t>,</w:t>
      </w:r>
      <w:r w:rsidR="00967E13" w:rsidRPr="00D77B31">
        <w:rPr>
          <w:rFonts w:cs="Arial"/>
        </w:rPr>
        <w:t xml:space="preserve"> beyond earth station</w:t>
      </w:r>
      <w:r w:rsidR="00AD32CF" w:rsidRPr="00D77B31">
        <w:rPr>
          <w:rFonts w:cs="Arial"/>
        </w:rPr>
        <w:t>s</w:t>
      </w:r>
      <w:r w:rsidR="00967E13" w:rsidRPr="00D77B31">
        <w:rPr>
          <w:rFonts w:cs="Arial"/>
        </w:rPr>
        <w:t xml:space="preserve"> identified in this RALI, spectrum </w:t>
      </w:r>
      <w:r w:rsidR="00760E14" w:rsidRPr="00D77B31">
        <w:rPr>
          <w:rFonts w:cs="Arial"/>
        </w:rPr>
        <w:t>E</w:t>
      </w:r>
      <w:r w:rsidR="00967E13" w:rsidRPr="00D77B31">
        <w:rPr>
          <w:rFonts w:cs="Arial"/>
        </w:rPr>
        <w:t xml:space="preserve">mbargo 23 </w:t>
      </w:r>
      <w:r w:rsidR="00AD32CF" w:rsidRPr="00D77B31">
        <w:rPr>
          <w:rFonts w:cs="Arial"/>
        </w:rPr>
        <w:t xml:space="preserve">does not support new earth stations </w:t>
      </w:r>
      <w:r w:rsidR="00982AB8" w:rsidRPr="00D77B31">
        <w:rPr>
          <w:rFonts w:cs="Arial"/>
        </w:rPr>
        <w:t xml:space="preserve">in the </w:t>
      </w:r>
      <w:r w:rsidR="00A964A4" w:rsidRPr="00D77B31">
        <w:rPr>
          <w:rFonts w:cs="Arial"/>
        </w:rPr>
        <w:t xml:space="preserve">in the frequency range 2025-2110 MHz and 2200-2300 MHz </w:t>
      </w:r>
      <w:r w:rsidR="00AD32CF" w:rsidRPr="00D77B31">
        <w:rPr>
          <w:rFonts w:cs="Arial"/>
        </w:rPr>
        <w:t xml:space="preserve">except in the </w:t>
      </w:r>
      <w:r w:rsidR="00704182" w:rsidRPr="00D77B31">
        <w:rPr>
          <w:rFonts w:cs="Arial"/>
        </w:rPr>
        <w:t xml:space="preserve">Mingenew </w:t>
      </w:r>
      <w:r w:rsidR="00AD32CF" w:rsidRPr="00D77B31">
        <w:rPr>
          <w:rFonts w:cs="Arial"/>
        </w:rPr>
        <w:t xml:space="preserve">earth station protection zone. </w:t>
      </w:r>
      <w:r w:rsidR="00A964A4" w:rsidRPr="00D77B31">
        <w:rPr>
          <w:rFonts w:cs="Arial"/>
        </w:rPr>
        <w:t>Outside of M</w:t>
      </w:r>
      <w:r w:rsidR="0072226E" w:rsidRPr="00D77B31">
        <w:rPr>
          <w:rFonts w:cs="Arial"/>
        </w:rPr>
        <w:t>i</w:t>
      </w:r>
      <w:r w:rsidR="00A964A4" w:rsidRPr="00D77B31">
        <w:rPr>
          <w:rFonts w:cs="Arial"/>
        </w:rPr>
        <w:t>n</w:t>
      </w:r>
      <w:r w:rsidR="006F48D0" w:rsidRPr="00D77B31">
        <w:rPr>
          <w:rFonts w:cs="Arial"/>
        </w:rPr>
        <w:t>genew</w:t>
      </w:r>
      <w:r w:rsidR="0072226E" w:rsidRPr="00D77B31">
        <w:rPr>
          <w:rFonts w:cs="Arial"/>
        </w:rPr>
        <w:t>,</w:t>
      </w:r>
      <w:r w:rsidR="006F48D0" w:rsidRPr="00D77B31">
        <w:rPr>
          <w:rFonts w:cs="Arial"/>
        </w:rPr>
        <w:t xml:space="preserve"> requests are </w:t>
      </w:r>
      <w:r w:rsidR="00014F89" w:rsidRPr="00D77B31">
        <w:rPr>
          <w:rFonts w:cs="Arial"/>
        </w:rPr>
        <w:t xml:space="preserve">considered on a case-by-case basis by the Manager Spectrum Planning Section and as part of the process the views of TOB </w:t>
      </w:r>
      <w:proofErr w:type="spellStart"/>
      <w:r w:rsidR="00014F89" w:rsidRPr="00D77B31">
        <w:rPr>
          <w:rFonts w:cs="Arial"/>
        </w:rPr>
        <w:t>licence</w:t>
      </w:r>
      <w:r w:rsidR="00B17B89" w:rsidRPr="00D77B31">
        <w:rPr>
          <w:rFonts w:cs="Arial"/>
        </w:rPr>
        <w:t>es</w:t>
      </w:r>
      <w:proofErr w:type="spellEnd"/>
      <w:r w:rsidR="00014F89" w:rsidRPr="00D77B31">
        <w:rPr>
          <w:rFonts w:cs="Arial"/>
        </w:rPr>
        <w:t xml:space="preserve"> are s</w:t>
      </w:r>
      <w:r w:rsidR="00982AB8" w:rsidRPr="00D77B31">
        <w:rPr>
          <w:rFonts w:cs="Arial"/>
        </w:rPr>
        <w:t>ought</w:t>
      </w:r>
      <w:r w:rsidR="006F48D0" w:rsidRPr="00D77B31">
        <w:rPr>
          <w:rFonts w:cs="Arial"/>
        </w:rPr>
        <w:t>.</w:t>
      </w:r>
      <w:r w:rsidR="00982AB8" w:rsidRPr="00D77B31">
        <w:rPr>
          <w:rFonts w:cs="Arial"/>
        </w:rPr>
        <w:t xml:space="preserve"> </w:t>
      </w:r>
    </w:p>
    <w:p w14:paraId="53B546E9" w14:textId="77777777" w:rsidR="004364A9" w:rsidRPr="00D77B31" w:rsidRDefault="004364A9" w:rsidP="004364A9">
      <w:pPr>
        <w:rPr>
          <w:rFonts w:cs="Arial"/>
        </w:rPr>
      </w:pPr>
      <w:r w:rsidRPr="00D77B31">
        <w:rPr>
          <w:rFonts w:cs="Arial"/>
        </w:rPr>
        <w:t>Mobile TOB receivers (such as ENG vans and wireless cameras) and un</w:t>
      </w:r>
      <w:r w:rsidR="00177E68" w:rsidRPr="00D77B31">
        <w:rPr>
          <w:rFonts w:cs="Arial"/>
        </w:rPr>
        <w:t>licensed</w:t>
      </w:r>
      <w:r w:rsidRPr="00D77B31">
        <w:rPr>
          <w:rFonts w:cs="Arial"/>
        </w:rPr>
        <w:t xml:space="preserve"> fixed TOB receivers will not be afforded protection</w:t>
      </w:r>
      <w:r w:rsidR="00C22604" w:rsidRPr="00D77B31">
        <w:rPr>
          <w:rFonts w:cs="Arial"/>
        </w:rPr>
        <w:t>, though some inherent protection is provided by the procedures set out in this RALI</w:t>
      </w:r>
      <w:r w:rsidRPr="00D77B31">
        <w:rPr>
          <w:rFonts w:cs="Arial"/>
        </w:rPr>
        <w:t>.</w:t>
      </w:r>
    </w:p>
    <w:p w14:paraId="5DE38A91" w14:textId="77777777" w:rsidR="004364A9" w:rsidRPr="00D77B31" w:rsidRDefault="004364A9" w:rsidP="00842DFD">
      <w:pPr>
        <w:rPr>
          <w:rFonts w:cs="Arial"/>
        </w:rPr>
      </w:pPr>
      <w:r w:rsidRPr="00D77B31">
        <w:rPr>
          <w:rFonts w:cs="Arial"/>
        </w:rPr>
        <w:t>The following subsections outline the process of assessing the likelihood of interference from existing service.</w:t>
      </w:r>
    </w:p>
    <w:p w14:paraId="7D47C20D" w14:textId="29B7B001" w:rsidR="00842DFD" w:rsidRPr="00D77B31" w:rsidRDefault="00842DFD" w:rsidP="009318BA">
      <w:pPr>
        <w:pStyle w:val="Heading2"/>
      </w:pPr>
      <w:bookmarkStart w:id="192" w:name="_Toc111710876"/>
      <w:r w:rsidRPr="00D77B31">
        <w:t xml:space="preserve">Television </w:t>
      </w:r>
      <w:r w:rsidR="005B1E0A" w:rsidRPr="00D77B31">
        <w:t>o</w:t>
      </w:r>
      <w:r w:rsidRPr="00D77B31">
        <w:t xml:space="preserve">utside </w:t>
      </w:r>
      <w:r w:rsidR="005B1E0A" w:rsidRPr="00D77B31">
        <w:t>b</w:t>
      </w:r>
      <w:r w:rsidRPr="00D77B31">
        <w:t>roadcasting</w:t>
      </w:r>
      <w:bookmarkEnd w:id="192"/>
    </w:p>
    <w:p w14:paraId="44EC63B5" w14:textId="77777777" w:rsidR="00842DFD" w:rsidRPr="00D77B31" w:rsidRDefault="00842DFD" w:rsidP="00842DFD">
      <w:pPr>
        <w:rPr>
          <w:rFonts w:cs="Arial"/>
        </w:rPr>
      </w:pPr>
      <w:r w:rsidRPr="00D77B31">
        <w:rPr>
          <w:rFonts w:cs="Arial"/>
        </w:rPr>
        <w:t>No frequency coordination within the bands 2010-2110 MHz and 2200-2300 MHz between TOB services is required for TOB assignments</w:t>
      </w:r>
      <w:r w:rsidR="00E30E8E" w:rsidRPr="00D77B31">
        <w:rPr>
          <w:rFonts w:cs="Arial"/>
        </w:rPr>
        <w:t xml:space="preserve">. </w:t>
      </w:r>
      <w:r w:rsidRPr="00D77B31">
        <w:rPr>
          <w:rFonts w:cs="Arial"/>
        </w:rPr>
        <w:t>TOB fixed services operate on a shared unprotected basis</w:t>
      </w:r>
      <w:r w:rsidR="00E30E8E" w:rsidRPr="00D77B31">
        <w:rPr>
          <w:rFonts w:cs="Arial"/>
        </w:rPr>
        <w:t xml:space="preserve">. </w:t>
      </w:r>
      <w:r w:rsidRPr="00D77B31">
        <w:rPr>
          <w:rFonts w:cs="Arial"/>
        </w:rPr>
        <w:t>TOB licensees are required to coordinate usage within the bands with other TOB licensees.</w:t>
      </w:r>
    </w:p>
    <w:p w14:paraId="3BBA01AD" w14:textId="77777777" w:rsidR="00E01113" w:rsidRPr="00D77B31" w:rsidRDefault="00842DFD" w:rsidP="009318BA">
      <w:pPr>
        <w:pStyle w:val="Heading2"/>
      </w:pPr>
      <w:bookmarkStart w:id="193" w:name="_Toc380417079"/>
      <w:bookmarkStart w:id="194" w:name="_Toc111710877"/>
      <w:bookmarkEnd w:id="193"/>
      <w:r w:rsidRPr="00D77B31">
        <w:t>Fixed point-to-point links</w:t>
      </w:r>
      <w:r w:rsidR="002E6491" w:rsidRPr="00D77B31">
        <w:t xml:space="preserve"> transmitters</w:t>
      </w:r>
      <w:bookmarkEnd w:id="194"/>
    </w:p>
    <w:p w14:paraId="69DF2B67" w14:textId="77777777" w:rsidR="00BF6D9C" w:rsidRPr="00D77B31" w:rsidRDefault="00842DFD">
      <w:pPr>
        <w:keepNext/>
        <w:rPr>
          <w:rFonts w:cs="Arial"/>
        </w:rPr>
      </w:pPr>
      <w:r w:rsidRPr="00D77B31">
        <w:rPr>
          <w:rFonts w:cs="Arial"/>
        </w:rPr>
        <w:t>It is anticipated that most fixed TOB collection stations will typically be located within the fixed link clearance zones and will not be impacted by fixed links</w:t>
      </w:r>
      <w:r w:rsidR="00E30E8E" w:rsidRPr="00D77B31">
        <w:rPr>
          <w:rFonts w:cs="Arial"/>
        </w:rPr>
        <w:t xml:space="preserve">. </w:t>
      </w:r>
      <w:r w:rsidRPr="00D77B31">
        <w:rPr>
          <w:rFonts w:cs="Arial"/>
        </w:rPr>
        <w:t xml:space="preserve">Outside these fixed link clearance areas new TOB fixed receiver stations may be </w:t>
      </w:r>
      <w:r w:rsidR="004364A9" w:rsidRPr="00D77B31">
        <w:rPr>
          <w:rFonts w:cs="Arial"/>
        </w:rPr>
        <w:t>licensed</w:t>
      </w:r>
      <w:r w:rsidRPr="00D77B31">
        <w:rPr>
          <w:rFonts w:cs="Arial"/>
        </w:rPr>
        <w:t xml:space="preserve"> with coordination with existing fixed links</w:t>
      </w:r>
      <w:r w:rsidR="00E30E8E" w:rsidRPr="00D77B31">
        <w:rPr>
          <w:rFonts w:cs="Arial"/>
        </w:rPr>
        <w:t xml:space="preserve">. </w:t>
      </w:r>
    </w:p>
    <w:p w14:paraId="22051CCD" w14:textId="77777777" w:rsidR="00E0728B" w:rsidRPr="00D77B31" w:rsidRDefault="00E0728B" w:rsidP="00E0728B">
      <w:pPr>
        <w:rPr>
          <w:rFonts w:cs="Arial"/>
        </w:rPr>
      </w:pPr>
      <w:r w:rsidRPr="00D77B31">
        <w:rPr>
          <w:rFonts w:cs="Arial"/>
        </w:rPr>
        <w:t>To assess whether a fixed TOB receiving station will be exposed to unacceptable levels of interference, the level of interfering signal at the TOB fixed receiver can be calculated using the methods described in RALI FX3 using the propagation model ITU-R P.526 (with k=1.33)</w:t>
      </w:r>
      <w:r w:rsidR="00AE1C37" w:rsidRPr="00D77B31">
        <w:rPr>
          <w:rFonts w:cs="Arial"/>
        </w:rPr>
        <w:t xml:space="preserve"> and protection requirements outlined in Appendix B</w:t>
      </w:r>
      <w:r w:rsidRPr="00D77B31">
        <w:rPr>
          <w:rFonts w:cs="Arial"/>
        </w:rPr>
        <w:t>.</w:t>
      </w:r>
    </w:p>
    <w:p w14:paraId="4F92E864" w14:textId="77777777" w:rsidR="00442B4C" w:rsidRPr="00D77B31" w:rsidRDefault="00E0728B" w:rsidP="00442B4C">
      <w:pPr>
        <w:rPr>
          <w:rFonts w:cs="Arial"/>
        </w:rPr>
      </w:pPr>
      <w:r w:rsidRPr="00D77B31">
        <w:rPr>
          <w:rFonts w:cs="Arial"/>
        </w:rPr>
        <w:t xml:space="preserve">New fixed links will be required to coordinate with all </w:t>
      </w:r>
      <w:r w:rsidR="00177E68" w:rsidRPr="00D77B31">
        <w:rPr>
          <w:rFonts w:cs="Arial"/>
        </w:rPr>
        <w:t xml:space="preserve">licensed </w:t>
      </w:r>
      <w:r w:rsidRPr="00D77B31">
        <w:rPr>
          <w:rFonts w:cs="Arial"/>
        </w:rPr>
        <w:t>fixed TOB collection stations.</w:t>
      </w:r>
    </w:p>
    <w:p w14:paraId="1F65D458" w14:textId="1D20154D" w:rsidR="00842DFD" w:rsidRPr="00D77B31" w:rsidRDefault="00842DFD" w:rsidP="009318BA">
      <w:pPr>
        <w:pStyle w:val="Heading2"/>
      </w:pPr>
      <w:bookmarkStart w:id="195" w:name="_Toc380417081"/>
      <w:bookmarkStart w:id="196" w:name="_Toc380417083"/>
      <w:bookmarkStart w:id="197" w:name="_Toc111710878"/>
      <w:bookmarkEnd w:id="195"/>
      <w:bookmarkEnd w:id="196"/>
      <w:r w:rsidRPr="00D77B31">
        <w:t xml:space="preserve">Earth </w:t>
      </w:r>
      <w:r w:rsidR="005B1E0A" w:rsidRPr="00D77B31">
        <w:t>s</w:t>
      </w:r>
      <w:r w:rsidRPr="00D77B31">
        <w:t>tation</w:t>
      </w:r>
      <w:r w:rsidR="002E6491" w:rsidRPr="00D77B31">
        <w:t xml:space="preserve"> </w:t>
      </w:r>
      <w:r w:rsidR="005B1E0A" w:rsidRPr="00D77B31">
        <w:t>t</w:t>
      </w:r>
      <w:r w:rsidR="002E6491" w:rsidRPr="00D77B31">
        <w:t>ransmitters</w:t>
      </w:r>
      <w:bookmarkEnd w:id="197"/>
    </w:p>
    <w:p w14:paraId="208FFDED" w14:textId="0707EADA" w:rsidR="009C2D65" w:rsidRPr="00D77B31" w:rsidRDefault="009C2D65" w:rsidP="009C2D65">
      <w:pPr>
        <w:rPr>
          <w:rFonts w:cs="Arial"/>
        </w:rPr>
      </w:pPr>
      <w:r w:rsidRPr="00D77B31">
        <w:rPr>
          <w:rFonts w:cs="Arial"/>
        </w:rPr>
        <w:t>The 2025-2110 MHz band is allocated to the Space Research (Earth-to-space) service</w:t>
      </w:r>
      <w:r w:rsidR="00E07C24" w:rsidRPr="00D77B31">
        <w:rPr>
          <w:rFonts w:cs="Arial"/>
        </w:rPr>
        <w:t>,</w:t>
      </w:r>
      <w:r w:rsidRPr="00D77B31">
        <w:rPr>
          <w:rFonts w:cs="Arial"/>
        </w:rPr>
        <w:t xml:space="preserve"> Space Operation (Earth-to-space)</w:t>
      </w:r>
      <w:r w:rsidR="00E07C24" w:rsidRPr="00D77B31">
        <w:rPr>
          <w:rFonts w:cs="Arial"/>
        </w:rPr>
        <w:t xml:space="preserve"> and Earth Exploration-Satellite (space-to-Earth</w:t>
      </w:r>
      <w:r w:rsidR="008C2B75" w:rsidRPr="00D77B31">
        <w:rPr>
          <w:rFonts w:cs="Arial"/>
        </w:rPr>
        <w:t>) service</w:t>
      </w:r>
      <w:r w:rsidR="008A5DEE" w:rsidRPr="00D77B31">
        <w:rPr>
          <w:rFonts w:cs="Arial"/>
        </w:rPr>
        <w:t>s</w:t>
      </w:r>
      <w:r w:rsidRPr="00D77B31">
        <w:rPr>
          <w:rFonts w:cs="Arial"/>
        </w:rPr>
        <w:t xml:space="preserve"> on a Primary basis</w:t>
      </w:r>
      <w:r w:rsidR="00E30E8E" w:rsidRPr="00D77B31">
        <w:rPr>
          <w:rFonts w:cs="Arial"/>
        </w:rPr>
        <w:t xml:space="preserve">. </w:t>
      </w:r>
      <w:r w:rsidRPr="00D77B31">
        <w:rPr>
          <w:rFonts w:cs="Arial"/>
        </w:rPr>
        <w:t xml:space="preserve">TOB receivers </w:t>
      </w:r>
      <w:r w:rsidR="00926B18" w:rsidRPr="00D77B31">
        <w:rPr>
          <w:rFonts w:cs="Arial"/>
        </w:rPr>
        <w:t xml:space="preserve">will not be afforded protection from </w:t>
      </w:r>
      <w:r w:rsidRPr="00D77B31">
        <w:rPr>
          <w:rFonts w:cs="Arial"/>
        </w:rPr>
        <w:t xml:space="preserve">interference from </w:t>
      </w:r>
      <w:r w:rsidR="00926B18" w:rsidRPr="00D77B31">
        <w:rPr>
          <w:rFonts w:cs="Arial"/>
        </w:rPr>
        <w:t>e</w:t>
      </w:r>
      <w:r w:rsidRPr="00D77B31">
        <w:rPr>
          <w:rFonts w:cs="Arial"/>
        </w:rPr>
        <w:t xml:space="preserve">arth station </w:t>
      </w:r>
      <w:r w:rsidR="00926B18" w:rsidRPr="00D77B31">
        <w:rPr>
          <w:rFonts w:cs="Arial"/>
        </w:rPr>
        <w:t>transmitters described in this RALI.</w:t>
      </w:r>
      <w:r w:rsidRPr="00D77B31">
        <w:rPr>
          <w:rFonts w:cs="Arial"/>
        </w:rPr>
        <w:t xml:space="preserve"> For location of </w:t>
      </w:r>
      <w:r w:rsidR="006D1F9D" w:rsidRPr="00D77B31">
        <w:rPr>
          <w:rFonts w:cs="Arial"/>
        </w:rPr>
        <w:t xml:space="preserve">earth </w:t>
      </w:r>
      <w:r w:rsidRPr="00D77B31">
        <w:rPr>
          <w:rFonts w:cs="Arial"/>
        </w:rPr>
        <w:t xml:space="preserve">stations please see </w:t>
      </w:r>
      <w:r w:rsidRPr="00D77B31">
        <w:rPr>
          <w:rFonts w:cs="Arial"/>
        </w:rPr>
        <w:lastRenderedPageBreak/>
        <w:t xml:space="preserve">Section </w:t>
      </w:r>
      <w:r w:rsidR="00C440F0" w:rsidRPr="00D77B31">
        <w:rPr>
          <w:rFonts w:cs="Arial"/>
        </w:rPr>
        <w:fldChar w:fldCharType="begin"/>
      </w:r>
      <w:r w:rsidRPr="00D77B31">
        <w:rPr>
          <w:rFonts w:cs="Arial"/>
        </w:rPr>
        <w:instrText xml:space="preserve"> REF _Ref379288860 \r \h </w:instrText>
      </w:r>
      <w:r w:rsidR="00481675" w:rsidRPr="00D77B31">
        <w:rPr>
          <w:rFonts w:cs="Arial"/>
        </w:rPr>
        <w:instrText xml:space="preserve"> \* MERGEFORMAT </w:instrText>
      </w:r>
      <w:r w:rsidR="00C440F0" w:rsidRPr="00D77B31">
        <w:rPr>
          <w:rFonts w:cs="Arial"/>
        </w:rPr>
      </w:r>
      <w:r w:rsidR="00C440F0" w:rsidRPr="00D77B31">
        <w:rPr>
          <w:rFonts w:cs="Arial"/>
        </w:rPr>
        <w:fldChar w:fldCharType="separate"/>
      </w:r>
      <w:r w:rsidR="003F79BE">
        <w:rPr>
          <w:rFonts w:cs="Arial"/>
        </w:rPr>
        <w:t>3.5</w:t>
      </w:r>
      <w:r w:rsidR="00C440F0" w:rsidRPr="00D77B31">
        <w:rPr>
          <w:rFonts w:cs="Arial"/>
        </w:rPr>
        <w:fldChar w:fldCharType="end"/>
      </w:r>
      <w:r w:rsidR="00E30E8E" w:rsidRPr="00D77B31">
        <w:rPr>
          <w:rFonts w:cs="Arial"/>
        </w:rPr>
        <w:t xml:space="preserve">. </w:t>
      </w:r>
      <w:r w:rsidR="00926B18" w:rsidRPr="00D77B31">
        <w:rPr>
          <w:rFonts w:cs="Arial"/>
        </w:rPr>
        <w:t>Earth station transmitters at Mingenew and Tidbinbilla have access to the entire band</w:t>
      </w:r>
      <w:r w:rsidR="008C2B75" w:rsidRPr="00D77B31">
        <w:rPr>
          <w:rFonts w:cs="Arial"/>
        </w:rPr>
        <w:t>.</w:t>
      </w:r>
      <w:r w:rsidR="00926B18" w:rsidRPr="00D77B31">
        <w:rPr>
          <w:rFonts w:cs="Arial"/>
        </w:rPr>
        <w:t xml:space="preserve"> </w:t>
      </w:r>
      <w:r w:rsidR="008C2B75" w:rsidRPr="00D77B31">
        <w:rPr>
          <w:rFonts w:cs="Arial"/>
        </w:rPr>
        <w:t>S</w:t>
      </w:r>
      <w:r w:rsidR="00EA52E3" w:rsidRPr="00D77B31">
        <w:rPr>
          <w:rFonts w:cs="Arial"/>
        </w:rPr>
        <w:t xml:space="preserve">pecific operational characteristics of </w:t>
      </w:r>
      <w:r w:rsidR="00926B18" w:rsidRPr="00D77B31">
        <w:rPr>
          <w:rFonts w:cs="Arial"/>
        </w:rPr>
        <w:t>other e</w:t>
      </w:r>
      <w:r w:rsidR="00EA52E3" w:rsidRPr="00D77B31">
        <w:rPr>
          <w:rFonts w:cs="Arial"/>
        </w:rPr>
        <w:t>arth station are described below.</w:t>
      </w:r>
    </w:p>
    <w:p w14:paraId="47428695" w14:textId="77777777" w:rsidR="00EF0194" w:rsidRPr="00D77B31" w:rsidRDefault="00EF0194" w:rsidP="005B1E0A">
      <w:pPr>
        <w:pStyle w:val="Heading3"/>
      </w:pPr>
      <w:bookmarkStart w:id="198" w:name="_Toc111710879"/>
      <w:r w:rsidRPr="00D77B31">
        <w:t>Alice Springs</w:t>
      </w:r>
      <w:bookmarkEnd w:id="198"/>
    </w:p>
    <w:p w14:paraId="5E31CDA8" w14:textId="0833F385" w:rsidR="00EF0194" w:rsidRPr="00D77B31" w:rsidRDefault="00EF0194" w:rsidP="009C2D65">
      <w:pPr>
        <w:keepNext/>
        <w:rPr>
          <w:rFonts w:cs="Arial"/>
          <w:u w:val="single"/>
        </w:rPr>
      </w:pPr>
      <w:r w:rsidRPr="00D77B31">
        <w:rPr>
          <w:rFonts w:cs="Arial"/>
        </w:rPr>
        <w:t xml:space="preserve">Alice Springs Earth Station transmits in the </w:t>
      </w:r>
      <w:r w:rsidR="00D858E6" w:rsidRPr="00D77B31">
        <w:rPr>
          <w:rFonts w:cs="Arial"/>
        </w:rPr>
        <w:t>both the 2025-2110 MHz and</w:t>
      </w:r>
      <w:r w:rsidRPr="00D77B31">
        <w:rPr>
          <w:rFonts w:cs="Arial"/>
        </w:rPr>
        <w:t xml:space="preserve"> 2200-2300 MHz</w:t>
      </w:r>
      <w:r w:rsidR="00D858E6" w:rsidRPr="00D77B31">
        <w:rPr>
          <w:rFonts w:cs="Arial"/>
        </w:rPr>
        <w:t xml:space="preserve"> bands</w:t>
      </w:r>
      <w:r w:rsidR="00E30E8E" w:rsidRPr="00D77B31">
        <w:rPr>
          <w:rFonts w:cs="Arial"/>
        </w:rPr>
        <w:t xml:space="preserve">. </w:t>
      </w:r>
      <w:r w:rsidR="00954438" w:rsidRPr="00D77B31">
        <w:rPr>
          <w:rFonts w:cs="Arial"/>
        </w:rPr>
        <w:t>TOB</w:t>
      </w:r>
      <w:r w:rsidRPr="00D77B31">
        <w:rPr>
          <w:rFonts w:cs="Arial"/>
        </w:rPr>
        <w:t xml:space="preserve"> services that operate fully or partly in the band</w:t>
      </w:r>
      <w:r w:rsidR="00D858E6" w:rsidRPr="00D77B31">
        <w:rPr>
          <w:rFonts w:cs="Arial"/>
        </w:rPr>
        <w:t>s 2101.5-2101.7 MHz and</w:t>
      </w:r>
      <w:r w:rsidRPr="00D77B31">
        <w:rPr>
          <w:rFonts w:cs="Arial"/>
        </w:rPr>
        <w:t xml:space="preserve"> 2284.5-2290.5 MHz will not be afforded protection from the </w:t>
      </w:r>
      <w:r w:rsidR="00726125" w:rsidRPr="00D77B31">
        <w:rPr>
          <w:rFonts w:cs="Arial"/>
        </w:rPr>
        <w:t>earth station</w:t>
      </w:r>
      <w:r w:rsidRPr="00D77B31">
        <w:rPr>
          <w:rFonts w:cs="Arial"/>
        </w:rPr>
        <w:t>.</w:t>
      </w:r>
    </w:p>
    <w:p w14:paraId="49DF597A" w14:textId="77777777" w:rsidR="009C2D65" w:rsidRPr="00D77B31" w:rsidRDefault="009C2D65" w:rsidP="005B1E0A">
      <w:pPr>
        <w:pStyle w:val="Heading3"/>
      </w:pPr>
      <w:bookmarkStart w:id="199" w:name="_Toc111710880"/>
      <w:r w:rsidRPr="00D77B31">
        <w:t>HMAS Cerberus</w:t>
      </w:r>
      <w:bookmarkEnd w:id="199"/>
    </w:p>
    <w:p w14:paraId="187870B8" w14:textId="65CEE8E8" w:rsidR="009C2D65" w:rsidRPr="00D77B31" w:rsidRDefault="009C2D65" w:rsidP="009C2D65">
      <w:pPr>
        <w:keepNext/>
        <w:rPr>
          <w:rFonts w:cs="Arial"/>
        </w:rPr>
      </w:pPr>
      <w:r w:rsidRPr="00D77B31">
        <w:rPr>
          <w:rFonts w:cs="Arial"/>
        </w:rPr>
        <w:t>The Bureau of Meteorology (BOM) operates in the bands 2031.7-2032.7 MHz and 2046-2047 MHz</w:t>
      </w:r>
      <w:r w:rsidR="00E30E8E" w:rsidRPr="00D77B31">
        <w:rPr>
          <w:rFonts w:cs="Arial"/>
        </w:rPr>
        <w:t xml:space="preserve">. </w:t>
      </w:r>
      <w:r w:rsidR="00EE7043" w:rsidRPr="00D77B31">
        <w:rPr>
          <w:rFonts w:cs="Arial"/>
        </w:rPr>
        <w:t xml:space="preserve">TOB </w:t>
      </w:r>
      <w:r w:rsidR="003E62CC" w:rsidRPr="00D77B31">
        <w:rPr>
          <w:rFonts w:cs="Arial"/>
        </w:rPr>
        <w:t>receivers</w:t>
      </w:r>
      <w:r w:rsidRPr="00D77B31">
        <w:rPr>
          <w:rFonts w:cs="Arial"/>
        </w:rPr>
        <w:t xml:space="preserve"> operating partially or fully in these bands cannot claim interference from the BOM HMAS Cerberus </w:t>
      </w:r>
      <w:r w:rsidR="00726125" w:rsidRPr="00D77B31">
        <w:rPr>
          <w:rFonts w:cs="Arial"/>
        </w:rPr>
        <w:t>earth station</w:t>
      </w:r>
      <w:r w:rsidRPr="00D77B31">
        <w:rPr>
          <w:rFonts w:cs="Arial"/>
        </w:rPr>
        <w:t>.</w:t>
      </w:r>
    </w:p>
    <w:p w14:paraId="10E7E816" w14:textId="77777777" w:rsidR="009C2D65" w:rsidRPr="00D77B31" w:rsidRDefault="009C2D65" w:rsidP="005B1E0A">
      <w:pPr>
        <w:pStyle w:val="Heading3"/>
      </w:pPr>
      <w:bookmarkStart w:id="200" w:name="_Toc111710881"/>
      <w:r w:rsidRPr="00D77B31">
        <w:t>New Norcia</w:t>
      </w:r>
      <w:bookmarkEnd w:id="200"/>
    </w:p>
    <w:p w14:paraId="2BBF4DD7" w14:textId="5AA9EA17" w:rsidR="009C2D65" w:rsidRPr="00D77B31" w:rsidRDefault="009C2D65" w:rsidP="009C2D65">
      <w:pPr>
        <w:keepNext/>
        <w:rPr>
          <w:rFonts w:cs="Arial"/>
        </w:rPr>
      </w:pPr>
      <w:r w:rsidRPr="00D77B31">
        <w:rPr>
          <w:rFonts w:cs="Arial"/>
        </w:rPr>
        <w:t xml:space="preserve">New Norcia </w:t>
      </w:r>
      <w:r w:rsidR="00726125" w:rsidRPr="00D77B31">
        <w:rPr>
          <w:rFonts w:cs="Arial"/>
        </w:rPr>
        <w:t>earth station</w:t>
      </w:r>
      <w:r w:rsidRPr="00D77B31">
        <w:rPr>
          <w:rFonts w:cs="Arial"/>
        </w:rPr>
        <w:t xml:space="preserve"> </w:t>
      </w:r>
      <w:r w:rsidR="00367C6E" w:rsidRPr="00D77B31">
        <w:rPr>
          <w:rFonts w:cs="Arial"/>
        </w:rPr>
        <w:t>operates in</w:t>
      </w:r>
      <w:r w:rsidRPr="00D77B31">
        <w:rPr>
          <w:rFonts w:cs="Arial"/>
        </w:rPr>
        <w:t xml:space="preserve"> the bands 2044</w:t>
      </w:r>
      <w:r w:rsidRPr="00D77B31">
        <w:rPr>
          <w:rFonts w:cs="Arial"/>
        </w:rPr>
        <w:noBreakHyphen/>
        <w:t>2054 MHz and 2110-2120 MHz</w:t>
      </w:r>
      <w:r w:rsidR="00E30E8E" w:rsidRPr="00D77B31">
        <w:rPr>
          <w:rFonts w:cs="Arial"/>
        </w:rPr>
        <w:t xml:space="preserve">. </w:t>
      </w:r>
      <w:r w:rsidRPr="00D77B31">
        <w:rPr>
          <w:rFonts w:cs="Arial"/>
        </w:rPr>
        <w:t>The European Space Agency may occasionally request access to</w:t>
      </w:r>
      <w:r w:rsidR="00E07C24" w:rsidRPr="00D77B31">
        <w:rPr>
          <w:rFonts w:cs="Arial"/>
        </w:rPr>
        <w:t xml:space="preserve"> the</w:t>
      </w:r>
      <w:r w:rsidRPr="00D77B31">
        <w:rPr>
          <w:rFonts w:cs="Arial"/>
        </w:rPr>
        <w:t xml:space="preserve"> remainder of the band for short duration activities, such as launcher tracking and Launch and Early Orbit </w:t>
      </w:r>
      <w:r w:rsidR="008A5DEE" w:rsidRPr="00D77B31">
        <w:rPr>
          <w:rFonts w:cs="Arial"/>
        </w:rPr>
        <w:t xml:space="preserve">Phase </w:t>
      </w:r>
      <w:r w:rsidRPr="00D77B31">
        <w:rPr>
          <w:rFonts w:cs="Arial"/>
        </w:rPr>
        <w:t>(LEOP) support</w:t>
      </w:r>
      <w:r w:rsidRPr="00D77B31">
        <w:rPr>
          <w:rStyle w:val="FootnoteReference"/>
          <w:rFonts w:cs="Arial"/>
        </w:rPr>
        <w:footnoteReference w:id="19"/>
      </w:r>
      <w:r w:rsidR="00E30E8E" w:rsidRPr="00D77B31">
        <w:rPr>
          <w:rFonts w:cs="Arial"/>
        </w:rPr>
        <w:t xml:space="preserve">. </w:t>
      </w:r>
      <w:r w:rsidR="00852C00" w:rsidRPr="00D77B31">
        <w:rPr>
          <w:rFonts w:cs="Arial"/>
          <w:szCs w:val="22"/>
          <w:lang w:eastAsia="en-US"/>
        </w:rPr>
        <w:t xml:space="preserve">Spectrum coordination arrangements </w:t>
      </w:r>
      <w:r w:rsidR="00E70F3B" w:rsidRPr="00D77B31">
        <w:rPr>
          <w:rFonts w:cs="Arial"/>
          <w:szCs w:val="22"/>
          <w:lang w:eastAsia="en-US"/>
        </w:rPr>
        <w:t xml:space="preserve">for such accesses </w:t>
      </w:r>
      <w:r w:rsidR="00852C00" w:rsidRPr="00D77B31">
        <w:rPr>
          <w:rFonts w:cs="Arial"/>
          <w:szCs w:val="22"/>
          <w:lang w:eastAsia="en-US"/>
        </w:rPr>
        <w:t xml:space="preserve">and the </w:t>
      </w:r>
      <w:r w:rsidR="00E70F3B" w:rsidRPr="00D77B31">
        <w:rPr>
          <w:rFonts w:cs="Arial"/>
          <w:szCs w:val="22"/>
          <w:lang w:eastAsia="en-US"/>
        </w:rPr>
        <w:t xml:space="preserve">procedures </w:t>
      </w:r>
      <w:r w:rsidR="00E70F3B" w:rsidRPr="00D77B31">
        <w:rPr>
          <w:rFonts w:cs="Arial"/>
        </w:rPr>
        <w:t>by which</w:t>
      </w:r>
      <w:r w:rsidR="00852C00" w:rsidRPr="00D77B31">
        <w:rPr>
          <w:rFonts w:cs="Arial"/>
        </w:rPr>
        <w:t xml:space="preserve"> such request are to be </w:t>
      </w:r>
      <w:r w:rsidR="00E70F3B" w:rsidRPr="00D77B31">
        <w:rPr>
          <w:rFonts w:cs="Arial"/>
        </w:rPr>
        <w:t xml:space="preserve">made are contained in the document “Spectrum coordination arrangements” which </w:t>
      </w:r>
      <w:r w:rsidR="00F9550F" w:rsidRPr="00D77B31">
        <w:rPr>
          <w:rFonts w:cs="Arial"/>
        </w:rPr>
        <w:t>is</w:t>
      </w:r>
      <w:r w:rsidR="0021578A" w:rsidRPr="00D77B31">
        <w:rPr>
          <w:rFonts w:cs="Arial"/>
        </w:rPr>
        <w:t xml:space="preserve"> available on the ACMA website</w:t>
      </w:r>
      <w:r w:rsidR="00F9550F" w:rsidRPr="00D77B31">
        <w:rPr>
          <w:rFonts w:cs="Arial"/>
        </w:rPr>
        <w:t xml:space="preserve"> </w:t>
      </w:r>
      <w:r w:rsidR="00C234D6" w:rsidRPr="00D77B31">
        <w:rPr>
          <w:rFonts w:cs="Arial"/>
        </w:rPr>
        <w:t>(</w:t>
      </w:r>
      <w:hyperlink r:id="rId39" w:history="1">
        <w:r w:rsidR="00CB0F59" w:rsidRPr="00D77B31">
          <w:rPr>
            <w:rStyle w:val="Hyperlink"/>
            <w:rFonts w:cs="Arial"/>
          </w:rPr>
          <w:t>RALI FX21</w:t>
        </w:r>
      </w:hyperlink>
      <w:r w:rsidR="00C234D6" w:rsidRPr="00D77B31">
        <w:rPr>
          <w:rFonts w:cs="Arial"/>
        </w:rPr>
        <w:t>)</w:t>
      </w:r>
      <w:r w:rsidR="00F9550F" w:rsidRPr="00D77B31">
        <w:rPr>
          <w:rFonts w:cs="Arial"/>
        </w:rPr>
        <w:t xml:space="preserve">. All licensing, to support Launcher and LEOP activities will </w:t>
      </w:r>
      <w:r w:rsidR="00FC71C1" w:rsidRPr="00D77B31">
        <w:rPr>
          <w:rFonts w:cs="Arial"/>
        </w:rPr>
        <w:t>be in accordance with</w:t>
      </w:r>
      <w:r w:rsidR="00F9550F" w:rsidRPr="00D77B31">
        <w:rPr>
          <w:rFonts w:cs="Arial"/>
        </w:rPr>
        <w:t xml:space="preserve"> this agreement. </w:t>
      </w:r>
      <w:r w:rsidRPr="00D77B31">
        <w:rPr>
          <w:rFonts w:cs="Arial"/>
        </w:rPr>
        <w:t xml:space="preserve">TOB licensees are encouraged to consider such coordination requests and support where possible. </w:t>
      </w:r>
    </w:p>
    <w:p w14:paraId="6519ED45" w14:textId="10EA5077" w:rsidR="00842DFD" w:rsidRPr="00D77B31" w:rsidRDefault="00842DFD" w:rsidP="009318BA">
      <w:pPr>
        <w:pStyle w:val="Heading2"/>
      </w:pPr>
      <w:bookmarkStart w:id="201" w:name="_Toc380417085"/>
      <w:bookmarkStart w:id="202" w:name="_Toc111710882"/>
      <w:bookmarkEnd w:id="201"/>
      <w:r w:rsidRPr="00D77B31">
        <w:t xml:space="preserve">Airborne </w:t>
      </w:r>
      <w:r w:rsidR="007178A8" w:rsidRPr="00D77B31">
        <w:t>m</w:t>
      </w:r>
      <w:r w:rsidRPr="00D77B31">
        <w:t xml:space="preserve">obile </w:t>
      </w:r>
      <w:r w:rsidR="007178A8" w:rsidRPr="00D77B31">
        <w:t>t</w:t>
      </w:r>
      <w:r w:rsidRPr="00D77B31">
        <w:t>elemetry</w:t>
      </w:r>
      <w:r w:rsidR="002E6491" w:rsidRPr="00D77B31">
        <w:t xml:space="preserve"> </w:t>
      </w:r>
      <w:r w:rsidR="007178A8" w:rsidRPr="00D77B31">
        <w:t>t</w:t>
      </w:r>
      <w:r w:rsidR="002E6491" w:rsidRPr="00D77B31">
        <w:t>ransmitters</w:t>
      </w:r>
      <w:bookmarkEnd w:id="202"/>
    </w:p>
    <w:p w14:paraId="2EB06ACD" w14:textId="4EDF03FD" w:rsidR="002E6491" w:rsidRPr="00D77B31" w:rsidRDefault="002E6491" w:rsidP="002E6491">
      <w:pPr>
        <w:rPr>
          <w:rFonts w:cs="Arial"/>
        </w:rPr>
      </w:pPr>
      <w:r w:rsidRPr="00D77B31">
        <w:rPr>
          <w:rFonts w:cs="Arial"/>
        </w:rPr>
        <w:t>The Department of Defence operates airborne mobile telemetry (AMT) in the band 2200</w:t>
      </w:r>
      <w:r w:rsidRPr="00D77B31">
        <w:rPr>
          <w:rFonts w:cs="Arial"/>
        </w:rPr>
        <w:noBreakHyphen/>
        <w:t>2300</w:t>
      </w:r>
      <w:r w:rsidR="00EF0194" w:rsidRPr="00D77B31">
        <w:rPr>
          <w:rFonts w:cs="Arial"/>
        </w:rPr>
        <w:t> </w:t>
      </w:r>
      <w:r w:rsidRPr="00D77B31">
        <w:rPr>
          <w:rFonts w:cs="Arial"/>
        </w:rPr>
        <w:t>MHz.</w:t>
      </w:r>
      <w:r w:rsidR="00B21A4A" w:rsidRPr="00D77B31">
        <w:rPr>
          <w:rFonts w:cs="Arial"/>
        </w:rPr>
        <w:t xml:space="preserve"> These services are authorised via Fixed Receive and Aeronautical Assigned System apparatus licences</w:t>
      </w:r>
      <w:r w:rsidR="00E30E8E" w:rsidRPr="00D77B31">
        <w:rPr>
          <w:rFonts w:cs="Arial"/>
        </w:rPr>
        <w:t>.</w:t>
      </w:r>
      <w:r w:rsidRPr="00D77B31">
        <w:rPr>
          <w:rFonts w:cs="Arial"/>
        </w:rPr>
        <w:t xml:space="preserve"> </w:t>
      </w:r>
      <w:r w:rsidR="00B21A4A" w:rsidRPr="00D77B31">
        <w:rPr>
          <w:rFonts w:cs="Arial"/>
        </w:rPr>
        <w:t>TOB operators are to receive from Department of Defence the following notifications through</w:t>
      </w:r>
      <w:r w:rsidR="00BF43F3" w:rsidRPr="00D77B31">
        <w:rPr>
          <w:rFonts w:cs="Arial"/>
        </w:rPr>
        <w:t xml:space="preserve"> a single point of contact</w:t>
      </w:r>
      <w:r w:rsidR="0031168F" w:rsidRPr="00D77B31">
        <w:rPr>
          <w:rFonts w:cs="Arial"/>
        </w:rPr>
        <w:t>:</w:t>
      </w:r>
      <w:r w:rsidR="00BF43F3" w:rsidRPr="00D77B31">
        <w:rPr>
          <w:rStyle w:val="FootnoteReference"/>
          <w:rFonts w:cs="Arial"/>
        </w:rPr>
        <w:footnoteReference w:id="20"/>
      </w:r>
    </w:p>
    <w:p w14:paraId="3067AE1B" w14:textId="64DE7207" w:rsidR="0031168F" w:rsidRPr="00D77B31" w:rsidRDefault="00B21A4A" w:rsidP="00CD5A38">
      <w:pPr>
        <w:pStyle w:val="ListParagraph"/>
        <w:numPr>
          <w:ilvl w:val="0"/>
          <w:numId w:val="18"/>
        </w:numPr>
        <w:ind w:left="295" w:hanging="295"/>
        <w:contextualSpacing w:val="0"/>
        <w:rPr>
          <w:rFonts w:cs="Arial"/>
        </w:rPr>
      </w:pPr>
      <w:r w:rsidRPr="00D77B31">
        <w:rPr>
          <w:rFonts w:cs="Arial"/>
        </w:rPr>
        <w:t>For repeatable, regular use in Defence training/operating areas, Defence, will provide standing advice to TOB operators describing the broad technical and geographic characteristics of ongoing AMT activities.</w:t>
      </w:r>
    </w:p>
    <w:p w14:paraId="6B717625" w14:textId="77777777" w:rsidR="00B21A4A" w:rsidRPr="00D77B31" w:rsidRDefault="00B21A4A" w:rsidP="00335000">
      <w:pPr>
        <w:pStyle w:val="ListParagraph"/>
        <w:numPr>
          <w:ilvl w:val="0"/>
          <w:numId w:val="18"/>
        </w:numPr>
        <w:ind w:left="295" w:hanging="295"/>
        <w:contextualSpacing w:val="0"/>
        <w:rPr>
          <w:rFonts w:cs="Arial"/>
        </w:rPr>
      </w:pPr>
      <w:r w:rsidRPr="00D77B31">
        <w:rPr>
          <w:rFonts w:cs="Arial"/>
        </w:rPr>
        <w:t>For irregular, short duration and location specific AMT activities, Defence will notify their usage of the band on an as needed basis. This will include, where appropriate, time and area of operation and TOB channels affected</w:t>
      </w:r>
    </w:p>
    <w:p w14:paraId="7ACE502A" w14:textId="5615F63D" w:rsidR="00842DFD" w:rsidRPr="00D77B31" w:rsidRDefault="00B21A4A" w:rsidP="009318BA">
      <w:pPr>
        <w:pStyle w:val="Heading2"/>
      </w:pPr>
      <w:r w:rsidRPr="00D77B31">
        <w:t xml:space="preserve"> </w:t>
      </w:r>
      <w:bookmarkStart w:id="203" w:name="_Toc384824129"/>
      <w:bookmarkStart w:id="204" w:name="_Toc384824130"/>
      <w:bookmarkStart w:id="205" w:name="_Toc380417087"/>
      <w:bookmarkStart w:id="206" w:name="_Toc380417088"/>
      <w:bookmarkStart w:id="207" w:name="_Ref381103480"/>
      <w:bookmarkStart w:id="208" w:name="_Toc111710883"/>
      <w:bookmarkEnd w:id="203"/>
      <w:bookmarkEnd w:id="204"/>
      <w:bookmarkEnd w:id="205"/>
      <w:bookmarkEnd w:id="206"/>
      <w:r w:rsidR="00842DFD" w:rsidRPr="00D77B31">
        <w:t xml:space="preserve">Adjacent 2 GHz, 2.3 GHz </w:t>
      </w:r>
      <w:r w:rsidR="007178A8" w:rsidRPr="00D77B31">
        <w:t>s</w:t>
      </w:r>
      <w:r w:rsidR="00842DFD" w:rsidRPr="00D77B31">
        <w:t xml:space="preserve">pectrum </w:t>
      </w:r>
      <w:r w:rsidR="007178A8" w:rsidRPr="00D77B31">
        <w:t>l</w:t>
      </w:r>
      <w:r w:rsidR="00842DFD" w:rsidRPr="00D77B31">
        <w:t xml:space="preserve">icensing </w:t>
      </w:r>
      <w:r w:rsidR="007178A8" w:rsidRPr="00D77B31">
        <w:t>and</w:t>
      </w:r>
      <w:r w:rsidR="00842DFD" w:rsidRPr="00D77B31">
        <w:t xml:space="preserve"> PTS</w:t>
      </w:r>
      <w:bookmarkEnd w:id="207"/>
      <w:bookmarkEnd w:id="208"/>
    </w:p>
    <w:p w14:paraId="57E65CA8" w14:textId="77777777" w:rsidR="00842DFD" w:rsidRPr="00D77B31" w:rsidRDefault="00842DFD" w:rsidP="00595B96">
      <w:pPr>
        <w:rPr>
          <w:rFonts w:cs="Arial"/>
        </w:rPr>
      </w:pPr>
      <w:r w:rsidRPr="00D77B31">
        <w:rPr>
          <w:rFonts w:cs="Arial"/>
        </w:rPr>
        <w:t>The following subsection details the interference analysis that will be required for any fixed TOB receiver wishing to operate in the outlined bands below.</w:t>
      </w:r>
    </w:p>
    <w:p w14:paraId="5AABF8A4" w14:textId="42366B70" w:rsidR="00E2561C" w:rsidRPr="00D77B31" w:rsidRDefault="00E2561C" w:rsidP="00595B96">
      <w:pPr>
        <w:rPr>
          <w:rFonts w:cs="Arial"/>
        </w:rPr>
      </w:pPr>
      <w:r w:rsidRPr="00D77B31">
        <w:rPr>
          <w:rFonts w:cs="Arial"/>
          <w:b/>
        </w:rPr>
        <w:t>1980-2010 MHz band</w:t>
      </w:r>
      <w:r w:rsidR="007178A8" w:rsidRPr="00D77B31">
        <w:rPr>
          <w:rFonts w:cs="Arial"/>
          <w:b/>
        </w:rPr>
        <w:t xml:space="preserve">. </w:t>
      </w:r>
      <w:r w:rsidRPr="00D77B31">
        <w:rPr>
          <w:rFonts w:cs="Arial"/>
        </w:rPr>
        <w:t xml:space="preserve">This band is adjacent to the </w:t>
      </w:r>
      <w:r w:rsidR="006F7E21" w:rsidRPr="00D77B31">
        <w:rPr>
          <w:rFonts w:cs="Arial"/>
        </w:rPr>
        <w:t xml:space="preserve">2 GHz </w:t>
      </w:r>
      <w:r w:rsidRPr="00D77B31">
        <w:rPr>
          <w:rFonts w:cs="Arial"/>
        </w:rPr>
        <w:t>spectrum licence and PTS apparatus licence base station receive band</w:t>
      </w:r>
      <w:r w:rsidR="00E30E8E" w:rsidRPr="00D77B31">
        <w:rPr>
          <w:rFonts w:cs="Arial"/>
        </w:rPr>
        <w:t xml:space="preserve">. </w:t>
      </w:r>
      <w:r w:rsidRPr="00D77B31">
        <w:rPr>
          <w:rFonts w:cs="Arial"/>
        </w:rPr>
        <w:t xml:space="preserve">Fixed TOB receivers cannot claim protection from mobile transmitters </w:t>
      </w:r>
      <w:r w:rsidR="006F7E21" w:rsidRPr="00D77B31">
        <w:rPr>
          <w:rFonts w:cs="Arial"/>
        </w:rPr>
        <w:t xml:space="preserve">conforming to their licence requirements </w:t>
      </w:r>
      <w:r w:rsidRPr="00D77B31">
        <w:rPr>
          <w:rFonts w:cs="Arial"/>
        </w:rPr>
        <w:t>in the adjacent band.</w:t>
      </w:r>
    </w:p>
    <w:p w14:paraId="394B3A24" w14:textId="11753688" w:rsidR="008B4EC8" w:rsidRPr="00D77B31" w:rsidRDefault="00E2561C" w:rsidP="00437815">
      <w:pPr>
        <w:keepNext/>
        <w:keepLines/>
        <w:rPr>
          <w:rFonts w:cs="Arial"/>
        </w:rPr>
      </w:pPr>
      <w:r w:rsidRPr="00D77B31">
        <w:rPr>
          <w:rFonts w:cs="Arial"/>
          <w:b/>
        </w:rPr>
        <w:lastRenderedPageBreak/>
        <w:t>2170-2200 MHz band</w:t>
      </w:r>
      <w:r w:rsidR="007178A8" w:rsidRPr="00D77B31">
        <w:rPr>
          <w:rFonts w:cs="Arial"/>
          <w:b/>
        </w:rPr>
        <w:t xml:space="preserve">. </w:t>
      </w:r>
      <w:r w:rsidRPr="00D77B31">
        <w:rPr>
          <w:rFonts w:cs="Arial"/>
        </w:rPr>
        <w:t xml:space="preserve">This band is adjacent to the </w:t>
      </w:r>
      <w:r w:rsidR="006F7E21" w:rsidRPr="00D77B31">
        <w:rPr>
          <w:rFonts w:cs="Arial"/>
        </w:rPr>
        <w:t xml:space="preserve">2 GHz </w:t>
      </w:r>
      <w:r w:rsidRPr="00D77B31">
        <w:rPr>
          <w:rFonts w:cs="Arial"/>
        </w:rPr>
        <w:t>spectrum licence and PTS apparatus base station transmit band</w:t>
      </w:r>
      <w:r w:rsidR="00E30E8E" w:rsidRPr="00D77B31">
        <w:rPr>
          <w:rFonts w:cs="Arial"/>
        </w:rPr>
        <w:t xml:space="preserve">. </w:t>
      </w:r>
      <w:r w:rsidR="00344A6D" w:rsidRPr="00D77B31">
        <w:rPr>
          <w:rFonts w:cs="Arial"/>
        </w:rPr>
        <w:t xml:space="preserve">Due to the high density of existing 2 GHz spectrum license and PTS </w:t>
      </w:r>
      <w:r w:rsidR="00F92C76" w:rsidRPr="00D77B31">
        <w:rPr>
          <w:rFonts w:cs="Arial"/>
        </w:rPr>
        <w:t>apparatus license</w:t>
      </w:r>
      <w:r w:rsidR="00504407" w:rsidRPr="00D77B31">
        <w:rPr>
          <w:rFonts w:cs="Arial"/>
        </w:rPr>
        <w:t xml:space="preserve"> </w:t>
      </w:r>
      <w:r w:rsidR="00B21921" w:rsidRPr="00D77B31">
        <w:rPr>
          <w:rFonts w:cs="Arial"/>
        </w:rPr>
        <w:t xml:space="preserve">base station </w:t>
      </w:r>
      <w:r w:rsidR="00504407" w:rsidRPr="00D77B31">
        <w:rPr>
          <w:rFonts w:cs="Arial"/>
        </w:rPr>
        <w:t xml:space="preserve">transmitters in and </w:t>
      </w:r>
      <w:r w:rsidR="00F92C76" w:rsidRPr="00D77B31">
        <w:rPr>
          <w:rFonts w:cs="Arial"/>
        </w:rPr>
        <w:t xml:space="preserve">around capital cities </w:t>
      </w:r>
      <w:r w:rsidR="00F2108B" w:rsidRPr="00D77B31">
        <w:rPr>
          <w:rFonts w:cs="Arial"/>
        </w:rPr>
        <w:t xml:space="preserve">it is </w:t>
      </w:r>
      <w:r w:rsidR="00A82A8A" w:rsidRPr="00D77B31">
        <w:rPr>
          <w:rFonts w:cs="Arial"/>
        </w:rPr>
        <w:t>un</w:t>
      </w:r>
      <w:r w:rsidR="00F92C76" w:rsidRPr="00D77B31">
        <w:rPr>
          <w:rFonts w:cs="Arial"/>
        </w:rPr>
        <w:t xml:space="preserve">likely that </w:t>
      </w:r>
      <w:r w:rsidR="00B21921" w:rsidRPr="00D77B31">
        <w:rPr>
          <w:rFonts w:cs="Arial"/>
        </w:rPr>
        <w:t xml:space="preserve">a </w:t>
      </w:r>
      <w:r w:rsidR="00853C1A" w:rsidRPr="00D77B31">
        <w:rPr>
          <w:rFonts w:cs="Arial"/>
        </w:rPr>
        <w:t xml:space="preserve">Fixed </w:t>
      </w:r>
      <w:r w:rsidR="00504407" w:rsidRPr="00D77B31">
        <w:rPr>
          <w:rFonts w:cs="Arial"/>
        </w:rPr>
        <w:t>TOB receiver</w:t>
      </w:r>
      <w:r w:rsidR="00B91FF9" w:rsidRPr="00D77B31">
        <w:rPr>
          <w:rFonts w:cs="Arial"/>
        </w:rPr>
        <w:t>s</w:t>
      </w:r>
      <w:r w:rsidR="00504407" w:rsidRPr="00D77B31">
        <w:rPr>
          <w:rFonts w:cs="Arial"/>
        </w:rPr>
        <w:t xml:space="preserve"> </w:t>
      </w:r>
      <w:r w:rsidR="00B21921" w:rsidRPr="00D77B31">
        <w:rPr>
          <w:rFonts w:cs="Arial"/>
        </w:rPr>
        <w:t xml:space="preserve">located in those areas </w:t>
      </w:r>
      <w:r w:rsidR="00A82A8A" w:rsidRPr="00D77B31">
        <w:rPr>
          <w:rFonts w:cs="Arial"/>
        </w:rPr>
        <w:t xml:space="preserve">can be </w:t>
      </w:r>
      <w:r w:rsidR="00504407" w:rsidRPr="00D77B31">
        <w:rPr>
          <w:rFonts w:cs="Arial"/>
        </w:rPr>
        <w:t>operat</w:t>
      </w:r>
      <w:r w:rsidR="00A82A8A" w:rsidRPr="00D77B31">
        <w:rPr>
          <w:rFonts w:cs="Arial"/>
        </w:rPr>
        <w:t xml:space="preserve">ed </w:t>
      </w:r>
      <w:r w:rsidR="00853C1A" w:rsidRPr="00D77B31">
        <w:rPr>
          <w:rFonts w:cs="Arial"/>
        </w:rPr>
        <w:t xml:space="preserve">successfully </w:t>
      </w:r>
      <w:r w:rsidR="00504407" w:rsidRPr="00D77B31">
        <w:rPr>
          <w:rFonts w:cs="Arial"/>
        </w:rPr>
        <w:t>adjacent to the 21</w:t>
      </w:r>
      <w:r w:rsidR="00F2108B" w:rsidRPr="00D77B31">
        <w:rPr>
          <w:rFonts w:cs="Arial"/>
        </w:rPr>
        <w:t>7</w:t>
      </w:r>
      <w:r w:rsidR="00504407" w:rsidRPr="00D77B31">
        <w:rPr>
          <w:rFonts w:cs="Arial"/>
        </w:rPr>
        <w:t>0 MHz band edge</w:t>
      </w:r>
      <w:r w:rsidR="00E30E8E" w:rsidRPr="00D77B31">
        <w:rPr>
          <w:rFonts w:cs="Arial"/>
        </w:rPr>
        <w:t xml:space="preserve">. </w:t>
      </w:r>
    </w:p>
    <w:p w14:paraId="71A21C25" w14:textId="47DC1728" w:rsidR="004364A9" w:rsidRPr="00D77B31" w:rsidRDefault="0091602E" w:rsidP="005B1E0A">
      <w:pPr>
        <w:pStyle w:val="Heading3"/>
      </w:pPr>
      <w:bookmarkStart w:id="209" w:name="_Toc111710884"/>
      <w:r w:rsidRPr="00D77B31">
        <w:t xml:space="preserve">Coordination </w:t>
      </w:r>
      <w:r w:rsidR="005B1E0A" w:rsidRPr="00D77B31">
        <w:t>p</w:t>
      </w:r>
      <w:r w:rsidRPr="00D77B31">
        <w:t>rocedure</w:t>
      </w:r>
      <w:bookmarkEnd w:id="209"/>
    </w:p>
    <w:p w14:paraId="731EA702" w14:textId="77777777" w:rsidR="00A768E8" w:rsidRPr="00D77B31" w:rsidRDefault="0031153F" w:rsidP="00595B96">
      <w:pPr>
        <w:rPr>
          <w:rFonts w:cs="Arial"/>
        </w:rPr>
      </w:pPr>
      <w:r w:rsidRPr="00D77B31">
        <w:rPr>
          <w:rFonts w:cs="Arial"/>
        </w:rPr>
        <w:t>T</w:t>
      </w:r>
      <w:r w:rsidR="00A768E8" w:rsidRPr="00D77B31">
        <w:rPr>
          <w:rFonts w:cs="Arial"/>
        </w:rPr>
        <w:t>o assess whether a fixed TOB receiv</w:t>
      </w:r>
      <w:r w:rsidR="00B21921" w:rsidRPr="00D77B31">
        <w:rPr>
          <w:rFonts w:cs="Arial"/>
        </w:rPr>
        <w:t>er</w:t>
      </w:r>
      <w:r w:rsidR="00A768E8" w:rsidRPr="00D77B31">
        <w:rPr>
          <w:rFonts w:cs="Arial"/>
        </w:rPr>
        <w:t xml:space="preserve"> station will </w:t>
      </w:r>
      <w:r w:rsidR="00F53EC0" w:rsidRPr="00D77B31">
        <w:rPr>
          <w:rFonts w:cs="Arial"/>
        </w:rPr>
        <w:t xml:space="preserve">potentially </w:t>
      </w:r>
      <w:r w:rsidR="00A768E8" w:rsidRPr="00D77B31">
        <w:rPr>
          <w:rFonts w:cs="Arial"/>
        </w:rPr>
        <w:t xml:space="preserve">be exposed to unacceptable interference from </w:t>
      </w:r>
      <w:r w:rsidR="00167190" w:rsidRPr="00D77B31">
        <w:rPr>
          <w:rFonts w:cs="Arial"/>
        </w:rPr>
        <w:t xml:space="preserve">existing </w:t>
      </w:r>
      <w:r w:rsidR="00F53EC0" w:rsidRPr="00D77B31">
        <w:rPr>
          <w:rFonts w:cs="Arial"/>
        </w:rPr>
        <w:t xml:space="preserve">adjacent band </w:t>
      </w:r>
      <w:r w:rsidR="006F7E21" w:rsidRPr="00D77B31">
        <w:rPr>
          <w:rFonts w:cs="Arial"/>
        </w:rPr>
        <w:t xml:space="preserve">2 GHz spectrum licence and PTS apparatus licence </w:t>
      </w:r>
      <w:r w:rsidR="00A768E8" w:rsidRPr="00D77B31">
        <w:rPr>
          <w:rFonts w:cs="Arial"/>
        </w:rPr>
        <w:t>base station transmitters</w:t>
      </w:r>
      <w:r w:rsidR="00F56D5C" w:rsidRPr="00D77B31">
        <w:rPr>
          <w:rFonts w:cs="Arial"/>
        </w:rPr>
        <w:t>,</w:t>
      </w:r>
      <w:r w:rsidR="00167190" w:rsidRPr="00D77B31">
        <w:rPr>
          <w:rFonts w:cs="Arial"/>
        </w:rPr>
        <w:t xml:space="preserve"> </w:t>
      </w:r>
      <w:r w:rsidR="00E86E94" w:rsidRPr="00D77B31">
        <w:rPr>
          <w:rFonts w:cs="Arial"/>
        </w:rPr>
        <w:t>a</w:t>
      </w:r>
      <w:r w:rsidR="00A768E8" w:rsidRPr="00D77B31">
        <w:rPr>
          <w:rFonts w:cs="Arial"/>
        </w:rPr>
        <w:t xml:space="preserve">ll </w:t>
      </w:r>
      <w:r w:rsidR="00F54414" w:rsidRPr="00D77B31">
        <w:rPr>
          <w:rFonts w:cs="Arial"/>
        </w:rPr>
        <w:t>transmitters</w:t>
      </w:r>
      <w:r w:rsidR="00A768E8" w:rsidRPr="00D77B31">
        <w:rPr>
          <w:rFonts w:cs="Arial"/>
        </w:rPr>
        <w:t xml:space="preserve"> </w:t>
      </w:r>
      <w:r w:rsidR="002368F5" w:rsidRPr="00D77B31">
        <w:rPr>
          <w:rFonts w:cs="Arial"/>
        </w:rPr>
        <w:t>within</w:t>
      </w:r>
      <w:r w:rsidR="00FF0317" w:rsidRPr="00D77B31">
        <w:rPr>
          <w:rFonts w:cs="Arial"/>
        </w:rPr>
        <w:t xml:space="preserve"> 20 MHz </w:t>
      </w:r>
      <w:r w:rsidR="00F54414" w:rsidRPr="00D77B31">
        <w:rPr>
          <w:rFonts w:cs="Arial"/>
        </w:rPr>
        <w:t>of</w:t>
      </w:r>
      <w:r w:rsidR="00FF0317" w:rsidRPr="00D77B31">
        <w:rPr>
          <w:rFonts w:cs="Arial"/>
        </w:rPr>
        <w:t xml:space="preserve"> the </w:t>
      </w:r>
      <w:r w:rsidR="00F54414" w:rsidRPr="00D77B31">
        <w:rPr>
          <w:rFonts w:cs="Arial"/>
        </w:rPr>
        <w:t>TOB receive channel edge</w:t>
      </w:r>
      <w:r w:rsidR="00FF0317" w:rsidRPr="00D77B31">
        <w:rPr>
          <w:rFonts w:cs="Arial"/>
        </w:rPr>
        <w:t xml:space="preserve"> and</w:t>
      </w:r>
      <w:r w:rsidR="002368F5" w:rsidRPr="00D77B31">
        <w:rPr>
          <w:rFonts w:cs="Arial"/>
        </w:rPr>
        <w:t xml:space="preserve"> </w:t>
      </w:r>
      <w:r w:rsidR="00F54414" w:rsidRPr="00D77B31">
        <w:rPr>
          <w:rFonts w:cs="Arial"/>
        </w:rPr>
        <w:t xml:space="preserve">within </w:t>
      </w:r>
      <w:r w:rsidR="00FF0317" w:rsidRPr="00D77B31">
        <w:rPr>
          <w:rFonts w:cs="Arial"/>
        </w:rPr>
        <w:t>10</w:t>
      </w:r>
      <w:r w:rsidR="002368F5" w:rsidRPr="00D77B31">
        <w:rPr>
          <w:rFonts w:cs="Arial"/>
        </w:rPr>
        <w:t xml:space="preserve">0 km of </w:t>
      </w:r>
      <w:r w:rsidR="00B21921" w:rsidRPr="00D77B31">
        <w:rPr>
          <w:rFonts w:cs="Arial"/>
        </w:rPr>
        <w:t>the</w:t>
      </w:r>
      <w:r w:rsidR="002368F5" w:rsidRPr="00D77B31">
        <w:rPr>
          <w:rFonts w:cs="Arial"/>
        </w:rPr>
        <w:t xml:space="preserve"> proposed fixed TOB receiver </w:t>
      </w:r>
      <w:r w:rsidR="00B21921" w:rsidRPr="00D77B31">
        <w:rPr>
          <w:rFonts w:cs="Arial"/>
        </w:rPr>
        <w:t xml:space="preserve">site </w:t>
      </w:r>
      <w:r w:rsidR="00C76F22" w:rsidRPr="00D77B31">
        <w:rPr>
          <w:rFonts w:cs="Arial"/>
        </w:rPr>
        <w:t xml:space="preserve">should </w:t>
      </w:r>
      <w:r w:rsidR="002368F5" w:rsidRPr="00D77B31">
        <w:rPr>
          <w:rFonts w:cs="Arial"/>
        </w:rPr>
        <w:t xml:space="preserve">be </w:t>
      </w:r>
      <w:r w:rsidRPr="00D77B31">
        <w:rPr>
          <w:rFonts w:cs="Arial"/>
        </w:rPr>
        <w:t>assessed</w:t>
      </w:r>
      <w:r w:rsidR="00F53EC0" w:rsidRPr="00D77B31">
        <w:rPr>
          <w:rFonts w:cs="Arial"/>
        </w:rPr>
        <w:t xml:space="preserve"> using the criteria outlined below</w:t>
      </w:r>
      <w:r w:rsidR="002368F5" w:rsidRPr="00D77B31">
        <w:rPr>
          <w:rFonts w:cs="Arial"/>
        </w:rPr>
        <w:t>.</w:t>
      </w:r>
    </w:p>
    <w:p w14:paraId="02959AA6" w14:textId="77777777" w:rsidR="002368F5" w:rsidRPr="00D77B31" w:rsidRDefault="002D0CF7" w:rsidP="00595B96">
      <w:pPr>
        <w:rPr>
          <w:rFonts w:cs="Arial"/>
        </w:rPr>
      </w:pPr>
      <w:r w:rsidRPr="00D77B31">
        <w:rPr>
          <w:rFonts w:cs="Arial"/>
        </w:rPr>
        <w:t>A</w:t>
      </w:r>
      <w:r w:rsidR="00DE7ACD" w:rsidRPr="00D77B31">
        <w:rPr>
          <w:rFonts w:cs="Arial"/>
        </w:rPr>
        <w:t xml:space="preserve">ssessment between fixed TOB receivers and adjacent </w:t>
      </w:r>
      <w:r w:rsidR="0023137D" w:rsidRPr="00D77B31">
        <w:rPr>
          <w:rFonts w:cs="Arial"/>
        </w:rPr>
        <w:t>band</w:t>
      </w:r>
      <w:r w:rsidR="00DE7ACD" w:rsidRPr="00D77B31">
        <w:rPr>
          <w:rFonts w:cs="Arial"/>
        </w:rPr>
        <w:t xml:space="preserve"> base stations will be deemed acceptable if:</w:t>
      </w:r>
    </w:p>
    <w:p w14:paraId="405A76A5" w14:textId="50CB2784" w:rsidR="00817567" w:rsidRPr="00D77B31" w:rsidRDefault="00FF750B" w:rsidP="00424B22">
      <w:pPr>
        <w:ind w:left="720"/>
        <w:rPr>
          <w:rFonts w:cs="Arial"/>
          <w:b/>
          <w:bCs/>
        </w:rPr>
      </w:pPr>
      <w:proofErr w:type="spellStart"/>
      <w:r w:rsidRPr="00D77B31">
        <w:rPr>
          <w:rFonts w:eastAsia="SimSun" w:cs="Arial"/>
          <w:b/>
          <w:bCs/>
        </w:rPr>
        <w:t>P</w:t>
      </w:r>
      <w:r w:rsidRPr="00D77B31">
        <w:rPr>
          <w:rFonts w:eastAsia="SimSun" w:cs="Arial"/>
          <w:b/>
          <w:bCs/>
          <w:vertAlign w:val="subscript"/>
        </w:rPr>
        <w:t>rx</w:t>
      </w:r>
      <w:proofErr w:type="spellEnd"/>
      <w:r w:rsidRPr="00D77B31">
        <w:rPr>
          <w:rFonts w:eastAsia="SimSun" w:cs="Arial"/>
          <w:b/>
          <w:bCs/>
        </w:rPr>
        <w:t xml:space="preserve"> &lt; -</w:t>
      </w:r>
      <w:r w:rsidR="003E62CC" w:rsidRPr="00D77B31">
        <w:rPr>
          <w:rFonts w:eastAsia="SimSun" w:cs="Arial"/>
          <w:b/>
          <w:bCs/>
        </w:rPr>
        <w:t>147</w:t>
      </w:r>
      <w:r w:rsidR="00D3629D" w:rsidRPr="00D77B31">
        <w:rPr>
          <w:rFonts w:eastAsia="SimSun" w:cs="Arial"/>
          <w:b/>
          <w:bCs/>
        </w:rPr>
        <w:t>.3</w:t>
      </w:r>
      <w:r w:rsidR="00237E1F" w:rsidRPr="00D77B31">
        <w:rPr>
          <w:rFonts w:eastAsia="SimSun" w:cs="Arial"/>
          <w:b/>
          <w:bCs/>
        </w:rPr>
        <w:t xml:space="preserve"> </w:t>
      </w:r>
      <w:r w:rsidR="00237E1F" w:rsidRPr="00D77B31">
        <w:rPr>
          <w:rFonts w:eastAsia="SimSun" w:cs="Arial"/>
          <w:b/>
          <w:bCs/>
        </w:rPr>
        <w:tab/>
      </w:r>
      <w:r w:rsidR="00CD1EB0" w:rsidRPr="00D77B31">
        <w:rPr>
          <w:rFonts w:eastAsia="SimSun" w:cs="Arial"/>
          <w:b/>
          <w:bCs/>
        </w:rPr>
        <w:tab/>
      </w:r>
      <w:r w:rsidR="00B960A9" w:rsidRPr="00D77B31">
        <w:rPr>
          <w:rFonts w:eastAsia="SimSun" w:cs="Arial"/>
          <w:b/>
          <w:bCs/>
        </w:rPr>
        <w:tab/>
      </w:r>
      <w:r w:rsidR="00237E1F" w:rsidRPr="00D77B31">
        <w:rPr>
          <w:rFonts w:cs="Arial"/>
          <w:b/>
          <w:bCs/>
        </w:rPr>
        <w:t>(</w:t>
      </w:r>
      <w:r w:rsidR="00237E1F" w:rsidRPr="00D77B31">
        <w:rPr>
          <w:rFonts w:cs="Arial"/>
          <w:b/>
          <w:bCs/>
        </w:rPr>
        <w:fldChar w:fldCharType="begin"/>
      </w:r>
      <w:r w:rsidR="00237E1F" w:rsidRPr="00D77B31">
        <w:rPr>
          <w:rFonts w:cs="Arial"/>
          <w:b/>
          <w:bCs/>
        </w:rPr>
        <w:instrText xml:space="preserve"> STYLEREF 2 \s </w:instrText>
      </w:r>
      <w:r w:rsidR="00237E1F" w:rsidRPr="00D77B31">
        <w:rPr>
          <w:rFonts w:cs="Arial"/>
          <w:b/>
          <w:bCs/>
        </w:rPr>
        <w:fldChar w:fldCharType="separate"/>
      </w:r>
      <w:r w:rsidR="003F79BE">
        <w:rPr>
          <w:rFonts w:cs="Arial"/>
          <w:b/>
          <w:bCs/>
          <w:noProof/>
        </w:rPr>
        <w:t>4.5</w:t>
      </w:r>
      <w:r w:rsidR="00237E1F" w:rsidRPr="00D77B31">
        <w:rPr>
          <w:rFonts w:cs="Arial"/>
          <w:b/>
          <w:bCs/>
        </w:rPr>
        <w:fldChar w:fldCharType="end"/>
      </w:r>
      <w:r w:rsidR="00237E1F" w:rsidRPr="00D77B31">
        <w:rPr>
          <w:rFonts w:cs="Arial"/>
          <w:b/>
          <w:bCs/>
        </w:rPr>
        <w:noBreakHyphen/>
      </w:r>
      <w:r w:rsidR="00237E1F" w:rsidRPr="00D77B31">
        <w:rPr>
          <w:rFonts w:cs="Arial"/>
          <w:b/>
          <w:bCs/>
        </w:rPr>
        <w:fldChar w:fldCharType="begin"/>
      </w:r>
      <w:r w:rsidR="00237E1F" w:rsidRPr="00D77B31">
        <w:rPr>
          <w:rFonts w:cs="Arial"/>
          <w:b/>
          <w:bCs/>
        </w:rPr>
        <w:instrText xml:space="preserve"> SEQ ( \* ARABIC \s 2 </w:instrText>
      </w:r>
      <w:r w:rsidR="00237E1F" w:rsidRPr="00D77B31">
        <w:rPr>
          <w:rFonts w:cs="Arial"/>
          <w:b/>
          <w:bCs/>
        </w:rPr>
        <w:fldChar w:fldCharType="separate"/>
      </w:r>
      <w:r w:rsidR="003F79BE">
        <w:rPr>
          <w:rFonts w:cs="Arial"/>
          <w:b/>
          <w:bCs/>
          <w:noProof/>
        </w:rPr>
        <w:t>1</w:t>
      </w:r>
      <w:r w:rsidR="00237E1F" w:rsidRPr="00D77B31">
        <w:rPr>
          <w:rFonts w:cs="Arial"/>
          <w:b/>
          <w:bCs/>
        </w:rPr>
        <w:fldChar w:fldCharType="end"/>
      </w:r>
      <w:r w:rsidR="00237E1F" w:rsidRPr="00D77B31">
        <w:rPr>
          <w:rFonts w:cs="Arial"/>
          <w:b/>
          <w:bCs/>
        </w:rPr>
        <w:t>)</w:t>
      </w:r>
      <w:r w:rsidR="00360046" w:rsidRPr="00D77B31">
        <w:rPr>
          <w:rFonts w:cs="Arial"/>
          <w:b/>
          <w:bCs/>
        </w:rPr>
        <w:t xml:space="preserve"> </w:t>
      </w:r>
      <w:r w:rsidR="00360046" w:rsidRPr="00D77B31">
        <w:rPr>
          <w:rFonts w:cs="Arial"/>
          <w:b/>
          <w:bCs/>
        </w:rPr>
        <w:tab/>
      </w:r>
    </w:p>
    <w:p w14:paraId="69867574" w14:textId="77777777" w:rsidR="00FF750B" w:rsidRPr="00D77B31" w:rsidRDefault="00FF750B" w:rsidP="00595B96">
      <w:pPr>
        <w:rPr>
          <w:rFonts w:cs="Arial"/>
        </w:rPr>
      </w:pPr>
      <w:r w:rsidRPr="00D77B31">
        <w:rPr>
          <w:rFonts w:cs="Arial"/>
        </w:rPr>
        <w:t>Where:</w:t>
      </w:r>
    </w:p>
    <w:p w14:paraId="6654C7FE" w14:textId="77777777" w:rsidR="00156456" w:rsidRPr="00D77B31" w:rsidRDefault="00FF750B" w:rsidP="00B960A9">
      <w:pPr>
        <w:ind w:left="720"/>
        <w:rPr>
          <w:rFonts w:cs="Arial"/>
        </w:rPr>
      </w:pPr>
      <w:proofErr w:type="spellStart"/>
      <w:r w:rsidRPr="00D77B31">
        <w:rPr>
          <w:rFonts w:cs="Arial"/>
          <w:b/>
        </w:rPr>
        <w:t>P</w:t>
      </w:r>
      <w:r w:rsidRPr="00D77B31">
        <w:rPr>
          <w:rFonts w:cs="Arial"/>
          <w:b/>
          <w:vertAlign w:val="subscript"/>
        </w:rPr>
        <w:t>rx</w:t>
      </w:r>
      <w:proofErr w:type="spellEnd"/>
      <w:r w:rsidRPr="00D77B31">
        <w:rPr>
          <w:rFonts w:cs="Arial"/>
          <w:b/>
        </w:rPr>
        <w:t>:</w:t>
      </w:r>
      <w:r w:rsidRPr="00D77B31">
        <w:rPr>
          <w:rFonts w:cs="Arial"/>
        </w:rPr>
        <w:t xml:space="preserve"> Power received from an adja</w:t>
      </w:r>
      <w:r w:rsidR="00D3629D" w:rsidRPr="00D77B31">
        <w:rPr>
          <w:rFonts w:cs="Arial"/>
        </w:rPr>
        <w:t>cent channel base station (</w:t>
      </w:r>
      <w:proofErr w:type="spellStart"/>
      <w:r w:rsidR="00D3629D" w:rsidRPr="00D77B31">
        <w:rPr>
          <w:rFonts w:cs="Arial"/>
        </w:rPr>
        <w:t>dBW</w:t>
      </w:r>
      <w:proofErr w:type="spellEnd"/>
      <w:r w:rsidR="00D3629D" w:rsidRPr="00D77B31">
        <w:rPr>
          <w:rFonts w:cs="Arial"/>
        </w:rPr>
        <w:t>/</w:t>
      </w:r>
      <w:r w:rsidRPr="00D77B31">
        <w:rPr>
          <w:rFonts w:cs="Arial"/>
        </w:rPr>
        <w:t>MHz)</w:t>
      </w:r>
      <w:r w:rsidR="00156456" w:rsidRPr="00D77B31">
        <w:rPr>
          <w:rFonts w:cs="Arial"/>
        </w:rPr>
        <w:t xml:space="preserve"> </w:t>
      </w:r>
    </w:p>
    <w:p w14:paraId="76960ADF" w14:textId="77777777" w:rsidR="00156456" w:rsidRPr="00D77B31" w:rsidRDefault="00156456" w:rsidP="00156456">
      <w:pPr>
        <w:rPr>
          <w:rFonts w:cs="Arial"/>
        </w:rPr>
      </w:pPr>
      <w:r w:rsidRPr="00D77B31">
        <w:rPr>
          <w:rFonts w:cs="Arial"/>
        </w:rPr>
        <w:t>The power received from an adjacent channel base station should be calculated using the following formula:</w:t>
      </w:r>
    </w:p>
    <w:p w14:paraId="752C124E" w14:textId="3D9C0C2F" w:rsidR="00BD6F92" w:rsidRPr="00D77B31" w:rsidRDefault="00156456" w:rsidP="00424B22">
      <w:pPr>
        <w:ind w:left="720"/>
        <w:rPr>
          <w:rFonts w:eastAsia="SimSun" w:cs="Arial"/>
          <w:b/>
          <w:bCs/>
        </w:rPr>
      </w:pPr>
      <w:proofErr w:type="spellStart"/>
      <w:r w:rsidRPr="00D77B31">
        <w:rPr>
          <w:rFonts w:eastAsia="SimSun" w:cs="Arial"/>
          <w:b/>
          <w:bCs/>
        </w:rPr>
        <w:t>P</w:t>
      </w:r>
      <w:r w:rsidRPr="00D77B31">
        <w:rPr>
          <w:rFonts w:eastAsia="SimSun" w:cs="Arial"/>
          <w:b/>
          <w:bCs/>
          <w:vertAlign w:val="subscript"/>
        </w:rPr>
        <w:t>rx</w:t>
      </w:r>
      <w:proofErr w:type="spellEnd"/>
      <w:r w:rsidRPr="00D77B31">
        <w:rPr>
          <w:rFonts w:eastAsia="SimSun" w:cs="Arial"/>
          <w:b/>
          <w:bCs/>
        </w:rPr>
        <w:t xml:space="preserve"> = </w:t>
      </w:r>
      <w:proofErr w:type="spellStart"/>
      <w:r w:rsidR="000E72FD" w:rsidRPr="00D77B31">
        <w:rPr>
          <w:rFonts w:eastAsia="SimSun" w:cs="Arial"/>
          <w:b/>
          <w:bCs/>
        </w:rPr>
        <w:t>P</w:t>
      </w:r>
      <w:r w:rsidR="000E72FD" w:rsidRPr="00D77B31">
        <w:rPr>
          <w:rFonts w:eastAsia="SimSun" w:cs="Arial"/>
          <w:b/>
          <w:bCs/>
          <w:vertAlign w:val="subscript"/>
        </w:rPr>
        <w:t>ob</w:t>
      </w:r>
      <w:proofErr w:type="spellEnd"/>
      <w:r w:rsidR="000E72FD" w:rsidRPr="00D77B31">
        <w:rPr>
          <w:rFonts w:eastAsia="SimSun" w:cs="Arial"/>
          <w:b/>
          <w:bCs/>
        </w:rPr>
        <w:t xml:space="preserve"> </w:t>
      </w:r>
      <w:r w:rsidR="00BD6F92" w:rsidRPr="00D77B31">
        <w:rPr>
          <w:rFonts w:eastAsia="SimSun" w:cs="Arial"/>
          <w:b/>
          <w:bCs/>
        </w:rPr>
        <w:t xml:space="preserve">– </w:t>
      </w:r>
      <w:proofErr w:type="spellStart"/>
      <w:r w:rsidR="00BD6F92" w:rsidRPr="00D77B31">
        <w:rPr>
          <w:rFonts w:eastAsia="SimSun" w:cs="Arial"/>
          <w:b/>
          <w:bCs/>
        </w:rPr>
        <w:t>L</w:t>
      </w:r>
      <w:r w:rsidR="00BD6F92" w:rsidRPr="00D77B31">
        <w:rPr>
          <w:rFonts w:eastAsia="SimSun" w:cs="Arial"/>
          <w:b/>
          <w:bCs/>
          <w:vertAlign w:val="subscript"/>
        </w:rPr>
        <w:t>p</w:t>
      </w:r>
      <w:proofErr w:type="spellEnd"/>
      <w:r w:rsidR="00BD6F92" w:rsidRPr="00D77B31">
        <w:rPr>
          <w:rFonts w:eastAsia="SimSun" w:cs="Arial"/>
          <w:b/>
          <w:bCs/>
        </w:rPr>
        <w:t xml:space="preserve"> +</w:t>
      </w:r>
      <w:r w:rsidR="00237E1F" w:rsidRPr="00D77B31">
        <w:rPr>
          <w:rFonts w:eastAsia="SimSun" w:cs="Arial"/>
          <w:b/>
          <w:bCs/>
        </w:rPr>
        <w:t xml:space="preserve"> </w:t>
      </w:r>
      <w:proofErr w:type="spellStart"/>
      <w:r w:rsidR="00237E1F" w:rsidRPr="00D77B31">
        <w:rPr>
          <w:rFonts w:eastAsia="SimSun" w:cs="Arial"/>
          <w:b/>
          <w:bCs/>
        </w:rPr>
        <w:t>G</w:t>
      </w:r>
      <w:r w:rsidR="00237E1F" w:rsidRPr="00D77B31">
        <w:rPr>
          <w:rFonts w:eastAsia="SimSun" w:cs="Arial"/>
          <w:b/>
          <w:bCs/>
          <w:vertAlign w:val="subscript"/>
        </w:rPr>
        <w:t>rx</w:t>
      </w:r>
      <w:proofErr w:type="spellEnd"/>
      <w:r w:rsidR="00237E1F" w:rsidRPr="00D77B31">
        <w:rPr>
          <w:rFonts w:eastAsia="SimSun" w:cs="Arial"/>
          <w:b/>
          <w:bCs/>
          <w:vertAlign w:val="subscript"/>
        </w:rPr>
        <w:t xml:space="preserve">  </w:t>
      </w:r>
      <w:r w:rsidR="00237E1F" w:rsidRPr="00D77B31">
        <w:rPr>
          <w:rFonts w:eastAsia="SimSun" w:cs="Arial"/>
          <w:b/>
          <w:bCs/>
          <w:vertAlign w:val="subscript"/>
        </w:rPr>
        <w:tab/>
      </w:r>
      <w:r w:rsidR="00B960A9" w:rsidRPr="00D77B31">
        <w:rPr>
          <w:rFonts w:eastAsia="SimSun" w:cs="Arial"/>
          <w:b/>
          <w:bCs/>
          <w:vertAlign w:val="subscript"/>
        </w:rPr>
        <w:tab/>
      </w:r>
      <w:r w:rsidR="00237E1F" w:rsidRPr="00D77B31">
        <w:rPr>
          <w:rFonts w:cs="Arial"/>
          <w:b/>
          <w:bCs/>
        </w:rPr>
        <w:t>(</w:t>
      </w:r>
      <w:r w:rsidR="00237E1F" w:rsidRPr="00D77B31">
        <w:rPr>
          <w:rFonts w:cs="Arial"/>
          <w:b/>
          <w:bCs/>
        </w:rPr>
        <w:fldChar w:fldCharType="begin"/>
      </w:r>
      <w:r w:rsidR="00237E1F" w:rsidRPr="00D77B31">
        <w:rPr>
          <w:rFonts w:cs="Arial"/>
          <w:b/>
          <w:bCs/>
        </w:rPr>
        <w:instrText xml:space="preserve"> STYLEREF 2 \s </w:instrText>
      </w:r>
      <w:r w:rsidR="00237E1F" w:rsidRPr="00D77B31">
        <w:rPr>
          <w:rFonts w:cs="Arial"/>
          <w:b/>
          <w:bCs/>
        </w:rPr>
        <w:fldChar w:fldCharType="separate"/>
      </w:r>
      <w:r w:rsidR="003F79BE">
        <w:rPr>
          <w:rFonts w:cs="Arial"/>
          <w:b/>
          <w:bCs/>
          <w:noProof/>
        </w:rPr>
        <w:t>4.5</w:t>
      </w:r>
      <w:r w:rsidR="00237E1F" w:rsidRPr="00D77B31">
        <w:rPr>
          <w:rFonts w:cs="Arial"/>
          <w:b/>
          <w:bCs/>
        </w:rPr>
        <w:fldChar w:fldCharType="end"/>
      </w:r>
      <w:r w:rsidR="00237E1F" w:rsidRPr="00D77B31">
        <w:rPr>
          <w:rFonts w:cs="Arial"/>
          <w:b/>
          <w:bCs/>
        </w:rPr>
        <w:noBreakHyphen/>
      </w:r>
      <w:r w:rsidR="00237E1F" w:rsidRPr="00D77B31">
        <w:rPr>
          <w:rFonts w:cs="Arial"/>
          <w:b/>
          <w:bCs/>
        </w:rPr>
        <w:fldChar w:fldCharType="begin"/>
      </w:r>
      <w:r w:rsidR="00237E1F" w:rsidRPr="00D77B31">
        <w:rPr>
          <w:rFonts w:cs="Arial"/>
          <w:b/>
          <w:bCs/>
        </w:rPr>
        <w:instrText xml:space="preserve"> SEQ ( \* ARABIC \s 2 </w:instrText>
      </w:r>
      <w:r w:rsidR="00237E1F" w:rsidRPr="00D77B31">
        <w:rPr>
          <w:rFonts w:cs="Arial"/>
          <w:b/>
          <w:bCs/>
        </w:rPr>
        <w:fldChar w:fldCharType="separate"/>
      </w:r>
      <w:r w:rsidR="003F79BE">
        <w:rPr>
          <w:rFonts w:cs="Arial"/>
          <w:b/>
          <w:bCs/>
          <w:noProof/>
        </w:rPr>
        <w:t>2</w:t>
      </w:r>
      <w:r w:rsidR="00237E1F" w:rsidRPr="00D77B31">
        <w:rPr>
          <w:rFonts w:cs="Arial"/>
          <w:b/>
          <w:bCs/>
        </w:rPr>
        <w:fldChar w:fldCharType="end"/>
      </w:r>
      <w:r w:rsidR="00237E1F" w:rsidRPr="00D77B31">
        <w:rPr>
          <w:rFonts w:eastAsia="SimSun" w:cs="Arial"/>
          <w:b/>
          <w:bCs/>
        </w:rPr>
        <w:t>)</w:t>
      </w:r>
      <w:r w:rsidR="00237E1F" w:rsidRPr="00D77B31">
        <w:rPr>
          <w:rFonts w:eastAsia="SimSun" w:cs="Arial"/>
          <w:b/>
          <w:bCs/>
          <w:vertAlign w:val="subscript"/>
        </w:rPr>
        <w:t xml:space="preserve"> </w:t>
      </w:r>
      <w:r w:rsidR="00360046" w:rsidRPr="00D77B31">
        <w:rPr>
          <w:rFonts w:cs="Arial"/>
          <w:b/>
          <w:bCs/>
        </w:rPr>
        <w:tab/>
      </w:r>
    </w:p>
    <w:p w14:paraId="36C73FEF" w14:textId="77777777" w:rsidR="00BD6F92" w:rsidRPr="00D77B31" w:rsidRDefault="00BD6F92" w:rsidP="00BD6F92">
      <w:pPr>
        <w:rPr>
          <w:rFonts w:cs="Arial"/>
        </w:rPr>
      </w:pPr>
      <w:r w:rsidRPr="00D77B31">
        <w:rPr>
          <w:rFonts w:cs="Arial"/>
        </w:rPr>
        <w:t>Where:</w:t>
      </w:r>
    </w:p>
    <w:p w14:paraId="14EC8892" w14:textId="77777777" w:rsidR="00BD6F92" w:rsidRPr="00D77B31" w:rsidRDefault="00BD6F92" w:rsidP="00B960A9">
      <w:pPr>
        <w:ind w:left="720"/>
        <w:rPr>
          <w:rFonts w:cs="Arial"/>
        </w:rPr>
      </w:pPr>
      <w:proofErr w:type="spellStart"/>
      <w:r w:rsidRPr="00D77B31">
        <w:rPr>
          <w:rFonts w:cs="Arial"/>
          <w:b/>
        </w:rPr>
        <w:t>P</w:t>
      </w:r>
      <w:r w:rsidRPr="00D77B31">
        <w:rPr>
          <w:rFonts w:cs="Arial"/>
          <w:b/>
          <w:vertAlign w:val="subscript"/>
        </w:rPr>
        <w:t>rx</w:t>
      </w:r>
      <w:proofErr w:type="spellEnd"/>
      <w:r w:rsidRPr="00D77B31">
        <w:rPr>
          <w:rFonts w:cs="Arial"/>
          <w:b/>
        </w:rPr>
        <w:t>:</w:t>
      </w:r>
      <w:r w:rsidRPr="00D77B31">
        <w:rPr>
          <w:rFonts w:cs="Arial"/>
        </w:rPr>
        <w:t xml:space="preserve"> Power received from an adjacent channel base station (</w:t>
      </w:r>
      <w:proofErr w:type="spellStart"/>
      <w:r w:rsidRPr="00D77B31">
        <w:rPr>
          <w:rFonts w:cs="Arial"/>
        </w:rPr>
        <w:t>dBW</w:t>
      </w:r>
      <w:proofErr w:type="spellEnd"/>
      <w:r w:rsidRPr="00D77B31">
        <w:rPr>
          <w:rFonts w:cs="Arial"/>
        </w:rPr>
        <w:t>/MHz)</w:t>
      </w:r>
    </w:p>
    <w:p w14:paraId="51400D39" w14:textId="04A545D6" w:rsidR="000A7054" w:rsidRPr="00D77B31" w:rsidRDefault="000A7054" w:rsidP="00B960A9">
      <w:pPr>
        <w:ind w:left="720"/>
        <w:rPr>
          <w:rFonts w:cs="Arial"/>
        </w:rPr>
      </w:pPr>
      <w:proofErr w:type="spellStart"/>
      <w:r w:rsidRPr="00D77B31">
        <w:rPr>
          <w:rFonts w:cs="Arial"/>
          <w:b/>
        </w:rPr>
        <w:t>P</w:t>
      </w:r>
      <w:r w:rsidR="000E72FD" w:rsidRPr="00D77B31">
        <w:rPr>
          <w:rFonts w:cs="Arial"/>
          <w:b/>
          <w:vertAlign w:val="subscript"/>
        </w:rPr>
        <w:t>ob</w:t>
      </w:r>
      <w:proofErr w:type="spellEnd"/>
      <w:r w:rsidRPr="00D77B31">
        <w:rPr>
          <w:rFonts w:cs="Arial"/>
          <w:b/>
        </w:rPr>
        <w:t>:</w:t>
      </w:r>
      <w:r w:rsidR="000E72FD" w:rsidRPr="00D77B31">
        <w:rPr>
          <w:rFonts w:cs="Arial"/>
        </w:rPr>
        <w:t xml:space="preserve"> Out of band </w:t>
      </w:r>
      <w:proofErr w:type="spellStart"/>
      <w:r w:rsidR="00040DCC" w:rsidRPr="00D77B31">
        <w:rPr>
          <w:rFonts w:cs="Arial"/>
        </w:rPr>
        <w:t>e.i.r.p</w:t>
      </w:r>
      <w:proofErr w:type="spellEnd"/>
      <w:r w:rsidR="000215F2" w:rsidRPr="00D77B31">
        <w:rPr>
          <w:rFonts w:cs="Arial"/>
        </w:rPr>
        <w:t xml:space="preserve"> </w:t>
      </w:r>
      <w:r w:rsidR="000E72FD" w:rsidRPr="00D77B31">
        <w:rPr>
          <w:rFonts w:cs="Arial"/>
        </w:rPr>
        <w:t xml:space="preserve">from </w:t>
      </w:r>
      <w:r w:rsidR="00DA4F2F" w:rsidRPr="00D77B31">
        <w:rPr>
          <w:rFonts w:cs="Arial"/>
        </w:rPr>
        <w:t xml:space="preserve">SL </w:t>
      </w:r>
      <w:r w:rsidR="000E72FD" w:rsidRPr="00D77B31">
        <w:rPr>
          <w:rFonts w:cs="Arial"/>
        </w:rPr>
        <w:t>or PTS service</w:t>
      </w:r>
      <w:r w:rsidR="00DA4F2F" w:rsidRPr="00D77B31">
        <w:rPr>
          <w:rFonts w:cs="Arial"/>
        </w:rPr>
        <w:t xml:space="preserve"> </w:t>
      </w:r>
      <w:r w:rsidR="00563D96" w:rsidRPr="00D77B31">
        <w:rPr>
          <w:rFonts w:cs="Arial"/>
        </w:rPr>
        <w:t>dependant on</w:t>
      </w:r>
      <w:r w:rsidR="00DA4F2F" w:rsidRPr="00D77B31">
        <w:rPr>
          <w:rFonts w:cs="Arial"/>
        </w:rPr>
        <w:t xml:space="preserve"> frequency offsets </w:t>
      </w:r>
      <w:r w:rsidR="00563D96" w:rsidRPr="00D77B31">
        <w:rPr>
          <w:rFonts w:cs="Arial"/>
        </w:rPr>
        <w:t xml:space="preserve">from band edge </w:t>
      </w:r>
      <w:r w:rsidR="00DA4F2F" w:rsidRPr="00D77B31">
        <w:rPr>
          <w:rFonts w:cs="Arial"/>
        </w:rPr>
        <w:t xml:space="preserve">(see </w:t>
      </w:r>
      <w:r w:rsidR="00F07498">
        <w:rPr>
          <w:rFonts w:cs="Arial"/>
        </w:rPr>
        <w:fldChar w:fldCharType="begin"/>
      </w:r>
      <w:r w:rsidR="00F07498">
        <w:rPr>
          <w:rFonts w:cs="Arial"/>
        </w:rPr>
        <w:instrText xml:space="preserve"> REF _Ref111710023 \r \h </w:instrText>
      </w:r>
      <w:r w:rsidR="00F07498">
        <w:rPr>
          <w:rFonts w:cs="Arial"/>
        </w:rPr>
      </w:r>
      <w:r w:rsidR="00F07498">
        <w:rPr>
          <w:rFonts w:cs="Arial"/>
        </w:rPr>
        <w:fldChar w:fldCharType="separate"/>
      </w:r>
      <w:r w:rsidR="003F79BE">
        <w:rPr>
          <w:rFonts w:cs="Arial"/>
        </w:rPr>
        <w:t>Table 2</w:t>
      </w:r>
      <w:r w:rsidR="00F07498">
        <w:rPr>
          <w:rFonts w:cs="Arial"/>
        </w:rPr>
        <w:fldChar w:fldCharType="end"/>
      </w:r>
      <w:r w:rsidR="00F07498">
        <w:rPr>
          <w:rFonts w:cs="Arial"/>
        </w:rPr>
        <w:t xml:space="preserve"> </w:t>
      </w:r>
      <w:r w:rsidR="0081444A" w:rsidRPr="00D77B31">
        <w:rPr>
          <w:rFonts w:cs="Arial"/>
        </w:rPr>
        <w:t>and</w:t>
      </w:r>
      <w:r w:rsidR="008E2929">
        <w:rPr>
          <w:rFonts w:cs="Arial"/>
        </w:rPr>
        <w:t xml:space="preserve"> </w:t>
      </w:r>
      <w:r w:rsidR="008E2929">
        <w:rPr>
          <w:rFonts w:cs="Arial"/>
        </w:rPr>
        <w:fldChar w:fldCharType="begin"/>
      </w:r>
      <w:r w:rsidR="008E2929">
        <w:rPr>
          <w:rFonts w:cs="Arial"/>
        </w:rPr>
        <w:instrText xml:space="preserve"> REF _Ref111710055 \r \h </w:instrText>
      </w:r>
      <w:r w:rsidR="008E2929">
        <w:rPr>
          <w:rFonts w:cs="Arial"/>
        </w:rPr>
      </w:r>
      <w:r w:rsidR="008E2929">
        <w:rPr>
          <w:rFonts w:cs="Arial"/>
        </w:rPr>
        <w:fldChar w:fldCharType="separate"/>
      </w:r>
      <w:r w:rsidR="003F79BE">
        <w:rPr>
          <w:rFonts w:cs="Arial"/>
        </w:rPr>
        <w:t>Table 3</w:t>
      </w:r>
      <w:r w:rsidR="008E2929">
        <w:rPr>
          <w:rFonts w:cs="Arial"/>
        </w:rPr>
        <w:fldChar w:fldCharType="end"/>
      </w:r>
      <w:r w:rsidR="00DA4F2F" w:rsidRPr="00D77B31">
        <w:rPr>
          <w:rFonts w:cs="Arial"/>
        </w:rPr>
        <w:t>)</w:t>
      </w:r>
      <w:r w:rsidR="003E443A">
        <w:rPr>
          <w:rFonts w:cs="Arial"/>
        </w:rPr>
        <w:t>.</w:t>
      </w:r>
    </w:p>
    <w:p w14:paraId="214828CA" w14:textId="77777777" w:rsidR="00156456" w:rsidRPr="00D77B31" w:rsidRDefault="00BD6F92" w:rsidP="00B960A9">
      <w:pPr>
        <w:ind w:left="720"/>
        <w:rPr>
          <w:rFonts w:cs="Arial"/>
        </w:rPr>
      </w:pPr>
      <w:proofErr w:type="spellStart"/>
      <w:r w:rsidRPr="00D77B31">
        <w:rPr>
          <w:rFonts w:cs="Arial"/>
          <w:b/>
        </w:rPr>
        <w:t>L</w:t>
      </w:r>
      <w:r w:rsidRPr="00D77B31">
        <w:rPr>
          <w:rFonts w:cs="Arial"/>
          <w:b/>
          <w:vertAlign w:val="subscript"/>
        </w:rPr>
        <w:t>p</w:t>
      </w:r>
      <w:proofErr w:type="spellEnd"/>
      <w:r w:rsidRPr="00D77B31">
        <w:rPr>
          <w:rFonts w:cs="Arial"/>
          <w:b/>
        </w:rPr>
        <w:t>:</w:t>
      </w:r>
      <w:r w:rsidRPr="00D77B31">
        <w:rPr>
          <w:rFonts w:cs="Arial"/>
        </w:rPr>
        <w:t xml:space="preserve"> Path loss calculated using Recommendation</w:t>
      </w:r>
      <w:r w:rsidR="00156456" w:rsidRPr="00D77B31">
        <w:rPr>
          <w:rFonts w:cs="Arial"/>
        </w:rPr>
        <w:t xml:space="preserve"> ITU-R P.526</w:t>
      </w:r>
      <w:r w:rsidR="00EF0194" w:rsidRPr="00D77B31">
        <w:rPr>
          <w:rFonts w:cs="Arial"/>
        </w:rPr>
        <w:t xml:space="preserve"> (dB)</w:t>
      </w:r>
    </w:p>
    <w:p w14:paraId="68518221" w14:textId="77777777" w:rsidR="003C57B5" w:rsidRPr="00D77B31" w:rsidRDefault="00BD6F92" w:rsidP="00B960A9">
      <w:pPr>
        <w:ind w:left="720"/>
        <w:rPr>
          <w:rFonts w:cs="Arial"/>
        </w:rPr>
      </w:pPr>
      <w:proofErr w:type="spellStart"/>
      <w:r w:rsidRPr="00D77B31">
        <w:rPr>
          <w:rFonts w:cs="Arial"/>
          <w:b/>
        </w:rPr>
        <w:t>G</w:t>
      </w:r>
      <w:r w:rsidRPr="00D77B31">
        <w:rPr>
          <w:rFonts w:cs="Arial"/>
          <w:b/>
          <w:vertAlign w:val="subscript"/>
        </w:rPr>
        <w:t>rx</w:t>
      </w:r>
      <w:proofErr w:type="spellEnd"/>
      <w:r w:rsidRPr="00D77B31">
        <w:rPr>
          <w:rFonts w:cs="Arial"/>
          <w:b/>
        </w:rPr>
        <w:t>:</w:t>
      </w:r>
      <w:r w:rsidRPr="00D77B31">
        <w:rPr>
          <w:rFonts w:cs="Arial"/>
        </w:rPr>
        <w:t xml:space="preserve"> Gain of the receive antenna </w:t>
      </w:r>
      <w:r w:rsidR="00F53EC0" w:rsidRPr="00D77B31">
        <w:rPr>
          <w:rFonts w:cs="Arial"/>
        </w:rPr>
        <w:t>(</w:t>
      </w:r>
      <w:proofErr w:type="spellStart"/>
      <w:r w:rsidR="00F53EC0" w:rsidRPr="00D77B31">
        <w:rPr>
          <w:rFonts w:cs="Arial"/>
        </w:rPr>
        <w:t>dBi</w:t>
      </w:r>
      <w:proofErr w:type="spellEnd"/>
      <w:r w:rsidR="00F53EC0" w:rsidRPr="00D77B31">
        <w:rPr>
          <w:rFonts w:cs="Arial"/>
        </w:rPr>
        <w:t>)</w:t>
      </w:r>
    </w:p>
    <w:p w14:paraId="046F20C5" w14:textId="77777777" w:rsidR="00192817" w:rsidRPr="00D77B31" w:rsidRDefault="00192817" w:rsidP="00B960A9">
      <w:pPr>
        <w:ind w:left="720"/>
        <w:rPr>
          <w:rFonts w:cs="Arial"/>
        </w:rPr>
      </w:pPr>
    </w:p>
    <w:p w14:paraId="7A44D629" w14:textId="77777777" w:rsidR="00192817" w:rsidRPr="00D77B31" w:rsidRDefault="00192817" w:rsidP="007178A8">
      <w:pPr>
        <w:pStyle w:val="ACMATableHeader"/>
        <w:keepNext/>
        <w:rPr>
          <w:rFonts w:cs="Arial"/>
        </w:rPr>
      </w:pPr>
      <w:bookmarkStart w:id="210" w:name="_Ref111710023"/>
      <w:r w:rsidRPr="00D77B31">
        <w:rPr>
          <w:rFonts w:cs="Arial"/>
        </w:rPr>
        <w:t>EIRP emission limits for 2 GHz spectrum licence and PTS apparatus licence services</w:t>
      </w:r>
      <w:bookmarkEnd w:id="210"/>
      <w:r w:rsidRPr="00D77B31">
        <w:rPr>
          <w:rFonts w:cs="Arial"/>
        </w:rPr>
        <w:t xml:space="preserve"> </w:t>
      </w:r>
    </w:p>
    <w:tbl>
      <w:tblPr>
        <w:tblW w:w="9697"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117"/>
        <w:gridCol w:w="2110"/>
        <w:gridCol w:w="2126"/>
        <w:gridCol w:w="2126"/>
        <w:gridCol w:w="2218"/>
      </w:tblGrid>
      <w:tr w:rsidR="00862700" w:rsidRPr="00D77B31" w14:paraId="2FE55395" w14:textId="77777777" w:rsidTr="00842DFD">
        <w:trPr>
          <w:cantSplit/>
          <w:trHeight w:val="585"/>
          <w:jc w:val="center"/>
        </w:trPr>
        <w:tc>
          <w:tcPr>
            <w:tcW w:w="1117" w:type="dxa"/>
            <w:tcBorders>
              <w:top w:val="nil"/>
              <w:left w:val="nil"/>
            </w:tcBorders>
          </w:tcPr>
          <w:p w14:paraId="2CC62DC0" w14:textId="77777777" w:rsidR="00862700" w:rsidRPr="00D77B31" w:rsidRDefault="00862700" w:rsidP="007178A8">
            <w:pPr>
              <w:keepNext/>
              <w:jc w:val="center"/>
              <w:rPr>
                <w:rFonts w:eastAsia="Calibri" w:cs="Arial"/>
                <w:b/>
              </w:rPr>
            </w:pPr>
          </w:p>
        </w:tc>
        <w:tc>
          <w:tcPr>
            <w:tcW w:w="8580" w:type="dxa"/>
            <w:gridSpan w:val="4"/>
          </w:tcPr>
          <w:p w14:paraId="49D5F358" w14:textId="33B51CEC" w:rsidR="00442B4C" w:rsidRPr="00D77B31" w:rsidRDefault="00862700" w:rsidP="007178A8">
            <w:pPr>
              <w:keepNext/>
              <w:jc w:val="center"/>
              <w:rPr>
                <w:rFonts w:eastAsia="Calibri" w:cs="Arial"/>
                <w:b/>
              </w:rPr>
            </w:pPr>
            <w:r w:rsidRPr="00D77B31">
              <w:rPr>
                <w:rFonts w:eastAsia="Calibri" w:cs="Arial"/>
                <w:b/>
              </w:rPr>
              <w:t xml:space="preserve">Out of band </w:t>
            </w:r>
            <w:r w:rsidR="00B56EF4" w:rsidRPr="00D77B31">
              <w:rPr>
                <w:rFonts w:eastAsia="Calibri" w:cs="Arial"/>
                <w:b/>
              </w:rPr>
              <w:t>p</w:t>
            </w:r>
            <w:r w:rsidRPr="00D77B31">
              <w:rPr>
                <w:rFonts w:eastAsia="Calibri" w:cs="Arial"/>
                <w:b/>
              </w:rPr>
              <w:t xml:space="preserve">ower at </w:t>
            </w:r>
            <w:r w:rsidR="00B56EF4" w:rsidRPr="00D77B31">
              <w:rPr>
                <w:rFonts w:eastAsia="Calibri" w:cs="Arial"/>
                <w:b/>
              </w:rPr>
              <w:t>f</w:t>
            </w:r>
            <w:r w:rsidRPr="00D77B31">
              <w:rPr>
                <w:rFonts w:eastAsia="Calibri" w:cs="Arial"/>
                <w:b/>
              </w:rPr>
              <w:t xml:space="preserve">requency </w:t>
            </w:r>
            <w:r w:rsidR="00B56EF4" w:rsidRPr="00D77B31">
              <w:rPr>
                <w:rFonts w:eastAsia="Calibri" w:cs="Arial"/>
                <w:b/>
              </w:rPr>
              <w:t>o</w:t>
            </w:r>
            <w:r w:rsidRPr="00D77B31">
              <w:rPr>
                <w:rFonts w:eastAsia="Calibri" w:cs="Arial"/>
                <w:b/>
              </w:rPr>
              <w:t>ffset from band edge (dBm/MHz)</w:t>
            </w:r>
          </w:p>
        </w:tc>
      </w:tr>
      <w:tr w:rsidR="00862700" w:rsidRPr="00D77B31" w14:paraId="67DD5A78" w14:textId="77777777" w:rsidTr="00842DFD">
        <w:trPr>
          <w:cantSplit/>
          <w:trHeight w:val="585"/>
          <w:jc w:val="center"/>
        </w:trPr>
        <w:tc>
          <w:tcPr>
            <w:tcW w:w="1117" w:type="dxa"/>
          </w:tcPr>
          <w:p w14:paraId="0BC44217" w14:textId="77777777" w:rsidR="00862700" w:rsidRPr="00D77B31" w:rsidRDefault="00862700" w:rsidP="00842DFD">
            <w:pPr>
              <w:keepNext/>
              <w:jc w:val="center"/>
              <w:rPr>
                <w:rFonts w:eastAsia="Calibri" w:cs="Arial"/>
                <w:b/>
              </w:rPr>
            </w:pPr>
            <w:r w:rsidRPr="00D77B31">
              <w:rPr>
                <w:rFonts w:eastAsia="Calibri" w:cs="Arial"/>
                <w:b/>
              </w:rPr>
              <w:t xml:space="preserve">Offset </w:t>
            </w:r>
          </w:p>
        </w:tc>
        <w:tc>
          <w:tcPr>
            <w:tcW w:w="2110" w:type="dxa"/>
          </w:tcPr>
          <w:p w14:paraId="0328205C" w14:textId="77777777" w:rsidR="00442B4C" w:rsidRPr="00D77B31" w:rsidRDefault="00862700">
            <w:pPr>
              <w:keepNext/>
              <w:jc w:val="center"/>
              <w:rPr>
                <w:rFonts w:eastAsia="Calibri" w:cs="Arial"/>
                <w:b/>
              </w:rPr>
            </w:pPr>
            <w:r w:rsidRPr="00D77B31">
              <w:rPr>
                <w:rFonts w:eastAsia="Calibri" w:cs="Arial"/>
                <w:b/>
              </w:rPr>
              <w:t xml:space="preserve">0.0 - 0.75 </w:t>
            </w:r>
            <w:r w:rsidR="00491EDD" w:rsidRPr="00D77B31">
              <w:rPr>
                <w:rFonts w:eastAsia="Calibri" w:cs="Arial"/>
                <w:b/>
              </w:rPr>
              <w:t>MHz</w:t>
            </w:r>
          </w:p>
        </w:tc>
        <w:tc>
          <w:tcPr>
            <w:tcW w:w="2126" w:type="dxa"/>
          </w:tcPr>
          <w:p w14:paraId="356E1F25" w14:textId="77777777" w:rsidR="00442B4C" w:rsidRPr="00D77B31" w:rsidRDefault="00862700">
            <w:pPr>
              <w:keepNext/>
              <w:jc w:val="center"/>
              <w:rPr>
                <w:rFonts w:eastAsia="Calibri" w:cs="Arial"/>
                <w:b/>
              </w:rPr>
            </w:pPr>
            <w:r w:rsidRPr="00D77B31">
              <w:rPr>
                <w:rFonts w:eastAsia="Calibri" w:cs="Arial"/>
                <w:b/>
              </w:rPr>
              <w:t xml:space="preserve">0.75 - 1 </w:t>
            </w:r>
            <w:r w:rsidR="00491EDD" w:rsidRPr="00D77B31">
              <w:rPr>
                <w:rFonts w:eastAsia="Calibri" w:cs="Arial"/>
                <w:b/>
              </w:rPr>
              <w:t>MHz</w:t>
            </w:r>
          </w:p>
        </w:tc>
        <w:tc>
          <w:tcPr>
            <w:tcW w:w="2126" w:type="dxa"/>
          </w:tcPr>
          <w:p w14:paraId="5CADB159" w14:textId="77777777" w:rsidR="00442B4C" w:rsidRPr="00D77B31" w:rsidRDefault="00862700">
            <w:pPr>
              <w:keepNext/>
              <w:jc w:val="center"/>
              <w:rPr>
                <w:rFonts w:eastAsia="Calibri" w:cs="Arial"/>
                <w:b/>
              </w:rPr>
            </w:pPr>
            <w:r w:rsidRPr="00D77B31">
              <w:rPr>
                <w:rFonts w:eastAsia="Calibri" w:cs="Arial"/>
                <w:b/>
              </w:rPr>
              <w:t>1.0 - 5.0</w:t>
            </w:r>
            <w:r w:rsidR="00491EDD" w:rsidRPr="00D77B31">
              <w:rPr>
                <w:rFonts w:eastAsia="Calibri" w:cs="Arial"/>
                <w:b/>
              </w:rPr>
              <w:t xml:space="preserve"> MHz</w:t>
            </w:r>
            <w:r w:rsidRPr="00D77B31">
              <w:rPr>
                <w:rFonts w:eastAsia="Calibri" w:cs="Arial"/>
                <w:b/>
              </w:rPr>
              <w:t xml:space="preserve"> </w:t>
            </w:r>
          </w:p>
        </w:tc>
        <w:tc>
          <w:tcPr>
            <w:tcW w:w="2218" w:type="dxa"/>
          </w:tcPr>
          <w:p w14:paraId="0E798B30" w14:textId="77777777" w:rsidR="00442B4C" w:rsidRPr="00D77B31" w:rsidRDefault="00862700">
            <w:pPr>
              <w:keepNext/>
              <w:jc w:val="center"/>
              <w:rPr>
                <w:rFonts w:eastAsia="Calibri" w:cs="Arial"/>
                <w:b/>
              </w:rPr>
            </w:pPr>
            <w:r w:rsidRPr="00D77B31">
              <w:rPr>
                <w:rFonts w:eastAsia="Calibri" w:cs="Arial"/>
                <w:b/>
              </w:rPr>
              <w:t xml:space="preserve">5.0 </w:t>
            </w:r>
            <w:r w:rsidR="00CF21E7" w:rsidRPr="00D77B31">
              <w:rPr>
                <w:rFonts w:eastAsia="Calibri" w:cs="Arial"/>
                <w:b/>
              </w:rPr>
              <w:t>-</w:t>
            </w:r>
            <w:r w:rsidR="00491EDD" w:rsidRPr="00D77B31">
              <w:rPr>
                <w:rFonts w:eastAsia="Calibri" w:cs="Arial"/>
                <w:b/>
              </w:rPr>
              <w:t xml:space="preserve"> </w:t>
            </w:r>
            <w:r w:rsidR="00CF21E7" w:rsidRPr="00D77B31">
              <w:rPr>
                <w:rFonts w:eastAsia="Calibri" w:cs="Arial"/>
                <w:b/>
              </w:rPr>
              <w:t>20.0</w:t>
            </w:r>
            <w:r w:rsidRPr="00D77B31">
              <w:rPr>
                <w:rFonts w:eastAsia="Calibri" w:cs="Arial"/>
                <w:b/>
              </w:rPr>
              <w:t xml:space="preserve"> </w:t>
            </w:r>
            <w:r w:rsidR="00491EDD" w:rsidRPr="00D77B31">
              <w:rPr>
                <w:rFonts w:eastAsia="Calibri" w:cs="Arial"/>
                <w:b/>
              </w:rPr>
              <w:t>MHz</w:t>
            </w:r>
            <w:r w:rsidR="00BF43F3" w:rsidRPr="00D77B31">
              <w:rPr>
                <w:rStyle w:val="FootnoteReference"/>
                <w:rFonts w:eastAsia="Calibri" w:cs="Arial"/>
                <w:b/>
              </w:rPr>
              <w:footnoteReference w:id="21"/>
            </w:r>
          </w:p>
        </w:tc>
      </w:tr>
      <w:tr w:rsidR="00862700" w:rsidRPr="00D77B31" w14:paraId="7DFB56A2" w14:textId="77777777" w:rsidTr="00842DFD">
        <w:trPr>
          <w:cantSplit/>
          <w:trHeight w:val="83"/>
          <w:jc w:val="center"/>
        </w:trPr>
        <w:tc>
          <w:tcPr>
            <w:tcW w:w="1117" w:type="dxa"/>
            <w:vAlign w:val="center"/>
          </w:tcPr>
          <w:p w14:paraId="31E4A9FA" w14:textId="77777777" w:rsidR="00862700" w:rsidRPr="00D77B31" w:rsidRDefault="00862700" w:rsidP="00842DFD">
            <w:pPr>
              <w:keepNext/>
              <w:rPr>
                <w:rFonts w:eastAsia="Calibri" w:cs="Arial"/>
              </w:rPr>
            </w:pPr>
          </w:p>
        </w:tc>
        <w:tc>
          <w:tcPr>
            <w:tcW w:w="2110" w:type="dxa"/>
            <w:vAlign w:val="center"/>
          </w:tcPr>
          <w:p w14:paraId="2C59A361" w14:textId="77777777" w:rsidR="00442B4C" w:rsidRPr="00D77B31" w:rsidRDefault="00862700">
            <w:pPr>
              <w:keepNext/>
              <w:jc w:val="center"/>
              <w:rPr>
                <w:rFonts w:eastAsia="Calibri" w:cs="Arial"/>
              </w:rPr>
            </w:pPr>
            <w:r w:rsidRPr="00D77B31">
              <w:rPr>
                <w:rFonts w:eastAsia="Calibri" w:cs="Arial"/>
              </w:rPr>
              <w:t>27.22</w:t>
            </w:r>
          </w:p>
        </w:tc>
        <w:tc>
          <w:tcPr>
            <w:tcW w:w="2126" w:type="dxa"/>
            <w:vAlign w:val="center"/>
          </w:tcPr>
          <w:p w14:paraId="05DD85A0" w14:textId="77777777" w:rsidR="00442B4C" w:rsidRPr="00D77B31" w:rsidRDefault="00862700">
            <w:pPr>
              <w:keepNext/>
              <w:jc w:val="center"/>
              <w:rPr>
                <w:rFonts w:eastAsia="Calibri" w:cs="Arial"/>
              </w:rPr>
            </w:pPr>
            <w:r w:rsidRPr="00D77B31">
              <w:rPr>
                <w:rFonts w:eastAsia="Calibri" w:cs="Arial"/>
              </w:rPr>
              <w:t>17.22</w:t>
            </w:r>
          </w:p>
        </w:tc>
        <w:tc>
          <w:tcPr>
            <w:tcW w:w="2126" w:type="dxa"/>
            <w:vAlign w:val="center"/>
          </w:tcPr>
          <w:p w14:paraId="1E5C063F" w14:textId="77777777" w:rsidR="00442B4C" w:rsidRPr="00D77B31" w:rsidRDefault="00862700">
            <w:pPr>
              <w:keepNext/>
              <w:jc w:val="center"/>
              <w:rPr>
                <w:rFonts w:eastAsia="Calibri" w:cs="Arial"/>
              </w:rPr>
            </w:pPr>
            <w:r w:rsidRPr="00D77B31">
              <w:rPr>
                <w:rFonts w:eastAsia="Calibri" w:cs="Arial"/>
              </w:rPr>
              <w:t>6.22</w:t>
            </w:r>
          </w:p>
        </w:tc>
        <w:tc>
          <w:tcPr>
            <w:tcW w:w="2218" w:type="dxa"/>
            <w:vAlign w:val="center"/>
          </w:tcPr>
          <w:p w14:paraId="4B685E6D" w14:textId="77777777" w:rsidR="00442B4C" w:rsidRPr="00D77B31" w:rsidRDefault="00862700">
            <w:pPr>
              <w:keepNext/>
              <w:jc w:val="center"/>
              <w:rPr>
                <w:rFonts w:eastAsia="Calibri" w:cs="Arial"/>
              </w:rPr>
            </w:pPr>
            <w:r w:rsidRPr="00D77B31">
              <w:rPr>
                <w:rFonts w:eastAsia="Calibri" w:cs="Arial"/>
              </w:rPr>
              <w:t>-0.78</w:t>
            </w:r>
          </w:p>
        </w:tc>
      </w:tr>
    </w:tbl>
    <w:p w14:paraId="2134F037" w14:textId="77777777" w:rsidR="00163C87" w:rsidRPr="00D77B31" w:rsidRDefault="00163C87" w:rsidP="00F2108B">
      <w:pPr>
        <w:rPr>
          <w:rFonts w:cs="Arial"/>
          <w:b/>
        </w:rPr>
      </w:pPr>
    </w:p>
    <w:p w14:paraId="06F029C7" w14:textId="0C520ED9" w:rsidR="00662C92" w:rsidRPr="00D77B31" w:rsidRDefault="00662C92" w:rsidP="00F2108B">
      <w:pPr>
        <w:rPr>
          <w:rFonts w:cs="Arial"/>
        </w:rPr>
      </w:pPr>
      <w:r w:rsidRPr="00D77B31">
        <w:rPr>
          <w:rFonts w:cs="Arial"/>
          <w:b/>
        </w:rPr>
        <w:lastRenderedPageBreak/>
        <w:t>2010-2110 MHz band</w:t>
      </w:r>
      <w:r w:rsidR="00447B17" w:rsidRPr="00D77B31">
        <w:rPr>
          <w:rFonts w:cs="Arial"/>
        </w:rPr>
        <w:t>.</w:t>
      </w:r>
      <w:r w:rsidRPr="00D77B31">
        <w:rPr>
          <w:rFonts w:cs="Arial"/>
        </w:rPr>
        <w:t xml:space="preserve"> The band is adjacent to the 2 GHz </w:t>
      </w:r>
      <w:r w:rsidR="00896F98" w:rsidRPr="00D77B31">
        <w:rPr>
          <w:rFonts w:cs="Arial"/>
        </w:rPr>
        <w:t>s</w:t>
      </w:r>
      <w:r w:rsidRPr="00D77B31">
        <w:rPr>
          <w:rFonts w:cs="Arial"/>
        </w:rPr>
        <w:t>pectrum licence and PTS apparatus licence base station transmit band above 2110 MHz</w:t>
      </w:r>
      <w:r w:rsidR="00E30E8E" w:rsidRPr="00D77B31">
        <w:rPr>
          <w:rFonts w:cs="Arial"/>
        </w:rPr>
        <w:t xml:space="preserve">. </w:t>
      </w:r>
      <w:r w:rsidRPr="00D77B31">
        <w:rPr>
          <w:rFonts w:cs="Arial"/>
        </w:rPr>
        <w:t>Due to the high density of existing 2 GHz spectrum license and PTS apparatus license base station transmitters in and around capital cities it is unlikely that a Fixed TOB receiver located in those areas can be operated successfully adjacent to the 2110 MHz band edge.</w:t>
      </w:r>
    </w:p>
    <w:p w14:paraId="28B3142D" w14:textId="77777777" w:rsidR="00B85120" w:rsidRPr="00D77B31" w:rsidRDefault="00F2108B" w:rsidP="00F2108B">
      <w:pPr>
        <w:rPr>
          <w:rFonts w:cs="Arial"/>
        </w:rPr>
      </w:pPr>
      <w:r w:rsidRPr="00D77B31">
        <w:rPr>
          <w:rFonts w:cs="Arial"/>
        </w:rPr>
        <w:t xml:space="preserve">Protection of fixed TOB receivers from adjacent band </w:t>
      </w:r>
      <w:r w:rsidR="00662C92" w:rsidRPr="00D77B31">
        <w:rPr>
          <w:rFonts w:cs="Arial"/>
        </w:rPr>
        <w:t xml:space="preserve">2 GHz </w:t>
      </w:r>
      <w:r w:rsidRPr="00D77B31">
        <w:rPr>
          <w:rFonts w:cs="Arial"/>
        </w:rPr>
        <w:t>spectrum licensed and apparatus licensed PTS services will be afforded on a first in time basis</w:t>
      </w:r>
      <w:r w:rsidR="00E30E8E" w:rsidRPr="00D77B31">
        <w:rPr>
          <w:rFonts w:cs="Arial"/>
        </w:rPr>
        <w:t xml:space="preserve">. </w:t>
      </w:r>
      <w:r w:rsidRPr="00D77B31">
        <w:rPr>
          <w:rFonts w:cs="Arial"/>
        </w:rPr>
        <w:t xml:space="preserve">This means no protection will be given to a fixed TOB receiver from adjacent service fixed stations existing in the RRL at the time of licensing of the fixed TOB receiver. </w:t>
      </w:r>
    </w:p>
    <w:p w14:paraId="703DADD0" w14:textId="445F131C" w:rsidR="00662C92" w:rsidRPr="00D77B31" w:rsidRDefault="00662C92" w:rsidP="00662C92">
      <w:pPr>
        <w:rPr>
          <w:rFonts w:cs="Arial"/>
        </w:rPr>
      </w:pPr>
      <w:r w:rsidRPr="00D77B31">
        <w:rPr>
          <w:rFonts w:cs="Arial"/>
        </w:rPr>
        <w:t>To assess whether a fixed TOB receiver station will potentially be exposed to unacceptable interference from existing adjacent band 2 GHz spectrum licence and PTS apparatus licence base station transmitters</w:t>
      </w:r>
      <w:r w:rsidR="00F56D5C" w:rsidRPr="00D77B31">
        <w:rPr>
          <w:rFonts w:cs="Arial"/>
        </w:rPr>
        <w:t>,</w:t>
      </w:r>
      <w:r w:rsidRPr="00D77B31">
        <w:rPr>
          <w:rFonts w:cs="Arial"/>
        </w:rPr>
        <w:t xml:space="preserve"> all transmitters within 20 MHz of the TOB receive channel edge and within 100 km of the proposed fixed TOB receiver site in the RRL should be assessed using the criteria outlined </w:t>
      </w:r>
      <w:r w:rsidR="00F56D5C" w:rsidRPr="00D77B31">
        <w:rPr>
          <w:rFonts w:cs="Arial"/>
        </w:rPr>
        <w:t>in</w:t>
      </w:r>
      <w:r w:rsidR="00920DF3" w:rsidRPr="00D77B31">
        <w:rPr>
          <w:rFonts w:cs="Arial"/>
        </w:rPr>
        <w:t xml:space="preserve"> section</w:t>
      </w:r>
      <w:r w:rsidR="00F56D5C" w:rsidRPr="00D77B31">
        <w:rPr>
          <w:rFonts w:cs="Arial"/>
        </w:rPr>
        <w:t xml:space="preserve"> </w:t>
      </w:r>
      <w:r w:rsidR="00C440F0" w:rsidRPr="00D77B31">
        <w:rPr>
          <w:rFonts w:cs="Arial"/>
        </w:rPr>
        <w:fldChar w:fldCharType="begin"/>
      </w:r>
      <w:r w:rsidR="00EE1084" w:rsidRPr="00D77B31">
        <w:rPr>
          <w:rFonts w:cs="Arial"/>
        </w:rPr>
        <w:instrText xml:space="preserve"> REF _Ref381103480 \r \h </w:instrText>
      </w:r>
      <w:r w:rsidR="00481675" w:rsidRPr="00D77B31">
        <w:rPr>
          <w:rFonts w:cs="Arial"/>
        </w:rPr>
        <w:instrText xml:space="preserve"> \* MERGEFORMAT </w:instrText>
      </w:r>
      <w:r w:rsidR="00C440F0" w:rsidRPr="00D77B31">
        <w:rPr>
          <w:rFonts w:cs="Arial"/>
        </w:rPr>
      </w:r>
      <w:r w:rsidR="00C440F0" w:rsidRPr="00D77B31">
        <w:rPr>
          <w:rFonts w:cs="Arial"/>
        </w:rPr>
        <w:fldChar w:fldCharType="separate"/>
      </w:r>
      <w:r w:rsidR="003F79BE">
        <w:rPr>
          <w:rFonts w:cs="Arial"/>
        </w:rPr>
        <w:t>4.5</w:t>
      </w:r>
      <w:r w:rsidR="00C440F0" w:rsidRPr="00D77B31">
        <w:rPr>
          <w:rFonts w:cs="Arial"/>
        </w:rPr>
        <w:fldChar w:fldCharType="end"/>
      </w:r>
      <w:r w:rsidRPr="00D77B31">
        <w:rPr>
          <w:rFonts w:cs="Arial"/>
        </w:rPr>
        <w:t>.</w:t>
      </w:r>
    </w:p>
    <w:p w14:paraId="443F2AA4" w14:textId="5399F0C9" w:rsidR="000D09D7" w:rsidRPr="00D77B31" w:rsidRDefault="000D09D7" w:rsidP="005565C2">
      <w:pPr>
        <w:rPr>
          <w:rFonts w:cs="Arial"/>
        </w:rPr>
      </w:pPr>
      <w:r w:rsidRPr="00D77B31">
        <w:rPr>
          <w:rFonts w:cs="Arial"/>
          <w:b/>
        </w:rPr>
        <w:t>22</w:t>
      </w:r>
      <w:r w:rsidR="00F53EC0" w:rsidRPr="00D77B31">
        <w:rPr>
          <w:rFonts w:cs="Arial"/>
          <w:b/>
        </w:rPr>
        <w:t>0</w:t>
      </w:r>
      <w:r w:rsidR="00F754B7" w:rsidRPr="00D77B31">
        <w:rPr>
          <w:rFonts w:cs="Arial"/>
          <w:b/>
        </w:rPr>
        <w:t>0</w:t>
      </w:r>
      <w:r w:rsidRPr="00D77B31">
        <w:rPr>
          <w:rFonts w:cs="Arial"/>
          <w:b/>
        </w:rPr>
        <w:t>-2300 MHz</w:t>
      </w:r>
      <w:r w:rsidR="00F56D5C" w:rsidRPr="00D77B31">
        <w:rPr>
          <w:rFonts w:cs="Arial"/>
          <w:b/>
        </w:rPr>
        <w:t xml:space="preserve"> band</w:t>
      </w:r>
      <w:r w:rsidR="00447B17" w:rsidRPr="00D77B31">
        <w:rPr>
          <w:rFonts w:cs="Arial"/>
          <w:b/>
        </w:rPr>
        <w:t>.</w:t>
      </w:r>
      <w:r w:rsidRPr="00D77B31">
        <w:rPr>
          <w:rFonts w:cs="Arial"/>
        </w:rPr>
        <w:t xml:space="preserve"> </w:t>
      </w:r>
      <w:r w:rsidR="00F56D5C" w:rsidRPr="00D77B31">
        <w:rPr>
          <w:rFonts w:cs="Arial"/>
        </w:rPr>
        <w:t>The band is adjacent to the 2.3 GHz spectrum licence band</w:t>
      </w:r>
      <w:r w:rsidR="00E30E8E" w:rsidRPr="00D77B31">
        <w:rPr>
          <w:rFonts w:cs="Arial"/>
        </w:rPr>
        <w:t xml:space="preserve">. </w:t>
      </w:r>
      <w:r w:rsidR="00F56D5C" w:rsidRPr="00D77B31">
        <w:rPr>
          <w:rFonts w:cs="Arial"/>
        </w:rPr>
        <w:t>This band is a TTD band and base stations may be operating adjacent to the 2300 MHz boundary</w:t>
      </w:r>
      <w:r w:rsidR="00E30E8E" w:rsidRPr="00D77B31">
        <w:rPr>
          <w:rFonts w:cs="Arial"/>
        </w:rPr>
        <w:t xml:space="preserve">. </w:t>
      </w:r>
      <w:r w:rsidR="00F56D5C" w:rsidRPr="00D77B31">
        <w:rPr>
          <w:rFonts w:cs="Arial"/>
        </w:rPr>
        <w:t>A</w:t>
      </w:r>
      <w:r w:rsidRPr="00D77B31">
        <w:rPr>
          <w:rFonts w:cs="Arial"/>
        </w:rPr>
        <w:t xml:space="preserve">ssessment </w:t>
      </w:r>
      <w:r w:rsidR="00DB4B12" w:rsidRPr="00D77B31">
        <w:rPr>
          <w:rFonts w:cs="Arial"/>
        </w:rPr>
        <w:t>of the interference to</w:t>
      </w:r>
      <w:r w:rsidR="00DE7ACD" w:rsidRPr="00D77B31">
        <w:rPr>
          <w:rFonts w:cs="Arial"/>
        </w:rPr>
        <w:t xml:space="preserve"> fixed TOB receivers </w:t>
      </w:r>
      <w:r w:rsidR="00DB4B12" w:rsidRPr="00D77B31">
        <w:rPr>
          <w:rFonts w:cs="Arial"/>
        </w:rPr>
        <w:t>from</w:t>
      </w:r>
      <w:r w:rsidRPr="00D77B31">
        <w:rPr>
          <w:rFonts w:cs="Arial"/>
        </w:rPr>
        <w:t xml:space="preserve"> adjacent </w:t>
      </w:r>
      <w:r w:rsidR="00DB4B12" w:rsidRPr="00D77B31">
        <w:rPr>
          <w:rFonts w:cs="Arial"/>
        </w:rPr>
        <w:t>band</w:t>
      </w:r>
      <w:r w:rsidRPr="00D77B31">
        <w:rPr>
          <w:rFonts w:cs="Arial"/>
        </w:rPr>
        <w:t xml:space="preserve"> base stations </w:t>
      </w:r>
      <w:r w:rsidR="00DB4B12" w:rsidRPr="00D77B31">
        <w:rPr>
          <w:rFonts w:cs="Arial"/>
        </w:rPr>
        <w:t>can be determined using</w:t>
      </w:r>
      <w:r w:rsidR="000A7054" w:rsidRPr="00D77B31">
        <w:rPr>
          <w:rFonts w:cs="Arial"/>
        </w:rPr>
        <w:t xml:space="preserve"> equations </w:t>
      </w:r>
      <w:r w:rsidR="00554DBA" w:rsidRPr="00D77B31">
        <w:rPr>
          <w:rFonts w:cs="Arial"/>
        </w:rPr>
        <w:t>6.5-1</w:t>
      </w:r>
      <w:r w:rsidR="000A7054" w:rsidRPr="00D77B31">
        <w:rPr>
          <w:rFonts w:cs="Arial"/>
        </w:rPr>
        <w:t xml:space="preserve"> and </w:t>
      </w:r>
      <w:r w:rsidR="00554DBA" w:rsidRPr="00D77B31">
        <w:rPr>
          <w:rFonts w:cs="Arial"/>
        </w:rPr>
        <w:t>6.5-2</w:t>
      </w:r>
      <w:r w:rsidR="00B47A58" w:rsidRPr="00D77B31">
        <w:rPr>
          <w:rFonts w:cs="Arial"/>
        </w:rPr>
        <w:t>. To determine</w:t>
      </w:r>
      <w:r w:rsidR="006C480C" w:rsidRPr="00D77B31">
        <w:rPr>
          <w:rFonts w:cs="Arial"/>
        </w:rPr>
        <w:t xml:space="preserve"> the</w:t>
      </w:r>
      <w:r w:rsidR="00B47A58" w:rsidRPr="00D77B31">
        <w:rPr>
          <w:rFonts w:cs="Arial"/>
        </w:rPr>
        <w:t xml:space="preserve"> out</w:t>
      </w:r>
      <w:r w:rsidR="00805C5A" w:rsidRPr="00D77B31">
        <w:rPr>
          <w:rFonts w:cs="Arial"/>
        </w:rPr>
        <w:t xml:space="preserve"> </w:t>
      </w:r>
      <w:r w:rsidR="00B47A58" w:rsidRPr="00D77B31">
        <w:rPr>
          <w:rFonts w:cs="Arial"/>
        </w:rPr>
        <w:t>of</w:t>
      </w:r>
      <w:r w:rsidR="00805C5A" w:rsidRPr="00D77B31">
        <w:rPr>
          <w:rFonts w:cs="Arial"/>
        </w:rPr>
        <w:t xml:space="preserve"> </w:t>
      </w:r>
      <w:r w:rsidR="00B47A58" w:rsidRPr="00D77B31">
        <w:rPr>
          <w:rFonts w:cs="Arial"/>
        </w:rPr>
        <w:t>band EIRP</w:t>
      </w:r>
      <w:r w:rsidR="006C480C" w:rsidRPr="00D77B31">
        <w:rPr>
          <w:rFonts w:cs="Arial"/>
        </w:rPr>
        <w:t xml:space="preserve"> from a 2.3 GHz spectrum licence</w:t>
      </w:r>
      <w:r w:rsidR="00B47A58" w:rsidRPr="00D77B31">
        <w:rPr>
          <w:rFonts w:cs="Arial"/>
        </w:rPr>
        <w:t>,</w:t>
      </w:r>
      <w:r w:rsidR="00E86D91" w:rsidRPr="00D77B31">
        <w:rPr>
          <w:rFonts w:cs="Arial"/>
        </w:rPr>
        <w:t xml:space="preserve"> the </w:t>
      </w:r>
      <w:r w:rsidR="00EA2BFB" w:rsidRPr="00D77B31">
        <w:rPr>
          <w:rFonts w:cs="Arial"/>
        </w:rPr>
        <w:t>T</w:t>
      </w:r>
      <w:r w:rsidR="009D061D" w:rsidRPr="00D77B31">
        <w:rPr>
          <w:rFonts w:cs="Arial"/>
        </w:rPr>
        <w:t xml:space="preserve">otal </w:t>
      </w:r>
      <w:r w:rsidR="00EA2BFB" w:rsidRPr="00D77B31">
        <w:rPr>
          <w:rFonts w:cs="Arial"/>
        </w:rPr>
        <w:t>R</w:t>
      </w:r>
      <w:r w:rsidR="009D061D" w:rsidRPr="00D77B31">
        <w:rPr>
          <w:rFonts w:cs="Arial"/>
        </w:rPr>
        <w:t xml:space="preserve">adiated </w:t>
      </w:r>
      <w:r w:rsidR="00EA2BFB" w:rsidRPr="00D77B31">
        <w:rPr>
          <w:rFonts w:cs="Arial"/>
        </w:rPr>
        <w:t>P</w:t>
      </w:r>
      <w:r w:rsidR="009D061D" w:rsidRPr="00D77B31">
        <w:rPr>
          <w:rFonts w:cs="Arial"/>
        </w:rPr>
        <w:t xml:space="preserve">ower </w:t>
      </w:r>
      <w:r w:rsidR="000215F2" w:rsidRPr="00D77B31">
        <w:rPr>
          <w:rFonts w:cs="Arial"/>
        </w:rPr>
        <w:t xml:space="preserve">limits </w:t>
      </w:r>
      <w:r w:rsidR="00E86D91" w:rsidRPr="00D77B31">
        <w:rPr>
          <w:rFonts w:cs="Arial"/>
        </w:rPr>
        <w:t>in Table</w:t>
      </w:r>
      <w:r w:rsidR="00F56D5C" w:rsidRPr="00D77B31">
        <w:rPr>
          <w:rFonts w:cs="Arial"/>
        </w:rPr>
        <w:t xml:space="preserve"> 3</w:t>
      </w:r>
      <w:r w:rsidR="00B47A58" w:rsidRPr="00D77B31">
        <w:rPr>
          <w:rFonts w:cs="Arial"/>
        </w:rPr>
        <w:t xml:space="preserve"> plus the antenna gain of individual devices operating under 2.3 GHz spectrum licences</w:t>
      </w:r>
      <w:r w:rsidR="006C480C" w:rsidRPr="00D77B31">
        <w:rPr>
          <w:rFonts w:cs="Arial"/>
        </w:rPr>
        <w:t xml:space="preserve"> (as recorded on the RRL)</w:t>
      </w:r>
      <w:r w:rsidR="00B47A58" w:rsidRPr="00D77B31">
        <w:rPr>
          <w:rFonts w:cs="Arial"/>
        </w:rPr>
        <w:t xml:space="preserve"> can be used</w:t>
      </w:r>
      <w:r w:rsidR="000A7054" w:rsidRPr="00D77B31">
        <w:rPr>
          <w:rFonts w:cs="Arial"/>
        </w:rPr>
        <w:t>.</w:t>
      </w:r>
    </w:p>
    <w:p w14:paraId="26D71766" w14:textId="77777777" w:rsidR="00447B17" w:rsidRPr="00D77B31" w:rsidRDefault="00447B17" w:rsidP="005565C2">
      <w:pPr>
        <w:rPr>
          <w:rFonts w:cs="Arial"/>
        </w:rPr>
      </w:pPr>
    </w:p>
    <w:p w14:paraId="1546EC41" w14:textId="21DAB0B8" w:rsidR="00447B17" w:rsidRPr="00D77B31" w:rsidRDefault="00447B17" w:rsidP="00447B17">
      <w:pPr>
        <w:pStyle w:val="ACMATableHeader"/>
        <w:rPr>
          <w:rFonts w:cs="Arial"/>
        </w:rPr>
      </w:pPr>
      <w:bookmarkStart w:id="211" w:name="_Ref111710055"/>
      <w:r w:rsidRPr="00D77B31">
        <w:rPr>
          <w:rFonts w:cs="Arial"/>
        </w:rPr>
        <w:t>TRP emission limits for 2.3 GHz spectrum licence services below 2300 MHz</w:t>
      </w:r>
      <w:bookmarkEnd w:id="211"/>
    </w:p>
    <w:p w14:paraId="6EAA84A4" w14:textId="77777777" w:rsidR="00447B17" w:rsidRPr="00D77B31" w:rsidRDefault="00447B17" w:rsidP="00447B17">
      <w:pPr>
        <w:pStyle w:val="ACMATableHeader"/>
        <w:numPr>
          <w:ilvl w:val="0"/>
          <w:numId w:val="0"/>
        </w:numPr>
        <w:ind w:left="964"/>
        <w:rPr>
          <w:rFonts w:cs="Arial"/>
        </w:rPr>
      </w:pPr>
    </w:p>
    <w:tbl>
      <w:tblPr>
        <w:tblpPr w:leftFromText="180" w:rightFromText="180" w:vertAnchor="text" w:horzAnchor="margin" w:tblpXSpec="center" w:tblpY="-79"/>
        <w:tblW w:w="921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852"/>
        <w:gridCol w:w="2706"/>
        <w:gridCol w:w="2828"/>
        <w:gridCol w:w="2828"/>
      </w:tblGrid>
      <w:tr w:rsidR="006C480C" w:rsidRPr="00D77B31" w14:paraId="013FA5F3" w14:textId="4B64D699" w:rsidTr="00C63426">
        <w:tc>
          <w:tcPr>
            <w:tcW w:w="831" w:type="dxa"/>
            <w:tcBorders>
              <w:top w:val="nil"/>
              <w:left w:val="nil"/>
            </w:tcBorders>
          </w:tcPr>
          <w:p w14:paraId="12E51466" w14:textId="77777777" w:rsidR="006C480C" w:rsidRPr="00D77B31" w:rsidRDefault="006C480C" w:rsidP="005565C2">
            <w:pPr>
              <w:jc w:val="center"/>
              <w:rPr>
                <w:rFonts w:eastAsia="Calibri" w:cs="Arial"/>
                <w:b/>
              </w:rPr>
            </w:pPr>
          </w:p>
        </w:tc>
        <w:tc>
          <w:tcPr>
            <w:tcW w:w="8383" w:type="dxa"/>
            <w:gridSpan w:val="3"/>
          </w:tcPr>
          <w:p w14:paraId="7689875E" w14:textId="3D608658" w:rsidR="006C480C" w:rsidRPr="00D77B31" w:rsidRDefault="006C480C" w:rsidP="005565C2">
            <w:pPr>
              <w:jc w:val="center"/>
              <w:rPr>
                <w:rFonts w:eastAsia="Calibri" w:cs="Arial"/>
                <w:b/>
              </w:rPr>
            </w:pPr>
            <w:r w:rsidRPr="00D77B31">
              <w:rPr>
                <w:rFonts w:eastAsia="Calibri" w:cs="Arial"/>
                <w:b/>
              </w:rPr>
              <w:t>Out of band Total Radiated Power at Frequency Offset from band edge</w:t>
            </w:r>
          </w:p>
        </w:tc>
      </w:tr>
      <w:tr w:rsidR="006C480C" w:rsidRPr="00D77B31" w14:paraId="6D073E8B" w14:textId="151B0E8C" w:rsidTr="00EA2BFB">
        <w:trPr>
          <w:trHeight w:val="537"/>
        </w:trPr>
        <w:tc>
          <w:tcPr>
            <w:tcW w:w="831" w:type="dxa"/>
            <w:vAlign w:val="center"/>
          </w:tcPr>
          <w:p w14:paraId="01CDFB93" w14:textId="77777777" w:rsidR="006C480C" w:rsidRPr="00D77B31" w:rsidRDefault="006C480C" w:rsidP="00B47A58">
            <w:pPr>
              <w:jc w:val="center"/>
              <w:rPr>
                <w:rFonts w:eastAsia="Calibri" w:cs="Arial"/>
                <w:b/>
              </w:rPr>
            </w:pPr>
            <w:r w:rsidRPr="00D77B31">
              <w:rPr>
                <w:rFonts w:eastAsia="Calibri" w:cs="Arial"/>
                <w:b/>
              </w:rPr>
              <w:t>Offset</w:t>
            </w:r>
          </w:p>
        </w:tc>
        <w:tc>
          <w:tcPr>
            <w:tcW w:w="2713" w:type="dxa"/>
            <w:vAlign w:val="center"/>
          </w:tcPr>
          <w:p w14:paraId="6217C6E6" w14:textId="32FDB748" w:rsidR="006C480C" w:rsidRPr="00D77B31" w:rsidRDefault="006C480C" w:rsidP="006C480C">
            <w:pPr>
              <w:jc w:val="center"/>
              <w:rPr>
                <w:rFonts w:eastAsia="Calibri" w:cs="Arial"/>
                <w:b/>
              </w:rPr>
            </w:pPr>
            <w:r w:rsidRPr="00D77B31">
              <w:rPr>
                <w:rFonts w:eastAsia="Calibri" w:cs="Arial"/>
                <w:b/>
              </w:rPr>
              <w:t xml:space="preserve">0 MHz ≤ </w:t>
            </w:r>
            <w:proofErr w:type="spellStart"/>
            <w:r w:rsidRPr="00D77B31">
              <w:rPr>
                <w:rFonts w:eastAsia="Calibri" w:cs="Arial"/>
                <w:b/>
              </w:rPr>
              <w:t>f</w:t>
            </w:r>
            <w:r w:rsidRPr="00D77B31">
              <w:rPr>
                <w:rFonts w:eastAsia="Calibri" w:cs="Arial"/>
                <w:b/>
                <w:vertAlign w:val="subscript"/>
              </w:rPr>
              <w:t>offset</w:t>
            </w:r>
            <w:proofErr w:type="spellEnd"/>
            <w:r w:rsidRPr="00D77B31">
              <w:rPr>
                <w:rFonts w:eastAsia="Calibri" w:cs="Arial"/>
                <w:b/>
              </w:rPr>
              <w:t xml:space="preserve"> &lt; 5 MHz</w:t>
            </w:r>
          </w:p>
        </w:tc>
        <w:tc>
          <w:tcPr>
            <w:tcW w:w="2835" w:type="dxa"/>
            <w:vAlign w:val="center"/>
          </w:tcPr>
          <w:p w14:paraId="30D4C145" w14:textId="30B682DA" w:rsidR="006C480C" w:rsidRPr="00D77B31" w:rsidRDefault="006C480C" w:rsidP="006C480C">
            <w:pPr>
              <w:jc w:val="center"/>
              <w:rPr>
                <w:rFonts w:eastAsia="Calibri" w:cs="Arial"/>
                <w:b/>
              </w:rPr>
            </w:pPr>
            <w:r w:rsidRPr="00D77B31">
              <w:rPr>
                <w:rFonts w:eastAsia="Calibri" w:cs="Arial"/>
                <w:b/>
              </w:rPr>
              <w:t xml:space="preserve">5 MHz ≤ </w:t>
            </w:r>
            <w:proofErr w:type="spellStart"/>
            <w:r w:rsidRPr="00D77B31">
              <w:rPr>
                <w:rFonts w:eastAsia="Calibri" w:cs="Arial"/>
                <w:b/>
              </w:rPr>
              <w:t>f</w:t>
            </w:r>
            <w:r w:rsidRPr="00D77B31">
              <w:rPr>
                <w:rFonts w:eastAsia="Calibri" w:cs="Arial"/>
                <w:b/>
                <w:vertAlign w:val="subscript"/>
              </w:rPr>
              <w:t>offset</w:t>
            </w:r>
            <w:proofErr w:type="spellEnd"/>
            <w:r w:rsidRPr="00D77B31">
              <w:rPr>
                <w:rFonts w:eastAsia="Calibri" w:cs="Arial"/>
                <w:b/>
              </w:rPr>
              <w:t xml:space="preserve"> &lt; 10 MHz</w:t>
            </w:r>
          </w:p>
        </w:tc>
        <w:tc>
          <w:tcPr>
            <w:tcW w:w="2835" w:type="dxa"/>
            <w:vAlign w:val="center"/>
          </w:tcPr>
          <w:p w14:paraId="4A09CBD4" w14:textId="2A6E7659" w:rsidR="006C480C" w:rsidRPr="00D77B31" w:rsidRDefault="006C480C" w:rsidP="006C480C">
            <w:pPr>
              <w:jc w:val="center"/>
              <w:rPr>
                <w:rFonts w:eastAsia="Calibri" w:cs="Arial"/>
                <w:b/>
              </w:rPr>
            </w:pPr>
            <w:r w:rsidRPr="00D77B31">
              <w:rPr>
                <w:rFonts w:eastAsia="Calibri" w:cs="Arial"/>
                <w:b/>
              </w:rPr>
              <w:t xml:space="preserve">10 MHz ≤ </w:t>
            </w:r>
            <w:proofErr w:type="spellStart"/>
            <w:r w:rsidRPr="00D77B31">
              <w:rPr>
                <w:rFonts w:eastAsia="Calibri" w:cs="Arial"/>
                <w:b/>
              </w:rPr>
              <w:t>f</w:t>
            </w:r>
            <w:r w:rsidRPr="00D77B31">
              <w:rPr>
                <w:rFonts w:eastAsia="Calibri" w:cs="Arial"/>
                <w:b/>
                <w:vertAlign w:val="subscript"/>
              </w:rPr>
              <w:t>offset</w:t>
            </w:r>
            <w:proofErr w:type="spellEnd"/>
          </w:p>
        </w:tc>
      </w:tr>
      <w:tr w:rsidR="006C480C" w:rsidRPr="00D77B31" w14:paraId="556CF31B" w14:textId="74DD5BFB" w:rsidTr="00EA2BFB">
        <w:trPr>
          <w:trHeight w:val="510"/>
        </w:trPr>
        <w:tc>
          <w:tcPr>
            <w:tcW w:w="831" w:type="dxa"/>
            <w:vAlign w:val="center"/>
          </w:tcPr>
          <w:p w14:paraId="49F74977" w14:textId="77777777" w:rsidR="006C480C" w:rsidRPr="00D77B31" w:rsidRDefault="006C480C" w:rsidP="00EA2BFB">
            <w:pPr>
              <w:jc w:val="center"/>
              <w:rPr>
                <w:rFonts w:eastAsia="Calibri" w:cs="Arial"/>
              </w:rPr>
            </w:pPr>
          </w:p>
        </w:tc>
        <w:tc>
          <w:tcPr>
            <w:tcW w:w="2713" w:type="dxa"/>
            <w:vAlign w:val="center"/>
          </w:tcPr>
          <w:p w14:paraId="1E4DA770" w14:textId="6123968C" w:rsidR="006C480C" w:rsidRPr="00D77B31" w:rsidRDefault="006C480C" w:rsidP="006C480C">
            <w:pPr>
              <w:jc w:val="center"/>
              <w:rPr>
                <w:rFonts w:eastAsia="Calibri" w:cs="Arial"/>
              </w:rPr>
            </w:pPr>
            <w:r w:rsidRPr="00D77B31">
              <w:rPr>
                <w:rFonts w:eastAsia="Calibri" w:cs="Arial"/>
              </w:rPr>
              <w:t>-7 - (7/5) x (</w:t>
            </w:r>
            <w:proofErr w:type="spellStart"/>
            <w:r w:rsidRPr="00D77B31">
              <w:rPr>
                <w:rFonts w:eastAsia="Calibri" w:cs="Arial"/>
              </w:rPr>
              <w:t>f</w:t>
            </w:r>
            <w:r w:rsidRPr="00D77B31">
              <w:rPr>
                <w:rFonts w:eastAsia="Calibri" w:cs="Arial"/>
                <w:vertAlign w:val="subscript"/>
              </w:rPr>
              <w:t>offset</w:t>
            </w:r>
            <w:proofErr w:type="spellEnd"/>
            <w:r w:rsidRPr="00D77B31">
              <w:rPr>
                <w:rFonts w:eastAsia="Calibri" w:cs="Arial"/>
              </w:rPr>
              <w:t>) (dBm/100 kHz)</w:t>
            </w:r>
          </w:p>
        </w:tc>
        <w:tc>
          <w:tcPr>
            <w:tcW w:w="2835" w:type="dxa"/>
            <w:vAlign w:val="center"/>
          </w:tcPr>
          <w:p w14:paraId="11611B9C" w14:textId="40BFF0CC" w:rsidR="006C480C" w:rsidRPr="00D77B31" w:rsidRDefault="006C480C" w:rsidP="00E37786">
            <w:pPr>
              <w:jc w:val="center"/>
              <w:rPr>
                <w:rFonts w:eastAsia="Calibri" w:cs="Arial"/>
              </w:rPr>
            </w:pPr>
            <w:r w:rsidRPr="00D77B31">
              <w:rPr>
                <w:rFonts w:eastAsia="Calibri" w:cs="Arial"/>
              </w:rPr>
              <w:t>-6 - (17/5) x (</w:t>
            </w:r>
            <w:proofErr w:type="spellStart"/>
            <w:r w:rsidRPr="00D77B31">
              <w:rPr>
                <w:rFonts w:eastAsia="Calibri" w:cs="Arial"/>
              </w:rPr>
              <w:t>f</w:t>
            </w:r>
            <w:r w:rsidRPr="00D77B31">
              <w:rPr>
                <w:rFonts w:eastAsia="Calibri" w:cs="Arial"/>
                <w:vertAlign w:val="subscript"/>
              </w:rPr>
              <w:t>offset</w:t>
            </w:r>
            <w:proofErr w:type="spellEnd"/>
            <w:r w:rsidRPr="00D77B31">
              <w:rPr>
                <w:rFonts w:eastAsia="Calibri" w:cs="Arial"/>
              </w:rPr>
              <w:t>) (dBm/100 kHz)</w:t>
            </w:r>
          </w:p>
        </w:tc>
        <w:tc>
          <w:tcPr>
            <w:tcW w:w="2835" w:type="dxa"/>
          </w:tcPr>
          <w:p w14:paraId="0AF15D63" w14:textId="77777777" w:rsidR="006C480C" w:rsidRPr="00D77B31" w:rsidRDefault="006C480C">
            <w:pPr>
              <w:jc w:val="center"/>
              <w:rPr>
                <w:rFonts w:eastAsia="Calibri" w:cs="Arial"/>
              </w:rPr>
            </w:pPr>
            <w:r w:rsidRPr="00D77B31">
              <w:rPr>
                <w:rFonts w:eastAsia="Calibri" w:cs="Arial"/>
              </w:rPr>
              <w:t>-30</w:t>
            </w:r>
          </w:p>
          <w:p w14:paraId="6B1E8F76" w14:textId="2FF478D4" w:rsidR="006C480C" w:rsidRPr="00D77B31" w:rsidRDefault="006C480C">
            <w:pPr>
              <w:jc w:val="center"/>
              <w:rPr>
                <w:rFonts w:eastAsia="Calibri" w:cs="Arial"/>
              </w:rPr>
            </w:pPr>
            <w:r w:rsidRPr="00D77B31">
              <w:rPr>
                <w:rFonts w:eastAsia="Calibri" w:cs="Arial"/>
              </w:rPr>
              <w:t>(dBm/MHz)</w:t>
            </w:r>
          </w:p>
        </w:tc>
      </w:tr>
    </w:tbl>
    <w:p w14:paraId="43F60E6C" w14:textId="77777777" w:rsidR="00163C87" w:rsidRPr="00D77B31" w:rsidRDefault="00163C87" w:rsidP="000D09D7">
      <w:pPr>
        <w:rPr>
          <w:rFonts w:cs="Arial"/>
        </w:rPr>
      </w:pPr>
    </w:p>
    <w:p w14:paraId="51941688" w14:textId="7EB4823A" w:rsidR="00EE1084" w:rsidRPr="00D77B31" w:rsidRDefault="000D09D7" w:rsidP="000D09D7">
      <w:pPr>
        <w:rPr>
          <w:rFonts w:cs="Arial"/>
        </w:rPr>
      </w:pPr>
      <w:r w:rsidRPr="00D77B31">
        <w:rPr>
          <w:rFonts w:cs="Arial"/>
        </w:rPr>
        <w:t>Mobile TOB receivers (such as ENG vans and wireless cameras)</w:t>
      </w:r>
      <w:r w:rsidR="000215F2" w:rsidRPr="00D77B31">
        <w:rPr>
          <w:rFonts w:cs="Arial"/>
        </w:rPr>
        <w:t xml:space="preserve"> and </w:t>
      </w:r>
      <w:r w:rsidR="00177E68" w:rsidRPr="00D77B31">
        <w:rPr>
          <w:rFonts w:cs="Arial"/>
        </w:rPr>
        <w:t xml:space="preserve">unlicensed </w:t>
      </w:r>
      <w:r w:rsidR="000215F2" w:rsidRPr="00D77B31">
        <w:rPr>
          <w:rFonts w:cs="Arial"/>
        </w:rPr>
        <w:t>fixed TOB receivers</w:t>
      </w:r>
      <w:r w:rsidRPr="00D77B31">
        <w:rPr>
          <w:rFonts w:cs="Arial"/>
        </w:rPr>
        <w:t xml:space="preserve"> will not be afforded protection from adjacent channel services.</w:t>
      </w:r>
    </w:p>
    <w:p w14:paraId="30E3D242" w14:textId="77777777" w:rsidR="00E01113" w:rsidRPr="00D77B31" w:rsidRDefault="009205C0">
      <w:pPr>
        <w:pStyle w:val="Heading1"/>
      </w:pPr>
      <w:bookmarkStart w:id="212" w:name="_Toc384824132"/>
      <w:bookmarkStart w:id="213" w:name="_Toc380391957"/>
      <w:bookmarkStart w:id="214" w:name="_Toc380417090"/>
      <w:bookmarkStart w:id="215" w:name="_Toc368045422"/>
      <w:bookmarkStart w:id="216" w:name="_Toc368045474"/>
      <w:bookmarkStart w:id="217" w:name="_Toc368045517"/>
      <w:bookmarkStart w:id="218" w:name="_Toc368045561"/>
      <w:bookmarkStart w:id="219" w:name="_Toc368045423"/>
      <w:bookmarkStart w:id="220" w:name="_Toc368045475"/>
      <w:bookmarkStart w:id="221" w:name="_Toc368045518"/>
      <w:bookmarkStart w:id="222" w:name="_Toc368045562"/>
      <w:bookmarkStart w:id="223" w:name="_Toc368045563"/>
      <w:bookmarkStart w:id="224" w:name="_Toc111710885"/>
      <w:bookmarkEnd w:id="212"/>
      <w:bookmarkEnd w:id="213"/>
      <w:bookmarkEnd w:id="214"/>
      <w:bookmarkEnd w:id="215"/>
      <w:bookmarkEnd w:id="216"/>
      <w:bookmarkEnd w:id="217"/>
      <w:bookmarkEnd w:id="218"/>
      <w:bookmarkEnd w:id="219"/>
      <w:bookmarkEnd w:id="220"/>
      <w:bookmarkEnd w:id="221"/>
      <w:bookmarkEnd w:id="222"/>
      <w:r w:rsidRPr="00D77B31">
        <w:lastRenderedPageBreak/>
        <w:t>Licensing</w:t>
      </w:r>
      <w:bookmarkEnd w:id="223"/>
      <w:bookmarkEnd w:id="224"/>
    </w:p>
    <w:p w14:paraId="2F05F7DB" w14:textId="77777777" w:rsidR="00E01113" w:rsidRPr="00D77B31" w:rsidRDefault="009205C0" w:rsidP="009318BA">
      <w:pPr>
        <w:pStyle w:val="Heading2"/>
      </w:pPr>
      <w:bookmarkStart w:id="225" w:name="_Toc368045425"/>
      <w:bookmarkStart w:id="226" w:name="_Toc368045477"/>
      <w:bookmarkStart w:id="227" w:name="_Toc368045520"/>
      <w:bookmarkStart w:id="228" w:name="_Toc368045564"/>
      <w:bookmarkStart w:id="229" w:name="_Toc368045565"/>
      <w:bookmarkStart w:id="230" w:name="_Toc111710886"/>
      <w:bookmarkEnd w:id="225"/>
      <w:bookmarkEnd w:id="226"/>
      <w:bookmarkEnd w:id="227"/>
      <w:bookmarkEnd w:id="228"/>
      <w:r w:rsidRPr="00D77B31">
        <w:t>General</w:t>
      </w:r>
      <w:bookmarkEnd w:id="229"/>
      <w:bookmarkEnd w:id="230"/>
    </w:p>
    <w:p w14:paraId="13026A26" w14:textId="77777777" w:rsidR="00BF6D9C" w:rsidRPr="00D77B31" w:rsidRDefault="00177E68">
      <w:pPr>
        <w:rPr>
          <w:rFonts w:cs="Arial"/>
          <w:b/>
        </w:rPr>
      </w:pPr>
      <w:r w:rsidRPr="00D77B31">
        <w:rPr>
          <w:rFonts w:cs="Arial"/>
        </w:rPr>
        <w:t>Information on conditions, fees and other licensing requirements can be found in the apparatus licence information papers on the ACMA website</w:t>
      </w:r>
      <w:r w:rsidR="00E30E8E" w:rsidRPr="00D77B31">
        <w:rPr>
          <w:rFonts w:cs="Arial"/>
        </w:rPr>
        <w:t xml:space="preserve">. </w:t>
      </w:r>
      <w:r w:rsidRPr="00D77B31">
        <w:rPr>
          <w:rFonts w:cs="Arial"/>
        </w:rPr>
        <w:t>For television outside broadcast stations see the fixed information paper</w:t>
      </w:r>
      <w:r w:rsidRPr="00D77B31">
        <w:rPr>
          <w:rStyle w:val="FootnoteReference"/>
          <w:rFonts w:cs="Arial"/>
        </w:rPr>
        <w:footnoteReference w:id="22"/>
      </w:r>
      <w:r w:rsidRPr="00D77B31">
        <w:rPr>
          <w:rFonts w:cs="Arial"/>
        </w:rPr>
        <w:t xml:space="preserve"> and for receive station see the fixed receive information paper</w:t>
      </w:r>
      <w:r w:rsidRPr="00D77B31">
        <w:rPr>
          <w:rStyle w:val="FootnoteReference"/>
          <w:rFonts w:cs="Arial"/>
        </w:rPr>
        <w:footnoteReference w:id="23"/>
      </w:r>
      <w:r w:rsidRPr="00D77B31">
        <w:rPr>
          <w:rFonts w:cs="Arial"/>
        </w:rPr>
        <w:t>.</w:t>
      </w:r>
    </w:p>
    <w:p w14:paraId="5EAEE242" w14:textId="77777777" w:rsidR="00E01113" w:rsidRPr="00D77B31" w:rsidRDefault="00B9789B">
      <w:pPr>
        <w:pStyle w:val="Heading3"/>
      </w:pPr>
      <w:bookmarkStart w:id="231" w:name="_Toc111710887"/>
      <w:r w:rsidRPr="00D77B31">
        <w:t>1980-2010 MHz and 2170-2200 MHz</w:t>
      </w:r>
      <w:bookmarkEnd w:id="231"/>
    </w:p>
    <w:p w14:paraId="762AEF7D" w14:textId="2D536AFA" w:rsidR="00E01113" w:rsidRPr="00D77B31" w:rsidRDefault="009205C0">
      <w:pPr>
        <w:keepNext/>
        <w:rPr>
          <w:rFonts w:cs="Arial"/>
        </w:rPr>
      </w:pPr>
      <w:r w:rsidRPr="00D77B31">
        <w:rPr>
          <w:rFonts w:cs="Arial"/>
        </w:rPr>
        <w:t>T</w:t>
      </w:r>
      <w:r w:rsidR="00CA35E0" w:rsidRPr="00D77B31">
        <w:rPr>
          <w:rFonts w:cs="Arial"/>
        </w:rPr>
        <w:t>elevision outside broadcasting</w:t>
      </w:r>
      <w:r w:rsidRPr="00D77B31">
        <w:rPr>
          <w:rFonts w:cs="Arial"/>
        </w:rPr>
        <w:t xml:space="preserve"> </w:t>
      </w:r>
      <w:r w:rsidR="00D85A53" w:rsidRPr="00D77B31">
        <w:rPr>
          <w:rFonts w:cs="Arial"/>
        </w:rPr>
        <w:t>transmitters operating</w:t>
      </w:r>
      <w:r w:rsidRPr="00D77B31">
        <w:rPr>
          <w:rFonts w:cs="Arial"/>
        </w:rPr>
        <w:t xml:space="preserve"> in the bands 1980-2010 MHz and 2170-2200 MHz are to be licensed under a fixed </w:t>
      </w:r>
      <w:r w:rsidR="007A1316" w:rsidRPr="00D77B31">
        <w:rPr>
          <w:rFonts w:cs="Arial"/>
        </w:rPr>
        <w:t xml:space="preserve">service </w:t>
      </w:r>
      <w:r w:rsidRPr="00D77B31">
        <w:rPr>
          <w:rFonts w:cs="Arial"/>
        </w:rPr>
        <w:t>apparatus licence that authorises the</w:t>
      </w:r>
      <w:r w:rsidR="00EF0194" w:rsidRPr="00D77B31">
        <w:rPr>
          <w:rFonts w:cs="Arial"/>
        </w:rPr>
        <w:t xml:space="preserve"> </w:t>
      </w:r>
      <w:r w:rsidRPr="00D77B31">
        <w:rPr>
          <w:rFonts w:cs="Arial"/>
        </w:rPr>
        <w:t xml:space="preserve">operation </w:t>
      </w:r>
      <w:r w:rsidR="00D85A53" w:rsidRPr="00D77B31">
        <w:rPr>
          <w:rFonts w:cs="Arial"/>
        </w:rPr>
        <w:t>of a</w:t>
      </w:r>
      <w:r w:rsidR="00CA35E0" w:rsidRPr="00D77B31">
        <w:rPr>
          <w:rFonts w:cs="Arial"/>
        </w:rPr>
        <w:t xml:space="preserve"> TOB</w:t>
      </w:r>
      <w:r w:rsidRPr="00D77B31">
        <w:rPr>
          <w:rFonts w:cs="Arial"/>
        </w:rPr>
        <w:t xml:space="preserve"> station</w:t>
      </w:r>
      <w:r w:rsidR="00E30E8E" w:rsidRPr="00D77B31">
        <w:rPr>
          <w:rFonts w:cs="Arial"/>
        </w:rPr>
        <w:t xml:space="preserve">. </w:t>
      </w:r>
      <w:r w:rsidR="007520AC" w:rsidRPr="00D77B31">
        <w:rPr>
          <w:rFonts w:cs="Arial"/>
        </w:rPr>
        <w:t>The l</w:t>
      </w:r>
      <w:r w:rsidRPr="00D77B31">
        <w:rPr>
          <w:rFonts w:cs="Arial"/>
        </w:rPr>
        <w:t xml:space="preserve">icence period will be limited </w:t>
      </w:r>
      <w:r w:rsidR="007B3604" w:rsidRPr="00D77B31">
        <w:rPr>
          <w:rFonts w:cs="Arial"/>
        </w:rPr>
        <w:t xml:space="preserve">in accordance with </w:t>
      </w:r>
      <w:r w:rsidR="00C16367" w:rsidRPr="00D77B31">
        <w:rPr>
          <w:rFonts w:cs="Arial"/>
        </w:rPr>
        <w:t xml:space="preserve">the </w:t>
      </w:r>
      <w:r w:rsidR="001008E9" w:rsidRPr="00D77B31">
        <w:rPr>
          <w:rFonts w:cs="Arial"/>
        </w:rPr>
        <w:t xml:space="preserve">relevant date of the </w:t>
      </w:r>
      <w:r w:rsidR="00C16367" w:rsidRPr="00D77B31">
        <w:rPr>
          <w:rFonts w:cs="Arial"/>
        </w:rPr>
        <w:t>transitional arrangements in the MSS Band Plan</w:t>
      </w:r>
      <w:r w:rsidRPr="00D77B31">
        <w:rPr>
          <w:rFonts w:cs="Arial"/>
        </w:rPr>
        <w:t>.</w:t>
      </w:r>
    </w:p>
    <w:p w14:paraId="77A70291" w14:textId="4361C97A" w:rsidR="00BF6D9C" w:rsidRPr="00D77B31" w:rsidRDefault="009205C0" w:rsidP="0078180B">
      <w:pPr>
        <w:keepNext/>
        <w:spacing w:before="120"/>
        <w:rPr>
          <w:rFonts w:cs="Arial"/>
        </w:rPr>
      </w:pPr>
      <w:r w:rsidRPr="00D77B31">
        <w:rPr>
          <w:rFonts w:cs="Arial"/>
        </w:rPr>
        <w:t>The optional licensing of fixed TOB receive stations operating in the bands 1980-2010 MHz and 2170-2200 MHz is to be under a fixed receive apparatus licence</w:t>
      </w:r>
      <w:r w:rsidR="00E30E8E" w:rsidRPr="00D77B31">
        <w:rPr>
          <w:rFonts w:cs="Arial"/>
        </w:rPr>
        <w:t xml:space="preserve">. </w:t>
      </w:r>
      <w:r w:rsidR="007520AC" w:rsidRPr="00D77B31">
        <w:rPr>
          <w:rFonts w:cs="Arial"/>
        </w:rPr>
        <w:t>The l</w:t>
      </w:r>
      <w:r w:rsidRPr="00D77B31">
        <w:rPr>
          <w:rFonts w:cs="Arial"/>
        </w:rPr>
        <w:t>icence period will be limited to 1 year</w:t>
      </w:r>
      <w:r w:rsidR="007B3604" w:rsidRPr="00D77B31">
        <w:rPr>
          <w:rFonts w:cs="Arial"/>
        </w:rPr>
        <w:t xml:space="preserve"> </w:t>
      </w:r>
      <w:r w:rsidR="00256957" w:rsidRPr="00D77B31">
        <w:rPr>
          <w:rFonts w:cs="Arial"/>
        </w:rPr>
        <w:t xml:space="preserve"> and is not to exceed </w:t>
      </w:r>
      <w:r w:rsidR="007B3604" w:rsidRPr="00D77B31">
        <w:rPr>
          <w:rFonts w:cs="Arial"/>
        </w:rPr>
        <w:t>the relevant date of the transitional arrangements in the MSS Band Plan</w:t>
      </w:r>
      <w:r w:rsidRPr="00D77B31">
        <w:rPr>
          <w:rFonts w:cs="Arial"/>
        </w:rPr>
        <w:t>.</w:t>
      </w:r>
    </w:p>
    <w:p w14:paraId="5D1A7A7F" w14:textId="77777777" w:rsidR="00B9789B" w:rsidRPr="00D77B31" w:rsidRDefault="00B9789B" w:rsidP="00163C87">
      <w:pPr>
        <w:pStyle w:val="Heading3"/>
      </w:pPr>
      <w:bookmarkStart w:id="232" w:name="_Toc380417094"/>
      <w:bookmarkStart w:id="233" w:name="_Toc111710888"/>
      <w:bookmarkEnd w:id="232"/>
      <w:r w:rsidRPr="00D77B31">
        <w:t>2010-2110 MHz and 2200-2300 MHz</w:t>
      </w:r>
      <w:bookmarkEnd w:id="233"/>
    </w:p>
    <w:p w14:paraId="5BDA43DC" w14:textId="18751328" w:rsidR="004643B7" w:rsidRPr="00D77B31" w:rsidRDefault="006951D8" w:rsidP="009205C0">
      <w:pPr>
        <w:rPr>
          <w:rFonts w:cs="Arial"/>
        </w:rPr>
      </w:pPr>
      <w:r w:rsidRPr="00D77B31">
        <w:rPr>
          <w:rFonts w:cs="Arial"/>
        </w:rPr>
        <w:t xml:space="preserve">The licensing of transmitter in the bands 2010-2110 MHz and 2200-2300 MHz </w:t>
      </w:r>
      <w:r w:rsidR="00F166F8" w:rsidRPr="00D77B31">
        <w:rPr>
          <w:rFonts w:cs="Arial"/>
        </w:rPr>
        <w:t xml:space="preserve">for </w:t>
      </w:r>
      <w:r w:rsidR="00F754B7" w:rsidRPr="00D77B31">
        <w:rPr>
          <w:rFonts w:cs="Arial"/>
        </w:rPr>
        <w:t>ABC</w:t>
      </w:r>
      <w:r w:rsidR="00F166F8" w:rsidRPr="00D77B31">
        <w:rPr>
          <w:rFonts w:cs="Arial"/>
        </w:rPr>
        <w:t>,</w:t>
      </w:r>
      <w:r w:rsidR="00F754B7" w:rsidRPr="00D77B31">
        <w:rPr>
          <w:rFonts w:cs="Arial"/>
        </w:rPr>
        <w:t xml:space="preserve"> Channel</w:t>
      </w:r>
      <w:r w:rsidR="0040208E" w:rsidRPr="00D77B31">
        <w:rPr>
          <w:rFonts w:cs="Arial"/>
        </w:rPr>
        <w:t xml:space="preserve"> </w:t>
      </w:r>
      <w:r w:rsidR="00F166F8" w:rsidRPr="00D77B31">
        <w:rPr>
          <w:rFonts w:cs="Arial"/>
        </w:rPr>
        <w:t>7</w:t>
      </w:r>
      <w:r w:rsidR="00F754B7" w:rsidRPr="00D77B31">
        <w:rPr>
          <w:rFonts w:cs="Arial"/>
        </w:rPr>
        <w:t>, Network</w:t>
      </w:r>
      <w:r w:rsidR="0040208E" w:rsidRPr="00D77B31">
        <w:rPr>
          <w:rFonts w:cs="Arial"/>
        </w:rPr>
        <w:t xml:space="preserve"> </w:t>
      </w:r>
      <w:r w:rsidR="00F166F8" w:rsidRPr="00D77B31">
        <w:rPr>
          <w:rFonts w:cs="Arial"/>
        </w:rPr>
        <w:t>9</w:t>
      </w:r>
      <w:r w:rsidR="00367C6E" w:rsidRPr="00D77B31">
        <w:rPr>
          <w:rFonts w:cs="Arial"/>
        </w:rPr>
        <w:t>,</w:t>
      </w:r>
      <w:r w:rsidR="0040208E" w:rsidRPr="00D77B31">
        <w:rPr>
          <w:rFonts w:cs="Arial"/>
        </w:rPr>
        <w:t xml:space="preserve"> </w:t>
      </w:r>
      <w:r w:rsidR="00F754B7" w:rsidRPr="00D77B31">
        <w:rPr>
          <w:rFonts w:cs="Arial"/>
        </w:rPr>
        <w:t xml:space="preserve">Channel </w:t>
      </w:r>
      <w:r w:rsidR="00F166F8" w:rsidRPr="00D77B31">
        <w:rPr>
          <w:rFonts w:cs="Arial"/>
        </w:rPr>
        <w:t>10</w:t>
      </w:r>
      <w:r w:rsidR="00367C6E" w:rsidRPr="00D77B31">
        <w:rPr>
          <w:rFonts w:cs="Arial"/>
        </w:rPr>
        <w:t xml:space="preserve"> and STV</w:t>
      </w:r>
      <w:r w:rsidR="00F166F8" w:rsidRPr="00D77B31">
        <w:rPr>
          <w:rFonts w:cs="Arial"/>
        </w:rPr>
        <w:t xml:space="preserve"> </w:t>
      </w:r>
      <w:r w:rsidR="00F754B7" w:rsidRPr="00D77B31">
        <w:rPr>
          <w:rFonts w:cs="Arial"/>
        </w:rPr>
        <w:t>will</w:t>
      </w:r>
      <w:r w:rsidR="00F166F8" w:rsidRPr="00D77B31">
        <w:rPr>
          <w:rFonts w:cs="Arial"/>
        </w:rPr>
        <w:t xml:space="preserve"> </w:t>
      </w:r>
      <w:r w:rsidRPr="00D77B31">
        <w:rPr>
          <w:rFonts w:cs="Arial"/>
        </w:rPr>
        <w:t xml:space="preserve">be </w:t>
      </w:r>
      <w:r w:rsidR="00EF0194" w:rsidRPr="00D77B31">
        <w:rPr>
          <w:rFonts w:cs="Arial"/>
        </w:rPr>
        <w:t xml:space="preserve">under an </w:t>
      </w:r>
      <w:r w:rsidR="007520AC" w:rsidRPr="00D77B31">
        <w:rPr>
          <w:rFonts w:cs="Arial"/>
        </w:rPr>
        <w:t>apparatus licence</w:t>
      </w:r>
      <w:r w:rsidR="00EF0194" w:rsidRPr="00D77B31">
        <w:rPr>
          <w:rFonts w:cs="Arial"/>
        </w:rPr>
        <w:t xml:space="preserve"> for a maximum period</w:t>
      </w:r>
      <w:r w:rsidR="00FC1708" w:rsidRPr="00D77B31">
        <w:rPr>
          <w:rFonts w:cs="Arial"/>
        </w:rPr>
        <w:t xml:space="preserve"> of 5 years.</w:t>
      </w:r>
      <w:r w:rsidR="00EF0194" w:rsidRPr="00D77B31">
        <w:rPr>
          <w:rFonts w:cs="Arial"/>
        </w:rPr>
        <w:t xml:space="preserve"> </w:t>
      </w:r>
    </w:p>
    <w:p w14:paraId="085C9EFD" w14:textId="77777777" w:rsidR="00EF0194" w:rsidRPr="00D77B31" w:rsidRDefault="00EF0194" w:rsidP="0078180B">
      <w:pPr>
        <w:spacing w:before="120"/>
        <w:rPr>
          <w:rFonts w:cs="Arial"/>
        </w:rPr>
      </w:pPr>
      <w:r w:rsidRPr="00D77B31">
        <w:rPr>
          <w:rFonts w:cs="Arial"/>
        </w:rPr>
        <w:t>The optional licensing of fixed TOB receive stations operating in the bands 2010-2110 MHz and 2200-2300 MHz is to be under a fixed receive apparatus licence. The licence period will be a maximum of 5 years.</w:t>
      </w:r>
    </w:p>
    <w:p w14:paraId="51D4AE07" w14:textId="72D73DD5" w:rsidR="009205C0" w:rsidRPr="00D77B31" w:rsidRDefault="009205C0" w:rsidP="009318BA">
      <w:pPr>
        <w:pStyle w:val="Heading2"/>
      </w:pPr>
      <w:bookmarkStart w:id="234" w:name="_Toc380417096"/>
      <w:bookmarkStart w:id="235" w:name="_Toc368045427"/>
      <w:bookmarkStart w:id="236" w:name="_Toc368045479"/>
      <w:bookmarkStart w:id="237" w:name="_Toc368045522"/>
      <w:bookmarkStart w:id="238" w:name="_Toc368045566"/>
      <w:bookmarkStart w:id="239" w:name="_Toc454597295"/>
      <w:bookmarkStart w:id="240" w:name="_Toc475864865"/>
      <w:bookmarkStart w:id="241" w:name="_Toc256063889"/>
      <w:bookmarkStart w:id="242" w:name="_Toc368045567"/>
      <w:bookmarkStart w:id="243" w:name="_Toc111710889"/>
      <w:bookmarkEnd w:id="234"/>
      <w:bookmarkEnd w:id="235"/>
      <w:bookmarkEnd w:id="236"/>
      <w:bookmarkEnd w:id="237"/>
      <w:bookmarkEnd w:id="238"/>
      <w:r w:rsidRPr="00D77B31">
        <w:t xml:space="preserve">Licence </w:t>
      </w:r>
      <w:r w:rsidR="00447B17" w:rsidRPr="00D77B31">
        <w:t>c</w:t>
      </w:r>
      <w:r w:rsidRPr="00D77B31">
        <w:t>onditions</w:t>
      </w:r>
      <w:bookmarkEnd w:id="239"/>
      <w:bookmarkEnd w:id="240"/>
      <w:bookmarkEnd w:id="241"/>
      <w:bookmarkEnd w:id="242"/>
      <w:bookmarkEnd w:id="243"/>
    </w:p>
    <w:p w14:paraId="6725139D" w14:textId="58BEE19A" w:rsidR="009205C0" w:rsidRPr="00D77B31" w:rsidRDefault="00F55A67" w:rsidP="009205C0">
      <w:pPr>
        <w:rPr>
          <w:rFonts w:cs="Arial"/>
        </w:rPr>
      </w:pPr>
      <w:r w:rsidRPr="00D77B31">
        <w:rPr>
          <w:rFonts w:cs="Arial"/>
        </w:rPr>
        <w:t xml:space="preserve">All </w:t>
      </w:r>
      <w:r w:rsidR="009205C0" w:rsidRPr="00D77B31">
        <w:rPr>
          <w:rFonts w:cs="Arial"/>
        </w:rPr>
        <w:t xml:space="preserve">TOB </w:t>
      </w:r>
      <w:r w:rsidR="00F166F8" w:rsidRPr="00D77B31">
        <w:rPr>
          <w:rFonts w:cs="Arial"/>
        </w:rPr>
        <w:t xml:space="preserve">transmitters </w:t>
      </w:r>
      <w:r w:rsidR="009205C0" w:rsidRPr="00D77B31">
        <w:rPr>
          <w:rFonts w:cs="Arial"/>
        </w:rPr>
        <w:t xml:space="preserve">in the bands </w:t>
      </w:r>
      <w:r w:rsidR="00DA5CF4" w:rsidRPr="00D77B31">
        <w:rPr>
          <w:rFonts w:cs="Arial"/>
        </w:rPr>
        <w:t>2010-2110</w:t>
      </w:r>
      <w:r w:rsidRPr="00D77B31">
        <w:rPr>
          <w:rFonts w:cs="Arial"/>
        </w:rPr>
        <w:t xml:space="preserve"> </w:t>
      </w:r>
      <w:r w:rsidR="009205C0" w:rsidRPr="00D77B31">
        <w:rPr>
          <w:rFonts w:cs="Arial"/>
        </w:rPr>
        <w:t xml:space="preserve">MHz and </w:t>
      </w:r>
      <w:r w:rsidR="00DA5CF4" w:rsidRPr="00D77B31">
        <w:rPr>
          <w:rFonts w:cs="Arial"/>
        </w:rPr>
        <w:t>2200-2300</w:t>
      </w:r>
      <w:r w:rsidRPr="00D77B31">
        <w:rPr>
          <w:rFonts w:cs="Arial"/>
        </w:rPr>
        <w:t xml:space="preserve"> </w:t>
      </w:r>
      <w:r w:rsidR="009205C0" w:rsidRPr="00D77B31">
        <w:rPr>
          <w:rFonts w:cs="Arial"/>
        </w:rPr>
        <w:t>MHz operate on</w:t>
      </w:r>
      <w:r w:rsidR="00FE04F9" w:rsidRPr="00D77B31">
        <w:rPr>
          <w:rFonts w:cs="Arial"/>
        </w:rPr>
        <w:t xml:space="preserve"> the</w:t>
      </w:r>
      <w:r w:rsidR="009205C0" w:rsidRPr="00D77B31">
        <w:rPr>
          <w:rFonts w:cs="Arial"/>
        </w:rPr>
        <w:t xml:space="preserve"> basis that they do not cause interference to other services</w:t>
      </w:r>
      <w:r w:rsidR="00F166F8" w:rsidRPr="00D77B31">
        <w:rPr>
          <w:rFonts w:cs="Arial"/>
        </w:rPr>
        <w:t xml:space="preserve"> (see Fixed LCD)</w:t>
      </w:r>
      <w:r w:rsidR="00E30E8E" w:rsidRPr="00D77B31">
        <w:rPr>
          <w:rFonts w:cs="Arial"/>
        </w:rPr>
        <w:t xml:space="preserve">. </w:t>
      </w:r>
      <w:r w:rsidR="00745CD8" w:rsidRPr="00D77B31">
        <w:rPr>
          <w:rFonts w:cs="Arial"/>
        </w:rPr>
        <w:t>The coordination criteria outlined</w:t>
      </w:r>
      <w:r w:rsidR="006E5EE8" w:rsidRPr="00D77B31">
        <w:rPr>
          <w:rFonts w:cs="Arial"/>
        </w:rPr>
        <w:t xml:space="preserve"> </w:t>
      </w:r>
      <w:r w:rsidR="00745CD8" w:rsidRPr="00D77B31">
        <w:rPr>
          <w:rFonts w:cs="Arial"/>
        </w:rPr>
        <w:t xml:space="preserve">in this RALI will be used </w:t>
      </w:r>
      <w:r w:rsidR="00F60403" w:rsidRPr="00D77B31">
        <w:rPr>
          <w:rFonts w:cs="Arial"/>
        </w:rPr>
        <w:t>in</w:t>
      </w:r>
      <w:r w:rsidR="00745CD8" w:rsidRPr="00D77B31">
        <w:rPr>
          <w:rFonts w:cs="Arial"/>
        </w:rPr>
        <w:t xml:space="preserve"> </w:t>
      </w:r>
      <w:r w:rsidR="00F054D9" w:rsidRPr="00D77B31">
        <w:rPr>
          <w:rFonts w:cs="Arial"/>
        </w:rPr>
        <w:t xml:space="preserve">the </w:t>
      </w:r>
      <w:r w:rsidR="00745CD8" w:rsidRPr="00D77B31">
        <w:rPr>
          <w:rFonts w:cs="Arial"/>
        </w:rPr>
        <w:t xml:space="preserve">consideration </w:t>
      </w:r>
      <w:r w:rsidR="00F60403" w:rsidRPr="00D77B31">
        <w:rPr>
          <w:rFonts w:cs="Arial"/>
        </w:rPr>
        <w:t>of any interference</w:t>
      </w:r>
      <w:r w:rsidR="002A796E" w:rsidRPr="00D77B31">
        <w:rPr>
          <w:rFonts w:cs="Arial"/>
        </w:rPr>
        <w:t>.</w:t>
      </w:r>
    </w:p>
    <w:p w14:paraId="68DBCA9C" w14:textId="3B9DA708" w:rsidR="00EF0194" w:rsidRPr="00D77B31" w:rsidRDefault="00EF0194" w:rsidP="00EF0194">
      <w:pPr>
        <w:rPr>
          <w:rFonts w:cs="Arial"/>
        </w:rPr>
      </w:pPr>
      <w:r w:rsidRPr="00D77B31">
        <w:rPr>
          <w:rFonts w:cs="Arial"/>
        </w:rPr>
        <w:t xml:space="preserve">The operation of TOB in the Perth area is limited by the </w:t>
      </w:r>
      <w:r w:rsidR="00447B17" w:rsidRPr="00D77B31">
        <w:rPr>
          <w:rFonts w:cs="Arial"/>
        </w:rPr>
        <w:t>t</w:t>
      </w:r>
      <w:r w:rsidRPr="00D77B31">
        <w:rPr>
          <w:rFonts w:cs="Arial"/>
        </w:rPr>
        <w:t>reaty between the Government of Australian and the European Space Agency. To satisfy this treaty TOB wishing to operate</w:t>
      </w:r>
      <w:r w:rsidR="00E5440C" w:rsidRPr="00D77B31">
        <w:rPr>
          <w:rFonts w:cs="Arial"/>
        </w:rPr>
        <w:t xml:space="preserve"> in the bands 2044</w:t>
      </w:r>
      <w:r w:rsidR="00E5440C" w:rsidRPr="00D77B31">
        <w:rPr>
          <w:rFonts w:cs="Arial"/>
        </w:rPr>
        <w:noBreakHyphen/>
        <w:t>2054 MHz, 2215-2230 MHz and 2290-2300 MHz</w:t>
      </w:r>
      <w:r w:rsidRPr="00D77B31">
        <w:rPr>
          <w:rFonts w:cs="Arial"/>
        </w:rPr>
        <w:t xml:space="preserve"> will not be permitted within 300km of </w:t>
      </w:r>
      <w:r w:rsidR="00E5440C" w:rsidRPr="00D77B31">
        <w:rPr>
          <w:rFonts w:cs="Arial"/>
        </w:rPr>
        <w:t>the</w:t>
      </w:r>
      <w:r w:rsidRPr="00D77B31">
        <w:rPr>
          <w:rFonts w:cs="Arial"/>
        </w:rPr>
        <w:t xml:space="preserve"> New Norcia earth station. </w:t>
      </w:r>
    </w:p>
    <w:p w14:paraId="29C97A89" w14:textId="743BC4CB" w:rsidR="00E70F3B" w:rsidRPr="00D77B31" w:rsidRDefault="0047007F" w:rsidP="00EF0194">
      <w:pPr>
        <w:rPr>
          <w:rFonts w:cs="Arial"/>
        </w:rPr>
      </w:pPr>
      <w:r w:rsidRPr="00D77B31">
        <w:rPr>
          <w:rFonts w:cs="Arial"/>
        </w:rPr>
        <w:t>All licensing, to support Launcher and LEOP activities at the New Norcia earth station in the bands 20</w:t>
      </w:r>
      <w:r w:rsidR="00FC71C1" w:rsidRPr="00D77B31">
        <w:rPr>
          <w:rFonts w:cs="Arial"/>
        </w:rPr>
        <w:t>25</w:t>
      </w:r>
      <w:r w:rsidRPr="00D77B31">
        <w:rPr>
          <w:rFonts w:cs="Arial"/>
        </w:rPr>
        <w:t xml:space="preserve">-2044 MHz, 2054-2110 MHz, 2200-2215 MHz and 2230-2300 MHz will </w:t>
      </w:r>
      <w:r w:rsidR="00FC71C1" w:rsidRPr="00D77B31">
        <w:rPr>
          <w:rFonts w:cs="Arial"/>
        </w:rPr>
        <w:t>be in accordance with</w:t>
      </w:r>
      <w:r w:rsidR="00E70F3B" w:rsidRPr="00D77B31">
        <w:rPr>
          <w:rFonts w:cs="Arial"/>
        </w:rPr>
        <w:t xml:space="preserve"> the document “Spectrum coordination arrangements” which is available on the ACMA website </w:t>
      </w:r>
      <w:r w:rsidR="00C234D6" w:rsidRPr="00D77B31">
        <w:rPr>
          <w:rFonts w:cs="Arial"/>
        </w:rPr>
        <w:t>(</w:t>
      </w:r>
      <w:hyperlink r:id="rId40" w:history="1">
        <w:r w:rsidR="00CB0F59" w:rsidRPr="00D77B31">
          <w:rPr>
            <w:rStyle w:val="Hyperlink"/>
            <w:rFonts w:cs="Arial"/>
          </w:rPr>
          <w:t>RALI FX21</w:t>
        </w:r>
      </w:hyperlink>
      <w:r w:rsidR="00C234D6" w:rsidRPr="00D77B31">
        <w:rPr>
          <w:rFonts w:cs="Arial"/>
        </w:rPr>
        <w:t>).</w:t>
      </w:r>
    </w:p>
    <w:p w14:paraId="63C93706" w14:textId="6B17150E" w:rsidR="009205C0" w:rsidRPr="00D77B31" w:rsidRDefault="009205C0" w:rsidP="009205C0">
      <w:pPr>
        <w:pStyle w:val="Heading1"/>
        <w:keepLines/>
        <w:spacing w:after="200"/>
      </w:pPr>
      <w:bookmarkStart w:id="244" w:name="_Toc380417098"/>
      <w:bookmarkStart w:id="245" w:name="_Toc368045429"/>
      <w:bookmarkStart w:id="246" w:name="_Toc368045481"/>
      <w:bookmarkStart w:id="247" w:name="_Toc368045524"/>
      <w:bookmarkStart w:id="248" w:name="_Toc368045568"/>
      <w:bookmarkStart w:id="249" w:name="_Toc381149475"/>
      <w:bookmarkStart w:id="250" w:name="_Toc383510967"/>
      <w:bookmarkStart w:id="251" w:name="_Toc383511164"/>
      <w:bookmarkStart w:id="252" w:name="_Toc383831934"/>
      <w:bookmarkStart w:id="253" w:name="_Toc383835216"/>
      <w:bookmarkStart w:id="254" w:name="_Toc383841413"/>
      <w:bookmarkStart w:id="255" w:name="_Toc383848578"/>
      <w:bookmarkStart w:id="256" w:name="_Toc391440205"/>
      <w:bookmarkStart w:id="257" w:name="_Toc391702508"/>
      <w:bookmarkStart w:id="258" w:name="_Toc391708608"/>
      <w:bookmarkStart w:id="259" w:name="_Toc392036024"/>
      <w:bookmarkStart w:id="260" w:name="_Toc392047651"/>
      <w:bookmarkStart w:id="261" w:name="_Toc392650434"/>
      <w:bookmarkStart w:id="262" w:name="_Toc392651139"/>
      <w:bookmarkStart w:id="263" w:name="_Toc392651366"/>
      <w:bookmarkStart w:id="264" w:name="_Toc406226432"/>
      <w:bookmarkStart w:id="265" w:name="_Toc412343267"/>
      <w:bookmarkStart w:id="266" w:name="_Toc412432085"/>
      <w:bookmarkStart w:id="267" w:name="_Toc412432643"/>
      <w:bookmarkStart w:id="268" w:name="_Toc412432881"/>
      <w:bookmarkStart w:id="269" w:name="_Toc412432951"/>
      <w:bookmarkStart w:id="270" w:name="_Toc412433106"/>
      <w:bookmarkStart w:id="271" w:name="_Toc412433243"/>
      <w:bookmarkStart w:id="272" w:name="_Toc412433458"/>
      <w:bookmarkStart w:id="273" w:name="_Toc412434146"/>
      <w:bookmarkStart w:id="274" w:name="_Toc412453643"/>
      <w:bookmarkStart w:id="275" w:name="_Toc412455597"/>
      <w:bookmarkStart w:id="276" w:name="_Toc412455793"/>
      <w:bookmarkStart w:id="277" w:name="_Toc412456323"/>
      <w:bookmarkStart w:id="278" w:name="_Toc412456383"/>
      <w:bookmarkStart w:id="279" w:name="_Toc413664613"/>
      <w:bookmarkStart w:id="280" w:name="_Toc415362664"/>
      <w:bookmarkStart w:id="281" w:name="_Toc415362724"/>
      <w:bookmarkStart w:id="282" w:name="_Toc415362784"/>
      <w:bookmarkStart w:id="283" w:name="_Toc433601469"/>
      <w:bookmarkStart w:id="284" w:name="_Toc435867673"/>
      <w:bookmarkStart w:id="285" w:name="_Toc509197579"/>
      <w:bookmarkStart w:id="286" w:name="_Toc510422862"/>
      <w:bookmarkStart w:id="287" w:name="_Toc512405333"/>
      <w:bookmarkStart w:id="288" w:name="_Toc513974796"/>
      <w:bookmarkStart w:id="289" w:name="_Toc513977662"/>
      <w:bookmarkStart w:id="290" w:name="_Toc514658986"/>
      <w:bookmarkStart w:id="291" w:name="_Toc515879148"/>
      <w:bookmarkStart w:id="292" w:name="_Toc516988327"/>
      <w:bookmarkStart w:id="293" w:name="_Toc517506887"/>
      <w:bookmarkStart w:id="294" w:name="_Toc517508857"/>
      <w:bookmarkStart w:id="295" w:name="_Toc520711896"/>
      <w:bookmarkStart w:id="296" w:name="_Toc520782332"/>
      <w:bookmarkStart w:id="297" w:name="_Toc521378831"/>
      <w:bookmarkStart w:id="298" w:name="_Toc521751700"/>
      <w:bookmarkStart w:id="299" w:name="_Toc526052748"/>
      <w:bookmarkStart w:id="300" w:name="_Toc368045569"/>
      <w:bookmarkStart w:id="301" w:name="_Toc111710890"/>
      <w:bookmarkStart w:id="302" w:name="_Toc354542256"/>
      <w:bookmarkStart w:id="303" w:name="_Toc354542611"/>
      <w:bookmarkStart w:id="304" w:name="_Toc355509352"/>
      <w:bookmarkStart w:id="305" w:name="_Toc355509435"/>
      <w:bookmarkStart w:id="306" w:name="_Toc355509465"/>
      <w:bookmarkStart w:id="307" w:name="_Toc339426762"/>
      <w:bookmarkStart w:id="308" w:name="_Toc340468380"/>
      <w:bookmarkStart w:id="309" w:name="_Toc340468400"/>
      <w:bookmarkStart w:id="310" w:name="_Toc340649975"/>
      <w:bookmarkStart w:id="311" w:name="_Toc341084800"/>
      <w:bookmarkStart w:id="312" w:name="_Toc356967153"/>
      <w:bookmarkStart w:id="313" w:name="_Toc357236371"/>
      <w:bookmarkStart w:id="314" w:name="_Toc357840740"/>
      <w:bookmarkStart w:id="315" w:name="_Toc358801898"/>
      <w:bookmarkStart w:id="316" w:name="_Toc360872987"/>
      <w:bookmarkStart w:id="317" w:name="_Toc363618285"/>
      <w:bookmarkStart w:id="318" w:name="_Toc364676587"/>
      <w:bookmarkStart w:id="319" w:name="_Toc365446729"/>
      <w:bookmarkStart w:id="320" w:name="_Toc365450603"/>
      <w:bookmarkStart w:id="321" w:name="_Toc365879180"/>
      <w:bookmarkStart w:id="322" w:name="_Toc365879310"/>
      <w:bookmarkStart w:id="323" w:name="_Toc365879389"/>
      <w:bookmarkStart w:id="324" w:name="_Toc365880005"/>
      <w:bookmarkStart w:id="325" w:name="_Toc366898552"/>
      <w:bookmarkStart w:id="326" w:name="_Toc366902072"/>
      <w:bookmarkStart w:id="327" w:name="_Toc367202260"/>
      <w:bookmarkStart w:id="328" w:name="_Toc367243045"/>
      <w:bookmarkStart w:id="329" w:name="_Toc367246603"/>
      <w:bookmarkStart w:id="330" w:name="_Toc368208909"/>
      <w:bookmarkStart w:id="331" w:name="_Toc368217911"/>
      <w:bookmarkEnd w:id="86"/>
      <w:bookmarkEnd w:id="87"/>
      <w:bookmarkEnd w:id="88"/>
      <w:bookmarkEnd w:id="89"/>
      <w:bookmarkEnd w:id="90"/>
      <w:bookmarkEnd w:id="91"/>
      <w:bookmarkEnd w:id="92"/>
      <w:bookmarkEnd w:id="93"/>
      <w:bookmarkEnd w:id="94"/>
      <w:bookmarkEnd w:id="95"/>
      <w:bookmarkEnd w:id="96"/>
      <w:bookmarkEnd w:id="97"/>
      <w:bookmarkEnd w:id="98"/>
      <w:bookmarkEnd w:id="99"/>
      <w:bookmarkEnd w:id="100"/>
      <w:bookmarkEnd w:id="101"/>
      <w:bookmarkEnd w:id="102"/>
      <w:bookmarkEnd w:id="103"/>
      <w:bookmarkEnd w:id="104"/>
      <w:bookmarkEnd w:id="244"/>
      <w:bookmarkEnd w:id="245"/>
      <w:bookmarkEnd w:id="246"/>
      <w:bookmarkEnd w:id="247"/>
      <w:bookmarkEnd w:id="248"/>
      <w:r w:rsidRPr="00D77B31">
        <w:lastRenderedPageBreak/>
        <w:t xml:space="preserve">RALI </w:t>
      </w:r>
      <w:r w:rsidR="00535019" w:rsidRPr="00D77B31">
        <w:t>a</w:t>
      </w:r>
      <w:r w:rsidRPr="00D77B31">
        <w:t>uthorisation</w:t>
      </w:r>
      <w:bookmarkEnd w:id="249"/>
      <w:bookmarkEnd w:id="250"/>
      <w:bookmarkEnd w:id="251"/>
      <w:bookmarkEnd w:id="252"/>
      <w:bookmarkEnd w:id="253"/>
      <w:bookmarkEnd w:id="254"/>
      <w:bookmarkEnd w:id="255"/>
      <w:bookmarkEnd w:id="256"/>
      <w:bookmarkEnd w:id="257"/>
      <w:bookmarkEnd w:id="258"/>
      <w:bookmarkEnd w:id="259"/>
      <w:bookmarkEnd w:id="260"/>
      <w:bookmarkEnd w:id="261"/>
      <w:bookmarkEnd w:id="262"/>
      <w:bookmarkEnd w:id="263"/>
      <w:bookmarkEnd w:id="264"/>
      <w:bookmarkEnd w:id="265"/>
      <w:bookmarkEnd w:id="266"/>
      <w:bookmarkEnd w:id="267"/>
      <w:bookmarkEnd w:id="268"/>
      <w:bookmarkEnd w:id="269"/>
      <w:bookmarkEnd w:id="270"/>
      <w:bookmarkEnd w:id="271"/>
      <w:bookmarkEnd w:id="272"/>
      <w:bookmarkEnd w:id="273"/>
      <w:bookmarkEnd w:id="274"/>
      <w:bookmarkEnd w:id="275"/>
      <w:bookmarkEnd w:id="276"/>
      <w:bookmarkEnd w:id="277"/>
      <w:bookmarkEnd w:id="278"/>
      <w:bookmarkEnd w:id="279"/>
      <w:bookmarkEnd w:id="280"/>
      <w:bookmarkEnd w:id="281"/>
      <w:bookmarkEnd w:id="282"/>
      <w:bookmarkEnd w:id="283"/>
      <w:bookmarkEnd w:id="284"/>
      <w:bookmarkEnd w:id="285"/>
      <w:bookmarkEnd w:id="286"/>
      <w:bookmarkEnd w:id="287"/>
      <w:bookmarkEnd w:id="288"/>
      <w:bookmarkEnd w:id="289"/>
      <w:bookmarkEnd w:id="290"/>
      <w:bookmarkEnd w:id="291"/>
      <w:bookmarkEnd w:id="292"/>
      <w:bookmarkEnd w:id="293"/>
      <w:bookmarkEnd w:id="294"/>
      <w:bookmarkEnd w:id="295"/>
      <w:bookmarkEnd w:id="296"/>
      <w:bookmarkEnd w:id="297"/>
      <w:bookmarkEnd w:id="298"/>
      <w:bookmarkEnd w:id="299"/>
      <w:bookmarkEnd w:id="300"/>
      <w:bookmarkEnd w:id="301"/>
    </w:p>
    <w:p w14:paraId="6FDD3B1C" w14:textId="0A2FB54F" w:rsidR="00692694" w:rsidRPr="00D77B31" w:rsidRDefault="00F50B12" w:rsidP="00692694">
      <w:pPr>
        <w:rPr>
          <w:rFonts w:cs="Arial"/>
        </w:rPr>
      </w:pPr>
      <w:bookmarkStart w:id="332" w:name="_Toc368045570"/>
      <w:bookmarkStart w:id="333" w:name="_Toc355509357"/>
      <w:bookmarkStart w:id="334" w:name="_Toc355509439"/>
      <w:bookmarkStart w:id="335" w:name="_Toc355509468"/>
      <w:bookmarkStart w:id="336" w:name="_Toc356902080"/>
      <w:bookmarkStart w:id="337" w:name="_Toc356902230"/>
      <w:bookmarkStart w:id="338" w:name="_Toc356966868"/>
      <w:bookmarkEnd w:id="302"/>
      <w:bookmarkEnd w:id="303"/>
      <w:bookmarkEnd w:id="304"/>
      <w:bookmarkEnd w:id="305"/>
      <w:bookmarkEnd w:id="306"/>
      <w:bookmarkEnd w:id="307"/>
      <w:bookmarkEnd w:id="308"/>
      <w:bookmarkEnd w:id="309"/>
      <w:bookmarkEnd w:id="310"/>
      <w:bookmarkEnd w:id="311"/>
      <w:bookmarkEnd w:id="312"/>
      <w:bookmarkEnd w:id="313"/>
      <w:bookmarkEnd w:id="314"/>
      <w:bookmarkEnd w:id="315"/>
      <w:bookmarkEnd w:id="316"/>
      <w:bookmarkEnd w:id="317"/>
      <w:bookmarkEnd w:id="318"/>
      <w:bookmarkEnd w:id="319"/>
      <w:bookmarkEnd w:id="320"/>
      <w:bookmarkEnd w:id="321"/>
      <w:bookmarkEnd w:id="322"/>
      <w:bookmarkEnd w:id="323"/>
      <w:bookmarkEnd w:id="324"/>
      <w:bookmarkEnd w:id="325"/>
      <w:bookmarkEnd w:id="326"/>
      <w:bookmarkEnd w:id="327"/>
      <w:bookmarkEnd w:id="328"/>
      <w:bookmarkEnd w:id="329"/>
      <w:bookmarkEnd w:id="330"/>
      <w:bookmarkEnd w:id="331"/>
      <w:r w:rsidRPr="00D77B31">
        <w:rPr>
          <w:rFonts w:cs="Arial"/>
        </w:rPr>
        <w:t xml:space="preserve">Approved </w:t>
      </w:r>
      <w:r w:rsidRPr="00D77B31">
        <w:rPr>
          <w:rFonts w:cs="Arial"/>
        </w:rPr>
        <w:tab/>
        <w:t xml:space="preserve"> </w:t>
      </w:r>
      <w:r w:rsidR="0013235A" w:rsidRPr="00D77B31">
        <w:rPr>
          <w:rFonts w:cs="Arial"/>
        </w:rPr>
        <w:t>[</w:t>
      </w:r>
      <w:r w:rsidR="0031168F" w:rsidRPr="00D77B31">
        <w:rPr>
          <w:rFonts w:cs="Arial"/>
        </w:rPr>
        <w:t xml:space="preserve">12 </w:t>
      </w:r>
      <w:r w:rsidR="00260F96" w:rsidRPr="00D77B31">
        <w:rPr>
          <w:rFonts w:cs="Arial"/>
        </w:rPr>
        <w:t>August</w:t>
      </w:r>
      <w:r w:rsidR="00F85E66" w:rsidRPr="00D77B31">
        <w:rPr>
          <w:rFonts w:cs="Arial"/>
        </w:rPr>
        <w:t xml:space="preserve"> 2022</w:t>
      </w:r>
      <w:r w:rsidR="0013235A" w:rsidRPr="00D77B31">
        <w:rPr>
          <w:rFonts w:cs="Arial"/>
        </w:rPr>
        <w:t>]</w:t>
      </w:r>
    </w:p>
    <w:p w14:paraId="27AD63CD" w14:textId="77777777" w:rsidR="00692694" w:rsidRPr="00D77B31" w:rsidRDefault="00692694" w:rsidP="00692694">
      <w:pPr>
        <w:rPr>
          <w:rFonts w:cs="Arial"/>
        </w:rPr>
      </w:pPr>
    </w:p>
    <w:p w14:paraId="249CD19A" w14:textId="3669BE52" w:rsidR="00163C87" w:rsidRPr="00D77B31" w:rsidRDefault="00FB5D4C" w:rsidP="00692694">
      <w:pPr>
        <w:rPr>
          <w:rFonts w:cs="Arial"/>
        </w:rPr>
      </w:pPr>
      <w:r w:rsidRPr="00D77B31">
        <w:rPr>
          <w:rFonts w:cs="Arial"/>
        </w:rPr>
        <w:t>Chris Worley</w:t>
      </w:r>
      <w:r w:rsidR="005C7069" w:rsidRPr="00D77B31">
        <w:rPr>
          <w:rFonts w:cs="Arial"/>
        </w:rPr>
        <w:br/>
      </w:r>
      <w:r w:rsidR="00692694" w:rsidRPr="00D77B31">
        <w:rPr>
          <w:rFonts w:cs="Arial"/>
        </w:rPr>
        <w:t>Manager</w:t>
      </w:r>
      <w:r w:rsidR="005C7069" w:rsidRPr="00D77B31">
        <w:rPr>
          <w:rFonts w:cs="Arial"/>
        </w:rPr>
        <w:br/>
      </w:r>
      <w:r w:rsidR="00692694" w:rsidRPr="00D77B31">
        <w:rPr>
          <w:rFonts w:cs="Arial"/>
        </w:rPr>
        <w:t xml:space="preserve">Spectrum </w:t>
      </w:r>
      <w:r w:rsidRPr="00D77B31">
        <w:rPr>
          <w:rFonts w:cs="Arial"/>
        </w:rPr>
        <w:t>Planning</w:t>
      </w:r>
      <w:r w:rsidR="00692694" w:rsidRPr="00D77B31">
        <w:rPr>
          <w:rFonts w:cs="Arial"/>
        </w:rPr>
        <w:t xml:space="preserve"> Section</w:t>
      </w:r>
      <w:r w:rsidR="005C7069" w:rsidRPr="00D77B31">
        <w:rPr>
          <w:rFonts w:cs="Arial"/>
        </w:rPr>
        <w:br/>
      </w:r>
      <w:r w:rsidR="00692694" w:rsidRPr="00D77B31">
        <w:rPr>
          <w:rFonts w:cs="Arial"/>
        </w:rPr>
        <w:t xml:space="preserve">Spectrum </w:t>
      </w:r>
      <w:r w:rsidR="0013235A" w:rsidRPr="00D77B31">
        <w:rPr>
          <w:rFonts w:cs="Arial"/>
        </w:rPr>
        <w:t xml:space="preserve">Planning Engineering </w:t>
      </w:r>
      <w:r w:rsidR="00692694" w:rsidRPr="00D77B31">
        <w:rPr>
          <w:rFonts w:cs="Arial"/>
        </w:rPr>
        <w:t>Branch</w:t>
      </w:r>
      <w:r w:rsidR="005C7069" w:rsidRPr="00D77B31">
        <w:rPr>
          <w:rFonts w:cs="Arial"/>
        </w:rPr>
        <w:br/>
      </w:r>
      <w:r w:rsidR="00692694" w:rsidRPr="00D77B31">
        <w:rPr>
          <w:rFonts w:cs="Arial"/>
        </w:rPr>
        <w:t>Australian Communications and Media Authority</w:t>
      </w:r>
      <w:r w:rsidR="00163C87" w:rsidRPr="00D77B31">
        <w:rPr>
          <w:rFonts w:cs="Arial"/>
        </w:rPr>
        <w:br w:type="page"/>
      </w:r>
    </w:p>
    <w:p w14:paraId="2F21B446" w14:textId="6A5F1708" w:rsidR="009205C0" w:rsidRPr="00D77B31" w:rsidRDefault="009205C0" w:rsidP="005C7069">
      <w:pPr>
        <w:pStyle w:val="Heading1"/>
        <w:numPr>
          <w:ilvl w:val="0"/>
          <w:numId w:val="0"/>
        </w:numPr>
      </w:pPr>
      <w:bookmarkStart w:id="339" w:name="_Toc111710891"/>
      <w:r w:rsidRPr="00D77B31">
        <w:lastRenderedPageBreak/>
        <w:t xml:space="preserve">Appendix A: Summary of </w:t>
      </w:r>
      <w:r w:rsidR="005C7069" w:rsidRPr="00D77B31">
        <w:t>c</w:t>
      </w:r>
      <w:r w:rsidRPr="00D77B31">
        <w:t xml:space="preserve">oordination </w:t>
      </w:r>
      <w:r w:rsidR="005C7069" w:rsidRPr="00D77B31">
        <w:t>a</w:t>
      </w:r>
      <w:r w:rsidRPr="00D77B31">
        <w:t>rrangements</w:t>
      </w:r>
      <w:bookmarkEnd w:id="332"/>
      <w:bookmarkEnd w:id="339"/>
    </w:p>
    <w:p w14:paraId="3B0DA52A" w14:textId="77777777" w:rsidR="009205C0" w:rsidRPr="00D77B31" w:rsidRDefault="009205C0" w:rsidP="003E7592">
      <w:pPr>
        <w:pStyle w:val="Heading2noTOC"/>
      </w:pPr>
      <w:bookmarkStart w:id="340" w:name="_Toc368045571"/>
      <w:bookmarkEnd w:id="333"/>
      <w:bookmarkEnd w:id="334"/>
      <w:bookmarkEnd w:id="335"/>
      <w:bookmarkEnd w:id="336"/>
      <w:bookmarkEnd w:id="337"/>
      <w:bookmarkEnd w:id="338"/>
      <w:r w:rsidRPr="00D77B31">
        <w:t>General</w:t>
      </w:r>
      <w:bookmarkEnd w:id="340"/>
    </w:p>
    <w:p w14:paraId="5535814E" w14:textId="65CD484C" w:rsidR="009205C0" w:rsidRPr="00D77B31" w:rsidRDefault="009205C0" w:rsidP="003E7592">
      <w:pPr>
        <w:rPr>
          <w:rFonts w:cs="Arial"/>
        </w:rPr>
      </w:pPr>
      <w:r w:rsidRPr="00D77B31">
        <w:rPr>
          <w:rFonts w:cs="Arial"/>
        </w:rPr>
        <w:t xml:space="preserve">The assignment requirements below for new TOB systems have been developed to minimise the need to carry out detailed coordination with existing services. </w:t>
      </w:r>
    </w:p>
    <w:p w14:paraId="00AE6023" w14:textId="4D29847F" w:rsidR="009205C0" w:rsidRPr="00D77B31" w:rsidRDefault="009205C0" w:rsidP="003E7592">
      <w:pPr>
        <w:pStyle w:val="Heading2noTOC"/>
      </w:pPr>
      <w:bookmarkStart w:id="341" w:name="_Toc368045572"/>
      <w:r w:rsidRPr="00D77B31">
        <w:t xml:space="preserve">Assignment </w:t>
      </w:r>
      <w:r w:rsidR="003E7592" w:rsidRPr="00D77B31">
        <w:t>r</w:t>
      </w:r>
      <w:r w:rsidRPr="00D77B31">
        <w:t>equirements for TOB stations in the band 1980-2010</w:t>
      </w:r>
      <w:r w:rsidR="003524E0" w:rsidRPr="00D77B31">
        <w:t> </w:t>
      </w:r>
      <w:r w:rsidRPr="00D77B31">
        <w:t>MHz</w:t>
      </w:r>
      <w:bookmarkEnd w:id="341"/>
      <w:r w:rsidR="003F6B7E" w:rsidRPr="00D77B31">
        <w:t xml:space="preserve"> and 2170-2200 MHz</w:t>
      </w:r>
    </w:p>
    <w:p w14:paraId="3CAAC72D" w14:textId="0B8832DF" w:rsidR="001B535E" w:rsidRPr="00D77B31" w:rsidRDefault="001B535E" w:rsidP="003E7592">
      <w:pPr>
        <w:rPr>
          <w:rFonts w:cs="Arial"/>
        </w:rPr>
      </w:pPr>
      <w:r w:rsidRPr="00D77B31">
        <w:rPr>
          <w:rFonts w:cs="Arial"/>
        </w:rPr>
        <w:t>Specifically the radiated power limit, the frequency band limits for wanted emissions and the restriction preventing the use of airborne transmitters have been chosen to eliminate the need to coordinate with adjacent band services.</w:t>
      </w:r>
      <w:r w:rsidR="00ED32D4" w:rsidRPr="00D77B31">
        <w:rPr>
          <w:rFonts w:cs="Arial"/>
        </w:rPr>
        <w:t xml:space="preserve"> </w:t>
      </w:r>
      <w:r w:rsidR="00351456" w:rsidRPr="00D77B31">
        <w:rPr>
          <w:rFonts w:cs="Arial"/>
        </w:rPr>
        <w:t>For TOB operations in these bands t</w:t>
      </w:r>
      <w:r w:rsidR="00ED32D4" w:rsidRPr="00D77B31">
        <w:rPr>
          <w:rFonts w:cs="Arial"/>
        </w:rPr>
        <w:t>he following criteria are to apply:</w:t>
      </w:r>
    </w:p>
    <w:p w14:paraId="7EA7E67B" w14:textId="77777777" w:rsidR="00E14B35" w:rsidRPr="00D77B31" w:rsidRDefault="009205C0" w:rsidP="004C3DDB">
      <w:pPr>
        <w:pStyle w:val="ListNumber"/>
        <w:rPr>
          <w:rFonts w:cs="Arial"/>
        </w:rPr>
      </w:pPr>
      <w:r w:rsidRPr="00D77B31">
        <w:rPr>
          <w:rFonts w:cs="Arial"/>
        </w:rPr>
        <w:t>Available frequency range is 1985-2010 MHz</w:t>
      </w:r>
      <w:r w:rsidR="003F6B7E" w:rsidRPr="00D77B31">
        <w:rPr>
          <w:rFonts w:cs="Arial"/>
        </w:rPr>
        <w:t xml:space="preserve"> and 2175-2200 MHz</w:t>
      </w:r>
      <w:r w:rsidRPr="00D77B31">
        <w:rPr>
          <w:rFonts w:cs="Arial"/>
        </w:rPr>
        <w:t>.</w:t>
      </w:r>
    </w:p>
    <w:p w14:paraId="0A41FFE3" w14:textId="13167E78" w:rsidR="00E14B35" w:rsidRPr="00D77B31" w:rsidRDefault="003F6B7E" w:rsidP="004C3DDB">
      <w:pPr>
        <w:pStyle w:val="ListNumber"/>
        <w:rPr>
          <w:rFonts w:cs="Arial"/>
        </w:rPr>
      </w:pPr>
      <w:r w:rsidRPr="00D77B31">
        <w:rPr>
          <w:rFonts w:cs="Arial"/>
        </w:rPr>
        <w:t xml:space="preserve">Within the band 2175-2200 MHz </w:t>
      </w:r>
      <w:r w:rsidR="00EE7043" w:rsidRPr="00D77B31">
        <w:rPr>
          <w:rFonts w:cs="Arial"/>
        </w:rPr>
        <w:t>TOB transmitters</w:t>
      </w:r>
      <w:r w:rsidRPr="00D77B31">
        <w:rPr>
          <w:rFonts w:cs="Arial"/>
        </w:rPr>
        <w:t xml:space="preserve"> are not to be operated within 100 km of an </w:t>
      </w:r>
      <w:r w:rsidR="00726125" w:rsidRPr="00D77B31">
        <w:rPr>
          <w:rFonts w:cs="Arial"/>
        </w:rPr>
        <w:t>earth station</w:t>
      </w:r>
      <w:r w:rsidRPr="00D77B31">
        <w:rPr>
          <w:rFonts w:cs="Arial"/>
        </w:rPr>
        <w:t xml:space="preserve"> receiver operating within the band 2200-2300 MHz.</w:t>
      </w:r>
    </w:p>
    <w:p w14:paraId="21025D0A" w14:textId="77777777" w:rsidR="00E14B35" w:rsidRPr="00D77B31" w:rsidRDefault="009205C0" w:rsidP="004C3DDB">
      <w:pPr>
        <w:pStyle w:val="ListNumber"/>
        <w:rPr>
          <w:rFonts w:cs="Arial"/>
        </w:rPr>
      </w:pPr>
      <w:r w:rsidRPr="00D77B31">
        <w:rPr>
          <w:rFonts w:cs="Arial"/>
        </w:rPr>
        <w:t>The radiated power of a transmitter shall not exceed 23 dBm/8 MHz EIRP.</w:t>
      </w:r>
    </w:p>
    <w:p w14:paraId="72B81D99" w14:textId="77777777" w:rsidR="00E14B35" w:rsidRPr="00D77B31" w:rsidRDefault="009205C0" w:rsidP="004C3DDB">
      <w:pPr>
        <w:pStyle w:val="ListNumber"/>
        <w:rPr>
          <w:rFonts w:cs="Arial"/>
        </w:rPr>
      </w:pPr>
      <w:r w:rsidRPr="00D77B31">
        <w:rPr>
          <w:rFonts w:cs="Arial"/>
        </w:rPr>
        <w:t>Airborne transmitters are not permitted.</w:t>
      </w:r>
    </w:p>
    <w:p w14:paraId="1C54760A" w14:textId="77777777" w:rsidR="00E14B35" w:rsidRPr="00D77B31" w:rsidRDefault="009205C0" w:rsidP="004C3DDB">
      <w:pPr>
        <w:pStyle w:val="ListNumber"/>
        <w:rPr>
          <w:rFonts w:cs="Arial"/>
        </w:rPr>
      </w:pPr>
      <w:r w:rsidRPr="00D77B31">
        <w:rPr>
          <w:rFonts w:cs="Arial"/>
        </w:rPr>
        <w:t>Not to be operated with</w:t>
      </w:r>
      <w:r w:rsidR="00E07C24" w:rsidRPr="00D77B31">
        <w:rPr>
          <w:rFonts w:cs="Arial"/>
        </w:rPr>
        <w:t>in</w:t>
      </w:r>
      <w:r w:rsidRPr="00D77B31">
        <w:rPr>
          <w:rFonts w:cs="Arial"/>
        </w:rPr>
        <w:t xml:space="preserve"> 150 km of the Mid-West Radio Quiet Zone (RQZ).</w:t>
      </w:r>
    </w:p>
    <w:p w14:paraId="6F41100F" w14:textId="77777777" w:rsidR="00E14B35" w:rsidRPr="00D77B31" w:rsidRDefault="009205C0" w:rsidP="004C3DDB">
      <w:pPr>
        <w:pStyle w:val="ListNumber"/>
        <w:rPr>
          <w:rFonts w:cs="Arial"/>
        </w:rPr>
      </w:pPr>
      <w:r w:rsidRPr="00D77B31">
        <w:rPr>
          <w:rFonts w:cs="Arial"/>
        </w:rPr>
        <w:t>Operation is on the condition that no interference is caused to other radiocommunications services.</w:t>
      </w:r>
    </w:p>
    <w:p w14:paraId="7DE7339D" w14:textId="4DB78CEA" w:rsidR="00D0728B" w:rsidRPr="00D77B31" w:rsidRDefault="00D0728B" w:rsidP="004C3DDB">
      <w:pPr>
        <w:pStyle w:val="ListNumberLast"/>
      </w:pPr>
      <w:r w:rsidRPr="00D77B31">
        <w:t>Operation</w:t>
      </w:r>
      <w:r w:rsidR="003D34D6" w:rsidRPr="00D77B31">
        <w:t xml:space="preserve"> of TOB</w:t>
      </w:r>
      <w:r w:rsidRPr="00D77B31">
        <w:t xml:space="preserve"> is to be consistent with the transitional arrangements of the MSS Band P</w:t>
      </w:r>
      <w:r w:rsidR="003D34D6" w:rsidRPr="00D77B31">
        <w:t>l</w:t>
      </w:r>
      <w:r w:rsidRPr="00D77B31">
        <w:t>an</w:t>
      </w:r>
      <w:r w:rsidR="003D34D6" w:rsidRPr="00D77B31">
        <w:t>.</w:t>
      </w:r>
    </w:p>
    <w:p w14:paraId="2A3899D4" w14:textId="4C21685B" w:rsidR="00F50B12" w:rsidRPr="00D77B31" w:rsidRDefault="001B535E" w:rsidP="003E7592">
      <w:pPr>
        <w:pStyle w:val="Heading2noTOC"/>
      </w:pPr>
      <w:r w:rsidRPr="00D77B31">
        <w:t xml:space="preserve">Assignment </w:t>
      </w:r>
      <w:r w:rsidR="003E7592" w:rsidRPr="00D77B31">
        <w:t>r</w:t>
      </w:r>
      <w:r w:rsidRPr="00D77B31">
        <w:t>equirements for TOB stations in the band 2010-2110 MHz and 2200-2300 MHz</w:t>
      </w:r>
    </w:p>
    <w:p w14:paraId="2E11F2A8" w14:textId="3C98104C" w:rsidR="001B535E" w:rsidRPr="00D77B31" w:rsidRDefault="00ED32D4" w:rsidP="004C3DDB">
      <w:pPr>
        <w:rPr>
          <w:rFonts w:cs="Arial"/>
        </w:rPr>
      </w:pPr>
      <w:r w:rsidRPr="00D77B31">
        <w:rPr>
          <w:rFonts w:cs="Arial"/>
        </w:rPr>
        <w:t xml:space="preserve">The following criteria is to apply to </w:t>
      </w:r>
      <w:r w:rsidR="00747BE4" w:rsidRPr="00D77B31">
        <w:rPr>
          <w:rFonts w:cs="Arial"/>
        </w:rPr>
        <w:t>TOB</w:t>
      </w:r>
      <w:r w:rsidRPr="00D77B31">
        <w:rPr>
          <w:rFonts w:cs="Arial"/>
        </w:rPr>
        <w:t xml:space="preserve"> assignments in the bands 2010-2110 MHz and 2200-2300 MHz: </w:t>
      </w:r>
    </w:p>
    <w:p w14:paraId="0196DD65" w14:textId="77777777" w:rsidR="00E14B35" w:rsidRPr="00D77B31" w:rsidRDefault="00B00EDC" w:rsidP="00335000">
      <w:pPr>
        <w:pStyle w:val="ListNumber"/>
        <w:numPr>
          <w:ilvl w:val="0"/>
          <w:numId w:val="15"/>
        </w:numPr>
        <w:rPr>
          <w:rFonts w:cs="Arial"/>
        </w:rPr>
      </w:pPr>
      <w:r w:rsidRPr="00D77B31">
        <w:rPr>
          <w:rFonts w:cs="Arial"/>
        </w:rPr>
        <w:t>Coordination is not required between TOB licensees operating to the channel plans</w:t>
      </w:r>
      <w:r w:rsidR="00E7208D" w:rsidRPr="00D77B31">
        <w:rPr>
          <w:rFonts w:cs="Arial"/>
        </w:rPr>
        <w:t>.</w:t>
      </w:r>
    </w:p>
    <w:p w14:paraId="13B80E50" w14:textId="77777777" w:rsidR="00E14B35" w:rsidRPr="00D77B31" w:rsidRDefault="00E7208D" w:rsidP="00335000">
      <w:pPr>
        <w:pStyle w:val="ListNumber"/>
        <w:numPr>
          <w:ilvl w:val="0"/>
          <w:numId w:val="15"/>
        </w:numPr>
        <w:rPr>
          <w:rFonts w:cs="Arial"/>
        </w:rPr>
      </w:pPr>
      <w:r w:rsidRPr="00D77B31">
        <w:rPr>
          <w:rFonts w:cs="Arial"/>
        </w:rPr>
        <w:t>Fixed point-to-point link</w:t>
      </w:r>
      <w:r w:rsidR="00B00EDC" w:rsidRPr="00D77B31">
        <w:rPr>
          <w:rFonts w:cs="Arial"/>
        </w:rPr>
        <w:t xml:space="preserve"> coordination is not required in the </w:t>
      </w:r>
      <w:r w:rsidR="00E3073C" w:rsidRPr="00D77B31">
        <w:rPr>
          <w:rFonts w:cs="Arial"/>
        </w:rPr>
        <w:t xml:space="preserve">link </w:t>
      </w:r>
      <w:r w:rsidR="00B00EDC" w:rsidRPr="00D77B31">
        <w:rPr>
          <w:rFonts w:cs="Arial"/>
        </w:rPr>
        <w:t>clearance areas</w:t>
      </w:r>
      <w:r w:rsidR="00E30E8E" w:rsidRPr="00D77B31">
        <w:rPr>
          <w:rFonts w:cs="Arial"/>
        </w:rPr>
        <w:t xml:space="preserve">. </w:t>
      </w:r>
      <w:r w:rsidR="00215197" w:rsidRPr="00D77B31">
        <w:rPr>
          <w:rFonts w:cs="Arial"/>
        </w:rPr>
        <w:t xml:space="preserve">Outside those areas see </w:t>
      </w:r>
      <w:r w:rsidR="00CF4941" w:rsidRPr="00D77B31">
        <w:rPr>
          <w:rFonts w:cs="Arial"/>
        </w:rPr>
        <w:t>S</w:t>
      </w:r>
      <w:r w:rsidR="00215197" w:rsidRPr="00D77B31">
        <w:rPr>
          <w:rFonts w:cs="Arial"/>
        </w:rPr>
        <w:t>ection 5.3.</w:t>
      </w:r>
    </w:p>
    <w:p w14:paraId="1709C365" w14:textId="1C17AE23" w:rsidR="00E14B35" w:rsidRPr="00D77B31" w:rsidRDefault="0033351C" w:rsidP="00335000">
      <w:pPr>
        <w:pStyle w:val="ListNumber"/>
        <w:numPr>
          <w:ilvl w:val="0"/>
          <w:numId w:val="15"/>
        </w:numPr>
        <w:rPr>
          <w:rFonts w:cs="Arial"/>
        </w:rPr>
      </w:pPr>
      <w:r w:rsidRPr="00D77B31">
        <w:rPr>
          <w:rFonts w:cs="Arial"/>
        </w:rPr>
        <w:t>Earth station coordination in the band is not required in the 2010-2110 MHz band</w:t>
      </w:r>
      <w:r w:rsidR="006106E5" w:rsidRPr="00D77B31">
        <w:rPr>
          <w:rFonts w:cs="Arial"/>
        </w:rPr>
        <w:t xml:space="preserve"> except around the Alice Springs </w:t>
      </w:r>
      <w:r w:rsidR="00726125" w:rsidRPr="00D77B31">
        <w:rPr>
          <w:rFonts w:cs="Arial"/>
        </w:rPr>
        <w:t>earth station</w:t>
      </w:r>
      <w:r w:rsidR="006106E5" w:rsidRPr="00D77B31">
        <w:rPr>
          <w:rFonts w:cs="Arial"/>
        </w:rPr>
        <w:t>, see Section 5.5.1</w:t>
      </w:r>
      <w:r w:rsidR="00BE4449" w:rsidRPr="00D77B31">
        <w:rPr>
          <w:rFonts w:cs="Arial"/>
        </w:rPr>
        <w:t>.</w:t>
      </w:r>
      <w:r w:rsidRPr="00D77B31">
        <w:rPr>
          <w:rFonts w:cs="Arial"/>
        </w:rPr>
        <w:t xml:space="preserve"> </w:t>
      </w:r>
      <w:r w:rsidR="00BE4449" w:rsidRPr="00D77B31">
        <w:rPr>
          <w:rFonts w:cs="Arial"/>
        </w:rPr>
        <w:t xml:space="preserve">However </w:t>
      </w:r>
      <w:r w:rsidRPr="00D77B31">
        <w:rPr>
          <w:rFonts w:cs="Arial"/>
        </w:rPr>
        <w:t xml:space="preserve">interference </w:t>
      </w:r>
      <w:r w:rsidR="005C191E" w:rsidRPr="00D77B31">
        <w:rPr>
          <w:rFonts w:cs="Arial"/>
        </w:rPr>
        <w:t>must be accepted</w:t>
      </w:r>
      <w:r w:rsidRPr="00D77B31">
        <w:rPr>
          <w:rFonts w:cs="Arial"/>
        </w:rPr>
        <w:t>.</w:t>
      </w:r>
    </w:p>
    <w:p w14:paraId="6C99BEBC" w14:textId="77777777" w:rsidR="00E14B35" w:rsidRPr="00D77B31" w:rsidRDefault="0033351C" w:rsidP="00335000">
      <w:pPr>
        <w:pStyle w:val="ListNumber"/>
        <w:numPr>
          <w:ilvl w:val="0"/>
          <w:numId w:val="15"/>
        </w:numPr>
        <w:rPr>
          <w:rFonts w:cs="Arial"/>
        </w:rPr>
      </w:pPr>
      <w:r w:rsidRPr="00D77B31">
        <w:rPr>
          <w:rFonts w:cs="Arial"/>
        </w:rPr>
        <w:t xml:space="preserve">Airborne </w:t>
      </w:r>
      <w:r w:rsidR="00215197" w:rsidRPr="00D77B31">
        <w:rPr>
          <w:rFonts w:cs="Arial"/>
        </w:rPr>
        <w:t xml:space="preserve">TOB </w:t>
      </w:r>
      <w:r w:rsidRPr="00D77B31">
        <w:rPr>
          <w:rFonts w:cs="Arial"/>
        </w:rPr>
        <w:t>transmitters are not permitted in the band 2200-2300 MHz.</w:t>
      </w:r>
    </w:p>
    <w:p w14:paraId="61372DF7" w14:textId="77777777" w:rsidR="00E14B35" w:rsidRPr="00D77B31" w:rsidRDefault="00E7208D" w:rsidP="00335000">
      <w:pPr>
        <w:pStyle w:val="ListNumber"/>
        <w:numPr>
          <w:ilvl w:val="0"/>
          <w:numId w:val="15"/>
        </w:numPr>
        <w:rPr>
          <w:rFonts w:cs="Arial"/>
        </w:rPr>
      </w:pPr>
      <w:r w:rsidRPr="00D77B31">
        <w:rPr>
          <w:rFonts w:cs="Arial"/>
        </w:rPr>
        <w:t xml:space="preserve">Earth station </w:t>
      </w:r>
      <w:r w:rsidR="00B00EDC" w:rsidRPr="00D77B31">
        <w:rPr>
          <w:rFonts w:cs="Arial"/>
        </w:rPr>
        <w:t xml:space="preserve">coordination </w:t>
      </w:r>
      <w:r w:rsidR="00727988" w:rsidRPr="00D77B31">
        <w:rPr>
          <w:rFonts w:cs="Arial"/>
        </w:rPr>
        <w:t xml:space="preserve">areas </w:t>
      </w:r>
      <w:r w:rsidR="0033351C" w:rsidRPr="00D77B31">
        <w:rPr>
          <w:rFonts w:cs="Arial"/>
        </w:rPr>
        <w:t xml:space="preserve">in the band 2200-2300 MHz </w:t>
      </w:r>
      <w:r w:rsidR="008E7EDC" w:rsidRPr="00D77B31">
        <w:rPr>
          <w:rFonts w:cs="Arial"/>
        </w:rPr>
        <w:t xml:space="preserve">are </w:t>
      </w:r>
      <w:r w:rsidR="0033351C" w:rsidRPr="00D77B31">
        <w:rPr>
          <w:rFonts w:cs="Arial"/>
        </w:rPr>
        <w:t xml:space="preserve">identified </w:t>
      </w:r>
      <w:r w:rsidR="002776F6" w:rsidRPr="00D77B31">
        <w:rPr>
          <w:rFonts w:cs="Arial"/>
        </w:rPr>
        <w:t>in Appendix C</w:t>
      </w:r>
      <w:r w:rsidR="00E30E8E" w:rsidRPr="00D77B31">
        <w:rPr>
          <w:rFonts w:cs="Arial"/>
        </w:rPr>
        <w:t xml:space="preserve">. </w:t>
      </w:r>
      <w:r w:rsidR="00727988" w:rsidRPr="00D77B31">
        <w:rPr>
          <w:rFonts w:cs="Arial"/>
        </w:rPr>
        <w:t>Requirements i</w:t>
      </w:r>
      <w:r w:rsidR="00215197" w:rsidRPr="00D77B31">
        <w:rPr>
          <w:rFonts w:cs="Arial"/>
        </w:rPr>
        <w:t xml:space="preserve">nside those areas </w:t>
      </w:r>
      <w:r w:rsidR="00CF4941" w:rsidRPr="00D77B31">
        <w:rPr>
          <w:rFonts w:cs="Arial"/>
        </w:rPr>
        <w:t xml:space="preserve">are given </w:t>
      </w:r>
      <w:r w:rsidR="00727988" w:rsidRPr="00D77B31">
        <w:rPr>
          <w:rFonts w:cs="Arial"/>
        </w:rPr>
        <w:t>in</w:t>
      </w:r>
      <w:r w:rsidR="00215197" w:rsidRPr="00D77B31">
        <w:rPr>
          <w:rFonts w:cs="Arial"/>
        </w:rPr>
        <w:t xml:space="preserve"> Appendix C.</w:t>
      </w:r>
      <w:r w:rsidR="009A46A0" w:rsidRPr="00D77B31">
        <w:rPr>
          <w:rFonts w:cs="Arial"/>
        </w:rPr>
        <w:t xml:space="preserve"> Restricted operation in the Perth area due to the treaty between the Government of Australia and ESA, section 5.5.</w:t>
      </w:r>
    </w:p>
    <w:p w14:paraId="1CEB421C" w14:textId="77777777" w:rsidR="00E14B35" w:rsidRPr="00D77B31" w:rsidRDefault="00CF4941" w:rsidP="00335000">
      <w:pPr>
        <w:pStyle w:val="ListNumber"/>
        <w:numPr>
          <w:ilvl w:val="0"/>
          <w:numId w:val="15"/>
        </w:numPr>
        <w:rPr>
          <w:rFonts w:cs="Arial"/>
        </w:rPr>
      </w:pPr>
      <w:r w:rsidRPr="00D77B31">
        <w:rPr>
          <w:rFonts w:cs="Arial"/>
        </w:rPr>
        <w:t>N</w:t>
      </w:r>
      <w:r w:rsidR="00E7208D" w:rsidRPr="00D77B31">
        <w:rPr>
          <w:rFonts w:cs="Arial"/>
        </w:rPr>
        <w:t>o</w:t>
      </w:r>
      <w:r w:rsidRPr="00D77B31">
        <w:rPr>
          <w:rFonts w:cs="Arial"/>
        </w:rPr>
        <w:t xml:space="preserve">t to </w:t>
      </w:r>
      <w:r w:rsidR="00E7208D" w:rsidRPr="00D77B31">
        <w:rPr>
          <w:rFonts w:cs="Arial"/>
        </w:rPr>
        <w:t>be operated with</w:t>
      </w:r>
      <w:r w:rsidR="00E07C24" w:rsidRPr="00D77B31">
        <w:rPr>
          <w:rFonts w:cs="Arial"/>
        </w:rPr>
        <w:t>in</w:t>
      </w:r>
      <w:r w:rsidR="00E7208D" w:rsidRPr="00D77B31">
        <w:rPr>
          <w:rFonts w:cs="Arial"/>
        </w:rPr>
        <w:t xml:space="preserve"> 150 km of the Mid-West Radio Quiet Zone (RQZ).</w:t>
      </w:r>
    </w:p>
    <w:p w14:paraId="0853FCCC" w14:textId="77777777" w:rsidR="00E14B35" w:rsidRPr="00D77B31" w:rsidRDefault="00727988" w:rsidP="00335000">
      <w:pPr>
        <w:pStyle w:val="ListNumber"/>
        <w:numPr>
          <w:ilvl w:val="0"/>
          <w:numId w:val="15"/>
        </w:numPr>
        <w:rPr>
          <w:rFonts w:cs="Arial"/>
        </w:rPr>
      </w:pPr>
      <w:r w:rsidRPr="00D77B31">
        <w:rPr>
          <w:rFonts w:cs="Arial"/>
        </w:rPr>
        <w:t xml:space="preserve">When planning TOB station operation in the </w:t>
      </w:r>
      <w:r w:rsidR="003D6E1D" w:rsidRPr="00D77B31">
        <w:rPr>
          <w:rFonts w:cs="Arial"/>
        </w:rPr>
        <w:t xml:space="preserve">band 2200-2300 MHz in the </w:t>
      </w:r>
      <w:r w:rsidRPr="00D77B31">
        <w:rPr>
          <w:rFonts w:cs="Arial"/>
        </w:rPr>
        <w:t>vicinity of r</w:t>
      </w:r>
      <w:r w:rsidR="00215197" w:rsidRPr="00D77B31">
        <w:rPr>
          <w:rFonts w:cs="Arial"/>
        </w:rPr>
        <w:t>adio</w:t>
      </w:r>
      <w:r w:rsidRPr="00D77B31">
        <w:rPr>
          <w:rFonts w:cs="Arial"/>
        </w:rPr>
        <w:t>-a</w:t>
      </w:r>
      <w:r w:rsidR="00215197" w:rsidRPr="00D77B31">
        <w:rPr>
          <w:rFonts w:cs="Arial"/>
        </w:rPr>
        <w:t>stronomy</w:t>
      </w:r>
      <w:r w:rsidR="00DB4B12" w:rsidRPr="00D77B31">
        <w:rPr>
          <w:rFonts w:cs="Arial"/>
        </w:rPr>
        <w:t xml:space="preserve"> </w:t>
      </w:r>
      <w:r w:rsidRPr="00D77B31">
        <w:rPr>
          <w:rFonts w:cs="Arial"/>
        </w:rPr>
        <w:t xml:space="preserve">sites </w:t>
      </w:r>
      <w:r w:rsidR="003D6E1D" w:rsidRPr="00D77B31">
        <w:rPr>
          <w:rFonts w:cs="Arial"/>
        </w:rPr>
        <w:t xml:space="preserve">licensees are encouraged to give </w:t>
      </w:r>
      <w:r w:rsidR="00CF4941" w:rsidRPr="00D77B31">
        <w:rPr>
          <w:rFonts w:cs="Arial"/>
        </w:rPr>
        <w:t>n</w:t>
      </w:r>
      <w:r w:rsidRPr="00D77B31">
        <w:rPr>
          <w:rFonts w:cs="Arial"/>
        </w:rPr>
        <w:t>otification to the site operator</w:t>
      </w:r>
      <w:r w:rsidR="00E30E8E" w:rsidRPr="00D77B31">
        <w:rPr>
          <w:rFonts w:cs="Arial"/>
        </w:rPr>
        <w:t xml:space="preserve">. </w:t>
      </w:r>
      <w:r w:rsidR="00DB4B12" w:rsidRPr="00D77B31">
        <w:rPr>
          <w:rFonts w:cs="Arial"/>
        </w:rPr>
        <w:t xml:space="preserve">See </w:t>
      </w:r>
      <w:r w:rsidRPr="00D77B31">
        <w:rPr>
          <w:rFonts w:cs="Arial"/>
        </w:rPr>
        <w:t>RALI MS31</w:t>
      </w:r>
      <w:r w:rsidR="00CF4941" w:rsidRPr="00D77B31">
        <w:rPr>
          <w:rFonts w:cs="Arial"/>
        </w:rPr>
        <w:t xml:space="preserve"> for details</w:t>
      </w:r>
      <w:r w:rsidR="00E30E8E" w:rsidRPr="00D77B31">
        <w:rPr>
          <w:rFonts w:cs="Arial"/>
        </w:rPr>
        <w:t xml:space="preserve">. </w:t>
      </w:r>
    </w:p>
    <w:p w14:paraId="1915E2AC" w14:textId="77777777" w:rsidR="00E14B35" w:rsidRPr="00D77B31" w:rsidRDefault="00DB4B12" w:rsidP="00335000">
      <w:pPr>
        <w:pStyle w:val="ListNumber"/>
        <w:numPr>
          <w:ilvl w:val="0"/>
          <w:numId w:val="15"/>
        </w:numPr>
        <w:rPr>
          <w:rFonts w:cs="Arial"/>
        </w:rPr>
      </w:pPr>
      <w:r w:rsidRPr="00D77B31">
        <w:rPr>
          <w:rFonts w:cs="Arial"/>
        </w:rPr>
        <w:t>Airborne</w:t>
      </w:r>
      <w:r w:rsidR="00215197" w:rsidRPr="00D77B31">
        <w:rPr>
          <w:rFonts w:cs="Arial"/>
        </w:rPr>
        <w:t xml:space="preserve"> Mobile </w:t>
      </w:r>
      <w:r w:rsidR="00BF43F3" w:rsidRPr="00D77B31">
        <w:rPr>
          <w:rFonts w:cs="Arial"/>
        </w:rPr>
        <w:t xml:space="preserve">Telemetry to </w:t>
      </w:r>
      <w:r w:rsidR="00F754B7" w:rsidRPr="00D77B31">
        <w:rPr>
          <w:rFonts w:cs="Arial"/>
        </w:rPr>
        <w:t>notif</w:t>
      </w:r>
      <w:r w:rsidR="00BF43F3" w:rsidRPr="00D77B31">
        <w:rPr>
          <w:rFonts w:cs="Arial"/>
        </w:rPr>
        <w:t>y point-of-contact</w:t>
      </w:r>
      <w:r w:rsidR="00CF4941" w:rsidRPr="00D77B31">
        <w:rPr>
          <w:rFonts w:cs="Arial"/>
        </w:rPr>
        <w:t xml:space="preserve"> -</w:t>
      </w:r>
      <w:r w:rsidR="00727988" w:rsidRPr="00D77B31">
        <w:rPr>
          <w:rFonts w:cs="Arial"/>
        </w:rPr>
        <w:t xml:space="preserve"> Section 5.8</w:t>
      </w:r>
      <w:r w:rsidR="00BF43F3" w:rsidRPr="00D77B31">
        <w:rPr>
          <w:rFonts w:cs="Arial"/>
        </w:rPr>
        <w:t xml:space="preserve"> for details</w:t>
      </w:r>
      <w:r w:rsidR="00727988" w:rsidRPr="00D77B31">
        <w:rPr>
          <w:rFonts w:cs="Arial"/>
        </w:rPr>
        <w:t>.</w:t>
      </w:r>
      <w:r w:rsidRPr="00D77B31">
        <w:rPr>
          <w:rFonts w:cs="Arial"/>
        </w:rPr>
        <w:t xml:space="preserve"> </w:t>
      </w:r>
    </w:p>
    <w:p w14:paraId="77A59BAD" w14:textId="77777777" w:rsidR="00E14B35" w:rsidRPr="00D77B31" w:rsidRDefault="00215197" w:rsidP="00335000">
      <w:pPr>
        <w:pStyle w:val="ListNumber"/>
        <w:numPr>
          <w:ilvl w:val="0"/>
          <w:numId w:val="15"/>
        </w:numPr>
        <w:rPr>
          <w:rFonts w:cs="Arial"/>
        </w:rPr>
      </w:pPr>
      <w:r w:rsidRPr="00D77B31">
        <w:rPr>
          <w:rFonts w:cs="Arial"/>
        </w:rPr>
        <w:t>Coordination with Adjacent band 2 and 2.3 GHz SL and PTS services</w:t>
      </w:r>
      <w:r w:rsidR="007D0344" w:rsidRPr="00D77B31">
        <w:rPr>
          <w:rFonts w:cs="Arial"/>
        </w:rPr>
        <w:t xml:space="preserve"> is required</w:t>
      </w:r>
      <w:r w:rsidR="00B93DF2" w:rsidRPr="00D77B31">
        <w:rPr>
          <w:rFonts w:cs="Arial"/>
        </w:rPr>
        <w:t>.</w:t>
      </w:r>
    </w:p>
    <w:p w14:paraId="275228B8" w14:textId="77777777" w:rsidR="00E14B35" w:rsidRPr="00D77B31" w:rsidRDefault="00E7208D" w:rsidP="00335000">
      <w:pPr>
        <w:pStyle w:val="ListNumber"/>
        <w:numPr>
          <w:ilvl w:val="0"/>
          <w:numId w:val="15"/>
        </w:numPr>
        <w:rPr>
          <w:rFonts w:cs="Arial"/>
        </w:rPr>
      </w:pPr>
      <w:r w:rsidRPr="00D77B31">
        <w:rPr>
          <w:rFonts w:cs="Arial"/>
        </w:rPr>
        <w:lastRenderedPageBreak/>
        <w:t>Operation is on the condition that no interference is caused to other radiocommunications services.</w:t>
      </w:r>
    </w:p>
    <w:p w14:paraId="15F0F1D7" w14:textId="6ACC1762" w:rsidR="009205C0" w:rsidRPr="00D77B31" w:rsidRDefault="009205C0" w:rsidP="00C915F6">
      <w:pPr>
        <w:pStyle w:val="Heading1"/>
        <w:numPr>
          <w:ilvl w:val="0"/>
          <w:numId w:val="0"/>
        </w:numPr>
      </w:pPr>
      <w:bookmarkStart w:id="342" w:name="_Toc368045574"/>
      <w:bookmarkStart w:id="343" w:name="_Toc111710892"/>
      <w:r w:rsidRPr="00D77B31">
        <w:lastRenderedPageBreak/>
        <w:t>Appendix B: Typical characteristics for TOB services operating in the bands 2010-2110</w:t>
      </w:r>
      <w:r w:rsidR="003524E0" w:rsidRPr="00D77B31">
        <w:t> </w:t>
      </w:r>
      <w:r w:rsidRPr="00D77B31">
        <w:t>MHz and 2200-</w:t>
      </w:r>
      <w:r w:rsidR="00E07C24" w:rsidRPr="00D77B31">
        <w:t xml:space="preserve">2300 </w:t>
      </w:r>
      <w:r w:rsidRPr="00D77B31">
        <w:t>MHz</w:t>
      </w:r>
      <w:bookmarkEnd w:id="342"/>
      <w:bookmarkEnd w:id="343"/>
    </w:p>
    <w:tbl>
      <w:tblPr>
        <w:tblpPr w:leftFromText="180" w:rightFromText="180" w:vertAnchor="text" w:horzAnchor="margin" w:tblpXSpec="center" w:tblpY="3"/>
        <w:tblW w:w="988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3969"/>
        <w:gridCol w:w="2802"/>
        <w:gridCol w:w="3118"/>
      </w:tblGrid>
      <w:tr w:rsidR="009205C0" w:rsidRPr="00D77B31" w14:paraId="0FC7256F" w14:textId="77777777" w:rsidTr="00B91ED5">
        <w:trPr>
          <w:trHeight w:val="447"/>
        </w:trPr>
        <w:tc>
          <w:tcPr>
            <w:tcW w:w="9889" w:type="dxa"/>
            <w:gridSpan w:val="3"/>
            <w:shd w:val="clear" w:color="auto" w:fill="D9D9D9" w:themeFill="background1" w:themeFillShade="D9"/>
          </w:tcPr>
          <w:p w14:paraId="577A7429" w14:textId="556A8287" w:rsidR="009205C0" w:rsidRPr="00D77B31" w:rsidRDefault="009205C0" w:rsidP="00B91ED5">
            <w:pPr>
              <w:jc w:val="center"/>
              <w:rPr>
                <w:rFonts w:cs="Arial"/>
                <w:b/>
              </w:rPr>
            </w:pPr>
            <w:r w:rsidRPr="00D77B31">
              <w:rPr>
                <w:rFonts w:cs="Arial"/>
                <w:b/>
              </w:rPr>
              <w:t>Fixed TOB receiving station parameters (</w:t>
            </w:r>
            <w:r w:rsidR="006D6C01" w:rsidRPr="00D77B31">
              <w:rPr>
                <w:rFonts w:cs="Arial"/>
                <w:b/>
              </w:rPr>
              <w:t>c</w:t>
            </w:r>
            <w:r w:rsidRPr="00D77B31">
              <w:rPr>
                <w:rFonts w:cs="Arial"/>
                <w:b/>
              </w:rPr>
              <w:t>ollection station parameters)</w:t>
            </w:r>
            <w:r w:rsidR="00AC231A" w:rsidRPr="00D77B31">
              <w:rPr>
                <w:rFonts w:cs="Arial"/>
                <w:b/>
              </w:rPr>
              <w:t>*</w:t>
            </w:r>
          </w:p>
        </w:tc>
      </w:tr>
      <w:tr w:rsidR="009205C0" w:rsidRPr="00D77B31" w14:paraId="1FE31093" w14:textId="77777777" w:rsidTr="008C2B75">
        <w:trPr>
          <w:trHeight w:val="438"/>
        </w:trPr>
        <w:tc>
          <w:tcPr>
            <w:tcW w:w="3969" w:type="dxa"/>
            <w:vAlign w:val="center"/>
          </w:tcPr>
          <w:p w14:paraId="65F3D350" w14:textId="77777777" w:rsidR="001C2DB4" w:rsidRPr="00D77B31" w:rsidRDefault="009205C0">
            <w:pPr>
              <w:rPr>
                <w:rFonts w:cs="Arial"/>
              </w:rPr>
            </w:pPr>
            <w:r w:rsidRPr="00D77B31">
              <w:rPr>
                <w:rFonts w:cs="Arial"/>
              </w:rPr>
              <w:t>Maximum antenna gain (</w:t>
            </w:r>
            <w:proofErr w:type="spellStart"/>
            <w:r w:rsidRPr="00D77B31">
              <w:rPr>
                <w:rFonts w:cs="Arial"/>
              </w:rPr>
              <w:t>dBi</w:t>
            </w:r>
            <w:proofErr w:type="spellEnd"/>
            <w:r w:rsidRPr="00D77B31">
              <w:rPr>
                <w:rFonts w:cs="Arial"/>
              </w:rPr>
              <w:t>)</w:t>
            </w:r>
          </w:p>
        </w:tc>
        <w:tc>
          <w:tcPr>
            <w:tcW w:w="5920" w:type="dxa"/>
            <w:gridSpan w:val="2"/>
            <w:vAlign w:val="center"/>
          </w:tcPr>
          <w:p w14:paraId="55FE828C" w14:textId="77777777" w:rsidR="009205C0" w:rsidRPr="00D77B31" w:rsidRDefault="009205C0" w:rsidP="00AC231A">
            <w:pPr>
              <w:jc w:val="center"/>
              <w:rPr>
                <w:rFonts w:cs="Arial"/>
              </w:rPr>
            </w:pPr>
            <w:r w:rsidRPr="00D77B31">
              <w:rPr>
                <w:rFonts w:cs="Arial"/>
              </w:rPr>
              <w:t>27</w:t>
            </w:r>
          </w:p>
        </w:tc>
      </w:tr>
      <w:tr w:rsidR="009205C0" w:rsidRPr="00D77B31" w14:paraId="2D15322B" w14:textId="77777777" w:rsidTr="008C2B75">
        <w:trPr>
          <w:trHeight w:val="438"/>
        </w:trPr>
        <w:tc>
          <w:tcPr>
            <w:tcW w:w="3969" w:type="dxa"/>
            <w:vAlign w:val="center"/>
          </w:tcPr>
          <w:p w14:paraId="64FF9777" w14:textId="77777777" w:rsidR="001C2DB4" w:rsidRPr="00D77B31" w:rsidRDefault="009205C0">
            <w:pPr>
              <w:rPr>
                <w:rFonts w:cs="Arial"/>
              </w:rPr>
            </w:pPr>
            <w:r w:rsidRPr="00D77B31">
              <w:rPr>
                <w:rFonts w:cs="Arial"/>
              </w:rPr>
              <w:t>Effective antenna pattern</w:t>
            </w:r>
          </w:p>
        </w:tc>
        <w:tc>
          <w:tcPr>
            <w:tcW w:w="5920" w:type="dxa"/>
            <w:gridSpan w:val="2"/>
            <w:vAlign w:val="center"/>
          </w:tcPr>
          <w:p w14:paraId="3C6295AF" w14:textId="77777777" w:rsidR="009205C0" w:rsidRPr="00D77B31" w:rsidRDefault="009205C0" w:rsidP="00B91ED5">
            <w:pPr>
              <w:jc w:val="center"/>
              <w:rPr>
                <w:rFonts w:cs="Arial"/>
              </w:rPr>
            </w:pPr>
            <w:r w:rsidRPr="00D77B31">
              <w:rPr>
                <w:rFonts w:cs="Arial"/>
              </w:rPr>
              <w:t>Omnidirectional</w:t>
            </w:r>
            <w:r w:rsidRPr="00D77B31">
              <w:rPr>
                <w:rFonts w:cs="Arial"/>
                <w:vertAlign w:val="superscript"/>
              </w:rPr>
              <w:footnoteReference w:id="24"/>
            </w:r>
          </w:p>
        </w:tc>
      </w:tr>
      <w:tr w:rsidR="009205C0" w:rsidRPr="00D77B31" w14:paraId="10F6AB97" w14:textId="77777777" w:rsidTr="008C2B75">
        <w:trPr>
          <w:trHeight w:val="438"/>
        </w:trPr>
        <w:tc>
          <w:tcPr>
            <w:tcW w:w="3969" w:type="dxa"/>
            <w:vAlign w:val="center"/>
          </w:tcPr>
          <w:p w14:paraId="21325C10" w14:textId="77777777" w:rsidR="001C2DB4" w:rsidRPr="00D77B31" w:rsidRDefault="009205C0">
            <w:pPr>
              <w:rPr>
                <w:rFonts w:cs="Arial"/>
              </w:rPr>
            </w:pPr>
            <w:r w:rsidRPr="00D77B31">
              <w:rPr>
                <w:rFonts w:cs="Arial"/>
              </w:rPr>
              <w:t>Antenna height (m)</w:t>
            </w:r>
          </w:p>
        </w:tc>
        <w:tc>
          <w:tcPr>
            <w:tcW w:w="5920" w:type="dxa"/>
            <w:gridSpan w:val="2"/>
            <w:vAlign w:val="center"/>
          </w:tcPr>
          <w:p w14:paraId="24028D62" w14:textId="77777777" w:rsidR="009205C0" w:rsidRPr="00D77B31" w:rsidRDefault="009205C0" w:rsidP="00B91ED5">
            <w:pPr>
              <w:jc w:val="center"/>
              <w:rPr>
                <w:rFonts w:cs="Arial"/>
              </w:rPr>
            </w:pPr>
            <w:r w:rsidRPr="00D77B31">
              <w:rPr>
                <w:rFonts w:cs="Arial"/>
              </w:rPr>
              <w:t>60-150</w:t>
            </w:r>
          </w:p>
        </w:tc>
      </w:tr>
      <w:tr w:rsidR="009205C0" w:rsidRPr="00D77B31" w14:paraId="7B03EC68" w14:textId="77777777" w:rsidTr="008C2B75">
        <w:trPr>
          <w:trHeight w:val="438"/>
        </w:trPr>
        <w:tc>
          <w:tcPr>
            <w:tcW w:w="3969" w:type="dxa"/>
            <w:vAlign w:val="center"/>
          </w:tcPr>
          <w:p w14:paraId="6221822A" w14:textId="77777777" w:rsidR="001C2DB4" w:rsidRPr="00D77B31" w:rsidRDefault="009205C0">
            <w:pPr>
              <w:rPr>
                <w:rFonts w:cs="Arial"/>
              </w:rPr>
            </w:pPr>
            <w:r w:rsidRPr="00D77B31">
              <w:rPr>
                <w:rFonts w:cs="Arial"/>
              </w:rPr>
              <w:t>Receiving band (MHz)</w:t>
            </w:r>
          </w:p>
        </w:tc>
        <w:tc>
          <w:tcPr>
            <w:tcW w:w="5920" w:type="dxa"/>
            <w:gridSpan w:val="2"/>
            <w:vAlign w:val="center"/>
          </w:tcPr>
          <w:p w14:paraId="3A8B7BF2" w14:textId="3EEF871F" w:rsidR="009205C0" w:rsidRPr="00D77B31" w:rsidRDefault="009205C0" w:rsidP="00B91ED5">
            <w:pPr>
              <w:jc w:val="center"/>
              <w:rPr>
                <w:rFonts w:cs="Arial"/>
              </w:rPr>
            </w:pPr>
            <w:r w:rsidRPr="00D77B31">
              <w:rPr>
                <w:rFonts w:cs="Arial"/>
              </w:rPr>
              <w:t>1980-2110 MHz</w:t>
            </w:r>
          </w:p>
          <w:p w14:paraId="141EC1F7" w14:textId="061F7B7E" w:rsidR="009205C0" w:rsidRPr="00D77B31" w:rsidRDefault="009205C0" w:rsidP="00B91ED5">
            <w:pPr>
              <w:jc w:val="center"/>
              <w:rPr>
                <w:rFonts w:cs="Arial"/>
              </w:rPr>
            </w:pPr>
            <w:r w:rsidRPr="00D77B31">
              <w:rPr>
                <w:rFonts w:cs="Arial"/>
              </w:rPr>
              <w:t>2170-2300 MHz</w:t>
            </w:r>
          </w:p>
        </w:tc>
      </w:tr>
      <w:tr w:rsidR="009205C0" w:rsidRPr="00D77B31" w14:paraId="4804DA00" w14:textId="77777777" w:rsidTr="008C2B75">
        <w:trPr>
          <w:trHeight w:val="438"/>
        </w:trPr>
        <w:tc>
          <w:tcPr>
            <w:tcW w:w="3969" w:type="dxa"/>
            <w:vAlign w:val="center"/>
          </w:tcPr>
          <w:p w14:paraId="60913D27" w14:textId="77777777" w:rsidR="001C2DB4" w:rsidRPr="00D77B31" w:rsidRDefault="009205C0">
            <w:pPr>
              <w:rPr>
                <w:rFonts w:cs="Arial"/>
              </w:rPr>
            </w:pPr>
            <w:r w:rsidRPr="00D77B31">
              <w:rPr>
                <w:rFonts w:cs="Arial"/>
              </w:rPr>
              <w:t>Minimum wanted signal level (</w:t>
            </w:r>
            <w:proofErr w:type="spellStart"/>
            <w:r w:rsidRPr="00D77B31">
              <w:rPr>
                <w:rFonts w:cs="Arial"/>
              </w:rPr>
              <w:t>dBW</w:t>
            </w:r>
            <w:proofErr w:type="spellEnd"/>
            <w:r w:rsidRPr="00D77B31">
              <w:rPr>
                <w:rFonts w:cs="Arial"/>
              </w:rPr>
              <w:t>)</w:t>
            </w:r>
          </w:p>
        </w:tc>
        <w:tc>
          <w:tcPr>
            <w:tcW w:w="5920" w:type="dxa"/>
            <w:gridSpan w:val="2"/>
            <w:vAlign w:val="center"/>
          </w:tcPr>
          <w:p w14:paraId="3EE3E63F" w14:textId="77777777" w:rsidR="009205C0" w:rsidRPr="00D77B31" w:rsidRDefault="009205C0" w:rsidP="00AC231A">
            <w:pPr>
              <w:jc w:val="center"/>
              <w:rPr>
                <w:rFonts w:cs="Arial"/>
              </w:rPr>
            </w:pPr>
            <w:r w:rsidRPr="00D77B31">
              <w:rPr>
                <w:rFonts w:cs="Arial"/>
              </w:rPr>
              <w:t>-112.3</w:t>
            </w:r>
          </w:p>
        </w:tc>
      </w:tr>
      <w:tr w:rsidR="009205C0" w:rsidRPr="00D77B31" w14:paraId="34702191" w14:textId="77777777" w:rsidTr="008C2B75">
        <w:trPr>
          <w:trHeight w:val="438"/>
        </w:trPr>
        <w:tc>
          <w:tcPr>
            <w:tcW w:w="3969" w:type="dxa"/>
            <w:vAlign w:val="center"/>
          </w:tcPr>
          <w:p w14:paraId="7D2C070A" w14:textId="77777777" w:rsidR="001C2DB4" w:rsidRPr="00D77B31" w:rsidRDefault="009205C0">
            <w:pPr>
              <w:rPr>
                <w:rFonts w:cs="Arial"/>
                <w:b/>
                <w:caps/>
              </w:rPr>
            </w:pPr>
            <w:r w:rsidRPr="00D77B31">
              <w:rPr>
                <w:rFonts w:cs="Arial"/>
              </w:rPr>
              <w:t>Protection Ratio (dB)</w:t>
            </w:r>
          </w:p>
        </w:tc>
        <w:tc>
          <w:tcPr>
            <w:tcW w:w="2802" w:type="dxa"/>
          </w:tcPr>
          <w:p w14:paraId="1D17110E" w14:textId="77777777" w:rsidR="009205C0" w:rsidRPr="00D77B31" w:rsidRDefault="009205C0" w:rsidP="00B91ED5">
            <w:pPr>
              <w:jc w:val="center"/>
              <w:rPr>
                <w:rFonts w:cs="Arial"/>
              </w:rPr>
            </w:pPr>
            <w:r w:rsidRPr="00D77B31">
              <w:rPr>
                <w:rFonts w:cs="Arial"/>
              </w:rPr>
              <w:t>Frequency Separation (MHz)</w:t>
            </w:r>
          </w:p>
        </w:tc>
        <w:tc>
          <w:tcPr>
            <w:tcW w:w="3118" w:type="dxa"/>
          </w:tcPr>
          <w:p w14:paraId="18F61AD5" w14:textId="77777777" w:rsidR="009205C0" w:rsidRPr="00D77B31" w:rsidRDefault="009205C0" w:rsidP="00B91ED5">
            <w:pPr>
              <w:jc w:val="center"/>
              <w:rPr>
                <w:rFonts w:cs="Arial"/>
              </w:rPr>
            </w:pPr>
            <w:r w:rsidRPr="00D77B31">
              <w:rPr>
                <w:rFonts w:cs="Arial"/>
              </w:rPr>
              <w:t>Wanted/Unwanted Protection Ratio (dB)</w:t>
            </w:r>
          </w:p>
        </w:tc>
      </w:tr>
      <w:tr w:rsidR="009205C0" w:rsidRPr="00D77B31" w14:paraId="5D95C9C6" w14:textId="77777777" w:rsidTr="005A5D85">
        <w:trPr>
          <w:trHeight w:val="438"/>
        </w:trPr>
        <w:tc>
          <w:tcPr>
            <w:tcW w:w="3969" w:type="dxa"/>
          </w:tcPr>
          <w:p w14:paraId="4CC47664" w14:textId="77777777" w:rsidR="009205C0" w:rsidRPr="00D77B31" w:rsidRDefault="009205C0" w:rsidP="00B91ED5">
            <w:pPr>
              <w:rPr>
                <w:rFonts w:cs="Arial"/>
              </w:rPr>
            </w:pPr>
          </w:p>
        </w:tc>
        <w:tc>
          <w:tcPr>
            <w:tcW w:w="2802" w:type="dxa"/>
            <w:vAlign w:val="center"/>
          </w:tcPr>
          <w:p w14:paraId="27FEB571" w14:textId="77777777" w:rsidR="009205C0" w:rsidRPr="00D77B31" w:rsidRDefault="009205C0" w:rsidP="00B91ED5">
            <w:pPr>
              <w:jc w:val="center"/>
              <w:rPr>
                <w:rFonts w:cs="Arial"/>
              </w:rPr>
            </w:pPr>
            <w:r w:rsidRPr="00D77B31">
              <w:rPr>
                <w:rFonts w:cs="Arial"/>
              </w:rPr>
              <w:t>Co-channel</w:t>
            </w:r>
          </w:p>
        </w:tc>
        <w:tc>
          <w:tcPr>
            <w:tcW w:w="3118" w:type="dxa"/>
            <w:vAlign w:val="center"/>
          </w:tcPr>
          <w:p w14:paraId="71838517" w14:textId="77777777" w:rsidR="00B250D6" w:rsidRPr="00D77B31" w:rsidRDefault="009205C0">
            <w:pPr>
              <w:jc w:val="center"/>
              <w:rPr>
                <w:rFonts w:cs="Arial"/>
              </w:rPr>
            </w:pPr>
            <w:r w:rsidRPr="00D77B31">
              <w:rPr>
                <w:rFonts w:cs="Arial"/>
              </w:rPr>
              <w:t>26</w:t>
            </w:r>
          </w:p>
        </w:tc>
      </w:tr>
      <w:tr w:rsidR="009205C0" w:rsidRPr="00D77B31" w14:paraId="1765F37B" w14:textId="77777777" w:rsidTr="005A5D85">
        <w:trPr>
          <w:trHeight w:val="438"/>
        </w:trPr>
        <w:tc>
          <w:tcPr>
            <w:tcW w:w="3969" w:type="dxa"/>
          </w:tcPr>
          <w:p w14:paraId="566AAC09" w14:textId="77777777" w:rsidR="009205C0" w:rsidRPr="00D77B31" w:rsidRDefault="009205C0" w:rsidP="00B91ED5">
            <w:pPr>
              <w:rPr>
                <w:rFonts w:cs="Arial"/>
              </w:rPr>
            </w:pPr>
          </w:p>
        </w:tc>
        <w:tc>
          <w:tcPr>
            <w:tcW w:w="2802" w:type="dxa"/>
            <w:vAlign w:val="center"/>
          </w:tcPr>
          <w:p w14:paraId="5556BFD1" w14:textId="77777777" w:rsidR="009205C0" w:rsidRPr="00D77B31" w:rsidRDefault="009205C0" w:rsidP="00B91ED5">
            <w:pPr>
              <w:jc w:val="center"/>
              <w:rPr>
                <w:rFonts w:cs="Arial"/>
              </w:rPr>
            </w:pPr>
            <w:r w:rsidRPr="00D77B31">
              <w:rPr>
                <w:rFonts w:cs="Arial"/>
              </w:rPr>
              <w:t xml:space="preserve">0 </w:t>
            </w:r>
            <w:r w:rsidR="00DB4B12" w:rsidRPr="00D77B31">
              <w:rPr>
                <w:rFonts w:cs="Arial"/>
              </w:rPr>
              <w:t>–</w:t>
            </w:r>
            <w:r w:rsidRPr="00D77B31">
              <w:rPr>
                <w:rFonts w:cs="Arial"/>
              </w:rPr>
              <w:t xml:space="preserve"> 8</w:t>
            </w:r>
          </w:p>
        </w:tc>
        <w:tc>
          <w:tcPr>
            <w:tcW w:w="3118" w:type="dxa"/>
            <w:vAlign w:val="center"/>
          </w:tcPr>
          <w:p w14:paraId="7C099A00" w14:textId="77777777" w:rsidR="00B250D6" w:rsidRPr="00D77B31" w:rsidRDefault="009205C0">
            <w:pPr>
              <w:jc w:val="center"/>
              <w:rPr>
                <w:rFonts w:cs="Arial"/>
              </w:rPr>
            </w:pPr>
            <w:r w:rsidRPr="00D77B31">
              <w:rPr>
                <w:rFonts w:cs="Arial"/>
              </w:rPr>
              <w:t>-30</w:t>
            </w:r>
          </w:p>
        </w:tc>
      </w:tr>
      <w:tr w:rsidR="009205C0" w:rsidRPr="00D77B31" w14:paraId="7030446C" w14:textId="77777777" w:rsidTr="005A5D85">
        <w:trPr>
          <w:trHeight w:val="447"/>
        </w:trPr>
        <w:tc>
          <w:tcPr>
            <w:tcW w:w="3969" w:type="dxa"/>
            <w:tcBorders>
              <w:bottom w:val="single" w:sz="4" w:space="0" w:color="auto"/>
            </w:tcBorders>
          </w:tcPr>
          <w:p w14:paraId="3D3A645D" w14:textId="77777777" w:rsidR="009205C0" w:rsidRPr="00D77B31" w:rsidRDefault="009205C0" w:rsidP="00B91ED5">
            <w:pPr>
              <w:rPr>
                <w:rFonts w:cs="Arial"/>
              </w:rPr>
            </w:pPr>
          </w:p>
        </w:tc>
        <w:tc>
          <w:tcPr>
            <w:tcW w:w="2802" w:type="dxa"/>
            <w:tcBorders>
              <w:bottom w:val="single" w:sz="4" w:space="0" w:color="auto"/>
            </w:tcBorders>
            <w:vAlign w:val="center"/>
          </w:tcPr>
          <w:p w14:paraId="042923D9" w14:textId="77777777" w:rsidR="009205C0" w:rsidRPr="00D77B31" w:rsidRDefault="009205C0" w:rsidP="00B91ED5">
            <w:pPr>
              <w:jc w:val="center"/>
              <w:rPr>
                <w:rFonts w:cs="Arial"/>
              </w:rPr>
            </w:pPr>
            <w:r w:rsidRPr="00D77B31">
              <w:rPr>
                <w:rFonts w:cs="Arial"/>
              </w:rPr>
              <w:t>8 and above</w:t>
            </w:r>
          </w:p>
        </w:tc>
        <w:tc>
          <w:tcPr>
            <w:tcW w:w="3118" w:type="dxa"/>
            <w:tcBorders>
              <w:bottom w:val="single" w:sz="4" w:space="0" w:color="auto"/>
            </w:tcBorders>
            <w:vAlign w:val="center"/>
          </w:tcPr>
          <w:p w14:paraId="3950EA10" w14:textId="77777777" w:rsidR="00B250D6" w:rsidRPr="00D77B31" w:rsidRDefault="009205C0">
            <w:pPr>
              <w:jc w:val="center"/>
              <w:rPr>
                <w:rFonts w:cs="Arial"/>
              </w:rPr>
            </w:pPr>
            <w:r w:rsidRPr="00D77B31">
              <w:rPr>
                <w:rFonts w:cs="Arial"/>
              </w:rPr>
              <w:t>-40</w:t>
            </w:r>
          </w:p>
        </w:tc>
      </w:tr>
      <w:tr w:rsidR="009205C0" w:rsidRPr="00D77B31" w14:paraId="3AF6B206" w14:textId="77777777" w:rsidTr="00B91ED5">
        <w:trPr>
          <w:trHeight w:val="447"/>
        </w:trPr>
        <w:tc>
          <w:tcPr>
            <w:tcW w:w="9889" w:type="dxa"/>
            <w:gridSpan w:val="3"/>
            <w:shd w:val="pct10" w:color="auto" w:fill="auto"/>
          </w:tcPr>
          <w:p w14:paraId="06BDD08F" w14:textId="77777777" w:rsidR="009205C0" w:rsidRPr="00D77B31" w:rsidRDefault="009205C0" w:rsidP="00B91ED5">
            <w:pPr>
              <w:jc w:val="center"/>
              <w:rPr>
                <w:rFonts w:cs="Arial"/>
              </w:rPr>
            </w:pPr>
            <w:r w:rsidRPr="00D77B31">
              <w:rPr>
                <w:rFonts w:cs="Arial"/>
                <w:b/>
              </w:rPr>
              <w:t>High site/high power TOB transmitter parameters (ENG van)</w:t>
            </w:r>
            <w:r w:rsidR="00AC231A" w:rsidRPr="00D77B31">
              <w:rPr>
                <w:rFonts w:cs="Arial"/>
                <w:b/>
              </w:rPr>
              <w:t>*</w:t>
            </w:r>
          </w:p>
        </w:tc>
      </w:tr>
      <w:tr w:rsidR="009205C0" w:rsidRPr="00D77B31" w14:paraId="2AD55C5A" w14:textId="77777777" w:rsidTr="008C2B75">
        <w:trPr>
          <w:trHeight w:val="447"/>
        </w:trPr>
        <w:tc>
          <w:tcPr>
            <w:tcW w:w="3969" w:type="dxa"/>
            <w:vAlign w:val="center"/>
          </w:tcPr>
          <w:p w14:paraId="2518733D" w14:textId="77777777" w:rsidR="001C2DB4" w:rsidRPr="00D77B31" w:rsidRDefault="009205C0">
            <w:pPr>
              <w:rPr>
                <w:rFonts w:cs="Arial"/>
              </w:rPr>
            </w:pPr>
            <w:r w:rsidRPr="00D77B31">
              <w:rPr>
                <w:rFonts w:cs="Arial"/>
              </w:rPr>
              <w:t>Transmitter’s antenna gain (</w:t>
            </w:r>
            <w:proofErr w:type="spellStart"/>
            <w:r w:rsidRPr="00D77B31">
              <w:rPr>
                <w:rFonts w:cs="Arial"/>
              </w:rPr>
              <w:t>dBi</w:t>
            </w:r>
            <w:proofErr w:type="spellEnd"/>
            <w:r w:rsidRPr="00D77B31">
              <w:rPr>
                <w:rFonts w:cs="Arial"/>
              </w:rPr>
              <w:t>)</w:t>
            </w:r>
          </w:p>
        </w:tc>
        <w:tc>
          <w:tcPr>
            <w:tcW w:w="5920" w:type="dxa"/>
            <w:gridSpan w:val="2"/>
            <w:vAlign w:val="center"/>
          </w:tcPr>
          <w:p w14:paraId="3609A395" w14:textId="77777777" w:rsidR="009205C0" w:rsidRPr="00D77B31" w:rsidRDefault="009205C0" w:rsidP="00B91ED5">
            <w:pPr>
              <w:jc w:val="center"/>
              <w:rPr>
                <w:rFonts w:cs="Arial"/>
              </w:rPr>
            </w:pPr>
            <w:r w:rsidRPr="00D77B31">
              <w:rPr>
                <w:rFonts w:cs="Arial"/>
              </w:rPr>
              <w:t>25</w:t>
            </w:r>
          </w:p>
        </w:tc>
      </w:tr>
      <w:tr w:rsidR="009205C0" w:rsidRPr="00D77B31" w14:paraId="4059ED20" w14:textId="77777777" w:rsidTr="008C2B75">
        <w:trPr>
          <w:trHeight w:val="447"/>
        </w:trPr>
        <w:tc>
          <w:tcPr>
            <w:tcW w:w="3969" w:type="dxa"/>
            <w:vAlign w:val="center"/>
          </w:tcPr>
          <w:p w14:paraId="5644BEA3" w14:textId="77777777" w:rsidR="001C2DB4" w:rsidRPr="00D77B31" w:rsidRDefault="009205C0">
            <w:pPr>
              <w:rPr>
                <w:rFonts w:cs="Arial"/>
              </w:rPr>
            </w:pPr>
            <w:r w:rsidRPr="00D77B31">
              <w:rPr>
                <w:rFonts w:cs="Arial"/>
              </w:rPr>
              <w:t>Antenna height (m)</w:t>
            </w:r>
          </w:p>
        </w:tc>
        <w:tc>
          <w:tcPr>
            <w:tcW w:w="5920" w:type="dxa"/>
            <w:gridSpan w:val="2"/>
            <w:vAlign w:val="center"/>
          </w:tcPr>
          <w:p w14:paraId="26525A2B" w14:textId="77777777" w:rsidR="009205C0" w:rsidRPr="00D77B31" w:rsidRDefault="009205C0" w:rsidP="00B91ED5">
            <w:pPr>
              <w:jc w:val="center"/>
              <w:rPr>
                <w:rFonts w:cs="Arial"/>
              </w:rPr>
            </w:pPr>
            <w:r w:rsidRPr="00D77B31">
              <w:rPr>
                <w:rFonts w:cs="Arial"/>
              </w:rPr>
              <w:t>10</w:t>
            </w:r>
          </w:p>
        </w:tc>
      </w:tr>
      <w:tr w:rsidR="009205C0" w:rsidRPr="00D77B31" w14:paraId="073912B5" w14:textId="77777777" w:rsidTr="008C2B75">
        <w:trPr>
          <w:trHeight w:val="447"/>
        </w:trPr>
        <w:tc>
          <w:tcPr>
            <w:tcW w:w="3969" w:type="dxa"/>
            <w:vAlign w:val="center"/>
          </w:tcPr>
          <w:p w14:paraId="54EAC5BB" w14:textId="77777777" w:rsidR="001C2DB4" w:rsidRPr="00D77B31" w:rsidRDefault="00FE13E2">
            <w:pPr>
              <w:rPr>
                <w:rFonts w:cs="Arial"/>
              </w:rPr>
            </w:pPr>
            <w:r w:rsidRPr="00D77B31">
              <w:rPr>
                <w:rFonts w:cs="Arial"/>
              </w:rPr>
              <w:t>EIRP</w:t>
            </w:r>
            <w:r w:rsidR="009205C0" w:rsidRPr="00D77B31">
              <w:rPr>
                <w:rFonts w:cs="Arial"/>
              </w:rPr>
              <w:t xml:space="preserve"> (dBm</w:t>
            </w:r>
            <w:r w:rsidRPr="00D77B31">
              <w:rPr>
                <w:rFonts w:cs="Arial"/>
              </w:rPr>
              <w:t>/8 MHz</w:t>
            </w:r>
            <w:r w:rsidR="009205C0" w:rsidRPr="00D77B31">
              <w:rPr>
                <w:rFonts w:cs="Arial"/>
              </w:rPr>
              <w:t>)</w:t>
            </w:r>
          </w:p>
        </w:tc>
        <w:tc>
          <w:tcPr>
            <w:tcW w:w="5920" w:type="dxa"/>
            <w:gridSpan w:val="2"/>
            <w:vAlign w:val="center"/>
          </w:tcPr>
          <w:p w14:paraId="4DB0805B" w14:textId="77777777" w:rsidR="009205C0" w:rsidRPr="00D77B31" w:rsidRDefault="009205C0" w:rsidP="00AC231A">
            <w:pPr>
              <w:jc w:val="center"/>
              <w:rPr>
                <w:rFonts w:cs="Arial"/>
              </w:rPr>
            </w:pPr>
            <w:r w:rsidRPr="00D77B31">
              <w:rPr>
                <w:rFonts w:cs="Arial"/>
              </w:rPr>
              <w:t>62.5</w:t>
            </w:r>
          </w:p>
        </w:tc>
      </w:tr>
      <w:tr w:rsidR="00F258DE" w:rsidRPr="00D77B31" w14:paraId="7766555A" w14:textId="77777777" w:rsidTr="00920D39">
        <w:trPr>
          <w:trHeight w:val="447"/>
        </w:trPr>
        <w:tc>
          <w:tcPr>
            <w:tcW w:w="3969" w:type="dxa"/>
            <w:vAlign w:val="center"/>
          </w:tcPr>
          <w:p w14:paraId="0FFED79D" w14:textId="304FEF29" w:rsidR="00F258DE" w:rsidRPr="00D77B31" w:rsidRDefault="00F258DE" w:rsidP="00920D39">
            <w:pPr>
              <w:rPr>
                <w:rFonts w:cs="Arial"/>
              </w:rPr>
            </w:pPr>
            <w:r w:rsidRPr="00D77B31">
              <w:rPr>
                <w:rFonts w:eastAsia="Calibri" w:cs="Arial"/>
              </w:rPr>
              <w:t>Antenna Type</w:t>
            </w:r>
          </w:p>
        </w:tc>
        <w:tc>
          <w:tcPr>
            <w:tcW w:w="5920" w:type="dxa"/>
            <w:gridSpan w:val="2"/>
            <w:vAlign w:val="center"/>
          </w:tcPr>
          <w:p w14:paraId="3EA2676B" w14:textId="50B3A74C" w:rsidR="00F258DE" w:rsidRPr="00D77B31" w:rsidRDefault="00F258DE" w:rsidP="00AC231A">
            <w:pPr>
              <w:jc w:val="center"/>
              <w:rPr>
                <w:rFonts w:cs="Arial"/>
              </w:rPr>
            </w:pPr>
            <w:r w:rsidRPr="00D77B31">
              <w:rPr>
                <w:rFonts w:eastAsia="Calibri" w:cs="Arial"/>
              </w:rPr>
              <w:t>Parabolic</w:t>
            </w:r>
          </w:p>
        </w:tc>
      </w:tr>
      <w:tr w:rsidR="00F258DE" w:rsidRPr="00D77B31" w14:paraId="411A209E" w14:textId="77777777" w:rsidTr="00920D39">
        <w:trPr>
          <w:trHeight w:val="447"/>
        </w:trPr>
        <w:tc>
          <w:tcPr>
            <w:tcW w:w="3969" w:type="dxa"/>
            <w:vAlign w:val="center"/>
          </w:tcPr>
          <w:p w14:paraId="47708B9D" w14:textId="0596BBDC" w:rsidR="00F258DE" w:rsidRPr="00D77B31" w:rsidRDefault="00F258DE" w:rsidP="00920D39">
            <w:pPr>
              <w:rPr>
                <w:rFonts w:cs="Arial"/>
              </w:rPr>
            </w:pPr>
            <w:r w:rsidRPr="00D77B31">
              <w:rPr>
                <w:rFonts w:eastAsia="Calibri" w:cs="Arial"/>
              </w:rPr>
              <w:t>DVB-T transmission mode</w:t>
            </w:r>
          </w:p>
        </w:tc>
        <w:tc>
          <w:tcPr>
            <w:tcW w:w="5920" w:type="dxa"/>
            <w:gridSpan w:val="2"/>
            <w:vAlign w:val="center"/>
          </w:tcPr>
          <w:p w14:paraId="43A8E305" w14:textId="2F1E0F6D" w:rsidR="00F258DE" w:rsidRPr="00D77B31" w:rsidRDefault="00F258DE" w:rsidP="00AC231A">
            <w:pPr>
              <w:jc w:val="center"/>
              <w:rPr>
                <w:rFonts w:cs="Arial"/>
              </w:rPr>
            </w:pPr>
            <w:r w:rsidRPr="00D77B31">
              <w:rPr>
                <w:rFonts w:eastAsia="Calibri" w:cs="Arial"/>
              </w:rPr>
              <w:t>8K</w:t>
            </w:r>
          </w:p>
        </w:tc>
      </w:tr>
      <w:tr w:rsidR="00F258DE" w:rsidRPr="00D77B31" w14:paraId="7DFE6B9B" w14:textId="77777777" w:rsidTr="00920D39">
        <w:trPr>
          <w:trHeight w:val="447"/>
        </w:trPr>
        <w:tc>
          <w:tcPr>
            <w:tcW w:w="3969" w:type="dxa"/>
            <w:vAlign w:val="center"/>
          </w:tcPr>
          <w:p w14:paraId="51A98A12" w14:textId="0D9B9B5D" w:rsidR="00F258DE" w:rsidRPr="00D77B31" w:rsidRDefault="00F258DE" w:rsidP="00920D39">
            <w:pPr>
              <w:rPr>
                <w:rFonts w:cs="Arial"/>
              </w:rPr>
            </w:pPr>
            <w:r w:rsidRPr="00D77B31">
              <w:rPr>
                <w:rFonts w:eastAsia="Calibri" w:cs="Arial"/>
              </w:rPr>
              <w:t>Spectrum Mask</w:t>
            </w:r>
          </w:p>
        </w:tc>
        <w:tc>
          <w:tcPr>
            <w:tcW w:w="5920" w:type="dxa"/>
            <w:gridSpan w:val="2"/>
            <w:vAlign w:val="center"/>
          </w:tcPr>
          <w:p w14:paraId="7022B173" w14:textId="2816EE9D" w:rsidR="00F258DE" w:rsidRPr="00D77B31" w:rsidRDefault="00F258DE" w:rsidP="00AC231A">
            <w:pPr>
              <w:jc w:val="center"/>
              <w:rPr>
                <w:rFonts w:cs="Arial"/>
              </w:rPr>
            </w:pPr>
            <w:r w:rsidRPr="00D77B31">
              <w:rPr>
                <w:rFonts w:eastAsia="Calibri" w:cs="Arial"/>
              </w:rPr>
              <w:t>ETSI EN 300 744</w:t>
            </w:r>
          </w:p>
        </w:tc>
      </w:tr>
      <w:tr w:rsidR="009205C0" w:rsidRPr="00D77B31" w14:paraId="1BED49A5" w14:textId="77777777" w:rsidTr="00B91ED5">
        <w:trPr>
          <w:trHeight w:val="447"/>
        </w:trPr>
        <w:tc>
          <w:tcPr>
            <w:tcW w:w="9889" w:type="dxa"/>
            <w:gridSpan w:val="3"/>
            <w:shd w:val="pct12" w:color="auto" w:fill="auto"/>
          </w:tcPr>
          <w:p w14:paraId="338F4F98" w14:textId="77777777" w:rsidR="009205C0" w:rsidRPr="00D77B31" w:rsidRDefault="009205C0" w:rsidP="00B91ED5">
            <w:pPr>
              <w:jc w:val="center"/>
              <w:rPr>
                <w:rFonts w:cs="Arial"/>
              </w:rPr>
            </w:pPr>
            <w:r w:rsidRPr="00D77B31">
              <w:rPr>
                <w:rFonts w:cs="Arial"/>
                <w:b/>
              </w:rPr>
              <w:t>Low pow</w:t>
            </w:r>
            <w:r w:rsidR="009C6E48" w:rsidRPr="00D77B31">
              <w:rPr>
                <w:rFonts w:cs="Arial"/>
                <w:b/>
              </w:rPr>
              <w:t>er TOB transmitter parameters (W</w:t>
            </w:r>
            <w:r w:rsidRPr="00D77B31">
              <w:rPr>
                <w:rFonts w:cs="Arial"/>
                <w:b/>
              </w:rPr>
              <w:t>ireless camera)</w:t>
            </w:r>
            <w:r w:rsidR="00AC231A" w:rsidRPr="00D77B31">
              <w:rPr>
                <w:rFonts w:cs="Arial"/>
                <w:b/>
              </w:rPr>
              <w:t>*</w:t>
            </w:r>
          </w:p>
        </w:tc>
      </w:tr>
      <w:tr w:rsidR="009205C0" w:rsidRPr="00D77B31" w14:paraId="7D690BDB" w14:textId="77777777" w:rsidTr="008C2B75">
        <w:trPr>
          <w:trHeight w:val="447"/>
        </w:trPr>
        <w:tc>
          <w:tcPr>
            <w:tcW w:w="3969" w:type="dxa"/>
            <w:vAlign w:val="center"/>
          </w:tcPr>
          <w:p w14:paraId="792F0718" w14:textId="77777777" w:rsidR="001C2DB4" w:rsidRPr="00D77B31" w:rsidRDefault="009205C0">
            <w:pPr>
              <w:rPr>
                <w:rFonts w:cs="Arial"/>
              </w:rPr>
            </w:pPr>
            <w:r w:rsidRPr="00D77B31">
              <w:rPr>
                <w:rFonts w:cs="Arial"/>
              </w:rPr>
              <w:t>Transmitter’s antenna gain (</w:t>
            </w:r>
            <w:proofErr w:type="spellStart"/>
            <w:r w:rsidRPr="00D77B31">
              <w:rPr>
                <w:rFonts w:cs="Arial"/>
              </w:rPr>
              <w:t>dBi</w:t>
            </w:r>
            <w:proofErr w:type="spellEnd"/>
            <w:r w:rsidRPr="00D77B31">
              <w:rPr>
                <w:rFonts w:cs="Arial"/>
              </w:rPr>
              <w:t>)</w:t>
            </w:r>
          </w:p>
        </w:tc>
        <w:tc>
          <w:tcPr>
            <w:tcW w:w="5920" w:type="dxa"/>
            <w:gridSpan w:val="2"/>
            <w:vAlign w:val="center"/>
          </w:tcPr>
          <w:p w14:paraId="1C3020DA" w14:textId="77777777" w:rsidR="009205C0" w:rsidRPr="00D77B31" w:rsidRDefault="009205C0" w:rsidP="00B91ED5">
            <w:pPr>
              <w:jc w:val="center"/>
              <w:rPr>
                <w:rFonts w:cs="Arial"/>
              </w:rPr>
            </w:pPr>
            <w:r w:rsidRPr="00D77B31">
              <w:rPr>
                <w:rFonts w:cs="Arial"/>
              </w:rPr>
              <w:t>3</w:t>
            </w:r>
          </w:p>
        </w:tc>
      </w:tr>
      <w:tr w:rsidR="009205C0" w:rsidRPr="00D77B31" w14:paraId="0C717864" w14:textId="77777777" w:rsidTr="008C2B75">
        <w:trPr>
          <w:trHeight w:val="447"/>
        </w:trPr>
        <w:tc>
          <w:tcPr>
            <w:tcW w:w="3969" w:type="dxa"/>
            <w:vAlign w:val="center"/>
          </w:tcPr>
          <w:p w14:paraId="41F8C765" w14:textId="77777777" w:rsidR="001C2DB4" w:rsidRPr="00D77B31" w:rsidRDefault="009205C0">
            <w:pPr>
              <w:rPr>
                <w:rFonts w:cs="Arial"/>
              </w:rPr>
            </w:pPr>
            <w:r w:rsidRPr="00D77B31">
              <w:rPr>
                <w:rFonts w:cs="Arial"/>
              </w:rPr>
              <w:t>Antenna height (m)</w:t>
            </w:r>
          </w:p>
        </w:tc>
        <w:tc>
          <w:tcPr>
            <w:tcW w:w="5920" w:type="dxa"/>
            <w:gridSpan w:val="2"/>
            <w:vAlign w:val="center"/>
          </w:tcPr>
          <w:p w14:paraId="00064AD5" w14:textId="77777777" w:rsidR="009205C0" w:rsidRPr="00D77B31" w:rsidRDefault="009205C0" w:rsidP="00B91ED5">
            <w:pPr>
              <w:jc w:val="center"/>
              <w:rPr>
                <w:rFonts w:cs="Arial"/>
              </w:rPr>
            </w:pPr>
            <w:r w:rsidRPr="00D77B31">
              <w:rPr>
                <w:rFonts w:cs="Arial"/>
              </w:rPr>
              <w:t>2</w:t>
            </w:r>
          </w:p>
        </w:tc>
      </w:tr>
      <w:tr w:rsidR="000A554B" w:rsidRPr="00D77B31" w14:paraId="46ED5174" w14:textId="77777777" w:rsidTr="008C2B75">
        <w:trPr>
          <w:trHeight w:val="447"/>
        </w:trPr>
        <w:tc>
          <w:tcPr>
            <w:tcW w:w="3969" w:type="dxa"/>
            <w:vAlign w:val="center"/>
          </w:tcPr>
          <w:p w14:paraId="782451D8" w14:textId="77777777" w:rsidR="001C2DB4" w:rsidRPr="00D77B31" w:rsidRDefault="000A554B">
            <w:pPr>
              <w:rPr>
                <w:rFonts w:cs="Arial"/>
              </w:rPr>
            </w:pPr>
            <w:r w:rsidRPr="00D77B31">
              <w:rPr>
                <w:rFonts w:cs="Arial"/>
              </w:rPr>
              <w:lastRenderedPageBreak/>
              <w:t>Effective antenna pattern</w:t>
            </w:r>
          </w:p>
        </w:tc>
        <w:tc>
          <w:tcPr>
            <w:tcW w:w="5920" w:type="dxa"/>
            <w:gridSpan w:val="2"/>
            <w:vAlign w:val="center"/>
          </w:tcPr>
          <w:p w14:paraId="2464B7D6" w14:textId="77777777" w:rsidR="000A554B" w:rsidRPr="00D77B31" w:rsidRDefault="000A554B" w:rsidP="00B91ED5">
            <w:pPr>
              <w:jc w:val="center"/>
              <w:rPr>
                <w:rFonts w:cs="Arial"/>
              </w:rPr>
            </w:pPr>
            <w:r w:rsidRPr="00D77B31">
              <w:rPr>
                <w:rFonts w:cs="Arial"/>
              </w:rPr>
              <w:t>Omni-directional</w:t>
            </w:r>
          </w:p>
        </w:tc>
      </w:tr>
      <w:tr w:rsidR="009205C0" w:rsidRPr="00D77B31" w14:paraId="17B34B55" w14:textId="77777777" w:rsidTr="008C2B75">
        <w:trPr>
          <w:trHeight w:val="447"/>
        </w:trPr>
        <w:tc>
          <w:tcPr>
            <w:tcW w:w="3969" w:type="dxa"/>
            <w:vAlign w:val="center"/>
          </w:tcPr>
          <w:p w14:paraId="195A9846" w14:textId="77777777" w:rsidR="001C2DB4" w:rsidRPr="00D77B31" w:rsidRDefault="00FE13E2">
            <w:pPr>
              <w:rPr>
                <w:rFonts w:cs="Arial"/>
              </w:rPr>
            </w:pPr>
            <w:r w:rsidRPr="00D77B31">
              <w:rPr>
                <w:rFonts w:cs="Arial"/>
              </w:rPr>
              <w:t>EIRP</w:t>
            </w:r>
            <w:r w:rsidR="009205C0" w:rsidRPr="00D77B31">
              <w:rPr>
                <w:rFonts w:cs="Arial"/>
              </w:rPr>
              <w:t xml:space="preserve"> (dBm</w:t>
            </w:r>
            <w:r w:rsidRPr="00D77B31">
              <w:rPr>
                <w:rFonts w:cs="Arial"/>
              </w:rPr>
              <w:t>/8 MHz</w:t>
            </w:r>
            <w:r w:rsidR="009205C0" w:rsidRPr="00D77B31">
              <w:rPr>
                <w:rFonts w:cs="Arial"/>
              </w:rPr>
              <w:t>)</w:t>
            </w:r>
          </w:p>
        </w:tc>
        <w:tc>
          <w:tcPr>
            <w:tcW w:w="5920" w:type="dxa"/>
            <w:gridSpan w:val="2"/>
            <w:vAlign w:val="center"/>
          </w:tcPr>
          <w:p w14:paraId="439073B2" w14:textId="77777777" w:rsidR="009205C0" w:rsidRPr="00D77B31" w:rsidRDefault="009205C0" w:rsidP="00B91ED5">
            <w:pPr>
              <w:jc w:val="center"/>
              <w:rPr>
                <w:rFonts w:cs="Arial"/>
              </w:rPr>
            </w:pPr>
            <w:r w:rsidRPr="00D77B31">
              <w:rPr>
                <w:rFonts w:cs="Arial"/>
              </w:rPr>
              <w:t>26</w:t>
            </w:r>
          </w:p>
        </w:tc>
      </w:tr>
    </w:tbl>
    <w:p w14:paraId="2C59F4A6" w14:textId="77777777" w:rsidR="00C915F6" w:rsidRPr="00D77B31" w:rsidRDefault="00C915F6" w:rsidP="00182AE3">
      <w:pPr>
        <w:tabs>
          <w:tab w:val="left" w:pos="5954"/>
        </w:tabs>
        <w:rPr>
          <w:rFonts w:cs="Arial"/>
        </w:rPr>
      </w:pPr>
    </w:p>
    <w:p w14:paraId="545DC349" w14:textId="387E2346" w:rsidR="009205C0" w:rsidRPr="00D77B31" w:rsidRDefault="00AC231A" w:rsidP="00182AE3">
      <w:pPr>
        <w:tabs>
          <w:tab w:val="left" w:pos="5954"/>
        </w:tabs>
        <w:rPr>
          <w:rFonts w:cs="Arial"/>
          <w:sz w:val="20"/>
          <w:szCs w:val="22"/>
        </w:rPr>
      </w:pPr>
      <w:r w:rsidRPr="00D77B31">
        <w:rPr>
          <w:rFonts w:cs="Arial"/>
          <w:sz w:val="20"/>
          <w:szCs w:val="22"/>
        </w:rPr>
        <w:t xml:space="preserve">* For more detailed information on typical TOB systems parameters please refer to recommendation </w:t>
      </w:r>
      <w:hyperlink r:id="rId41" w:history="1">
        <w:r w:rsidRPr="00D77B31">
          <w:rPr>
            <w:rStyle w:val="Hyperlink"/>
            <w:rFonts w:cs="Arial"/>
            <w:sz w:val="20"/>
            <w:szCs w:val="22"/>
          </w:rPr>
          <w:t>ITU-R F.1777</w:t>
        </w:r>
      </w:hyperlink>
      <w:r w:rsidRPr="00D77B31">
        <w:rPr>
          <w:rFonts w:cs="Arial"/>
          <w:sz w:val="20"/>
          <w:szCs w:val="22"/>
        </w:rPr>
        <w:t xml:space="preserve"> </w:t>
      </w:r>
    </w:p>
    <w:p w14:paraId="3BBECA48" w14:textId="77777777" w:rsidR="009B36BC" w:rsidRPr="00D77B31" w:rsidRDefault="009B36BC" w:rsidP="00182AE3">
      <w:pPr>
        <w:tabs>
          <w:tab w:val="left" w:pos="5954"/>
        </w:tabs>
        <w:rPr>
          <w:rFonts w:cs="Arial"/>
        </w:rPr>
      </w:pPr>
    </w:p>
    <w:p w14:paraId="70D84310" w14:textId="3391AA49" w:rsidR="009B36BC" w:rsidRPr="00D77B31" w:rsidRDefault="009B36BC" w:rsidP="00182AE3">
      <w:pPr>
        <w:tabs>
          <w:tab w:val="left" w:pos="5954"/>
        </w:tabs>
        <w:rPr>
          <w:rFonts w:cs="Arial"/>
        </w:rPr>
      </w:pPr>
      <w:r w:rsidRPr="00D77B31">
        <w:rPr>
          <w:rFonts w:cs="Arial"/>
        </w:rPr>
        <w:br w:type="page"/>
      </w:r>
    </w:p>
    <w:p w14:paraId="2C19A555" w14:textId="6AB9B155" w:rsidR="009205C0" w:rsidRPr="00D77B31" w:rsidRDefault="009205C0" w:rsidP="00C915F6">
      <w:pPr>
        <w:pStyle w:val="Heading1"/>
        <w:numPr>
          <w:ilvl w:val="0"/>
          <w:numId w:val="0"/>
        </w:numPr>
      </w:pPr>
      <w:bookmarkStart w:id="344" w:name="_Toc368045575"/>
      <w:bookmarkStart w:id="345" w:name="_Toc111710893"/>
      <w:r w:rsidRPr="00D77B31">
        <w:lastRenderedPageBreak/>
        <w:t>Appendix C: Coordination between a TOB Station and Earth Stations in the band 2200-2300 MHz</w:t>
      </w:r>
      <w:bookmarkEnd w:id="344"/>
      <w:bookmarkEnd w:id="345"/>
    </w:p>
    <w:p w14:paraId="6EE8713D" w14:textId="574BFDA6" w:rsidR="00F0227E" w:rsidRPr="00D77B31" w:rsidRDefault="009205C0" w:rsidP="00C915F6">
      <w:pPr>
        <w:rPr>
          <w:rFonts w:cs="Arial"/>
        </w:rPr>
      </w:pPr>
      <w:bookmarkStart w:id="346" w:name="_Toc433601473"/>
      <w:bookmarkStart w:id="347" w:name="_Toc435867679"/>
      <w:bookmarkStart w:id="348" w:name="_Toc510422868"/>
      <w:bookmarkStart w:id="349" w:name="_Toc512405336"/>
      <w:bookmarkStart w:id="350" w:name="_Toc513974799"/>
      <w:bookmarkStart w:id="351" w:name="_Toc513977665"/>
      <w:bookmarkStart w:id="352" w:name="_Toc514658989"/>
      <w:bookmarkStart w:id="353" w:name="_Toc515879151"/>
      <w:bookmarkStart w:id="354" w:name="_Toc516988330"/>
      <w:bookmarkStart w:id="355" w:name="_Toc517506890"/>
      <w:bookmarkStart w:id="356" w:name="_Toc517508860"/>
      <w:bookmarkStart w:id="357" w:name="_Toc520711900"/>
      <w:bookmarkStart w:id="358" w:name="_Toc520782336"/>
      <w:bookmarkStart w:id="359" w:name="_Toc521378835"/>
      <w:bookmarkStart w:id="360" w:name="_Toc521751704"/>
      <w:bookmarkStart w:id="361" w:name="_Toc526052752"/>
      <w:r w:rsidRPr="00D77B31">
        <w:rPr>
          <w:rFonts w:cs="Arial"/>
        </w:rPr>
        <w:t xml:space="preserve">This </w:t>
      </w:r>
      <w:r w:rsidR="006D6C01" w:rsidRPr="00D77B31">
        <w:rPr>
          <w:rFonts w:cs="Arial"/>
        </w:rPr>
        <w:t>appendix</w:t>
      </w:r>
      <w:r w:rsidRPr="00D77B31">
        <w:rPr>
          <w:rFonts w:cs="Arial"/>
        </w:rPr>
        <w:t xml:space="preserve"> outlines the coordination or restricted areas for TOB operation around </w:t>
      </w:r>
      <w:r w:rsidR="00726125" w:rsidRPr="00D77B31">
        <w:rPr>
          <w:rFonts w:cs="Arial"/>
        </w:rPr>
        <w:t>earth station</w:t>
      </w:r>
      <w:r w:rsidRPr="00D77B31">
        <w:rPr>
          <w:rFonts w:cs="Arial"/>
        </w:rPr>
        <w:t>s identified in section 5.5 of this RALI.</w:t>
      </w:r>
      <w:r w:rsidR="00F0227E" w:rsidRPr="00D77B31">
        <w:rPr>
          <w:rFonts w:cs="Arial"/>
        </w:rPr>
        <w:t xml:space="preserve"> </w:t>
      </w:r>
    </w:p>
    <w:p w14:paraId="365DDD4B" w14:textId="77777777" w:rsidR="009205C0" w:rsidRPr="00D77B31" w:rsidRDefault="00F0227E" w:rsidP="00C915F6">
      <w:pPr>
        <w:rPr>
          <w:rFonts w:cs="Arial"/>
        </w:rPr>
      </w:pPr>
      <w:r w:rsidRPr="00D77B31">
        <w:rPr>
          <w:rFonts w:cs="Arial"/>
        </w:rPr>
        <w:t>The following coordination and restriction areas have been developed using typical TOB receiver and transmitter characteristics as outlined in Appendix B</w:t>
      </w:r>
      <w:r w:rsidR="00E30E8E" w:rsidRPr="00D77B31">
        <w:rPr>
          <w:rFonts w:cs="Arial"/>
        </w:rPr>
        <w:t xml:space="preserve">. </w:t>
      </w:r>
      <w:r w:rsidRPr="00D77B31">
        <w:rPr>
          <w:rFonts w:cs="Arial"/>
        </w:rPr>
        <w:t>Any services wishing to operate outside of these characteristics must coordinate with the earth station using the procedure set out in Appendix 7 of the Radio Regulations of the International Telecommunication Union (ITU).</w:t>
      </w:r>
    </w:p>
    <w:p w14:paraId="65D694FF" w14:textId="27938647" w:rsidR="009205C0" w:rsidRPr="00D77B31" w:rsidRDefault="009205C0" w:rsidP="00C915F6">
      <w:pPr>
        <w:pStyle w:val="Heading2noTOC"/>
      </w:pPr>
      <w:r w:rsidRPr="00D77B31">
        <w:t>C1.0</w:t>
      </w:r>
      <w:bookmarkEnd w:id="346"/>
      <w:bookmarkEnd w:id="347"/>
      <w:bookmarkEnd w:id="348"/>
      <w:bookmarkEnd w:id="349"/>
      <w:bookmarkEnd w:id="350"/>
      <w:bookmarkEnd w:id="351"/>
      <w:bookmarkEnd w:id="352"/>
      <w:bookmarkEnd w:id="353"/>
      <w:bookmarkEnd w:id="354"/>
      <w:bookmarkEnd w:id="355"/>
      <w:bookmarkEnd w:id="356"/>
      <w:bookmarkEnd w:id="357"/>
      <w:bookmarkEnd w:id="358"/>
      <w:bookmarkEnd w:id="359"/>
      <w:bookmarkEnd w:id="360"/>
      <w:bookmarkEnd w:id="361"/>
      <w:r w:rsidR="00C915F6" w:rsidRPr="00D77B31">
        <w:t xml:space="preserve"> </w:t>
      </w:r>
      <w:r w:rsidRPr="00D77B31">
        <w:t xml:space="preserve">Coordination around Tidbinbilla </w:t>
      </w:r>
      <w:r w:rsidR="00726125" w:rsidRPr="00D77B31">
        <w:t>earth station</w:t>
      </w:r>
      <w:r w:rsidRPr="00D77B31">
        <w:t xml:space="preserve"> </w:t>
      </w:r>
    </w:p>
    <w:p w14:paraId="6256499D" w14:textId="2185AD66" w:rsidR="009205C0" w:rsidRPr="00D77B31" w:rsidRDefault="00954438" w:rsidP="009205C0">
      <w:pPr>
        <w:rPr>
          <w:rFonts w:cs="Arial"/>
        </w:rPr>
      </w:pPr>
      <w:r w:rsidRPr="00D77B31">
        <w:rPr>
          <w:rFonts w:cs="Arial"/>
        </w:rPr>
        <w:t>TOB</w:t>
      </w:r>
      <w:r w:rsidR="009205C0" w:rsidRPr="00D77B31">
        <w:rPr>
          <w:rFonts w:cs="Arial"/>
        </w:rPr>
        <w:t xml:space="preserve"> services operating near the Tidbinbilla </w:t>
      </w:r>
      <w:r w:rsidR="00726125" w:rsidRPr="00D77B31">
        <w:rPr>
          <w:rFonts w:cs="Arial"/>
        </w:rPr>
        <w:t>earth station</w:t>
      </w:r>
      <w:r w:rsidR="009205C0" w:rsidRPr="00D77B31">
        <w:rPr>
          <w:rFonts w:cs="Arial"/>
        </w:rPr>
        <w:t xml:space="preserve"> must determine if their operation falls within the coordination area illustrated in</w:t>
      </w:r>
      <w:r w:rsidR="00FF07D6">
        <w:rPr>
          <w:rFonts w:cs="Arial"/>
        </w:rPr>
        <w:t xml:space="preserve"> </w:t>
      </w:r>
      <w:r w:rsidR="00445675">
        <w:rPr>
          <w:rFonts w:cs="Arial"/>
        </w:rPr>
        <w:fldChar w:fldCharType="begin"/>
      </w:r>
      <w:r w:rsidR="00445675">
        <w:rPr>
          <w:rFonts w:cs="Arial"/>
        </w:rPr>
        <w:instrText xml:space="preserve"> REF _Ref111026504 \r \h </w:instrText>
      </w:r>
      <w:r w:rsidR="00445675">
        <w:rPr>
          <w:rFonts w:cs="Arial"/>
        </w:rPr>
      </w:r>
      <w:r w:rsidR="00445675">
        <w:rPr>
          <w:rFonts w:cs="Arial"/>
        </w:rPr>
        <w:fldChar w:fldCharType="separate"/>
      </w:r>
      <w:r w:rsidR="003F79BE">
        <w:rPr>
          <w:rFonts w:cs="Arial"/>
        </w:rPr>
        <w:t>Figure 5</w:t>
      </w:r>
      <w:r w:rsidR="00445675">
        <w:rPr>
          <w:rFonts w:cs="Arial"/>
        </w:rPr>
        <w:fldChar w:fldCharType="end"/>
      </w:r>
      <w:r w:rsidR="00E30E8E" w:rsidRPr="00D77B31">
        <w:rPr>
          <w:rFonts w:cs="Arial"/>
        </w:rPr>
        <w:t xml:space="preserve">. </w:t>
      </w:r>
      <w:r w:rsidR="009205C0" w:rsidRPr="00D77B31">
        <w:rPr>
          <w:rFonts w:cs="Arial"/>
        </w:rPr>
        <w:t xml:space="preserve">The blue area in </w:t>
      </w:r>
      <w:r w:rsidR="00445675">
        <w:rPr>
          <w:rFonts w:cs="Arial"/>
        </w:rPr>
        <w:fldChar w:fldCharType="begin"/>
      </w:r>
      <w:r w:rsidR="00445675">
        <w:rPr>
          <w:rFonts w:cs="Arial"/>
        </w:rPr>
        <w:instrText xml:space="preserve"> REF _Ref111026504 \r \h </w:instrText>
      </w:r>
      <w:r w:rsidR="00445675">
        <w:rPr>
          <w:rFonts w:cs="Arial"/>
        </w:rPr>
      </w:r>
      <w:r w:rsidR="00445675">
        <w:rPr>
          <w:rFonts w:cs="Arial"/>
        </w:rPr>
        <w:fldChar w:fldCharType="separate"/>
      </w:r>
      <w:r w:rsidR="003F79BE">
        <w:rPr>
          <w:rFonts w:cs="Arial"/>
        </w:rPr>
        <w:t>Figure 5</w:t>
      </w:r>
      <w:r w:rsidR="00445675">
        <w:rPr>
          <w:rFonts w:cs="Arial"/>
        </w:rPr>
        <w:fldChar w:fldCharType="end"/>
      </w:r>
      <w:r w:rsidR="00445675">
        <w:rPr>
          <w:rFonts w:cs="Arial"/>
        </w:rPr>
        <w:t xml:space="preserve"> </w:t>
      </w:r>
      <w:r w:rsidR="009205C0" w:rsidRPr="00D77B31">
        <w:rPr>
          <w:rFonts w:cs="Arial"/>
        </w:rPr>
        <w:t xml:space="preserve">indicates the coordination area for </w:t>
      </w:r>
      <w:r w:rsidRPr="00D77B31">
        <w:rPr>
          <w:rFonts w:cs="Arial"/>
        </w:rPr>
        <w:t>TOB</w:t>
      </w:r>
      <w:r w:rsidR="009205C0" w:rsidRPr="00D77B31">
        <w:rPr>
          <w:rFonts w:cs="Arial"/>
        </w:rPr>
        <w:t xml:space="preserve"> news vans and the hashed area where TOB wireless cameras need coordination</w:t>
      </w:r>
      <w:r w:rsidR="00E30E8E" w:rsidRPr="00D77B31">
        <w:rPr>
          <w:rFonts w:cs="Arial"/>
        </w:rPr>
        <w:t>.</w:t>
      </w:r>
    </w:p>
    <w:p w14:paraId="411273F9" w14:textId="77777777" w:rsidR="0018141D" w:rsidRPr="00D77B31" w:rsidRDefault="0018141D" w:rsidP="009205C0">
      <w:pPr>
        <w:rPr>
          <w:rFonts w:cs="Arial"/>
        </w:rPr>
      </w:pPr>
      <w:r w:rsidRPr="00D77B31">
        <w:rPr>
          <w:rFonts w:cs="Arial"/>
        </w:rPr>
        <w:t xml:space="preserve">The coordination area for TOB wireless cameras is based on the power and height restrictions of 23dBm/8MHz and 2m respectively. The coordination area for TOB news vans is based on the power and height restrictions of </w:t>
      </w:r>
      <w:r w:rsidR="00B9436B" w:rsidRPr="00D77B31">
        <w:rPr>
          <w:rFonts w:cs="Arial"/>
        </w:rPr>
        <w:t>56 dBm/8MHz and 10m respectively.</w:t>
      </w:r>
    </w:p>
    <w:p w14:paraId="73F06B42" w14:textId="5A29C066" w:rsidR="009205C0" w:rsidRPr="00D77B31" w:rsidRDefault="009205C0" w:rsidP="009205C0">
      <w:pPr>
        <w:rPr>
          <w:rFonts w:cs="Arial"/>
        </w:rPr>
      </w:pPr>
      <w:r w:rsidRPr="00D77B31">
        <w:rPr>
          <w:rFonts w:cs="Arial"/>
        </w:rPr>
        <w:t xml:space="preserve">If a TOB </w:t>
      </w:r>
      <w:r w:rsidR="00244EE3" w:rsidRPr="00D77B31">
        <w:rPr>
          <w:rFonts w:cs="Arial"/>
        </w:rPr>
        <w:t xml:space="preserve">operation </w:t>
      </w:r>
      <w:r w:rsidRPr="00D77B31">
        <w:rPr>
          <w:rFonts w:cs="Arial"/>
        </w:rPr>
        <w:t>falls outside of their respective coordination areas</w:t>
      </w:r>
      <w:r w:rsidR="00B9436B" w:rsidRPr="00D77B31">
        <w:rPr>
          <w:rFonts w:cs="Arial"/>
        </w:rPr>
        <w:t xml:space="preserve"> and are operating at or below the afore mentioned power and height levels</w:t>
      </w:r>
      <w:r w:rsidRPr="00D77B31">
        <w:rPr>
          <w:rFonts w:cs="Arial"/>
        </w:rPr>
        <w:t xml:space="preserve"> then no coordination with the Tidbinbilla </w:t>
      </w:r>
      <w:r w:rsidR="00726125" w:rsidRPr="00D77B31">
        <w:rPr>
          <w:rFonts w:cs="Arial"/>
        </w:rPr>
        <w:t>earth station</w:t>
      </w:r>
      <w:r w:rsidRPr="00D77B31">
        <w:rPr>
          <w:rFonts w:cs="Arial"/>
        </w:rPr>
        <w:t xml:space="preserve"> is required.</w:t>
      </w:r>
    </w:p>
    <w:p w14:paraId="333C1641" w14:textId="00992A3F" w:rsidR="00B9436B" w:rsidRPr="00D77B31" w:rsidRDefault="00B9436B" w:rsidP="00B9436B">
      <w:pPr>
        <w:rPr>
          <w:rFonts w:cs="Arial"/>
        </w:rPr>
      </w:pPr>
      <w:r w:rsidRPr="00D77B31">
        <w:rPr>
          <w:rFonts w:cs="Arial"/>
        </w:rPr>
        <w:t>If a TOB transmitter operates above the</w:t>
      </w:r>
      <w:r w:rsidR="00C22604" w:rsidRPr="00D77B31">
        <w:rPr>
          <w:rFonts w:cs="Arial"/>
        </w:rPr>
        <w:t>se</w:t>
      </w:r>
      <w:r w:rsidRPr="00D77B31">
        <w:rPr>
          <w:rFonts w:cs="Arial"/>
        </w:rPr>
        <w:t xml:space="preserve"> power and height levels they</w:t>
      </w:r>
      <w:r w:rsidR="00C22604" w:rsidRPr="00D77B31">
        <w:rPr>
          <w:rFonts w:cs="Arial"/>
        </w:rPr>
        <w:t xml:space="preserve"> will</w:t>
      </w:r>
      <w:r w:rsidRPr="00D77B31">
        <w:rPr>
          <w:rFonts w:cs="Arial"/>
        </w:rPr>
        <w:t xml:space="preserve"> need to coordinate usage with</w:t>
      </w:r>
      <w:r w:rsidR="00C22604" w:rsidRPr="00D77B31">
        <w:rPr>
          <w:rFonts w:cs="Arial"/>
        </w:rPr>
        <w:t xml:space="preserve"> the</w:t>
      </w:r>
      <w:r w:rsidRPr="00D77B31">
        <w:rPr>
          <w:rFonts w:cs="Arial"/>
        </w:rPr>
        <w:t xml:space="preserve"> Tidbinbilla </w:t>
      </w:r>
      <w:r w:rsidR="00726125" w:rsidRPr="00D77B31">
        <w:rPr>
          <w:rFonts w:cs="Arial"/>
        </w:rPr>
        <w:t>earth station</w:t>
      </w:r>
      <w:r w:rsidRPr="00D77B31">
        <w:rPr>
          <w:rFonts w:cs="Arial"/>
        </w:rPr>
        <w:t>.</w:t>
      </w:r>
    </w:p>
    <w:p w14:paraId="4A23179A" w14:textId="1AFEAF46" w:rsidR="009205C0" w:rsidRPr="00D77B31" w:rsidRDefault="009205C0" w:rsidP="009205C0">
      <w:pPr>
        <w:rPr>
          <w:rFonts w:cs="Arial"/>
        </w:rPr>
      </w:pPr>
      <w:r w:rsidRPr="00D77B31">
        <w:rPr>
          <w:rFonts w:cs="Arial"/>
        </w:rPr>
        <w:t xml:space="preserve">TOB services wishing to operate inside the coordination areas surrounding Tidbinbilla </w:t>
      </w:r>
      <w:r w:rsidR="00726125" w:rsidRPr="00D77B31">
        <w:rPr>
          <w:rFonts w:cs="Arial"/>
        </w:rPr>
        <w:t>earth station</w:t>
      </w:r>
      <w:r w:rsidRPr="00D77B31">
        <w:rPr>
          <w:rFonts w:cs="Arial"/>
        </w:rPr>
        <w:t xml:space="preserve"> must coordinate their use by using the procedure set out in Appendix 7 of the Radio Regulations of the ITU. </w:t>
      </w:r>
    </w:p>
    <w:p w14:paraId="12448053" w14:textId="32010DB0" w:rsidR="009205C0" w:rsidRPr="00D77B31" w:rsidRDefault="009205C0" w:rsidP="009205C0">
      <w:pPr>
        <w:rPr>
          <w:rFonts w:cs="Arial"/>
        </w:rPr>
      </w:pPr>
      <w:r w:rsidRPr="00D77B31">
        <w:rPr>
          <w:rFonts w:cs="Arial"/>
        </w:rPr>
        <w:t xml:space="preserve">Assessment is based on the following method of determining the signal level from the proposed transmitter arriving at the location of the </w:t>
      </w:r>
      <w:r w:rsidR="00726125" w:rsidRPr="00D77B31">
        <w:rPr>
          <w:rFonts w:cs="Arial"/>
        </w:rPr>
        <w:t>earth station</w:t>
      </w:r>
      <w:r w:rsidRPr="00D77B31">
        <w:rPr>
          <w:rFonts w:cs="Arial"/>
        </w:rPr>
        <w:t>:</w:t>
      </w:r>
    </w:p>
    <w:p w14:paraId="68FBB024" w14:textId="77777777" w:rsidR="001E3A57" w:rsidRPr="00D77B31" w:rsidRDefault="001E3A57" w:rsidP="009205C0">
      <w:pPr>
        <w:rPr>
          <w:rFonts w:cs="Arial"/>
        </w:rPr>
      </w:pPr>
    </w:p>
    <w:p w14:paraId="1AA13391" w14:textId="77777777" w:rsidR="009205C0" w:rsidRPr="00D77B31" w:rsidRDefault="000B00D8" w:rsidP="00C915F6">
      <w:pPr>
        <w:ind w:left="720"/>
        <w:rPr>
          <w:rFonts w:cs="Arial"/>
          <w:b/>
          <w:bCs/>
        </w:rPr>
      </w:pPr>
      <w:proofErr w:type="spellStart"/>
      <w:r w:rsidRPr="00D77B31">
        <w:rPr>
          <w:rFonts w:cs="Arial"/>
          <w:b/>
          <w:bCs/>
          <w:i/>
        </w:rPr>
        <w:t>PSD</w:t>
      </w:r>
      <w:r w:rsidRPr="00D77B31">
        <w:rPr>
          <w:rFonts w:cs="Arial"/>
          <w:b/>
          <w:bCs/>
          <w:i/>
          <w:vertAlign w:val="subscript"/>
        </w:rPr>
        <w:t>tx</w:t>
      </w:r>
      <w:proofErr w:type="spellEnd"/>
      <w:r w:rsidRPr="00D77B31">
        <w:rPr>
          <w:rFonts w:cs="Arial"/>
          <w:b/>
          <w:bCs/>
          <w:vertAlign w:val="subscript"/>
        </w:rPr>
        <w:t xml:space="preserve"> </w:t>
      </w:r>
      <w:r w:rsidRPr="00D77B31">
        <w:rPr>
          <w:rFonts w:cs="Arial"/>
          <w:b/>
          <w:bCs/>
        </w:rPr>
        <w:t xml:space="preserve">+ </w:t>
      </w:r>
      <w:r w:rsidRPr="00D77B31">
        <w:rPr>
          <w:rFonts w:cs="Arial"/>
          <w:b/>
          <w:bCs/>
          <w:i/>
        </w:rPr>
        <w:t>G</w:t>
      </w:r>
      <w:r w:rsidRPr="00D77B31">
        <w:rPr>
          <w:rFonts w:cs="Arial"/>
          <w:b/>
          <w:bCs/>
          <w:i/>
          <w:vertAlign w:val="subscript"/>
        </w:rPr>
        <w:t>t</w:t>
      </w:r>
      <w:r w:rsidRPr="00D77B31">
        <w:rPr>
          <w:rFonts w:cs="Arial"/>
          <w:b/>
          <w:bCs/>
        </w:rPr>
        <w:t xml:space="preserve"> – </w:t>
      </w:r>
      <w:r w:rsidRPr="00D77B31">
        <w:rPr>
          <w:rFonts w:cs="Arial"/>
          <w:b/>
          <w:bCs/>
          <w:i/>
        </w:rPr>
        <w:t>PL</w:t>
      </w:r>
      <w:r w:rsidRPr="00D77B31">
        <w:rPr>
          <w:rFonts w:cs="Arial"/>
          <w:b/>
          <w:bCs/>
        </w:rPr>
        <w:t>(</w:t>
      </w:r>
      <w:r w:rsidRPr="00D77B31">
        <w:rPr>
          <w:rFonts w:cs="Arial"/>
          <w:b/>
          <w:bCs/>
          <w:i/>
        </w:rPr>
        <w:t>p</w:t>
      </w:r>
      <w:r w:rsidRPr="00D77B31">
        <w:rPr>
          <w:rFonts w:cs="Arial"/>
          <w:b/>
          <w:bCs/>
        </w:rPr>
        <w:t xml:space="preserve">) + </w:t>
      </w:r>
      <w:r w:rsidRPr="00D77B31">
        <w:rPr>
          <w:rFonts w:cs="Arial"/>
          <w:b/>
          <w:bCs/>
          <w:i/>
        </w:rPr>
        <w:t>G</w:t>
      </w:r>
      <w:r w:rsidRPr="00D77B31">
        <w:rPr>
          <w:rFonts w:cs="Arial"/>
          <w:b/>
          <w:bCs/>
          <w:i/>
          <w:vertAlign w:val="subscript"/>
        </w:rPr>
        <w:t>r</w:t>
      </w:r>
      <w:r w:rsidRPr="00D77B31">
        <w:rPr>
          <w:rFonts w:cs="Arial"/>
          <w:b/>
          <w:bCs/>
        </w:rPr>
        <w:t xml:space="preserve"> &lt; </w:t>
      </w:r>
      <w:r w:rsidR="009205C0" w:rsidRPr="00D77B31">
        <w:rPr>
          <w:rFonts w:cs="Arial"/>
          <w:b/>
          <w:bCs/>
        </w:rPr>
        <w:t>Interference Threshold Level</w:t>
      </w:r>
    </w:p>
    <w:p w14:paraId="3543F707" w14:textId="77777777" w:rsidR="009205C0" w:rsidRPr="00D77B31" w:rsidRDefault="009205C0" w:rsidP="009205C0">
      <w:pPr>
        <w:rPr>
          <w:rFonts w:cs="Arial"/>
        </w:rPr>
      </w:pPr>
      <w:r w:rsidRPr="00D77B31">
        <w:rPr>
          <w:rFonts w:cs="Arial"/>
        </w:rPr>
        <w:t>Where:</w:t>
      </w:r>
    </w:p>
    <w:p w14:paraId="0B68879C" w14:textId="77777777" w:rsidR="001E3A57" w:rsidRPr="00D77B31" w:rsidRDefault="009205C0" w:rsidP="009205C0">
      <w:pPr>
        <w:ind w:left="720"/>
        <w:rPr>
          <w:rFonts w:cs="Arial"/>
        </w:rPr>
      </w:pPr>
      <w:proofErr w:type="spellStart"/>
      <w:r w:rsidRPr="00D77B31">
        <w:rPr>
          <w:rFonts w:cs="Arial"/>
          <w:b/>
          <w:i/>
        </w:rPr>
        <w:t>PSD</w:t>
      </w:r>
      <w:r w:rsidRPr="00D77B31">
        <w:rPr>
          <w:rFonts w:cs="Arial"/>
          <w:b/>
          <w:i/>
          <w:vertAlign w:val="subscript"/>
        </w:rPr>
        <w:t>tx</w:t>
      </w:r>
      <w:proofErr w:type="spellEnd"/>
      <w:r w:rsidRPr="00D77B31">
        <w:rPr>
          <w:rFonts w:cs="Arial"/>
          <w:b/>
        </w:rPr>
        <w:t xml:space="preserve"> </w:t>
      </w:r>
      <w:r w:rsidR="00F17101" w:rsidRPr="00D77B31">
        <w:rPr>
          <w:rFonts w:cs="Arial"/>
        </w:rPr>
        <w:t xml:space="preserve">- </w:t>
      </w:r>
      <w:r w:rsidRPr="00D77B31">
        <w:rPr>
          <w:rFonts w:cs="Arial"/>
        </w:rPr>
        <w:t>TOB transmitter power spectral density within the transmitter’s occupied bandwidth (</w:t>
      </w:r>
      <w:proofErr w:type="spellStart"/>
      <w:r w:rsidRPr="00D77B31">
        <w:rPr>
          <w:rFonts w:cs="Arial"/>
        </w:rPr>
        <w:t>dBW</w:t>
      </w:r>
      <w:proofErr w:type="spellEnd"/>
      <w:r w:rsidRPr="00D77B31">
        <w:rPr>
          <w:rFonts w:cs="Arial"/>
        </w:rPr>
        <w:t>/Hz)</w:t>
      </w:r>
    </w:p>
    <w:p w14:paraId="44272AC3" w14:textId="3555668E" w:rsidR="001E3A57" w:rsidRPr="00D77B31" w:rsidRDefault="009205C0" w:rsidP="009205C0">
      <w:pPr>
        <w:ind w:left="720"/>
        <w:rPr>
          <w:rFonts w:cs="Arial"/>
        </w:rPr>
      </w:pPr>
      <w:r w:rsidRPr="00D77B31">
        <w:rPr>
          <w:rFonts w:cs="Arial"/>
          <w:b/>
          <w:i/>
        </w:rPr>
        <w:t>PL</w:t>
      </w:r>
      <w:r w:rsidRPr="00D77B31">
        <w:rPr>
          <w:rFonts w:cs="Arial"/>
          <w:b/>
        </w:rPr>
        <w:t>(</w:t>
      </w:r>
      <w:r w:rsidRPr="00D77B31">
        <w:rPr>
          <w:rFonts w:cs="Arial"/>
          <w:b/>
          <w:i/>
        </w:rPr>
        <w:t>p</w:t>
      </w:r>
      <w:r w:rsidRPr="00D77B31">
        <w:rPr>
          <w:rFonts w:cs="Arial"/>
          <w:b/>
        </w:rPr>
        <w:t>)</w:t>
      </w:r>
      <w:r w:rsidRPr="00D77B31">
        <w:rPr>
          <w:rFonts w:cs="Arial"/>
        </w:rPr>
        <w:t xml:space="preserve"> </w:t>
      </w:r>
      <w:r w:rsidR="00F17101" w:rsidRPr="00D77B31">
        <w:rPr>
          <w:rFonts w:cs="Arial"/>
        </w:rPr>
        <w:t xml:space="preserve">- </w:t>
      </w:r>
      <w:r w:rsidRPr="00D77B31">
        <w:rPr>
          <w:rFonts w:cs="Arial"/>
        </w:rPr>
        <w:t xml:space="preserve">propagation path loss (dB) along the interference path not exceeded for </w:t>
      </w:r>
      <w:r w:rsidRPr="00D77B31">
        <w:rPr>
          <w:rFonts w:cs="Arial"/>
          <w:i/>
        </w:rPr>
        <w:t>p</w:t>
      </w:r>
      <w:r w:rsidRPr="00D77B31">
        <w:rPr>
          <w:rFonts w:cs="Arial"/>
        </w:rPr>
        <w:t xml:space="preserve">% time, where </w:t>
      </w:r>
      <w:r w:rsidRPr="00D77B31">
        <w:rPr>
          <w:rFonts w:cs="Arial"/>
          <w:i/>
        </w:rPr>
        <w:t>p</w:t>
      </w:r>
      <w:r w:rsidRPr="00D77B31">
        <w:rPr>
          <w:rFonts w:cs="Arial"/>
        </w:rPr>
        <w:t xml:space="preserve"> is defined in </w:t>
      </w:r>
      <w:r w:rsidR="008D45F5">
        <w:rPr>
          <w:rFonts w:cs="Arial"/>
        </w:rPr>
        <w:fldChar w:fldCharType="begin"/>
      </w:r>
      <w:r w:rsidR="008D45F5">
        <w:rPr>
          <w:rFonts w:cs="Arial"/>
        </w:rPr>
        <w:instrText xml:space="preserve"> REF _Ref111026563 \r \h </w:instrText>
      </w:r>
      <w:r w:rsidR="008D45F5">
        <w:rPr>
          <w:rFonts w:cs="Arial"/>
        </w:rPr>
      </w:r>
      <w:r w:rsidR="008D45F5">
        <w:rPr>
          <w:rFonts w:cs="Arial"/>
        </w:rPr>
        <w:fldChar w:fldCharType="separate"/>
      </w:r>
      <w:r w:rsidR="003F79BE">
        <w:rPr>
          <w:rFonts w:cs="Arial"/>
        </w:rPr>
        <w:t>Table 4</w:t>
      </w:r>
      <w:r w:rsidR="008D45F5">
        <w:rPr>
          <w:rFonts w:cs="Arial"/>
        </w:rPr>
        <w:fldChar w:fldCharType="end"/>
      </w:r>
      <w:r w:rsidR="008D45F5">
        <w:rPr>
          <w:rFonts w:cs="Arial"/>
        </w:rPr>
        <w:t xml:space="preserve"> </w:t>
      </w:r>
      <w:r w:rsidRPr="00D77B31">
        <w:rPr>
          <w:rFonts w:cs="Arial"/>
          <w:i/>
        </w:rPr>
        <w:t>(over)</w:t>
      </w:r>
    </w:p>
    <w:p w14:paraId="2DA0526F" w14:textId="77777777" w:rsidR="009205C0" w:rsidRPr="00D77B31" w:rsidRDefault="009205C0" w:rsidP="009205C0">
      <w:pPr>
        <w:ind w:firstLine="720"/>
        <w:rPr>
          <w:rFonts w:cs="Arial"/>
        </w:rPr>
      </w:pPr>
      <w:r w:rsidRPr="00D77B31">
        <w:rPr>
          <w:rFonts w:cs="Arial"/>
          <w:b/>
          <w:i/>
        </w:rPr>
        <w:t>G</w:t>
      </w:r>
      <w:r w:rsidRPr="00D77B31">
        <w:rPr>
          <w:rFonts w:cs="Arial"/>
          <w:b/>
          <w:i/>
          <w:vertAlign w:val="subscript"/>
        </w:rPr>
        <w:t>t</w:t>
      </w:r>
      <w:r w:rsidRPr="00D77B31">
        <w:rPr>
          <w:rFonts w:cs="Arial"/>
          <w:b/>
        </w:rPr>
        <w:t xml:space="preserve"> </w:t>
      </w:r>
      <w:r w:rsidR="00F17101" w:rsidRPr="00D77B31">
        <w:rPr>
          <w:rFonts w:cs="Arial"/>
        </w:rPr>
        <w:t xml:space="preserve">- </w:t>
      </w:r>
      <w:r w:rsidRPr="00D77B31">
        <w:rPr>
          <w:rFonts w:cs="Arial"/>
        </w:rPr>
        <w:t>transmit antenna gain in the direction of the interference path (</w:t>
      </w:r>
      <w:proofErr w:type="spellStart"/>
      <w:r w:rsidRPr="00D77B31">
        <w:rPr>
          <w:rFonts w:cs="Arial"/>
        </w:rPr>
        <w:t>dBi</w:t>
      </w:r>
      <w:proofErr w:type="spellEnd"/>
      <w:r w:rsidRPr="00D77B31">
        <w:rPr>
          <w:rFonts w:cs="Arial"/>
        </w:rPr>
        <w:t>)</w:t>
      </w:r>
    </w:p>
    <w:p w14:paraId="7A872CC2" w14:textId="77777777" w:rsidR="005B0BE2" w:rsidRPr="00D77B31" w:rsidRDefault="009205C0" w:rsidP="005B0BE2">
      <w:pPr>
        <w:ind w:left="720"/>
        <w:rPr>
          <w:rFonts w:cs="Arial"/>
        </w:rPr>
      </w:pPr>
      <w:r w:rsidRPr="00D77B31">
        <w:rPr>
          <w:rFonts w:cs="Arial"/>
          <w:b/>
          <w:i/>
        </w:rPr>
        <w:lastRenderedPageBreak/>
        <w:t>G</w:t>
      </w:r>
      <w:r w:rsidRPr="00D77B31">
        <w:rPr>
          <w:rFonts w:cs="Arial"/>
          <w:b/>
          <w:i/>
          <w:vertAlign w:val="subscript"/>
        </w:rPr>
        <w:t>r</w:t>
      </w:r>
      <w:r w:rsidRPr="00D77B31">
        <w:rPr>
          <w:rFonts w:cs="Arial"/>
          <w:b/>
        </w:rPr>
        <w:t xml:space="preserve"> </w:t>
      </w:r>
      <w:r w:rsidR="00F17101" w:rsidRPr="00D77B31">
        <w:rPr>
          <w:rFonts w:cs="Arial"/>
        </w:rPr>
        <w:t xml:space="preserve">- </w:t>
      </w:r>
      <w:r w:rsidRPr="00D77B31">
        <w:rPr>
          <w:rFonts w:cs="Arial"/>
        </w:rPr>
        <w:t>(maximum) receive antenna gain in the direction of the interference path (</w:t>
      </w:r>
      <w:proofErr w:type="spellStart"/>
      <w:r w:rsidRPr="00D77B31">
        <w:rPr>
          <w:rFonts w:cs="Arial"/>
        </w:rPr>
        <w:t>dBi</w:t>
      </w:r>
      <w:proofErr w:type="spellEnd"/>
      <w:r w:rsidRPr="00D77B31">
        <w:rPr>
          <w:rFonts w:cs="Arial"/>
        </w:rPr>
        <w:t>, see);</w:t>
      </w:r>
    </w:p>
    <w:p w14:paraId="2ECD16C6" w14:textId="0EC6EEA2" w:rsidR="00BF6D9C" w:rsidRPr="00D77B31" w:rsidRDefault="00442B4C">
      <w:pPr>
        <w:ind w:left="720"/>
        <w:rPr>
          <w:rFonts w:cs="Arial"/>
        </w:rPr>
      </w:pPr>
      <w:r w:rsidRPr="00D77B31">
        <w:rPr>
          <w:rFonts w:cs="Arial"/>
          <w:b/>
        </w:rPr>
        <w:t xml:space="preserve">Interference Threshold </w:t>
      </w:r>
      <w:r w:rsidR="00382A1D" w:rsidRPr="00D77B31">
        <w:rPr>
          <w:rFonts w:cs="Arial"/>
          <w:b/>
        </w:rPr>
        <w:t>L</w:t>
      </w:r>
      <w:r w:rsidR="009205C0" w:rsidRPr="00D77B31">
        <w:rPr>
          <w:rFonts w:cs="Arial"/>
          <w:b/>
        </w:rPr>
        <w:t>evel</w:t>
      </w:r>
      <w:r w:rsidR="009205C0" w:rsidRPr="00D77B31">
        <w:rPr>
          <w:rFonts w:cs="Arial"/>
        </w:rPr>
        <w:t xml:space="preserve"> </w:t>
      </w:r>
      <w:r w:rsidR="00F17101" w:rsidRPr="00D77B31">
        <w:rPr>
          <w:rFonts w:cs="Arial"/>
        </w:rPr>
        <w:t xml:space="preserve">- </w:t>
      </w:r>
      <w:r w:rsidR="009205C0" w:rsidRPr="00D77B31">
        <w:rPr>
          <w:rFonts w:cs="Arial"/>
        </w:rPr>
        <w:t>maximum permissible unwanted signal PSD (</w:t>
      </w:r>
      <w:proofErr w:type="spellStart"/>
      <w:r w:rsidR="009205C0" w:rsidRPr="00D77B31">
        <w:rPr>
          <w:rFonts w:cs="Arial"/>
        </w:rPr>
        <w:t>dBW</w:t>
      </w:r>
      <w:proofErr w:type="spellEnd"/>
      <w:r w:rsidR="009205C0" w:rsidRPr="00D77B31">
        <w:rPr>
          <w:rFonts w:cs="Arial"/>
        </w:rPr>
        <w:t>/Hz); se</w:t>
      </w:r>
      <w:r w:rsidR="002D2A76">
        <w:rPr>
          <w:rFonts w:cs="Arial"/>
        </w:rPr>
        <w:t xml:space="preserve">e </w:t>
      </w:r>
      <w:r w:rsidR="002D2A76">
        <w:rPr>
          <w:rFonts w:cs="Arial"/>
        </w:rPr>
        <w:fldChar w:fldCharType="begin"/>
      </w:r>
      <w:r w:rsidR="002D2A76">
        <w:rPr>
          <w:rFonts w:cs="Arial"/>
        </w:rPr>
        <w:instrText xml:space="preserve"> REF _Ref111026563 \r \h </w:instrText>
      </w:r>
      <w:r w:rsidR="002D2A76">
        <w:rPr>
          <w:rFonts w:cs="Arial"/>
        </w:rPr>
      </w:r>
      <w:r w:rsidR="002D2A76">
        <w:rPr>
          <w:rFonts w:cs="Arial"/>
        </w:rPr>
        <w:fldChar w:fldCharType="separate"/>
      </w:r>
      <w:r w:rsidR="003F79BE">
        <w:rPr>
          <w:rFonts w:cs="Arial"/>
        </w:rPr>
        <w:t>Table 4</w:t>
      </w:r>
      <w:r w:rsidR="002D2A76">
        <w:rPr>
          <w:rFonts w:cs="Arial"/>
        </w:rPr>
        <w:fldChar w:fldCharType="end"/>
      </w:r>
      <w:r w:rsidR="009C7985">
        <w:rPr>
          <w:rFonts w:cs="Arial"/>
        </w:rPr>
        <w:t>.</w:t>
      </w:r>
    </w:p>
    <w:p w14:paraId="5835158D" w14:textId="77777777" w:rsidR="00BF6D9C" w:rsidRPr="00D77B31" w:rsidRDefault="009205C0" w:rsidP="00437815">
      <w:pPr>
        <w:keepNext/>
        <w:keepLines/>
        <w:rPr>
          <w:rFonts w:cs="Arial"/>
        </w:rPr>
      </w:pPr>
      <w:r w:rsidRPr="00D77B31">
        <w:rPr>
          <w:rFonts w:cs="Arial"/>
        </w:rPr>
        <w:t>Coordination calculations are to use propagation model ITU Recommendation P.452 with the values set out in</w:t>
      </w:r>
      <w:r w:rsidR="00E92C01" w:rsidRPr="00D77B31">
        <w:rPr>
          <w:rFonts w:cs="Arial"/>
        </w:rPr>
        <w:t xml:space="preserve"> Table 4</w:t>
      </w:r>
      <w:r w:rsidR="00E30E8E" w:rsidRPr="00D77B31">
        <w:rPr>
          <w:rFonts w:cs="Arial"/>
        </w:rPr>
        <w:t xml:space="preserve">. </w:t>
      </w:r>
      <w:r w:rsidRPr="00D77B31">
        <w:rPr>
          <w:rFonts w:cs="Arial"/>
        </w:rPr>
        <w:t xml:space="preserve">In particular the new </w:t>
      </w:r>
      <w:r w:rsidR="00954438" w:rsidRPr="00D77B31">
        <w:rPr>
          <w:rFonts w:cs="Arial"/>
        </w:rPr>
        <w:t>TOB</w:t>
      </w:r>
      <w:r w:rsidRPr="00D77B31">
        <w:rPr>
          <w:rFonts w:cs="Arial"/>
        </w:rPr>
        <w:t xml:space="preserve"> service should not excee</w:t>
      </w:r>
      <w:r w:rsidR="00C70B19" w:rsidRPr="00D77B31">
        <w:rPr>
          <w:rFonts w:cs="Arial"/>
        </w:rPr>
        <w:t xml:space="preserve">d an interference threshold of </w:t>
      </w:r>
      <w:r w:rsidR="00C70B19" w:rsidRPr="00D77B31">
        <w:rPr>
          <w:rFonts w:cs="Arial"/>
        </w:rPr>
        <w:noBreakHyphen/>
      </w:r>
      <w:r w:rsidRPr="00D77B31">
        <w:rPr>
          <w:rFonts w:cs="Arial"/>
        </w:rPr>
        <w:t>222</w:t>
      </w:r>
      <w:r w:rsidR="00C70B19" w:rsidRPr="00D77B31">
        <w:rPr>
          <w:rFonts w:cs="Arial"/>
        </w:rPr>
        <w:t> </w:t>
      </w:r>
      <w:proofErr w:type="spellStart"/>
      <w:r w:rsidRPr="00D77B31">
        <w:rPr>
          <w:rFonts w:cs="Arial"/>
        </w:rPr>
        <w:t>dBW</w:t>
      </w:r>
      <w:proofErr w:type="spellEnd"/>
      <w:r w:rsidRPr="00D77B31">
        <w:rPr>
          <w:rFonts w:cs="Arial"/>
        </w:rPr>
        <w:t xml:space="preserve">/Hz (-153 </w:t>
      </w:r>
      <w:proofErr w:type="spellStart"/>
      <w:r w:rsidRPr="00D77B31">
        <w:rPr>
          <w:rFonts w:cs="Arial"/>
        </w:rPr>
        <w:t>dBW</w:t>
      </w:r>
      <w:proofErr w:type="spellEnd"/>
      <w:r w:rsidRPr="00D77B31">
        <w:rPr>
          <w:rFonts w:cs="Arial"/>
        </w:rPr>
        <w:t>/8MHz) for 0.001% of time</w:t>
      </w:r>
      <w:r w:rsidR="00B91ED5" w:rsidRPr="00D77B31">
        <w:rPr>
          <w:rFonts w:cs="Arial"/>
        </w:rPr>
        <w:t xml:space="preserve"> for services operating in 2290-2300 MHz</w:t>
      </w:r>
      <w:r w:rsidRPr="00D77B31">
        <w:rPr>
          <w:rFonts w:cs="Arial"/>
        </w:rPr>
        <w:t>.</w:t>
      </w:r>
      <w:r w:rsidR="001A0BE0" w:rsidRPr="00D77B31">
        <w:rPr>
          <w:rFonts w:cs="Arial"/>
        </w:rPr>
        <w:t>63</w:t>
      </w:r>
    </w:p>
    <w:p w14:paraId="228C78CF" w14:textId="02D76150" w:rsidR="009205C0" w:rsidRPr="00D77B31" w:rsidRDefault="001E3A57" w:rsidP="005B0BE2">
      <w:pPr>
        <w:keepNext/>
        <w:rPr>
          <w:rFonts w:cs="Arial"/>
        </w:rPr>
      </w:pPr>
      <w:r w:rsidRPr="00D77B31">
        <w:rPr>
          <w:rFonts w:cs="Arial"/>
        </w:rPr>
        <w:t>TOB service must not operate i</w:t>
      </w:r>
      <w:r w:rsidR="009205C0" w:rsidRPr="00D77B31">
        <w:rPr>
          <w:rFonts w:cs="Arial"/>
        </w:rPr>
        <w:t xml:space="preserve">n cases where the potential signal level reaching the location of the Tidbinbilla </w:t>
      </w:r>
      <w:r w:rsidR="00726125" w:rsidRPr="00D77B31">
        <w:rPr>
          <w:rFonts w:cs="Arial"/>
        </w:rPr>
        <w:t>earth station</w:t>
      </w:r>
      <w:r w:rsidR="009205C0" w:rsidRPr="00D77B31">
        <w:rPr>
          <w:rFonts w:cs="Arial"/>
        </w:rPr>
        <w:t xml:space="preserve"> is </w:t>
      </w:r>
      <w:r w:rsidRPr="00D77B31">
        <w:rPr>
          <w:rFonts w:cs="Arial"/>
        </w:rPr>
        <w:t>above</w:t>
      </w:r>
      <w:r w:rsidR="009205C0" w:rsidRPr="00D77B31">
        <w:rPr>
          <w:rFonts w:cs="Arial"/>
        </w:rPr>
        <w:t xml:space="preserve"> the interference threshold level.</w:t>
      </w:r>
    </w:p>
    <w:p w14:paraId="698CF389" w14:textId="006282FB" w:rsidR="00844B27" w:rsidRPr="00D77B31" w:rsidRDefault="00844B27" w:rsidP="005B0BE2">
      <w:pPr>
        <w:keepNext/>
        <w:rPr>
          <w:rFonts w:cs="Arial"/>
        </w:rPr>
      </w:pPr>
      <w:r w:rsidRPr="00D77B31">
        <w:rPr>
          <w:rFonts w:cs="Arial"/>
        </w:rPr>
        <w:t>There are 5 small areas in Canberra (within the hashed area o</w:t>
      </w:r>
      <w:r w:rsidR="00A37436" w:rsidRPr="00D77B31">
        <w:rPr>
          <w:rFonts w:cs="Arial"/>
        </w:rPr>
        <w:t>f</w:t>
      </w:r>
      <w:r w:rsidR="00245518" w:rsidRPr="00D77B31">
        <w:rPr>
          <w:rFonts w:cs="Arial"/>
        </w:rPr>
        <w:t xml:space="preserve"> </w:t>
      </w:r>
      <w:r w:rsidR="00615E03" w:rsidRPr="00D77B31">
        <w:rPr>
          <w:rFonts w:cs="Arial"/>
        </w:rPr>
        <w:fldChar w:fldCharType="begin"/>
      </w:r>
      <w:r w:rsidR="00615E03" w:rsidRPr="00D77B31">
        <w:rPr>
          <w:rFonts w:cs="Arial"/>
        </w:rPr>
        <w:instrText xml:space="preserve"> REF _Ref111026504 \r \h </w:instrText>
      </w:r>
      <w:r w:rsidR="00481675" w:rsidRPr="00D77B31">
        <w:rPr>
          <w:rFonts w:cs="Arial"/>
        </w:rPr>
        <w:instrText xml:space="preserve"> \* MERGEFORMAT </w:instrText>
      </w:r>
      <w:r w:rsidR="00615E03" w:rsidRPr="00D77B31">
        <w:rPr>
          <w:rFonts w:cs="Arial"/>
        </w:rPr>
      </w:r>
      <w:r w:rsidR="00615E03" w:rsidRPr="00D77B31">
        <w:rPr>
          <w:rFonts w:cs="Arial"/>
        </w:rPr>
        <w:fldChar w:fldCharType="separate"/>
      </w:r>
      <w:r w:rsidR="003F79BE">
        <w:rPr>
          <w:rFonts w:cs="Arial"/>
        </w:rPr>
        <w:t>Figure 5</w:t>
      </w:r>
      <w:r w:rsidR="00615E03" w:rsidRPr="00D77B31">
        <w:rPr>
          <w:rFonts w:cs="Arial"/>
        </w:rPr>
        <w:fldChar w:fldCharType="end"/>
      </w:r>
      <w:r w:rsidRPr="00D77B31">
        <w:rPr>
          <w:rFonts w:cs="Arial"/>
        </w:rPr>
        <w:t xml:space="preserve">) where coordination has been pre-determined for 100mW and 400mW wireless camera operations. This includes the precincts of Canberra Airport, Manuka Oval and Bruce Stadium. Detailed information on these areas and other pre-determined areas is available from TOB licensees or the CSIRO who manages the Tidbinbilla </w:t>
      </w:r>
      <w:r w:rsidR="00726125" w:rsidRPr="00D77B31">
        <w:rPr>
          <w:rFonts w:cs="Arial"/>
        </w:rPr>
        <w:t>earth station</w:t>
      </w:r>
      <w:r w:rsidRPr="00D77B31">
        <w:rPr>
          <w:rFonts w:cs="Arial"/>
        </w:rPr>
        <w:t xml:space="preserve">. Operation outside these pre-determined areas needs specific coordination with the Tidbinbilla </w:t>
      </w:r>
      <w:r w:rsidR="00726125" w:rsidRPr="00D77B31">
        <w:rPr>
          <w:rFonts w:cs="Arial"/>
        </w:rPr>
        <w:t>earth station</w:t>
      </w:r>
      <w:r w:rsidRPr="00D77B31">
        <w:rPr>
          <w:rFonts w:cs="Arial"/>
        </w:rPr>
        <w:t xml:space="preserve"> using the criteria outlined in this Appendix.</w:t>
      </w:r>
    </w:p>
    <w:p w14:paraId="0D51DAAE" w14:textId="21B8C76A" w:rsidR="00C915F6" w:rsidRPr="00D77B31" w:rsidRDefault="00C915F6" w:rsidP="00C915F6">
      <w:pPr>
        <w:pStyle w:val="ACMAFigureHeader"/>
        <w:rPr>
          <w:rStyle w:val="NoSpacingChar"/>
          <w:rFonts w:ascii="Arial" w:hAnsi="Arial" w:cs="Arial"/>
        </w:rPr>
      </w:pPr>
      <w:bookmarkStart w:id="362" w:name="_Ref111026504"/>
      <w:r w:rsidRPr="00D77B31">
        <w:rPr>
          <w:rStyle w:val="NoSpacingChar"/>
          <w:rFonts w:ascii="Arial" w:hAnsi="Arial" w:cs="Arial"/>
        </w:rPr>
        <w:t xml:space="preserve">Tidbinbilla </w:t>
      </w:r>
      <w:r w:rsidR="00726125" w:rsidRPr="00D77B31">
        <w:rPr>
          <w:rStyle w:val="NoSpacingChar"/>
          <w:rFonts w:ascii="Arial" w:hAnsi="Arial" w:cs="Arial"/>
        </w:rPr>
        <w:t>earth station</w:t>
      </w:r>
      <w:r w:rsidRPr="00D77B31">
        <w:rPr>
          <w:rStyle w:val="NoSpacingChar"/>
          <w:rFonts w:ascii="Arial" w:hAnsi="Arial" w:cs="Arial"/>
        </w:rPr>
        <w:t xml:space="preserve"> coordination area for TOB vans and wireless cameras in the band 2200-2300 MHz</w:t>
      </w:r>
      <w:bookmarkEnd w:id="362"/>
    </w:p>
    <w:p w14:paraId="57542AD3" w14:textId="77777777" w:rsidR="009205C0" w:rsidRPr="00D77B31" w:rsidRDefault="00D05483" w:rsidP="009205C0">
      <w:pPr>
        <w:jc w:val="center"/>
        <w:rPr>
          <w:rFonts w:cs="Arial"/>
        </w:rPr>
      </w:pPr>
      <w:r w:rsidRPr="00D77B31">
        <w:rPr>
          <w:rFonts w:cs="Arial"/>
          <w:noProof/>
        </w:rPr>
        <w:drawing>
          <wp:inline distT="0" distB="0" distL="0" distR="0" wp14:anchorId="3CEAC2A9" wp14:editId="153AB34D">
            <wp:extent cx="5600700" cy="3952875"/>
            <wp:effectExtent l="19050" t="0" r="0" b="0"/>
            <wp:docPr id="5" name="Picture 2" descr="Tidbinbilla coordination zo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Tidbinbilla coordination zone"/>
                    <pic:cNvPicPr>
                      <a:picLocks noChangeAspect="1" noChangeArrowheads="1"/>
                    </pic:cNvPicPr>
                  </pic:nvPicPr>
                  <pic:blipFill>
                    <a:blip r:embed="rId42" cstate="print"/>
                    <a:srcRect/>
                    <a:stretch>
                      <a:fillRect/>
                    </a:stretch>
                  </pic:blipFill>
                  <pic:spPr bwMode="auto">
                    <a:xfrm>
                      <a:off x="0" y="0"/>
                      <a:ext cx="5600700" cy="3952875"/>
                    </a:xfrm>
                    <a:prstGeom prst="rect">
                      <a:avLst/>
                    </a:prstGeom>
                    <a:noFill/>
                    <a:ln w="9525">
                      <a:noFill/>
                      <a:miter lim="800000"/>
                      <a:headEnd/>
                      <a:tailEnd/>
                    </a:ln>
                  </pic:spPr>
                </pic:pic>
              </a:graphicData>
            </a:graphic>
          </wp:inline>
        </w:drawing>
      </w:r>
    </w:p>
    <w:p w14:paraId="202285F3" w14:textId="78A134EE" w:rsidR="009205C0" w:rsidRPr="00D77B31" w:rsidRDefault="009205C0" w:rsidP="00171631">
      <w:pPr>
        <w:pStyle w:val="ACMATableHeader"/>
        <w:keepNext/>
        <w:rPr>
          <w:rFonts w:cs="Arial"/>
        </w:rPr>
      </w:pPr>
      <w:bookmarkStart w:id="363" w:name="_Ref111026563"/>
      <w:r w:rsidRPr="00D77B31">
        <w:rPr>
          <w:rFonts w:cs="Arial"/>
        </w:rPr>
        <w:lastRenderedPageBreak/>
        <w:t xml:space="preserve">Parameters used for coordination calculations around Tidbinbilla </w:t>
      </w:r>
      <w:r w:rsidR="00615E03" w:rsidRPr="00D77B31">
        <w:rPr>
          <w:rFonts w:cs="Arial"/>
        </w:rPr>
        <w:t>e</w:t>
      </w:r>
      <w:r w:rsidRPr="00D77B31">
        <w:rPr>
          <w:rFonts w:cs="Arial"/>
        </w:rPr>
        <w:t>arth station</w:t>
      </w:r>
      <w:bookmarkEnd w:id="363"/>
    </w:p>
    <w:p w14:paraId="0DD979C3" w14:textId="77777777" w:rsidR="0078180B" w:rsidRPr="00D77B31" w:rsidRDefault="0078180B" w:rsidP="0078180B">
      <w:pPr>
        <w:keepNext/>
        <w:keepLines/>
        <w:jc w:val="center"/>
        <w:rPr>
          <w:rFonts w:cs="Arial"/>
        </w:rPr>
      </w:pPr>
    </w:p>
    <w:tbl>
      <w:tblPr>
        <w:tblW w:w="0" w:type="auto"/>
        <w:tblLook w:val="04A0" w:firstRow="1" w:lastRow="0" w:firstColumn="1" w:lastColumn="0" w:noHBand="0" w:noVBand="1"/>
      </w:tblPr>
      <w:tblGrid>
        <w:gridCol w:w="2102"/>
        <w:gridCol w:w="2987"/>
        <w:gridCol w:w="1969"/>
        <w:gridCol w:w="1969"/>
      </w:tblGrid>
      <w:tr w:rsidR="0078180B" w:rsidRPr="00D77B31" w14:paraId="7C76D204" w14:textId="38221DCE" w:rsidTr="0078180B">
        <w:trPr>
          <w:cantSplit/>
        </w:trPr>
        <w:tc>
          <w:tcPr>
            <w:tcW w:w="2128" w:type="dxa"/>
            <w:tcBorders>
              <w:top w:val="single" w:sz="4" w:space="0" w:color="auto"/>
              <w:bottom w:val="single" w:sz="4" w:space="0" w:color="auto"/>
            </w:tcBorders>
            <w:vAlign w:val="center"/>
          </w:tcPr>
          <w:p w14:paraId="67797113" w14:textId="77777777" w:rsidR="0078180B" w:rsidRPr="00D77B31" w:rsidRDefault="0078180B" w:rsidP="009A7B7C">
            <w:pPr>
              <w:keepNext/>
              <w:keepLines/>
              <w:ind w:left="284" w:hanging="284"/>
              <w:jc w:val="center"/>
              <w:rPr>
                <w:rFonts w:cs="Arial"/>
                <w:b/>
                <w:bCs/>
              </w:rPr>
            </w:pPr>
            <w:r w:rsidRPr="00D77B31">
              <w:rPr>
                <w:rFonts w:cs="Arial"/>
                <w:b/>
              </w:rPr>
              <w:t>Earth Station Parameters</w:t>
            </w:r>
          </w:p>
        </w:tc>
        <w:tc>
          <w:tcPr>
            <w:tcW w:w="3069" w:type="dxa"/>
            <w:tcBorders>
              <w:top w:val="single" w:sz="4" w:space="0" w:color="auto"/>
              <w:bottom w:val="single" w:sz="4" w:space="0" w:color="auto"/>
            </w:tcBorders>
            <w:vAlign w:val="center"/>
          </w:tcPr>
          <w:p w14:paraId="38F3CFC7" w14:textId="77777777" w:rsidR="0078180B" w:rsidRPr="00D77B31" w:rsidRDefault="0078180B" w:rsidP="009A7B7C">
            <w:pPr>
              <w:keepNext/>
              <w:keepLines/>
              <w:ind w:left="284" w:hanging="284"/>
              <w:jc w:val="center"/>
              <w:rPr>
                <w:rFonts w:cs="Arial"/>
                <w:b/>
                <w:bCs/>
              </w:rPr>
            </w:pPr>
            <w:r w:rsidRPr="00D77B31">
              <w:rPr>
                <w:rFonts w:cs="Arial"/>
                <w:b/>
              </w:rPr>
              <w:t>Value</w:t>
            </w:r>
          </w:p>
        </w:tc>
        <w:tc>
          <w:tcPr>
            <w:tcW w:w="2079" w:type="dxa"/>
            <w:tcBorders>
              <w:top w:val="single" w:sz="4" w:space="0" w:color="auto"/>
              <w:bottom w:val="single" w:sz="4" w:space="0" w:color="auto"/>
            </w:tcBorders>
          </w:tcPr>
          <w:p w14:paraId="083B5CE4" w14:textId="77777777" w:rsidR="0078180B" w:rsidRPr="00D77B31" w:rsidRDefault="0078180B" w:rsidP="009A7B7C">
            <w:pPr>
              <w:keepNext/>
              <w:keepLines/>
              <w:ind w:left="284" w:hanging="284"/>
              <w:jc w:val="center"/>
              <w:rPr>
                <w:rFonts w:cs="Arial"/>
                <w:b/>
              </w:rPr>
            </w:pPr>
          </w:p>
        </w:tc>
        <w:tc>
          <w:tcPr>
            <w:tcW w:w="2079" w:type="dxa"/>
            <w:tcBorders>
              <w:top w:val="single" w:sz="4" w:space="0" w:color="auto"/>
              <w:bottom w:val="single" w:sz="4" w:space="0" w:color="auto"/>
            </w:tcBorders>
          </w:tcPr>
          <w:p w14:paraId="0FDE4979" w14:textId="020801D8" w:rsidR="0078180B" w:rsidRPr="00D77B31" w:rsidRDefault="0078180B" w:rsidP="009A7B7C">
            <w:pPr>
              <w:keepNext/>
              <w:keepLines/>
              <w:ind w:left="284" w:hanging="284"/>
              <w:jc w:val="center"/>
              <w:rPr>
                <w:rFonts w:cs="Arial"/>
                <w:b/>
              </w:rPr>
            </w:pPr>
          </w:p>
        </w:tc>
      </w:tr>
      <w:tr w:rsidR="0078180B" w:rsidRPr="00D77B31" w14:paraId="62B033B9" w14:textId="5D6B4111" w:rsidTr="0078180B">
        <w:trPr>
          <w:cantSplit/>
        </w:trPr>
        <w:tc>
          <w:tcPr>
            <w:tcW w:w="2128" w:type="dxa"/>
            <w:tcBorders>
              <w:top w:val="single" w:sz="4" w:space="0" w:color="auto"/>
            </w:tcBorders>
            <w:vAlign w:val="center"/>
          </w:tcPr>
          <w:p w14:paraId="7563E3A7" w14:textId="77777777" w:rsidR="0078180B" w:rsidRPr="00D77B31" w:rsidRDefault="0078180B" w:rsidP="009A7B7C">
            <w:pPr>
              <w:keepNext/>
              <w:keepLines/>
              <w:ind w:left="284" w:hanging="284"/>
              <w:rPr>
                <w:rFonts w:cs="Arial"/>
                <w:b/>
                <w:bCs/>
              </w:rPr>
            </w:pPr>
            <w:r w:rsidRPr="00D77B31">
              <w:rPr>
                <w:rFonts w:cs="Arial"/>
              </w:rPr>
              <w:t>Interference threshold (</w:t>
            </w:r>
            <w:proofErr w:type="spellStart"/>
            <w:r w:rsidRPr="00D77B31">
              <w:rPr>
                <w:rFonts w:cs="Arial"/>
              </w:rPr>
              <w:t>I</w:t>
            </w:r>
            <w:r w:rsidRPr="00D77B31">
              <w:rPr>
                <w:rFonts w:cs="Arial"/>
                <w:vertAlign w:val="subscript"/>
              </w:rPr>
              <w:t>th</w:t>
            </w:r>
            <w:proofErr w:type="spellEnd"/>
            <w:r w:rsidRPr="00D77B31">
              <w:rPr>
                <w:rFonts w:cs="Arial"/>
              </w:rPr>
              <w:t>):</w:t>
            </w:r>
          </w:p>
        </w:tc>
        <w:tc>
          <w:tcPr>
            <w:tcW w:w="3069" w:type="dxa"/>
            <w:tcBorders>
              <w:top w:val="single" w:sz="4" w:space="0" w:color="auto"/>
            </w:tcBorders>
            <w:vAlign w:val="center"/>
          </w:tcPr>
          <w:p w14:paraId="142175C8" w14:textId="77777777" w:rsidR="0078180B" w:rsidRPr="00D77B31" w:rsidRDefault="0078180B" w:rsidP="009A7B7C">
            <w:pPr>
              <w:keepNext/>
              <w:keepLines/>
              <w:jc w:val="center"/>
              <w:rPr>
                <w:rFonts w:cs="Arial"/>
                <w:b/>
                <w:bCs/>
              </w:rPr>
            </w:pPr>
          </w:p>
        </w:tc>
        <w:tc>
          <w:tcPr>
            <w:tcW w:w="2079" w:type="dxa"/>
            <w:tcBorders>
              <w:top w:val="single" w:sz="4" w:space="0" w:color="auto"/>
            </w:tcBorders>
          </w:tcPr>
          <w:p w14:paraId="3CF99B96" w14:textId="77777777" w:rsidR="0078180B" w:rsidRPr="00D77B31" w:rsidRDefault="0078180B" w:rsidP="009A7B7C">
            <w:pPr>
              <w:keepNext/>
              <w:keepLines/>
              <w:jc w:val="center"/>
              <w:rPr>
                <w:rFonts w:cs="Arial"/>
                <w:b/>
                <w:bCs/>
              </w:rPr>
            </w:pPr>
          </w:p>
        </w:tc>
        <w:tc>
          <w:tcPr>
            <w:tcW w:w="2079" w:type="dxa"/>
            <w:tcBorders>
              <w:top w:val="single" w:sz="4" w:space="0" w:color="auto"/>
            </w:tcBorders>
          </w:tcPr>
          <w:p w14:paraId="76AC064F" w14:textId="201411BF" w:rsidR="0078180B" w:rsidRPr="00D77B31" w:rsidRDefault="0078180B" w:rsidP="009A7B7C">
            <w:pPr>
              <w:keepNext/>
              <w:keepLines/>
              <w:jc w:val="center"/>
              <w:rPr>
                <w:rFonts w:cs="Arial"/>
                <w:b/>
                <w:bCs/>
              </w:rPr>
            </w:pPr>
          </w:p>
        </w:tc>
      </w:tr>
      <w:tr w:rsidR="0078180B" w:rsidRPr="00D77B31" w14:paraId="54223F1B" w14:textId="4753F357" w:rsidTr="0078180B">
        <w:trPr>
          <w:cantSplit/>
        </w:trPr>
        <w:tc>
          <w:tcPr>
            <w:tcW w:w="2128" w:type="dxa"/>
            <w:vAlign w:val="center"/>
          </w:tcPr>
          <w:p w14:paraId="1CBD37A5" w14:textId="77777777" w:rsidR="0078180B" w:rsidRPr="00D77B31" w:rsidRDefault="0078180B" w:rsidP="009A7B7C">
            <w:pPr>
              <w:keepNext/>
              <w:keepLines/>
              <w:ind w:left="284" w:hanging="284"/>
              <w:jc w:val="center"/>
              <w:rPr>
                <w:rFonts w:cs="Arial"/>
              </w:rPr>
            </w:pPr>
            <w:r w:rsidRPr="00D77B31">
              <w:rPr>
                <w:rFonts w:cs="Arial"/>
              </w:rPr>
              <w:t>(2200-2290 MHz)</w:t>
            </w:r>
          </w:p>
        </w:tc>
        <w:tc>
          <w:tcPr>
            <w:tcW w:w="3069" w:type="dxa"/>
            <w:vAlign w:val="center"/>
          </w:tcPr>
          <w:p w14:paraId="220C7CF3" w14:textId="77777777" w:rsidR="0078180B" w:rsidRPr="00D77B31" w:rsidRDefault="0078180B" w:rsidP="009A7B7C">
            <w:pPr>
              <w:keepNext/>
              <w:keepLines/>
              <w:ind w:left="284" w:hanging="284"/>
              <w:jc w:val="center"/>
              <w:rPr>
                <w:rFonts w:cs="Arial"/>
              </w:rPr>
            </w:pPr>
            <w:r w:rsidRPr="00D77B31">
              <w:rPr>
                <w:rFonts w:cs="Arial"/>
              </w:rPr>
              <w:t xml:space="preserve">-216 </w:t>
            </w:r>
            <w:proofErr w:type="spellStart"/>
            <w:r w:rsidRPr="00D77B31">
              <w:rPr>
                <w:rFonts w:cs="Arial"/>
              </w:rPr>
              <w:t>dBW</w:t>
            </w:r>
            <w:proofErr w:type="spellEnd"/>
            <w:r w:rsidRPr="00D77B31">
              <w:rPr>
                <w:rFonts w:cs="Arial"/>
              </w:rPr>
              <w:t xml:space="preserve">/Hz (-147 </w:t>
            </w:r>
            <w:proofErr w:type="spellStart"/>
            <w:r w:rsidRPr="00D77B31">
              <w:rPr>
                <w:rFonts w:cs="Arial"/>
              </w:rPr>
              <w:t>dBW</w:t>
            </w:r>
            <w:proofErr w:type="spellEnd"/>
            <w:r w:rsidRPr="00D77B31">
              <w:rPr>
                <w:rFonts w:cs="Arial"/>
              </w:rPr>
              <w:t>/8MHz)</w:t>
            </w:r>
          </w:p>
        </w:tc>
        <w:tc>
          <w:tcPr>
            <w:tcW w:w="2079" w:type="dxa"/>
          </w:tcPr>
          <w:p w14:paraId="010EE3A9" w14:textId="77777777" w:rsidR="0078180B" w:rsidRPr="00D77B31" w:rsidRDefault="0078180B" w:rsidP="009A7B7C">
            <w:pPr>
              <w:keepNext/>
              <w:keepLines/>
              <w:ind w:left="284" w:hanging="284"/>
              <w:jc w:val="center"/>
              <w:rPr>
                <w:rFonts w:cs="Arial"/>
              </w:rPr>
            </w:pPr>
          </w:p>
        </w:tc>
        <w:tc>
          <w:tcPr>
            <w:tcW w:w="2079" w:type="dxa"/>
          </w:tcPr>
          <w:p w14:paraId="7AAB38FA" w14:textId="76644DF0" w:rsidR="0078180B" w:rsidRPr="00D77B31" w:rsidRDefault="0078180B" w:rsidP="009A7B7C">
            <w:pPr>
              <w:keepNext/>
              <w:keepLines/>
              <w:ind w:left="284" w:hanging="284"/>
              <w:jc w:val="center"/>
              <w:rPr>
                <w:rFonts w:cs="Arial"/>
              </w:rPr>
            </w:pPr>
          </w:p>
        </w:tc>
      </w:tr>
      <w:tr w:rsidR="0078180B" w:rsidRPr="00D77B31" w14:paraId="4D7F1E28" w14:textId="4878E72A" w:rsidTr="0078180B">
        <w:trPr>
          <w:cantSplit/>
        </w:trPr>
        <w:tc>
          <w:tcPr>
            <w:tcW w:w="2128" w:type="dxa"/>
            <w:vAlign w:val="center"/>
          </w:tcPr>
          <w:p w14:paraId="40DBDDED" w14:textId="77777777" w:rsidR="0078180B" w:rsidRPr="00D77B31" w:rsidRDefault="0078180B" w:rsidP="009A7B7C">
            <w:pPr>
              <w:keepNext/>
              <w:keepLines/>
              <w:ind w:left="284" w:hanging="284"/>
              <w:jc w:val="center"/>
              <w:rPr>
                <w:rFonts w:cs="Arial"/>
              </w:rPr>
            </w:pPr>
            <w:r w:rsidRPr="00D77B31">
              <w:rPr>
                <w:rFonts w:cs="Arial"/>
              </w:rPr>
              <w:t>(2290-2300 MHz)</w:t>
            </w:r>
          </w:p>
        </w:tc>
        <w:tc>
          <w:tcPr>
            <w:tcW w:w="3069" w:type="dxa"/>
            <w:vAlign w:val="center"/>
          </w:tcPr>
          <w:p w14:paraId="4DDDB53F" w14:textId="77777777" w:rsidR="0078180B" w:rsidRPr="00D77B31" w:rsidRDefault="0078180B" w:rsidP="009A7B7C">
            <w:pPr>
              <w:keepNext/>
              <w:keepLines/>
              <w:ind w:left="284" w:hanging="284"/>
              <w:jc w:val="center"/>
              <w:rPr>
                <w:rFonts w:cs="Arial"/>
              </w:rPr>
            </w:pPr>
            <w:r w:rsidRPr="00D77B31">
              <w:rPr>
                <w:rFonts w:cs="Arial"/>
              </w:rPr>
              <w:t xml:space="preserve">-222 </w:t>
            </w:r>
            <w:proofErr w:type="spellStart"/>
            <w:r w:rsidRPr="00D77B31">
              <w:rPr>
                <w:rFonts w:cs="Arial"/>
              </w:rPr>
              <w:t>dBW</w:t>
            </w:r>
            <w:proofErr w:type="spellEnd"/>
            <w:r w:rsidRPr="00D77B31">
              <w:rPr>
                <w:rFonts w:cs="Arial"/>
              </w:rPr>
              <w:t xml:space="preserve">/Hz (-153 </w:t>
            </w:r>
            <w:proofErr w:type="spellStart"/>
            <w:r w:rsidRPr="00D77B31">
              <w:rPr>
                <w:rFonts w:cs="Arial"/>
              </w:rPr>
              <w:t>dBW</w:t>
            </w:r>
            <w:proofErr w:type="spellEnd"/>
            <w:r w:rsidRPr="00D77B31">
              <w:rPr>
                <w:rFonts w:cs="Arial"/>
              </w:rPr>
              <w:t>/8MHz)</w:t>
            </w:r>
          </w:p>
        </w:tc>
        <w:tc>
          <w:tcPr>
            <w:tcW w:w="2079" w:type="dxa"/>
          </w:tcPr>
          <w:p w14:paraId="2E2D320C" w14:textId="77777777" w:rsidR="0078180B" w:rsidRPr="00D77B31" w:rsidRDefault="0078180B" w:rsidP="009A7B7C">
            <w:pPr>
              <w:keepNext/>
              <w:keepLines/>
              <w:ind w:left="284" w:hanging="284"/>
              <w:jc w:val="center"/>
              <w:rPr>
                <w:rFonts w:cs="Arial"/>
              </w:rPr>
            </w:pPr>
          </w:p>
        </w:tc>
        <w:tc>
          <w:tcPr>
            <w:tcW w:w="2079" w:type="dxa"/>
          </w:tcPr>
          <w:p w14:paraId="61490980" w14:textId="6775D304" w:rsidR="0078180B" w:rsidRPr="00D77B31" w:rsidRDefault="0078180B" w:rsidP="009A7B7C">
            <w:pPr>
              <w:keepNext/>
              <w:keepLines/>
              <w:ind w:left="284" w:hanging="284"/>
              <w:jc w:val="center"/>
              <w:rPr>
                <w:rFonts w:cs="Arial"/>
              </w:rPr>
            </w:pPr>
          </w:p>
        </w:tc>
      </w:tr>
      <w:tr w:rsidR="0078180B" w:rsidRPr="00D77B31" w14:paraId="2874D81E" w14:textId="1F8D823F" w:rsidTr="0078180B">
        <w:trPr>
          <w:cantSplit/>
        </w:trPr>
        <w:tc>
          <w:tcPr>
            <w:tcW w:w="2128" w:type="dxa"/>
            <w:vAlign w:val="center"/>
          </w:tcPr>
          <w:p w14:paraId="20B4D06E" w14:textId="77777777" w:rsidR="0078180B" w:rsidRPr="00D77B31" w:rsidRDefault="0078180B" w:rsidP="009A7B7C">
            <w:pPr>
              <w:keepNext/>
              <w:keepLines/>
              <w:ind w:left="284" w:hanging="284"/>
              <w:rPr>
                <w:rFonts w:cs="Arial"/>
                <w:b/>
                <w:bCs/>
              </w:rPr>
            </w:pPr>
            <w:r w:rsidRPr="00D77B31">
              <w:rPr>
                <w:rFonts w:cs="Arial"/>
              </w:rPr>
              <w:t>Receive antenna gain (</w:t>
            </w:r>
            <w:proofErr w:type="spellStart"/>
            <w:r w:rsidRPr="00D77B31">
              <w:rPr>
                <w:rFonts w:cs="Arial"/>
              </w:rPr>
              <w:t>G</w:t>
            </w:r>
            <w:r w:rsidRPr="00D77B31">
              <w:rPr>
                <w:rFonts w:cs="Arial"/>
                <w:vertAlign w:val="subscript"/>
              </w:rPr>
              <w:t>rx</w:t>
            </w:r>
            <w:proofErr w:type="spellEnd"/>
            <w:r w:rsidRPr="00D77B31">
              <w:rPr>
                <w:rFonts w:cs="Arial"/>
              </w:rPr>
              <w:t>):</w:t>
            </w:r>
          </w:p>
        </w:tc>
        <w:tc>
          <w:tcPr>
            <w:tcW w:w="3069" w:type="dxa"/>
            <w:vAlign w:val="center"/>
          </w:tcPr>
          <w:p w14:paraId="53ACD504" w14:textId="77777777" w:rsidR="0078180B" w:rsidRPr="00D77B31" w:rsidRDefault="0078180B" w:rsidP="009A7B7C">
            <w:pPr>
              <w:keepNext/>
              <w:keepLines/>
              <w:ind w:left="284" w:hanging="284"/>
              <w:jc w:val="center"/>
              <w:rPr>
                <w:rFonts w:cs="Arial"/>
                <w:b/>
                <w:bCs/>
              </w:rPr>
            </w:pPr>
          </w:p>
        </w:tc>
        <w:tc>
          <w:tcPr>
            <w:tcW w:w="2079" w:type="dxa"/>
          </w:tcPr>
          <w:p w14:paraId="24C5A2E7" w14:textId="77777777" w:rsidR="0078180B" w:rsidRPr="00D77B31" w:rsidRDefault="0078180B" w:rsidP="009A7B7C">
            <w:pPr>
              <w:keepNext/>
              <w:keepLines/>
              <w:ind w:left="284" w:hanging="284"/>
              <w:jc w:val="center"/>
              <w:rPr>
                <w:rFonts w:cs="Arial"/>
                <w:b/>
                <w:bCs/>
              </w:rPr>
            </w:pPr>
          </w:p>
        </w:tc>
        <w:tc>
          <w:tcPr>
            <w:tcW w:w="2079" w:type="dxa"/>
          </w:tcPr>
          <w:p w14:paraId="12CA79A4" w14:textId="3EE9A758" w:rsidR="0078180B" w:rsidRPr="00D77B31" w:rsidRDefault="0078180B" w:rsidP="009A7B7C">
            <w:pPr>
              <w:keepNext/>
              <w:keepLines/>
              <w:ind w:left="284" w:hanging="284"/>
              <w:jc w:val="center"/>
              <w:rPr>
                <w:rFonts w:cs="Arial"/>
                <w:b/>
                <w:bCs/>
              </w:rPr>
            </w:pPr>
          </w:p>
        </w:tc>
      </w:tr>
      <w:tr w:rsidR="0078180B" w:rsidRPr="00D77B31" w14:paraId="0C54F369" w14:textId="2102C54D" w:rsidTr="0078180B">
        <w:trPr>
          <w:cantSplit/>
        </w:trPr>
        <w:tc>
          <w:tcPr>
            <w:tcW w:w="2128" w:type="dxa"/>
            <w:vAlign w:val="center"/>
          </w:tcPr>
          <w:p w14:paraId="2593AC53" w14:textId="77777777" w:rsidR="0078180B" w:rsidRPr="00D77B31" w:rsidRDefault="0078180B" w:rsidP="009A7B7C">
            <w:pPr>
              <w:keepNext/>
              <w:keepLines/>
              <w:ind w:left="284" w:hanging="284"/>
              <w:jc w:val="center"/>
              <w:rPr>
                <w:rFonts w:cs="Arial"/>
              </w:rPr>
            </w:pPr>
            <w:r w:rsidRPr="00D77B31">
              <w:rPr>
                <w:rFonts w:cs="Arial"/>
              </w:rPr>
              <w:t>(2200-2290 MHz)</w:t>
            </w:r>
          </w:p>
        </w:tc>
        <w:tc>
          <w:tcPr>
            <w:tcW w:w="3069" w:type="dxa"/>
            <w:vAlign w:val="center"/>
          </w:tcPr>
          <w:p w14:paraId="2D46B330" w14:textId="77777777" w:rsidR="0078180B" w:rsidRPr="00D77B31" w:rsidRDefault="0078180B" w:rsidP="009A7B7C">
            <w:pPr>
              <w:keepNext/>
              <w:keepLines/>
              <w:ind w:left="284" w:hanging="284"/>
              <w:jc w:val="center"/>
              <w:rPr>
                <w:rFonts w:cs="Arial"/>
              </w:rPr>
            </w:pPr>
            <w:r w:rsidRPr="00D77B31">
              <w:rPr>
                <w:rFonts w:cs="Arial"/>
              </w:rPr>
              <w:t xml:space="preserve">63.3 </w:t>
            </w:r>
            <w:proofErr w:type="spellStart"/>
            <w:r w:rsidRPr="00D77B31">
              <w:rPr>
                <w:rFonts w:cs="Arial"/>
              </w:rPr>
              <w:t>dBi</w:t>
            </w:r>
            <w:proofErr w:type="spellEnd"/>
            <w:r w:rsidRPr="00D77B31">
              <w:rPr>
                <w:rFonts w:cs="Arial"/>
              </w:rPr>
              <w:t xml:space="preserve"> (14.5dBi towards horizon @ 5° minimum antenna elevation)</w:t>
            </w:r>
          </w:p>
        </w:tc>
        <w:tc>
          <w:tcPr>
            <w:tcW w:w="2079" w:type="dxa"/>
          </w:tcPr>
          <w:p w14:paraId="6AB32380" w14:textId="77777777" w:rsidR="0078180B" w:rsidRPr="00D77B31" w:rsidRDefault="0078180B" w:rsidP="009A7B7C">
            <w:pPr>
              <w:keepNext/>
              <w:keepLines/>
              <w:ind w:left="284" w:hanging="284"/>
              <w:jc w:val="center"/>
              <w:rPr>
                <w:rFonts w:cs="Arial"/>
              </w:rPr>
            </w:pPr>
          </w:p>
        </w:tc>
        <w:tc>
          <w:tcPr>
            <w:tcW w:w="2079" w:type="dxa"/>
          </w:tcPr>
          <w:p w14:paraId="0257DDD1" w14:textId="29A99B2F" w:rsidR="0078180B" w:rsidRPr="00D77B31" w:rsidRDefault="0078180B" w:rsidP="009A7B7C">
            <w:pPr>
              <w:keepNext/>
              <w:keepLines/>
              <w:ind w:left="284" w:hanging="284"/>
              <w:jc w:val="center"/>
              <w:rPr>
                <w:rFonts w:cs="Arial"/>
              </w:rPr>
            </w:pPr>
          </w:p>
        </w:tc>
      </w:tr>
      <w:tr w:rsidR="0078180B" w:rsidRPr="00D77B31" w14:paraId="1FD1FB73" w14:textId="6A8468D9" w:rsidTr="0078180B">
        <w:trPr>
          <w:cantSplit/>
        </w:trPr>
        <w:tc>
          <w:tcPr>
            <w:tcW w:w="2128" w:type="dxa"/>
            <w:vAlign w:val="center"/>
          </w:tcPr>
          <w:p w14:paraId="320AB4C0" w14:textId="77777777" w:rsidR="0078180B" w:rsidRPr="00D77B31" w:rsidRDefault="0078180B" w:rsidP="009A7B7C">
            <w:pPr>
              <w:keepNext/>
              <w:keepLines/>
              <w:ind w:left="284" w:hanging="284"/>
              <w:jc w:val="center"/>
              <w:rPr>
                <w:rFonts w:cs="Arial"/>
              </w:rPr>
            </w:pPr>
            <w:r w:rsidRPr="00D77B31">
              <w:rPr>
                <w:rFonts w:cs="Arial"/>
              </w:rPr>
              <w:t>(2290-2300 MHz)</w:t>
            </w:r>
          </w:p>
        </w:tc>
        <w:tc>
          <w:tcPr>
            <w:tcW w:w="3069" w:type="dxa"/>
            <w:vAlign w:val="center"/>
          </w:tcPr>
          <w:p w14:paraId="5FC4E6AA" w14:textId="77777777" w:rsidR="0078180B" w:rsidRPr="00D77B31" w:rsidRDefault="0078180B" w:rsidP="009A7B7C">
            <w:pPr>
              <w:keepNext/>
              <w:keepLines/>
              <w:ind w:left="284" w:hanging="284"/>
              <w:jc w:val="center"/>
              <w:rPr>
                <w:rFonts w:cs="Arial"/>
              </w:rPr>
            </w:pPr>
            <w:r w:rsidRPr="00D77B31">
              <w:rPr>
                <w:rFonts w:cs="Arial"/>
              </w:rPr>
              <w:t xml:space="preserve">63.3 </w:t>
            </w:r>
            <w:proofErr w:type="spellStart"/>
            <w:r w:rsidRPr="00D77B31">
              <w:rPr>
                <w:rFonts w:cs="Arial"/>
              </w:rPr>
              <w:t>dBi</w:t>
            </w:r>
            <w:proofErr w:type="spellEnd"/>
            <w:r w:rsidRPr="00D77B31">
              <w:rPr>
                <w:rFonts w:cs="Arial"/>
              </w:rPr>
              <w:t xml:space="preserve"> (7dBi towards horizon @ 10° minimum antenna elevation)</w:t>
            </w:r>
          </w:p>
        </w:tc>
        <w:tc>
          <w:tcPr>
            <w:tcW w:w="2079" w:type="dxa"/>
          </w:tcPr>
          <w:p w14:paraId="0D3258AC" w14:textId="77777777" w:rsidR="0078180B" w:rsidRPr="00D77B31" w:rsidRDefault="0078180B" w:rsidP="009A7B7C">
            <w:pPr>
              <w:keepNext/>
              <w:keepLines/>
              <w:ind w:left="284" w:hanging="284"/>
              <w:jc w:val="center"/>
              <w:rPr>
                <w:rFonts w:cs="Arial"/>
              </w:rPr>
            </w:pPr>
          </w:p>
        </w:tc>
        <w:tc>
          <w:tcPr>
            <w:tcW w:w="2079" w:type="dxa"/>
          </w:tcPr>
          <w:p w14:paraId="74B73CC6" w14:textId="5BD172EA" w:rsidR="0078180B" w:rsidRPr="00D77B31" w:rsidRDefault="0078180B" w:rsidP="009A7B7C">
            <w:pPr>
              <w:keepNext/>
              <w:keepLines/>
              <w:ind w:left="284" w:hanging="284"/>
              <w:jc w:val="center"/>
              <w:rPr>
                <w:rFonts w:cs="Arial"/>
              </w:rPr>
            </w:pPr>
          </w:p>
        </w:tc>
      </w:tr>
      <w:tr w:rsidR="0078180B" w:rsidRPr="00D77B31" w14:paraId="7C79418A" w14:textId="70AEA8A5" w:rsidTr="0078180B">
        <w:trPr>
          <w:cantSplit/>
        </w:trPr>
        <w:tc>
          <w:tcPr>
            <w:tcW w:w="2128" w:type="dxa"/>
            <w:vAlign w:val="center"/>
          </w:tcPr>
          <w:p w14:paraId="55A82FA3" w14:textId="77777777" w:rsidR="0078180B" w:rsidRPr="00D77B31" w:rsidRDefault="0078180B" w:rsidP="009A7B7C">
            <w:pPr>
              <w:keepNext/>
              <w:keepLines/>
              <w:ind w:left="284" w:hanging="284"/>
              <w:rPr>
                <w:rFonts w:cs="Arial"/>
                <w:b/>
                <w:bCs/>
              </w:rPr>
            </w:pPr>
            <w:r w:rsidRPr="00D77B31">
              <w:rPr>
                <w:rFonts w:cs="Arial"/>
              </w:rPr>
              <w:t>Receive antenna height (</w:t>
            </w:r>
            <w:proofErr w:type="spellStart"/>
            <w:r w:rsidRPr="00D77B31">
              <w:rPr>
                <w:rFonts w:cs="Arial"/>
              </w:rPr>
              <w:t>h</w:t>
            </w:r>
            <w:r w:rsidRPr="00D77B31">
              <w:rPr>
                <w:rFonts w:cs="Arial"/>
                <w:vertAlign w:val="subscript"/>
              </w:rPr>
              <w:t>rx</w:t>
            </w:r>
            <w:proofErr w:type="spellEnd"/>
            <w:r w:rsidRPr="00D77B31">
              <w:rPr>
                <w:rFonts w:cs="Arial"/>
              </w:rPr>
              <w:t>)</w:t>
            </w:r>
          </w:p>
        </w:tc>
        <w:tc>
          <w:tcPr>
            <w:tcW w:w="3069" w:type="dxa"/>
            <w:vAlign w:val="center"/>
          </w:tcPr>
          <w:p w14:paraId="30385748" w14:textId="77777777" w:rsidR="0078180B" w:rsidRPr="00D77B31" w:rsidRDefault="0078180B" w:rsidP="009A7B7C">
            <w:pPr>
              <w:keepNext/>
              <w:keepLines/>
              <w:ind w:left="284" w:hanging="284"/>
              <w:jc w:val="center"/>
              <w:rPr>
                <w:rFonts w:cs="Arial"/>
                <w:b/>
                <w:bCs/>
              </w:rPr>
            </w:pPr>
            <w:r w:rsidRPr="00D77B31">
              <w:rPr>
                <w:rFonts w:cs="Arial"/>
              </w:rPr>
              <w:t>37m (</w:t>
            </w:r>
            <w:proofErr w:type="spellStart"/>
            <w:r w:rsidRPr="00D77B31">
              <w:rPr>
                <w:rFonts w:cs="Arial"/>
              </w:rPr>
              <w:t>a.g.l</w:t>
            </w:r>
            <w:proofErr w:type="spellEnd"/>
            <w:r w:rsidRPr="00D77B31">
              <w:rPr>
                <w:rFonts w:cs="Arial"/>
              </w:rPr>
              <w:t>)</w:t>
            </w:r>
          </w:p>
        </w:tc>
        <w:tc>
          <w:tcPr>
            <w:tcW w:w="2079" w:type="dxa"/>
          </w:tcPr>
          <w:p w14:paraId="5839CAAD" w14:textId="77777777" w:rsidR="0078180B" w:rsidRPr="00D77B31" w:rsidRDefault="0078180B" w:rsidP="009A7B7C">
            <w:pPr>
              <w:keepNext/>
              <w:keepLines/>
              <w:ind w:left="284" w:hanging="284"/>
              <w:jc w:val="center"/>
              <w:rPr>
                <w:rFonts w:cs="Arial"/>
              </w:rPr>
            </w:pPr>
          </w:p>
        </w:tc>
        <w:tc>
          <w:tcPr>
            <w:tcW w:w="2079" w:type="dxa"/>
          </w:tcPr>
          <w:p w14:paraId="7788ACDC" w14:textId="2D81662E" w:rsidR="0078180B" w:rsidRPr="00D77B31" w:rsidRDefault="0078180B" w:rsidP="009A7B7C">
            <w:pPr>
              <w:keepNext/>
              <w:keepLines/>
              <w:ind w:left="284" w:hanging="284"/>
              <w:jc w:val="center"/>
              <w:rPr>
                <w:rFonts w:cs="Arial"/>
              </w:rPr>
            </w:pPr>
          </w:p>
        </w:tc>
      </w:tr>
      <w:tr w:rsidR="0078180B" w:rsidRPr="00D77B31" w14:paraId="4E125579" w14:textId="09A53E81" w:rsidTr="0078180B">
        <w:trPr>
          <w:cantSplit/>
        </w:trPr>
        <w:tc>
          <w:tcPr>
            <w:tcW w:w="2128" w:type="dxa"/>
            <w:vAlign w:val="center"/>
          </w:tcPr>
          <w:p w14:paraId="52D449E9" w14:textId="77777777" w:rsidR="0078180B" w:rsidRPr="00D77B31" w:rsidRDefault="0078180B" w:rsidP="009A7B7C">
            <w:pPr>
              <w:keepNext/>
              <w:keepLines/>
              <w:ind w:left="284" w:hanging="284"/>
              <w:jc w:val="center"/>
              <w:rPr>
                <w:rFonts w:cs="Arial"/>
                <w:b/>
                <w:bCs/>
              </w:rPr>
            </w:pPr>
            <w:r w:rsidRPr="00D77B31">
              <w:rPr>
                <w:rFonts w:cs="Arial"/>
              </w:rPr>
              <w:t>Antenna pattern:</w:t>
            </w:r>
          </w:p>
        </w:tc>
        <w:tc>
          <w:tcPr>
            <w:tcW w:w="3069" w:type="dxa"/>
            <w:vAlign w:val="center"/>
          </w:tcPr>
          <w:p w14:paraId="3524565F" w14:textId="77777777" w:rsidR="0078180B" w:rsidRPr="00D77B31" w:rsidRDefault="0078180B" w:rsidP="009A7B7C">
            <w:pPr>
              <w:keepNext/>
              <w:keepLines/>
              <w:ind w:left="284" w:hanging="284"/>
              <w:jc w:val="center"/>
              <w:rPr>
                <w:rFonts w:cs="Arial"/>
              </w:rPr>
            </w:pPr>
          </w:p>
        </w:tc>
        <w:tc>
          <w:tcPr>
            <w:tcW w:w="2079" w:type="dxa"/>
          </w:tcPr>
          <w:p w14:paraId="533C0096" w14:textId="77777777" w:rsidR="0078180B" w:rsidRPr="00D77B31" w:rsidRDefault="0078180B" w:rsidP="009A7B7C">
            <w:pPr>
              <w:keepNext/>
              <w:keepLines/>
              <w:ind w:left="284" w:hanging="284"/>
              <w:jc w:val="center"/>
              <w:rPr>
                <w:rFonts w:cs="Arial"/>
              </w:rPr>
            </w:pPr>
          </w:p>
        </w:tc>
        <w:tc>
          <w:tcPr>
            <w:tcW w:w="2079" w:type="dxa"/>
          </w:tcPr>
          <w:p w14:paraId="235B7F35" w14:textId="18DF8D4A" w:rsidR="0078180B" w:rsidRPr="00D77B31" w:rsidRDefault="0078180B" w:rsidP="009A7B7C">
            <w:pPr>
              <w:keepNext/>
              <w:keepLines/>
              <w:ind w:left="284" w:hanging="284"/>
              <w:jc w:val="center"/>
              <w:rPr>
                <w:rFonts w:cs="Arial"/>
              </w:rPr>
            </w:pPr>
          </w:p>
        </w:tc>
      </w:tr>
      <w:tr w:rsidR="0078180B" w:rsidRPr="00D77B31" w14:paraId="1E15E467" w14:textId="59A8B257" w:rsidTr="0078180B">
        <w:trPr>
          <w:cantSplit/>
        </w:trPr>
        <w:tc>
          <w:tcPr>
            <w:tcW w:w="2128" w:type="dxa"/>
            <w:vAlign w:val="center"/>
          </w:tcPr>
          <w:p w14:paraId="3065F06E" w14:textId="77777777" w:rsidR="0078180B" w:rsidRPr="00D77B31" w:rsidRDefault="0078180B" w:rsidP="009A7B7C">
            <w:pPr>
              <w:keepNext/>
              <w:keepLines/>
              <w:ind w:left="284" w:hanging="284"/>
              <w:jc w:val="center"/>
              <w:rPr>
                <w:rFonts w:cs="Arial"/>
                <w:i/>
              </w:rPr>
            </w:pPr>
            <w:r w:rsidRPr="00D77B31">
              <w:rPr>
                <w:rFonts w:cs="Arial"/>
                <w:i/>
              </w:rPr>
              <w:t>Horizontal</w:t>
            </w:r>
          </w:p>
        </w:tc>
        <w:tc>
          <w:tcPr>
            <w:tcW w:w="3069" w:type="dxa"/>
            <w:vAlign w:val="center"/>
          </w:tcPr>
          <w:p w14:paraId="51C56DE6" w14:textId="77777777" w:rsidR="0078180B" w:rsidRPr="00D77B31" w:rsidRDefault="0078180B" w:rsidP="009A7B7C">
            <w:pPr>
              <w:keepNext/>
              <w:keepLines/>
              <w:ind w:left="284" w:hanging="284"/>
              <w:jc w:val="center"/>
              <w:rPr>
                <w:rFonts w:cs="Arial"/>
              </w:rPr>
            </w:pPr>
            <w:r w:rsidRPr="00D77B31">
              <w:rPr>
                <w:rFonts w:cs="Arial"/>
              </w:rPr>
              <w:t>Omni directional</w:t>
            </w:r>
          </w:p>
        </w:tc>
        <w:tc>
          <w:tcPr>
            <w:tcW w:w="2079" w:type="dxa"/>
          </w:tcPr>
          <w:p w14:paraId="7DEDF027" w14:textId="77777777" w:rsidR="0078180B" w:rsidRPr="00D77B31" w:rsidRDefault="0078180B" w:rsidP="009A7B7C">
            <w:pPr>
              <w:keepNext/>
              <w:keepLines/>
              <w:ind w:left="284" w:hanging="284"/>
              <w:jc w:val="center"/>
              <w:rPr>
                <w:rFonts w:cs="Arial"/>
              </w:rPr>
            </w:pPr>
          </w:p>
        </w:tc>
        <w:tc>
          <w:tcPr>
            <w:tcW w:w="2079" w:type="dxa"/>
          </w:tcPr>
          <w:p w14:paraId="37CE9430" w14:textId="73C594E4" w:rsidR="0078180B" w:rsidRPr="00D77B31" w:rsidRDefault="0078180B" w:rsidP="009A7B7C">
            <w:pPr>
              <w:keepNext/>
              <w:keepLines/>
              <w:ind w:left="284" w:hanging="284"/>
              <w:jc w:val="center"/>
              <w:rPr>
                <w:rFonts w:cs="Arial"/>
              </w:rPr>
            </w:pPr>
          </w:p>
        </w:tc>
      </w:tr>
      <w:tr w:rsidR="0078180B" w:rsidRPr="00D77B31" w14:paraId="711FA759" w14:textId="61814113" w:rsidTr="0078180B">
        <w:trPr>
          <w:cantSplit/>
        </w:trPr>
        <w:tc>
          <w:tcPr>
            <w:tcW w:w="2128" w:type="dxa"/>
            <w:vAlign w:val="center"/>
          </w:tcPr>
          <w:p w14:paraId="48E800B6" w14:textId="77777777" w:rsidR="0078180B" w:rsidRPr="00D77B31" w:rsidRDefault="0078180B" w:rsidP="009A7B7C">
            <w:pPr>
              <w:keepNext/>
              <w:keepLines/>
              <w:ind w:left="284" w:hanging="284"/>
              <w:jc w:val="center"/>
              <w:rPr>
                <w:rFonts w:cs="Arial"/>
                <w:i/>
              </w:rPr>
            </w:pPr>
            <w:r w:rsidRPr="00D77B31">
              <w:rPr>
                <w:rFonts w:cs="Arial"/>
                <w:i/>
              </w:rPr>
              <w:t>Vertical</w:t>
            </w:r>
          </w:p>
        </w:tc>
        <w:tc>
          <w:tcPr>
            <w:tcW w:w="3069" w:type="dxa"/>
            <w:vAlign w:val="center"/>
          </w:tcPr>
          <w:p w14:paraId="07700FED" w14:textId="77777777" w:rsidR="0078180B" w:rsidRPr="00D77B31" w:rsidRDefault="0078180B" w:rsidP="009A7B7C">
            <w:pPr>
              <w:keepNext/>
              <w:keepLines/>
              <w:ind w:left="284" w:hanging="284"/>
              <w:jc w:val="center"/>
              <w:rPr>
                <w:rFonts w:cs="Arial"/>
              </w:rPr>
            </w:pPr>
            <w:r w:rsidRPr="00D77B31">
              <w:rPr>
                <w:rFonts w:cs="Arial"/>
              </w:rPr>
              <w:t xml:space="preserve">ITU-R S.465 (min -10 </w:t>
            </w:r>
            <w:proofErr w:type="spellStart"/>
            <w:r w:rsidRPr="00D77B31">
              <w:rPr>
                <w:rFonts w:cs="Arial"/>
              </w:rPr>
              <w:t>dBi</w:t>
            </w:r>
            <w:proofErr w:type="spellEnd"/>
            <w:r w:rsidRPr="00D77B31">
              <w:rPr>
                <w:rFonts w:cs="Arial"/>
              </w:rPr>
              <w:t xml:space="preserve"> off-axis)</w:t>
            </w:r>
          </w:p>
        </w:tc>
        <w:tc>
          <w:tcPr>
            <w:tcW w:w="2079" w:type="dxa"/>
          </w:tcPr>
          <w:p w14:paraId="280C5510" w14:textId="77777777" w:rsidR="0078180B" w:rsidRPr="00D77B31" w:rsidRDefault="0078180B" w:rsidP="009A7B7C">
            <w:pPr>
              <w:keepNext/>
              <w:keepLines/>
              <w:ind w:left="284" w:hanging="284"/>
              <w:jc w:val="center"/>
              <w:rPr>
                <w:rFonts w:cs="Arial"/>
              </w:rPr>
            </w:pPr>
          </w:p>
        </w:tc>
        <w:tc>
          <w:tcPr>
            <w:tcW w:w="2079" w:type="dxa"/>
          </w:tcPr>
          <w:p w14:paraId="36AA5DFB" w14:textId="20318D74" w:rsidR="0078180B" w:rsidRPr="00D77B31" w:rsidRDefault="0078180B" w:rsidP="009A7B7C">
            <w:pPr>
              <w:keepNext/>
              <w:keepLines/>
              <w:ind w:left="284" w:hanging="284"/>
              <w:jc w:val="center"/>
              <w:rPr>
                <w:rFonts w:cs="Arial"/>
              </w:rPr>
            </w:pPr>
          </w:p>
        </w:tc>
      </w:tr>
      <w:tr w:rsidR="0078180B" w:rsidRPr="00D77B31" w14:paraId="3668CFA0" w14:textId="0A0AC0D7" w:rsidTr="0078180B">
        <w:trPr>
          <w:cantSplit/>
        </w:trPr>
        <w:tc>
          <w:tcPr>
            <w:tcW w:w="2128" w:type="dxa"/>
            <w:vAlign w:val="center"/>
          </w:tcPr>
          <w:p w14:paraId="666400A2" w14:textId="77777777" w:rsidR="0078180B" w:rsidRPr="00D77B31" w:rsidRDefault="0078180B" w:rsidP="009A7B7C">
            <w:pPr>
              <w:keepNext/>
              <w:keepLines/>
              <w:ind w:left="284" w:hanging="284"/>
              <w:rPr>
                <w:rFonts w:cs="Arial"/>
              </w:rPr>
            </w:pPr>
            <w:r w:rsidRPr="00D77B31">
              <w:rPr>
                <w:rFonts w:cs="Arial"/>
              </w:rPr>
              <w:t>Propagation model</w:t>
            </w:r>
          </w:p>
        </w:tc>
        <w:tc>
          <w:tcPr>
            <w:tcW w:w="3069" w:type="dxa"/>
            <w:vAlign w:val="center"/>
          </w:tcPr>
          <w:p w14:paraId="25793812" w14:textId="77777777" w:rsidR="0078180B" w:rsidRPr="00D77B31" w:rsidRDefault="0078180B" w:rsidP="009A7B7C">
            <w:pPr>
              <w:keepNext/>
              <w:keepLines/>
              <w:ind w:left="284" w:hanging="284"/>
              <w:jc w:val="center"/>
              <w:rPr>
                <w:rFonts w:cs="Arial"/>
              </w:rPr>
            </w:pPr>
            <w:r w:rsidRPr="00D77B31">
              <w:rPr>
                <w:rFonts w:cs="Arial"/>
              </w:rPr>
              <w:t>ITU-R P.452 (without ducting</w:t>
            </w:r>
            <w:r w:rsidRPr="00D77B31">
              <w:rPr>
                <w:rStyle w:val="FootnoteReference"/>
                <w:rFonts w:cs="Arial"/>
              </w:rPr>
              <w:footnoteReference w:id="25"/>
            </w:r>
            <w:r w:rsidRPr="00D77B31">
              <w:rPr>
                <w:rFonts w:cs="Arial"/>
              </w:rPr>
              <w:t>)</w:t>
            </w:r>
          </w:p>
        </w:tc>
        <w:tc>
          <w:tcPr>
            <w:tcW w:w="2079" w:type="dxa"/>
          </w:tcPr>
          <w:p w14:paraId="72CD494B" w14:textId="77777777" w:rsidR="0078180B" w:rsidRPr="00D77B31" w:rsidRDefault="0078180B" w:rsidP="009A7B7C">
            <w:pPr>
              <w:keepNext/>
              <w:keepLines/>
              <w:ind w:left="284" w:hanging="284"/>
              <w:jc w:val="center"/>
              <w:rPr>
                <w:rFonts w:cs="Arial"/>
              </w:rPr>
            </w:pPr>
          </w:p>
        </w:tc>
        <w:tc>
          <w:tcPr>
            <w:tcW w:w="2079" w:type="dxa"/>
          </w:tcPr>
          <w:p w14:paraId="5994B2EC" w14:textId="0BB32634" w:rsidR="0078180B" w:rsidRPr="00D77B31" w:rsidRDefault="0078180B" w:rsidP="009A7B7C">
            <w:pPr>
              <w:keepNext/>
              <w:keepLines/>
              <w:ind w:left="284" w:hanging="284"/>
              <w:jc w:val="center"/>
              <w:rPr>
                <w:rFonts w:cs="Arial"/>
              </w:rPr>
            </w:pPr>
          </w:p>
        </w:tc>
      </w:tr>
      <w:tr w:rsidR="0078180B" w:rsidRPr="00D77B31" w14:paraId="0F05B155" w14:textId="6726B161" w:rsidTr="0078180B">
        <w:trPr>
          <w:cantSplit/>
        </w:trPr>
        <w:tc>
          <w:tcPr>
            <w:tcW w:w="2128" w:type="dxa"/>
            <w:vAlign w:val="center"/>
          </w:tcPr>
          <w:p w14:paraId="6DF1F2BB" w14:textId="77777777" w:rsidR="0078180B" w:rsidRPr="00D77B31" w:rsidRDefault="0078180B" w:rsidP="009A7B7C">
            <w:pPr>
              <w:keepNext/>
              <w:keepLines/>
              <w:ind w:left="284" w:hanging="284"/>
              <w:rPr>
                <w:rFonts w:cs="Arial"/>
              </w:rPr>
            </w:pPr>
            <w:r w:rsidRPr="00D77B31">
              <w:rPr>
                <w:rFonts w:cs="Arial"/>
              </w:rPr>
              <w:t>Percentage of time p(%):</w:t>
            </w:r>
          </w:p>
        </w:tc>
        <w:tc>
          <w:tcPr>
            <w:tcW w:w="3069" w:type="dxa"/>
            <w:vAlign w:val="center"/>
          </w:tcPr>
          <w:p w14:paraId="75F9E651" w14:textId="77777777" w:rsidR="0078180B" w:rsidRPr="00D77B31" w:rsidRDefault="0078180B" w:rsidP="009A7B7C">
            <w:pPr>
              <w:keepNext/>
              <w:keepLines/>
              <w:ind w:left="284" w:hanging="284"/>
              <w:jc w:val="center"/>
              <w:rPr>
                <w:rFonts w:cs="Arial"/>
              </w:rPr>
            </w:pPr>
          </w:p>
        </w:tc>
        <w:tc>
          <w:tcPr>
            <w:tcW w:w="2079" w:type="dxa"/>
          </w:tcPr>
          <w:p w14:paraId="5CED6533" w14:textId="77777777" w:rsidR="0078180B" w:rsidRPr="00D77B31" w:rsidRDefault="0078180B" w:rsidP="009A7B7C">
            <w:pPr>
              <w:keepNext/>
              <w:keepLines/>
              <w:ind w:left="284" w:hanging="284"/>
              <w:jc w:val="center"/>
              <w:rPr>
                <w:rFonts w:cs="Arial"/>
              </w:rPr>
            </w:pPr>
          </w:p>
        </w:tc>
        <w:tc>
          <w:tcPr>
            <w:tcW w:w="2079" w:type="dxa"/>
          </w:tcPr>
          <w:p w14:paraId="526FC881" w14:textId="4A1D30FE" w:rsidR="0078180B" w:rsidRPr="00D77B31" w:rsidRDefault="0078180B" w:rsidP="009A7B7C">
            <w:pPr>
              <w:keepNext/>
              <w:keepLines/>
              <w:ind w:left="284" w:hanging="284"/>
              <w:jc w:val="center"/>
              <w:rPr>
                <w:rFonts w:cs="Arial"/>
              </w:rPr>
            </w:pPr>
          </w:p>
        </w:tc>
      </w:tr>
      <w:tr w:rsidR="0078180B" w:rsidRPr="00D77B31" w14:paraId="68D7A4D2" w14:textId="77956E17" w:rsidTr="0078180B">
        <w:trPr>
          <w:cantSplit/>
        </w:trPr>
        <w:tc>
          <w:tcPr>
            <w:tcW w:w="2128" w:type="dxa"/>
            <w:vAlign w:val="center"/>
          </w:tcPr>
          <w:p w14:paraId="6870BFC0" w14:textId="77777777" w:rsidR="0078180B" w:rsidRPr="00D77B31" w:rsidRDefault="0078180B" w:rsidP="009A7B7C">
            <w:pPr>
              <w:keepNext/>
              <w:keepLines/>
              <w:ind w:left="284" w:hanging="284"/>
              <w:jc w:val="center"/>
              <w:rPr>
                <w:rFonts w:cs="Arial"/>
              </w:rPr>
            </w:pPr>
            <w:r w:rsidRPr="00D77B31">
              <w:rPr>
                <w:rFonts w:cs="Arial"/>
              </w:rPr>
              <w:t>(2200-2300 MHz)</w:t>
            </w:r>
          </w:p>
        </w:tc>
        <w:tc>
          <w:tcPr>
            <w:tcW w:w="3069" w:type="dxa"/>
            <w:vAlign w:val="center"/>
          </w:tcPr>
          <w:p w14:paraId="48791998" w14:textId="77777777" w:rsidR="0078180B" w:rsidRPr="00D77B31" w:rsidRDefault="0078180B" w:rsidP="009A7B7C">
            <w:pPr>
              <w:keepNext/>
              <w:keepLines/>
              <w:ind w:left="284" w:hanging="284"/>
              <w:jc w:val="center"/>
              <w:rPr>
                <w:rFonts w:cs="Arial"/>
              </w:rPr>
            </w:pPr>
            <w:r w:rsidRPr="00D77B31">
              <w:rPr>
                <w:rFonts w:cs="Arial"/>
              </w:rPr>
              <w:t>0.001</w:t>
            </w:r>
          </w:p>
        </w:tc>
        <w:tc>
          <w:tcPr>
            <w:tcW w:w="2079" w:type="dxa"/>
          </w:tcPr>
          <w:p w14:paraId="5C790DFC" w14:textId="77777777" w:rsidR="0078180B" w:rsidRPr="00D77B31" w:rsidRDefault="0078180B" w:rsidP="009A7B7C">
            <w:pPr>
              <w:keepNext/>
              <w:keepLines/>
              <w:ind w:left="284" w:hanging="284"/>
              <w:jc w:val="center"/>
              <w:rPr>
                <w:rFonts w:cs="Arial"/>
              </w:rPr>
            </w:pPr>
          </w:p>
        </w:tc>
        <w:tc>
          <w:tcPr>
            <w:tcW w:w="2079" w:type="dxa"/>
          </w:tcPr>
          <w:p w14:paraId="3AAD5D52" w14:textId="1F3C042E" w:rsidR="0078180B" w:rsidRPr="00D77B31" w:rsidRDefault="0078180B" w:rsidP="009A7B7C">
            <w:pPr>
              <w:keepNext/>
              <w:keepLines/>
              <w:ind w:left="284" w:hanging="284"/>
              <w:jc w:val="center"/>
              <w:rPr>
                <w:rFonts w:cs="Arial"/>
              </w:rPr>
            </w:pPr>
          </w:p>
        </w:tc>
      </w:tr>
      <w:tr w:rsidR="0078180B" w:rsidRPr="00D77B31" w14:paraId="346C7342" w14:textId="56AC69DE" w:rsidTr="0078180B">
        <w:trPr>
          <w:cantSplit/>
        </w:trPr>
        <w:tc>
          <w:tcPr>
            <w:tcW w:w="2128" w:type="dxa"/>
          </w:tcPr>
          <w:p w14:paraId="33DB0CDE" w14:textId="77777777" w:rsidR="0078180B" w:rsidRPr="00D77B31" w:rsidRDefault="0078180B" w:rsidP="009A7B7C">
            <w:pPr>
              <w:keepNext/>
              <w:keepLines/>
              <w:ind w:left="284" w:hanging="284"/>
              <w:rPr>
                <w:rFonts w:cs="Arial"/>
              </w:rPr>
            </w:pPr>
            <w:r w:rsidRPr="00D77B31">
              <w:rPr>
                <w:rFonts w:cs="Arial"/>
              </w:rPr>
              <w:t>Digital elevation model</w:t>
            </w:r>
          </w:p>
        </w:tc>
        <w:tc>
          <w:tcPr>
            <w:tcW w:w="3069" w:type="dxa"/>
            <w:vAlign w:val="center"/>
          </w:tcPr>
          <w:p w14:paraId="75896ECC" w14:textId="77777777" w:rsidR="0078180B" w:rsidRPr="00D77B31" w:rsidRDefault="0078180B" w:rsidP="009A7B7C">
            <w:pPr>
              <w:keepNext/>
              <w:keepLines/>
              <w:ind w:left="284" w:hanging="284"/>
              <w:jc w:val="center"/>
              <w:rPr>
                <w:rFonts w:cs="Arial"/>
              </w:rPr>
            </w:pPr>
            <w:r w:rsidRPr="00D77B31">
              <w:rPr>
                <w:rFonts w:cs="Arial"/>
              </w:rPr>
              <w:t>3-second</w:t>
            </w:r>
          </w:p>
        </w:tc>
        <w:tc>
          <w:tcPr>
            <w:tcW w:w="2079" w:type="dxa"/>
          </w:tcPr>
          <w:p w14:paraId="1022C2BF" w14:textId="77777777" w:rsidR="0078180B" w:rsidRPr="00D77B31" w:rsidRDefault="0078180B" w:rsidP="009A7B7C">
            <w:pPr>
              <w:keepNext/>
              <w:keepLines/>
              <w:ind w:left="284" w:hanging="284"/>
              <w:jc w:val="center"/>
              <w:rPr>
                <w:rFonts w:cs="Arial"/>
              </w:rPr>
            </w:pPr>
          </w:p>
        </w:tc>
        <w:tc>
          <w:tcPr>
            <w:tcW w:w="2079" w:type="dxa"/>
          </w:tcPr>
          <w:p w14:paraId="2F66534C" w14:textId="50C77D67" w:rsidR="0078180B" w:rsidRPr="00D77B31" w:rsidRDefault="0078180B" w:rsidP="009A7B7C">
            <w:pPr>
              <w:keepNext/>
              <w:keepLines/>
              <w:ind w:left="284" w:hanging="284"/>
              <w:jc w:val="center"/>
              <w:rPr>
                <w:rFonts w:cs="Arial"/>
              </w:rPr>
            </w:pPr>
          </w:p>
        </w:tc>
      </w:tr>
    </w:tbl>
    <w:p w14:paraId="65471B65" w14:textId="1FBC5E0D" w:rsidR="009205C0" w:rsidRPr="00D77B31" w:rsidRDefault="001E3A57" w:rsidP="002672AB">
      <w:pPr>
        <w:pStyle w:val="Heading2noTOC"/>
      </w:pPr>
      <w:r w:rsidRPr="00D77B31">
        <w:br w:type="page"/>
      </w:r>
      <w:r w:rsidR="009205C0" w:rsidRPr="00D77B31">
        <w:lastRenderedPageBreak/>
        <w:t>C</w:t>
      </w:r>
      <w:r w:rsidR="00E5440C" w:rsidRPr="00D77B31">
        <w:t>2</w:t>
      </w:r>
      <w:r w:rsidR="009205C0" w:rsidRPr="00D77B31">
        <w:t xml:space="preserve">.0 Restricted area around New Norcia </w:t>
      </w:r>
      <w:r w:rsidR="005555EA" w:rsidRPr="00D77B31">
        <w:t>e</w:t>
      </w:r>
      <w:r w:rsidR="009205C0" w:rsidRPr="00D77B31">
        <w:t xml:space="preserve">arth station </w:t>
      </w:r>
    </w:p>
    <w:p w14:paraId="55EDE2EA" w14:textId="15FBD84F" w:rsidR="00E5440C" w:rsidRPr="00D77B31" w:rsidRDefault="009205C0" w:rsidP="00E30E8E">
      <w:pPr>
        <w:keepNext/>
        <w:rPr>
          <w:rFonts w:cs="Arial"/>
        </w:rPr>
      </w:pPr>
      <w:r w:rsidRPr="00D77B31">
        <w:rPr>
          <w:rFonts w:cs="Arial"/>
        </w:rPr>
        <w:t xml:space="preserve">New Norcia </w:t>
      </w:r>
      <w:r w:rsidR="005555EA" w:rsidRPr="00D77B31">
        <w:rPr>
          <w:rFonts w:cs="Arial"/>
        </w:rPr>
        <w:t>e</w:t>
      </w:r>
      <w:r w:rsidRPr="00D77B31">
        <w:rPr>
          <w:rFonts w:cs="Arial"/>
        </w:rPr>
        <w:t>arth station</w:t>
      </w:r>
      <w:r w:rsidR="00E5440C" w:rsidRPr="00D77B31">
        <w:rPr>
          <w:rFonts w:cs="Arial"/>
        </w:rPr>
        <w:t xml:space="preserve"> receivers</w:t>
      </w:r>
      <w:r w:rsidRPr="00D77B31">
        <w:rPr>
          <w:rFonts w:cs="Arial"/>
        </w:rPr>
        <w:t xml:space="preserve"> </w:t>
      </w:r>
      <w:r w:rsidR="00E5440C" w:rsidRPr="00D77B31">
        <w:rPr>
          <w:rFonts w:cs="Arial"/>
        </w:rPr>
        <w:t>operate in</w:t>
      </w:r>
      <w:r w:rsidR="00CA7F0C" w:rsidRPr="00D77B31">
        <w:rPr>
          <w:rFonts w:cs="Arial"/>
        </w:rPr>
        <w:t xml:space="preserve"> the bands</w:t>
      </w:r>
      <w:r w:rsidRPr="00D77B31">
        <w:rPr>
          <w:rFonts w:cs="Arial"/>
        </w:rPr>
        <w:t xml:space="preserve"> 2215-2230 MHz and 2290-2300 MHz</w:t>
      </w:r>
      <w:r w:rsidR="00E30E8E" w:rsidRPr="00D77B31">
        <w:rPr>
          <w:rFonts w:cs="Arial"/>
        </w:rPr>
        <w:t xml:space="preserve">. </w:t>
      </w:r>
      <w:r w:rsidRPr="00D77B31">
        <w:rPr>
          <w:rFonts w:cs="Arial"/>
        </w:rPr>
        <w:t>Any TOB channel that is fully or partially within this band must not operate within 300</w:t>
      </w:r>
      <w:r w:rsidR="00442D4C" w:rsidRPr="00D77B31">
        <w:rPr>
          <w:rFonts w:cs="Arial"/>
        </w:rPr>
        <w:t xml:space="preserve"> </w:t>
      </w:r>
      <w:r w:rsidRPr="00D77B31">
        <w:rPr>
          <w:rFonts w:cs="Arial"/>
        </w:rPr>
        <w:t xml:space="preserve">km of the </w:t>
      </w:r>
      <w:r w:rsidR="00726125" w:rsidRPr="00D77B31">
        <w:rPr>
          <w:rFonts w:cs="Arial"/>
        </w:rPr>
        <w:t>earth station</w:t>
      </w:r>
      <w:r w:rsidR="00E30E8E" w:rsidRPr="00D77B31">
        <w:rPr>
          <w:rFonts w:cs="Arial"/>
        </w:rPr>
        <w:t xml:space="preserve">. </w:t>
      </w:r>
    </w:p>
    <w:p w14:paraId="7FB2DE10" w14:textId="2227073F" w:rsidR="003A3428" w:rsidRPr="00D77B31" w:rsidRDefault="00CB4361" w:rsidP="00E30E8E">
      <w:pPr>
        <w:keepNext/>
        <w:rPr>
          <w:rFonts w:cs="Arial"/>
        </w:rPr>
      </w:pPr>
      <w:r w:rsidRPr="00D77B31">
        <w:rPr>
          <w:rFonts w:cs="Arial"/>
        </w:rPr>
        <w:t>The European Space Agency may occasionally request access to</w:t>
      </w:r>
      <w:r w:rsidR="008E7EDC" w:rsidRPr="00D77B31">
        <w:rPr>
          <w:rFonts w:cs="Arial"/>
        </w:rPr>
        <w:t xml:space="preserve"> the</w:t>
      </w:r>
      <w:r w:rsidRPr="00D77B31">
        <w:rPr>
          <w:rFonts w:cs="Arial"/>
        </w:rPr>
        <w:t xml:space="preserve"> remainder of the band for short duration activities, such as</w:t>
      </w:r>
      <w:r w:rsidR="00FD2EAF" w:rsidRPr="00D77B31">
        <w:rPr>
          <w:rFonts w:cs="Arial"/>
        </w:rPr>
        <w:t xml:space="preserve"> launcher tracking and</w:t>
      </w:r>
      <w:r w:rsidRPr="00D77B31">
        <w:rPr>
          <w:rFonts w:cs="Arial"/>
        </w:rPr>
        <w:t xml:space="preserve"> Launch and Early Orbit</w:t>
      </w:r>
      <w:r w:rsidR="00FA71AC" w:rsidRPr="00D77B31">
        <w:rPr>
          <w:rFonts w:cs="Arial"/>
        </w:rPr>
        <w:t xml:space="preserve"> Phase</w:t>
      </w:r>
      <w:r w:rsidRPr="00D77B31">
        <w:rPr>
          <w:rFonts w:cs="Arial"/>
        </w:rPr>
        <w:t xml:space="preserve"> (LEOP) support</w:t>
      </w:r>
      <w:r w:rsidRPr="00D77B31">
        <w:rPr>
          <w:rStyle w:val="FootnoteReference"/>
          <w:rFonts w:cs="Arial"/>
        </w:rPr>
        <w:footnoteReference w:id="26"/>
      </w:r>
      <w:r w:rsidR="00FD2EAF" w:rsidRPr="00D77B31">
        <w:rPr>
          <w:rFonts w:cs="Arial"/>
        </w:rPr>
        <w:t xml:space="preserve">. </w:t>
      </w:r>
      <w:r w:rsidR="00526762" w:rsidRPr="00D77B31">
        <w:rPr>
          <w:rFonts w:cs="Arial"/>
          <w:szCs w:val="22"/>
          <w:lang w:eastAsia="en-US"/>
        </w:rPr>
        <w:t xml:space="preserve">Spectrum coordination arrangements for such accesses and the procedures </w:t>
      </w:r>
      <w:r w:rsidR="00526762" w:rsidRPr="00D77B31">
        <w:rPr>
          <w:rFonts w:cs="Arial"/>
        </w:rPr>
        <w:t xml:space="preserve">by which such request are to be made are contained in the document “Spectrum coordination arrangements” which is available on the ACMA website </w:t>
      </w:r>
      <w:r w:rsidR="00C234D6" w:rsidRPr="00D77B31">
        <w:rPr>
          <w:rFonts w:cs="Arial"/>
        </w:rPr>
        <w:t>(</w:t>
      </w:r>
      <w:hyperlink r:id="rId43" w:history="1">
        <w:r w:rsidR="00CB0F59" w:rsidRPr="00D77B31">
          <w:rPr>
            <w:rStyle w:val="Hyperlink"/>
            <w:rFonts w:cs="Arial"/>
          </w:rPr>
          <w:t>RALI FX21</w:t>
        </w:r>
      </w:hyperlink>
      <w:r w:rsidR="00C234D6" w:rsidRPr="00D77B31">
        <w:rPr>
          <w:rFonts w:cs="Arial"/>
        </w:rPr>
        <w:t>)</w:t>
      </w:r>
      <w:r w:rsidR="00526762" w:rsidRPr="00D77B31">
        <w:rPr>
          <w:rFonts w:cs="Arial"/>
        </w:rPr>
        <w:t>. All licensing, to support Launcher and LEOP activities will be in accordance with this agreement.</w:t>
      </w:r>
      <w:r w:rsidR="0049787B" w:rsidRPr="00D77B31">
        <w:rPr>
          <w:rFonts w:cs="Arial"/>
        </w:rPr>
        <w:t xml:space="preserve"> </w:t>
      </w:r>
      <w:r w:rsidR="003A3428" w:rsidRPr="00D77B31">
        <w:rPr>
          <w:rFonts w:cs="Arial"/>
        </w:rPr>
        <w:t>TOB licensees are encouraged to consider such coordination requests and support where possible.</w:t>
      </w:r>
    </w:p>
    <w:p w14:paraId="0B2B72C5" w14:textId="48E0EAE5" w:rsidR="009205C0" w:rsidRPr="00D77B31" w:rsidRDefault="009205C0" w:rsidP="002672AB">
      <w:pPr>
        <w:pStyle w:val="Heading2noTOC"/>
      </w:pPr>
      <w:r w:rsidRPr="00D77B31">
        <w:t xml:space="preserve">C4.0 Restricted areas around Mingenew </w:t>
      </w:r>
      <w:r w:rsidR="00EC65EF" w:rsidRPr="00D77B31">
        <w:t>e</w:t>
      </w:r>
      <w:r w:rsidRPr="00D77B31">
        <w:t>arth station</w:t>
      </w:r>
    </w:p>
    <w:p w14:paraId="22C2FE73" w14:textId="560A3084" w:rsidR="009205C0" w:rsidRPr="00D77B31" w:rsidRDefault="00EE7043" w:rsidP="009205C0">
      <w:pPr>
        <w:rPr>
          <w:rFonts w:cs="Arial"/>
        </w:rPr>
      </w:pPr>
      <w:r w:rsidRPr="00D77B31">
        <w:rPr>
          <w:rFonts w:cs="Arial"/>
        </w:rPr>
        <w:t>TOB transmitters</w:t>
      </w:r>
      <w:r w:rsidR="009205C0" w:rsidRPr="00D77B31">
        <w:rPr>
          <w:rFonts w:cs="Arial"/>
        </w:rPr>
        <w:t xml:space="preserve"> are restricted around the Mingenew </w:t>
      </w:r>
      <w:r w:rsidR="00EC65EF" w:rsidRPr="00D77B31">
        <w:rPr>
          <w:rFonts w:cs="Arial"/>
        </w:rPr>
        <w:t>e</w:t>
      </w:r>
      <w:r w:rsidR="009205C0" w:rsidRPr="00D77B31">
        <w:rPr>
          <w:rFonts w:cs="Arial"/>
        </w:rPr>
        <w:t>arth station</w:t>
      </w:r>
      <w:r w:rsidR="00E30E8E" w:rsidRPr="00D77B31">
        <w:rPr>
          <w:rFonts w:cs="Arial"/>
        </w:rPr>
        <w:t xml:space="preserve">. </w:t>
      </w:r>
      <w:r w:rsidR="009205C0" w:rsidRPr="00D77B31">
        <w:rPr>
          <w:rFonts w:cs="Arial"/>
        </w:rPr>
        <w:t xml:space="preserve">The distances at which </w:t>
      </w:r>
      <w:r w:rsidRPr="00D77B31">
        <w:rPr>
          <w:rFonts w:cs="Arial"/>
        </w:rPr>
        <w:t>TOB transmitters</w:t>
      </w:r>
      <w:r w:rsidR="009205C0" w:rsidRPr="00D77B31">
        <w:rPr>
          <w:rFonts w:cs="Arial"/>
        </w:rPr>
        <w:t xml:space="preserve"> are restricted are frequency dependant</w:t>
      </w:r>
      <w:r w:rsidR="00E30E8E" w:rsidRPr="00D77B31">
        <w:rPr>
          <w:rFonts w:cs="Arial"/>
        </w:rPr>
        <w:t xml:space="preserve">. </w:t>
      </w:r>
      <w:r w:rsidR="009205C0" w:rsidRPr="00D77B31">
        <w:rPr>
          <w:rFonts w:cs="Arial"/>
        </w:rPr>
        <w:t xml:space="preserve">TOB </w:t>
      </w:r>
      <w:r w:rsidR="00382A1D" w:rsidRPr="00D77B31">
        <w:rPr>
          <w:rFonts w:cs="Arial"/>
        </w:rPr>
        <w:t xml:space="preserve">transmitters </w:t>
      </w:r>
      <w:r w:rsidR="009205C0" w:rsidRPr="00D77B31">
        <w:rPr>
          <w:rFonts w:cs="Arial"/>
        </w:rPr>
        <w:t xml:space="preserve">must not operate in the restricted areas listed in </w:t>
      </w:r>
      <w:r w:rsidR="005555EA" w:rsidRPr="00D77B31">
        <w:rPr>
          <w:rFonts w:cs="Arial"/>
        </w:rPr>
        <w:fldChar w:fldCharType="begin"/>
      </w:r>
      <w:r w:rsidR="005555EA" w:rsidRPr="00D77B31">
        <w:rPr>
          <w:rFonts w:cs="Arial"/>
        </w:rPr>
        <w:instrText xml:space="preserve"> REF _Ref111026670 \r \h </w:instrText>
      </w:r>
      <w:r w:rsidR="00481675" w:rsidRPr="00D77B31">
        <w:rPr>
          <w:rFonts w:cs="Arial"/>
        </w:rPr>
        <w:instrText xml:space="preserve"> \* MERGEFORMAT </w:instrText>
      </w:r>
      <w:r w:rsidR="005555EA" w:rsidRPr="00D77B31">
        <w:rPr>
          <w:rFonts w:cs="Arial"/>
        </w:rPr>
      </w:r>
      <w:r w:rsidR="005555EA" w:rsidRPr="00D77B31">
        <w:rPr>
          <w:rFonts w:cs="Arial"/>
        </w:rPr>
        <w:fldChar w:fldCharType="separate"/>
      </w:r>
      <w:r w:rsidR="003F79BE">
        <w:rPr>
          <w:rFonts w:cs="Arial"/>
        </w:rPr>
        <w:t>Table 5</w:t>
      </w:r>
      <w:r w:rsidR="005555EA" w:rsidRPr="00D77B31">
        <w:rPr>
          <w:rFonts w:cs="Arial"/>
        </w:rPr>
        <w:fldChar w:fldCharType="end"/>
      </w:r>
      <w:r w:rsidR="005555EA" w:rsidRPr="00D77B31">
        <w:rPr>
          <w:rFonts w:cs="Arial"/>
        </w:rPr>
        <w:t xml:space="preserve"> </w:t>
      </w:r>
      <w:r w:rsidR="009205C0" w:rsidRPr="00D77B31">
        <w:rPr>
          <w:rFonts w:cs="Arial"/>
        </w:rPr>
        <w:t>and shown in</w:t>
      </w:r>
      <w:r w:rsidR="009C7985">
        <w:rPr>
          <w:rFonts w:cs="Arial"/>
          <w:b/>
        </w:rPr>
        <w:t xml:space="preserve"> </w:t>
      </w:r>
      <w:r w:rsidR="00204AB5" w:rsidRPr="00D77B31">
        <w:rPr>
          <w:rFonts w:cs="Arial"/>
        </w:rPr>
        <w:fldChar w:fldCharType="begin"/>
      </w:r>
      <w:r w:rsidR="00204AB5" w:rsidRPr="00D77B31">
        <w:rPr>
          <w:rFonts w:cs="Arial"/>
        </w:rPr>
        <w:instrText xml:space="preserve"> REF _Ref111026724 \r \h </w:instrText>
      </w:r>
      <w:r w:rsidR="00481675" w:rsidRPr="00D77B31">
        <w:rPr>
          <w:rFonts w:cs="Arial"/>
        </w:rPr>
        <w:instrText xml:space="preserve"> \* MERGEFORMAT </w:instrText>
      </w:r>
      <w:r w:rsidR="00204AB5" w:rsidRPr="00D77B31">
        <w:rPr>
          <w:rFonts w:cs="Arial"/>
        </w:rPr>
      </w:r>
      <w:r w:rsidR="00204AB5" w:rsidRPr="00D77B31">
        <w:rPr>
          <w:rFonts w:cs="Arial"/>
        </w:rPr>
        <w:fldChar w:fldCharType="separate"/>
      </w:r>
      <w:r w:rsidR="003F79BE">
        <w:rPr>
          <w:rFonts w:cs="Arial"/>
        </w:rPr>
        <w:t>Figure 6</w:t>
      </w:r>
      <w:r w:rsidR="00204AB5" w:rsidRPr="00D77B31">
        <w:rPr>
          <w:rFonts w:cs="Arial"/>
        </w:rPr>
        <w:fldChar w:fldCharType="end"/>
      </w:r>
      <w:r w:rsidR="009205C0" w:rsidRPr="00D77B31">
        <w:rPr>
          <w:rFonts w:cs="Arial"/>
        </w:rPr>
        <w:t>.</w:t>
      </w:r>
    </w:p>
    <w:p w14:paraId="2999CA14" w14:textId="72F01006" w:rsidR="009205C0" w:rsidRPr="00D77B31" w:rsidRDefault="009205C0" w:rsidP="005555EA">
      <w:pPr>
        <w:pStyle w:val="ACMATableHeader"/>
        <w:rPr>
          <w:rFonts w:cs="Arial"/>
        </w:rPr>
      </w:pPr>
      <w:bookmarkStart w:id="364" w:name="_Ref111026670"/>
      <w:r w:rsidRPr="00D77B31">
        <w:rPr>
          <w:rFonts w:cs="Arial"/>
        </w:rPr>
        <w:t xml:space="preserve">Restricted distances around Mingenew </w:t>
      </w:r>
      <w:r w:rsidR="00726125" w:rsidRPr="00D77B31">
        <w:rPr>
          <w:rFonts w:cs="Arial"/>
        </w:rPr>
        <w:t>earth station</w:t>
      </w:r>
      <w:r w:rsidRPr="00D77B31">
        <w:rPr>
          <w:rFonts w:cs="Arial"/>
        </w:rPr>
        <w:t xml:space="preserve"> for different frequency ranges</w:t>
      </w:r>
      <w:bookmarkEnd w:id="364"/>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963"/>
        <w:gridCol w:w="5996"/>
      </w:tblGrid>
      <w:tr w:rsidR="009205C0" w:rsidRPr="00D77B31" w14:paraId="32DD517A" w14:textId="77777777" w:rsidTr="00AF06FB">
        <w:trPr>
          <w:jc w:val="center"/>
        </w:trPr>
        <w:tc>
          <w:tcPr>
            <w:tcW w:w="1963" w:type="dxa"/>
          </w:tcPr>
          <w:p w14:paraId="0BEA34AA" w14:textId="77777777" w:rsidR="009205C0" w:rsidRPr="00D77B31" w:rsidRDefault="009205C0" w:rsidP="00B91ED5">
            <w:pPr>
              <w:keepLines/>
              <w:ind w:left="284" w:hanging="284"/>
              <w:jc w:val="center"/>
              <w:rPr>
                <w:rFonts w:cs="Arial"/>
                <w:b/>
              </w:rPr>
            </w:pPr>
            <w:r w:rsidRPr="00D77B31">
              <w:rPr>
                <w:rFonts w:cs="Arial"/>
                <w:b/>
              </w:rPr>
              <w:t>Frequency Range</w:t>
            </w:r>
            <w:r w:rsidRPr="00D77B31">
              <w:rPr>
                <w:rFonts w:cs="Arial"/>
                <w:b/>
              </w:rPr>
              <w:br/>
              <w:t>(MHz)</w:t>
            </w:r>
          </w:p>
        </w:tc>
        <w:tc>
          <w:tcPr>
            <w:tcW w:w="5996" w:type="dxa"/>
            <w:vAlign w:val="center"/>
          </w:tcPr>
          <w:p w14:paraId="32F3179B" w14:textId="77777777" w:rsidR="009205C0" w:rsidRPr="00D77B31" w:rsidRDefault="009205C0" w:rsidP="00B91ED5">
            <w:pPr>
              <w:keepLines/>
              <w:ind w:left="284" w:hanging="284"/>
              <w:jc w:val="center"/>
              <w:rPr>
                <w:rFonts w:cs="Arial"/>
                <w:b/>
              </w:rPr>
            </w:pPr>
            <w:r w:rsidRPr="00D77B31">
              <w:rPr>
                <w:rFonts w:cs="Arial"/>
                <w:b/>
              </w:rPr>
              <w:t>Restricted distance</w:t>
            </w:r>
          </w:p>
        </w:tc>
      </w:tr>
      <w:tr w:rsidR="009205C0" w:rsidRPr="00D77B31" w14:paraId="1D9C0720" w14:textId="77777777" w:rsidTr="00AF06FB">
        <w:trPr>
          <w:jc w:val="center"/>
        </w:trPr>
        <w:tc>
          <w:tcPr>
            <w:tcW w:w="1963" w:type="dxa"/>
            <w:vAlign w:val="center"/>
          </w:tcPr>
          <w:p w14:paraId="6F8B89B0" w14:textId="77777777" w:rsidR="009205C0" w:rsidRPr="00D77B31" w:rsidRDefault="009205C0" w:rsidP="00B91ED5">
            <w:pPr>
              <w:keepLines/>
              <w:ind w:left="284" w:hanging="284"/>
              <w:jc w:val="center"/>
              <w:rPr>
                <w:rFonts w:cs="Arial"/>
              </w:rPr>
            </w:pPr>
            <w:r w:rsidRPr="00D77B31">
              <w:rPr>
                <w:rFonts w:cs="Arial"/>
              </w:rPr>
              <w:t>2200-2280</w:t>
            </w:r>
          </w:p>
        </w:tc>
        <w:tc>
          <w:tcPr>
            <w:tcW w:w="5996" w:type="dxa"/>
            <w:vAlign w:val="center"/>
          </w:tcPr>
          <w:p w14:paraId="572E1302" w14:textId="77777777" w:rsidR="009205C0" w:rsidRPr="00D77B31" w:rsidRDefault="009205C0" w:rsidP="00B91ED5">
            <w:pPr>
              <w:keepLines/>
              <w:ind w:left="284" w:hanging="284"/>
              <w:jc w:val="center"/>
              <w:rPr>
                <w:rFonts w:cs="Arial"/>
              </w:rPr>
            </w:pPr>
            <w:r w:rsidRPr="00D77B31">
              <w:rPr>
                <w:rFonts w:cs="Arial"/>
              </w:rPr>
              <w:t>150 km</w:t>
            </w:r>
          </w:p>
        </w:tc>
      </w:tr>
      <w:tr w:rsidR="009205C0" w:rsidRPr="00D77B31" w14:paraId="33B2D5FF" w14:textId="77777777" w:rsidTr="00AF06FB">
        <w:trPr>
          <w:jc w:val="center"/>
        </w:trPr>
        <w:tc>
          <w:tcPr>
            <w:tcW w:w="1963" w:type="dxa"/>
            <w:vAlign w:val="center"/>
          </w:tcPr>
          <w:p w14:paraId="05CA1079" w14:textId="77777777" w:rsidR="009205C0" w:rsidRPr="00D77B31" w:rsidRDefault="009205C0" w:rsidP="00B91ED5">
            <w:pPr>
              <w:keepLines/>
              <w:ind w:left="284" w:hanging="284"/>
              <w:jc w:val="center"/>
              <w:rPr>
                <w:rFonts w:cs="Arial"/>
              </w:rPr>
            </w:pPr>
            <w:r w:rsidRPr="00D77B31">
              <w:rPr>
                <w:rFonts w:cs="Arial"/>
              </w:rPr>
              <w:t>2280-2290</w:t>
            </w:r>
          </w:p>
        </w:tc>
        <w:tc>
          <w:tcPr>
            <w:tcW w:w="5996" w:type="dxa"/>
            <w:vAlign w:val="center"/>
          </w:tcPr>
          <w:p w14:paraId="33E6AE20" w14:textId="6623472E" w:rsidR="009205C0" w:rsidRPr="00D77B31" w:rsidRDefault="009205C0" w:rsidP="00442D4C">
            <w:pPr>
              <w:keepLines/>
              <w:ind w:left="284" w:hanging="284"/>
              <w:jc w:val="center"/>
              <w:rPr>
                <w:rFonts w:cs="Arial"/>
              </w:rPr>
            </w:pPr>
            <w:r w:rsidRPr="00D77B31">
              <w:rPr>
                <w:rFonts w:cs="Arial"/>
              </w:rPr>
              <w:t xml:space="preserve">North of </w:t>
            </w:r>
            <w:r w:rsidR="00442D4C" w:rsidRPr="00D77B31">
              <w:rPr>
                <w:rFonts w:cs="Arial"/>
              </w:rPr>
              <w:t xml:space="preserve">the </w:t>
            </w:r>
            <w:r w:rsidRPr="00D77B31">
              <w:rPr>
                <w:rFonts w:cs="Arial"/>
              </w:rPr>
              <w:t xml:space="preserve">New Norcia </w:t>
            </w:r>
            <w:r w:rsidR="00726125" w:rsidRPr="00D77B31">
              <w:rPr>
                <w:rFonts w:cs="Arial"/>
              </w:rPr>
              <w:t>earth station</w:t>
            </w:r>
            <w:r w:rsidRPr="00D77B31">
              <w:rPr>
                <w:rFonts w:cs="Arial"/>
              </w:rPr>
              <w:t xml:space="preserve"> and within 300</w:t>
            </w:r>
            <w:r w:rsidR="00442D4C" w:rsidRPr="00D77B31">
              <w:rPr>
                <w:rFonts w:cs="Arial"/>
              </w:rPr>
              <w:t> </w:t>
            </w:r>
            <w:r w:rsidRPr="00D77B31">
              <w:rPr>
                <w:rFonts w:cs="Arial"/>
              </w:rPr>
              <w:t>km</w:t>
            </w:r>
            <w:r w:rsidR="00442D4C" w:rsidRPr="00D77B31">
              <w:rPr>
                <w:rFonts w:cs="Arial"/>
              </w:rPr>
              <w:t xml:space="preserve"> </w:t>
            </w:r>
          </w:p>
        </w:tc>
      </w:tr>
      <w:tr w:rsidR="009205C0" w:rsidRPr="00D77B31" w14:paraId="1A729E20" w14:textId="77777777" w:rsidTr="00AF06FB">
        <w:trPr>
          <w:jc w:val="center"/>
        </w:trPr>
        <w:tc>
          <w:tcPr>
            <w:tcW w:w="1963" w:type="dxa"/>
            <w:vAlign w:val="center"/>
          </w:tcPr>
          <w:p w14:paraId="6EC85F57" w14:textId="77777777" w:rsidR="009205C0" w:rsidRPr="00D77B31" w:rsidRDefault="009205C0" w:rsidP="00B91ED5">
            <w:pPr>
              <w:keepLines/>
              <w:ind w:left="284" w:hanging="284"/>
              <w:jc w:val="center"/>
              <w:rPr>
                <w:rFonts w:cs="Arial"/>
              </w:rPr>
            </w:pPr>
            <w:r w:rsidRPr="00D77B31">
              <w:rPr>
                <w:rFonts w:cs="Arial"/>
              </w:rPr>
              <w:t>2290-2300</w:t>
            </w:r>
          </w:p>
        </w:tc>
        <w:tc>
          <w:tcPr>
            <w:tcW w:w="5996" w:type="dxa"/>
            <w:vAlign w:val="center"/>
          </w:tcPr>
          <w:p w14:paraId="17FE864B" w14:textId="77777777" w:rsidR="009205C0" w:rsidRPr="00D77B31" w:rsidRDefault="009205C0" w:rsidP="00B91ED5">
            <w:pPr>
              <w:keepLines/>
              <w:ind w:left="284" w:hanging="284"/>
              <w:jc w:val="center"/>
              <w:rPr>
                <w:rFonts w:cs="Arial"/>
              </w:rPr>
            </w:pPr>
            <w:r w:rsidRPr="00D77B31">
              <w:rPr>
                <w:rFonts w:cs="Arial"/>
              </w:rPr>
              <w:t>300 km</w:t>
            </w:r>
          </w:p>
        </w:tc>
      </w:tr>
    </w:tbl>
    <w:p w14:paraId="3A28F1EA" w14:textId="77777777" w:rsidR="009205C0" w:rsidRPr="00D77B31" w:rsidRDefault="009205C0" w:rsidP="009205C0">
      <w:pPr>
        <w:rPr>
          <w:rFonts w:cs="Arial"/>
        </w:rPr>
      </w:pPr>
    </w:p>
    <w:p w14:paraId="72818A97" w14:textId="171B26D4" w:rsidR="00722030" w:rsidRPr="00D77B31" w:rsidRDefault="00722030" w:rsidP="005555EA">
      <w:pPr>
        <w:pStyle w:val="ACMAFigureHeader"/>
        <w:keepNext/>
        <w:rPr>
          <w:rFonts w:cs="Arial"/>
        </w:rPr>
      </w:pPr>
      <w:bookmarkStart w:id="365" w:name="_Ref111026724"/>
      <w:r w:rsidRPr="00D77B31">
        <w:rPr>
          <w:rFonts w:cs="Arial"/>
        </w:rPr>
        <w:lastRenderedPageBreak/>
        <w:t xml:space="preserve">Restricted TOB areas around Mingenew </w:t>
      </w:r>
      <w:r w:rsidR="00726125" w:rsidRPr="00D77B31">
        <w:rPr>
          <w:rFonts w:cs="Arial"/>
        </w:rPr>
        <w:t>earth station</w:t>
      </w:r>
      <w:bookmarkEnd w:id="365"/>
    </w:p>
    <w:p w14:paraId="4FD57200" w14:textId="77777777" w:rsidR="009205C0" w:rsidRPr="00D77B31" w:rsidRDefault="00D05483" w:rsidP="009205C0">
      <w:pPr>
        <w:keepNext/>
        <w:jc w:val="center"/>
        <w:rPr>
          <w:rFonts w:cs="Arial"/>
        </w:rPr>
      </w:pPr>
      <w:r w:rsidRPr="00D77B31">
        <w:rPr>
          <w:rFonts w:cs="Arial"/>
          <w:noProof/>
        </w:rPr>
        <w:drawing>
          <wp:inline distT="0" distB="0" distL="0" distR="0" wp14:anchorId="07FD45A7" wp14:editId="1A65BF62">
            <wp:extent cx="4648200" cy="4381500"/>
            <wp:effectExtent l="19050" t="0" r="0" b="0"/>
            <wp:docPr id="6" name="Picture 1" descr="Coordination zones Mingenew"/>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oordination zones Mingenew"/>
                    <pic:cNvPicPr>
                      <a:picLocks noChangeAspect="1" noChangeArrowheads="1"/>
                    </pic:cNvPicPr>
                  </pic:nvPicPr>
                  <pic:blipFill>
                    <a:blip r:embed="rId44" cstate="print"/>
                    <a:srcRect/>
                    <a:stretch>
                      <a:fillRect/>
                    </a:stretch>
                  </pic:blipFill>
                  <pic:spPr bwMode="auto">
                    <a:xfrm>
                      <a:off x="0" y="0"/>
                      <a:ext cx="4648200" cy="4381500"/>
                    </a:xfrm>
                    <a:prstGeom prst="rect">
                      <a:avLst/>
                    </a:prstGeom>
                    <a:noFill/>
                    <a:ln w="9525">
                      <a:noFill/>
                      <a:miter lim="800000"/>
                      <a:headEnd/>
                      <a:tailEnd/>
                    </a:ln>
                  </pic:spPr>
                </pic:pic>
              </a:graphicData>
            </a:graphic>
          </wp:inline>
        </w:drawing>
      </w:r>
    </w:p>
    <w:p w14:paraId="2C5D97C8" w14:textId="77777777" w:rsidR="009205C0" w:rsidRPr="00D77B31" w:rsidRDefault="009205C0" w:rsidP="00C21FCE">
      <w:pPr>
        <w:rPr>
          <w:rFonts w:eastAsiaTheme="minorEastAsia" w:cs="Arial"/>
          <w:lang w:bidi="en-US"/>
        </w:rPr>
      </w:pPr>
    </w:p>
    <w:p w14:paraId="1D94AB06" w14:textId="1C622DDD" w:rsidR="009205C0" w:rsidRPr="00D77B31" w:rsidRDefault="009205C0" w:rsidP="008E2E44">
      <w:pPr>
        <w:pStyle w:val="Heading2noTOC"/>
      </w:pPr>
      <w:r w:rsidRPr="00D77B31">
        <w:t>C5.0</w:t>
      </w:r>
      <w:r w:rsidR="008E2E44" w:rsidRPr="00D77B31">
        <w:t xml:space="preserve"> </w:t>
      </w:r>
      <w:r w:rsidRPr="00D77B31">
        <w:t xml:space="preserve">Restricted area around Alice Springs </w:t>
      </w:r>
      <w:r w:rsidR="00726125" w:rsidRPr="00D77B31">
        <w:t>earth station</w:t>
      </w:r>
    </w:p>
    <w:p w14:paraId="0954E233" w14:textId="79D5A8A2" w:rsidR="009205C0" w:rsidRPr="00D77B31" w:rsidRDefault="00954438" w:rsidP="00C21FCE">
      <w:pPr>
        <w:rPr>
          <w:rFonts w:cs="Arial"/>
        </w:rPr>
      </w:pPr>
      <w:r w:rsidRPr="00D77B31">
        <w:rPr>
          <w:rFonts w:cs="Arial"/>
        </w:rPr>
        <w:t>TOB</w:t>
      </w:r>
      <w:r w:rsidR="009205C0" w:rsidRPr="00D77B31">
        <w:rPr>
          <w:rFonts w:cs="Arial"/>
        </w:rPr>
        <w:t xml:space="preserve"> services around the Alice Springs </w:t>
      </w:r>
      <w:r w:rsidR="00726125" w:rsidRPr="00D77B31">
        <w:rPr>
          <w:rFonts w:cs="Arial"/>
        </w:rPr>
        <w:t>earth station</w:t>
      </w:r>
      <w:r w:rsidR="009205C0" w:rsidRPr="00D77B31">
        <w:rPr>
          <w:rFonts w:cs="Arial"/>
        </w:rPr>
        <w:t xml:space="preserve"> must not operate in the band</w:t>
      </w:r>
      <w:r w:rsidR="00D858E6" w:rsidRPr="00D77B31">
        <w:rPr>
          <w:rFonts w:cs="Arial"/>
        </w:rPr>
        <w:t>s 2281.2-2283.4 MHz and</w:t>
      </w:r>
      <w:r w:rsidR="009205C0" w:rsidRPr="00D77B31">
        <w:rPr>
          <w:rFonts w:cs="Arial"/>
        </w:rPr>
        <w:t xml:space="preserve"> 2286.5</w:t>
      </w:r>
      <w:r w:rsidR="009205C0" w:rsidRPr="00D77B31">
        <w:rPr>
          <w:rFonts w:cs="Arial"/>
        </w:rPr>
        <w:noBreakHyphen/>
        <w:t xml:space="preserve">2288.5 MHz within 150 km radius of the Alice Springs </w:t>
      </w:r>
      <w:r w:rsidR="00726125" w:rsidRPr="00D77B31">
        <w:rPr>
          <w:rFonts w:cs="Arial"/>
        </w:rPr>
        <w:t>earth station</w:t>
      </w:r>
      <w:r w:rsidR="009205C0" w:rsidRPr="00D77B31">
        <w:rPr>
          <w:rFonts w:cs="Arial"/>
        </w:rPr>
        <w:t>.</w:t>
      </w:r>
    </w:p>
    <w:p w14:paraId="15284935" w14:textId="3B0CBEF1" w:rsidR="009205C0" w:rsidRPr="00D77B31" w:rsidRDefault="009205C0" w:rsidP="009205C0">
      <w:pPr>
        <w:rPr>
          <w:rFonts w:cs="Arial"/>
        </w:rPr>
      </w:pPr>
      <w:r w:rsidRPr="00D77B31">
        <w:rPr>
          <w:rFonts w:cs="Arial"/>
        </w:rPr>
        <w:t>Alice Springs Earth Station also transmits in the band 2200-2300 MHz</w:t>
      </w:r>
      <w:r w:rsidR="00E30E8E" w:rsidRPr="00D77B31">
        <w:rPr>
          <w:rFonts w:cs="Arial"/>
        </w:rPr>
        <w:t xml:space="preserve">. </w:t>
      </w:r>
      <w:r w:rsidR="00954438" w:rsidRPr="00D77B31">
        <w:rPr>
          <w:rFonts w:cs="Arial"/>
        </w:rPr>
        <w:t>TOB</w:t>
      </w:r>
      <w:r w:rsidRPr="00D77B31">
        <w:rPr>
          <w:rFonts w:cs="Arial"/>
        </w:rPr>
        <w:t xml:space="preserve"> services that operate fully or partly in the band 2284.5-2290.5 MHz will not be afforded protection from the </w:t>
      </w:r>
      <w:r w:rsidR="00726125" w:rsidRPr="00D77B31">
        <w:rPr>
          <w:rFonts w:cs="Arial"/>
        </w:rPr>
        <w:t>earth station</w:t>
      </w:r>
      <w:r w:rsidRPr="00D77B31">
        <w:rPr>
          <w:rFonts w:cs="Arial"/>
        </w:rPr>
        <w:t>.</w:t>
      </w:r>
    </w:p>
    <w:p w14:paraId="12274F5D" w14:textId="45F0ECDB" w:rsidR="009205C0" w:rsidRPr="00D77B31" w:rsidRDefault="009205C0" w:rsidP="008E2E44">
      <w:pPr>
        <w:pStyle w:val="Heading2noTOC"/>
      </w:pPr>
      <w:r w:rsidRPr="00D77B31">
        <w:t xml:space="preserve">C6.0 Cerberus </w:t>
      </w:r>
      <w:r w:rsidR="00726125" w:rsidRPr="00D77B31">
        <w:t>earth station</w:t>
      </w:r>
      <w:r w:rsidRPr="00D77B31">
        <w:t xml:space="preserve"> </w:t>
      </w:r>
    </w:p>
    <w:p w14:paraId="35BE42A4" w14:textId="15BF1F9A" w:rsidR="00A01153" w:rsidRPr="00D77B31" w:rsidRDefault="009205C0" w:rsidP="005079A9">
      <w:pPr>
        <w:rPr>
          <w:rFonts w:cs="Arial"/>
        </w:rPr>
      </w:pPr>
      <w:r w:rsidRPr="00D77B31">
        <w:rPr>
          <w:rFonts w:cs="Arial"/>
        </w:rPr>
        <w:t xml:space="preserve">The Cerberus </w:t>
      </w:r>
      <w:r w:rsidR="00726125" w:rsidRPr="00D77B31">
        <w:rPr>
          <w:rFonts w:cs="Arial"/>
        </w:rPr>
        <w:t>earth station</w:t>
      </w:r>
      <w:r w:rsidRPr="00D77B31">
        <w:rPr>
          <w:rFonts w:cs="Arial"/>
        </w:rPr>
        <w:t xml:space="preserve"> </w:t>
      </w:r>
      <w:r w:rsidR="00442D4C" w:rsidRPr="00D77B31">
        <w:rPr>
          <w:rFonts w:cs="Arial"/>
        </w:rPr>
        <w:t xml:space="preserve">does not operate </w:t>
      </w:r>
      <w:r w:rsidRPr="00D77B31">
        <w:rPr>
          <w:rFonts w:cs="Arial"/>
        </w:rPr>
        <w:t>in the band 2200-2300 MHz</w:t>
      </w:r>
      <w:r w:rsidR="00E30E8E" w:rsidRPr="00D77B31">
        <w:rPr>
          <w:rFonts w:cs="Arial"/>
        </w:rPr>
        <w:t xml:space="preserve">. </w:t>
      </w:r>
      <w:r w:rsidRPr="00D77B31">
        <w:rPr>
          <w:rFonts w:cs="Arial"/>
        </w:rPr>
        <w:t xml:space="preserve">TOB may operate in this band without the need to coordinate use with the Cerberus </w:t>
      </w:r>
      <w:r w:rsidR="00726125" w:rsidRPr="00D77B31">
        <w:rPr>
          <w:rFonts w:cs="Arial"/>
        </w:rPr>
        <w:t>earth station</w:t>
      </w:r>
      <w:r w:rsidR="00491188" w:rsidRPr="00D77B31">
        <w:rPr>
          <w:rFonts w:cs="Arial"/>
        </w:rPr>
        <w:t>.</w:t>
      </w:r>
    </w:p>
    <w:p w14:paraId="5E1787B9" w14:textId="2FA8CE90" w:rsidR="001C5D65" w:rsidRPr="00D77B31" w:rsidRDefault="001C5D65" w:rsidP="007949EF">
      <w:pPr>
        <w:pStyle w:val="Heading1"/>
        <w:numPr>
          <w:ilvl w:val="0"/>
          <w:numId w:val="0"/>
        </w:numPr>
      </w:pPr>
      <w:bookmarkStart w:id="366" w:name="_Toc111710894"/>
      <w:r w:rsidRPr="00D77B31">
        <w:lastRenderedPageBreak/>
        <w:t>Appendix D: Coordination between a</w:t>
      </w:r>
      <w:r w:rsidR="000A3654" w:rsidRPr="00D77B31">
        <w:t xml:space="preserve"> high power</w:t>
      </w:r>
      <w:r w:rsidRPr="00D77B31">
        <w:t xml:space="preserve"> TOB Station and Fixed Point</w:t>
      </w:r>
      <w:r w:rsidR="00541D9E" w:rsidRPr="00D77B31">
        <w:noBreakHyphen/>
      </w:r>
      <w:r w:rsidRPr="00D77B31">
        <w:t>to</w:t>
      </w:r>
      <w:r w:rsidR="00541D9E" w:rsidRPr="00D77B31">
        <w:noBreakHyphen/>
      </w:r>
      <w:r w:rsidRPr="00D77B31">
        <w:t>Point links in the bands 2010-2110 MHz and 2200-2300 MHz</w:t>
      </w:r>
      <w:bookmarkEnd w:id="366"/>
    </w:p>
    <w:p w14:paraId="7848F271" w14:textId="77777777" w:rsidR="00341D73" w:rsidRPr="00D77B31" w:rsidRDefault="00341D73" w:rsidP="000A3654">
      <w:pPr>
        <w:rPr>
          <w:rFonts w:cs="Arial"/>
        </w:rPr>
      </w:pPr>
      <w:r w:rsidRPr="00D77B31">
        <w:rPr>
          <w:rFonts w:cs="Arial"/>
        </w:rPr>
        <w:t xml:space="preserve">All high power </w:t>
      </w:r>
      <w:r w:rsidR="00EE7043" w:rsidRPr="00D77B31">
        <w:rPr>
          <w:rFonts w:cs="Arial"/>
        </w:rPr>
        <w:t>TOB transmitters</w:t>
      </w:r>
      <w:r w:rsidRPr="00D77B31">
        <w:rPr>
          <w:rFonts w:cs="Arial"/>
        </w:rPr>
        <w:t xml:space="preserve"> </w:t>
      </w:r>
      <w:r w:rsidR="00E3073C" w:rsidRPr="00D77B31">
        <w:rPr>
          <w:rFonts w:cs="Arial"/>
        </w:rPr>
        <w:t xml:space="preserve">outside the </w:t>
      </w:r>
      <w:r w:rsidR="00D60608" w:rsidRPr="00D77B31">
        <w:rPr>
          <w:rFonts w:cs="Arial"/>
        </w:rPr>
        <w:t xml:space="preserve">fixed link </w:t>
      </w:r>
      <w:r w:rsidR="00E3073C" w:rsidRPr="00D77B31">
        <w:rPr>
          <w:rFonts w:cs="Arial"/>
        </w:rPr>
        <w:t xml:space="preserve">clearance areas </w:t>
      </w:r>
      <w:r w:rsidRPr="00D77B31">
        <w:rPr>
          <w:rFonts w:cs="Arial"/>
        </w:rPr>
        <w:t>need to coordinate their usage with existing fixed links. The coordination procedure is detailed in Section 4 of RALI FX3 (</w:t>
      </w:r>
      <w:hyperlink r:id="rId45" w:history="1">
        <w:r w:rsidR="00946118" w:rsidRPr="00D77B31">
          <w:rPr>
            <w:rStyle w:val="Hyperlink"/>
            <w:rFonts w:cs="Arial"/>
          </w:rPr>
          <w:t>http://www.acma.gov.au/theACMA/rali-fx3</w:t>
        </w:r>
      </w:hyperlink>
      <w:r w:rsidRPr="00D77B31">
        <w:rPr>
          <w:rFonts w:cs="Arial"/>
        </w:rPr>
        <w:t>) and is summarised below.</w:t>
      </w:r>
    </w:p>
    <w:p w14:paraId="3CCE4D7C" w14:textId="77777777" w:rsidR="000A3654" w:rsidRPr="00D77B31" w:rsidRDefault="00341D73" w:rsidP="000A3654">
      <w:pPr>
        <w:rPr>
          <w:rFonts w:cs="Arial"/>
        </w:rPr>
      </w:pPr>
      <w:r w:rsidRPr="00D77B31">
        <w:rPr>
          <w:rFonts w:cs="Arial"/>
        </w:rPr>
        <w:t>Each TOB service must follow the</w:t>
      </w:r>
      <w:r w:rsidR="00C732DF" w:rsidRPr="00D77B31">
        <w:rPr>
          <w:rFonts w:cs="Arial"/>
        </w:rPr>
        <w:t xml:space="preserve"> four step</w:t>
      </w:r>
      <w:r w:rsidRPr="00D77B31">
        <w:rPr>
          <w:rFonts w:cs="Arial"/>
        </w:rPr>
        <w:t xml:space="preserve"> procedure set out below before commencing operation outside of the fixed point-to-point clearance area boundary</w:t>
      </w:r>
      <w:r w:rsidR="00C732DF" w:rsidRPr="00D77B31">
        <w:rPr>
          <w:rFonts w:cs="Arial"/>
        </w:rPr>
        <w:t xml:space="preserve"> or in scenarios outlined in section 5.3.2 which require detailed coordination</w:t>
      </w:r>
      <w:r w:rsidRPr="00D77B31">
        <w:rPr>
          <w:rFonts w:cs="Arial"/>
        </w:rPr>
        <w:t>.</w:t>
      </w:r>
    </w:p>
    <w:p w14:paraId="21A70B48" w14:textId="77777777" w:rsidR="009A6C8E" w:rsidRPr="00D77B31" w:rsidRDefault="00251AC1">
      <w:pPr>
        <w:rPr>
          <w:rFonts w:cs="Arial"/>
        </w:rPr>
      </w:pPr>
      <w:r w:rsidRPr="00D77B31">
        <w:rPr>
          <w:rFonts w:cs="Arial"/>
          <w:b/>
        </w:rPr>
        <w:t>1.</w:t>
      </w:r>
      <w:r w:rsidR="00C24097" w:rsidRPr="00D77B31">
        <w:rPr>
          <w:rFonts w:cs="Arial"/>
          <w:b/>
        </w:rPr>
        <w:t xml:space="preserve"> </w:t>
      </w:r>
      <w:r w:rsidR="006159DA" w:rsidRPr="00D77B31">
        <w:rPr>
          <w:rFonts w:cs="Arial"/>
        </w:rPr>
        <w:t>Identify potentially affected services in the Register of Radiocommunication Licenses</w:t>
      </w:r>
      <w:r w:rsidR="003B274D" w:rsidRPr="00D77B31">
        <w:rPr>
          <w:rStyle w:val="FootnoteReference"/>
          <w:rFonts w:cs="Arial"/>
        </w:rPr>
        <w:footnoteReference w:id="27"/>
      </w:r>
      <w:r w:rsidRPr="00D77B31">
        <w:rPr>
          <w:rFonts w:cs="Arial"/>
        </w:rPr>
        <w:t xml:space="preserve"> within a distance of 200 km from the proposed TOB service</w:t>
      </w:r>
      <w:r w:rsidR="00E30E8E" w:rsidRPr="00D77B31">
        <w:rPr>
          <w:rFonts w:cs="Arial"/>
        </w:rPr>
        <w:t xml:space="preserve">. </w:t>
      </w:r>
      <w:r w:rsidRPr="00D77B31">
        <w:rPr>
          <w:rFonts w:cs="Arial"/>
        </w:rPr>
        <w:t>This should include all services ±29 MHz from the proposed new frequency</w:t>
      </w:r>
      <w:r w:rsidR="00E30E8E" w:rsidRPr="00D77B31">
        <w:rPr>
          <w:rFonts w:cs="Arial"/>
        </w:rPr>
        <w:t xml:space="preserve">. </w:t>
      </w:r>
      <w:r w:rsidRPr="00D77B31">
        <w:rPr>
          <w:rFonts w:cs="Arial"/>
        </w:rPr>
        <w:t>This can potentially mean fixed point-to-point links in the 2.1 GHz and 2.2 GHz bands.</w:t>
      </w:r>
    </w:p>
    <w:p w14:paraId="684D8D4D" w14:textId="77777777" w:rsidR="000A3654" w:rsidRPr="00D77B31" w:rsidRDefault="000A3654" w:rsidP="000A3654">
      <w:pPr>
        <w:rPr>
          <w:rFonts w:cs="Arial"/>
        </w:rPr>
      </w:pPr>
      <w:r w:rsidRPr="00D77B31">
        <w:rPr>
          <w:rFonts w:cs="Arial"/>
          <w:b/>
        </w:rPr>
        <w:t>2.</w:t>
      </w:r>
      <w:r w:rsidRPr="00D77B31">
        <w:rPr>
          <w:rFonts w:cs="Arial"/>
        </w:rPr>
        <w:t xml:space="preserve"> Ca</w:t>
      </w:r>
      <w:r w:rsidR="003B6358" w:rsidRPr="00D77B31">
        <w:rPr>
          <w:rFonts w:cs="Arial"/>
        </w:rPr>
        <w:t xml:space="preserve">lculate received signal levels of the </w:t>
      </w:r>
      <w:r w:rsidRPr="00D77B31">
        <w:rPr>
          <w:rFonts w:cs="Arial"/>
        </w:rPr>
        <w:t>wanted</w:t>
      </w:r>
      <w:r w:rsidR="003B6358" w:rsidRPr="00D77B31">
        <w:rPr>
          <w:rFonts w:cs="Arial"/>
        </w:rPr>
        <w:t xml:space="preserve"> (W)</w:t>
      </w:r>
      <w:r w:rsidRPr="00D77B31">
        <w:rPr>
          <w:rFonts w:cs="Arial"/>
        </w:rPr>
        <w:t xml:space="preserve"> and unwanted</w:t>
      </w:r>
      <w:r w:rsidR="003B6358" w:rsidRPr="00D77B31">
        <w:rPr>
          <w:rFonts w:cs="Arial"/>
        </w:rPr>
        <w:t xml:space="preserve"> (U)</w:t>
      </w:r>
      <w:r w:rsidRPr="00D77B31">
        <w:rPr>
          <w:rFonts w:cs="Arial"/>
        </w:rPr>
        <w:t xml:space="preserve"> using the formula:</w:t>
      </w:r>
    </w:p>
    <w:p w14:paraId="6B660158" w14:textId="77777777" w:rsidR="000A3654" w:rsidRPr="00D77B31" w:rsidRDefault="00E41323" w:rsidP="000A3654">
      <w:pPr>
        <w:jc w:val="center"/>
        <w:rPr>
          <w:rFonts w:cs="Arial"/>
          <w:b/>
        </w:rPr>
      </w:pPr>
      <w:proofErr w:type="spellStart"/>
      <w:r w:rsidRPr="00D77B31">
        <w:rPr>
          <w:rFonts w:cs="Arial"/>
          <w:b/>
        </w:rPr>
        <w:t>P</w:t>
      </w:r>
      <w:r w:rsidRPr="00D77B31">
        <w:rPr>
          <w:rFonts w:cs="Arial"/>
          <w:b/>
          <w:i/>
          <w:vertAlign w:val="subscript"/>
        </w:rPr>
        <w:t>r</w:t>
      </w:r>
      <w:proofErr w:type="spellEnd"/>
      <w:r w:rsidRPr="00D77B31">
        <w:rPr>
          <w:rFonts w:cs="Arial"/>
          <w:b/>
        </w:rPr>
        <w:t xml:space="preserve"> = P</w:t>
      </w:r>
      <w:r w:rsidRPr="00D77B31">
        <w:rPr>
          <w:rFonts w:cs="Arial"/>
          <w:b/>
          <w:i/>
          <w:vertAlign w:val="subscript"/>
        </w:rPr>
        <w:t>t</w:t>
      </w:r>
      <w:r w:rsidRPr="00D77B31">
        <w:rPr>
          <w:rFonts w:cs="Arial"/>
          <w:b/>
        </w:rPr>
        <w:t xml:space="preserve"> + G</w:t>
      </w:r>
      <w:r w:rsidRPr="00D77B31">
        <w:rPr>
          <w:rFonts w:cs="Arial"/>
          <w:b/>
          <w:i/>
          <w:vertAlign w:val="subscript"/>
        </w:rPr>
        <w:t>t</w:t>
      </w:r>
      <w:r w:rsidRPr="00D77B31">
        <w:rPr>
          <w:rFonts w:cs="Arial"/>
          <w:b/>
        </w:rPr>
        <w:t xml:space="preserve"> - L</w:t>
      </w:r>
      <w:r w:rsidRPr="00D77B31">
        <w:rPr>
          <w:rFonts w:cs="Arial"/>
          <w:b/>
          <w:i/>
          <w:vertAlign w:val="subscript"/>
        </w:rPr>
        <w:t>t</w:t>
      </w:r>
      <w:r w:rsidRPr="00D77B31">
        <w:rPr>
          <w:rFonts w:cs="Arial"/>
          <w:b/>
        </w:rPr>
        <w:t xml:space="preserve"> – </w:t>
      </w:r>
      <w:proofErr w:type="spellStart"/>
      <w:r w:rsidRPr="00D77B31">
        <w:rPr>
          <w:rFonts w:cs="Arial"/>
          <w:b/>
        </w:rPr>
        <w:t>L</w:t>
      </w:r>
      <w:r w:rsidRPr="00D77B31">
        <w:rPr>
          <w:rFonts w:cs="Arial"/>
          <w:b/>
          <w:i/>
          <w:vertAlign w:val="subscript"/>
        </w:rPr>
        <w:t>p</w:t>
      </w:r>
      <w:proofErr w:type="spellEnd"/>
      <w:r w:rsidRPr="00D77B31">
        <w:rPr>
          <w:rFonts w:cs="Arial"/>
          <w:b/>
        </w:rPr>
        <w:t xml:space="preserve"> + G</w:t>
      </w:r>
      <w:r w:rsidRPr="00D77B31">
        <w:rPr>
          <w:rFonts w:cs="Arial"/>
          <w:b/>
          <w:i/>
          <w:vertAlign w:val="subscript"/>
        </w:rPr>
        <w:t>r</w:t>
      </w:r>
      <w:r w:rsidRPr="00D77B31">
        <w:rPr>
          <w:rFonts w:cs="Arial"/>
          <w:b/>
        </w:rPr>
        <w:t xml:space="preserve"> - L</w:t>
      </w:r>
      <w:r w:rsidRPr="00D77B31">
        <w:rPr>
          <w:rFonts w:cs="Arial"/>
          <w:b/>
          <w:i/>
          <w:vertAlign w:val="subscript"/>
        </w:rPr>
        <w:t>r</w:t>
      </w:r>
    </w:p>
    <w:p w14:paraId="434E7785" w14:textId="77777777" w:rsidR="000A3654" w:rsidRPr="00D77B31" w:rsidRDefault="000A3654" w:rsidP="000A3654">
      <w:pPr>
        <w:rPr>
          <w:rFonts w:cs="Arial"/>
        </w:rPr>
      </w:pPr>
      <w:r w:rsidRPr="00D77B31">
        <w:rPr>
          <w:rFonts w:cs="Arial"/>
        </w:rPr>
        <w:t>where :</w:t>
      </w:r>
    </w:p>
    <w:p w14:paraId="344BFF1C" w14:textId="5001AF80" w:rsidR="000A3654" w:rsidRPr="00D77B31" w:rsidRDefault="000A3654" w:rsidP="000A3654">
      <w:pPr>
        <w:rPr>
          <w:rFonts w:cs="Arial"/>
        </w:rPr>
      </w:pPr>
      <w:r w:rsidRPr="00D77B31">
        <w:rPr>
          <w:rFonts w:cs="Arial"/>
        </w:rPr>
        <w:tab/>
      </w:r>
      <w:proofErr w:type="spellStart"/>
      <w:r w:rsidRPr="00D77B31">
        <w:rPr>
          <w:rFonts w:cs="Arial"/>
          <w:b/>
        </w:rPr>
        <w:t>P</w:t>
      </w:r>
      <w:r w:rsidRPr="00D77B31">
        <w:rPr>
          <w:rFonts w:cs="Arial"/>
          <w:b/>
          <w:i/>
          <w:vertAlign w:val="subscript"/>
        </w:rPr>
        <w:t>r</w:t>
      </w:r>
      <w:proofErr w:type="spellEnd"/>
      <w:r w:rsidRPr="00D77B31">
        <w:rPr>
          <w:rFonts w:cs="Arial"/>
        </w:rPr>
        <w:t xml:space="preserve">  </w:t>
      </w:r>
      <w:r w:rsidRPr="00D77B31">
        <w:rPr>
          <w:rFonts w:cs="Arial"/>
        </w:rPr>
        <w:tab/>
        <w:t>RF signal power at the input to the receiver (dBm)</w:t>
      </w:r>
      <w:r w:rsidRPr="00D77B31">
        <w:rPr>
          <w:rFonts w:cs="Arial"/>
        </w:rPr>
        <w:br/>
      </w:r>
      <w:r w:rsidRPr="00D77B31">
        <w:rPr>
          <w:rFonts w:cs="Arial"/>
        </w:rPr>
        <w:tab/>
      </w:r>
      <w:r w:rsidRPr="00D77B31">
        <w:rPr>
          <w:rFonts w:cs="Arial"/>
          <w:b/>
        </w:rPr>
        <w:t>P</w:t>
      </w:r>
      <w:r w:rsidRPr="00D77B31">
        <w:rPr>
          <w:rFonts w:cs="Arial"/>
          <w:b/>
          <w:i/>
          <w:vertAlign w:val="subscript"/>
        </w:rPr>
        <w:t>t</w:t>
      </w:r>
      <w:r w:rsidRPr="00D77B31">
        <w:rPr>
          <w:rFonts w:cs="Arial"/>
        </w:rPr>
        <w:t xml:space="preserve">  </w:t>
      </w:r>
      <w:r w:rsidRPr="00D77B31">
        <w:rPr>
          <w:rFonts w:cs="Arial"/>
        </w:rPr>
        <w:tab/>
        <w:t>RF signal power at the output of the transmitter (dBm)</w:t>
      </w:r>
      <w:r w:rsidRPr="00D77B31">
        <w:rPr>
          <w:rFonts w:cs="Arial"/>
        </w:rPr>
        <w:br/>
      </w:r>
      <w:r w:rsidRPr="00D77B31">
        <w:rPr>
          <w:rFonts w:cs="Arial"/>
        </w:rPr>
        <w:tab/>
      </w:r>
      <w:r w:rsidRPr="00D77B31">
        <w:rPr>
          <w:rFonts w:cs="Arial"/>
          <w:b/>
        </w:rPr>
        <w:t>G</w:t>
      </w:r>
      <w:r w:rsidRPr="00D77B31">
        <w:rPr>
          <w:rFonts w:cs="Arial"/>
          <w:b/>
          <w:i/>
          <w:vertAlign w:val="subscript"/>
        </w:rPr>
        <w:t>t</w:t>
      </w:r>
      <w:r w:rsidRPr="00D77B31">
        <w:rPr>
          <w:rFonts w:cs="Arial"/>
          <w:b/>
        </w:rPr>
        <w:t xml:space="preserve"> </w:t>
      </w:r>
      <w:r w:rsidRPr="00D77B31">
        <w:rPr>
          <w:rFonts w:cs="Arial"/>
        </w:rPr>
        <w:t xml:space="preserve"> </w:t>
      </w:r>
      <w:r w:rsidRPr="00D77B31">
        <w:rPr>
          <w:rFonts w:cs="Arial"/>
        </w:rPr>
        <w:tab/>
        <w:t>gain of the transmitting antenna in the azimuth of the receiver (</w:t>
      </w:r>
      <w:proofErr w:type="spellStart"/>
      <w:r w:rsidRPr="00D77B31">
        <w:rPr>
          <w:rFonts w:cs="Arial"/>
        </w:rPr>
        <w:t>dBi</w:t>
      </w:r>
      <w:proofErr w:type="spellEnd"/>
      <w:r w:rsidRPr="00D77B31">
        <w:rPr>
          <w:rFonts w:cs="Arial"/>
        </w:rPr>
        <w:t>)</w:t>
      </w:r>
    </w:p>
    <w:p w14:paraId="6286AE2F" w14:textId="6BB68E99" w:rsidR="000A3654" w:rsidRPr="00D77B31" w:rsidRDefault="000A3654" w:rsidP="000A3654">
      <w:pPr>
        <w:rPr>
          <w:rFonts w:cs="Arial"/>
        </w:rPr>
      </w:pPr>
      <w:r w:rsidRPr="00D77B31">
        <w:rPr>
          <w:rFonts w:cs="Arial"/>
        </w:rPr>
        <w:tab/>
      </w:r>
      <w:r w:rsidRPr="00D77B31">
        <w:rPr>
          <w:rFonts w:cs="Arial"/>
          <w:b/>
        </w:rPr>
        <w:t>L</w:t>
      </w:r>
      <w:r w:rsidRPr="00D77B31">
        <w:rPr>
          <w:rFonts w:cs="Arial"/>
          <w:b/>
          <w:i/>
          <w:vertAlign w:val="subscript"/>
        </w:rPr>
        <w:t>t</w:t>
      </w:r>
      <w:r w:rsidRPr="00D77B31">
        <w:rPr>
          <w:rFonts w:cs="Arial"/>
          <w:b/>
        </w:rPr>
        <w:t xml:space="preserve"> </w:t>
      </w:r>
      <w:r w:rsidRPr="00D77B31">
        <w:rPr>
          <w:rFonts w:cs="Arial"/>
        </w:rPr>
        <w:tab/>
        <w:t>feeder and branching losses associated with the transmitter (dB)</w:t>
      </w:r>
    </w:p>
    <w:p w14:paraId="63D5392F" w14:textId="55898043" w:rsidR="000A3654" w:rsidRPr="00D77B31" w:rsidRDefault="000A3654" w:rsidP="000A3654">
      <w:pPr>
        <w:rPr>
          <w:rFonts w:cs="Arial"/>
        </w:rPr>
      </w:pPr>
      <w:r w:rsidRPr="00D77B31">
        <w:rPr>
          <w:rFonts w:cs="Arial"/>
        </w:rPr>
        <w:tab/>
      </w:r>
      <w:proofErr w:type="spellStart"/>
      <w:r w:rsidRPr="00D77B31">
        <w:rPr>
          <w:rFonts w:cs="Arial"/>
          <w:b/>
        </w:rPr>
        <w:t>L</w:t>
      </w:r>
      <w:r w:rsidR="005018E9" w:rsidRPr="00D77B31">
        <w:rPr>
          <w:rFonts w:cs="Arial"/>
          <w:b/>
          <w:vertAlign w:val="subscript"/>
        </w:rPr>
        <w:t>p</w:t>
      </w:r>
      <w:proofErr w:type="spellEnd"/>
      <w:r w:rsidRPr="00D77B31">
        <w:rPr>
          <w:rFonts w:cs="Arial"/>
        </w:rPr>
        <w:t xml:space="preserve">  </w:t>
      </w:r>
      <w:r w:rsidRPr="00D77B31">
        <w:rPr>
          <w:rFonts w:cs="Arial"/>
        </w:rPr>
        <w:tab/>
        <w:t xml:space="preserve">total </w:t>
      </w:r>
      <w:r w:rsidR="005018E9" w:rsidRPr="00D77B31">
        <w:rPr>
          <w:rFonts w:cs="Arial"/>
        </w:rPr>
        <w:t>path</w:t>
      </w:r>
      <w:r w:rsidRPr="00D77B31">
        <w:rPr>
          <w:rFonts w:cs="Arial"/>
        </w:rPr>
        <w:t xml:space="preserve"> loss between the transmit and receive antennas (dB)</w:t>
      </w:r>
    </w:p>
    <w:p w14:paraId="05FFA070" w14:textId="170A6DC6" w:rsidR="000A3654" w:rsidRPr="00D77B31" w:rsidRDefault="000A3654" w:rsidP="000A3654">
      <w:pPr>
        <w:rPr>
          <w:rFonts w:cs="Arial"/>
        </w:rPr>
      </w:pPr>
      <w:r w:rsidRPr="00D77B31">
        <w:rPr>
          <w:rFonts w:cs="Arial"/>
        </w:rPr>
        <w:tab/>
      </w:r>
      <w:r w:rsidRPr="00D77B31">
        <w:rPr>
          <w:rFonts w:cs="Arial"/>
          <w:b/>
        </w:rPr>
        <w:t>G</w:t>
      </w:r>
      <w:r w:rsidRPr="00D77B31">
        <w:rPr>
          <w:rFonts w:cs="Arial"/>
          <w:b/>
          <w:i/>
          <w:vertAlign w:val="subscript"/>
        </w:rPr>
        <w:t>r</w:t>
      </w:r>
      <w:r w:rsidRPr="00D77B31">
        <w:rPr>
          <w:rFonts w:cs="Arial"/>
          <w:b/>
        </w:rPr>
        <w:t xml:space="preserve"> </w:t>
      </w:r>
      <w:r w:rsidRPr="00D77B31">
        <w:rPr>
          <w:rFonts w:cs="Arial"/>
        </w:rPr>
        <w:t xml:space="preserve"> </w:t>
      </w:r>
      <w:r w:rsidRPr="00D77B31">
        <w:rPr>
          <w:rFonts w:cs="Arial"/>
        </w:rPr>
        <w:tab/>
        <w:t>gain of the receiving antenna in the azimuth of the transmitter (</w:t>
      </w:r>
      <w:proofErr w:type="spellStart"/>
      <w:r w:rsidRPr="00D77B31">
        <w:rPr>
          <w:rFonts w:cs="Arial"/>
        </w:rPr>
        <w:t>dBi</w:t>
      </w:r>
      <w:proofErr w:type="spellEnd"/>
      <w:r w:rsidRPr="00D77B31">
        <w:rPr>
          <w:rFonts w:cs="Arial"/>
        </w:rPr>
        <w:t>)</w:t>
      </w:r>
    </w:p>
    <w:p w14:paraId="3ABA8C6E" w14:textId="0621F9D5" w:rsidR="000A3654" w:rsidRPr="00D77B31" w:rsidRDefault="000A3654" w:rsidP="000A3654">
      <w:pPr>
        <w:rPr>
          <w:rFonts w:cs="Arial"/>
        </w:rPr>
      </w:pPr>
      <w:r w:rsidRPr="00D77B31">
        <w:rPr>
          <w:rFonts w:cs="Arial"/>
        </w:rPr>
        <w:tab/>
      </w:r>
      <w:r w:rsidRPr="00D77B31">
        <w:rPr>
          <w:rFonts w:cs="Arial"/>
          <w:b/>
        </w:rPr>
        <w:t>L</w:t>
      </w:r>
      <w:r w:rsidRPr="00D77B31">
        <w:rPr>
          <w:rFonts w:cs="Arial"/>
          <w:b/>
          <w:i/>
          <w:vertAlign w:val="subscript"/>
        </w:rPr>
        <w:t>r</w:t>
      </w:r>
      <w:r w:rsidRPr="00D77B31">
        <w:rPr>
          <w:rFonts w:cs="Arial"/>
        </w:rPr>
        <w:t xml:space="preserve">  </w:t>
      </w:r>
      <w:r w:rsidRPr="00D77B31">
        <w:rPr>
          <w:rFonts w:cs="Arial"/>
        </w:rPr>
        <w:tab/>
        <w:t>feeder and branching losses associated with the receiver (dB)</w:t>
      </w:r>
    </w:p>
    <w:p w14:paraId="21AA2417" w14:textId="77777777" w:rsidR="000A3654" w:rsidRPr="00D77B31" w:rsidRDefault="000A3654" w:rsidP="000A3654">
      <w:pPr>
        <w:rPr>
          <w:rFonts w:cs="Arial"/>
        </w:rPr>
      </w:pPr>
    </w:p>
    <w:p w14:paraId="17374ED0" w14:textId="77777777" w:rsidR="00C24097" w:rsidRPr="00D77B31" w:rsidRDefault="008B6D40" w:rsidP="000A3654">
      <w:pPr>
        <w:rPr>
          <w:rFonts w:cs="Arial"/>
        </w:rPr>
      </w:pPr>
      <w:proofErr w:type="spellStart"/>
      <w:r w:rsidRPr="00D77B31">
        <w:rPr>
          <w:rFonts w:cs="Arial"/>
        </w:rPr>
        <w:t>L</w:t>
      </w:r>
      <w:r w:rsidRPr="00D77B31">
        <w:rPr>
          <w:rFonts w:cs="Arial"/>
          <w:vertAlign w:val="subscript"/>
        </w:rPr>
        <w:t>p</w:t>
      </w:r>
      <w:proofErr w:type="spellEnd"/>
      <w:r w:rsidRPr="00D77B31">
        <w:rPr>
          <w:rFonts w:cs="Arial"/>
        </w:rPr>
        <w:t xml:space="preserve"> should</w:t>
      </w:r>
      <w:r w:rsidR="005631B3" w:rsidRPr="00D77B31">
        <w:rPr>
          <w:rFonts w:cs="Arial"/>
        </w:rPr>
        <w:t xml:space="preserve"> be calculated via the methods described in RALI FX3 however it is recommended that </w:t>
      </w:r>
      <w:r w:rsidR="005018E9" w:rsidRPr="00D77B31">
        <w:rPr>
          <w:rFonts w:cs="Arial"/>
        </w:rPr>
        <w:t>propagation model ITU-R P.526</w:t>
      </w:r>
      <w:r w:rsidR="0077378B" w:rsidRPr="00D77B31">
        <w:rPr>
          <w:rFonts w:cs="Arial"/>
        </w:rPr>
        <w:t xml:space="preserve"> (with k=1.33)</w:t>
      </w:r>
      <w:r w:rsidR="005631B3" w:rsidRPr="00D77B31">
        <w:rPr>
          <w:rFonts w:cs="Arial"/>
        </w:rPr>
        <w:t xml:space="preserve"> should be used.</w:t>
      </w:r>
    </w:p>
    <w:p w14:paraId="41D2077F" w14:textId="1DB5E34A" w:rsidR="000A3654" w:rsidRPr="00D77B31" w:rsidRDefault="000A3654" w:rsidP="00491188">
      <w:pPr>
        <w:rPr>
          <w:rFonts w:cs="Arial"/>
        </w:rPr>
      </w:pPr>
      <w:r w:rsidRPr="00D77B31">
        <w:rPr>
          <w:rFonts w:cs="Arial"/>
          <w:b/>
        </w:rPr>
        <w:t>3.</w:t>
      </w:r>
      <w:r w:rsidRPr="00D77B31">
        <w:rPr>
          <w:rFonts w:cs="Arial"/>
        </w:rPr>
        <w:t xml:space="preserve"> Assess received signal levels</w:t>
      </w:r>
      <w:r w:rsidR="0077378B" w:rsidRPr="00D77B31">
        <w:rPr>
          <w:rFonts w:cs="Arial"/>
        </w:rPr>
        <w:t xml:space="preserve"> (wanted and unwanted)</w:t>
      </w:r>
      <w:r w:rsidRPr="00D77B31">
        <w:rPr>
          <w:rFonts w:cs="Arial"/>
        </w:rPr>
        <w:t xml:space="preserve"> against interference management criteria</w:t>
      </w:r>
      <w:r w:rsidR="0077378B" w:rsidRPr="00D77B31">
        <w:rPr>
          <w:rFonts w:cs="Arial"/>
        </w:rPr>
        <w:t>.</w:t>
      </w:r>
    </w:p>
    <w:p w14:paraId="29BAC7EA" w14:textId="77777777" w:rsidR="00341D73" w:rsidRPr="00D77B31" w:rsidRDefault="00341D73" w:rsidP="00F754B7">
      <w:pPr>
        <w:keepNext/>
        <w:rPr>
          <w:rFonts w:cs="Arial"/>
        </w:rPr>
      </w:pPr>
      <w:r w:rsidRPr="00D77B31">
        <w:rPr>
          <w:rFonts w:cs="Arial"/>
        </w:rPr>
        <w:lastRenderedPageBreak/>
        <w:t>For a successful coordination the ratio of wanted to unwanted signal must be greater than or equal to the p</w:t>
      </w:r>
      <w:r w:rsidR="000A3654" w:rsidRPr="00D77B31">
        <w:rPr>
          <w:rFonts w:cs="Arial"/>
        </w:rPr>
        <w:t>rotection ratio for</w:t>
      </w:r>
      <w:r w:rsidRPr="00D77B31">
        <w:rPr>
          <w:rFonts w:cs="Arial"/>
        </w:rPr>
        <w:t xml:space="preserve"> a</w:t>
      </w:r>
      <w:r w:rsidR="000A3654" w:rsidRPr="00D77B31">
        <w:rPr>
          <w:rFonts w:cs="Arial"/>
        </w:rPr>
        <w:t xml:space="preserve"> </w:t>
      </w:r>
      <w:r w:rsidRPr="00D77B31">
        <w:rPr>
          <w:rFonts w:cs="Arial"/>
        </w:rPr>
        <w:t xml:space="preserve">given </w:t>
      </w:r>
      <w:r w:rsidR="0077378B" w:rsidRPr="00D77B31">
        <w:rPr>
          <w:rFonts w:cs="Arial"/>
        </w:rPr>
        <w:t>fixed point-to-point</w:t>
      </w:r>
      <w:r w:rsidR="000A3654" w:rsidRPr="00D77B31">
        <w:rPr>
          <w:rFonts w:cs="Arial"/>
        </w:rPr>
        <w:t xml:space="preserve"> link in accordance with </w:t>
      </w:r>
      <w:r w:rsidRPr="00D77B31">
        <w:rPr>
          <w:rFonts w:cs="Arial"/>
        </w:rPr>
        <w:t xml:space="preserve">RALI </w:t>
      </w:r>
      <w:r w:rsidR="000A3654" w:rsidRPr="00D77B31">
        <w:rPr>
          <w:rFonts w:cs="Arial"/>
        </w:rPr>
        <w:t>FX3</w:t>
      </w:r>
      <w:r w:rsidRPr="00D77B31">
        <w:rPr>
          <w:rFonts w:cs="Arial"/>
        </w:rPr>
        <w:t>.</w:t>
      </w:r>
    </w:p>
    <w:p w14:paraId="7D9418FF" w14:textId="77777777" w:rsidR="00341D73" w:rsidRPr="00D77B31" w:rsidRDefault="00341D73" w:rsidP="00F754B7">
      <w:pPr>
        <w:keepNext/>
        <w:rPr>
          <w:rFonts w:cs="Arial"/>
        </w:rPr>
      </w:pPr>
    </w:p>
    <w:p w14:paraId="358FE94C" w14:textId="77777777" w:rsidR="005018E9" w:rsidRPr="00D77B31" w:rsidRDefault="00442B4C" w:rsidP="00F754B7">
      <w:pPr>
        <w:keepNext/>
        <w:jc w:val="center"/>
        <w:rPr>
          <w:rFonts w:cs="Arial"/>
          <w:b/>
        </w:rPr>
      </w:pPr>
      <w:r w:rsidRPr="00D77B31">
        <w:rPr>
          <w:rFonts w:cs="Arial"/>
          <w:b/>
        </w:rPr>
        <w:t>W-U ≥ PR + CF(P</w:t>
      </w:r>
      <w:r w:rsidRPr="00D77B31">
        <w:rPr>
          <w:rFonts w:cs="Arial"/>
          <w:b/>
          <w:vertAlign w:val="subscript"/>
        </w:rPr>
        <w:t>L</w:t>
      </w:r>
      <w:r w:rsidRPr="00D77B31">
        <w:rPr>
          <w:rFonts w:cs="Arial"/>
          <w:b/>
        </w:rPr>
        <w:t>=20)</w:t>
      </w:r>
    </w:p>
    <w:p w14:paraId="6CF5C96C" w14:textId="77777777" w:rsidR="00322D9B" w:rsidRPr="00D77B31" w:rsidRDefault="00322D9B" w:rsidP="00322D9B">
      <w:pPr>
        <w:rPr>
          <w:rFonts w:cs="Arial"/>
        </w:rPr>
      </w:pPr>
      <w:r w:rsidRPr="00D77B31">
        <w:rPr>
          <w:rFonts w:cs="Arial"/>
        </w:rPr>
        <w:t>where :</w:t>
      </w:r>
    </w:p>
    <w:p w14:paraId="2C3D12A5" w14:textId="017664CA" w:rsidR="009205C0" w:rsidRPr="00D77B31" w:rsidRDefault="00322D9B" w:rsidP="00322D9B">
      <w:pPr>
        <w:rPr>
          <w:rFonts w:cs="Arial"/>
        </w:rPr>
      </w:pPr>
      <w:r w:rsidRPr="00D77B31">
        <w:rPr>
          <w:rFonts w:cs="Arial"/>
        </w:rPr>
        <w:tab/>
      </w:r>
      <w:r w:rsidR="00442B4C" w:rsidRPr="00D77B31">
        <w:rPr>
          <w:rFonts w:cs="Arial"/>
          <w:b/>
        </w:rPr>
        <w:t>W -</w:t>
      </w:r>
      <w:r w:rsidRPr="00D77B31">
        <w:rPr>
          <w:rFonts w:cs="Arial"/>
        </w:rPr>
        <w:t xml:space="preserve"> Wanted signal level in dBm</w:t>
      </w:r>
    </w:p>
    <w:p w14:paraId="3E0118B0" w14:textId="36053E66" w:rsidR="00322D9B" w:rsidRPr="00D77B31" w:rsidRDefault="00322D9B" w:rsidP="00322D9B">
      <w:pPr>
        <w:rPr>
          <w:rFonts w:cs="Arial"/>
        </w:rPr>
      </w:pPr>
      <w:r w:rsidRPr="00D77B31">
        <w:rPr>
          <w:rFonts w:cs="Arial"/>
        </w:rPr>
        <w:tab/>
      </w:r>
      <w:r w:rsidR="00442B4C" w:rsidRPr="00D77B31">
        <w:rPr>
          <w:rFonts w:cs="Arial"/>
          <w:b/>
        </w:rPr>
        <w:t>U -</w:t>
      </w:r>
      <w:r w:rsidR="004D7A9B" w:rsidRPr="00D77B31">
        <w:rPr>
          <w:rFonts w:cs="Arial"/>
          <w:b/>
        </w:rPr>
        <w:t xml:space="preserve"> </w:t>
      </w:r>
      <w:r w:rsidRPr="00D77B31">
        <w:rPr>
          <w:rFonts w:cs="Arial"/>
        </w:rPr>
        <w:t>Unwanted signal level in dBm</w:t>
      </w:r>
    </w:p>
    <w:p w14:paraId="4B1CDC1F" w14:textId="33A2F02A" w:rsidR="00322D9B" w:rsidRPr="00D77B31" w:rsidRDefault="00442B4C" w:rsidP="00322D9B">
      <w:pPr>
        <w:ind w:left="1440" w:hanging="720"/>
        <w:rPr>
          <w:rFonts w:cs="Arial"/>
        </w:rPr>
      </w:pPr>
      <w:r w:rsidRPr="00D77B31">
        <w:rPr>
          <w:rFonts w:cs="Arial"/>
          <w:b/>
        </w:rPr>
        <w:t>PR</w:t>
      </w:r>
      <w:r w:rsidR="004D7A9B" w:rsidRPr="00D77B31">
        <w:rPr>
          <w:rFonts w:cs="Arial"/>
          <w:b/>
        </w:rPr>
        <w:t xml:space="preserve"> </w:t>
      </w:r>
      <w:r w:rsidRPr="00D77B31">
        <w:rPr>
          <w:rFonts w:cs="Arial"/>
          <w:b/>
        </w:rPr>
        <w:t>-</w:t>
      </w:r>
      <w:r w:rsidR="004D7A9B" w:rsidRPr="00D77B31">
        <w:rPr>
          <w:rFonts w:cs="Arial"/>
          <w:b/>
        </w:rPr>
        <w:t xml:space="preserve"> </w:t>
      </w:r>
      <w:r w:rsidR="00322D9B" w:rsidRPr="00D77B31">
        <w:rPr>
          <w:rFonts w:cs="Arial"/>
        </w:rPr>
        <w:t>Protection ratio: minimum ratio of the relative levels of wanted and unwanted signals at the input of the (potential) victim receiver</w:t>
      </w:r>
      <w:r w:rsidR="005D30D0" w:rsidRPr="00D77B31">
        <w:rPr>
          <w:rFonts w:cs="Arial"/>
        </w:rPr>
        <w:t xml:space="preserve"> (see </w:t>
      </w:r>
      <w:r w:rsidR="00491188" w:rsidRPr="00D77B31">
        <w:rPr>
          <w:rFonts w:cs="Arial"/>
        </w:rPr>
        <w:fldChar w:fldCharType="begin"/>
      </w:r>
      <w:r w:rsidR="00491188" w:rsidRPr="00D77B31">
        <w:rPr>
          <w:rFonts w:cs="Arial"/>
        </w:rPr>
        <w:instrText xml:space="preserve"> REF _Ref111026982 \r \h </w:instrText>
      </w:r>
      <w:r w:rsidR="00D77B31">
        <w:rPr>
          <w:rFonts w:cs="Arial"/>
        </w:rPr>
        <w:instrText xml:space="preserve"> \* MERGEFORMAT </w:instrText>
      </w:r>
      <w:r w:rsidR="00491188" w:rsidRPr="00D77B31">
        <w:rPr>
          <w:rFonts w:cs="Arial"/>
        </w:rPr>
      </w:r>
      <w:r w:rsidR="00491188" w:rsidRPr="00D77B31">
        <w:rPr>
          <w:rFonts w:cs="Arial"/>
        </w:rPr>
        <w:fldChar w:fldCharType="separate"/>
      </w:r>
      <w:r w:rsidR="003F79BE">
        <w:rPr>
          <w:rFonts w:cs="Arial"/>
        </w:rPr>
        <w:t>Table 6</w:t>
      </w:r>
      <w:r w:rsidR="00491188" w:rsidRPr="00D77B31">
        <w:rPr>
          <w:rFonts w:cs="Arial"/>
        </w:rPr>
        <w:fldChar w:fldCharType="end"/>
      </w:r>
      <w:r w:rsidR="005D30D0" w:rsidRPr="00D77B31">
        <w:rPr>
          <w:rFonts w:cs="Arial"/>
        </w:rPr>
        <w:t>)</w:t>
      </w:r>
    </w:p>
    <w:p w14:paraId="2D357657" w14:textId="2FACC5BA" w:rsidR="0077378B" w:rsidRPr="00D77B31" w:rsidRDefault="00442B4C" w:rsidP="00322D9B">
      <w:pPr>
        <w:ind w:left="1440" w:hanging="720"/>
        <w:rPr>
          <w:rFonts w:cs="Arial"/>
        </w:rPr>
      </w:pPr>
      <w:r w:rsidRPr="00D77B31">
        <w:rPr>
          <w:rFonts w:cs="Arial"/>
          <w:b/>
        </w:rPr>
        <w:t>CF -</w:t>
      </w:r>
      <w:r w:rsidR="0077378B" w:rsidRPr="00D77B31">
        <w:rPr>
          <w:rFonts w:cs="Arial"/>
        </w:rPr>
        <w:t xml:space="preserve"> Path length correction factor based on a P</w:t>
      </w:r>
      <w:r w:rsidR="0077378B" w:rsidRPr="00D77B31">
        <w:rPr>
          <w:rFonts w:cs="Arial"/>
          <w:vertAlign w:val="subscript"/>
        </w:rPr>
        <w:t>L</w:t>
      </w:r>
      <w:r w:rsidR="0077378B" w:rsidRPr="00D77B31">
        <w:rPr>
          <w:rFonts w:cs="Arial"/>
        </w:rPr>
        <w:t>=20</w:t>
      </w:r>
      <w:r w:rsidR="005D30D0" w:rsidRPr="00D77B31">
        <w:rPr>
          <w:rFonts w:cs="Arial"/>
        </w:rPr>
        <w:t xml:space="preserve"> (see </w:t>
      </w:r>
      <w:r w:rsidR="00993F35" w:rsidRPr="00D77B31">
        <w:rPr>
          <w:rFonts w:cs="Arial"/>
        </w:rPr>
        <w:fldChar w:fldCharType="begin"/>
      </w:r>
      <w:r w:rsidR="00993F35" w:rsidRPr="00D77B31">
        <w:rPr>
          <w:rFonts w:cs="Arial"/>
        </w:rPr>
        <w:instrText xml:space="preserve"> REF _Ref111027081 \r \h </w:instrText>
      </w:r>
      <w:r w:rsidR="00D77B31">
        <w:rPr>
          <w:rFonts w:cs="Arial"/>
        </w:rPr>
        <w:instrText xml:space="preserve"> \* MERGEFORMAT </w:instrText>
      </w:r>
      <w:r w:rsidR="00993F35" w:rsidRPr="00D77B31">
        <w:rPr>
          <w:rFonts w:cs="Arial"/>
        </w:rPr>
      </w:r>
      <w:r w:rsidR="00993F35" w:rsidRPr="00D77B31">
        <w:rPr>
          <w:rFonts w:cs="Arial"/>
        </w:rPr>
        <w:fldChar w:fldCharType="separate"/>
      </w:r>
      <w:r w:rsidR="003F79BE">
        <w:rPr>
          <w:rFonts w:cs="Arial"/>
        </w:rPr>
        <w:t>Figure 7</w:t>
      </w:r>
      <w:r w:rsidR="00993F35" w:rsidRPr="00D77B31">
        <w:rPr>
          <w:rFonts w:cs="Arial"/>
        </w:rPr>
        <w:fldChar w:fldCharType="end"/>
      </w:r>
      <w:r w:rsidR="005D30D0" w:rsidRPr="00D77B31">
        <w:rPr>
          <w:rFonts w:cs="Arial"/>
        </w:rPr>
        <w:t>)</w:t>
      </w:r>
    </w:p>
    <w:p w14:paraId="7709C2B7" w14:textId="77777777" w:rsidR="00FC45A7" w:rsidRPr="00D77B31" w:rsidRDefault="00FC45A7" w:rsidP="005D3F50">
      <w:pPr>
        <w:rPr>
          <w:rFonts w:cs="Arial"/>
        </w:rPr>
      </w:pPr>
    </w:p>
    <w:p w14:paraId="4C7FE1E3" w14:textId="546EF87B" w:rsidR="00B31FEC" w:rsidRPr="00D77B31" w:rsidRDefault="00103F07" w:rsidP="00491188">
      <w:pPr>
        <w:pStyle w:val="ACMATableHeader"/>
        <w:rPr>
          <w:rFonts w:cs="Arial"/>
        </w:rPr>
      </w:pPr>
      <w:bookmarkStart w:id="367" w:name="_Ref111026982"/>
      <w:r w:rsidRPr="00D77B31">
        <w:rPr>
          <w:rFonts w:cs="Arial"/>
        </w:rPr>
        <w:t>Protection ratio for fixed point-to-point links</w:t>
      </w:r>
      <w:r w:rsidR="00D15DCF" w:rsidRPr="00D77B31">
        <w:rPr>
          <w:rFonts w:cs="Arial"/>
        </w:rPr>
        <w:t xml:space="preserve"> (P</w:t>
      </w:r>
      <w:r w:rsidRPr="00D77B31">
        <w:rPr>
          <w:rFonts w:cs="Arial"/>
          <w:vertAlign w:val="subscript"/>
        </w:rPr>
        <w:t>L</w:t>
      </w:r>
      <w:r w:rsidR="00932257" w:rsidRPr="00D77B31">
        <w:rPr>
          <w:rFonts w:cs="Arial"/>
        </w:rPr>
        <w:t>: 20</w:t>
      </w:r>
      <w:r w:rsidR="00D15DCF" w:rsidRPr="00D77B31">
        <w:rPr>
          <w:rFonts w:cs="Arial"/>
        </w:rPr>
        <w:t>, path length 60 km)</w:t>
      </w:r>
      <w:bookmarkEnd w:id="367"/>
    </w:p>
    <w:tbl>
      <w:tblPr>
        <w:tblW w:w="0" w:type="auto"/>
        <w:tblInd w:w="73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985"/>
        <w:gridCol w:w="5670"/>
      </w:tblGrid>
      <w:tr w:rsidR="00F90B0B" w:rsidRPr="00D77B31" w14:paraId="7B068527" w14:textId="77777777" w:rsidTr="00BF43F3">
        <w:trPr>
          <w:cantSplit/>
        </w:trPr>
        <w:tc>
          <w:tcPr>
            <w:tcW w:w="1985" w:type="dxa"/>
          </w:tcPr>
          <w:p w14:paraId="6109A199" w14:textId="77777777" w:rsidR="00F90B0B" w:rsidRPr="00D77B31" w:rsidRDefault="00F90B0B" w:rsidP="00BE4449">
            <w:pPr>
              <w:spacing w:after="60"/>
              <w:jc w:val="center"/>
              <w:rPr>
                <w:rFonts w:cs="Arial"/>
              </w:rPr>
            </w:pPr>
            <w:r w:rsidRPr="00D77B31">
              <w:rPr>
                <w:rFonts w:cs="Arial"/>
              </w:rPr>
              <w:t>Frequency Offset</w:t>
            </w:r>
            <w:r w:rsidR="00DB22BF" w:rsidRPr="00D77B31">
              <w:rPr>
                <w:rFonts w:cs="Arial"/>
              </w:rPr>
              <w:t xml:space="preserve"> from </w:t>
            </w:r>
            <w:r w:rsidR="00BE4449" w:rsidRPr="00D77B31">
              <w:rPr>
                <w:rFonts w:cs="Arial"/>
              </w:rPr>
              <w:t xml:space="preserve">closest </w:t>
            </w:r>
            <w:r w:rsidR="00DB22BF" w:rsidRPr="00D77B31">
              <w:rPr>
                <w:rFonts w:cs="Arial"/>
              </w:rPr>
              <w:t xml:space="preserve">channel </w:t>
            </w:r>
            <w:r w:rsidR="00BE4449" w:rsidRPr="00D77B31">
              <w:rPr>
                <w:rFonts w:cs="Arial"/>
              </w:rPr>
              <w:t xml:space="preserve">edge to channel </w:t>
            </w:r>
            <w:r w:rsidR="00DB22BF" w:rsidRPr="00D77B31">
              <w:rPr>
                <w:rFonts w:cs="Arial"/>
              </w:rPr>
              <w:t xml:space="preserve">edge </w:t>
            </w:r>
          </w:p>
        </w:tc>
        <w:tc>
          <w:tcPr>
            <w:tcW w:w="5670" w:type="dxa"/>
            <w:vAlign w:val="center"/>
          </w:tcPr>
          <w:p w14:paraId="49894625" w14:textId="77777777" w:rsidR="00F90B0B" w:rsidRPr="00D77B31" w:rsidRDefault="00F90B0B" w:rsidP="00BF43F3">
            <w:pPr>
              <w:spacing w:after="60"/>
              <w:jc w:val="center"/>
              <w:rPr>
                <w:rFonts w:cs="Arial"/>
              </w:rPr>
            </w:pPr>
            <w:r w:rsidRPr="00D77B31">
              <w:rPr>
                <w:rFonts w:cs="Arial"/>
              </w:rPr>
              <w:t>REQUIRED PROTECTION RATIO (dB)</w:t>
            </w:r>
          </w:p>
          <w:p w14:paraId="3254D1EF" w14:textId="77777777" w:rsidR="00F90B0B" w:rsidRPr="00D77B31" w:rsidRDefault="00F90B0B" w:rsidP="00BF43F3">
            <w:pPr>
              <w:spacing w:after="60"/>
              <w:jc w:val="center"/>
              <w:rPr>
                <w:rFonts w:cs="Arial"/>
              </w:rPr>
            </w:pPr>
            <w:r w:rsidRPr="00D77B31">
              <w:rPr>
                <w:rFonts w:cs="Arial"/>
              </w:rPr>
              <w:t xml:space="preserve">Digital Interferer Tx </w:t>
            </w:r>
            <w:r w:rsidR="00C440F0" w:rsidRPr="00D77B31">
              <w:rPr>
                <w:rFonts w:cs="Arial"/>
              </w:rPr>
              <w:fldChar w:fldCharType="begin"/>
            </w:r>
            <w:r w:rsidRPr="00D77B31">
              <w:rPr>
                <w:rFonts w:cs="Arial"/>
              </w:rPr>
              <w:instrText>symbol 174 \f "Symbol"</w:instrText>
            </w:r>
            <w:r w:rsidR="00C440F0" w:rsidRPr="00D77B31">
              <w:rPr>
                <w:rFonts w:cs="Arial"/>
              </w:rPr>
              <w:fldChar w:fldCharType="end"/>
            </w:r>
            <w:r w:rsidRPr="00D77B31">
              <w:rPr>
                <w:rFonts w:cs="Arial"/>
              </w:rPr>
              <w:t xml:space="preserve"> Digital Victim Rx</w:t>
            </w:r>
          </w:p>
        </w:tc>
      </w:tr>
      <w:tr w:rsidR="00F90B0B" w:rsidRPr="00D77B31" w14:paraId="2E4A7FB6" w14:textId="77777777" w:rsidTr="00BF43F3">
        <w:trPr>
          <w:cantSplit/>
        </w:trPr>
        <w:tc>
          <w:tcPr>
            <w:tcW w:w="1985" w:type="dxa"/>
          </w:tcPr>
          <w:p w14:paraId="442F2660" w14:textId="77777777" w:rsidR="00F90B0B" w:rsidRPr="00D77B31" w:rsidRDefault="00F90B0B" w:rsidP="007B01F7">
            <w:pPr>
              <w:spacing w:after="60"/>
              <w:jc w:val="center"/>
              <w:rPr>
                <w:rFonts w:cs="Arial"/>
              </w:rPr>
            </w:pPr>
            <w:r w:rsidRPr="00D77B31">
              <w:rPr>
                <w:rFonts w:cs="Arial"/>
              </w:rPr>
              <w:t>Co-channel</w:t>
            </w:r>
            <w:r w:rsidR="00A748B4" w:rsidRPr="00D77B31">
              <w:rPr>
                <w:rFonts w:cs="Arial"/>
              </w:rPr>
              <w:t xml:space="preserve"> or overlapping</w:t>
            </w:r>
          </w:p>
        </w:tc>
        <w:tc>
          <w:tcPr>
            <w:tcW w:w="5670" w:type="dxa"/>
            <w:vAlign w:val="center"/>
          </w:tcPr>
          <w:p w14:paraId="5FDFF86E" w14:textId="77777777" w:rsidR="00F90B0B" w:rsidRPr="00D77B31" w:rsidRDefault="00F90B0B" w:rsidP="00BF43F3">
            <w:pPr>
              <w:spacing w:after="60"/>
              <w:jc w:val="center"/>
              <w:rPr>
                <w:rFonts w:cs="Arial"/>
              </w:rPr>
            </w:pPr>
            <w:r w:rsidRPr="00D77B31">
              <w:rPr>
                <w:rFonts w:cs="Arial"/>
              </w:rPr>
              <w:t>60</w:t>
            </w:r>
          </w:p>
        </w:tc>
      </w:tr>
      <w:tr w:rsidR="00F90B0B" w:rsidRPr="00D77B31" w14:paraId="139F6911" w14:textId="77777777" w:rsidTr="00BF43F3">
        <w:trPr>
          <w:cantSplit/>
        </w:trPr>
        <w:tc>
          <w:tcPr>
            <w:tcW w:w="1985" w:type="dxa"/>
          </w:tcPr>
          <w:p w14:paraId="7B12243B" w14:textId="77777777" w:rsidR="007F7314" w:rsidRPr="00D77B31" w:rsidRDefault="00BE4449">
            <w:pPr>
              <w:spacing w:after="60"/>
              <w:jc w:val="center"/>
              <w:rPr>
                <w:rFonts w:cs="Arial"/>
              </w:rPr>
            </w:pPr>
            <w:r w:rsidRPr="00D77B31">
              <w:rPr>
                <w:rFonts w:cs="Arial"/>
              </w:rPr>
              <w:t>1 Hz</w:t>
            </w:r>
            <w:r w:rsidR="00A748B4" w:rsidRPr="00D77B31">
              <w:rPr>
                <w:rFonts w:cs="Arial"/>
              </w:rPr>
              <w:t xml:space="preserve"> </w:t>
            </w:r>
            <w:r w:rsidR="009A46A0" w:rsidRPr="00D77B31">
              <w:rPr>
                <w:rFonts w:cs="Arial"/>
              </w:rPr>
              <w:t xml:space="preserve">- </w:t>
            </w:r>
            <w:r w:rsidR="00DB22BF" w:rsidRPr="00D77B31">
              <w:rPr>
                <w:rFonts w:cs="Arial"/>
              </w:rPr>
              <w:t xml:space="preserve">29 </w:t>
            </w:r>
            <w:r w:rsidR="00A748B4" w:rsidRPr="00D77B31">
              <w:rPr>
                <w:rFonts w:cs="Arial"/>
              </w:rPr>
              <w:t>MHz</w:t>
            </w:r>
          </w:p>
        </w:tc>
        <w:tc>
          <w:tcPr>
            <w:tcW w:w="5670" w:type="dxa"/>
            <w:vAlign w:val="center"/>
          </w:tcPr>
          <w:p w14:paraId="0204F7B4" w14:textId="77777777" w:rsidR="00F90B0B" w:rsidRPr="00D77B31" w:rsidRDefault="00F90B0B" w:rsidP="00BF43F3">
            <w:pPr>
              <w:spacing w:after="60"/>
              <w:jc w:val="center"/>
              <w:rPr>
                <w:rFonts w:cs="Arial"/>
              </w:rPr>
            </w:pPr>
            <w:r w:rsidRPr="00D77B31">
              <w:rPr>
                <w:rFonts w:cs="Arial"/>
              </w:rPr>
              <w:t>30</w:t>
            </w:r>
          </w:p>
        </w:tc>
      </w:tr>
      <w:tr w:rsidR="00F90B0B" w:rsidRPr="00D77B31" w14:paraId="7DA12E79" w14:textId="77777777" w:rsidTr="00BF43F3">
        <w:trPr>
          <w:cantSplit/>
        </w:trPr>
        <w:tc>
          <w:tcPr>
            <w:tcW w:w="1985" w:type="dxa"/>
          </w:tcPr>
          <w:p w14:paraId="658E7F40" w14:textId="77777777" w:rsidR="007F7314" w:rsidRPr="00D77B31" w:rsidRDefault="00DB22BF">
            <w:pPr>
              <w:spacing w:after="60"/>
              <w:jc w:val="center"/>
              <w:rPr>
                <w:rFonts w:cs="Arial"/>
              </w:rPr>
            </w:pPr>
            <w:r w:rsidRPr="00D77B31">
              <w:rPr>
                <w:rFonts w:cs="Arial"/>
              </w:rPr>
              <w:t>29</w:t>
            </w:r>
            <w:r w:rsidR="00BF43F3" w:rsidRPr="00D77B31">
              <w:rPr>
                <w:rFonts w:cs="Arial"/>
              </w:rPr>
              <w:t xml:space="preserve"> -58</w:t>
            </w:r>
            <w:r w:rsidRPr="00D77B31">
              <w:rPr>
                <w:rFonts w:cs="Arial"/>
              </w:rPr>
              <w:t xml:space="preserve"> </w:t>
            </w:r>
            <w:r w:rsidR="00A748B4" w:rsidRPr="00D77B31">
              <w:rPr>
                <w:rFonts w:cs="Arial"/>
              </w:rPr>
              <w:t xml:space="preserve">MHz </w:t>
            </w:r>
          </w:p>
        </w:tc>
        <w:tc>
          <w:tcPr>
            <w:tcW w:w="5670" w:type="dxa"/>
            <w:vAlign w:val="center"/>
          </w:tcPr>
          <w:p w14:paraId="26B4B56F" w14:textId="77777777" w:rsidR="00F90B0B" w:rsidRPr="00D77B31" w:rsidRDefault="00BF43F3" w:rsidP="00BF43F3">
            <w:pPr>
              <w:spacing w:after="60"/>
              <w:jc w:val="center"/>
              <w:rPr>
                <w:rFonts w:cs="Arial"/>
              </w:rPr>
            </w:pPr>
            <w:r w:rsidRPr="00D77B31">
              <w:rPr>
                <w:rFonts w:cs="Arial"/>
              </w:rPr>
              <w:t>0</w:t>
            </w:r>
          </w:p>
        </w:tc>
      </w:tr>
      <w:tr w:rsidR="00BF43F3" w:rsidRPr="00D77B31" w14:paraId="1D52956C" w14:textId="77777777" w:rsidTr="00BF43F3">
        <w:trPr>
          <w:cantSplit/>
        </w:trPr>
        <w:tc>
          <w:tcPr>
            <w:tcW w:w="1985" w:type="dxa"/>
          </w:tcPr>
          <w:p w14:paraId="2B80DF47" w14:textId="77777777" w:rsidR="00BF43F3" w:rsidRPr="00D77B31" w:rsidRDefault="00BF43F3">
            <w:pPr>
              <w:spacing w:after="60"/>
              <w:jc w:val="center"/>
              <w:rPr>
                <w:rFonts w:cs="Arial"/>
              </w:rPr>
            </w:pPr>
            <w:r w:rsidRPr="00D77B31">
              <w:rPr>
                <w:rFonts w:cs="Arial"/>
              </w:rPr>
              <w:t>&gt;58 MHz</w:t>
            </w:r>
          </w:p>
        </w:tc>
        <w:tc>
          <w:tcPr>
            <w:tcW w:w="5670" w:type="dxa"/>
            <w:vAlign w:val="center"/>
          </w:tcPr>
          <w:p w14:paraId="0A02826F" w14:textId="77777777" w:rsidR="00BF43F3" w:rsidRPr="00D77B31" w:rsidRDefault="00BF43F3" w:rsidP="00BF43F3">
            <w:pPr>
              <w:spacing w:after="60"/>
              <w:jc w:val="center"/>
              <w:rPr>
                <w:rFonts w:cs="Arial"/>
              </w:rPr>
            </w:pPr>
          </w:p>
        </w:tc>
      </w:tr>
    </w:tbl>
    <w:p w14:paraId="67025B75" w14:textId="77777777" w:rsidR="00993F35" w:rsidRPr="00D77B31" w:rsidRDefault="00993F35" w:rsidP="00993F35">
      <w:pPr>
        <w:rPr>
          <w:rFonts w:cs="Arial"/>
          <w:b/>
        </w:rPr>
      </w:pPr>
    </w:p>
    <w:p w14:paraId="1910EDFF" w14:textId="77777777" w:rsidR="00993F35" w:rsidRPr="00D77B31" w:rsidRDefault="00993F35" w:rsidP="00993F35">
      <w:pPr>
        <w:rPr>
          <w:rFonts w:cs="Arial"/>
          <w:b/>
        </w:rPr>
      </w:pPr>
    </w:p>
    <w:p w14:paraId="0D9789CD" w14:textId="0DCEABE5" w:rsidR="00993F35" w:rsidRPr="00D77B31" w:rsidRDefault="00993F35" w:rsidP="00993F35">
      <w:pPr>
        <w:pStyle w:val="ACMAFigureHeader"/>
        <w:keepNext/>
        <w:rPr>
          <w:rFonts w:cs="Arial"/>
        </w:rPr>
      </w:pPr>
      <w:bookmarkStart w:id="368" w:name="_Ref111027081"/>
      <w:r w:rsidRPr="00D77B31">
        <w:rPr>
          <w:rFonts w:cs="Arial"/>
        </w:rPr>
        <w:lastRenderedPageBreak/>
        <w:t>Multipath Correction Factor (CF)</w:t>
      </w:r>
      <w:bookmarkEnd w:id="368"/>
    </w:p>
    <w:p w14:paraId="6965D3A1" w14:textId="77777777" w:rsidR="00B31FEC" w:rsidRPr="00D77B31" w:rsidRDefault="00D05483">
      <w:pPr>
        <w:keepNext/>
        <w:jc w:val="center"/>
        <w:rPr>
          <w:rFonts w:cs="Arial"/>
        </w:rPr>
      </w:pPr>
      <w:r w:rsidRPr="00D77B31">
        <w:rPr>
          <w:rFonts w:cs="Arial"/>
          <w:b/>
          <w:noProof/>
        </w:rPr>
        <w:drawing>
          <wp:inline distT="0" distB="0" distL="0" distR="0" wp14:anchorId="4C6BD06B" wp14:editId="23B832CD">
            <wp:extent cx="4895850" cy="5753100"/>
            <wp:effectExtent l="19050" t="0" r="0" b="0"/>
            <wp:docPr id="7" name="Picture 7" descr="Protection ratio for fixed point-to-point links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7" descr="Protection ratio for fixed point-to-point links "/>
                    <pic:cNvPicPr>
                      <a:picLocks noChangeAspect="1" noChangeArrowheads="1"/>
                    </pic:cNvPicPr>
                  </pic:nvPicPr>
                  <pic:blipFill>
                    <a:blip r:embed="rId46" cstate="print"/>
                    <a:srcRect/>
                    <a:stretch>
                      <a:fillRect/>
                    </a:stretch>
                  </pic:blipFill>
                  <pic:spPr bwMode="auto">
                    <a:xfrm>
                      <a:off x="0" y="0"/>
                      <a:ext cx="4895850" cy="5753100"/>
                    </a:xfrm>
                    <a:prstGeom prst="rect">
                      <a:avLst/>
                    </a:prstGeom>
                    <a:noFill/>
                    <a:ln w="9525">
                      <a:noFill/>
                      <a:miter lim="800000"/>
                      <a:headEnd/>
                      <a:tailEnd/>
                    </a:ln>
                  </pic:spPr>
                </pic:pic>
              </a:graphicData>
            </a:graphic>
          </wp:inline>
        </w:drawing>
      </w:r>
    </w:p>
    <w:p w14:paraId="51D648BC" w14:textId="77777777" w:rsidR="00F90B0B" w:rsidRPr="00D77B31" w:rsidRDefault="00F90B0B" w:rsidP="00F90B0B">
      <w:pPr>
        <w:ind w:left="719" w:right="-284" w:hanging="435"/>
        <w:rPr>
          <w:rFonts w:cs="Arial"/>
          <w:sz w:val="16"/>
        </w:rPr>
      </w:pPr>
      <w:r w:rsidRPr="00D77B31">
        <w:rPr>
          <w:rFonts w:cs="Arial"/>
          <w:sz w:val="20"/>
        </w:rPr>
        <w:t>P</w:t>
      </w:r>
      <w:r w:rsidRPr="00D77B31">
        <w:rPr>
          <w:rFonts w:cs="Arial"/>
          <w:position w:val="-6"/>
          <w:sz w:val="20"/>
        </w:rPr>
        <w:t>L</w:t>
      </w:r>
      <w:r w:rsidRPr="00D77B31">
        <w:rPr>
          <w:rFonts w:cs="Arial"/>
          <w:sz w:val="20"/>
        </w:rPr>
        <w:t>:</w:t>
      </w:r>
      <w:r w:rsidRPr="00D77B31">
        <w:rPr>
          <w:rFonts w:cs="Arial"/>
          <w:sz w:val="20"/>
        </w:rPr>
        <w:tab/>
        <w:t>Percentage of time that the average refractivity gradient in the lowest 100 m of the atmosphere is less than or equal to -100 N units/km. For further details refer to Annex A to Appendix 1 of RALI FX-3.</w:t>
      </w:r>
    </w:p>
    <w:p w14:paraId="24B13BC7" w14:textId="211129B4" w:rsidR="00237737" w:rsidRPr="00D77B31" w:rsidRDefault="00237737" w:rsidP="00C915F6">
      <w:pPr>
        <w:pStyle w:val="Heading1"/>
        <w:numPr>
          <w:ilvl w:val="0"/>
          <w:numId w:val="0"/>
        </w:numPr>
      </w:pPr>
      <w:bookmarkStart w:id="369" w:name="_Toc111710895"/>
      <w:r w:rsidRPr="00D77B31">
        <w:lastRenderedPageBreak/>
        <w:t>Appendix E: Designated areas for the 2.0</w:t>
      </w:r>
      <w:r w:rsidR="0083508C" w:rsidRPr="00D77B31">
        <w:t> </w:t>
      </w:r>
      <w:r w:rsidRPr="00D77B31">
        <w:t xml:space="preserve">GHz </w:t>
      </w:r>
      <w:r w:rsidR="00917F08" w:rsidRPr="00D77B31">
        <w:t>s</w:t>
      </w:r>
      <w:r w:rsidRPr="00D77B31">
        <w:t xml:space="preserve">pectrum </w:t>
      </w:r>
      <w:r w:rsidR="00932257" w:rsidRPr="00D77B31">
        <w:t>licence</w:t>
      </w:r>
      <w:bookmarkEnd w:id="369"/>
    </w:p>
    <w:p w14:paraId="3E4F05DA" w14:textId="77777777" w:rsidR="00237737" w:rsidRPr="00D77B31" w:rsidRDefault="00237737" w:rsidP="00237737">
      <w:pPr>
        <w:rPr>
          <w:rFonts w:cs="Arial"/>
        </w:rPr>
      </w:pPr>
    </w:p>
    <w:p w14:paraId="78A05DC0" w14:textId="77777777" w:rsidR="00237737" w:rsidRPr="00D77B31" w:rsidRDefault="00237737" w:rsidP="00237737">
      <w:pPr>
        <w:rPr>
          <w:rFonts w:cs="Arial"/>
        </w:rPr>
      </w:pPr>
    </w:p>
    <w:p w14:paraId="3B397B9F" w14:textId="77777777" w:rsidR="00FC45A7" w:rsidRPr="00D77B31" w:rsidRDefault="00D05483" w:rsidP="00237737">
      <w:pPr>
        <w:jc w:val="center"/>
        <w:rPr>
          <w:rFonts w:cs="Arial"/>
        </w:rPr>
      </w:pPr>
      <w:r w:rsidRPr="00D77B31">
        <w:rPr>
          <w:rFonts w:cs="Arial"/>
          <w:noProof/>
          <w:szCs w:val="22"/>
        </w:rPr>
        <w:drawing>
          <wp:anchor distT="0" distB="0" distL="114300" distR="114300" simplePos="0" relativeHeight="251658240" behindDoc="0" locked="0" layoutInCell="1" allowOverlap="1" wp14:anchorId="0690EB7E" wp14:editId="729C52FD">
            <wp:simplePos x="0" y="0"/>
            <wp:positionH relativeFrom="column">
              <wp:posOffset>-363796</wp:posOffset>
            </wp:positionH>
            <wp:positionV relativeFrom="paragraph">
              <wp:posOffset>2360</wp:posOffset>
            </wp:positionV>
            <wp:extent cx="6476641" cy="5503653"/>
            <wp:effectExtent l="19050" t="0" r="359" b="0"/>
            <wp:wrapNone/>
            <wp:docPr id="8" name="Picture 8">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Picture 8">
                      <a:extLst>
                        <a:ext uri="{C183D7F6-B498-43B3-948B-1728B52AA6E4}">
                          <adec:decorative xmlns:adec="http://schemas.microsoft.com/office/drawing/2017/decorative" val="1"/>
                        </a:ext>
                      </a:extLst>
                    </pic:cNvPr>
                    <pic:cNvPicPr>
                      <a:picLocks noChangeAspect="1" noChangeArrowheads="1"/>
                    </pic:cNvPicPr>
                  </pic:nvPicPr>
                  <pic:blipFill>
                    <a:blip r:embed="rId47" cstate="print"/>
                    <a:srcRect l="1759" r="6224" b="5553"/>
                    <a:stretch>
                      <a:fillRect/>
                    </a:stretch>
                  </pic:blipFill>
                  <pic:spPr bwMode="auto">
                    <a:xfrm>
                      <a:off x="0" y="0"/>
                      <a:ext cx="6476641" cy="5503653"/>
                    </a:xfrm>
                    <a:prstGeom prst="rect">
                      <a:avLst/>
                    </a:prstGeom>
                    <a:noFill/>
                    <a:ln w="9525">
                      <a:noFill/>
                      <a:miter lim="800000"/>
                      <a:headEnd/>
                      <a:tailEnd/>
                    </a:ln>
                  </pic:spPr>
                </pic:pic>
              </a:graphicData>
            </a:graphic>
          </wp:anchor>
        </w:drawing>
      </w:r>
    </w:p>
    <w:p w14:paraId="274859C1" w14:textId="77777777" w:rsidR="00A57EB8" w:rsidRPr="00D77B31" w:rsidRDefault="00A57EB8" w:rsidP="00237737">
      <w:pPr>
        <w:jc w:val="center"/>
        <w:rPr>
          <w:rFonts w:cs="Arial"/>
        </w:rPr>
      </w:pPr>
    </w:p>
    <w:p w14:paraId="1DA81689" w14:textId="77777777" w:rsidR="00A57EB8" w:rsidRPr="00D77B31" w:rsidRDefault="00A57EB8">
      <w:pPr>
        <w:rPr>
          <w:rFonts w:cs="Arial"/>
        </w:rPr>
      </w:pPr>
      <w:r w:rsidRPr="00D77B31">
        <w:rPr>
          <w:rFonts w:cs="Arial"/>
        </w:rPr>
        <w:br w:type="page"/>
      </w:r>
    </w:p>
    <w:p w14:paraId="54753BF1" w14:textId="77777777" w:rsidR="00337C4D" w:rsidRPr="00D77B31" w:rsidRDefault="00A57EB8" w:rsidP="00C915F6">
      <w:pPr>
        <w:pStyle w:val="Heading1"/>
        <w:numPr>
          <w:ilvl w:val="0"/>
          <w:numId w:val="0"/>
        </w:numPr>
      </w:pPr>
      <w:bookmarkStart w:id="370" w:name="_Toc111710896"/>
      <w:r w:rsidRPr="00D77B31">
        <w:lastRenderedPageBreak/>
        <w:t>Appendix</w:t>
      </w:r>
      <w:r w:rsidR="00FC3A0B" w:rsidRPr="00D77B31">
        <w:t xml:space="preserve"> </w:t>
      </w:r>
      <w:r w:rsidRPr="00D77B31">
        <w:t>F: Perth Area (</w:t>
      </w:r>
      <w:r w:rsidR="007A7557" w:rsidRPr="00D77B31">
        <w:t xml:space="preserve">Radiocommunications Spectrum Re-allocation </w:t>
      </w:r>
      <w:r w:rsidRPr="00D77B31">
        <w:t>Declaration No. 2 of 2011</w:t>
      </w:r>
      <w:r w:rsidR="007A7557" w:rsidRPr="00D77B31">
        <w:t>)</w:t>
      </w:r>
      <w:bookmarkEnd w:id="370"/>
    </w:p>
    <w:p w14:paraId="308972E7" w14:textId="77777777" w:rsidR="00A57EB8" w:rsidRPr="00D77B31" w:rsidRDefault="00A57EB8" w:rsidP="00237737">
      <w:pPr>
        <w:jc w:val="center"/>
        <w:rPr>
          <w:rFonts w:cs="Arial"/>
        </w:rPr>
      </w:pPr>
    </w:p>
    <w:p w14:paraId="2409E668" w14:textId="77777777" w:rsidR="00A57EB8" w:rsidRPr="00D77B31" w:rsidRDefault="005E2466" w:rsidP="00237737">
      <w:pPr>
        <w:jc w:val="center"/>
        <w:rPr>
          <w:rFonts w:cs="Arial"/>
        </w:rPr>
      </w:pPr>
      <w:r w:rsidRPr="00D77B31">
        <w:rPr>
          <w:rFonts w:cs="Arial"/>
          <w:noProof/>
        </w:rPr>
        <w:drawing>
          <wp:anchor distT="0" distB="0" distL="114300" distR="114300" simplePos="0" relativeHeight="251658241" behindDoc="0" locked="0" layoutInCell="1" allowOverlap="1" wp14:anchorId="203729F3" wp14:editId="7228B037">
            <wp:simplePos x="0" y="0"/>
            <wp:positionH relativeFrom="column">
              <wp:posOffset>-303410</wp:posOffset>
            </wp:positionH>
            <wp:positionV relativeFrom="paragraph">
              <wp:posOffset>19613</wp:posOffset>
            </wp:positionV>
            <wp:extent cx="6440338" cy="6984808"/>
            <wp:effectExtent l="19050" t="19050" r="17612" b="25592"/>
            <wp:wrapNone/>
            <wp:docPr id="9" name="Picture 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Picture 1">
                      <a:extLst>
                        <a:ext uri="{C183D7F6-B498-43B3-948B-1728B52AA6E4}">
                          <adec:decorative xmlns:adec="http://schemas.microsoft.com/office/drawing/2017/decorative" val="1"/>
                        </a:ext>
                      </a:extLst>
                    </pic:cNvPr>
                    <pic:cNvPicPr>
                      <a:picLocks noChangeAspect="1" noChangeArrowheads="1"/>
                    </pic:cNvPicPr>
                  </pic:nvPicPr>
                  <pic:blipFill>
                    <a:blip r:embed="rId48" cstate="print"/>
                    <a:srcRect/>
                    <a:stretch>
                      <a:fillRect/>
                    </a:stretch>
                  </pic:blipFill>
                  <pic:spPr bwMode="auto">
                    <a:xfrm>
                      <a:off x="0" y="0"/>
                      <a:ext cx="6440338" cy="6984808"/>
                    </a:xfrm>
                    <a:prstGeom prst="rect">
                      <a:avLst/>
                    </a:prstGeom>
                    <a:noFill/>
                    <a:ln w="9525">
                      <a:solidFill>
                        <a:schemeClr val="tx1"/>
                      </a:solidFill>
                      <a:miter lim="800000"/>
                      <a:headEnd/>
                      <a:tailEnd/>
                    </a:ln>
                  </pic:spPr>
                </pic:pic>
              </a:graphicData>
            </a:graphic>
          </wp:anchor>
        </w:drawing>
      </w:r>
    </w:p>
    <w:sectPr w:rsidR="00A57EB8" w:rsidRPr="00D77B31" w:rsidSect="00C0519B">
      <w:headerReference w:type="even" r:id="rId49"/>
      <w:headerReference w:type="default" r:id="rId50"/>
      <w:headerReference w:type="first" r:id="rId51"/>
      <w:footnotePr>
        <w:numRestart w:val="eachSect"/>
      </w:footnotePr>
      <w:pgSz w:w="11907" w:h="16840" w:code="9"/>
      <w:pgMar w:top="1440" w:right="1440" w:bottom="1440" w:left="1440" w:header="709" w:footer="119"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BAA2EA0" w14:textId="77777777" w:rsidR="00604E3C" w:rsidRDefault="00604E3C">
      <w:r>
        <w:separator/>
      </w:r>
    </w:p>
  </w:endnote>
  <w:endnote w:type="continuationSeparator" w:id="0">
    <w:p w14:paraId="19F4E2E2" w14:textId="77777777" w:rsidR="00604E3C" w:rsidRDefault="00604E3C">
      <w:r>
        <w:continuationSeparator/>
      </w:r>
    </w:p>
  </w:endnote>
  <w:endnote w:type="continuationNotice" w:id="1">
    <w:p w14:paraId="3239B5D5" w14:textId="77777777" w:rsidR="00604E3C" w:rsidRDefault="00604E3C"/>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HelveticaNeueLT Std Lt">
    <w:altName w:val="Arial"/>
    <w:panose1 w:val="020B0403020202020204"/>
    <w:charset w:val="00"/>
    <w:family w:val="swiss"/>
    <w:notTrueType/>
    <w:pitch w:val="variable"/>
    <w:sig w:usb0="800000AF" w:usb1="4000204A" w:usb2="00000000" w:usb3="00000000" w:csb0="00000001"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E66850" w14:textId="6986B79F" w:rsidR="001B0922" w:rsidRPr="00F012AE" w:rsidRDefault="001B0922" w:rsidP="001B0922">
    <w:pPr>
      <w:pStyle w:val="Footer"/>
      <w:framePr w:w="1334" w:h="357" w:hRule="exact" w:vSpace="425" w:wrap="around" w:vAnchor="page" w:hAnchor="page" w:x="9258" w:y="16063"/>
      <w:tabs>
        <w:tab w:val="clear" w:pos="113"/>
        <w:tab w:val="left" w:pos="284"/>
      </w:tabs>
      <w:rPr>
        <w:rFonts w:cs="Arial"/>
      </w:rPr>
    </w:pPr>
    <w:r w:rsidRPr="00F012AE">
      <w:rPr>
        <w:rFonts w:cs="Arial"/>
        <w:noProof/>
        <w:spacing w:val="-16"/>
        <w:sz w:val="20"/>
        <w:szCs w:val="20"/>
      </w:rPr>
      <w:t xml:space="preserve">RALI </w:t>
    </w:r>
    <w:r>
      <w:rPr>
        <w:rFonts w:cs="Arial"/>
        <w:noProof/>
        <w:spacing w:val="-16"/>
        <w:sz w:val="20"/>
        <w:szCs w:val="20"/>
      </w:rPr>
      <w:t xml:space="preserve"> </w:t>
    </w:r>
    <w:r w:rsidRPr="00F012AE">
      <w:rPr>
        <w:rFonts w:cs="Arial"/>
        <w:noProof/>
        <w:spacing w:val="-16"/>
        <w:sz w:val="20"/>
        <w:szCs w:val="20"/>
      </w:rPr>
      <w:t xml:space="preserve">FX </w:t>
    </w:r>
    <w:r>
      <w:rPr>
        <w:rFonts w:cs="Arial"/>
        <w:noProof/>
        <w:spacing w:val="-16"/>
        <w:sz w:val="20"/>
        <w:szCs w:val="20"/>
      </w:rPr>
      <w:t xml:space="preserve"> </w:t>
    </w:r>
    <w:r w:rsidR="008522C0">
      <w:rPr>
        <w:rFonts w:cs="Arial"/>
        <w:noProof/>
        <w:spacing w:val="-16"/>
        <w:sz w:val="20"/>
        <w:szCs w:val="20"/>
      </w:rPr>
      <w:t>21</w:t>
    </w:r>
  </w:p>
  <w:p w14:paraId="213C86DA" w14:textId="70C2625A" w:rsidR="001B0922" w:rsidRDefault="001B0922" w:rsidP="001B0922">
    <w:pPr>
      <w:pStyle w:val="Footer"/>
      <w:tabs>
        <w:tab w:val="clear" w:pos="113"/>
        <w:tab w:val="left" w:pos="2550"/>
      </w:tabs>
    </w:pPr>
  </w:p>
  <w:p w14:paraId="58C5E77C" w14:textId="6DF4F466" w:rsidR="00071605" w:rsidRPr="00622A3B" w:rsidRDefault="000C0046" w:rsidP="0086687B">
    <w:pPr>
      <w:pStyle w:val="Footer"/>
      <w:framePr w:w="1334" w:h="357" w:hRule="exact" w:vSpace="425" w:wrap="around" w:vAnchor="page" w:hAnchor="page" w:x="1156" w:y="16126"/>
      <w:pBdr>
        <w:top w:val="single" w:sz="4" w:space="1" w:color="auto"/>
      </w:pBdr>
      <w:tabs>
        <w:tab w:val="clear" w:pos="113"/>
        <w:tab w:val="left" w:pos="284"/>
      </w:tabs>
      <w:rPr>
        <w:rFonts w:cs="Arial"/>
      </w:rPr>
    </w:pPr>
    <w:r>
      <w:fldChar w:fldCharType="begin"/>
    </w:r>
    <w:r>
      <w:instrText xml:space="preserve"> PAGE   \* MERGEFORMAT </w:instrText>
    </w:r>
    <w:r>
      <w:fldChar w:fldCharType="separate"/>
    </w:r>
    <w:r>
      <w:t>ii</w:t>
    </w:r>
    <w:r>
      <w:rPr>
        <w:noProof/>
      </w:rPr>
      <w:fldChar w:fldCharType="end"/>
    </w:r>
    <w:r w:rsidR="0086687B">
      <w:rPr>
        <w:noProof/>
      </w:rPr>
      <w:t xml:space="preserve">   </w:t>
    </w:r>
    <w:r w:rsidR="0086687B" w:rsidRPr="00622A3B">
      <w:rPr>
        <w:rFonts w:cs="Arial"/>
      </w:rPr>
      <w:t>|</w:t>
    </w:r>
    <w:r w:rsidR="0086687B">
      <w:t xml:space="preserve">    </w:t>
    </w:r>
    <w:r w:rsidR="00071605" w:rsidRPr="00622A3B">
      <w:rPr>
        <w:rFonts w:cs="Arial"/>
        <w:b/>
        <w:noProof/>
        <w:spacing w:val="-16"/>
        <w:sz w:val="20"/>
        <w:szCs w:val="20"/>
      </w:rPr>
      <w:t>a</w:t>
    </w:r>
    <w:r w:rsidR="00071605" w:rsidRPr="00622A3B">
      <w:rPr>
        <w:rFonts w:cs="Arial"/>
        <w:b/>
        <w:noProof/>
        <w:spacing w:val="-15"/>
        <w:sz w:val="20"/>
        <w:szCs w:val="20"/>
      </w:rPr>
      <w:t>c</w:t>
    </w:r>
    <w:r w:rsidR="00071605" w:rsidRPr="00622A3B">
      <w:rPr>
        <w:rFonts w:cs="Arial"/>
        <w:b/>
        <w:noProof/>
        <w:spacing w:val="-16"/>
        <w:sz w:val="20"/>
        <w:szCs w:val="20"/>
      </w:rPr>
      <w:t>m</w:t>
    </w:r>
    <w:r w:rsidR="00071605" w:rsidRPr="00622A3B">
      <w:rPr>
        <w:rFonts w:cs="Arial"/>
        <w:b/>
        <w:noProof/>
        <w:spacing w:val="-14"/>
        <w:sz w:val="20"/>
        <w:szCs w:val="20"/>
      </w:rPr>
      <w:t>a</w:t>
    </w:r>
    <w:r w:rsidR="00071605">
      <w:rPr>
        <w:rFonts w:cs="Arial"/>
      </w:rPr>
      <w:t xml:space="preserve">  </w:t>
    </w:r>
  </w:p>
  <w:p w14:paraId="2A0E1F1B" w14:textId="6950EA7C" w:rsidR="001B0922" w:rsidRPr="00A07457" w:rsidRDefault="0086687B" w:rsidP="0086687B">
    <w:pPr>
      <w:pStyle w:val="Footer"/>
      <w:tabs>
        <w:tab w:val="clear" w:pos="113"/>
        <w:tab w:val="left" w:pos="1064"/>
      </w:tabs>
    </w:pPr>
    <w:r>
      <w:tab/>
    </w:r>
  </w:p>
  <w:p w14:paraId="1A377C75" w14:textId="77777777" w:rsidR="0077716C" w:rsidRDefault="0077716C">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4D1C74" w14:textId="797EF762" w:rsidR="00D44919" w:rsidRPr="00F012AE" w:rsidRDefault="00D44919" w:rsidP="00D44919">
    <w:pPr>
      <w:pStyle w:val="Footer"/>
      <w:framePr w:w="1334" w:h="357" w:hRule="exact" w:vSpace="425" w:wrap="around" w:vAnchor="page" w:hAnchor="page" w:x="1220" w:y="15984"/>
      <w:tabs>
        <w:tab w:val="clear" w:pos="113"/>
        <w:tab w:val="left" w:pos="284"/>
      </w:tabs>
      <w:rPr>
        <w:rFonts w:cs="Arial"/>
      </w:rPr>
    </w:pPr>
    <w:r w:rsidRPr="00F012AE">
      <w:rPr>
        <w:rFonts w:cs="Arial"/>
        <w:noProof/>
        <w:spacing w:val="-16"/>
        <w:sz w:val="20"/>
        <w:szCs w:val="20"/>
      </w:rPr>
      <w:t xml:space="preserve">RALI </w:t>
    </w:r>
    <w:r>
      <w:rPr>
        <w:rFonts w:cs="Arial"/>
        <w:noProof/>
        <w:spacing w:val="-16"/>
        <w:sz w:val="20"/>
        <w:szCs w:val="20"/>
      </w:rPr>
      <w:t xml:space="preserve"> </w:t>
    </w:r>
    <w:r w:rsidRPr="00F012AE">
      <w:rPr>
        <w:rFonts w:cs="Arial"/>
        <w:noProof/>
        <w:spacing w:val="-16"/>
        <w:sz w:val="20"/>
        <w:szCs w:val="20"/>
      </w:rPr>
      <w:t xml:space="preserve">FX </w:t>
    </w:r>
    <w:r>
      <w:rPr>
        <w:rFonts w:cs="Arial"/>
        <w:noProof/>
        <w:spacing w:val="-16"/>
        <w:sz w:val="20"/>
        <w:szCs w:val="20"/>
      </w:rPr>
      <w:t xml:space="preserve"> </w:t>
    </w:r>
    <w:r w:rsidR="0035307F">
      <w:rPr>
        <w:rFonts w:cs="Arial"/>
        <w:noProof/>
        <w:spacing w:val="-16"/>
        <w:sz w:val="20"/>
        <w:szCs w:val="20"/>
      </w:rPr>
      <w:t>21</w:t>
    </w:r>
  </w:p>
  <w:p w14:paraId="67A540C7" w14:textId="7FBA9EF8" w:rsidR="00F939F4" w:rsidRPr="00622A3B" w:rsidRDefault="00F939F4" w:rsidP="00F939F4">
    <w:pPr>
      <w:pStyle w:val="Footer"/>
      <w:framePr w:w="1334" w:h="357" w:hRule="exact" w:vSpace="425" w:wrap="around" w:vAnchor="page" w:hAnchor="page" w:x="9337" w:y="16047"/>
      <w:pBdr>
        <w:top w:val="single" w:sz="4" w:space="1" w:color="auto"/>
      </w:pBdr>
      <w:tabs>
        <w:tab w:val="clear" w:pos="113"/>
        <w:tab w:val="left" w:pos="284"/>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Pr>
        <w:rFonts w:cs="Arial"/>
      </w:rPr>
      <w:t xml:space="preserve"> </w:t>
    </w:r>
    <w:r w:rsidR="00E77EAD">
      <w:rPr>
        <w:rFonts w:cs="Arial"/>
      </w:rPr>
      <w:t xml:space="preserve"> </w:t>
    </w:r>
    <w:r w:rsidRPr="00622A3B">
      <w:rPr>
        <w:rFonts w:cs="Arial"/>
      </w:rPr>
      <w:t>|</w:t>
    </w:r>
    <w:r>
      <w:tab/>
    </w:r>
    <w:r>
      <w:fldChar w:fldCharType="begin"/>
    </w:r>
    <w:r>
      <w:instrText xml:space="preserve"> PAGE   \* MERGEFORMAT </w:instrText>
    </w:r>
    <w:r>
      <w:fldChar w:fldCharType="separate"/>
    </w:r>
    <w:r>
      <w:t>iii</w:t>
    </w:r>
    <w:r>
      <w:rPr>
        <w:noProof/>
      </w:rPr>
      <w:fldChar w:fldCharType="end"/>
    </w:r>
  </w:p>
  <w:p w14:paraId="7CC716A9" w14:textId="07E1D1AF" w:rsidR="00B47A58" w:rsidRPr="009811DB" w:rsidRDefault="00B47A58" w:rsidP="008364C4">
    <w:pPr>
      <w:pStyle w:val="Footer"/>
      <w:tabs>
        <w:tab w:val="left" w:pos="4536"/>
        <w:tab w:val="right" w:pos="9355"/>
      </w:tabs>
      <w:rPr>
        <w:rFonts w:cs="Calibri"/>
        <w:sz w:val="20"/>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75DD0C" w14:textId="3BD820A5" w:rsidR="00B47A58" w:rsidRPr="00A51A35" w:rsidRDefault="00B47A58" w:rsidP="009318BA">
    <w:pPr>
      <w:pStyle w:val="Footer"/>
      <w:tabs>
        <w:tab w:val="left" w:pos="4536"/>
        <w:tab w:val="right" w:pos="9355"/>
      </w:tabs>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ABFAB4A" w14:textId="77777777" w:rsidR="00604E3C" w:rsidRDefault="00604E3C">
      <w:r>
        <w:separator/>
      </w:r>
    </w:p>
  </w:footnote>
  <w:footnote w:type="continuationSeparator" w:id="0">
    <w:p w14:paraId="13D00511" w14:textId="77777777" w:rsidR="00604E3C" w:rsidRDefault="00604E3C">
      <w:r>
        <w:continuationSeparator/>
      </w:r>
    </w:p>
  </w:footnote>
  <w:footnote w:type="continuationNotice" w:id="1">
    <w:p w14:paraId="132524C7" w14:textId="77777777" w:rsidR="00604E3C" w:rsidRDefault="00604E3C"/>
  </w:footnote>
  <w:footnote w:id="2">
    <w:p w14:paraId="262D8E63" w14:textId="6F2C1580" w:rsidR="00B47A58" w:rsidRPr="00BF485E" w:rsidRDefault="00B47A58" w:rsidP="00D3274B">
      <w:pPr>
        <w:pStyle w:val="FootnoteText"/>
        <w:spacing w:after="60"/>
        <w:ind w:left="98" w:hanging="98"/>
      </w:pPr>
      <w:r w:rsidRPr="006A5087">
        <w:rPr>
          <w:rStyle w:val="FootnoteReference"/>
          <w:rFonts w:cstheme="minorHAnsi"/>
          <w:iCs/>
          <w:sz w:val="18"/>
          <w:szCs w:val="18"/>
        </w:rPr>
        <w:footnoteRef/>
      </w:r>
      <w:r w:rsidRPr="008D3837">
        <w:rPr>
          <w:rStyle w:val="FootnoteReference"/>
          <w:rFonts w:cstheme="minorHAnsi"/>
          <w:i/>
          <w:sz w:val="18"/>
          <w:szCs w:val="18"/>
        </w:rPr>
        <w:t xml:space="preserve"> </w:t>
      </w:r>
      <w:r w:rsidRPr="002F7B6C">
        <w:rPr>
          <w:rFonts w:cstheme="minorHAnsi"/>
          <w:sz w:val="18"/>
          <w:szCs w:val="18"/>
        </w:rPr>
        <w:t xml:space="preserve">See </w:t>
      </w:r>
      <w:hyperlink r:id="rId1" w:history="1">
        <w:r w:rsidRPr="008D3837">
          <w:rPr>
            <w:rStyle w:val="Hyperlink"/>
            <w:rFonts w:cstheme="minorHAnsi"/>
            <w:sz w:val="18"/>
            <w:szCs w:val="18"/>
          </w:rPr>
          <w:t>http://www.acma.gov.au/Industry/Spectrum/Digital-Dividend-700MHz-and-25Gz-Auction/Restack/longterm-arrangements-for-eng-digital-dividend-acma</w:t>
        </w:r>
      </w:hyperlink>
      <w:r w:rsidRPr="008D3837">
        <w:rPr>
          <w:rStyle w:val="Hyperlink"/>
          <w:rFonts w:cstheme="minorHAnsi"/>
          <w:sz w:val="18"/>
          <w:szCs w:val="18"/>
        </w:rPr>
        <w:t xml:space="preserve"> </w:t>
      </w:r>
    </w:p>
  </w:footnote>
  <w:footnote w:id="3">
    <w:p w14:paraId="5BFF7BED" w14:textId="4F896430" w:rsidR="006A5087" w:rsidRPr="002F7B6C" w:rsidRDefault="006A5087" w:rsidP="006A5087">
      <w:pPr>
        <w:pStyle w:val="FootnoteText"/>
        <w:spacing w:after="60"/>
        <w:rPr>
          <w:rFonts w:cstheme="minorHAnsi"/>
          <w:sz w:val="18"/>
          <w:szCs w:val="18"/>
        </w:rPr>
      </w:pPr>
      <w:r w:rsidRPr="002F7B6C">
        <w:rPr>
          <w:rStyle w:val="FootnoteReference"/>
          <w:rFonts w:cstheme="minorHAnsi"/>
          <w:sz w:val="18"/>
          <w:szCs w:val="18"/>
        </w:rPr>
        <w:footnoteRef/>
      </w:r>
      <w:r w:rsidRPr="002F7B6C">
        <w:rPr>
          <w:rFonts w:cstheme="minorHAnsi"/>
          <w:sz w:val="18"/>
          <w:szCs w:val="18"/>
        </w:rPr>
        <w:t xml:space="preserve"> See </w:t>
      </w:r>
      <w:hyperlink r:id="rId2" w:history="1">
        <w:r w:rsidRPr="002F7B6C">
          <w:rPr>
            <w:rStyle w:val="Hyperlink"/>
            <w:rFonts w:cstheme="minorHAnsi"/>
            <w:sz w:val="18"/>
            <w:szCs w:val="18"/>
          </w:rPr>
          <w:t>http://www.comlaw.gov.au/Details/F2012L00731</w:t>
        </w:r>
      </w:hyperlink>
    </w:p>
  </w:footnote>
  <w:footnote w:id="4">
    <w:p w14:paraId="17086DCA" w14:textId="77C88B9C" w:rsidR="009C66AF" w:rsidRPr="00D3274B" w:rsidRDefault="009C66AF" w:rsidP="00D3274B">
      <w:pPr>
        <w:pStyle w:val="FootnoteText"/>
        <w:spacing w:after="60"/>
        <w:rPr>
          <w:sz w:val="18"/>
          <w:szCs w:val="18"/>
        </w:rPr>
      </w:pPr>
      <w:r w:rsidRPr="00D3274B">
        <w:rPr>
          <w:rStyle w:val="FootnoteReference"/>
          <w:sz w:val="18"/>
          <w:szCs w:val="18"/>
        </w:rPr>
        <w:footnoteRef/>
      </w:r>
      <w:r w:rsidRPr="00D3274B">
        <w:rPr>
          <w:sz w:val="18"/>
          <w:szCs w:val="18"/>
        </w:rPr>
        <w:t xml:space="preserve"> See </w:t>
      </w:r>
      <w:hyperlink r:id="rId3" w:history="1">
        <w:r w:rsidR="00E77ADA" w:rsidRPr="00D3274B">
          <w:rPr>
            <w:rStyle w:val="Hyperlink"/>
            <w:sz w:val="18"/>
            <w:szCs w:val="18"/>
          </w:rPr>
          <w:t>https://www.legislation.gov.au/Details/F2022L00843</w:t>
        </w:r>
      </w:hyperlink>
    </w:p>
  </w:footnote>
  <w:footnote w:id="5">
    <w:p w14:paraId="06968262" w14:textId="5E4EC001" w:rsidR="004B226F" w:rsidRPr="00D3274B" w:rsidRDefault="004B226F" w:rsidP="00D3274B">
      <w:pPr>
        <w:pStyle w:val="FootnoteText"/>
        <w:spacing w:after="60"/>
        <w:rPr>
          <w:sz w:val="18"/>
          <w:szCs w:val="18"/>
        </w:rPr>
      </w:pPr>
      <w:r w:rsidRPr="00D3274B">
        <w:rPr>
          <w:rStyle w:val="FootnoteReference"/>
          <w:sz w:val="18"/>
          <w:szCs w:val="18"/>
        </w:rPr>
        <w:footnoteRef/>
      </w:r>
      <w:r w:rsidRPr="00D3274B">
        <w:rPr>
          <w:sz w:val="18"/>
          <w:szCs w:val="18"/>
        </w:rPr>
        <w:t xml:space="preserve"> </w:t>
      </w:r>
      <w:r w:rsidR="00D3274B">
        <w:rPr>
          <w:sz w:val="18"/>
          <w:szCs w:val="18"/>
        </w:rPr>
        <w:t xml:space="preserve">See </w:t>
      </w:r>
      <w:hyperlink r:id="rId4" w:history="1">
        <w:r w:rsidR="00D3274B" w:rsidRPr="00526355">
          <w:rPr>
            <w:rStyle w:val="Hyperlink"/>
            <w:sz w:val="18"/>
            <w:szCs w:val="18"/>
          </w:rPr>
          <w:t>https://www.legislation.gov.au/Series/F2022L00842</w:t>
        </w:r>
      </w:hyperlink>
      <w:r w:rsidR="008E0D93" w:rsidRPr="00D3274B">
        <w:rPr>
          <w:sz w:val="18"/>
          <w:szCs w:val="18"/>
        </w:rPr>
        <w:t xml:space="preserve"> </w:t>
      </w:r>
    </w:p>
  </w:footnote>
  <w:footnote w:id="6">
    <w:p w14:paraId="0E58C643" w14:textId="1DDCDD26" w:rsidR="008D0ACB" w:rsidRPr="00D3274B" w:rsidRDefault="008D0ACB" w:rsidP="00D3274B">
      <w:pPr>
        <w:pStyle w:val="FootnoteText"/>
        <w:spacing w:after="60"/>
        <w:rPr>
          <w:sz w:val="18"/>
          <w:szCs w:val="18"/>
        </w:rPr>
      </w:pPr>
      <w:r w:rsidRPr="00D3274B">
        <w:rPr>
          <w:rStyle w:val="FootnoteReference"/>
          <w:sz w:val="18"/>
          <w:szCs w:val="18"/>
        </w:rPr>
        <w:footnoteRef/>
      </w:r>
      <w:r w:rsidRPr="00D3274B">
        <w:rPr>
          <w:sz w:val="18"/>
          <w:szCs w:val="18"/>
        </w:rPr>
        <w:t xml:space="preserve"> </w:t>
      </w:r>
      <w:hyperlink r:id="rId5" w:history="1">
        <w:r w:rsidRPr="0036214E">
          <w:rPr>
            <w:rStyle w:val="Hyperlink"/>
            <w:sz w:val="18"/>
            <w:szCs w:val="18"/>
          </w:rPr>
          <w:t>Radiocommunications (Mobile-Satellite Service) (1980–2010 MHz and 2170–2200 MHz) Frequency Band Plan 2022 – Explanatory Statement</w:t>
        </w:r>
      </w:hyperlink>
    </w:p>
  </w:footnote>
  <w:footnote w:id="7">
    <w:p w14:paraId="7E9E2294" w14:textId="52D6803D" w:rsidR="002D2224" w:rsidRPr="0036214E" w:rsidRDefault="002D2224" w:rsidP="0036214E">
      <w:pPr>
        <w:pStyle w:val="FootnoteText"/>
        <w:spacing w:after="60"/>
        <w:rPr>
          <w:sz w:val="18"/>
          <w:szCs w:val="18"/>
        </w:rPr>
      </w:pPr>
      <w:r w:rsidRPr="0036214E">
        <w:rPr>
          <w:rStyle w:val="FootnoteReference"/>
          <w:sz w:val="18"/>
          <w:szCs w:val="18"/>
        </w:rPr>
        <w:footnoteRef/>
      </w:r>
      <w:r w:rsidRPr="0036214E">
        <w:rPr>
          <w:sz w:val="18"/>
          <w:szCs w:val="18"/>
        </w:rPr>
        <w:t xml:space="preserve"> Note TOB arrangements in 1980-2010 MHz and 2170-2200 MHz remain unchanged as per Figure 2</w:t>
      </w:r>
      <w:r w:rsidR="00E02AE8">
        <w:rPr>
          <w:sz w:val="18"/>
          <w:szCs w:val="18"/>
        </w:rPr>
        <w:t>.</w:t>
      </w:r>
    </w:p>
  </w:footnote>
  <w:footnote w:id="8">
    <w:p w14:paraId="188FD706" w14:textId="77777777" w:rsidR="00B47A58" w:rsidRPr="002F7B6C" w:rsidRDefault="00B47A58" w:rsidP="0036214E">
      <w:pPr>
        <w:pStyle w:val="FootnoteText"/>
        <w:spacing w:after="60"/>
        <w:ind w:left="113" w:hanging="113"/>
        <w:rPr>
          <w:sz w:val="18"/>
          <w:szCs w:val="18"/>
        </w:rPr>
      </w:pPr>
      <w:r w:rsidRPr="002F7B6C">
        <w:rPr>
          <w:rStyle w:val="FootnoteReference"/>
          <w:sz w:val="18"/>
          <w:szCs w:val="18"/>
        </w:rPr>
        <w:footnoteRef/>
      </w:r>
      <w:r w:rsidRPr="002F7B6C">
        <w:rPr>
          <w:sz w:val="18"/>
          <w:szCs w:val="18"/>
        </w:rPr>
        <w:t xml:space="preserve"> The fixed link path is defined as the area contained between the two fixed point-to-point link stations within 2 degrees either side of the straight line path between them from the fixed link receive station.</w:t>
      </w:r>
    </w:p>
  </w:footnote>
  <w:footnote w:id="9">
    <w:p w14:paraId="6138B242" w14:textId="77777777" w:rsidR="00B47A58" w:rsidRPr="002F7B6C" w:rsidRDefault="00B47A58" w:rsidP="0036214E">
      <w:pPr>
        <w:pStyle w:val="FootnoteText"/>
        <w:spacing w:after="60"/>
        <w:rPr>
          <w:sz w:val="18"/>
        </w:rPr>
      </w:pPr>
      <w:r w:rsidRPr="002F7B6C">
        <w:rPr>
          <w:rStyle w:val="FootnoteReference"/>
          <w:sz w:val="18"/>
        </w:rPr>
        <w:footnoteRef/>
      </w:r>
      <w:r w:rsidRPr="002F7B6C">
        <w:rPr>
          <w:sz w:val="18"/>
        </w:rPr>
        <w:t xml:space="preserve"> Typical wireless camera specifications are described in Appendix B of this RALI.</w:t>
      </w:r>
    </w:p>
  </w:footnote>
  <w:footnote w:id="10">
    <w:p w14:paraId="571B66D7" w14:textId="77777777" w:rsidR="00B47A58" w:rsidRPr="002F7B6C" w:rsidRDefault="00B47A58" w:rsidP="0036214E">
      <w:pPr>
        <w:pStyle w:val="FootnoteText"/>
        <w:spacing w:after="60"/>
        <w:ind w:left="142" w:hanging="142"/>
        <w:rPr>
          <w:sz w:val="18"/>
        </w:rPr>
      </w:pPr>
      <w:r w:rsidRPr="002F7B6C">
        <w:rPr>
          <w:rStyle w:val="FootnoteReference"/>
          <w:sz w:val="18"/>
        </w:rPr>
        <w:footnoteRef/>
      </w:r>
      <w:r w:rsidRPr="002F7B6C">
        <w:rPr>
          <w:sz w:val="18"/>
        </w:rPr>
        <w:t xml:space="preserve"> The fixed link path is defined as the area contained between the two fixed point-to-point link stations within 2 degrees either side of the straight line path between them from the fixed link receive station.</w:t>
      </w:r>
    </w:p>
  </w:footnote>
  <w:footnote w:id="11">
    <w:p w14:paraId="51453047" w14:textId="77777777" w:rsidR="00B47A58" w:rsidRPr="002F7B6C" w:rsidRDefault="00B47A58" w:rsidP="0036214E">
      <w:pPr>
        <w:pStyle w:val="FootnoteText"/>
        <w:spacing w:after="60"/>
        <w:rPr>
          <w:sz w:val="18"/>
        </w:rPr>
      </w:pPr>
      <w:r w:rsidRPr="002F7B6C">
        <w:rPr>
          <w:rStyle w:val="FootnoteReference"/>
          <w:sz w:val="18"/>
        </w:rPr>
        <w:footnoteRef/>
      </w:r>
      <w:r w:rsidRPr="002F7B6C">
        <w:rPr>
          <w:sz w:val="18"/>
        </w:rPr>
        <w:t xml:space="preserve"> Typical ENG van specifications are described in Appendix B of this RALI.</w:t>
      </w:r>
    </w:p>
  </w:footnote>
  <w:footnote w:id="12">
    <w:p w14:paraId="6659FC64" w14:textId="77777777" w:rsidR="00B47A58" w:rsidRPr="003914B9" w:rsidRDefault="00B47A58" w:rsidP="0036214E">
      <w:pPr>
        <w:pStyle w:val="FootnoteText"/>
        <w:spacing w:after="60"/>
        <w:ind w:left="196" w:hanging="196"/>
      </w:pPr>
      <w:r w:rsidRPr="002F7B6C">
        <w:rPr>
          <w:rStyle w:val="FootnoteReference"/>
          <w:sz w:val="18"/>
        </w:rPr>
        <w:footnoteRef/>
      </w:r>
      <w:r w:rsidRPr="002F7B6C">
        <w:rPr>
          <w:sz w:val="18"/>
        </w:rPr>
        <w:t xml:space="preserve"> TOB services operating within 30 km of the fixed link (licence no. 1401371) located in Southwood, QLD must follow the coordination procedure outlined in Appendix D.</w:t>
      </w:r>
    </w:p>
  </w:footnote>
  <w:footnote w:id="13">
    <w:p w14:paraId="2534780C" w14:textId="5A9A81A1" w:rsidR="00B47A58" w:rsidRPr="002F7B6C" w:rsidRDefault="00B47A58" w:rsidP="00BE2800">
      <w:pPr>
        <w:pStyle w:val="FootnoteText"/>
        <w:spacing w:after="60"/>
        <w:rPr>
          <w:sz w:val="18"/>
        </w:rPr>
      </w:pPr>
      <w:r w:rsidRPr="002F7B6C">
        <w:rPr>
          <w:rStyle w:val="FootnoteReference"/>
          <w:sz w:val="18"/>
        </w:rPr>
        <w:footnoteRef/>
      </w:r>
      <w:r w:rsidRPr="002F7B6C">
        <w:rPr>
          <w:sz w:val="18"/>
        </w:rPr>
        <w:t xml:space="preserve"> All coordinates use the </w:t>
      </w:r>
      <w:r>
        <w:rPr>
          <w:sz w:val="18"/>
        </w:rPr>
        <w:t>GDA94</w:t>
      </w:r>
      <w:r w:rsidRPr="002F7B6C">
        <w:rPr>
          <w:sz w:val="18"/>
        </w:rPr>
        <w:t xml:space="preserve"> geodetic systems </w:t>
      </w:r>
    </w:p>
  </w:footnote>
  <w:footnote w:id="14">
    <w:p w14:paraId="15D527B6" w14:textId="70ECD8A5" w:rsidR="00B47A58" w:rsidRPr="0031168F" w:rsidRDefault="00B47A58" w:rsidP="00BE2800">
      <w:pPr>
        <w:pStyle w:val="FootnoteText"/>
        <w:spacing w:after="60"/>
        <w:rPr>
          <w:sz w:val="18"/>
          <w:szCs w:val="18"/>
        </w:rPr>
      </w:pPr>
      <w:r w:rsidRPr="0031168F">
        <w:rPr>
          <w:rStyle w:val="FootnoteReference"/>
          <w:sz w:val="18"/>
          <w:szCs w:val="18"/>
        </w:rPr>
        <w:footnoteRef/>
      </w:r>
      <w:r w:rsidRPr="0031168F">
        <w:rPr>
          <w:sz w:val="18"/>
          <w:szCs w:val="18"/>
        </w:rPr>
        <w:t xml:space="preserve"> The Perth area is defined in Table B in the Schedule to the 2.5 GHz re-allocation declaration, see </w:t>
      </w:r>
      <w:hyperlink r:id="rId6" w:history="1">
        <w:r w:rsidRPr="00BE2800">
          <w:rPr>
            <w:rStyle w:val="Hyperlink"/>
            <w:sz w:val="18"/>
            <w:szCs w:val="18"/>
          </w:rPr>
          <w:t>http://www.comlaw.gov.au/Details/F2011L02181</w:t>
        </w:r>
      </w:hyperlink>
      <w:r w:rsidRPr="0031168F">
        <w:rPr>
          <w:sz w:val="18"/>
          <w:szCs w:val="18"/>
        </w:rPr>
        <w:t xml:space="preserve"> (see Appendix F) </w:t>
      </w:r>
    </w:p>
  </w:footnote>
  <w:footnote w:id="15">
    <w:p w14:paraId="2D6139A6" w14:textId="746BDA52" w:rsidR="00B47A58" w:rsidRPr="0031168F" w:rsidRDefault="00B47A58" w:rsidP="0031168F">
      <w:pPr>
        <w:pStyle w:val="FootnoteText"/>
        <w:spacing w:after="60"/>
        <w:ind w:left="142" w:hanging="142"/>
        <w:rPr>
          <w:sz w:val="18"/>
          <w:szCs w:val="18"/>
        </w:rPr>
      </w:pPr>
      <w:r w:rsidRPr="0031168F">
        <w:rPr>
          <w:rStyle w:val="FootnoteReference"/>
          <w:sz w:val="18"/>
          <w:szCs w:val="18"/>
        </w:rPr>
        <w:footnoteRef/>
      </w:r>
      <w:r w:rsidRPr="0031168F">
        <w:rPr>
          <w:sz w:val="18"/>
          <w:szCs w:val="18"/>
        </w:rPr>
        <w:t xml:space="preserve"> A requirement included in the implementation arrangement to support the Treaty between the Government of Australian and the European Space Agency</w:t>
      </w:r>
    </w:p>
  </w:footnote>
  <w:footnote w:id="16">
    <w:p w14:paraId="325BD2F1" w14:textId="3C342809" w:rsidR="00B47A58" w:rsidRPr="00920D39" w:rsidRDefault="00B47A58" w:rsidP="0031168F">
      <w:pPr>
        <w:pStyle w:val="FootnoteText"/>
        <w:spacing w:after="60"/>
      </w:pPr>
      <w:r w:rsidRPr="0031168F">
        <w:rPr>
          <w:rStyle w:val="FootnoteReference"/>
          <w:sz w:val="18"/>
          <w:szCs w:val="18"/>
        </w:rPr>
        <w:footnoteRef/>
      </w:r>
      <w:r w:rsidRPr="0031168F">
        <w:rPr>
          <w:sz w:val="18"/>
          <w:szCs w:val="18"/>
        </w:rPr>
        <w:t xml:space="preserve"> 2200-2290 MHz is used for near Earth operations while 2290-2300 MHz is used for Deep Space operations</w:t>
      </w:r>
    </w:p>
  </w:footnote>
  <w:footnote w:id="17">
    <w:p w14:paraId="05ED688E" w14:textId="5A91145F" w:rsidR="00B47A58" w:rsidRPr="0031168F" w:rsidRDefault="00B47A58" w:rsidP="009205C0">
      <w:pPr>
        <w:pStyle w:val="FootnoteText"/>
        <w:spacing w:after="0"/>
        <w:rPr>
          <w:iCs/>
          <w:sz w:val="18"/>
        </w:rPr>
      </w:pPr>
      <w:r w:rsidRPr="002F7B6C">
        <w:rPr>
          <w:rStyle w:val="FootnoteReference"/>
          <w:sz w:val="18"/>
        </w:rPr>
        <w:footnoteRef/>
      </w:r>
      <w:r w:rsidRPr="002F7B6C">
        <w:rPr>
          <w:sz w:val="18"/>
        </w:rPr>
        <w:t xml:space="preserve"> See </w:t>
      </w:r>
      <w:hyperlink r:id="rId7" w:history="1">
        <w:r w:rsidRPr="002F7B6C">
          <w:rPr>
            <w:rStyle w:val="Hyperlink"/>
            <w:rFonts w:cstheme="minorHAnsi"/>
            <w:sz w:val="18"/>
          </w:rPr>
          <w:t>http://www.comlaw.gov.au/Details/F2011L01520</w:t>
        </w:r>
      </w:hyperlink>
    </w:p>
  </w:footnote>
  <w:footnote w:id="18">
    <w:p w14:paraId="7FD0BB7E" w14:textId="77777777" w:rsidR="00B47A58" w:rsidRPr="002F7B6C" w:rsidRDefault="00B47A58" w:rsidP="00EA52E3">
      <w:pPr>
        <w:pStyle w:val="FootnoteText"/>
        <w:rPr>
          <w:sz w:val="18"/>
        </w:rPr>
      </w:pPr>
      <w:r w:rsidRPr="002F7B6C">
        <w:rPr>
          <w:rStyle w:val="FootnoteReference"/>
          <w:sz w:val="18"/>
        </w:rPr>
        <w:footnoteRef/>
      </w:r>
      <w:r w:rsidRPr="002F7B6C">
        <w:rPr>
          <w:sz w:val="18"/>
        </w:rPr>
        <w:t>Typical ENG collection station specifications are described in Appendix B of this RALI.</w:t>
      </w:r>
    </w:p>
    <w:p w14:paraId="05B5BB8D" w14:textId="77777777" w:rsidR="00B47A58" w:rsidRDefault="00B47A58" w:rsidP="00EA52E3">
      <w:pPr>
        <w:pStyle w:val="FootnoteText"/>
      </w:pPr>
      <w:r>
        <w:t xml:space="preserve"> </w:t>
      </w:r>
    </w:p>
  </w:footnote>
  <w:footnote w:id="19">
    <w:p w14:paraId="27E8BD8E" w14:textId="087CA643" w:rsidR="00B47A58" w:rsidRPr="0031168F" w:rsidRDefault="00B47A58" w:rsidP="0031168F">
      <w:pPr>
        <w:pStyle w:val="FootnoteText"/>
        <w:spacing w:after="60"/>
        <w:ind w:left="142" w:hanging="142"/>
        <w:rPr>
          <w:sz w:val="18"/>
          <w:szCs w:val="18"/>
        </w:rPr>
      </w:pPr>
      <w:r w:rsidRPr="0031168F">
        <w:rPr>
          <w:rStyle w:val="FootnoteReference"/>
          <w:sz w:val="18"/>
          <w:szCs w:val="18"/>
        </w:rPr>
        <w:footnoteRef/>
      </w:r>
      <w:r w:rsidRPr="0031168F">
        <w:rPr>
          <w:sz w:val="18"/>
          <w:szCs w:val="18"/>
        </w:rPr>
        <w:t xml:space="preserve"> A requirement included in the implementation arrangement to support the Treaty between the Government of Australian and the European Space Agency</w:t>
      </w:r>
    </w:p>
  </w:footnote>
  <w:footnote w:id="20">
    <w:p w14:paraId="26BCC64E" w14:textId="77777777" w:rsidR="00B47A58" w:rsidRPr="002F7B6C" w:rsidRDefault="00B47A58" w:rsidP="0031168F">
      <w:pPr>
        <w:pStyle w:val="FootnoteText"/>
        <w:spacing w:after="60"/>
        <w:rPr>
          <w:sz w:val="18"/>
        </w:rPr>
      </w:pPr>
      <w:r w:rsidRPr="0031168F">
        <w:rPr>
          <w:rStyle w:val="FootnoteReference"/>
          <w:sz w:val="18"/>
          <w:szCs w:val="18"/>
        </w:rPr>
        <w:footnoteRef/>
      </w:r>
      <w:r w:rsidRPr="0031168F">
        <w:rPr>
          <w:sz w:val="18"/>
          <w:szCs w:val="18"/>
        </w:rPr>
        <w:t xml:space="preserve"> Contact the ACMA for specific contact details at </w:t>
      </w:r>
      <w:hyperlink r:id="rId8" w:history="1">
        <w:r w:rsidRPr="0031168F">
          <w:rPr>
            <w:rStyle w:val="Hyperlink"/>
            <w:sz w:val="18"/>
            <w:szCs w:val="18"/>
          </w:rPr>
          <w:t>freqplan@acma.gov.au</w:t>
        </w:r>
      </w:hyperlink>
      <w:r w:rsidRPr="002F7B6C">
        <w:rPr>
          <w:sz w:val="18"/>
        </w:rPr>
        <w:t xml:space="preserve"> </w:t>
      </w:r>
    </w:p>
  </w:footnote>
  <w:footnote w:id="21">
    <w:p w14:paraId="33107062" w14:textId="77777777" w:rsidR="00B47A58" w:rsidRPr="002F7B6C" w:rsidRDefault="00B47A58" w:rsidP="0031168F">
      <w:pPr>
        <w:pStyle w:val="FootnoteText"/>
        <w:spacing w:after="60"/>
        <w:rPr>
          <w:sz w:val="18"/>
        </w:rPr>
      </w:pPr>
      <w:r w:rsidRPr="002F7B6C">
        <w:rPr>
          <w:rStyle w:val="FootnoteReference"/>
          <w:sz w:val="18"/>
        </w:rPr>
        <w:footnoteRef/>
      </w:r>
      <w:r w:rsidRPr="002F7B6C">
        <w:rPr>
          <w:sz w:val="18"/>
        </w:rPr>
        <w:t xml:space="preserve"> The ACMA recommends that a minimum of 5 MHz offset is used.</w:t>
      </w:r>
    </w:p>
  </w:footnote>
  <w:footnote w:id="22">
    <w:p w14:paraId="18B43579" w14:textId="77777777" w:rsidR="00B47A58" w:rsidRPr="002F7B6C" w:rsidRDefault="00B47A58" w:rsidP="0031168F">
      <w:pPr>
        <w:pStyle w:val="FootnoteText"/>
        <w:spacing w:after="60"/>
        <w:rPr>
          <w:sz w:val="18"/>
          <w:szCs w:val="18"/>
        </w:rPr>
      </w:pPr>
      <w:r w:rsidRPr="002F7B6C">
        <w:rPr>
          <w:rStyle w:val="FootnoteReference"/>
          <w:sz w:val="18"/>
          <w:szCs w:val="18"/>
        </w:rPr>
        <w:footnoteRef/>
      </w:r>
      <w:r w:rsidRPr="002F7B6C">
        <w:rPr>
          <w:sz w:val="18"/>
          <w:szCs w:val="18"/>
        </w:rPr>
        <w:t xml:space="preserve"> Fixed apparatus licence information paper at </w:t>
      </w:r>
      <w:hyperlink r:id="rId9" w:history="1">
        <w:r w:rsidRPr="002F7B6C">
          <w:rPr>
            <w:rStyle w:val="Hyperlink"/>
            <w:sz w:val="18"/>
            <w:szCs w:val="18"/>
          </w:rPr>
          <w:t>http://www.acma.gov.au/Industry/Broadcast/Television/Licence-fees-and-charges/fixed-licence-overview</w:t>
        </w:r>
      </w:hyperlink>
      <w:r w:rsidRPr="002F7B6C">
        <w:rPr>
          <w:sz w:val="18"/>
          <w:szCs w:val="18"/>
        </w:rPr>
        <w:t>.</w:t>
      </w:r>
    </w:p>
  </w:footnote>
  <w:footnote w:id="23">
    <w:p w14:paraId="54741C93" w14:textId="77777777" w:rsidR="00B47A58" w:rsidRPr="002F7B6C" w:rsidRDefault="00B47A58" w:rsidP="0031168F">
      <w:pPr>
        <w:pStyle w:val="FootnoteText"/>
        <w:spacing w:after="60"/>
        <w:rPr>
          <w:sz w:val="18"/>
          <w:szCs w:val="18"/>
        </w:rPr>
      </w:pPr>
      <w:r w:rsidRPr="002F7B6C">
        <w:rPr>
          <w:rStyle w:val="FootnoteReference"/>
          <w:sz w:val="18"/>
          <w:szCs w:val="18"/>
        </w:rPr>
        <w:footnoteRef/>
      </w:r>
      <w:r w:rsidRPr="002F7B6C">
        <w:rPr>
          <w:sz w:val="18"/>
          <w:szCs w:val="18"/>
        </w:rPr>
        <w:t xml:space="preserve"> Fixed receive apparatus information paper at </w:t>
      </w:r>
      <w:hyperlink r:id="rId10" w:history="1">
        <w:r w:rsidRPr="002F7B6C">
          <w:rPr>
            <w:rStyle w:val="Hyperlink"/>
            <w:sz w:val="18"/>
            <w:szCs w:val="18"/>
          </w:rPr>
          <w:t>http://www.acma.gov.au/theACMA/fixed-receive-licences-guidelines</w:t>
        </w:r>
      </w:hyperlink>
      <w:r w:rsidRPr="002F7B6C">
        <w:rPr>
          <w:sz w:val="18"/>
          <w:szCs w:val="18"/>
        </w:rPr>
        <w:t>.</w:t>
      </w:r>
    </w:p>
  </w:footnote>
  <w:footnote w:id="24">
    <w:p w14:paraId="05792765" w14:textId="77777777" w:rsidR="00B47A58" w:rsidRPr="002F7B6C" w:rsidRDefault="00B47A58" w:rsidP="009205C0">
      <w:pPr>
        <w:pStyle w:val="FootnoteText"/>
        <w:rPr>
          <w:sz w:val="18"/>
        </w:rPr>
      </w:pPr>
      <w:r w:rsidRPr="002F7B6C">
        <w:rPr>
          <w:rStyle w:val="FootnoteReference"/>
          <w:sz w:val="18"/>
        </w:rPr>
        <w:footnoteRef/>
      </w:r>
      <w:r w:rsidRPr="002F7B6C">
        <w:rPr>
          <w:sz w:val="18"/>
        </w:rPr>
        <w:t xml:space="preserve"> Achieved by a combination of multiple antennas and/or rotating antennas</w:t>
      </w:r>
    </w:p>
  </w:footnote>
  <w:footnote w:id="25">
    <w:p w14:paraId="13E90810" w14:textId="37C01F15" w:rsidR="00B47A58" w:rsidRPr="002F7B6C" w:rsidRDefault="00B47A58" w:rsidP="006D6C01">
      <w:pPr>
        <w:pStyle w:val="FootnoteText"/>
        <w:spacing w:after="60"/>
        <w:ind w:left="142" w:hanging="142"/>
        <w:rPr>
          <w:sz w:val="18"/>
        </w:rPr>
      </w:pPr>
      <w:r w:rsidRPr="002F7B6C">
        <w:rPr>
          <w:rStyle w:val="FootnoteReference"/>
          <w:sz w:val="18"/>
        </w:rPr>
        <w:footnoteRef/>
      </w:r>
      <w:r w:rsidRPr="002F7B6C">
        <w:rPr>
          <w:sz w:val="18"/>
        </w:rPr>
        <w:t xml:space="preserve"> Note that surface ducting, a short time interference mechanism over water in flat coastal areas, is not considered applicable for the geographic area surrounding Tidbinbilla </w:t>
      </w:r>
      <w:r w:rsidR="00726125">
        <w:rPr>
          <w:sz w:val="18"/>
        </w:rPr>
        <w:t>earth station</w:t>
      </w:r>
      <w:r w:rsidRPr="002F7B6C">
        <w:rPr>
          <w:sz w:val="18"/>
        </w:rPr>
        <w:t>.</w:t>
      </w:r>
    </w:p>
  </w:footnote>
  <w:footnote w:id="26">
    <w:p w14:paraId="6DE71464" w14:textId="5BD5BDF0" w:rsidR="00B47A58" w:rsidRPr="002F7B6C" w:rsidRDefault="00B47A58" w:rsidP="006D6C01">
      <w:pPr>
        <w:pStyle w:val="FootnoteText"/>
        <w:spacing w:after="60"/>
        <w:ind w:left="142" w:hanging="142"/>
        <w:rPr>
          <w:sz w:val="18"/>
        </w:rPr>
      </w:pPr>
      <w:r w:rsidRPr="002F7B6C">
        <w:rPr>
          <w:rStyle w:val="FootnoteReference"/>
          <w:sz w:val="18"/>
        </w:rPr>
        <w:footnoteRef/>
      </w:r>
      <w:r w:rsidRPr="002F7B6C">
        <w:rPr>
          <w:sz w:val="18"/>
        </w:rPr>
        <w:t xml:space="preserve"> A requirement included in the implementation arrangement to support the Treaty between the Government of Australian and the European Space Agency</w:t>
      </w:r>
      <w:r w:rsidRPr="002F7B6C">
        <w:rPr>
          <w:sz w:val="18"/>
          <w:highlight w:val="yellow"/>
        </w:rPr>
        <w:t xml:space="preserve"> </w:t>
      </w:r>
    </w:p>
  </w:footnote>
  <w:footnote w:id="27">
    <w:p w14:paraId="55064493" w14:textId="77777777" w:rsidR="00B47A58" w:rsidRPr="002F7B6C" w:rsidRDefault="00B47A58" w:rsidP="00BE2800">
      <w:pPr>
        <w:pStyle w:val="FootnoteText"/>
        <w:spacing w:after="60"/>
        <w:rPr>
          <w:sz w:val="18"/>
        </w:rPr>
      </w:pPr>
      <w:r w:rsidRPr="002F7B6C">
        <w:rPr>
          <w:rStyle w:val="FootnoteReference"/>
          <w:sz w:val="18"/>
        </w:rPr>
        <w:footnoteRef/>
      </w:r>
      <w:r w:rsidRPr="002F7B6C">
        <w:rPr>
          <w:sz w:val="18"/>
        </w:rPr>
        <w:t xml:space="preserve"> </w:t>
      </w:r>
      <w:hyperlink r:id="rId11" w:history="1">
        <w:r w:rsidRPr="002F7B6C">
          <w:rPr>
            <w:rStyle w:val="Hyperlink"/>
            <w:sz w:val="18"/>
          </w:rPr>
          <w:t>http://web.acma.gov.au/pls/radcom/register_search.main_page</w:t>
        </w:r>
      </w:hyperlink>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D0E688" w14:textId="38514E62" w:rsidR="00B624EA" w:rsidRDefault="00312438">
    <w:pPr>
      <w:pStyle w:val="Header"/>
    </w:pPr>
    <w:r>
      <w:rPr>
        <w:noProof/>
      </w:rPr>
      <w:drawing>
        <wp:inline distT="0" distB="0" distL="0" distR="0" wp14:anchorId="2238CA3D" wp14:editId="19FBE62E">
          <wp:extent cx="5732145" cy="467046"/>
          <wp:effectExtent l="0" t="0" r="0" b="9525"/>
          <wp:docPr id="32" name="Picture 32" title="Australian Communications and Media Authority logo and Government cres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iscussion-paper-header-block.pdf"/>
                  <pic:cNvPicPr/>
                </pic:nvPicPr>
                <pic:blipFill>
                  <a:blip r:embed="rId1">
                    <a:extLst>
                      <a:ext uri="{28A0092B-C50C-407E-A947-70E740481C1C}">
                        <a14:useLocalDpi xmlns:a14="http://schemas.microsoft.com/office/drawing/2010/main" val="0"/>
                      </a:ext>
                    </a:extLst>
                  </a:blip>
                  <a:stretch>
                    <a:fillRect/>
                  </a:stretch>
                </pic:blipFill>
                <pic:spPr>
                  <a:xfrm>
                    <a:off x="0" y="0"/>
                    <a:ext cx="5732145" cy="467046"/>
                  </a:xfrm>
                  <a:prstGeom prst="rect">
                    <a:avLst/>
                  </a:prstGeom>
                </pic:spPr>
              </pic:pic>
            </a:graphicData>
          </a:graphic>
        </wp:inline>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A601B3" w14:textId="38F92FE7" w:rsidR="00B47A58" w:rsidRDefault="00B47A58">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AAE7D6" w14:textId="77777777" w:rsidR="00B47A58" w:rsidRDefault="00B47A58">
    <w:pPr>
      <w:pStyle w:val="Header"/>
      <w:tabs>
        <w:tab w:val="right" w:pos="9356"/>
      </w:tabs>
    </w:pPr>
  </w:p>
  <w:p w14:paraId="4B8CB025" w14:textId="77777777" w:rsidR="00B47A58" w:rsidRDefault="00B47A58">
    <w:pPr>
      <w:pStyle w:val="Header"/>
      <w:tabs>
        <w:tab w:val="right" w:pos="9356"/>
      </w:tabs>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E5D6F4" w14:textId="5FFAF0EA" w:rsidR="00B47A58" w:rsidRDefault="00B47A58">
    <w:pPr>
      <w:pStyle w:val="Header"/>
      <w:jc w:val="center"/>
      <w:rPr>
        <w:rStyle w:val="PageNumber"/>
      </w:rP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C0FD90" w14:textId="7BA352D0" w:rsidR="00B47A58" w:rsidRDefault="00B47A58">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4FF1D9" w14:textId="43ACEF8C" w:rsidR="00B47A58" w:rsidRDefault="00B47A58">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A960CC" w14:textId="4A6E1187" w:rsidR="00B47A58" w:rsidRPr="007E315A" w:rsidRDefault="00B47A58" w:rsidP="00A51A35">
    <w:pPr>
      <w:pStyle w:val="Header"/>
      <w:jc w:val="right"/>
      <w:rPr>
        <w:rFonts w:cs="Calibri"/>
        <w:color w:val="C0C0C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F"/>
    <w:multiLevelType w:val="singleLevel"/>
    <w:tmpl w:val="703632DA"/>
    <w:lvl w:ilvl="0">
      <w:start w:val="1"/>
      <w:numFmt w:val="decimal"/>
      <w:pStyle w:val="ListNumber2"/>
      <w:lvlText w:val="%1."/>
      <w:lvlJc w:val="left"/>
      <w:pPr>
        <w:ind w:left="360" w:hanging="360"/>
      </w:pPr>
      <w:rPr>
        <w:rFonts w:hint="default"/>
      </w:rPr>
    </w:lvl>
  </w:abstractNum>
  <w:abstractNum w:abstractNumId="1" w15:restartNumberingAfterBreak="0">
    <w:nsid w:val="FFFFFF83"/>
    <w:multiLevelType w:val="singleLevel"/>
    <w:tmpl w:val="3E303AD8"/>
    <w:lvl w:ilvl="0">
      <w:start w:val="1"/>
      <w:numFmt w:val="bullet"/>
      <w:pStyle w:val="ListBullet2"/>
      <w:lvlText w:val="&gt;"/>
      <w:lvlJc w:val="left"/>
      <w:pPr>
        <w:tabs>
          <w:tab w:val="num" w:pos="845"/>
        </w:tabs>
        <w:ind w:left="845" w:hanging="544"/>
      </w:pPr>
      <w:rPr>
        <w:rFonts w:ascii="HelveticaNeueLT Std Lt" w:hAnsi="HelveticaNeueLT Std Lt" w:hint="default"/>
        <w:sz w:val="20"/>
      </w:rPr>
    </w:lvl>
  </w:abstractNum>
  <w:abstractNum w:abstractNumId="2" w15:restartNumberingAfterBreak="0">
    <w:nsid w:val="FFFFFF88"/>
    <w:multiLevelType w:val="singleLevel"/>
    <w:tmpl w:val="34367B10"/>
    <w:lvl w:ilvl="0">
      <w:start w:val="1"/>
      <w:numFmt w:val="decimal"/>
      <w:pStyle w:val="ListNumber"/>
      <w:lvlText w:val="%1."/>
      <w:lvlJc w:val="left"/>
      <w:pPr>
        <w:ind w:left="360" w:hanging="360"/>
      </w:pPr>
      <w:rPr>
        <w:rFonts w:hint="default"/>
        <w:caps/>
        <w:sz w:val="20"/>
      </w:rPr>
    </w:lvl>
  </w:abstractNum>
  <w:abstractNum w:abstractNumId="3" w15:restartNumberingAfterBreak="0">
    <w:nsid w:val="FFFFFF89"/>
    <w:multiLevelType w:val="singleLevel"/>
    <w:tmpl w:val="8D465DE8"/>
    <w:lvl w:ilvl="0">
      <w:start w:val="1"/>
      <w:numFmt w:val="bullet"/>
      <w:pStyle w:val="ListBullet"/>
      <w:lvlText w:val="&gt;"/>
      <w:lvlJc w:val="left"/>
      <w:pPr>
        <w:tabs>
          <w:tab w:val="num" w:pos="295"/>
        </w:tabs>
        <w:ind w:left="295" w:hanging="295"/>
      </w:pPr>
      <w:rPr>
        <w:rFonts w:ascii="HelveticaNeueLT Std Lt" w:hAnsi="HelveticaNeueLT Std Lt" w:hint="default"/>
        <w:sz w:val="20"/>
      </w:rPr>
    </w:lvl>
  </w:abstractNum>
  <w:abstractNum w:abstractNumId="4" w15:restartNumberingAfterBreak="0">
    <w:nsid w:val="0D9A73DB"/>
    <w:multiLevelType w:val="hybridMultilevel"/>
    <w:tmpl w:val="C5DE5774"/>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5" w15:restartNumberingAfterBreak="0">
    <w:nsid w:val="140D5CBB"/>
    <w:multiLevelType w:val="hybridMultilevel"/>
    <w:tmpl w:val="6DD01C06"/>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6" w15:restartNumberingAfterBreak="0">
    <w:nsid w:val="148E4F7A"/>
    <w:multiLevelType w:val="hybridMultilevel"/>
    <w:tmpl w:val="7F7E688A"/>
    <w:lvl w:ilvl="0" w:tplc="0C090001">
      <w:start w:val="1"/>
      <w:numFmt w:val="bullet"/>
      <w:lvlText w:val=""/>
      <w:lvlJc w:val="left"/>
      <w:rPr>
        <w:rFonts w:ascii="Symbol" w:hAnsi="Symbol" w:hint="default"/>
      </w:r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7" w15:restartNumberingAfterBreak="0">
    <w:nsid w:val="2CA870C8"/>
    <w:multiLevelType w:val="hybridMultilevel"/>
    <w:tmpl w:val="F8F2E7E4"/>
    <w:lvl w:ilvl="0" w:tplc="0C090001">
      <w:start w:val="1"/>
      <w:numFmt w:val="bullet"/>
      <w:lvlText w:val=""/>
      <w:lvlJc w:val="left"/>
      <w:rPr>
        <w:rFonts w:ascii="Symbol" w:hAnsi="Symbol" w:hint="default"/>
      </w:r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8" w15:restartNumberingAfterBreak="0">
    <w:nsid w:val="2F2A0E58"/>
    <w:multiLevelType w:val="hybridMultilevel"/>
    <w:tmpl w:val="0756A9A6"/>
    <w:lvl w:ilvl="0" w:tplc="0C090001">
      <w:start w:val="1"/>
      <w:numFmt w:val="bullet"/>
      <w:lvlText w:val=""/>
      <w:lvlJc w:val="left"/>
      <w:rPr>
        <w:rFonts w:ascii="Symbol" w:hAnsi="Symbol" w:hint="default"/>
      </w:r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9" w15:restartNumberingAfterBreak="0">
    <w:nsid w:val="2F5A5080"/>
    <w:multiLevelType w:val="hybridMultilevel"/>
    <w:tmpl w:val="BE2AF6CE"/>
    <w:lvl w:ilvl="0" w:tplc="D05E2434">
      <w:start w:val="1"/>
      <w:numFmt w:val="bullet"/>
      <w:pStyle w:val="ACMABulletLevel1"/>
      <w:lvlText w:val="●"/>
      <w:lvlJc w:val="left"/>
      <w:pPr>
        <w:tabs>
          <w:tab w:val="num" w:pos="-31680"/>
        </w:tabs>
        <w:ind w:left="357" w:hanging="357"/>
      </w:pPr>
      <w:rPr>
        <w:rFonts w:ascii="Arial" w:hAnsi="Arial" w:cs="Arial" w:hint="default"/>
        <w:sz w:val="20"/>
        <w:szCs w:val="20"/>
      </w:rPr>
    </w:lvl>
    <w:lvl w:ilvl="1" w:tplc="04090003">
      <w:start w:val="1"/>
      <w:numFmt w:val="bullet"/>
      <w:lvlText w:val="o"/>
      <w:lvlJc w:val="left"/>
      <w:pPr>
        <w:tabs>
          <w:tab w:val="num" w:pos="1728"/>
        </w:tabs>
        <w:ind w:left="1728" w:hanging="360"/>
      </w:pPr>
      <w:rPr>
        <w:rFonts w:ascii="Courier New" w:hAnsi="Courier New" w:hint="default"/>
      </w:rPr>
    </w:lvl>
    <w:lvl w:ilvl="2" w:tplc="04090005" w:tentative="1">
      <w:start w:val="1"/>
      <w:numFmt w:val="bullet"/>
      <w:lvlText w:val=""/>
      <w:lvlJc w:val="left"/>
      <w:pPr>
        <w:tabs>
          <w:tab w:val="num" w:pos="2448"/>
        </w:tabs>
        <w:ind w:left="2448" w:hanging="360"/>
      </w:pPr>
      <w:rPr>
        <w:rFonts w:ascii="Wingdings" w:hAnsi="Wingdings" w:hint="default"/>
      </w:rPr>
    </w:lvl>
    <w:lvl w:ilvl="3" w:tplc="04090001" w:tentative="1">
      <w:start w:val="1"/>
      <w:numFmt w:val="bullet"/>
      <w:lvlText w:val=""/>
      <w:lvlJc w:val="left"/>
      <w:pPr>
        <w:tabs>
          <w:tab w:val="num" w:pos="3168"/>
        </w:tabs>
        <w:ind w:left="3168" w:hanging="360"/>
      </w:pPr>
      <w:rPr>
        <w:rFonts w:ascii="Symbol" w:hAnsi="Symbol" w:hint="default"/>
      </w:rPr>
    </w:lvl>
    <w:lvl w:ilvl="4" w:tplc="04090003" w:tentative="1">
      <w:start w:val="1"/>
      <w:numFmt w:val="bullet"/>
      <w:lvlText w:val="o"/>
      <w:lvlJc w:val="left"/>
      <w:pPr>
        <w:tabs>
          <w:tab w:val="num" w:pos="3888"/>
        </w:tabs>
        <w:ind w:left="3888" w:hanging="360"/>
      </w:pPr>
      <w:rPr>
        <w:rFonts w:ascii="Courier New" w:hAnsi="Courier New" w:hint="default"/>
      </w:rPr>
    </w:lvl>
    <w:lvl w:ilvl="5" w:tplc="04090005" w:tentative="1">
      <w:start w:val="1"/>
      <w:numFmt w:val="bullet"/>
      <w:lvlText w:val=""/>
      <w:lvlJc w:val="left"/>
      <w:pPr>
        <w:tabs>
          <w:tab w:val="num" w:pos="4608"/>
        </w:tabs>
        <w:ind w:left="4608" w:hanging="360"/>
      </w:pPr>
      <w:rPr>
        <w:rFonts w:ascii="Wingdings" w:hAnsi="Wingdings" w:hint="default"/>
      </w:rPr>
    </w:lvl>
    <w:lvl w:ilvl="6" w:tplc="04090001" w:tentative="1">
      <w:start w:val="1"/>
      <w:numFmt w:val="bullet"/>
      <w:lvlText w:val=""/>
      <w:lvlJc w:val="left"/>
      <w:pPr>
        <w:tabs>
          <w:tab w:val="num" w:pos="5328"/>
        </w:tabs>
        <w:ind w:left="5328" w:hanging="360"/>
      </w:pPr>
      <w:rPr>
        <w:rFonts w:ascii="Symbol" w:hAnsi="Symbol" w:hint="default"/>
      </w:rPr>
    </w:lvl>
    <w:lvl w:ilvl="7" w:tplc="04090003" w:tentative="1">
      <w:start w:val="1"/>
      <w:numFmt w:val="bullet"/>
      <w:lvlText w:val="o"/>
      <w:lvlJc w:val="left"/>
      <w:pPr>
        <w:tabs>
          <w:tab w:val="num" w:pos="6048"/>
        </w:tabs>
        <w:ind w:left="6048" w:hanging="360"/>
      </w:pPr>
      <w:rPr>
        <w:rFonts w:ascii="Courier New" w:hAnsi="Courier New" w:hint="default"/>
      </w:rPr>
    </w:lvl>
    <w:lvl w:ilvl="8" w:tplc="04090005" w:tentative="1">
      <w:start w:val="1"/>
      <w:numFmt w:val="bullet"/>
      <w:lvlText w:val=""/>
      <w:lvlJc w:val="left"/>
      <w:pPr>
        <w:tabs>
          <w:tab w:val="num" w:pos="6768"/>
        </w:tabs>
        <w:ind w:left="6768" w:hanging="360"/>
      </w:pPr>
      <w:rPr>
        <w:rFonts w:ascii="Wingdings" w:hAnsi="Wingdings" w:hint="default"/>
      </w:rPr>
    </w:lvl>
  </w:abstractNum>
  <w:abstractNum w:abstractNumId="10" w15:restartNumberingAfterBreak="0">
    <w:nsid w:val="37086907"/>
    <w:multiLevelType w:val="multilevel"/>
    <w:tmpl w:val="5C382F8A"/>
    <w:lvl w:ilvl="0">
      <w:start w:val="1"/>
      <w:numFmt w:val="decimal"/>
      <w:pStyle w:val="Partheading"/>
      <w:suff w:val="space"/>
      <w:lvlText w:val="Part %1:"/>
      <w:lvlJc w:val="left"/>
      <w:pPr>
        <w:ind w:left="0" w:firstLine="0"/>
      </w:pPr>
      <w:rPr>
        <w:rFonts w:hint="default"/>
      </w:rPr>
    </w:lvl>
    <w:lvl w:ilvl="1">
      <w:start w:val="1"/>
      <w:numFmt w:val="decimal"/>
      <w:pStyle w:val="Numberedheading"/>
      <w:lvlText w:val="%1.%2"/>
      <w:lvlJc w:val="left"/>
      <w:pPr>
        <w:ind w:left="0" w:firstLine="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11" w15:restartNumberingAfterBreak="0">
    <w:nsid w:val="41B915F4"/>
    <w:multiLevelType w:val="multilevel"/>
    <w:tmpl w:val="CBBEB100"/>
    <w:lvl w:ilvl="0">
      <w:start w:val="1"/>
      <w:numFmt w:val="decimal"/>
      <w:pStyle w:val="Heading1"/>
      <w:lvlText w:val="%1"/>
      <w:lvlJc w:val="left"/>
      <w:pPr>
        <w:ind w:left="431" w:hanging="431"/>
      </w:pPr>
      <w:rPr>
        <w:rFonts w:hint="default"/>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decimal"/>
      <w:pStyle w:val="Heading2"/>
      <w:lvlText w:val="%1.%2"/>
      <w:lvlJc w:val="left"/>
      <w:pPr>
        <w:ind w:left="431" w:hanging="431"/>
      </w:pPr>
      <w:rPr>
        <w:rFonts w:hint="default"/>
      </w:rPr>
    </w:lvl>
    <w:lvl w:ilvl="2">
      <w:start w:val="1"/>
      <w:numFmt w:val="decimal"/>
      <w:pStyle w:val="Heading3"/>
      <w:lvlText w:val="%1.%2.%3"/>
      <w:lvlJc w:val="left"/>
      <w:pPr>
        <w:ind w:left="431" w:hanging="431"/>
      </w:pPr>
      <w:rPr>
        <w:rFonts w:hint="default"/>
      </w:rPr>
    </w:lvl>
    <w:lvl w:ilvl="3">
      <w:start w:val="1"/>
      <w:numFmt w:val="decimal"/>
      <w:pStyle w:val="Heading4"/>
      <w:lvlText w:val="%1.%2.%3.%4"/>
      <w:lvlJc w:val="left"/>
      <w:pPr>
        <w:ind w:left="431" w:hanging="431"/>
      </w:pPr>
      <w:rPr>
        <w:rFonts w:hint="default"/>
      </w:rPr>
    </w:lvl>
    <w:lvl w:ilvl="4">
      <w:start w:val="1"/>
      <w:numFmt w:val="decimal"/>
      <w:pStyle w:val="Heading5"/>
      <w:lvlText w:val="%1.%2.%3.%4.%5"/>
      <w:lvlJc w:val="left"/>
      <w:pPr>
        <w:ind w:left="431" w:hanging="431"/>
      </w:pPr>
      <w:rPr>
        <w:rFonts w:hint="default"/>
      </w:rPr>
    </w:lvl>
    <w:lvl w:ilvl="5">
      <w:start w:val="1"/>
      <w:numFmt w:val="decimal"/>
      <w:pStyle w:val="Heading6"/>
      <w:lvlText w:val="%1.%2.%3.%4.%5.%6"/>
      <w:lvlJc w:val="left"/>
      <w:pPr>
        <w:ind w:left="431" w:hanging="431"/>
      </w:pPr>
      <w:rPr>
        <w:rFonts w:hint="default"/>
      </w:rPr>
    </w:lvl>
    <w:lvl w:ilvl="6">
      <w:start w:val="1"/>
      <w:numFmt w:val="decimal"/>
      <w:pStyle w:val="Heading7"/>
      <w:lvlText w:val="%1.%2.%3.%4.%5.%6.%7"/>
      <w:lvlJc w:val="left"/>
      <w:pPr>
        <w:ind w:left="431" w:hanging="431"/>
      </w:pPr>
      <w:rPr>
        <w:rFonts w:hint="default"/>
      </w:rPr>
    </w:lvl>
    <w:lvl w:ilvl="7">
      <w:start w:val="1"/>
      <w:numFmt w:val="decimal"/>
      <w:pStyle w:val="Heading8"/>
      <w:lvlText w:val="%1.%2.%3.%4.%5.%6.%7.%8"/>
      <w:lvlJc w:val="left"/>
      <w:pPr>
        <w:ind w:left="431" w:hanging="431"/>
      </w:pPr>
      <w:rPr>
        <w:rFonts w:hint="default"/>
      </w:rPr>
    </w:lvl>
    <w:lvl w:ilvl="8">
      <w:start w:val="1"/>
      <w:numFmt w:val="decimal"/>
      <w:pStyle w:val="Heading9"/>
      <w:lvlText w:val="%1.%2.%3.%4.%5.%6.%7.%8.%9"/>
      <w:lvlJc w:val="left"/>
      <w:pPr>
        <w:ind w:left="431" w:hanging="431"/>
      </w:pPr>
      <w:rPr>
        <w:rFonts w:hint="default"/>
      </w:rPr>
    </w:lvl>
  </w:abstractNum>
  <w:abstractNum w:abstractNumId="12" w15:restartNumberingAfterBreak="0">
    <w:nsid w:val="42CF45B2"/>
    <w:multiLevelType w:val="hybridMultilevel"/>
    <w:tmpl w:val="E3EA377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4C6863FC"/>
    <w:multiLevelType w:val="hybridMultilevel"/>
    <w:tmpl w:val="736203C0"/>
    <w:lvl w:ilvl="0" w:tplc="42D42496">
      <w:start w:val="1"/>
      <w:numFmt w:val="bullet"/>
      <w:pStyle w:val="ListBullet1"/>
      <w:lvlText w:val=""/>
      <w:lvlJc w:val="left"/>
      <w:pPr>
        <w:ind w:left="363" w:hanging="360"/>
      </w:pPr>
      <w:rPr>
        <w:rFonts w:ascii="Symbol" w:hAnsi="Symbol" w:hint="default"/>
      </w:rPr>
    </w:lvl>
    <w:lvl w:ilvl="1" w:tplc="0C090003" w:tentative="1">
      <w:start w:val="1"/>
      <w:numFmt w:val="bullet"/>
      <w:lvlText w:val="o"/>
      <w:lvlJc w:val="left"/>
      <w:pPr>
        <w:ind w:left="1083" w:hanging="360"/>
      </w:pPr>
      <w:rPr>
        <w:rFonts w:ascii="Courier New" w:hAnsi="Courier New" w:cs="Courier New" w:hint="default"/>
      </w:rPr>
    </w:lvl>
    <w:lvl w:ilvl="2" w:tplc="0C090005" w:tentative="1">
      <w:start w:val="1"/>
      <w:numFmt w:val="bullet"/>
      <w:lvlText w:val=""/>
      <w:lvlJc w:val="left"/>
      <w:pPr>
        <w:ind w:left="1803" w:hanging="360"/>
      </w:pPr>
      <w:rPr>
        <w:rFonts w:ascii="Wingdings" w:hAnsi="Wingdings" w:hint="default"/>
      </w:rPr>
    </w:lvl>
    <w:lvl w:ilvl="3" w:tplc="0C090001" w:tentative="1">
      <w:start w:val="1"/>
      <w:numFmt w:val="bullet"/>
      <w:lvlText w:val=""/>
      <w:lvlJc w:val="left"/>
      <w:pPr>
        <w:ind w:left="2523" w:hanging="360"/>
      </w:pPr>
      <w:rPr>
        <w:rFonts w:ascii="Symbol" w:hAnsi="Symbol" w:hint="default"/>
      </w:rPr>
    </w:lvl>
    <w:lvl w:ilvl="4" w:tplc="0C090003" w:tentative="1">
      <w:start w:val="1"/>
      <w:numFmt w:val="bullet"/>
      <w:lvlText w:val="o"/>
      <w:lvlJc w:val="left"/>
      <w:pPr>
        <w:ind w:left="3243" w:hanging="360"/>
      </w:pPr>
      <w:rPr>
        <w:rFonts w:ascii="Courier New" w:hAnsi="Courier New" w:cs="Courier New" w:hint="default"/>
      </w:rPr>
    </w:lvl>
    <w:lvl w:ilvl="5" w:tplc="0C090005" w:tentative="1">
      <w:start w:val="1"/>
      <w:numFmt w:val="bullet"/>
      <w:lvlText w:val=""/>
      <w:lvlJc w:val="left"/>
      <w:pPr>
        <w:ind w:left="3963" w:hanging="360"/>
      </w:pPr>
      <w:rPr>
        <w:rFonts w:ascii="Wingdings" w:hAnsi="Wingdings" w:hint="default"/>
      </w:rPr>
    </w:lvl>
    <w:lvl w:ilvl="6" w:tplc="0C090001" w:tentative="1">
      <w:start w:val="1"/>
      <w:numFmt w:val="bullet"/>
      <w:lvlText w:val=""/>
      <w:lvlJc w:val="left"/>
      <w:pPr>
        <w:ind w:left="4683" w:hanging="360"/>
      </w:pPr>
      <w:rPr>
        <w:rFonts w:ascii="Symbol" w:hAnsi="Symbol" w:hint="default"/>
      </w:rPr>
    </w:lvl>
    <w:lvl w:ilvl="7" w:tplc="0C090003" w:tentative="1">
      <w:start w:val="1"/>
      <w:numFmt w:val="bullet"/>
      <w:lvlText w:val="o"/>
      <w:lvlJc w:val="left"/>
      <w:pPr>
        <w:ind w:left="5403" w:hanging="360"/>
      </w:pPr>
      <w:rPr>
        <w:rFonts w:ascii="Courier New" w:hAnsi="Courier New" w:cs="Courier New" w:hint="default"/>
      </w:rPr>
    </w:lvl>
    <w:lvl w:ilvl="8" w:tplc="0C090005" w:tentative="1">
      <w:start w:val="1"/>
      <w:numFmt w:val="bullet"/>
      <w:lvlText w:val=""/>
      <w:lvlJc w:val="left"/>
      <w:pPr>
        <w:ind w:left="6123" w:hanging="360"/>
      </w:pPr>
      <w:rPr>
        <w:rFonts w:ascii="Wingdings" w:hAnsi="Wingdings" w:hint="default"/>
      </w:rPr>
    </w:lvl>
  </w:abstractNum>
  <w:abstractNum w:abstractNumId="14" w15:restartNumberingAfterBreak="0">
    <w:nsid w:val="4DE33715"/>
    <w:multiLevelType w:val="hybridMultilevel"/>
    <w:tmpl w:val="D412687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55AA21F0"/>
    <w:multiLevelType w:val="hybridMultilevel"/>
    <w:tmpl w:val="4DDA0712"/>
    <w:lvl w:ilvl="0" w:tplc="59A6BED4">
      <w:start w:val="1"/>
      <w:numFmt w:val="decimal"/>
      <w:pStyle w:val="ACMATableHeader"/>
      <w:lvlText w:val="Table %1"/>
      <w:lvlJc w:val="left"/>
      <w:pPr>
        <w:tabs>
          <w:tab w:val="num" w:pos="964"/>
        </w:tabs>
        <w:ind w:left="964"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63545DD6"/>
    <w:multiLevelType w:val="hybridMultilevel"/>
    <w:tmpl w:val="A14682FA"/>
    <w:lvl w:ilvl="0" w:tplc="0C090001">
      <w:numFmt w:val="decimal"/>
      <w:lvlText w:val=""/>
      <w:lvlJc w:val="left"/>
    </w:lvl>
    <w:lvl w:ilvl="1" w:tplc="0C090003">
      <w:numFmt w:val="decimal"/>
      <w:lvlText w:val=""/>
      <w:lvlJc w:val="left"/>
    </w:lvl>
    <w:lvl w:ilvl="2" w:tplc="0C090005">
      <w:numFmt w:val="decimal"/>
      <w:lvlText w:val=""/>
      <w:lvlJc w:val="left"/>
    </w:lvl>
    <w:lvl w:ilvl="3" w:tplc="0C090001">
      <w:numFmt w:val="decimal"/>
      <w:lvlText w:val=""/>
      <w:lvlJc w:val="left"/>
    </w:lvl>
    <w:lvl w:ilvl="4" w:tplc="0C090003">
      <w:numFmt w:val="decimal"/>
      <w:lvlText w:val=""/>
      <w:lvlJc w:val="left"/>
    </w:lvl>
    <w:lvl w:ilvl="5" w:tplc="0C090005">
      <w:numFmt w:val="decimal"/>
      <w:lvlText w:val=""/>
      <w:lvlJc w:val="left"/>
    </w:lvl>
    <w:lvl w:ilvl="6" w:tplc="0C090001">
      <w:numFmt w:val="decimal"/>
      <w:lvlText w:val=""/>
      <w:lvlJc w:val="left"/>
    </w:lvl>
    <w:lvl w:ilvl="7" w:tplc="0C090003">
      <w:numFmt w:val="decimal"/>
      <w:lvlText w:val=""/>
      <w:lvlJc w:val="left"/>
    </w:lvl>
    <w:lvl w:ilvl="8" w:tplc="0C090005">
      <w:numFmt w:val="decimal"/>
      <w:lvlText w:val=""/>
      <w:lvlJc w:val="left"/>
    </w:lvl>
  </w:abstractNum>
  <w:abstractNum w:abstractNumId="17" w15:restartNumberingAfterBreak="0">
    <w:nsid w:val="63C30333"/>
    <w:multiLevelType w:val="hybridMultilevel"/>
    <w:tmpl w:val="A5FC2D54"/>
    <w:lvl w:ilvl="0" w:tplc="65EA47EC">
      <w:start w:val="1"/>
      <w:numFmt w:val="decimal"/>
      <w:pStyle w:val="Captionfigure"/>
      <w:lvlText w:val="Figure %1:"/>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65071478"/>
    <w:multiLevelType w:val="hybridMultilevel"/>
    <w:tmpl w:val="680E522C"/>
    <w:lvl w:ilvl="0" w:tplc="30580B3C">
      <w:start w:val="1"/>
      <w:numFmt w:val="decimal"/>
      <w:pStyle w:val="ACMAFigureHeader"/>
      <w:lvlText w:val="Figure %1"/>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6D757AE6"/>
    <w:multiLevelType w:val="hybridMultilevel"/>
    <w:tmpl w:val="4BAEE1E2"/>
    <w:lvl w:ilvl="0" w:tplc="0DA4929C">
      <w:start w:val="1"/>
      <w:numFmt w:val="decimal"/>
      <w:pStyle w:val="Caption"/>
      <w:lvlText w:val="Table %1:"/>
      <w:lvlJc w:val="left"/>
      <w:pPr>
        <w:tabs>
          <w:tab w:val="num" w:pos="964"/>
        </w:tabs>
        <w:ind w:left="964"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5"/>
  </w:num>
  <w:num w:numId="2">
    <w:abstractNumId w:val="16"/>
  </w:num>
  <w:num w:numId="3">
    <w:abstractNumId w:val="4"/>
  </w:num>
  <w:num w:numId="4">
    <w:abstractNumId w:val="3"/>
  </w:num>
  <w:num w:numId="5">
    <w:abstractNumId w:val="1"/>
  </w:num>
  <w:num w:numId="6">
    <w:abstractNumId w:val="2"/>
  </w:num>
  <w:num w:numId="7">
    <w:abstractNumId w:val="0"/>
  </w:num>
  <w:num w:numId="8">
    <w:abstractNumId w:val="18"/>
  </w:num>
  <w:num w:numId="9">
    <w:abstractNumId w:val="15"/>
  </w:num>
  <w:num w:numId="10">
    <w:abstractNumId w:val="17"/>
  </w:num>
  <w:num w:numId="11">
    <w:abstractNumId w:val="19"/>
  </w:num>
  <w:num w:numId="12">
    <w:abstractNumId w:val="10"/>
  </w:num>
  <w:num w:numId="13">
    <w:abstractNumId w:val="9"/>
  </w:num>
  <w:num w:numId="14">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2"/>
    <w:lvlOverride w:ilvl="0">
      <w:startOverride w:val="1"/>
    </w:lvlOverride>
  </w:num>
  <w:num w:numId="16">
    <w:abstractNumId w:val="8"/>
  </w:num>
  <w:num w:numId="17">
    <w:abstractNumId w:val="13"/>
  </w:num>
  <w:num w:numId="18">
    <w:abstractNumId w:val="6"/>
  </w:num>
  <w:num w:numId="19">
    <w:abstractNumId w:val="14"/>
  </w:num>
  <w:num w:numId="20">
    <w:abstractNumId w:val="7"/>
  </w:num>
  <w:num w:numId="21">
    <w:abstractNumId w:val="12"/>
  </w:num>
  <w:numIdMacAtCleanup w:val="2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proofState w:spelling="clean" w:grammar="clean"/>
  <w:attachedTemplate r:id="rId1"/>
  <w:linkStyle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isplayHorizontalDrawingGridEvery w:val="0"/>
  <w:displayVerticalDrawingGridEvery w:val="0"/>
  <w:doNotUseMarginsForDrawingGridOrigin/>
  <w:noPunctuationKerning/>
  <w:characterSpacingControl w:val="doNotCompress"/>
  <w:hdrShapeDefaults>
    <o:shapedefaults v:ext="edit" spidmax="2050"/>
  </w:hdrShapeDefaults>
  <w:footnotePr>
    <w:numRestart w:val="eachSect"/>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E30C6"/>
    <w:rsid w:val="0000018D"/>
    <w:rsid w:val="00001D0D"/>
    <w:rsid w:val="000027C3"/>
    <w:rsid w:val="000029FC"/>
    <w:rsid w:val="00004F38"/>
    <w:rsid w:val="00005662"/>
    <w:rsid w:val="0000675A"/>
    <w:rsid w:val="00006B98"/>
    <w:rsid w:val="00010190"/>
    <w:rsid w:val="00010B32"/>
    <w:rsid w:val="00011B20"/>
    <w:rsid w:val="00014216"/>
    <w:rsid w:val="00014F89"/>
    <w:rsid w:val="00020366"/>
    <w:rsid w:val="000209E3"/>
    <w:rsid w:val="000215F2"/>
    <w:rsid w:val="00022540"/>
    <w:rsid w:val="00023B97"/>
    <w:rsid w:val="0002474D"/>
    <w:rsid w:val="00024B45"/>
    <w:rsid w:val="00024BC9"/>
    <w:rsid w:val="0002571C"/>
    <w:rsid w:val="00025E75"/>
    <w:rsid w:val="00031214"/>
    <w:rsid w:val="000315E5"/>
    <w:rsid w:val="000321D5"/>
    <w:rsid w:val="0003328F"/>
    <w:rsid w:val="000349D0"/>
    <w:rsid w:val="00034A05"/>
    <w:rsid w:val="00036614"/>
    <w:rsid w:val="00037C54"/>
    <w:rsid w:val="00040DCC"/>
    <w:rsid w:val="00044DB1"/>
    <w:rsid w:val="000463A3"/>
    <w:rsid w:val="000505DD"/>
    <w:rsid w:val="000518A6"/>
    <w:rsid w:val="000562A4"/>
    <w:rsid w:val="000562A9"/>
    <w:rsid w:val="0005661C"/>
    <w:rsid w:val="0005798A"/>
    <w:rsid w:val="00057D1A"/>
    <w:rsid w:val="00061464"/>
    <w:rsid w:val="00063A65"/>
    <w:rsid w:val="00063B52"/>
    <w:rsid w:val="00067D1C"/>
    <w:rsid w:val="00067FA9"/>
    <w:rsid w:val="00071605"/>
    <w:rsid w:val="000718CF"/>
    <w:rsid w:val="000740EF"/>
    <w:rsid w:val="0007517F"/>
    <w:rsid w:val="00076509"/>
    <w:rsid w:val="00076CAF"/>
    <w:rsid w:val="0008297A"/>
    <w:rsid w:val="00087820"/>
    <w:rsid w:val="0009026D"/>
    <w:rsid w:val="00090952"/>
    <w:rsid w:val="00090DA7"/>
    <w:rsid w:val="0009176F"/>
    <w:rsid w:val="00093573"/>
    <w:rsid w:val="00094E0C"/>
    <w:rsid w:val="00095FC0"/>
    <w:rsid w:val="000A2DB1"/>
    <w:rsid w:val="000A3654"/>
    <w:rsid w:val="000A4FC2"/>
    <w:rsid w:val="000A554B"/>
    <w:rsid w:val="000A6005"/>
    <w:rsid w:val="000A6306"/>
    <w:rsid w:val="000A63C5"/>
    <w:rsid w:val="000A69ED"/>
    <w:rsid w:val="000A6C61"/>
    <w:rsid w:val="000A7054"/>
    <w:rsid w:val="000A7D20"/>
    <w:rsid w:val="000B00D8"/>
    <w:rsid w:val="000B3210"/>
    <w:rsid w:val="000B3646"/>
    <w:rsid w:val="000B441B"/>
    <w:rsid w:val="000B6801"/>
    <w:rsid w:val="000B6D93"/>
    <w:rsid w:val="000C0046"/>
    <w:rsid w:val="000C2110"/>
    <w:rsid w:val="000C27B9"/>
    <w:rsid w:val="000C3501"/>
    <w:rsid w:val="000C6C77"/>
    <w:rsid w:val="000D09D7"/>
    <w:rsid w:val="000D1558"/>
    <w:rsid w:val="000D1CCB"/>
    <w:rsid w:val="000D3E04"/>
    <w:rsid w:val="000D62DE"/>
    <w:rsid w:val="000E3F98"/>
    <w:rsid w:val="000E5298"/>
    <w:rsid w:val="000E63BE"/>
    <w:rsid w:val="000E697F"/>
    <w:rsid w:val="000E72FD"/>
    <w:rsid w:val="000E7D11"/>
    <w:rsid w:val="000F0866"/>
    <w:rsid w:val="000F14E3"/>
    <w:rsid w:val="000F1C04"/>
    <w:rsid w:val="000F3664"/>
    <w:rsid w:val="000F3AC0"/>
    <w:rsid w:val="000F5ECF"/>
    <w:rsid w:val="001008E9"/>
    <w:rsid w:val="00101EDF"/>
    <w:rsid w:val="001032F5"/>
    <w:rsid w:val="00103F07"/>
    <w:rsid w:val="00104012"/>
    <w:rsid w:val="00106985"/>
    <w:rsid w:val="00107D78"/>
    <w:rsid w:val="001135DA"/>
    <w:rsid w:val="00113CA9"/>
    <w:rsid w:val="0011740E"/>
    <w:rsid w:val="0012030E"/>
    <w:rsid w:val="00122447"/>
    <w:rsid w:val="00124AB2"/>
    <w:rsid w:val="00124CF7"/>
    <w:rsid w:val="001263B6"/>
    <w:rsid w:val="00130B21"/>
    <w:rsid w:val="0013235A"/>
    <w:rsid w:val="0013459A"/>
    <w:rsid w:val="001355C1"/>
    <w:rsid w:val="00140570"/>
    <w:rsid w:val="00140FF7"/>
    <w:rsid w:val="00141AAA"/>
    <w:rsid w:val="00141D33"/>
    <w:rsid w:val="00143641"/>
    <w:rsid w:val="00156456"/>
    <w:rsid w:val="00160317"/>
    <w:rsid w:val="001609D3"/>
    <w:rsid w:val="00163C87"/>
    <w:rsid w:val="00167190"/>
    <w:rsid w:val="001673FD"/>
    <w:rsid w:val="00167404"/>
    <w:rsid w:val="00171631"/>
    <w:rsid w:val="00171F35"/>
    <w:rsid w:val="00174851"/>
    <w:rsid w:val="00175A1D"/>
    <w:rsid w:val="0017629D"/>
    <w:rsid w:val="001779BA"/>
    <w:rsid w:val="00177C29"/>
    <w:rsid w:val="00177E68"/>
    <w:rsid w:val="0018141D"/>
    <w:rsid w:val="00182AE3"/>
    <w:rsid w:val="00183DBF"/>
    <w:rsid w:val="00185452"/>
    <w:rsid w:val="001866B7"/>
    <w:rsid w:val="00187DC2"/>
    <w:rsid w:val="00192601"/>
    <w:rsid w:val="00192817"/>
    <w:rsid w:val="00194FDF"/>
    <w:rsid w:val="00196219"/>
    <w:rsid w:val="001A0BE0"/>
    <w:rsid w:val="001A186A"/>
    <w:rsid w:val="001A18C6"/>
    <w:rsid w:val="001A382F"/>
    <w:rsid w:val="001A50A8"/>
    <w:rsid w:val="001A582F"/>
    <w:rsid w:val="001A77E8"/>
    <w:rsid w:val="001B0922"/>
    <w:rsid w:val="001B33A9"/>
    <w:rsid w:val="001B4113"/>
    <w:rsid w:val="001B535E"/>
    <w:rsid w:val="001B5485"/>
    <w:rsid w:val="001B5866"/>
    <w:rsid w:val="001B7498"/>
    <w:rsid w:val="001C144F"/>
    <w:rsid w:val="001C2DB4"/>
    <w:rsid w:val="001C4831"/>
    <w:rsid w:val="001C5D65"/>
    <w:rsid w:val="001D0FD7"/>
    <w:rsid w:val="001D4263"/>
    <w:rsid w:val="001D6539"/>
    <w:rsid w:val="001E06D2"/>
    <w:rsid w:val="001E218A"/>
    <w:rsid w:val="001E3A57"/>
    <w:rsid w:val="001E620D"/>
    <w:rsid w:val="001E6B92"/>
    <w:rsid w:val="001E6E59"/>
    <w:rsid w:val="001E7620"/>
    <w:rsid w:val="001E7B30"/>
    <w:rsid w:val="001F0739"/>
    <w:rsid w:val="001F3802"/>
    <w:rsid w:val="001F4783"/>
    <w:rsid w:val="001F47E1"/>
    <w:rsid w:val="001F59DC"/>
    <w:rsid w:val="001F62CD"/>
    <w:rsid w:val="001F7A37"/>
    <w:rsid w:val="0020198C"/>
    <w:rsid w:val="00204AB5"/>
    <w:rsid w:val="00205CDB"/>
    <w:rsid w:val="00206293"/>
    <w:rsid w:val="00210313"/>
    <w:rsid w:val="00212DCB"/>
    <w:rsid w:val="00214E35"/>
    <w:rsid w:val="00215197"/>
    <w:rsid w:val="0021578A"/>
    <w:rsid w:val="00215C45"/>
    <w:rsid w:val="00216F57"/>
    <w:rsid w:val="0021708A"/>
    <w:rsid w:val="0021788C"/>
    <w:rsid w:val="002208B4"/>
    <w:rsid w:val="00220B31"/>
    <w:rsid w:val="002231F6"/>
    <w:rsid w:val="00226795"/>
    <w:rsid w:val="00226A5B"/>
    <w:rsid w:val="00230E20"/>
    <w:rsid w:val="0023137D"/>
    <w:rsid w:val="002328A4"/>
    <w:rsid w:val="0023643E"/>
    <w:rsid w:val="002368F5"/>
    <w:rsid w:val="00237737"/>
    <w:rsid w:val="00237E1F"/>
    <w:rsid w:val="00242CE0"/>
    <w:rsid w:val="002431CF"/>
    <w:rsid w:val="0024348D"/>
    <w:rsid w:val="002445A1"/>
    <w:rsid w:val="00244C35"/>
    <w:rsid w:val="00244EE3"/>
    <w:rsid w:val="00245518"/>
    <w:rsid w:val="002505F3"/>
    <w:rsid w:val="00251AC1"/>
    <w:rsid w:val="00254E91"/>
    <w:rsid w:val="00254F3C"/>
    <w:rsid w:val="00255C0F"/>
    <w:rsid w:val="00256957"/>
    <w:rsid w:val="00260F96"/>
    <w:rsid w:val="002619CC"/>
    <w:rsid w:val="002663DD"/>
    <w:rsid w:val="002671E4"/>
    <w:rsid w:val="002672AB"/>
    <w:rsid w:val="002710A6"/>
    <w:rsid w:val="00271F86"/>
    <w:rsid w:val="002726D5"/>
    <w:rsid w:val="0027580C"/>
    <w:rsid w:val="0027607D"/>
    <w:rsid w:val="002776F6"/>
    <w:rsid w:val="00280AFF"/>
    <w:rsid w:val="002811A6"/>
    <w:rsid w:val="00281C03"/>
    <w:rsid w:val="002843BC"/>
    <w:rsid w:val="002845C3"/>
    <w:rsid w:val="002855A5"/>
    <w:rsid w:val="00287037"/>
    <w:rsid w:val="00287721"/>
    <w:rsid w:val="00290BD5"/>
    <w:rsid w:val="00291AEC"/>
    <w:rsid w:val="00292367"/>
    <w:rsid w:val="0029365D"/>
    <w:rsid w:val="002959FB"/>
    <w:rsid w:val="00296A8C"/>
    <w:rsid w:val="002A2144"/>
    <w:rsid w:val="002A3DA2"/>
    <w:rsid w:val="002A53A1"/>
    <w:rsid w:val="002A5E2B"/>
    <w:rsid w:val="002A796E"/>
    <w:rsid w:val="002B3501"/>
    <w:rsid w:val="002B51D5"/>
    <w:rsid w:val="002B70EB"/>
    <w:rsid w:val="002B722C"/>
    <w:rsid w:val="002C00A8"/>
    <w:rsid w:val="002C12B3"/>
    <w:rsid w:val="002C29E6"/>
    <w:rsid w:val="002C32E4"/>
    <w:rsid w:val="002C3869"/>
    <w:rsid w:val="002C501D"/>
    <w:rsid w:val="002C5B44"/>
    <w:rsid w:val="002C64A1"/>
    <w:rsid w:val="002C69BF"/>
    <w:rsid w:val="002D00CA"/>
    <w:rsid w:val="002D0AE6"/>
    <w:rsid w:val="002D0CF7"/>
    <w:rsid w:val="002D2224"/>
    <w:rsid w:val="002D2A76"/>
    <w:rsid w:val="002D3085"/>
    <w:rsid w:val="002D3542"/>
    <w:rsid w:val="002D6F4C"/>
    <w:rsid w:val="002E01B3"/>
    <w:rsid w:val="002E0CB5"/>
    <w:rsid w:val="002E30C6"/>
    <w:rsid w:val="002E41B7"/>
    <w:rsid w:val="002E4858"/>
    <w:rsid w:val="002E6491"/>
    <w:rsid w:val="002E7CA0"/>
    <w:rsid w:val="002F1FDB"/>
    <w:rsid w:val="002F2EB8"/>
    <w:rsid w:val="002F4082"/>
    <w:rsid w:val="002F54C6"/>
    <w:rsid w:val="002F7B6C"/>
    <w:rsid w:val="00300271"/>
    <w:rsid w:val="00300BB1"/>
    <w:rsid w:val="00302026"/>
    <w:rsid w:val="00303873"/>
    <w:rsid w:val="0030408C"/>
    <w:rsid w:val="00304C6A"/>
    <w:rsid w:val="00306CD7"/>
    <w:rsid w:val="00306D68"/>
    <w:rsid w:val="00310E41"/>
    <w:rsid w:val="0031153F"/>
    <w:rsid w:val="00311591"/>
    <w:rsid w:val="0031168F"/>
    <w:rsid w:val="00312438"/>
    <w:rsid w:val="003126F7"/>
    <w:rsid w:val="003161FE"/>
    <w:rsid w:val="0032090D"/>
    <w:rsid w:val="00321CE4"/>
    <w:rsid w:val="00322302"/>
    <w:rsid w:val="00322D9B"/>
    <w:rsid w:val="00323A0D"/>
    <w:rsid w:val="00323D97"/>
    <w:rsid w:val="00324C01"/>
    <w:rsid w:val="00327A64"/>
    <w:rsid w:val="00327C3C"/>
    <w:rsid w:val="00330FFC"/>
    <w:rsid w:val="00332419"/>
    <w:rsid w:val="0033351C"/>
    <w:rsid w:val="00335000"/>
    <w:rsid w:val="003363FA"/>
    <w:rsid w:val="00337654"/>
    <w:rsid w:val="00337AC7"/>
    <w:rsid w:val="00337C4D"/>
    <w:rsid w:val="003402C8"/>
    <w:rsid w:val="00341D73"/>
    <w:rsid w:val="00342F8D"/>
    <w:rsid w:val="00344A6D"/>
    <w:rsid w:val="0034554A"/>
    <w:rsid w:val="00345966"/>
    <w:rsid w:val="00346297"/>
    <w:rsid w:val="00347D9E"/>
    <w:rsid w:val="00351456"/>
    <w:rsid w:val="003524E0"/>
    <w:rsid w:val="0035307F"/>
    <w:rsid w:val="00355413"/>
    <w:rsid w:val="00360046"/>
    <w:rsid w:val="003608D6"/>
    <w:rsid w:val="0036214E"/>
    <w:rsid w:val="003643D8"/>
    <w:rsid w:val="00367C6E"/>
    <w:rsid w:val="00371870"/>
    <w:rsid w:val="003720A2"/>
    <w:rsid w:val="00373691"/>
    <w:rsid w:val="00374949"/>
    <w:rsid w:val="00376F67"/>
    <w:rsid w:val="00382A1D"/>
    <w:rsid w:val="00382D7C"/>
    <w:rsid w:val="00382DDE"/>
    <w:rsid w:val="003848D2"/>
    <w:rsid w:val="003865BF"/>
    <w:rsid w:val="00386D0E"/>
    <w:rsid w:val="00387ADE"/>
    <w:rsid w:val="003914B9"/>
    <w:rsid w:val="0039246F"/>
    <w:rsid w:val="00396DB6"/>
    <w:rsid w:val="003A2B8B"/>
    <w:rsid w:val="003A3428"/>
    <w:rsid w:val="003B0CF5"/>
    <w:rsid w:val="003B26C0"/>
    <w:rsid w:val="003B274D"/>
    <w:rsid w:val="003B6358"/>
    <w:rsid w:val="003B68B0"/>
    <w:rsid w:val="003B7BBD"/>
    <w:rsid w:val="003C0625"/>
    <w:rsid w:val="003C2E4E"/>
    <w:rsid w:val="003C3A2B"/>
    <w:rsid w:val="003C40A0"/>
    <w:rsid w:val="003C57B5"/>
    <w:rsid w:val="003C725B"/>
    <w:rsid w:val="003D12A0"/>
    <w:rsid w:val="003D1AC0"/>
    <w:rsid w:val="003D34D6"/>
    <w:rsid w:val="003D394F"/>
    <w:rsid w:val="003D4FC0"/>
    <w:rsid w:val="003D5591"/>
    <w:rsid w:val="003D5DA6"/>
    <w:rsid w:val="003D6E1D"/>
    <w:rsid w:val="003D75A3"/>
    <w:rsid w:val="003E42A1"/>
    <w:rsid w:val="003E443A"/>
    <w:rsid w:val="003E5428"/>
    <w:rsid w:val="003E62CC"/>
    <w:rsid w:val="003E7592"/>
    <w:rsid w:val="003F0BD7"/>
    <w:rsid w:val="003F1090"/>
    <w:rsid w:val="003F4221"/>
    <w:rsid w:val="003F5045"/>
    <w:rsid w:val="003F5ADC"/>
    <w:rsid w:val="003F6B7E"/>
    <w:rsid w:val="003F6FEE"/>
    <w:rsid w:val="003F79BE"/>
    <w:rsid w:val="003F7EA9"/>
    <w:rsid w:val="004006C4"/>
    <w:rsid w:val="004008FC"/>
    <w:rsid w:val="00400F3B"/>
    <w:rsid w:val="0040208E"/>
    <w:rsid w:val="00402C1C"/>
    <w:rsid w:val="00403FD9"/>
    <w:rsid w:val="00405727"/>
    <w:rsid w:val="00406964"/>
    <w:rsid w:val="00411BE2"/>
    <w:rsid w:val="0041501A"/>
    <w:rsid w:val="00415BBD"/>
    <w:rsid w:val="00416D4D"/>
    <w:rsid w:val="00416E20"/>
    <w:rsid w:val="00421F8E"/>
    <w:rsid w:val="00424B22"/>
    <w:rsid w:val="00424EB9"/>
    <w:rsid w:val="0042516B"/>
    <w:rsid w:val="00425F06"/>
    <w:rsid w:val="004264E3"/>
    <w:rsid w:val="004302B0"/>
    <w:rsid w:val="00431539"/>
    <w:rsid w:val="00432FED"/>
    <w:rsid w:val="004359D9"/>
    <w:rsid w:val="004364A9"/>
    <w:rsid w:val="0043655A"/>
    <w:rsid w:val="00437815"/>
    <w:rsid w:val="004406FA"/>
    <w:rsid w:val="00442B4C"/>
    <w:rsid w:val="00442D4C"/>
    <w:rsid w:val="00445675"/>
    <w:rsid w:val="00447B17"/>
    <w:rsid w:val="00447B6B"/>
    <w:rsid w:val="00452A1E"/>
    <w:rsid w:val="00452D27"/>
    <w:rsid w:val="00452E49"/>
    <w:rsid w:val="00453095"/>
    <w:rsid w:val="00453A42"/>
    <w:rsid w:val="00457904"/>
    <w:rsid w:val="004617E5"/>
    <w:rsid w:val="00461BF2"/>
    <w:rsid w:val="00463A83"/>
    <w:rsid w:val="004643B7"/>
    <w:rsid w:val="00466865"/>
    <w:rsid w:val="00467743"/>
    <w:rsid w:val="00467B84"/>
    <w:rsid w:val="0047007F"/>
    <w:rsid w:val="00470750"/>
    <w:rsid w:val="00473EEF"/>
    <w:rsid w:val="004742B4"/>
    <w:rsid w:val="00475927"/>
    <w:rsid w:val="004764A6"/>
    <w:rsid w:val="00480C01"/>
    <w:rsid w:val="00481675"/>
    <w:rsid w:val="00481A8B"/>
    <w:rsid w:val="00484030"/>
    <w:rsid w:val="00487041"/>
    <w:rsid w:val="00491188"/>
    <w:rsid w:val="00491EDD"/>
    <w:rsid w:val="00493FFD"/>
    <w:rsid w:val="00495BA0"/>
    <w:rsid w:val="00496642"/>
    <w:rsid w:val="0049787B"/>
    <w:rsid w:val="004A0369"/>
    <w:rsid w:val="004A3C75"/>
    <w:rsid w:val="004A67A5"/>
    <w:rsid w:val="004B0396"/>
    <w:rsid w:val="004B226F"/>
    <w:rsid w:val="004B3FD8"/>
    <w:rsid w:val="004B434A"/>
    <w:rsid w:val="004B4F16"/>
    <w:rsid w:val="004B54D0"/>
    <w:rsid w:val="004B70A2"/>
    <w:rsid w:val="004C03E4"/>
    <w:rsid w:val="004C1B04"/>
    <w:rsid w:val="004C3DDB"/>
    <w:rsid w:val="004C5590"/>
    <w:rsid w:val="004C718B"/>
    <w:rsid w:val="004C7CB5"/>
    <w:rsid w:val="004C7D51"/>
    <w:rsid w:val="004D00B8"/>
    <w:rsid w:val="004D0422"/>
    <w:rsid w:val="004D0D39"/>
    <w:rsid w:val="004D0E85"/>
    <w:rsid w:val="004D3BAC"/>
    <w:rsid w:val="004D5F67"/>
    <w:rsid w:val="004D7A9B"/>
    <w:rsid w:val="004D7C50"/>
    <w:rsid w:val="004E04AF"/>
    <w:rsid w:val="004E2FA3"/>
    <w:rsid w:val="004E3C1F"/>
    <w:rsid w:val="004F0619"/>
    <w:rsid w:val="004F0D6E"/>
    <w:rsid w:val="004F26E6"/>
    <w:rsid w:val="004F3545"/>
    <w:rsid w:val="004F4B4C"/>
    <w:rsid w:val="00501018"/>
    <w:rsid w:val="0050120A"/>
    <w:rsid w:val="005018E9"/>
    <w:rsid w:val="00503404"/>
    <w:rsid w:val="00504407"/>
    <w:rsid w:val="005068DD"/>
    <w:rsid w:val="00507505"/>
    <w:rsid w:val="005079A9"/>
    <w:rsid w:val="0051145C"/>
    <w:rsid w:val="00514E05"/>
    <w:rsid w:val="00515497"/>
    <w:rsid w:val="0052060C"/>
    <w:rsid w:val="00523C0C"/>
    <w:rsid w:val="005258B2"/>
    <w:rsid w:val="00526762"/>
    <w:rsid w:val="00526AE7"/>
    <w:rsid w:val="00531AE4"/>
    <w:rsid w:val="005345CB"/>
    <w:rsid w:val="00535019"/>
    <w:rsid w:val="005362D3"/>
    <w:rsid w:val="005404D3"/>
    <w:rsid w:val="00541D9E"/>
    <w:rsid w:val="00551757"/>
    <w:rsid w:val="00553D08"/>
    <w:rsid w:val="00554DBA"/>
    <w:rsid w:val="005555EA"/>
    <w:rsid w:val="005565C2"/>
    <w:rsid w:val="005567D1"/>
    <w:rsid w:val="005617D2"/>
    <w:rsid w:val="00561F5D"/>
    <w:rsid w:val="005631B3"/>
    <w:rsid w:val="0056375A"/>
    <w:rsid w:val="00563D96"/>
    <w:rsid w:val="00572499"/>
    <w:rsid w:val="005729E5"/>
    <w:rsid w:val="005738BE"/>
    <w:rsid w:val="005745C7"/>
    <w:rsid w:val="00574D41"/>
    <w:rsid w:val="00574EF4"/>
    <w:rsid w:val="0057629B"/>
    <w:rsid w:val="005762D0"/>
    <w:rsid w:val="00576957"/>
    <w:rsid w:val="00577DB9"/>
    <w:rsid w:val="0058195F"/>
    <w:rsid w:val="0058356E"/>
    <w:rsid w:val="0058371C"/>
    <w:rsid w:val="00584DF4"/>
    <w:rsid w:val="00586607"/>
    <w:rsid w:val="00586D49"/>
    <w:rsid w:val="00590192"/>
    <w:rsid w:val="00593B36"/>
    <w:rsid w:val="00593EF4"/>
    <w:rsid w:val="0059477F"/>
    <w:rsid w:val="005950F1"/>
    <w:rsid w:val="00595B96"/>
    <w:rsid w:val="00596271"/>
    <w:rsid w:val="00596512"/>
    <w:rsid w:val="00596584"/>
    <w:rsid w:val="00596DC8"/>
    <w:rsid w:val="0059764F"/>
    <w:rsid w:val="005A3435"/>
    <w:rsid w:val="005A46B7"/>
    <w:rsid w:val="005A481C"/>
    <w:rsid w:val="005A48D8"/>
    <w:rsid w:val="005A5107"/>
    <w:rsid w:val="005A5D85"/>
    <w:rsid w:val="005B0BE2"/>
    <w:rsid w:val="005B1E0A"/>
    <w:rsid w:val="005B1F9B"/>
    <w:rsid w:val="005B2EA7"/>
    <w:rsid w:val="005B468F"/>
    <w:rsid w:val="005C191E"/>
    <w:rsid w:val="005C3A9A"/>
    <w:rsid w:val="005C7069"/>
    <w:rsid w:val="005D02A2"/>
    <w:rsid w:val="005D30D0"/>
    <w:rsid w:val="005D3F50"/>
    <w:rsid w:val="005D449B"/>
    <w:rsid w:val="005D4821"/>
    <w:rsid w:val="005D5740"/>
    <w:rsid w:val="005D6456"/>
    <w:rsid w:val="005D79E0"/>
    <w:rsid w:val="005E2466"/>
    <w:rsid w:val="005E31A1"/>
    <w:rsid w:val="005E5396"/>
    <w:rsid w:val="005E676E"/>
    <w:rsid w:val="005F0A4C"/>
    <w:rsid w:val="005F0BDA"/>
    <w:rsid w:val="005F15FE"/>
    <w:rsid w:val="005F2C69"/>
    <w:rsid w:val="005F3BC5"/>
    <w:rsid w:val="005F4534"/>
    <w:rsid w:val="005F589A"/>
    <w:rsid w:val="00601502"/>
    <w:rsid w:val="00602E20"/>
    <w:rsid w:val="00603640"/>
    <w:rsid w:val="0060377D"/>
    <w:rsid w:val="00604AD6"/>
    <w:rsid w:val="00604E3C"/>
    <w:rsid w:val="00607184"/>
    <w:rsid w:val="006106E5"/>
    <w:rsid w:val="006110EC"/>
    <w:rsid w:val="006115FE"/>
    <w:rsid w:val="00612448"/>
    <w:rsid w:val="00612C34"/>
    <w:rsid w:val="00613B7D"/>
    <w:rsid w:val="00614AFE"/>
    <w:rsid w:val="00614D57"/>
    <w:rsid w:val="006151F2"/>
    <w:rsid w:val="006159DA"/>
    <w:rsid w:val="00615E03"/>
    <w:rsid w:val="0061676B"/>
    <w:rsid w:val="006168A5"/>
    <w:rsid w:val="00616CBE"/>
    <w:rsid w:val="00616CEF"/>
    <w:rsid w:val="00616D9B"/>
    <w:rsid w:val="00624940"/>
    <w:rsid w:val="006271E5"/>
    <w:rsid w:val="0063043E"/>
    <w:rsid w:val="006305E4"/>
    <w:rsid w:val="00630B80"/>
    <w:rsid w:val="006321E9"/>
    <w:rsid w:val="0063276C"/>
    <w:rsid w:val="00634421"/>
    <w:rsid w:val="006344D8"/>
    <w:rsid w:val="00634CFF"/>
    <w:rsid w:val="006415C0"/>
    <w:rsid w:val="006419B6"/>
    <w:rsid w:val="006471AB"/>
    <w:rsid w:val="00650609"/>
    <w:rsid w:val="00650FC8"/>
    <w:rsid w:val="00651A98"/>
    <w:rsid w:val="00653365"/>
    <w:rsid w:val="00655770"/>
    <w:rsid w:val="00660478"/>
    <w:rsid w:val="006607D3"/>
    <w:rsid w:val="00661D0B"/>
    <w:rsid w:val="00662C92"/>
    <w:rsid w:val="00663D57"/>
    <w:rsid w:val="006653D3"/>
    <w:rsid w:val="00666110"/>
    <w:rsid w:val="006661A3"/>
    <w:rsid w:val="00670E20"/>
    <w:rsid w:val="00671E08"/>
    <w:rsid w:val="006753AD"/>
    <w:rsid w:val="006762B6"/>
    <w:rsid w:val="00677E81"/>
    <w:rsid w:val="006802FC"/>
    <w:rsid w:val="00680E7B"/>
    <w:rsid w:val="00681DE2"/>
    <w:rsid w:val="0068416B"/>
    <w:rsid w:val="006844F1"/>
    <w:rsid w:val="00686046"/>
    <w:rsid w:val="00687956"/>
    <w:rsid w:val="00687B78"/>
    <w:rsid w:val="00692694"/>
    <w:rsid w:val="006941C5"/>
    <w:rsid w:val="006951D8"/>
    <w:rsid w:val="00695735"/>
    <w:rsid w:val="0069694D"/>
    <w:rsid w:val="006A0851"/>
    <w:rsid w:val="006A1BEB"/>
    <w:rsid w:val="006A5087"/>
    <w:rsid w:val="006A5270"/>
    <w:rsid w:val="006A7C9C"/>
    <w:rsid w:val="006B0DAC"/>
    <w:rsid w:val="006B10B0"/>
    <w:rsid w:val="006B2FF1"/>
    <w:rsid w:val="006B5949"/>
    <w:rsid w:val="006B75CF"/>
    <w:rsid w:val="006C0561"/>
    <w:rsid w:val="006C2755"/>
    <w:rsid w:val="006C480C"/>
    <w:rsid w:val="006C76CC"/>
    <w:rsid w:val="006D1F9D"/>
    <w:rsid w:val="006D4987"/>
    <w:rsid w:val="006D6C01"/>
    <w:rsid w:val="006D6CDE"/>
    <w:rsid w:val="006D70D6"/>
    <w:rsid w:val="006E2F4C"/>
    <w:rsid w:val="006E3D6A"/>
    <w:rsid w:val="006E58B8"/>
    <w:rsid w:val="006E5EE8"/>
    <w:rsid w:val="006F0181"/>
    <w:rsid w:val="006F357A"/>
    <w:rsid w:val="006F4112"/>
    <w:rsid w:val="006F47EE"/>
    <w:rsid w:val="006F48D0"/>
    <w:rsid w:val="006F5494"/>
    <w:rsid w:val="006F7E21"/>
    <w:rsid w:val="00703C51"/>
    <w:rsid w:val="00704182"/>
    <w:rsid w:val="007050D3"/>
    <w:rsid w:val="00707B85"/>
    <w:rsid w:val="00707BCE"/>
    <w:rsid w:val="00710483"/>
    <w:rsid w:val="0071076E"/>
    <w:rsid w:val="007107C8"/>
    <w:rsid w:val="007107FA"/>
    <w:rsid w:val="00712CFA"/>
    <w:rsid w:val="00713155"/>
    <w:rsid w:val="0071358F"/>
    <w:rsid w:val="00714022"/>
    <w:rsid w:val="00715D22"/>
    <w:rsid w:val="00715E72"/>
    <w:rsid w:val="007178A8"/>
    <w:rsid w:val="007200DB"/>
    <w:rsid w:val="00722030"/>
    <w:rsid w:val="0072226E"/>
    <w:rsid w:val="00725F08"/>
    <w:rsid w:val="00726125"/>
    <w:rsid w:val="00726164"/>
    <w:rsid w:val="00727988"/>
    <w:rsid w:val="00734FC6"/>
    <w:rsid w:val="007352E8"/>
    <w:rsid w:val="00737252"/>
    <w:rsid w:val="007416F1"/>
    <w:rsid w:val="007426B8"/>
    <w:rsid w:val="00743803"/>
    <w:rsid w:val="00745CD8"/>
    <w:rsid w:val="00746F03"/>
    <w:rsid w:val="00747BE4"/>
    <w:rsid w:val="007503B1"/>
    <w:rsid w:val="0075108D"/>
    <w:rsid w:val="007520AC"/>
    <w:rsid w:val="0075437F"/>
    <w:rsid w:val="00754FF8"/>
    <w:rsid w:val="00760DD4"/>
    <w:rsid w:val="00760E14"/>
    <w:rsid w:val="0076174C"/>
    <w:rsid w:val="00761B37"/>
    <w:rsid w:val="0076200C"/>
    <w:rsid w:val="00762612"/>
    <w:rsid w:val="00764637"/>
    <w:rsid w:val="00766EF5"/>
    <w:rsid w:val="00772D2A"/>
    <w:rsid w:val="0077335A"/>
    <w:rsid w:val="0077378B"/>
    <w:rsid w:val="0077716C"/>
    <w:rsid w:val="0078180B"/>
    <w:rsid w:val="007832A8"/>
    <w:rsid w:val="00783C28"/>
    <w:rsid w:val="00787152"/>
    <w:rsid w:val="0078748B"/>
    <w:rsid w:val="007904BA"/>
    <w:rsid w:val="00790F2F"/>
    <w:rsid w:val="0079334D"/>
    <w:rsid w:val="0079407F"/>
    <w:rsid w:val="007949EF"/>
    <w:rsid w:val="00794FB8"/>
    <w:rsid w:val="00795465"/>
    <w:rsid w:val="0079574B"/>
    <w:rsid w:val="007966B6"/>
    <w:rsid w:val="0079773E"/>
    <w:rsid w:val="007979E2"/>
    <w:rsid w:val="007A0DAF"/>
    <w:rsid w:val="007A1316"/>
    <w:rsid w:val="007A17D2"/>
    <w:rsid w:val="007A25D3"/>
    <w:rsid w:val="007A2799"/>
    <w:rsid w:val="007A3ADD"/>
    <w:rsid w:val="007A6B56"/>
    <w:rsid w:val="007A7557"/>
    <w:rsid w:val="007B01F7"/>
    <w:rsid w:val="007B11ED"/>
    <w:rsid w:val="007B1E5F"/>
    <w:rsid w:val="007B30C9"/>
    <w:rsid w:val="007B3604"/>
    <w:rsid w:val="007B4EA5"/>
    <w:rsid w:val="007B6E2A"/>
    <w:rsid w:val="007B75B6"/>
    <w:rsid w:val="007C02C6"/>
    <w:rsid w:val="007C0729"/>
    <w:rsid w:val="007C093F"/>
    <w:rsid w:val="007C0EAF"/>
    <w:rsid w:val="007C1650"/>
    <w:rsid w:val="007C338A"/>
    <w:rsid w:val="007C5100"/>
    <w:rsid w:val="007C5E48"/>
    <w:rsid w:val="007C77E8"/>
    <w:rsid w:val="007C78EA"/>
    <w:rsid w:val="007D0344"/>
    <w:rsid w:val="007D101F"/>
    <w:rsid w:val="007D1904"/>
    <w:rsid w:val="007D1CD8"/>
    <w:rsid w:val="007D207D"/>
    <w:rsid w:val="007D6CBC"/>
    <w:rsid w:val="007D72D5"/>
    <w:rsid w:val="007E0A23"/>
    <w:rsid w:val="007E315A"/>
    <w:rsid w:val="007E62FB"/>
    <w:rsid w:val="007F063D"/>
    <w:rsid w:val="007F1DFD"/>
    <w:rsid w:val="007F3365"/>
    <w:rsid w:val="007F5D03"/>
    <w:rsid w:val="007F6638"/>
    <w:rsid w:val="007F6740"/>
    <w:rsid w:val="007F7134"/>
    <w:rsid w:val="007F7314"/>
    <w:rsid w:val="0080296C"/>
    <w:rsid w:val="00805C5A"/>
    <w:rsid w:val="0081444A"/>
    <w:rsid w:val="008150E9"/>
    <w:rsid w:val="00816DB8"/>
    <w:rsid w:val="0081736E"/>
    <w:rsid w:val="00817567"/>
    <w:rsid w:val="00822A10"/>
    <w:rsid w:val="00822E88"/>
    <w:rsid w:val="00824C80"/>
    <w:rsid w:val="00824DD9"/>
    <w:rsid w:val="00826FC9"/>
    <w:rsid w:val="00827F68"/>
    <w:rsid w:val="00827FC6"/>
    <w:rsid w:val="00832F54"/>
    <w:rsid w:val="00834E44"/>
    <w:rsid w:val="0083508C"/>
    <w:rsid w:val="00835C53"/>
    <w:rsid w:val="00836475"/>
    <w:rsid w:val="008364C4"/>
    <w:rsid w:val="00837F69"/>
    <w:rsid w:val="00842DFD"/>
    <w:rsid w:val="00843691"/>
    <w:rsid w:val="00844B27"/>
    <w:rsid w:val="008522C0"/>
    <w:rsid w:val="00852C00"/>
    <w:rsid w:val="00853201"/>
    <w:rsid w:val="00853C1A"/>
    <w:rsid w:val="008557FC"/>
    <w:rsid w:val="008560BB"/>
    <w:rsid w:val="0085616B"/>
    <w:rsid w:val="008561C3"/>
    <w:rsid w:val="00862700"/>
    <w:rsid w:val="0086386C"/>
    <w:rsid w:val="00863E08"/>
    <w:rsid w:val="0086407E"/>
    <w:rsid w:val="0086429B"/>
    <w:rsid w:val="0086687B"/>
    <w:rsid w:val="00872AA9"/>
    <w:rsid w:val="0087308C"/>
    <w:rsid w:val="0088334E"/>
    <w:rsid w:val="00885C3B"/>
    <w:rsid w:val="00885E7B"/>
    <w:rsid w:val="00896F98"/>
    <w:rsid w:val="008971BF"/>
    <w:rsid w:val="0089772A"/>
    <w:rsid w:val="008A3F78"/>
    <w:rsid w:val="008A554D"/>
    <w:rsid w:val="008A5DC8"/>
    <w:rsid w:val="008A5DEE"/>
    <w:rsid w:val="008A5F71"/>
    <w:rsid w:val="008B14AA"/>
    <w:rsid w:val="008B15C7"/>
    <w:rsid w:val="008B2906"/>
    <w:rsid w:val="008B4EC8"/>
    <w:rsid w:val="008B5311"/>
    <w:rsid w:val="008B6D40"/>
    <w:rsid w:val="008B6E0D"/>
    <w:rsid w:val="008B7027"/>
    <w:rsid w:val="008C2B75"/>
    <w:rsid w:val="008C3375"/>
    <w:rsid w:val="008C4416"/>
    <w:rsid w:val="008C5EF2"/>
    <w:rsid w:val="008C650E"/>
    <w:rsid w:val="008C68D9"/>
    <w:rsid w:val="008C690B"/>
    <w:rsid w:val="008D0ACB"/>
    <w:rsid w:val="008D3837"/>
    <w:rsid w:val="008D45F5"/>
    <w:rsid w:val="008D511C"/>
    <w:rsid w:val="008D683E"/>
    <w:rsid w:val="008E0B00"/>
    <w:rsid w:val="008E0D93"/>
    <w:rsid w:val="008E0DBC"/>
    <w:rsid w:val="008E1DCA"/>
    <w:rsid w:val="008E2929"/>
    <w:rsid w:val="008E2A5D"/>
    <w:rsid w:val="008E2E44"/>
    <w:rsid w:val="008E6842"/>
    <w:rsid w:val="008E6CCC"/>
    <w:rsid w:val="008E7EB7"/>
    <w:rsid w:val="008E7EDC"/>
    <w:rsid w:val="008F1317"/>
    <w:rsid w:val="008F54A7"/>
    <w:rsid w:val="008F7581"/>
    <w:rsid w:val="009005A1"/>
    <w:rsid w:val="00901049"/>
    <w:rsid w:val="00901C28"/>
    <w:rsid w:val="00902D6F"/>
    <w:rsid w:val="00903270"/>
    <w:rsid w:val="009064E9"/>
    <w:rsid w:val="0090754D"/>
    <w:rsid w:val="00907BFF"/>
    <w:rsid w:val="009111E9"/>
    <w:rsid w:val="00912E09"/>
    <w:rsid w:val="009159EA"/>
    <w:rsid w:val="0091602E"/>
    <w:rsid w:val="00916D2B"/>
    <w:rsid w:val="00917497"/>
    <w:rsid w:val="009176D0"/>
    <w:rsid w:val="00917F08"/>
    <w:rsid w:val="00920076"/>
    <w:rsid w:val="009205C0"/>
    <w:rsid w:val="00920D39"/>
    <w:rsid w:val="00920DF3"/>
    <w:rsid w:val="00921D4E"/>
    <w:rsid w:val="00924873"/>
    <w:rsid w:val="00926B18"/>
    <w:rsid w:val="00930ED3"/>
    <w:rsid w:val="009318BA"/>
    <w:rsid w:val="00931BDE"/>
    <w:rsid w:val="00932257"/>
    <w:rsid w:val="0093322D"/>
    <w:rsid w:val="00933607"/>
    <w:rsid w:val="00933896"/>
    <w:rsid w:val="00933DAA"/>
    <w:rsid w:val="00935094"/>
    <w:rsid w:val="009358F2"/>
    <w:rsid w:val="00935E35"/>
    <w:rsid w:val="00936A8C"/>
    <w:rsid w:val="009400F1"/>
    <w:rsid w:val="0094034A"/>
    <w:rsid w:val="00946118"/>
    <w:rsid w:val="00950220"/>
    <w:rsid w:val="0095185F"/>
    <w:rsid w:val="00954138"/>
    <w:rsid w:val="00954438"/>
    <w:rsid w:val="00954DC5"/>
    <w:rsid w:val="00956930"/>
    <w:rsid w:val="00956E4F"/>
    <w:rsid w:val="00957A35"/>
    <w:rsid w:val="00960D23"/>
    <w:rsid w:val="00962A19"/>
    <w:rsid w:val="00964892"/>
    <w:rsid w:val="00964A0B"/>
    <w:rsid w:val="00967E13"/>
    <w:rsid w:val="00971E26"/>
    <w:rsid w:val="009724AA"/>
    <w:rsid w:val="0097279F"/>
    <w:rsid w:val="009755F4"/>
    <w:rsid w:val="009770B0"/>
    <w:rsid w:val="009770E5"/>
    <w:rsid w:val="009811DB"/>
    <w:rsid w:val="00981A0C"/>
    <w:rsid w:val="00982AB8"/>
    <w:rsid w:val="00982C21"/>
    <w:rsid w:val="00983406"/>
    <w:rsid w:val="00985915"/>
    <w:rsid w:val="0098695A"/>
    <w:rsid w:val="00986C73"/>
    <w:rsid w:val="0098767A"/>
    <w:rsid w:val="0099113E"/>
    <w:rsid w:val="009916C3"/>
    <w:rsid w:val="00992766"/>
    <w:rsid w:val="00993F35"/>
    <w:rsid w:val="009940F2"/>
    <w:rsid w:val="009A12A5"/>
    <w:rsid w:val="009A1D93"/>
    <w:rsid w:val="009A46A0"/>
    <w:rsid w:val="009A4ED8"/>
    <w:rsid w:val="009A680F"/>
    <w:rsid w:val="009A6C8E"/>
    <w:rsid w:val="009A7314"/>
    <w:rsid w:val="009A7B7C"/>
    <w:rsid w:val="009B36BC"/>
    <w:rsid w:val="009B5350"/>
    <w:rsid w:val="009B6A85"/>
    <w:rsid w:val="009B6E68"/>
    <w:rsid w:val="009C2D65"/>
    <w:rsid w:val="009C4A6B"/>
    <w:rsid w:val="009C4F81"/>
    <w:rsid w:val="009C66AF"/>
    <w:rsid w:val="009C6C54"/>
    <w:rsid w:val="009C6E48"/>
    <w:rsid w:val="009C7985"/>
    <w:rsid w:val="009D061D"/>
    <w:rsid w:val="009D0E4C"/>
    <w:rsid w:val="009D478B"/>
    <w:rsid w:val="009E1265"/>
    <w:rsid w:val="009E1B03"/>
    <w:rsid w:val="009E4330"/>
    <w:rsid w:val="009E43F5"/>
    <w:rsid w:val="009E4932"/>
    <w:rsid w:val="009E4FB8"/>
    <w:rsid w:val="009E5525"/>
    <w:rsid w:val="009F1312"/>
    <w:rsid w:val="009F42AD"/>
    <w:rsid w:val="00A0110C"/>
    <w:rsid w:val="00A01153"/>
    <w:rsid w:val="00A0161B"/>
    <w:rsid w:val="00A016B5"/>
    <w:rsid w:val="00A020D3"/>
    <w:rsid w:val="00A03E6C"/>
    <w:rsid w:val="00A0492C"/>
    <w:rsid w:val="00A07926"/>
    <w:rsid w:val="00A07AC1"/>
    <w:rsid w:val="00A1289D"/>
    <w:rsid w:val="00A12CE1"/>
    <w:rsid w:val="00A16739"/>
    <w:rsid w:val="00A168CF"/>
    <w:rsid w:val="00A20F33"/>
    <w:rsid w:val="00A21671"/>
    <w:rsid w:val="00A306BB"/>
    <w:rsid w:val="00A33C68"/>
    <w:rsid w:val="00A33D25"/>
    <w:rsid w:val="00A3412D"/>
    <w:rsid w:val="00A37436"/>
    <w:rsid w:val="00A44879"/>
    <w:rsid w:val="00A46E8F"/>
    <w:rsid w:val="00A505EF"/>
    <w:rsid w:val="00A517E4"/>
    <w:rsid w:val="00A51A35"/>
    <w:rsid w:val="00A51D39"/>
    <w:rsid w:val="00A5251A"/>
    <w:rsid w:val="00A54214"/>
    <w:rsid w:val="00A566AA"/>
    <w:rsid w:val="00A57EB8"/>
    <w:rsid w:val="00A61E97"/>
    <w:rsid w:val="00A65B0A"/>
    <w:rsid w:val="00A661FE"/>
    <w:rsid w:val="00A670DE"/>
    <w:rsid w:val="00A67694"/>
    <w:rsid w:val="00A67F48"/>
    <w:rsid w:val="00A710D6"/>
    <w:rsid w:val="00A71C73"/>
    <w:rsid w:val="00A72138"/>
    <w:rsid w:val="00A72783"/>
    <w:rsid w:val="00A73556"/>
    <w:rsid w:val="00A73E24"/>
    <w:rsid w:val="00A748B4"/>
    <w:rsid w:val="00A76535"/>
    <w:rsid w:val="00A768E8"/>
    <w:rsid w:val="00A77BCC"/>
    <w:rsid w:val="00A80340"/>
    <w:rsid w:val="00A80873"/>
    <w:rsid w:val="00A82A8A"/>
    <w:rsid w:val="00A82DD9"/>
    <w:rsid w:val="00A8352B"/>
    <w:rsid w:val="00A84B04"/>
    <w:rsid w:val="00A855EA"/>
    <w:rsid w:val="00A91BCC"/>
    <w:rsid w:val="00A91F48"/>
    <w:rsid w:val="00A934D6"/>
    <w:rsid w:val="00A95FFD"/>
    <w:rsid w:val="00A964A4"/>
    <w:rsid w:val="00A96692"/>
    <w:rsid w:val="00AA19AC"/>
    <w:rsid w:val="00AA61B8"/>
    <w:rsid w:val="00AB74DC"/>
    <w:rsid w:val="00AC01AE"/>
    <w:rsid w:val="00AC06FA"/>
    <w:rsid w:val="00AC0BD3"/>
    <w:rsid w:val="00AC2022"/>
    <w:rsid w:val="00AC20E8"/>
    <w:rsid w:val="00AC231A"/>
    <w:rsid w:val="00AC5355"/>
    <w:rsid w:val="00AC61D1"/>
    <w:rsid w:val="00AC6593"/>
    <w:rsid w:val="00AC6BC3"/>
    <w:rsid w:val="00AD32CF"/>
    <w:rsid w:val="00AD4010"/>
    <w:rsid w:val="00AD43EA"/>
    <w:rsid w:val="00AE097B"/>
    <w:rsid w:val="00AE0AA0"/>
    <w:rsid w:val="00AE1C37"/>
    <w:rsid w:val="00AE2A31"/>
    <w:rsid w:val="00AE5E9C"/>
    <w:rsid w:val="00AF03F2"/>
    <w:rsid w:val="00AF06FB"/>
    <w:rsid w:val="00AF4588"/>
    <w:rsid w:val="00AF6BD6"/>
    <w:rsid w:val="00B00E52"/>
    <w:rsid w:val="00B00EDC"/>
    <w:rsid w:val="00B01019"/>
    <w:rsid w:val="00B02428"/>
    <w:rsid w:val="00B02F0D"/>
    <w:rsid w:val="00B03DB8"/>
    <w:rsid w:val="00B042E3"/>
    <w:rsid w:val="00B06F6A"/>
    <w:rsid w:val="00B06FDD"/>
    <w:rsid w:val="00B074D4"/>
    <w:rsid w:val="00B1339C"/>
    <w:rsid w:val="00B13D3D"/>
    <w:rsid w:val="00B14921"/>
    <w:rsid w:val="00B15433"/>
    <w:rsid w:val="00B16379"/>
    <w:rsid w:val="00B16CD4"/>
    <w:rsid w:val="00B17B89"/>
    <w:rsid w:val="00B17BAF"/>
    <w:rsid w:val="00B20592"/>
    <w:rsid w:val="00B208A7"/>
    <w:rsid w:val="00B21921"/>
    <w:rsid w:val="00B21A4A"/>
    <w:rsid w:val="00B229AD"/>
    <w:rsid w:val="00B22FF9"/>
    <w:rsid w:val="00B24319"/>
    <w:rsid w:val="00B250D6"/>
    <w:rsid w:val="00B2514D"/>
    <w:rsid w:val="00B262BF"/>
    <w:rsid w:val="00B270D7"/>
    <w:rsid w:val="00B27245"/>
    <w:rsid w:val="00B31500"/>
    <w:rsid w:val="00B31E47"/>
    <w:rsid w:val="00B31ECB"/>
    <w:rsid w:val="00B31FEC"/>
    <w:rsid w:val="00B320C1"/>
    <w:rsid w:val="00B33CC2"/>
    <w:rsid w:val="00B354E3"/>
    <w:rsid w:val="00B411A4"/>
    <w:rsid w:val="00B411B2"/>
    <w:rsid w:val="00B45E91"/>
    <w:rsid w:val="00B46AB7"/>
    <w:rsid w:val="00B46FA6"/>
    <w:rsid w:val="00B47A58"/>
    <w:rsid w:val="00B531A2"/>
    <w:rsid w:val="00B53DB0"/>
    <w:rsid w:val="00B54894"/>
    <w:rsid w:val="00B54CE5"/>
    <w:rsid w:val="00B56EF4"/>
    <w:rsid w:val="00B60259"/>
    <w:rsid w:val="00B61075"/>
    <w:rsid w:val="00B624EA"/>
    <w:rsid w:val="00B63A81"/>
    <w:rsid w:val="00B63B75"/>
    <w:rsid w:val="00B663DA"/>
    <w:rsid w:val="00B739BE"/>
    <w:rsid w:val="00B75F4C"/>
    <w:rsid w:val="00B764D7"/>
    <w:rsid w:val="00B807EE"/>
    <w:rsid w:val="00B82A74"/>
    <w:rsid w:val="00B84274"/>
    <w:rsid w:val="00B85120"/>
    <w:rsid w:val="00B901CD"/>
    <w:rsid w:val="00B91ED5"/>
    <w:rsid w:val="00B91FF9"/>
    <w:rsid w:val="00B93DF2"/>
    <w:rsid w:val="00B9436B"/>
    <w:rsid w:val="00B946E1"/>
    <w:rsid w:val="00B960A9"/>
    <w:rsid w:val="00B9789B"/>
    <w:rsid w:val="00BA12D0"/>
    <w:rsid w:val="00BA32AE"/>
    <w:rsid w:val="00BA36AF"/>
    <w:rsid w:val="00BA37E6"/>
    <w:rsid w:val="00BA6D21"/>
    <w:rsid w:val="00BA75F3"/>
    <w:rsid w:val="00BB09C9"/>
    <w:rsid w:val="00BB0FB3"/>
    <w:rsid w:val="00BB0FBE"/>
    <w:rsid w:val="00BB1EA0"/>
    <w:rsid w:val="00BB1FEC"/>
    <w:rsid w:val="00BB2963"/>
    <w:rsid w:val="00BB45E2"/>
    <w:rsid w:val="00BB5DC0"/>
    <w:rsid w:val="00BB5E50"/>
    <w:rsid w:val="00BB6488"/>
    <w:rsid w:val="00BB6FEE"/>
    <w:rsid w:val="00BC135A"/>
    <w:rsid w:val="00BC2A73"/>
    <w:rsid w:val="00BC396A"/>
    <w:rsid w:val="00BC3C05"/>
    <w:rsid w:val="00BC4AED"/>
    <w:rsid w:val="00BD202E"/>
    <w:rsid w:val="00BD2412"/>
    <w:rsid w:val="00BD417D"/>
    <w:rsid w:val="00BD490F"/>
    <w:rsid w:val="00BD68AC"/>
    <w:rsid w:val="00BD6CB5"/>
    <w:rsid w:val="00BD6F92"/>
    <w:rsid w:val="00BD7E21"/>
    <w:rsid w:val="00BE2800"/>
    <w:rsid w:val="00BE4449"/>
    <w:rsid w:val="00BE4980"/>
    <w:rsid w:val="00BE5B9E"/>
    <w:rsid w:val="00BF3910"/>
    <w:rsid w:val="00BF43F3"/>
    <w:rsid w:val="00BF4642"/>
    <w:rsid w:val="00BF4EC3"/>
    <w:rsid w:val="00BF6D9C"/>
    <w:rsid w:val="00BF7A8A"/>
    <w:rsid w:val="00C01490"/>
    <w:rsid w:val="00C02343"/>
    <w:rsid w:val="00C038B0"/>
    <w:rsid w:val="00C046A4"/>
    <w:rsid w:val="00C0519B"/>
    <w:rsid w:val="00C13D44"/>
    <w:rsid w:val="00C16367"/>
    <w:rsid w:val="00C16D52"/>
    <w:rsid w:val="00C173D7"/>
    <w:rsid w:val="00C1747E"/>
    <w:rsid w:val="00C20633"/>
    <w:rsid w:val="00C20CC5"/>
    <w:rsid w:val="00C210FA"/>
    <w:rsid w:val="00C21289"/>
    <w:rsid w:val="00C213E9"/>
    <w:rsid w:val="00C21FCE"/>
    <w:rsid w:val="00C22604"/>
    <w:rsid w:val="00C234D6"/>
    <w:rsid w:val="00C23776"/>
    <w:rsid w:val="00C23AD3"/>
    <w:rsid w:val="00C24097"/>
    <w:rsid w:val="00C262EB"/>
    <w:rsid w:val="00C303F6"/>
    <w:rsid w:val="00C35E41"/>
    <w:rsid w:val="00C35F71"/>
    <w:rsid w:val="00C3786D"/>
    <w:rsid w:val="00C4083C"/>
    <w:rsid w:val="00C41684"/>
    <w:rsid w:val="00C41BDB"/>
    <w:rsid w:val="00C440F0"/>
    <w:rsid w:val="00C46821"/>
    <w:rsid w:val="00C514B6"/>
    <w:rsid w:val="00C548E6"/>
    <w:rsid w:val="00C55CF6"/>
    <w:rsid w:val="00C5640E"/>
    <w:rsid w:val="00C61D95"/>
    <w:rsid w:val="00C63426"/>
    <w:rsid w:val="00C64B4F"/>
    <w:rsid w:val="00C67DDE"/>
    <w:rsid w:val="00C70B19"/>
    <w:rsid w:val="00C72A13"/>
    <w:rsid w:val="00C732DF"/>
    <w:rsid w:val="00C7435C"/>
    <w:rsid w:val="00C76423"/>
    <w:rsid w:val="00C76F22"/>
    <w:rsid w:val="00C77A87"/>
    <w:rsid w:val="00C81B53"/>
    <w:rsid w:val="00C828D1"/>
    <w:rsid w:val="00C84085"/>
    <w:rsid w:val="00C85035"/>
    <w:rsid w:val="00C85311"/>
    <w:rsid w:val="00C8699F"/>
    <w:rsid w:val="00C915F6"/>
    <w:rsid w:val="00C9203E"/>
    <w:rsid w:val="00C9221F"/>
    <w:rsid w:val="00C9359C"/>
    <w:rsid w:val="00C93C91"/>
    <w:rsid w:val="00C93EFA"/>
    <w:rsid w:val="00C97C65"/>
    <w:rsid w:val="00CA35E0"/>
    <w:rsid w:val="00CA3A74"/>
    <w:rsid w:val="00CA3B2D"/>
    <w:rsid w:val="00CA3C94"/>
    <w:rsid w:val="00CA4217"/>
    <w:rsid w:val="00CA5319"/>
    <w:rsid w:val="00CA5DE3"/>
    <w:rsid w:val="00CA7C8B"/>
    <w:rsid w:val="00CA7F0C"/>
    <w:rsid w:val="00CB07BC"/>
    <w:rsid w:val="00CB0F59"/>
    <w:rsid w:val="00CB333A"/>
    <w:rsid w:val="00CB4361"/>
    <w:rsid w:val="00CB5979"/>
    <w:rsid w:val="00CB6078"/>
    <w:rsid w:val="00CB70C6"/>
    <w:rsid w:val="00CB7257"/>
    <w:rsid w:val="00CD0CC4"/>
    <w:rsid w:val="00CD1EB0"/>
    <w:rsid w:val="00CD3967"/>
    <w:rsid w:val="00CD4154"/>
    <w:rsid w:val="00CD4701"/>
    <w:rsid w:val="00CD477C"/>
    <w:rsid w:val="00CD5A38"/>
    <w:rsid w:val="00CD5C73"/>
    <w:rsid w:val="00CE3E7F"/>
    <w:rsid w:val="00CE4092"/>
    <w:rsid w:val="00CE625E"/>
    <w:rsid w:val="00CE66E8"/>
    <w:rsid w:val="00CE749A"/>
    <w:rsid w:val="00CF21E7"/>
    <w:rsid w:val="00CF4941"/>
    <w:rsid w:val="00CF5022"/>
    <w:rsid w:val="00CF6E79"/>
    <w:rsid w:val="00CF7D33"/>
    <w:rsid w:val="00D0283A"/>
    <w:rsid w:val="00D03E6F"/>
    <w:rsid w:val="00D05483"/>
    <w:rsid w:val="00D0728B"/>
    <w:rsid w:val="00D13E83"/>
    <w:rsid w:val="00D15DCF"/>
    <w:rsid w:val="00D17DF0"/>
    <w:rsid w:val="00D213C4"/>
    <w:rsid w:val="00D21D44"/>
    <w:rsid w:val="00D21D4F"/>
    <w:rsid w:val="00D22E31"/>
    <w:rsid w:val="00D230AA"/>
    <w:rsid w:val="00D23F1B"/>
    <w:rsid w:val="00D25065"/>
    <w:rsid w:val="00D25377"/>
    <w:rsid w:val="00D31A5F"/>
    <w:rsid w:val="00D32490"/>
    <w:rsid w:val="00D3274B"/>
    <w:rsid w:val="00D34BAE"/>
    <w:rsid w:val="00D3629D"/>
    <w:rsid w:val="00D400C1"/>
    <w:rsid w:val="00D40D17"/>
    <w:rsid w:val="00D42717"/>
    <w:rsid w:val="00D43EA1"/>
    <w:rsid w:val="00D44919"/>
    <w:rsid w:val="00D51555"/>
    <w:rsid w:val="00D60608"/>
    <w:rsid w:val="00D61AD4"/>
    <w:rsid w:val="00D65C06"/>
    <w:rsid w:val="00D664B4"/>
    <w:rsid w:val="00D66E7A"/>
    <w:rsid w:val="00D70300"/>
    <w:rsid w:val="00D72EE8"/>
    <w:rsid w:val="00D7372F"/>
    <w:rsid w:val="00D76F29"/>
    <w:rsid w:val="00D7745B"/>
    <w:rsid w:val="00D77B31"/>
    <w:rsid w:val="00D83A55"/>
    <w:rsid w:val="00D83E49"/>
    <w:rsid w:val="00D83FF9"/>
    <w:rsid w:val="00D84A71"/>
    <w:rsid w:val="00D858E6"/>
    <w:rsid w:val="00D85A53"/>
    <w:rsid w:val="00D86638"/>
    <w:rsid w:val="00D86802"/>
    <w:rsid w:val="00D86FD4"/>
    <w:rsid w:val="00D86FF7"/>
    <w:rsid w:val="00D91F99"/>
    <w:rsid w:val="00D936C0"/>
    <w:rsid w:val="00D93C82"/>
    <w:rsid w:val="00D950A2"/>
    <w:rsid w:val="00DA0A71"/>
    <w:rsid w:val="00DA0BFD"/>
    <w:rsid w:val="00DA0CE0"/>
    <w:rsid w:val="00DA3057"/>
    <w:rsid w:val="00DA3F98"/>
    <w:rsid w:val="00DA4F2F"/>
    <w:rsid w:val="00DA5CF4"/>
    <w:rsid w:val="00DA7A64"/>
    <w:rsid w:val="00DA7C5C"/>
    <w:rsid w:val="00DB1046"/>
    <w:rsid w:val="00DB1F58"/>
    <w:rsid w:val="00DB22BF"/>
    <w:rsid w:val="00DB41CD"/>
    <w:rsid w:val="00DB4B12"/>
    <w:rsid w:val="00DB4EC6"/>
    <w:rsid w:val="00DB59FE"/>
    <w:rsid w:val="00DB7101"/>
    <w:rsid w:val="00DB714F"/>
    <w:rsid w:val="00DB72D3"/>
    <w:rsid w:val="00DB7E7D"/>
    <w:rsid w:val="00DC2BAA"/>
    <w:rsid w:val="00DC32C2"/>
    <w:rsid w:val="00DC35DC"/>
    <w:rsid w:val="00DC491D"/>
    <w:rsid w:val="00DC5C2F"/>
    <w:rsid w:val="00DD1E95"/>
    <w:rsid w:val="00DD3135"/>
    <w:rsid w:val="00DD3319"/>
    <w:rsid w:val="00DD7B56"/>
    <w:rsid w:val="00DD7C1C"/>
    <w:rsid w:val="00DE1929"/>
    <w:rsid w:val="00DE4886"/>
    <w:rsid w:val="00DE6DF2"/>
    <w:rsid w:val="00DE7038"/>
    <w:rsid w:val="00DE7ACD"/>
    <w:rsid w:val="00DF142B"/>
    <w:rsid w:val="00DF19B5"/>
    <w:rsid w:val="00DF3A22"/>
    <w:rsid w:val="00DF45DE"/>
    <w:rsid w:val="00DF4FCF"/>
    <w:rsid w:val="00DF550D"/>
    <w:rsid w:val="00DF6635"/>
    <w:rsid w:val="00DF6F55"/>
    <w:rsid w:val="00DF7061"/>
    <w:rsid w:val="00E009CB"/>
    <w:rsid w:val="00E009D6"/>
    <w:rsid w:val="00E01113"/>
    <w:rsid w:val="00E02483"/>
    <w:rsid w:val="00E0253F"/>
    <w:rsid w:val="00E02AE8"/>
    <w:rsid w:val="00E03159"/>
    <w:rsid w:val="00E04DD5"/>
    <w:rsid w:val="00E070E6"/>
    <w:rsid w:val="00E0728B"/>
    <w:rsid w:val="00E07C24"/>
    <w:rsid w:val="00E10008"/>
    <w:rsid w:val="00E104BB"/>
    <w:rsid w:val="00E1166D"/>
    <w:rsid w:val="00E1293A"/>
    <w:rsid w:val="00E140E5"/>
    <w:rsid w:val="00E14323"/>
    <w:rsid w:val="00E14B35"/>
    <w:rsid w:val="00E17F5B"/>
    <w:rsid w:val="00E20282"/>
    <w:rsid w:val="00E24F16"/>
    <w:rsid w:val="00E2561C"/>
    <w:rsid w:val="00E26143"/>
    <w:rsid w:val="00E3073C"/>
    <w:rsid w:val="00E30E8E"/>
    <w:rsid w:val="00E3418A"/>
    <w:rsid w:val="00E35213"/>
    <w:rsid w:val="00E35E70"/>
    <w:rsid w:val="00E36558"/>
    <w:rsid w:val="00E37419"/>
    <w:rsid w:val="00E37786"/>
    <w:rsid w:val="00E40F0E"/>
    <w:rsid w:val="00E41323"/>
    <w:rsid w:val="00E43032"/>
    <w:rsid w:val="00E44287"/>
    <w:rsid w:val="00E46B65"/>
    <w:rsid w:val="00E507EE"/>
    <w:rsid w:val="00E5102A"/>
    <w:rsid w:val="00E5440C"/>
    <w:rsid w:val="00E5481E"/>
    <w:rsid w:val="00E55AB1"/>
    <w:rsid w:val="00E56B3F"/>
    <w:rsid w:val="00E6027D"/>
    <w:rsid w:val="00E63300"/>
    <w:rsid w:val="00E64095"/>
    <w:rsid w:val="00E65012"/>
    <w:rsid w:val="00E666E2"/>
    <w:rsid w:val="00E70B5E"/>
    <w:rsid w:val="00E70F3B"/>
    <w:rsid w:val="00E7208D"/>
    <w:rsid w:val="00E72DEB"/>
    <w:rsid w:val="00E73386"/>
    <w:rsid w:val="00E77762"/>
    <w:rsid w:val="00E777B8"/>
    <w:rsid w:val="00E77ADA"/>
    <w:rsid w:val="00E77EAD"/>
    <w:rsid w:val="00E81A75"/>
    <w:rsid w:val="00E822B7"/>
    <w:rsid w:val="00E84ACA"/>
    <w:rsid w:val="00E86D91"/>
    <w:rsid w:val="00E86E94"/>
    <w:rsid w:val="00E86EC9"/>
    <w:rsid w:val="00E91523"/>
    <w:rsid w:val="00E92C01"/>
    <w:rsid w:val="00E94534"/>
    <w:rsid w:val="00E967B8"/>
    <w:rsid w:val="00EA0B9A"/>
    <w:rsid w:val="00EA0FD1"/>
    <w:rsid w:val="00EA28A4"/>
    <w:rsid w:val="00EA2BFB"/>
    <w:rsid w:val="00EA3242"/>
    <w:rsid w:val="00EA4A71"/>
    <w:rsid w:val="00EA52E3"/>
    <w:rsid w:val="00EA7152"/>
    <w:rsid w:val="00EB571F"/>
    <w:rsid w:val="00EC16E9"/>
    <w:rsid w:val="00EC22EA"/>
    <w:rsid w:val="00EC2D8D"/>
    <w:rsid w:val="00EC3750"/>
    <w:rsid w:val="00EC4244"/>
    <w:rsid w:val="00EC56EE"/>
    <w:rsid w:val="00EC5D9F"/>
    <w:rsid w:val="00EC65EF"/>
    <w:rsid w:val="00ED32D4"/>
    <w:rsid w:val="00ED5B29"/>
    <w:rsid w:val="00ED5C99"/>
    <w:rsid w:val="00ED686D"/>
    <w:rsid w:val="00ED727E"/>
    <w:rsid w:val="00ED77A3"/>
    <w:rsid w:val="00EE1084"/>
    <w:rsid w:val="00EE637A"/>
    <w:rsid w:val="00EE7043"/>
    <w:rsid w:val="00EF0194"/>
    <w:rsid w:val="00EF01F7"/>
    <w:rsid w:val="00EF3313"/>
    <w:rsid w:val="00EF7117"/>
    <w:rsid w:val="00F003C1"/>
    <w:rsid w:val="00F0227E"/>
    <w:rsid w:val="00F029D2"/>
    <w:rsid w:val="00F031BB"/>
    <w:rsid w:val="00F03C4C"/>
    <w:rsid w:val="00F054D9"/>
    <w:rsid w:val="00F07498"/>
    <w:rsid w:val="00F10C0F"/>
    <w:rsid w:val="00F12C28"/>
    <w:rsid w:val="00F1329D"/>
    <w:rsid w:val="00F13B6D"/>
    <w:rsid w:val="00F16024"/>
    <w:rsid w:val="00F166F8"/>
    <w:rsid w:val="00F17101"/>
    <w:rsid w:val="00F2108B"/>
    <w:rsid w:val="00F215CD"/>
    <w:rsid w:val="00F22ED3"/>
    <w:rsid w:val="00F238CB"/>
    <w:rsid w:val="00F24ABF"/>
    <w:rsid w:val="00F255E5"/>
    <w:rsid w:val="00F258DE"/>
    <w:rsid w:val="00F30350"/>
    <w:rsid w:val="00F32032"/>
    <w:rsid w:val="00F35D58"/>
    <w:rsid w:val="00F36295"/>
    <w:rsid w:val="00F366D2"/>
    <w:rsid w:val="00F4058D"/>
    <w:rsid w:val="00F41CC2"/>
    <w:rsid w:val="00F4301D"/>
    <w:rsid w:val="00F44CE9"/>
    <w:rsid w:val="00F473F4"/>
    <w:rsid w:val="00F50B12"/>
    <w:rsid w:val="00F5121E"/>
    <w:rsid w:val="00F527B1"/>
    <w:rsid w:val="00F52849"/>
    <w:rsid w:val="00F5366D"/>
    <w:rsid w:val="00F53EC0"/>
    <w:rsid w:val="00F54414"/>
    <w:rsid w:val="00F55A67"/>
    <w:rsid w:val="00F55A6A"/>
    <w:rsid w:val="00F56D5C"/>
    <w:rsid w:val="00F57439"/>
    <w:rsid w:val="00F60403"/>
    <w:rsid w:val="00F61827"/>
    <w:rsid w:val="00F66CB6"/>
    <w:rsid w:val="00F67A12"/>
    <w:rsid w:val="00F713A3"/>
    <w:rsid w:val="00F734F0"/>
    <w:rsid w:val="00F74CF8"/>
    <w:rsid w:val="00F754B7"/>
    <w:rsid w:val="00F77356"/>
    <w:rsid w:val="00F77949"/>
    <w:rsid w:val="00F8170F"/>
    <w:rsid w:val="00F8178B"/>
    <w:rsid w:val="00F81B74"/>
    <w:rsid w:val="00F85E66"/>
    <w:rsid w:val="00F90B0B"/>
    <w:rsid w:val="00F92C76"/>
    <w:rsid w:val="00F939F4"/>
    <w:rsid w:val="00F942B7"/>
    <w:rsid w:val="00F9550F"/>
    <w:rsid w:val="00F9634C"/>
    <w:rsid w:val="00F9794F"/>
    <w:rsid w:val="00FA2A7A"/>
    <w:rsid w:val="00FA2AB2"/>
    <w:rsid w:val="00FA2EE4"/>
    <w:rsid w:val="00FA31D7"/>
    <w:rsid w:val="00FA4687"/>
    <w:rsid w:val="00FA5369"/>
    <w:rsid w:val="00FA540A"/>
    <w:rsid w:val="00FA6F2F"/>
    <w:rsid w:val="00FA71AC"/>
    <w:rsid w:val="00FB121F"/>
    <w:rsid w:val="00FB3206"/>
    <w:rsid w:val="00FB381E"/>
    <w:rsid w:val="00FB3984"/>
    <w:rsid w:val="00FB3B4C"/>
    <w:rsid w:val="00FB46E2"/>
    <w:rsid w:val="00FB5D4C"/>
    <w:rsid w:val="00FC1708"/>
    <w:rsid w:val="00FC3A0B"/>
    <w:rsid w:val="00FC43EF"/>
    <w:rsid w:val="00FC45A7"/>
    <w:rsid w:val="00FC6D0B"/>
    <w:rsid w:val="00FC6D70"/>
    <w:rsid w:val="00FC71C1"/>
    <w:rsid w:val="00FC7423"/>
    <w:rsid w:val="00FD0054"/>
    <w:rsid w:val="00FD0E4D"/>
    <w:rsid w:val="00FD1245"/>
    <w:rsid w:val="00FD28E4"/>
    <w:rsid w:val="00FD2EAF"/>
    <w:rsid w:val="00FE04F9"/>
    <w:rsid w:val="00FE13E2"/>
    <w:rsid w:val="00FE1D4D"/>
    <w:rsid w:val="00FE38B2"/>
    <w:rsid w:val="00FE3B4C"/>
    <w:rsid w:val="00FE3DD9"/>
    <w:rsid w:val="00FE5A84"/>
    <w:rsid w:val="00FE7A11"/>
    <w:rsid w:val="00FE7E60"/>
    <w:rsid w:val="00FF0317"/>
    <w:rsid w:val="00FF05C2"/>
    <w:rsid w:val="00FF07D6"/>
    <w:rsid w:val="00FF114F"/>
    <w:rsid w:val="00FF5DFA"/>
    <w:rsid w:val="00FF6305"/>
    <w:rsid w:val="00FF7248"/>
    <w:rsid w:val="00FF750B"/>
    <w:rsid w:val="00FF7D4D"/>
    <w:rsid w:val="68C40F96"/>
    <w:rsid w:val="7AD850F2"/>
  </w:rsids>
  <m:mathPr>
    <m:mathFont m:val="Cambria Math"/>
    <m:brkBin m:val="before"/>
    <m:brkBinSub m:val="--"/>
    <m:smallFrac m:val="0"/>
    <m:dispDef/>
    <m:lMargin m:val="0"/>
    <m:rMargin m:val="0"/>
    <m:defJc m:val="centerGroup"/>
    <m:wrapIndent m:val="1440"/>
    <m:intLim m:val="subSup"/>
    <m:naryLim m:val="undOvr"/>
  </m:mathPr>
  <w:themeFontLang w:val="en-AU" w:eastAsia="ja-JP" w:bidi="ar-S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2"/>
    </o:shapelayout>
  </w:shapeDefaults>
  <w:decimalSymbol w:val="."/>
  <w:listSeparator w:val=","/>
  <w14:docId w14:val="334CA0C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SimSu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uiPriority="9"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99" w:unhideWhenUsed="1"/>
    <w:lsdException w:name="annotation text" w:semiHidden="1" w:uiPriority="99" w:unhideWhenUsed="1"/>
    <w:lsdException w:name="header" w:semiHidden="1" w:unhideWhenUsed="1"/>
    <w:lsdException w:name="footer" w:semiHidden="1" w:uiPriority="99"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Number" w:qFormat="1"/>
    <w:lsdException w:name="List 2" w:semiHidden="1" w:unhideWhenUsed="1"/>
    <w:lsdException w:name="List 3" w:semiHidden="1" w:unhideWhenUsed="1"/>
    <w:lsdException w:name="List Bullet 2" w:semiHidden="1" w:unhideWhenUsed="1" w:qFormat="1"/>
    <w:lsdException w:name="List Bullet 3" w:semiHidden="1" w:unhideWhenUsed="1"/>
    <w:lsdException w:name="List Bullet 4" w:semiHidden="1" w:unhideWhenUsed="1"/>
    <w:lsdException w:name="List Bullet 5" w:semiHidden="1" w:unhideWhenUsed="1"/>
    <w:lsdException w:name="List Number 2" w:semiHidden="1" w:unhideWhenUsed="1" w:qFormat="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qFormat="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044DB1"/>
    <w:pPr>
      <w:spacing w:after="240" w:line="240" w:lineRule="atLeast"/>
    </w:pPr>
    <w:rPr>
      <w:rFonts w:ascii="Arial" w:eastAsia="Times New Roman" w:hAnsi="Arial"/>
      <w:sz w:val="22"/>
      <w:szCs w:val="24"/>
    </w:rPr>
  </w:style>
  <w:style w:type="paragraph" w:styleId="Heading1">
    <w:name w:val="heading 1"/>
    <w:basedOn w:val="Normal"/>
    <w:next w:val="Normal"/>
    <w:qFormat/>
    <w:rsid w:val="00044DB1"/>
    <w:pPr>
      <w:keepNext/>
      <w:pageBreakBefore/>
      <w:widowControl w:val="0"/>
      <w:numPr>
        <w:numId w:val="14"/>
      </w:numPr>
      <w:spacing w:after="360" w:line="550" w:lineRule="exact"/>
      <w:outlineLvl w:val="0"/>
    </w:pPr>
    <w:rPr>
      <w:rFonts w:cs="Arial"/>
      <w:bCs/>
      <w:color w:val="323232"/>
      <w:kern w:val="32"/>
      <w:sz w:val="44"/>
      <w:szCs w:val="32"/>
    </w:rPr>
  </w:style>
  <w:style w:type="paragraph" w:styleId="Heading2">
    <w:name w:val="heading 2"/>
    <w:basedOn w:val="Normal"/>
    <w:next w:val="Normal"/>
    <w:uiPriority w:val="9"/>
    <w:qFormat/>
    <w:rsid w:val="00044DB1"/>
    <w:pPr>
      <w:keepNext/>
      <w:numPr>
        <w:ilvl w:val="1"/>
        <w:numId w:val="14"/>
      </w:numPr>
      <w:spacing w:before="320" w:after="60"/>
      <w:ind w:left="680" w:hanging="680"/>
      <w:outlineLvl w:val="1"/>
    </w:pPr>
    <w:rPr>
      <w:rFonts w:cs="Arial"/>
      <w:b/>
      <w:bCs/>
      <w:iCs/>
      <w:sz w:val="28"/>
      <w:szCs w:val="28"/>
    </w:rPr>
  </w:style>
  <w:style w:type="paragraph" w:styleId="Heading3">
    <w:name w:val="heading 3"/>
    <w:basedOn w:val="Normal"/>
    <w:next w:val="Normal"/>
    <w:qFormat/>
    <w:rsid w:val="00044DB1"/>
    <w:pPr>
      <w:keepNext/>
      <w:numPr>
        <w:ilvl w:val="2"/>
        <w:numId w:val="14"/>
      </w:numPr>
      <w:spacing w:before="60" w:after="60"/>
      <w:ind w:left="680" w:hanging="680"/>
      <w:outlineLvl w:val="2"/>
    </w:pPr>
    <w:rPr>
      <w:rFonts w:cs="Arial"/>
      <w:b/>
      <w:bCs/>
      <w:szCs w:val="26"/>
    </w:rPr>
  </w:style>
  <w:style w:type="paragraph" w:styleId="Heading4">
    <w:name w:val="heading 4"/>
    <w:aliases w:val="H4"/>
    <w:basedOn w:val="Normal"/>
    <w:next w:val="Normal"/>
    <w:qFormat/>
    <w:rsid w:val="00044DB1"/>
    <w:pPr>
      <w:keepNext/>
      <w:numPr>
        <w:ilvl w:val="3"/>
        <w:numId w:val="14"/>
      </w:numPr>
      <w:spacing w:before="240" w:after="60"/>
      <w:outlineLvl w:val="3"/>
    </w:pPr>
    <w:rPr>
      <w:rFonts w:ascii="Times New Roman" w:hAnsi="Times New Roman"/>
      <w:b/>
      <w:bCs/>
      <w:sz w:val="28"/>
      <w:szCs w:val="28"/>
    </w:rPr>
  </w:style>
  <w:style w:type="paragraph" w:styleId="Heading5">
    <w:name w:val="heading 5"/>
    <w:basedOn w:val="Normal"/>
    <w:next w:val="Normal"/>
    <w:qFormat/>
    <w:rsid w:val="00044DB1"/>
    <w:pPr>
      <w:numPr>
        <w:ilvl w:val="4"/>
        <w:numId w:val="14"/>
      </w:numPr>
      <w:spacing w:before="240" w:after="60"/>
      <w:outlineLvl w:val="4"/>
    </w:pPr>
    <w:rPr>
      <w:b/>
      <w:bCs/>
      <w:i/>
      <w:iCs/>
      <w:sz w:val="26"/>
      <w:szCs w:val="26"/>
    </w:rPr>
  </w:style>
  <w:style w:type="paragraph" w:styleId="Heading6">
    <w:name w:val="heading 6"/>
    <w:basedOn w:val="Normal"/>
    <w:next w:val="Normal"/>
    <w:qFormat/>
    <w:rsid w:val="00044DB1"/>
    <w:pPr>
      <w:numPr>
        <w:ilvl w:val="5"/>
        <w:numId w:val="14"/>
      </w:numPr>
      <w:spacing w:before="240" w:after="60"/>
      <w:outlineLvl w:val="5"/>
    </w:pPr>
    <w:rPr>
      <w:rFonts w:ascii="Times New Roman" w:hAnsi="Times New Roman"/>
      <w:b/>
      <w:bCs/>
      <w:szCs w:val="22"/>
    </w:rPr>
  </w:style>
  <w:style w:type="paragraph" w:styleId="Heading7">
    <w:name w:val="heading 7"/>
    <w:basedOn w:val="Normal"/>
    <w:next w:val="Normal"/>
    <w:qFormat/>
    <w:rsid w:val="00044DB1"/>
    <w:pPr>
      <w:numPr>
        <w:ilvl w:val="6"/>
        <w:numId w:val="14"/>
      </w:numPr>
      <w:spacing w:before="240" w:after="60"/>
      <w:outlineLvl w:val="6"/>
    </w:pPr>
    <w:rPr>
      <w:rFonts w:ascii="Times New Roman" w:hAnsi="Times New Roman"/>
    </w:rPr>
  </w:style>
  <w:style w:type="paragraph" w:styleId="Heading8">
    <w:name w:val="heading 8"/>
    <w:basedOn w:val="Normal"/>
    <w:next w:val="Normal"/>
    <w:qFormat/>
    <w:rsid w:val="00044DB1"/>
    <w:pPr>
      <w:numPr>
        <w:ilvl w:val="7"/>
        <w:numId w:val="14"/>
      </w:numPr>
      <w:spacing w:before="240" w:after="60"/>
      <w:outlineLvl w:val="7"/>
    </w:pPr>
    <w:rPr>
      <w:rFonts w:ascii="Times New Roman" w:hAnsi="Times New Roman"/>
      <w:i/>
      <w:iCs/>
    </w:rPr>
  </w:style>
  <w:style w:type="paragraph" w:styleId="Heading9">
    <w:name w:val="heading 9"/>
    <w:basedOn w:val="Normal"/>
    <w:next w:val="Normal"/>
    <w:qFormat/>
    <w:rsid w:val="00044DB1"/>
    <w:pPr>
      <w:numPr>
        <w:ilvl w:val="8"/>
        <w:numId w:val="14"/>
      </w:numPr>
      <w:spacing w:before="240" w:after="60"/>
      <w:outlineLvl w:val="8"/>
    </w:pPr>
    <w:rPr>
      <w:rFonts w:cs="Arial"/>
      <w:szCs w:val="22"/>
    </w:rPr>
  </w:style>
  <w:style w:type="character" w:default="1" w:styleId="DefaultParagraphFont">
    <w:name w:val="Default Paragraph Font"/>
    <w:uiPriority w:val="1"/>
    <w:semiHidden/>
    <w:unhideWhenUsed/>
    <w:rsid w:val="00044DB1"/>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rsid w:val="00044DB1"/>
  </w:style>
  <w:style w:type="paragraph" w:styleId="Header">
    <w:name w:val="header"/>
    <w:basedOn w:val="Normal"/>
    <w:link w:val="HeaderChar"/>
    <w:rsid w:val="00044DB1"/>
    <w:pPr>
      <w:tabs>
        <w:tab w:val="center" w:pos="4153"/>
        <w:tab w:val="right" w:pos="8306"/>
      </w:tabs>
      <w:spacing w:line="240" w:lineRule="auto"/>
    </w:pPr>
    <w:rPr>
      <w:sz w:val="16"/>
    </w:rPr>
  </w:style>
  <w:style w:type="paragraph" w:styleId="Footer">
    <w:name w:val="footer"/>
    <w:basedOn w:val="Normal"/>
    <w:link w:val="FooterChar"/>
    <w:uiPriority w:val="99"/>
    <w:qFormat/>
    <w:rsid w:val="00044DB1"/>
    <w:pPr>
      <w:tabs>
        <w:tab w:val="right" w:pos="113"/>
      </w:tabs>
      <w:spacing w:line="240" w:lineRule="auto"/>
    </w:pPr>
    <w:rPr>
      <w:color w:val="323232"/>
      <w:sz w:val="16"/>
    </w:rPr>
  </w:style>
  <w:style w:type="character" w:styleId="PageNumber">
    <w:name w:val="page number"/>
    <w:basedOn w:val="DefaultParagraphFont"/>
    <w:rsid w:val="00044DB1"/>
  </w:style>
  <w:style w:type="paragraph" w:styleId="TOC1">
    <w:name w:val="toc 1"/>
    <w:basedOn w:val="Normal"/>
    <w:next w:val="Normal"/>
    <w:uiPriority w:val="39"/>
    <w:qFormat/>
    <w:rsid w:val="00044DB1"/>
    <w:pPr>
      <w:tabs>
        <w:tab w:val="right" w:pos="7660"/>
      </w:tabs>
      <w:spacing w:before="280" w:after="80" w:line="320" w:lineRule="exact"/>
      <w:ind w:right="851"/>
    </w:pPr>
    <w:rPr>
      <w:b/>
      <w:noProof/>
      <w:spacing w:val="-14"/>
      <w:sz w:val="28"/>
    </w:rPr>
  </w:style>
  <w:style w:type="paragraph" w:styleId="NormalIndent">
    <w:name w:val="Normal Indent"/>
    <w:basedOn w:val="Normal"/>
    <w:rsid w:val="008D683E"/>
    <w:pPr>
      <w:ind w:left="720"/>
    </w:pPr>
  </w:style>
  <w:style w:type="paragraph" w:styleId="TOC2">
    <w:name w:val="toc 2"/>
    <w:basedOn w:val="Normal"/>
    <w:next w:val="Normal"/>
    <w:uiPriority w:val="39"/>
    <w:qFormat/>
    <w:rsid w:val="00044DB1"/>
    <w:pPr>
      <w:tabs>
        <w:tab w:val="right" w:pos="7660"/>
      </w:tabs>
      <w:spacing w:after="80" w:line="300" w:lineRule="exact"/>
      <w:ind w:left="885" w:hanging="885"/>
    </w:pPr>
    <w:rPr>
      <w:noProof/>
      <w:spacing w:val="-14"/>
      <w:sz w:val="26"/>
      <w:szCs w:val="26"/>
    </w:rPr>
  </w:style>
  <w:style w:type="paragraph" w:styleId="TOC3">
    <w:name w:val="toc 3"/>
    <w:basedOn w:val="Normal"/>
    <w:next w:val="Normal"/>
    <w:uiPriority w:val="39"/>
    <w:qFormat/>
    <w:rsid w:val="00044DB1"/>
    <w:pPr>
      <w:tabs>
        <w:tab w:val="right" w:pos="7661"/>
      </w:tabs>
      <w:spacing w:after="80" w:line="240" w:lineRule="auto"/>
    </w:pPr>
    <w:rPr>
      <w:noProof/>
      <w:szCs w:val="22"/>
    </w:rPr>
  </w:style>
  <w:style w:type="paragraph" w:styleId="TOC4">
    <w:name w:val="toc 4"/>
    <w:basedOn w:val="Normal"/>
    <w:next w:val="Normal"/>
    <w:semiHidden/>
    <w:rsid w:val="008D683E"/>
    <w:pPr>
      <w:ind w:left="720"/>
    </w:pPr>
    <w:rPr>
      <w:sz w:val="18"/>
    </w:rPr>
  </w:style>
  <w:style w:type="paragraph" w:styleId="TOC5">
    <w:name w:val="toc 5"/>
    <w:basedOn w:val="Normal"/>
    <w:next w:val="Normal"/>
    <w:semiHidden/>
    <w:rsid w:val="008D683E"/>
    <w:pPr>
      <w:ind w:left="960"/>
    </w:pPr>
    <w:rPr>
      <w:sz w:val="18"/>
    </w:rPr>
  </w:style>
  <w:style w:type="paragraph" w:styleId="TOC6">
    <w:name w:val="toc 6"/>
    <w:basedOn w:val="Normal"/>
    <w:next w:val="Normal"/>
    <w:semiHidden/>
    <w:rsid w:val="008D683E"/>
    <w:pPr>
      <w:ind w:left="1200"/>
    </w:pPr>
    <w:rPr>
      <w:sz w:val="18"/>
    </w:rPr>
  </w:style>
  <w:style w:type="paragraph" w:styleId="TOC7">
    <w:name w:val="toc 7"/>
    <w:basedOn w:val="Normal"/>
    <w:next w:val="Normal"/>
    <w:semiHidden/>
    <w:rsid w:val="008D683E"/>
    <w:pPr>
      <w:ind w:left="1440"/>
    </w:pPr>
    <w:rPr>
      <w:sz w:val="18"/>
    </w:rPr>
  </w:style>
  <w:style w:type="paragraph" w:styleId="TOC8">
    <w:name w:val="toc 8"/>
    <w:basedOn w:val="Normal"/>
    <w:next w:val="Normal"/>
    <w:semiHidden/>
    <w:rsid w:val="008D683E"/>
    <w:pPr>
      <w:ind w:left="1680"/>
    </w:pPr>
    <w:rPr>
      <w:sz w:val="18"/>
    </w:rPr>
  </w:style>
  <w:style w:type="paragraph" w:styleId="TOC9">
    <w:name w:val="toc 9"/>
    <w:basedOn w:val="Normal"/>
    <w:next w:val="Normal"/>
    <w:semiHidden/>
    <w:rsid w:val="008D683E"/>
    <w:pPr>
      <w:ind w:left="1920"/>
    </w:pPr>
    <w:rPr>
      <w:sz w:val="18"/>
    </w:rPr>
  </w:style>
  <w:style w:type="paragraph" w:styleId="FootnoteText">
    <w:name w:val="footnote text"/>
    <w:aliases w:val="ACMA Footnote Text"/>
    <w:basedOn w:val="Normal"/>
    <w:link w:val="FootnoteTextChar"/>
    <w:uiPriority w:val="99"/>
    <w:semiHidden/>
    <w:rsid w:val="00044DB1"/>
    <w:rPr>
      <w:sz w:val="16"/>
      <w:szCs w:val="16"/>
    </w:rPr>
  </w:style>
  <w:style w:type="character" w:styleId="FootnoteReference">
    <w:name w:val="footnote reference"/>
    <w:aliases w:val="Appel note de bas de p,Appel note de bas de p + 11 pt,Italic,Footnote,Style 12,(NECG) Footnote Reference,Style 124,o,fr,Style 3,Appel note de bas de p1,Appel note de bas de p2,Appel note de bas de p3,Footnote Reference/,Style 13,FR"/>
    <w:basedOn w:val="DefaultParagraphFont"/>
    <w:uiPriority w:val="99"/>
    <w:rsid w:val="00044DB1"/>
    <w:rPr>
      <w:rFonts w:ascii="Arial" w:hAnsi="Arial"/>
      <w:vertAlign w:val="superscript"/>
    </w:rPr>
  </w:style>
  <w:style w:type="paragraph" w:styleId="ListNumber">
    <w:name w:val="List Number"/>
    <w:basedOn w:val="Normal"/>
    <w:qFormat/>
    <w:rsid w:val="00044DB1"/>
    <w:pPr>
      <w:numPr>
        <w:numId w:val="6"/>
      </w:numPr>
      <w:spacing w:after="80"/>
    </w:pPr>
  </w:style>
  <w:style w:type="paragraph" w:customStyle="1" w:styleId="ListNumberSub">
    <w:name w:val="List Number  Sub"/>
    <w:basedOn w:val="Normal"/>
    <w:rsid w:val="008D683E"/>
    <w:pPr>
      <w:ind w:left="1134" w:hanging="567"/>
    </w:pPr>
  </w:style>
  <w:style w:type="paragraph" w:customStyle="1" w:styleId="ListBulletSub">
    <w:name w:val="List Bullet Sub"/>
    <w:basedOn w:val="ListBullet"/>
    <w:rsid w:val="008D683E"/>
    <w:pPr>
      <w:ind w:left="1134"/>
    </w:pPr>
  </w:style>
  <w:style w:type="paragraph" w:styleId="ListBullet">
    <w:name w:val="List Bullet"/>
    <w:aliases w:val="UL"/>
    <w:basedOn w:val="Normal"/>
    <w:qFormat/>
    <w:rsid w:val="00044DB1"/>
    <w:pPr>
      <w:numPr>
        <w:numId w:val="4"/>
      </w:numPr>
      <w:spacing w:after="80"/>
    </w:pPr>
  </w:style>
  <w:style w:type="paragraph" w:customStyle="1" w:styleId="Disclaimer">
    <w:name w:val="Disclaimer"/>
    <w:basedOn w:val="Normal"/>
    <w:rsid w:val="008D683E"/>
    <w:pPr>
      <w:keepNext/>
      <w:framePr w:hSpace="181" w:wrap="around" w:vAnchor="text" w:hAnchor="text" w:y="1"/>
      <w:pBdr>
        <w:top w:val="double" w:sz="6" w:space="1" w:color="auto"/>
        <w:left w:val="double" w:sz="6" w:space="1" w:color="auto"/>
        <w:bottom w:val="double" w:sz="6" w:space="1" w:color="auto"/>
        <w:right w:val="double" w:sz="6" w:space="1" w:color="auto"/>
      </w:pBdr>
    </w:pPr>
  </w:style>
  <w:style w:type="paragraph" w:customStyle="1" w:styleId="ListNumberSubSub">
    <w:name w:val="List Number Sub Sub"/>
    <w:basedOn w:val="Normal"/>
    <w:next w:val="Normal"/>
    <w:rsid w:val="008D683E"/>
    <w:pPr>
      <w:ind w:left="1701" w:hanging="567"/>
    </w:pPr>
  </w:style>
  <w:style w:type="paragraph" w:customStyle="1" w:styleId="Note">
    <w:name w:val="Note"/>
    <w:basedOn w:val="Normal"/>
    <w:next w:val="Normal"/>
    <w:rsid w:val="008D683E"/>
    <w:pPr>
      <w:tabs>
        <w:tab w:val="left" w:pos="851"/>
      </w:tabs>
    </w:pPr>
  </w:style>
  <w:style w:type="paragraph" w:customStyle="1" w:styleId="ListBulletSubSub">
    <w:name w:val="List Bullet Sub Sub"/>
    <w:basedOn w:val="ListBulletSub"/>
    <w:rsid w:val="008D683E"/>
    <w:pPr>
      <w:ind w:left="1701"/>
    </w:pPr>
  </w:style>
  <w:style w:type="paragraph" w:customStyle="1" w:styleId="ListBulletSubSubSub">
    <w:name w:val="List Bullet Sub Sub Sub"/>
    <w:basedOn w:val="ListBulletSubSub"/>
    <w:rsid w:val="008D683E"/>
    <w:pPr>
      <w:ind w:left="2268"/>
    </w:pPr>
  </w:style>
  <w:style w:type="paragraph" w:customStyle="1" w:styleId="dash">
    <w:name w:val="dash"/>
    <w:basedOn w:val="dot"/>
    <w:rsid w:val="008D683E"/>
    <w:pPr>
      <w:ind w:left="1134"/>
    </w:pPr>
  </w:style>
  <w:style w:type="paragraph" w:customStyle="1" w:styleId="dot">
    <w:name w:val="dot"/>
    <w:basedOn w:val="Normal"/>
    <w:rsid w:val="008D683E"/>
    <w:pPr>
      <w:ind w:left="567" w:hanging="567"/>
    </w:pPr>
  </w:style>
  <w:style w:type="paragraph" w:customStyle="1" w:styleId="TITLEOFRALI">
    <w:name w:val="TITLE OF RALI"/>
    <w:basedOn w:val="Normal"/>
    <w:rsid w:val="008D683E"/>
    <w:pPr>
      <w:shd w:val="clear" w:color="auto" w:fill="FFFFFF"/>
      <w:jc w:val="center"/>
    </w:pPr>
    <w:rPr>
      <w:b/>
      <w:caps/>
      <w:sz w:val="40"/>
    </w:rPr>
  </w:style>
  <w:style w:type="paragraph" w:customStyle="1" w:styleId="Normal1">
    <w:name w:val="Normal 1"/>
    <w:basedOn w:val="Normal"/>
    <w:rsid w:val="008D683E"/>
  </w:style>
  <w:style w:type="paragraph" w:customStyle="1" w:styleId="Appendix2">
    <w:name w:val="Appendix 2"/>
    <w:basedOn w:val="Normal"/>
    <w:next w:val="Normal"/>
    <w:rsid w:val="008D683E"/>
    <w:pPr>
      <w:spacing w:before="240"/>
    </w:pPr>
    <w:rPr>
      <w:b/>
    </w:rPr>
  </w:style>
  <w:style w:type="character" w:styleId="EndnoteReference">
    <w:name w:val="endnote reference"/>
    <w:basedOn w:val="DefaultParagraphFont"/>
    <w:semiHidden/>
    <w:rsid w:val="008D683E"/>
    <w:rPr>
      <w:vertAlign w:val="superscript"/>
    </w:rPr>
  </w:style>
  <w:style w:type="paragraph" w:customStyle="1" w:styleId="dotptstem">
    <w:name w:val="dotptstem"/>
    <w:basedOn w:val="dotpoint"/>
    <w:rsid w:val="008D683E"/>
    <w:pPr>
      <w:ind w:left="0" w:firstLine="0"/>
    </w:pPr>
  </w:style>
  <w:style w:type="paragraph" w:customStyle="1" w:styleId="dotpoint">
    <w:name w:val="dotpoint"/>
    <w:basedOn w:val="Normal"/>
    <w:next w:val="Normal"/>
    <w:rsid w:val="008D683E"/>
    <w:pPr>
      <w:spacing w:after="60"/>
      <w:ind w:left="284" w:hanging="284"/>
    </w:pPr>
  </w:style>
  <w:style w:type="paragraph" w:customStyle="1" w:styleId="ralicentreappendix">
    <w:name w:val="rali centre appendix"/>
    <w:basedOn w:val="Normal"/>
    <w:rsid w:val="008D683E"/>
    <w:pPr>
      <w:jc w:val="center"/>
    </w:pPr>
    <w:rPr>
      <w:b/>
      <w:sz w:val="28"/>
    </w:rPr>
  </w:style>
  <w:style w:type="paragraph" w:styleId="DocumentMap">
    <w:name w:val="Document Map"/>
    <w:basedOn w:val="Normal"/>
    <w:semiHidden/>
    <w:rsid w:val="008D683E"/>
    <w:pPr>
      <w:shd w:val="clear" w:color="auto" w:fill="000080"/>
    </w:pPr>
    <w:rPr>
      <w:rFonts w:ascii="Tahoma" w:hAnsi="Tahoma"/>
    </w:rPr>
  </w:style>
  <w:style w:type="character" w:styleId="CommentReference">
    <w:name w:val="annotation reference"/>
    <w:basedOn w:val="DefaultParagraphFont"/>
    <w:uiPriority w:val="99"/>
    <w:rsid w:val="00044DB1"/>
    <w:rPr>
      <w:sz w:val="16"/>
      <w:szCs w:val="16"/>
    </w:rPr>
  </w:style>
  <w:style w:type="paragraph" w:styleId="CommentText">
    <w:name w:val="annotation text"/>
    <w:basedOn w:val="Normal"/>
    <w:link w:val="CommentTextChar"/>
    <w:uiPriority w:val="99"/>
    <w:rsid w:val="00044DB1"/>
    <w:pPr>
      <w:spacing w:line="240" w:lineRule="auto"/>
    </w:pPr>
    <w:rPr>
      <w:szCs w:val="20"/>
    </w:rPr>
  </w:style>
  <w:style w:type="paragraph" w:styleId="Index1">
    <w:name w:val="index 1"/>
    <w:basedOn w:val="Normal"/>
    <w:next w:val="Normal"/>
    <w:autoRedefine/>
    <w:semiHidden/>
    <w:rsid w:val="008D683E"/>
    <w:pPr>
      <w:ind w:left="240" w:hanging="240"/>
    </w:pPr>
    <w:rPr>
      <w:sz w:val="20"/>
    </w:rPr>
  </w:style>
  <w:style w:type="paragraph" w:styleId="Index2">
    <w:name w:val="index 2"/>
    <w:basedOn w:val="Normal"/>
    <w:next w:val="Normal"/>
    <w:autoRedefine/>
    <w:semiHidden/>
    <w:rsid w:val="008D683E"/>
    <w:pPr>
      <w:ind w:left="480" w:hanging="240"/>
    </w:pPr>
    <w:rPr>
      <w:sz w:val="20"/>
    </w:rPr>
  </w:style>
  <w:style w:type="paragraph" w:styleId="Index3">
    <w:name w:val="index 3"/>
    <w:basedOn w:val="Normal"/>
    <w:next w:val="Normal"/>
    <w:autoRedefine/>
    <w:semiHidden/>
    <w:rsid w:val="008D683E"/>
    <w:pPr>
      <w:ind w:left="720" w:hanging="240"/>
    </w:pPr>
    <w:rPr>
      <w:sz w:val="20"/>
    </w:rPr>
  </w:style>
  <w:style w:type="paragraph" w:styleId="Index4">
    <w:name w:val="index 4"/>
    <w:basedOn w:val="Normal"/>
    <w:next w:val="Normal"/>
    <w:autoRedefine/>
    <w:semiHidden/>
    <w:rsid w:val="008D683E"/>
    <w:pPr>
      <w:ind w:left="960" w:hanging="240"/>
    </w:pPr>
    <w:rPr>
      <w:sz w:val="20"/>
    </w:rPr>
  </w:style>
  <w:style w:type="paragraph" w:styleId="Index5">
    <w:name w:val="index 5"/>
    <w:basedOn w:val="Normal"/>
    <w:next w:val="Normal"/>
    <w:autoRedefine/>
    <w:semiHidden/>
    <w:rsid w:val="008D683E"/>
    <w:pPr>
      <w:ind w:left="1200" w:hanging="240"/>
    </w:pPr>
    <w:rPr>
      <w:sz w:val="20"/>
    </w:rPr>
  </w:style>
  <w:style w:type="paragraph" w:styleId="Index6">
    <w:name w:val="index 6"/>
    <w:basedOn w:val="Normal"/>
    <w:next w:val="Normal"/>
    <w:autoRedefine/>
    <w:semiHidden/>
    <w:rsid w:val="008D683E"/>
    <w:pPr>
      <w:ind w:left="1440" w:hanging="240"/>
    </w:pPr>
    <w:rPr>
      <w:sz w:val="20"/>
    </w:rPr>
  </w:style>
  <w:style w:type="paragraph" w:styleId="Index7">
    <w:name w:val="index 7"/>
    <w:basedOn w:val="Normal"/>
    <w:next w:val="Normal"/>
    <w:autoRedefine/>
    <w:semiHidden/>
    <w:rsid w:val="008D683E"/>
    <w:pPr>
      <w:ind w:left="1680" w:hanging="240"/>
    </w:pPr>
    <w:rPr>
      <w:sz w:val="20"/>
    </w:rPr>
  </w:style>
  <w:style w:type="paragraph" w:styleId="Index8">
    <w:name w:val="index 8"/>
    <w:basedOn w:val="Normal"/>
    <w:next w:val="Normal"/>
    <w:autoRedefine/>
    <w:semiHidden/>
    <w:rsid w:val="008D683E"/>
    <w:pPr>
      <w:ind w:left="1920" w:hanging="240"/>
    </w:pPr>
    <w:rPr>
      <w:sz w:val="20"/>
    </w:rPr>
  </w:style>
  <w:style w:type="paragraph" w:styleId="Index9">
    <w:name w:val="index 9"/>
    <w:basedOn w:val="Normal"/>
    <w:next w:val="Normal"/>
    <w:autoRedefine/>
    <w:semiHidden/>
    <w:rsid w:val="008D683E"/>
    <w:pPr>
      <w:ind w:left="2160" w:hanging="240"/>
    </w:pPr>
    <w:rPr>
      <w:sz w:val="20"/>
    </w:rPr>
  </w:style>
  <w:style w:type="paragraph" w:styleId="IndexHeading">
    <w:name w:val="index heading"/>
    <w:basedOn w:val="Normal"/>
    <w:next w:val="Index1"/>
    <w:semiHidden/>
    <w:rsid w:val="008D683E"/>
    <w:rPr>
      <w:b/>
      <w:i/>
      <w:sz w:val="20"/>
    </w:rPr>
  </w:style>
  <w:style w:type="table" w:styleId="TableGrid">
    <w:name w:val="Table Grid"/>
    <w:basedOn w:val="TableNormal"/>
    <w:uiPriority w:val="59"/>
    <w:rsid w:val="00044DB1"/>
    <w:pPr>
      <w:spacing w:line="240" w:lineRule="atLeast"/>
    </w:pPr>
    <w:rPr>
      <w:rFonts w:eastAsia="Times New Roman"/>
      <w:sz w:val="24"/>
      <w:szCs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CommentSubject">
    <w:name w:val="annotation subject"/>
    <w:basedOn w:val="CommentText"/>
    <w:next w:val="CommentText"/>
    <w:link w:val="CommentSubjectChar"/>
    <w:rsid w:val="00044DB1"/>
    <w:rPr>
      <w:b/>
      <w:bCs/>
    </w:rPr>
  </w:style>
  <w:style w:type="character" w:customStyle="1" w:styleId="CommentTextChar">
    <w:name w:val="Comment Text Char"/>
    <w:basedOn w:val="DefaultParagraphFont"/>
    <w:link w:val="CommentText"/>
    <w:uiPriority w:val="99"/>
    <w:rsid w:val="00044DB1"/>
    <w:rPr>
      <w:rFonts w:ascii="Arial" w:eastAsia="Times New Roman" w:hAnsi="Arial"/>
      <w:sz w:val="22"/>
    </w:rPr>
  </w:style>
  <w:style w:type="character" w:customStyle="1" w:styleId="CommentSubjectChar">
    <w:name w:val="Comment Subject Char"/>
    <w:basedOn w:val="CommentTextChar"/>
    <w:link w:val="CommentSubject"/>
    <w:rsid w:val="00044DB1"/>
    <w:rPr>
      <w:rFonts w:ascii="Arial" w:eastAsia="Times New Roman" w:hAnsi="Arial"/>
      <w:b/>
      <w:bCs/>
      <w:sz w:val="22"/>
    </w:rPr>
  </w:style>
  <w:style w:type="paragraph" w:styleId="BalloonText">
    <w:name w:val="Balloon Text"/>
    <w:basedOn w:val="Normal"/>
    <w:link w:val="BalloonTextChar"/>
    <w:rsid w:val="00044DB1"/>
    <w:pPr>
      <w:spacing w:line="240" w:lineRule="auto"/>
    </w:pPr>
    <w:rPr>
      <w:rFonts w:ascii="Tahoma" w:hAnsi="Tahoma" w:cs="Tahoma"/>
      <w:sz w:val="16"/>
      <w:szCs w:val="16"/>
    </w:rPr>
  </w:style>
  <w:style w:type="character" w:customStyle="1" w:styleId="BalloonTextChar">
    <w:name w:val="Balloon Text Char"/>
    <w:basedOn w:val="DefaultParagraphFont"/>
    <w:link w:val="BalloonText"/>
    <w:rsid w:val="00044DB1"/>
    <w:rPr>
      <w:rFonts w:ascii="Tahoma" w:eastAsia="Times New Roman" w:hAnsi="Tahoma" w:cs="Tahoma"/>
      <w:sz w:val="16"/>
      <w:szCs w:val="16"/>
    </w:rPr>
  </w:style>
  <w:style w:type="character" w:styleId="Hyperlink">
    <w:name w:val="Hyperlink"/>
    <w:basedOn w:val="DefaultParagraphFont"/>
    <w:qFormat/>
    <w:rsid w:val="00044DB1"/>
    <w:rPr>
      <w:color w:val="0000FF"/>
      <w:u w:val="single"/>
    </w:rPr>
  </w:style>
  <w:style w:type="character" w:styleId="FollowedHyperlink">
    <w:name w:val="FollowedHyperlink"/>
    <w:basedOn w:val="DefaultParagraphFont"/>
    <w:rsid w:val="00044DB1"/>
    <w:rPr>
      <w:color w:val="800080" w:themeColor="followedHyperlink"/>
      <w:u w:val="single"/>
    </w:rPr>
  </w:style>
  <w:style w:type="character" w:customStyle="1" w:styleId="FootnoteTextChar">
    <w:name w:val="Footnote Text Char"/>
    <w:aliases w:val="ACMA Footnote Text Char"/>
    <w:basedOn w:val="DefaultParagraphFont"/>
    <w:link w:val="FootnoteText"/>
    <w:uiPriority w:val="99"/>
    <w:semiHidden/>
    <w:rsid w:val="00044DB1"/>
    <w:rPr>
      <w:rFonts w:ascii="Arial" w:eastAsia="Times New Roman" w:hAnsi="Arial"/>
      <w:sz w:val="16"/>
      <w:szCs w:val="16"/>
    </w:rPr>
  </w:style>
  <w:style w:type="paragraph" w:styleId="ListParagraph">
    <w:name w:val="List Paragraph"/>
    <w:basedOn w:val="Normal"/>
    <w:uiPriority w:val="34"/>
    <w:qFormat/>
    <w:rsid w:val="00044DB1"/>
    <w:pPr>
      <w:ind w:left="720"/>
      <w:contextualSpacing/>
    </w:pPr>
  </w:style>
  <w:style w:type="paragraph" w:styleId="Caption">
    <w:name w:val="caption"/>
    <w:aliases w:val="Caption table"/>
    <w:basedOn w:val="Normal"/>
    <w:next w:val="Normal"/>
    <w:qFormat/>
    <w:rsid w:val="00044DB1"/>
    <w:pPr>
      <w:numPr>
        <w:numId w:val="11"/>
      </w:numPr>
      <w:spacing w:after="0"/>
    </w:pPr>
    <w:rPr>
      <w:b/>
      <w:bCs/>
      <w:color w:val="323232"/>
      <w:szCs w:val="20"/>
    </w:rPr>
  </w:style>
  <w:style w:type="paragraph" w:styleId="NoSpacing">
    <w:name w:val="No Spacing"/>
    <w:basedOn w:val="Normal"/>
    <w:link w:val="NoSpacingChar"/>
    <w:uiPriority w:val="1"/>
    <w:qFormat/>
    <w:rsid w:val="009205C0"/>
    <w:pPr>
      <w:jc w:val="both"/>
    </w:pPr>
    <w:rPr>
      <w:sz w:val="20"/>
      <w:lang w:bidi="en-US"/>
    </w:rPr>
  </w:style>
  <w:style w:type="character" w:customStyle="1" w:styleId="NoSpacingChar">
    <w:name w:val="No Spacing Char"/>
    <w:basedOn w:val="DefaultParagraphFont"/>
    <w:link w:val="NoSpacing"/>
    <w:uiPriority w:val="1"/>
    <w:rsid w:val="009205C0"/>
    <w:rPr>
      <w:rFonts w:ascii="Calibri" w:hAnsi="Calibri" w:cs="Times New Roman"/>
      <w:lang w:eastAsia="en-US" w:bidi="en-US"/>
    </w:rPr>
  </w:style>
  <w:style w:type="paragraph" w:customStyle="1" w:styleId="TableHeading">
    <w:name w:val="Table Heading"/>
    <w:basedOn w:val="Normal"/>
    <w:qFormat/>
    <w:rsid w:val="00044DB1"/>
    <w:pPr>
      <w:spacing w:after="0"/>
    </w:pPr>
    <w:rPr>
      <w:b/>
    </w:rPr>
  </w:style>
  <w:style w:type="paragraph" w:customStyle="1" w:styleId="TableBody">
    <w:name w:val="Table Body"/>
    <w:basedOn w:val="Normal"/>
    <w:qFormat/>
    <w:rsid w:val="00044DB1"/>
    <w:pPr>
      <w:spacing w:after="0" w:line="240" w:lineRule="auto"/>
    </w:pPr>
  </w:style>
  <w:style w:type="character" w:customStyle="1" w:styleId="FooterChar">
    <w:name w:val="Footer Char"/>
    <w:basedOn w:val="DefaultParagraphFont"/>
    <w:link w:val="Footer"/>
    <w:uiPriority w:val="99"/>
    <w:rsid w:val="00044DB1"/>
    <w:rPr>
      <w:rFonts w:ascii="Arial" w:eastAsia="Times New Roman" w:hAnsi="Arial"/>
      <w:color w:val="323232"/>
      <w:sz w:val="16"/>
      <w:szCs w:val="24"/>
    </w:rPr>
  </w:style>
  <w:style w:type="paragraph" w:styleId="Revision">
    <w:name w:val="Revision"/>
    <w:hidden/>
    <w:uiPriority w:val="99"/>
    <w:semiHidden/>
    <w:rsid w:val="00AC2022"/>
    <w:rPr>
      <w:rFonts w:ascii="Calibri" w:hAnsi="Calibri"/>
      <w:sz w:val="24"/>
      <w:lang w:val="en-GB"/>
    </w:rPr>
  </w:style>
  <w:style w:type="character" w:customStyle="1" w:styleId="apple-converted-space">
    <w:name w:val="apple-converted-space"/>
    <w:basedOn w:val="DefaultParagraphFont"/>
    <w:rsid w:val="009A12A5"/>
  </w:style>
  <w:style w:type="paragraph" w:styleId="TOCHeading">
    <w:name w:val="TOC Heading"/>
    <w:basedOn w:val="Normal"/>
    <w:uiPriority w:val="39"/>
    <w:qFormat/>
    <w:rsid w:val="00044DB1"/>
    <w:pPr>
      <w:spacing w:before="1200" w:line="240" w:lineRule="auto"/>
    </w:pPr>
    <w:rPr>
      <w:b/>
      <w:color w:val="323232"/>
      <w:spacing w:val="-28"/>
      <w:sz w:val="53"/>
    </w:rPr>
  </w:style>
  <w:style w:type="character" w:styleId="UnresolvedMention">
    <w:name w:val="Unresolved Mention"/>
    <w:basedOn w:val="DefaultParagraphFont"/>
    <w:uiPriority w:val="99"/>
    <w:semiHidden/>
    <w:unhideWhenUsed/>
    <w:rsid w:val="00044DB1"/>
    <w:rPr>
      <w:color w:val="605E5C"/>
      <w:shd w:val="clear" w:color="auto" w:fill="E1DFDD"/>
    </w:rPr>
  </w:style>
  <w:style w:type="paragraph" w:styleId="NormalWeb">
    <w:name w:val="Normal (Web)"/>
    <w:basedOn w:val="Normal"/>
    <w:semiHidden/>
    <w:unhideWhenUsed/>
    <w:rsid w:val="00DA5CF4"/>
    <w:rPr>
      <w:rFonts w:ascii="Times New Roman" w:hAnsi="Times New Roman"/>
    </w:rPr>
  </w:style>
  <w:style w:type="paragraph" w:customStyle="1" w:styleId="ACMAReportTitle">
    <w:name w:val="ACMA_ReportTitle"/>
    <w:basedOn w:val="Normal"/>
    <w:qFormat/>
    <w:rsid w:val="00044DB1"/>
    <w:pPr>
      <w:spacing w:after="0" w:line="560" w:lineRule="exact"/>
    </w:pPr>
    <w:rPr>
      <w:b/>
      <w:spacing w:val="-28"/>
      <w:sz w:val="53"/>
    </w:rPr>
  </w:style>
  <w:style w:type="paragraph" w:customStyle="1" w:styleId="ACMAReportSubTitle">
    <w:name w:val="ACMA_ReportSubTitle"/>
    <w:basedOn w:val="Normal"/>
    <w:qFormat/>
    <w:rsid w:val="00044DB1"/>
    <w:pPr>
      <w:spacing w:after="200" w:line="560" w:lineRule="exact"/>
    </w:pPr>
    <w:rPr>
      <w:color w:val="323232"/>
      <w:spacing w:val="-28"/>
      <w:sz w:val="53"/>
    </w:rPr>
  </w:style>
  <w:style w:type="paragraph" w:customStyle="1" w:styleId="ACMAReportDate">
    <w:name w:val="ACMA_ReportDate"/>
    <w:basedOn w:val="ACMAReportSubTitle"/>
    <w:qFormat/>
    <w:rsid w:val="00044DB1"/>
    <w:pPr>
      <w:spacing w:after="120" w:line="240" w:lineRule="auto"/>
    </w:pPr>
    <w:rPr>
      <w:caps/>
      <w:spacing w:val="-10"/>
      <w:sz w:val="20"/>
    </w:rPr>
  </w:style>
  <w:style w:type="paragraph" w:customStyle="1" w:styleId="PageNumber0">
    <w:name w:val="PageNumber"/>
    <w:basedOn w:val="Normal"/>
    <w:semiHidden/>
    <w:rsid w:val="00044DB1"/>
    <w:pPr>
      <w:spacing w:line="240" w:lineRule="auto"/>
    </w:pPr>
    <w:rPr>
      <w:sz w:val="16"/>
    </w:rPr>
  </w:style>
  <w:style w:type="paragraph" w:customStyle="1" w:styleId="Copyright">
    <w:name w:val="Copyright"/>
    <w:basedOn w:val="Normal"/>
    <w:semiHidden/>
    <w:rsid w:val="00044DB1"/>
    <w:pPr>
      <w:spacing w:line="160" w:lineRule="exact"/>
    </w:pPr>
    <w:rPr>
      <w:color w:val="4D4D4F"/>
      <w:sz w:val="13"/>
    </w:rPr>
  </w:style>
  <w:style w:type="paragraph" w:customStyle="1" w:styleId="BodySubHeader">
    <w:name w:val="BodySubHeader"/>
    <w:basedOn w:val="Normal"/>
    <w:next w:val="Normal"/>
    <w:qFormat/>
    <w:rsid w:val="00044DB1"/>
    <w:pPr>
      <w:spacing w:before="240" w:after="0"/>
    </w:pPr>
    <w:rPr>
      <w:b/>
      <w:i/>
    </w:rPr>
  </w:style>
  <w:style w:type="paragraph" w:styleId="ListBullet2">
    <w:name w:val="List Bullet 2"/>
    <w:basedOn w:val="Normal"/>
    <w:qFormat/>
    <w:rsid w:val="00044DB1"/>
    <w:pPr>
      <w:numPr>
        <w:numId w:val="5"/>
      </w:numPr>
      <w:spacing w:after="80"/>
    </w:pPr>
  </w:style>
  <w:style w:type="paragraph" w:styleId="ListNumber2">
    <w:name w:val="List Number 2"/>
    <w:basedOn w:val="Normal"/>
    <w:qFormat/>
    <w:rsid w:val="00044DB1"/>
    <w:pPr>
      <w:numPr>
        <w:numId w:val="7"/>
      </w:numPr>
      <w:spacing w:after="80"/>
      <w:ind w:left="845" w:hanging="544"/>
    </w:pPr>
  </w:style>
  <w:style w:type="paragraph" w:customStyle="1" w:styleId="URLEmail">
    <w:name w:val="URL/Email"/>
    <w:basedOn w:val="Normal"/>
    <w:semiHidden/>
    <w:rsid w:val="00044DB1"/>
    <w:rPr>
      <w:color w:val="4D4D4F"/>
      <w:spacing w:val="4"/>
    </w:rPr>
  </w:style>
  <w:style w:type="paragraph" w:customStyle="1" w:styleId="ACMAExecSummaryHeading">
    <w:name w:val="ACMA_ExecSummaryHeading"/>
    <w:basedOn w:val="Normal"/>
    <w:qFormat/>
    <w:rsid w:val="00044DB1"/>
    <w:pPr>
      <w:spacing w:after="1440" w:line="550" w:lineRule="exact"/>
    </w:pPr>
    <w:rPr>
      <w:b/>
      <w:color w:val="323232"/>
      <w:spacing w:val="-18"/>
      <w:sz w:val="53"/>
    </w:rPr>
  </w:style>
  <w:style w:type="paragraph" w:styleId="TableofFigures">
    <w:name w:val="table of figures"/>
    <w:basedOn w:val="Normal"/>
    <w:next w:val="Normal"/>
    <w:semiHidden/>
    <w:rsid w:val="00044DB1"/>
    <w:pPr>
      <w:tabs>
        <w:tab w:val="right" w:pos="7615"/>
      </w:tabs>
      <w:spacing w:line="320" w:lineRule="exact"/>
    </w:pPr>
    <w:rPr>
      <w:noProof/>
      <w:color w:val="808285"/>
      <w:sz w:val="28"/>
    </w:rPr>
  </w:style>
  <w:style w:type="character" w:styleId="PlaceholderText">
    <w:name w:val="Placeholder Text"/>
    <w:basedOn w:val="DefaultParagraphFont"/>
    <w:uiPriority w:val="99"/>
    <w:semiHidden/>
    <w:rsid w:val="00044DB1"/>
    <w:rPr>
      <w:color w:val="808080"/>
    </w:rPr>
  </w:style>
  <w:style w:type="paragraph" w:customStyle="1" w:styleId="ACMAInstructions">
    <w:name w:val="ACMA_Instructions"/>
    <w:basedOn w:val="Normal"/>
    <w:qFormat/>
    <w:rsid w:val="00044DB1"/>
    <w:pPr>
      <w:spacing w:after="200"/>
    </w:pPr>
    <w:rPr>
      <w:rFonts w:cs="Arial"/>
      <w:b/>
      <w:vanish/>
    </w:rPr>
  </w:style>
  <w:style w:type="paragraph" w:customStyle="1" w:styleId="CorporateAddresses">
    <w:name w:val="Corporate Addresses"/>
    <w:basedOn w:val="Normal"/>
    <w:semiHidden/>
    <w:rsid w:val="00044DB1"/>
    <w:pPr>
      <w:spacing w:line="140" w:lineRule="exact"/>
    </w:pPr>
    <w:rPr>
      <w:color w:val="4D4D4F"/>
      <w:sz w:val="13"/>
    </w:rPr>
  </w:style>
  <w:style w:type="character" w:styleId="Strong">
    <w:name w:val="Strong"/>
    <w:basedOn w:val="DefaultParagraphFont"/>
    <w:qFormat/>
    <w:rsid w:val="00044DB1"/>
    <w:rPr>
      <w:b/>
      <w:bCs/>
    </w:rPr>
  </w:style>
  <w:style w:type="paragraph" w:customStyle="1" w:styleId="ACMACorporateAddressHeader">
    <w:name w:val="ACMA_CorporateAddressHeader"/>
    <w:basedOn w:val="Normal"/>
    <w:next w:val="ACMACorporateAddresses"/>
    <w:qFormat/>
    <w:rsid w:val="00044DB1"/>
    <w:pPr>
      <w:tabs>
        <w:tab w:val="left" w:pos="142"/>
      </w:tabs>
      <w:spacing w:before="240" w:after="0" w:line="140" w:lineRule="exact"/>
    </w:pPr>
    <w:rPr>
      <w:b/>
      <w:sz w:val="13"/>
    </w:rPr>
  </w:style>
  <w:style w:type="paragraph" w:customStyle="1" w:styleId="ACMACorporateAddresses">
    <w:name w:val="ACMA_CorporateAddresses"/>
    <w:basedOn w:val="ACMACorporateAddressHeader"/>
    <w:qFormat/>
    <w:rsid w:val="00044DB1"/>
    <w:pPr>
      <w:spacing w:before="0" w:after="120"/>
    </w:pPr>
    <w:rPr>
      <w:b w:val="0"/>
    </w:rPr>
  </w:style>
  <w:style w:type="paragraph" w:customStyle="1" w:styleId="ACMACopyrightHeader">
    <w:name w:val="ACMA_CopyrightHeader"/>
    <w:basedOn w:val="ACMACorporateAddressHeader"/>
    <w:qFormat/>
    <w:rsid w:val="00044DB1"/>
    <w:pPr>
      <w:spacing w:before="3000"/>
    </w:pPr>
  </w:style>
  <w:style w:type="paragraph" w:customStyle="1" w:styleId="ACMACClogo">
    <w:name w:val="ACMA_CClogo"/>
    <w:qFormat/>
    <w:rsid w:val="00044DB1"/>
    <w:pPr>
      <w:spacing w:before="160" w:after="120"/>
    </w:pPr>
    <w:rPr>
      <w:rFonts w:ascii="Arial" w:eastAsia="Times New Roman" w:hAnsi="Arial"/>
      <w:b/>
      <w:sz w:val="13"/>
      <w:szCs w:val="24"/>
    </w:rPr>
  </w:style>
  <w:style w:type="paragraph" w:customStyle="1" w:styleId="ListBulletLast">
    <w:name w:val="List Bullet Last"/>
    <w:basedOn w:val="ListBullet"/>
    <w:qFormat/>
    <w:rsid w:val="00044DB1"/>
    <w:pPr>
      <w:spacing w:after="240"/>
    </w:pPr>
    <w:rPr>
      <w:rFonts w:cs="Arial"/>
    </w:rPr>
  </w:style>
  <w:style w:type="paragraph" w:customStyle="1" w:styleId="ListNumberLast">
    <w:name w:val="List Number Last"/>
    <w:basedOn w:val="ListNumber"/>
    <w:qFormat/>
    <w:rsid w:val="00044DB1"/>
    <w:pPr>
      <w:spacing w:after="240"/>
      <w:ind w:left="357" w:hanging="357"/>
    </w:pPr>
    <w:rPr>
      <w:rFonts w:cs="Arial"/>
    </w:rPr>
  </w:style>
  <w:style w:type="paragraph" w:customStyle="1" w:styleId="ACMATableHeader">
    <w:name w:val="ACMA_TableHeader"/>
    <w:qFormat/>
    <w:rsid w:val="00044DB1"/>
    <w:pPr>
      <w:numPr>
        <w:numId w:val="9"/>
      </w:numPr>
      <w:spacing w:after="160"/>
    </w:pPr>
    <w:rPr>
      <w:rFonts w:ascii="Arial" w:eastAsia="Times New Roman" w:hAnsi="Arial"/>
      <w:b/>
      <w:bCs/>
      <w:color w:val="323232"/>
      <w:sz w:val="22"/>
    </w:rPr>
  </w:style>
  <w:style w:type="paragraph" w:customStyle="1" w:styleId="ACMANotes">
    <w:name w:val="ACMA_Notes"/>
    <w:qFormat/>
    <w:rsid w:val="00044DB1"/>
    <w:pPr>
      <w:spacing w:before="80"/>
    </w:pPr>
    <w:rPr>
      <w:rFonts w:ascii="Arial" w:eastAsia="Times New Roman" w:hAnsi="Arial" w:cs="Arial"/>
      <w:i/>
      <w:sz w:val="16"/>
      <w:szCs w:val="24"/>
    </w:rPr>
  </w:style>
  <w:style w:type="paragraph" w:customStyle="1" w:styleId="ACMANormalTabbed">
    <w:name w:val="ACMA_NormalTabbed"/>
    <w:basedOn w:val="Normal"/>
    <w:qFormat/>
    <w:rsid w:val="00044DB1"/>
    <w:pPr>
      <w:tabs>
        <w:tab w:val="left" w:pos="1134"/>
      </w:tabs>
    </w:pPr>
  </w:style>
  <w:style w:type="character" w:styleId="Emphasis">
    <w:name w:val="Emphasis"/>
    <w:basedOn w:val="DefaultParagraphFont"/>
    <w:qFormat/>
    <w:rsid w:val="00044DB1"/>
    <w:rPr>
      <w:i/>
      <w:iCs/>
    </w:rPr>
  </w:style>
  <w:style w:type="paragraph" w:customStyle="1" w:styleId="ListNumber2Last">
    <w:name w:val="List Number 2 Last"/>
    <w:basedOn w:val="ListNumber2"/>
    <w:qFormat/>
    <w:rsid w:val="00044DB1"/>
    <w:pPr>
      <w:spacing w:after="240"/>
      <w:ind w:left="907"/>
    </w:pPr>
    <w:rPr>
      <w:rFonts w:cs="Arial"/>
    </w:rPr>
  </w:style>
  <w:style w:type="paragraph" w:customStyle="1" w:styleId="ACMASpaceaftertable">
    <w:name w:val="ACMA_Space after table"/>
    <w:basedOn w:val="Normal"/>
    <w:qFormat/>
    <w:rsid w:val="00044DB1"/>
    <w:rPr>
      <w:rFonts w:cs="Arial"/>
    </w:rPr>
  </w:style>
  <w:style w:type="paragraph" w:customStyle="1" w:styleId="FooterLeft">
    <w:name w:val="Footer Left"/>
    <w:basedOn w:val="Footer"/>
    <w:qFormat/>
    <w:rsid w:val="00044DB1"/>
    <w:pPr>
      <w:framePr w:w="1440" w:h="357" w:hRule="exact" w:vSpace="425" w:wrap="around" w:vAnchor="page" w:hAnchor="page" w:x="935" w:y="15871"/>
      <w:pBdr>
        <w:top w:val="single" w:sz="4" w:space="1" w:color="auto"/>
      </w:pBdr>
    </w:pPr>
    <w:rPr>
      <w:rFonts w:cs="Arial"/>
    </w:rPr>
  </w:style>
  <w:style w:type="paragraph" w:customStyle="1" w:styleId="ACMAFigureHeader">
    <w:name w:val="ACMA_FigureHeader"/>
    <w:qFormat/>
    <w:rsid w:val="00044DB1"/>
    <w:pPr>
      <w:numPr>
        <w:numId w:val="8"/>
      </w:numPr>
      <w:spacing w:after="160"/>
    </w:pPr>
    <w:rPr>
      <w:rFonts w:ascii="Arial" w:eastAsia="Times New Roman" w:hAnsi="Arial"/>
      <w:b/>
      <w:bCs/>
      <w:color w:val="323232"/>
      <w:sz w:val="22"/>
    </w:rPr>
  </w:style>
  <w:style w:type="paragraph" w:customStyle="1" w:styleId="Captionfigure">
    <w:name w:val="Caption figure"/>
    <w:basedOn w:val="Caption"/>
    <w:qFormat/>
    <w:rsid w:val="00044DB1"/>
    <w:pPr>
      <w:keepNext/>
      <w:numPr>
        <w:numId w:val="10"/>
      </w:numPr>
    </w:pPr>
    <w:rPr>
      <w:rFonts w:cs="Arial"/>
    </w:rPr>
  </w:style>
  <w:style w:type="paragraph" w:customStyle="1" w:styleId="GridTable31">
    <w:name w:val="Grid Table 31"/>
    <w:basedOn w:val="Normal"/>
    <w:qFormat/>
    <w:rsid w:val="00044DB1"/>
    <w:pPr>
      <w:spacing w:after="0" w:line="240" w:lineRule="auto"/>
    </w:pPr>
    <w:rPr>
      <w:b/>
      <w:color w:val="4D4D4F"/>
      <w:spacing w:val="-28"/>
      <w:sz w:val="53"/>
    </w:rPr>
  </w:style>
  <w:style w:type="character" w:customStyle="1" w:styleId="HeaderChar">
    <w:name w:val="Header Char"/>
    <w:link w:val="Header"/>
    <w:rsid w:val="00044DB1"/>
    <w:rPr>
      <w:rFonts w:ascii="Arial" w:eastAsia="Times New Roman" w:hAnsi="Arial"/>
      <w:sz w:val="16"/>
      <w:szCs w:val="24"/>
    </w:rPr>
  </w:style>
  <w:style w:type="paragraph" w:customStyle="1" w:styleId="Partheading">
    <w:name w:val="Part heading"/>
    <w:basedOn w:val="Heading1"/>
    <w:qFormat/>
    <w:rsid w:val="00044DB1"/>
    <w:pPr>
      <w:numPr>
        <w:numId w:val="12"/>
      </w:numPr>
    </w:pPr>
  </w:style>
  <w:style w:type="paragraph" w:customStyle="1" w:styleId="Numberedheading">
    <w:name w:val="Numbered heading"/>
    <w:basedOn w:val="Heading2"/>
    <w:qFormat/>
    <w:rsid w:val="00044DB1"/>
    <w:pPr>
      <w:numPr>
        <w:numId w:val="12"/>
      </w:numPr>
    </w:pPr>
  </w:style>
  <w:style w:type="paragraph" w:customStyle="1" w:styleId="Heading2noTOC">
    <w:name w:val="Heading 2 no TOC"/>
    <w:qFormat/>
    <w:rsid w:val="00044DB1"/>
    <w:rPr>
      <w:rFonts w:ascii="Arial" w:eastAsia="Times New Roman" w:hAnsi="Arial" w:cs="Arial"/>
      <w:b/>
      <w:bCs/>
      <w:iCs/>
      <w:sz w:val="28"/>
      <w:szCs w:val="28"/>
    </w:rPr>
  </w:style>
  <w:style w:type="paragraph" w:customStyle="1" w:styleId="ACMABulletLevel1">
    <w:name w:val="ACMA Bullet Level 1"/>
    <w:rsid w:val="00044DB1"/>
    <w:pPr>
      <w:numPr>
        <w:numId w:val="13"/>
      </w:numPr>
      <w:spacing w:after="120"/>
    </w:pPr>
    <w:rPr>
      <w:rFonts w:eastAsia="Times New Roman"/>
      <w:sz w:val="24"/>
      <w:lang w:eastAsia="en-US"/>
    </w:rPr>
  </w:style>
  <w:style w:type="paragraph" w:customStyle="1" w:styleId="ListBullet1">
    <w:name w:val="List Bullet 1"/>
    <w:basedOn w:val="ListParagraph"/>
    <w:qFormat/>
    <w:rsid w:val="003F6FEE"/>
    <w:pPr>
      <w:numPr>
        <w:numId w:val="17"/>
      </w:numPr>
    </w:pPr>
    <w:rPr>
      <w:rFonts w:cstheme="minorHAnsi"/>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82152392">
      <w:bodyDiv w:val="1"/>
      <w:marLeft w:val="0"/>
      <w:marRight w:val="0"/>
      <w:marTop w:val="0"/>
      <w:marBottom w:val="0"/>
      <w:divBdr>
        <w:top w:val="none" w:sz="0" w:space="0" w:color="auto"/>
        <w:left w:val="none" w:sz="0" w:space="0" w:color="auto"/>
        <w:bottom w:val="none" w:sz="0" w:space="0" w:color="auto"/>
        <w:right w:val="none" w:sz="0" w:space="0" w:color="auto"/>
      </w:divBdr>
    </w:div>
    <w:div w:id="403601797">
      <w:bodyDiv w:val="1"/>
      <w:marLeft w:val="0"/>
      <w:marRight w:val="0"/>
      <w:marTop w:val="0"/>
      <w:marBottom w:val="0"/>
      <w:divBdr>
        <w:top w:val="none" w:sz="0" w:space="0" w:color="auto"/>
        <w:left w:val="none" w:sz="0" w:space="0" w:color="auto"/>
        <w:bottom w:val="none" w:sz="0" w:space="0" w:color="auto"/>
        <w:right w:val="none" w:sz="0" w:space="0" w:color="auto"/>
      </w:divBdr>
    </w:div>
    <w:div w:id="529951753">
      <w:bodyDiv w:val="1"/>
      <w:marLeft w:val="0"/>
      <w:marRight w:val="0"/>
      <w:marTop w:val="0"/>
      <w:marBottom w:val="0"/>
      <w:divBdr>
        <w:top w:val="none" w:sz="0" w:space="0" w:color="auto"/>
        <w:left w:val="none" w:sz="0" w:space="0" w:color="auto"/>
        <w:bottom w:val="none" w:sz="0" w:space="0" w:color="auto"/>
        <w:right w:val="none" w:sz="0" w:space="0" w:color="auto"/>
      </w:divBdr>
    </w:div>
    <w:div w:id="1062944342">
      <w:bodyDiv w:val="1"/>
      <w:marLeft w:val="0"/>
      <w:marRight w:val="0"/>
      <w:marTop w:val="0"/>
      <w:marBottom w:val="0"/>
      <w:divBdr>
        <w:top w:val="none" w:sz="0" w:space="0" w:color="auto"/>
        <w:left w:val="none" w:sz="0" w:space="0" w:color="auto"/>
        <w:bottom w:val="none" w:sz="0" w:space="0" w:color="auto"/>
        <w:right w:val="none" w:sz="0" w:space="0" w:color="auto"/>
      </w:divBdr>
    </w:div>
    <w:div w:id="1104422928">
      <w:bodyDiv w:val="1"/>
      <w:marLeft w:val="0"/>
      <w:marRight w:val="0"/>
      <w:marTop w:val="0"/>
      <w:marBottom w:val="0"/>
      <w:divBdr>
        <w:top w:val="none" w:sz="0" w:space="0" w:color="auto"/>
        <w:left w:val="none" w:sz="0" w:space="0" w:color="auto"/>
        <w:bottom w:val="none" w:sz="0" w:space="0" w:color="auto"/>
        <w:right w:val="none" w:sz="0" w:space="0" w:color="auto"/>
      </w:divBdr>
    </w:div>
    <w:div w:id="1362626716">
      <w:bodyDiv w:val="1"/>
      <w:marLeft w:val="0"/>
      <w:marRight w:val="0"/>
      <w:marTop w:val="0"/>
      <w:marBottom w:val="0"/>
      <w:divBdr>
        <w:top w:val="none" w:sz="0" w:space="0" w:color="auto"/>
        <w:left w:val="none" w:sz="0" w:space="0" w:color="auto"/>
        <w:bottom w:val="none" w:sz="0" w:space="0" w:color="auto"/>
        <w:right w:val="none" w:sz="0" w:space="0" w:color="auto"/>
      </w:divBdr>
    </w:div>
    <w:div w:id="1430737020">
      <w:bodyDiv w:val="1"/>
      <w:marLeft w:val="0"/>
      <w:marRight w:val="0"/>
      <w:marTop w:val="0"/>
      <w:marBottom w:val="0"/>
      <w:divBdr>
        <w:top w:val="none" w:sz="0" w:space="0" w:color="auto"/>
        <w:left w:val="none" w:sz="0" w:space="0" w:color="auto"/>
        <w:bottom w:val="none" w:sz="0" w:space="0" w:color="auto"/>
        <w:right w:val="none" w:sz="0" w:space="0" w:color="auto"/>
      </w:divBdr>
    </w:div>
    <w:div w:id="1490975149">
      <w:bodyDiv w:val="1"/>
      <w:marLeft w:val="0"/>
      <w:marRight w:val="0"/>
      <w:marTop w:val="0"/>
      <w:marBottom w:val="0"/>
      <w:divBdr>
        <w:top w:val="none" w:sz="0" w:space="0" w:color="auto"/>
        <w:left w:val="none" w:sz="0" w:space="0" w:color="auto"/>
        <w:bottom w:val="none" w:sz="0" w:space="0" w:color="auto"/>
        <w:right w:val="none" w:sz="0" w:space="0" w:color="auto"/>
      </w:divBdr>
    </w:div>
    <w:div w:id="1664434186">
      <w:bodyDiv w:val="1"/>
      <w:marLeft w:val="0"/>
      <w:marRight w:val="0"/>
      <w:marTop w:val="0"/>
      <w:marBottom w:val="0"/>
      <w:divBdr>
        <w:top w:val="none" w:sz="0" w:space="0" w:color="auto"/>
        <w:left w:val="none" w:sz="0" w:space="0" w:color="auto"/>
        <w:bottom w:val="none" w:sz="0" w:space="0" w:color="auto"/>
        <w:right w:val="none" w:sz="0" w:space="0" w:color="auto"/>
      </w:divBdr>
    </w:div>
    <w:div w:id="1730421811">
      <w:bodyDiv w:val="1"/>
      <w:marLeft w:val="0"/>
      <w:marRight w:val="0"/>
      <w:marTop w:val="0"/>
      <w:marBottom w:val="0"/>
      <w:divBdr>
        <w:top w:val="none" w:sz="0" w:space="0" w:color="auto"/>
        <w:left w:val="none" w:sz="0" w:space="0" w:color="auto"/>
        <w:bottom w:val="none" w:sz="0" w:space="0" w:color="auto"/>
        <w:right w:val="none" w:sz="0" w:space="0" w:color="auto"/>
      </w:divBdr>
      <w:divsChild>
        <w:div w:id="825121868">
          <w:marLeft w:val="0"/>
          <w:marRight w:val="0"/>
          <w:marTop w:val="0"/>
          <w:marBottom w:val="0"/>
          <w:divBdr>
            <w:top w:val="none" w:sz="0" w:space="0" w:color="auto"/>
            <w:left w:val="none" w:sz="0" w:space="0" w:color="auto"/>
            <w:bottom w:val="none" w:sz="0" w:space="0" w:color="auto"/>
            <w:right w:val="none" w:sz="0" w:space="0" w:color="auto"/>
          </w:divBdr>
        </w:div>
      </w:divsChild>
    </w:div>
    <w:div w:id="1877617954">
      <w:bodyDiv w:val="1"/>
      <w:marLeft w:val="0"/>
      <w:marRight w:val="0"/>
      <w:marTop w:val="0"/>
      <w:marBottom w:val="0"/>
      <w:divBdr>
        <w:top w:val="none" w:sz="0" w:space="0" w:color="auto"/>
        <w:left w:val="none" w:sz="0" w:space="0" w:color="auto"/>
        <w:bottom w:val="none" w:sz="0" w:space="0" w:color="auto"/>
        <w:right w:val="none" w:sz="0" w:space="0" w:color="auto"/>
      </w:divBdr>
    </w:div>
    <w:div w:id="1933660690">
      <w:bodyDiv w:val="1"/>
      <w:marLeft w:val="0"/>
      <w:marRight w:val="0"/>
      <w:marTop w:val="0"/>
      <w:marBottom w:val="0"/>
      <w:divBdr>
        <w:top w:val="none" w:sz="0" w:space="0" w:color="auto"/>
        <w:left w:val="none" w:sz="0" w:space="0" w:color="auto"/>
        <w:bottom w:val="none" w:sz="0" w:space="0" w:color="auto"/>
        <w:right w:val="none" w:sz="0" w:space="0" w:color="auto"/>
      </w:divBdr>
    </w:div>
    <w:div w:id="2095853582">
      <w:bodyDiv w:val="1"/>
      <w:marLeft w:val="0"/>
      <w:marRight w:val="0"/>
      <w:marTop w:val="0"/>
      <w:marBottom w:val="0"/>
      <w:divBdr>
        <w:top w:val="none" w:sz="0" w:space="0" w:color="auto"/>
        <w:left w:val="none" w:sz="0" w:space="0" w:color="auto"/>
        <w:bottom w:val="none" w:sz="0" w:space="0" w:color="auto"/>
        <w:right w:val="none" w:sz="0" w:space="0" w:color="auto"/>
      </w:divBdr>
    </w:div>
    <w:div w:id="21136673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eader" Target="header1.xml"/><Relationship Id="rId18" Type="http://schemas.openxmlformats.org/officeDocument/2006/relationships/hyperlink" Target="https://webarchive.nla.gov.au/awa/20160310132057/http:/acma.gov.au/theACMA/Consultations/Consultations/Current/coordination-arrangements-with-esa-new-norcia-earth-station" TargetMode="External"/><Relationship Id="rId26" Type="http://schemas.openxmlformats.org/officeDocument/2006/relationships/footer" Target="footer3.xml"/><Relationship Id="rId39" Type="http://schemas.openxmlformats.org/officeDocument/2006/relationships/hyperlink" Target="http://www.acma.gov.au/Industry/Spectrum/Spectrum-planning/Current-APs-info-and-resources/rali-fx21-tv-ob-services" TargetMode="External"/><Relationship Id="rId21" Type="http://schemas.openxmlformats.org/officeDocument/2006/relationships/hyperlink" Target="https://www.acma.gov.au/consultations/2021-12/replanning-2-ghz-band-review-2-ghz-television-outside-broadcast-frequency-band-plan-consultation-452021" TargetMode="External"/><Relationship Id="rId34" Type="http://schemas.openxmlformats.org/officeDocument/2006/relationships/hyperlink" Target="http://www.comlaw.gov.au/Details/F2012L00731" TargetMode="External"/><Relationship Id="rId42" Type="http://schemas.openxmlformats.org/officeDocument/2006/relationships/image" Target="media/image6.jpeg"/><Relationship Id="rId47" Type="http://schemas.openxmlformats.org/officeDocument/2006/relationships/image" Target="media/image9.png"/><Relationship Id="rId50" Type="http://schemas.openxmlformats.org/officeDocument/2006/relationships/header" Target="header6.xml"/><Relationship Id="rId7" Type="http://schemas.openxmlformats.org/officeDocument/2006/relationships/settings" Target="settings.xml"/><Relationship Id="rId2" Type="http://schemas.openxmlformats.org/officeDocument/2006/relationships/customXml" Target="../customXml/item2.xml"/><Relationship Id="rId16" Type="http://schemas.openxmlformats.org/officeDocument/2006/relationships/hyperlink" Target="https://webarchive.nla.gov.au/awa/20160615144623/http:/www.acma.gov.au/Industry/Spectrum/Spectrum-planning/Current-APs-info-and-resources/revision-to-rali-fx21" TargetMode="External"/><Relationship Id="rId29" Type="http://schemas.openxmlformats.org/officeDocument/2006/relationships/hyperlink" Target="https://www.legislation.gov.au/Series/F2022L00843" TargetMode="External"/><Relationship Id="rId11" Type="http://schemas.openxmlformats.org/officeDocument/2006/relationships/footer" Target="footer1.xml"/><Relationship Id="rId24" Type="http://schemas.openxmlformats.org/officeDocument/2006/relationships/header" Target="header3.xml"/><Relationship Id="rId32" Type="http://schemas.openxmlformats.org/officeDocument/2006/relationships/image" Target="cid:image005.jpg@01CE73F3.11E01B70" TargetMode="External"/><Relationship Id="rId37" Type="http://schemas.openxmlformats.org/officeDocument/2006/relationships/hyperlink" Target="http://www.acma.gov.au/Industry/Spectrum/Spectrum-planning/Current-APs-info-and-resources/rali-fx21-tv-ob-services" TargetMode="External"/><Relationship Id="rId40" Type="http://schemas.openxmlformats.org/officeDocument/2006/relationships/hyperlink" Target="http://www.acma.gov.au/Industry/Spectrum/Spectrum-planning/Current-APs-info-and-resources/rali-fx21-tv-ob-services" TargetMode="External"/><Relationship Id="rId45" Type="http://schemas.openxmlformats.org/officeDocument/2006/relationships/hyperlink" Target="http://www.acma.gov.au/theACMA/rali-fx3-microwave-fixed-services-frequency-coordination" TargetMode="External"/><Relationship Id="rId53" Type="http://schemas.openxmlformats.org/officeDocument/2006/relationships/theme" Target="theme/theme1.xml"/><Relationship Id="rId5" Type="http://schemas.openxmlformats.org/officeDocument/2006/relationships/numbering" Target="numbering.xml"/><Relationship Id="rId10" Type="http://schemas.openxmlformats.org/officeDocument/2006/relationships/endnotes" Target="endnotes.xml"/><Relationship Id="rId19" Type="http://schemas.openxmlformats.org/officeDocument/2006/relationships/hyperlink" Target="https://webarchive.nla.gov.au/awa/20210318063159/https:/www.acma.gov.au/consultations/2020-07/replanning-options-2-ghz-band-consultation-232020" TargetMode="External"/><Relationship Id="rId31" Type="http://schemas.openxmlformats.org/officeDocument/2006/relationships/image" Target="media/image2.jpeg"/><Relationship Id="rId44" Type="http://schemas.openxmlformats.org/officeDocument/2006/relationships/image" Target="media/image7.jpeg"/><Relationship Id="rId52"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ebarchive.nla.gov.au/awa/20130419125049/http:/www.acma.gov.au/WEB/STANDARD/pc=PC_410340" TargetMode="External"/><Relationship Id="rId22" Type="http://schemas.openxmlformats.org/officeDocument/2006/relationships/hyperlink" Target="https://www.acma.gov.au/consultations/2021-12/proposed-licensing-arrangements-2-ghz-narrowband-mobile-satellite-services-and-28-ghz-fixed-satellite-services-consultation-462021" TargetMode="External"/><Relationship Id="rId27" Type="http://schemas.openxmlformats.org/officeDocument/2006/relationships/hyperlink" Target="mailto:freqplan@acma.gov.au" TargetMode="External"/><Relationship Id="rId30" Type="http://schemas.openxmlformats.org/officeDocument/2006/relationships/hyperlink" Target="https://www.legislation.gov.au/Series/F2022L00842" TargetMode="External"/><Relationship Id="rId35" Type="http://schemas.openxmlformats.org/officeDocument/2006/relationships/image" Target="media/image4.jpeg"/><Relationship Id="rId43" Type="http://schemas.openxmlformats.org/officeDocument/2006/relationships/hyperlink" Target="http://www.acma.gov.au/Industry/Spectrum/Spectrum-planning/Current-APs-info-and-resources/rali-fx21-tv-ob-services" TargetMode="External"/><Relationship Id="rId48" Type="http://schemas.openxmlformats.org/officeDocument/2006/relationships/image" Target="media/image10.png"/><Relationship Id="rId8" Type="http://schemas.openxmlformats.org/officeDocument/2006/relationships/webSettings" Target="webSettings.xml"/><Relationship Id="rId51" Type="http://schemas.openxmlformats.org/officeDocument/2006/relationships/header" Target="header7.xml"/><Relationship Id="rId3" Type="http://schemas.openxmlformats.org/officeDocument/2006/relationships/customXml" Target="../customXml/item3.xml"/><Relationship Id="rId12" Type="http://schemas.openxmlformats.org/officeDocument/2006/relationships/footer" Target="footer2.xml"/><Relationship Id="rId17" Type="http://schemas.openxmlformats.org/officeDocument/2006/relationships/hyperlink" Target="https://webarchive.nla.gov.au/awa/20151020120345/http:/www.acma.gov.au/theACMA/Consultations/Consultations/Current/proposed-updates-to-several-ralis" TargetMode="External"/><Relationship Id="rId25" Type="http://schemas.openxmlformats.org/officeDocument/2006/relationships/header" Target="header4.xml"/><Relationship Id="rId33" Type="http://schemas.openxmlformats.org/officeDocument/2006/relationships/image" Target="media/image3.png"/><Relationship Id="rId38" Type="http://schemas.openxmlformats.org/officeDocument/2006/relationships/hyperlink" Target="https://www.acma.gov.au/publications/2019-09/instruction/rali-ms31-notification-zones-around-radio-astronomy-facilities" TargetMode="External"/><Relationship Id="rId46" Type="http://schemas.openxmlformats.org/officeDocument/2006/relationships/image" Target="media/image8.png"/><Relationship Id="rId20" Type="http://schemas.openxmlformats.org/officeDocument/2006/relationships/hyperlink" Target="https://webarchive.nla.gov.au/awa/20220603125817/https:/www.acma.gov.au/consultations/2020-12/review-23-ghz-spectrum-licencing-technical-framework-consultation-372020" TargetMode="External"/><Relationship Id="rId41" Type="http://schemas.openxmlformats.org/officeDocument/2006/relationships/hyperlink" Target="https://www.itu.int/rec/R-REC-F.1777/en" TargetMode="External"/><Relationship Id="rId1" Type="http://schemas.openxmlformats.org/officeDocument/2006/relationships/customXml" Target="../customXml/item1.xml"/><Relationship Id="rId6" Type="http://schemas.openxmlformats.org/officeDocument/2006/relationships/styles" Target="styles.xml"/><Relationship Id="rId15" Type="http://schemas.openxmlformats.org/officeDocument/2006/relationships/hyperlink" Target="https://webarchive.nla.gov.au/awa/20160615144623/http:/www.acma.gov.au/Industry/Spectrum/Spectrum-planning/Current-APs-info-and-resources/revision-to-rali-fx21" TargetMode="External"/><Relationship Id="rId23" Type="http://schemas.openxmlformats.org/officeDocument/2006/relationships/header" Target="header2.xml"/><Relationship Id="rId28" Type="http://schemas.openxmlformats.org/officeDocument/2006/relationships/hyperlink" Target="https://www.legislation.gov.au/Details/F2012L00731" TargetMode="External"/><Relationship Id="rId36" Type="http://schemas.openxmlformats.org/officeDocument/2006/relationships/image" Target="media/image5.jpeg"/><Relationship Id="rId49" Type="http://schemas.openxmlformats.org/officeDocument/2006/relationships/header" Target="header5.xml"/></Relationships>
</file>

<file path=word/_rels/footnotes.xml.rels><?xml version="1.0" encoding="UTF-8" standalone="yes"?>
<Relationships xmlns="http://schemas.openxmlformats.org/package/2006/relationships"><Relationship Id="rId8" Type="http://schemas.openxmlformats.org/officeDocument/2006/relationships/hyperlink" Target="mailto:freqplan@acma.gov.au" TargetMode="External"/><Relationship Id="rId3" Type="http://schemas.openxmlformats.org/officeDocument/2006/relationships/hyperlink" Target="https://www.legislation.gov.au/Details/F2022L00843" TargetMode="External"/><Relationship Id="rId7" Type="http://schemas.openxmlformats.org/officeDocument/2006/relationships/hyperlink" Target="http://www.comlaw.gov.au/Details/F2011L01520" TargetMode="External"/><Relationship Id="rId2" Type="http://schemas.openxmlformats.org/officeDocument/2006/relationships/hyperlink" Target="http://www.comlaw.gov.au/Details/F2012L00731" TargetMode="External"/><Relationship Id="rId1" Type="http://schemas.openxmlformats.org/officeDocument/2006/relationships/hyperlink" Target="http://www.acma.gov.au/Industry/Spectrum/Digital-Dividend-700MHz-and-25Gz-Auction/Restack/longterm-arrangements-for-eng-digital-dividend-acma" TargetMode="External"/><Relationship Id="rId6" Type="http://schemas.openxmlformats.org/officeDocument/2006/relationships/hyperlink" Target="http://www.comlaw.gov.au/Details/F2011L02181" TargetMode="External"/><Relationship Id="rId11" Type="http://schemas.openxmlformats.org/officeDocument/2006/relationships/hyperlink" Target="http://web.acma.gov.au/pls/radcom/register_search.main_page" TargetMode="External"/><Relationship Id="rId5" Type="http://schemas.openxmlformats.org/officeDocument/2006/relationships/hyperlink" Target="https://www.legislation.gov.au/Details/F2022L00843/Explanatory%20Statement/Text" TargetMode="External"/><Relationship Id="rId10" Type="http://schemas.openxmlformats.org/officeDocument/2006/relationships/hyperlink" Target="http://www.acma.gov.au/theACMA/fixed-receive-licences-guidelines" TargetMode="External"/><Relationship Id="rId4" Type="http://schemas.openxmlformats.org/officeDocument/2006/relationships/hyperlink" Target="https://www.legislation.gov.au/Series/F2022L00842" TargetMode="External"/><Relationship Id="rId9" Type="http://schemas.openxmlformats.org/officeDocument/2006/relationships/hyperlink" Target="http://www.acma.gov.au/Industry/Broadcast/Television/Licence-fees-and-charges/fixed-licence-overview"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emf"/></Relationships>
</file>

<file path=word/_rels/settings.xml.rels><?xml version="1.0" encoding="UTF-8" standalone="yes"?>
<Relationships xmlns="http://schemas.openxmlformats.org/package/2006/relationships"><Relationship Id="rId1" Type="http://schemas.openxmlformats.org/officeDocument/2006/relationships/attachedTemplate" Target="file:///C:\ACMA-System\Templates\ACMA\RALI%20template.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100ACE45694B3D4892C74020F839F147" ma:contentTypeVersion="13" ma:contentTypeDescription="Create a new document." ma:contentTypeScope="" ma:versionID="e56cda827817a9b84b5fd875bcebb124">
  <xsd:schema xmlns:xsd="http://www.w3.org/2001/XMLSchema" xmlns:xs="http://www.w3.org/2001/XMLSchema" xmlns:p="http://schemas.microsoft.com/office/2006/metadata/properties" xmlns:ns2="85d45f94-32ec-4546-b73b-9a6848394926" xmlns:ns3="fb919850-406e-4d20-9cee-cf3a55172231" targetNamespace="http://schemas.microsoft.com/office/2006/metadata/properties" ma:root="true" ma:fieldsID="ded796f1f0bd6968607fd973d804e61a" ns2:_="" ns3:_="">
    <xsd:import namespace="85d45f94-32ec-4546-b73b-9a6848394926"/>
    <xsd:import namespace="fb919850-406e-4d20-9cee-cf3a55172231"/>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AutoTags" minOccurs="0"/>
                <xsd:element ref="ns2:MediaServiceOCR" minOccurs="0"/>
                <xsd:element ref="ns2:MediaServiceGenerationTime" minOccurs="0"/>
                <xsd:element ref="ns2:MediaServiceEventHashCode" minOccurs="0"/>
                <xsd:element ref="ns3:SharedWithUsers" minOccurs="0"/>
                <xsd:element ref="ns3:SharedWithDetails" minOccurs="0"/>
                <xsd:element ref="ns2:MediaServiceDateTaken" minOccurs="0"/>
                <xsd:element ref="ns2:MediaServiceLocation"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5d45f94-32ec-4546-b73b-9a6848394926"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hidden="true" ma:internalName="MediaServiceDateTaken" ma:readOnly="true">
      <xsd:simpleType>
        <xsd:restriction base="dms:Text"/>
      </xsd:simpleType>
    </xsd:element>
    <xsd:element name="MediaServiceLocation" ma:index="19" nillable="true" ma:displayName="Location" ma:internalName="MediaServiceLocation" ma:readOnly="true">
      <xsd:simpleType>
        <xsd:restriction base="dms:Text"/>
      </xsd:simpleType>
    </xsd:element>
    <xsd:element name="MediaLengthInSeconds" ma:index="20" nillable="true" ma:displayName="MediaLengthInSeconds" ma:hidden="true"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fb919850-406e-4d20-9cee-cf3a55172231" elementFormDefault="qualified">
    <xsd:import namespace="http://schemas.microsoft.com/office/2006/documentManagement/types"/>
    <xsd:import namespace="http://schemas.microsoft.com/office/infopath/2007/PartnerControls"/>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20E40E33-8BCF-4BC3-A284-49CAE50970C3}">
  <ds:schemaRefs>
    <ds:schemaRef ds:uri="http://purl.org/dc/elements/1.1/"/>
    <ds:schemaRef ds:uri="http://schemas.microsoft.com/office/infopath/2007/PartnerControls"/>
    <ds:schemaRef ds:uri="fb919850-406e-4d20-9cee-cf3a55172231"/>
    <ds:schemaRef ds:uri="http://purl.org/dc/terms/"/>
    <ds:schemaRef ds:uri="http://schemas.microsoft.com/office/2006/metadata/properties"/>
    <ds:schemaRef ds:uri="http://schemas.microsoft.com/office/2006/documentManagement/types"/>
    <ds:schemaRef ds:uri="http://www.w3.org/XML/1998/namespace"/>
    <ds:schemaRef ds:uri="http://schemas.openxmlformats.org/package/2006/metadata/core-properties"/>
    <ds:schemaRef ds:uri="85d45f94-32ec-4546-b73b-9a6848394926"/>
    <ds:schemaRef ds:uri="http://purl.org/dc/dcmitype/"/>
  </ds:schemaRefs>
</ds:datastoreItem>
</file>

<file path=customXml/itemProps2.xml><?xml version="1.0" encoding="utf-8"?>
<ds:datastoreItem xmlns:ds="http://schemas.openxmlformats.org/officeDocument/2006/customXml" ds:itemID="{EFFAED58-469E-4BC7-B2FD-29435FA7A43F}">
  <ds:schemaRefs>
    <ds:schemaRef ds:uri="http://schemas.microsoft.com/sharepoint/v3/contenttype/forms"/>
  </ds:schemaRefs>
</ds:datastoreItem>
</file>

<file path=customXml/itemProps3.xml><?xml version="1.0" encoding="utf-8"?>
<ds:datastoreItem xmlns:ds="http://schemas.openxmlformats.org/officeDocument/2006/customXml" ds:itemID="{67009F3F-03F5-423A-9A36-73E74D0EE1E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5d45f94-32ec-4546-b73b-9a6848394926"/>
    <ds:schemaRef ds:uri="fb919850-406e-4d20-9cee-cf3a5517223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76378172-943B-4D2A-A82A-DF2CBB45A20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RALI template.dotx</Template>
  <TotalTime>0</TotalTime>
  <Pages>39</Pages>
  <Words>8516</Words>
  <Characters>48544</Characters>
  <Application>Microsoft Office Word</Application>
  <DocSecurity>4</DocSecurity>
  <Lines>404</Lines>
  <Paragraphs>113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56947</CharactersWithSpaces>
  <SharedDoc>false</SharedDoc>
  <HLinks>
    <vt:vector size="180" baseType="variant">
      <vt:variant>
        <vt:i4>2162800</vt:i4>
      </vt:variant>
      <vt:variant>
        <vt:i4>282</vt:i4>
      </vt:variant>
      <vt:variant>
        <vt:i4>0</vt:i4>
      </vt:variant>
      <vt:variant>
        <vt:i4>5</vt:i4>
      </vt:variant>
      <vt:variant>
        <vt:lpwstr>http://www.acma.gov.au/theACMA/rali-fx3-microwave-fixed-services-frequency-coordination</vt:lpwstr>
      </vt:variant>
      <vt:variant>
        <vt:lpwstr/>
      </vt:variant>
      <vt:variant>
        <vt:i4>2293796</vt:i4>
      </vt:variant>
      <vt:variant>
        <vt:i4>270</vt:i4>
      </vt:variant>
      <vt:variant>
        <vt:i4>0</vt:i4>
      </vt:variant>
      <vt:variant>
        <vt:i4>5</vt:i4>
      </vt:variant>
      <vt:variant>
        <vt:lpwstr>http://www.acma.gov.au/Industry/Spectrum/Spectrum-planning/Current-APs-info-and-resources/rali-fx21-tv-ob-services</vt:lpwstr>
      </vt:variant>
      <vt:variant>
        <vt:lpwstr/>
      </vt:variant>
      <vt:variant>
        <vt:i4>3604604</vt:i4>
      </vt:variant>
      <vt:variant>
        <vt:i4>249</vt:i4>
      </vt:variant>
      <vt:variant>
        <vt:i4>0</vt:i4>
      </vt:variant>
      <vt:variant>
        <vt:i4>5</vt:i4>
      </vt:variant>
      <vt:variant>
        <vt:lpwstr>https://www.itu.int/rec/R-REC-F.1777/en</vt:lpwstr>
      </vt:variant>
      <vt:variant>
        <vt:lpwstr/>
      </vt:variant>
      <vt:variant>
        <vt:i4>2293796</vt:i4>
      </vt:variant>
      <vt:variant>
        <vt:i4>246</vt:i4>
      </vt:variant>
      <vt:variant>
        <vt:i4>0</vt:i4>
      </vt:variant>
      <vt:variant>
        <vt:i4>5</vt:i4>
      </vt:variant>
      <vt:variant>
        <vt:lpwstr>http://www.acma.gov.au/Industry/Spectrum/Spectrum-planning/Current-APs-info-and-resources/rali-fx21-tv-ob-services</vt:lpwstr>
      </vt:variant>
      <vt:variant>
        <vt:lpwstr/>
      </vt:variant>
      <vt:variant>
        <vt:i4>2293796</vt:i4>
      </vt:variant>
      <vt:variant>
        <vt:i4>222</vt:i4>
      </vt:variant>
      <vt:variant>
        <vt:i4>0</vt:i4>
      </vt:variant>
      <vt:variant>
        <vt:i4>5</vt:i4>
      </vt:variant>
      <vt:variant>
        <vt:lpwstr>http://www.acma.gov.au/Industry/Spectrum/Spectrum-planning/Current-APs-info-and-resources/rali-fx21-tv-ob-services</vt:lpwstr>
      </vt:variant>
      <vt:variant>
        <vt:lpwstr/>
      </vt:variant>
      <vt:variant>
        <vt:i4>7143539</vt:i4>
      </vt:variant>
      <vt:variant>
        <vt:i4>216</vt:i4>
      </vt:variant>
      <vt:variant>
        <vt:i4>0</vt:i4>
      </vt:variant>
      <vt:variant>
        <vt:i4>5</vt:i4>
      </vt:variant>
      <vt:variant>
        <vt:lpwstr>https://www.acma.gov.au/publications/2019-09/instruction/rali-ms31-notification-zones-around-radio-astronomy-facilities</vt:lpwstr>
      </vt:variant>
      <vt:variant>
        <vt:lpwstr/>
      </vt:variant>
      <vt:variant>
        <vt:i4>2293796</vt:i4>
      </vt:variant>
      <vt:variant>
        <vt:i4>213</vt:i4>
      </vt:variant>
      <vt:variant>
        <vt:i4>0</vt:i4>
      </vt:variant>
      <vt:variant>
        <vt:i4>5</vt:i4>
      </vt:variant>
      <vt:variant>
        <vt:lpwstr>http://www.acma.gov.au/Industry/Spectrum/Spectrum-planning/Current-APs-info-and-resources/rali-fx21-tv-ob-services</vt:lpwstr>
      </vt:variant>
      <vt:variant>
        <vt:lpwstr/>
      </vt:variant>
      <vt:variant>
        <vt:i4>393296</vt:i4>
      </vt:variant>
      <vt:variant>
        <vt:i4>207</vt:i4>
      </vt:variant>
      <vt:variant>
        <vt:i4>0</vt:i4>
      </vt:variant>
      <vt:variant>
        <vt:i4>5</vt:i4>
      </vt:variant>
      <vt:variant>
        <vt:lpwstr>http://www.comlaw.gov.au/Details/F2012L00731</vt:lpwstr>
      </vt:variant>
      <vt:variant>
        <vt:lpwstr/>
      </vt:variant>
      <vt:variant>
        <vt:i4>655378</vt:i4>
      </vt:variant>
      <vt:variant>
        <vt:i4>198</vt:i4>
      </vt:variant>
      <vt:variant>
        <vt:i4>0</vt:i4>
      </vt:variant>
      <vt:variant>
        <vt:i4>5</vt:i4>
      </vt:variant>
      <vt:variant>
        <vt:lpwstr>https://www.legislation.gov.au/Series/F2022L00842</vt:lpwstr>
      </vt:variant>
      <vt:variant>
        <vt:lpwstr/>
      </vt:variant>
      <vt:variant>
        <vt:i4>655378</vt:i4>
      </vt:variant>
      <vt:variant>
        <vt:i4>195</vt:i4>
      </vt:variant>
      <vt:variant>
        <vt:i4>0</vt:i4>
      </vt:variant>
      <vt:variant>
        <vt:i4>5</vt:i4>
      </vt:variant>
      <vt:variant>
        <vt:lpwstr>https://www.legislation.gov.au/Series/F2022L00843</vt:lpwstr>
      </vt:variant>
      <vt:variant>
        <vt:lpwstr/>
      </vt:variant>
      <vt:variant>
        <vt:i4>7405610</vt:i4>
      </vt:variant>
      <vt:variant>
        <vt:i4>192</vt:i4>
      </vt:variant>
      <vt:variant>
        <vt:i4>0</vt:i4>
      </vt:variant>
      <vt:variant>
        <vt:i4>5</vt:i4>
      </vt:variant>
      <vt:variant>
        <vt:lpwstr>https://www.legislation.gov.au/Details/F2012L00731</vt:lpwstr>
      </vt:variant>
      <vt:variant>
        <vt:lpwstr/>
      </vt:variant>
      <vt:variant>
        <vt:i4>4325416</vt:i4>
      </vt:variant>
      <vt:variant>
        <vt:i4>189</vt:i4>
      </vt:variant>
      <vt:variant>
        <vt:i4>0</vt:i4>
      </vt:variant>
      <vt:variant>
        <vt:i4>5</vt:i4>
      </vt:variant>
      <vt:variant>
        <vt:lpwstr>mailto:freqplan@acma.gov.au</vt:lpwstr>
      </vt:variant>
      <vt:variant>
        <vt:lpwstr/>
      </vt:variant>
      <vt:variant>
        <vt:i4>5832717</vt:i4>
      </vt:variant>
      <vt:variant>
        <vt:i4>24</vt:i4>
      </vt:variant>
      <vt:variant>
        <vt:i4>0</vt:i4>
      </vt:variant>
      <vt:variant>
        <vt:i4>5</vt:i4>
      </vt:variant>
      <vt:variant>
        <vt:lpwstr>https://www.acma.gov.au/consultations/2021-12/proposed-licensing-arrangements-2-ghz-narrowband-mobile-satellite-services-and-28-ghz-fixed-satellite-services-consultation-462021</vt:lpwstr>
      </vt:variant>
      <vt:variant>
        <vt:lpwstr/>
      </vt:variant>
      <vt:variant>
        <vt:i4>852050</vt:i4>
      </vt:variant>
      <vt:variant>
        <vt:i4>21</vt:i4>
      </vt:variant>
      <vt:variant>
        <vt:i4>0</vt:i4>
      </vt:variant>
      <vt:variant>
        <vt:i4>5</vt:i4>
      </vt:variant>
      <vt:variant>
        <vt:lpwstr>https://www.acma.gov.au/consultations/2021-12/replanning-2-ghz-band-review-2-ghz-television-outside-broadcast-frequency-band-plan-consultation-452021</vt:lpwstr>
      </vt:variant>
      <vt:variant>
        <vt:lpwstr/>
      </vt:variant>
      <vt:variant>
        <vt:i4>7602278</vt:i4>
      </vt:variant>
      <vt:variant>
        <vt:i4>18</vt:i4>
      </vt:variant>
      <vt:variant>
        <vt:i4>0</vt:i4>
      </vt:variant>
      <vt:variant>
        <vt:i4>5</vt:i4>
      </vt:variant>
      <vt:variant>
        <vt:lpwstr>https://webarchive.nla.gov.au/awa/20220603125817/https:/www.acma.gov.au/consultations/2020-12/review-23-ghz-spectrum-licencing-technical-framework-consultation-372020</vt:lpwstr>
      </vt:variant>
      <vt:variant>
        <vt:lpwstr/>
      </vt:variant>
      <vt:variant>
        <vt:i4>6291567</vt:i4>
      </vt:variant>
      <vt:variant>
        <vt:i4>15</vt:i4>
      </vt:variant>
      <vt:variant>
        <vt:i4>0</vt:i4>
      </vt:variant>
      <vt:variant>
        <vt:i4>5</vt:i4>
      </vt:variant>
      <vt:variant>
        <vt:lpwstr>https://webarchive.nla.gov.au/awa/20210318063159/https:/www.acma.gov.au/consultations/2020-07/replanning-options-2-ghz-band-consultation-232020</vt:lpwstr>
      </vt:variant>
      <vt:variant>
        <vt:lpwstr/>
      </vt:variant>
      <vt:variant>
        <vt:i4>7012388</vt:i4>
      </vt:variant>
      <vt:variant>
        <vt:i4>12</vt:i4>
      </vt:variant>
      <vt:variant>
        <vt:i4>0</vt:i4>
      </vt:variant>
      <vt:variant>
        <vt:i4>5</vt:i4>
      </vt:variant>
      <vt:variant>
        <vt:lpwstr>https://webarchive.nla.gov.au/awa/20160310132057/http:/acma.gov.au/theACMA/Consultations/Consultations/Current/coordination-arrangements-with-esa-new-norcia-earth-station</vt:lpwstr>
      </vt:variant>
      <vt:variant>
        <vt:lpwstr/>
      </vt:variant>
      <vt:variant>
        <vt:i4>1572935</vt:i4>
      </vt:variant>
      <vt:variant>
        <vt:i4>9</vt:i4>
      </vt:variant>
      <vt:variant>
        <vt:i4>0</vt:i4>
      </vt:variant>
      <vt:variant>
        <vt:i4>5</vt:i4>
      </vt:variant>
      <vt:variant>
        <vt:lpwstr>https://webarchive.nla.gov.au/awa/20151020120345/http:/www.acma.gov.au/theACMA/Consultations/Consultations/Current/proposed-updates-to-several-ralis</vt:lpwstr>
      </vt:variant>
      <vt:variant>
        <vt:lpwstr/>
      </vt:variant>
      <vt:variant>
        <vt:i4>2097184</vt:i4>
      </vt:variant>
      <vt:variant>
        <vt:i4>6</vt:i4>
      </vt:variant>
      <vt:variant>
        <vt:i4>0</vt:i4>
      </vt:variant>
      <vt:variant>
        <vt:i4>5</vt:i4>
      </vt:variant>
      <vt:variant>
        <vt:lpwstr>https://webarchive.nla.gov.au/awa/20160615144623/http:/www.acma.gov.au/Industry/Spectrum/Spectrum-planning/Current-APs-info-and-resources/revision-to-rali-fx21</vt:lpwstr>
      </vt:variant>
      <vt:variant>
        <vt:lpwstr/>
      </vt:variant>
      <vt:variant>
        <vt:i4>2097184</vt:i4>
      </vt:variant>
      <vt:variant>
        <vt:i4>3</vt:i4>
      </vt:variant>
      <vt:variant>
        <vt:i4>0</vt:i4>
      </vt:variant>
      <vt:variant>
        <vt:i4>5</vt:i4>
      </vt:variant>
      <vt:variant>
        <vt:lpwstr>https://webarchive.nla.gov.au/awa/20160615144623/http:/www.acma.gov.au/Industry/Spectrum/Spectrum-planning/Current-APs-info-and-resources/revision-to-rali-fx21</vt:lpwstr>
      </vt:variant>
      <vt:variant>
        <vt:lpwstr/>
      </vt:variant>
      <vt:variant>
        <vt:i4>3604504</vt:i4>
      </vt:variant>
      <vt:variant>
        <vt:i4>0</vt:i4>
      </vt:variant>
      <vt:variant>
        <vt:i4>0</vt:i4>
      </vt:variant>
      <vt:variant>
        <vt:i4>5</vt:i4>
      </vt:variant>
      <vt:variant>
        <vt:lpwstr>https://webarchive.nla.gov.au/awa/20130419125049/http:/www.acma.gov.au/WEB/STANDARD/pc=PC_410340</vt:lpwstr>
      </vt:variant>
      <vt:variant>
        <vt:lpwstr/>
      </vt:variant>
      <vt:variant>
        <vt:i4>3145770</vt:i4>
      </vt:variant>
      <vt:variant>
        <vt:i4>24</vt:i4>
      </vt:variant>
      <vt:variant>
        <vt:i4>0</vt:i4>
      </vt:variant>
      <vt:variant>
        <vt:i4>5</vt:i4>
      </vt:variant>
      <vt:variant>
        <vt:lpwstr>http://web.acma.gov.au/pls/radcom/register_search.main_page</vt:lpwstr>
      </vt:variant>
      <vt:variant>
        <vt:lpwstr/>
      </vt:variant>
      <vt:variant>
        <vt:i4>71</vt:i4>
      </vt:variant>
      <vt:variant>
        <vt:i4>21</vt:i4>
      </vt:variant>
      <vt:variant>
        <vt:i4>0</vt:i4>
      </vt:variant>
      <vt:variant>
        <vt:i4>5</vt:i4>
      </vt:variant>
      <vt:variant>
        <vt:lpwstr>http://www.acma.gov.au/theACMA/fixed-receive-licences-guidelines</vt:lpwstr>
      </vt:variant>
      <vt:variant>
        <vt:lpwstr/>
      </vt:variant>
      <vt:variant>
        <vt:i4>1835034</vt:i4>
      </vt:variant>
      <vt:variant>
        <vt:i4>18</vt:i4>
      </vt:variant>
      <vt:variant>
        <vt:i4>0</vt:i4>
      </vt:variant>
      <vt:variant>
        <vt:i4>5</vt:i4>
      </vt:variant>
      <vt:variant>
        <vt:lpwstr>http://www.acma.gov.au/Industry/Broadcast/Television/Licence-fees-and-charges/fixed-licence-overview</vt:lpwstr>
      </vt:variant>
      <vt:variant>
        <vt:lpwstr/>
      </vt:variant>
      <vt:variant>
        <vt:i4>4325416</vt:i4>
      </vt:variant>
      <vt:variant>
        <vt:i4>15</vt:i4>
      </vt:variant>
      <vt:variant>
        <vt:i4>0</vt:i4>
      </vt:variant>
      <vt:variant>
        <vt:i4>5</vt:i4>
      </vt:variant>
      <vt:variant>
        <vt:lpwstr>mailto:freqplan@acma.gov.au</vt:lpwstr>
      </vt:variant>
      <vt:variant>
        <vt:lpwstr/>
      </vt:variant>
      <vt:variant>
        <vt:i4>393296</vt:i4>
      </vt:variant>
      <vt:variant>
        <vt:i4>12</vt:i4>
      </vt:variant>
      <vt:variant>
        <vt:i4>0</vt:i4>
      </vt:variant>
      <vt:variant>
        <vt:i4>5</vt:i4>
      </vt:variant>
      <vt:variant>
        <vt:lpwstr>http://www.comlaw.gov.au/Details/F2011L01520</vt:lpwstr>
      </vt:variant>
      <vt:variant>
        <vt:lpwstr/>
      </vt:variant>
      <vt:variant>
        <vt:i4>196697</vt:i4>
      </vt:variant>
      <vt:variant>
        <vt:i4>9</vt:i4>
      </vt:variant>
      <vt:variant>
        <vt:i4>0</vt:i4>
      </vt:variant>
      <vt:variant>
        <vt:i4>5</vt:i4>
      </vt:variant>
      <vt:variant>
        <vt:lpwstr>http://www.comlaw.gov.au/Details/F2011L02181</vt:lpwstr>
      </vt:variant>
      <vt:variant>
        <vt:lpwstr/>
      </vt:variant>
      <vt:variant>
        <vt:i4>655378</vt:i4>
      </vt:variant>
      <vt:variant>
        <vt:i4>6</vt:i4>
      </vt:variant>
      <vt:variant>
        <vt:i4>0</vt:i4>
      </vt:variant>
      <vt:variant>
        <vt:i4>5</vt:i4>
      </vt:variant>
      <vt:variant>
        <vt:lpwstr>https://www.legislation.gov.au/Series/F2022L00842</vt:lpwstr>
      </vt:variant>
      <vt:variant>
        <vt:lpwstr/>
      </vt:variant>
      <vt:variant>
        <vt:i4>393296</vt:i4>
      </vt:variant>
      <vt:variant>
        <vt:i4>3</vt:i4>
      </vt:variant>
      <vt:variant>
        <vt:i4>0</vt:i4>
      </vt:variant>
      <vt:variant>
        <vt:i4>5</vt:i4>
      </vt:variant>
      <vt:variant>
        <vt:lpwstr>http://www.comlaw.gov.au/Details/F2012L00731</vt:lpwstr>
      </vt:variant>
      <vt:variant>
        <vt:lpwstr/>
      </vt:variant>
      <vt:variant>
        <vt:i4>1966168</vt:i4>
      </vt:variant>
      <vt:variant>
        <vt:i4>0</vt:i4>
      </vt:variant>
      <vt:variant>
        <vt:i4>0</vt:i4>
      </vt:variant>
      <vt:variant>
        <vt:i4>5</vt:i4>
      </vt:variant>
      <vt:variant>
        <vt:lpwstr>http://www.acma.gov.au/Industry/Spectrum/Digital-Dividend-700MHz-and-25Gz-Auction/Restack/longterm-arrangements-for-eng-digital-dividend-acma</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2022-08-18T00:50:00Z</dcterms:created>
  <dcterms:modified xsi:type="dcterms:W3CDTF">2022-08-18T00:50:00Z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0x010100100ACE45694B3D4892C74020F839F147</vt:lpwstr>
  </property>
</Properties>
</file>