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BA96" w14:textId="14B2501E" w:rsidR="00714299" w:rsidRPr="005323E4" w:rsidRDefault="00040C47" w:rsidP="00040C47">
      <w:pPr>
        <w:pStyle w:val="Reporttitle"/>
        <w:rPr>
          <w:spacing w:val="0"/>
        </w:rPr>
      </w:pPr>
      <w:bookmarkStart w:id="0" w:name="_Hlk108452802"/>
      <w:r w:rsidRPr="007B177A">
        <w:t>Foreign owners</w:t>
      </w:r>
      <w:r w:rsidR="00E92305">
        <w:t>hip</w:t>
      </w:r>
      <w:r w:rsidRPr="007B177A">
        <w:t xml:space="preserve"> of </w:t>
      </w:r>
      <w:r w:rsidR="00A61A17">
        <w:t xml:space="preserve">Australian </w:t>
      </w:r>
      <w:r w:rsidRPr="007B177A">
        <w:t>media assets: r</w:t>
      </w:r>
      <w:r w:rsidR="00AD3545" w:rsidRPr="007B177A">
        <w:t xml:space="preserve">eview of </w:t>
      </w:r>
      <w:r w:rsidR="001E3DC0" w:rsidRPr="007B177A">
        <w:t xml:space="preserve">legislative </w:t>
      </w:r>
      <w:r w:rsidR="00AD3545" w:rsidRPr="007B177A">
        <w:t xml:space="preserve">requirements </w:t>
      </w:r>
      <w:bookmarkEnd w:id="0"/>
    </w:p>
    <w:p w14:paraId="6F625C03" w14:textId="05336133" w:rsidR="00F06E14" w:rsidRPr="007B177A" w:rsidRDefault="00770B3F" w:rsidP="00F06E14">
      <w:pPr>
        <w:pStyle w:val="Reportsubtitle"/>
      </w:pPr>
      <w:r w:rsidRPr="007B177A">
        <w:t xml:space="preserve">Consultation </w:t>
      </w:r>
      <w:r w:rsidR="00714299" w:rsidRPr="007B177A">
        <w:t>paper</w:t>
      </w:r>
    </w:p>
    <w:p w14:paraId="2B70E404" w14:textId="1E26A896" w:rsidR="00C97736" w:rsidRPr="005323E4" w:rsidRDefault="00714299" w:rsidP="00EC2B68">
      <w:pPr>
        <w:pStyle w:val="Reportdate"/>
        <w:spacing w:after="720"/>
        <w:rPr>
          <w:rFonts w:cs="Arial"/>
          <w:spacing w:val="0"/>
        </w:rPr>
        <w:sectPr w:rsidR="00C97736" w:rsidRPr="005323E4" w:rsidSect="0084020F">
          <w:headerReference w:type="default" r:id="rId8"/>
          <w:footerReference w:type="default" r:id="rId9"/>
          <w:headerReference w:type="first" r:id="rId10"/>
          <w:pgSz w:w="11906" w:h="16838" w:code="9"/>
          <w:pgMar w:top="3924" w:right="992" w:bottom="1560" w:left="1134" w:header="709" w:footer="454" w:gutter="0"/>
          <w:cols w:space="708"/>
          <w:docGrid w:linePitch="360"/>
        </w:sectPr>
      </w:pPr>
      <w:r w:rsidRPr="005323E4">
        <w:rPr>
          <w:spacing w:val="0"/>
        </w:rPr>
        <w:t>ju</w:t>
      </w:r>
      <w:r w:rsidR="00CF0B20" w:rsidRPr="005323E4">
        <w:rPr>
          <w:spacing w:val="0"/>
        </w:rPr>
        <w:t>ly</w:t>
      </w:r>
      <w:r w:rsidR="00BD4421" w:rsidRPr="005323E4">
        <w:rPr>
          <w:spacing w:val="0"/>
        </w:rPr>
        <w:t xml:space="preserve"> 20</w:t>
      </w:r>
      <w:r w:rsidR="008E0428" w:rsidRPr="005323E4">
        <w:rPr>
          <w:spacing w:val="0"/>
        </w:rPr>
        <w:t>2</w:t>
      </w:r>
      <w:r w:rsidR="00E162C4" w:rsidRPr="005323E4">
        <w:rPr>
          <w:spacing w:val="0"/>
        </w:rPr>
        <w:t>2</w:t>
      </w:r>
    </w:p>
    <w:p w14:paraId="24E829EC" w14:textId="77777777" w:rsidR="0005011A" w:rsidRPr="005323E4" w:rsidRDefault="0005011A" w:rsidP="00FC07B9">
      <w:pPr>
        <w:pStyle w:val="ACMACorporateAddressHeader"/>
      </w:pPr>
      <w:r w:rsidRPr="005323E4">
        <w:lastRenderedPageBreak/>
        <w:t>Canberra</w:t>
      </w:r>
    </w:p>
    <w:p w14:paraId="799D0C9C" w14:textId="77777777" w:rsidR="0005011A" w:rsidRPr="005323E4" w:rsidRDefault="0005011A" w:rsidP="00FC07B9">
      <w:pPr>
        <w:pStyle w:val="ACMACorporateAddresses"/>
      </w:pPr>
      <w:r w:rsidRPr="005323E4">
        <w:t xml:space="preserve">Red Building </w:t>
      </w:r>
      <w:r w:rsidRPr="005323E4">
        <w:br/>
        <w:t>Benjamin Offices</w:t>
      </w:r>
      <w:r w:rsidRPr="005323E4">
        <w:br/>
        <w:t xml:space="preserve">Chan Street </w:t>
      </w:r>
      <w:r w:rsidRPr="005323E4">
        <w:br/>
        <w:t>Belconnen ACT</w:t>
      </w:r>
    </w:p>
    <w:p w14:paraId="18F9C0A0" w14:textId="77777777" w:rsidR="0005011A" w:rsidRPr="005323E4" w:rsidRDefault="0005011A" w:rsidP="00FC07B9">
      <w:pPr>
        <w:pStyle w:val="ACMACorporateAddresses"/>
      </w:pPr>
      <w:r w:rsidRPr="005323E4">
        <w:t>PO Box 78</w:t>
      </w:r>
      <w:r w:rsidRPr="005323E4">
        <w:br/>
        <w:t>Belconnen ACT 2616</w:t>
      </w:r>
    </w:p>
    <w:p w14:paraId="405F68A8" w14:textId="77777777" w:rsidR="00FE1823" w:rsidRPr="005323E4" w:rsidRDefault="0005011A" w:rsidP="00FC07B9">
      <w:pPr>
        <w:pStyle w:val="ACMACorporateAddresses"/>
      </w:pPr>
      <w:r w:rsidRPr="005323E4">
        <w:t>T</w:t>
      </w:r>
      <w:r w:rsidR="00537604" w:rsidRPr="005323E4">
        <w:tab/>
      </w:r>
      <w:r w:rsidRPr="005323E4">
        <w:t>+61 2 6219 5555</w:t>
      </w:r>
      <w:r w:rsidRPr="005323E4">
        <w:br/>
        <w:t>F</w:t>
      </w:r>
      <w:r w:rsidR="00537604" w:rsidRPr="005323E4">
        <w:tab/>
      </w:r>
      <w:r w:rsidRPr="005323E4">
        <w:t>+61 2 6219 5353</w:t>
      </w:r>
    </w:p>
    <w:p w14:paraId="273EC728" w14:textId="77777777" w:rsidR="0005011A" w:rsidRPr="005323E4" w:rsidRDefault="0005011A" w:rsidP="00FC07B9">
      <w:pPr>
        <w:pStyle w:val="ACMACorporateAddressHeader"/>
      </w:pPr>
      <w:r w:rsidRPr="005323E4">
        <w:t>Melbourne</w:t>
      </w:r>
    </w:p>
    <w:p w14:paraId="2E6B0001" w14:textId="77777777" w:rsidR="0005011A" w:rsidRPr="005323E4" w:rsidRDefault="0005011A" w:rsidP="00FC07B9">
      <w:pPr>
        <w:pStyle w:val="ACMACorporateAddresses"/>
      </w:pPr>
      <w:r w:rsidRPr="005323E4">
        <w:t xml:space="preserve">Level 32 </w:t>
      </w:r>
      <w:r w:rsidRPr="005323E4">
        <w:br/>
        <w:t>Melbourne Central Tower</w:t>
      </w:r>
      <w:r w:rsidRPr="005323E4">
        <w:br/>
        <w:t xml:space="preserve">360 Elizabeth Street </w:t>
      </w:r>
      <w:r w:rsidR="008C10F4" w:rsidRPr="005323E4">
        <w:br/>
      </w:r>
      <w:r w:rsidRPr="005323E4">
        <w:t>Melbourne VIC</w:t>
      </w:r>
    </w:p>
    <w:p w14:paraId="59EC0239" w14:textId="77777777" w:rsidR="0005011A" w:rsidRPr="005323E4" w:rsidRDefault="0005011A" w:rsidP="00FC07B9">
      <w:pPr>
        <w:pStyle w:val="ACMACorporateAddresses"/>
      </w:pPr>
      <w:r w:rsidRPr="005323E4">
        <w:t>PO Box 13112</w:t>
      </w:r>
      <w:r w:rsidRPr="005323E4">
        <w:br/>
        <w:t xml:space="preserve">Law Courts </w:t>
      </w:r>
      <w:r w:rsidRPr="005323E4">
        <w:br/>
        <w:t>Melbourne VIC 8010</w:t>
      </w:r>
    </w:p>
    <w:p w14:paraId="4E1E3912" w14:textId="77777777" w:rsidR="0005011A" w:rsidRPr="005323E4" w:rsidRDefault="0005011A" w:rsidP="00FC07B9">
      <w:pPr>
        <w:pStyle w:val="ACMACorporateAddresses"/>
      </w:pPr>
      <w:r w:rsidRPr="005323E4">
        <w:t>T</w:t>
      </w:r>
      <w:r w:rsidR="00140318" w:rsidRPr="005323E4">
        <w:tab/>
      </w:r>
      <w:r w:rsidRPr="005323E4">
        <w:t>+61 3 9963 6800</w:t>
      </w:r>
      <w:r w:rsidRPr="005323E4">
        <w:br/>
        <w:t>F</w:t>
      </w:r>
      <w:r w:rsidR="00140318" w:rsidRPr="005323E4">
        <w:tab/>
      </w:r>
      <w:r w:rsidRPr="005323E4">
        <w:t>+61 3 9963 6899</w:t>
      </w:r>
    </w:p>
    <w:p w14:paraId="788044BF" w14:textId="77777777" w:rsidR="0005011A" w:rsidRPr="005323E4" w:rsidRDefault="0005011A" w:rsidP="00FC07B9">
      <w:pPr>
        <w:pStyle w:val="ACMACorporateAddressHeader"/>
      </w:pPr>
      <w:r w:rsidRPr="005323E4">
        <w:t>Sydney</w:t>
      </w:r>
    </w:p>
    <w:p w14:paraId="6BDA5217" w14:textId="77777777" w:rsidR="0005011A" w:rsidRPr="005323E4" w:rsidRDefault="0005011A" w:rsidP="00FC07B9">
      <w:pPr>
        <w:pStyle w:val="ACMACorporateAddresses"/>
      </w:pPr>
      <w:r w:rsidRPr="005323E4">
        <w:t xml:space="preserve">Level 5 </w:t>
      </w:r>
      <w:r w:rsidRPr="005323E4">
        <w:br/>
        <w:t>The Bay Centre</w:t>
      </w:r>
      <w:r w:rsidRPr="005323E4">
        <w:br/>
        <w:t xml:space="preserve">65 Pirrama Road </w:t>
      </w:r>
      <w:r w:rsidRPr="005323E4">
        <w:br/>
        <w:t>Pyrmont NSW</w:t>
      </w:r>
    </w:p>
    <w:p w14:paraId="318C1C31" w14:textId="77777777" w:rsidR="0005011A" w:rsidRPr="005323E4" w:rsidRDefault="0005011A" w:rsidP="00FC07B9">
      <w:pPr>
        <w:pStyle w:val="ACMACorporateAddresses"/>
      </w:pPr>
      <w:r w:rsidRPr="005323E4">
        <w:t>PO Box Q500</w:t>
      </w:r>
      <w:r w:rsidRPr="005323E4">
        <w:br/>
        <w:t xml:space="preserve">Queen Victoria Building </w:t>
      </w:r>
      <w:r w:rsidRPr="005323E4">
        <w:br/>
        <w:t>NSW 1230</w:t>
      </w:r>
    </w:p>
    <w:p w14:paraId="67224390" w14:textId="77777777" w:rsidR="0005011A" w:rsidRPr="005323E4" w:rsidRDefault="0005011A" w:rsidP="00FC07B9">
      <w:pPr>
        <w:pStyle w:val="ACMACorporateAddresses"/>
      </w:pPr>
      <w:r w:rsidRPr="005323E4">
        <w:t>T</w:t>
      </w:r>
      <w:r w:rsidR="00140318" w:rsidRPr="005323E4">
        <w:tab/>
      </w:r>
      <w:r w:rsidRPr="005323E4">
        <w:t>+61 2 9334 7700</w:t>
      </w:r>
      <w:r w:rsidR="00140318" w:rsidRPr="005323E4">
        <w:t xml:space="preserve"> or</w:t>
      </w:r>
      <w:r w:rsidRPr="005323E4">
        <w:t xml:space="preserve"> 1800 226 667</w:t>
      </w:r>
      <w:r w:rsidRPr="005323E4">
        <w:br/>
        <w:t>F</w:t>
      </w:r>
      <w:r w:rsidR="00140318" w:rsidRPr="005323E4">
        <w:tab/>
      </w:r>
      <w:r w:rsidRPr="005323E4">
        <w:t>+61 2 9334 7799</w:t>
      </w:r>
    </w:p>
    <w:p w14:paraId="2886DB42" w14:textId="77777777" w:rsidR="00140318" w:rsidRPr="005323E4" w:rsidRDefault="00140318" w:rsidP="00FC07B9">
      <w:pPr>
        <w:pStyle w:val="ACMACopyrightHeader"/>
      </w:pPr>
      <w:r w:rsidRPr="005323E4">
        <w:t>Copyright notice</w:t>
      </w:r>
    </w:p>
    <w:p w14:paraId="589634B0" w14:textId="77777777" w:rsidR="00140318" w:rsidRPr="005323E4" w:rsidRDefault="00623FF9" w:rsidP="00623FF9">
      <w:pPr>
        <w:pStyle w:val="ACMACClogo"/>
      </w:pPr>
      <w:r w:rsidRPr="005323E4">
        <w:rPr>
          <w:noProof/>
        </w:rPr>
        <w:drawing>
          <wp:inline distT="0" distB="0" distL="0" distR="0" wp14:anchorId="3BE8B3B3" wp14:editId="6942B297">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1570293E" w14:textId="77777777" w:rsidR="00AA2DE5" w:rsidRPr="005323E4" w:rsidRDefault="000A56C7" w:rsidP="00AA2DE5">
      <w:pPr>
        <w:pStyle w:val="ACMACorporateAddresses"/>
        <w:rPr>
          <w:rStyle w:val="Hyperlink"/>
        </w:rPr>
      </w:pPr>
      <w:hyperlink r:id="rId13" w:history="1">
        <w:r w:rsidR="00AA2DE5" w:rsidRPr="005323E4">
          <w:rPr>
            <w:rStyle w:val="Hyperlink"/>
          </w:rPr>
          <w:t>https://creativecommons.org/licenses/by/4.0/</w:t>
        </w:r>
      </w:hyperlink>
    </w:p>
    <w:p w14:paraId="0AEAF92E" w14:textId="77777777" w:rsidR="00AA2DE5" w:rsidRPr="005323E4" w:rsidRDefault="00AA2DE5" w:rsidP="00AA2DE5">
      <w:pPr>
        <w:pStyle w:val="ACMACorporateAddresses"/>
      </w:pPr>
      <w:r w:rsidRPr="005323E4">
        <w:t xml:space="preserve">With the exception of coats of arms, logos, emblems, images, other third-party material or devices protected by a trademark, this content is made available under the terms of the Creative Commons Attribution 4.0 International (CC BY 4.0) licence. </w:t>
      </w:r>
    </w:p>
    <w:p w14:paraId="73662263" w14:textId="77777777" w:rsidR="00AA2DE5" w:rsidRPr="005323E4" w:rsidRDefault="00AA2DE5" w:rsidP="00AA2DE5">
      <w:pPr>
        <w:pStyle w:val="ACMACorporateAddresses"/>
      </w:pPr>
      <w:r w:rsidRPr="005323E4">
        <w:t>We request attribution as © Commonwealth of Australia (Australian Communications and Media Authority) 20</w:t>
      </w:r>
      <w:r w:rsidR="00C41F21" w:rsidRPr="005323E4">
        <w:t>2</w:t>
      </w:r>
      <w:r w:rsidR="00E162C4" w:rsidRPr="005323E4">
        <w:t>2</w:t>
      </w:r>
      <w:r w:rsidRPr="005323E4">
        <w:t>.</w:t>
      </w:r>
    </w:p>
    <w:p w14:paraId="30423783" w14:textId="77777777" w:rsidR="00AA2DE5" w:rsidRPr="005323E4" w:rsidRDefault="00AA2DE5" w:rsidP="00AA2DE5">
      <w:pPr>
        <w:pStyle w:val="ACMACorporateAddresses"/>
      </w:pPr>
      <w:r w:rsidRPr="005323E4">
        <w:t>All other rights are reserved.</w:t>
      </w:r>
    </w:p>
    <w:p w14:paraId="775866B1" w14:textId="77777777" w:rsidR="00AA2DE5" w:rsidRPr="005323E4" w:rsidRDefault="00AA2DE5" w:rsidP="00AA2DE5">
      <w:pPr>
        <w:pStyle w:val="ACMACorporateAddresses"/>
      </w:pPr>
      <w:r w:rsidRPr="005323E4">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156886CB" w14:textId="77777777" w:rsidR="00AA2DE5" w:rsidRPr="005323E4" w:rsidRDefault="00AA2DE5" w:rsidP="00AA2DE5">
      <w:pPr>
        <w:pStyle w:val="ACMACorporateAddresses"/>
      </w:pPr>
      <w:r w:rsidRPr="005323E4">
        <w:t>Written enquiries may be sent to:</w:t>
      </w:r>
    </w:p>
    <w:p w14:paraId="6607E233" w14:textId="77777777" w:rsidR="00AA2DE5" w:rsidRPr="005323E4" w:rsidRDefault="00AA2DE5" w:rsidP="00AA2DE5">
      <w:pPr>
        <w:pStyle w:val="ACMACorporateAddresses"/>
        <w:rPr>
          <w:rStyle w:val="Hyperlink"/>
        </w:rPr>
      </w:pPr>
      <w:r w:rsidRPr="005323E4">
        <w:t xml:space="preserve">Manager, Editorial </w:t>
      </w:r>
      <w:r w:rsidR="000245E5" w:rsidRPr="005323E4">
        <w:t>Services</w:t>
      </w:r>
      <w:r w:rsidRPr="005323E4">
        <w:br/>
        <w:t>PO Box 13112</w:t>
      </w:r>
      <w:r w:rsidRPr="005323E4">
        <w:br/>
        <w:t>Law Courts</w:t>
      </w:r>
      <w:r w:rsidRPr="005323E4">
        <w:br/>
        <w:t>Melbourne VIC 8010</w:t>
      </w:r>
      <w:r w:rsidRPr="005323E4">
        <w:br/>
        <w:t xml:space="preserve">Email: </w:t>
      </w:r>
      <w:hyperlink r:id="rId14" w:history="1">
        <w:r w:rsidRPr="005323E4">
          <w:rPr>
            <w:rStyle w:val="Hyperlink"/>
          </w:rPr>
          <w:t>info@acma.gov.au</w:t>
        </w:r>
      </w:hyperlink>
    </w:p>
    <w:p w14:paraId="577DB12B" w14:textId="77777777" w:rsidR="00D16FE3" w:rsidRPr="005323E4" w:rsidRDefault="00D16FE3" w:rsidP="00D16FE3">
      <w:pPr>
        <w:pStyle w:val="ACMACorporateAddresses"/>
        <w:rPr>
          <w:rStyle w:val="Hyperlink"/>
        </w:rPr>
      </w:pPr>
    </w:p>
    <w:p w14:paraId="0C029504" w14:textId="77777777" w:rsidR="00D16FE3" w:rsidRPr="005323E4" w:rsidRDefault="00D16FE3" w:rsidP="00D16FE3">
      <w:pPr>
        <w:pStyle w:val="ACMACorporateAddresses"/>
        <w:sectPr w:rsidR="00D16FE3" w:rsidRPr="005323E4">
          <w:headerReference w:type="even" r:id="rId15"/>
          <w:headerReference w:type="default" r:id="rId16"/>
          <w:footerReference w:type="even" r:id="rId17"/>
          <w:footerReference w:type="default" r:id="rId18"/>
          <w:headerReference w:type="first" r:id="rId19"/>
          <w:pgSz w:w="11906" w:h="16838" w:code="9"/>
          <w:pgMar w:top="3924" w:right="1797" w:bottom="697" w:left="1134" w:header="709" w:footer="119" w:gutter="0"/>
          <w:cols w:space="708"/>
          <w:docGrid w:linePitch="360"/>
        </w:sectPr>
      </w:pPr>
    </w:p>
    <w:p w14:paraId="7E52E6B6" w14:textId="0445D225" w:rsidR="00B039CA" w:rsidRDefault="006A3ECF">
      <w:pPr>
        <w:pStyle w:val="TOC1"/>
        <w:rPr>
          <w:rFonts w:asciiTheme="minorHAnsi" w:eastAsiaTheme="minorEastAsia" w:hAnsiTheme="minorHAnsi" w:cstheme="minorBidi"/>
          <w:b w:val="0"/>
          <w:spacing w:val="0"/>
          <w:sz w:val="22"/>
          <w:szCs w:val="22"/>
        </w:rPr>
      </w:pPr>
      <w:r w:rsidRPr="005323E4">
        <w:rPr>
          <w:rFonts w:cs="Arial"/>
          <w:spacing w:val="0"/>
        </w:rPr>
        <w:lastRenderedPageBreak/>
        <w:fldChar w:fldCharType="begin"/>
      </w:r>
      <w:r w:rsidRPr="005323E4">
        <w:rPr>
          <w:rFonts w:cs="Arial"/>
          <w:spacing w:val="0"/>
        </w:rPr>
        <w:instrText xml:space="preserve"> TOC \o "1-2" \h \z \t "Exec summary heading,1" </w:instrText>
      </w:r>
      <w:r w:rsidRPr="005323E4">
        <w:rPr>
          <w:rFonts w:cs="Arial"/>
          <w:spacing w:val="0"/>
        </w:rPr>
        <w:fldChar w:fldCharType="separate"/>
      </w:r>
      <w:hyperlink w:anchor="_Toc108451520" w:history="1">
        <w:r w:rsidR="00B039CA" w:rsidRPr="00885A6E">
          <w:rPr>
            <w:rStyle w:val="Hyperlink"/>
          </w:rPr>
          <w:t>Introduction</w:t>
        </w:r>
        <w:r w:rsidR="00B039CA">
          <w:rPr>
            <w:webHidden/>
          </w:rPr>
          <w:tab/>
        </w:r>
        <w:r w:rsidR="00B039CA">
          <w:rPr>
            <w:webHidden/>
          </w:rPr>
          <w:fldChar w:fldCharType="begin"/>
        </w:r>
        <w:r w:rsidR="00B039CA">
          <w:rPr>
            <w:webHidden/>
          </w:rPr>
          <w:instrText xml:space="preserve"> PAGEREF _Toc108451520 \h </w:instrText>
        </w:r>
        <w:r w:rsidR="00B039CA">
          <w:rPr>
            <w:webHidden/>
          </w:rPr>
        </w:r>
        <w:r w:rsidR="00B039CA">
          <w:rPr>
            <w:webHidden/>
          </w:rPr>
          <w:fldChar w:fldCharType="separate"/>
        </w:r>
        <w:r w:rsidR="00524536">
          <w:rPr>
            <w:webHidden/>
          </w:rPr>
          <w:t>1</w:t>
        </w:r>
        <w:r w:rsidR="00B039CA">
          <w:rPr>
            <w:webHidden/>
          </w:rPr>
          <w:fldChar w:fldCharType="end"/>
        </w:r>
      </w:hyperlink>
    </w:p>
    <w:p w14:paraId="4D69E2EE" w14:textId="1C55E856" w:rsidR="00B039CA" w:rsidRDefault="000A56C7">
      <w:pPr>
        <w:pStyle w:val="TOC2"/>
        <w:rPr>
          <w:rFonts w:asciiTheme="minorHAnsi" w:eastAsiaTheme="minorEastAsia" w:hAnsiTheme="minorHAnsi" w:cstheme="minorBidi"/>
          <w:spacing w:val="0"/>
          <w:sz w:val="22"/>
          <w:szCs w:val="22"/>
        </w:rPr>
      </w:pPr>
      <w:hyperlink w:anchor="_Toc108451521" w:history="1">
        <w:r w:rsidR="00B039CA" w:rsidRPr="00885A6E">
          <w:rPr>
            <w:rStyle w:val="Hyperlink"/>
          </w:rPr>
          <w:t>Background</w:t>
        </w:r>
        <w:r w:rsidR="00B039CA">
          <w:rPr>
            <w:webHidden/>
          </w:rPr>
          <w:tab/>
        </w:r>
        <w:r w:rsidR="00B039CA">
          <w:rPr>
            <w:webHidden/>
          </w:rPr>
          <w:fldChar w:fldCharType="begin"/>
        </w:r>
        <w:r w:rsidR="00B039CA">
          <w:rPr>
            <w:webHidden/>
          </w:rPr>
          <w:instrText xml:space="preserve"> PAGEREF _Toc108451521 \h </w:instrText>
        </w:r>
        <w:r w:rsidR="00B039CA">
          <w:rPr>
            <w:webHidden/>
          </w:rPr>
        </w:r>
        <w:r w:rsidR="00B039CA">
          <w:rPr>
            <w:webHidden/>
          </w:rPr>
          <w:fldChar w:fldCharType="separate"/>
        </w:r>
        <w:r w:rsidR="00524536">
          <w:rPr>
            <w:webHidden/>
          </w:rPr>
          <w:t>1</w:t>
        </w:r>
        <w:r w:rsidR="00B039CA">
          <w:rPr>
            <w:webHidden/>
          </w:rPr>
          <w:fldChar w:fldCharType="end"/>
        </w:r>
      </w:hyperlink>
    </w:p>
    <w:p w14:paraId="7233A664" w14:textId="45468214" w:rsidR="00B039CA" w:rsidRDefault="000A56C7">
      <w:pPr>
        <w:pStyle w:val="TOC2"/>
        <w:rPr>
          <w:rFonts w:asciiTheme="minorHAnsi" w:eastAsiaTheme="minorEastAsia" w:hAnsiTheme="minorHAnsi" w:cstheme="minorBidi"/>
          <w:spacing w:val="0"/>
          <w:sz w:val="22"/>
          <w:szCs w:val="22"/>
        </w:rPr>
      </w:pPr>
      <w:hyperlink w:anchor="_Toc108451522" w:history="1">
        <w:r w:rsidR="00B039CA" w:rsidRPr="00885A6E">
          <w:rPr>
            <w:rStyle w:val="Hyperlink"/>
          </w:rPr>
          <w:t>Statutory review</w:t>
        </w:r>
        <w:r w:rsidR="00B039CA">
          <w:rPr>
            <w:webHidden/>
          </w:rPr>
          <w:tab/>
        </w:r>
        <w:r w:rsidR="00B039CA">
          <w:rPr>
            <w:webHidden/>
          </w:rPr>
          <w:fldChar w:fldCharType="begin"/>
        </w:r>
        <w:r w:rsidR="00B039CA">
          <w:rPr>
            <w:webHidden/>
          </w:rPr>
          <w:instrText xml:space="preserve"> PAGEREF _Toc108451522 \h </w:instrText>
        </w:r>
        <w:r w:rsidR="00B039CA">
          <w:rPr>
            <w:webHidden/>
          </w:rPr>
        </w:r>
        <w:r w:rsidR="00B039CA">
          <w:rPr>
            <w:webHidden/>
          </w:rPr>
          <w:fldChar w:fldCharType="separate"/>
        </w:r>
        <w:r w:rsidR="00524536">
          <w:rPr>
            <w:webHidden/>
          </w:rPr>
          <w:t>2</w:t>
        </w:r>
        <w:r w:rsidR="00B039CA">
          <w:rPr>
            <w:webHidden/>
          </w:rPr>
          <w:fldChar w:fldCharType="end"/>
        </w:r>
      </w:hyperlink>
    </w:p>
    <w:p w14:paraId="428333AD" w14:textId="160F789E" w:rsidR="00B039CA" w:rsidRDefault="000A56C7">
      <w:pPr>
        <w:pStyle w:val="TOC1"/>
        <w:rPr>
          <w:rFonts w:asciiTheme="minorHAnsi" w:eastAsiaTheme="minorEastAsia" w:hAnsiTheme="minorHAnsi" w:cstheme="minorBidi"/>
          <w:b w:val="0"/>
          <w:spacing w:val="0"/>
          <w:sz w:val="22"/>
          <w:szCs w:val="22"/>
        </w:rPr>
      </w:pPr>
      <w:hyperlink w:anchor="_Toc108451523" w:history="1">
        <w:r w:rsidR="00B039CA" w:rsidRPr="00885A6E">
          <w:rPr>
            <w:rStyle w:val="Hyperlink"/>
          </w:rPr>
          <w:t>Issues for comment</w:t>
        </w:r>
        <w:r w:rsidR="00B039CA">
          <w:rPr>
            <w:webHidden/>
          </w:rPr>
          <w:tab/>
        </w:r>
        <w:r w:rsidR="00B039CA">
          <w:rPr>
            <w:webHidden/>
          </w:rPr>
          <w:fldChar w:fldCharType="begin"/>
        </w:r>
        <w:r w:rsidR="00B039CA">
          <w:rPr>
            <w:webHidden/>
          </w:rPr>
          <w:instrText xml:space="preserve"> PAGEREF _Toc108451523 \h </w:instrText>
        </w:r>
        <w:r w:rsidR="00B039CA">
          <w:rPr>
            <w:webHidden/>
          </w:rPr>
        </w:r>
        <w:r w:rsidR="00B039CA">
          <w:rPr>
            <w:webHidden/>
          </w:rPr>
          <w:fldChar w:fldCharType="separate"/>
        </w:r>
        <w:r w:rsidR="00524536">
          <w:rPr>
            <w:webHidden/>
          </w:rPr>
          <w:t>4</w:t>
        </w:r>
        <w:r w:rsidR="00B039CA">
          <w:rPr>
            <w:webHidden/>
          </w:rPr>
          <w:fldChar w:fldCharType="end"/>
        </w:r>
      </w:hyperlink>
    </w:p>
    <w:p w14:paraId="3E625CAC" w14:textId="7433B671" w:rsidR="00B039CA" w:rsidRDefault="000A56C7">
      <w:pPr>
        <w:pStyle w:val="TOC2"/>
        <w:rPr>
          <w:rFonts w:asciiTheme="minorHAnsi" w:eastAsiaTheme="minorEastAsia" w:hAnsiTheme="minorHAnsi" w:cstheme="minorBidi"/>
          <w:spacing w:val="0"/>
          <w:sz w:val="22"/>
          <w:szCs w:val="22"/>
        </w:rPr>
      </w:pPr>
      <w:hyperlink w:anchor="_Toc108451524" w:history="1">
        <w:r w:rsidR="00B039CA" w:rsidRPr="00885A6E">
          <w:rPr>
            <w:rStyle w:val="Hyperlink"/>
          </w:rPr>
          <w:t>Policy objectives for Division 10A</w:t>
        </w:r>
        <w:r w:rsidR="00B039CA">
          <w:rPr>
            <w:webHidden/>
          </w:rPr>
          <w:tab/>
        </w:r>
        <w:r w:rsidR="00B039CA">
          <w:rPr>
            <w:webHidden/>
          </w:rPr>
          <w:fldChar w:fldCharType="begin"/>
        </w:r>
        <w:r w:rsidR="00B039CA">
          <w:rPr>
            <w:webHidden/>
          </w:rPr>
          <w:instrText xml:space="preserve"> PAGEREF _Toc108451524 \h </w:instrText>
        </w:r>
        <w:r w:rsidR="00B039CA">
          <w:rPr>
            <w:webHidden/>
          </w:rPr>
        </w:r>
        <w:r w:rsidR="00B039CA">
          <w:rPr>
            <w:webHidden/>
          </w:rPr>
          <w:fldChar w:fldCharType="separate"/>
        </w:r>
        <w:r w:rsidR="00524536">
          <w:rPr>
            <w:webHidden/>
          </w:rPr>
          <w:t>4</w:t>
        </w:r>
        <w:r w:rsidR="00B039CA">
          <w:rPr>
            <w:webHidden/>
          </w:rPr>
          <w:fldChar w:fldCharType="end"/>
        </w:r>
      </w:hyperlink>
    </w:p>
    <w:p w14:paraId="5E8A10BE" w14:textId="2FEE2D5F" w:rsidR="00B039CA" w:rsidRDefault="000A56C7">
      <w:pPr>
        <w:pStyle w:val="TOC2"/>
        <w:rPr>
          <w:rFonts w:asciiTheme="minorHAnsi" w:eastAsiaTheme="minorEastAsia" w:hAnsiTheme="minorHAnsi" w:cstheme="minorBidi"/>
          <w:spacing w:val="0"/>
          <w:sz w:val="22"/>
          <w:szCs w:val="22"/>
        </w:rPr>
      </w:pPr>
      <w:hyperlink w:anchor="_Toc108451525" w:history="1">
        <w:r w:rsidR="00B039CA" w:rsidRPr="00885A6E">
          <w:rPr>
            <w:rStyle w:val="Hyperlink"/>
          </w:rPr>
          <w:t>Definition of foreign stakeholder and notification thresholds</w:t>
        </w:r>
        <w:r w:rsidR="00B039CA">
          <w:rPr>
            <w:webHidden/>
          </w:rPr>
          <w:tab/>
        </w:r>
        <w:r w:rsidR="00B039CA">
          <w:rPr>
            <w:webHidden/>
          </w:rPr>
          <w:fldChar w:fldCharType="begin"/>
        </w:r>
        <w:r w:rsidR="00B039CA">
          <w:rPr>
            <w:webHidden/>
          </w:rPr>
          <w:instrText xml:space="preserve"> PAGEREF _Toc108451525 \h </w:instrText>
        </w:r>
        <w:r w:rsidR="00B039CA">
          <w:rPr>
            <w:webHidden/>
          </w:rPr>
        </w:r>
        <w:r w:rsidR="00B039CA">
          <w:rPr>
            <w:webHidden/>
          </w:rPr>
          <w:fldChar w:fldCharType="separate"/>
        </w:r>
        <w:r w:rsidR="00524536">
          <w:rPr>
            <w:webHidden/>
          </w:rPr>
          <w:t>4</w:t>
        </w:r>
        <w:r w:rsidR="00B039CA">
          <w:rPr>
            <w:webHidden/>
          </w:rPr>
          <w:fldChar w:fldCharType="end"/>
        </w:r>
      </w:hyperlink>
    </w:p>
    <w:p w14:paraId="71B13631" w14:textId="09A9B843" w:rsidR="00B039CA" w:rsidRDefault="000A56C7">
      <w:pPr>
        <w:pStyle w:val="TOC2"/>
        <w:rPr>
          <w:rFonts w:asciiTheme="minorHAnsi" w:eastAsiaTheme="minorEastAsia" w:hAnsiTheme="minorHAnsi" w:cstheme="minorBidi"/>
          <w:spacing w:val="0"/>
          <w:sz w:val="22"/>
          <w:szCs w:val="22"/>
        </w:rPr>
      </w:pPr>
      <w:hyperlink w:anchor="_Toc108451526" w:history="1">
        <w:r w:rsidR="00B039CA" w:rsidRPr="00885A6E">
          <w:rPr>
            <w:rStyle w:val="Hyperlink"/>
          </w:rPr>
          <w:t>Accessibility of the Register and transparency and utility of the information</w:t>
        </w:r>
        <w:r w:rsidR="00B039CA">
          <w:rPr>
            <w:webHidden/>
          </w:rPr>
          <w:tab/>
        </w:r>
        <w:r w:rsidR="00B039CA">
          <w:rPr>
            <w:webHidden/>
          </w:rPr>
          <w:fldChar w:fldCharType="begin"/>
        </w:r>
        <w:r w:rsidR="00B039CA">
          <w:rPr>
            <w:webHidden/>
          </w:rPr>
          <w:instrText xml:space="preserve"> PAGEREF _Toc108451526 \h </w:instrText>
        </w:r>
        <w:r w:rsidR="00B039CA">
          <w:rPr>
            <w:webHidden/>
          </w:rPr>
        </w:r>
        <w:r w:rsidR="00B039CA">
          <w:rPr>
            <w:webHidden/>
          </w:rPr>
          <w:fldChar w:fldCharType="separate"/>
        </w:r>
        <w:r w:rsidR="00524536">
          <w:rPr>
            <w:webHidden/>
          </w:rPr>
          <w:t>5</w:t>
        </w:r>
        <w:r w:rsidR="00B039CA">
          <w:rPr>
            <w:webHidden/>
          </w:rPr>
          <w:fldChar w:fldCharType="end"/>
        </w:r>
      </w:hyperlink>
    </w:p>
    <w:p w14:paraId="3678E898" w14:textId="68C134B6" w:rsidR="00B039CA" w:rsidRDefault="000A56C7">
      <w:pPr>
        <w:pStyle w:val="TOC2"/>
        <w:rPr>
          <w:rFonts w:asciiTheme="minorHAnsi" w:eastAsiaTheme="minorEastAsia" w:hAnsiTheme="minorHAnsi" w:cstheme="minorBidi"/>
          <w:spacing w:val="0"/>
          <w:sz w:val="22"/>
          <w:szCs w:val="22"/>
        </w:rPr>
      </w:pPr>
      <w:hyperlink w:anchor="_Toc108451527" w:history="1">
        <w:r w:rsidR="00B039CA" w:rsidRPr="00885A6E">
          <w:rPr>
            <w:rStyle w:val="Hyperlink"/>
          </w:rPr>
          <w:t>Information on the Register compared to other sources</w:t>
        </w:r>
        <w:r w:rsidR="00B039CA">
          <w:rPr>
            <w:webHidden/>
          </w:rPr>
          <w:tab/>
        </w:r>
        <w:r w:rsidR="00B039CA">
          <w:rPr>
            <w:webHidden/>
          </w:rPr>
          <w:fldChar w:fldCharType="begin"/>
        </w:r>
        <w:r w:rsidR="00B039CA">
          <w:rPr>
            <w:webHidden/>
          </w:rPr>
          <w:instrText xml:space="preserve"> PAGEREF _Toc108451527 \h </w:instrText>
        </w:r>
        <w:r w:rsidR="00B039CA">
          <w:rPr>
            <w:webHidden/>
          </w:rPr>
        </w:r>
        <w:r w:rsidR="00B039CA">
          <w:rPr>
            <w:webHidden/>
          </w:rPr>
          <w:fldChar w:fldCharType="separate"/>
        </w:r>
        <w:r w:rsidR="00524536">
          <w:rPr>
            <w:webHidden/>
          </w:rPr>
          <w:t>6</w:t>
        </w:r>
        <w:r w:rsidR="00B039CA">
          <w:rPr>
            <w:webHidden/>
          </w:rPr>
          <w:fldChar w:fldCharType="end"/>
        </w:r>
      </w:hyperlink>
    </w:p>
    <w:p w14:paraId="577FCD2F" w14:textId="63D706D0" w:rsidR="00B039CA" w:rsidRDefault="000A56C7">
      <w:pPr>
        <w:pStyle w:val="TOC2"/>
        <w:rPr>
          <w:rFonts w:asciiTheme="minorHAnsi" w:eastAsiaTheme="minorEastAsia" w:hAnsiTheme="minorHAnsi" w:cstheme="minorBidi"/>
          <w:spacing w:val="0"/>
          <w:sz w:val="22"/>
          <w:szCs w:val="22"/>
        </w:rPr>
      </w:pPr>
      <w:hyperlink w:anchor="_Toc108451528" w:history="1">
        <w:r w:rsidR="00B039CA" w:rsidRPr="00885A6E">
          <w:rPr>
            <w:rStyle w:val="Hyperlink"/>
          </w:rPr>
          <w:t>Notification requirements for foreign stakeholders</w:t>
        </w:r>
        <w:r w:rsidR="00B039CA">
          <w:rPr>
            <w:webHidden/>
          </w:rPr>
          <w:tab/>
        </w:r>
        <w:r w:rsidR="00B039CA">
          <w:rPr>
            <w:webHidden/>
          </w:rPr>
          <w:fldChar w:fldCharType="begin"/>
        </w:r>
        <w:r w:rsidR="00B039CA">
          <w:rPr>
            <w:webHidden/>
          </w:rPr>
          <w:instrText xml:space="preserve"> PAGEREF _Toc108451528 \h </w:instrText>
        </w:r>
        <w:r w:rsidR="00B039CA">
          <w:rPr>
            <w:webHidden/>
          </w:rPr>
        </w:r>
        <w:r w:rsidR="00B039CA">
          <w:rPr>
            <w:webHidden/>
          </w:rPr>
          <w:fldChar w:fldCharType="separate"/>
        </w:r>
        <w:r w:rsidR="00524536">
          <w:rPr>
            <w:webHidden/>
          </w:rPr>
          <w:t>8</w:t>
        </w:r>
        <w:r w:rsidR="00B039CA">
          <w:rPr>
            <w:webHidden/>
          </w:rPr>
          <w:fldChar w:fldCharType="end"/>
        </w:r>
      </w:hyperlink>
    </w:p>
    <w:p w14:paraId="5CEF663B" w14:textId="5A9AF285" w:rsidR="00B039CA" w:rsidRDefault="000A56C7">
      <w:pPr>
        <w:pStyle w:val="TOC1"/>
        <w:rPr>
          <w:rFonts w:asciiTheme="minorHAnsi" w:eastAsiaTheme="minorEastAsia" w:hAnsiTheme="minorHAnsi" w:cstheme="minorBidi"/>
          <w:b w:val="0"/>
          <w:spacing w:val="0"/>
          <w:sz w:val="22"/>
          <w:szCs w:val="22"/>
        </w:rPr>
      </w:pPr>
      <w:hyperlink w:anchor="_Toc108451529" w:history="1">
        <w:r w:rsidR="00B039CA" w:rsidRPr="00885A6E">
          <w:rPr>
            <w:rStyle w:val="Hyperlink"/>
          </w:rPr>
          <w:t>Invitation to comment</w:t>
        </w:r>
        <w:r w:rsidR="00B039CA">
          <w:rPr>
            <w:webHidden/>
          </w:rPr>
          <w:tab/>
        </w:r>
        <w:r w:rsidR="00B039CA">
          <w:rPr>
            <w:webHidden/>
          </w:rPr>
          <w:fldChar w:fldCharType="begin"/>
        </w:r>
        <w:r w:rsidR="00B039CA">
          <w:rPr>
            <w:webHidden/>
          </w:rPr>
          <w:instrText xml:space="preserve"> PAGEREF _Toc108451529 \h </w:instrText>
        </w:r>
        <w:r w:rsidR="00B039CA">
          <w:rPr>
            <w:webHidden/>
          </w:rPr>
        </w:r>
        <w:r w:rsidR="00B039CA">
          <w:rPr>
            <w:webHidden/>
          </w:rPr>
          <w:fldChar w:fldCharType="separate"/>
        </w:r>
        <w:r w:rsidR="00524536">
          <w:rPr>
            <w:webHidden/>
          </w:rPr>
          <w:t>10</w:t>
        </w:r>
        <w:r w:rsidR="00B039CA">
          <w:rPr>
            <w:webHidden/>
          </w:rPr>
          <w:fldChar w:fldCharType="end"/>
        </w:r>
      </w:hyperlink>
    </w:p>
    <w:p w14:paraId="6731BD53" w14:textId="2A6D4311" w:rsidR="00B039CA" w:rsidRDefault="000A56C7">
      <w:pPr>
        <w:pStyle w:val="TOC2"/>
        <w:rPr>
          <w:rFonts w:asciiTheme="minorHAnsi" w:eastAsiaTheme="minorEastAsia" w:hAnsiTheme="minorHAnsi" w:cstheme="minorBidi"/>
          <w:spacing w:val="0"/>
          <w:sz w:val="22"/>
          <w:szCs w:val="22"/>
        </w:rPr>
      </w:pPr>
      <w:hyperlink w:anchor="_Toc108451530" w:history="1">
        <w:r w:rsidR="00B039CA" w:rsidRPr="00885A6E">
          <w:rPr>
            <w:rStyle w:val="Hyperlink"/>
          </w:rPr>
          <w:t>Making a submission</w:t>
        </w:r>
        <w:r w:rsidR="00B039CA">
          <w:rPr>
            <w:webHidden/>
          </w:rPr>
          <w:tab/>
        </w:r>
        <w:r w:rsidR="00B039CA">
          <w:rPr>
            <w:webHidden/>
          </w:rPr>
          <w:fldChar w:fldCharType="begin"/>
        </w:r>
        <w:r w:rsidR="00B039CA">
          <w:rPr>
            <w:webHidden/>
          </w:rPr>
          <w:instrText xml:space="preserve"> PAGEREF _Toc108451530 \h </w:instrText>
        </w:r>
        <w:r w:rsidR="00B039CA">
          <w:rPr>
            <w:webHidden/>
          </w:rPr>
        </w:r>
        <w:r w:rsidR="00B039CA">
          <w:rPr>
            <w:webHidden/>
          </w:rPr>
          <w:fldChar w:fldCharType="separate"/>
        </w:r>
        <w:r w:rsidR="00524536">
          <w:rPr>
            <w:webHidden/>
          </w:rPr>
          <w:t>10</w:t>
        </w:r>
        <w:r w:rsidR="00B039CA">
          <w:rPr>
            <w:webHidden/>
          </w:rPr>
          <w:fldChar w:fldCharType="end"/>
        </w:r>
      </w:hyperlink>
    </w:p>
    <w:p w14:paraId="7A38F576" w14:textId="630183DC" w:rsidR="00B039CA" w:rsidRDefault="000A56C7">
      <w:pPr>
        <w:pStyle w:val="TOC1"/>
        <w:rPr>
          <w:rFonts w:asciiTheme="minorHAnsi" w:eastAsiaTheme="minorEastAsia" w:hAnsiTheme="minorHAnsi" w:cstheme="minorBidi"/>
          <w:b w:val="0"/>
          <w:spacing w:val="0"/>
          <w:sz w:val="22"/>
          <w:szCs w:val="22"/>
        </w:rPr>
      </w:pPr>
      <w:hyperlink w:anchor="_Toc108451531" w:history="1">
        <w:r w:rsidR="00B039CA" w:rsidRPr="00885A6E">
          <w:rPr>
            <w:rStyle w:val="Hyperlink"/>
          </w:rPr>
          <w:t>Appendix A: Relevant provisions of the</w:t>
        </w:r>
        <w:r w:rsidR="00B039CA" w:rsidRPr="00885A6E">
          <w:rPr>
            <w:rStyle w:val="Hyperlink"/>
            <w:i/>
          </w:rPr>
          <w:t xml:space="preserve"> Broadcasting Services Act 1992</w:t>
        </w:r>
        <w:r w:rsidR="00B039CA">
          <w:rPr>
            <w:webHidden/>
          </w:rPr>
          <w:tab/>
        </w:r>
        <w:r w:rsidR="00B039CA">
          <w:rPr>
            <w:webHidden/>
          </w:rPr>
          <w:fldChar w:fldCharType="begin"/>
        </w:r>
        <w:r w:rsidR="00B039CA">
          <w:rPr>
            <w:webHidden/>
          </w:rPr>
          <w:instrText xml:space="preserve"> PAGEREF _Toc108451531 \h </w:instrText>
        </w:r>
        <w:r w:rsidR="00B039CA">
          <w:rPr>
            <w:webHidden/>
          </w:rPr>
        </w:r>
        <w:r w:rsidR="00B039CA">
          <w:rPr>
            <w:webHidden/>
          </w:rPr>
          <w:fldChar w:fldCharType="separate"/>
        </w:r>
        <w:r w:rsidR="00524536">
          <w:rPr>
            <w:webHidden/>
          </w:rPr>
          <w:t>11</w:t>
        </w:r>
        <w:r w:rsidR="00B039CA">
          <w:rPr>
            <w:webHidden/>
          </w:rPr>
          <w:fldChar w:fldCharType="end"/>
        </w:r>
      </w:hyperlink>
    </w:p>
    <w:p w14:paraId="762DA7AD" w14:textId="7FBDCE3C" w:rsidR="00B039CA" w:rsidRDefault="000A56C7">
      <w:pPr>
        <w:pStyle w:val="TOC2"/>
        <w:rPr>
          <w:rFonts w:asciiTheme="minorHAnsi" w:eastAsiaTheme="minorEastAsia" w:hAnsiTheme="minorHAnsi" w:cstheme="minorBidi"/>
          <w:spacing w:val="0"/>
          <w:sz w:val="22"/>
          <w:szCs w:val="22"/>
        </w:rPr>
      </w:pPr>
      <w:hyperlink w:anchor="_Toc108451532" w:history="1">
        <w:r w:rsidR="00B039CA" w:rsidRPr="00885A6E">
          <w:rPr>
            <w:rStyle w:val="Hyperlink"/>
          </w:rPr>
          <w:t>Division 10A of Part 5</w:t>
        </w:r>
        <w:r w:rsidR="00B039CA">
          <w:rPr>
            <w:webHidden/>
          </w:rPr>
          <w:tab/>
        </w:r>
        <w:r w:rsidR="00B039CA">
          <w:rPr>
            <w:webHidden/>
          </w:rPr>
          <w:fldChar w:fldCharType="begin"/>
        </w:r>
        <w:r w:rsidR="00B039CA">
          <w:rPr>
            <w:webHidden/>
          </w:rPr>
          <w:instrText xml:space="preserve"> PAGEREF _Toc108451532 \h </w:instrText>
        </w:r>
        <w:r w:rsidR="00B039CA">
          <w:rPr>
            <w:webHidden/>
          </w:rPr>
        </w:r>
        <w:r w:rsidR="00B039CA">
          <w:rPr>
            <w:webHidden/>
          </w:rPr>
          <w:fldChar w:fldCharType="separate"/>
        </w:r>
        <w:r w:rsidR="00524536">
          <w:rPr>
            <w:webHidden/>
          </w:rPr>
          <w:t>11</w:t>
        </w:r>
        <w:r w:rsidR="00B039CA">
          <w:rPr>
            <w:webHidden/>
          </w:rPr>
          <w:fldChar w:fldCharType="end"/>
        </w:r>
      </w:hyperlink>
    </w:p>
    <w:p w14:paraId="1F8DE4D8" w14:textId="3B6BBD9C" w:rsidR="007F7F63" w:rsidRPr="005323E4" w:rsidRDefault="006A3ECF" w:rsidP="00922938">
      <w:pPr>
        <w:pStyle w:val="TOC2"/>
        <w:rPr>
          <w:rFonts w:cs="Arial"/>
          <w:spacing w:val="0"/>
          <w:sz w:val="28"/>
        </w:rPr>
      </w:pPr>
      <w:r w:rsidRPr="005323E4">
        <w:rPr>
          <w:rFonts w:cs="Arial"/>
          <w:spacing w:val="0"/>
          <w:sz w:val="28"/>
        </w:rPr>
        <w:fldChar w:fldCharType="end"/>
      </w:r>
    </w:p>
    <w:p w14:paraId="2F55D49A" w14:textId="0AC9E400" w:rsidR="00116887" w:rsidRPr="005323E4" w:rsidRDefault="00116887" w:rsidP="00116887"/>
    <w:p w14:paraId="383AF0D4" w14:textId="4A36926E" w:rsidR="00116887" w:rsidRPr="005323E4" w:rsidRDefault="00116887" w:rsidP="00116887">
      <w:pPr>
        <w:pStyle w:val="TOC3"/>
      </w:pPr>
    </w:p>
    <w:p w14:paraId="6C479B0F" w14:textId="77777777" w:rsidR="004D56FF" w:rsidRPr="005323E4" w:rsidRDefault="004D56FF"/>
    <w:p w14:paraId="785752B6" w14:textId="3C9050F4" w:rsidR="006D64EF" w:rsidRPr="005323E4" w:rsidRDefault="006D64EF">
      <w:pPr>
        <w:rPr>
          <w:rFonts w:cs="Arial"/>
        </w:rPr>
        <w:sectPr w:rsidR="006D64EF" w:rsidRPr="005323E4" w:rsidSect="009E14A9">
          <w:headerReference w:type="even" r:id="rId20"/>
          <w:headerReference w:type="default" r:id="rId21"/>
          <w:footerReference w:type="even" r:id="rId22"/>
          <w:footerReference w:type="default" r:id="rId23"/>
          <w:headerReference w:type="first" r:id="rId24"/>
          <w:footerReference w:type="first" r:id="rId25"/>
          <w:pgSz w:w="11906" w:h="16838" w:code="9"/>
          <w:pgMar w:top="3646" w:right="2834" w:bottom="1276" w:left="1134" w:header="709" w:footer="119" w:gutter="0"/>
          <w:cols w:space="708"/>
          <w:titlePg/>
          <w:docGrid w:linePitch="360"/>
        </w:sectPr>
      </w:pPr>
    </w:p>
    <w:p w14:paraId="119BF079" w14:textId="7D132C43" w:rsidR="00BC27B6" w:rsidRPr="00F8765B" w:rsidRDefault="00CE33A8" w:rsidP="00B039CA">
      <w:pPr>
        <w:pStyle w:val="Heading1"/>
      </w:pPr>
      <w:bookmarkStart w:id="1" w:name="_Toc108451520"/>
      <w:r w:rsidRPr="00F8765B">
        <w:lastRenderedPageBreak/>
        <w:t>Introduction</w:t>
      </w:r>
      <w:bookmarkEnd w:id="1"/>
    </w:p>
    <w:p w14:paraId="2EC35194" w14:textId="77777777" w:rsidR="00AA6407" w:rsidRPr="005323E4" w:rsidRDefault="00AA6407" w:rsidP="00AA6407">
      <w:pPr>
        <w:pStyle w:val="Heading2"/>
        <w:spacing w:after="120"/>
      </w:pPr>
      <w:bookmarkStart w:id="2" w:name="_Toc108451521"/>
      <w:r w:rsidRPr="005323E4">
        <w:t>Background</w:t>
      </w:r>
      <w:bookmarkEnd w:id="2"/>
      <w:r w:rsidRPr="005323E4">
        <w:t xml:space="preserve"> </w:t>
      </w:r>
    </w:p>
    <w:p w14:paraId="161D664C" w14:textId="49D850E0" w:rsidR="00AA6407" w:rsidRPr="005323E4" w:rsidDel="00FD5779" w:rsidRDefault="0082245A" w:rsidP="00040C47">
      <w:pPr>
        <w:pStyle w:val="Heading3"/>
        <w:rPr>
          <w:rStyle w:val="normaltextrun"/>
        </w:rPr>
      </w:pPr>
      <w:r w:rsidRPr="005323E4">
        <w:rPr>
          <w:rStyle w:val="normaltextrun"/>
        </w:rPr>
        <w:t xml:space="preserve">Introduction of requirements for </w:t>
      </w:r>
      <w:r w:rsidR="00AA6407" w:rsidRPr="005323E4">
        <w:rPr>
          <w:rStyle w:val="normaltextrun"/>
        </w:rPr>
        <w:t>foreign owners of media assets</w:t>
      </w:r>
      <w:r w:rsidRPr="005323E4">
        <w:rPr>
          <w:rStyle w:val="normaltextrun"/>
        </w:rPr>
        <w:t xml:space="preserve"> </w:t>
      </w:r>
    </w:p>
    <w:p w14:paraId="00EA28B0" w14:textId="76A49F56" w:rsidR="00AA6407" w:rsidRPr="005323E4" w:rsidRDefault="00AA6407" w:rsidP="00040C47">
      <w:pPr>
        <w:pStyle w:val="Paragraph"/>
        <w:rPr>
          <w:rStyle w:val="normaltextrun"/>
          <w:szCs w:val="20"/>
        </w:rPr>
      </w:pPr>
      <w:r w:rsidRPr="005323E4">
        <w:rPr>
          <w:rStyle w:val="normaltextrun"/>
          <w:szCs w:val="20"/>
        </w:rPr>
        <w:t xml:space="preserve">In 2018, the </w:t>
      </w:r>
      <w:r w:rsidRPr="005323E4">
        <w:rPr>
          <w:rStyle w:val="normaltextrun"/>
          <w:i/>
          <w:iCs/>
          <w:szCs w:val="20"/>
        </w:rPr>
        <w:t>Broadcasting Legislation Amendment (Foreign Media Ownership, Community Radio and Other Measures) Act 2018</w:t>
      </w:r>
      <w:r w:rsidRPr="005323E4">
        <w:rPr>
          <w:rStyle w:val="normaltextrun"/>
          <w:szCs w:val="20"/>
        </w:rPr>
        <w:t xml:space="preserve"> (the Amendment Act) introduced Division10A of Part 5 to the </w:t>
      </w:r>
      <w:r w:rsidRPr="005323E4">
        <w:rPr>
          <w:rStyle w:val="normaltextrun"/>
          <w:i/>
          <w:iCs/>
          <w:szCs w:val="20"/>
        </w:rPr>
        <w:t>Broadcasting Services Act 1992</w:t>
      </w:r>
      <w:r w:rsidRPr="005323E4">
        <w:rPr>
          <w:rStyle w:val="normaltextrun"/>
          <w:szCs w:val="20"/>
        </w:rPr>
        <w:t xml:space="preserve"> (the BSA)</w:t>
      </w:r>
      <w:r w:rsidR="006C0810" w:rsidRPr="005323E4">
        <w:rPr>
          <w:rStyle w:val="normaltextrun"/>
          <w:szCs w:val="20"/>
        </w:rPr>
        <w:t xml:space="preserve"> (Division 10A)</w:t>
      </w:r>
      <w:r w:rsidRPr="005323E4">
        <w:rPr>
          <w:rStyle w:val="normaltextrun"/>
          <w:szCs w:val="20"/>
        </w:rPr>
        <w:t xml:space="preserve">. </w:t>
      </w:r>
    </w:p>
    <w:p w14:paraId="32278875" w14:textId="6435FD85" w:rsidR="00AA6407" w:rsidRPr="005323E4" w:rsidRDefault="00AA6407" w:rsidP="00040C47">
      <w:pPr>
        <w:pStyle w:val="Paragraph"/>
        <w:rPr>
          <w:rStyle w:val="normaltextrun"/>
          <w:szCs w:val="20"/>
        </w:rPr>
      </w:pPr>
      <w:r w:rsidRPr="005323E4">
        <w:rPr>
          <w:rStyle w:val="normaltextrun"/>
          <w:szCs w:val="20"/>
        </w:rPr>
        <w:t>Division 10A sets out the regulatory framework for foreign owners of media assets (the FOMA framework) that includes requirements for notification to the ACMA by foreign stakeholders of their prescribed interests in Australian media companies (AMCs)</w:t>
      </w:r>
      <w:r w:rsidRPr="005323E4">
        <w:rPr>
          <w:rStyle w:val="FootnoteReference"/>
          <w:szCs w:val="20"/>
        </w:rPr>
        <w:footnoteReference w:id="2"/>
      </w:r>
      <w:r w:rsidRPr="005323E4">
        <w:rPr>
          <w:rStyle w:val="normaltextrun"/>
          <w:szCs w:val="20"/>
        </w:rPr>
        <w:t xml:space="preserve"> and requires the ACMA to maintain a register of foreign owners of Australian media assets. </w:t>
      </w:r>
    </w:p>
    <w:p w14:paraId="146BB082" w14:textId="77777777" w:rsidR="0082245A" w:rsidRPr="005323E4" w:rsidRDefault="0082245A" w:rsidP="0082245A">
      <w:pPr>
        <w:pStyle w:val="Heading3"/>
      </w:pPr>
      <w:r w:rsidRPr="005323E4">
        <w:t>Obligations for foreign owners of media assets under the BSA</w:t>
      </w:r>
    </w:p>
    <w:p w14:paraId="025F2274" w14:textId="6F06F01D" w:rsidR="0082245A" w:rsidRPr="005323E4" w:rsidRDefault="0082245A" w:rsidP="0082245A">
      <w:pPr>
        <w:pStyle w:val="Paragraph"/>
        <w:rPr>
          <w:rStyle w:val="normaltextrun"/>
        </w:rPr>
      </w:pPr>
      <w:r w:rsidRPr="005323E4">
        <w:rPr>
          <w:rStyle w:val="normaltextrun"/>
          <w:szCs w:val="20"/>
        </w:rPr>
        <w:t xml:space="preserve">The obligations for foreign owners of media assets (FOMA obligations) are set out in full </w:t>
      </w:r>
      <w:r w:rsidR="00AE156D" w:rsidRPr="005323E4">
        <w:rPr>
          <w:rStyle w:val="normaltextrun"/>
          <w:szCs w:val="20"/>
        </w:rPr>
        <w:t xml:space="preserve">at </w:t>
      </w:r>
      <w:r w:rsidRPr="00F8765B">
        <w:rPr>
          <w:rStyle w:val="normaltextrun"/>
          <w:bCs/>
          <w:szCs w:val="20"/>
        </w:rPr>
        <w:t>Attachment A</w:t>
      </w:r>
      <w:r w:rsidRPr="005323E4">
        <w:rPr>
          <w:rStyle w:val="normaltextrun"/>
          <w:szCs w:val="20"/>
        </w:rPr>
        <w:t xml:space="preserve">. </w:t>
      </w:r>
      <w:r w:rsidR="00AE156D" w:rsidRPr="005323E4">
        <w:rPr>
          <w:rStyle w:val="normaltextrun"/>
          <w:szCs w:val="20"/>
        </w:rPr>
        <w:t>A</w:t>
      </w:r>
      <w:r w:rsidRPr="005323E4">
        <w:rPr>
          <w:rStyle w:val="normaltextrun"/>
          <w:szCs w:val="20"/>
        </w:rPr>
        <w:t xml:space="preserve"> ‘</w:t>
      </w:r>
      <w:r w:rsidRPr="005323E4">
        <w:rPr>
          <w:rStyle w:val="normaltextrun"/>
        </w:rPr>
        <w:t xml:space="preserve">foreign stakeholder’ </w:t>
      </w:r>
      <w:r w:rsidR="00AE156D" w:rsidRPr="005323E4">
        <w:rPr>
          <w:rStyle w:val="normaltextrun"/>
        </w:rPr>
        <w:t xml:space="preserve">is defined </w:t>
      </w:r>
      <w:r w:rsidRPr="005323E4">
        <w:rPr>
          <w:rStyle w:val="normaltextrun"/>
        </w:rPr>
        <w:t>as a ‘foreign person’ who has company interests of 2.5% or more in an AMC.</w:t>
      </w:r>
      <w:r w:rsidRPr="005323E4">
        <w:rPr>
          <w:rStyle w:val="FootnoteReference"/>
        </w:rPr>
        <w:footnoteReference w:id="3"/>
      </w:r>
    </w:p>
    <w:p w14:paraId="16B96A99" w14:textId="1044BF89" w:rsidR="0082245A" w:rsidRPr="005323E4" w:rsidRDefault="0082245A" w:rsidP="00F8765B">
      <w:pPr>
        <w:pStyle w:val="Paragraphbeforelist"/>
        <w:rPr>
          <w:rStyle w:val="normaltextrun"/>
          <w:rFonts w:cs="Times New Roman"/>
          <w:szCs w:val="20"/>
        </w:rPr>
      </w:pPr>
      <w:r w:rsidRPr="005323E4">
        <w:rPr>
          <w:rStyle w:val="normaltextrun"/>
        </w:rPr>
        <w:t>In accordance with relevant provisions, a</w:t>
      </w:r>
      <w:r w:rsidRPr="005323E4">
        <w:rPr>
          <w:rStyle w:val="normaltextrun"/>
          <w:szCs w:val="20"/>
        </w:rPr>
        <w:t xml:space="preserve"> foreign stakeholder is required to notify the ACMA about their interests in an AMC within 30 days if they:</w:t>
      </w:r>
    </w:p>
    <w:p w14:paraId="623B3ABC" w14:textId="69299F77" w:rsidR="0082245A" w:rsidRPr="005323E4" w:rsidRDefault="0082245A" w:rsidP="00F8765B">
      <w:pPr>
        <w:pStyle w:val="Bulletlevel1"/>
        <w:rPr>
          <w:rStyle w:val="normaltextrun"/>
        </w:rPr>
      </w:pPr>
      <w:r w:rsidRPr="005323E4">
        <w:rPr>
          <w:rStyle w:val="normaltextrun"/>
          <w:szCs w:val="20"/>
        </w:rPr>
        <w:t>become a foreign stakeholder in an AMC (section 74F)</w:t>
      </w:r>
    </w:p>
    <w:p w14:paraId="15493643" w14:textId="7CD78D6A" w:rsidR="0082245A" w:rsidRPr="005323E4" w:rsidRDefault="0082245A" w:rsidP="00F8765B">
      <w:pPr>
        <w:pStyle w:val="Bulletlevel1"/>
        <w:rPr>
          <w:rStyle w:val="normaltextrun"/>
        </w:rPr>
      </w:pPr>
      <w:r w:rsidRPr="005323E4">
        <w:rPr>
          <w:rStyle w:val="normaltextrun"/>
          <w:szCs w:val="20"/>
        </w:rPr>
        <w:t>cease to be a foreign stakeholder in an AMC (section 74G)</w:t>
      </w:r>
    </w:p>
    <w:p w14:paraId="34B35466" w14:textId="74591F01" w:rsidR="0082245A" w:rsidRPr="005323E4" w:rsidRDefault="0082245A" w:rsidP="00F8765B">
      <w:pPr>
        <w:pStyle w:val="Bulletlevel1last"/>
        <w:rPr>
          <w:rStyle w:val="normaltextrun"/>
        </w:rPr>
      </w:pPr>
      <w:r w:rsidRPr="005323E4">
        <w:rPr>
          <w:rStyle w:val="normaltextrun"/>
          <w:szCs w:val="20"/>
        </w:rPr>
        <w:t>are foreign stakeholders in an AMC at the end of a financial year (section 74H).</w:t>
      </w:r>
    </w:p>
    <w:p w14:paraId="5EB99F66" w14:textId="77777777" w:rsidR="0082245A" w:rsidRPr="005323E4" w:rsidRDefault="0082245A" w:rsidP="00040C47">
      <w:pPr>
        <w:pStyle w:val="Paragraph"/>
        <w:rPr>
          <w:rStyle w:val="normaltextrun"/>
        </w:rPr>
      </w:pPr>
      <w:r w:rsidRPr="005323E4">
        <w:rPr>
          <w:rStyle w:val="normaltextrun"/>
        </w:rPr>
        <w:t>A person is not required to notify relevant information to the ACMA if the information might tend to incriminate the person or expose the person to a penalty.</w:t>
      </w:r>
      <w:r w:rsidRPr="005323E4">
        <w:rPr>
          <w:rStyle w:val="FootnoteReference"/>
        </w:rPr>
        <w:footnoteReference w:id="4"/>
      </w:r>
    </w:p>
    <w:p w14:paraId="064BBCC6" w14:textId="69F228A4" w:rsidR="0082245A" w:rsidRPr="005323E4" w:rsidRDefault="0082245A" w:rsidP="00AA6407">
      <w:pPr>
        <w:pStyle w:val="Paragraph"/>
        <w:rPr>
          <w:rStyle w:val="normaltextrun"/>
        </w:rPr>
      </w:pPr>
      <w:r w:rsidRPr="005323E4">
        <w:rPr>
          <w:rStyle w:val="normaltextrun"/>
        </w:rPr>
        <w:t>Civil penalties apply to foreign stakeholders for failing to comply. Infringement notices may be issued</w:t>
      </w:r>
      <w:r w:rsidR="00040C47" w:rsidRPr="005323E4">
        <w:rPr>
          <w:rStyle w:val="normaltextrun"/>
        </w:rPr>
        <w:t xml:space="preserve"> that are</w:t>
      </w:r>
      <w:r w:rsidRPr="005323E4">
        <w:rPr>
          <w:rStyle w:val="normaltextrun"/>
        </w:rPr>
        <w:t xml:space="preserve"> equal to 60 penalty units for bodies corporate and 10 penalty units for other entities.</w:t>
      </w:r>
      <w:r w:rsidR="007B167B" w:rsidRPr="005323E4">
        <w:rPr>
          <w:rStyle w:val="FootnoteReference"/>
        </w:rPr>
        <w:footnoteReference w:id="5"/>
      </w:r>
      <w:r w:rsidRPr="005323E4">
        <w:rPr>
          <w:rStyle w:val="normaltextrun"/>
        </w:rPr>
        <w:t xml:space="preserve"> A foreign person commits a separate contravention of the relevant notification provision </w:t>
      </w:r>
      <w:r w:rsidR="00040C47" w:rsidRPr="005323E4">
        <w:rPr>
          <w:rStyle w:val="normaltextrun"/>
        </w:rPr>
        <w:t xml:space="preserve">for </w:t>
      </w:r>
      <w:r w:rsidRPr="005323E4">
        <w:rPr>
          <w:rStyle w:val="normaltextrun"/>
        </w:rPr>
        <w:t>each day during which the contravention continues</w:t>
      </w:r>
      <w:r w:rsidR="00040C47" w:rsidRPr="005323E4">
        <w:rPr>
          <w:rStyle w:val="normaltextrun"/>
        </w:rPr>
        <w:t>.</w:t>
      </w:r>
    </w:p>
    <w:p w14:paraId="31AAC3E7" w14:textId="289707C3" w:rsidR="00AA6407" w:rsidRPr="005323E4" w:rsidRDefault="0082245A" w:rsidP="00AA6407">
      <w:pPr>
        <w:pStyle w:val="Heading3"/>
      </w:pPr>
      <w:r w:rsidRPr="005323E4">
        <w:rPr>
          <w:rStyle w:val="normaltextrun"/>
        </w:rPr>
        <w:t xml:space="preserve">ACMA must </w:t>
      </w:r>
      <w:r w:rsidR="00AA6407" w:rsidRPr="005323E4">
        <w:rPr>
          <w:rStyle w:val="normaltextrun"/>
        </w:rPr>
        <w:t>maintain a public register</w:t>
      </w:r>
    </w:p>
    <w:p w14:paraId="7F2A3A43" w14:textId="761F5C33" w:rsidR="00AA6407" w:rsidRPr="005323E4" w:rsidRDefault="00AA6407" w:rsidP="00AA6407">
      <w:pPr>
        <w:pStyle w:val="Paragraph"/>
        <w:rPr>
          <w:rStyle w:val="normaltextrun"/>
          <w:szCs w:val="20"/>
        </w:rPr>
      </w:pPr>
      <w:r w:rsidRPr="005323E4">
        <w:rPr>
          <w:rStyle w:val="normaltextrun"/>
          <w:szCs w:val="20"/>
        </w:rPr>
        <w:t xml:space="preserve">The ACMA is required to maintain the information it receives from foreign stakeholders in </w:t>
      </w:r>
      <w:r w:rsidR="00D32BDA" w:rsidRPr="005323E4">
        <w:rPr>
          <w:rStyle w:val="normaltextrun"/>
          <w:szCs w:val="20"/>
        </w:rPr>
        <w:t>the Register of Foreign Owners of Media Assets (the</w:t>
      </w:r>
      <w:r w:rsidRPr="005323E4">
        <w:rPr>
          <w:rStyle w:val="normaltextrun"/>
          <w:szCs w:val="20"/>
        </w:rPr>
        <w:t xml:space="preserve"> </w:t>
      </w:r>
      <w:r w:rsidR="00D32BDA" w:rsidRPr="005323E4">
        <w:rPr>
          <w:rStyle w:val="normaltextrun"/>
          <w:szCs w:val="20"/>
        </w:rPr>
        <w:t>R</w:t>
      </w:r>
      <w:r w:rsidRPr="005323E4">
        <w:rPr>
          <w:rStyle w:val="normaltextrun"/>
          <w:szCs w:val="20"/>
        </w:rPr>
        <w:t>egister</w:t>
      </w:r>
      <w:r w:rsidR="00D32BDA" w:rsidRPr="005323E4">
        <w:rPr>
          <w:rStyle w:val="normaltextrun"/>
          <w:szCs w:val="20"/>
        </w:rPr>
        <w:t>)</w:t>
      </w:r>
      <w:r w:rsidRPr="005323E4">
        <w:rPr>
          <w:rStyle w:val="normaltextrun"/>
          <w:szCs w:val="20"/>
        </w:rPr>
        <w:t>, which is to be made available for inspection on the ACMA website (section 74D</w:t>
      </w:r>
      <w:r w:rsidR="0071169D" w:rsidRPr="005323E4">
        <w:rPr>
          <w:rStyle w:val="normaltextrun"/>
          <w:szCs w:val="20"/>
        </w:rPr>
        <w:t xml:space="preserve"> of the BSA</w:t>
      </w:r>
      <w:r w:rsidRPr="005323E4">
        <w:rPr>
          <w:rStyle w:val="normaltextrun"/>
          <w:szCs w:val="20"/>
        </w:rPr>
        <w:t xml:space="preserve">). In accordance with section 74D, the </w:t>
      </w:r>
      <w:r w:rsidRPr="005323E4">
        <w:rPr>
          <w:rStyle w:val="normaltextrun"/>
        </w:rPr>
        <w:t>Register</w:t>
      </w:r>
      <w:r w:rsidRPr="005323E4">
        <w:rPr>
          <w:rStyle w:val="normaltextrun"/>
          <w:szCs w:val="20"/>
        </w:rPr>
        <w:t xml:space="preserve"> has been </w:t>
      </w:r>
      <w:r w:rsidRPr="005323E4">
        <w:t xml:space="preserve">available on the </w:t>
      </w:r>
      <w:hyperlink r:id="rId26" w:history="1">
        <w:r w:rsidRPr="005323E4">
          <w:rPr>
            <w:rStyle w:val="Hyperlink"/>
          </w:rPr>
          <w:t>ACMA website</w:t>
        </w:r>
      </w:hyperlink>
      <w:r w:rsidRPr="005323E4">
        <w:rPr>
          <w:rStyle w:val="normaltextrun"/>
          <w:szCs w:val="20"/>
        </w:rPr>
        <w:t xml:space="preserve"> since 1 March 201</w:t>
      </w:r>
      <w:r w:rsidR="002B507C" w:rsidRPr="005323E4">
        <w:rPr>
          <w:rStyle w:val="normaltextrun"/>
          <w:szCs w:val="20"/>
        </w:rPr>
        <w:t>9</w:t>
      </w:r>
      <w:r w:rsidRPr="005323E4">
        <w:rPr>
          <w:rStyle w:val="normaltextrun"/>
          <w:szCs w:val="20"/>
        </w:rPr>
        <w:t>.</w:t>
      </w:r>
    </w:p>
    <w:p w14:paraId="7B5E8C6E" w14:textId="57C5D66D" w:rsidR="0082245A" w:rsidRPr="005323E4" w:rsidRDefault="0082245A" w:rsidP="00F8765B">
      <w:pPr>
        <w:pStyle w:val="Heading3"/>
        <w:keepLines/>
      </w:pPr>
      <w:r w:rsidRPr="005323E4">
        <w:rPr>
          <w:rStyle w:val="normaltextrun"/>
        </w:rPr>
        <w:lastRenderedPageBreak/>
        <w:t xml:space="preserve">Requirement to provide an annual report to the </w:t>
      </w:r>
      <w:r w:rsidR="00040C47" w:rsidRPr="005323E4">
        <w:rPr>
          <w:rStyle w:val="normaltextrun"/>
        </w:rPr>
        <w:t>m</w:t>
      </w:r>
      <w:r w:rsidRPr="005323E4">
        <w:rPr>
          <w:rStyle w:val="normaltextrun"/>
        </w:rPr>
        <w:t>inister</w:t>
      </w:r>
      <w:r w:rsidRPr="005323E4">
        <w:rPr>
          <w:rStyle w:val="eop"/>
        </w:rPr>
        <w:t> </w:t>
      </w:r>
    </w:p>
    <w:p w14:paraId="753E44AE" w14:textId="2C20FFA6" w:rsidR="0082245A" w:rsidRPr="005323E4" w:rsidRDefault="0082245A" w:rsidP="00F8765B">
      <w:pPr>
        <w:pStyle w:val="Paragraphbeforelist"/>
        <w:keepNext/>
        <w:keepLines/>
      </w:pPr>
      <w:r w:rsidRPr="005323E4">
        <w:t xml:space="preserve">Subsection 74R of </w:t>
      </w:r>
      <w:r w:rsidR="007914BE" w:rsidRPr="005323E4">
        <w:t>the BSA</w:t>
      </w:r>
      <w:r w:rsidRPr="005323E4">
        <w:t xml:space="preserve"> states that, </w:t>
      </w:r>
      <w:bookmarkStart w:id="3" w:name="_Hlk106193376"/>
      <w:r w:rsidRPr="005323E4">
        <w:t>as soon as practicable after 30 July following a financial year, the ACMA must:</w:t>
      </w:r>
      <w:bookmarkEnd w:id="3"/>
    </w:p>
    <w:p w14:paraId="70DDB6A0" w14:textId="2DF1CD48" w:rsidR="0082245A" w:rsidRPr="005323E4" w:rsidRDefault="0082245A" w:rsidP="00F8765B">
      <w:pPr>
        <w:pStyle w:val="ListBullet"/>
        <w:keepNext/>
        <w:keepLines/>
        <w:rPr>
          <w:rStyle w:val="normaltextrun"/>
          <w:rFonts w:cs="Arial"/>
          <w:szCs w:val="20"/>
        </w:rPr>
      </w:pPr>
      <w:bookmarkStart w:id="4" w:name="_Hlk106193401"/>
      <w:r w:rsidRPr="005323E4">
        <w:rPr>
          <w:rStyle w:val="normaltextrun"/>
          <w:rFonts w:cs="Arial"/>
          <w:szCs w:val="20"/>
        </w:rPr>
        <w:t>prepare a report about foreign stakeholders’ company interests in AMCs at the end of th</w:t>
      </w:r>
      <w:r w:rsidR="00F2426A" w:rsidRPr="005323E4">
        <w:rPr>
          <w:rStyle w:val="normaltextrun"/>
          <w:rFonts w:cs="Arial"/>
          <w:szCs w:val="20"/>
        </w:rPr>
        <w:t>at</w:t>
      </w:r>
      <w:r w:rsidRPr="005323E4">
        <w:rPr>
          <w:rStyle w:val="normaltextrun"/>
          <w:rFonts w:cs="Arial"/>
          <w:szCs w:val="20"/>
        </w:rPr>
        <w:t xml:space="preserve"> financial year</w:t>
      </w:r>
      <w:bookmarkEnd w:id="4"/>
    </w:p>
    <w:p w14:paraId="04B41C3A" w14:textId="3F771BC4" w:rsidR="0082245A" w:rsidRPr="005323E4" w:rsidRDefault="0082245A" w:rsidP="00F8765B">
      <w:pPr>
        <w:pStyle w:val="ListBulletLast"/>
        <w:keepNext/>
        <w:keepLines/>
        <w:rPr>
          <w:rStyle w:val="normaltextrun"/>
          <w:szCs w:val="20"/>
        </w:rPr>
      </w:pPr>
      <w:r w:rsidRPr="005323E4">
        <w:rPr>
          <w:rStyle w:val="normaltextrun"/>
          <w:szCs w:val="20"/>
        </w:rPr>
        <w:t xml:space="preserve">give the report to the </w:t>
      </w:r>
      <w:r w:rsidR="00040C47" w:rsidRPr="005323E4">
        <w:rPr>
          <w:rStyle w:val="normaltextrun"/>
          <w:szCs w:val="20"/>
        </w:rPr>
        <w:t>m</w:t>
      </w:r>
      <w:r w:rsidRPr="005323E4">
        <w:rPr>
          <w:rStyle w:val="normaltextrun"/>
          <w:szCs w:val="20"/>
        </w:rPr>
        <w:t>inister.</w:t>
      </w:r>
    </w:p>
    <w:p w14:paraId="0CAB998A" w14:textId="78AC65A6" w:rsidR="0082245A" w:rsidRPr="005323E4" w:rsidRDefault="0082245A" w:rsidP="00F8765B">
      <w:pPr>
        <w:pStyle w:val="Paragraph"/>
        <w:keepNext/>
        <w:keepLines/>
        <w:rPr>
          <w:rStyle w:val="eop"/>
          <w:rFonts w:ascii="Times New Roman" w:hAnsi="Times New Roman" w:cs="Times New Roman"/>
          <w:sz w:val="24"/>
          <w:szCs w:val="20"/>
        </w:rPr>
      </w:pPr>
      <w:r w:rsidRPr="005323E4">
        <w:rPr>
          <w:rStyle w:val="normaltextrun"/>
          <w:szCs w:val="20"/>
        </w:rPr>
        <w:t xml:space="preserve">The </w:t>
      </w:r>
      <w:r w:rsidR="00040C47" w:rsidRPr="005323E4">
        <w:rPr>
          <w:rStyle w:val="normaltextrun"/>
          <w:szCs w:val="20"/>
        </w:rPr>
        <w:t>m</w:t>
      </w:r>
      <w:r w:rsidRPr="005323E4">
        <w:rPr>
          <w:rStyle w:val="normaltextrun"/>
          <w:szCs w:val="20"/>
        </w:rPr>
        <w:t xml:space="preserve">inister may </w:t>
      </w:r>
      <w:r w:rsidR="00040C47" w:rsidRPr="005323E4">
        <w:rPr>
          <w:rStyle w:val="normaltextrun"/>
          <w:szCs w:val="20"/>
        </w:rPr>
        <w:t xml:space="preserve">publish </w:t>
      </w:r>
      <w:r w:rsidRPr="005323E4">
        <w:rPr>
          <w:rStyle w:val="normaltextrun"/>
          <w:szCs w:val="20"/>
        </w:rPr>
        <w:t xml:space="preserve">the report on the </w:t>
      </w:r>
      <w:r w:rsidR="00133AB7" w:rsidRPr="005323E4">
        <w:rPr>
          <w:rStyle w:val="normaltextrun"/>
          <w:szCs w:val="20"/>
        </w:rPr>
        <w:t xml:space="preserve">website of the </w:t>
      </w:r>
      <w:r w:rsidRPr="005323E4">
        <w:rPr>
          <w:rStyle w:val="normaltextrun"/>
          <w:szCs w:val="20"/>
        </w:rPr>
        <w:t>Department of Infrastructure, Transport, Regional Development</w:t>
      </w:r>
      <w:r w:rsidR="00133AB7" w:rsidRPr="005323E4">
        <w:rPr>
          <w:rStyle w:val="normaltextrun"/>
          <w:szCs w:val="20"/>
        </w:rPr>
        <w:t>,</w:t>
      </w:r>
      <w:r w:rsidRPr="005323E4">
        <w:rPr>
          <w:rStyle w:val="normaltextrun"/>
          <w:szCs w:val="20"/>
        </w:rPr>
        <w:t xml:space="preserve"> Communications</w:t>
      </w:r>
      <w:r w:rsidR="00133AB7" w:rsidRPr="005323E4">
        <w:rPr>
          <w:rStyle w:val="normaltextrun"/>
          <w:szCs w:val="20"/>
        </w:rPr>
        <w:t xml:space="preserve"> and the Arts</w:t>
      </w:r>
      <w:r w:rsidRPr="005323E4">
        <w:rPr>
          <w:rStyle w:val="normaltextrun"/>
          <w:szCs w:val="20"/>
        </w:rPr>
        <w:t xml:space="preserve"> (the Department). The reports for the </w:t>
      </w:r>
      <w:hyperlink r:id="rId27" w:history="1">
        <w:r w:rsidR="00705B19" w:rsidRPr="005323E4">
          <w:rPr>
            <w:rStyle w:val="Hyperlink"/>
            <w:szCs w:val="20"/>
          </w:rPr>
          <w:t>2018–19</w:t>
        </w:r>
      </w:hyperlink>
      <w:r w:rsidRPr="005323E4">
        <w:rPr>
          <w:rStyle w:val="normaltextrun"/>
          <w:szCs w:val="20"/>
        </w:rPr>
        <w:t xml:space="preserve"> and </w:t>
      </w:r>
      <w:hyperlink r:id="rId28" w:history="1">
        <w:r w:rsidR="00705B19" w:rsidRPr="005323E4">
          <w:rPr>
            <w:rStyle w:val="Hyperlink"/>
            <w:szCs w:val="20"/>
          </w:rPr>
          <w:t>2019–20</w:t>
        </w:r>
      </w:hyperlink>
      <w:r w:rsidRPr="005323E4">
        <w:rPr>
          <w:rStyle w:val="normaltextrun"/>
          <w:szCs w:val="20"/>
        </w:rPr>
        <w:t xml:space="preserve"> financial years have been published on the Department’s website.</w:t>
      </w:r>
      <w:r w:rsidRPr="005323E4">
        <w:rPr>
          <w:rStyle w:val="eop"/>
          <w:szCs w:val="20"/>
        </w:rPr>
        <w:t> </w:t>
      </w:r>
      <w:r w:rsidR="00BA54D5" w:rsidRPr="005323E4">
        <w:rPr>
          <w:rStyle w:val="eop"/>
          <w:szCs w:val="20"/>
        </w:rPr>
        <w:t>The report for the 2020</w:t>
      </w:r>
      <w:r w:rsidR="00705B19" w:rsidRPr="005323E4">
        <w:rPr>
          <w:rStyle w:val="eop"/>
          <w:szCs w:val="20"/>
        </w:rPr>
        <w:t>–</w:t>
      </w:r>
      <w:r w:rsidR="00BA54D5" w:rsidRPr="005323E4">
        <w:rPr>
          <w:rStyle w:val="eop"/>
          <w:szCs w:val="20"/>
        </w:rPr>
        <w:t>21 financial year was provided to the Minister on 14 June 2022.</w:t>
      </w:r>
    </w:p>
    <w:p w14:paraId="2E2E0D03" w14:textId="77777777" w:rsidR="0082245A" w:rsidRPr="005323E4" w:rsidRDefault="0082245A" w:rsidP="0082245A">
      <w:pPr>
        <w:pStyle w:val="Heading3"/>
      </w:pPr>
      <w:r w:rsidRPr="005323E4">
        <w:t xml:space="preserve">Related provisions of the BSA </w:t>
      </w:r>
    </w:p>
    <w:p w14:paraId="56CB743B" w14:textId="08C4885F" w:rsidR="00444FA2" w:rsidRPr="005323E4" w:rsidRDefault="0082245A" w:rsidP="00F8765B">
      <w:pPr>
        <w:pStyle w:val="Paragraph"/>
        <w:spacing w:after="120"/>
      </w:pPr>
      <w:r w:rsidRPr="005323E4">
        <w:t>The concept of ‘company interests’ is relevant when assessing reporting requirements under Division 10A. It is defined under section 6 of the BSA as:</w:t>
      </w:r>
    </w:p>
    <w:p w14:paraId="13750F84" w14:textId="37F51E77" w:rsidR="00444FA2" w:rsidRPr="005323E4" w:rsidRDefault="00444FA2" w:rsidP="00444FA2">
      <w:pPr>
        <w:pStyle w:val="Paragraph"/>
        <w:ind w:left="284"/>
        <w:rPr>
          <w:sz w:val="18"/>
          <w:szCs w:val="18"/>
        </w:rPr>
      </w:pPr>
      <w:r w:rsidRPr="005323E4">
        <w:rPr>
          <w:b/>
          <w:bCs/>
          <w:i/>
          <w:iCs/>
          <w:sz w:val="18"/>
          <w:szCs w:val="18"/>
        </w:rPr>
        <w:t>company interests</w:t>
      </w:r>
      <w:r w:rsidRPr="005323E4">
        <w:rPr>
          <w:sz w:val="18"/>
          <w:szCs w:val="18"/>
        </w:rPr>
        <w:t>, in relation to a person who has a shareholding interest, a voting interest, a dividend interest or a winding-up interest in a company, means the percentage of that interest or, if the person has 2 or more of those interests, whichever of those interests has the greater or greatest percentage.</w:t>
      </w:r>
    </w:p>
    <w:p w14:paraId="37B609AD" w14:textId="7923FA1C" w:rsidR="0082245A" w:rsidRPr="005323E4" w:rsidRDefault="0082245A" w:rsidP="0082245A">
      <w:pPr>
        <w:pStyle w:val="Paragraph"/>
      </w:pPr>
      <w:r w:rsidRPr="005323E4">
        <w:t xml:space="preserve">Section 8 of the BSA defines these different types of ‘company interests’. </w:t>
      </w:r>
    </w:p>
    <w:p w14:paraId="5D9E06AA" w14:textId="77777777" w:rsidR="0082245A" w:rsidRPr="005323E4" w:rsidRDefault="0082245A" w:rsidP="0082245A">
      <w:pPr>
        <w:pStyle w:val="Paragraph"/>
      </w:pPr>
      <w:r w:rsidRPr="005323E4">
        <w:t xml:space="preserve">The provisions relating to tracing of ownership of company interests are set out in clause 8 of Schedule 1 to the BSA. Under these provisions, company interests can be traced through a chain of companies, using the fractional tracing method. Foreign stakeholders must apply these tracing provisions when determining their company interests. </w:t>
      </w:r>
    </w:p>
    <w:p w14:paraId="12729947" w14:textId="77777777" w:rsidR="0082245A" w:rsidRPr="005323E4" w:rsidRDefault="0082245A" w:rsidP="0082245A">
      <w:pPr>
        <w:pStyle w:val="Paragraph"/>
      </w:pPr>
      <w:r w:rsidRPr="005323E4">
        <w:t>The effect of these provisions is that company interests can be traced through corporate groups. For example, while a company interest in an AMC may be held by the Australian-based subsidiary of a foreign person, all entities in the corporate group with traced interests exceeding 2.5% would also be considered foreign stakeholders in the AMC, consistent with the definition of foreign stakeholder under section 74C of the BSA.</w:t>
      </w:r>
    </w:p>
    <w:p w14:paraId="6F4C6B41" w14:textId="6E85B630" w:rsidR="0082245A" w:rsidRPr="005323E4" w:rsidRDefault="0082245A" w:rsidP="00971653">
      <w:pPr>
        <w:pStyle w:val="Heading2"/>
        <w:spacing w:after="120"/>
      </w:pPr>
      <w:bookmarkStart w:id="5" w:name="_Toc108451522"/>
      <w:r w:rsidRPr="005323E4">
        <w:t>Statutory review</w:t>
      </w:r>
      <w:bookmarkEnd w:id="5"/>
      <w:r w:rsidRPr="005323E4">
        <w:t xml:space="preserve"> </w:t>
      </w:r>
    </w:p>
    <w:p w14:paraId="40C66EEB" w14:textId="49252279" w:rsidR="00EE2FBD" w:rsidRPr="005323E4" w:rsidRDefault="00EE2FBD" w:rsidP="00EE2FBD">
      <w:pPr>
        <w:pStyle w:val="Paragraph"/>
      </w:pPr>
      <w:r w:rsidRPr="005323E4">
        <w:t xml:space="preserve">Section 74U of </w:t>
      </w:r>
      <w:r w:rsidR="00130214" w:rsidRPr="005323E4">
        <w:t>the BSA</w:t>
      </w:r>
      <w:r w:rsidRPr="005323E4">
        <w:t xml:space="preserve"> requires the ACMA to conduct a review of the operation of the Register and the operation of </w:t>
      </w:r>
      <w:r w:rsidR="00705F67" w:rsidRPr="005323E4">
        <w:t xml:space="preserve">the </w:t>
      </w:r>
      <w:r w:rsidR="00705B19" w:rsidRPr="005323E4">
        <w:t>d</w:t>
      </w:r>
      <w:r w:rsidRPr="005323E4">
        <w:t xml:space="preserve">ivision and associated legislation (the </w:t>
      </w:r>
      <w:r w:rsidR="00705B19" w:rsidRPr="005323E4">
        <w:t>r</w:t>
      </w:r>
      <w:r w:rsidRPr="005323E4">
        <w:t xml:space="preserve">eview). </w:t>
      </w:r>
    </w:p>
    <w:p w14:paraId="179A124D" w14:textId="0D34BB87" w:rsidR="00EE2FBD" w:rsidRPr="005323E4" w:rsidRDefault="00EE2FBD" w:rsidP="00EE2FBD">
      <w:pPr>
        <w:pStyle w:val="Paragraph"/>
      </w:pPr>
      <w:r w:rsidRPr="005323E4">
        <w:t xml:space="preserve">Subsection 74U(1) requires the ACMA to conduct the </w:t>
      </w:r>
      <w:r w:rsidR="00705B19" w:rsidRPr="005323E4">
        <w:t>r</w:t>
      </w:r>
      <w:r w:rsidRPr="005323E4">
        <w:t xml:space="preserve">eview as soon as practicable after 28 February 2022, and to prepare a report of the </w:t>
      </w:r>
      <w:r w:rsidR="00705B19" w:rsidRPr="005323E4">
        <w:t>r</w:t>
      </w:r>
      <w:r w:rsidRPr="005323E4">
        <w:t xml:space="preserve">eview for the </w:t>
      </w:r>
      <w:r w:rsidR="00705B19" w:rsidRPr="005323E4">
        <w:t>m</w:t>
      </w:r>
      <w:r w:rsidRPr="005323E4">
        <w:t>inister.</w:t>
      </w:r>
    </w:p>
    <w:p w14:paraId="48DED64D" w14:textId="42D6514D" w:rsidR="00EE2FBD" w:rsidRPr="005323E4" w:rsidRDefault="00EE2FBD" w:rsidP="00971653">
      <w:pPr>
        <w:pStyle w:val="paragraph0"/>
        <w:spacing w:before="0" w:beforeAutospacing="0" w:after="240" w:afterAutospacing="0"/>
        <w:textAlignment w:val="baseline"/>
        <w:rPr>
          <w:rStyle w:val="eop"/>
        </w:rPr>
      </w:pPr>
      <w:r w:rsidRPr="005323E4">
        <w:rPr>
          <w:rStyle w:val="normaltextrun"/>
          <w:rFonts w:ascii="Arial" w:hAnsi="Arial" w:cs="Arial"/>
          <w:sz w:val="20"/>
          <w:szCs w:val="20"/>
        </w:rPr>
        <w:t xml:space="preserve">The </w:t>
      </w:r>
      <w:r w:rsidR="00705B19" w:rsidRPr="005323E4">
        <w:rPr>
          <w:rStyle w:val="normaltextrun"/>
          <w:rFonts w:ascii="Arial" w:hAnsi="Arial" w:cs="Arial"/>
          <w:sz w:val="20"/>
          <w:szCs w:val="20"/>
        </w:rPr>
        <w:t>m</w:t>
      </w:r>
      <w:r w:rsidRPr="005323E4">
        <w:rPr>
          <w:rStyle w:val="normaltextrun"/>
          <w:rFonts w:ascii="Arial" w:hAnsi="Arial" w:cs="Arial"/>
          <w:sz w:val="20"/>
          <w:szCs w:val="20"/>
        </w:rPr>
        <w:t xml:space="preserve">inister must </w:t>
      </w:r>
      <w:r w:rsidR="00705B19" w:rsidRPr="005323E4">
        <w:rPr>
          <w:rStyle w:val="normaltextrun"/>
          <w:rFonts w:ascii="Arial" w:hAnsi="Arial" w:cs="Arial"/>
          <w:sz w:val="20"/>
          <w:szCs w:val="20"/>
        </w:rPr>
        <w:t xml:space="preserve">table </w:t>
      </w:r>
      <w:r w:rsidRPr="005323E4">
        <w:rPr>
          <w:rStyle w:val="normaltextrun"/>
          <w:rFonts w:ascii="Arial" w:hAnsi="Arial" w:cs="Arial"/>
          <w:sz w:val="20"/>
          <w:szCs w:val="20"/>
        </w:rPr>
        <w:t xml:space="preserve">the report in each House of Parliament within 15 sitting days of that </w:t>
      </w:r>
      <w:r w:rsidR="005037B7" w:rsidRPr="005323E4">
        <w:rPr>
          <w:rStyle w:val="normaltextrun"/>
          <w:rFonts w:ascii="Arial" w:hAnsi="Arial" w:cs="Arial"/>
          <w:sz w:val="20"/>
          <w:szCs w:val="20"/>
        </w:rPr>
        <w:t>h</w:t>
      </w:r>
      <w:r w:rsidRPr="005323E4">
        <w:rPr>
          <w:rStyle w:val="normaltextrun"/>
          <w:rFonts w:ascii="Arial" w:hAnsi="Arial" w:cs="Arial"/>
          <w:sz w:val="20"/>
          <w:szCs w:val="20"/>
        </w:rPr>
        <w:t xml:space="preserve">ouse after the day on which the </w:t>
      </w:r>
      <w:r w:rsidR="00705B19" w:rsidRPr="005323E4">
        <w:rPr>
          <w:rStyle w:val="normaltextrun"/>
          <w:rFonts w:ascii="Arial" w:hAnsi="Arial" w:cs="Arial"/>
          <w:sz w:val="20"/>
          <w:szCs w:val="20"/>
        </w:rPr>
        <w:t>m</w:t>
      </w:r>
      <w:r w:rsidRPr="005323E4">
        <w:rPr>
          <w:rStyle w:val="normaltextrun"/>
          <w:rFonts w:ascii="Arial" w:hAnsi="Arial" w:cs="Arial"/>
          <w:sz w:val="20"/>
          <w:szCs w:val="20"/>
        </w:rPr>
        <w:t>inister receives the report.</w:t>
      </w:r>
    </w:p>
    <w:p w14:paraId="4BA67D07" w14:textId="6B90BEC5" w:rsidR="00A62C91" w:rsidRPr="005323E4" w:rsidRDefault="00EE2FBD" w:rsidP="00634FEB">
      <w:pPr>
        <w:pStyle w:val="Heading3"/>
        <w:rPr>
          <w:rStyle w:val="normaltextrun"/>
          <w:rFonts w:cs="Times New Roman"/>
          <w:sz w:val="16"/>
          <w:szCs w:val="16"/>
        </w:rPr>
      </w:pPr>
      <w:r w:rsidRPr="005323E4">
        <w:rPr>
          <w:rStyle w:val="normaltextrun"/>
        </w:rPr>
        <w:t xml:space="preserve">Approach to the review </w:t>
      </w:r>
    </w:p>
    <w:p w14:paraId="349B62D7" w14:textId="2F3D2F9D" w:rsidR="00EE2FBD" w:rsidRPr="005323E4" w:rsidRDefault="00EE2FBD" w:rsidP="00634FEB">
      <w:pPr>
        <w:pStyle w:val="Paragraphbeforelist"/>
      </w:pPr>
      <w:r w:rsidRPr="005323E4">
        <w:rPr>
          <w:rStyle w:val="normaltextrun"/>
          <w:szCs w:val="20"/>
        </w:rPr>
        <w:t>Subsection 74U(1) requires the ACMA to conduct a review of the following matters:</w:t>
      </w:r>
    </w:p>
    <w:p w14:paraId="482B92C5" w14:textId="3732CFD7" w:rsidR="00EE2FBD" w:rsidRPr="005323E4" w:rsidRDefault="00EE2FBD" w:rsidP="00634FEB">
      <w:pPr>
        <w:pStyle w:val="Bulletlevel1"/>
        <w:rPr>
          <w:rStyle w:val="normaltextrun"/>
        </w:rPr>
      </w:pPr>
      <w:r w:rsidRPr="005323E4">
        <w:rPr>
          <w:rStyle w:val="normaltextrun"/>
          <w:szCs w:val="20"/>
        </w:rPr>
        <w:t xml:space="preserve">the operation of Division 10A and whether </w:t>
      </w:r>
      <w:r w:rsidR="00ED49EC" w:rsidRPr="005323E4">
        <w:rPr>
          <w:rStyle w:val="normaltextrun"/>
          <w:szCs w:val="20"/>
        </w:rPr>
        <w:t>it</w:t>
      </w:r>
      <w:r w:rsidRPr="005323E4">
        <w:rPr>
          <w:rStyle w:val="normaltextrun"/>
          <w:szCs w:val="20"/>
        </w:rPr>
        <w:t xml:space="preserve"> should be amended</w:t>
      </w:r>
    </w:p>
    <w:p w14:paraId="4AAA600A" w14:textId="77777777" w:rsidR="00EE2FBD" w:rsidRPr="005323E4" w:rsidRDefault="00EE2FBD" w:rsidP="00634FEB">
      <w:pPr>
        <w:pStyle w:val="Bulletlevel1last"/>
        <w:rPr>
          <w:rStyle w:val="normaltextrun"/>
        </w:rPr>
      </w:pPr>
      <w:r w:rsidRPr="005323E4">
        <w:rPr>
          <w:rStyle w:val="normaltextrun"/>
          <w:szCs w:val="20"/>
        </w:rPr>
        <w:t>the operation of other provisions in the BSA, to the extent to which they relate to Division 10A, and whether these other provisions in the BSA should be amended.</w:t>
      </w:r>
    </w:p>
    <w:p w14:paraId="0A540B7C" w14:textId="2FA6E26C" w:rsidR="00EE2FBD" w:rsidRPr="005323E4" w:rsidRDefault="00EE2FBD" w:rsidP="00634FEB">
      <w:pPr>
        <w:pStyle w:val="Paragraph"/>
        <w:rPr>
          <w:rStyle w:val="normaltextrun"/>
          <w:color w:val="000000"/>
          <w:szCs w:val="20"/>
          <w:shd w:val="clear" w:color="auto" w:fill="FFFFFF"/>
        </w:rPr>
      </w:pPr>
      <w:r w:rsidRPr="005323E4">
        <w:rPr>
          <w:rStyle w:val="normaltextrun"/>
          <w:color w:val="000000"/>
          <w:szCs w:val="20"/>
          <w:shd w:val="clear" w:color="auto" w:fill="FFFFFF"/>
        </w:rPr>
        <w:t xml:space="preserve">The </w:t>
      </w:r>
      <w:r w:rsidR="00357149" w:rsidRPr="005323E4">
        <w:rPr>
          <w:rStyle w:val="normaltextrun"/>
          <w:color w:val="000000"/>
          <w:szCs w:val="20"/>
          <w:shd w:val="clear" w:color="auto" w:fill="FFFFFF"/>
        </w:rPr>
        <w:t xml:space="preserve">Explanatory Memorandum to the Amendment Act (the </w:t>
      </w:r>
      <w:r w:rsidRPr="005323E4">
        <w:rPr>
          <w:rStyle w:val="normaltextrun"/>
          <w:color w:val="000000"/>
          <w:szCs w:val="20"/>
          <w:shd w:val="clear" w:color="auto" w:fill="FFFFFF"/>
        </w:rPr>
        <w:t>EM</w:t>
      </w:r>
      <w:r w:rsidR="00357149" w:rsidRPr="005323E4">
        <w:rPr>
          <w:rStyle w:val="normaltextrun"/>
          <w:color w:val="000000"/>
          <w:szCs w:val="20"/>
          <w:shd w:val="clear" w:color="auto" w:fill="FFFFFF"/>
        </w:rPr>
        <w:t>)</w:t>
      </w:r>
      <w:r w:rsidRPr="005323E4">
        <w:rPr>
          <w:rStyle w:val="normaltextrun"/>
          <w:color w:val="000000"/>
          <w:szCs w:val="20"/>
          <w:shd w:val="clear" w:color="auto" w:fill="FFFFFF"/>
        </w:rPr>
        <w:t xml:space="preserve"> indicates that the statutory review is to assess the</w:t>
      </w:r>
      <w:r w:rsidRPr="005323E4">
        <w:rPr>
          <w:rStyle w:val="normaltextrun"/>
          <w:color w:val="000000"/>
          <w:szCs w:val="20"/>
        </w:rPr>
        <w:t xml:space="preserve"> op</w:t>
      </w:r>
      <w:r w:rsidRPr="005323E4">
        <w:rPr>
          <w:rStyle w:val="normaltextrun"/>
          <w:color w:val="000000"/>
          <w:szCs w:val="20"/>
          <w:shd w:val="clear" w:color="auto" w:fill="FFFFFF"/>
        </w:rPr>
        <w:t xml:space="preserve">eration of the Register and its effectiveness in achieving its objectives, and to provide clear direction on the ongoing utility of the Register. </w:t>
      </w:r>
    </w:p>
    <w:p w14:paraId="55493EFB" w14:textId="2AF38D32" w:rsidR="00EE2FBD" w:rsidRPr="005323E4" w:rsidRDefault="00EE2FBD" w:rsidP="005037B7">
      <w:pPr>
        <w:pStyle w:val="Paragraph"/>
      </w:pPr>
      <w:r w:rsidRPr="005323E4">
        <w:t xml:space="preserve">To this end, the scope of this </w:t>
      </w:r>
      <w:r w:rsidR="005037B7" w:rsidRPr="005323E4">
        <w:t>r</w:t>
      </w:r>
      <w:r w:rsidRPr="005323E4">
        <w:t xml:space="preserve">eview is limited to the operation of Division 10A and other </w:t>
      </w:r>
      <w:r w:rsidR="00ED49EC" w:rsidRPr="005323E4">
        <w:t xml:space="preserve">related </w:t>
      </w:r>
      <w:r w:rsidRPr="005323E4">
        <w:t xml:space="preserve">provisions in the BSA. </w:t>
      </w:r>
    </w:p>
    <w:p w14:paraId="742A0CBB" w14:textId="2D785737" w:rsidR="00812288" w:rsidRPr="005323E4" w:rsidRDefault="00812288" w:rsidP="00DD6523">
      <w:pPr>
        <w:pStyle w:val="Paragraph"/>
        <w:rPr>
          <w:szCs w:val="20"/>
        </w:rPr>
      </w:pPr>
      <w:r w:rsidRPr="005323E4">
        <w:rPr>
          <w:szCs w:val="20"/>
        </w:rPr>
        <w:lastRenderedPageBreak/>
        <w:t xml:space="preserve">As part of the </w:t>
      </w:r>
      <w:r w:rsidR="005037B7" w:rsidRPr="005323E4">
        <w:rPr>
          <w:szCs w:val="20"/>
        </w:rPr>
        <w:t>r</w:t>
      </w:r>
      <w:r w:rsidRPr="005323E4">
        <w:rPr>
          <w:szCs w:val="20"/>
        </w:rPr>
        <w:t xml:space="preserve">eview, </w:t>
      </w:r>
      <w:r w:rsidR="005037B7" w:rsidRPr="005323E4">
        <w:rPr>
          <w:szCs w:val="20"/>
        </w:rPr>
        <w:t>we are</w:t>
      </w:r>
      <w:r w:rsidRPr="005323E4">
        <w:rPr>
          <w:szCs w:val="20"/>
        </w:rPr>
        <w:t xml:space="preserve"> seeking public submissions about the operation of the legislative requirements for foreign owners of media assets under the BSA and the operation of the Register.</w:t>
      </w:r>
    </w:p>
    <w:p w14:paraId="0C37484A" w14:textId="7CB6A614" w:rsidR="00812288" w:rsidRPr="005323E4" w:rsidRDefault="00812288" w:rsidP="00634FEB">
      <w:pPr>
        <w:pStyle w:val="Paragraphbeforelist"/>
      </w:pPr>
      <w:r w:rsidRPr="005323E4">
        <w:t xml:space="preserve">As part of the consultation process, </w:t>
      </w:r>
      <w:r w:rsidR="005037B7" w:rsidRPr="005323E4">
        <w:t xml:space="preserve">we </w:t>
      </w:r>
      <w:r w:rsidRPr="005323E4">
        <w:t xml:space="preserve">will be conducting targeted discussions and inviting submissions from:  </w:t>
      </w:r>
    </w:p>
    <w:p w14:paraId="3FDCF728" w14:textId="77777777" w:rsidR="00812288" w:rsidRPr="005323E4" w:rsidRDefault="00812288" w:rsidP="00634FEB">
      <w:pPr>
        <w:pStyle w:val="ListBullet"/>
        <w:rPr>
          <w:rFonts w:eastAsiaTheme="minorHAnsi"/>
          <w:lang w:eastAsia="en-US"/>
        </w:rPr>
      </w:pPr>
      <w:r w:rsidRPr="005323E4">
        <w:rPr>
          <w:rFonts w:eastAsiaTheme="minorHAnsi"/>
          <w:lang w:eastAsia="en-US"/>
        </w:rPr>
        <w:t xml:space="preserve">foreign stakeholders who have lodged notifications in relation to the Register, </w:t>
      </w:r>
      <w:r w:rsidRPr="005323E4">
        <w:t>in accordance with Division 10A of Part 5 of the BSA</w:t>
      </w:r>
      <w:r w:rsidRPr="005323E4">
        <w:rPr>
          <w:rFonts w:eastAsiaTheme="minorHAnsi"/>
          <w:lang w:eastAsia="en-US"/>
        </w:rPr>
        <w:t xml:space="preserve"> </w:t>
      </w:r>
    </w:p>
    <w:p w14:paraId="1B027CD2" w14:textId="77777777" w:rsidR="00812288" w:rsidRPr="005323E4" w:rsidRDefault="00812288" w:rsidP="00634FEB">
      <w:pPr>
        <w:pStyle w:val="ListBullet"/>
        <w:rPr>
          <w:rFonts w:eastAsiaTheme="minorHAnsi"/>
          <w:lang w:eastAsia="en-US"/>
        </w:rPr>
      </w:pPr>
      <w:r w:rsidRPr="005323E4">
        <w:rPr>
          <w:rFonts w:eastAsiaTheme="minorHAnsi"/>
          <w:lang w:eastAsia="en-US"/>
        </w:rPr>
        <w:t>Australian media companies</w:t>
      </w:r>
    </w:p>
    <w:p w14:paraId="41495455" w14:textId="6D37AC57" w:rsidR="00936E3F" w:rsidRPr="005323E4" w:rsidRDefault="00812288" w:rsidP="00634FEB">
      <w:pPr>
        <w:pStyle w:val="ListBulletLast"/>
      </w:pPr>
      <w:r w:rsidRPr="005323E4">
        <w:rPr>
          <w:rFonts w:eastAsiaTheme="minorHAnsi"/>
          <w:lang w:eastAsia="en-US"/>
        </w:rPr>
        <w:t xml:space="preserve">other </w:t>
      </w:r>
      <w:r w:rsidR="005037B7" w:rsidRPr="005323E4">
        <w:rPr>
          <w:rFonts w:eastAsiaTheme="minorHAnsi"/>
          <w:lang w:eastAsia="en-US"/>
        </w:rPr>
        <w:t>Australian G</w:t>
      </w:r>
      <w:r w:rsidRPr="005323E4">
        <w:rPr>
          <w:rFonts w:eastAsiaTheme="minorHAnsi"/>
          <w:lang w:eastAsia="en-US"/>
        </w:rPr>
        <w:t>overnment agencies that maintain registers of, or otherwise record, foreign owners of Australian assets.</w:t>
      </w:r>
    </w:p>
    <w:p w14:paraId="75804074" w14:textId="2E97D8FC" w:rsidR="00936E3F" w:rsidRPr="00634FEB" w:rsidRDefault="00EE2FBD" w:rsidP="00B039CA">
      <w:pPr>
        <w:pStyle w:val="Heading1"/>
      </w:pPr>
      <w:bookmarkStart w:id="6" w:name="_Toc108451523"/>
      <w:r w:rsidRPr="00634FEB">
        <w:lastRenderedPageBreak/>
        <w:t xml:space="preserve">Issues for </w:t>
      </w:r>
      <w:r w:rsidR="00272689" w:rsidRPr="00634FEB">
        <w:t>c</w:t>
      </w:r>
      <w:r w:rsidRPr="00634FEB">
        <w:t>omment</w:t>
      </w:r>
      <w:bookmarkEnd w:id="6"/>
      <w:r w:rsidRPr="00634FEB">
        <w:t xml:space="preserve"> </w:t>
      </w:r>
    </w:p>
    <w:p w14:paraId="1299EB63" w14:textId="1CB5AB0F" w:rsidR="005032B1" w:rsidRPr="005323E4" w:rsidRDefault="00E25EAE" w:rsidP="005032B1">
      <w:pPr>
        <w:pStyle w:val="Heading2"/>
        <w:spacing w:after="120"/>
      </w:pPr>
      <w:bookmarkStart w:id="7" w:name="_Toc108451524"/>
      <w:r w:rsidRPr="005323E4">
        <w:t>Policy objectives for Division 10A</w:t>
      </w:r>
      <w:bookmarkEnd w:id="7"/>
    </w:p>
    <w:p w14:paraId="7BF61AD9" w14:textId="7F9A20A1" w:rsidR="00EE2FBD" w:rsidRPr="005323E4" w:rsidRDefault="00EE2FBD" w:rsidP="00634FEB">
      <w:pPr>
        <w:pStyle w:val="Paragraphbeforelist"/>
        <w:rPr>
          <w:rStyle w:val="normaltextrun"/>
          <w:b/>
          <w:bCs/>
          <w:iCs/>
          <w:sz w:val="28"/>
          <w:szCs w:val="28"/>
        </w:rPr>
      </w:pPr>
      <w:r w:rsidRPr="005323E4">
        <w:t xml:space="preserve">Division 10A aims to improve transparency about the levels and sources of foreign investment in AMCs. </w:t>
      </w:r>
      <w:r w:rsidRPr="005323E4">
        <w:rPr>
          <w:rStyle w:val="normaltextrun"/>
          <w:szCs w:val="20"/>
        </w:rPr>
        <w:t xml:space="preserve">The Regulation Impact Statement in the </w:t>
      </w:r>
      <w:r w:rsidR="00357149" w:rsidRPr="005323E4">
        <w:rPr>
          <w:rStyle w:val="normaltextrun"/>
        </w:rPr>
        <w:t xml:space="preserve">EM </w:t>
      </w:r>
      <w:r w:rsidRPr="005323E4">
        <w:rPr>
          <w:rStyle w:val="normaltextrun"/>
          <w:szCs w:val="20"/>
        </w:rPr>
        <w:t>states that the Register was intended to meet the following policy objectives:</w:t>
      </w:r>
    </w:p>
    <w:p w14:paraId="2B70F563" w14:textId="77777777" w:rsidR="00EE2FBD" w:rsidRPr="005323E4" w:rsidRDefault="00EE2FBD" w:rsidP="00634FEB">
      <w:pPr>
        <w:pStyle w:val="Bulletlevel1"/>
        <w:rPr>
          <w:rStyle w:val="normaltextrun"/>
        </w:rPr>
      </w:pPr>
      <w:r w:rsidRPr="005323E4">
        <w:rPr>
          <w:rStyle w:val="normaltextrun"/>
          <w:szCs w:val="20"/>
        </w:rPr>
        <w:t>the Australian public is easily able to access information about the levels and sources of foreign investment in mainstream media outlets</w:t>
      </w:r>
    </w:p>
    <w:p w14:paraId="2782A8DD" w14:textId="521A0BB0" w:rsidR="00EE2FBD" w:rsidRPr="005323E4" w:rsidRDefault="004326C8" w:rsidP="00634FEB">
      <w:pPr>
        <w:pStyle w:val="Bulletlevel1last"/>
        <w:rPr>
          <w:rStyle w:val="normaltextrun"/>
        </w:rPr>
      </w:pPr>
      <w:r w:rsidRPr="005323E4">
        <w:rPr>
          <w:rStyle w:val="normaltextrun"/>
          <w:szCs w:val="20"/>
        </w:rPr>
        <w:t>g</w:t>
      </w:r>
      <w:r w:rsidR="00EE2FBD" w:rsidRPr="005323E4">
        <w:rPr>
          <w:rStyle w:val="normaltextrun"/>
          <w:szCs w:val="20"/>
        </w:rPr>
        <w:t>overnment consideration of media policy issues is informed by an accurate and up-to-date assessment of the levels and sources of foreign ownership of Australian media</w:t>
      </w:r>
      <w:r w:rsidRPr="005323E4">
        <w:rPr>
          <w:rStyle w:val="normaltextrun"/>
          <w:szCs w:val="20"/>
        </w:rPr>
        <w:t>.</w:t>
      </w:r>
      <w:r w:rsidR="00EE2FBD" w:rsidRPr="005323E4">
        <w:rPr>
          <w:rStyle w:val="FootnoteReference"/>
          <w:szCs w:val="20"/>
        </w:rPr>
        <w:footnoteReference w:id="6"/>
      </w:r>
    </w:p>
    <w:p w14:paraId="5A94EE37" w14:textId="77777777" w:rsidR="00EE2FBD" w:rsidRPr="005323E4" w:rsidRDefault="00EE2FBD" w:rsidP="00634FEB">
      <w:pPr>
        <w:pStyle w:val="Paragraph"/>
        <w:spacing w:after="120"/>
        <w:rPr>
          <w:rStyle w:val="normaltextrun"/>
          <w:rFonts w:cs="Times New Roman"/>
        </w:rPr>
      </w:pPr>
      <w:r w:rsidRPr="005323E4">
        <w:rPr>
          <w:rStyle w:val="normaltextrun"/>
        </w:rPr>
        <w:t>The EM also states that the establishment of the Register:</w:t>
      </w:r>
    </w:p>
    <w:p w14:paraId="1E839C35" w14:textId="4C3F37A7" w:rsidR="00EE2FBD" w:rsidRPr="005323E4" w:rsidRDefault="00EE2FBD" w:rsidP="00EE2FBD">
      <w:pPr>
        <w:ind w:left="425"/>
        <w:rPr>
          <w:rFonts w:cs="Arial"/>
          <w:color w:val="000000" w:themeColor="text1"/>
          <w:sz w:val="18"/>
          <w:szCs w:val="18"/>
        </w:rPr>
      </w:pPr>
      <w:r w:rsidRPr="005323E4">
        <w:rPr>
          <w:rFonts w:cs="Arial"/>
          <w:color w:val="000000" w:themeColor="text1"/>
          <w:sz w:val="18"/>
          <w:szCs w:val="18"/>
        </w:rPr>
        <w:t>would provide the community with increased levels of transparency as to the level and source of foreign investment in Australian media companies, meet the Government’s policy objectives … and assist in eliminating the information gap that currently exists</w:t>
      </w:r>
      <w:r w:rsidR="004326C8" w:rsidRPr="005323E4">
        <w:rPr>
          <w:rFonts w:cs="Arial"/>
          <w:color w:val="000000" w:themeColor="text1"/>
          <w:sz w:val="18"/>
          <w:szCs w:val="18"/>
        </w:rPr>
        <w:t>.</w:t>
      </w:r>
      <w:r w:rsidRPr="005323E4">
        <w:rPr>
          <w:rStyle w:val="FootnoteReference"/>
          <w:rFonts w:cs="Arial"/>
          <w:color w:val="000000" w:themeColor="text1"/>
          <w:sz w:val="18"/>
          <w:szCs w:val="18"/>
        </w:rPr>
        <w:footnoteReference w:id="7"/>
      </w:r>
    </w:p>
    <w:p w14:paraId="5ED25E97" w14:textId="10BD1BA2" w:rsidR="004326C8" w:rsidRPr="00634FEB" w:rsidRDefault="004326C8" w:rsidP="004326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b/>
          <w:szCs w:val="20"/>
        </w:rPr>
      </w:pPr>
      <w:r w:rsidRPr="00634FEB">
        <w:rPr>
          <w:b/>
          <w:szCs w:val="20"/>
        </w:rPr>
        <w:t>Issue</w:t>
      </w:r>
      <w:r w:rsidR="007E7504" w:rsidRPr="005323E4">
        <w:rPr>
          <w:b/>
          <w:szCs w:val="20"/>
        </w:rPr>
        <w:t>s</w:t>
      </w:r>
      <w:r w:rsidRPr="00634FEB">
        <w:rPr>
          <w:b/>
          <w:szCs w:val="20"/>
        </w:rPr>
        <w:t xml:space="preserve"> for comment</w:t>
      </w:r>
    </w:p>
    <w:p w14:paraId="4783AACF" w14:textId="77777777" w:rsidR="004326C8" w:rsidRPr="005323E4" w:rsidRDefault="004326C8" w:rsidP="00634FEB">
      <w:pPr>
        <w:pStyle w:val="Paragraphbeforelist"/>
        <w:pBdr>
          <w:top w:val="single" w:sz="4" w:space="1" w:color="auto"/>
          <w:left w:val="single" w:sz="4" w:space="4" w:color="auto"/>
          <w:bottom w:val="single" w:sz="4" w:space="1" w:color="auto"/>
          <w:right w:val="single" w:sz="4" w:space="4" w:color="auto"/>
        </w:pBdr>
        <w:shd w:val="clear" w:color="auto" w:fill="F2F2F2" w:themeFill="background1" w:themeFillShade="F2"/>
        <w:rPr>
          <w:szCs w:val="20"/>
        </w:rPr>
      </w:pPr>
      <w:r w:rsidRPr="005323E4">
        <w:rPr>
          <w:szCs w:val="20"/>
        </w:rPr>
        <w:t>We invite comments about the policy objectives for Division 10A. In particular, we invite responses to the following questions:</w:t>
      </w:r>
    </w:p>
    <w:p w14:paraId="213CACE1" w14:textId="41D9BDA4" w:rsidR="004326C8" w:rsidRPr="005323E4" w:rsidRDefault="004326C8" w:rsidP="004326C8">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z w:val="20"/>
          <w:szCs w:val="20"/>
        </w:rPr>
      </w:pPr>
      <w:bookmarkStart w:id="8" w:name="_Hlk108453795"/>
      <w:r w:rsidRPr="005323E4">
        <w:rPr>
          <w:rFonts w:ascii="Arial" w:hAnsi="Arial" w:cs="Arial"/>
          <w:sz w:val="20"/>
          <w:szCs w:val="20"/>
        </w:rPr>
        <w:t>Does the operation of Division 10A, address the stated policy objectives set out by the government and are there other processes that would facilitate these better?</w:t>
      </w:r>
    </w:p>
    <w:p w14:paraId="29E02FD4" w14:textId="4EC7AA45" w:rsidR="00CD71B3" w:rsidRPr="005323E4" w:rsidRDefault="004326C8" w:rsidP="004326C8">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z w:val="20"/>
          <w:szCs w:val="20"/>
        </w:rPr>
      </w:pPr>
      <w:r w:rsidRPr="005323E4">
        <w:rPr>
          <w:rFonts w:ascii="Arial" w:hAnsi="Arial" w:cs="Arial"/>
          <w:sz w:val="20"/>
          <w:szCs w:val="20"/>
        </w:rPr>
        <w:t>What amendments, if any, could be made to Division 10A so that the statutory mechanisms, once implemented, could better meet the policy objectives?</w:t>
      </w:r>
    </w:p>
    <w:p w14:paraId="7DBE17E3" w14:textId="2C092E60" w:rsidR="00471FDE" w:rsidRPr="005323E4" w:rsidRDefault="00471FDE" w:rsidP="009B7C9E">
      <w:pPr>
        <w:pStyle w:val="Heading2"/>
        <w:spacing w:after="120"/>
      </w:pPr>
      <w:bookmarkStart w:id="9" w:name="_Hlk106198125"/>
      <w:bookmarkStart w:id="10" w:name="_Toc108451525"/>
      <w:bookmarkEnd w:id="8"/>
      <w:r w:rsidRPr="005323E4">
        <w:t xml:space="preserve">Definition of </w:t>
      </w:r>
      <w:r w:rsidR="00272689" w:rsidRPr="005323E4">
        <w:t>f</w:t>
      </w:r>
      <w:r w:rsidRPr="005323E4">
        <w:t xml:space="preserve">oreign </w:t>
      </w:r>
      <w:r w:rsidR="00272689" w:rsidRPr="005323E4">
        <w:t>s</w:t>
      </w:r>
      <w:r w:rsidRPr="005323E4">
        <w:t xml:space="preserve">takeholder and </w:t>
      </w:r>
      <w:r w:rsidR="000913D2" w:rsidRPr="005323E4">
        <w:t>notification</w:t>
      </w:r>
      <w:r w:rsidRPr="005323E4">
        <w:t xml:space="preserve"> threshold</w:t>
      </w:r>
      <w:bookmarkEnd w:id="9"/>
      <w:r w:rsidRPr="005323E4">
        <w:t>s</w:t>
      </w:r>
      <w:bookmarkEnd w:id="10"/>
      <w:r w:rsidRPr="005323E4">
        <w:t xml:space="preserve"> </w:t>
      </w:r>
    </w:p>
    <w:p w14:paraId="1C716EF7" w14:textId="3FEEE64C" w:rsidR="00471FDE" w:rsidRPr="005323E4" w:rsidRDefault="00471FDE" w:rsidP="00471FDE">
      <w:pPr>
        <w:pStyle w:val="Heading3"/>
        <w:rPr>
          <w:sz w:val="22"/>
          <w:szCs w:val="22"/>
        </w:rPr>
      </w:pPr>
      <w:r w:rsidRPr="005323E4">
        <w:rPr>
          <w:sz w:val="22"/>
          <w:szCs w:val="22"/>
        </w:rPr>
        <w:t xml:space="preserve">Discussion </w:t>
      </w:r>
    </w:p>
    <w:p w14:paraId="4B05BFAF" w14:textId="65C88F6C" w:rsidR="00471FDE" w:rsidRPr="005323E4" w:rsidRDefault="00D32BDA" w:rsidP="00471FDE">
      <w:r w:rsidRPr="005323E4">
        <w:t>Under Division 10A, a ‘f</w:t>
      </w:r>
      <w:r w:rsidR="00471FDE" w:rsidRPr="005323E4">
        <w:t xml:space="preserve">oreign </w:t>
      </w:r>
      <w:r w:rsidRPr="005323E4">
        <w:t>person’ becomes a ‘foreign s</w:t>
      </w:r>
      <w:r w:rsidR="00471FDE" w:rsidRPr="005323E4">
        <w:t>takeholder</w:t>
      </w:r>
      <w:r w:rsidRPr="005323E4">
        <w:t xml:space="preserve">’ and is required to notify the ACMA if it acquires company interests in </w:t>
      </w:r>
      <w:r w:rsidR="004F71D8" w:rsidRPr="005323E4">
        <w:t>an AMC of</w:t>
      </w:r>
      <w:r w:rsidR="006C6845" w:rsidRPr="005323E4">
        <w:t xml:space="preserve"> 2.5%</w:t>
      </w:r>
      <w:r w:rsidR="004F71D8" w:rsidRPr="005323E4">
        <w:t xml:space="preserve"> or more. This includes both a company interest held directly by the foreign person, and a company interest that is traced through a chain of companies using the ‘fractional tracing method’ described in </w:t>
      </w:r>
      <w:hyperlink r:id="rId29" w:anchor="_Toc95143039" w:history="1">
        <w:r w:rsidR="004F71D8" w:rsidRPr="005323E4">
          <w:rPr>
            <w:rStyle w:val="Hyperlink"/>
          </w:rPr>
          <w:t>Clause 8 of Schedule 1 to the BSA</w:t>
        </w:r>
      </w:hyperlink>
      <w:r w:rsidR="004F71D8" w:rsidRPr="005323E4">
        <w:t>. In the latter case, several companies in a chain could be foreign stakeholders for the purposes of Division 10A.</w:t>
      </w:r>
    </w:p>
    <w:p w14:paraId="577EEB40" w14:textId="56B4731A" w:rsidR="00471FDE" w:rsidRPr="005323E4" w:rsidRDefault="0091466E" w:rsidP="0061503E">
      <w:pPr>
        <w:pStyle w:val="Paragraphbeforelist"/>
        <w:rPr>
          <w:szCs w:val="20"/>
        </w:rPr>
      </w:pPr>
      <w:r w:rsidRPr="005323E4">
        <w:t>In</w:t>
      </w:r>
      <w:r w:rsidR="002A2098" w:rsidRPr="005323E4">
        <w:t xml:space="preserve"> addition to the Register, </w:t>
      </w:r>
      <w:r w:rsidRPr="005323E4">
        <w:t xml:space="preserve">there are </w:t>
      </w:r>
      <w:r w:rsidR="002A2098" w:rsidRPr="005323E4">
        <w:t xml:space="preserve">other notification </w:t>
      </w:r>
      <w:r w:rsidR="003252C4" w:rsidRPr="005323E4">
        <w:t xml:space="preserve">and </w:t>
      </w:r>
      <w:r w:rsidR="002A2098" w:rsidRPr="005323E4">
        <w:t>approval requirements that apply to foreign investors acquiring interests in Australian businesses (including AMCs), each triggered by its own</w:t>
      </w:r>
      <w:r w:rsidR="00471FDE" w:rsidRPr="005323E4">
        <w:t xml:space="preserve"> </w:t>
      </w:r>
      <w:r w:rsidR="00471FDE" w:rsidRPr="005323E4">
        <w:rPr>
          <w:szCs w:val="20"/>
        </w:rPr>
        <w:t xml:space="preserve">percentage threshold. For example: </w:t>
      </w:r>
    </w:p>
    <w:p w14:paraId="0885560F" w14:textId="79658FF7" w:rsidR="00471FDE" w:rsidRPr="005323E4" w:rsidRDefault="001E35DF" w:rsidP="0061503E">
      <w:pPr>
        <w:pStyle w:val="Bulletlevel1"/>
      </w:pPr>
      <w:r w:rsidRPr="005323E4">
        <w:t>Australian Securities and Investments Commission (</w:t>
      </w:r>
      <w:r w:rsidR="00471FDE" w:rsidRPr="005323E4">
        <w:t>ASIC</w:t>
      </w:r>
      <w:r w:rsidRPr="005323E4">
        <w:t>)</w:t>
      </w:r>
      <w:r w:rsidR="00471FDE" w:rsidRPr="005323E4">
        <w:t xml:space="preserve"> – 5% or more for </w:t>
      </w:r>
      <w:r w:rsidR="00471FDE" w:rsidRPr="00B039CA">
        <w:t>Substantial Shareholder Notices</w:t>
      </w:r>
      <w:r w:rsidR="00471FDE" w:rsidRPr="005323E4">
        <w:t xml:space="preserve"> </w:t>
      </w:r>
      <w:r w:rsidR="00295F9B" w:rsidRPr="005323E4">
        <w:t>for listed entities</w:t>
      </w:r>
    </w:p>
    <w:p w14:paraId="7E4341B5" w14:textId="3C930850" w:rsidR="00471FDE" w:rsidRPr="005323E4" w:rsidRDefault="001E35DF" w:rsidP="0061503E">
      <w:pPr>
        <w:pStyle w:val="Bulletlevel1"/>
      </w:pPr>
      <w:r w:rsidRPr="005323E4">
        <w:t>Foreign Investment Review Board (</w:t>
      </w:r>
      <w:r w:rsidR="00471FDE" w:rsidRPr="005323E4">
        <w:t>FIRB</w:t>
      </w:r>
      <w:r w:rsidRPr="005323E4">
        <w:t>)</w:t>
      </w:r>
      <w:r w:rsidR="00471FDE" w:rsidRPr="005323E4">
        <w:t xml:space="preserve"> – investments in an Australian media business of 5% or more </w:t>
      </w:r>
      <w:r w:rsidR="002A2098" w:rsidRPr="005323E4">
        <w:t xml:space="preserve">by a foreign person </w:t>
      </w:r>
      <w:r w:rsidR="00471FDE" w:rsidRPr="005323E4">
        <w:t>require</w:t>
      </w:r>
      <w:r w:rsidR="002A2098" w:rsidRPr="005323E4">
        <w:t>s</w:t>
      </w:r>
      <w:r w:rsidR="00471FDE" w:rsidRPr="005323E4">
        <w:t xml:space="preserve"> </w:t>
      </w:r>
      <w:r w:rsidR="002A2098" w:rsidRPr="005323E4">
        <w:t xml:space="preserve">FIRB </w:t>
      </w:r>
      <w:r w:rsidR="00471FDE" w:rsidRPr="005323E4">
        <w:t xml:space="preserve">approval </w:t>
      </w:r>
    </w:p>
    <w:p w14:paraId="04722E27" w14:textId="694E4960" w:rsidR="006C0810" w:rsidRPr="005323E4" w:rsidRDefault="0054345C" w:rsidP="0061503E">
      <w:pPr>
        <w:pStyle w:val="Bulletlevel1"/>
      </w:pPr>
      <w:r w:rsidRPr="005323E4">
        <w:t xml:space="preserve">Australian Taxation Office </w:t>
      </w:r>
      <w:r w:rsidR="006C0810" w:rsidRPr="005323E4">
        <w:t>–</w:t>
      </w:r>
      <w:r w:rsidR="00983481" w:rsidRPr="005323E4">
        <w:t xml:space="preserve"> </w:t>
      </w:r>
      <w:r w:rsidR="005C5312" w:rsidRPr="005323E4">
        <w:t xml:space="preserve">section </w:t>
      </w:r>
      <w:r w:rsidR="005F7688" w:rsidRPr="005323E4">
        <w:t xml:space="preserve">130S of the </w:t>
      </w:r>
      <w:r w:rsidR="005F7688" w:rsidRPr="005323E4">
        <w:rPr>
          <w:i/>
          <w:iCs/>
        </w:rPr>
        <w:t>Foreign Acquisitions and Takeovers Act 1975</w:t>
      </w:r>
      <w:r w:rsidR="000602A2" w:rsidRPr="005323E4">
        <w:t xml:space="preserve"> (FAT</w:t>
      </w:r>
      <w:r w:rsidR="007E64CE" w:rsidRPr="005323E4">
        <w:t>A</w:t>
      </w:r>
      <w:r w:rsidR="000602A2" w:rsidRPr="005323E4">
        <w:t xml:space="preserve">) </w:t>
      </w:r>
      <w:r w:rsidR="006B5301" w:rsidRPr="005323E4">
        <w:rPr>
          <w:rStyle w:val="Hyperlink"/>
          <w:color w:val="auto"/>
          <w:szCs w:val="20"/>
          <w:u w:val="none"/>
        </w:rPr>
        <w:t xml:space="preserve">provides for the establishment of </w:t>
      </w:r>
      <w:r w:rsidR="00983481" w:rsidRPr="005323E4">
        <w:t xml:space="preserve">the Register of Foreign Ownership of Australian Assets </w:t>
      </w:r>
      <w:r w:rsidR="001E35DF" w:rsidRPr="005323E4">
        <w:t>(the FOAA Register)</w:t>
      </w:r>
      <w:r w:rsidR="003D4938" w:rsidRPr="005323E4">
        <w:t>, to be administered by the Australian Taxation Office</w:t>
      </w:r>
      <w:r w:rsidR="007B393A" w:rsidRPr="005323E4">
        <w:t>.</w:t>
      </w:r>
      <w:r w:rsidR="001E35DF" w:rsidRPr="005323E4">
        <w:t xml:space="preserve"> </w:t>
      </w:r>
      <w:r w:rsidR="00A1307D" w:rsidRPr="005323E4">
        <w:t>Once the FOAA Register is in place, section</w:t>
      </w:r>
      <w:r w:rsidR="008B275B" w:rsidRPr="005323E4">
        <w:t xml:space="preserve">s 130ZH, 130ZI and </w:t>
      </w:r>
      <w:r w:rsidR="00D820EB" w:rsidRPr="005323E4">
        <w:t>130ZJ</w:t>
      </w:r>
      <w:r w:rsidR="004326C8" w:rsidRPr="005323E4">
        <w:t xml:space="preserve"> </w:t>
      </w:r>
      <w:r w:rsidR="00DA1DF7" w:rsidRPr="005323E4">
        <w:t>of the FAT</w:t>
      </w:r>
      <w:r w:rsidR="007E64CE" w:rsidRPr="005323E4">
        <w:t>A</w:t>
      </w:r>
      <w:r w:rsidR="00DA1DF7" w:rsidRPr="005323E4">
        <w:t xml:space="preserve"> </w:t>
      </w:r>
      <w:r w:rsidR="00D938C6" w:rsidRPr="005323E4">
        <w:t>require</w:t>
      </w:r>
      <w:r w:rsidR="00983481" w:rsidRPr="005323E4">
        <w:t xml:space="preserve"> </w:t>
      </w:r>
      <w:r w:rsidRPr="005323E4">
        <w:t xml:space="preserve">a foreign person </w:t>
      </w:r>
      <w:r w:rsidR="00D938C6" w:rsidRPr="005323E4">
        <w:t xml:space="preserve">to </w:t>
      </w:r>
      <w:r w:rsidRPr="005323E4">
        <w:t>report a</w:t>
      </w:r>
      <w:r w:rsidR="00C83BB9" w:rsidRPr="005323E4">
        <w:t xml:space="preserve"> ‘significant action’</w:t>
      </w:r>
      <w:r w:rsidR="00533C93" w:rsidRPr="005323E4">
        <w:t xml:space="preserve">, </w:t>
      </w:r>
      <w:r w:rsidR="009F3914" w:rsidRPr="005323E4">
        <w:t xml:space="preserve">which could </w:t>
      </w:r>
      <w:r w:rsidR="009F3914" w:rsidRPr="005323E4">
        <w:lastRenderedPageBreak/>
        <w:t xml:space="preserve">include the </w:t>
      </w:r>
      <w:r w:rsidR="002A2098" w:rsidRPr="005323E4">
        <w:t xml:space="preserve">acquisition of </w:t>
      </w:r>
      <w:r w:rsidR="00A72F7C" w:rsidRPr="005323E4">
        <w:t>‘</w:t>
      </w:r>
      <w:r w:rsidR="002A2098" w:rsidRPr="005323E4">
        <w:t>a</w:t>
      </w:r>
      <w:r w:rsidR="00BE12BE" w:rsidRPr="005323E4">
        <w:t xml:space="preserve"> substantial </w:t>
      </w:r>
      <w:r w:rsidR="002A2098" w:rsidRPr="005323E4">
        <w:t>interest</w:t>
      </w:r>
      <w:r w:rsidR="00A72F7C" w:rsidRPr="005323E4">
        <w:t>’</w:t>
      </w:r>
      <w:r w:rsidR="002A2098" w:rsidRPr="005323E4">
        <w:t xml:space="preserve"> of </w:t>
      </w:r>
      <w:r w:rsidRPr="005323E4">
        <w:t>20</w:t>
      </w:r>
      <w:r w:rsidR="006C0810" w:rsidRPr="005323E4">
        <w:t>% or more</w:t>
      </w:r>
      <w:r w:rsidRPr="005323E4">
        <w:t xml:space="preserve"> </w:t>
      </w:r>
      <w:r w:rsidR="00A72F7C" w:rsidRPr="005323E4">
        <w:t xml:space="preserve">in an ‘Australian media business’ </w:t>
      </w:r>
      <w:r w:rsidRPr="005323E4">
        <w:t>that meets a specified threshold value</w:t>
      </w:r>
      <w:r w:rsidR="006C0810" w:rsidRPr="005323E4">
        <w:t xml:space="preserve"> </w:t>
      </w:r>
      <w:r w:rsidR="00983481" w:rsidRPr="005323E4">
        <w:t>(</w:t>
      </w:r>
      <w:r w:rsidR="004F71D8" w:rsidRPr="005323E4">
        <w:t>see below)</w:t>
      </w:r>
      <w:r w:rsidR="004E1386" w:rsidRPr="005323E4">
        <w:t>.</w:t>
      </w:r>
      <w:r w:rsidR="006C0810" w:rsidRPr="005323E4">
        <w:t xml:space="preserve"> </w:t>
      </w:r>
    </w:p>
    <w:p w14:paraId="59260F71" w14:textId="6316FDCC" w:rsidR="00471FDE" w:rsidRPr="005323E4" w:rsidRDefault="00471FDE" w:rsidP="004326C8">
      <w:pPr>
        <w:pStyle w:val="Bulletlevel1last"/>
      </w:pPr>
      <w:r w:rsidRPr="005323E4">
        <w:t xml:space="preserve">ACMA – more than 15% of a commercial television broadcasting licence, a commercial radio broadcasting licence or </w:t>
      </w:r>
      <w:r w:rsidR="00CF2329" w:rsidRPr="005323E4">
        <w:t xml:space="preserve">an </w:t>
      </w:r>
      <w:r w:rsidRPr="005323E4">
        <w:t>associated newspaper</w:t>
      </w:r>
      <w:r w:rsidR="00CF2329" w:rsidRPr="005323E4">
        <w:t xml:space="preserve"> for ‘deemed control’ and inclusion in the Media Control Database</w:t>
      </w:r>
      <w:r w:rsidRPr="005323E4">
        <w:t xml:space="preserve">. </w:t>
      </w:r>
    </w:p>
    <w:p w14:paraId="1655838C" w14:textId="2CD5957E" w:rsidR="004326C8" w:rsidRPr="0061503E" w:rsidRDefault="004326C8" w:rsidP="0061503E">
      <w:pPr>
        <w:pBdr>
          <w:top w:val="single" w:sz="4" w:space="1" w:color="auto"/>
          <w:left w:val="single" w:sz="4" w:space="1" w:color="auto"/>
          <w:bottom w:val="single" w:sz="4" w:space="1" w:color="auto"/>
          <w:right w:val="single" w:sz="4" w:space="1" w:color="auto"/>
        </w:pBdr>
        <w:shd w:val="clear" w:color="auto" w:fill="F2F2F2" w:themeFill="background1" w:themeFillShade="F2"/>
        <w:spacing w:after="120"/>
        <w:rPr>
          <w:b/>
          <w:szCs w:val="20"/>
        </w:rPr>
      </w:pPr>
      <w:r w:rsidRPr="0061503E">
        <w:rPr>
          <w:b/>
          <w:szCs w:val="20"/>
        </w:rPr>
        <w:t xml:space="preserve">Issue for </w:t>
      </w:r>
      <w:r w:rsidR="00E0157B" w:rsidRPr="0061503E">
        <w:rPr>
          <w:b/>
          <w:szCs w:val="20"/>
        </w:rPr>
        <w:t>c</w:t>
      </w:r>
      <w:r w:rsidRPr="0061503E">
        <w:rPr>
          <w:b/>
          <w:szCs w:val="20"/>
        </w:rPr>
        <w:t xml:space="preserve">omment </w:t>
      </w:r>
    </w:p>
    <w:p w14:paraId="6ECE66DF" w14:textId="00B8C31C" w:rsidR="004326C8" w:rsidRPr="005323E4" w:rsidRDefault="004326C8" w:rsidP="0061503E">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pPr>
      <w:bookmarkStart w:id="11" w:name="_Hlk108453813"/>
      <w:r w:rsidRPr="0061503E">
        <w:rPr>
          <w:rFonts w:ascii="Arial" w:hAnsi="Arial" w:cs="Arial"/>
          <w:sz w:val="20"/>
          <w:szCs w:val="20"/>
        </w:rPr>
        <w:t xml:space="preserve">We </w:t>
      </w:r>
      <w:r w:rsidRPr="005323E4">
        <w:rPr>
          <w:rFonts w:ascii="Arial" w:hAnsi="Arial" w:cs="Arial"/>
          <w:sz w:val="20"/>
          <w:szCs w:val="20"/>
        </w:rPr>
        <w:t>invite</w:t>
      </w:r>
      <w:r w:rsidRPr="0061503E">
        <w:rPr>
          <w:rFonts w:ascii="Arial" w:hAnsi="Arial" w:cs="Arial"/>
          <w:sz w:val="20"/>
          <w:szCs w:val="20"/>
        </w:rPr>
        <w:t xml:space="preserve"> comments on the definition of a Foreign Stakeholder and the current notification threshold of 2.5% company interests, including whether or not the threshold remains appropriate or, if not, what that threshold should be.</w:t>
      </w:r>
      <w:bookmarkEnd w:id="11"/>
    </w:p>
    <w:p w14:paraId="50F07678" w14:textId="46E36663" w:rsidR="00862192" w:rsidRPr="005323E4" w:rsidRDefault="00773D1C" w:rsidP="009B7C9E">
      <w:pPr>
        <w:pStyle w:val="Heading2"/>
        <w:spacing w:after="120"/>
      </w:pPr>
      <w:bookmarkStart w:id="12" w:name="_Hlk106198381"/>
      <w:bookmarkStart w:id="13" w:name="_Toc108451526"/>
      <w:r w:rsidRPr="005323E4">
        <w:t>A</w:t>
      </w:r>
      <w:r w:rsidR="00CA5E41" w:rsidRPr="005323E4">
        <w:t xml:space="preserve">ccessibility </w:t>
      </w:r>
      <w:r w:rsidR="00792434" w:rsidRPr="005323E4">
        <w:t xml:space="preserve">of </w:t>
      </w:r>
      <w:r w:rsidR="00862192" w:rsidRPr="005323E4">
        <w:t>the Register</w:t>
      </w:r>
      <w:r w:rsidR="00D72040" w:rsidRPr="005323E4">
        <w:t xml:space="preserve"> and transparency and utility of </w:t>
      </w:r>
      <w:r w:rsidR="00272689" w:rsidRPr="005323E4">
        <w:t xml:space="preserve">the </w:t>
      </w:r>
      <w:r w:rsidR="00D72040" w:rsidRPr="005323E4">
        <w:t>information</w:t>
      </w:r>
      <w:bookmarkEnd w:id="12"/>
      <w:bookmarkEnd w:id="13"/>
    </w:p>
    <w:p w14:paraId="1BE68B1E" w14:textId="2FCEDCD8" w:rsidR="00CA5E41" w:rsidRPr="005323E4" w:rsidRDefault="00CA5E41" w:rsidP="00CA5E41">
      <w:pPr>
        <w:pStyle w:val="Heading3"/>
        <w:rPr>
          <w:sz w:val="22"/>
          <w:szCs w:val="22"/>
        </w:rPr>
      </w:pPr>
      <w:r w:rsidRPr="005323E4">
        <w:rPr>
          <w:sz w:val="22"/>
          <w:szCs w:val="22"/>
        </w:rPr>
        <w:t xml:space="preserve">Discussion </w:t>
      </w:r>
    </w:p>
    <w:p w14:paraId="7E70EB41" w14:textId="1E89455D" w:rsidR="00983481" w:rsidRPr="005323E4" w:rsidRDefault="00CA5E41">
      <w:r w:rsidRPr="005323E4">
        <w:t xml:space="preserve">The ACMA maintains the Register on its </w:t>
      </w:r>
      <w:hyperlink r:id="rId30" w:history="1">
        <w:r w:rsidRPr="005323E4">
          <w:rPr>
            <w:rStyle w:val="Hyperlink"/>
          </w:rPr>
          <w:t>website</w:t>
        </w:r>
      </w:hyperlink>
      <w:r w:rsidR="00983481" w:rsidRPr="005323E4">
        <w:t>,</w:t>
      </w:r>
      <w:r w:rsidRPr="005323E4">
        <w:t xml:space="preserve"> </w:t>
      </w:r>
      <w:r w:rsidR="00983481" w:rsidRPr="005323E4">
        <w:t>which is available to the public, subject to Terms of Use</w:t>
      </w:r>
      <w:r w:rsidR="00264C38" w:rsidRPr="005323E4">
        <w:t xml:space="preserve"> that users are required to accept</w:t>
      </w:r>
      <w:r w:rsidR="00983481" w:rsidRPr="005323E4">
        <w:t>.</w:t>
      </w:r>
      <w:r w:rsidR="00D72040" w:rsidRPr="005323E4">
        <w:t xml:space="preserve"> As noted above</w:t>
      </w:r>
      <w:r w:rsidR="00C465D1" w:rsidRPr="005323E4">
        <w:t>,</w:t>
      </w:r>
      <w:r w:rsidR="00D72040" w:rsidRPr="005323E4">
        <w:t xml:space="preserve"> a key purpose of the Register is to make accessible meaningful information about the levels and sources of foreign investment in Australian media outlets.</w:t>
      </w:r>
    </w:p>
    <w:p w14:paraId="145C2911" w14:textId="697C8FD4" w:rsidR="00E6727A" w:rsidRPr="005323E4" w:rsidRDefault="00983481">
      <w:r w:rsidRPr="005323E4">
        <w:t>The Register may be searched by several variables, including the foreign stakeholder</w:t>
      </w:r>
      <w:r w:rsidR="003252C4" w:rsidRPr="005323E4">
        <w:t>’s name</w:t>
      </w:r>
      <w:r w:rsidR="00251053" w:rsidRPr="005323E4">
        <w:t>, the AMC, the broadcasting licence number (if applicable), media network and so on.</w:t>
      </w:r>
    </w:p>
    <w:p w14:paraId="24EBB15A" w14:textId="4BB34772" w:rsidR="00D72040" w:rsidRPr="005323E4" w:rsidRDefault="00D72040" w:rsidP="00D72040">
      <w:r w:rsidRPr="005323E4">
        <w:t>Information on the Register displays in a table, showing relevant information such as the AMC, the media service or services licensed to or published by the AMC and details about each related foreign stakeholder, such as its name and the level of interest held. The specific information shown and its format will depend on how the search is undertaken (</w:t>
      </w:r>
      <w:r w:rsidR="00E0157B" w:rsidRPr="005323E4">
        <w:t xml:space="preserve">for example, </w:t>
      </w:r>
      <w:r w:rsidRPr="005323E4">
        <w:t>a search by AMC will display information slightly differently to a search by foreign stakeholder). The search results may be downloaded as a pdf document.</w:t>
      </w:r>
    </w:p>
    <w:p w14:paraId="511C773B" w14:textId="11B93161" w:rsidR="00E6727A" w:rsidRPr="005323E4" w:rsidRDefault="00841C28" w:rsidP="00E0157B">
      <w:pPr>
        <w:pStyle w:val="Paragraph"/>
      </w:pPr>
      <w:bookmarkStart w:id="14" w:name="_Hlk108520965"/>
      <w:r>
        <w:t>We</w:t>
      </w:r>
      <w:r w:rsidR="00E6727A" w:rsidRPr="005323E4">
        <w:t xml:space="preserve"> do not have records about how often the Register has been searched but note that the </w:t>
      </w:r>
      <w:r w:rsidR="00F94FAF">
        <w:t>online landing</w:t>
      </w:r>
      <w:r w:rsidR="00E6727A" w:rsidRPr="005323E4">
        <w:t xml:space="preserve"> page of the Register</w:t>
      </w:r>
      <w:r w:rsidR="00BC50DF" w:rsidRPr="005323E4">
        <w:t xml:space="preserve"> has averaged</w:t>
      </w:r>
      <w:r w:rsidR="00E6727A" w:rsidRPr="005323E4">
        <w:t xml:space="preserve"> </w:t>
      </w:r>
      <w:r w:rsidR="00BC50DF" w:rsidRPr="005323E4">
        <w:t>approximately</w:t>
      </w:r>
      <w:r w:rsidR="00E6727A" w:rsidRPr="005323E4">
        <w:t xml:space="preserve"> </w:t>
      </w:r>
      <w:r w:rsidR="00E0157B" w:rsidRPr="005323E4">
        <w:t>one</w:t>
      </w:r>
      <w:r w:rsidR="00E6727A" w:rsidRPr="005323E4">
        <w:t xml:space="preserve"> unique </w:t>
      </w:r>
      <w:r w:rsidR="00575B1B" w:rsidRPr="005323E4">
        <w:t>p</w:t>
      </w:r>
      <w:r w:rsidR="00E6727A" w:rsidRPr="005323E4">
        <w:t>age view per day.</w:t>
      </w:r>
      <w:r w:rsidR="00BC50DF" w:rsidRPr="005323E4">
        <w:t xml:space="preserve"> Not all of these page views would translate into searches of the Register.</w:t>
      </w:r>
    </w:p>
    <w:bookmarkEnd w:id="14"/>
    <w:p w14:paraId="0511B9E9" w14:textId="0EB551BD" w:rsidR="00C465D1" w:rsidRPr="005323E4" w:rsidRDefault="00C2045A" w:rsidP="00E0157B">
      <w:pPr>
        <w:pStyle w:val="Paragraph"/>
      </w:pPr>
      <w:r>
        <w:t>We</w:t>
      </w:r>
      <w:r w:rsidR="00855020" w:rsidRPr="005323E4">
        <w:t xml:space="preserve"> </w:t>
      </w:r>
      <w:r>
        <w:t>do</w:t>
      </w:r>
      <w:r w:rsidRPr="005323E4">
        <w:t xml:space="preserve"> </w:t>
      </w:r>
      <w:r w:rsidR="00934F67" w:rsidRPr="005323E4">
        <w:t xml:space="preserve">retain records of enquiries </w:t>
      </w:r>
      <w:r>
        <w:t>we</w:t>
      </w:r>
      <w:r w:rsidRPr="005323E4">
        <w:t xml:space="preserve"> </w:t>
      </w:r>
      <w:r w:rsidR="00934F67" w:rsidRPr="005323E4">
        <w:t xml:space="preserve">receive. </w:t>
      </w:r>
      <w:r>
        <w:t xml:space="preserve">Our </w:t>
      </w:r>
      <w:r w:rsidR="00855020" w:rsidRPr="005323E4">
        <w:t>records indicate that</w:t>
      </w:r>
      <w:r w:rsidR="00934F67" w:rsidRPr="005323E4">
        <w:t xml:space="preserve">, since 1 March 2019 when the Register commenced, </w:t>
      </w:r>
      <w:r w:rsidR="009A079F">
        <w:t xml:space="preserve">we </w:t>
      </w:r>
      <w:r>
        <w:t xml:space="preserve">have </w:t>
      </w:r>
      <w:r w:rsidR="004C3578" w:rsidRPr="005323E4">
        <w:t>not</w:t>
      </w:r>
      <w:r w:rsidR="00855020" w:rsidRPr="005323E4">
        <w:t xml:space="preserve"> received </w:t>
      </w:r>
      <w:r w:rsidR="004C3578" w:rsidRPr="005323E4">
        <w:t xml:space="preserve">any enquiries </w:t>
      </w:r>
      <w:r w:rsidR="00934F67" w:rsidRPr="005323E4">
        <w:t xml:space="preserve">about accessing the Register or about information </w:t>
      </w:r>
      <w:r w:rsidR="00C465D1" w:rsidRPr="005323E4">
        <w:t xml:space="preserve">contained </w:t>
      </w:r>
      <w:r>
        <w:t>i</w:t>
      </w:r>
      <w:r w:rsidR="00C465D1" w:rsidRPr="005323E4">
        <w:t>n it.</w:t>
      </w:r>
    </w:p>
    <w:p w14:paraId="318C2EE3" w14:textId="69FB00E2" w:rsidR="00E0157B" w:rsidRPr="005323E4" w:rsidRDefault="00E0157B" w:rsidP="0026102B">
      <w:pPr>
        <w:pBdr>
          <w:top w:val="single" w:sz="4" w:space="1" w:color="auto"/>
          <w:left w:val="single" w:sz="4" w:space="1" w:color="auto"/>
          <w:bottom w:val="single" w:sz="4" w:space="1" w:color="auto"/>
          <w:right w:val="single" w:sz="4" w:space="1" w:color="auto"/>
        </w:pBdr>
        <w:shd w:val="clear" w:color="auto" w:fill="F2F2F2" w:themeFill="background1" w:themeFillShade="F2"/>
        <w:spacing w:after="120"/>
        <w:rPr>
          <w:b/>
          <w:sz w:val="22"/>
          <w:szCs w:val="22"/>
        </w:rPr>
      </w:pPr>
      <w:r w:rsidRPr="005323E4">
        <w:rPr>
          <w:b/>
          <w:sz w:val="22"/>
          <w:szCs w:val="22"/>
        </w:rPr>
        <w:t xml:space="preserve">Issues for comment </w:t>
      </w:r>
    </w:p>
    <w:p w14:paraId="69EF96A0" w14:textId="77777777" w:rsidR="00E0157B" w:rsidRPr="005323E4" w:rsidRDefault="00E0157B" w:rsidP="0026102B">
      <w:pPr>
        <w:pStyle w:val="Paragraphbeforelist"/>
        <w:pBdr>
          <w:top w:val="single" w:sz="4" w:space="1" w:color="auto"/>
          <w:left w:val="single" w:sz="4" w:space="1" w:color="auto"/>
          <w:bottom w:val="single" w:sz="4" w:space="1" w:color="auto"/>
          <w:right w:val="single" w:sz="4" w:space="1" w:color="auto"/>
        </w:pBdr>
        <w:shd w:val="clear" w:color="auto" w:fill="F2F2F2" w:themeFill="background1" w:themeFillShade="F2"/>
      </w:pPr>
      <w:r w:rsidRPr="005323E4">
        <w:t>We invite comments about the accessibility of the Register. In particular, we invite responses to the following questions:</w:t>
      </w:r>
    </w:p>
    <w:p w14:paraId="27726200" w14:textId="77777777" w:rsidR="00E0157B" w:rsidRPr="005323E4" w:rsidRDefault="00E0157B" w:rsidP="0026102B">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rPr>
          <w:rFonts w:ascii="Arial" w:hAnsi="Arial" w:cs="Arial"/>
          <w:sz w:val="20"/>
          <w:szCs w:val="20"/>
        </w:rPr>
      </w:pPr>
      <w:bookmarkStart w:id="15" w:name="_Hlk108453847"/>
      <w:r w:rsidRPr="005323E4">
        <w:rPr>
          <w:rFonts w:ascii="Arial" w:hAnsi="Arial" w:cs="Arial"/>
          <w:sz w:val="20"/>
          <w:szCs w:val="20"/>
        </w:rPr>
        <w:t>How often have you accessed the Register?</w:t>
      </w:r>
    </w:p>
    <w:p w14:paraId="6A2666B9" w14:textId="77777777" w:rsidR="00E0157B" w:rsidRPr="005323E4" w:rsidRDefault="00E0157B" w:rsidP="0026102B">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rPr>
          <w:rFonts w:ascii="Arial" w:hAnsi="Arial" w:cs="Arial"/>
          <w:sz w:val="20"/>
          <w:szCs w:val="20"/>
        </w:rPr>
      </w:pPr>
      <w:r w:rsidRPr="005323E4">
        <w:rPr>
          <w:rFonts w:ascii="Arial" w:hAnsi="Arial" w:cs="Arial"/>
          <w:sz w:val="20"/>
          <w:szCs w:val="20"/>
        </w:rPr>
        <w:t>For what purpose did you access the Register, and did you need to also access other foreign ownership registers to find the information you needed?</w:t>
      </w:r>
    </w:p>
    <w:p w14:paraId="5E3FC768" w14:textId="77777777" w:rsidR="00E0157B" w:rsidRPr="005323E4" w:rsidRDefault="00E0157B" w:rsidP="0026102B">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rPr>
          <w:rFonts w:ascii="Arial" w:hAnsi="Arial" w:cs="Arial"/>
          <w:sz w:val="20"/>
          <w:szCs w:val="20"/>
        </w:rPr>
      </w:pPr>
      <w:r w:rsidRPr="005323E4">
        <w:rPr>
          <w:rFonts w:ascii="Arial" w:hAnsi="Arial" w:cs="Arial"/>
          <w:sz w:val="20"/>
          <w:szCs w:val="20"/>
        </w:rPr>
        <w:t xml:space="preserve">Is information on the Register easily accessible and comprehensible? If not, why not, and how could it be improved? </w:t>
      </w:r>
    </w:p>
    <w:p w14:paraId="4FD1D8D1" w14:textId="77777777" w:rsidR="00E0157B" w:rsidRPr="005323E4" w:rsidRDefault="00E0157B" w:rsidP="0026102B">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rPr>
          <w:rFonts w:ascii="Arial" w:hAnsi="Arial" w:cs="Arial"/>
          <w:sz w:val="20"/>
          <w:szCs w:val="20"/>
        </w:rPr>
      </w:pPr>
      <w:r w:rsidRPr="005323E4">
        <w:rPr>
          <w:rFonts w:ascii="Arial" w:hAnsi="Arial" w:cs="Arial"/>
          <w:sz w:val="20"/>
          <w:szCs w:val="20"/>
        </w:rPr>
        <w:t>Does information accessed from the Register provide visibility about the levels and sources of foreign investment in mainstream media outlets?</w:t>
      </w:r>
    </w:p>
    <w:p w14:paraId="4077A351" w14:textId="77777777" w:rsidR="00E0157B" w:rsidRPr="005323E4" w:rsidRDefault="00E0157B" w:rsidP="0026102B">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rPr>
          <w:rFonts w:ascii="Arial" w:hAnsi="Arial" w:cs="Arial"/>
          <w:sz w:val="20"/>
          <w:szCs w:val="20"/>
        </w:rPr>
      </w:pPr>
      <w:r w:rsidRPr="005323E4">
        <w:rPr>
          <w:rFonts w:ascii="Arial" w:hAnsi="Arial" w:cs="Arial"/>
          <w:sz w:val="20"/>
          <w:szCs w:val="20"/>
        </w:rPr>
        <w:t>Is the information appropriate and relevant? Should additional or different information be shown?</w:t>
      </w:r>
    </w:p>
    <w:p w14:paraId="48C128A7" w14:textId="5D5DC354" w:rsidR="00E0157B" w:rsidRPr="005323E4" w:rsidRDefault="00E0157B" w:rsidP="0026102B">
      <w:pPr>
        <w:pStyle w:val="ListParagraph"/>
        <w:numPr>
          <w:ilvl w:val="0"/>
          <w:numId w:val="37"/>
        </w:numPr>
        <w:pBdr>
          <w:top w:val="single" w:sz="4" w:space="1" w:color="auto"/>
          <w:left w:val="single" w:sz="4" w:space="1" w:color="auto"/>
          <w:bottom w:val="single" w:sz="4" w:space="1" w:color="auto"/>
          <w:right w:val="single" w:sz="4" w:space="1" w:color="auto"/>
        </w:pBdr>
        <w:shd w:val="clear" w:color="auto" w:fill="F2F2F2" w:themeFill="background1" w:themeFillShade="F2"/>
        <w:spacing w:after="120"/>
        <w:ind w:left="284" w:hanging="284"/>
        <w:rPr>
          <w:rFonts w:ascii="Arial" w:hAnsi="Arial" w:cs="Arial"/>
          <w:sz w:val="20"/>
          <w:szCs w:val="20"/>
        </w:rPr>
      </w:pPr>
      <w:r w:rsidRPr="005323E4">
        <w:rPr>
          <w:rFonts w:ascii="Arial" w:hAnsi="Arial" w:cs="Arial"/>
          <w:sz w:val="20"/>
          <w:szCs w:val="20"/>
        </w:rPr>
        <w:t>To what extent does the information on the Register meet the government’s stated policy objectives?</w:t>
      </w:r>
    </w:p>
    <w:bookmarkEnd w:id="15"/>
    <w:p w14:paraId="6A545E56" w14:textId="77777777" w:rsidR="00E0157B" w:rsidRPr="005323E4" w:rsidRDefault="00E0157B" w:rsidP="00C465D1">
      <w:pPr>
        <w:spacing w:after="0"/>
      </w:pPr>
    </w:p>
    <w:p w14:paraId="71ADCA54" w14:textId="34F36B0E" w:rsidR="00855020" w:rsidRPr="005323E4" w:rsidRDefault="00D72040" w:rsidP="009B7C9E">
      <w:pPr>
        <w:pStyle w:val="Heading2"/>
        <w:spacing w:after="120"/>
      </w:pPr>
      <w:bookmarkStart w:id="16" w:name="_Toc108451527"/>
      <w:bookmarkStart w:id="17" w:name="_Hlk106198583"/>
      <w:r w:rsidRPr="005323E4">
        <w:lastRenderedPageBreak/>
        <w:t xml:space="preserve">Information </w:t>
      </w:r>
      <w:r w:rsidR="00B21737" w:rsidRPr="005323E4">
        <w:t>o</w:t>
      </w:r>
      <w:r w:rsidRPr="005323E4">
        <w:t>n the Register compared to other sources</w:t>
      </w:r>
      <w:bookmarkEnd w:id="16"/>
    </w:p>
    <w:bookmarkEnd w:id="17"/>
    <w:p w14:paraId="772B31FA" w14:textId="3C764620" w:rsidR="00746D31" w:rsidRPr="005323E4" w:rsidRDefault="00746D31" w:rsidP="007E7504">
      <w:pPr>
        <w:pStyle w:val="Heading3"/>
        <w:rPr>
          <w:rStyle w:val="normaltextrun"/>
        </w:rPr>
      </w:pPr>
      <w:r w:rsidRPr="005323E4">
        <w:rPr>
          <w:rStyle w:val="normaltextrun"/>
        </w:rPr>
        <w:t xml:space="preserve">Discussion </w:t>
      </w:r>
    </w:p>
    <w:p w14:paraId="2B43244B" w14:textId="7B9A0281" w:rsidR="00C13DB0" w:rsidRPr="005323E4" w:rsidRDefault="00C13DB0" w:rsidP="00CF44A4">
      <w:pPr>
        <w:pStyle w:val="Paragraphbeforelist"/>
      </w:pPr>
      <w:r w:rsidRPr="005323E4">
        <w:t xml:space="preserve">The Register is one of several government registers that record information about </w:t>
      </w:r>
      <w:r w:rsidR="00877B85" w:rsidRPr="005323E4">
        <w:t>interest holders</w:t>
      </w:r>
      <w:r w:rsidRPr="005323E4">
        <w:t xml:space="preserve"> in Australian</w:t>
      </w:r>
      <w:r w:rsidR="00877B85" w:rsidRPr="005323E4">
        <w:t xml:space="preserve"> companies, businesses and other entities in the</w:t>
      </w:r>
      <w:r w:rsidRPr="005323E4">
        <w:t xml:space="preserve"> media sector, including foreign stakeholders. </w:t>
      </w:r>
      <w:r w:rsidR="00F9146E" w:rsidRPr="005323E4">
        <w:t>Other registers include:</w:t>
      </w:r>
    </w:p>
    <w:p w14:paraId="49D42132" w14:textId="77777777" w:rsidR="00C13DB0" w:rsidRPr="00A61A17" w:rsidRDefault="00C13DB0" w:rsidP="00CF44A4">
      <w:pPr>
        <w:pStyle w:val="ListBullet"/>
      </w:pPr>
      <w:r w:rsidRPr="00CF44A4">
        <w:rPr>
          <w:b/>
          <w:bCs/>
        </w:rPr>
        <w:t>Foreign investment reform – Register of Foreign Ownership of Australian Assets</w:t>
      </w:r>
    </w:p>
    <w:p w14:paraId="6A0A4DBC" w14:textId="191D00AF" w:rsidR="00C13DB0" w:rsidRPr="005323E4" w:rsidRDefault="00C13DB0" w:rsidP="00CF44A4">
      <w:pPr>
        <w:pStyle w:val="ListBullet"/>
        <w:numPr>
          <w:ilvl w:val="0"/>
          <w:numId w:val="0"/>
        </w:numPr>
        <w:ind w:left="295"/>
      </w:pPr>
      <w:r w:rsidRPr="005323E4">
        <w:t>Since the introduction of Division 10A</w:t>
      </w:r>
      <w:r w:rsidR="004D4194" w:rsidRPr="005323E4">
        <w:t xml:space="preserve"> (in 2018)</w:t>
      </w:r>
      <w:r w:rsidRPr="005323E4">
        <w:t xml:space="preserve"> and the establishment of the Register, the </w:t>
      </w:r>
      <w:r w:rsidR="007E7504" w:rsidRPr="005323E4">
        <w:t>g</w:t>
      </w:r>
      <w:r w:rsidRPr="005323E4">
        <w:t xml:space="preserve">overnment has amended the </w:t>
      </w:r>
      <w:r w:rsidRPr="005323E4">
        <w:rPr>
          <w:i/>
          <w:iCs/>
        </w:rPr>
        <w:t>Foreign Acquisitions and Takeovers Act 1975</w:t>
      </w:r>
      <w:r w:rsidRPr="005323E4">
        <w:t xml:space="preserve"> (</w:t>
      </w:r>
      <w:r w:rsidRPr="0075478D">
        <w:t>FATA)</w:t>
      </w:r>
      <w:r w:rsidRPr="005323E4">
        <w:t xml:space="preserve"> to introduce a national security focus into Australia’s foreign investment screening framework, including new national security powers and actions, expanded compliance and monitoring, information sharing and enforcement powers.</w:t>
      </w:r>
      <w:r w:rsidRPr="005323E4">
        <w:rPr>
          <w:rStyle w:val="FootnoteReference"/>
        </w:rPr>
        <w:footnoteReference w:id="8"/>
      </w:r>
    </w:p>
    <w:p w14:paraId="28550595" w14:textId="6C62A4B7" w:rsidR="00C13DB0" w:rsidRPr="005323E4" w:rsidRDefault="00C13DB0" w:rsidP="00CF44A4">
      <w:pPr>
        <w:pStyle w:val="ListBullet"/>
        <w:numPr>
          <w:ilvl w:val="0"/>
          <w:numId w:val="0"/>
        </w:numPr>
        <w:ind w:left="295"/>
      </w:pPr>
      <w:r w:rsidRPr="005323E4">
        <w:t xml:space="preserve">The amendments to the FATA include the establishment of the FOAA Register to record </w:t>
      </w:r>
      <w:r w:rsidR="00D33400" w:rsidRPr="005323E4">
        <w:rPr>
          <w:szCs w:val="20"/>
        </w:rPr>
        <w:t>significant actions</w:t>
      </w:r>
      <w:r w:rsidR="00A17D27" w:rsidRPr="005323E4">
        <w:rPr>
          <w:rStyle w:val="FootnoteReference"/>
          <w:szCs w:val="20"/>
        </w:rPr>
        <w:footnoteReference w:id="9"/>
      </w:r>
      <w:r w:rsidR="004924B7" w:rsidRPr="005323E4">
        <w:rPr>
          <w:szCs w:val="20"/>
        </w:rPr>
        <w:t>,</w:t>
      </w:r>
      <w:r w:rsidR="00D33400" w:rsidRPr="005323E4">
        <w:rPr>
          <w:szCs w:val="20"/>
        </w:rPr>
        <w:t xml:space="preserve"> </w:t>
      </w:r>
      <w:r w:rsidR="003977F0" w:rsidRPr="005323E4">
        <w:rPr>
          <w:szCs w:val="20"/>
        </w:rPr>
        <w:t xml:space="preserve">which could include the acquisition of ‘a substantial interest’ of </w:t>
      </w:r>
      <w:r w:rsidR="003977F0" w:rsidRPr="005323E4">
        <w:t>20</w:t>
      </w:r>
      <w:r w:rsidR="003977F0" w:rsidRPr="005323E4">
        <w:rPr>
          <w:szCs w:val="20"/>
        </w:rPr>
        <w:t>% or more</w:t>
      </w:r>
      <w:r w:rsidR="003977F0" w:rsidRPr="005323E4">
        <w:t xml:space="preserve"> </w:t>
      </w:r>
      <w:r w:rsidRPr="005323E4">
        <w:t xml:space="preserve">by foreign persons in land, water, entities, businesses and other assets in Australia </w:t>
      </w:r>
      <w:r w:rsidR="002C2DCC" w:rsidRPr="005323E4">
        <w:t xml:space="preserve">(including </w:t>
      </w:r>
      <w:r w:rsidR="0049603B" w:rsidRPr="005323E4">
        <w:rPr>
          <w:szCs w:val="20"/>
        </w:rPr>
        <w:t>in an ‘Australian media business’</w:t>
      </w:r>
      <w:r w:rsidR="002C2DCC" w:rsidRPr="005323E4">
        <w:rPr>
          <w:szCs w:val="20"/>
        </w:rPr>
        <w:t>)</w:t>
      </w:r>
      <w:r w:rsidR="0049603B" w:rsidRPr="005323E4">
        <w:rPr>
          <w:szCs w:val="20"/>
        </w:rPr>
        <w:t xml:space="preserve"> that meets a specified threshold value</w:t>
      </w:r>
      <w:r w:rsidR="009810D3" w:rsidRPr="005323E4">
        <w:rPr>
          <w:szCs w:val="20"/>
        </w:rPr>
        <w:t xml:space="preserve"> </w:t>
      </w:r>
      <w:r w:rsidR="009810D3" w:rsidRPr="005323E4">
        <w:t>(currently $289 million)</w:t>
      </w:r>
      <w:r w:rsidR="002C2DCC" w:rsidRPr="005323E4">
        <w:rPr>
          <w:szCs w:val="20"/>
        </w:rPr>
        <w:t>.</w:t>
      </w:r>
      <w:r w:rsidR="0049603B" w:rsidRPr="005323E4">
        <w:rPr>
          <w:rStyle w:val="FootnoteReference"/>
          <w:szCs w:val="20"/>
        </w:rPr>
        <w:footnoteReference w:id="10"/>
      </w:r>
      <w:r w:rsidR="0010324E" w:rsidRPr="005323E4">
        <w:rPr>
          <w:szCs w:val="20"/>
          <w:vertAlign w:val="superscript"/>
        </w:rPr>
        <w:t xml:space="preserve">, </w:t>
      </w:r>
      <w:r w:rsidR="0010324E" w:rsidRPr="005323E4">
        <w:rPr>
          <w:rStyle w:val="FootnoteReference"/>
          <w:szCs w:val="20"/>
        </w:rPr>
        <w:footnoteReference w:id="11"/>
      </w:r>
      <w:r w:rsidR="0049603B" w:rsidRPr="005323E4">
        <w:rPr>
          <w:szCs w:val="20"/>
        </w:rPr>
        <w:t xml:space="preserve"> </w:t>
      </w:r>
      <w:r w:rsidRPr="005323E4">
        <w:t xml:space="preserve">The FOAA Register will be administered by the Australian Taxation Office and is due to come into force </w:t>
      </w:r>
      <w:r w:rsidR="0089687E" w:rsidRPr="005323E4">
        <w:t>by</w:t>
      </w:r>
      <w:r w:rsidRPr="005323E4">
        <w:t xml:space="preserve"> the end of 2024.</w:t>
      </w:r>
      <w:r w:rsidR="00B7375F" w:rsidRPr="005323E4">
        <w:rPr>
          <w:rStyle w:val="FootnoteReference"/>
        </w:rPr>
        <w:footnoteReference w:id="12"/>
      </w:r>
      <w:r w:rsidRPr="005323E4">
        <w:t xml:space="preserve"> </w:t>
      </w:r>
    </w:p>
    <w:p w14:paraId="4D5FE98A" w14:textId="695B0FF3" w:rsidR="00F85803" w:rsidRPr="005323E4" w:rsidRDefault="00C13DB0" w:rsidP="00CF44A4">
      <w:pPr>
        <w:pStyle w:val="ListBullet"/>
        <w:numPr>
          <w:ilvl w:val="0"/>
          <w:numId w:val="0"/>
        </w:numPr>
        <w:ind w:left="295"/>
      </w:pPr>
      <w:r w:rsidRPr="005323E4">
        <w:t xml:space="preserve">Information in the FOAA Register is expected to have some overlap with information currently recorded </w:t>
      </w:r>
      <w:r w:rsidR="00482CE4" w:rsidRPr="005323E4">
        <w:t xml:space="preserve">by the ACMA </w:t>
      </w:r>
      <w:r w:rsidRPr="005323E4">
        <w:t>in the</w:t>
      </w:r>
      <w:r w:rsidR="00482CE4" w:rsidRPr="005323E4">
        <w:t xml:space="preserve"> </w:t>
      </w:r>
      <w:r w:rsidRPr="005323E4">
        <w:t xml:space="preserve">Register. Both registers will record where a foreign person holds some level of interest in an AMC. Key differences between the 2 registers will be that the types of businesses that are recorded in the Register (AMCs) are a subset of the businesses in the Australian media sector that will be recorded in the FOAA Register and the thresholds for </w:t>
      </w:r>
      <w:r w:rsidR="007406B0" w:rsidRPr="005323E4">
        <w:t xml:space="preserve">recording </w:t>
      </w:r>
      <w:r w:rsidRPr="005323E4">
        <w:t>a foreign person’s interest in an entity.</w:t>
      </w:r>
      <w:r w:rsidR="007406B0" w:rsidRPr="005323E4">
        <w:rPr>
          <w:rStyle w:val="FootnoteReference"/>
        </w:rPr>
        <w:footnoteReference w:id="13"/>
      </w:r>
      <w:r w:rsidRPr="005323E4">
        <w:t xml:space="preserve"> </w:t>
      </w:r>
    </w:p>
    <w:p w14:paraId="60C3E843" w14:textId="6022FD86" w:rsidR="00C13DB0" w:rsidRPr="005323E4" w:rsidRDefault="00F85803" w:rsidP="00CF44A4">
      <w:pPr>
        <w:pStyle w:val="ListBullet"/>
        <w:numPr>
          <w:ilvl w:val="0"/>
          <w:numId w:val="0"/>
        </w:numPr>
        <w:ind w:left="295"/>
        <w:rPr>
          <w:szCs w:val="20"/>
        </w:rPr>
      </w:pPr>
      <w:r w:rsidRPr="005323E4">
        <w:rPr>
          <w:szCs w:val="20"/>
        </w:rPr>
        <w:t>Also, and i</w:t>
      </w:r>
      <w:r w:rsidR="00C13DB0" w:rsidRPr="005323E4">
        <w:rPr>
          <w:szCs w:val="20"/>
        </w:rPr>
        <w:t xml:space="preserve">n </w:t>
      </w:r>
      <w:r w:rsidR="00C13DB0" w:rsidRPr="005323E4">
        <w:t>contrast</w:t>
      </w:r>
      <w:r w:rsidR="00C13DB0" w:rsidRPr="005323E4">
        <w:rPr>
          <w:szCs w:val="20"/>
        </w:rPr>
        <w:t xml:space="preserve"> to the Register, </w:t>
      </w:r>
      <w:r w:rsidRPr="005323E4">
        <w:rPr>
          <w:szCs w:val="20"/>
        </w:rPr>
        <w:t xml:space="preserve">information recorded in the FOAA Register </w:t>
      </w:r>
      <w:r w:rsidR="001D102B" w:rsidRPr="005323E4">
        <w:rPr>
          <w:szCs w:val="20"/>
        </w:rPr>
        <w:t xml:space="preserve">will </w:t>
      </w:r>
      <w:r w:rsidRPr="005323E4">
        <w:rPr>
          <w:szCs w:val="20"/>
        </w:rPr>
        <w:t xml:space="preserve">not </w:t>
      </w:r>
      <w:r w:rsidR="001D102B" w:rsidRPr="005323E4">
        <w:rPr>
          <w:szCs w:val="20"/>
        </w:rPr>
        <w:t xml:space="preserve">be </w:t>
      </w:r>
      <w:r w:rsidR="00B21DE3" w:rsidRPr="005323E4">
        <w:rPr>
          <w:szCs w:val="20"/>
        </w:rPr>
        <w:t>searchable by the public</w:t>
      </w:r>
      <w:r w:rsidR="005323E4" w:rsidRPr="005323E4">
        <w:rPr>
          <w:szCs w:val="20"/>
        </w:rPr>
        <w:t xml:space="preserve"> </w:t>
      </w:r>
      <w:r w:rsidR="00A104CA" w:rsidRPr="005323E4">
        <w:rPr>
          <w:szCs w:val="20"/>
        </w:rPr>
        <w:t>due to commercial sensitivities and privacy considerations.</w:t>
      </w:r>
      <w:r w:rsidR="00F579EE" w:rsidRPr="005323E4">
        <w:rPr>
          <w:rStyle w:val="FootnoteReference"/>
          <w:szCs w:val="20"/>
        </w:rPr>
        <w:footnoteReference w:id="14"/>
      </w:r>
    </w:p>
    <w:p w14:paraId="56B248F3" w14:textId="77777777" w:rsidR="00C13DB0" w:rsidRPr="00CF44A4" w:rsidRDefault="00C13DB0" w:rsidP="00CF44A4">
      <w:pPr>
        <w:pStyle w:val="ListBullet"/>
        <w:rPr>
          <w:b/>
          <w:bCs/>
        </w:rPr>
      </w:pPr>
      <w:r w:rsidRPr="00CF44A4">
        <w:rPr>
          <w:b/>
          <w:bCs/>
        </w:rPr>
        <w:t xml:space="preserve">Notification requirement under the </w:t>
      </w:r>
      <w:r w:rsidRPr="00CF44A4">
        <w:rPr>
          <w:b/>
          <w:bCs/>
          <w:i/>
          <w:iCs/>
        </w:rPr>
        <w:t>Corporations Act 2001</w:t>
      </w:r>
      <w:r w:rsidRPr="00CF44A4">
        <w:rPr>
          <w:b/>
          <w:bCs/>
        </w:rPr>
        <w:t xml:space="preserve"> for substantial shareholders </w:t>
      </w:r>
    </w:p>
    <w:p w14:paraId="10A580BA" w14:textId="38ED81EA" w:rsidR="00C13DB0" w:rsidRPr="005323E4" w:rsidRDefault="00C13DB0" w:rsidP="00CF44A4">
      <w:pPr>
        <w:pStyle w:val="ListBullet"/>
        <w:numPr>
          <w:ilvl w:val="0"/>
          <w:numId w:val="0"/>
        </w:numPr>
        <w:ind w:left="295"/>
      </w:pPr>
      <w:r w:rsidRPr="005323E4">
        <w:t xml:space="preserve">Section 671B(1) of the </w:t>
      </w:r>
      <w:r w:rsidRPr="005323E4">
        <w:rPr>
          <w:i/>
          <w:iCs/>
        </w:rPr>
        <w:t>Corporations Act 2001</w:t>
      </w:r>
      <w:r w:rsidRPr="005323E4">
        <w:t xml:space="preserve"> requires a person who obtains a ‘substantial holding’ in a listed company, scheme or fund (5% or more of voting shares in a company) to give certain information about the relevant interests (</w:t>
      </w:r>
      <w:r w:rsidR="005323E4" w:rsidRPr="005323E4">
        <w:t>for example,</w:t>
      </w:r>
      <w:r w:rsidRPr="005323E4">
        <w:t xml:space="preserve"> in the voting shares) to the company within 2</w:t>
      </w:r>
      <w:r w:rsidR="0089687E" w:rsidRPr="005323E4">
        <w:t> </w:t>
      </w:r>
      <w:r w:rsidRPr="005323E4">
        <w:t>business days of becoming aware of the information. The person must also give the information to each relevant market operator (</w:t>
      </w:r>
      <w:r w:rsidR="005323E4" w:rsidRPr="005323E4">
        <w:t xml:space="preserve">for example, </w:t>
      </w:r>
      <w:r w:rsidR="0089687E" w:rsidRPr="005323E4">
        <w:t xml:space="preserve">the </w:t>
      </w:r>
      <w:r w:rsidRPr="005323E4">
        <w:t xml:space="preserve">ASX). </w:t>
      </w:r>
    </w:p>
    <w:p w14:paraId="38480902" w14:textId="0A9DC348" w:rsidR="00C13DB0" w:rsidRPr="005323E4" w:rsidRDefault="00C13DB0" w:rsidP="004202A9">
      <w:pPr>
        <w:pStyle w:val="ListBullet"/>
        <w:numPr>
          <w:ilvl w:val="0"/>
          <w:numId w:val="0"/>
        </w:numPr>
        <w:ind w:left="295"/>
      </w:pPr>
      <w:r w:rsidRPr="005323E4">
        <w:lastRenderedPageBreak/>
        <w:t>Notification requirements also apply where a person has a substantial holding in a company, scheme or fund and there is a movement of at least 1% in their holding, or where the person ceases to have a substantial holding (less than 5% of voting shares) in the relevant company.</w:t>
      </w:r>
    </w:p>
    <w:p w14:paraId="3E8E565C" w14:textId="796924C8" w:rsidR="00C13DB0" w:rsidRPr="005323E4" w:rsidRDefault="00C13DB0" w:rsidP="004202A9">
      <w:pPr>
        <w:pStyle w:val="ListBullet"/>
        <w:numPr>
          <w:ilvl w:val="0"/>
          <w:numId w:val="0"/>
        </w:numPr>
        <w:ind w:left="295"/>
      </w:pPr>
      <w:r w:rsidRPr="005323E4">
        <w:t xml:space="preserve">Substantial holding notices </w:t>
      </w:r>
      <w:r w:rsidR="00F86816" w:rsidRPr="005323E4">
        <w:t xml:space="preserve">provided by interest holders </w:t>
      </w:r>
      <w:r w:rsidRPr="005323E4">
        <w:t>are made available to the public on the ASX’s website.</w:t>
      </w:r>
    </w:p>
    <w:p w14:paraId="7593EFF2" w14:textId="5B8164A2" w:rsidR="00C13DB0" w:rsidRPr="00A61A17" w:rsidRDefault="00C13DB0" w:rsidP="004202A9">
      <w:pPr>
        <w:pStyle w:val="ListBullet"/>
      </w:pPr>
      <w:r w:rsidRPr="004202A9">
        <w:rPr>
          <w:b/>
          <w:bCs/>
        </w:rPr>
        <w:t xml:space="preserve">Notification requirements in relation to changes in control and media </w:t>
      </w:r>
      <w:r w:rsidR="00BD17ED" w:rsidRPr="004202A9">
        <w:rPr>
          <w:b/>
          <w:bCs/>
        </w:rPr>
        <w:t>control</w:t>
      </w:r>
      <w:r w:rsidRPr="004202A9">
        <w:rPr>
          <w:b/>
          <w:bCs/>
        </w:rPr>
        <w:t xml:space="preserve"> registers</w:t>
      </w:r>
    </w:p>
    <w:p w14:paraId="4768FFAA" w14:textId="61596065" w:rsidR="00C13DB0" w:rsidRPr="005323E4" w:rsidRDefault="003252C4" w:rsidP="004202A9">
      <w:pPr>
        <w:pStyle w:val="ListBullet"/>
        <w:numPr>
          <w:ilvl w:val="0"/>
          <w:numId w:val="0"/>
        </w:numPr>
        <w:ind w:left="295"/>
      </w:pPr>
      <w:r w:rsidRPr="005323E4">
        <w:t>If the</w:t>
      </w:r>
      <w:r w:rsidR="00C13DB0" w:rsidRPr="005323E4">
        <w:t xml:space="preserve"> holder of </w:t>
      </w:r>
      <w:r w:rsidRPr="005323E4">
        <w:t xml:space="preserve">a </w:t>
      </w:r>
      <w:r w:rsidR="00C13DB0" w:rsidRPr="005323E4">
        <w:t xml:space="preserve">commercial television </w:t>
      </w:r>
      <w:r w:rsidRPr="005323E4">
        <w:t xml:space="preserve">or </w:t>
      </w:r>
      <w:r w:rsidR="00C13DB0" w:rsidRPr="005323E4">
        <w:t>commercial radio broadcasting licence</w:t>
      </w:r>
      <w:r w:rsidRPr="005323E4">
        <w:t>, or the</w:t>
      </w:r>
      <w:r w:rsidR="00C13DB0" w:rsidRPr="005323E4">
        <w:t xml:space="preserve"> publisher of </w:t>
      </w:r>
      <w:r w:rsidRPr="005323E4">
        <w:t xml:space="preserve">a </w:t>
      </w:r>
      <w:r w:rsidR="00C13DB0" w:rsidRPr="005323E4">
        <w:t>newspaper associated with the licence area of such</w:t>
      </w:r>
      <w:r w:rsidRPr="005323E4">
        <w:t xml:space="preserve"> a</w:t>
      </w:r>
      <w:r w:rsidR="00C13DB0" w:rsidRPr="005323E4">
        <w:t xml:space="preserve"> licen</w:t>
      </w:r>
      <w:r w:rsidR="00E529A3" w:rsidRPr="005323E4">
        <w:t>c</w:t>
      </w:r>
      <w:r w:rsidR="00C13DB0" w:rsidRPr="005323E4">
        <w:t>e (</w:t>
      </w:r>
      <w:r w:rsidR="005323E4" w:rsidRPr="005323E4">
        <w:t xml:space="preserve">that is, </w:t>
      </w:r>
      <w:r w:rsidRPr="005323E4">
        <w:t xml:space="preserve">an </w:t>
      </w:r>
      <w:r w:rsidR="00C13DB0" w:rsidRPr="005323E4">
        <w:t>AMC)</w:t>
      </w:r>
      <w:r w:rsidRPr="005323E4">
        <w:t xml:space="preserve"> becomes aware of a </w:t>
      </w:r>
      <w:r w:rsidR="00C13DB0" w:rsidRPr="005323E4">
        <w:t>change in control of the licence or newspaper</w:t>
      </w:r>
      <w:r w:rsidRPr="005323E4">
        <w:t>, section 63 of the BSA requires it to notify the ACMA of</w:t>
      </w:r>
      <w:r w:rsidR="00C13DB0" w:rsidRPr="005323E4">
        <w:t xml:space="preserve"> </w:t>
      </w:r>
      <w:r w:rsidRPr="005323E4">
        <w:t xml:space="preserve">the change </w:t>
      </w:r>
      <w:r w:rsidR="00C13DB0" w:rsidRPr="005323E4">
        <w:t>within 10</w:t>
      </w:r>
      <w:r w:rsidRPr="005323E4">
        <w:t> </w:t>
      </w:r>
      <w:r w:rsidR="00C13DB0" w:rsidRPr="005323E4">
        <w:t>business days of becoming aware.</w:t>
      </w:r>
    </w:p>
    <w:p w14:paraId="2224F434" w14:textId="28808AE8" w:rsidR="00C13DB0" w:rsidRPr="005323E4" w:rsidRDefault="00C13DB0" w:rsidP="004202A9">
      <w:pPr>
        <w:pStyle w:val="ListBullet"/>
        <w:numPr>
          <w:ilvl w:val="0"/>
          <w:numId w:val="0"/>
        </w:numPr>
        <w:ind w:left="295"/>
        <w:rPr>
          <w:szCs w:val="20"/>
        </w:rPr>
      </w:pPr>
      <w:r w:rsidRPr="005323E4">
        <w:t xml:space="preserve">As part of the notification, publishers and licensees are required to provide the name of the incoming controller. For the purposes of the BSA, being in a position to exercise control of a commercial television or commercial radio broadcasting licence, or an </w:t>
      </w:r>
      <w:r w:rsidRPr="004202A9">
        <w:t>associated</w:t>
      </w:r>
      <w:r w:rsidRPr="005323E4">
        <w:t xml:space="preserve"> newspaper, includes holding company interests in excess of 15% (</w:t>
      </w:r>
      <w:r w:rsidR="005323E4" w:rsidRPr="005323E4">
        <w:t>that is,</w:t>
      </w:r>
      <w:r w:rsidRPr="005323E4">
        <w:t xml:space="preserve"> deemed control). </w:t>
      </w:r>
      <w:r w:rsidRPr="005323E4">
        <w:rPr>
          <w:szCs w:val="20"/>
        </w:rPr>
        <w:t xml:space="preserve">Control </w:t>
      </w:r>
      <w:r w:rsidR="005323E4" w:rsidRPr="005323E4">
        <w:rPr>
          <w:szCs w:val="20"/>
        </w:rPr>
        <w:t xml:space="preserve">may be </w:t>
      </w:r>
      <w:r w:rsidRPr="005323E4">
        <w:rPr>
          <w:szCs w:val="20"/>
        </w:rPr>
        <w:t>as a result of trusts, agreements, arrangements, understanding and practices, whether or not having legal or equitable force or based on legal or equitable rights.</w:t>
      </w:r>
    </w:p>
    <w:p w14:paraId="7EB92164" w14:textId="77777777" w:rsidR="00C13DB0" w:rsidRPr="005323E4" w:rsidRDefault="00C13DB0" w:rsidP="004202A9">
      <w:pPr>
        <w:pStyle w:val="ListBullet"/>
        <w:numPr>
          <w:ilvl w:val="0"/>
          <w:numId w:val="0"/>
        </w:numPr>
        <w:ind w:left="295"/>
      </w:pPr>
      <w:r w:rsidRPr="005323E4">
        <w:t xml:space="preserve">The ACMA maintains </w:t>
      </w:r>
      <w:hyperlink r:id="rId31" w:history="1">
        <w:r w:rsidRPr="005323E4">
          <w:rPr>
            <w:rStyle w:val="Hyperlink"/>
          </w:rPr>
          <w:t xml:space="preserve">several public registers </w:t>
        </w:r>
      </w:hyperlink>
      <w:r w:rsidRPr="005323E4">
        <w:t>relating to the control of media assets under the BSA:</w:t>
      </w:r>
    </w:p>
    <w:p w14:paraId="1F42E381" w14:textId="26094F4B" w:rsidR="00C13DB0" w:rsidRPr="005323E4" w:rsidRDefault="00BC5603" w:rsidP="004202A9">
      <w:pPr>
        <w:pStyle w:val="Bulletlevel2"/>
        <w:rPr>
          <w:rStyle w:val="normaltextrun"/>
          <w:szCs w:val="20"/>
        </w:rPr>
      </w:pPr>
      <w:r w:rsidRPr="005323E4">
        <w:rPr>
          <w:rStyle w:val="normaltextrun"/>
          <w:szCs w:val="20"/>
        </w:rPr>
        <w:t>r</w:t>
      </w:r>
      <w:r w:rsidR="00C13DB0" w:rsidRPr="005323E4">
        <w:rPr>
          <w:rStyle w:val="normaltextrun"/>
          <w:szCs w:val="20"/>
        </w:rPr>
        <w:t xml:space="preserve">egister of controlled media groups (RCMG): </w:t>
      </w:r>
      <w:r w:rsidR="005323E4" w:rsidRPr="005323E4">
        <w:rPr>
          <w:rStyle w:val="normaltextrun"/>
          <w:szCs w:val="20"/>
        </w:rPr>
        <w:t>this</w:t>
      </w:r>
      <w:r w:rsidR="00C13DB0" w:rsidRPr="005323E4">
        <w:rPr>
          <w:rStyle w:val="normaltextrun"/>
          <w:szCs w:val="20"/>
        </w:rPr>
        <w:t xml:space="preserve"> shows which media groups operate in each commercial radio licence area and can be used to determine the number of media diversity ‘points’ in an area, calculated in accordance with section 61AC of the BSA. The RCMG is maintained in accordance with section 61AU of the BSA. </w:t>
      </w:r>
    </w:p>
    <w:p w14:paraId="641E8E2C" w14:textId="32FF29A0" w:rsidR="00C13DB0" w:rsidRPr="005323E4" w:rsidRDefault="005323E4" w:rsidP="004202A9">
      <w:pPr>
        <w:pStyle w:val="Bulletlevel2"/>
        <w:rPr>
          <w:rStyle w:val="normaltextrun"/>
          <w:szCs w:val="20"/>
        </w:rPr>
      </w:pPr>
      <w:r w:rsidRPr="005323E4">
        <w:rPr>
          <w:rStyle w:val="normaltextrun"/>
          <w:szCs w:val="20"/>
        </w:rPr>
        <w:t>r</w:t>
      </w:r>
      <w:r w:rsidR="00C13DB0" w:rsidRPr="005323E4">
        <w:rPr>
          <w:rStyle w:val="normaltextrun"/>
          <w:szCs w:val="20"/>
        </w:rPr>
        <w:t xml:space="preserve">ecent control notifications report: this sets out details of control changes notified to the ACMA over at least the previous </w:t>
      </w:r>
      <w:r w:rsidR="009E062F" w:rsidRPr="005323E4">
        <w:rPr>
          <w:rStyle w:val="normaltextrun"/>
          <w:szCs w:val="20"/>
        </w:rPr>
        <w:t xml:space="preserve">6 </w:t>
      </w:r>
      <w:r w:rsidR="00C13DB0" w:rsidRPr="005323E4">
        <w:rPr>
          <w:rStyle w:val="normaltextrun"/>
          <w:szCs w:val="20"/>
        </w:rPr>
        <w:t xml:space="preserve">months. The report is maintained in accordance with the requirements of section 75 of the BSA. </w:t>
      </w:r>
    </w:p>
    <w:p w14:paraId="034124AD" w14:textId="6D3F3E6A" w:rsidR="00C13DB0" w:rsidRPr="005323E4" w:rsidRDefault="00C13DB0" w:rsidP="004202A9">
      <w:pPr>
        <w:pStyle w:val="Bulletlevel2"/>
        <w:rPr>
          <w:rStyle w:val="normaltextrun"/>
          <w:szCs w:val="20"/>
        </w:rPr>
      </w:pPr>
      <w:r w:rsidRPr="005323E4">
        <w:rPr>
          <w:rStyle w:val="normaltextrun"/>
          <w:szCs w:val="20"/>
        </w:rPr>
        <w:t xml:space="preserve">databases and reports to assist industry participants and the public, including the </w:t>
      </w:r>
      <w:hyperlink r:id="rId32" w:history="1">
        <w:r w:rsidRPr="005323E4">
          <w:rPr>
            <w:rStyle w:val="normaltextrun"/>
            <w:szCs w:val="20"/>
          </w:rPr>
          <w:t>Media Control Database</w:t>
        </w:r>
      </w:hyperlink>
      <w:r w:rsidRPr="005323E4">
        <w:rPr>
          <w:rStyle w:val="normaltextrun"/>
          <w:szCs w:val="20"/>
        </w:rPr>
        <w:t>.</w:t>
      </w:r>
    </w:p>
    <w:p w14:paraId="7528A988" w14:textId="795F1721" w:rsidR="00C13DB0" w:rsidRPr="005323E4" w:rsidRDefault="00C13DB0" w:rsidP="004202A9">
      <w:pPr>
        <w:pStyle w:val="ListBullet"/>
        <w:numPr>
          <w:ilvl w:val="0"/>
          <w:numId w:val="0"/>
        </w:numPr>
        <w:spacing w:after="240"/>
        <w:ind w:left="295"/>
      </w:pPr>
      <w:r w:rsidRPr="005323E4">
        <w:t xml:space="preserve">The ACMA’s media control registers overlap with the Register by including all persons who hold company interests in excess of 15% in an AMC. However, the media control registers do not indicate whether an interest holder is a foreign stakeholder for the purposes of the BSA. </w:t>
      </w:r>
    </w:p>
    <w:p w14:paraId="5A4D4FF9" w14:textId="75E82AA7" w:rsidR="005323E4" w:rsidRPr="004202A9" w:rsidRDefault="005323E4" w:rsidP="004202A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b/>
          <w:szCs w:val="20"/>
        </w:rPr>
      </w:pPr>
      <w:r w:rsidRPr="004202A9">
        <w:rPr>
          <w:b/>
          <w:szCs w:val="20"/>
        </w:rPr>
        <w:t xml:space="preserve">Issues for comment </w:t>
      </w:r>
    </w:p>
    <w:p w14:paraId="6301DCC5" w14:textId="77777777" w:rsidR="005323E4" w:rsidRPr="005323E4" w:rsidRDefault="005323E4" w:rsidP="004202A9">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rPr>
          <w:rFonts w:cs="Arial"/>
          <w:szCs w:val="20"/>
        </w:rPr>
      </w:pPr>
      <w:r w:rsidRPr="005323E4">
        <w:rPr>
          <w:rFonts w:cs="Arial"/>
          <w:szCs w:val="20"/>
        </w:rPr>
        <w:t>We invite comments on the information available on the Register compared to other sources. In particular, we invite responses to the following questions:</w:t>
      </w:r>
    </w:p>
    <w:p w14:paraId="597F5F2F" w14:textId="77777777" w:rsidR="005323E4" w:rsidRPr="005323E4" w:rsidRDefault="005323E4" w:rsidP="0026102B">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426" w:hanging="426"/>
        <w:rPr>
          <w:rFonts w:ascii="Arial" w:hAnsi="Arial" w:cs="Arial"/>
          <w:sz w:val="20"/>
          <w:szCs w:val="20"/>
        </w:rPr>
      </w:pPr>
      <w:bookmarkStart w:id="18" w:name="_Hlk108453870"/>
      <w:r w:rsidRPr="005323E4">
        <w:rPr>
          <w:rFonts w:ascii="Arial" w:hAnsi="Arial" w:cs="Arial"/>
          <w:sz w:val="20"/>
          <w:szCs w:val="20"/>
        </w:rPr>
        <w:t>Have you found that any of the information in the Register is also available through other sources? If yes, what are the other sources and what is the information that they contain?</w:t>
      </w:r>
    </w:p>
    <w:p w14:paraId="37F7CEAD" w14:textId="7CDCF52C" w:rsidR="005323E4" w:rsidRPr="001B380D" w:rsidRDefault="005323E4" w:rsidP="0026102B">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426" w:hanging="426"/>
        <w:rPr>
          <w:rFonts w:ascii="Arial" w:hAnsi="Arial" w:cs="Arial"/>
          <w:sz w:val="20"/>
          <w:szCs w:val="20"/>
        </w:rPr>
      </w:pPr>
      <w:r w:rsidRPr="005323E4">
        <w:rPr>
          <w:rFonts w:ascii="Arial" w:hAnsi="Arial" w:cs="Arial"/>
          <w:sz w:val="20"/>
          <w:szCs w:val="20"/>
        </w:rPr>
        <w:t>Should any information that is available only through other sources also be recorded on the Register? If yes, what is that information and where is it available?</w:t>
      </w:r>
    </w:p>
    <w:p w14:paraId="2943EAE9" w14:textId="04D9F0CE" w:rsidR="009F1A46" w:rsidRPr="005323E4" w:rsidRDefault="00255790" w:rsidP="00B039CA">
      <w:pPr>
        <w:pStyle w:val="Heading2"/>
        <w:keepLines/>
      </w:pPr>
      <w:bookmarkStart w:id="19" w:name="_Toc108451528"/>
      <w:bookmarkEnd w:id="18"/>
      <w:r w:rsidRPr="005323E4">
        <w:lastRenderedPageBreak/>
        <w:t xml:space="preserve">Notification </w:t>
      </w:r>
      <w:r w:rsidR="006C6845" w:rsidRPr="005323E4">
        <w:t xml:space="preserve">requirements </w:t>
      </w:r>
      <w:r w:rsidR="00251053" w:rsidRPr="005323E4">
        <w:t>for</w:t>
      </w:r>
      <w:r w:rsidR="006C6845" w:rsidRPr="005323E4">
        <w:t xml:space="preserve"> </w:t>
      </w:r>
      <w:r w:rsidR="000A1E3D" w:rsidRPr="005323E4">
        <w:t>f</w:t>
      </w:r>
      <w:r w:rsidR="006C6845" w:rsidRPr="005323E4">
        <w:t xml:space="preserve">oreign </w:t>
      </w:r>
      <w:r w:rsidR="000A1E3D" w:rsidRPr="005323E4">
        <w:t>s</w:t>
      </w:r>
      <w:r w:rsidR="006C6845" w:rsidRPr="005323E4">
        <w:t>takeholders</w:t>
      </w:r>
      <w:bookmarkEnd w:id="19"/>
      <w:r w:rsidR="006C6845" w:rsidRPr="005323E4">
        <w:t xml:space="preserve"> </w:t>
      </w:r>
    </w:p>
    <w:p w14:paraId="38FABA91" w14:textId="77777777" w:rsidR="006C6845" w:rsidRPr="005323E4" w:rsidRDefault="006C6845" w:rsidP="00B039CA">
      <w:pPr>
        <w:pStyle w:val="Heading3"/>
        <w:keepLines/>
        <w:rPr>
          <w:rStyle w:val="normaltextrun"/>
        </w:rPr>
      </w:pPr>
      <w:r w:rsidRPr="005323E4">
        <w:rPr>
          <w:rStyle w:val="normaltextrun"/>
        </w:rPr>
        <w:t xml:space="preserve">Discussion </w:t>
      </w:r>
    </w:p>
    <w:p w14:paraId="484E214D" w14:textId="2D00B1F0" w:rsidR="00F86816" w:rsidRPr="005323E4" w:rsidRDefault="00F86816" w:rsidP="009A0ECC">
      <w:pPr>
        <w:pStyle w:val="Paragraphbeforelist"/>
        <w:keepNext/>
        <w:keepLines/>
      </w:pPr>
      <w:r w:rsidRPr="005323E4">
        <w:t xml:space="preserve">The </w:t>
      </w:r>
      <w:r w:rsidR="00255790" w:rsidRPr="005323E4">
        <w:t>foreign stakeholder notification</w:t>
      </w:r>
      <w:r w:rsidRPr="005323E4">
        <w:t xml:space="preserve"> requirements under Division 10A fall into one of 2</w:t>
      </w:r>
      <w:r w:rsidR="004C3578" w:rsidRPr="005323E4">
        <w:t xml:space="preserve"> </w:t>
      </w:r>
      <w:r w:rsidRPr="005323E4">
        <w:t>broad categories:</w:t>
      </w:r>
    </w:p>
    <w:p w14:paraId="5463A8DA" w14:textId="57145521" w:rsidR="00F86816" w:rsidRPr="005323E4" w:rsidRDefault="00EC7F67" w:rsidP="009A0ECC">
      <w:pPr>
        <w:pStyle w:val="Bulletlevel1"/>
        <w:keepNext/>
        <w:keepLines/>
      </w:pPr>
      <w:r w:rsidRPr="005323E4">
        <w:t>a</w:t>
      </w:r>
      <w:r w:rsidR="00255790" w:rsidRPr="005323E4">
        <w:t xml:space="preserve"> requirement to notify the ACMA in writing about certain events, within 30 days </w:t>
      </w:r>
      <w:r w:rsidR="00E3767B" w:rsidRPr="005323E4">
        <w:t>after</w:t>
      </w:r>
      <w:r w:rsidR="00255790" w:rsidRPr="005323E4">
        <w:t xml:space="preserve"> that event occurring, including:</w:t>
      </w:r>
    </w:p>
    <w:p w14:paraId="66A52F32" w14:textId="73482E83" w:rsidR="00255790" w:rsidRPr="005323E4" w:rsidRDefault="00255790" w:rsidP="009A0ECC">
      <w:pPr>
        <w:pStyle w:val="Bulletlevel2"/>
        <w:keepNext/>
        <w:keepLines/>
      </w:pPr>
      <w:r w:rsidRPr="005323E4">
        <w:t>when a person becomes or ceases to be a foreign stakeholder</w:t>
      </w:r>
    </w:p>
    <w:p w14:paraId="3734712C" w14:textId="1D7A7774" w:rsidR="00255790" w:rsidRPr="005323E4" w:rsidRDefault="00255790" w:rsidP="009A0ECC">
      <w:pPr>
        <w:pStyle w:val="Bulletlevel2"/>
        <w:keepNext/>
        <w:keepLines/>
      </w:pPr>
      <w:r w:rsidRPr="005323E4">
        <w:t>when a foreign stakeholder is required to give a notification by the ACMA</w:t>
      </w:r>
    </w:p>
    <w:p w14:paraId="7E45613F" w14:textId="534798B2" w:rsidR="00255790" w:rsidRPr="005323E4" w:rsidRDefault="00EC7F67" w:rsidP="009A0ECC">
      <w:pPr>
        <w:pStyle w:val="Bulletlevel1last"/>
        <w:keepNext/>
        <w:keepLines/>
      </w:pPr>
      <w:r w:rsidRPr="005323E4">
        <w:t>a</w:t>
      </w:r>
      <w:r w:rsidR="00255790" w:rsidRPr="005323E4">
        <w:t xml:space="preserve"> requirement for a foreign stakeholder to notify the ACMA about the interests held in an AMC within 30 days </w:t>
      </w:r>
      <w:r w:rsidR="00E3767B" w:rsidRPr="005323E4">
        <w:t xml:space="preserve">after the end of </w:t>
      </w:r>
      <w:r w:rsidR="007A6F60" w:rsidRPr="005323E4">
        <w:t>a</w:t>
      </w:r>
      <w:r w:rsidR="00E3767B" w:rsidRPr="005323E4">
        <w:t xml:space="preserve"> financial year</w:t>
      </w:r>
      <w:r w:rsidRPr="005323E4">
        <w:t>.</w:t>
      </w:r>
    </w:p>
    <w:p w14:paraId="4BC455FF" w14:textId="65ED86E7" w:rsidR="005F4959" w:rsidRPr="005323E4" w:rsidRDefault="005F4959" w:rsidP="00B039CA">
      <w:pPr>
        <w:pStyle w:val="Heading3"/>
        <w:keepLines/>
        <w:spacing w:before="0" w:after="240"/>
      </w:pPr>
      <w:r w:rsidRPr="005323E4">
        <w:rPr>
          <w:rStyle w:val="normaltextrun"/>
          <w:b w:val="0"/>
          <w:bCs w:val="0"/>
        </w:rPr>
        <w:t xml:space="preserve">Where a foreign stakeholder dies </w:t>
      </w:r>
      <w:r w:rsidR="00906FCE" w:rsidRPr="005323E4">
        <w:rPr>
          <w:rStyle w:val="normaltextrun"/>
          <w:b w:val="0"/>
          <w:bCs w:val="0"/>
        </w:rPr>
        <w:t xml:space="preserve">(or </w:t>
      </w:r>
      <w:r w:rsidRPr="005323E4">
        <w:rPr>
          <w:rStyle w:val="normaltextrun"/>
          <w:b w:val="0"/>
          <w:bCs w:val="0"/>
        </w:rPr>
        <w:t>in the case of a corporation</w:t>
      </w:r>
      <w:r w:rsidR="001B380D">
        <w:rPr>
          <w:rStyle w:val="normaltextrun"/>
          <w:b w:val="0"/>
          <w:bCs w:val="0"/>
        </w:rPr>
        <w:t>,</w:t>
      </w:r>
      <w:r w:rsidRPr="005323E4">
        <w:rPr>
          <w:rStyle w:val="normaltextrun"/>
          <w:b w:val="0"/>
          <w:bCs w:val="0"/>
        </w:rPr>
        <w:t xml:space="preserve"> is wound up</w:t>
      </w:r>
      <w:r w:rsidR="00906FCE" w:rsidRPr="005323E4">
        <w:rPr>
          <w:rStyle w:val="normaltextrun"/>
          <w:b w:val="0"/>
          <w:bCs w:val="0"/>
        </w:rPr>
        <w:t>)</w:t>
      </w:r>
      <w:r w:rsidRPr="005323E4">
        <w:rPr>
          <w:rStyle w:val="normaltextrun"/>
          <w:b w:val="0"/>
          <w:bCs w:val="0"/>
        </w:rPr>
        <w:t xml:space="preserve"> before making a notification required by Division 10A, the executor or administrator of the person’s estate</w:t>
      </w:r>
      <w:r w:rsidR="00906FCE" w:rsidRPr="005323E4">
        <w:rPr>
          <w:rStyle w:val="normaltextrun"/>
          <w:b w:val="0"/>
          <w:bCs w:val="0"/>
        </w:rPr>
        <w:t xml:space="preserve"> (o</w:t>
      </w:r>
      <w:r w:rsidRPr="005323E4">
        <w:rPr>
          <w:rStyle w:val="normaltextrun"/>
          <w:b w:val="0"/>
          <w:bCs w:val="0"/>
        </w:rPr>
        <w:t>r the liquidator of the corporation</w:t>
      </w:r>
      <w:r w:rsidR="00906FCE" w:rsidRPr="005323E4">
        <w:rPr>
          <w:rStyle w:val="normaltextrun"/>
          <w:b w:val="0"/>
          <w:bCs w:val="0"/>
        </w:rPr>
        <w:t>)</w:t>
      </w:r>
      <w:r w:rsidRPr="005323E4">
        <w:rPr>
          <w:rStyle w:val="normaltextrun"/>
          <w:b w:val="0"/>
          <w:bCs w:val="0"/>
        </w:rPr>
        <w:t xml:space="preserve"> is required to notify the information in accordance with the relevant provision.</w:t>
      </w:r>
    </w:p>
    <w:p w14:paraId="0E24DA57" w14:textId="6E242495" w:rsidR="00A400ED" w:rsidRPr="005323E4" w:rsidRDefault="00A400ED" w:rsidP="009A0ECC">
      <w:pPr>
        <w:pStyle w:val="Paragraphbeforelist"/>
      </w:pPr>
      <w:r w:rsidRPr="005323E4">
        <w:t xml:space="preserve">Foreign </w:t>
      </w:r>
      <w:r w:rsidR="00F4329A" w:rsidRPr="005323E4">
        <w:t>s</w:t>
      </w:r>
      <w:r w:rsidRPr="005323E4">
        <w:t xml:space="preserve">takeholders have reported a range of pressure points around </w:t>
      </w:r>
      <w:r w:rsidR="004C3578" w:rsidRPr="005323E4">
        <w:t>notification</w:t>
      </w:r>
      <w:r w:rsidRPr="005323E4">
        <w:t xml:space="preserve"> requirements</w:t>
      </w:r>
      <w:r w:rsidR="007A6F60" w:rsidRPr="005323E4">
        <w:t>,</w:t>
      </w:r>
      <w:r w:rsidRPr="005323E4">
        <w:t xml:space="preserve"> including:</w:t>
      </w:r>
    </w:p>
    <w:p w14:paraId="485EB221" w14:textId="44871B79" w:rsidR="00B63281" w:rsidRPr="005323E4" w:rsidRDefault="00C2018D" w:rsidP="009A0ECC">
      <w:pPr>
        <w:pStyle w:val="Bulletlevel1"/>
      </w:pPr>
      <w:r w:rsidRPr="005323E4">
        <w:t xml:space="preserve">The burden of providing notifications for multiple foreign stakeholders following a transaction, because, due to the operation of </w:t>
      </w:r>
      <w:r w:rsidR="007A6F60" w:rsidRPr="005323E4">
        <w:t xml:space="preserve">the </w:t>
      </w:r>
      <w:r w:rsidRPr="005323E4">
        <w:t>BSA tracing rules, all of the entities in a corporate chain acquire a 2.5% interest in an AMC. This</w:t>
      </w:r>
      <w:r w:rsidR="002633D1" w:rsidRPr="005323E4">
        <w:t xml:space="preserve"> is greater than the reporting and notification requirements administered by ASIC, the ASX and FIRB, and</w:t>
      </w:r>
      <w:r w:rsidRPr="005323E4">
        <w:t xml:space="preserve"> means that since </w:t>
      </w:r>
      <w:r w:rsidR="00B21B0F" w:rsidRPr="005323E4">
        <w:t xml:space="preserve">the commencement of Division 10A, the overall reporting requirement for foreign </w:t>
      </w:r>
      <w:r w:rsidR="002633D1" w:rsidRPr="005323E4">
        <w:t>persons investing</w:t>
      </w:r>
      <w:r w:rsidR="00B21B0F" w:rsidRPr="005323E4">
        <w:t xml:space="preserve"> in </w:t>
      </w:r>
      <w:r w:rsidRPr="005323E4">
        <w:t>AMCs has increased markedly.</w:t>
      </w:r>
    </w:p>
    <w:p w14:paraId="7DC566DD" w14:textId="6ADA27E7" w:rsidR="0096251F" w:rsidRPr="005323E4" w:rsidRDefault="00DC1F10" w:rsidP="009A0ECC">
      <w:pPr>
        <w:pStyle w:val="Bulletlevel1"/>
      </w:pPr>
      <w:r w:rsidRPr="005323E4">
        <w:t>F</w:t>
      </w:r>
      <w:r w:rsidR="0096251F" w:rsidRPr="005323E4">
        <w:t xml:space="preserve">oreign stakeholders with company interests </w:t>
      </w:r>
      <w:r w:rsidR="00FE075F" w:rsidRPr="005323E4">
        <w:t xml:space="preserve">in AMCs </w:t>
      </w:r>
      <w:r w:rsidR="00687D30" w:rsidRPr="005323E4">
        <w:t xml:space="preserve">close to 2.5% </w:t>
      </w:r>
      <w:r w:rsidR="0096251F" w:rsidRPr="005323E4">
        <w:t>through ASX</w:t>
      </w:r>
      <w:r w:rsidR="001B380D">
        <w:t>-</w:t>
      </w:r>
      <w:r w:rsidR="0096251F" w:rsidRPr="005323E4">
        <w:t xml:space="preserve">listed companies </w:t>
      </w:r>
      <w:r w:rsidR="004065CD" w:rsidRPr="005323E4">
        <w:t>have</w:t>
      </w:r>
      <w:r w:rsidR="00F525D6" w:rsidRPr="005323E4">
        <w:t xml:space="preserve"> been required to submit </w:t>
      </w:r>
      <w:r w:rsidR="004065CD" w:rsidRPr="005323E4">
        <w:t xml:space="preserve">a significant number of notifications </w:t>
      </w:r>
      <w:r w:rsidR="0096251F" w:rsidRPr="005323E4">
        <w:t>due to</w:t>
      </w:r>
      <w:r w:rsidR="004065CD" w:rsidRPr="005323E4">
        <w:t xml:space="preserve"> small</w:t>
      </w:r>
      <w:r w:rsidR="0096251F" w:rsidRPr="005323E4">
        <w:t xml:space="preserve"> fluctuations in </w:t>
      </w:r>
      <w:r w:rsidR="004065CD" w:rsidRPr="005323E4">
        <w:t xml:space="preserve">company interests above and below 2.5%. </w:t>
      </w:r>
      <w:r w:rsidR="0096251F" w:rsidRPr="005323E4">
        <w:t>Th</w:t>
      </w:r>
      <w:r w:rsidR="004065CD" w:rsidRPr="005323E4">
        <w:t>is has particularly been the case for foreign investment fund managers</w:t>
      </w:r>
      <w:r w:rsidR="00A36F88" w:rsidRPr="005323E4">
        <w:t xml:space="preserve"> who typically</w:t>
      </w:r>
      <w:r w:rsidR="003A52F3" w:rsidRPr="005323E4">
        <w:t xml:space="preserve"> </w:t>
      </w:r>
      <w:r w:rsidR="00B76576" w:rsidRPr="005323E4">
        <w:t>invest</w:t>
      </w:r>
      <w:r w:rsidR="00A36F88" w:rsidRPr="005323E4">
        <w:t xml:space="preserve"> </w:t>
      </w:r>
      <w:r w:rsidR="003A52F3" w:rsidRPr="005323E4">
        <w:t xml:space="preserve">at </w:t>
      </w:r>
      <w:r w:rsidR="00A36F88" w:rsidRPr="005323E4">
        <w:t xml:space="preserve">lower </w:t>
      </w:r>
      <w:r w:rsidR="003A52F3" w:rsidRPr="005323E4">
        <w:t>level</w:t>
      </w:r>
      <w:r w:rsidR="00A36F88" w:rsidRPr="005323E4">
        <w:t>s</w:t>
      </w:r>
      <w:r w:rsidR="0089687E" w:rsidRPr="005323E4">
        <w:t xml:space="preserve"> and frequently adjust their levels of exposure</w:t>
      </w:r>
      <w:r w:rsidR="0096251F" w:rsidRPr="005323E4">
        <w:t>.</w:t>
      </w:r>
    </w:p>
    <w:p w14:paraId="19081929" w14:textId="4E39C167" w:rsidR="0096251F" w:rsidRPr="005323E4" w:rsidRDefault="001B380D" w:rsidP="009A0ECC">
      <w:pPr>
        <w:pStyle w:val="Bulletlevel1"/>
      </w:pPr>
      <w:r>
        <w:t>I</w:t>
      </w:r>
      <w:r w:rsidR="007A6F60" w:rsidRPr="005323E4">
        <w:t>n addition to when they become or cease to be a foreign stakeholder, f</w:t>
      </w:r>
      <w:r w:rsidR="000213D9" w:rsidRPr="005323E4">
        <w:t xml:space="preserve">oreign stakeholders are required </w:t>
      </w:r>
      <w:r w:rsidR="00DC1F10" w:rsidRPr="005323E4">
        <w:t xml:space="preserve">to </w:t>
      </w:r>
      <w:r w:rsidR="007A6F60" w:rsidRPr="005323E4">
        <w:t>provide notifications to the ACMA after the end of a financial year</w:t>
      </w:r>
      <w:r w:rsidR="000213D9" w:rsidRPr="005323E4">
        <w:t>.</w:t>
      </w:r>
    </w:p>
    <w:p w14:paraId="58A8E51B" w14:textId="6AF485A0" w:rsidR="00D824DD" w:rsidRPr="005323E4" w:rsidRDefault="00B63281" w:rsidP="009A0ECC">
      <w:pPr>
        <w:pStyle w:val="Bulletlevel1"/>
      </w:pPr>
      <w:r w:rsidRPr="005323E4">
        <w:t>F</w:t>
      </w:r>
      <w:r w:rsidR="001F634C" w:rsidRPr="005323E4">
        <w:t>oreign stakeholder</w:t>
      </w:r>
      <w:r w:rsidRPr="005323E4">
        <w:t xml:space="preserve">s </w:t>
      </w:r>
      <w:r w:rsidR="00C23B8D" w:rsidRPr="005323E4">
        <w:t>may be</w:t>
      </w:r>
      <w:r w:rsidR="001F634C" w:rsidRPr="005323E4" w:rsidDel="00B63281">
        <w:t xml:space="preserve"> </w:t>
      </w:r>
      <w:r w:rsidR="001F634C" w:rsidRPr="005323E4">
        <w:t xml:space="preserve">unaware that </w:t>
      </w:r>
      <w:r w:rsidRPr="005323E4">
        <w:t>they have</w:t>
      </w:r>
      <w:r w:rsidR="001F634C" w:rsidRPr="005323E4">
        <w:t xml:space="preserve"> acquired an interest of 2.5% or more in an AMC (including where an existing interest has increased to 2.5% or more) </w:t>
      </w:r>
      <w:r w:rsidRPr="005323E4">
        <w:t>and</w:t>
      </w:r>
      <w:r w:rsidR="00034A3E" w:rsidRPr="005323E4">
        <w:t>,</w:t>
      </w:r>
      <w:r w:rsidRPr="005323E4">
        <w:t xml:space="preserve"> therefore</w:t>
      </w:r>
      <w:r w:rsidR="00034A3E" w:rsidRPr="005323E4">
        <w:t xml:space="preserve">, that they </w:t>
      </w:r>
      <w:r w:rsidR="00D72040" w:rsidRPr="005323E4">
        <w:t>are</w:t>
      </w:r>
      <w:r w:rsidRPr="005323E4">
        <w:t xml:space="preserve"> subject to </w:t>
      </w:r>
      <w:r w:rsidR="00D72040" w:rsidRPr="005323E4">
        <w:t>Division 10A requirements</w:t>
      </w:r>
      <w:r w:rsidRPr="005323E4">
        <w:t>. This can occur because</w:t>
      </w:r>
      <w:r w:rsidR="00034A3E" w:rsidRPr="005323E4">
        <w:t>,</w:t>
      </w:r>
      <w:r w:rsidRPr="005323E4">
        <w:t xml:space="preserve"> </w:t>
      </w:r>
      <w:r w:rsidR="00034A3E" w:rsidRPr="005323E4">
        <w:t>to keep track of their interests</w:t>
      </w:r>
      <w:r w:rsidR="007A6F60" w:rsidRPr="005323E4">
        <w:t>,</w:t>
      </w:r>
      <w:r w:rsidR="00034A3E" w:rsidRPr="005323E4">
        <w:t xml:space="preserve"> </w:t>
      </w:r>
      <w:r w:rsidRPr="005323E4">
        <w:t xml:space="preserve">entities </w:t>
      </w:r>
      <w:r w:rsidR="00B21B0F" w:rsidRPr="005323E4">
        <w:t>often</w:t>
      </w:r>
      <w:r w:rsidRPr="005323E4">
        <w:t xml:space="preserve"> rely on reporting made by AMCs and their shareholders to ASX</w:t>
      </w:r>
      <w:r w:rsidR="00034A3E" w:rsidRPr="005323E4">
        <w:t xml:space="preserve"> and/or </w:t>
      </w:r>
      <w:r w:rsidRPr="005323E4">
        <w:t>ASIC</w:t>
      </w:r>
      <w:r w:rsidR="00B21B0F" w:rsidRPr="005323E4">
        <w:t>, and 2.5% is less than the required thresholds for those reports.</w:t>
      </w:r>
    </w:p>
    <w:p w14:paraId="1EC888F7" w14:textId="67471C52" w:rsidR="00191763" w:rsidRDefault="00191763" w:rsidP="001B380D">
      <w:pPr>
        <w:pStyle w:val="Bulletlevel1last"/>
      </w:pPr>
      <w:r w:rsidRPr="005323E4">
        <w:t>The different definitions for companies that are required under different Acts to lodge notifications and/or provide reports to government agencies</w:t>
      </w:r>
      <w:r w:rsidR="001B380D">
        <w:t>;</w:t>
      </w:r>
      <w:r w:rsidRPr="005323E4">
        <w:t xml:space="preserve"> for example, ‘Australian media company’ (BSA) and ‘Australian media business’ (FATA), ‘foreign stakeholder’ (BSA) and ‘foreign person’ (FATA).</w:t>
      </w:r>
    </w:p>
    <w:p w14:paraId="48463984" w14:textId="297AFF58" w:rsidR="001B380D" w:rsidRPr="00A36C05" w:rsidRDefault="001B380D" w:rsidP="009A0ECC">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b/>
          <w:spacing w:val="-4"/>
          <w:sz w:val="22"/>
          <w:szCs w:val="22"/>
        </w:rPr>
      </w:pPr>
      <w:r w:rsidRPr="00A36C05">
        <w:rPr>
          <w:b/>
          <w:spacing w:val="-4"/>
          <w:sz w:val="22"/>
          <w:szCs w:val="22"/>
        </w:rPr>
        <w:lastRenderedPageBreak/>
        <w:t>Issue</w:t>
      </w:r>
      <w:r>
        <w:rPr>
          <w:b/>
          <w:spacing w:val="-4"/>
          <w:sz w:val="22"/>
          <w:szCs w:val="22"/>
        </w:rPr>
        <w:t>s</w:t>
      </w:r>
      <w:r w:rsidRPr="00A36C05">
        <w:rPr>
          <w:b/>
          <w:spacing w:val="-4"/>
          <w:sz w:val="22"/>
          <w:szCs w:val="22"/>
        </w:rPr>
        <w:t xml:space="preserve"> for </w:t>
      </w:r>
      <w:r>
        <w:rPr>
          <w:b/>
          <w:spacing w:val="-4"/>
          <w:sz w:val="22"/>
          <w:szCs w:val="22"/>
        </w:rPr>
        <w:t>c</w:t>
      </w:r>
      <w:r w:rsidRPr="00A36C05">
        <w:rPr>
          <w:b/>
          <w:spacing w:val="-4"/>
          <w:sz w:val="22"/>
          <w:szCs w:val="22"/>
        </w:rPr>
        <w:t xml:space="preserve">omment </w:t>
      </w:r>
    </w:p>
    <w:p w14:paraId="49196507" w14:textId="77777777" w:rsidR="001B380D" w:rsidRPr="000E7CF9" w:rsidRDefault="001B380D" w:rsidP="009A0ECC">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80"/>
        <w:rPr>
          <w:rFonts w:cs="Arial"/>
          <w:spacing w:val="-4"/>
          <w:szCs w:val="20"/>
        </w:rPr>
      </w:pPr>
      <w:r w:rsidRPr="000E7CF9">
        <w:rPr>
          <w:rFonts w:cs="Arial"/>
          <w:spacing w:val="-4"/>
          <w:szCs w:val="20"/>
        </w:rPr>
        <w:t xml:space="preserve">We invite comments on the </w:t>
      </w:r>
      <w:r>
        <w:rPr>
          <w:rFonts w:cs="Arial"/>
          <w:spacing w:val="-4"/>
          <w:szCs w:val="20"/>
        </w:rPr>
        <w:t>notification requirements</w:t>
      </w:r>
      <w:r w:rsidRPr="000E7CF9">
        <w:rPr>
          <w:rFonts w:cs="Arial"/>
          <w:spacing w:val="-4"/>
          <w:szCs w:val="20"/>
        </w:rPr>
        <w:t xml:space="preserve"> and/or any</w:t>
      </w:r>
      <w:r>
        <w:rPr>
          <w:rFonts w:cs="Arial"/>
          <w:spacing w:val="-4"/>
          <w:szCs w:val="20"/>
        </w:rPr>
        <w:t xml:space="preserve"> </w:t>
      </w:r>
      <w:r w:rsidRPr="000E7CF9">
        <w:rPr>
          <w:rFonts w:cs="Arial"/>
          <w:spacing w:val="-4"/>
          <w:szCs w:val="20"/>
        </w:rPr>
        <w:t xml:space="preserve">improvements </w:t>
      </w:r>
      <w:r>
        <w:rPr>
          <w:rFonts w:cs="Arial"/>
          <w:spacing w:val="-4"/>
          <w:szCs w:val="20"/>
        </w:rPr>
        <w:t xml:space="preserve">that </w:t>
      </w:r>
      <w:r w:rsidRPr="000E7CF9">
        <w:rPr>
          <w:rFonts w:cs="Arial"/>
          <w:spacing w:val="-4"/>
          <w:szCs w:val="20"/>
        </w:rPr>
        <w:t>could be made to the legislative provisions under Division 10A and associated legislation to reduce reporting burdens for foreign stakeholders. In particular, we invite respon</w:t>
      </w:r>
      <w:r>
        <w:rPr>
          <w:rFonts w:cs="Arial"/>
          <w:spacing w:val="-4"/>
          <w:szCs w:val="20"/>
        </w:rPr>
        <w:t>ses</w:t>
      </w:r>
      <w:r w:rsidRPr="000E7CF9">
        <w:rPr>
          <w:rFonts w:cs="Arial"/>
          <w:spacing w:val="-4"/>
          <w:szCs w:val="20"/>
        </w:rPr>
        <w:t xml:space="preserve"> to the following questions:</w:t>
      </w:r>
    </w:p>
    <w:p w14:paraId="6E45A2D8" w14:textId="77777777" w:rsidR="001B380D" w:rsidRPr="000E7CF9" w:rsidRDefault="001B380D" w:rsidP="009A0ECC">
      <w:pPr>
        <w:pStyle w:val="ListParagraph"/>
        <w:keepNext/>
        <w:keepLines/>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pacing w:val="-4"/>
          <w:sz w:val="20"/>
          <w:szCs w:val="20"/>
        </w:rPr>
      </w:pPr>
      <w:bookmarkStart w:id="20" w:name="_Hlk108453884"/>
      <w:r>
        <w:rPr>
          <w:rFonts w:ascii="Arial" w:hAnsi="Arial" w:cs="Arial"/>
          <w:spacing w:val="-4"/>
          <w:sz w:val="20"/>
          <w:szCs w:val="20"/>
        </w:rPr>
        <w:t>Do you have any suggestions for improvements on how to streamline the notification process while still achieving the intended policy objective?</w:t>
      </w:r>
    </w:p>
    <w:p w14:paraId="0085287E" w14:textId="77777777" w:rsidR="001B380D" w:rsidRPr="007406B0" w:rsidRDefault="001B380D" w:rsidP="009A0ECC">
      <w:pPr>
        <w:pStyle w:val="ListParagraph"/>
        <w:keepNext/>
        <w:keepLines/>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pacing w:val="-4"/>
          <w:sz w:val="20"/>
          <w:szCs w:val="20"/>
        </w:rPr>
      </w:pPr>
      <w:r w:rsidRPr="007406B0">
        <w:rPr>
          <w:rFonts w:ascii="Arial" w:hAnsi="Arial" w:cs="Arial"/>
          <w:spacing w:val="-4"/>
          <w:sz w:val="20"/>
          <w:szCs w:val="20"/>
        </w:rPr>
        <w:t>What are the costs to business of complying with the notification provisions to meet FOMA obligations? To what extent can these costs be reduced (for example, by removing duplication with other reporting/notification requirements and/or by streamlining Division 10A)? If you are a foreign stakeholder, you may include specific costs that you have incurred when making notifications.</w:t>
      </w:r>
    </w:p>
    <w:p w14:paraId="0F6F0C2B" w14:textId="6EA28C5C" w:rsidR="001B380D" w:rsidRDefault="001B380D" w:rsidP="009A0ECC">
      <w:pPr>
        <w:pStyle w:val="ListParagraph"/>
        <w:keepNext/>
        <w:keepLines/>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pacing w:val="-4"/>
          <w:sz w:val="20"/>
          <w:szCs w:val="20"/>
        </w:rPr>
      </w:pPr>
      <w:r w:rsidRPr="007406B0">
        <w:rPr>
          <w:rFonts w:ascii="Arial" w:hAnsi="Arial" w:cs="Arial"/>
          <w:spacing w:val="-4"/>
          <w:sz w:val="20"/>
          <w:szCs w:val="20"/>
        </w:rPr>
        <w:t>Are the circumstances when a foreign person is required to notify the ACMA (sections 74F to 74L of the BSA) appropriately designed? Should notifications be required in other circumstances, or should fewer notifications be required? If the latter, how might a scenario for fewer notifications be achieved?</w:t>
      </w:r>
    </w:p>
    <w:p w14:paraId="32328F69" w14:textId="6CEFAADE" w:rsidR="001B380D" w:rsidRPr="00115F58" w:rsidRDefault="001B380D" w:rsidP="009A0ECC">
      <w:pPr>
        <w:pStyle w:val="ListParagraph"/>
        <w:keepNext/>
        <w:keepLines/>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pacing w:val="-4"/>
          <w:sz w:val="20"/>
          <w:szCs w:val="20"/>
        </w:rPr>
      </w:pPr>
      <w:r w:rsidRPr="00FB2CF3">
        <w:rPr>
          <w:rFonts w:ascii="Arial" w:hAnsi="Arial" w:cs="Arial"/>
          <w:spacing w:val="-4"/>
          <w:sz w:val="20"/>
          <w:szCs w:val="20"/>
        </w:rPr>
        <w:t>Is the information that is required to be provided in the notifications (sections 74F to 74L of the BSA) appropriate? If not, what information is essential? What information is less essential and why?</w:t>
      </w:r>
    </w:p>
    <w:p w14:paraId="58B4808E" w14:textId="77777777" w:rsidR="001B380D" w:rsidRPr="00115F58" w:rsidRDefault="001B380D" w:rsidP="009A0ECC">
      <w:pPr>
        <w:pStyle w:val="ListParagraph"/>
        <w:keepNext/>
        <w:keepLines/>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pacing w:val="-4"/>
          <w:sz w:val="20"/>
          <w:szCs w:val="20"/>
        </w:rPr>
      </w:pPr>
      <w:r w:rsidRPr="00115F58">
        <w:rPr>
          <w:rFonts w:ascii="Arial" w:hAnsi="Arial" w:cs="Arial"/>
          <w:spacing w:val="-4"/>
          <w:sz w:val="20"/>
          <w:szCs w:val="20"/>
        </w:rPr>
        <w:t>Is the scope of the FOMA framework suitable to achieve its stated policy outcomes, including the types of media entities covered, the meaning of key terms such as ‘foreign stakeholder’ and ‘foreign person’ and the size of the minimum interest that triggers a notification requirement?</w:t>
      </w:r>
    </w:p>
    <w:p w14:paraId="1FB49BC5" w14:textId="77777777" w:rsidR="001B380D" w:rsidRPr="00115F58" w:rsidRDefault="001B380D" w:rsidP="009A0ECC">
      <w:pPr>
        <w:pStyle w:val="ListParagraph"/>
        <w:keepNext/>
        <w:keepLines/>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84" w:hanging="284"/>
        <w:rPr>
          <w:rFonts w:ascii="Arial" w:hAnsi="Arial" w:cs="Arial"/>
          <w:spacing w:val="-4"/>
          <w:sz w:val="20"/>
          <w:szCs w:val="20"/>
        </w:rPr>
      </w:pPr>
      <w:r w:rsidRPr="00115F58">
        <w:rPr>
          <w:rFonts w:ascii="Arial" w:hAnsi="Arial" w:cs="Arial"/>
          <w:spacing w:val="-4"/>
          <w:sz w:val="20"/>
          <w:szCs w:val="20"/>
        </w:rPr>
        <w:t>Are there additional circumstances relating to interests held in AMCs by foreign stakeholders that should be notified by foreign stakeholders and recorded on the Register?</w:t>
      </w:r>
    </w:p>
    <w:bookmarkEnd w:id="20"/>
    <w:p w14:paraId="37B43047" w14:textId="77777777" w:rsidR="001B380D" w:rsidRPr="005323E4" w:rsidRDefault="001B380D" w:rsidP="001B380D">
      <w:pPr>
        <w:pStyle w:val="Paragraph"/>
      </w:pPr>
    </w:p>
    <w:p w14:paraId="4B5B6975" w14:textId="5C22FAE7" w:rsidR="004768F7" w:rsidRPr="005323E4" w:rsidRDefault="004768F7" w:rsidP="007A6F60">
      <w:pPr>
        <w:spacing w:after="120"/>
        <w:rPr>
          <w:rFonts w:cs="Arial"/>
          <w:szCs w:val="20"/>
        </w:rPr>
      </w:pPr>
    </w:p>
    <w:p w14:paraId="71D130BD" w14:textId="708FE67A" w:rsidR="00282F61" w:rsidRPr="009A0ECC" w:rsidRDefault="007A642B" w:rsidP="00B039CA">
      <w:pPr>
        <w:pStyle w:val="Heading1"/>
      </w:pPr>
      <w:bookmarkStart w:id="21" w:name="_Toc78642410"/>
      <w:bookmarkStart w:id="22" w:name="_Toc108451529"/>
      <w:bookmarkStart w:id="23" w:name="_Hlk59627494"/>
      <w:r w:rsidRPr="009A0ECC">
        <w:lastRenderedPageBreak/>
        <w:t>I</w:t>
      </w:r>
      <w:r w:rsidR="00282F61" w:rsidRPr="009A0ECC">
        <w:t>nvitation to comment</w:t>
      </w:r>
      <w:bookmarkEnd w:id="21"/>
      <w:bookmarkEnd w:id="22"/>
    </w:p>
    <w:p w14:paraId="0147B501" w14:textId="77777777" w:rsidR="00282F61" w:rsidRPr="005323E4" w:rsidRDefault="00282F61" w:rsidP="009B7C9E">
      <w:pPr>
        <w:pStyle w:val="Heading2"/>
        <w:spacing w:after="120"/>
      </w:pPr>
      <w:bookmarkStart w:id="24" w:name="_Toc78642411"/>
      <w:bookmarkStart w:id="25" w:name="_Toc108451530"/>
      <w:r w:rsidRPr="005323E4">
        <w:t>Making a submission</w:t>
      </w:r>
      <w:bookmarkEnd w:id="24"/>
      <w:bookmarkEnd w:id="25"/>
    </w:p>
    <w:p w14:paraId="36F7A208" w14:textId="1F06288B" w:rsidR="00282F61" w:rsidRPr="005323E4" w:rsidRDefault="00282F61" w:rsidP="00282F61">
      <w:bookmarkStart w:id="26" w:name="_Hlk108453740"/>
      <w:r w:rsidRPr="005323E4">
        <w:t xml:space="preserve">We invite comments on the issues set out in this consultation paper. </w:t>
      </w:r>
      <w:r w:rsidR="00DE3AC1" w:rsidRPr="005323E4">
        <w:t>In particular, responses are sought to specific questions, as listed</w:t>
      </w:r>
      <w:bookmarkEnd w:id="26"/>
      <w:r w:rsidR="00DE3AC1" w:rsidRPr="005323E4">
        <w:t xml:space="preserve">. </w:t>
      </w:r>
    </w:p>
    <w:p w14:paraId="550FEF5D" w14:textId="77777777" w:rsidR="00282F61" w:rsidRPr="005323E4" w:rsidRDefault="000A56C7" w:rsidP="00282F61">
      <w:pPr>
        <w:pStyle w:val="Bulletlevel1"/>
      </w:pPr>
      <w:hyperlink r:id="rId33" w:history="1">
        <w:r w:rsidR="00282F61" w:rsidRPr="005323E4">
          <w:rPr>
            <w:rStyle w:val="Hyperlink"/>
          </w:rPr>
          <w:t>Online submissions</w:t>
        </w:r>
      </w:hyperlink>
      <w:r w:rsidR="00282F61" w:rsidRPr="005323E4">
        <w:t xml:space="preserve"> can be made by uploading a document. Submissions in PDF, Microsoft Word or Rich Text Format are preferred.</w:t>
      </w:r>
    </w:p>
    <w:p w14:paraId="5F5E9BA6" w14:textId="3249D99B" w:rsidR="00282F61" w:rsidRPr="005323E4" w:rsidRDefault="00282F61" w:rsidP="00282F61">
      <w:pPr>
        <w:pStyle w:val="Bulletlevel1"/>
      </w:pPr>
      <w:r w:rsidRPr="005323E4">
        <w:t xml:space="preserve">Submissions can be emailed to </w:t>
      </w:r>
      <w:hyperlink r:id="rId34" w:history="1">
        <w:r w:rsidRPr="005323E4">
          <w:rPr>
            <w:rStyle w:val="Hyperlink"/>
          </w:rPr>
          <w:t>foreignmediaownership@acma.gov.au</w:t>
        </w:r>
      </w:hyperlink>
      <w:r w:rsidRPr="005323E4">
        <w:t>.</w:t>
      </w:r>
      <w:r w:rsidR="00C16F55" w:rsidRPr="005323E4">
        <w:t xml:space="preserve"> </w:t>
      </w:r>
    </w:p>
    <w:p w14:paraId="4B86197A" w14:textId="77777777" w:rsidR="00282F61" w:rsidRPr="005323E4" w:rsidRDefault="00282F61" w:rsidP="00282F61">
      <w:pPr>
        <w:pStyle w:val="Bulletlevel1"/>
      </w:pPr>
      <w:r w:rsidRPr="005323E4">
        <w:t xml:space="preserve">Submissions by post can be sent to: </w:t>
      </w:r>
    </w:p>
    <w:p w14:paraId="728C45EB" w14:textId="77777777" w:rsidR="00282F61" w:rsidRPr="005323E4" w:rsidRDefault="00282F61" w:rsidP="00282F61">
      <w:pPr>
        <w:tabs>
          <w:tab w:val="num" w:pos="295"/>
        </w:tabs>
        <w:spacing w:after="0"/>
        <w:ind w:left="295"/>
        <w:rPr>
          <w:szCs w:val="20"/>
        </w:rPr>
      </w:pPr>
      <w:bookmarkStart w:id="27" w:name="_Hlk108453946"/>
      <w:r w:rsidRPr="005323E4">
        <w:rPr>
          <w:szCs w:val="20"/>
        </w:rPr>
        <w:t>The Manager</w:t>
      </w:r>
    </w:p>
    <w:p w14:paraId="0A633818" w14:textId="4289C44B" w:rsidR="00282F61" w:rsidRPr="005323E4" w:rsidRDefault="00282F61" w:rsidP="00282F61">
      <w:pPr>
        <w:tabs>
          <w:tab w:val="num" w:pos="295"/>
        </w:tabs>
        <w:spacing w:after="0"/>
        <w:ind w:left="295"/>
        <w:rPr>
          <w:szCs w:val="20"/>
        </w:rPr>
      </w:pPr>
      <w:r w:rsidRPr="005323E4">
        <w:rPr>
          <w:szCs w:val="20"/>
        </w:rPr>
        <w:t>Diversity, Localism and Accessibility</w:t>
      </w:r>
      <w:r w:rsidR="006A753E" w:rsidRPr="005323E4">
        <w:rPr>
          <w:szCs w:val="20"/>
        </w:rPr>
        <w:t xml:space="preserve"> Section</w:t>
      </w:r>
    </w:p>
    <w:p w14:paraId="1B6B9D9A" w14:textId="77777777" w:rsidR="00282F61" w:rsidRPr="005323E4" w:rsidRDefault="00282F61" w:rsidP="00282F61">
      <w:pPr>
        <w:tabs>
          <w:tab w:val="num" w:pos="295"/>
        </w:tabs>
        <w:spacing w:after="0"/>
        <w:ind w:left="295"/>
        <w:rPr>
          <w:szCs w:val="20"/>
        </w:rPr>
      </w:pPr>
      <w:r w:rsidRPr="005323E4">
        <w:rPr>
          <w:szCs w:val="20"/>
        </w:rPr>
        <w:t>Australian Communications and Media Authority</w:t>
      </w:r>
    </w:p>
    <w:p w14:paraId="0A89EF38" w14:textId="77777777" w:rsidR="00282F61" w:rsidRPr="005323E4" w:rsidRDefault="00282F61" w:rsidP="00282F61">
      <w:pPr>
        <w:tabs>
          <w:tab w:val="num" w:pos="295"/>
        </w:tabs>
        <w:spacing w:after="0"/>
        <w:ind w:left="295"/>
        <w:rPr>
          <w:szCs w:val="20"/>
        </w:rPr>
      </w:pPr>
      <w:r w:rsidRPr="005323E4">
        <w:rPr>
          <w:szCs w:val="20"/>
        </w:rPr>
        <w:t>PO Box Q500</w:t>
      </w:r>
    </w:p>
    <w:p w14:paraId="68AAFBC0" w14:textId="77777777" w:rsidR="00282F61" w:rsidRPr="005323E4" w:rsidRDefault="00282F61" w:rsidP="00282F61">
      <w:pPr>
        <w:tabs>
          <w:tab w:val="num" w:pos="295"/>
        </w:tabs>
        <w:spacing w:after="0"/>
        <w:ind w:left="295"/>
        <w:rPr>
          <w:szCs w:val="20"/>
        </w:rPr>
      </w:pPr>
      <w:r w:rsidRPr="005323E4">
        <w:rPr>
          <w:szCs w:val="20"/>
        </w:rPr>
        <w:t>Queen Victoria Building</w:t>
      </w:r>
    </w:p>
    <w:p w14:paraId="0288EEBD" w14:textId="365116C7" w:rsidR="00282F61" w:rsidRPr="005323E4" w:rsidRDefault="00282F61" w:rsidP="00282F61">
      <w:pPr>
        <w:tabs>
          <w:tab w:val="num" w:pos="295"/>
        </w:tabs>
        <w:spacing w:after="0"/>
        <w:ind w:left="295"/>
        <w:rPr>
          <w:szCs w:val="20"/>
        </w:rPr>
      </w:pPr>
      <w:r w:rsidRPr="005323E4">
        <w:rPr>
          <w:szCs w:val="20"/>
        </w:rPr>
        <w:t>Sydney</w:t>
      </w:r>
      <w:r w:rsidR="00C16F55" w:rsidRPr="005323E4">
        <w:rPr>
          <w:szCs w:val="20"/>
        </w:rPr>
        <w:t xml:space="preserve"> </w:t>
      </w:r>
      <w:r w:rsidRPr="005323E4">
        <w:rPr>
          <w:szCs w:val="20"/>
        </w:rPr>
        <w:t>NSW 1230</w:t>
      </w:r>
    </w:p>
    <w:bookmarkEnd w:id="27"/>
    <w:p w14:paraId="5A3B710C" w14:textId="17B85EA0" w:rsidR="00282F61" w:rsidRPr="005323E4" w:rsidRDefault="00282F61" w:rsidP="00282F61">
      <w:pPr>
        <w:spacing w:before="240"/>
      </w:pPr>
      <w:r w:rsidRPr="005323E4">
        <w:t xml:space="preserve">The closing date for submissions is </w:t>
      </w:r>
      <w:r w:rsidRPr="009A0ECC">
        <w:rPr>
          <w:b/>
          <w:bCs/>
        </w:rPr>
        <w:t>5</w:t>
      </w:r>
      <w:r w:rsidR="00881AB9" w:rsidRPr="009A0ECC">
        <w:rPr>
          <w:b/>
          <w:bCs/>
        </w:rPr>
        <w:t xml:space="preserve"> </w:t>
      </w:r>
      <w:r w:rsidRPr="009A0ECC">
        <w:rPr>
          <w:b/>
          <w:bCs/>
        </w:rPr>
        <w:t>pm</w:t>
      </w:r>
      <w:r w:rsidR="00C2045A" w:rsidRPr="009A0ECC">
        <w:rPr>
          <w:b/>
          <w:bCs/>
        </w:rPr>
        <w:t xml:space="preserve">, </w:t>
      </w:r>
      <w:r w:rsidR="00C2045A">
        <w:rPr>
          <w:b/>
          <w:bCs/>
        </w:rPr>
        <w:t xml:space="preserve">Thursday </w:t>
      </w:r>
      <w:r w:rsidR="003E1668">
        <w:rPr>
          <w:b/>
          <w:bCs/>
        </w:rPr>
        <w:t>25</w:t>
      </w:r>
      <w:r w:rsidR="00C2045A" w:rsidRPr="00182DF8">
        <w:rPr>
          <w:b/>
          <w:bCs/>
        </w:rPr>
        <w:t xml:space="preserve"> August 2022.</w:t>
      </w:r>
    </w:p>
    <w:p w14:paraId="356CAF88" w14:textId="12702BC6" w:rsidR="00282F61" w:rsidRPr="005323E4" w:rsidRDefault="00282F61" w:rsidP="00282F61">
      <w:pPr>
        <w:rPr>
          <w:szCs w:val="20"/>
        </w:rPr>
      </w:pPr>
      <w:bookmarkStart w:id="28" w:name="_Hlk108453967"/>
      <w:r w:rsidRPr="005323E4">
        <w:t xml:space="preserve">Consultation enquiries </w:t>
      </w:r>
      <w:r w:rsidR="00DE3AC1" w:rsidRPr="005323E4">
        <w:t xml:space="preserve">marked ‘FOMA Review Enquiry’ </w:t>
      </w:r>
      <w:r w:rsidRPr="005323E4">
        <w:t xml:space="preserve">can be emailed </w:t>
      </w:r>
      <w:r w:rsidRPr="005323E4">
        <w:rPr>
          <w:szCs w:val="20"/>
        </w:rPr>
        <w:t xml:space="preserve">to </w:t>
      </w:r>
      <w:hyperlink r:id="rId35" w:history="1">
        <w:r w:rsidRPr="005323E4">
          <w:rPr>
            <w:rStyle w:val="Hyperlink"/>
          </w:rPr>
          <w:t>foreignmediaownership@acma.gov.au</w:t>
        </w:r>
      </w:hyperlink>
      <w:r w:rsidRPr="005323E4">
        <w:rPr>
          <w:szCs w:val="20"/>
        </w:rPr>
        <w:t>.</w:t>
      </w:r>
    </w:p>
    <w:bookmarkEnd w:id="28"/>
    <w:p w14:paraId="2596BA8B" w14:textId="77777777" w:rsidR="00282F61" w:rsidRPr="005323E4" w:rsidRDefault="00282F61" w:rsidP="00282F61">
      <w:pPr>
        <w:pStyle w:val="Heading4"/>
      </w:pPr>
      <w:r w:rsidRPr="005323E4">
        <w:t>Publication of submissions</w:t>
      </w:r>
    </w:p>
    <w:p w14:paraId="227F1A93" w14:textId="06E16205" w:rsidR="00282F61" w:rsidRPr="005323E4" w:rsidRDefault="00282F61" w:rsidP="00282F61">
      <w:r w:rsidRPr="005323E4">
        <w:t>We publish submissions on our website</w:t>
      </w:r>
      <w:r w:rsidRPr="005323E4">
        <w:rPr>
          <w:rFonts w:cs="Arial"/>
        </w:rPr>
        <w:t xml:space="preserve">, including personal information (such as names and </w:t>
      </w:r>
      <w:r w:rsidR="00DE3AC1" w:rsidRPr="005323E4">
        <w:rPr>
          <w:rFonts w:cs="Arial"/>
        </w:rPr>
        <w:t>position titles</w:t>
      </w:r>
      <w:r w:rsidRPr="005323E4">
        <w:rPr>
          <w:rFonts w:cs="Arial"/>
        </w:rPr>
        <w:t>)</w:t>
      </w:r>
      <w:r w:rsidRPr="005323E4">
        <w:t xml:space="preserve">, except for information that you have claimed (and we have accepted) is confidential. </w:t>
      </w:r>
    </w:p>
    <w:p w14:paraId="012B3619" w14:textId="77777777" w:rsidR="00282F61" w:rsidRPr="005323E4" w:rsidRDefault="00282F61" w:rsidP="00282F61">
      <w:r w:rsidRPr="005323E4">
        <w:t>Confidential information will not be published or otherwise released unless required or authorised by law.</w:t>
      </w:r>
    </w:p>
    <w:p w14:paraId="71C71580" w14:textId="77777777" w:rsidR="00282F61" w:rsidRPr="005323E4" w:rsidRDefault="00282F61" w:rsidP="00282F61">
      <w:pPr>
        <w:pStyle w:val="Heading4"/>
      </w:pPr>
      <w:r w:rsidRPr="005323E4">
        <w:t>Privacy</w:t>
      </w:r>
    </w:p>
    <w:p w14:paraId="7D90C715" w14:textId="77777777" w:rsidR="00282F61" w:rsidRPr="005323E4" w:rsidRDefault="00282F61" w:rsidP="00282F61">
      <w:pPr>
        <w:pStyle w:val="Paragraph"/>
      </w:pPr>
      <w:r w:rsidRPr="005323E4">
        <w:t xml:space="preserve">View information about our policy on the </w:t>
      </w:r>
      <w:hyperlink r:id="rId36" w:history="1">
        <w:r w:rsidRPr="005323E4">
          <w:rPr>
            <w:rStyle w:val="Hyperlink"/>
          </w:rPr>
          <w:t>publication of submissions</w:t>
        </w:r>
      </w:hyperlink>
      <w:r w:rsidRPr="005323E4">
        <w:t>, including collection of personal information during consultation and how we handle that information.</w:t>
      </w:r>
    </w:p>
    <w:p w14:paraId="3632787A" w14:textId="77777777" w:rsidR="00282F61" w:rsidRPr="005323E4" w:rsidRDefault="00282F61" w:rsidP="00282F61">
      <w:pPr>
        <w:pStyle w:val="Paragraph"/>
      </w:pPr>
      <w:r w:rsidRPr="005323E4">
        <w:t xml:space="preserve">Information on the </w:t>
      </w:r>
      <w:r w:rsidRPr="005323E4">
        <w:rPr>
          <w:i/>
        </w:rPr>
        <w:t xml:space="preserve">Privacy Act 1988, </w:t>
      </w:r>
      <w:r w:rsidRPr="005323E4">
        <w:t xml:space="preserve">how to access or correct personal information, how to make a privacy complaint and how we will deal with any complaints, is available in our </w:t>
      </w:r>
      <w:hyperlink r:id="rId37" w:history="1">
        <w:r w:rsidRPr="005323E4">
          <w:rPr>
            <w:rStyle w:val="Hyperlink"/>
          </w:rPr>
          <w:t>privacy policy</w:t>
        </w:r>
      </w:hyperlink>
      <w:r w:rsidRPr="005323E4">
        <w:t xml:space="preserve">. </w:t>
      </w:r>
    </w:p>
    <w:p w14:paraId="49449FEF" w14:textId="77777777" w:rsidR="00282F61" w:rsidRPr="005323E4" w:rsidRDefault="00282F61" w:rsidP="00282F61"/>
    <w:p w14:paraId="51E9407B" w14:textId="77777777" w:rsidR="00282F61" w:rsidRPr="005323E4" w:rsidRDefault="00282F61" w:rsidP="005B2F0D">
      <w:pPr>
        <w:pStyle w:val="Paragraph"/>
      </w:pPr>
    </w:p>
    <w:bookmarkEnd w:id="23"/>
    <w:p w14:paraId="2760E9F7" w14:textId="5B17B66B" w:rsidR="00036ED9" w:rsidRPr="005323E4" w:rsidRDefault="00D91870">
      <w:pPr>
        <w:spacing w:after="0" w:line="240" w:lineRule="auto"/>
      </w:pPr>
      <w:r w:rsidRPr="005323E4">
        <w:br/>
      </w:r>
    </w:p>
    <w:p w14:paraId="37BE06DB" w14:textId="77777777" w:rsidR="00036ED9" w:rsidRPr="005323E4" w:rsidRDefault="00036ED9">
      <w:pPr>
        <w:spacing w:after="0" w:line="240" w:lineRule="auto"/>
      </w:pPr>
      <w:r w:rsidRPr="005323E4">
        <w:br w:type="page"/>
      </w:r>
    </w:p>
    <w:p w14:paraId="626E5B22" w14:textId="44CF0896" w:rsidR="00B039CA" w:rsidRPr="005323E4" w:rsidRDefault="00B039CA" w:rsidP="006B17F2">
      <w:pPr>
        <w:pStyle w:val="Heading1"/>
        <w:pageBreakBefore w:val="0"/>
        <w:rPr>
          <w:i/>
        </w:rPr>
      </w:pPr>
      <w:bookmarkStart w:id="29" w:name="_Toc108451531"/>
      <w:r>
        <w:lastRenderedPageBreak/>
        <w:t xml:space="preserve">Appendix A: </w:t>
      </w:r>
      <w:r w:rsidRPr="005323E4">
        <w:t>Relevant provisions of the</w:t>
      </w:r>
      <w:r w:rsidRPr="005323E4">
        <w:rPr>
          <w:i/>
        </w:rPr>
        <w:t xml:space="preserve"> Broadcasting Services Act</w:t>
      </w:r>
      <w:r>
        <w:rPr>
          <w:i/>
        </w:rPr>
        <w:t xml:space="preserve"> 1992</w:t>
      </w:r>
      <w:bookmarkEnd w:id="29"/>
      <w:r w:rsidRPr="005323E4">
        <w:rPr>
          <w:i/>
        </w:rPr>
        <w:t xml:space="preserve"> </w:t>
      </w:r>
    </w:p>
    <w:p w14:paraId="6EDC460B" w14:textId="77777777" w:rsidR="00036ED9" w:rsidRPr="005323E4" w:rsidRDefault="00036ED9" w:rsidP="006B17F2">
      <w:pPr>
        <w:pStyle w:val="Heading2"/>
      </w:pPr>
      <w:bookmarkStart w:id="30" w:name="_Toc108451532"/>
      <w:r w:rsidRPr="005323E4">
        <w:t>Division 10A of Part 5</w:t>
      </w:r>
      <w:bookmarkEnd w:id="30"/>
    </w:p>
    <w:p w14:paraId="1377FE2C" w14:textId="77777777" w:rsidR="00036ED9" w:rsidRPr="005323E4" w:rsidRDefault="00036ED9" w:rsidP="00036ED9">
      <w:pPr>
        <w:pStyle w:val="acthead4"/>
        <w:shd w:val="clear" w:color="auto" w:fill="FFFFFF"/>
        <w:spacing w:before="220" w:beforeAutospacing="0" w:after="0" w:afterAutospacing="0"/>
        <w:ind w:left="1134" w:hanging="1134"/>
        <w:rPr>
          <w:b/>
          <w:bCs/>
          <w:color w:val="000000"/>
          <w:sz w:val="26"/>
          <w:szCs w:val="26"/>
        </w:rPr>
      </w:pPr>
      <w:bookmarkStart w:id="31" w:name="_Toc524959752"/>
      <w:r w:rsidRPr="005323E4">
        <w:rPr>
          <w:rStyle w:val="charsubdno"/>
          <w:b/>
          <w:bCs/>
          <w:color w:val="000000"/>
          <w:sz w:val="26"/>
          <w:szCs w:val="26"/>
        </w:rPr>
        <w:t>Subdivision A</w:t>
      </w:r>
      <w:r w:rsidRPr="005323E4">
        <w:rPr>
          <w:b/>
          <w:bCs/>
          <w:color w:val="000000"/>
          <w:sz w:val="26"/>
          <w:szCs w:val="26"/>
        </w:rPr>
        <w:t>—</w:t>
      </w:r>
      <w:r w:rsidRPr="005323E4">
        <w:rPr>
          <w:rStyle w:val="charsubdtext"/>
          <w:b/>
          <w:bCs/>
          <w:color w:val="000000"/>
          <w:sz w:val="26"/>
          <w:szCs w:val="26"/>
        </w:rPr>
        <w:t>Introduction</w:t>
      </w:r>
      <w:bookmarkEnd w:id="31"/>
    </w:p>
    <w:p w14:paraId="7D5EA04B"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32" w:name="_Toc524959753"/>
      <w:r w:rsidRPr="005323E4">
        <w:rPr>
          <w:rStyle w:val="charsectno"/>
          <w:b/>
          <w:bCs/>
          <w:color w:val="000000"/>
        </w:rPr>
        <w:t>74A</w:t>
      </w:r>
      <w:r w:rsidRPr="005323E4">
        <w:rPr>
          <w:b/>
          <w:bCs/>
          <w:color w:val="000000"/>
        </w:rPr>
        <w:t>  Simplified outline of this Division</w:t>
      </w:r>
      <w:bookmarkEnd w:id="32"/>
    </w:p>
    <w:p w14:paraId="323853EF" w14:textId="77777777" w:rsidR="00036ED9" w:rsidRPr="005323E4" w:rsidRDefault="00036ED9" w:rsidP="00036ED9">
      <w:pPr>
        <w:pStyle w:val="sobullet"/>
        <w:shd w:val="clear" w:color="auto" w:fill="FFFFFF"/>
        <w:spacing w:before="240" w:beforeAutospacing="0" w:after="0" w:afterAutospacing="0"/>
        <w:ind w:left="425" w:hanging="425"/>
        <w:rPr>
          <w:color w:val="000000"/>
          <w:sz w:val="22"/>
          <w:szCs w:val="22"/>
        </w:rPr>
      </w:pPr>
      <w:r w:rsidRPr="005323E4">
        <w:rPr>
          <w:color w:val="000000"/>
          <w:sz w:val="22"/>
          <w:szCs w:val="22"/>
        </w:rPr>
        <w:t>•      The ACMA must maintain a Register of Foreign Owners of Media Assets.</w:t>
      </w:r>
    </w:p>
    <w:p w14:paraId="35F8C6E0" w14:textId="77777777" w:rsidR="00036ED9" w:rsidRPr="005323E4" w:rsidRDefault="00036ED9" w:rsidP="00036ED9">
      <w:pPr>
        <w:pStyle w:val="sobullet"/>
        <w:shd w:val="clear" w:color="auto" w:fill="FFFFFF"/>
        <w:spacing w:before="240" w:beforeAutospacing="0" w:after="0" w:afterAutospacing="0"/>
        <w:ind w:left="425" w:hanging="425"/>
        <w:rPr>
          <w:color w:val="000000"/>
          <w:sz w:val="22"/>
          <w:szCs w:val="22"/>
        </w:rPr>
      </w:pPr>
      <w:r w:rsidRPr="005323E4">
        <w:rPr>
          <w:color w:val="000000"/>
          <w:sz w:val="22"/>
          <w:szCs w:val="22"/>
        </w:rPr>
        <w:t>•      The Register of Foreign Owners of Media Assets must set out, for each Australian media company, information about each foreign stakeholder in the company.</w:t>
      </w:r>
    </w:p>
    <w:p w14:paraId="23F24B0E" w14:textId="77777777" w:rsidR="00036ED9" w:rsidRPr="005323E4" w:rsidRDefault="00036ED9" w:rsidP="00036ED9">
      <w:pPr>
        <w:pStyle w:val="sobullet"/>
        <w:shd w:val="clear" w:color="auto" w:fill="FFFFFF"/>
        <w:spacing w:before="240" w:beforeAutospacing="0" w:after="0" w:afterAutospacing="0"/>
        <w:ind w:left="425" w:hanging="425"/>
        <w:rPr>
          <w:color w:val="000000"/>
          <w:sz w:val="22"/>
          <w:szCs w:val="22"/>
        </w:rPr>
      </w:pPr>
      <w:r w:rsidRPr="005323E4">
        <w:rPr>
          <w:color w:val="000000"/>
          <w:sz w:val="22"/>
          <w:szCs w:val="22"/>
        </w:rPr>
        <w:t>•      Foreign stakeholders must notify the ACMA of their company interests in Australian media companies.</w:t>
      </w:r>
    </w:p>
    <w:p w14:paraId="21361D19" w14:textId="77777777" w:rsidR="00036ED9" w:rsidRPr="005323E4" w:rsidRDefault="00036ED9" w:rsidP="00036ED9">
      <w:pPr>
        <w:pStyle w:val="notetext"/>
        <w:shd w:val="clear" w:color="auto" w:fill="FFFFFF"/>
        <w:spacing w:before="122" w:beforeAutospacing="0" w:after="0" w:afterAutospacing="0"/>
        <w:ind w:left="1985" w:hanging="851"/>
        <w:rPr>
          <w:color w:val="000000"/>
          <w:sz w:val="18"/>
          <w:szCs w:val="18"/>
        </w:rPr>
      </w:pPr>
      <w:r w:rsidRPr="005323E4">
        <w:rPr>
          <w:color w:val="000000"/>
          <w:sz w:val="18"/>
          <w:szCs w:val="18"/>
        </w:rPr>
        <w:t>Note:          For </w:t>
      </w:r>
      <w:r w:rsidRPr="005323E4">
        <w:rPr>
          <w:b/>
          <w:bCs/>
          <w:i/>
          <w:iCs/>
          <w:color w:val="000000"/>
          <w:sz w:val="18"/>
          <w:szCs w:val="18"/>
        </w:rPr>
        <w:t>company interests</w:t>
      </w:r>
      <w:r w:rsidRPr="005323E4">
        <w:rPr>
          <w:color w:val="000000"/>
          <w:sz w:val="18"/>
          <w:szCs w:val="18"/>
        </w:rPr>
        <w:t>, see section 6.</w:t>
      </w:r>
    </w:p>
    <w:p w14:paraId="340706B9"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33" w:name="_Toc524959754"/>
      <w:r w:rsidRPr="005323E4">
        <w:rPr>
          <w:rStyle w:val="charsectno"/>
          <w:b/>
          <w:bCs/>
          <w:color w:val="000000"/>
        </w:rPr>
        <w:t>74B</w:t>
      </w:r>
      <w:r w:rsidRPr="005323E4">
        <w:rPr>
          <w:b/>
          <w:bCs/>
          <w:color w:val="000000"/>
        </w:rPr>
        <w:t>  Definitions</w:t>
      </w:r>
      <w:bookmarkEnd w:id="33"/>
    </w:p>
    <w:p w14:paraId="0C99BB5B"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In this Division:</w:t>
      </w:r>
    </w:p>
    <w:p w14:paraId="00B544DD"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ACMA official </w:t>
      </w:r>
      <w:r w:rsidRPr="005323E4">
        <w:rPr>
          <w:color w:val="000000"/>
          <w:sz w:val="22"/>
          <w:szCs w:val="22"/>
        </w:rPr>
        <w:t>has the same meaning as in the </w:t>
      </w:r>
      <w:r w:rsidRPr="005323E4">
        <w:rPr>
          <w:i/>
          <w:iCs/>
          <w:color w:val="000000"/>
          <w:sz w:val="22"/>
          <w:szCs w:val="22"/>
        </w:rPr>
        <w:t>Australian Communications and Media Authority Act 2005</w:t>
      </w:r>
      <w:r w:rsidRPr="005323E4">
        <w:rPr>
          <w:color w:val="000000"/>
          <w:sz w:val="22"/>
          <w:szCs w:val="22"/>
        </w:rPr>
        <w:t>.</w:t>
      </w:r>
    </w:p>
    <w:p w14:paraId="451F8B9B"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Australia</w:t>
      </w:r>
      <w:r w:rsidRPr="005323E4">
        <w:rPr>
          <w:color w:val="000000"/>
          <w:sz w:val="22"/>
          <w:szCs w:val="22"/>
        </w:rPr>
        <w:t>, when used in a geographical sense, includes all the external Territories.</w:t>
      </w:r>
    </w:p>
    <w:p w14:paraId="663B916C"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Australian media company</w:t>
      </w:r>
      <w:r w:rsidRPr="005323E4">
        <w:rPr>
          <w:color w:val="000000"/>
          <w:sz w:val="22"/>
          <w:szCs w:val="22"/>
        </w:rPr>
        <w:t> means:</w:t>
      </w:r>
    </w:p>
    <w:p w14:paraId="1646D8EB"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a company that holds a commercial television broadcasting licence; or</w:t>
      </w:r>
    </w:p>
    <w:p w14:paraId="36FC6C70"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a company that holds a commercial radio broadcasting licence; or</w:t>
      </w:r>
    </w:p>
    <w:p w14:paraId="0CD8DFF4"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a company that is:</w:t>
      </w:r>
    </w:p>
    <w:p w14:paraId="77145041"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publisher of a newspaper that is associated with the licence area of a commercial television broadcasting licence or a commercial radio broadcasting licence; and</w:t>
      </w:r>
    </w:p>
    <w:p w14:paraId="6157CBCA"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a constitutional corporation.</w:t>
      </w:r>
    </w:p>
    <w:p w14:paraId="00320018"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designated information</w:t>
      </w:r>
      <w:r w:rsidRPr="005323E4">
        <w:rPr>
          <w:color w:val="000000"/>
          <w:sz w:val="22"/>
          <w:szCs w:val="22"/>
        </w:rPr>
        <w:t>, in relation to a person, means:</w:t>
      </w:r>
    </w:p>
    <w:p w14:paraId="193A47ED"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if the person is an individual:</w:t>
      </w:r>
    </w:p>
    <w:p w14:paraId="6BE61335"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person’s date of birth; and</w:t>
      </w:r>
    </w:p>
    <w:p w14:paraId="747BC4BA"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the country in which the person is ordinarily resident; and</w:t>
      </w:r>
    </w:p>
    <w:p w14:paraId="4B371C50"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if the person is a corporation—the country in which the corporation was formed; and</w:t>
      </w:r>
    </w:p>
    <w:p w14:paraId="1C4615F0"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if the person is a trustee of a trust:</w:t>
      </w:r>
    </w:p>
    <w:p w14:paraId="47C448BE"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name of the trust; and</w:t>
      </w:r>
    </w:p>
    <w:p w14:paraId="50276F79"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the country in which the trust was established; and</w:t>
      </w:r>
    </w:p>
    <w:p w14:paraId="13EC559E"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(d)  if the person is a foreign government investor as the result of the application of paragraph 17(a) of the </w:t>
      </w:r>
      <w:r w:rsidRPr="005323E4">
        <w:rPr>
          <w:i/>
          <w:iCs/>
          <w:color w:val="000000"/>
          <w:sz w:val="22"/>
          <w:szCs w:val="22"/>
        </w:rPr>
        <w:t>Foreign Acquisitions and Takeovers Regulation 2015</w:t>
      </w:r>
      <w:r w:rsidRPr="005323E4">
        <w:rPr>
          <w:color w:val="000000"/>
          <w:sz w:val="22"/>
          <w:szCs w:val="22"/>
        </w:rPr>
        <w:t> to a separate government entity of a foreign country or a part of a foreign country—the foreign country or the part of the foreign country, as the case may be; and</w:t>
      </w:r>
    </w:p>
    <w:p w14:paraId="6C9D4E03"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lastRenderedPageBreak/>
        <w:t>                     (e)  if the person is a foreign government investor wholly or partly as the result of the application of paragraph 17(b), (c), (d) or (e) of the </w:t>
      </w:r>
      <w:r w:rsidRPr="005323E4">
        <w:rPr>
          <w:i/>
          <w:iCs/>
          <w:color w:val="000000"/>
          <w:sz w:val="22"/>
          <w:szCs w:val="22"/>
        </w:rPr>
        <w:t>Foreign Acquisitions and Takeovers Regulation 2015</w:t>
      </w:r>
      <w:r w:rsidRPr="005323E4">
        <w:rPr>
          <w:color w:val="000000"/>
          <w:sz w:val="22"/>
          <w:szCs w:val="22"/>
        </w:rPr>
        <w:t> to a foreign government—the foreign government; and</w:t>
      </w:r>
    </w:p>
    <w:p w14:paraId="69C6AB18"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(f)  if the person is a foreign government investor wholly or partly as the result of the application of paragraph 17(b), (c), (d) or (e) of the </w:t>
      </w:r>
      <w:r w:rsidRPr="005323E4">
        <w:rPr>
          <w:i/>
          <w:iCs/>
          <w:color w:val="000000"/>
          <w:sz w:val="22"/>
          <w:szCs w:val="22"/>
        </w:rPr>
        <w:t>Foreign Acquisitions and Takeovers Regulation 2015</w:t>
      </w:r>
      <w:r w:rsidRPr="005323E4">
        <w:rPr>
          <w:color w:val="000000"/>
          <w:sz w:val="22"/>
          <w:szCs w:val="22"/>
        </w:rPr>
        <w:t> to a separate government entity of a foreign country or a part of a foreign country—the foreign country or the part of the foreign country, as the case may be; and</w:t>
      </w:r>
    </w:p>
    <w:p w14:paraId="059EA80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(g)  the following contact details:</w:t>
      </w:r>
    </w:p>
    <w:p w14:paraId="32A145D3"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person’s address;</w:t>
      </w:r>
    </w:p>
    <w:p w14:paraId="70008059"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the person’s email address (if any);</w:t>
      </w:r>
    </w:p>
    <w:p w14:paraId="5E48C839"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(iii)  the person’s telephone number (if any).</w:t>
      </w:r>
    </w:p>
    <w:p w14:paraId="29361025"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foreign government </w:t>
      </w:r>
      <w:r w:rsidRPr="005323E4">
        <w:rPr>
          <w:color w:val="000000"/>
          <w:sz w:val="22"/>
          <w:szCs w:val="22"/>
        </w:rPr>
        <w:t>has the same meaning as in the </w:t>
      </w:r>
      <w:r w:rsidRPr="005323E4">
        <w:rPr>
          <w:i/>
          <w:iCs/>
          <w:color w:val="000000"/>
          <w:sz w:val="22"/>
          <w:szCs w:val="22"/>
        </w:rPr>
        <w:t>Foreign Acquisitions and Takeovers Act 1975</w:t>
      </w:r>
      <w:r w:rsidRPr="005323E4">
        <w:rPr>
          <w:color w:val="000000"/>
          <w:sz w:val="22"/>
          <w:szCs w:val="22"/>
        </w:rPr>
        <w:t>.</w:t>
      </w:r>
    </w:p>
    <w:p w14:paraId="1A162254"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foreign government investor</w:t>
      </w:r>
      <w:r w:rsidRPr="005323E4">
        <w:rPr>
          <w:color w:val="000000"/>
          <w:sz w:val="22"/>
          <w:szCs w:val="22"/>
        </w:rPr>
        <w:t> has the same meaning as in the </w:t>
      </w:r>
      <w:r w:rsidRPr="005323E4">
        <w:rPr>
          <w:i/>
          <w:iCs/>
          <w:color w:val="000000"/>
          <w:sz w:val="22"/>
          <w:szCs w:val="22"/>
        </w:rPr>
        <w:t>Foreign Acquisitions and Takeovers Act 1975</w:t>
      </w:r>
      <w:r w:rsidRPr="005323E4">
        <w:rPr>
          <w:color w:val="000000"/>
          <w:sz w:val="22"/>
          <w:szCs w:val="22"/>
        </w:rPr>
        <w:t>.</w:t>
      </w:r>
    </w:p>
    <w:p w14:paraId="5E2F9D8C"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foreign person</w:t>
      </w:r>
      <w:r w:rsidRPr="005323E4">
        <w:rPr>
          <w:b/>
          <w:bCs/>
          <w:color w:val="000000"/>
          <w:sz w:val="22"/>
          <w:szCs w:val="22"/>
        </w:rPr>
        <w:t> </w:t>
      </w:r>
      <w:r w:rsidRPr="005323E4">
        <w:rPr>
          <w:color w:val="000000"/>
          <w:sz w:val="22"/>
          <w:szCs w:val="22"/>
        </w:rPr>
        <w:t>has the same meaning as in the </w:t>
      </w:r>
      <w:r w:rsidRPr="005323E4">
        <w:rPr>
          <w:i/>
          <w:iCs/>
          <w:color w:val="000000"/>
          <w:sz w:val="22"/>
          <w:szCs w:val="22"/>
        </w:rPr>
        <w:t>Foreign Acquisitions and Takeovers Act 1975</w:t>
      </w:r>
      <w:r w:rsidRPr="005323E4">
        <w:rPr>
          <w:color w:val="000000"/>
          <w:sz w:val="22"/>
          <w:szCs w:val="22"/>
        </w:rPr>
        <w:t>.</w:t>
      </w:r>
    </w:p>
    <w:p w14:paraId="63BBE411"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foreign stakeholder</w:t>
      </w:r>
      <w:r w:rsidRPr="005323E4">
        <w:rPr>
          <w:color w:val="000000"/>
          <w:sz w:val="22"/>
          <w:szCs w:val="22"/>
        </w:rPr>
        <w:t>, in relation to an Australian media company, has the meaning given by section 74C.</w:t>
      </w:r>
    </w:p>
    <w:p w14:paraId="3A2942B5"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initial disclosure period</w:t>
      </w:r>
      <w:r w:rsidRPr="005323E4">
        <w:rPr>
          <w:b/>
          <w:bCs/>
          <w:color w:val="000000"/>
          <w:sz w:val="22"/>
          <w:szCs w:val="22"/>
        </w:rPr>
        <w:t> </w:t>
      </w:r>
      <w:r w:rsidRPr="005323E4">
        <w:rPr>
          <w:color w:val="000000"/>
          <w:sz w:val="22"/>
          <w:szCs w:val="22"/>
        </w:rPr>
        <w:t>means the period of 6 months beginning at the commencement of this Division.</w:t>
      </w:r>
    </w:p>
    <w:p w14:paraId="5BF0EE1F" w14:textId="77777777" w:rsidR="00036ED9" w:rsidRPr="005323E4" w:rsidRDefault="00036ED9" w:rsidP="00036ED9">
      <w:pPr>
        <w:pStyle w:val="definition"/>
        <w:shd w:val="clear" w:color="auto" w:fill="FFFFFF"/>
        <w:spacing w:before="180" w:beforeAutospacing="0" w:after="0" w:afterAutospacing="0"/>
        <w:ind w:left="1134"/>
        <w:rPr>
          <w:color w:val="000000"/>
          <w:sz w:val="22"/>
          <w:szCs w:val="22"/>
        </w:rPr>
      </w:pPr>
      <w:r w:rsidRPr="005323E4">
        <w:rPr>
          <w:b/>
          <w:bCs/>
          <w:i/>
          <w:iCs/>
          <w:color w:val="000000"/>
          <w:sz w:val="22"/>
          <w:szCs w:val="22"/>
        </w:rPr>
        <w:t>person</w:t>
      </w:r>
      <w:r w:rsidRPr="005323E4">
        <w:rPr>
          <w:color w:val="000000"/>
          <w:sz w:val="22"/>
          <w:szCs w:val="22"/>
        </w:rPr>
        <w:t> includes a foreign person.</w:t>
      </w:r>
    </w:p>
    <w:p w14:paraId="44EC0955" w14:textId="77777777" w:rsidR="00036ED9" w:rsidRPr="005323E4" w:rsidRDefault="00036ED9" w:rsidP="00036ED9">
      <w:pPr>
        <w:pStyle w:val="definition"/>
        <w:shd w:val="clear" w:color="auto" w:fill="FFFFFF"/>
        <w:spacing w:before="180" w:beforeAutospacing="0" w:after="0" w:afterAutospacing="0"/>
        <w:ind w:left="1134"/>
        <w:rPr>
          <w:rStyle w:val="charsectno"/>
        </w:rPr>
      </w:pPr>
      <w:r w:rsidRPr="005323E4">
        <w:rPr>
          <w:b/>
          <w:bCs/>
          <w:i/>
          <w:iCs/>
          <w:color w:val="000000"/>
          <w:sz w:val="22"/>
          <w:szCs w:val="22"/>
        </w:rPr>
        <w:t>separate government entity </w:t>
      </w:r>
      <w:r w:rsidRPr="005323E4">
        <w:rPr>
          <w:color w:val="000000"/>
          <w:sz w:val="22"/>
          <w:szCs w:val="22"/>
        </w:rPr>
        <w:t>has the same meaning as in the </w:t>
      </w:r>
      <w:r w:rsidRPr="005323E4">
        <w:rPr>
          <w:i/>
          <w:iCs/>
          <w:color w:val="000000"/>
          <w:sz w:val="22"/>
          <w:szCs w:val="22"/>
        </w:rPr>
        <w:t>Foreign Acquisitions and Takeovers Act 1975</w:t>
      </w:r>
      <w:r w:rsidRPr="005323E4">
        <w:rPr>
          <w:color w:val="000000"/>
          <w:sz w:val="22"/>
          <w:szCs w:val="22"/>
        </w:rPr>
        <w:t>.</w:t>
      </w:r>
      <w:bookmarkStart w:id="34" w:name="_Toc524959755"/>
    </w:p>
    <w:p w14:paraId="2E2ED533" w14:textId="77777777" w:rsidR="00036ED9" w:rsidRPr="005323E4" w:rsidRDefault="00036ED9" w:rsidP="00036ED9">
      <w:pPr>
        <w:pStyle w:val="acthead5"/>
        <w:shd w:val="clear" w:color="auto" w:fill="FFFFFF"/>
        <w:spacing w:before="280" w:beforeAutospacing="0" w:after="0" w:afterAutospacing="0"/>
        <w:ind w:left="1134" w:hanging="1134"/>
        <w:rPr>
          <w:b/>
          <w:bCs/>
        </w:rPr>
      </w:pPr>
      <w:r w:rsidRPr="005323E4">
        <w:rPr>
          <w:rStyle w:val="charsectno"/>
          <w:b/>
          <w:bCs/>
          <w:color w:val="000000"/>
        </w:rPr>
        <w:t>74C</w:t>
      </w:r>
      <w:r w:rsidRPr="005323E4">
        <w:rPr>
          <w:b/>
          <w:bCs/>
          <w:color w:val="000000"/>
        </w:rPr>
        <w:t>  Foreign stakeholder</w:t>
      </w:r>
      <w:bookmarkEnd w:id="34"/>
    </w:p>
    <w:p w14:paraId="55B5DEC4"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For the purposes of this Division, if a foreign person has company interests in an Australian media company of 2.5% or more, that person is a </w:t>
      </w:r>
      <w:r w:rsidRPr="005323E4">
        <w:rPr>
          <w:b/>
          <w:bCs/>
          <w:i/>
          <w:iCs/>
          <w:color w:val="000000"/>
          <w:sz w:val="22"/>
          <w:szCs w:val="22"/>
        </w:rPr>
        <w:t>foreign stakeholder</w:t>
      </w:r>
      <w:r w:rsidRPr="005323E4">
        <w:rPr>
          <w:color w:val="000000"/>
          <w:sz w:val="22"/>
          <w:szCs w:val="22"/>
        </w:rPr>
        <w:t> in that company.</w:t>
      </w:r>
    </w:p>
    <w:p w14:paraId="3D2FEBDB" w14:textId="77777777" w:rsidR="00036ED9" w:rsidRPr="005323E4" w:rsidRDefault="00036ED9" w:rsidP="00036ED9">
      <w:pPr>
        <w:pStyle w:val="acthead4"/>
        <w:shd w:val="clear" w:color="auto" w:fill="FFFFFF"/>
        <w:spacing w:before="220" w:beforeAutospacing="0" w:after="0" w:afterAutospacing="0"/>
        <w:ind w:left="1134" w:hanging="1134"/>
        <w:rPr>
          <w:b/>
          <w:bCs/>
          <w:color w:val="000000"/>
          <w:sz w:val="26"/>
          <w:szCs w:val="26"/>
        </w:rPr>
      </w:pPr>
      <w:bookmarkStart w:id="35" w:name="_Toc524959756"/>
      <w:r w:rsidRPr="005323E4">
        <w:rPr>
          <w:rStyle w:val="charsubdno"/>
          <w:b/>
          <w:bCs/>
          <w:color w:val="000000"/>
          <w:sz w:val="26"/>
          <w:szCs w:val="26"/>
        </w:rPr>
        <w:t>Subdivision B</w:t>
      </w:r>
      <w:r w:rsidRPr="005323E4">
        <w:rPr>
          <w:b/>
          <w:bCs/>
          <w:color w:val="000000"/>
          <w:sz w:val="26"/>
          <w:szCs w:val="26"/>
        </w:rPr>
        <w:t>—</w:t>
      </w:r>
      <w:r w:rsidRPr="005323E4">
        <w:rPr>
          <w:rStyle w:val="charsubdtext"/>
          <w:b/>
          <w:bCs/>
          <w:color w:val="000000"/>
          <w:sz w:val="26"/>
          <w:szCs w:val="26"/>
        </w:rPr>
        <w:t>Register of Foreign Owners of Media Assets</w:t>
      </w:r>
      <w:bookmarkEnd w:id="35"/>
    </w:p>
    <w:p w14:paraId="7278048D"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36" w:name="_Toc524959757"/>
      <w:r w:rsidRPr="005323E4">
        <w:rPr>
          <w:rStyle w:val="charsectno"/>
          <w:b/>
          <w:bCs/>
          <w:color w:val="000000"/>
        </w:rPr>
        <w:t>74D</w:t>
      </w:r>
      <w:r w:rsidRPr="005323E4">
        <w:rPr>
          <w:b/>
          <w:bCs/>
          <w:color w:val="000000"/>
        </w:rPr>
        <w:t>  Register of Foreign Owners of Media Assets</w:t>
      </w:r>
      <w:bookmarkEnd w:id="36"/>
    </w:p>
    <w:p w14:paraId="015386D1"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After the end of the initial disclosure period, the ACMA is to maintain a register, to be known as the Register of Foreign Owners of Media Assets.</w:t>
      </w:r>
    </w:p>
    <w:p w14:paraId="7C67C17C"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Register of Foreign Owners of Media Assets is to be maintained by electronic means.</w:t>
      </w:r>
    </w:p>
    <w:p w14:paraId="3376AFC7"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The Register of Foreign Owners of Media Assets is to be made available for inspection on the internet.</w:t>
      </w:r>
    </w:p>
    <w:p w14:paraId="6B4242BA"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(4)  The Register of Foreign Owners of Media Assets is not a legislative instrument.</w:t>
      </w:r>
    </w:p>
    <w:p w14:paraId="6806C6D0" w14:textId="77777777" w:rsidR="00036ED9" w:rsidRPr="005323E4" w:rsidRDefault="00036ED9" w:rsidP="00AC35C1">
      <w:pPr>
        <w:pStyle w:val="acthead5"/>
        <w:keepNext/>
        <w:shd w:val="clear" w:color="auto" w:fill="FFFFFF"/>
        <w:spacing w:before="280" w:beforeAutospacing="0" w:after="0" w:afterAutospacing="0"/>
        <w:ind w:left="1134" w:hanging="1134"/>
        <w:rPr>
          <w:b/>
          <w:bCs/>
          <w:color w:val="000000"/>
        </w:rPr>
      </w:pPr>
      <w:bookmarkStart w:id="37" w:name="_Toc524959758"/>
      <w:r w:rsidRPr="005323E4">
        <w:rPr>
          <w:rStyle w:val="charsectno"/>
          <w:b/>
          <w:bCs/>
          <w:color w:val="000000"/>
        </w:rPr>
        <w:lastRenderedPageBreak/>
        <w:t>74E</w:t>
      </w:r>
      <w:r w:rsidRPr="005323E4">
        <w:rPr>
          <w:b/>
          <w:bCs/>
          <w:color w:val="000000"/>
        </w:rPr>
        <w:t>  Information to be set out in the Register of Foreign Owners of Media Assets</w:t>
      </w:r>
      <w:bookmarkEnd w:id="37"/>
    </w:p>
    <w:p w14:paraId="67061378"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The Register of Foreign Owners of Media Assets must set out, for each Australian media company, the following information about each foreign stakeholder in the company:</w:t>
      </w:r>
    </w:p>
    <w:p w14:paraId="6F25D0BC"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the name of the foreign stakeholder;</w:t>
      </w:r>
    </w:p>
    <w:p w14:paraId="18C5BCF4"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the foreign stakeholder’s company interests in the company;</w:t>
      </w:r>
    </w:p>
    <w:p w14:paraId="74EE8B78"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the method used to determine those company interests;</w:t>
      </w:r>
    </w:p>
    <w:p w14:paraId="7E696896"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(d)  the reason why the foreign stakeholder is a foreign person;</w:t>
      </w:r>
    </w:p>
    <w:p w14:paraId="2CDE3535"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(e)  if the foreign stakeholder is an individual—the country in which the foreign stakeholder is ordinarily resident;</w:t>
      </w:r>
    </w:p>
    <w:p w14:paraId="63AC0FB0"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(f)  if the foreign stakeholder is a corporation—the country in which the corporation was formed;</w:t>
      </w:r>
    </w:p>
    <w:p w14:paraId="5AE2C02E"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(g)  if the foreign stakeholder is a trustee of a trust:</w:t>
      </w:r>
    </w:p>
    <w:p w14:paraId="47F39E78"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name of the trust; and</w:t>
      </w:r>
    </w:p>
    <w:p w14:paraId="681341CD"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the country in which the trust was established;</w:t>
      </w:r>
    </w:p>
    <w:p w14:paraId="45D03801"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(h)  if the foreign stakeholder is a foreign government investor as the result of the application of paragraph 17(a) of the </w:t>
      </w:r>
      <w:r w:rsidRPr="005323E4">
        <w:rPr>
          <w:i/>
          <w:iCs/>
          <w:color w:val="000000"/>
          <w:sz w:val="22"/>
          <w:szCs w:val="22"/>
        </w:rPr>
        <w:t>Foreign Acquisitions and Takeovers Regulation 2015</w:t>
      </w:r>
      <w:r w:rsidRPr="005323E4">
        <w:rPr>
          <w:color w:val="000000"/>
          <w:sz w:val="22"/>
          <w:szCs w:val="22"/>
        </w:rPr>
        <w:t> to a separate government entity of a foreign country or a part of a foreign country—the foreign country or the part of the foreign country, as the case may be;</w:t>
      </w:r>
    </w:p>
    <w:p w14:paraId="600152BB"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(i)  if the foreign stakeholder is a foreign government investor wholly or partly as the result of the application of paragraph 17(b), (c), (d) or (e) of the </w:t>
      </w:r>
      <w:r w:rsidRPr="005323E4">
        <w:rPr>
          <w:i/>
          <w:iCs/>
          <w:color w:val="000000"/>
          <w:sz w:val="22"/>
          <w:szCs w:val="22"/>
        </w:rPr>
        <w:t>Foreign Acquisitions and Takeovers Regulation 2015</w:t>
      </w:r>
      <w:r w:rsidRPr="005323E4">
        <w:rPr>
          <w:color w:val="000000"/>
          <w:sz w:val="22"/>
          <w:szCs w:val="22"/>
        </w:rPr>
        <w:t> to a foreign government—the foreign government;</w:t>
      </w:r>
    </w:p>
    <w:p w14:paraId="2DCFBE01"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(j)  if the foreign stakeholder is a foreign government investor wholly or partly as the result of the application of paragraph 17(b), (c), (d) or (e) of the </w:t>
      </w:r>
      <w:r w:rsidRPr="005323E4">
        <w:rPr>
          <w:i/>
          <w:iCs/>
          <w:color w:val="000000"/>
          <w:sz w:val="22"/>
          <w:szCs w:val="22"/>
        </w:rPr>
        <w:t>Foreign Acquisitions and Takeovers Regulation 2015</w:t>
      </w:r>
      <w:r w:rsidRPr="005323E4">
        <w:rPr>
          <w:color w:val="000000"/>
          <w:sz w:val="22"/>
          <w:szCs w:val="22"/>
        </w:rPr>
        <w:t> to a separate government entity of a foreign country or a part of a foreign country—the foreign country or the part of the foreign country, as the case may be.</w:t>
      </w:r>
    </w:p>
    <w:p w14:paraId="15B8FFB0" w14:textId="77777777" w:rsidR="00036ED9" w:rsidRPr="005323E4" w:rsidRDefault="00036ED9" w:rsidP="00036ED9">
      <w:pPr>
        <w:pStyle w:val="subsection"/>
        <w:shd w:val="clear" w:color="auto" w:fill="FFFFFF"/>
        <w:spacing w:before="180" w:beforeAutospacing="0" w:after="0" w:afterAutospacing="0"/>
        <w:ind w:left="1134" w:hanging="1134"/>
        <w:rPr>
          <w:rStyle w:val="charsubdno"/>
        </w:rPr>
      </w:pPr>
      <w:r w:rsidRPr="005323E4">
        <w:rPr>
          <w:color w:val="000000"/>
          <w:sz w:val="22"/>
          <w:szCs w:val="22"/>
        </w:rPr>
        <w:t>             (2)  Despite subsection (1), the Register of Foreign Owners of Media Assets must not set out particular information if the ACMA is satisfied that disclosure of the information could reasonably be expected to prejudice materially the commercial interests of a person.</w:t>
      </w:r>
      <w:bookmarkStart w:id="38" w:name="_Toc524959759"/>
    </w:p>
    <w:p w14:paraId="7535B5D0" w14:textId="77777777" w:rsidR="00036ED9" w:rsidRPr="005323E4" w:rsidRDefault="00036ED9" w:rsidP="00036ED9">
      <w:pPr>
        <w:pStyle w:val="acthead4"/>
        <w:shd w:val="clear" w:color="auto" w:fill="FFFFFF"/>
        <w:spacing w:before="220" w:beforeAutospacing="0" w:after="0" w:afterAutospacing="0"/>
        <w:ind w:left="1134" w:hanging="1134"/>
        <w:rPr>
          <w:b/>
          <w:bCs/>
          <w:sz w:val="26"/>
          <w:szCs w:val="26"/>
        </w:rPr>
      </w:pPr>
      <w:r w:rsidRPr="005323E4">
        <w:rPr>
          <w:rStyle w:val="charsubdno"/>
          <w:b/>
          <w:bCs/>
          <w:color w:val="000000"/>
          <w:sz w:val="26"/>
          <w:szCs w:val="26"/>
        </w:rPr>
        <w:t>Subdivision C</w:t>
      </w:r>
      <w:r w:rsidRPr="005323E4">
        <w:rPr>
          <w:b/>
          <w:bCs/>
          <w:color w:val="000000"/>
          <w:sz w:val="26"/>
          <w:szCs w:val="26"/>
        </w:rPr>
        <w:t>—</w:t>
      </w:r>
      <w:r w:rsidRPr="005323E4">
        <w:rPr>
          <w:rStyle w:val="charsubdtext"/>
          <w:b/>
          <w:bCs/>
          <w:color w:val="000000"/>
          <w:sz w:val="26"/>
          <w:szCs w:val="26"/>
        </w:rPr>
        <w:t>Notification</w:t>
      </w:r>
      <w:bookmarkEnd w:id="38"/>
    </w:p>
    <w:p w14:paraId="288CD337"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39" w:name="_Toc524959760"/>
      <w:r w:rsidRPr="005323E4">
        <w:rPr>
          <w:rStyle w:val="charsectno"/>
          <w:b/>
          <w:bCs/>
          <w:color w:val="000000"/>
        </w:rPr>
        <w:t>74F</w:t>
      </w:r>
      <w:r w:rsidRPr="005323E4">
        <w:rPr>
          <w:b/>
          <w:bCs/>
          <w:color w:val="000000"/>
        </w:rPr>
        <w:t>  Notification by a person who becomes a foreign stakeholder in an Australian media company</w:t>
      </w:r>
      <w:bookmarkEnd w:id="39"/>
    </w:p>
    <w:p w14:paraId="3D8FB920"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If a person who was not a foreign stakeholder in a particular Australian media company becomes a foreign stakeholder in the company at a particular time, the person must, within 30 days after that time, notify the ACMA in writing of:</w:t>
      </w:r>
    </w:p>
    <w:p w14:paraId="4DBDD9C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the person’s name; and</w:t>
      </w:r>
    </w:p>
    <w:p w14:paraId="0758FA12"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the circumstances that resulted in the person becoming a foreign stakeholder in the company; and</w:t>
      </w:r>
    </w:p>
    <w:p w14:paraId="7B7E364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the person’s company interests in the company; and</w:t>
      </w:r>
    </w:p>
    <w:p w14:paraId="33F5A61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(d)  the method used to determine those company interests; and</w:t>
      </w:r>
    </w:p>
    <w:p w14:paraId="71F1F89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(e)  the reason why the person is a foreign person; and</w:t>
      </w:r>
    </w:p>
    <w:p w14:paraId="6ADB1EE2"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(f)  the designated information relating to the person; and</w:t>
      </w:r>
    </w:p>
    <w:p w14:paraId="733CB684"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lastRenderedPageBreak/>
        <w:t>                     (g)  such other information (if any) relating to the person as is specified under subsection (2).</w:t>
      </w:r>
    </w:p>
    <w:p w14:paraId="7B32CDE0"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ACMA may, by legislative instrument, specify information for the purposes of paragraph (1)(g).</w:t>
      </w:r>
    </w:p>
    <w:p w14:paraId="6711082D"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Civil penalty provision</w:t>
      </w:r>
    </w:p>
    <w:p w14:paraId="1373A5A7"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Subsection (1) is a civil penalty provision.</w:t>
      </w:r>
    </w:p>
    <w:p w14:paraId="56A6C272"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(4)  A person who contravenes subsection (1) commits a separate contravention of that subsection in respect of each day (including a day of the making of a relevant civil penalty order or any subsequent day) during which the contravention continues.</w:t>
      </w:r>
    </w:p>
    <w:p w14:paraId="567E73E4"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Designated infringement notice provision</w:t>
      </w:r>
    </w:p>
    <w:p w14:paraId="4C30E1EC"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(5)  Subsection (1) is a designated infringement notice provision.</w:t>
      </w:r>
    </w:p>
    <w:p w14:paraId="0A57EA63"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Self</w:t>
      </w:r>
      <w:r w:rsidRPr="005323E4">
        <w:rPr>
          <w:i/>
          <w:iCs/>
          <w:color w:val="000000"/>
          <w:sz w:val="22"/>
          <w:szCs w:val="22"/>
        </w:rPr>
        <w:noBreakHyphen/>
        <w:t>incrimination</w:t>
      </w:r>
    </w:p>
    <w:p w14:paraId="69C78EA9"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(6)  A person is not required to notify information under subsection (1) if the information might tend to incriminate the person or expose the person to a penalty.</w:t>
      </w:r>
    </w:p>
    <w:p w14:paraId="27B8DA2A"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0" w:name="_Toc524959761"/>
      <w:r w:rsidRPr="005323E4">
        <w:rPr>
          <w:rStyle w:val="charsectno"/>
          <w:b/>
          <w:bCs/>
          <w:color w:val="000000"/>
        </w:rPr>
        <w:t>74G</w:t>
      </w:r>
      <w:r w:rsidRPr="005323E4">
        <w:rPr>
          <w:b/>
          <w:bCs/>
          <w:color w:val="000000"/>
        </w:rPr>
        <w:t>  Notification by a person who ceases to be a foreign stakeholder in an Australian media company</w:t>
      </w:r>
      <w:bookmarkEnd w:id="40"/>
    </w:p>
    <w:p w14:paraId="79963EE4"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If a person who was a foreign stakeholder in an Australian media company has ceased to be a foreign stakeholder in the company, the person must, within 30 days after the cessation, notify the ACMA in writing of:</w:t>
      </w:r>
    </w:p>
    <w:p w14:paraId="13F7B587"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the cessation; and</w:t>
      </w:r>
    </w:p>
    <w:p w14:paraId="20FBC9E5"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the circumstances that resulted in the cessation.</w:t>
      </w:r>
    </w:p>
    <w:p w14:paraId="767D2576"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Civil penalty provision</w:t>
      </w:r>
    </w:p>
    <w:p w14:paraId="3A1326D0"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Subsection (1) is a civil penalty provision.</w:t>
      </w:r>
    </w:p>
    <w:p w14:paraId="0BC4D8A6"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A person who contravenes subsection (1) commits a separate contravention of that subsection in respect of each day (including a day of the making of a relevant civil penalty order or any subsequent day) during which the contravention continues.</w:t>
      </w:r>
    </w:p>
    <w:p w14:paraId="19B81F0A"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Designated infringement notice provision</w:t>
      </w:r>
    </w:p>
    <w:p w14:paraId="478B8817"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(4)  Subsection (1) is a designated infringement notice provision.</w:t>
      </w:r>
    </w:p>
    <w:p w14:paraId="4EF0C2CE"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Self</w:t>
      </w:r>
      <w:r w:rsidRPr="005323E4">
        <w:rPr>
          <w:i/>
          <w:iCs/>
          <w:color w:val="000000"/>
          <w:sz w:val="22"/>
          <w:szCs w:val="22"/>
        </w:rPr>
        <w:noBreakHyphen/>
        <w:t>incrimination</w:t>
      </w:r>
    </w:p>
    <w:p w14:paraId="056E3A9F"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(5)  A person is not required to notify information under subsection (1) if the information might tend to incriminate the person or expose the person to a penalty.</w:t>
      </w:r>
    </w:p>
    <w:p w14:paraId="70CB9ACF"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1" w:name="_Toc524959762"/>
      <w:r w:rsidRPr="005323E4">
        <w:rPr>
          <w:rStyle w:val="charsectno"/>
          <w:b/>
          <w:bCs/>
          <w:color w:val="000000"/>
        </w:rPr>
        <w:t>74H</w:t>
      </w:r>
      <w:r w:rsidRPr="005323E4">
        <w:rPr>
          <w:b/>
          <w:bCs/>
          <w:color w:val="000000"/>
        </w:rPr>
        <w:t>  Notification by a person who is a foreign stakeholder in an Australian media company at the end of a financial year</w:t>
      </w:r>
      <w:bookmarkEnd w:id="41"/>
    </w:p>
    <w:p w14:paraId="4DFEE81E"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If, at the end of a financial year, a person is a foreign stakeholder in an Australian media company, the person must, within 30 days after the end of the financial year, notify the ACMA in writing of:</w:t>
      </w:r>
    </w:p>
    <w:p w14:paraId="471B968C"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the person’s name; and</w:t>
      </w:r>
    </w:p>
    <w:p w14:paraId="086B55ED"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lastRenderedPageBreak/>
        <w:t>                     (b)  the circumstances that resulted in the person being a foreign stakeholder in the company at the end of the financial year; and</w:t>
      </w:r>
    </w:p>
    <w:p w14:paraId="18CC0924"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the person’s company interests in the company at the end of the financial year; and</w:t>
      </w:r>
    </w:p>
    <w:p w14:paraId="66876BB7"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(d)  the method used to determine those company interests; and</w:t>
      </w:r>
    </w:p>
    <w:p w14:paraId="743C29D0"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(e)  the reason why the person was a foreign person at the end of the financial year; and</w:t>
      </w:r>
    </w:p>
    <w:p w14:paraId="431D04B4"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(f)  the designated information relating to the person; and</w:t>
      </w:r>
    </w:p>
    <w:p w14:paraId="4B4A35D9"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(g)  such other information (if any) relating to the person as is specified under subsection (2).</w:t>
      </w:r>
    </w:p>
    <w:p w14:paraId="7900921B"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ACMA may, by legislative instrument, specify information for the purposes of paragraph (1)(g).</w:t>
      </w:r>
    </w:p>
    <w:p w14:paraId="25F21291"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Civil penalty provision</w:t>
      </w:r>
    </w:p>
    <w:p w14:paraId="52BF08C9"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Subsection (1) is a civil penalty provision.</w:t>
      </w:r>
    </w:p>
    <w:p w14:paraId="05C0E522"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(4)  A person who contravenes subsection (1) commits a separate contravention of that subsection in respect of each day (including a day of the making of a relevant civil penalty order or any subsequent day) during which the contravention continues.</w:t>
      </w:r>
    </w:p>
    <w:p w14:paraId="54230239"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Designated infringement notice provision</w:t>
      </w:r>
    </w:p>
    <w:p w14:paraId="5E191960"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(5)  Subsection (1) is a designated infringement notice provision.</w:t>
      </w:r>
    </w:p>
    <w:p w14:paraId="03EF5B75"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Self</w:t>
      </w:r>
      <w:r w:rsidRPr="005323E4">
        <w:rPr>
          <w:i/>
          <w:iCs/>
          <w:color w:val="000000"/>
          <w:sz w:val="22"/>
          <w:szCs w:val="22"/>
        </w:rPr>
        <w:noBreakHyphen/>
        <w:t>incrimination</w:t>
      </w:r>
    </w:p>
    <w:p w14:paraId="10945A58"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(6)  A person is not required to notify information under subsection (1) if the information might tend to incriminate the person or expose the person to a penalty.</w:t>
      </w:r>
    </w:p>
    <w:p w14:paraId="265A9658"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2" w:name="_Toc524959763"/>
      <w:r w:rsidRPr="005323E4">
        <w:rPr>
          <w:rStyle w:val="charsectno"/>
          <w:b/>
          <w:bCs/>
          <w:color w:val="000000"/>
        </w:rPr>
        <w:t>74J</w:t>
      </w:r>
      <w:r w:rsidRPr="005323E4">
        <w:rPr>
          <w:b/>
          <w:bCs/>
          <w:color w:val="000000"/>
        </w:rPr>
        <w:t>  Notification by a person who is a foreign stakeholder in an Australian media company at the commencement of this Division</w:t>
      </w:r>
      <w:bookmarkEnd w:id="42"/>
    </w:p>
    <w:p w14:paraId="7C468688"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If, at the commencement of this Division, a person is a foreign stakeholder in an Australian media company, the person must, within the initial disclosure period, notify the ACMA in writing of:</w:t>
      </w:r>
    </w:p>
    <w:p w14:paraId="38A40412"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the person’s name; and</w:t>
      </w:r>
    </w:p>
    <w:p w14:paraId="073CF957"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the circumstances that resulted in the person being a foreign stakeholder in the company at the commencement of this Division; and</w:t>
      </w:r>
    </w:p>
    <w:p w14:paraId="49362711"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the person’s company interests in the company at the commencement of this Division; and</w:t>
      </w:r>
    </w:p>
    <w:p w14:paraId="3D859450"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(d)  the method used to determine those company interests; and</w:t>
      </w:r>
    </w:p>
    <w:p w14:paraId="4897926F"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(e)  the reason why the person was a foreign person at the commencement of this Division; and</w:t>
      </w:r>
    </w:p>
    <w:p w14:paraId="79D99033"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(f)  the designated information relating to the person; and</w:t>
      </w:r>
    </w:p>
    <w:p w14:paraId="2A7DF99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(g)  such other information (if any) relating to the person as is specified under subsection (2).</w:t>
      </w:r>
    </w:p>
    <w:p w14:paraId="3DDD5333"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ACMA may, by legislative instrument, specify information for the purposes of paragraph (1)(g).</w:t>
      </w:r>
    </w:p>
    <w:p w14:paraId="6ECDA597"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Civil penalty provision</w:t>
      </w:r>
    </w:p>
    <w:p w14:paraId="6256786E"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Subsection (1) is a civil penalty provision.</w:t>
      </w:r>
    </w:p>
    <w:p w14:paraId="2A57076D"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lastRenderedPageBreak/>
        <w:t>             (4)  A person who contravenes subsection (1) commits a separate contravention of that subsection in respect of each day (including a day of the making of a relevant civil penalty order or any subsequent day) during which the contravention continues.</w:t>
      </w:r>
    </w:p>
    <w:p w14:paraId="67C4B6EA"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Designated infringement notice provision</w:t>
      </w:r>
    </w:p>
    <w:p w14:paraId="00AA1271"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(5)  Subsection (1) is a designated infringement notice provision.</w:t>
      </w:r>
    </w:p>
    <w:p w14:paraId="4D6C154B"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Self</w:t>
      </w:r>
      <w:r w:rsidRPr="005323E4">
        <w:rPr>
          <w:i/>
          <w:iCs/>
          <w:color w:val="000000"/>
          <w:sz w:val="22"/>
          <w:szCs w:val="22"/>
        </w:rPr>
        <w:noBreakHyphen/>
        <w:t>incrimination</w:t>
      </w:r>
    </w:p>
    <w:p w14:paraId="4679C233"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(6)  A person is not required to notify information under subsection (1) if the information might tend to incriminate the person or expose the person to a penalty.</w:t>
      </w:r>
    </w:p>
    <w:p w14:paraId="481C0434"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3" w:name="_Toc524959764"/>
      <w:r w:rsidRPr="005323E4">
        <w:rPr>
          <w:rStyle w:val="charsectno"/>
          <w:b/>
          <w:bCs/>
          <w:color w:val="000000"/>
        </w:rPr>
        <w:t>74K</w:t>
      </w:r>
      <w:r w:rsidRPr="005323E4">
        <w:rPr>
          <w:b/>
          <w:bCs/>
          <w:color w:val="000000"/>
        </w:rPr>
        <w:t>  Notification by a person who is a foreign stakeholder in an Australian media company—requirement by the ACMA</w:t>
      </w:r>
      <w:bookmarkEnd w:id="43"/>
    </w:p>
    <w:p w14:paraId="75DA2B62"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The ACMA may, by written notice given to a foreign stakeholder in an Australian media company, require the foreign stakeholder to:</w:t>
      </w:r>
    </w:p>
    <w:p w14:paraId="4DBF4F67"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notify the ACMA of:</w:t>
      </w:r>
    </w:p>
    <w:p w14:paraId="3F56058C"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foreign stakeholder’s company interests in the company; and</w:t>
      </w:r>
    </w:p>
    <w:p w14:paraId="621FB19C"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the method used to determine those company interests; and</w:t>
      </w:r>
    </w:p>
    <w:p w14:paraId="74EDA122"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(iii)  such other information (if any) relating to the foreign stakeholder as is specified under subsection (2); and</w:t>
      </w:r>
    </w:p>
    <w:p w14:paraId="5B4B9208"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do so within the period specified in the notice.</w:t>
      </w:r>
    </w:p>
    <w:p w14:paraId="7D2E2055"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ACMA may, by legislative instrument, specify information for the purposes of subparagraph (1)(a)(iii).</w:t>
      </w:r>
    </w:p>
    <w:p w14:paraId="6D9B5E81"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A period specified under paragraph (1)(b) must not be shorter than 14 days after the notice is given.</w:t>
      </w:r>
    </w:p>
    <w:p w14:paraId="7C855DFD"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Civil penalty provision</w:t>
      </w:r>
    </w:p>
    <w:p w14:paraId="2373BF1A"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(4)  Subsection (1) is a civil penalty provision.</w:t>
      </w:r>
    </w:p>
    <w:p w14:paraId="2A771C97"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(5)  A person who contravenes subsection (1) commits a separate contravention of that subsection in respect of each day (including a day of the making of a relevant civil penalty order or any subsequent day) during which the contravention continues.</w:t>
      </w:r>
    </w:p>
    <w:p w14:paraId="3690A605"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Designated infringement notice provision</w:t>
      </w:r>
    </w:p>
    <w:p w14:paraId="663DED7F"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(6)  Subsection (1) is a designated infringement notice provision.</w:t>
      </w:r>
    </w:p>
    <w:p w14:paraId="70CD1F9D"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Self</w:t>
      </w:r>
      <w:r w:rsidRPr="005323E4">
        <w:rPr>
          <w:i/>
          <w:iCs/>
          <w:color w:val="000000"/>
          <w:sz w:val="22"/>
          <w:szCs w:val="22"/>
        </w:rPr>
        <w:noBreakHyphen/>
        <w:t>incrimination</w:t>
      </w:r>
    </w:p>
    <w:p w14:paraId="0842BB41"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(7)  A person is not required to notify information under subsection (1) if the information might tend to incriminate the person or expose the person to a penalty.</w:t>
      </w:r>
    </w:p>
    <w:p w14:paraId="031671C7"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4" w:name="_Toc524959765"/>
      <w:r w:rsidRPr="005323E4">
        <w:rPr>
          <w:rStyle w:val="charsectno"/>
          <w:b/>
          <w:bCs/>
          <w:color w:val="000000"/>
        </w:rPr>
        <w:t>74L</w:t>
      </w:r>
      <w:r w:rsidRPr="005323E4">
        <w:rPr>
          <w:b/>
          <w:bCs/>
          <w:color w:val="000000"/>
        </w:rPr>
        <w:t>  Requirement for executors, administrators and liquidators to give notification</w:t>
      </w:r>
      <w:bookmarkEnd w:id="44"/>
    </w:p>
    <w:p w14:paraId="0F178582"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If a person who is required by subsection 74F(1), 74G(1), 74H(1), 74J(1) or 74K(1) to notify information dies before notifying the information, the executor or administrator of the person’s estate must notify the information in accordance with the subsection concerned.</w:t>
      </w:r>
    </w:p>
    <w:p w14:paraId="14699822"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lastRenderedPageBreak/>
        <w:t>             (2)  If a person who is required by subsection 74F(1), 74G(1), 74H(1), 74J(1) or 74K(1) to notify information is a corporation and is wound up before notifying the information, the liquidator of the corporation must notify the information in accordance with the subsection concerned.</w:t>
      </w:r>
    </w:p>
    <w:p w14:paraId="31FE1AE8"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5" w:name="_Toc524959766"/>
      <w:r w:rsidRPr="005323E4">
        <w:rPr>
          <w:rStyle w:val="charsectno"/>
          <w:b/>
          <w:bCs/>
          <w:color w:val="000000"/>
        </w:rPr>
        <w:t>74M</w:t>
      </w:r>
      <w:r w:rsidRPr="005323E4">
        <w:rPr>
          <w:b/>
          <w:bCs/>
          <w:color w:val="000000"/>
        </w:rPr>
        <w:t>  Person may give the ACMA relevant information</w:t>
      </w:r>
      <w:bookmarkEnd w:id="45"/>
    </w:p>
    <w:p w14:paraId="7C5B05DA"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A person may give the ACMA information that is relevant to the performance of the ACMA’s functions under this Division.</w:t>
      </w:r>
    </w:p>
    <w:p w14:paraId="4AFC78A7"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information may consist of, or include, personal information (within the meaning of the </w:t>
      </w:r>
      <w:r w:rsidRPr="005323E4">
        <w:rPr>
          <w:i/>
          <w:iCs/>
          <w:color w:val="000000"/>
          <w:sz w:val="22"/>
          <w:szCs w:val="22"/>
        </w:rPr>
        <w:t>Privacy Act 1988</w:t>
      </w:r>
      <w:r w:rsidRPr="005323E4">
        <w:rPr>
          <w:color w:val="000000"/>
          <w:sz w:val="22"/>
          <w:szCs w:val="22"/>
        </w:rPr>
        <w:t>).</w:t>
      </w:r>
    </w:p>
    <w:p w14:paraId="52AD6D44" w14:textId="77777777" w:rsidR="00036ED9" w:rsidRPr="005323E4" w:rsidRDefault="00036ED9" w:rsidP="00036ED9">
      <w:pPr>
        <w:pStyle w:val="acthead4"/>
        <w:shd w:val="clear" w:color="auto" w:fill="FFFFFF"/>
        <w:spacing w:before="220" w:beforeAutospacing="0" w:after="0" w:afterAutospacing="0"/>
        <w:ind w:left="1134" w:hanging="1134"/>
        <w:rPr>
          <w:b/>
          <w:bCs/>
          <w:color w:val="000000"/>
          <w:sz w:val="26"/>
          <w:szCs w:val="26"/>
        </w:rPr>
      </w:pPr>
      <w:bookmarkStart w:id="46" w:name="_Toc524959767"/>
      <w:r w:rsidRPr="005323E4">
        <w:rPr>
          <w:rStyle w:val="charsubdno"/>
          <w:b/>
          <w:bCs/>
          <w:color w:val="000000"/>
          <w:sz w:val="26"/>
          <w:szCs w:val="26"/>
        </w:rPr>
        <w:t>Subdivision D</w:t>
      </w:r>
      <w:r w:rsidRPr="005323E4">
        <w:rPr>
          <w:b/>
          <w:bCs/>
          <w:color w:val="000000"/>
          <w:sz w:val="26"/>
          <w:szCs w:val="26"/>
        </w:rPr>
        <w:t>—</w:t>
      </w:r>
      <w:r w:rsidRPr="005323E4">
        <w:rPr>
          <w:rStyle w:val="charsubdtext"/>
          <w:b/>
          <w:bCs/>
          <w:color w:val="000000"/>
          <w:sz w:val="26"/>
          <w:szCs w:val="26"/>
        </w:rPr>
        <w:t>Miscellaneous</w:t>
      </w:r>
      <w:bookmarkEnd w:id="46"/>
    </w:p>
    <w:p w14:paraId="6245B84C"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7" w:name="_Toc524959768"/>
      <w:r w:rsidRPr="005323E4">
        <w:rPr>
          <w:rStyle w:val="charsectno"/>
          <w:b/>
          <w:bCs/>
          <w:color w:val="000000"/>
        </w:rPr>
        <w:t>74N</w:t>
      </w:r>
      <w:r w:rsidRPr="005323E4">
        <w:rPr>
          <w:b/>
          <w:bCs/>
          <w:color w:val="000000"/>
        </w:rPr>
        <w:t>  Minister may direct the ACMA about the performance of its functions or the exercise of its powers</w:t>
      </w:r>
      <w:bookmarkEnd w:id="47"/>
    </w:p>
    <w:p w14:paraId="27BC1959"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The Minister may, by legislative instrument, give the ACMA a direction about the performance of the functions, or the exercise of the powers, conferred on the ACMA by this Division (other than section 74U).</w:t>
      </w:r>
    </w:p>
    <w:p w14:paraId="762527B9" w14:textId="77777777" w:rsidR="00036ED9" w:rsidRPr="005323E4" w:rsidRDefault="00036ED9" w:rsidP="00036ED9">
      <w:pPr>
        <w:pStyle w:val="notetext"/>
        <w:shd w:val="clear" w:color="auto" w:fill="FFFFFF"/>
        <w:spacing w:before="122" w:beforeAutospacing="0" w:after="0" w:afterAutospacing="0"/>
        <w:ind w:left="1985" w:hanging="851"/>
        <w:rPr>
          <w:color w:val="000000"/>
          <w:sz w:val="18"/>
          <w:szCs w:val="18"/>
        </w:rPr>
      </w:pPr>
      <w:r w:rsidRPr="005323E4">
        <w:rPr>
          <w:color w:val="000000"/>
          <w:sz w:val="18"/>
          <w:szCs w:val="18"/>
        </w:rPr>
        <w:t>Note:          Section 74U requires the ACMA to conduct a review of this Division.</w:t>
      </w:r>
    </w:p>
    <w:p w14:paraId="0A71CD7C"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ACMA must comply with a direction under subsection (1).</w:t>
      </w:r>
    </w:p>
    <w:p w14:paraId="4AE4C977"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48" w:name="_Toc524959769"/>
      <w:r w:rsidRPr="005323E4">
        <w:rPr>
          <w:rStyle w:val="charsectno"/>
          <w:b/>
          <w:bCs/>
          <w:color w:val="000000"/>
        </w:rPr>
        <w:t>74P</w:t>
      </w:r>
      <w:r w:rsidRPr="005323E4">
        <w:rPr>
          <w:b/>
          <w:bCs/>
          <w:color w:val="000000"/>
        </w:rPr>
        <w:t>  Service of summons, process or notice on corporations incorporated outside Australia</w:t>
      </w:r>
      <w:bookmarkEnd w:id="48"/>
    </w:p>
    <w:p w14:paraId="4611B5A5"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Scope</w:t>
      </w:r>
    </w:p>
    <w:p w14:paraId="3072457F"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This section applies to:</w:t>
      </w:r>
    </w:p>
    <w:p w14:paraId="2AE0E8B6"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a summons or process in any proceedings under, or connected with, this Division; or</w:t>
      </w:r>
    </w:p>
    <w:p w14:paraId="114C6437"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a notice under any other provision of this Act, so far as that provision relates to this Division;</w:t>
      </w:r>
    </w:p>
    <w:p w14:paraId="3AAD3A25" w14:textId="77777777" w:rsidR="00036ED9" w:rsidRPr="005323E4" w:rsidRDefault="00036ED9" w:rsidP="00036ED9">
      <w:pPr>
        <w:pStyle w:val="subsection2"/>
        <w:shd w:val="clear" w:color="auto" w:fill="FFFFFF"/>
        <w:spacing w:before="40" w:beforeAutospacing="0" w:after="0" w:afterAutospacing="0"/>
        <w:ind w:left="1134"/>
        <w:rPr>
          <w:color w:val="000000"/>
          <w:sz w:val="22"/>
          <w:szCs w:val="22"/>
        </w:rPr>
      </w:pPr>
      <w:r w:rsidRPr="005323E4">
        <w:rPr>
          <w:color w:val="000000"/>
          <w:sz w:val="22"/>
          <w:szCs w:val="22"/>
        </w:rPr>
        <w:t>where:</w:t>
      </w:r>
    </w:p>
    <w:p w14:paraId="229C5EB5"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(c)  the summons, process or notice, as the case may be, is required to be served on, or given to, a body corporate incorporated outside Australia; and</w:t>
      </w:r>
    </w:p>
    <w:p w14:paraId="63EA013F"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(d)  the body corporate does not have a registered office or a principal office in Australia; and</w:t>
      </w:r>
    </w:p>
    <w:p w14:paraId="233EB045"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(e)  the body corporate has an agent in Australia.</w:t>
      </w:r>
    </w:p>
    <w:p w14:paraId="36FD0D80" w14:textId="77777777" w:rsidR="00036ED9" w:rsidRPr="005323E4" w:rsidRDefault="00036ED9" w:rsidP="00036ED9">
      <w:pPr>
        <w:pStyle w:val="subsectionhead"/>
        <w:shd w:val="clear" w:color="auto" w:fill="FFFFFF"/>
        <w:spacing w:before="240" w:beforeAutospacing="0" w:after="0" w:afterAutospacing="0"/>
        <w:ind w:left="1134"/>
        <w:rPr>
          <w:i/>
          <w:iCs/>
          <w:color w:val="000000"/>
          <w:sz w:val="22"/>
          <w:szCs w:val="22"/>
        </w:rPr>
      </w:pPr>
      <w:r w:rsidRPr="005323E4">
        <w:rPr>
          <w:i/>
          <w:iCs/>
          <w:color w:val="000000"/>
          <w:sz w:val="22"/>
          <w:szCs w:val="22"/>
        </w:rPr>
        <w:t>Service</w:t>
      </w:r>
    </w:p>
    <w:p w14:paraId="24FBB773"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summons, process or notice, as the case may be, is taken to have been served on, or given to, the body corporate if it is served on, or given to, the agent.</w:t>
      </w:r>
    </w:p>
    <w:p w14:paraId="67B98959"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Subsection (2) has effect in addition to section 28A of the </w:t>
      </w:r>
      <w:r w:rsidRPr="005323E4">
        <w:rPr>
          <w:i/>
          <w:iCs/>
          <w:color w:val="000000"/>
          <w:sz w:val="22"/>
          <w:szCs w:val="22"/>
        </w:rPr>
        <w:t>Acts Interpretation Act 1901</w:t>
      </w:r>
      <w:r w:rsidRPr="005323E4">
        <w:rPr>
          <w:color w:val="000000"/>
          <w:sz w:val="22"/>
          <w:szCs w:val="22"/>
        </w:rPr>
        <w:t>.</w:t>
      </w:r>
    </w:p>
    <w:p w14:paraId="53D6FB9D" w14:textId="77777777" w:rsidR="00036ED9" w:rsidRPr="005323E4" w:rsidRDefault="00036ED9" w:rsidP="00036ED9">
      <w:pPr>
        <w:pStyle w:val="notetext"/>
        <w:shd w:val="clear" w:color="auto" w:fill="FFFFFF"/>
        <w:spacing w:before="122" w:beforeAutospacing="0" w:after="0" w:afterAutospacing="0"/>
        <w:ind w:left="1985" w:hanging="851"/>
        <w:rPr>
          <w:color w:val="000000"/>
          <w:sz w:val="18"/>
          <w:szCs w:val="18"/>
        </w:rPr>
      </w:pPr>
      <w:r w:rsidRPr="005323E4">
        <w:rPr>
          <w:color w:val="000000"/>
          <w:sz w:val="18"/>
          <w:szCs w:val="18"/>
        </w:rPr>
        <w:t>Note:          Section 28A of the </w:t>
      </w:r>
      <w:r w:rsidRPr="005323E4">
        <w:rPr>
          <w:i/>
          <w:iCs/>
          <w:color w:val="000000"/>
          <w:sz w:val="18"/>
          <w:szCs w:val="18"/>
        </w:rPr>
        <w:t>Acts Interpretation Act 1901</w:t>
      </w:r>
      <w:r w:rsidRPr="005323E4">
        <w:rPr>
          <w:color w:val="000000"/>
          <w:sz w:val="18"/>
          <w:szCs w:val="18"/>
        </w:rPr>
        <w:t> deals with the service of documents.</w:t>
      </w:r>
    </w:p>
    <w:p w14:paraId="797F9F88" w14:textId="77777777" w:rsidR="00036ED9" w:rsidRPr="005323E4" w:rsidRDefault="00036ED9" w:rsidP="00AC35C1">
      <w:pPr>
        <w:pStyle w:val="acthead5"/>
        <w:keepNext/>
        <w:shd w:val="clear" w:color="auto" w:fill="FFFFFF"/>
        <w:spacing w:before="280" w:beforeAutospacing="0" w:after="0" w:afterAutospacing="0"/>
        <w:ind w:left="1134" w:hanging="1134"/>
        <w:rPr>
          <w:b/>
          <w:bCs/>
          <w:color w:val="000000"/>
        </w:rPr>
      </w:pPr>
      <w:bookmarkStart w:id="49" w:name="_Toc524959770"/>
      <w:r w:rsidRPr="005323E4">
        <w:rPr>
          <w:rStyle w:val="charsectno"/>
          <w:b/>
          <w:bCs/>
          <w:color w:val="000000"/>
        </w:rPr>
        <w:lastRenderedPageBreak/>
        <w:t>74Q</w:t>
      </w:r>
      <w:r w:rsidRPr="005323E4">
        <w:rPr>
          <w:b/>
          <w:bCs/>
          <w:color w:val="000000"/>
        </w:rPr>
        <w:t>  Extra</w:t>
      </w:r>
      <w:r w:rsidRPr="005323E4">
        <w:rPr>
          <w:b/>
          <w:bCs/>
          <w:color w:val="000000"/>
        </w:rPr>
        <w:noBreakHyphen/>
        <w:t>territorial application</w:t>
      </w:r>
      <w:bookmarkEnd w:id="49"/>
    </w:p>
    <w:p w14:paraId="30181B05" w14:textId="77777777" w:rsidR="00036ED9" w:rsidRPr="005323E4" w:rsidRDefault="00036ED9" w:rsidP="00AC35C1">
      <w:pPr>
        <w:pStyle w:val="subsection"/>
        <w:keepNext/>
        <w:shd w:val="clear" w:color="auto" w:fill="FFFFFF"/>
        <w:spacing w:before="180" w:beforeAutospacing="0" w:after="0" w:afterAutospacing="0"/>
        <w:ind w:left="1134" w:hanging="1134"/>
        <w:rPr>
          <w:color w:val="000000"/>
          <w:sz w:val="22"/>
          <w:szCs w:val="22"/>
        </w:rPr>
      </w:pPr>
      <w:r w:rsidRPr="005323E4">
        <w:rPr>
          <w:color w:val="000000"/>
          <w:sz w:val="22"/>
          <w:szCs w:val="22"/>
        </w:rPr>
        <w:t>                   This Division extends to acts, omissions, matters and things outside Australia.</w:t>
      </w:r>
    </w:p>
    <w:p w14:paraId="27D156F9" w14:textId="77777777" w:rsidR="00036ED9" w:rsidRPr="005323E4" w:rsidRDefault="00036ED9" w:rsidP="00AC35C1">
      <w:pPr>
        <w:pStyle w:val="acthead5"/>
        <w:keepNext/>
        <w:shd w:val="clear" w:color="auto" w:fill="FFFFFF"/>
        <w:spacing w:before="280" w:beforeAutospacing="0" w:after="0" w:afterAutospacing="0"/>
        <w:ind w:left="1134" w:hanging="1134"/>
        <w:rPr>
          <w:b/>
          <w:bCs/>
          <w:color w:val="000000"/>
        </w:rPr>
      </w:pPr>
      <w:bookmarkStart w:id="50" w:name="_Toc524959771"/>
      <w:r w:rsidRPr="005323E4">
        <w:rPr>
          <w:rStyle w:val="charsectno"/>
          <w:b/>
          <w:bCs/>
          <w:color w:val="000000"/>
        </w:rPr>
        <w:t>74R</w:t>
      </w:r>
      <w:r w:rsidRPr="005323E4">
        <w:rPr>
          <w:b/>
          <w:bCs/>
          <w:color w:val="000000"/>
        </w:rPr>
        <w:t>  Annual report</w:t>
      </w:r>
      <w:bookmarkEnd w:id="50"/>
    </w:p>
    <w:p w14:paraId="2502653A" w14:textId="77777777" w:rsidR="00036ED9" w:rsidRPr="005323E4" w:rsidRDefault="00036ED9" w:rsidP="00AC35C1">
      <w:pPr>
        <w:pStyle w:val="subsection"/>
        <w:keepNext/>
        <w:shd w:val="clear" w:color="auto" w:fill="FFFFFF"/>
        <w:spacing w:before="180" w:beforeAutospacing="0" w:after="0" w:afterAutospacing="0"/>
        <w:ind w:left="1134" w:hanging="1134"/>
        <w:rPr>
          <w:color w:val="000000"/>
          <w:sz w:val="22"/>
          <w:szCs w:val="22"/>
        </w:rPr>
      </w:pPr>
      <w:r w:rsidRPr="005323E4">
        <w:rPr>
          <w:color w:val="000000"/>
          <w:sz w:val="22"/>
          <w:szCs w:val="22"/>
        </w:rPr>
        <w:t>             (1)  As soon as practicable after 30 July next following a financial year, the ACMA must:</w:t>
      </w:r>
    </w:p>
    <w:p w14:paraId="67F22295"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prepare a report about the company interests in Australian media companies that were held by foreign stakeholders at the end of the financial year; and</w:t>
      </w:r>
    </w:p>
    <w:p w14:paraId="4F259707"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give the report to the Minister.</w:t>
      </w:r>
    </w:p>
    <w:p w14:paraId="701FCCC5"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A report under subsection (1) may include the ACMA’s observations about trends relating to the company interests in Australian media companies that are held by foreign stakeholders.</w:t>
      </w:r>
    </w:p>
    <w:p w14:paraId="0EFF8A9F"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The Minister may cause a copy of a report under subsection (1) to be published on the Department’s website.</w:t>
      </w:r>
    </w:p>
    <w:p w14:paraId="7C759C59"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51" w:name="_Toc524959772"/>
      <w:r w:rsidRPr="005323E4">
        <w:rPr>
          <w:rStyle w:val="charsectno"/>
          <w:b/>
          <w:bCs/>
          <w:color w:val="000000"/>
        </w:rPr>
        <w:t>74S</w:t>
      </w:r>
      <w:r w:rsidRPr="005323E4">
        <w:rPr>
          <w:b/>
          <w:bCs/>
          <w:color w:val="000000"/>
        </w:rPr>
        <w:t>  Part 13 not limited</w:t>
      </w:r>
      <w:bookmarkEnd w:id="51"/>
    </w:p>
    <w:p w14:paraId="46FBF113"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This Division does not limit the operation of Part 13 (which confers certain investigative powers on the ACMA).</w:t>
      </w:r>
    </w:p>
    <w:p w14:paraId="4A5C51B9"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52" w:name="_Toc524959773"/>
      <w:r w:rsidRPr="005323E4">
        <w:rPr>
          <w:rStyle w:val="charsectno"/>
          <w:b/>
          <w:bCs/>
          <w:color w:val="000000"/>
        </w:rPr>
        <w:t>74T</w:t>
      </w:r>
      <w:r w:rsidRPr="005323E4">
        <w:rPr>
          <w:b/>
          <w:bCs/>
          <w:color w:val="000000"/>
        </w:rPr>
        <w:t>  Liability for damages</w:t>
      </w:r>
      <w:bookmarkEnd w:id="52"/>
    </w:p>
    <w:p w14:paraId="52B80EA8"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The Commonwealth, the ACMA, or an ACMA official, is not liable to an action or other proceeding for damages for, or in relation to, an act or matter in good faith done or omitted to be done:</w:t>
      </w:r>
    </w:p>
    <w:p w14:paraId="7A1724CF"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in the performance or purported performance of any function; or</w:t>
      </w:r>
    </w:p>
    <w:p w14:paraId="64EC1AF9"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in the exercise or purported exercise of any power;</w:t>
      </w:r>
    </w:p>
    <w:p w14:paraId="50D3B360" w14:textId="77777777" w:rsidR="00036ED9" w:rsidRPr="005323E4" w:rsidRDefault="00036ED9" w:rsidP="00036ED9">
      <w:pPr>
        <w:pStyle w:val="subsection2"/>
        <w:shd w:val="clear" w:color="auto" w:fill="FFFFFF"/>
        <w:spacing w:before="40" w:beforeAutospacing="0" w:after="0" w:afterAutospacing="0"/>
        <w:ind w:left="1134"/>
        <w:rPr>
          <w:color w:val="000000"/>
          <w:sz w:val="22"/>
          <w:szCs w:val="22"/>
        </w:rPr>
      </w:pPr>
      <w:r w:rsidRPr="005323E4">
        <w:rPr>
          <w:color w:val="000000"/>
          <w:sz w:val="22"/>
          <w:szCs w:val="22"/>
        </w:rPr>
        <w:t>conferred on the ACMA by Subdivision B.</w:t>
      </w:r>
    </w:p>
    <w:p w14:paraId="64953972" w14:textId="77777777" w:rsidR="00036ED9" w:rsidRPr="005323E4" w:rsidRDefault="00036ED9" w:rsidP="00036ED9">
      <w:pPr>
        <w:pStyle w:val="acthead5"/>
        <w:shd w:val="clear" w:color="auto" w:fill="FFFFFF"/>
        <w:spacing w:before="280" w:beforeAutospacing="0" w:after="0" w:afterAutospacing="0"/>
        <w:ind w:left="1134" w:hanging="1134"/>
        <w:rPr>
          <w:b/>
          <w:bCs/>
          <w:color w:val="000000"/>
        </w:rPr>
      </w:pPr>
      <w:bookmarkStart w:id="53" w:name="_Toc524959774"/>
      <w:r w:rsidRPr="005323E4">
        <w:rPr>
          <w:rStyle w:val="charsectno"/>
          <w:b/>
          <w:bCs/>
          <w:color w:val="000000"/>
        </w:rPr>
        <w:t>74U</w:t>
      </w:r>
      <w:r w:rsidRPr="005323E4">
        <w:rPr>
          <w:b/>
          <w:bCs/>
          <w:color w:val="000000"/>
        </w:rPr>
        <w:t>  Review of this Division etc.</w:t>
      </w:r>
      <w:bookmarkEnd w:id="53"/>
    </w:p>
    <w:p w14:paraId="4BC9C6DF"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(1)  The ACMA must:</w:t>
      </w:r>
    </w:p>
    <w:p w14:paraId="16DF278A"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(a)  conduct a review of the following matters:</w:t>
      </w:r>
    </w:p>
    <w:p w14:paraId="09FC9A66"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  the operation of this Division;</w:t>
      </w:r>
    </w:p>
    <w:p w14:paraId="3ABBF68C"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  the operation of the remaining provisions of this Act to the extent to which they relate to this Division;</w:t>
      </w:r>
    </w:p>
    <w:p w14:paraId="57EE3B3D"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(iii)  whether this Division should be amended;</w:t>
      </w:r>
    </w:p>
    <w:p w14:paraId="69637FF4" w14:textId="77777777" w:rsidR="00036ED9" w:rsidRPr="005323E4" w:rsidRDefault="00036ED9" w:rsidP="00036ED9">
      <w:pPr>
        <w:pStyle w:val="paragraphsub"/>
        <w:shd w:val="clear" w:color="auto" w:fill="FFFFFF"/>
        <w:spacing w:before="40" w:beforeAutospacing="0" w:after="0" w:afterAutospacing="0"/>
        <w:ind w:left="2098" w:hanging="2098"/>
        <w:rPr>
          <w:color w:val="000000"/>
          <w:sz w:val="22"/>
          <w:szCs w:val="22"/>
        </w:rPr>
      </w:pPr>
      <w:r w:rsidRPr="005323E4">
        <w:rPr>
          <w:color w:val="000000"/>
          <w:sz w:val="22"/>
          <w:szCs w:val="22"/>
        </w:rPr>
        <w:t>                            (iv)  whether the remaining provisions of this Act, to the extent to which they relate to this Division, should be amended; and</w:t>
      </w:r>
    </w:p>
    <w:p w14:paraId="2930A9F4" w14:textId="77777777" w:rsidR="00036ED9" w:rsidRPr="005323E4" w:rsidRDefault="00036ED9" w:rsidP="00036ED9">
      <w:pPr>
        <w:pStyle w:val="paragraph0"/>
        <w:shd w:val="clear" w:color="auto" w:fill="FFFFFF"/>
        <w:spacing w:before="40" w:beforeAutospacing="0" w:after="0" w:afterAutospacing="0"/>
        <w:ind w:left="1644" w:hanging="1644"/>
        <w:rPr>
          <w:color w:val="000000"/>
          <w:sz w:val="22"/>
          <w:szCs w:val="22"/>
        </w:rPr>
      </w:pPr>
      <w:r w:rsidRPr="005323E4">
        <w:rPr>
          <w:color w:val="000000"/>
          <w:sz w:val="22"/>
          <w:szCs w:val="22"/>
        </w:rPr>
        <w:t>                     (b)  do so as soon as practicable after the end of the 3</w:t>
      </w:r>
      <w:r w:rsidRPr="005323E4">
        <w:rPr>
          <w:color w:val="000000"/>
          <w:sz w:val="22"/>
          <w:szCs w:val="22"/>
        </w:rPr>
        <w:noBreakHyphen/>
        <w:t>year period that began at the end of the initial disclosure period.</w:t>
      </w:r>
    </w:p>
    <w:p w14:paraId="4AF4C836"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(2)  The ACMA must prepare a report of the review under subsection (1).</w:t>
      </w:r>
    </w:p>
    <w:p w14:paraId="2BB19FE7"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(3)  The ACMA must give the report to the Minister.</w:t>
      </w:r>
    </w:p>
    <w:p w14:paraId="5850240D" w14:textId="77777777" w:rsidR="00036ED9" w:rsidRPr="005323E4" w:rsidRDefault="00036ED9" w:rsidP="00036ED9">
      <w:pPr>
        <w:pStyle w:val="subsection"/>
        <w:shd w:val="clear" w:color="auto" w:fill="FFFFFF"/>
        <w:spacing w:before="180" w:beforeAutospacing="0" w:after="0" w:afterAutospacing="0"/>
        <w:ind w:left="1134" w:hanging="1134"/>
        <w:rPr>
          <w:color w:val="000000"/>
          <w:sz w:val="22"/>
          <w:szCs w:val="22"/>
        </w:rPr>
      </w:pPr>
      <w:r w:rsidRPr="005323E4">
        <w:rPr>
          <w:color w:val="000000"/>
          <w:sz w:val="22"/>
          <w:szCs w:val="22"/>
        </w:rPr>
        <w:t>             (4)  The Minister must cause copies of the report to be tabled in each House of the Parliament within 15 sitting days of that House after the day on which the Minister receives the report.</w:t>
      </w:r>
    </w:p>
    <w:p w14:paraId="039A9454" w14:textId="77777777" w:rsidR="00036ED9" w:rsidRPr="005323E4" w:rsidRDefault="00036ED9" w:rsidP="00036ED9"/>
    <w:p w14:paraId="5C3903F3" w14:textId="77777777" w:rsidR="00036ED9" w:rsidRPr="005323E4" w:rsidRDefault="00036ED9" w:rsidP="00AC35C1">
      <w:pPr>
        <w:keepNext/>
        <w:rPr>
          <w:rFonts w:cs="Arial"/>
          <w:sz w:val="24"/>
        </w:rPr>
      </w:pPr>
      <w:r w:rsidRPr="005323E4">
        <w:rPr>
          <w:rFonts w:cs="Arial"/>
          <w:sz w:val="24"/>
        </w:rPr>
        <w:lastRenderedPageBreak/>
        <w:t xml:space="preserve">Note: </w:t>
      </w:r>
    </w:p>
    <w:p w14:paraId="412F9FF1" w14:textId="6248C485" w:rsidR="00D91870" w:rsidRPr="005323E4" w:rsidRDefault="00036ED9" w:rsidP="00D70D80">
      <w:pPr>
        <w:pStyle w:val="Backgroundtext"/>
        <w:spacing w:after="0" w:line="240" w:lineRule="auto"/>
        <w:rPr>
          <w:rFonts w:ascii="Times New Roman" w:hAnsi="Times New Roman"/>
          <w:sz w:val="22"/>
          <w:szCs w:val="22"/>
        </w:rPr>
      </w:pPr>
      <w:r w:rsidRPr="005323E4">
        <w:rPr>
          <w:rFonts w:ascii="Times New Roman" w:hAnsi="Times New Roman"/>
          <w:b/>
          <w:i/>
          <w:sz w:val="22"/>
          <w:szCs w:val="22"/>
        </w:rPr>
        <w:t>penalty unit</w:t>
      </w:r>
      <w:r w:rsidRPr="005323E4">
        <w:rPr>
          <w:rFonts w:ascii="Times New Roman" w:hAnsi="Times New Roman"/>
          <w:sz w:val="22"/>
          <w:szCs w:val="22"/>
        </w:rPr>
        <w:t xml:space="preserve"> means the amount of $2</w:t>
      </w:r>
      <w:r w:rsidR="004C3578" w:rsidRPr="005323E4">
        <w:rPr>
          <w:rFonts w:ascii="Times New Roman" w:hAnsi="Times New Roman"/>
          <w:sz w:val="22"/>
          <w:szCs w:val="22"/>
        </w:rPr>
        <w:t>22</w:t>
      </w:r>
      <w:r w:rsidRPr="005323E4">
        <w:rPr>
          <w:rFonts w:ascii="Times New Roman" w:hAnsi="Times New Roman"/>
          <w:sz w:val="22"/>
          <w:szCs w:val="22"/>
        </w:rPr>
        <w:t xml:space="preserve"> (subject to indexation)</w:t>
      </w:r>
      <w:r w:rsidR="004C3578" w:rsidRPr="005323E4">
        <w:rPr>
          <w:rFonts w:ascii="Times New Roman" w:hAnsi="Times New Roman"/>
          <w:sz w:val="22"/>
          <w:szCs w:val="22"/>
        </w:rPr>
        <w:t xml:space="preserve"> </w:t>
      </w:r>
      <w:r w:rsidR="00D70D80" w:rsidRPr="005323E4">
        <w:rPr>
          <w:rFonts w:ascii="Times New Roman" w:hAnsi="Times New Roman"/>
          <w:sz w:val="22"/>
          <w:szCs w:val="22"/>
        </w:rPr>
        <w:t xml:space="preserve">as determined in accordance with </w:t>
      </w:r>
      <w:r w:rsidRPr="005323E4">
        <w:rPr>
          <w:rFonts w:ascii="Times New Roman" w:hAnsi="Times New Roman"/>
          <w:sz w:val="22"/>
          <w:szCs w:val="22"/>
        </w:rPr>
        <w:t xml:space="preserve">section 4AA of the </w:t>
      </w:r>
      <w:r w:rsidRPr="005323E4">
        <w:rPr>
          <w:rFonts w:ascii="Times New Roman" w:hAnsi="Times New Roman"/>
          <w:i/>
          <w:sz w:val="22"/>
          <w:szCs w:val="22"/>
        </w:rPr>
        <w:t xml:space="preserve">Crimes Act 1914 </w:t>
      </w:r>
      <w:r w:rsidRPr="005323E4">
        <w:rPr>
          <w:rFonts w:ascii="Times New Roman" w:hAnsi="Times New Roman"/>
          <w:sz w:val="22"/>
          <w:szCs w:val="22"/>
        </w:rPr>
        <w:t xml:space="preserve">(Cth)). </w:t>
      </w:r>
      <w:r w:rsidR="00D70D80" w:rsidRPr="005323E4">
        <w:rPr>
          <w:rFonts w:ascii="Times New Roman" w:hAnsi="Times New Roman"/>
          <w:sz w:val="22"/>
          <w:szCs w:val="22"/>
        </w:rPr>
        <w:t>The m</w:t>
      </w:r>
      <w:r w:rsidRPr="005323E4">
        <w:rPr>
          <w:rFonts w:ascii="Times New Roman" w:hAnsi="Times New Roman"/>
          <w:sz w:val="22"/>
          <w:szCs w:val="22"/>
        </w:rPr>
        <w:t>aximum pecuniary penalty</w:t>
      </w:r>
      <w:r w:rsidR="00D70D80" w:rsidRPr="005323E4">
        <w:rPr>
          <w:rFonts w:ascii="Times New Roman" w:hAnsi="Times New Roman"/>
          <w:sz w:val="22"/>
          <w:szCs w:val="22"/>
        </w:rPr>
        <w:t xml:space="preserve"> payable for a contravention of a notification provision in subsection 74F(1), 74G(1), 74H(1), 74J(1) or 74K(1) of Division 10A is set out in </w:t>
      </w:r>
      <w:r w:rsidRPr="005323E4">
        <w:rPr>
          <w:rFonts w:ascii="Times New Roman" w:hAnsi="Times New Roman"/>
          <w:sz w:val="22"/>
          <w:szCs w:val="22"/>
        </w:rPr>
        <w:t>subsection 205F(5AA) of the BSA.</w:t>
      </w:r>
    </w:p>
    <w:sectPr w:rsidR="00D91870" w:rsidRPr="005323E4" w:rsidSect="00BC6203">
      <w:headerReference w:type="even" r:id="rId38"/>
      <w:headerReference w:type="default" r:id="rId39"/>
      <w:footerReference w:type="even" r:id="rId40"/>
      <w:footerReference w:type="default" r:id="rId41"/>
      <w:headerReference w:type="first" r:id="rId42"/>
      <w:pgSz w:w="11906" w:h="16838" w:code="9"/>
      <w:pgMar w:top="1134" w:right="2834" w:bottom="993" w:left="1134" w:header="567" w:footer="24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E406" w14:textId="77777777" w:rsidR="007F1F64" w:rsidRDefault="007F1F64">
      <w:r>
        <w:separator/>
      </w:r>
    </w:p>
  </w:endnote>
  <w:endnote w:type="continuationSeparator" w:id="0">
    <w:p w14:paraId="7A7A2A1B" w14:textId="77777777" w:rsidR="007F1F64" w:rsidRDefault="007F1F64">
      <w:r>
        <w:continuationSeparator/>
      </w:r>
    </w:p>
  </w:endnote>
  <w:endnote w:type="continuationNotice" w:id="1">
    <w:p w14:paraId="296695AA" w14:textId="77777777" w:rsidR="007F1F64" w:rsidRDefault="007F1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D8C4" w14:textId="77777777" w:rsidR="005E250B" w:rsidRDefault="005E250B" w:rsidP="005E250B">
    <w:pPr>
      <w:pStyle w:val="Footer"/>
      <w:jc w:val="right"/>
    </w:pPr>
    <w:r w:rsidRPr="005E250B">
      <w:rPr>
        <w:noProof/>
        <w:vertAlign w:val="subscript"/>
      </w:rPr>
      <w:drawing>
        <wp:inline distT="0" distB="0" distL="0" distR="0" wp14:anchorId="3DC1765B" wp14:editId="41E64492">
          <wp:extent cx="1066800" cy="277368"/>
          <wp:effectExtent l="0" t="0" r="0" b="0"/>
          <wp:docPr id="3" name="Picture 3"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D74E"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BBE"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C02"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584AA1F0"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7AAE"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01304CD7"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C2F6"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7FF14FA9"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1509"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582FC246"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50E2"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7EF3AFE3"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9F2A2" w14:textId="77777777" w:rsidR="007F1F64" w:rsidRDefault="007F1F64" w:rsidP="00EA0969">
      <w:pPr>
        <w:spacing w:after="0"/>
      </w:pPr>
      <w:r>
        <w:separator/>
      </w:r>
    </w:p>
  </w:footnote>
  <w:footnote w:type="continuationSeparator" w:id="0">
    <w:p w14:paraId="40AE2A8B" w14:textId="77777777" w:rsidR="007F1F64" w:rsidRDefault="007F1F64">
      <w:r>
        <w:continuationSeparator/>
      </w:r>
    </w:p>
  </w:footnote>
  <w:footnote w:type="continuationNotice" w:id="1">
    <w:p w14:paraId="29698ABC" w14:textId="77777777" w:rsidR="007F1F64" w:rsidRDefault="007F1F64">
      <w:pPr>
        <w:spacing w:after="0" w:line="240" w:lineRule="auto"/>
      </w:pPr>
    </w:p>
  </w:footnote>
  <w:footnote w:id="2">
    <w:p w14:paraId="5B58A2AE" w14:textId="0A0E0AED" w:rsidR="00AA6407" w:rsidRPr="00A36C05" w:rsidRDefault="00AA6407" w:rsidP="00AA6407">
      <w:pPr>
        <w:pStyle w:val="FootnoteText"/>
        <w:ind w:left="142" w:hanging="142"/>
        <w:rPr>
          <w:spacing w:val="-3"/>
        </w:rPr>
      </w:pPr>
      <w:r w:rsidRPr="00A36C05">
        <w:rPr>
          <w:rStyle w:val="FootnoteReference"/>
          <w:spacing w:val="-3"/>
        </w:rPr>
        <w:footnoteRef/>
      </w:r>
      <w:r w:rsidRPr="00A36C05">
        <w:rPr>
          <w:spacing w:val="-3"/>
        </w:rPr>
        <w:t xml:space="preserve"> </w:t>
      </w:r>
      <w:r w:rsidRPr="00A36C05">
        <w:rPr>
          <w:spacing w:val="-3"/>
        </w:rPr>
        <w:tab/>
        <w:t xml:space="preserve">An ‘Australian media company’ is defined in section 74B of the BSA as a company that holds a commercial television or commercial radio broadcasting licence, or a company </w:t>
      </w:r>
      <w:r w:rsidR="00040C47">
        <w:rPr>
          <w:spacing w:val="-3"/>
        </w:rPr>
        <w:t>that</w:t>
      </w:r>
      <w:r w:rsidR="00040C47" w:rsidRPr="00A36C05">
        <w:rPr>
          <w:spacing w:val="-3"/>
        </w:rPr>
        <w:t xml:space="preserve"> </w:t>
      </w:r>
      <w:r w:rsidRPr="00A36C05">
        <w:rPr>
          <w:spacing w:val="-3"/>
        </w:rPr>
        <w:t>publishes a newspaper that is associated with the licence area of a commercial television or commercial radio broadcasting licence and is a constitutional corporation. The ACMA maintains the Associated Newspaper Register in accordance with section 59 of the BSA, which lists newspapers associated with licence areas of the kind specified</w:t>
      </w:r>
      <w:r w:rsidRPr="00A36C05" w:rsidDel="00E02B3D">
        <w:rPr>
          <w:spacing w:val="-3"/>
        </w:rPr>
        <w:t xml:space="preserve"> </w:t>
      </w:r>
      <w:r w:rsidRPr="00A36C05">
        <w:rPr>
          <w:spacing w:val="-3"/>
        </w:rPr>
        <w:t>(associated newspapers).</w:t>
      </w:r>
    </w:p>
  </w:footnote>
  <w:footnote w:id="3">
    <w:p w14:paraId="30294A9C" w14:textId="50F64F7F" w:rsidR="0082245A" w:rsidRPr="00010313" w:rsidRDefault="0082245A" w:rsidP="0082245A">
      <w:pPr>
        <w:pStyle w:val="FootnoteText"/>
        <w:ind w:left="142" w:hanging="142"/>
      </w:pPr>
      <w:r>
        <w:rPr>
          <w:rStyle w:val="FootnoteReference"/>
        </w:rPr>
        <w:footnoteRef/>
      </w:r>
      <w:r>
        <w:t xml:space="preserve"> </w:t>
      </w:r>
      <w:r>
        <w:tab/>
        <w:t xml:space="preserve">Certain key terms, such as ‘foreign person’, ‘foreign government’, ‘foreign government investor’ and ‘separate government entity’ are defined in section 74B of the BSA to have the same meaning as in the </w:t>
      </w:r>
      <w:r>
        <w:rPr>
          <w:i/>
          <w:iCs/>
        </w:rPr>
        <w:t>Foreign Acquisitions and Takeovers Act 1975</w:t>
      </w:r>
      <w:r>
        <w:t>.</w:t>
      </w:r>
      <w:r w:rsidR="00347DCF">
        <w:t xml:space="preserve"> </w:t>
      </w:r>
      <w:r w:rsidR="00347DCF">
        <w:rPr>
          <w:rStyle w:val="normaltextrun"/>
          <w:spacing w:val="-2"/>
        </w:rPr>
        <w:t>‘Company interests’ is defined in section 6 of the BSA.</w:t>
      </w:r>
    </w:p>
  </w:footnote>
  <w:footnote w:id="4">
    <w:p w14:paraId="3B2011CC" w14:textId="77777777" w:rsidR="0082245A" w:rsidRDefault="0082245A" w:rsidP="0082245A">
      <w:pPr>
        <w:pStyle w:val="FootnoteText"/>
      </w:pPr>
      <w:r>
        <w:rPr>
          <w:rStyle w:val="FootnoteReference"/>
        </w:rPr>
        <w:footnoteRef/>
      </w:r>
      <w:r>
        <w:t xml:space="preserve"> Subsections 74F(6), 74G(5) and 74H(6) of the BSA, respectively.</w:t>
      </w:r>
    </w:p>
  </w:footnote>
  <w:footnote w:id="5">
    <w:p w14:paraId="4DC1E869" w14:textId="2752659E" w:rsidR="007B167B" w:rsidRDefault="007B167B" w:rsidP="007B167B">
      <w:pPr>
        <w:pStyle w:val="FootnoteText"/>
        <w:ind w:left="142" w:hanging="142"/>
      </w:pPr>
      <w:r>
        <w:rPr>
          <w:rStyle w:val="FootnoteReference"/>
        </w:rPr>
        <w:footnoteRef/>
      </w:r>
      <w:r>
        <w:t xml:space="preserve"> The value of a penalty unit amount is set by the Attorney</w:t>
      </w:r>
      <w:r w:rsidR="00B8368A">
        <w:t>-</w:t>
      </w:r>
      <w:r>
        <w:t>General. It is currently $222 (for offences committed after 1 July 2020).</w:t>
      </w:r>
    </w:p>
  </w:footnote>
  <w:footnote w:id="6">
    <w:p w14:paraId="09505BC5" w14:textId="1C6D722B" w:rsidR="00EE2FBD" w:rsidRDefault="00EE2FBD" w:rsidP="00EE2FBD">
      <w:pPr>
        <w:pStyle w:val="FootnoteText"/>
        <w:ind w:left="142" w:hanging="142"/>
      </w:pPr>
      <w:r>
        <w:rPr>
          <w:rStyle w:val="FootnoteReference"/>
        </w:rPr>
        <w:footnoteRef/>
      </w:r>
      <w:r>
        <w:t xml:space="preserve"> </w:t>
      </w:r>
      <w:r>
        <w:tab/>
      </w:r>
      <w:r w:rsidR="007B167B">
        <w:rPr>
          <w:rStyle w:val="normaltextrun"/>
          <w:rFonts w:cs="Arial"/>
        </w:rPr>
        <w:t xml:space="preserve">Explanatory Memorandum </w:t>
      </w:r>
      <w:r w:rsidR="004326C8">
        <w:rPr>
          <w:rStyle w:val="normaltextrun"/>
          <w:rFonts w:cs="Arial"/>
        </w:rPr>
        <w:t>–</w:t>
      </w:r>
      <w:r w:rsidR="007B167B">
        <w:rPr>
          <w:rStyle w:val="normaltextrun"/>
          <w:rFonts w:cs="Arial"/>
        </w:rPr>
        <w:t xml:space="preserve"> </w:t>
      </w:r>
      <w:r w:rsidR="007B167B" w:rsidRPr="0061503E">
        <w:rPr>
          <w:rStyle w:val="normaltextrun"/>
          <w:rFonts w:cs="Arial"/>
        </w:rPr>
        <w:t>Broadcasting Legislation Amendment (Foreign Media Ownership, Community Radio and Other Measures) Bill 2017</w:t>
      </w:r>
      <w:r>
        <w:rPr>
          <w:rStyle w:val="normaltextrun"/>
          <w:rFonts w:cs="Arial"/>
        </w:rPr>
        <w:t>,</w:t>
      </w:r>
      <w:r w:rsidRPr="00542016">
        <w:rPr>
          <w:rStyle w:val="normaltextrun"/>
          <w:rFonts w:cs="Arial"/>
        </w:rPr>
        <w:t xml:space="preserve"> p</w:t>
      </w:r>
      <w:r w:rsidR="004326C8">
        <w:rPr>
          <w:rStyle w:val="normaltextrun"/>
          <w:rFonts w:cs="Arial"/>
        </w:rPr>
        <w:t>.</w:t>
      </w:r>
      <w:r w:rsidRPr="00542016">
        <w:rPr>
          <w:rStyle w:val="normaltextrun"/>
          <w:rFonts w:cs="Arial"/>
        </w:rPr>
        <w:t xml:space="preserve"> </w:t>
      </w:r>
      <w:r>
        <w:rPr>
          <w:rStyle w:val="normaltextrun"/>
          <w:rFonts w:cs="Arial"/>
        </w:rPr>
        <w:t>8.</w:t>
      </w:r>
    </w:p>
  </w:footnote>
  <w:footnote w:id="7">
    <w:p w14:paraId="6ADD37A1" w14:textId="2DC19804" w:rsidR="00EE2FBD" w:rsidRPr="0057550A" w:rsidRDefault="00EE2FBD" w:rsidP="00EE2FBD">
      <w:pPr>
        <w:pStyle w:val="FootnoteText"/>
        <w:ind w:left="142" w:hanging="142"/>
      </w:pPr>
      <w:r w:rsidRPr="0057550A">
        <w:rPr>
          <w:rStyle w:val="FootnoteReference"/>
        </w:rPr>
        <w:footnoteRef/>
      </w:r>
      <w:r>
        <w:rPr>
          <w:rStyle w:val="normaltextrun"/>
          <w:rFonts w:cs="Arial"/>
          <w:i/>
          <w:iCs/>
        </w:rPr>
        <w:t xml:space="preserve">  </w:t>
      </w:r>
      <w:r w:rsidR="004C3578">
        <w:rPr>
          <w:rStyle w:val="normaltextrun"/>
          <w:rFonts w:cs="Arial"/>
        </w:rPr>
        <w:t xml:space="preserve">Explanatory Memorandum </w:t>
      </w:r>
      <w:r w:rsidR="004326C8">
        <w:rPr>
          <w:rStyle w:val="normaltextrun"/>
          <w:rFonts w:cs="Arial"/>
        </w:rPr>
        <w:t>–</w:t>
      </w:r>
      <w:r w:rsidR="004C3578">
        <w:rPr>
          <w:rStyle w:val="normaltextrun"/>
          <w:rFonts w:cs="Arial"/>
        </w:rPr>
        <w:t xml:space="preserve"> </w:t>
      </w:r>
      <w:r w:rsidR="004C3578" w:rsidRPr="0061503E">
        <w:rPr>
          <w:rStyle w:val="normaltextrun"/>
          <w:rFonts w:cs="Arial"/>
        </w:rPr>
        <w:t>Broadcasting Legislation Amendment (Foreign Media Ownership, Community Radio and Other Measures) Bill 2017</w:t>
      </w:r>
      <w:r w:rsidR="004C3578">
        <w:rPr>
          <w:rStyle w:val="normaltextrun"/>
          <w:rFonts w:cs="Arial"/>
        </w:rPr>
        <w:t>,</w:t>
      </w:r>
      <w:r w:rsidR="004C3578" w:rsidRPr="00542016">
        <w:rPr>
          <w:rStyle w:val="normaltextrun"/>
          <w:rFonts w:cs="Arial"/>
        </w:rPr>
        <w:t xml:space="preserve"> </w:t>
      </w:r>
      <w:r w:rsidRPr="00542016">
        <w:rPr>
          <w:rStyle w:val="normaltextrun"/>
          <w:rFonts w:cs="Arial"/>
        </w:rPr>
        <w:t>p</w:t>
      </w:r>
      <w:r w:rsidR="004326C8">
        <w:rPr>
          <w:rStyle w:val="normaltextrun"/>
          <w:rFonts w:cs="Arial"/>
        </w:rPr>
        <w:t>.</w:t>
      </w:r>
      <w:r w:rsidRPr="00542016">
        <w:rPr>
          <w:rStyle w:val="normaltextrun"/>
          <w:rFonts w:cs="Arial"/>
        </w:rPr>
        <w:t xml:space="preserve"> 10.</w:t>
      </w:r>
    </w:p>
  </w:footnote>
  <w:footnote w:id="8">
    <w:p w14:paraId="33FCB873" w14:textId="77777777" w:rsidR="00C13DB0" w:rsidRDefault="00C13DB0" w:rsidP="00824E8B">
      <w:pPr>
        <w:pStyle w:val="FootnoteText"/>
        <w:ind w:left="142" w:hanging="142"/>
      </w:pPr>
      <w:r>
        <w:rPr>
          <w:rStyle w:val="FootnoteReference"/>
        </w:rPr>
        <w:footnoteRef/>
      </w:r>
      <w:r>
        <w:tab/>
        <w:t>T</w:t>
      </w:r>
      <w:r w:rsidRPr="00A06EAA">
        <w:t xml:space="preserve">he </w:t>
      </w:r>
      <w:r w:rsidRPr="00014786">
        <w:rPr>
          <w:i/>
          <w:iCs/>
        </w:rPr>
        <w:t>Foreign Investment Reform (Protecting Australia’s National Security) Act 2020</w:t>
      </w:r>
      <w:r>
        <w:t>.</w:t>
      </w:r>
    </w:p>
  </w:footnote>
  <w:footnote w:id="9">
    <w:p w14:paraId="76E3C404" w14:textId="24815D24" w:rsidR="00A17D27" w:rsidRPr="00265D85" w:rsidRDefault="00A17D27" w:rsidP="00824E8B">
      <w:pPr>
        <w:pStyle w:val="FootnoteText"/>
        <w:ind w:left="142" w:hanging="142"/>
        <w:rPr>
          <w:rFonts w:cs="Arial"/>
          <w:sz w:val="18"/>
          <w:szCs w:val="18"/>
        </w:rPr>
      </w:pPr>
      <w:r>
        <w:rPr>
          <w:rStyle w:val="FootnoteReference"/>
        </w:rPr>
        <w:footnoteRef/>
      </w:r>
      <w:r w:rsidRPr="00265D85">
        <w:rPr>
          <w:rFonts w:cs="Arial"/>
          <w:sz w:val="20"/>
          <w:szCs w:val="20"/>
        </w:rPr>
        <w:t xml:space="preserve"> </w:t>
      </w:r>
      <w:r w:rsidR="00265D85">
        <w:rPr>
          <w:rFonts w:cs="Arial"/>
          <w:sz w:val="20"/>
          <w:szCs w:val="20"/>
        </w:rPr>
        <w:t xml:space="preserve"> </w:t>
      </w:r>
      <w:r w:rsidR="003B4E3B" w:rsidRPr="00265D85">
        <w:rPr>
          <w:rFonts w:cs="Arial"/>
        </w:rPr>
        <w:t>Under section</w:t>
      </w:r>
      <w:r w:rsidR="001C40D6">
        <w:rPr>
          <w:rFonts w:cs="Arial"/>
        </w:rPr>
        <w:t>s</w:t>
      </w:r>
      <w:r w:rsidR="003B4E3B" w:rsidRPr="00265D85">
        <w:rPr>
          <w:rFonts w:cs="Arial"/>
        </w:rPr>
        <w:t xml:space="preserve"> 40 </w:t>
      </w:r>
      <w:r w:rsidR="001C40D6">
        <w:rPr>
          <w:rFonts w:cs="Arial"/>
        </w:rPr>
        <w:t xml:space="preserve">and 41 </w:t>
      </w:r>
      <w:r w:rsidR="003B4E3B" w:rsidRPr="00265D85">
        <w:rPr>
          <w:rFonts w:cs="Arial"/>
        </w:rPr>
        <w:t>of the FATA</w:t>
      </w:r>
      <w:r w:rsidR="005B2E95">
        <w:rPr>
          <w:rFonts w:cs="Arial"/>
        </w:rPr>
        <w:t>,</w:t>
      </w:r>
      <w:r w:rsidR="003B4E3B" w:rsidRPr="00265D85">
        <w:rPr>
          <w:rFonts w:cs="Arial"/>
        </w:rPr>
        <w:t xml:space="preserve"> t</w:t>
      </w:r>
      <w:r w:rsidR="001D416B" w:rsidRPr="00265D85">
        <w:rPr>
          <w:rFonts w:cs="Arial"/>
        </w:rPr>
        <w:t xml:space="preserve">he ‘last condition’ of a significant action </w:t>
      </w:r>
      <w:r w:rsidR="00BA1A68">
        <w:rPr>
          <w:rFonts w:cs="Arial"/>
        </w:rPr>
        <w:t>i</w:t>
      </w:r>
      <w:r w:rsidR="001D416B" w:rsidRPr="00265D85">
        <w:rPr>
          <w:rFonts w:cs="Arial"/>
        </w:rPr>
        <w:t>s that</w:t>
      </w:r>
      <w:r w:rsidR="00BA1A68" w:rsidRPr="00265D85">
        <w:rPr>
          <w:rFonts w:cs="Arial"/>
        </w:rPr>
        <w:t xml:space="preserve"> </w:t>
      </w:r>
      <w:r w:rsidR="001D416B" w:rsidRPr="00265D85">
        <w:rPr>
          <w:rFonts w:cs="Arial"/>
          <w:color w:val="000000"/>
        </w:rPr>
        <w:t>there would be</w:t>
      </w:r>
      <w:r w:rsidR="0036771A">
        <w:rPr>
          <w:rFonts w:cs="Arial"/>
          <w:color w:val="000000"/>
        </w:rPr>
        <w:t>,</w:t>
      </w:r>
      <w:r w:rsidR="008C08CE">
        <w:rPr>
          <w:rFonts w:cs="Arial"/>
          <w:color w:val="000000"/>
        </w:rPr>
        <w:t xml:space="preserve"> </w:t>
      </w:r>
      <w:r w:rsidR="001D416B" w:rsidRPr="00265D85">
        <w:rPr>
          <w:rFonts w:cs="Arial"/>
          <w:color w:val="000000"/>
        </w:rPr>
        <w:t>or has been</w:t>
      </w:r>
      <w:r w:rsidR="008C08CE">
        <w:rPr>
          <w:rFonts w:cs="Arial"/>
          <w:color w:val="000000"/>
        </w:rPr>
        <w:t>,</w:t>
      </w:r>
      <w:r w:rsidR="001D416B" w:rsidRPr="00265D85">
        <w:rPr>
          <w:rFonts w:cs="Arial"/>
          <w:color w:val="000000"/>
        </w:rPr>
        <w:t xml:space="preserve"> a change in control of the entity </w:t>
      </w:r>
      <w:r w:rsidR="00ED1642">
        <w:rPr>
          <w:rFonts w:cs="Arial"/>
          <w:color w:val="000000"/>
        </w:rPr>
        <w:t xml:space="preserve">or business </w:t>
      </w:r>
      <w:r w:rsidR="001D416B" w:rsidRPr="00265D85">
        <w:rPr>
          <w:rFonts w:cs="Arial"/>
          <w:color w:val="000000"/>
        </w:rPr>
        <w:t>as a result of the acti</w:t>
      </w:r>
      <w:r w:rsidR="00CC111A" w:rsidRPr="00265D85">
        <w:rPr>
          <w:rFonts w:cs="Arial"/>
          <w:color w:val="000000"/>
        </w:rPr>
        <w:t>on</w:t>
      </w:r>
      <w:r w:rsidR="00CC111A">
        <w:rPr>
          <w:rFonts w:cs="Arial"/>
          <w:color w:val="000000"/>
        </w:rPr>
        <w:t xml:space="preserve">. </w:t>
      </w:r>
      <w:r w:rsidR="00FE5B9F">
        <w:rPr>
          <w:rFonts w:cs="Arial"/>
          <w:color w:val="000000"/>
        </w:rPr>
        <w:t xml:space="preserve">Under </w:t>
      </w:r>
      <w:r w:rsidR="008C08CE">
        <w:rPr>
          <w:rFonts w:cs="Arial"/>
          <w:color w:val="000000"/>
        </w:rPr>
        <w:t>sub</w:t>
      </w:r>
      <w:r w:rsidR="00091B84">
        <w:rPr>
          <w:rFonts w:cs="Arial"/>
          <w:color w:val="000000"/>
        </w:rPr>
        <w:t>section 54(4) of the FATA</w:t>
      </w:r>
      <w:r w:rsidR="000D095A">
        <w:rPr>
          <w:rFonts w:cs="Arial"/>
          <w:color w:val="000000"/>
        </w:rPr>
        <w:t>,</w:t>
      </w:r>
      <w:r w:rsidR="00A06D2B">
        <w:rPr>
          <w:rFonts w:cs="Arial"/>
          <w:color w:val="000000"/>
        </w:rPr>
        <w:t xml:space="preserve"> a person controls an entity</w:t>
      </w:r>
      <w:r w:rsidR="00ED1642">
        <w:rPr>
          <w:rFonts w:cs="Arial"/>
          <w:color w:val="000000"/>
        </w:rPr>
        <w:t xml:space="preserve"> or business</w:t>
      </w:r>
      <w:r w:rsidR="0060539F">
        <w:rPr>
          <w:rFonts w:cs="Arial"/>
          <w:color w:val="000000"/>
        </w:rPr>
        <w:t xml:space="preserve"> if they </w:t>
      </w:r>
      <w:r w:rsidR="005A48A8">
        <w:rPr>
          <w:rFonts w:cs="Arial"/>
          <w:color w:val="000000"/>
        </w:rPr>
        <w:t xml:space="preserve">hold a </w:t>
      </w:r>
      <w:r w:rsidR="0060539F">
        <w:rPr>
          <w:rFonts w:cs="Arial"/>
          <w:color w:val="000000"/>
        </w:rPr>
        <w:t>‘</w:t>
      </w:r>
      <w:r w:rsidR="005A48A8">
        <w:rPr>
          <w:rFonts w:cs="Arial"/>
          <w:color w:val="000000"/>
        </w:rPr>
        <w:t>substantial interest</w:t>
      </w:r>
      <w:r w:rsidR="0060539F">
        <w:rPr>
          <w:rFonts w:cs="Arial"/>
          <w:color w:val="000000"/>
        </w:rPr>
        <w:t>’</w:t>
      </w:r>
      <w:r w:rsidR="005A48A8">
        <w:rPr>
          <w:rFonts w:cs="Arial"/>
          <w:color w:val="000000"/>
        </w:rPr>
        <w:t xml:space="preserve"> in the entity. </w:t>
      </w:r>
      <w:r w:rsidR="00E82E88">
        <w:rPr>
          <w:rFonts w:cs="Arial"/>
          <w:color w:val="000000"/>
        </w:rPr>
        <w:t>Under s</w:t>
      </w:r>
      <w:r w:rsidR="005A48A8">
        <w:rPr>
          <w:rFonts w:cs="Arial"/>
          <w:color w:val="000000"/>
        </w:rPr>
        <w:t>ection 4 of the FATA</w:t>
      </w:r>
      <w:r w:rsidR="00866AC6">
        <w:rPr>
          <w:rFonts w:cs="Arial"/>
          <w:color w:val="000000"/>
        </w:rPr>
        <w:t>,</w:t>
      </w:r>
      <w:r w:rsidR="005A48A8">
        <w:rPr>
          <w:rFonts w:cs="Arial"/>
          <w:color w:val="000000"/>
        </w:rPr>
        <w:t xml:space="preserve"> </w:t>
      </w:r>
      <w:r w:rsidR="00E82E88">
        <w:rPr>
          <w:rFonts w:cs="Arial"/>
          <w:color w:val="000000"/>
        </w:rPr>
        <w:t>a</w:t>
      </w:r>
      <w:r w:rsidR="00087390">
        <w:rPr>
          <w:rFonts w:cs="Arial"/>
          <w:color w:val="000000"/>
        </w:rPr>
        <w:t xml:space="preserve"> person holds a</w:t>
      </w:r>
      <w:r w:rsidR="005A48A8">
        <w:rPr>
          <w:rFonts w:cs="Arial"/>
          <w:color w:val="000000"/>
        </w:rPr>
        <w:t xml:space="preserve"> substantial interest</w:t>
      </w:r>
      <w:r w:rsidR="000D095A">
        <w:rPr>
          <w:rFonts w:cs="Arial"/>
          <w:color w:val="000000"/>
        </w:rPr>
        <w:t xml:space="preserve"> in an entity</w:t>
      </w:r>
      <w:r w:rsidR="00087390">
        <w:rPr>
          <w:rFonts w:cs="Arial"/>
          <w:color w:val="000000"/>
        </w:rPr>
        <w:t xml:space="preserve"> </w:t>
      </w:r>
      <w:r w:rsidR="008F2842">
        <w:rPr>
          <w:rFonts w:cs="Arial"/>
          <w:color w:val="000000"/>
        </w:rPr>
        <w:t xml:space="preserve">or business </w:t>
      </w:r>
      <w:r w:rsidR="00866AC6">
        <w:rPr>
          <w:rFonts w:cs="Arial"/>
          <w:color w:val="000000"/>
        </w:rPr>
        <w:t>if</w:t>
      </w:r>
      <w:r w:rsidR="004468D8">
        <w:rPr>
          <w:rFonts w:cs="Arial"/>
          <w:color w:val="000000"/>
        </w:rPr>
        <w:t xml:space="preserve"> the person holds </w:t>
      </w:r>
      <w:r w:rsidR="00866AC6">
        <w:rPr>
          <w:rFonts w:cs="Arial"/>
          <w:color w:val="000000"/>
        </w:rPr>
        <w:t>an</w:t>
      </w:r>
      <w:r w:rsidR="00881D7D">
        <w:rPr>
          <w:rFonts w:cs="Arial"/>
          <w:color w:val="000000"/>
        </w:rPr>
        <w:t xml:space="preserve"> interest of at least 20% in the entity.</w:t>
      </w:r>
      <w:r w:rsidR="001256E3">
        <w:rPr>
          <w:rFonts w:cs="Arial"/>
          <w:color w:val="000000"/>
        </w:rPr>
        <w:t xml:space="preserve"> </w:t>
      </w:r>
    </w:p>
  </w:footnote>
  <w:footnote w:id="10">
    <w:p w14:paraId="4434BB65" w14:textId="6E517C6C" w:rsidR="0049603B" w:rsidRPr="00F32F15" w:rsidRDefault="0049603B" w:rsidP="00824E8B">
      <w:pPr>
        <w:spacing w:after="0" w:line="200" w:lineRule="atLeast"/>
        <w:ind w:left="142" w:hanging="142"/>
        <w:rPr>
          <w:sz w:val="16"/>
          <w:szCs w:val="16"/>
        </w:rPr>
      </w:pPr>
      <w:r w:rsidRPr="00F32F15">
        <w:rPr>
          <w:rStyle w:val="FootnoteReference"/>
          <w:sz w:val="16"/>
          <w:szCs w:val="16"/>
        </w:rPr>
        <w:footnoteRef/>
      </w:r>
      <w:r w:rsidRPr="00F32F15">
        <w:rPr>
          <w:sz w:val="16"/>
          <w:szCs w:val="16"/>
        </w:rPr>
        <w:t xml:space="preserve">  </w:t>
      </w:r>
      <w:r w:rsidR="00377821" w:rsidRPr="000A56C7">
        <w:rPr>
          <w:sz w:val="16"/>
          <w:szCs w:val="16"/>
        </w:rPr>
        <w:t xml:space="preserve">Australian Taxation Office (ATO), </w:t>
      </w:r>
      <w:hyperlink r:id="rId1" w:anchor=":~:text=The%20Register%20of%20Foreign%20Ownership%20of%20Australian%20Assets%20(new%20Register,and%20maintain%20the%20new%20Register." w:history="1">
        <w:r w:rsidR="00377821" w:rsidRPr="000A56C7">
          <w:rPr>
            <w:rStyle w:val="Hyperlink"/>
            <w:i/>
            <w:iCs/>
            <w:sz w:val="16"/>
            <w:szCs w:val="16"/>
          </w:rPr>
          <w:t>Major reforms to foreign investment framework</w:t>
        </w:r>
      </w:hyperlink>
      <w:r w:rsidR="00377821" w:rsidRPr="000A56C7">
        <w:rPr>
          <w:sz w:val="16"/>
          <w:szCs w:val="16"/>
        </w:rPr>
        <w:t>, Australian Taxation Office website, May 2022, accessed 11 July 2022;</w:t>
      </w:r>
      <w:r w:rsidRPr="000A56C7">
        <w:rPr>
          <w:sz w:val="16"/>
          <w:szCs w:val="16"/>
        </w:rPr>
        <w:t xml:space="preserve"> </w:t>
      </w:r>
      <w:r w:rsidR="00377821" w:rsidRPr="000A56C7">
        <w:rPr>
          <w:sz w:val="16"/>
          <w:szCs w:val="16"/>
        </w:rPr>
        <w:t xml:space="preserve">The Treasury, </w:t>
      </w:r>
      <w:hyperlink r:id="rId2" w:history="1">
        <w:r w:rsidR="00377821" w:rsidRPr="000A56C7">
          <w:rPr>
            <w:rStyle w:val="Hyperlink"/>
            <w:i/>
            <w:iCs/>
            <w:sz w:val="16"/>
            <w:szCs w:val="16"/>
          </w:rPr>
          <w:t>Foreign investment reforms</w:t>
        </w:r>
      </w:hyperlink>
      <w:r w:rsidR="00377821" w:rsidRPr="000A56C7">
        <w:rPr>
          <w:rStyle w:val="Hyperlink"/>
          <w:color w:val="auto"/>
          <w:sz w:val="16"/>
          <w:szCs w:val="16"/>
          <w:u w:val="none"/>
        </w:rPr>
        <w:t>,</w:t>
      </w:r>
      <w:r w:rsidR="00377821" w:rsidRPr="000A56C7">
        <w:rPr>
          <w:sz w:val="16"/>
          <w:szCs w:val="16"/>
        </w:rPr>
        <w:t xml:space="preserve"> Treasury website, June 2020, accessed 11 July 2022; </w:t>
      </w:r>
      <w:r w:rsidR="00377821" w:rsidRPr="000A56C7">
        <w:rPr>
          <w:sz w:val="16"/>
          <w:szCs w:val="16"/>
          <w:u w:color="0000FF"/>
        </w:rPr>
        <w:t>Parliament of Australia,</w:t>
      </w:r>
      <w:r w:rsidR="00377821" w:rsidRPr="000A56C7" w:rsidDel="00377821">
        <w:rPr>
          <w:sz w:val="16"/>
          <w:szCs w:val="16"/>
        </w:rPr>
        <w:t xml:space="preserve"> </w:t>
      </w:r>
      <w:r w:rsidR="00377821" w:rsidRPr="000A56C7">
        <w:rPr>
          <w:sz w:val="16"/>
          <w:szCs w:val="16"/>
        </w:rPr>
        <w:t>Foreign Investment Reform (Protecting Australia’s National Security) Bill 2020</w:t>
      </w:r>
      <w:r w:rsidR="00047AD0" w:rsidRPr="000A56C7">
        <w:rPr>
          <w:sz w:val="16"/>
          <w:szCs w:val="16"/>
          <w:u w:color="0000FF"/>
        </w:rPr>
        <w:t>, Parliament of Australia website, n.d., accessed 11 July 2022.</w:t>
      </w:r>
    </w:p>
  </w:footnote>
  <w:footnote w:id="11">
    <w:p w14:paraId="4B8DFD05" w14:textId="2396FB36" w:rsidR="0010324E" w:rsidRDefault="0010324E" w:rsidP="00D86AAE">
      <w:pPr>
        <w:pStyle w:val="FootnoteText"/>
        <w:ind w:left="142" w:hanging="142"/>
      </w:pPr>
      <w:r>
        <w:rPr>
          <w:rStyle w:val="FootnoteReference"/>
        </w:rPr>
        <w:footnoteRef/>
      </w:r>
      <w:r>
        <w:t xml:space="preserve"> </w:t>
      </w:r>
      <w:r w:rsidR="008D13D8">
        <w:t xml:space="preserve">An ‘Australian media business’ is defined in clause 13A of the </w:t>
      </w:r>
      <w:r w:rsidR="008D13D8" w:rsidRPr="0054624B">
        <w:rPr>
          <w:i/>
          <w:iCs/>
        </w:rPr>
        <w:t>Foreign Acquisitions and Takeovers Regulation 2015</w:t>
      </w:r>
      <w:r w:rsidR="008D13D8">
        <w:t xml:space="preserve"> and encompasses Australian businesses that are ‘Australian media companies’, while also including electronic services that deliver public interest journalism, predominantly as audio and visual content, over the internet at least partly for Australian audiences.</w:t>
      </w:r>
    </w:p>
  </w:footnote>
  <w:footnote w:id="12">
    <w:p w14:paraId="6F205463" w14:textId="51B7FD21" w:rsidR="00B7375F" w:rsidRDefault="00B7375F" w:rsidP="005C5622">
      <w:pPr>
        <w:pStyle w:val="FootnoteText"/>
        <w:ind w:left="142" w:hanging="142"/>
      </w:pPr>
      <w:r>
        <w:rPr>
          <w:rStyle w:val="FootnoteReference"/>
        </w:rPr>
        <w:footnoteRef/>
      </w:r>
      <w:r>
        <w:t xml:space="preserve"> </w:t>
      </w:r>
      <w:r w:rsidR="00AE75B4">
        <w:t xml:space="preserve">Section 130Q of the </w:t>
      </w:r>
      <w:r w:rsidR="00820699">
        <w:t>FATA</w:t>
      </w:r>
      <w:r w:rsidR="002A6A17">
        <w:t>,</w:t>
      </w:r>
      <w:r w:rsidR="0099357B">
        <w:t xml:space="preserve"> </w:t>
      </w:r>
      <w:r w:rsidR="00AE75B4">
        <w:t>‘Register Commencement Day’ and s</w:t>
      </w:r>
      <w:r w:rsidR="002A6A17">
        <w:t xml:space="preserve">ection </w:t>
      </w:r>
      <w:r w:rsidR="00AE75B4">
        <w:t>2</w:t>
      </w:r>
      <w:r w:rsidR="00C83E50">
        <w:t>,</w:t>
      </w:r>
      <w:r w:rsidR="00AE75B4">
        <w:t xml:space="preserve"> </w:t>
      </w:r>
      <w:r w:rsidR="008A5EA1">
        <w:t>of the Amendment Act</w:t>
      </w:r>
      <w:r w:rsidR="00AE75B4">
        <w:t xml:space="preserve"> ‘Commencement’, indicate that Part 2 of Schedule 3 commences on a date to be set by Proclamation, or in any case, within 4 years of the Act receiving Royal Assent (</w:t>
      </w:r>
      <w:r w:rsidR="008561A1">
        <w:t xml:space="preserve">as this occurred </w:t>
      </w:r>
      <w:r w:rsidR="00AE75B4">
        <w:t>on 10 December 2020</w:t>
      </w:r>
      <w:r w:rsidR="008561A1">
        <w:t xml:space="preserve">, </w:t>
      </w:r>
      <w:r w:rsidR="00AE75B4">
        <w:t>4 years after Royal Assent</w:t>
      </w:r>
      <w:r w:rsidR="00C659A8">
        <w:t xml:space="preserve"> is 2024).</w:t>
      </w:r>
    </w:p>
  </w:footnote>
  <w:footnote w:id="13">
    <w:p w14:paraId="046BD90E" w14:textId="6DA4EBA6" w:rsidR="007406B0" w:rsidRDefault="007406B0" w:rsidP="005C5622">
      <w:pPr>
        <w:pStyle w:val="FootnoteText"/>
        <w:ind w:left="142" w:hanging="142"/>
      </w:pPr>
      <w:r>
        <w:rPr>
          <w:rStyle w:val="FootnoteReference"/>
        </w:rPr>
        <w:footnoteRef/>
      </w:r>
      <w:r>
        <w:t xml:space="preserve"> The Register records foreign persons with 2.5% or more company interests in an AMC, while the FOAA Register will record foreign persons with a shareholding of 20% or more, provided the shareholding exceeds the value threshold for Australian media businesses.</w:t>
      </w:r>
    </w:p>
  </w:footnote>
  <w:footnote w:id="14">
    <w:p w14:paraId="72BBD12A" w14:textId="5C055911" w:rsidR="00F579EE" w:rsidRDefault="00F579EE" w:rsidP="00441D44">
      <w:pPr>
        <w:pStyle w:val="FootnoteText"/>
        <w:ind w:left="142" w:hanging="142"/>
      </w:pPr>
      <w:r>
        <w:rPr>
          <w:rStyle w:val="FootnoteReference"/>
        </w:rPr>
        <w:footnoteRef/>
      </w:r>
      <w:r>
        <w:t xml:space="preserve"> </w:t>
      </w:r>
      <w:r w:rsidR="00047AD0" w:rsidRPr="00EF5A86">
        <w:t xml:space="preserve">The </w:t>
      </w:r>
      <w:r w:rsidR="00047AD0">
        <w:t>T</w:t>
      </w:r>
      <w:r w:rsidR="00047AD0" w:rsidRPr="00EF5A86">
        <w:t xml:space="preserve">reasury, </w:t>
      </w:r>
      <w:hyperlink r:id="rId3" w:history="1">
        <w:r w:rsidR="00047AD0" w:rsidRPr="00EF5A86">
          <w:rPr>
            <w:rStyle w:val="Hyperlink"/>
            <w:i/>
            <w:iCs/>
          </w:rPr>
          <w:t>Foreign investment reforms</w:t>
        </w:r>
      </w:hyperlink>
      <w:r w:rsidR="00047AD0" w:rsidRPr="00CF44A4">
        <w:t>, p.</w:t>
      </w:r>
      <w:r w:rsidR="00047AD0">
        <w:t xml:space="preserve"> </w:t>
      </w:r>
      <w: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331F" w14:textId="62BD2179" w:rsidR="00C053A1" w:rsidRPr="00A5474E" w:rsidRDefault="0021426C" w:rsidP="00A5474E">
    <w:pPr>
      <w:pStyle w:val="Header"/>
    </w:pPr>
    <w:r>
      <w:rPr>
        <w:noProof/>
      </w:rPr>
      <w:drawing>
        <wp:inline distT="0" distB="0" distL="0" distR="0" wp14:anchorId="3A19BA17" wp14:editId="0804DDE6">
          <wp:extent cx="6210300" cy="571134"/>
          <wp:effectExtent l="0" t="0" r="0" b="0"/>
          <wp:docPr id="2" name="Picture 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5B76" w14:textId="219016BF" w:rsidR="00C053A1" w:rsidRDefault="00C053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E1BE" w14:textId="7E1D2B06" w:rsidR="00256740" w:rsidRDefault="00256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6B83" w14:textId="4EE629CC"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2A2B" w14:textId="5733E8A4"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F169" w14:textId="7D70B8DC"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2AF1" w14:textId="0CBA03E4" w:rsidR="00256740" w:rsidRDefault="002567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04C1D32E" w14:textId="77777777" w:rsidTr="00A14721">
      <w:trPr>
        <w:trHeight w:hRule="exact" w:val="988"/>
      </w:trPr>
      <w:tc>
        <w:tcPr>
          <w:tcW w:w="7678" w:type="dxa"/>
          <w:shd w:val="clear" w:color="auto" w:fill="auto"/>
        </w:tcPr>
        <w:p w14:paraId="3D79CD32" w14:textId="77777777" w:rsidR="00971914" w:rsidRDefault="00971914" w:rsidP="00971914">
          <w:pPr>
            <w:pStyle w:val="Header"/>
          </w:pPr>
        </w:p>
      </w:tc>
    </w:tr>
    <w:tr w:rsidR="00971914" w14:paraId="1C08627E" w14:textId="77777777" w:rsidTr="00A14721">
      <w:tc>
        <w:tcPr>
          <w:tcW w:w="7678" w:type="dxa"/>
          <w:shd w:val="clear" w:color="auto" w:fill="auto"/>
        </w:tcPr>
        <w:p w14:paraId="1ACF414A" w14:textId="77777777" w:rsidR="00971914" w:rsidRDefault="00971914" w:rsidP="00971914">
          <w:pPr>
            <w:pStyle w:val="GridTable31"/>
          </w:pPr>
          <w:r>
            <w:t xml:space="preserve">Contents </w:t>
          </w:r>
          <w:r w:rsidRPr="00915B1C">
            <w:rPr>
              <w:b w:val="0"/>
              <w:spacing w:val="0"/>
              <w:sz w:val="28"/>
              <w:szCs w:val="28"/>
            </w:rPr>
            <w:t>(Continued)</w:t>
          </w:r>
        </w:p>
      </w:tc>
    </w:tr>
    <w:tr w:rsidR="00971914" w14:paraId="767FBD36" w14:textId="77777777" w:rsidTr="00A14721">
      <w:trPr>
        <w:trHeight w:val="1220"/>
      </w:trPr>
      <w:tc>
        <w:tcPr>
          <w:tcW w:w="7678" w:type="dxa"/>
          <w:shd w:val="clear" w:color="auto" w:fill="auto"/>
        </w:tcPr>
        <w:p w14:paraId="08B72E81" w14:textId="77777777" w:rsidR="00971914" w:rsidRDefault="00971914" w:rsidP="00971914"/>
      </w:tc>
    </w:tr>
  </w:tbl>
  <w:p w14:paraId="1D8AC338" w14:textId="4BBF03DB" w:rsidR="00971914" w:rsidRDefault="00971914" w:rsidP="009719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6D6D803A" w14:textId="77777777" w:rsidTr="00A14721">
      <w:trPr>
        <w:trHeight w:hRule="exact" w:val="988"/>
      </w:trPr>
      <w:tc>
        <w:tcPr>
          <w:tcW w:w="7678" w:type="dxa"/>
          <w:shd w:val="clear" w:color="auto" w:fill="auto"/>
        </w:tcPr>
        <w:p w14:paraId="379F1821" w14:textId="77777777" w:rsidR="00971914" w:rsidRDefault="00971914" w:rsidP="00971914">
          <w:pPr>
            <w:pStyle w:val="Header"/>
          </w:pPr>
        </w:p>
      </w:tc>
    </w:tr>
    <w:tr w:rsidR="00971914" w14:paraId="6D1CB7B9" w14:textId="77777777" w:rsidTr="00A14721">
      <w:tc>
        <w:tcPr>
          <w:tcW w:w="7678" w:type="dxa"/>
          <w:shd w:val="clear" w:color="auto" w:fill="auto"/>
        </w:tcPr>
        <w:p w14:paraId="1CDD33E6" w14:textId="77777777" w:rsidR="00971914" w:rsidRDefault="00971914" w:rsidP="00971914">
          <w:pPr>
            <w:pStyle w:val="GridTable31"/>
          </w:pPr>
          <w:r>
            <w:t xml:space="preserve">Contents </w:t>
          </w:r>
          <w:r w:rsidRPr="00915B1C">
            <w:rPr>
              <w:b w:val="0"/>
              <w:spacing w:val="0"/>
              <w:sz w:val="28"/>
              <w:szCs w:val="28"/>
            </w:rPr>
            <w:t>(Continued)</w:t>
          </w:r>
        </w:p>
      </w:tc>
    </w:tr>
    <w:tr w:rsidR="00971914" w14:paraId="69ABACFE" w14:textId="77777777" w:rsidTr="00A14721">
      <w:trPr>
        <w:trHeight w:val="1220"/>
      </w:trPr>
      <w:tc>
        <w:tcPr>
          <w:tcW w:w="7678" w:type="dxa"/>
          <w:shd w:val="clear" w:color="auto" w:fill="auto"/>
        </w:tcPr>
        <w:p w14:paraId="01C124C1" w14:textId="77777777" w:rsidR="00971914" w:rsidRDefault="00971914" w:rsidP="00971914"/>
      </w:tc>
    </w:tr>
  </w:tbl>
  <w:p w14:paraId="7A1884E8" w14:textId="7A03C804" w:rsidR="00C053A1" w:rsidRPr="00A5474E" w:rsidRDefault="00C053A1" w:rsidP="00A547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0D74" w14:textId="5BD3C942" w:rsidR="00256740" w:rsidRDefault="00B039CA" w:rsidP="00903E8D">
    <w:pPr>
      <w:pStyle w:val="TOCHeading"/>
    </w:pPr>
    <w:r w:rsidRPr="0029593B">
      <w:t>Contents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E50E" w14:textId="400882D6"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4992D96C"/>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8E6148"/>
    <w:multiLevelType w:val="hybridMultilevel"/>
    <w:tmpl w:val="6A1C1AE6"/>
    <w:lvl w:ilvl="0" w:tplc="AD5A098A">
      <w:start w:val="3"/>
      <w:numFmt w:val="decimal"/>
      <w:lvlText w:val="%1."/>
      <w:lvlJc w:val="left"/>
      <w:pPr>
        <w:ind w:left="720" w:hanging="360"/>
      </w:pPr>
      <w:rPr>
        <w:rFonts w:ascii="Arial" w:hAnsi="Arial" w:cs="Arial"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D27208"/>
    <w:multiLevelType w:val="hybridMultilevel"/>
    <w:tmpl w:val="ACF4776A"/>
    <w:lvl w:ilvl="0" w:tplc="888A86D2">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7B207F"/>
    <w:multiLevelType w:val="hybridMultilevel"/>
    <w:tmpl w:val="90C418D8"/>
    <w:lvl w:ilvl="0" w:tplc="3EE8C790">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0D0F313A"/>
    <w:multiLevelType w:val="hybridMultilevel"/>
    <w:tmpl w:val="59488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8D7BCF"/>
    <w:multiLevelType w:val="hybridMultilevel"/>
    <w:tmpl w:val="01A0B390"/>
    <w:lvl w:ilvl="0" w:tplc="0C09001B">
      <w:start w:val="1"/>
      <w:numFmt w:val="lowerRoman"/>
      <w:lvlText w:val="%1."/>
      <w:lvlJc w:val="righ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9" w15:restartNumberingAfterBreak="0">
    <w:nsid w:val="17C22D40"/>
    <w:multiLevelType w:val="hybridMultilevel"/>
    <w:tmpl w:val="6D84FAB2"/>
    <w:lvl w:ilvl="0" w:tplc="C5167FD4">
      <w:start w:val="7"/>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15:restartNumberingAfterBreak="0">
    <w:nsid w:val="24C71407"/>
    <w:multiLevelType w:val="hybridMultilevel"/>
    <w:tmpl w:val="F8DEF6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90437B"/>
    <w:multiLevelType w:val="hybridMultilevel"/>
    <w:tmpl w:val="6D84FAB2"/>
    <w:lvl w:ilvl="0" w:tplc="C5167FD4">
      <w:start w:val="7"/>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2A786A36"/>
    <w:multiLevelType w:val="hybridMultilevel"/>
    <w:tmpl w:val="4C607128"/>
    <w:lvl w:ilvl="0" w:tplc="6FDCD2D8">
      <w:start w:val="1"/>
      <w:numFmt w:val="decimal"/>
      <w:lvlText w:val="%1."/>
      <w:lvlJc w:val="left"/>
      <w:pPr>
        <w:ind w:left="720" w:hanging="360"/>
      </w:pPr>
      <w:rPr>
        <w:rFonts w:ascii="Arial" w:hAnsi="Arial" w:cs="Arial"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016DBB"/>
    <w:multiLevelType w:val="multilevel"/>
    <w:tmpl w:val="1D186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E787C09"/>
    <w:multiLevelType w:val="hybridMultilevel"/>
    <w:tmpl w:val="2522F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610506"/>
    <w:multiLevelType w:val="hybridMultilevel"/>
    <w:tmpl w:val="6EC85AE2"/>
    <w:lvl w:ilvl="0" w:tplc="FFFFFFFF">
      <w:start w:val="1"/>
      <w:numFmt w:val="decimal"/>
      <w:lvlText w:val="%1."/>
      <w:lvlJc w:val="left"/>
      <w:pPr>
        <w:ind w:left="720" w:hanging="360"/>
      </w:pPr>
      <w:rPr>
        <w:rFonts w:ascii="Arial" w:hAnsi="Arial" w:cs="Arial" w:hint="default"/>
        <w:b w:val="0"/>
        <w:bCs w:val="0"/>
        <w:sz w:val="20"/>
        <w:szCs w:val="20"/>
      </w:rPr>
    </w:lvl>
    <w:lvl w:ilvl="1" w:tplc="30BE3C36">
      <w:start w:val="1"/>
      <w:numFmt w:val="lowerRoman"/>
      <w:lvlText w:val="(%2)"/>
      <w:lvlJc w:val="left"/>
      <w:pPr>
        <w:ind w:left="1440" w:hanging="360"/>
      </w:pPr>
      <w:rPr>
        <w:rFonts w:hint="default"/>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47781"/>
    <w:multiLevelType w:val="hybridMultilevel"/>
    <w:tmpl w:val="29D2E0FE"/>
    <w:lvl w:ilvl="0" w:tplc="B2B8CB48">
      <w:start w:val="6"/>
      <w:numFmt w:val="decimal"/>
      <w:lvlText w:val="%1."/>
      <w:lvlJc w:val="left"/>
      <w:pPr>
        <w:ind w:left="720" w:hanging="360"/>
      </w:pPr>
      <w:rPr>
        <w:rFonts w:ascii="Arial" w:hAnsi="Arial" w:cs="Arial"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D84C29"/>
    <w:multiLevelType w:val="hybridMultilevel"/>
    <w:tmpl w:val="384409D2"/>
    <w:lvl w:ilvl="0" w:tplc="3A820EBE">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CF15BF"/>
    <w:multiLevelType w:val="hybridMultilevel"/>
    <w:tmpl w:val="C832C5F4"/>
    <w:lvl w:ilvl="0" w:tplc="0C090003">
      <w:start w:val="1"/>
      <w:numFmt w:val="bullet"/>
      <w:lvlText w:val="o"/>
      <w:lvlJc w:val="left"/>
      <w:pPr>
        <w:ind w:left="1860" w:hanging="360"/>
      </w:pPr>
      <w:rPr>
        <w:rFonts w:ascii="Courier New" w:hAnsi="Courier New" w:cs="Courier New"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0" w15:restartNumberingAfterBreak="0">
    <w:nsid w:val="45422E8F"/>
    <w:multiLevelType w:val="hybridMultilevel"/>
    <w:tmpl w:val="5EB6D5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0D4EBD"/>
    <w:multiLevelType w:val="hybridMultilevel"/>
    <w:tmpl w:val="F2868CF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2" w15:restartNumberingAfterBreak="0">
    <w:nsid w:val="48970874"/>
    <w:multiLevelType w:val="hybridMultilevel"/>
    <w:tmpl w:val="F5D23CBC"/>
    <w:lvl w:ilvl="0" w:tplc="E5988A8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D0A31BE"/>
    <w:multiLevelType w:val="hybridMultilevel"/>
    <w:tmpl w:val="146244DC"/>
    <w:lvl w:ilvl="0" w:tplc="3A820EBE">
      <w:start w:val="1"/>
      <w:numFmt w:val="bullet"/>
      <w:lvlText w:val="&gt;"/>
      <w:lvlJc w:val="left"/>
      <w:pPr>
        <w:ind w:left="786" w:hanging="360"/>
      </w:pPr>
      <w:rPr>
        <w:rFonts w:ascii="Arial" w:hAnsi="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4"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A232F"/>
    <w:multiLevelType w:val="hybridMultilevel"/>
    <w:tmpl w:val="A6720C74"/>
    <w:lvl w:ilvl="0" w:tplc="A516E526">
      <w:start w:val="10"/>
      <w:numFmt w:val="decimal"/>
      <w:lvlText w:val="%1."/>
      <w:lvlJc w:val="left"/>
      <w:pPr>
        <w:ind w:left="720" w:hanging="360"/>
      </w:pPr>
      <w:rPr>
        <w:rFonts w:ascii="Arial" w:hAnsi="Arial" w:cs="Arial"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8B7E61"/>
    <w:multiLevelType w:val="hybridMultilevel"/>
    <w:tmpl w:val="09C2B0D0"/>
    <w:lvl w:ilvl="0" w:tplc="9F96ACD2">
      <w:start w:val="1"/>
      <w:numFmt w:val="decimal"/>
      <w:lvlText w:val="%1."/>
      <w:lvlJc w:val="left"/>
      <w:pPr>
        <w:ind w:left="720" w:hanging="360"/>
      </w:pPr>
      <w:rPr>
        <w:rFonts w:ascii="Arial" w:hAnsi="Arial" w:cs="Arial" w:hint="default"/>
        <w:b w:val="0"/>
        <w:bCs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FC176F"/>
    <w:multiLevelType w:val="hybridMultilevel"/>
    <w:tmpl w:val="7C7C253E"/>
    <w:lvl w:ilvl="0" w:tplc="3A820EBE">
      <w:start w:val="1"/>
      <w:numFmt w:val="bullet"/>
      <w:lvlText w:val="&gt;"/>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9E5E7C"/>
    <w:multiLevelType w:val="hybridMultilevel"/>
    <w:tmpl w:val="03A4E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52136"/>
    <w:multiLevelType w:val="multilevel"/>
    <w:tmpl w:val="1D186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083291"/>
    <w:multiLevelType w:val="hybridMultilevel"/>
    <w:tmpl w:val="2D462B04"/>
    <w:lvl w:ilvl="0" w:tplc="3A820EBE">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17A90"/>
    <w:multiLevelType w:val="hybridMultilevel"/>
    <w:tmpl w:val="7E3E85CA"/>
    <w:lvl w:ilvl="0" w:tplc="4B64AC1E">
      <w:start w:val="9"/>
      <w:numFmt w:val="decimal"/>
      <w:lvlText w:val="%1."/>
      <w:lvlJc w:val="left"/>
      <w:pPr>
        <w:ind w:left="720" w:hanging="360"/>
      </w:pPr>
      <w:rPr>
        <w:rFonts w:ascii="Arial" w:hAnsi="Arial" w:cs="Arial" w:hint="default"/>
        <w:b w:val="0"/>
        <w:bCs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4F2296"/>
    <w:multiLevelType w:val="hybridMultilevel"/>
    <w:tmpl w:val="0BF6164A"/>
    <w:lvl w:ilvl="0" w:tplc="AD5A098A">
      <w:start w:val="3"/>
      <w:numFmt w:val="decimal"/>
      <w:lvlText w:val="%1."/>
      <w:lvlJc w:val="left"/>
      <w:pPr>
        <w:ind w:left="1004" w:hanging="360"/>
      </w:pPr>
      <w:rPr>
        <w:rFonts w:ascii="Arial" w:hAnsi="Arial" w:cs="Arial" w:hint="default"/>
        <w:b w:val="0"/>
        <w:bCs w:val="0"/>
        <w:sz w:val="20"/>
        <w:szCs w:val="2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7EB0786C"/>
    <w:multiLevelType w:val="hybridMultilevel"/>
    <w:tmpl w:val="0D4EE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3263F0"/>
    <w:multiLevelType w:val="hybridMultilevel"/>
    <w:tmpl w:val="8C90E748"/>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4"/>
  </w:num>
  <w:num w:numId="6">
    <w:abstractNumId w:val="29"/>
  </w:num>
  <w:num w:numId="7">
    <w:abstractNumId w:val="24"/>
  </w:num>
  <w:num w:numId="8">
    <w:abstractNumId w:val="28"/>
  </w:num>
  <w:num w:numId="9">
    <w:abstractNumId w:val="31"/>
  </w:num>
  <w:num w:numId="10">
    <w:abstractNumId w:val="13"/>
  </w:num>
  <w:num w:numId="11">
    <w:abstractNumId w:val="32"/>
  </w:num>
  <w:num w:numId="12">
    <w:abstractNumId w:val="33"/>
  </w:num>
  <w:num w:numId="13">
    <w:abstractNumId w:val="19"/>
  </w:num>
  <w:num w:numId="14">
    <w:abstractNumId w:val="8"/>
  </w:num>
  <w:num w:numId="15">
    <w:abstractNumId w:val="26"/>
  </w:num>
  <w:num w:numId="16">
    <w:abstractNumId w:val="23"/>
  </w:num>
  <w:num w:numId="17">
    <w:abstractNumId w:val="36"/>
  </w:num>
  <w:num w:numId="18">
    <w:abstractNumId w:val="16"/>
  </w:num>
  <w:num w:numId="19">
    <w:abstractNumId w:val="21"/>
  </w:num>
  <w:num w:numId="20">
    <w:abstractNumId w:val="37"/>
  </w:num>
  <w:num w:numId="21">
    <w:abstractNumId w:val="20"/>
  </w:num>
  <w:num w:numId="22">
    <w:abstractNumId w:val="27"/>
  </w:num>
  <w:num w:numId="23">
    <w:abstractNumId w:val="30"/>
  </w:num>
  <w:num w:numId="24">
    <w:abstractNumId w:val="34"/>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6"/>
  </w:num>
  <w:num w:numId="27">
    <w:abstractNumId w:val="18"/>
  </w:num>
  <w:num w:numId="28">
    <w:abstractNumId w:val="9"/>
  </w:num>
  <w:num w:numId="29">
    <w:abstractNumId w:val="22"/>
  </w:num>
  <w:num w:numId="30">
    <w:abstractNumId w:val="3"/>
  </w:num>
  <w:num w:numId="31">
    <w:abstractNumId w:val="11"/>
  </w:num>
  <w:num w:numId="32">
    <w:abstractNumId w:val="7"/>
  </w:num>
  <w:num w:numId="33">
    <w:abstractNumId w:val="10"/>
  </w:num>
  <w:num w:numId="34">
    <w:abstractNumId w:val="17"/>
  </w:num>
  <w:num w:numId="35">
    <w:abstractNumId w:val="4"/>
  </w:num>
  <w:num w:numId="36">
    <w:abstractNumId w:val="25"/>
  </w:num>
  <w:num w:numId="37">
    <w:abstractNumId w:val="12"/>
  </w:num>
  <w:num w:numId="38">
    <w:abstractNumId w:val="35"/>
  </w:num>
  <w:num w:numId="39">
    <w:abstractNumId w:val="5"/>
  </w:num>
  <w:num w:numId="40">
    <w:abstractNumId w:val="15"/>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8193">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7B"/>
    <w:rsid w:val="00001D40"/>
    <w:rsid w:val="00001F50"/>
    <w:rsid w:val="000028AB"/>
    <w:rsid w:val="00005305"/>
    <w:rsid w:val="000070D4"/>
    <w:rsid w:val="00010313"/>
    <w:rsid w:val="00010667"/>
    <w:rsid w:val="000129D5"/>
    <w:rsid w:val="000144D6"/>
    <w:rsid w:val="00015787"/>
    <w:rsid w:val="00015AE7"/>
    <w:rsid w:val="0001681C"/>
    <w:rsid w:val="00016E21"/>
    <w:rsid w:val="0001719C"/>
    <w:rsid w:val="00017366"/>
    <w:rsid w:val="000177B6"/>
    <w:rsid w:val="000179EE"/>
    <w:rsid w:val="00021005"/>
    <w:rsid w:val="000213D9"/>
    <w:rsid w:val="00021460"/>
    <w:rsid w:val="00021800"/>
    <w:rsid w:val="0002224E"/>
    <w:rsid w:val="000223D1"/>
    <w:rsid w:val="00022A1B"/>
    <w:rsid w:val="00023A36"/>
    <w:rsid w:val="000245E5"/>
    <w:rsid w:val="00024C4B"/>
    <w:rsid w:val="00025193"/>
    <w:rsid w:val="0002525C"/>
    <w:rsid w:val="000262C7"/>
    <w:rsid w:val="00026433"/>
    <w:rsid w:val="000264C1"/>
    <w:rsid w:val="00026B21"/>
    <w:rsid w:val="00026F50"/>
    <w:rsid w:val="00026F91"/>
    <w:rsid w:val="00027D24"/>
    <w:rsid w:val="000301C4"/>
    <w:rsid w:val="00032621"/>
    <w:rsid w:val="00033E4C"/>
    <w:rsid w:val="00034A3E"/>
    <w:rsid w:val="00034C12"/>
    <w:rsid w:val="000366A4"/>
    <w:rsid w:val="00036DDE"/>
    <w:rsid w:val="00036ED9"/>
    <w:rsid w:val="00040C47"/>
    <w:rsid w:val="000410D0"/>
    <w:rsid w:val="0004346E"/>
    <w:rsid w:val="00043F25"/>
    <w:rsid w:val="000448C0"/>
    <w:rsid w:val="00045733"/>
    <w:rsid w:val="00045AA0"/>
    <w:rsid w:val="0004654F"/>
    <w:rsid w:val="0004764C"/>
    <w:rsid w:val="00047AD0"/>
    <w:rsid w:val="00047F2F"/>
    <w:rsid w:val="0005011A"/>
    <w:rsid w:val="000501AE"/>
    <w:rsid w:val="0005045A"/>
    <w:rsid w:val="00050A94"/>
    <w:rsid w:val="00051C1E"/>
    <w:rsid w:val="00051DB8"/>
    <w:rsid w:val="000530C3"/>
    <w:rsid w:val="000539F9"/>
    <w:rsid w:val="00053FD9"/>
    <w:rsid w:val="00054C27"/>
    <w:rsid w:val="00055409"/>
    <w:rsid w:val="00055EC3"/>
    <w:rsid w:val="00055F74"/>
    <w:rsid w:val="000563CE"/>
    <w:rsid w:val="000602A2"/>
    <w:rsid w:val="00060516"/>
    <w:rsid w:val="0006371C"/>
    <w:rsid w:val="000651A2"/>
    <w:rsid w:val="000659B6"/>
    <w:rsid w:val="00065D0D"/>
    <w:rsid w:val="00066007"/>
    <w:rsid w:val="00066178"/>
    <w:rsid w:val="0006686F"/>
    <w:rsid w:val="0006722A"/>
    <w:rsid w:val="000678F5"/>
    <w:rsid w:val="000732CF"/>
    <w:rsid w:val="000734AD"/>
    <w:rsid w:val="0007375C"/>
    <w:rsid w:val="00073C88"/>
    <w:rsid w:val="00075B96"/>
    <w:rsid w:val="000769DC"/>
    <w:rsid w:val="00076FC3"/>
    <w:rsid w:val="00077187"/>
    <w:rsid w:val="00077CD5"/>
    <w:rsid w:val="00080372"/>
    <w:rsid w:val="000818BE"/>
    <w:rsid w:val="0008196A"/>
    <w:rsid w:val="00081A93"/>
    <w:rsid w:val="00082199"/>
    <w:rsid w:val="00082861"/>
    <w:rsid w:val="00082CE9"/>
    <w:rsid w:val="00083C4D"/>
    <w:rsid w:val="00084A0F"/>
    <w:rsid w:val="00084B5D"/>
    <w:rsid w:val="00085568"/>
    <w:rsid w:val="000857C6"/>
    <w:rsid w:val="000864AE"/>
    <w:rsid w:val="00086A28"/>
    <w:rsid w:val="00086DA4"/>
    <w:rsid w:val="00087390"/>
    <w:rsid w:val="000878C3"/>
    <w:rsid w:val="0009057D"/>
    <w:rsid w:val="00090957"/>
    <w:rsid w:val="00090F9D"/>
    <w:rsid w:val="000910AC"/>
    <w:rsid w:val="000913D2"/>
    <w:rsid w:val="000915ED"/>
    <w:rsid w:val="00091B84"/>
    <w:rsid w:val="0009209D"/>
    <w:rsid w:val="000932C4"/>
    <w:rsid w:val="0009463C"/>
    <w:rsid w:val="00095DD2"/>
    <w:rsid w:val="00095E4F"/>
    <w:rsid w:val="00096621"/>
    <w:rsid w:val="000969BD"/>
    <w:rsid w:val="000969BF"/>
    <w:rsid w:val="00096FBB"/>
    <w:rsid w:val="000A05E7"/>
    <w:rsid w:val="000A0C22"/>
    <w:rsid w:val="000A0E93"/>
    <w:rsid w:val="000A1400"/>
    <w:rsid w:val="000A1E3D"/>
    <w:rsid w:val="000A3C43"/>
    <w:rsid w:val="000A4A51"/>
    <w:rsid w:val="000A4CC1"/>
    <w:rsid w:val="000A56C7"/>
    <w:rsid w:val="000A5D2B"/>
    <w:rsid w:val="000A60A3"/>
    <w:rsid w:val="000A6230"/>
    <w:rsid w:val="000A6579"/>
    <w:rsid w:val="000A6F52"/>
    <w:rsid w:val="000A7563"/>
    <w:rsid w:val="000B1CD9"/>
    <w:rsid w:val="000B2B6E"/>
    <w:rsid w:val="000B3E5C"/>
    <w:rsid w:val="000B457D"/>
    <w:rsid w:val="000B4664"/>
    <w:rsid w:val="000B474F"/>
    <w:rsid w:val="000B5DE3"/>
    <w:rsid w:val="000B6CDC"/>
    <w:rsid w:val="000B7109"/>
    <w:rsid w:val="000C0A57"/>
    <w:rsid w:val="000C1670"/>
    <w:rsid w:val="000C1AA4"/>
    <w:rsid w:val="000C230C"/>
    <w:rsid w:val="000C35E3"/>
    <w:rsid w:val="000C42A5"/>
    <w:rsid w:val="000C4682"/>
    <w:rsid w:val="000C5970"/>
    <w:rsid w:val="000C6AB4"/>
    <w:rsid w:val="000C7E22"/>
    <w:rsid w:val="000D095A"/>
    <w:rsid w:val="000D133E"/>
    <w:rsid w:val="000D1502"/>
    <w:rsid w:val="000D27A3"/>
    <w:rsid w:val="000D2A70"/>
    <w:rsid w:val="000D2B38"/>
    <w:rsid w:val="000D3DE1"/>
    <w:rsid w:val="000D49D4"/>
    <w:rsid w:val="000D59B5"/>
    <w:rsid w:val="000D6F05"/>
    <w:rsid w:val="000D71D9"/>
    <w:rsid w:val="000D76E0"/>
    <w:rsid w:val="000D78AA"/>
    <w:rsid w:val="000D7C5C"/>
    <w:rsid w:val="000D7E8B"/>
    <w:rsid w:val="000D7F47"/>
    <w:rsid w:val="000E4449"/>
    <w:rsid w:val="000E58EA"/>
    <w:rsid w:val="000E6097"/>
    <w:rsid w:val="000E70FD"/>
    <w:rsid w:val="000E7278"/>
    <w:rsid w:val="000E7CF9"/>
    <w:rsid w:val="000F0C1C"/>
    <w:rsid w:val="000F2FB0"/>
    <w:rsid w:val="000F36CB"/>
    <w:rsid w:val="000F70C7"/>
    <w:rsid w:val="00100413"/>
    <w:rsid w:val="0010324E"/>
    <w:rsid w:val="00103829"/>
    <w:rsid w:val="00103A76"/>
    <w:rsid w:val="00103BCE"/>
    <w:rsid w:val="0010464F"/>
    <w:rsid w:val="001070B8"/>
    <w:rsid w:val="00111FCE"/>
    <w:rsid w:val="00112759"/>
    <w:rsid w:val="00114496"/>
    <w:rsid w:val="00115F58"/>
    <w:rsid w:val="00116887"/>
    <w:rsid w:val="001219BC"/>
    <w:rsid w:val="00122364"/>
    <w:rsid w:val="001229A5"/>
    <w:rsid w:val="0012328F"/>
    <w:rsid w:val="00123597"/>
    <w:rsid w:val="0012489B"/>
    <w:rsid w:val="00124C2B"/>
    <w:rsid w:val="0012503A"/>
    <w:rsid w:val="001256E3"/>
    <w:rsid w:val="001268B5"/>
    <w:rsid w:val="001275DB"/>
    <w:rsid w:val="00130017"/>
    <w:rsid w:val="00130214"/>
    <w:rsid w:val="001306C7"/>
    <w:rsid w:val="00130F91"/>
    <w:rsid w:val="00131398"/>
    <w:rsid w:val="001313A2"/>
    <w:rsid w:val="00133AB7"/>
    <w:rsid w:val="001343D1"/>
    <w:rsid w:val="00134425"/>
    <w:rsid w:val="0013481A"/>
    <w:rsid w:val="001349ED"/>
    <w:rsid w:val="00134B5F"/>
    <w:rsid w:val="001351C1"/>
    <w:rsid w:val="00135DFE"/>
    <w:rsid w:val="00137424"/>
    <w:rsid w:val="00137D45"/>
    <w:rsid w:val="00140318"/>
    <w:rsid w:val="00140639"/>
    <w:rsid w:val="00140ABA"/>
    <w:rsid w:val="00141AD9"/>
    <w:rsid w:val="00144CAB"/>
    <w:rsid w:val="0014503F"/>
    <w:rsid w:val="00146CE6"/>
    <w:rsid w:val="00150D70"/>
    <w:rsid w:val="00152066"/>
    <w:rsid w:val="00152903"/>
    <w:rsid w:val="00153A63"/>
    <w:rsid w:val="00153FD5"/>
    <w:rsid w:val="00154232"/>
    <w:rsid w:val="00154D61"/>
    <w:rsid w:val="0015553A"/>
    <w:rsid w:val="0015614F"/>
    <w:rsid w:val="001577C2"/>
    <w:rsid w:val="00161499"/>
    <w:rsid w:val="00161B7D"/>
    <w:rsid w:val="001620E8"/>
    <w:rsid w:val="001625BD"/>
    <w:rsid w:val="001633C4"/>
    <w:rsid w:val="001671F8"/>
    <w:rsid w:val="00167F8E"/>
    <w:rsid w:val="001704D5"/>
    <w:rsid w:val="0017050D"/>
    <w:rsid w:val="00170637"/>
    <w:rsid w:val="00170BF5"/>
    <w:rsid w:val="00171591"/>
    <w:rsid w:val="00171AFE"/>
    <w:rsid w:val="00172386"/>
    <w:rsid w:val="00173889"/>
    <w:rsid w:val="001738EB"/>
    <w:rsid w:val="00173981"/>
    <w:rsid w:val="00176553"/>
    <w:rsid w:val="0017719D"/>
    <w:rsid w:val="001777F7"/>
    <w:rsid w:val="00177DC3"/>
    <w:rsid w:val="001813AE"/>
    <w:rsid w:val="00181A57"/>
    <w:rsid w:val="00181EC1"/>
    <w:rsid w:val="0018221F"/>
    <w:rsid w:val="0018228E"/>
    <w:rsid w:val="00182A1B"/>
    <w:rsid w:val="00182AA8"/>
    <w:rsid w:val="00182DF8"/>
    <w:rsid w:val="0018354F"/>
    <w:rsid w:val="00183E8B"/>
    <w:rsid w:val="00183FD7"/>
    <w:rsid w:val="001841D7"/>
    <w:rsid w:val="001853CD"/>
    <w:rsid w:val="00185CAB"/>
    <w:rsid w:val="001875B7"/>
    <w:rsid w:val="00187CB3"/>
    <w:rsid w:val="0019050A"/>
    <w:rsid w:val="00190EDF"/>
    <w:rsid w:val="001910D4"/>
    <w:rsid w:val="00191763"/>
    <w:rsid w:val="00191973"/>
    <w:rsid w:val="00191CEC"/>
    <w:rsid w:val="00193FF7"/>
    <w:rsid w:val="001942D4"/>
    <w:rsid w:val="001976E3"/>
    <w:rsid w:val="00197833"/>
    <w:rsid w:val="001A11E7"/>
    <w:rsid w:val="001A23F3"/>
    <w:rsid w:val="001A3072"/>
    <w:rsid w:val="001A3642"/>
    <w:rsid w:val="001A39B2"/>
    <w:rsid w:val="001A3E17"/>
    <w:rsid w:val="001A44EC"/>
    <w:rsid w:val="001A78F9"/>
    <w:rsid w:val="001B1A39"/>
    <w:rsid w:val="001B2FED"/>
    <w:rsid w:val="001B3079"/>
    <w:rsid w:val="001B3286"/>
    <w:rsid w:val="001B380D"/>
    <w:rsid w:val="001B3FBA"/>
    <w:rsid w:val="001B43DC"/>
    <w:rsid w:val="001B4B69"/>
    <w:rsid w:val="001B51EE"/>
    <w:rsid w:val="001B558D"/>
    <w:rsid w:val="001B58AA"/>
    <w:rsid w:val="001B5A42"/>
    <w:rsid w:val="001B6BF6"/>
    <w:rsid w:val="001B7E48"/>
    <w:rsid w:val="001C0056"/>
    <w:rsid w:val="001C057E"/>
    <w:rsid w:val="001C0F7C"/>
    <w:rsid w:val="001C141B"/>
    <w:rsid w:val="001C17CE"/>
    <w:rsid w:val="001C1F56"/>
    <w:rsid w:val="001C2955"/>
    <w:rsid w:val="001C36CA"/>
    <w:rsid w:val="001C40D6"/>
    <w:rsid w:val="001C44D1"/>
    <w:rsid w:val="001C49DD"/>
    <w:rsid w:val="001C6243"/>
    <w:rsid w:val="001C66FA"/>
    <w:rsid w:val="001C6AEE"/>
    <w:rsid w:val="001C7630"/>
    <w:rsid w:val="001D04A5"/>
    <w:rsid w:val="001D0AA1"/>
    <w:rsid w:val="001D102B"/>
    <w:rsid w:val="001D2291"/>
    <w:rsid w:val="001D348A"/>
    <w:rsid w:val="001D416B"/>
    <w:rsid w:val="001D5A64"/>
    <w:rsid w:val="001D5C34"/>
    <w:rsid w:val="001D65CD"/>
    <w:rsid w:val="001D6A34"/>
    <w:rsid w:val="001D6D15"/>
    <w:rsid w:val="001D7CEA"/>
    <w:rsid w:val="001E02FE"/>
    <w:rsid w:val="001E0A6C"/>
    <w:rsid w:val="001E22CD"/>
    <w:rsid w:val="001E35DF"/>
    <w:rsid w:val="001E3DC0"/>
    <w:rsid w:val="001E5144"/>
    <w:rsid w:val="001E5BA2"/>
    <w:rsid w:val="001E65C7"/>
    <w:rsid w:val="001E7609"/>
    <w:rsid w:val="001E79F5"/>
    <w:rsid w:val="001E7FD1"/>
    <w:rsid w:val="001F0730"/>
    <w:rsid w:val="001F2A56"/>
    <w:rsid w:val="001F3506"/>
    <w:rsid w:val="001F35B7"/>
    <w:rsid w:val="001F50F7"/>
    <w:rsid w:val="001F52F8"/>
    <w:rsid w:val="001F58DB"/>
    <w:rsid w:val="001F5A1D"/>
    <w:rsid w:val="001F634C"/>
    <w:rsid w:val="001F7558"/>
    <w:rsid w:val="001F75BB"/>
    <w:rsid w:val="001F7F95"/>
    <w:rsid w:val="002000AF"/>
    <w:rsid w:val="00201EE2"/>
    <w:rsid w:val="00203BC1"/>
    <w:rsid w:val="00204DA1"/>
    <w:rsid w:val="0020584D"/>
    <w:rsid w:val="00205B57"/>
    <w:rsid w:val="002100A2"/>
    <w:rsid w:val="002106D3"/>
    <w:rsid w:val="00210730"/>
    <w:rsid w:val="0021426C"/>
    <w:rsid w:val="002157E0"/>
    <w:rsid w:val="00216A57"/>
    <w:rsid w:val="00217448"/>
    <w:rsid w:val="00217621"/>
    <w:rsid w:val="002201BC"/>
    <w:rsid w:val="0022071B"/>
    <w:rsid w:val="00220AD3"/>
    <w:rsid w:val="0022334F"/>
    <w:rsid w:val="00225192"/>
    <w:rsid w:val="00226819"/>
    <w:rsid w:val="00226AA3"/>
    <w:rsid w:val="00230A81"/>
    <w:rsid w:val="00230FD6"/>
    <w:rsid w:val="00231418"/>
    <w:rsid w:val="00231512"/>
    <w:rsid w:val="00231B3C"/>
    <w:rsid w:val="00233101"/>
    <w:rsid w:val="0023321F"/>
    <w:rsid w:val="00233285"/>
    <w:rsid w:val="00233817"/>
    <w:rsid w:val="00233B94"/>
    <w:rsid w:val="0023479B"/>
    <w:rsid w:val="0023539A"/>
    <w:rsid w:val="002367FF"/>
    <w:rsid w:val="00237ECA"/>
    <w:rsid w:val="00240CE9"/>
    <w:rsid w:val="00241C39"/>
    <w:rsid w:val="002434BA"/>
    <w:rsid w:val="00243727"/>
    <w:rsid w:val="00246089"/>
    <w:rsid w:val="00246093"/>
    <w:rsid w:val="00246702"/>
    <w:rsid w:val="00246965"/>
    <w:rsid w:val="00247C59"/>
    <w:rsid w:val="00247F2E"/>
    <w:rsid w:val="00250ADC"/>
    <w:rsid w:val="00250B07"/>
    <w:rsid w:val="00251053"/>
    <w:rsid w:val="0025445B"/>
    <w:rsid w:val="00255790"/>
    <w:rsid w:val="00256740"/>
    <w:rsid w:val="00257553"/>
    <w:rsid w:val="00260FB2"/>
    <w:rsid w:val="0026102B"/>
    <w:rsid w:val="00262128"/>
    <w:rsid w:val="002633D1"/>
    <w:rsid w:val="002647D1"/>
    <w:rsid w:val="00264C38"/>
    <w:rsid w:val="00264CEE"/>
    <w:rsid w:val="00265D85"/>
    <w:rsid w:val="002662FB"/>
    <w:rsid w:val="002672E7"/>
    <w:rsid w:val="002678A4"/>
    <w:rsid w:val="00267D51"/>
    <w:rsid w:val="0027165D"/>
    <w:rsid w:val="00272689"/>
    <w:rsid w:val="00273CEB"/>
    <w:rsid w:val="0027494F"/>
    <w:rsid w:val="00276BB2"/>
    <w:rsid w:val="0028018B"/>
    <w:rsid w:val="00281501"/>
    <w:rsid w:val="00281C89"/>
    <w:rsid w:val="0028282F"/>
    <w:rsid w:val="00282F61"/>
    <w:rsid w:val="00282FE3"/>
    <w:rsid w:val="0028367D"/>
    <w:rsid w:val="00283831"/>
    <w:rsid w:val="0028439D"/>
    <w:rsid w:val="00285571"/>
    <w:rsid w:val="0028589A"/>
    <w:rsid w:val="00285ABD"/>
    <w:rsid w:val="00286027"/>
    <w:rsid w:val="00286631"/>
    <w:rsid w:val="0029130D"/>
    <w:rsid w:val="0029142F"/>
    <w:rsid w:val="00291543"/>
    <w:rsid w:val="00292082"/>
    <w:rsid w:val="002941B6"/>
    <w:rsid w:val="00295222"/>
    <w:rsid w:val="0029593B"/>
    <w:rsid w:val="00295983"/>
    <w:rsid w:val="00295F9B"/>
    <w:rsid w:val="0029698F"/>
    <w:rsid w:val="0029763B"/>
    <w:rsid w:val="002979C0"/>
    <w:rsid w:val="00297FC5"/>
    <w:rsid w:val="002A0414"/>
    <w:rsid w:val="002A0417"/>
    <w:rsid w:val="002A063F"/>
    <w:rsid w:val="002A0683"/>
    <w:rsid w:val="002A0700"/>
    <w:rsid w:val="002A09BD"/>
    <w:rsid w:val="002A16D8"/>
    <w:rsid w:val="002A1BC8"/>
    <w:rsid w:val="002A2098"/>
    <w:rsid w:val="002A34A3"/>
    <w:rsid w:val="002A36E9"/>
    <w:rsid w:val="002A3EF2"/>
    <w:rsid w:val="002A5A2E"/>
    <w:rsid w:val="002A6A17"/>
    <w:rsid w:val="002B0DED"/>
    <w:rsid w:val="002B19A2"/>
    <w:rsid w:val="002B1CC5"/>
    <w:rsid w:val="002B2021"/>
    <w:rsid w:val="002B2CD1"/>
    <w:rsid w:val="002B381A"/>
    <w:rsid w:val="002B4FCC"/>
    <w:rsid w:val="002B507C"/>
    <w:rsid w:val="002B6D93"/>
    <w:rsid w:val="002B7408"/>
    <w:rsid w:val="002B7CFD"/>
    <w:rsid w:val="002C0530"/>
    <w:rsid w:val="002C084B"/>
    <w:rsid w:val="002C18A7"/>
    <w:rsid w:val="002C1FBA"/>
    <w:rsid w:val="002C210F"/>
    <w:rsid w:val="002C27E7"/>
    <w:rsid w:val="002C2DCC"/>
    <w:rsid w:val="002C3299"/>
    <w:rsid w:val="002C3638"/>
    <w:rsid w:val="002C41C4"/>
    <w:rsid w:val="002C4353"/>
    <w:rsid w:val="002C465A"/>
    <w:rsid w:val="002C6159"/>
    <w:rsid w:val="002C720F"/>
    <w:rsid w:val="002C74C1"/>
    <w:rsid w:val="002C7802"/>
    <w:rsid w:val="002D1660"/>
    <w:rsid w:val="002D1EB7"/>
    <w:rsid w:val="002D267F"/>
    <w:rsid w:val="002D3600"/>
    <w:rsid w:val="002D3B62"/>
    <w:rsid w:val="002D53A4"/>
    <w:rsid w:val="002D58C6"/>
    <w:rsid w:val="002D67A7"/>
    <w:rsid w:val="002D67E3"/>
    <w:rsid w:val="002D6C61"/>
    <w:rsid w:val="002D74EE"/>
    <w:rsid w:val="002D7EC8"/>
    <w:rsid w:val="002E03CE"/>
    <w:rsid w:val="002E077E"/>
    <w:rsid w:val="002E11B1"/>
    <w:rsid w:val="002E270E"/>
    <w:rsid w:val="002E2FB3"/>
    <w:rsid w:val="002E459F"/>
    <w:rsid w:val="002E4DDC"/>
    <w:rsid w:val="002E649C"/>
    <w:rsid w:val="002E730A"/>
    <w:rsid w:val="002E777B"/>
    <w:rsid w:val="002E79E9"/>
    <w:rsid w:val="002F0C42"/>
    <w:rsid w:val="002F2775"/>
    <w:rsid w:val="002F2D00"/>
    <w:rsid w:val="002F34E5"/>
    <w:rsid w:val="002F39B6"/>
    <w:rsid w:val="002F3A08"/>
    <w:rsid w:val="002F48E9"/>
    <w:rsid w:val="002F4C69"/>
    <w:rsid w:val="002F5C3C"/>
    <w:rsid w:val="002F5EAF"/>
    <w:rsid w:val="002F7618"/>
    <w:rsid w:val="002F7754"/>
    <w:rsid w:val="00301EA1"/>
    <w:rsid w:val="00302480"/>
    <w:rsid w:val="00302758"/>
    <w:rsid w:val="00302B86"/>
    <w:rsid w:val="0030328A"/>
    <w:rsid w:val="00303BD6"/>
    <w:rsid w:val="00303BE0"/>
    <w:rsid w:val="00304C88"/>
    <w:rsid w:val="00305981"/>
    <w:rsid w:val="00310063"/>
    <w:rsid w:val="00310F2D"/>
    <w:rsid w:val="003121E3"/>
    <w:rsid w:val="00312C03"/>
    <w:rsid w:val="003151BA"/>
    <w:rsid w:val="003165E6"/>
    <w:rsid w:val="00317590"/>
    <w:rsid w:val="003215B5"/>
    <w:rsid w:val="00321F4E"/>
    <w:rsid w:val="003221CF"/>
    <w:rsid w:val="0032264C"/>
    <w:rsid w:val="003233ED"/>
    <w:rsid w:val="00323D31"/>
    <w:rsid w:val="00324D9F"/>
    <w:rsid w:val="003252C4"/>
    <w:rsid w:val="003253EE"/>
    <w:rsid w:val="00327948"/>
    <w:rsid w:val="00327CA0"/>
    <w:rsid w:val="0033000F"/>
    <w:rsid w:val="00332011"/>
    <w:rsid w:val="00332518"/>
    <w:rsid w:val="003325C7"/>
    <w:rsid w:val="00332925"/>
    <w:rsid w:val="00332E3F"/>
    <w:rsid w:val="003332ED"/>
    <w:rsid w:val="00335A1A"/>
    <w:rsid w:val="003368DC"/>
    <w:rsid w:val="00336BA1"/>
    <w:rsid w:val="00336E4F"/>
    <w:rsid w:val="00337528"/>
    <w:rsid w:val="003375A5"/>
    <w:rsid w:val="003437F4"/>
    <w:rsid w:val="00343C26"/>
    <w:rsid w:val="0034490B"/>
    <w:rsid w:val="00344D44"/>
    <w:rsid w:val="0034536C"/>
    <w:rsid w:val="00345927"/>
    <w:rsid w:val="00347283"/>
    <w:rsid w:val="00347DCF"/>
    <w:rsid w:val="00350584"/>
    <w:rsid w:val="00351857"/>
    <w:rsid w:val="0035224C"/>
    <w:rsid w:val="00352762"/>
    <w:rsid w:val="003544B9"/>
    <w:rsid w:val="003545E8"/>
    <w:rsid w:val="00355E86"/>
    <w:rsid w:val="00357149"/>
    <w:rsid w:val="00357F1F"/>
    <w:rsid w:val="00357F92"/>
    <w:rsid w:val="00360DAB"/>
    <w:rsid w:val="003610E1"/>
    <w:rsid w:val="003614C0"/>
    <w:rsid w:val="003620D3"/>
    <w:rsid w:val="00362B1D"/>
    <w:rsid w:val="003631CB"/>
    <w:rsid w:val="003671BE"/>
    <w:rsid w:val="0036771A"/>
    <w:rsid w:val="00370915"/>
    <w:rsid w:val="00370BA8"/>
    <w:rsid w:val="003715B6"/>
    <w:rsid w:val="0037166F"/>
    <w:rsid w:val="00371CC7"/>
    <w:rsid w:val="00372485"/>
    <w:rsid w:val="00373200"/>
    <w:rsid w:val="00373B9F"/>
    <w:rsid w:val="00373DDE"/>
    <w:rsid w:val="003740E4"/>
    <w:rsid w:val="00375985"/>
    <w:rsid w:val="00375EF5"/>
    <w:rsid w:val="0037633A"/>
    <w:rsid w:val="003767A5"/>
    <w:rsid w:val="00376A8C"/>
    <w:rsid w:val="003774C5"/>
    <w:rsid w:val="00377821"/>
    <w:rsid w:val="003800CA"/>
    <w:rsid w:val="003803BD"/>
    <w:rsid w:val="00380587"/>
    <w:rsid w:val="00381011"/>
    <w:rsid w:val="00381D15"/>
    <w:rsid w:val="00383328"/>
    <w:rsid w:val="00385254"/>
    <w:rsid w:val="00385BA5"/>
    <w:rsid w:val="00390D91"/>
    <w:rsid w:val="003912FB"/>
    <w:rsid w:val="00392D01"/>
    <w:rsid w:val="003932BB"/>
    <w:rsid w:val="003933E8"/>
    <w:rsid w:val="00394031"/>
    <w:rsid w:val="00394BFC"/>
    <w:rsid w:val="00395CE5"/>
    <w:rsid w:val="003960EF"/>
    <w:rsid w:val="00396B62"/>
    <w:rsid w:val="00396DC2"/>
    <w:rsid w:val="003977F0"/>
    <w:rsid w:val="003A04DB"/>
    <w:rsid w:val="003A2FFE"/>
    <w:rsid w:val="003A3966"/>
    <w:rsid w:val="003A404F"/>
    <w:rsid w:val="003A52F3"/>
    <w:rsid w:val="003A5F5B"/>
    <w:rsid w:val="003A789A"/>
    <w:rsid w:val="003B0081"/>
    <w:rsid w:val="003B12EC"/>
    <w:rsid w:val="003B19BF"/>
    <w:rsid w:val="003B1C55"/>
    <w:rsid w:val="003B25D4"/>
    <w:rsid w:val="003B3121"/>
    <w:rsid w:val="003B4E3B"/>
    <w:rsid w:val="003B706C"/>
    <w:rsid w:val="003C03B8"/>
    <w:rsid w:val="003C1359"/>
    <w:rsid w:val="003C2B02"/>
    <w:rsid w:val="003C2F5D"/>
    <w:rsid w:val="003C66E3"/>
    <w:rsid w:val="003C738C"/>
    <w:rsid w:val="003C77E0"/>
    <w:rsid w:val="003D0C92"/>
    <w:rsid w:val="003D17D7"/>
    <w:rsid w:val="003D1C3E"/>
    <w:rsid w:val="003D1CBF"/>
    <w:rsid w:val="003D2678"/>
    <w:rsid w:val="003D4938"/>
    <w:rsid w:val="003D584A"/>
    <w:rsid w:val="003D5A6E"/>
    <w:rsid w:val="003D71A3"/>
    <w:rsid w:val="003D7265"/>
    <w:rsid w:val="003D7ADE"/>
    <w:rsid w:val="003E0FA5"/>
    <w:rsid w:val="003E1668"/>
    <w:rsid w:val="003E19EB"/>
    <w:rsid w:val="003E2053"/>
    <w:rsid w:val="003E27F1"/>
    <w:rsid w:val="003E2B8A"/>
    <w:rsid w:val="003E44AC"/>
    <w:rsid w:val="003E45AD"/>
    <w:rsid w:val="003E632A"/>
    <w:rsid w:val="003E7D19"/>
    <w:rsid w:val="003F081D"/>
    <w:rsid w:val="003F0D1B"/>
    <w:rsid w:val="003F10EE"/>
    <w:rsid w:val="003F16F6"/>
    <w:rsid w:val="003F33EB"/>
    <w:rsid w:val="003F48D9"/>
    <w:rsid w:val="003F4DC7"/>
    <w:rsid w:val="003F5235"/>
    <w:rsid w:val="003F57F8"/>
    <w:rsid w:val="003F5E53"/>
    <w:rsid w:val="003F724A"/>
    <w:rsid w:val="004027E4"/>
    <w:rsid w:val="004058AF"/>
    <w:rsid w:val="00406299"/>
    <w:rsid w:val="004065CD"/>
    <w:rsid w:val="004065E8"/>
    <w:rsid w:val="00406FD1"/>
    <w:rsid w:val="004073F0"/>
    <w:rsid w:val="00407653"/>
    <w:rsid w:val="00407D7C"/>
    <w:rsid w:val="0041071D"/>
    <w:rsid w:val="00410AF4"/>
    <w:rsid w:val="00410E48"/>
    <w:rsid w:val="00410E99"/>
    <w:rsid w:val="00412D50"/>
    <w:rsid w:val="00414AA1"/>
    <w:rsid w:val="00414AFC"/>
    <w:rsid w:val="004151A7"/>
    <w:rsid w:val="00415310"/>
    <w:rsid w:val="004160B4"/>
    <w:rsid w:val="004202A9"/>
    <w:rsid w:val="00421709"/>
    <w:rsid w:val="00423763"/>
    <w:rsid w:val="00423B7C"/>
    <w:rsid w:val="004247DB"/>
    <w:rsid w:val="0042484F"/>
    <w:rsid w:val="00425B3C"/>
    <w:rsid w:val="0042762F"/>
    <w:rsid w:val="00427DC7"/>
    <w:rsid w:val="00431613"/>
    <w:rsid w:val="00431792"/>
    <w:rsid w:val="004326C8"/>
    <w:rsid w:val="0043297A"/>
    <w:rsid w:val="00432EB2"/>
    <w:rsid w:val="0043714F"/>
    <w:rsid w:val="004401E7"/>
    <w:rsid w:val="00441D44"/>
    <w:rsid w:val="00441E57"/>
    <w:rsid w:val="004438B5"/>
    <w:rsid w:val="0044395A"/>
    <w:rsid w:val="00444774"/>
    <w:rsid w:val="00444FA2"/>
    <w:rsid w:val="004458C9"/>
    <w:rsid w:val="004468D8"/>
    <w:rsid w:val="00447037"/>
    <w:rsid w:val="0045124D"/>
    <w:rsid w:val="00453890"/>
    <w:rsid w:val="00453C00"/>
    <w:rsid w:val="00454596"/>
    <w:rsid w:val="0045492B"/>
    <w:rsid w:val="0045542D"/>
    <w:rsid w:val="004554F7"/>
    <w:rsid w:val="0045605D"/>
    <w:rsid w:val="004560AC"/>
    <w:rsid w:val="00457FCE"/>
    <w:rsid w:val="0046116E"/>
    <w:rsid w:val="0046135B"/>
    <w:rsid w:val="00461D47"/>
    <w:rsid w:val="00462427"/>
    <w:rsid w:val="00462CCF"/>
    <w:rsid w:val="004632CA"/>
    <w:rsid w:val="00463785"/>
    <w:rsid w:val="00463E4D"/>
    <w:rsid w:val="0046521C"/>
    <w:rsid w:val="00470596"/>
    <w:rsid w:val="004711E5"/>
    <w:rsid w:val="004718CC"/>
    <w:rsid w:val="00471FDE"/>
    <w:rsid w:val="00474C4B"/>
    <w:rsid w:val="00475893"/>
    <w:rsid w:val="004768F7"/>
    <w:rsid w:val="004774B8"/>
    <w:rsid w:val="00477F2C"/>
    <w:rsid w:val="00481695"/>
    <w:rsid w:val="00482A7B"/>
    <w:rsid w:val="00482CE4"/>
    <w:rsid w:val="00482FBD"/>
    <w:rsid w:val="00482FC1"/>
    <w:rsid w:val="00484098"/>
    <w:rsid w:val="00484BC8"/>
    <w:rsid w:val="004854C8"/>
    <w:rsid w:val="00485D95"/>
    <w:rsid w:val="0048693F"/>
    <w:rsid w:val="00486D63"/>
    <w:rsid w:val="00486FF6"/>
    <w:rsid w:val="00491DDC"/>
    <w:rsid w:val="004924B7"/>
    <w:rsid w:val="00492DB0"/>
    <w:rsid w:val="00494353"/>
    <w:rsid w:val="00494517"/>
    <w:rsid w:val="00495A96"/>
    <w:rsid w:val="00495BB3"/>
    <w:rsid w:val="0049603B"/>
    <w:rsid w:val="00496661"/>
    <w:rsid w:val="00496ECC"/>
    <w:rsid w:val="00497DA9"/>
    <w:rsid w:val="004A01C8"/>
    <w:rsid w:val="004A0BAE"/>
    <w:rsid w:val="004A1014"/>
    <w:rsid w:val="004A214F"/>
    <w:rsid w:val="004A23FE"/>
    <w:rsid w:val="004A25BD"/>
    <w:rsid w:val="004A2A6B"/>
    <w:rsid w:val="004A56BB"/>
    <w:rsid w:val="004A70D6"/>
    <w:rsid w:val="004B1751"/>
    <w:rsid w:val="004B3B49"/>
    <w:rsid w:val="004B4698"/>
    <w:rsid w:val="004B553E"/>
    <w:rsid w:val="004C0253"/>
    <w:rsid w:val="004C2998"/>
    <w:rsid w:val="004C3578"/>
    <w:rsid w:val="004C5508"/>
    <w:rsid w:val="004C5594"/>
    <w:rsid w:val="004C5ABC"/>
    <w:rsid w:val="004C7E51"/>
    <w:rsid w:val="004D1064"/>
    <w:rsid w:val="004D131E"/>
    <w:rsid w:val="004D1F67"/>
    <w:rsid w:val="004D2120"/>
    <w:rsid w:val="004D38C9"/>
    <w:rsid w:val="004D418E"/>
    <w:rsid w:val="004D4194"/>
    <w:rsid w:val="004D56FF"/>
    <w:rsid w:val="004E02AC"/>
    <w:rsid w:val="004E0910"/>
    <w:rsid w:val="004E0B2B"/>
    <w:rsid w:val="004E0D8C"/>
    <w:rsid w:val="004E1386"/>
    <w:rsid w:val="004E2F13"/>
    <w:rsid w:val="004E39D3"/>
    <w:rsid w:val="004E508A"/>
    <w:rsid w:val="004E616D"/>
    <w:rsid w:val="004F09EE"/>
    <w:rsid w:val="004F0D9B"/>
    <w:rsid w:val="004F0E5E"/>
    <w:rsid w:val="004F1BDE"/>
    <w:rsid w:val="004F2CEE"/>
    <w:rsid w:val="004F302B"/>
    <w:rsid w:val="004F556E"/>
    <w:rsid w:val="004F591C"/>
    <w:rsid w:val="004F5D79"/>
    <w:rsid w:val="004F71D8"/>
    <w:rsid w:val="004F7F44"/>
    <w:rsid w:val="00500D67"/>
    <w:rsid w:val="005011F2"/>
    <w:rsid w:val="00502EDC"/>
    <w:rsid w:val="005032B1"/>
    <w:rsid w:val="005037B4"/>
    <w:rsid w:val="005037B7"/>
    <w:rsid w:val="005054F6"/>
    <w:rsid w:val="00506B0D"/>
    <w:rsid w:val="005079BF"/>
    <w:rsid w:val="00507CBE"/>
    <w:rsid w:val="00510031"/>
    <w:rsid w:val="0051269A"/>
    <w:rsid w:val="005131B1"/>
    <w:rsid w:val="00517C4A"/>
    <w:rsid w:val="005207E2"/>
    <w:rsid w:val="00520C16"/>
    <w:rsid w:val="005219E7"/>
    <w:rsid w:val="00522266"/>
    <w:rsid w:val="0052243C"/>
    <w:rsid w:val="00522A58"/>
    <w:rsid w:val="00522C85"/>
    <w:rsid w:val="00523799"/>
    <w:rsid w:val="00524536"/>
    <w:rsid w:val="00524894"/>
    <w:rsid w:val="00525119"/>
    <w:rsid w:val="0052552E"/>
    <w:rsid w:val="005262B1"/>
    <w:rsid w:val="005271B8"/>
    <w:rsid w:val="00527265"/>
    <w:rsid w:val="005301AC"/>
    <w:rsid w:val="005315F5"/>
    <w:rsid w:val="005316BD"/>
    <w:rsid w:val="00531B9A"/>
    <w:rsid w:val="00531D15"/>
    <w:rsid w:val="005323E4"/>
    <w:rsid w:val="00533C93"/>
    <w:rsid w:val="005364D5"/>
    <w:rsid w:val="00537604"/>
    <w:rsid w:val="00537E65"/>
    <w:rsid w:val="00542016"/>
    <w:rsid w:val="00542377"/>
    <w:rsid w:val="00542509"/>
    <w:rsid w:val="005429E7"/>
    <w:rsid w:val="0054345C"/>
    <w:rsid w:val="00543797"/>
    <w:rsid w:val="00545DC4"/>
    <w:rsid w:val="00545FA1"/>
    <w:rsid w:val="0054624B"/>
    <w:rsid w:val="005467BC"/>
    <w:rsid w:val="00546B91"/>
    <w:rsid w:val="00546D98"/>
    <w:rsid w:val="005476EB"/>
    <w:rsid w:val="00550694"/>
    <w:rsid w:val="00550A03"/>
    <w:rsid w:val="00550CB6"/>
    <w:rsid w:val="00550F26"/>
    <w:rsid w:val="00551782"/>
    <w:rsid w:val="0055222B"/>
    <w:rsid w:val="00553021"/>
    <w:rsid w:val="00553E37"/>
    <w:rsid w:val="005543EC"/>
    <w:rsid w:val="0055445F"/>
    <w:rsid w:val="00554FFF"/>
    <w:rsid w:val="00560135"/>
    <w:rsid w:val="005607F0"/>
    <w:rsid w:val="00561DA6"/>
    <w:rsid w:val="00561FE8"/>
    <w:rsid w:val="00563BA3"/>
    <w:rsid w:val="00563EF1"/>
    <w:rsid w:val="00564793"/>
    <w:rsid w:val="00565020"/>
    <w:rsid w:val="00565479"/>
    <w:rsid w:val="00566AB4"/>
    <w:rsid w:val="00573812"/>
    <w:rsid w:val="0057550A"/>
    <w:rsid w:val="0057592A"/>
    <w:rsid w:val="00575AC5"/>
    <w:rsid w:val="00575B1B"/>
    <w:rsid w:val="0057605D"/>
    <w:rsid w:val="00577A1E"/>
    <w:rsid w:val="00577A5C"/>
    <w:rsid w:val="00577CB9"/>
    <w:rsid w:val="00581015"/>
    <w:rsid w:val="00581347"/>
    <w:rsid w:val="00581AC9"/>
    <w:rsid w:val="005827BB"/>
    <w:rsid w:val="0058357F"/>
    <w:rsid w:val="0058438A"/>
    <w:rsid w:val="005849F8"/>
    <w:rsid w:val="00584B51"/>
    <w:rsid w:val="005869DE"/>
    <w:rsid w:val="00587890"/>
    <w:rsid w:val="005915B6"/>
    <w:rsid w:val="00591A9D"/>
    <w:rsid w:val="005928BF"/>
    <w:rsid w:val="005938DF"/>
    <w:rsid w:val="00593FA4"/>
    <w:rsid w:val="00594388"/>
    <w:rsid w:val="00594E9C"/>
    <w:rsid w:val="0059565D"/>
    <w:rsid w:val="005977CC"/>
    <w:rsid w:val="005A077D"/>
    <w:rsid w:val="005A099B"/>
    <w:rsid w:val="005A13BF"/>
    <w:rsid w:val="005A21DD"/>
    <w:rsid w:val="005A2642"/>
    <w:rsid w:val="005A2D9C"/>
    <w:rsid w:val="005A3509"/>
    <w:rsid w:val="005A48A8"/>
    <w:rsid w:val="005A55FE"/>
    <w:rsid w:val="005A6A11"/>
    <w:rsid w:val="005B0855"/>
    <w:rsid w:val="005B1F80"/>
    <w:rsid w:val="005B29B1"/>
    <w:rsid w:val="005B2E95"/>
    <w:rsid w:val="005B2F0D"/>
    <w:rsid w:val="005B3F95"/>
    <w:rsid w:val="005B3FF7"/>
    <w:rsid w:val="005B4236"/>
    <w:rsid w:val="005B4840"/>
    <w:rsid w:val="005B4AED"/>
    <w:rsid w:val="005B4ECD"/>
    <w:rsid w:val="005B5A76"/>
    <w:rsid w:val="005B64CC"/>
    <w:rsid w:val="005B7C4B"/>
    <w:rsid w:val="005C01DD"/>
    <w:rsid w:val="005C028C"/>
    <w:rsid w:val="005C23A8"/>
    <w:rsid w:val="005C34EF"/>
    <w:rsid w:val="005C5312"/>
    <w:rsid w:val="005C5622"/>
    <w:rsid w:val="005C5CD4"/>
    <w:rsid w:val="005C6AAF"/>
    <w:rsid w:val="005C7FC0"/>
    <w:rsid w:val="005D0749"/>
    <w:rsid w:val="005D11C7"/>
    <w:rsid w:val="005D1AA7"/>
    <w:rsid w:val="005D2092"/>
    <w:rsid w:val="005D2502"/>
    <w:rsid w:val="005D2D63"/>
    <w:rsid w:val="005D40BB"/>
    <w:rsid w:val="005D40CE"/>
    <w:rsid w:val="005D47F3"/>
    <w:rsid w:val="005D49BF"/>
    <w:rsid w:val="005D4AA5"/>
    <w:rsid w:val="005D53F1"/>
    <w:rsid w:val="005D639E"/>
    <w:rsid w:val="005D649C"/>
    <w:rsid w:val="005D6F4E"/>
    <w:rsid w:val="005D6FC6"/>
    <w:rsid w:val="005D723A"/>
    <w:rsid w:val="005D7C73"/>
    <w:rsid w:val="005E0351"/>
    <w:rsid w:val="005E1EB3"/>
    <w:rsid w:val="005E23B4"/>
    <w:rsid w:val="005E250B"/>
    <w:rsid w:val="005E3ACD"/>
    <w:rsid w:val="005E3DF3"/>
    <w:rsid w:val="005E4151"/>
    <w:rsid w:val="005E6B3C"/>
    <w:rsid w:val="005E7226"/>
    <w:rsid w:val="005E7A57"/>
    <w:rsid w:val="005E7C83"/>
    <w:rsid w:val="005F24B0"/>
    <w:rsid w:val="005F2B58"/>
    <w:rsid w:val="005F3390"/>
    <w:rsid w:val="005F3856"/>
    <w:rsid w:val="005F42EA"/>
    <w:rsid w:val="005F4959"/>
    <w:rsid w:val="005F51C0"/>
    <w:rsid w:val="005F5FAF"/>
    <w:rsid w:val="005F7688"/>
    <w:rsid w:val="0060077B"/>
    <w:rsid w:val="00600CA0"/>
    <w:rsid w:val="00601235"/>
    <w:rsid w:val="00601570"/>
    <w:rsid w:val="00601A71"/>
    <w:rsid w:val="0060206D"/>
    <w:rsid w:val="00604315"/>
    <w:rsid w:val="00604E26"/>
    <w:rsid w:val="0060518C"/>
    <w:rsid w:val="0060523F"/>
    <w:rsid w:val="006052CF"/>
    <w:rsid w:val="0060539F"/>
    <w:rsid w:val="00605CCA"/>
    <w:rsid w:val="00606687"/>
    <w:rsid w:val="00606CD4"/>
    <w:rsid w:val="00607B8D"/>
    <w:rsid w:val="00610DAD"/>
    <w:rsid w:val="00611B34"/>
    <w:rsid w:val="00611CE8"/>
    <w:rsid w:val="00611F5C"/>
    <w:rsid w:val="00612915"/>
    <w:rsid w:val="006135F9"/>
    <w:rsid w:val="00613B3A"/>
    <w:rsid w:val="0061503E"/>
    <w:rsid w:val="0061664B"/>
    <w:rsid w:val="00616E09"/>
    <w:rsid w:val="00617B96"/>
    <w:rsid w:val="00617EEA"/>
    <w:rsid w:val="00620D8A"/>
    <w:rsid w:val="0062140D"/>
    <w:rsid w:val="00621604"/>
    <w:rsid w:val="0062275F"/>
    <w:rsid w:val="00622A3B"/>
    <w:rsid w:val="00622EEA"/>
    <w:rsid w:val="0062396C"/>
    <w:rsid w:val="00623B9B"/>
    <w:rsid w:val="00623FF9"/>
    <w:rsid w:val="0062437D"/>
    <w:rsid w:val="0062571F"/>
    <w:rsid w:val="00625862"/>
    <w:rsid w:val="006266ED"/>
    <w:rsid w:val="00627D4E"/>
    <w:rsid w:val="00627F71"/>
    <w:rsid w:val="00632B89"/>
    <w:rsid w:val="0063346D"/>
    <w:rsid w:val="00633777"/>
    <w:rsid w:val="006337C7"/>
    <w:rsid w:val="00634478"/>
    <w:rsid w:val="00634F63"/>
    <w:rsid w:val="00634FEB"/>
    <w:rsid w:val="006354DB"/>
    <w:rsid w:val="00636B56"/>
    <w:rsid w:val="006375B6"/>
    <w:rsid w:val="0064092F"/>
    <w:rsid w:val="00641042"/>
    <w:rsid w:val="00641B3D"/>
    <w:rsid w:val="006427F8"/>
    <w:rsid w:val="00644373"/>
    <w:rsid w:val="00645915"/>
    <w:rsid w:val="00645B4C"/>
    <w:rsid w:val="00645CF2"/>
    <w:rsid w:val="00645FB2"/>
    <w:rsid w:val="00646CC4"/>
    <w:rsid w:val="00647B78"/>
    <w:rsid w:val="006519C3"/>
    <w:rsid w:val="00652B30"/>
    <w:rsid w:val="0065565F"/>
    <w:rsid w:val="00656345"/>
    <w:rsid w:val="00656DC6"/>
    <w:rsid w:val="0066070C"/>
    <w:rsid w:val="00660EC6"/>
    <w:rsid w:val="00661256"/>
    <w:rsid w:val="0066309A"/>
    <w:rsid w:val="00663703"/>
    <w:rsid w:val="00664110"/>
    <w:rsid w:val="00664905"/>
    <w:rsid w:val="00664CF0"/>
    <w:rsid w:val="00664D17"/>
    <w:rsid w:val="00665124"/>
    <w:rsid w:val="00666298"/>
    <w:rsid w:val="00666520"/>
    <w:rsid w:val="00667C5B"/>
    <w:rsid w:val="00667DB3"/>
    <w:rsid w:val="0067150D"/>
    <w:rsid w:val="00671B6F"/>
    <w:rsid w:val="00675763"/>
    <w:rsid w:val="00676C23"/>
    <w:rsid w:val="0067797A"/>
    <w:rsid w:val="00681076"/>
    <w:rsid w:val="0068265B"/>
    <w:rsid w:val="006826BF"/>
    <w:rsid w:val="00684E13"/>
    <w:rsid w:val="00686A8C"/>
    <w:rsid w:val="00687D30"/>
    <w:rsid w:val="006905FC"/>
    <w:rsid w:val="00691EB8"/>
    <w:rsid w:val="00692CDE"/>
    <w:rsid w:val="00693073"/>
    <w:rsid w:val="006931F9"/>
    <w:rsid w:val="00693C7D"/>
    <w:rsid w:val="006977FF"/>
    <w:rsid w:val="006A01FA"/>
    <w:rsid w:val="006A0E9E"/>
    <w:rsid w:val="006A1D72"/>
    <w:rsid w:val="006A25C7"/>
    <w:rsid w:val="006A2916"/>
    <w:rsid w:val="006A2F1A"/>
    <w:rsid w:val="006A3078"/>
    <w:rsid w:val="006A3ECF"/>
    <w:rsid w:val="006A4637"/>
    <w:rsid w:val="006A4AAD"/>
    <w:rsid w:val="006A4CCA"/>
    <w:rsid w:val="006A6DA2"/>
    <w:rsid w:val="006A7254"/>
    <w:rsid w:val="006A753E"/>
    <w:rsid w:val="006A7AB2"/>
    <w:rsid w:val="006B0765"/>
    <w:rsid w:val="006B0912"/>
    <w:rsid w:val="006B1214"/>
    <w:rsid w:val="006B17F2"/>
    <w:rsid w:val="006B3015"/>
    <w:rsid w:val="006B33C7"/>
    <w:rsid w:val="006B3822"/>
    <w:rsid w:val="006B3CEA"/>
    <w:rsid w:val="006B52DE"/>
    <w:rsid w:val="006B5301"/>
    <w:rsid w:val="006B5717"/>
    <w:rsid w:val="006B582F"/>
    <w:rsid w:val="006B5EB2"/>
    <w:rsid w:val="006B7EAE"/>
    <w:rsid w:val="006C0810"/>
    <w:rsid w:val="006C0CEB"/>
    <w:rsid w:val="006C10EA"/>
    <w:rsid w:val="006C1631"/>
    <w:rsid w:val="006C1D7A"/>
    <w:rsid w:val="006C2775"/>
    <w:rsid w:val="006C365B"/>
    <w:rsid w:val="006C3B1E"/>
    <w:rsid w:val="006C47FD"/>
    <w:rsid w:val="006C4A4F"/>
    <w:rsid w:val="006C5798"/>
    <w:rsid w:val="006C5C19"/>
    <w:rsid w:val="006C5FD4"/>
    <w:rsid w:val="006C6845"/>
    <w:rsid w:val="006C70A0"/>
    <w:rsid w:val="006D16F0"/>
    <w:rsid w:val="006D27CB"/>
    <w:rsid w:val="006D2A8A"/>
    <w:rsid w:val="006D2F08"/>
    <w:rsid w:val="006D3018"/>
    <w:rsid w:val="006D3115"/>
    <w:rsid w:val="006D31A1"/>
    <w:rsid w:val="006D42A3"/>
    <w:rsid w:val="006D576C"/>
    <w:rsid w:val="006D5865"/>
    <w:rsid w:val="006D64EF"/>
    <w:rsid w:val="006D655A"/>
    <w:rsid w:val="006E3552"/>
    <w:rsid w:val="006E4B1B"/>
    <w:rsid w:val="006E4B2B"/>
    <w:rsid w:val="006E4D3D"/>
    <w:rsid w:val="006E4E9F"/>
    <w:rsid w:val="006E5027"/>
    <w:rsid w:val="006E5445"/>
    <w:rsid w:val="006E54A8"/>
    <w:rsid w:val="006E5956"/>
    <w:rsid w:val="006E7D93"/>
    <w:rsid w:val="006F1D7C"/>
    <w:rsid w:val="006F4810"/>
    <w:rsid w:val="006F6C0C"/>
    <w:rsid w:val="006F74F9"/>
    <w:rsid w:val="006F7B03"/>
    <w:rsid w:val="0070133D"/>
    <w:rsid w:val="00702610"/>
    <w:rsid w:val="007029A3"/>
    <w:rsid w:val="00703237"/>
    <w:rsid w:val="0070332D"/>
    <w:rsid w:val="00704074"/>
    <w:rsid w:val="00705057"/>
    <w:rsid w:val="00705B19"/>
    <w:rsid w:val="00705B69"/>
    <w:rsid w:val="00705F67"/>
    <w:rsid w:val="007065F2"/>
    <w:rsid w:val="00706E4E"/>
    <w:rsid w:val="00707102"/>
    <w:rsid w:val="0070715C"/>
    <w:rsid w:val="0070791C"/>
    <w:rsid w:val="00710C9E"/>
    <w:rsid w:val="00710ED6"/>
    <w:rsid w:val="0071169D"/>
    <w:rsid w:val="00712186"/>
    <w:rsid w:val="00712289"/>
    <w:rsid w:val="007128CF"/>
    <w:rsid w:val="0071383C"/>
    <w:rsid w:val="00713F73"/>
    <w:rsid w:val="007141A7"/>
    <w:rsid w:val="00714299"/>
    <w:rsid w:val="00715722"/>
    <w:rsid w:val="00715BAF"/>
    <w:rsid w:val="00716ECB"/>
    <w:rsid w:val="007178D1"/>
    <w:rsid w:val="00721032"/>
    <w:rsid w:val="00721406"/>
    <w:rsid w:val="00721B55"/>
    <w:rsid w:val="00721D21"/>
    <w:rsid w:val="007253EF"/>
    <w:rsid w:val="00726CE4"/>
    <w:rsid w:val="00727128"/>
    <w:rsid w:val="00727DB4"/>
    <w:rsid w:val="00731E17"/>
    <w:rsid w:val="00732435"/>
    <w:rsid w:val="00732455"/>
    <w:rsid w:val="00734143"/>
    <w:rsid w:val="00737196"/>
    <w:rsid w:val="00737E47"/>
    <w:rsid w:val="007406B0"/>
    <w:rsid w:val="00740C5B"/>
    <w:rsid w:val="00740EAC"/>
    <w:rsid w:val="00743CBA"/>
    <w:rsid w:val="00744956"/>
    <w:rsid w:val="00745A5C"/>
    <w:rsid w:val="0074605F"/>
    <w:rsid w:val="00746D31"/>
    <w:rsid w:val="0074729F"/>
    <w:rsid w:val="0074774D"/>
    <w:rsid w:val="007479F1"/>
    <w:rsid w:val="00747E94"/>
    <w:rsid w:val="00752B29"/>
    <w:rsid w:val="0075478D"/>
    <w:rsid w:val="00754C83"/>
    <w:rsid w:val="00755F86"/>
    <w:rsid w:val="00756B84"/>
    <w:rsid w:val="007615E2"/>
    <w:rsid w:val="00761E5C"/>
    <w:rsid w:val="00762438"/>
    <w:rsid w:val="00762523"/>
    <w:rsid w:val="007630EE"/>
    <w:rsid w:val="00763CDC"/>
    <w:rsid w:val="00763E75"/>
    <w:rsid w:val="00764551"/>
    <w:rsid w:val="00765DF8"/>
    <w:rsid w:val="00766168"/>
    <w:rsid w:val="00766749"/>
    <w:rsid w:val="00767C1B"/>
    <w:rsid w:val="00767F55"/>
    <w:rsid w:val="00770962"/>
    <w:rsid w:val="007709FF"/>
    <w:rsid w:val="00770B3F"/>
    <w:rsid w:val="007714A9"/>
    <w:rsid w:val="0077188E"/>
    <w:rsid w:val="00771A40"/>
    <w:rsid w:val="00772069"/>
    <w:rsid w:val="007720CF"/>
    <w:rsid w:val="00773D0A"/>
    <w:rsid w:val="00773D1C"/>
    <w:rsid w:val="0077497F"/>
    <w:rsid w:val="00774D95"/>
    <w:rsid w:val="00774F88"/>
    <w:rsid w:val="00774FDB"/>
    <w:rsid w:val="00777BA2"/>
    <w:rsid w:val="007805E3"/>
    <w:rsid w:val="00781408"/>
    <w:rsid w:val="00782899"/>
    <w:rsid w:val="00783F9A"/>
    <w:rsid w:val="00784F7F"/>
    <w:rsid w:val="007878BD"/>
    <w:rsid w:val="007914BE"/>
    <w:rsid w:val="0079175D"/>
    <w:rsid w:val="00792434"/>
    <w:rsid w:val="00792C63"/>
    <w:rsid w:val="00792FF2"/>
    <w:rsid w:val="00794334"/>
    <w:rsid w:val="00795059"/>
    <w:rsid w:val="00795EA5"/>
    <w:rsid w:val="00795ECE"/>
    <w:rsid w:val="0079622E"/>
    <w:rsid w:val="00796F25"/>
    <w:rsid w:val="007A1E74"/>
    <w:rsid w:val="007A2E98"/>
    <w:rsid w:val="007A3387"/>
    <w:rsid w:val="007A3684"/>
    <w:rsid w:val="007A3793"/>
    <w:rsid w:val="007A3A4E"/>
    <w:rsid w:val="007A3BA3"/>
    <w:rsid w:val="007A3C77"/>
    <w:rsid w:val="007A3ED5"/>
    <w:rsid w:val="007A4DA2"/>
    <w:rsid w:val="007A642B"/>
    <w:rsid w:val="007A663C"/>
    <w:rsid w:val="007A6CC0"/>
    <w:rsid w:val="007A6F60"/>
    <w:rsid w:val="007A7FEC"/>
    <w:rsid w:val="007B0673"/>
    <w:rsid w:val="007B0A79"/>
    <w:rsid w:val="007B1499"/>
    <w:rsid w:val="007B167B"/>
    <w:rsid w:val="007B177A"/>
    <w:rsid w:val="007B1BBF"/>
    <w:rsid w:val="007B24B4"/>
    <w:rsid w:val="007B2960"/>
    <w:rsid w:val="007B316D"/>
    <w:rsid w:val="007B3556"/>
    <w:rsid w:val="007B355D"/>
    <w:rsid w:val="007B358F"/>
    <w:rsid w:val="007B393A"/>
    <w:rsid w:val="007B7980"/>
    <w:rsid w:val="007C01D5"/>
    <w:rsid w:val="007C0B49"/>
    <w:rsid w:val="007C0DEF"/>
    <w:rsid w:val="007C1921"/>
    <w:rsid w:val="007C437F"/>
    <w:rsid w:val="007C455A"/>
    <w:rsid w:val="007C477F"/>
    <w:rsid w:val="007C5D5A"/>
    <w:rsid w:val="007C6033"/>
    <w:rsid w:val="007C607F"/>
    <w:rsid w:val="007C629C"/>
    <w:rsid w:val="007C6AFE"/>
    <w:rsid w:val="007C6C74"/>
    <w:rsid w:val="007C79DD"/>
    <w:rsid w:val="007C7C8E"/>
    <w:rsid w:val="007D0B06"/>
    <w:rsid w:val="007D0F8D"/>
    <w:rsid w:val="007D1A97"/>
    <w:rsid w:val="007D1D05"/>
    <w:rsid w:val="007D2CD6"/>
    <w:rsid w:val="007D3063"/>
    <w:rsid w:val="007D37BA"/>
    <w:rsid w:val="007D3CEB"/>
    <w:rsid w:val="007D3DF4"/>
    <w:rsid w:val="007D3E1C"/>
    <w:rsid w:val="007D43EE"/>
    <w:rsid w:val="007D4553"/>
    <w:rsid w:val="007D4E4B"/>
    <w:rsid w:val="007D5363"/>
    <w:rsid w:val="007D6BD4"/>
    <w:rsid w:val="007E0353"/>
    <w:rsid w:val="007E0689"/>
    <w:rsid w:val="007E0F06"/>
    <w:rsid w:val="007E2173"/>
    <w:rsid w:val="007E28CD"/>
    <w:rsid w:val="007E36FB"/>
    <w:rsid w:val="007E4E12"/>
    <w:rsid w:val="007E5EAF"/>
    <w:rsid w:val="007E64CE"/>
    <w:rsid w:val="007E6F38"/>
    <w:rsid w:val="007E7504"/>
    <w:rsid w:val="007E7683"/>
    <w:rsid w:val="007F1BDD"/>
    <w:rsid w:val="007F1F64"/>
    <w:rsid w:val="007F49FA"/>
    <w:rsid w:val="007F54C4"/>
    <w:rsid w:val="007F55E1"/>
    <w:rsid w:val="007F6058"/>
    <w:rsid w:val="007F6E9A"/>
    <w:rsid w:val="007F6EDB"/>
    <w:rsid w:val="007F7F63"/>
    <w:rsid w:val="0080022D"/>
    <w:rsid w:val="00800CCD"/>
    <w:rsid w:val="00800FED"/>
    <w:rsid w:val="00801285"/>
    <w:rsid w:val="00801ABA"/>
    <w:rsid w:val="00801C72"/>
    <w:rsid w:val="00801FEB"/>
    <w:rsid w:val="00802D94"/>
    <w:rsid w:val="00803F93"/>
    <w:rsid w:val="0080428C"/>
    <w:rsid w:val="008044D4"/>
    <w:rsid w:val="00810AB4"/>
    <w:rsid w:val="008117F4"/>
    <w:rsid w:val="00812288"/>
    <w:rsid w:val="00813C14"/>
    <w:rsid w:val="00815F4E"/>
    <w:rsid w:val="00816104"/>
    <w:rsid w:val="00817160"/>
    <w:rsid w:val="00817B56"/>
    <w:rsid w:val="00820699"/>
    <w:rsid w:val="008216AE"/>
    <w:rsid w:val="00821A88"/>
    <w:rsid w:val="00821E02"/>
    <w:rsid w:val="0082245A"/>
    <w:rsid w:val="0082322E"/>
    <w:rsid w:val="00823B8B"/>
    <w:rsid w:val="0082495D"/>
    <w:rsid w:val="00824E8B"/>
    <w:rsid w:val="008254E3"/>
    <w:rsid w:val="00825C04"/>
    <w:rsid w:val="00826487"/>
    <w:rsid w:val="00826B71"/>
    <w:rsid w:val="00827431"/>
    <w:rsid w:val="00830509"/>
    <w:rsid w:val="008307C6"/>
    <w:rsid w:val="00831AC3"/>
    <w:rsid w:val="008332A2"/>
    <w:rsid w:val="0083386F"/>
    <w:rsid w:val="008345C8"/>
    <w:rsid w:val="00836FCE"/>
    <w:rsid w:val="0084020F"/>
    <w:rsid w:val="008408E7"/>
    <w:rsid w:val="008408FF"/>
    <w:rsid w:val="00841C28"/>
    <w:rsid w:val="00842244"/>
    <w:rsid w:val="00843C6C"/>
    <w:rsid w:val="00843E50"/>
    <w:rsid w:val="008443D3"/>
    <w:rsid w:val="00844BDD"/>
    <w:rsid w:val="00845448"/>
    <w:rsid w:val="00845824"/>
    <w:rsid w:val="008500F4"/>
    <w:rsid w:val="00851F3F"/>
    <w:rsid w:val="00852487"/>
    <w:rsid w:val="008530C7"/>
    <w:rsid w:val="00853A6C"/>
    <w:rsid w:val="00854C8F"/>
    <w:rsid w:val="00855020"/>
    <w:rsid w:val="00855863"/>
    <w:rsid w:val="008561A1"/>
    <w:rsid w:val="00856302"/>
    <w:rsid w:val="00856EDC"/>
    <w:rsid w:val="00862192"/>
    <w:rsid w:val="008623B5"/>
    <w:rsid w:val="0086257A"/>
    <w:rsid w:val="00863433"/>
    <w:rsid w:val="00864D48"/>
    <w:rsid w:val="00865210"/>
    <w:rsid w:val="008655B5"/>
    <w:rsid w:val="00866AC6"/>
    <w:rsid w:val="00866BFF"/>
    <w:rsid w:val="00870164"/>
    <w:rsid w:val="00870ABA"/>
    <w:rsid w:val="00870F01"/>
    <w:rsid w:val="00870FEF"/>
    <w:rsid w:val="008710E1"/>
    <w:rsid w:val="008716E5"/>
    <w:rsid w:val="008721D5"/>
    <w:rsid w:val="008728C7"/>
    <w:rsid w:val="00877B85"/>
    <w:rsid w:val="0088007B"/>
    <w:rsid w:val="00880D23"/>
    <w:rsid w:val="00880DA3"/>
    <w:rsid w:val="00881AB9"/>
    <w:rsid w:val="00881CA9"/>
    <w:rsid w:val="00881D7D"/>
    <w:rsid w:val="00881FB2"/>
    <w:rsid w:val="0088258A"/>
    <w:rsid w:val="00882830"/>
    <w:rsid w:val="00883281"/>
    <w:rsid w:val="00883628"/>
    <w:rsid w:val="00884493"/>
    <w:rsid w:val="0088488B"/>
    <w:rsid w:val="008848EA"/>
    <w:rsid w:val="008853D6"/>
    <w:rsid w:val="00885544"/>
    <w:rsid w:val="0088634E"/>
    <w:rsid w:val="00887669"/>
    <w:rsid w:val="00887C31"/>
    <w:rsid w:val="0089091D"/>
    <w:rsid w:val="00891121"/>
    <w:rsid w:val="008938DE"/>
    <w:rsid w:val="00893AB8"/>
    <w:rsid w:val="008950B5"/>
    <w:rsid w:val="008959B6"/>
    <w:rsid w:val="00895C88"/>
    <w:rsid w:val="0089687E"/>
    <w:rsid w:val="008A04C8"/>
    <w:rsid w:val="008A4066"/>
    <w:rsid w:val="008A5EA1"/>
    <w:rsid w:val="008A6585"/>
    <w:rsid w:val="008A65C6"/>
    <w:rsid w:val="008A68CB"/>
    <w:rsid w:val="008A6913"/>
    <w:rsid w:val="008B275B"/>
    <w:rsid w:val="008B37A1"/>
    <w:rsid w:val="008B4252"/>
    <w:rsid w:val="008B5C91"/>
    <w:rsid w:val="008B69C3"/>
    <w:rsid w:val="008B70F3"/>
    <w:rsid w:val="008B71A2"/>
    <w:rsid w:val="008B71C4"/>
    <w:rsid w:val="008B76DF"/>
    <w:rsid w:val="008B7B4E"/>
    <w:rsid w:val="008C06B0"/>
    <w:rsid w:val="008C08CE"/>
    <w:rsid w:val="008C10F4"/>
    <w:rsid w:val="008C2005"/>
    <w:rsid w:val="008C3CE9"/>
    <w:rsid w:val="008C499C"/>
    <w:rsid w:val="008C65F7"/>
    <w:rsid w:val="008C749F"/>
    <w:rsid w:val="008C76E6"/>
    <w:rsid w:val="008D13D8"/>
    <w:rsid w:val="008D2266"/>
    <w:rsid w:val="008D3066"/>
    <w:rsid w:val="008D434B"/>
    <w:rsid w:val="008D582E"/>
    <w:rsid w:val="008D6BB4"/>
    <w:rsid w:val="008E0428"/>
    <w:rsid w:val="008E1F1C"/>
    <w:rsid w:val="008E2B7A"/>
    <w:rsid w:val="008E4349"/>
    <w:rsid w:val="008E46DB"/>
    <w:rsid w:val="008E4767"/>
    <w:rsid w:val="008E7A8C"/>
    <w:rsid w:val="008F0579"/>
    <w:rsid w:val="008F16FA"/>
    <w:rsid w:val="008F1962"/>
    <w:rsid w:val="008F2842"/>
    <w:rsid w:val="008F3F8A"/>
    <w:rsid w:val="00902021"/>
    <w:rsid w:val="0090203B"/>
    <w:rsid w:val="00903285"/>
    <w:rsid w:val="00903E8D"/>
    <w:rsid w:val="009047D8"/>
    <w:rsid w:val="00904FE4"/>
    <w:rsid w:val="00906907"/>
    <w:rsid w:val="00906F40"/>
    <w:rsid w:val="00906FCE"/>
    <w:rsid w:val="0090731E"/>
    <w:rsid w:val="009104C3"/>
    <w:rsid w:val="00910ECB"/>
    <w:rsid w:val="00910FA6"/>
    <w:rsid w:val="0091466E"/>
    <w:rsid w:val="00914950"/>
    <w:rsid w:val="0091548D"/>
    <w:rsid w:val="00915B1C"/>
    <w:rsid w:val="00916741"/>
    <w:rsid w:val="00916BEE"/>
    <w:rsid w:val="00916F72"/>
    <w:rsid w:val="00917039"/>
    <w:rsid w:val="00917415"/>
    <w:rsid w:val="009174F3"/>
    <w:rsid w:val="00917839"/>
    <w:rsid w:val="0091797D"/>
    <w:rsid w:val="00917FC0"/>
    <w:rsid w:val="00921BD3"/>
    <w:rsid w:val="00922938"/>
    <w:rsid w:val="00922E02"/>
    <w:rsid w:val="00923CBA"/>
    <w:rsid w:val="009240E1"/>
    <w:rsid w:val="0092666B"/>
    <w:rsid w:val="00926703"/>
    <w:rsid w:val="009272DE"/>
    <w:rsid w:val="00927691"/>
    <w:rsid w:val="00927A5F"/>
    <w:rsid w:val="00930510"/>
    <w:rsid w:val="009307EF"/>
    <w:rsid w:val="00931AD6"/>
    <w:rsid w:val="00933A2A"/>
    <w:rsid w:val="00934F67"/>
    <w:rsid w:val="00935B63"/>
    <w:rsid w:val="00936616"/>
    <w:rsid w:val="00936E3F"/>
    <w:rsid w:val="00936E95"/>
    <w:rsid w:val="0094078F"/>
    <w:rsid w:val="00940FA3"/>
    <w:rsid w:val="00941FB0"/>
    <w:rsid w:val="00942027"/>
    <w:rsid w:val="009426D4"/>
    <w:rsid w:val="009440FF"/>
    <w:rsid w:val="00946B88"/>
    <w:rsid w:val="00947F25"/>
    <w:rsid w:val="00950159"/>
    <w:rsid w:val="00951509"/>
    <w:rsid w:val="0095291A"/>
    <w:rsid w:val="00953031"/>
    <w:rsid w:val="0095490B"/>
    <w:rsid w:val="009559EB"/>
    <w:rsid w:val="00956718"/>
    <w:rsid w:val="00960A33"/>
    <w:rsid w:val="0096251F"/>
    <w:rsid w:val="00962A7F"/>
    <w:rsid w:val="009669F5"/>
    <w:rsid w:val="00967357"/>
    <w:rsid w:val="00967FD1"/>
    <w:rsid w:val="00971653"/>
    <w:rsid w:val="009717EC"/>
    <w:rsid w:val="00971914"/>
    <w:rsid w:val="00974363"/>
    <w:rsid w:val="0097437F"/>
    <w:rsid w:val="00975BB9"/>
    <w:rsid w:val="00975F9A"/>
    <w:rsid w:val="009806A8"/>
    <w:rsid w:val="009810D3"/>
    <w:rsid w:val="00981898"/>
    <w:rsid w:val="00981B6A"/>
    <w:rsid w:val="00983481"/>
    <w:rsid w:val="00987162"/>
    <w:rsid w:val="009879A5"/>
    <w:rsid w:val="009902B7"/>
    <w:rsid w:val="00990303"/>
    <w:rsid w:val="00990E27"/>
    <w:rsid w:val="0099357B"/>
    <w:rsid w:val="0099410F"/>
    <w:rsid w:val="00995087"/>
    <w:rsid w:val="0099577C"/>
    <w:rsid w:val="00995DBA"/>
    <w:rsid w:val="00997127"/>
    <w:rsid w:val="009A021C"/>
    <w:rsid w:val="009A0448"/>
    <w:rsid w:val="009A079F"/>
    <w:rsid w:val="009A0ECC"/>
    <w:rsid w:val="009A25CC"/>
    <w:rsid w:val="009A39C9"/>
    <w:rsid w:val="009A3E28"/>
    <w:rsid w:val="009B24A5"/>
    <w:rsid w:val="009B2601"/>
    <w:rsid w:val="009B4E9E"/>
    <w:rsid w:val="009B7620"/>
    <w:rsid w:val="009B770D"/>
    <w:rsid w:val="009B7C9E"/>
    <w:rsid w:val="009C1690"/>
    <w:rsid w:val="009C2E58"/>
    <w:rsid w:val="009C3AE3"/>
    <w:rsid w:val="009C3F96"/>
    <w:rsid w:val="009C4D9A"/>
    <w:rsid w:val="009C5DB3"/>
    <w:rsid w:val="009C5EE3"/>
    <w:rsid w:val="009C6881"/>
    <w:rsid w:val="009C7759"/>
    <w:rsid w:val="009D043D"/>
    <w:rsid w:val="009D07C8"/>
    <w:rsid w:val="009D12C7"/>
    <w:rsid w:val="009D37AB"/>
    <w:rsid w:val="009D4C85"/>
    <w:rsid w:val="009D653D"/>
    <w:rsid w:val="009D68F3"/>
    <w:rsid w:val="009D6C71"/>
    <w:rsid w:val="009D7AF0"/>
    <w:rsid w:val="009E062F"/>
    <w:rsid w:val="009E0631"/>
    <w:rsid w:val="009E0B28"/>
    <w:rsid w:val="009E11CD"/>
    <w:rsid w:val="009E14A9"/>
    <w:rsid w:val="009E16D0"/>
    <w:rsid w:val="009E1A6B"/>
    <w:rsid w:val="009E2051"/>
    <w:rsid w:val="009E38FD"/>
    <w:rsid w:val="009E44EF"/>
    <w:rsid w:val="009E5AFD"/>
    <w:rsid w:val="009F07F7"/>
    <w:rsid w:val="009F13D6"/>
    <w:rsid w:val="009F1613"/>
    <w:rsid w:val="009F16C8"/>
    <w:rsid w:val="009F1A46"/>
    <w:rsid w:val="009F1D3D"/>
    <w:rsid w:val="009F1E6E"/>
    <w:rsid w:val="009F21F3"/>
    <w:rsid w:val="009F242E"/>
    <w:rsid w:val="009F2C96"/>
    <w:rsid w:val="009F2CE8"/>
    <w:rsid w:val="009F3914"/>
    <w:rsid w:val="009F4C6B"/>
    <w:rsid w:val="009F501F"/>
    <w:rsid w:val="009F5455"/>
    <w:rsid w:val="009F6120"/>
    <w:rsid w:val="009F703E"/>
    <w:rsid w:val="009F776F"/>
    <w:rsid w:val="009F78A8"/>
    <w:rsid w:val="00A017E0"/>
    <w:rsid w:val="00A02AD6"/>
    <w:rsid w:val="00A03A07"/>
    <w:rsid w:val="00A04464"/>
    <w:rsid w:val="00A06D2B"/>
    <w:rsid w:val="00A07096"/>
    <w:rsid w:val="00A07318"/>
    <w:rsid w:val="00A104CA"/>
    <w:rsid w:val="00A11370"/>
    <w:rsid w:val="00A12BAE"/>
    <w:rsid w:val="00A12F0E"/>
    <w:rsid w:val="00A1307D"/>
    <w:rsid w:val="00A133C2"/>
    <w:rsid w:val="00A14149"/>
    <w:rsid w:val="00A14721"/>
    <w:rsid w:val="00A1484C"/>
    <w:rsid w:val="00A154F8"/>
    <w:rsid w:val="00A15814"/>
    <w:rsid w:val="00A17D27"/>
    <w:rsid w:val="00A20AB6"/>
    <w:rsid w:val="00A21983"/>
    <w:rsid w:val="00A224CE"/>
    <w:rsid w:val="00A22522"/>
    <w:rsid w:val="00A22BB5"/>
    <w:rsid w:val="00A22D73"/>
    <w:rsid w:val="00A22E6D"/>
    <w:rsid w:val="00A23479"/>
    <w:rsid w:val="00A24AFD"/>
    <w:rsid w:val="00A24F5C"/>
    <w:rsid w:val="00A24FB4"/>
    <w:rsid w:val="00A25AF4"/>
    <w:rsid w:val="00A273EE"/>
    <w:rsid w:val="00A27F57"/>
    <w:rsid w:val="00A31BC0"/>
    <w:rsid w:val="00A32B9D"/>
    <w:rsid w:val="00A32F96"/>
    <w:rsid w:val="00A332CD"/>
    <w:rsid w:val="00A35547"/>
    <w:rsid w:val="00A3619C"/>
    <w:rsid w:val="00A36C05"/>
    <w:rsid w:val="00A36F88"/>
    <w:rsid w:val="00A400ED"/>
    <w:rsid w:val="00A40871"/>
    <w:rsid w:val="00A4100C"/>
    <w:rsid w:val="00A412AB"/>
    <w:rsid w:val="00A4193E"/>
    <w:rsid w:val="00A4230D"/>
    <w:rsid w:val="00A43E29"/>
    <w:rsid w:val="00A440E0"/>
    <w:rsid w:val="00A442EF"/>
    <w:rsid w:val="00A443BC"/>
    <w:rsid w:val="00A444A7"/>
    <w:rsid w:val="00A4580F"/>
    <w:rsid w:val="00A45C03"/>
    <w:rsid w:val="00A46F26"/>
    <w:rsid w:val="00A47476"/>
    <w:rsid w:val="00A47DFC"/>
    <w:rsid w:val="00A50A23"/>
    <w:rsid w:val="00A51D1A"/>
    <w:rsid w:val="00A540DA"/>
    <w:rsid w:val="00A5418D"/>
    <w:rsid w:val="00A54307"/>
    <w:rsid w:val="00A5474E"/>
    <w:rsid w:val="00A55007"/>
    <w:rsid w:val="00A56C65"/>
    <w:rsid w:val="00A57331"/>
    <w:rsid w:val="00A578A3"/>
    <w:rsid w:val="00A60040"/>
    <w:rsid w:val="00A60834"/>
    <w:rsid w:val="00A60969"/>
    <w:rsid w:val="00A61014"/>
    <w:rsid w:val="00A61A17"/>
    <w:rsid w:val="00A61BB1"/>
    <w:rsid w:val="00A62924"/>
    <w:rsid w:val="00A62C91"/>
    <w:rsid w:val="00A63A06"/>
    <w:rsid w:val="00A63CD9"/>
    <w:rsid w:val="00A64234"/>
    <w:rsid w:val="00A64F46"/>
    <w:rsid w:val="00A65AD5"/>
    <w:rsid w:val="00A66F9E"/>
    <w:rsid w:val="00A67804"/>
    <w:rsid w:val="00A7027A"/>
    <w:rsid w:val="00A70ADF"/>
    <w:rsid w:val="00A71466"/>
    <w:rsid w:val="00A72F7C"/>
    <w:rsid w:val="00A746E0"/>
    <w:rsid w:val="00A74B5E"/>
    <w:rsid w:val="00A80904"/>
    <w:rsid w:val="00A812CF"/>
    <w:rsid w:val="00A81748"/>
    <w:rsid w:val="00A81BED"/>
    <w:rsid w:val="00A81EC4"/>
    <w:rsid w:val="00A824E8"/>
    <w:rsid w:val="00A82661"/>
    <w:rsid w:val="00A82C2D"/>
    <w:rsid w:val="00A83696"/>
    <w:rsid w:val="00A838B7"/>
    <w:rsid w:val="00A84B63"/>
    <w:rsid w:val="00A84FE6"/>
    <w:rsid w:val="00A852BC"/>
    <w:rsid w:val="00A856F3"/>
    <w:rsid w:val="00A85C35"/>
    <w:rsid w:val="00A8628C"/>
    <w:rsid w:val="00A86582"/>
    <w:rsid w:val="00A87FE6"/>
    <w:rsid w:val="00A90489"/>
    <w:rsid w:val="00A91140"/>
    <w:rsid w:val="00A912F9"/>
    <w:rsid w:val="00A91D49"/>
    <w:rsid w:val="00A9239B"/>
    <w:rsid w:val="00A92D05"/>
    <w:rsid w:val="00A946AE"/>
    <w:rsid w:val="00A94A31"/>
    <w:rsid w:val="00A967FD"/>
    <w:rsid w:val="00AA2DE5"/>
    <w:rsid w:val="00AA36E7"/>
    <w:rsid w:val="00AA4251"/>
    <w:rsid w:val="00AA5052"/>
    <w:rsid w:val="00AA5AF4"/>
    <w:rsid w:val="00AA6407"/>
    <w:rsid w:val="00AB156C"/>
    <w:rsid w:val="00AB2104"/>
    <w:rsid w:val="00AB4244"/>
    <w:rsid w:val="00AB4A21"/>
    <w:rsid w:val="00AB4D4A"/>
    <w:rsid w:val="00AB5791"/>
    <w:rsid w:val="00AB6470"/>
    <w:rsid w:val="00AB6814"/>
    <w:rsid w:val="00AB78EB"/>
    <w:rsid w:val="00AC04BA"/>
    <w:rsid w:val="00AC0703"/>
    <w:rsid w:val="00AC0E39"/>
    <w:rsid w:val="00AC1920"/>
    <w:rsid w:val="00AC2BAC"/>
    <w:rsid w:val="00AC2F9C"/>
    <w:rsid w:val="00AC3307"/>
    <w:rsid w:val="00AC35C1"/>
    <w:rsid w:val="00AC491E"/>
    <w:rsid w:val="00AC573F"/>
    <w:rsid w:val="00AC61EF"/>
    <w:rsid w:val="00AC726A"/>
    <w:rsid w:val="00AC7781"/>
    <w:rsid w:val="00AD1F72"/>
    <w:rsid w:val="00AD22A1"/>
    <w:rsid w:val="00AD3082"/>
    <w:rsid w:val="00AD32B4"/>
    <w:rsid w:val="00AD3545"/>
    <w:rsid w:val="00AD4AD0"/>
    <w:rsid w:val="00AD52DE"/>
    <w:rsid w:val="00AD5436"/>
    <w:rsid w:val="00AD60CD"/>
    <w:rsid w:val="00AD6775"/>
    <w:rsid w:val="00AD6C8C"/>
    <w:rsid w:val="00AD7B0E"/>
    <w:rsid w:val="00AE0005"/>
    <w:rsid w:val="00AE0303"/>
    <w:rsid w:val="00AE07C2"/>
    <w:rsid w:val="00AE091D"/>
    <w:rsid w:val="00AE156D"/>
    <w:rsid w:val="00AE2350"/>
    <w:rsid w:val="00AE2EDB"/>
    <w:rsid w:val="00AE3810"/>
    <w:rsid w:val="00AE3B60"/>
    <w:rsid w:val="00AE46C1"/>
    <w:rsid w:val="00AE471F"/>
    <w:rsid w:val="00AE53A1"/>
    <w:rsid w:val="00AE5CE8"/>
    <w:rsid w:val="00AE6300"/>
    <w:rsid w:val="00AE75B4"/>
    <w:rsid w:val="00AF1AC9"/>
    <w:rsid w:val="00AF1FB5"/>
    <w:rsid w:val="00AF2484"/>
    <w:rsid w:val="00AF27AE"/>
    <w:rsid w:val="00AF2F62"/>
    <w:rsid w:val="00AF4844"/>
    <w:rsid w:val="00AF63E7"/>
    <w:rsid w:val="00AF69A8"/>
    <w:rsid w:val="00AF6E17"/>
    <w:rsid w:val="00AF7AA7"/>
    <w:rsid w:val="00B0165D"/>
    <w:rsid w:val="00B01B60"/>
    <w:rsid w:val="00B02794"/>
    <w:rsid w:val="00B031F3"/>
    <w:rsid w:val="00B03392"/>
    <w:rsid w:val="00B039CA"/>
    <w:rsid w:val="00B04962"/>
    <w:rsid w:val="00B052A4"/>
    <w:rsid w:val="00B054D0"/>
    <w:rsid w:val="00B055F0"/>
    <w:rsid w:val="00B104F1"/>
    <w:rsid w:val="00B111C2"/>
    <w:rsid w:val="00B125DE"/>
    <w:rsid w:val="00B1328A"/>
    <w:rsid w:val="00B13621"/>
    <w:rsid w:val="00B13CD0"/>
    <w:rsid w:val="00B13FDD"/>
    <w:rsid w:val="00B15546"/>
    <w:rsid w:val="00B163A2"/>
    <w:rsid w:val="00B165C1"/>
    <w:rsid w:val="00B1739B"/>
    <w:rsid w:val="00B21737"/>
    <w:rsid w:val="00B21B0F"/>
    <w:rsid w:val="00B21DE3"/>
    <w:rsid w:val="00B226A8"/>
    <w:rsid w:val="00B22EB2"/>
    <w:rsid w:val="00B2361A"/>
    <w:rsid w:val="00B24765"/>
    <w:rsid w:val="00B25B87"/>
    <w:rsid w:val="00B26441"/>
    <w:rsid w:val="00B26624"/>
    <w:rsid w:val="00B27442"/>
    <w:rsid w:val="00B27743"/>
    <w:rsid w:val="00B30C55"/>
    <w:rsid w:val="00B31167"/>
    <w:rsid w:val="00B31211"/>
    <w:rsid w:val="00B329D8"/>
    <w:rsid w:val="00B32BA4"/>
    <w:rsid w:val="00B32BB9"/>
    <w:rsid w:val="00B333F6"/>
    <w:rsid w:val="00B33AE1"/>
    <w:rsid w:val="00B356AE"/>
    <w:rsid w:val="00B35EDA"/>
    <w:rsid w:val="00B3729B"/>
    <w:rsid w:val="00B37C38"/>
    <w:rsid w:val="00B40A68"/>
    <w:rsid w:val="00B4253D"/>
    <w:rsid w:val="00B4288C"/>
    <w:rsid w:val="00B43262"/>
    <w:rsid w:val="00B43E2E"/>
    <w:rsid w:val="00B44100"/>
    <w:rsid w:val="00B443BD"/>
    <w:rsid w:val="00B4547B"/>
    <w:rsid w:val="00B46CBA"/>
    <w:rsid w:val="00B46D31"/>
    <w:rsid w:val="00B46F94"/>
    <w:rsid w:val="00B51C32"/>
    <w:rsid w:val="00B51CDD"/>
    <w:rsid w:val="00B52E71"/>
    <w:rsid w:val="00B5683E"/>
    <w:rsid w:val="00B6003C"/>
    <w:rsid w:val="00B60499"/>
    <w:rsid w:val="00B612BB"/>
    <w:rsid w:val="00B61F03"/>
    <w:rsid w:val="00B625D2"/>
    <w:rsid w:val="00B626E4"/>
    <w:rsid w:val="00B63281"/>
    <w:rsid w:val="00B63C45"/>
    <w:rsid w:val="00B6427A"/>
    <w:rsid w:val="00B6559B"/>
    <w:rsid w:val="00B66CC6"/>
    <w:rsid w:val="00B66CFD"/>
    <w:rsid w:val="00B67AE0"/>
    <w:rsid w:val="00B725B2"/>
    <w:rsid w:val="00B72F4A"/>
    <w:rsid w:val="00B7375F"/>
    <w:rsid w:val="00B76074"/>
    <w:rsid w:val="00B76576"/>
    <w:rsid w:val="00B8368A"/>
    <w:rsid w:val="00B83A44"/>
    <w:rsid w:val="00B83C27"/>
    <w:rsid w:val="00B83CF0"/>
    <w:rsid w:val="00B84BC3"/>
    <w:rsid w:val="00B84BDD"/>
    <w:rsid w:val="00B86743"/>
    <w:rsid w:val="00B8675F"/>
    <w:rsid w:val="00B90B70"/>
    <w:rsid w:val="00B9111C"/>
    <w:rsid w:val="00B92812"/>
    <w:rsid w:val="00B97F41"/>
    <w:rsid w:val="00BA0BB8"/>
    <w:rsid w:val="00BA0CDB"/>
    <w:rsid w:val="00BA1A68"/>
    <w:rsid w:val="00BA3EFB"/>
    <w:rsid w:val="00BA54D5"/>
    <w:rsid w:val="00BA5A61"/>
    <w:rsid w:val="00BA62CE"/>
    <w:rsid w:val="00BA66BC"/>
    <w:rsid w:val="00BB0AA2"/>
    <w:rsid w:val="00BB11AF"/>
    <w:rsid w:val="00BB208C"/>
    <w:rsid w:val="00BB21FE"/>
    <w:rsid w:val="00BB231F"/>
    <w:rsid w:val="00BB3E7A"/>
    <w:rsid w:val="00BB45A1"/>
    <w:rsid w:val="00BB6335"/>
    <w:rsid w:val="00BB66CF"/>
    <w:rsid w:val="00BB7686"/>
    <w:rsid w:val="00BB7802"/>
    <w:rsid w:val="00BC00D4"/>
    <w:rsid w:val="00BC23F9"/>
    <w:rsid w:val="00BC25FD"/>
    <w:rsid w:val="00BC27B6"/>
    <w:rsid w:val="00BC3421"/>
    <w:rsid w:val="00BC3499"/>
    <w:rsid w:val="00BC4DF1"/>
    <w:rsid w:val="00BC50DF"/>
    <w:rsid w:val="00BC5603"/>
    <w:rsid w:val="00BC6203"/>
    <w:rsid w:val="00BC732C"/>
    <w:rsid w:val="00BD17ED"/>
    <w:rsid w:val="00BD1A3E"/>
    <w:rsid w:val="00BD24CF"/>
    <w:rsid w:val="00BD4421"/>
    <w:rsid w:val="00BD632A"/>
    <w:rsid w:val="00BD77F7"/>
    <w:rsid w:val="00BE0106"/>
    <w:rsid w:val="00BE043A"/>
    <w:rsid w:val="00BE12BE"/>
    <w:rsid w:val="00BE1CA9"/>
    <w:rsid w:val="00BE2580"/>
    <w:rsid w:val="00BE266D"/>
    <w:rsid w:val="00BE3938"/>
    <w:rsid w:val="00BE3E1C"/>
    <w:rsid w:val="00BE49D8"/>
    <w:rsid w:val="00BE4C11"/>
    <w:rsid w:val="00BE635E"/>
    <w:rsid w:val="00BE71C0"/>
    <w:rsid w:val="00BE7587"/>
    <w:rsid w:val="00BF082F"/>
    <w:rsid w:val="00BF20AD"/>
    <w:rsid w:val="00BF2D51"/>
    <w:rsid w:val="00BF4EA4"/>
    <w:rsid w:val="00BF5A95"/>
    <w:rsid w:val="00BF610C"/>
    <w:rsid w:val="00BF76F9"/>
    <w:rsid w:val="00BF78DE"/>
    <w:rsid w:val="00C00562"/>
    <w:rsid w:val="00C0060B"/>
    <w:rsid w:val="00C011D6"/>
    <w:rsid w:val="00C015B5"/>
    <w:rsid w:val="00C01A6C"/>
    <w:rsid w:val="00C0277D"/>
    <w:rsid w:val="00C02F26"/>
    <w:rsid w:val="00C053A1"/>
    <w:rsid w:val="00C065BE"/>
    <w:rsid w:val="00C0684E"/>
    <w:rsid w:val="00C06CCC"/>
    <w:rsid w:val="00C071F2"/>
    <w:rsid w:val="00C0734E"/>
    <w:rsid w:val="00C119BA"/>
    <w:rsid w:val="00C11FB7"/>
    <w:rsid w:val="00C12654"/>
    <w:rsid w:val="00C133C6"/>
    <w:rsid w:val="00C13DB0"/>
    <w:rsid w:val="00C14D19"/>
    <w:rsid w:val="00C153B5"/>
    <w:rsid w:val="00C160A0"/>
    <w:rsid w:val="00C16198"/>
    <w:rsid w:val="00C16F55"/>
    <w:rsid w:val="00C17495"/>
    <w:rsid w:val="00C2018D"/>
    <w:rsid w:val="00C2045A"/>
    <w:rsid w:val="00C2083D"/>
    <w:rsid w:val="00C213DD"/>
    <w:rsid w:val="00C21C5E"/>
    <w:rsid w:val="00C21D3B"/>
    <w:rsid w:val="00C23B8D"/>
    <w:rsid w:val="00C24398"/>
    <w:rsid w:val="00C24466"/>
    <w:rsid w:val="00C24A53"/>
    <w:rsid w:val="00C313CC"/>
    <w:rsid w:val="00C317DC"/>
    <w:rsid w:val="00C330BB"/>
    <w:rsid w:val="00C33CD4"/>
    <w:rsid w:val="00C33FC7"/>
    <w:rsid w:val="00C344A6"/>
    <w:rsid w:val="00C34A05"/>
    <w:rsid w:val="00C34E74"/>
    <w:rsid w:val="00C351C4"/>
    <w:rsid w:val="00C35459"/>
    <w:rsid w:val="00C35CCE"/>
    <w:rsid w:val="00C35DAA"/>
    <w:rsid w:val="00C40262"/>
    <w:rsid w:val="00C4032F"/>
    <w:rsid w:val="00C41F21"/>
    <w:rsid w:val="00C4237F"/>
    <w:rsid w:val="00C42D78"/>
    <w:rsid w:val="00C4386D"/>
    <w:rsid w:val="00C43F12"/>
    <w:rsid w:val="00C44047"/>
    <w:rsid w:val="00C45155"/>
    <w:rsid w:val="00C465D1"/>
    <w:rsid w:val="00C46D59"/>
    <w:rsid w:val="00C46D9F"/>
    <w:rsid w:val="00C477B6"/>
    <w:rsid w:val="00C47E35"/>
    <w:rsid w:val="00C52E85"/>
    <w:rsid w:val="00C53E70"/>
    <w:rsid w:val="00C5498F"/>
    <w:rsid w:val="00C55235"/>
    <w:rsid w:val="00C56521"/>
    <w:rsid w:val="00C56974"/>
    <w:rsid w:val="00C614EB"/>
    <w:rsid w:val="00C64CD0"/>
    <w:rsid w:val="00C659A8"/>
    <w:rsid w:val="00C65F61"/>
    <w:rsid w:val="00C6684F"/>
    <w:rsid w:val="00C66F7F"/>
    <w:rsid w:val="00C70E70"/>
    <w:rsid w:val="00C75A4D"/>
    <w:rsid w:val="00C75F8D"/>
    <w:rsid w:val="00C76C28"/>
    <w:rsid w:val="00C77380"/>
    <w:rsid w:val="00C81139"/>
    <w:rsid w:val="00C815D7"/>
    <w:rsid w:val="00C81E01"/>
    <w:rsid w:val="00C82A4E"/>
    <w:rsid w:val="00C83BB9"/>
    <w:rsid w:val="00C83D89"/>
    <w:rsid w:val="00C83E50"/>
    <w:rsid w:val="00C84A4B"/>
    <w:rsid w:val="00C86DB2"/>
    <w:rsid w:val="00C871C1"/>
    <w:rsid w:val="00C873E3"/>
    <w:rsid w:val="00C87E8A"/>
    <w:rsid w:val="00C913D6"/>
    <w:rsid w:val="00C91C42"/>
    <w:rsid w:val="00C92E9C"/>
    <w:rsid w:val="00C93CC5"/>
    <w:rsid w:val="00C93EEF"/>
    <w:rsid w:val="00C94676"/>
    <w:rsid w:val="00C94CFF"/>
    <w:rsid w:val="00C95359"/>
    <w:rsid w:val="00C95B9D"/>
    <w:rsid w:val="00C95D51"/>
    <w:rsid w:val="00C97173"/>
    <w:rsid w:val="00C97736"/>
    <w:rsid w:val="00CA27C0"/>
    <w:rsid w:val="00CA345A"/>
    <w:rsid w:val="00CA3D89"/>
    <w:rsid w:val="00CA404C"/>
    <w:rsid w:val="00CA4E41"/>
    <w:rsid w:val="00CA4E7F"/>
    <w:rsid w:val="00CA5E41"/>
    <w:rsid w:val="00CA77B4"/>
    <w:rsid w:val="00CB0068"/>
    <w:rsid w:val="00CB050D"/>
    <w:rsid w:val="00CB1E82"/>
    <w:rsid w:val="00CB26BA"/>
    <w:rsid w:val="00CB3929"/>
    <w:rsid w:val="00CB3D9A"/>
    <w:rsid w:val="00CB4BA8"/>
    <w:rsid w:val="00CB4F5D"/>
    <w:rsid w:val="00CB5017"/>
    <w:rsid w:val="00CB52D7"/>
    <w:rsid w:val="00CC111A"/>
    <w:rsid w:val="00CC2348"/>
    <w:rsid w:val="00CC336E"/>
    <w:rsid w:val="00CC3AF9"/>
    <w:rsid w:val="00CC62E6"/>
    <w:rsid w:val="00CC6732"/>
    <w:rsid w:val="00CC6C1B"/>
    <w:rsid w:val="00CC6C49"/>
    <w:rsid w:val="00CC6F21"/>
    <w:rsid w:val="00CC6FD1"/>
    <w:rsid w:val="00CC719C"/>
    <w:rsid w:val="00CC7422"/>
    <w:rsid w:val="00CC7846"/>
    <w:rsid w:val="00CD0483"/>
    <w:rsid w:val="00CD23C2"/>
    <w:rsid w:val="00CD2612"/>
    <w:rsid w:val="00CD2941"/>
    <w:rsid w:val="00CD2C5E"/>
    <w:rsid w:val="00CD5DC0"/>
    <w:rsid w:val="00CD5E58"/>
    <w:rsid w:val="00CD6ACF"/>
    <w:rsid w:val="00CD71B3"/>
    <w:rsid w:val="00CE0068"/>
    <w:rsid w:val="00CE0773"/>
    <w:rsid w:val="00CE1553"/>
    <w:rsid w:val="00CE1BB2"/>
    <w:rsid w:val="00CE268E"/>
    <w:rsid w:val="00CE276D"/>
    <w:rsid w:val="00CE3304"/>
    <w:rsid w:val="00CE33A8"/>
    <w:rsid w:val="00CE3C96"/>
    <w:rsid w:val="00CE51A8"/>
    <w:rsid w:val="00CE65E9"/>
    <w:rsid w:val="00CE72BF"/>
    <w:rsid w:val="00CF0112"/>
    <w:rsid w:val="00CF020E"/>
    <w:rsid w:val="00CF026A"/>
    <w:rsid w:val="00CF0B20"/>
    <w:rsid w:val="00CF0BFE"/>
    <w:rsid w:val="00CF1D42"/>
    <w:rsid w:val="00CF2329"/>
    <w:rsid w:val="00CF28B8"/>
    <w:rsid w:val="00CF369B"/>
    <w:rsid w:val="00CF44A4"/>
    <w:rsid w:val="00CF44A5"/>
    <w:rsid w:val="00CF5175"/>
    <w:rsid w:val="00CF7EBD"/>
    <w:rsid w:val="00D002D1"/>
    <w:rsid w:val="00D00401"/>
    <w:rsid w:val="00D00554"/>
    <w:rsid w:val="00D00E28"/>
    <w:rsid w:val="00D01317"/>
    <w:rsid w:val="00D0269E"/>
    <w:rsid w:val="00D02BB2"/>
    <w:rsid w:val="00D03276"/>
    <w:rsid w:val="00D033D4"/>
    <w:rsid w:val="00D0517F"/>
    <w:rsid w:val="00D05C7C"/>
    <w:rsid w:val="00D05D6C"/>
    <w:rsid w:val="00D05FCC"/>
    <w:rsid w:val="00D121C7"/>
    <w:rsid w:val="00D130D3"/>
    <w:rsid w:val="00D15810"/>
    <w:rsid w:val="00D1680C"/>
    <w:rsid w:val="00D16CEB"/>
    <w:rsid w:val="00D16D4E"/>
    <w:rsid w:val="00D16FE3"/>
    <w:rsid w:val="00D23D4C"/>
    <w:rsid w:val="00D24072"/>
    <w:rsid w:val="00D266CD"/>
    <w:rsid w:val="00D2743D"/>
    <w:rsid w:val="00D27F41"/>
    <w:rsid w:val="00D314E8"/>
    <w:rsid w:val="00D31963"/>
    <w:rsid w:val="00D31C0D"/>
    <w:rsid w:val="00D32BDA"/>
    <w:rsid w:val="00D33400"/>
    <w:rsid w:val="00D3352A"/>
    <w:rsid w:val="00D3461E"/>
    <w:rsid w:val="00D349A9"/>
    <w:rsid w:val="00D352E5"/>
    <w:rsid w:val="00D356C3"/>
    <w:rsid w:val="00D36441"/>
    <w:rsid w:val="00D4064E"/>
    <w:rsid w:val="00D40BC2"/>
    <w:rsid w:val="00D40C74"/>
    <w:rsid w:val="00D41471"/>
    <w:rsid w:val="00D43B47"/>
    <w:rsid w:val="00D442E8"/>
    <w:rsid w:val="00D44671"/>
    <w:rsid w:val="00D44E9B"/>
    <w:rsid w:val="00D45361"/>
    <w:rsid w:val="00D4547B"/>
    <w:rsid w:val="00D4547F"/>
    <w:rsid w:val="00D468A2"/>
    <w:rsid w:val="00D47AEB"/>
    <w:rsid w:val="00D5087B"/>
    <w:rsid w:val="00D50DB9"/>
    <w:rsid w:val="00D512EE"/>
    <w:rsid w:val="00D51302"/>
    <w:rsid w:val="00D51D64"/>
    <w:rsid w:val="00D52C43"/>
    <w:rsid w:val="00D538A6"/>
    <w:rsid w:val="00D54610"/>
    <w:rsid w:val="00D54BC9"/>
    <w:rsid w:val="00D56E07"/>
    <w:rsid w:val="00D60B93"/>
    <w:rsid w:val="00D61243"/>
    <w:rsid w:val="00D613B1"/>
    <w:rsid w:val="00D61AC0"/>
    <w:rsid w:val="00D6258E"/>
    <w:rsid w:val="00D62B0C"/>
    <w:rsid w:val="00D6507F"/>
    <w:rsid w:val="00D65587"/>
    <w:rsid w:val="00D7021D"/>
    <w:rsid w:val="00D70D80"/>
    <w:rsid w:val="00D71D89"/>
    <w:rsid w:val="00D72040"/>
    <w:rsid w:val="00D730BC"/>
    <w:rsid w:val="00D73912"/>
    <w:rsid w:val="00D73DB4"/>
    <w:rsid w:val="00D75D88"/>
    <w:rsid w:val="00D820EB"/>
    <w:rsid w:val="00D824A8"/>
    <w:rsid w:val="00D824DD"/>
    <w:rsid w:val="00D83374"/>
    <w:rsid w:val="00D83F9B"/>
    <w:rsid w:val="00D85226"/>
    <w:rsid w:val="00D86702"/>
    <w:rsid w:val="00D86AAE"/>
    <w:rsid w:val="00D8729E"/>
    <w:rsid w:val="00D87B94"/>
    <w:rsid w:val="00D90960"/>
    <w:rsid w:val="00D91697"/>
    <w:rsid w:val="00D91870"/>
    <w:rsid w:val="00D92D49"/>
    <w:rsid w:val="00D92EC1"/>
    <w:rsid w:val="00D938C6"/>
    <w:rsid w:val="00D96DEA"/>
    <w:rsid w:val="00DA0278"/>
    <w:rsid w:val="00DA131F"/>
    <w:rsid w:val="00DA1DF7"/>
    <w:rsid w:val="00DA3902"/>
    <w:rsid w:val="00DA3AD1"/>
    <w:rsid w:val="00DA41D3"/>
    <w:rsid w:val="00DA4E41"/>
    <w:rsid w:val="00DB0460"/>
    <w:rsid w:val="00DB0705"/>
    <w:rsid w:val="00DB117A"/>
    <w:rsid w:val="00DB2E32"/>
    <w:rsid w:val="00DB4CB7"/>
    <w:rsid w:val="00DB5173"/>
    <w:rsid w:val="00DB532A"/>
    <w:rsid w:val="00DB6E99"/>
    <w:rsid w:val="00DB7491"/>
    <w:rsid w:val="00DB7873"/>
    <w:rsid w:val="00DB7C96"/>
    <w:rsid w:val="00DC12FD"/>
    <w:rsid w:val="00DC187B"/>
    <w:rsid w:val="00DC1F10"/>
    <w:rsid w:val="00DC3213"/>
    <w:rsid w:val="00DC3C3D"/>
    <w:rsid w:val="00DC5208"/>
    <w:rsid w:val="00DC542A"/>
    <w:rsid w:val="00DC7A9E"/>
    <w:rsid w:val="00DD1A43"/>
    <w:rsid w:val="00DD316C"/>
    <w:rsid w:val="00DD4297"/>
    <w:rsid w:val="00DD5AB9"/>
    <w:rsid w:val="00DD6523"/>
    <w:rsid w:val="00DD694D"/>
    <w:rsid w:val="00DD6B87"/>
    <w:rsid w:val="00DD719E"/>
    <w:rsid w:val="00DD73C2"/>
    <w:rsid w:val="00DE034B"/>
    <w:rsid w:val="00DE1989"/>
    <w:rsid w:val="00DE2E30"/>
    <w:rsid w:val="00DE319B"/>
    <w:rsid w:val="00DE334C"/>
    <w:rsid w:val="00DE3AC1"/>
    <w:rsid w:val="00DE4201"/>
    <w:rsid w:val="00DE6C86"/>
    <w:rsid w:val="00DE70EA"/>
    <w:rsid w:val="00DE72CD"/>
    <w:rsid w:val="00DE7811"/>
    <w:rsid w:val="00DF14E9"/>
    <w:rsid w:val="00DF1E96"/>
    <w:rsid w:val="00DF2C98"/>
    <w:rsid w:val="00DF2CA8"/>
    <w:rsid w:val="00DF34FE"/>
    <w:rsid w:val="00DF4725"/>
    <w:rsid w:val="00DF56AA"/>
    <w:rsid w:val="00DF56AF"/>
    <w:rsid w:val="00DF634A"/>
    <w:rsid w:val="00DF78E7"/>
    <w:rsid w:val="00E00856"/>
    <w:rsid w:val="00E0157B"/>
    <w:rsid w:val="00E016F6"/>
    <w:rsid w:val="00E01F43"/>
    <w:rsid w:val="00E02B3D"/>
    <w:rsid w:val="00E04205"/>
    <w:rsid w:val="00E10048"/>
    <w:rsid w:val="00E110E0"/>
    <w:rsid w:val="00E12BAC"/>
    <w:rsid w:val="00E13F7D"/>
    <w:rsid w:val="00E141E9"/>
    <w:rsid w:val="00E141FA"/>
    <w:rsid w:val="00E143C3"/>
    <w:rsid w:val="00E14E17"/>
    <w:rsid w:val="00E15371"/>
    <w:rsid w:val="00E162C4"/>
    <w:rsid w:val="00E16C02"/>
    <w:rsid w:val="00E17113"/>
    <w:rsid w:val="00E20173"/>
    <w:rsid w:val="00E21056"/>
    <w:rsid w:val="00E22415"/>
    <w:rsid w:val="00E24104"/>
    <w:rsid w:val="00E2440F"/>
    <w:rsid w:val="00E24BA7"/>
    <w:rsid w:val="00E25BEC"/>
    <w:rsid w:val="00E25EAE"/>
    <w:rsid w:val="00E26056"/>
    <w:rsid w:val="00E26CD7"/>
    <w:rsid w:val="00E30158"/>
    <w:rsid w:val="00E302D0"/>
    <w:rsid w:val="00E32CA6"/>
    <w:rsid w:val="00E3497D"/>
    <w:rsid w:val="00E353E7"/>
    <w:rsid w:val="00E35707"/>
    <w:rsid w:val="00E36AA1"/>
    <w:rsid w:val="00E36B76"/>
    <w:rsid w:val="00E3767B"/>
    <w:rsid w:val="00E40698"/>
    <w:rsid w:val="00E4182B"/>
    <w:rsid w:val="00E41ECB"/>
    <w:rsid w:val="00E42676"/>
    <w:rsid w:val="00E433CD"/>
    <w:rsid w:val="00E43999"/>
    <w:rsid w:val="00E4555D"/>
    <w:rsid w:val="00E45677"/>
    <w:rsid w:val="00E47104"/>
    <w:rsid w:val="00E50104"/>
    <w:rsid w:val="00E5048F"/>
    <w:rsid w:val="00E50834"/>
    <w:rsid w:val="00E5084C"/>
    <w:rsid w:val="00E51351"/>
    <w:rsid w:val="00E529A3"/>
    <w:rsid w:val="00E52A6B"/>
    <w:rsid w:val="00E5426D"/>
    <w:rsid w:val="00E54FC8"/>
    <w:rsid w:val="00E54FDB"/>
    <w:rsid w:val="00E55169"/>
    <w:rsid w:val="00E5617D"/>
    <w:rsid w:val="00E563D7"/>
    <w:rsid w:val="00E56F3E"/>
    <w:rsid w:val="00E57BE6"/>
    <w:rsid w:val="00E60629"/>
    <w:rsid w:val="00E60B70"/>
    <w:rsid w:val="00E60EED"/>
    <w:rsid w:val="00E6126D"/>
    <w:rsid w:val="00E639F1"/>
    <w:rsid w:val="00E65F44"/>
    <w:rsid w:val="00E663F4"/>
    <w:rsid w:val="00E666F2"/>
    <w:rsid w:val="00E66D76"/>
    <w:rsid w:val="00E66DD4"/>
    <w:rsid w:val="00E670CD"/>
    <w:rsid w:val="00E6727A"/>
    <w:rsid w:val="00E67471"/>
    <w:rsid w:val="00E71872"/>
    <w:rsid w:val="00E73AA3"/>
    <w:rsid w:val="00E748CC"/>
    <w:rsid w:val="00E74F15"/>
    <w:rsid w:val="00E75415"/>
    <w:rsid w:val="00E775B1"/>
    <w:rsid w:val="00E77682"/>
    <w:rsid w:val="00E77DE5"/>
    <w:rsid w:val="00E8073C"/>
    <w:rsid w:val="00E810A7"/>
    <w:rsid w:val="00E8152A"/>
    <w:rsid w:val="00E82A49"/>
    <w:rsid w:val="00E82E88"/>
    <w:rsid w:val="00E83D8F"/>
    <w:rsid w:val="00E84E63"/>
    <w:rsid w:val="00E85A48"/>
    <w:rsid w:val="00E85B52"/>
    <w:rsid w:val="00E86DD4"/>
    <w:rsid w:val="00E873D4"/>
    <w:rsid w:val="00E900AE"/>
    <w:rsid w:val="00E9111F"/>
    <w:rsid w:val="00E91AF0"/>
    <w:rsid w:val="00E920FC"/>
    <w:rsid w:val="00E92305"/>
    <w:rsid w:val="00E93629"/>
    <w:rsid w:val="00E938D6"/>
    <w:rsid w:val="00E93B5C"/>
    <w:rsid w:val="00E94CEC"/>
    <w:rsid w:val="00EA04EF"/>
    <w:rsid w:val="00EA0969"/>
    <w:rsid w:val="00EA2019"/>
    <w:rsid w:val="00EA2448"/>
    <w:rsid w:val="00EA2AFE"/>
    <w:rsid w:val="00EA33D2"/>
    <w:rsid w:val="00EA53C3"/>
    <w:rsid w:val="00EA6650"/>
    <w:rsid w:val="00EA6C79"/>
    <w:rsid w:val="00EA6F19"/>
    <w:rsid w:val="00EA6F9F"/>
    <w:rsid w:val="00EB02C1"/>
    <w:rsid w:val="00EB12B7"/>
    <w:rsid w:val="00EB2228"/>
    <w:rsid w:val="00EB22FE"/>
    <w:rsid w:val="00EB307A"/>
    <w:rsid w:val="00EB4395"/>
    <w:rsid w:val="00EB4C26"/>
    <w:rsid w:val="00EB7090"/>
    <w:rsid w:val="00EB7814"/>
    <w:rsid w:val="00EC1906"/>
    <w:rsid w:val="00EC1BBE"/>
    <w:rsid w:val="00EC2B68"/>
    <w:rsid w:val="00EC3AEF"/>
    <w:rsid w:val="00EC4187"/>
    <w:rsid w:val="00EC4D96"/>
    <w:rsid w:val="00EC51EF"/>
    <w:rsid w:val="00EC56F9"/>
    <w:rsid w:val="00EC5CD7"/>
    <w:rsid w:val="00EC72E4"/>
    <w:rsid w:val="00EC764E"/>
    <w:rsid w:val="00EC7F67"/>
    <w:rsid w:val="00ED15E9"/>
    <w:rsid w:val="00ED1642"/>
    <w:rsid w:val="00ED19F3"/>
    <w:rsid w:val="00ED22FA"/>
    <w:rsid w:val="00ED31C9"/>
    <w:rsid w:val="00ED344E"/>
    <w:rsid w:val="00ED4459"/>
    <w:rsid w:val="00ED49EC"/>
    <w:rsid w:val="00ED58D4"/>
    <w:rsid w:val="00ED5BA6"/>
    <w:rsid w:val="00ED6AA5"/>
    <w:rsid w:val="00ED6DA6"/>
    <w:rsid w:val="00EE2FBD"/>
    <w:rsid w:val="00EE3B7E"/>
    <w:rsid w:val="00EE3DA1"/>
    <w:rsid w:val="00EE417B"/>
    <w:rsid w:val="00EE4A99"/>
    <w:rsid w:val="00EE578C"/>
    <w:rsid w:val="00EE58DA"/>
    <w:rsid w:val="00EE5FB3"/>
    <w:rsid w:val="00EE6F37"/>
    <w:rsid w:val="00EE7D69"/>
    <w:rsid w:val="00EE7F79"/>
    <w:rsid w:val="00EF1D19"/>
    <w:rsid w:val="00EF596F"/>
    <w:rsid w:val="00EF5E81"/>
    <w:rsid w:val="00EF715A"/>
    <w:rsid w:val="00F01B76"/>
    <w:rsid w:val="00F02E19"/>
    <w:rsid w:val="00F032EB"/>
    <w:rsid w:val="00F03FCC"/>
    <w:rsid w:val="00F054C6"/>
    <w:rsid w:val="00F0601D"/>
    <w:rsid w:val="00F06E14"/>
    <w:rsid w:val="00F07E50"/>
    <w:rsid w:val="00F07E9D"/>
    <w:rsid w:val="00F10737"/>
    <w:rsid w:val="00F172BF"/>
    <w:rsid w:val="00F172C9"/>
    <w:rsid w:val="00F17587"/>
    <w:rsid w:val="00F179D4"/>
    <w:rsid w:val="00F20CA7"/>
    <w:rsid w:val="00F20D1F"/>
    <w:rsid w:val="00F20D77"/>
    <w:rsid w:val="00F216C0"/>
    <w:rsid w:val="00F22A23"/>
    <w:rsid w:val="00F236EC"/>
    <w:rsid w:val="00F2426A"/>
    <w:rsid w:val="00F246AA"/>
    <w:rsid w:val="00F27C53"/>
    <w:rsid w:val="00F317A5"/>
    <w:rsid w:val="00F31B39"/>
    <w:rsid w:val="00F325B0"/>
    <w:rsid w:val="00F3290D"/>
    <w:rsid w:val="00F32F15"/>
    <w:rsid w:val="00F33B25"/>
    <w:rsid w:val="00F33C56"/>
    <w:rsid w:val="00F3418D"/>
    <w:rsid w:val="00F347C7"/>
    <w:rsid w:val="00F34848"/>
    <w:rsid w:val="00F3537F"/>
    <w:rsid w:val="00F361D7"/>
    <w:rsid w:val="00F37A7C"/>
    <w:rsid w:val="00F4050E"/>
    <w:rsid w:val="00F40C5E"/>
    <w:rsid w:val="00F416E6"/>
    <w:rsid w:val="00F42666"/>
    <w:rsid w:val="00F42BBD"/>
    <w:rsid w:val="00F42D46"/>
    <w:rsid w:val="00F4329A"/>
    <w:rsid w:val="00F4496C"/>
    <w:rsid w:val="00F4497B"/>
    <w:rsid w:val="00F44F3A"/>
    <w:rsid w:val="00F47766"/>
    <w:rsid w:val="00F47F22"/>
    <w:rsid w:val="00F50ACE"/>
    <w:rsid w:val="00F50F3A"/>
    <w:rsid w:val="00F51F10"/>
    <w:rsid w:val="00F525D6"/>
    <w:rsid w:val="00F529A5"/>
    <w:rsid w:val="00F5310D"/>
    <w:rsid w:val="00F55C53"/>
    <w:rsid w:val="00F55C77"/>
    <w:rsid w:val="00F56FD8"/>
    <w:rsid w:val="00F579EE"/>
    <w:rsid w:val="00F60F00"/>
    <w:rsid w:val="00F614C0"/>
    <w:rsid w:val="00F62615"/>
    <w:rsid w:val="00F628DA"/>
    <w:rsid w:val="00F62CD2"/>
    <w:rsid w:val="00F6477F"/>
    <w:rsid w:val="00F65132"/>
    <w:rsid w:val="00F665BF"/>
    <w:rsid w:val="00F66E15"/>
    <w:rsid w:val="00F70657"/>
    <w:rsid w:val="00F71A6B"/>
    <w:rsid w:val="00F72CE2"/>
    <w:rsid w:val="00F7547D"/>
    <w:rsid w:val="00F76ECF"/>
    <w:rsid w:val="00F7794A"/>
    <w:rsid w:val="00F80080"/>
    <w:rsid w:val="00F80912"/>
    <w:rsid w:val="00F80D4A"/>
    <w:rsid w:val="00F8111C"/>
    <w:rsid w:val="00F8275D"/>
    <w:rsid w:val="00F82CC1"/>
    <w:rsid w:val="00F83848"/>
    <w:rsid w:val="00F83C50"/>
    <w:rsid w:val="00F85803"/>
    <w:rsid w:val="00F86816"/>
    <w:rsid w:val="00F8765B"/>
    <w:rsid w:val="00F87A83"/>
    <w:rsid w:val="00F87CA4"/>
    <w:rsid w:val="00F90462"/>
    <w:rsid w:val="00F905F0"/>
    <w:rsid w:val="00F9146E"/>
    <w:rsid w:val="00F918F6"/>
    <w:rsid w:val="00F92443"/>
    <w:rsid w:val="00F92834"/>
    <w:rsid w:val="00F9293D"/>
    <w:rsid w:val="00F94187"/>
    <w:rsid w:val="00F94AFA"/>
    <w:rsid w:val="00F94FAF"/>
    <w:rsid w:val="00F95918"/>
    <w:rsid w:val="00F95B6F"/>
    <w:rsid w:val="00F975E9"/>
    <w:rsid w:val="00FA0006"/>
    <w:rsid w:val="00FA197B"/>
    <w:rsid w:val="00FA1B7D"/>
    <w:rsid w:val="00FA39E5"/>
    <w:rsid w:val="00FA3CA9"/>
    <w:rsid w:val="00FA3ECE"/>
    <w:rsid w:val="00FA5124"/>
    <w:rsid w:val="00FA55B9"/>
    <w:rsid w:val="00FA601B"/>
    <w:rsid w:val="00FA69BB"/>
    <w:rsid w:val="00FA6D69"/>
    <w:rsid w:val="00FA7F1A"/>
    <w:rsid w:val="00FB0136"/>
    <w:rsid w:val="00FB05A6"/>
    <w:rsid w:val="00FB08D0"/>
    <w:rsid w:val="00FB1B29"/>
    <w:rsid w:val="00FB2232"/>
    <w:rsid w:val="00FB2CF3"/>
    <w:rsid w:val="00FB4C90"/>
    <w:rsid w:val="00FB6A60"/>
    <w:rsid w:val="00FC07B9"/>
    <w:rsid w:val="00FC0F26"/>
    <w:rsid w:val="00FC127E"/>
    <w:rsid w:val="00FC4E21"/>
    <w:rsid w:val="00FC4EFC"/>
    <w:rsid w:val="00FC594E"/>
    <w:rsid w:val="00FC5F6D"/>
    <w:rsid w:val="00FC6367"/>
    <w:rsid w:val="00FD0107"/>
    <w:rsid w:val="00FD0E7F"/>
    <w:rsid w:val="00FD1CFA"/>
    <w:rsid w:val="00FD20BE"/>
    <w:rsid w:val="00FD2C2F"/>
    <w:rsid w:val="00FD3B31"/>
    <w:rsid w:val="00FD405F"/>
    <w:rsid w:val="00FD55B9"/>
    <w:rsid w:val="00FD5779"/>
    <w:rsid w:val="00FD64C8"/>
    <w:rsid w:val="00FD728B"/>
    <w:rsid w:val="00FE075F"/>
    <w:rsid w:val="00FE103F"/>
    <w:rsid w:val="00FE1788"/>
    <w:rsid w:val="00FE1823"/>
    <w:rsid w:val="00FE1A2A"/>
    <w:rsid w:val="00FE467C"/>
    <w:rsid w:val="00FE487A"/>
    <w:rsid w:val="00FE5B9F"/>
    <w:rsid w:val="00FE5BEF"/>
    <w:rsid w:val="00FE7022"/>
    <w:rsid w:val="00FF0273"/>
    <w:rsid w:val="00FF0459"/>
    <w:rsid w:val="00FF0569"/>
    <w:rsid w:val="00FF206E"/>
    <w:rsid w:val="00FF3C69"/>
    <w:rsid w:val="00FF3DB1"/>
    <w:rsid w:val="00FF6E0A"/>
    <w:rsid w:val="00FF73E0"/>
    <w:rsid w:val="00FF7525"/>
    <w:rsid w:val="7C994A0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red,#4d4d4f"/>
    </o:shapedefaults>
    <o:shapelayout v:ext="edit">
      <o:idmap v:ext="edit" data="1"/>
    </o:shapelayout>
  </w:shapeDefaults>
  <w:decimalSymbol w:val="."/>
  <w:listSeparator w:val=","/>
  <w14:docId w14:val="447C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B1"/>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aliases w:val="CEO_Hyperlink"/>
    <w:basedOn w:val="DefaultParagraphFont"/>
    <w:uiPriority w:val="99"/>
    <w:qFormat/>
    <w:rsid w:val="00C35CCE"/>
    <w:rPr>
      <w:color w:val="0000FF"/>
      <w:u w:val="single" w:color="0000FF"/>
    </w:rPr>
  </w:style>
  <w:style w:type="character" w:styleId="FootnoteReference">
    <w:name w:val="footnote reference"/>
    <w:aliases w:val="Appel note de bas de p,Appel note de bas de p + 11 pt,Italic,Footnote,Footnote symbol,Appel note de bas de p1,Appel note de bas de p2,Appel note de bas de p3,Footnote Reference/,Style 12,(NECG) Footnote Reference,Style 124,o,fr"/>
    <w:basedOn w:val="DefaultParagraphFont"/>
    <w:rsid w:val="00566AB4"/>
    <w:rPr>
      <w:rFonts w:ascii="Arial" w:hAnsi="Arial"/>
      <w:vertAlign w:val="superscript"/>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rsid w:val="00C24466"/>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3803B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styleId="ListParagraph">
    <w:name w:val="List Paragraph"/>
    <w:basedOn w:val="Normal"/>
    <w:uiPriority w:val="34"/>
    <w:qFormat/>
    <w:rsid w:val="00953031"/>
    <w:pPr>
      <w:spacing w:after="0" w:line="240" w:lineRule="auto"/>
      <w:ind w:left="720"/>
    </w:pPr>
    <w:rPr>
      <w:rFonts w:ascii="Calibri" w:eastAsiaTheme="minorHAnsi" w:hAnsi="Calibri" w:cs="Calibri"/>
      <w:sz w:val="22"/>
      <w:szCs w:val="22"/>
      <w:lang w:eastAsia="en-US"/>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locked/>
    <w:rsid w:val="002E459F"/>
    <w:rPr>
      <w:rFonts w:ascii="Arial" w:hAnsi="Arial"/>
      <w:sz w:val="16"/>
      <w:szCs w:val="16"/>
    </w:rPr>
  </w:style>
  <w:style w:type="paragraph" w:customStyle="1" w:styleId="paragraph0">
    <w:name w:val="paragraph"/>
    <w:basedOn w:val="Normal"/>
    <w:rsid w:val="000028AB"/>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0028AB"/>
  </w:style>
  <w:style w:type="character" w:customStyle="1" w:styleId="eop">
    <w:name w:val="eop"/>
    <w:basedOn w:val="DefaultParagraphFont"/>
    <w:rsid w:val="000028AB"/>
  </w:style>
  <w:style w:type="character" w:customStyle="1" w:styleId="superscript">
    <w:name w:val="superscript"/>
    <w:basedOn w:val="DefaultParagraphFont"/>
    <w:rsid w:val="000028AB"/>
  </w:style>
  <w:style w:type="paragraph" w:customStyle="1" w:styleId="ACMABodyText">
    <w:name w:val="ACMA Body Text"/>
    <w:basedOn w:val="Normal"/>
    <w:link w:val="ACMABodyTextChar"/>
    <w:rsid w:val="00A50A23"/>
    <w:pPr>
      <w:snapToGrid w:val="0"/>
      <w:spacing w:before="80" w:after="120" w:line="260" w:lineRule="atLeast"/>
    </w:pPr>
    <w:rPr>
      <w:rFonts w:eastAsiaTheme="minorHAnsi" w:cs="Arial"/>
      <w:sz w:val="22"/>
      <w:szCs w:val="22"/>
      <w:lang w:eastAsia="en-US"/>
    </w:rPr>
  </w:style>
  <w:style w:type="character" w:customStyle="1" w:styleId="ACMABodyTextChar">
    <w:name w:val="ACMA Body Text Char"/>
    <w:basedOn w:val="DefaultParagraphFont"/>
    <w:link w:val="ACMABodyText"/>
    <w:locked/>
    <w:rsid w:val="00A50A23"/>
    <w:rPr>
      <w:rFonts w:ascii="Arial" w:eastAsiaTheme="minorHAnsi" w:hAnsi="Arial" w:cs="Arial"/>
      <w:sz w:val="22"/>
      <w:szCs w:val="22"/>
      <w:lang w:eastAsia="en-US"/>
    </w:rPr>
  </w:style>
  <w:style w:type="paragraph" w:customStyle="1" w:styleId="TableHeading0">
    <w:name w:val="Table Heading"/>
    <w:basedOn w:val="Normal"/>
    <w:qFormat/>
    <w:rsid w:val="00F325B0"/>
    <w:pPr>
      <w:spacing w:after="0"/>
    </w:pPr>
    <w:rPr>
      <w:b/>
    </w:rPr>
  </w:style>
  <w:style w:type="paragraph" w:customStyle="1" w:styleId="acthead5">
    <w:name w:val="acthead5"/>
    <w:basedOn w:val="Normal"/>
    <w:rsid w:val="00CA3D89"/>
    <w:pPr>
      <w:spacing w:before="100" w:beforeAutospacing="1" w:after="100" w:afterAutospacing="1" w:line="240" w:lineRule="auto"/>
    </w:pPr>
    <w:rPr>
      <w:rFonts w:ascii="Times New Roman" w:hAnsi="Times New Roman"/>
      <w:sz w:val="24"/>
    </w:rPr>
  </w:style>
  <w:style w:type="character" w:customStyle="1" w:styleId="charsectno">
    <w:name w:val="charsectno"/>
    <w:basedOn w:val="DefaultParagraphFont"/>
    <w:rsid w:val="00CA3D89"/>
  </w:style>
  <w:style w:type="paragraph" w:customStyle="1" w:styleId="subsection">
    <w:name w:val="subsection"/>
    <w:aliases w:val="ss"/>
    <w:basedOn w:val="Normal"/>
    <w:link w:val="subsectionChar"/>
    <w:rsid w:val="00CA3D89"/>
    <w:pPr>
      <w:spacing w:before="100" w:beforeAutospacing="1" w:after="100" w:afterAutospacing="1" w:line="240" w:lineRule="auto"/>
    </w:pPr>
    <w:rPr>
      <w:rFonts w:ascii="Times New Roman" w:hAnsi="Times New Roman"/>
      <w:sz w:val="24"/>
    </w:rPr>
  </w:style>
  <w:style w:type="paragraph" w:customStyle="1" w:styleId="paragraphsub">
    <w:name w:val="paragraphsub"/>
    <w:basedOn w:val="Normal"/>
    <w:rsid w:val="00CA3D89"/>
    <w:pPr>
      <w:spacing w:before="100" w:beforeAutospacing="1" w:after="100" w:afterAutospacing="1" w:line="240" w:lineRule="auto"/>
    </w:pPr>
    <w:rPr>
      <w:rFonts w:ascii="Times New Roman" w:hAnsi="Times New Roman"/>
      <w:sz w:val="24"/>
    </w:rPr>
  </w:style>
  <w:style w:type="paragraph" w:styleId="NormalWeb">
    <w:name w:val="Normal (Web)"/>
    <w:basedOn w:val="Normal"/>
    <w:uiPriority w:val="99"/>
    <w:unhideWhenUsed/>
    <w:rsid w:val="0035224C"/>
    <w:pPr>
      <w:spacing w:before="100" w:beforeAutospacing="1" w:after="100" w:afterAutospacing="1" w:line="240" w:lineRule="auto"/>
    </w:pPr>
    <w:rPr>
      <w:rFonts w:ascii="Times New Roman" w:hAnsi="Times New Roman"/>
      <w:sz w:val="24"/>
    </w:rPr>
  </w:style>
  <w:style w:type="paragraph" w:styleId="EndnoteText">
    <w:name w:val="endnote text"/>
    <w:basedOn w:val="Normal"/>
    <w:link w:val="EndnoteTextChar"/>
    <w:semiHidden/>
    <w:unhideWhenUsed/>
    <w:rsid w:val="00010313"/>
    <w:pPr>
      <w:spacing w:after="0" w:line="240" w:lineRule="auto"/>
    </w:pPr>
    <w:rPr>
      <w:szCs w:val="20"/>
    </w:rPr>
  </w:style>
  <w:style w:type="character" w:customStyle="1" w:styleId="EndnoteTextChar">
    <w:name w:val="Endnote Text Char"/>
    <w:basedOn w:val="DefaultParagraphFont"/>
    <w:link w:val="EndnoteText"/>
    <w:semiHidden/>
    <w:rsid w:val="00010313"/>
    <w:rPr>
      <w:rFonts w:ascii="Arial" w:hAnsi="Arial"/>
      <w:sz w:val="20"/>
      <w:szCs w:val="20"/>
    </w:rPr>
  </w:style>
  <w:style w:type="character" w:styleId="EndnoteReference">
    <w:name w:val="endnote reference"/>
    <w:basedOn w:val="DefaultParagraphFont"/>
    <w:semiHidden/>
    <w:unhideWhenUsed/>
    <w:rsid w:val="00010313"/>
    <w:rPr>
      <w:vertAlign w:val="superscript"/>
    </w:rPr>
  </w:style>
  <w:style w:type="character" w:customStyle="1" w:styleId="subsectionChar">
    <w:name w:val="subsection Char"/>
    <w:aliases w:val="ss Char"/>
    <w:link w:val="subsection"/>
    <w:locked/>
    <w:rsid w:val="007253EF"/>
  </w:style>
  <w:style w:type="paragraph" w:customStyle="1" w:styleId="acthead4">
    <w:name w:val="acthead4"/>
    <w:basedOn w:val="Normal"/>
    <w:rsid w:val="00036ED9"/>
    <w:pPr>
      <w:spacing w:before="100" w:beforeAutospacing="1" w:after="100" w:afterAutospacing="1" w:line="240" w:lineRule="auto"/>
    </w:pPr>
    <w:rPr>
      <w:rFonts w:ascii="Times New Roman" w:hAnsi="Times New Roman"/>
      <w:sz w:val="24"/>
    </w:rPr>
  </w:style>
  <w:style w:type="paragraph" w:customStyle="1" w:styleId="sobullet">
    <w:name w:val="sobullet"/>
    <w:basedOn w:val="Normal"/>
    <w:rsid w:val="00036ED9"/>
    <w:pPr>
      <w:spacing w:before="100" w:beforeAutospacing="1" w:after="100" w:afterAutospacing="1" w:line="240" w:lineRule="auto"/>
    </w:pPr>
    <w:rPr>
      <w:rFonts w:ascii="Times New Roman" w:hAnsi="Times New Roman"/>
      <w:sz w:val="24"/>
    </w:rPr>
  </w:style>
  <w:style w:type="paragraph" w:customStyle="1" w:styleId="notetext">
    <w:name w:val="notetext"/>
    <w:basedOn w:val="Normal"/>
    <w:rsid w:val="00036ED9"/>
    <w:pPr>
      <w:spacing w:before="100" w:beforeAutospacing="1" w:after="100" w:afterAutospacing="1" w:line="240" w:lineRule="auto"/>
    </w:pPr>
    <w:rPr>
      <w:rFonts w:ascii="Times New Roman" w:hAnsi="Times New Roman"/>
      <w:sz w:val="24"/>
    </w:rPr>
  </w:style>
  <w:style w:type="paragraph" w:customStyle="1" w:styleId="definition">
    <w:name w:val="definition"/>
    <w:basedOn w:val="Normal"/>
    <w:rsid w:val="00036ED9"/>
    <w:pPr>
      <w:spacing w:before="100" w:beforeAutospacing="1" w:after="100" w:afterAutospacing="1" w:line="240" w:lineRule="auto"/>
    </w:pPr>
    <w:rPr>
      <w:rFonts w:ascii="Times New Roman" w:hAnsi="Times New Roman"/>
      <w:sz w:val="24"/>
    </w:rPr>
  </w:style>
  <w:style w:type="paragraph" w:customStyle="1" w:styleId="subsectionhead">
    <w:name w:val="subsectionhead"/>
    <w:basedOn w:val="Normal"/>
    <w:rsid w:val="00036ED9"/>
    <w:pPr>
      <w:spacing w:before="100" w:beforeAutospacing="1" w:after="100" w:afterAutospacing="1" w:line="240" w:lineRule="auto"/>
    </w:pPr>
    <w:rPr>
      <w:rFonts w:ascii="Times New Roman" w:hAnsi="Times New Roman"/>
      <w:sz w:val="24"/>
    </w:rPr>
  </w:style>
  <w:style w:type="paragraph" w:customStyle="1" w:styleId="subsection2">
    <w:name w:val="subsection2"/>
    <w:basedOn w:val="Normal"/>
    <w:rsid w:val="00036ED9"/>
    <w:pPr>
      <w:spacing w:before="100" w:beforeAutospacing="1" w:after="100" w:afterAutospacing="1" w:line="240" w:lineRule="auto"/>
    </w:pPr>
    <w:rPr>
      <w:rFonts w:ascii="Times New Roman" w:hAnsi="Times New Roman"/>
      <w:sz w:val="24"/>
    </w:rPr>
  </w:style>
  <w:style w:type="paragraph" w:customStyle="1" w:styleId="acthead3">
    <w:name w:val="acthead3"/>
    <w:basedOn w:val="Normal"/>
    <w:rsid w:val="00036ED9"/>
    <w:pPr>
      <w:spacing w:before="100" w:beforeAutospacing="1" w:after="100" w:afterAutospacing="1" w:line="240" w:lineRule="auto"/>
    </w:pPr>
    <w:rPr>
      <w:rFonts w:ascii="Times New Roman" w:hAnsi="Times New Roman"/>
      <w:sz w:val="24"/>
    </w:rPr>
  </w:style>
  <w:style w:type="paragraph" w:customStyle="1" w:styleId="Backgroundtext">
    <w:name w:val="Background text"/>
    <w:basedOn w:val="Normal"/>
    <w:rsid w:val="00036ED9"/>
    <w:pPr>
      <w:spacing w:after="120" w:line="360" w:lineRule="auto"/>
    </w:pPr>
    <w:rPr>
      <w:rFonts w:ascii="Arial (W1)" w:hAnsi="Arial (W1)"/>
      <w:sz w:val="24"/>
      <w:szCs w:val="20"/>
      <w:lang w:eastAsia="en-US"/>
    </w:rPr>
  </w:style>
  <w:style w:type="character" w:customStyle="1" w:styleId="charsubdno">
    <w:name w:val="charsubdno"/>
    <w:basedOn w:val="DefaultParagraphFont"/>
    <w:rsid w:val="00036ED9"/>
  </w:style>
  <w:style w:type="character" w:customStyle="1" w:styleId="charsubdtext">
    <w:name w:val="charsubdtext"/>
    <w:basedOn w:val="DefaultParagraphFont"/>
    <w:rsid w:val="00036ED9"/>
  </w:style>
  <w:style w:type="character" w:customStyle="1" w:styleId="chardivno">
    <w:name w:val="chardivno"/>
    <w:basedOn w:val="DefaultParagraphFont"/>
    <w:rsid w:val="00036ED9"/>
  </w:style>
  <w:style w:type="character" w:customStyle="1" w:styleId="chardivtext">
    <w:name w:val="chardivtext"/>
    <w:basedOn w:val="DefaultParagraphFont"/>
    <w:rsid w:val="0003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741">
      <w:bodyDiv w:val="1"/>
      <w:marLeft w:val="0"/>
      <w:marRight w:val="0"/>
      <w:marTop w:val="0"/>
      <w:marBottom w:val="0"/>
      <w:divBdr>
        <w:top w:val="none" w:sz="0" w:space="0" w:color="auto"/>
        <w:left w:val="none" w:sz="0" w:space="0" w:color="auto"/>
        <w:bottom w:val="none" w:sz="0" w:space="0" w:color="auto"/>
        <w:right w:val="none" w:sz="0" w:space="0" w:color="auto"/>
      </w:divBdr>
    </w:div>
    <w:div w:id="78067863">
      <w:bodyDiv w:val="1"/>
      <w:marLeft w:val="0"/>
      <w:marRight w:val="0"/>
      <w:marTop w:val="0"/>
      <w:marBottom w:val="0"/>
      <w:divBdr>
        <w:top w:val="none" w:sz="0" w:space="0" w:color="auto"/>
        <w:left w:val="none" w:sz="0" w:space="0" w:color="auto"/>
        <w:bottom w:val="none" w:sz="0" w:space="0" w:color="auto"/>
        <w:right w:val="none" w:sz="0" w:space="0" w:color="auto"/>
      </w:divBdr>
    </w:div>
    <w:div w:id="108282362">
      <w:bodyDiv w:val="1"/>
      <w:marLeft w:val="0"/>
      <w:marRight w:val="0"/>
      <w:marTop w:val="0"/>
      <w:marBottom w:val="0"/>
      <w:divBdr>
        <w:top w:val="none" w:sz="0" w:space="0" w:color="auto"/>
        <w:left w:val="none" w:sz="0" w:space="0" w:color="auto"/>
        <w:bottom w:val="none" w:sz="0" w:space="0" w:color="auto"/>
        <w:right w:val="none" w:sz="0" w:space="0" w:color="auto"/>
      </w:divBdr>
    </w:div>
    <w:div w:id="191378725">
      <w:bodyDiv w:val="1"/>
      <w:marLeft w:val="0"/>
      <w:marRight w:val="0"/>
      <w:marTop w:val="0"/>
      <w:marBottom w:val="0"/>
      <w:divBdr>
        <w:top w:val="none" w:sz="0" w:space="0" w:color="auto"/>
        <w:left w:val="none" w:sz="0" w:space="0" w:color="auto"/>
        <w:bottom w:val="none" w:sz="0" w:space="0" w:color="auto"/>
        <w:right w:val="none" w:sz="0" w:space="0" w:color="auto"/>
      </w:divBdr>
    </w:div>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286550661">
      <w:bodyDiv w:val="1"/>
      <w:marLeft w:val="0"/>
      <w:marRight w:val="0"/>
      <w:marTop w:val="0"/>
      <w:marBottom w:val="0"/>
      <w:divBdr>
        <w:top w:val="none" w:sz="0" w:space="0" w:color="auto"/>
        <w:left w:val="none" w:sz="0" w:space="0" w:color="auto"/>
        <w:bottom w:val="none" w:sz="0" w:space="0" w:color="auto"/>
        <w:right w:val="none" w:sz="0" w:space="0" w:color="auto"/>
      </w:divBdr>
    </w:div>
    <w:div w:id="384597901">
      <w:bodyDiv w:val="1"/>
      <w:marLeft w:val="0"/>
      <w:marRight w:val="0"/>
      <w:marTop w:val="0"/>
      <w:marBottom w:val="0"/>
      <w:divBdr>
        <w:top w:val="none" w:sz="0" w:space="0" w:color="auto"/>
        <w:left w:val="none" w:sz="0" w:space="0" w:color="auto"/>
        <w:bottom w:val="none" w:sz="0" w:space="0" w:color="auto"/>
        <w:right w:val="none" w:sz="0" w:space="0" w:color="auto"/>
      </w:divBdr>
    </w:div>
    <w:div w:id="415323075">
      <w:bodyDiv w:val="1"/>
      <w:marLeft w:val="0"/>
      <w:marRight w:val="0"/>
      <w:marTop w:val="0"/>
      <w:marBottom w:val="0"/>
      <w:divBdr>
        <w:top w:val="none" w:sz="0" w:space="0" w:color="auto"/>
        <w:left w:val="none" w:sz="0" w:space="0" w:color="auto"/>
        <w:bottom w:val="none" w:sz="0" w:space="0" w:color="auto"/>
        <w:right w:val="none" w:sz="0" w:space="0" w:color="auto"/>
      </w:divBdr>
      <w:divsChild>
        <w:div w:id="910774328">
          <w:marLeft w:val="0"/>
          <w:marRight w:val="0"/>
          <w:marTop w:val="0"/>
          <w:marBottom w:val="0"/>
          <w:divBdr>
            <w:top w:val="none" w:sz="0" w:space="0" w:color="auto"/>
            <w:left w:val="none" w:sz="0" w:space="0" w:color="auto"/>
            <w:bottom w:val="none" w:sz="0" w:space="0" w:color="auto"/>
            <w:right w:val="none" w:sz="0" w:space="0" w:color="auto"/>
          </w:divBdr>
        </w:div>
        <w:div w:id="1550070484">
          <w:marLeft w:val="0"/>
          <w:marRight w:val="0"/>
          <w:marTop w:val="0"/>
          <w:marBottom w:val="0"/>
          <w:divBdr>
            <w:top w:val="none" w:sz="0" w:space="0" w:color="auto"/>
            <w:left w:val="none" w:sz="0" w:space="0" w:color="auto"/>
            <w:bottom w:val="none" w:sz="0" w:space="0" w:color="auto"/>
            <w:right w:val="none" w:sz="0" w:space="0" w:color="auto"/>
          </w:divBdr>
        </w:div>
      </w:divsChild>
    </w:div>
    <w:div w:id="514465547">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727923246">
      <w:bodyDiv w:val="1"/>
      <w:marLeft w:val="0"/>
      <w:marRight w:val="0"/>
      <w:marTop w:val="0"/>
      <w:marBottom w:val="0"/>
      <w:divBdr>
        <w:top w:val="none" w:sz="0" w:space="0" w:color="auto"/>
        <w:left w:val="none" w:sz="0" w:space="0" w:color="auto"/>
        <w:bottom w:val="none" w:sz="0" w:space="0" w:color="auto"/>
        <w:right w:val="none" w:sz="0" w:space="0" w:color="auto"/>
      </w:divBdr>
    </w:div>
    <w:div w:id="735931116">
      <w:bodyDiv w:val="1"/>
      <w:marLeft w:val="0"/>
      <w:marRight w:val="0"/>
      <w:marTop w:val="0"/>
      <w:marBottom w:val="0"/>
      <w:divBdr>
        <w:top w:val="none" w:sz="0" w:space="0" w:color="auto"/>
        <w:left w:val="none" w:sz="0" w:space="0" w:color="auto"/>
        <w:bottom w:val="none" w:sz="0" w:space="0" w:color="auto"/>
        <w:right w:val="none" w:sz="0" w:space="0" w:color="auto"/>
      </w:divBdr>
      <w:divsChild>
        <w:div w:id="620263017">
          <w:marLeft w:val="0"/>
          <w:marRight w:val="0"/>
          <w:marTop w:val="0"/>
          <w:marBottom w:val="0"/>
          <w:divBdr>
            <w:top w:val="none" w:sz="0" w:space="0" w:color="auto"/>
            <w:left w:val="none" w:sz="0" w:space="0" w:color="auto"/>
            <w:bottom w:val="none" w:sz="0" w:space="0" w:color="auto"/>
            <w:right w:val="none" w:sz="0" w:space="0" w:color="auto"/>
          </w:divBdr>
        </w:div>
        <w:div w:id="677540890">
          <w:marLeft w:val="0"/>
          <w:marRight w:val="0"/>
          <w:marTop w:val="0"/>
          <w:marBottom w:val="0"/>
          <w:divBdr>
            <w:top w:val="none" w:sz="0" w:space="0" w:color="auto"/>
            <w:left w:val="none" w:sz="0" w:space="0" w:color="auto"/>
            <w:bottom w:val="none" w:sz="0" w:space="0" w:color="auto"/>
            <w:right w:val="none" w:sz="0" w:space="0" w:color="auto"/>
          </w:divBdr>
          <w:divsChild>
            <w:div w:id="628240051">
              <w:marLeft w:val="0"/>
              <w:marRight w:val="0"/>
              <w:marTop w:val="0"/>
              <w:marBottom w:val="0"/>
              <w:divBdr>
                <w:top w:val="none" w:sz="0" w:space="0" w:color="auto"/>
                <w:left w:val="none" w:sz="0" w:space="0" w:color="auto"/>
                <w:bottom w:val="none" w:sz="0" w:space="0" w:color="auto"/>
                <w:right w:val="none" w:sz="0" w:space="0" w:color="auto"/>
              </w:divBdr>
            </w:div>
            <w:div w:id="941718783">
              <w:marLeft w:val="0"/>
              <w:marRight w:val="0"/>
              <w:marTop w:val="0"/>
              <w:marBottom w:val="0"/>
              <w:divBdr>
                <w:top w:val="none" w:sz="0" w:space="0" w:color="auto"/>
                <w:left w:val="none" w:sz="0" w:space="0" w:color="auto"/>
                <w:bottom w:val="none" w:sz="0" w:space="0" w:color="auto"/>
                <w:right w:val="none" w:sz="0" w:space="0" w:color="auto"/>
              </w:divBdr>
            </w:div>
            <w:div w:id="1690567652">
              <w:marLeft w:val="0"/>
              <w:marRight w:val="0"/>
              <w:marTop w:val="0"/>
              <w:marBottom w:val="0"/>
              <w:divBdr>
                <w:top w:val="none" w:sz="0" w:space="0" w:color="auto"/>
                <w:left w:val="none" w:sz="0" w:space="0" w:color="auto"/>
                <w:bottom w:val="none" w:sz="0" w:space="0" w:color="auto"/>
                <w:right w:val="none" w:sz="0" w:space="0" w:color="auto"/>
              </w:divBdr>
            </w:div>
            <w:div w:id="1780219935">
              <w:marLeft w:val="0"/>
              <w:marRight w:val="0"/>
              <w:marTop w:val="0"/>
              <w:marBottom w:val="0"/>
              <w:divBdr>
                <w:top w:val="none" w:sz="0" w:space="0" w:color="auto"/>
                <w:left w:val="none" w:sz="0" w:space="0" w:color="auto"/>
                <w:bottom w:val="none" w:sz="0" w:space="0" w:color="auto"/>
                <w:right w:val="none" w:sz="0" w:space="0" w:color="auto"/>
              </w:divBdr>
            </w:div>
          </w:divsChild>
        </w:div>
        <w:div w:id="860778336">
          <w:marLeft w:val="0"/>
          <w:marRight w:val="0"/>
          <w:marTop w:val="0"/>
          <w:marBottom w:val="0"/>
          <w:divBdr>
            <w:top w:val="none" w:sz="0" w:space="0" w:color="auto"/>
            <w:left w:val="none" w:sz="0" w:space="0" w:color="auto"/>
            <w:bottom w:val="none" w:sz="0" w:space="0" w:color="auto"/>
            <w:right w:val="none" w:sz="0" w:space="0" w:color="auto"/>
          </w:divBdr>
        </w:div>
        <w:div w:id="1012412395">
          <w:marLeft w:val="0"/>
          <w:marRight w:val="0"/>
          <w:marTop w:val="0"/>
          <w:marBottom w:val="0"/>
          <w:divBdr>
            <w:top w:val="none" w:sz="0" w:space="0" w:color="auto"/>
            <w:left w:val="none" w:sz="0" w:space="0" w:color="auto"/>
            <w:bottom w:val="none" w:sz="0" w:space="0" w:color="auto"/>
            <w:right w:val="none" w:sz="0" w:space="0" w:color="auto"/>
          </w:divBdr>
          <w:divsChild>
            <w:div w:id="1001083030">
              <w:marLeft w:val="0"/>
              <w:marRight w:val="0"/>
              <w:marTop w:val="0"/>
              <w:marBottom w:val="0"/>
              <w:divBdr>
                <w:top w:val="none" w:sz="0" w:space="0" w:color="auto"/>
                <w:left w:val="none" w:sz="0" w:space="0" w:color="auto"/>
                <w:bottom w:val="none" w:sz="0" w:space="0" w:color="auto"/>
                <w:right w:val="none" w:sz="0" w:space="0" w:color="auto"/>
              </w:divBdr>
            </w:div>
            <w:div w:id="1073238578">
              <w:marLeft w:val="0"/>
              <w:marRight w:val="0"/>
              <w:marTop w:val="0"/>
              <w:marBottom w:val="0"/>
              <w:divBdr>
                <w:top w:val="none" w:sz="0" w:space="0" w:color="auto"/>
                <w:left w:val="none" w:sz="0" w:space="0" w:color="auto"/>
                <w:bottom w:val="none" w:sz="0" w:space="0" w:color="auto"/>
                <w:right w:val="none" w:sz="0" w:space="0" w:color="auto"/>
              </w:divBdr>
            </w:div>
            <w:div w:id="1507095742">
              <w:marLeft w:val="0"/>
              <w:marRight w:val="0"/>
              <w:marTop w:val="0"/>
              <w:marBottom w:val="0"/>
              <w:divBdr>
                <w:top w:val="none" w:sz="0" w:space="0" w:color="auto"/>
                <w:left w:val="none" w:sz="0" w:space="0" w:color="auto"/>
                <w:bottom w:val="none" w:sz="0" w:space="0" w:color="auto"/>
                <w:right w:val="none" w:sz="0" w:space="0" w:color="auto"/>
              </w:divBdr>
            </w:div>
          </w:divsChild>
        </w:div>
        <w:div w:id="1301693948">
          <w:marLeft w:val="0"/>
          <w:marRight w:val="0"/>
          <w:marTop w:val="0"/>
          <w:marBottom w:val="0"/>
          <w:divBdr>
            <w:top w:val="none" w:sz="0" w:space="0" w:color="auto"/>
            <w:left w:val="none" w:sz="0" w:space="0" w:color="auto"/>
            <w:bottom w:val="none" w:sz="0" w:space="0" w:color="auto"/>
            <w:right w:val="none" w:sz="0" w:space="0" w:color="auto"/>
          </w:divBdr>
        </w:div>
        <w:div w:id="1622032346">
          <w:marLeft w:val="0"/>
          <w:marRight w:val="0"/>
          <w:marTop w:val="0"/>
          <w:marBottom w:val="0"/>
          <w:divBdr>
            <w:top w:val="none" w:sz="0" w:space="0" w:color="auto"/>
            <w:left w:val="none" w:sz="0" w:space="0" w:color="auto"/>
            <w:bottom w:val="none" w:sz="0" w:space="0" w:color="auto"/>
            <w:right w:val="none" w:sz="0" w:space="0" w:color="auto"/>
          </w:divBdr>
        </w:div>
        <w:div w:id="1640067565">
          <w:marLeft w:val="0"/>
          <w:marRight w:val="0"/>
          <w:marTop w:val="0"/>
          <w:marBottom w:val="0"/>
          <w:divBdr>
            <w:top w:val="none" w:sz="0" w:space="0" w:color="auto"/>
            <w:left w:val="none" w:sz="0" w:space="0" w:color="auto"/>
            <w:bottom w:val="none" w:sz="0" w:space="0" w:color="auto"/>
            <w:right w:val="none" w:sz="0" w:space="0" w:color="auto"/>
          </w:divBdr>
          <w:divsChild>
            <w:div w:id="132451559">
              <w:marLeft w:val="0"/>
              <w:marRight w:val="0"/>
              <w:marTop w:val="0"/>
              <w:marBottom w:val="0"/>
              <w:divBdr>
                <w:top w:val="none" w:sz="0" w:space="0" w:color="auto"/>
                <w:left w:val="none" w:sz="0" w:space="0" w:color="auto"/>
                <w:bottom w:val="none" w:sz="0" w:space="0" w:color="auto"/>
                <w:right w:val="none" w:sz="0" w:space="0" w:color="auto"/>
              </w:divBdr>
            </w:div>
            <w:div w:id="365646493">
              <w:marLeft w:val="0"/>
              <w:marRight w:val="0"/>
              <w:marTop w:val="0"/>
              <w:marBottom w:val="0"/>
              <w:divBdr>
                <w:top w:val="none" w:sz="0" w:space="0" w:color="auto"/>
                <w:left w:val="none" w:sz="0" w:space="0" w:color="auto"/>
                <w:bottom w:val="none" w:sz="0" w:space="0" w:color="auto"/>
                <w:right w:val="none" w:sz="0" w:space="0" w:color="auto"/>
              </w:divBdr>
            </w:div>
            <w:div w:id="812454073">
              <w:marLeft w:val="0"/>
              <w:marRight w:val="0"/>
              <w:marTop w:val="0"/>
              <w:marBottom w:val="0"/>
              <w:divBdr>
                <w:top w:val="none" w:sz="0" w:space="0" w:color="auto"/>
                <w:left w:val="none" w:sz="0" w:space="0" w:color="auto"/>
                <w:bottom w:val="none" w:sz="0" w:space="0" w:color="auto"/>
                <w:right w:val="none" w:sz="0" w:space="0" w:color="auto"/>
              </w:divBdr>
            </w:div>
            <w:div w:id="1104225689">
              <w:marLeft w:val="0"/>
              <w:marRight w:val="0"/>
              <w:marTop w:val="0"/>
              <w:marBottom w:val="0"/>
              <w:divBdr>
                <w:top w:val="none" w:sz="0" w:space="0" w:color="auto"/>
                <w:left w:val="none" w:sz="0" w:space="0" w:color="auto"/>
                <w:bottom w:val="none" w:sz="0" w:space="0" w:color="auto"/>
                <w:right w:val="none" w:sz="0" w:space="0" w:color="auto"/>
              </w:divBdr>
            </w:div>
            <w:div w:id="1994291722">
              <w:marLeft w:val="0"/>
              <w:marRight w:val="0"/>
              <w:marTop w:val="0"/>
              <w:marBottom w:val="0"/>
              <w:divBdr>
                <w:top w:val="none" w:sz="0" w:space="0" w:color="auto"/>
                <w:left w:val="none" w:sz="0" w:space="0" w:color="auto"/>
                <w:bottom w:val="none" w:sz="0" w:space="0" w:color="auto"/>
                <w:right w:val="none" w:sz="0" w:space="0" w:color="auto"/>
              </w:divBdr>
            </w:div>
          </w:divsChild>
        </w:div>
        <w:div w:id="2091850895">
          <w:marLeft w:val="0"/>
          <w:marRight w:val="0"/>
          <w:marTop w:val="0"/>
          <w:marBottom w:val="0"/>
          <w:divBdr>
            <w:top w:val="none" w:sz="0" w:space="0" w:color="auto"/>
            <w:left w:val="none" w:sz="0" w:space="0" w:color="auto"/>
            <w:bottom w:val="none" w:sz="0" w:space="0" w:color="auto"/>
            <w:right w:val="none" w:sz="0" w:space="0" w:color="auto"/>
          </w:divBdr>
        </w:div>
      </w:divsChild>
    </w:div>
    <w:div w:id="743379556">
      <w:bodyDiv w:val="1"/>
      <w:marLeft w:val="0"/>
      <w:marRight w:val="0"/>
      <w:marTop w:val="0"/>
      <w:marBottom w:val="0"/>
      <w:divBdr>
        <w:top w:val="none" w:sz="0" w:space="0" w:color="auto"/>
        <w:left w:val="none" w:sz="0" w:space="0" w:color="auto"/>
        <w:bottom w:val="none" w:sz="0" w:space="0" w:color="auto"/>
        <w:right w:val="none" w:sz="0" w:space="0" w:color="auto"/>
      </w:divBdr>
    </w:div>
    <w:div w:id="929238512">
      <w:bodyDiv w:val="1"/>
      <w:marLeft w:val="0"/>
      <w:marRight w:val="0"/>
      <w:marTop w:val="0"/>
      <w:marBottom w:val="0"/>
      <w:divBdr>
        <w:top w:val="none" w:sz="0" w:space="0" w:color="auto"/>
        <w:left w:val="none" w:sz="0" w:space="0" w:color="auto"/>
        <w:bottom w:val="none" w:sz="0" w:space="0" w:color="auto"/>
        <w:right w:val="none" w:sz="0" w:space="0" w:color="auto"/>
      </w:divBdr>
    </w:div>
    <w:div w:id="963466915">
      <w:bodyDiv w:val="1"/>
      <w:marLeft w:val="0"/>
      <w:marRight w:val="0"/>
      <w:marTop w:val="0"/>
      <w:marBottom w:val="0"/>
      <w:divBdr>
        <w:top w:val="none" w:sz="0" w:space="0" w:color="auto"/>
        <w:left w:val="none" w:sz="0" w:space="0" w:color="auto"/>
        <w:bottom w:val="none" w:sz="0" w:space="0" w:color="auto"/>
        <w:right w:val="none" w:sz="0" w:space="0" w:color="auto"/>
      </w:divBdr>
    </w:div>
    <w:div w:id="1063024319">
      <w:bodyDiv w:val="1"/>
      <w:marLeft w:val="0"/>
      <w:marRight w:val="0"/>
      <w:marTop w:val="0"/>
      <w:marBottom w:val="0"/>
      <w:divBdr>
        <w:top w:val="none" w:sz="0" w:space="0" w:color="auto"/>
        <w:left w:val="none" w:sz="0" w:space="0" w:color="auto"/>
        <w:bottom w:val="none" w:sz="0" w:space="0" w:color="auto"/>
        <w:right w:val="none" w:sz="0" w:space="0" w:color="auto"/>
      </w:divBdr>
    </w:div>
    <w:div w:id="1096750183">
      <w:bodyDiv w:val="1"/>
      <w:marLeft w:val="0"/>
      <w:marRight w:val="0"/>
      <w:marTop w:val="0"/>
      <w:marBottom w:val="0"/>
      <w:divBdr>
        <w:top w:val="none" w:sz="0" w:space="0" w:color="auto"/>
        <w:left w:val="none" w:sz="0" w:space="0" w:color="auto"/>
        <w:bottom w:val="none" w:sz="0" w:space="0" w:color="auto"/>
        <w:right w:val="none" w:sz="0" w:space="0" w:color="auto"/>
      </w:divBdr>
    </w:div>
    <w:div w:id="1233468479">
      <w:bodyDiv w:val="1"/>
      <w:marLeft w:val="0"/>
      <w:marRight w:val="0"/>
      <w:marTop w:val="0"/>
      <w:marBottom w:val="0"/>
      <w:divBdr>
        <w:top w:val="none" w:sz="0" w:space="0" w:color="auto"/>
        <w:left w:val="none" w:sz="0" w:space="0" w:color="auto"/>
        <w:bottom w:val="none" w:sz="0" w:space="0" w:color="auto"/>
        <w:right w:val="none" w:sz="0" w:space="0" w:color="auto"/>
      </w:divBdr>
    </w:div>
    <w:div w:id="1329749267">
      <w:bodyDiv w:val="1"/>
      <w:marLeft w:val="0"/>
      <w:marRight w:val="0"/>
      <w:marTop w:val="0"/>
      <w:marBottom w:val="0"/>
      <w:divBdr>
        <w:top w:val="none" w:sz="0" w:space="0" w:color="auto"/>
        <w:left w:val="none" w:sz="0" w:space="0" w:color="auto"/>
        <w:bottom w:val="none" w:sz="0" w:space="0" w:color="auto"/>
        <w:right w:val="none" w:sz="0" w:space="0" w:color="auto"/>
      </w:divBdr>
    </w:div>
    <w:div w:id="1399013298">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417941373">
      <w:bodyDiv w:val="1"/>
      <w:marLeft w:val="0"/>
      <w:marRight w:val="0"/>
      <w:marTop w:val="0"/>
      <w:marBottom w:val="0"/>
      <w:divBdr>
        <w:top w:val="none" w:sz="0" w:space="0" w:color="auto"/>
        <w:left w:val="none" w:sz="0" w:space="0" w:color="auto"/>
        <w:bottom w:val="none" w:sz="0" w:space="0" w:color="auto"/>
        <w:right w:val="none" w:sz="0" w:space="0" w:color="auto"/>
      </w:divBdr>
    </w:div>
    <w:div w:id="1431242017">
      <w:bodyDiv w:val="1"/>
      <w:marLeft w:val="0"/>
      <w:marRight w:val="0"/>
      <w:marTop w:val="0"/>
      <w:marBottom w:val="0"/>
      <w:divBdr>
        <w:top w:val="none" w:sz="0" w:space="0" w:color="auto"/>
        <w:left w:val="none" w:sz="0" w:space="0" w:color="auto"/>
        <w:bottom w:val="none" w:sz="0" w:space="0" w:color="auto"/>
        <w:right w:val="none" w:sz="0" w:space="0" w:color="auto"/>
      </w:divBdr>
    </w:div>
    <w:div w:id="1529484154">
      <w:bodyDiv w:val="1"/>
      <w:marLeft w:val="0"/>
      <w:marRight w:val="0"/>
      <w:marTop w:val="0"/>
      <w:marBottom w:val="0"/>
      <w:divBdr>
        <w:top w:val="none" w:sz="0" w:space="0" w:color="auto"/>
        <w:left w:val="none" w:sz="0" w:space="0" w:color="auto"/>
        <w:bottom w:val="none" w:sz="0" w:space="0" w:color="auto"/>
        <w:right w:val="none" w:sz="0" w:space="0" w:color="auto"/>
      </w:divBdr>
    </w:div>
    <w:div w:id="1549608815">
      <w:bodyDiv w:val="1"/>
      <w:marLeft w:val="0"/>
      <w:marRight w:val="0"/>
      <w:marTop w:val="0"/>
      <w:marBottom w:val="0"/>
      <w:divBdr>
        <w:top w:val="none" w:sz="0" w:space="0" w:color="auto"/>
        <w:left w:val="none" w:sz="0" w:space="0" w:color="auto"/>
        <w:bottom w:val="none" w:sz="0" w:space="0" w:color="auto"/>
        <w:right w:val="none" w:sz="0" w:space="0" w:color="auto"/>
      </w:divBdr>
    </w:div>
    <w:div w:id="1553881922">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05914945">
      <w:bodyDiv w:val="1"/>
      <w:marLeft w:val="0"/>
      <w:marRight w:val="0"/>
      <w:marTop w:val="0"/>
      <w:marBottom w:val="0"/>
      <w:divBdr>
        <w:top w:val="none" w:sz="0" w:space="0" w:color="auto"/>
        <w:left w:val="none" w:sz="0" w:space="0" w:color="auto"/>
        <w:bottom w:val="none" w:sz="0" w:space="0" w:color="auto"/>
        <w:right w:val="none" w:sz="0" w:space="0" w:color="auto"/>
      </w:divBdr>
    </w:div>
    <w:div w:id="1629320173">
      <w:bodyDiv w:val="1"/>
      <w:marLeft w:val="0"/>
      <w:marRight w:val="0"/>
      <w:marTop w:val="0"/>
      <w:marBottom w:val="0"/>
      <w:divBdr>
        <w:top w:val="none" w:sz="0" w:space="0" w:color="auto"/>
        <w:left w:val="none" w:sz="0" w:space="0" w:color="auto"/>
        <w:bottom w:val="none" w:sz="0" w:space="0" w:color="auto"/>
        <w:right w:val="none" w:sz="0" w:space="0" w:color="auto"/>
      </w:divBdr>
    </w:div>
    <w:div w:id="1674339957">
      <w:bodyDiv w:val="1"/>
      <w:marLeft w:val="0"/>
      <w:marRight w:val="0"/>
      <w:marTop w:val="0"/>
      <w:marBottom w:val="0"/>
      <w:divBdr>
        <w:top w:val="none" w:sz="0" w:space="0" w:color="auto"/>
        <w:left w:val="none" w:sz="0" w:space="0" w:color="auto"/>
        <w:bottom w:val="none" w:sz="0" w:space="0" w:color="auto"/>
        <w:right w:val="none" w:sz="0" w:space="0" w:color="auto"/>
      </w:divBdr>
    </w:div>
    <w:div w:id="1685941871">
      <w:bodyDiv w:val="1"/>
      <w:marLeft w:val="0"/>
      <w:marRight w:val="0"/>
      <w:marTop w:val="0"/>
      <w:marBottom w:val="0"/>
      <w:divBdr>
        <w:top w:val="none" w:sz="0" w:space="0" w:color="auto"/>
        <w:left w:val="none" w:sz="0" w:space="0" w:color="auto"/>
        <w:bottom w:val="none" w:sz="0" w:space="0" w:color="auto"/>
        <w:right w:val="none" w:sz="0" w:space="0" w:color="auto"/>
      </w:divBdr>
    </w:div>
    <w:div w:id="1704819619">
      <w:bodyDiv w:val="1"/>
      <w:marLeft w:val="0"/>
      <w:marRight w:val="0"/>
      <w:marTop w:val="0"/>
      <w:marBottom w:val="0"/>
      <w:divBdr>
        <w:top w:val="none" w:sz="0" w:space="0" w:color="auto"/>
        <w:left w:val="none" w:sz="0" w:space="0" w:color="auto"/>
        <w:bottom w:val="none" w:sz="0" w:space="0" w:color="auto"/>
        <w:right w:val="none" w:sz="0" w:space="0" w:color="auto"/>
      </w:divBdr>
    </w:div>
    <w:div w:id="1707103502">
      <w:bodyDiv w:val="1"/>
      <w:marLeft w:val="0"/>
      <w:marRight w:val="0"/>
      <w:marTop w:val="0"/>
      <w:marBottom w:val="0"/>
      <w:divBdr>
        <w:top w:val="none" w:sz="0" w:space="0" w:color="auto"/>
        <w:left w:val="none" w:sz="0" w:space="0" w:color="auto"/>
        <w:bottom w:val="none" w:sz="0" w:space="0" w:color="auto"/>
        <w:right w:val="none" w:sz="0" w:space="0" w:color="auto"/>
      </w:divBdr>
    </w:div>
    <w:div w:id="1797916969">
      <w:bodyDiv w:val="1"/>
      <w:marLeft w:val="0"/>
      <w:marRight w:val="0"/>
      <w:marTop w:val="0"/>
      <w:marBottom w:val="0"/>
      <w:divBdr>
        <w:top w:val="none" w:sz="0" w:space="0" w:color="auto"/>
        <w:left w:val="none" w:sz="0" w:space="0" w:color="auto"/>
        <w:bottom w:val="none" w:sz="0" w:space="0" w:color="auto"/>
        <w:right w:val="none" w:sz="0" w:space="0" w:color="auto"/>
      </w:divBdr>
    </w:div>
    <w:div w:id="1869640840">
      <w:bodyDiv w:val="1"/>
      <w:marLeft w:val="0"/>
      <w:marRight w:val="0"/>
      <w:marTop w:val="0"/>
      <w:marBottom w:val="0"/>
      <w:divBdr>
        <w:top w:val="none" w:sz="0" w:space="0" w:color="auto"/>
        <w:left w:val="none" w:sz="0" w:space="0" w:color="auto"/>
        <w:bottom w:val="none" w:sz="0" w:space="0" w:color="auto"/>
        <w:right w:val="none" w:sz="0" w:space="0" w:color="auto"/>
      </w:divBdr>
      <w:divsChild>
        <w:div w:id="73675084">
          <w:marLeft w:val="0"/>
          <w:marRight w:val="0"/>
          <w:marTop w:val="0"/>
          <w:marBottom w:val="0"/>
          <w:divBdr>
            <w:top w:val="none" w:sz="0" w:space="0" w:color="auto"/>
            <w:left w:val="none" w:sz="0" w:space="0" w:color="auto"/>
            <w:bottom w:val="none" w:sz="0" w:space="0" w:color="auto"/>
            <w:right w:val="none" w:sz="0" w:space="0" w:color="auto"/>
          </w:divBdr>
        </w:div>
        <w:div w:id="593977632">
          <w:marLeft w:val="0"/>
          <w:marRight w:val="0"/>
          <w:marTop w:val="0"/>
          <w:marBottom w:val="0"/>
          <w:divBdr>
            <w:top w:val="none" w:sz="0" w:space="0" w:color="auto"/>
            <w:left w:val="none" w:sz="0" w:space="0" w:color="auto"/>
            <w:bottom w:val="none" w:sz="0" w:space="0" w:color="auto"/>
            <w:right w:val="none" w:sz="0" w:space="0" w:color="auto"/>
          </w:divBdr>
        </w:div>
        <w:div w:id="989359920">
          <w:marLeft w:val="0"/>
          <w:marRight w:val="0"/>
          <w:marTop w:val="0"/>
          <w:marBottom w:val="0"/>
          <w:divBdr>
            <w:top w:val="none" w:sz="0" w:space="0" w:color="auto"/>
            <w:left w:val="none" w:sz="0" w:space="0" w:color="auto"/>
            <w:bottom w:val="none" w:sz="0" w:space="0" w:color="auto"/>
            <w:right w:val="none" w:sz="0" w:space="0" w:color="auto"/>
          </w:divBdr>
        </w:div>
        <w:div w:id="1178887234">
          <w:marLeft w:val="0"/>
          <w:marRight w:val="0"/>
          <w:marTop w:val="0"/>
          <w:marBottom w:val="0"/>
          <w:divBdr>
            <w:top w:val="none" w:sz="0" w:space="0" w:color="auto"/>
            <w:left w:val="none" w:sz="0" w:space="0" w:color="auto"/>
            <w:bottom w:val="none" w:sz="0" w:space="0" w:color="auto"/>
            <w:right w:val="none" w:sz="0" w:space="0" w:color="auto"/>
          </w:divBdr>
        </w:div>
        <w:div w:id="1419063389">
          <w:marLeft w:val="0"/>
          <w:marRight w:val="0"/>
          <w:marTop w:val="0"/>
          <w:marBottom w:val="0"/>
          <w:divBdr>
            <w:top w:val="none" w:sz="0" w:space="0" w:color="auto"/>
            <w:left w:val="none" w:sz="0" w:space="0" w:color="auto"/>
            <w:bottom w:val="none" w:sz="0" w:space="0" w:color="auto"/>
            <w:right w:val="none" w:sz="0" w:space="0" w:color="auto"/>
          </w:divBdr>
        </w:div>
        <w:div w:id="1862082189">
          <w:marLeft w:val="0"/>
          <w:marRight w:val="0"/>
          <w:marTop w:val="0"/>
          <w:marBottom w:val="0"/>
          <w:divBdr>
            <w:top w:val="none" w:sz="0" w:space="0" w:color="auto"/>
            <w:left w:val="none" w:sz="0" w:space="0" w:color="auto"/>
            <w:bottom w:val="none" w:sz="0" w:space="0" w:color="auto"/>
            <w:right w:val="none" w:sz="0" w:space="0" w:color="auto"/>
          </w:divBdr>
        </w:div>
        <w:div w:id="2052610286">
          <w:marLeft w:val="0"/>
          <w:marRight w:val="0"/>
          <w:marTop w:val="0"/>
          <w:marBottom w:val="0"/>
          <w:divBdr>
            <w:top w:val="none" w:sz="0" w:space="0" w:color="auto"/>
            <w:left w:val="none" w:sz="0" w:space="0" w:color="auto"/>
            <w:bottom w:val="none" w:sz="0" w:space="0" w:color="auto"/>
            <w:right w:val="none" w:sz="0" w:space="0" w:color="auto"/>
          </w:divBdr>
        </w:div>
      </w:divsChild>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1949846118">
      <w:bodyDiv w:val="1"/>
      <w:marLeft w:val="0"/>
      <w:marRight w:val="0"/>
      <w:marTop w:val="0"/>
      <w:marBottom w:val="0"/>
      <w:divBdr>
        <w:top w:val="none" w:sz="0" w:space="0" w:color="auto"/>
        <w:left w:val="none" w:sz="0" w:space="0" w:color="auto"/>
        <w:bottom w:val="none" w:sz="0" w:space="0" w:color="auto"/>
        <w:right w:val="none" w:sz="0" w:space="0" w:color="auto"/>
      </w:divBdr>
    </w:div>
    <w:div w:id="1994403467">
      <w:bodyDiv w:val="1"/>
      <w:marLeft w:val="0"/>
      <w:marRight w:val="0"/>
      <w:marTop w:val="0"/>
      <w:marBottom w:val="0"/>
      <w:divBdr>
        <w:top w:val="none" w:sz="0" w:space="0" w:color="auto"/>
        <w:left w:val="none" w:sz="0" w:space="0" w:color="auto"/>
        <w:bottom w:val="none" w:sz="0" w:space="0" w:color="auto"/>
        <w:right w:val="none" w:sz="0" w:space="0" w:color="auto"/>
      </w:divBdr>
    </w:div>
    <w:div w:id="21004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register-foreign-owners-media-assets" TargetMode="External"/><Relationship Id="rId39" Type="http://schemas.openxmlformats.org/officeDocument/2006/relationships/header" Target="header10.xml"/><Relationship Id="rId21" Type="http://schemas.openxmlformats.org/officeDocument/2006/relationships/header" Target="header7.xml"/><Relationship Id="rId34" Type="http://schemas.openxmlformats.org/officeDocument/2006/relationships/hyperlink" Target="mailto:foreignmediaownership@acma.gov.au" TargetMode="External"/><Relationship Id="rId42"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s://www.legislation.gov.au/Details/C2022C00079/Html/Volume_1"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eader" Target="header8.xml"/><Relationship Id="rId32" Type="http://schemas.openxmlformats.org/officeDocument/2006/relationships/hyperlink" Target="https://www.acma.gov.au/media-control-database" TargetMode="External"/><Relationship Id="rId37" Type="http://schemas.openxmlformats.org/officeDocument/2006/relationships/hyperlink" Target="https://www.acma.gov.au/privacy-policy" TargetMode="Externa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s://www.infrastructure.gov.au/department/media/publications/foreign-stakeholder-interests-australian-media-companies-2019-20" TargetMode="External"/><Relationship Id="rId36" Type="http://schemas.openxmlformats.org/officeDocument/2006/relationships/hyperlink" Target="https://www.acma.gov.au/publication-submissions"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acma.gov.au/media-control-register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4.xml"/><Relationship Id="rId27" Type="http://schemas.openxmlformats.org/officeDocument/2006/relationships/hyperlink" Target="https://www.infrastructure.gov.au/media-centre/publications/foreign-stakeholder-interests-australian-media-companies-2018-19" TargetMode="External"/><Relationship Id="rId30" Type="http://schemas.openxmlformats.org/officeDocument/2006/relationships/hyperlink" Target="https://www.acma.gov.au/register-foreign-owners-media-assets" TargetMode="External"/><Relationship Id="rId35" Type="http://schemas.openxmlformats.org/officeDocument/2006/relationships/hyperlink" Target="mailto:foreignmediaownership@acma.gov.au"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acma.gov.au/have-your-say" TargetMode="External"/><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publication/p2020-87595" TargetMode="External"/><Relationship Id="rId2" Type="http://schemas.openxmlformats.org/officeDocument/2006/relationships/hyperlink" Target="https://treasury.gov.au/publication/p2020-87595" TargetMode="External"/><Relationship Id="rId1" Type="http://schemas.openxmlformats.org/officeDocument/2006/relationships/hyperlink" Target="https://www.ato.gov.au/General/New-legislation/In-detail/Other-topics/International/Major-reforms-to-foreign-invest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7140</Words>
  <Characters>40703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47748</CharactersWithSpaces>
  <SharedDoc>false</SharedDoc>
  <HyperlinkBase/>
  <HLinks>
    <vt:vector size="246" baseType="variant">
      <vt:variant>
        <vt:i4>2097192</vt:i4>
      </vt:variant>
      <vt:variant>
        <vt:i4>120</vt:i4>
      </vt:variant>
      <vt:variant>
        <vt:i4>0</vt:i4>
      </vt:variant>
      <vt:variant>
        <vt:i4>5</vt:i4>
      </vt:variant>
      <vt:variant>
        <vt:lpwstr>https://www.acma.gov.au/privacy-policy</vt:lpwstr>
      </vt:variant>
      <vt:variant>
        <vt:lpwstr/>
      </vt:variant>
      <vt:variant>
        <vt:i4>3473455</vt:i4>
      </vt:variant>
      <vt:variant>
        <vt:i4>117</vt:i4>
      </vt:variant>
      <vt:variant>
        <vt:i4>0</vt:i4>
      </vt:variant>
      <vt:variant>
        <vt:i4>5</vt:i4>
      </vt:variant>
      <vt:variant>
        <vt:lpwstr>https://www.acma.gov.au/publication-submissions</vt:lpwstr>
      </vt:variant>
      <vt:variant>
        <vt:lpwstr/>
      </vt:variant>
      <vt:variant>
        <vt:i4>117</vt:i4>
      </vt:variant>
      <vt:variant>
        <vt:i4>114</vt:i4>
      </vt:variant>
      <vt:variant>
        <vt:i4>0</vt:i4>
      </vt:variant>
      <vt:variant>
        <vt:i4>5</vt:i4>
      </vt:variant>
      <vt:variant>
        <vt:lpwstr>mailto:foreignmediaownership@acma.gov.au</vt:lpwstr>
      </vt:variant>
      <vt:variant>
        <vt:lpwstr/>
      </vt:variant>
      <vt:variant>
        <vt:i4>117</vt:i4>
      </vt:variant>
      <vt:variant>
        <vt:i4>111</vt:i4>
      </vt:variant>
      <vt:variant>
        <vt:i4>0</vt:i4>
      </vt:variant>
      <vt:variant>
        <vt:i4>5</vt:i4>
      </vt:variant>
      <vt:variant>
        <vt:lpwstr>mailto:foreignmediaownership@acma.gov.au</vt:lpwstr>
      </vt:variant>
      <vt:variant>
        <vt:lpwstr/>
      </vt:variant>
      <vt:variant>
        <vt:i4>5308427</vt:i4>
      </vt:variant>
      <vt:variant>
        <vt:i4>108</vt:i4>
      </vt:variant>
      <vt:variant>
        <vt:i4>0</vt:i4>
      </vt:variant>
      <vt:variant>
        <vt:i4>5</vt:i4>
      </vt:variant>
      <vt:variant>
        <vt:lpwstr>https://www.acma.gov.au/have-your-say</vt:lpwstr>
      </vt:variant>
      <vt:variant>
        <vt:lpwstr/>
      </vt:variant>
      <vt:variant>
        <vt:i4>6881324</vt:i4>
      </vt:variant>
      <vt:variant>
        <vt:i4>105</vt:i4>
      </vt:variant>
      <vt:variant>
        <vt:i4>0</vt:i4>
      </vt:variant>
      <vt:variant>
        <vt:i4>5</vt:i4>
      </vt:variant>
      <vt:variant>
        <vt:lpwstr>https://www.acma.gov.au/media-control-database</vt:lpwstr>
      </vt:variant>
      <vt:variant>
        <vt:lpwstr/>
      </vt:variant>
      <vt:variant>
        <vt:i4>6750254</vt:i4>
      </vt:variant>
      <vt:variant>
        <vt:i4>102</vt:i4>
      </vt:variant>
      <vt:variant>
        <vt:i4>0</vt:i4>
      </vt:variant>
      <vt:variant>
        <vt:i4>5</vt:i4>
      </vt:variant>
      <vt:variant>
        <vt:lpwstr>https://www.acma.gov.au/media-control-registers</vt:lpwstr>
      </vt:variant>
      <vt:variant>
        <vt:lpwstr/>
      </vt:variant>
      <vt:variant>
        <vt:i4>1441879</vt:i4>
      </vt:variant>
      <vt:variant>
        <vt:i4>99</vt:i4>
      </vt:variant>
      <vt:variant>
        <vt:i4>0</vt:i4>
      </vt:variant>
      <vt:variant>
        <vt:i4>5</vt:i4>
      </vt:variant>
      <vt:variant>
        <vt:lpwstr>https://www.acma.gov.au/register-foreign-owners-media-assets</vt:lpwstr>
      </vt:variant>
      <vt:variant>
        <vt:lpwstr/>
      </vt:variant>
      <vt:variant>
        <vt:i4>5</vt:i4>
      </vt:variant>
      <vt:variant>
        <vt:i4>96</vt:i4>
      </vt:variant>
      <vt:variant>
        <vt:i4>0</vt:i4>
      </vt:variant>
      <vt:variant>
        <vt:i4>5</vt:i4>
      </vt:variant>
      <vt:variant>
        <vt:lpwstr>https://www.legislation.gov.au/Details/C2022C00079/Html/Volume_1</vt:lpwstr>
      </vt:variant>
      <vt:variant>
        <vt:lpwstr>_Toc95143039</vt:lpwstr>
      </vt:variant>
      <vt:variant>
        <vt:i4>131161</vt:i4>
      </vt:variant>
      <vt:variant>
        <vt:i4>93</vt:i4>
      </vt:variant>
      <vt:variant>
        <vt:i4>0</vt:i4>
      </vt:variant>
      <vt:variant>
        <vt:i4>5</vt:i4>
      </vt:variant>
      <vt:variant>
        <vt:lpwstr>https://www.infrastructure.gov.au/department/media/publications/foreign-stakeholder-interests-australian-media-companies-2019-20</vt:lpwstr>
      </vt:variant>
      <vt:variant>
        <vt:lpwstr/>
      </vt:variant>
      <vt:variant>
        <vt:i4>5701642</vt:i4>
      </vt:variant>
      <vt:variant>
        <vt:i4>90</vt:i4>
      </vt:variant>
      <vt:variant>
        <vt:i4>0</vt:i4>
      </vt:variant>
      <vt:variant>
        <vt:i4>5</vt:i4>
      </vt:variant>
      <vt:variant>
        <vt:lpwstr>https://www.infrastructure.gov.au/media-centre/publications/foreign-stakeholder-interests-australian-media-companies-2018-19</vt:lpwstr>
      </vt:variant>
      <vt:variant>
        <vt:lpwstr/>
      </vt:variant>
      <vt:variant>
        <vt:i4>1441879</vt:i4>
      </vt:variant>
      <vt:variant>
        <vt:i4>87</vt:i4>
      </vt:variant>
      <vt:variant>
        <vt:i4>0</vt:i4>
      </vt:variant>
      <vt:variant>
        <vt:i4>5</vt:i4>
      </vt:variant>
      <vt:variant>
        <vt:lpwstr>https://www.acma.gov.au/register-foreign-owners-media-assets</vt:lpwstr>
      </vt:variant>
      <vt:variant>
        <vt:lpwstr/>
      </vt:variant>
      <vt:variant>
        <vt:i4>1048637</vt:i4>
      </vt:variant>
      <vt:variant>
        <vt:i4>80</vt:i4>
      </vt:variant>
      <vt:variant>
        <vt:i4>0</vt:i4>
      </vt:variant>
      <vt:variant>
        <vt:i4>5</vt:i4>
      </vt:variant>
      <vt:variant>
        <vt:lpwstr/>
      </vt:variant>
      <vt:variant>
        <vt:lpwstr>_Toc107484371</vt:lpwstr>
      </vt:variant>
      <vt:variant>
        <vt:i4>1048637</vt:i4>
      </vt:variant>
      <vt:variant>
        <vt:i4>74</vt:i4>
      </vt:variant>
      <vt:variant>
        <vt:i4>0</vt:i4>
      </vt:variant>
      <vt:variant>
        <vt:i4>5</vt:i4>
      </vt:variant>
      <vt:variant>
        <vt:lpwstr/>
      </vt:variant>
      <vt:variant>
        <vt:lpwstr>_Toc107484370</vt:lpwstr>
      </vt:variant>
      <vt:variant>
        <vt:i4>1114173</vt:i4>
      </vt:variant>
      <vt:variant>
        <vt:i4>68</vt:i4>
      </vt:variant>
      <vt:variant>
        <vt:i4>0</vt:i4>
      </vt:variant>
      <vt:variant>
        <vt:i4>5</vt:i4>
      </vt:variant>
      <vt:variant>
        <vt:lpwstr/>
      </vt:variant>
      <vt:variant>
        <vt:lpwstr>_Toc107484369</vt:lpwstr>
      </vt:variant>
      <vt:variant>
        <vt:i4>1114173</vt:i4>
      </vt:variant>
      <vt:variant>
        <vt:i4>62</vt:i4>
      </vt:variant>
      <vt:variant>
        <vt:i4>0</vt:i4>
      </vt:variant>
      <vt:variant>
        <vt:i4>5</vt:i4>
      </vt:variant>
      <vt:variant>
        <vt:lpwstr/>
      </vt:variant>
      <vt:variant>
        <vt:lpwstr>_Toc107484368</vt:lpwstr>
      </vt:variant>
      <vt:variant>
        <vt:i4>1114173</vt:i4>
      </vt:variant>
      <vt:variant>
        <vt:i4>56</vt:i4>
      </vt:variant>
      <vt:variant>
        <vt:i4>0</vt:i4>
      </vt:variant>
      <vt:variant>
        <vt:i4>5</vt:i4>
      </vt:variant>
      <vt:variant>
        <vt:lpwstr/>
      </vt:variant>
      <vt:variant>
        <vt:lpwstr>_Toc107484367</vt:lpwstr>
      </vt:variant>
      <vt:variant>
        <vt:i4>1114173</vt:i4>
      </vt:variant>
      <vt:variant>
        <vt:i4>50</vt:i4>
      </vt:variant>
      <vt:variant>
        <vt:i4>0</vt:i4>
      </vt:variant>
      <vt:variant>
        <vt:i4>5</vt:i4>
      </vt:variant>
      <vt:variant>
        <vt:lpwstr/>
      </vt:variant>
      <vt:variant>
        <vt:lpwstr>_Toc107484366</vt:lpwstr>
      </vt:variant>
      <vt:variant>
        <vt:i4>1114173</vt:i4>
      </vt:variant>
      <vt:variant>
        <vt:i4>44</vt:i4>
      </vt:variant>
      <vt:variant>
        <vt:i4>0</vt:i4>
      </vt:variant>
      <vt:variant>
        <vt:i4>5</vt:i4>
      </vt:variant>
      <vt:variant>
        <vt:lpwstr/>
      </vt:variant>
      <vt:variant>
        <vt:lpwstr>_Toc107484365</vt:lpwstr>
      </vt:variant>
      <vt:variant>
        <vt:i4>1114173</vt:i4>
      </vt:variant>
      <vt:variant>
        <vt:i4>38</vt:i4>
      </vt:variant>
      <vt:variant>
        <vt:i4>0</vt:i4>
      </vt:variant>
      <vt:variant>
        <vt:i4>5</vt:i4>
      </vt:variant>
      <vt:variant>
        <vt:lpwstr/>
      </vt:variant>
      <vt:variant>
        <vt:lpwstr>_Toc107484364</vt:lpwstr>
      </vt:variant>
      <vt:variant>
        <vt:i4>1114173</vt:i4>
      </vt:variant>
      <vt:variant>
        <vt:i4>32</vt:i4>
      </vt:variant>
      <vt:variant>
        <vt:i4>0</vt:i4>
      </vt:variant>
      <vt:variant>
        <vt:i4>5</vt:i4>
      </vt:variant>
      <vt:variant>
        <vt:lpwstr/>
      </vt:variant>
      <vt:variant>
        <vt:lpwstr>_Toc107484363</vt:lpwstr>
      </vt:variant>
      <vt:variant>
        <vt:i4>1114173</vt:i4>
      </vt:variant>
      <vt:variant>
        <vt:i4>26</vt:i4>
      </vt:variant>
      <vt:variant>
        <vt:i4>0</vt:i4>
      </vt:variant>
      <vt:variant>
        <vt:i4>5</vt:i4>
      </vt:variant>
      <vt:variant>
        <vt:lpwstr/>
      </vt:variant>
      <vt:variant>
        <vt:lpwstr>_Toc107484362</vt:lpwstr>
      </vt:variant>
      <vt:variant>
        <vt:i4>1114173</vt:i4>
      </vt:variant>
      <vt:variant>
        <vt:i4>20</vt:i4>
      </vt:variant>
      <vt:variant>
        <vt:i4>0</vt:i4>
      </vt:variant>
      <vt:variant>
        <vt:i4>5</vt:i4>
      </vt:variant>
      <vt:variant>
        <vt:lpwstr/>
      </vt:variant>
      <vt:variant>
        <vt:lpwstr>_Toc107484361</vt:lpwstr>
      </vt:variant>
      <vt:variant>
        <vt:i4>1114173</vt:i4>
      </vt:variant>
      <vt:variant>
        <vt:i4>14</vt:i4>
      </vt:variant>
      <vt:variant>
        <vt:i4>0</vt:i4>
      </vt:variant>
      <vt:variant>
        <vt:i4>5</vt:i4>
      </vt:variant>
      <vt:variant>
        <vt:lpwstr/>
      </vt:variant>
      <vt:variant>
        <vt:lpwstr>_Toc107484360</vt:lpwstr>
      </vt:variant>
      <vt:variant>
        <vt:i4>1179709</vt:i4>
      </vt:variant>
      <vt:variant>
        <vt:i4>8</vt:i4>
      </vt:variant>
      <vt:variant>
        <vt:i4>0</vt:i4>
      </vt:variant>
      <vt:variant>
        <vt:i4>5</vt:i4>
      </vt:variant>
      <vt:variant>
        <vt:lpwstr/>
      </vt:variant>
      <vt:variant>
        <vt:lpwstr>_Toc107484359</vt:lpwstr>
      </vt:variant>
      <vt:variant>
        <vt:i4>6225960</vt:i4>
      </vt:variant>
      <vt:variant>
        <vt:i4>3</vt:i4>
      </vt:variant>
      <vt:variant>
        <vt:i4>0</vt:i4>
      </vt:variant>
      <vt:variant>
        <vt:i4>5</vt:i4>
      </vt:variant>
      <vt:variant>
        <vt:lpwstr>mailto:info@acma.gov.au</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4128855</vt:i4>
      </vt:variant>
      <vt:variant>
        <vt:i4>9</vt:i4>
      </vt:variant>
      <vt:variant>
        <vt:i4>0</vt:i4>
      </vt:variant>
      <vt:variant>
        <vt:i4>5</vt:i4>
      </vt:variant>
      <vt:variant>
        <vt:lpwstr>https://treasury.gov.au/sites/default/files/2020-06/p2020-87595_0.pdf</vt:lpwstr>
      </vt:variant>
      <vt:variant>
        <vt:lpwstr/>
      </vt:variant>
      <vt:variant>
        <vt:i4>4522001</vt:i4>
      </vt:variant>
      <vt:variant>
        <vt:i4>6</vt:i4>
      </vt:variant>
      <vt:variant>
        <vt:i4>0</vt:i4>
      </vt:variant>
      <vt:variant>
        <vt:i4>5</vt:i4>
      </vt:variant>
      <vt:variant>
        <vt:lpwstr>https://www.aph.gov.au/Parliamentary_Business/Bills_Legislation/Bills_Search_Results/Result?bId=r6614</vt:lpwstr>
      </vt:variant>
      <vt:variant>
        <vt:lpwstr/>
      </vt:variant>
      <vt:variant>
        <vt:i4>3932202</vt:i4>
      </vt:variant>
      <vt:variant>
        <vt:i4>3</vt:i4>
      </vt:variant>
      <vt:variant>
        <vt:i4>0</vt:i4>
      </vt:variant>
      <vt:variant>
        <vt:i4>5</vt:i4>
      </vt:variant>
      <vt:variant>
        <vt:lpwstr>https://treasury.gov.au/publication/p2020-87595</vt:lpwstr>
      </vt:variant>
      <vt:variant>
        <vt:lpwstr/>
      </vt:variant>
      <vt:variant>
        <vt:i4>7667764</vt:i4>
      </vt:variant>
      <vt:variant>
        <vt:i4>0</vt:i4>
      </vt:variant>
      <vt:variant>
        <vt:i4>0</vt:i4>
      </vt:variant>
      <vt:variant>
        <vt:i4>5</vt:i4>
      </vt:variant>
      <vt:variant>
        <vt:lpwstr>https://www.ato.gov.au/General/New-legislation/In-detail/Other-topics/International/Major-reforms-to-foreign-investment-framework/</vt:lpwstr>
      </vt:variant>
      <vt:variant>
        <vt:lpwstr>:~:text=The%20Register%20of%20Foreign%20Ownership%20of%20Australian%20Assets%20(new%20Register,and%20maintain%20the%20new%20Register.</vt:lpwstr>
      </vt:variant>
      <vt:variant>
        <vt:i4>3932202</vt:i4>
      </vt:variant>
      <vt:variant>
        <vt:i4>27</vt:i4>
      </vt:variant>
      <vt:variant>
        <vt:i4>0</vt:i4>
      </vt:variant>
      <vt:variant>
        <vt:i4>5</vt:i4>
      </vt:variant>
      <vt:variant>
        <vt:lpwstr>https://treasury.gov.au/publication/p2020-87595</vt:lpwstr>
      </vt:variant>
      <vt:variant>
        <vt:lpwstr/>
      </vt:variant>
      <vt:variant>
        <vt:i4>4259862</vt:i4>
      </vt:variant>
      <vt:variant>
        <vt:i4>24</vt:i4>
      </vt:variant>
      <vt:variant>
        <vt:i4>0</vt:i4>
      </vt:variant>
      <vt:variant>
        <vt:i4>5</vt:i4>
      </vt:variant>
      <vt:variant>
        <vt:lpwstr>https://firb.gov.au/general-guidance/monetary-thresholds</vt:lpwstr>
      </vt:variant>
      <vt:variant>
        <vt:lpwstr/>
      </vt:variant>
      <vt:variant>
        <vt:i4>4522001</vt:i4>
      </vt:variant>
      <vt:variant>
        <vt:i4>21</vt:i4>
      </vt:variant>
      <vt:variant>
        <vt:i4>0</vt:i4>
      </vt:variant>
      <vt:variant>
        <vt:i4>5</vt:i4>
      </vt:variant>
      <vt:variant>
        <vt:lpwstr>https://www.aph.gov.au/Parliamentary_Business/Bills_Legislation/Bills_Search_Results/Result?bId=r6614</vt:lpwstr>
      </vt:variant>
      <vt:variant>
        <vt:lpwstr/>
      </vt:variant>
      <vt:variant>
        <vt:i4>3932202</vt:i4>
      </vt:variant>
      <vt:variant>
        <vt:i4>18</vt:i4>
      </vt:variant>
      <vt:variant>
        <vt:i4>0</vt:i4>
      </vt:variant>
      <vt:variant>
        <vt:i4>5</vt:i4>
      </vt:variant>
      <vt:variant>
        <vt:lpwstr>https://treasury.gov.au/publication/p2020-87595</vt:lpwstr>
      </vt:variant>
      <vt:variant>
        <vt:lpwstr/>
      </vt:variant>
      <vt:variant>
        <vt:i4>7667764</vt:i4>
      </vt:variant>
      <vt:variant>
        <vt:i4>15</vt:i4>
      </vt:variant>
      <vt:variant>
        <vt:i4>0</vt:i4>
      </vt:variant>
      <vt:variant>
        <vt:i4>5</vt:i4>
      </vt:variant>
      <vt:variant>
        <vt:lpwstr>https://www.ato.gov.au/General/New-legislation/In-detail/Other-topics/International/Major-reforms-to-foreign-investment-framework/</vt:lpwstr>
      </vt:variant>
      <vt:variant>
        <vt:lpwstr>:~:text=The%20Register%20of%20Foreign%20Ownership%20of%20Australian%20Assets%20(new%20Register,and%20maintain%20the%20new%20Register.</vt:lpwstr>
      </vt:variant>
      <vt:variant>
        <vt:i4>4259862</vt:i4>
      </vt:variant>
      <vt:variant>
        <vt:i4>12</vt:i4>
      </vt:variant>
      <vt:variant>
        <vt:i4>0</vt:i4>
      </vt:variant>
      <vt:variant>
        <vt:i4>5</vt:i4>
      </vt:variant>
      <vt:variant>
        <vt:lpwstr>https://firb.gov.au/general-guidance/monetary-thresholds</vt:lpwstr>
      </vt:variant>
      <vt:variant>
        <vt:lpwstr/>
      </vt:variant>
      <vt:variant>
        <vt:i4>131100</vt:i4>
      </vt:variant>
      <vt:variant>
        <vt:i4>9</vt:i4>
      </vt:variant>
      <vt:variant>
        <vt:i4>0</vt:i4>
      </vt:variant>
      <vt:variant>
        <vt:i4>5</vt:i4>
      </vt:variant>
      <vt:variant>
        <vt:lpwstr>https://www.legislation.gov.au/Series/C2020A00114</vt:lpwstr>
      </vt:variant>
      <vt:variant>
        <vt:lpwstr/>
      </vt:variant>
      <vt:variant>
        <vt:i4>4522001</vt:i4>
      </vt:variant>
      <vt:variant>
        <vt:i4>6</vt:i4>
      </vt:variant>
      <vt:variant>
        <vt:i4>0</vt:i4>
      </vt:variant>
      <vt:variant>
        <vt:i4>5</vt:i4>
      </vt:variant>
      <vt:variant>
        <vt:lpwstr>https://www.aph.gov.au/Parliamentary_Business/Bills_Legislation/Bills_Search_Results/Result?bId=r6614</vt:lpwstr>
      </vt:variant>
      <vt:variant>
        <vt:lpwstr/>
      </vt:variant>
      <vt:variant>
        <vt:i4>3932202</vt:i4>
      </vt:variant>
      <vt:variant>
        <vt:i4>3</vt:i4>
      </vt:variant>
      <vt:variant>
        <vt:i4>0</vt:i4>
      </vt:variant>
      <vt:variant>
        <vt:i4>5</vt:i4>
      </vt:variant>
      <vt:variant>
        <vt:lpwstr>https://treasury.gov.au/publication/p2020-87595</vt:lpwstr>
      </vt:variant>
      <vt:variant>
        <vt:lpwstr/>
      </vt:variant>
      <vt:variant>
        <vt:i4>7667764</vt:i4>
      </vt:variant>
      <vt:variant>
        <vt:i4>0</vt:i4>
      </vt:variant>
      <vt:variant>
        <vt:i4>0</vt:i4>
      </vt:variant>
      <vt:variant>
        <vt:i4>5</vt:i4>
      </vt:variant>
      <vt:variant>
        <vt:lpwstr>https://www.ato.gov.au/General/New-legislation/In-detail/Other-topics/International/Major-reforms-to-foreign-investment-framework/</vt:lpwstr>
      </vt:variant>
      <vt:variant>
        <vt:lpwstr>:~:text=The%20Register%20of%20Foreign%20Ownership%20of%20Australian%20Assets%20(new%20Register,and%20maintain%20the%20new%20Register.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2022-07-12T02:27:00Z</dcterms:created>
  <dcterms:modified xsi:type="dcterms:W3CDTF">2022-07-12T05:57:00Z</dcterms:modified>
  <cp:category/>
</cp:coreProperties>
</file>