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EC44A1" w14:textId="12422C36" w:rsidR="007B40A2" w:rsidRPr="00E162C4" w:rsidRDefault="007B40A2" w:rsidP="007B40A2">
      <w:pPr>
        <w:pStyle w:val="Reporttitle"/>
      </w:pPr>
      <w:r>
        <w:t xml:space="preserve">Extending spectrum </w:t>
      </w:r>
      <w:r w:rsidR="00B8513B">
        <w:t xml:space="preserve">availability </w:t>
      </w:r>
      <w:r>
        <w:t>for LPON services</w:t>
      </w:r>
    </w:p>
    <w:p w14:paraId="31023E75" w14:textId="34D79CF5" w:rsidR="00F06E14" w:rsidRPr="00E162C4" w:rsidRDefault="00770B3F" w:rsidP="00F06E14">
      <w:pPr>
        <w:pStyle w:val="Reportsubtitle"/>
      </w:pPr>
      <w:r w:rsidRPr="00E162C4">
        <w:t xml:space="preserve">Consultation </w:t>
      </w:r>
      <w:r w:rsidR="00327584">
        <w:t>paper</w:t>
      </w:r>
    </w:p>
    <w:p w14:paraId="671B04A7" w14:textId="77777777" w:rsidR="00C97736" w:rsidRDefault="00E464D4" w:rsidP="00EC2B68">
      <w:pPr>
        <w:pStyle w:val="Reportdate"/>
        <w:spacing w:after="720"/>
      </w:pPr>
      <w:r w:rsidRPr="00E464D4">
        <w:t xml:space="preserve">June </w:t>
      </w:r>
      <w:r w:rsidR="00BD4421" w:rsidRPr="00E464D4">
        <w:t>20</w:t>
      </w:r>
      <w:r w:rsidR="008E0428" w:rsidRPr="00E464D4">
        <w:t>2</w:t>
      </w:r>
      <w:r w:rsidR="00E162C4" w:rsidRPr="00E464D4">
        <w:t>2</w:t>
      </w:r>
    </w:p>
    <w:p w14:paraId="24723CD7" w14:textId="77777777" w:rsidR="00255B9A" w:rsidRPr="00255B9A" w:rsidRDefault="00255B9A" w:rsidP="00255B9A"/>
    <w:p w14:paraId="62D9E12C" w14:textId="77777777" w:rsidR="00255B9A" w:rsidRPr="00255B9A" w:rsidRDefault="00255B9A" w:rsidP="00255B9A"/>
    <w:p w14:paraId="2BFA5D46" w14:textId="77777777" w:rsidR="00255B9A" w:rsidRPr="00255B9A" w:rsidRDefault="00255B9A" w:rsidP="00255B9A"/>
    <w:p w14:paraId="27A9EBEB" w14:textId="77777777" w:rsidR="00255B9A" w:rsidRPr="00255B9A" w:rsidRDefault="00255B9A" w:rsidP="00255B9A"/>
    <w:p w14:paraId="056A8DCD" w14:textId="77777777" w:rsidR="00255B9A" w:rsidRPr="00255B9A" w:rsidRDefault="00255B9A" w:rsidP="00255B9A"/>
    <w:p w14:paraId="07506A56" w14:textId="77777777" w:rsidR="00255B9A" w:rsidRPr="00255B9A" w:rsidRDefault="00255B9A" w:rsidP="00255B9A"/>
    <w:p w14:paraId="718D62FB" w14:textId="77777777" w:rsidR="00255B9A" w:rsidRPr="00255B9A" w:rsidRDefault="00255B9A" w:rsidP="00255B9A"/>
    <w:p w14:paraId="2379CD22" w14:textId="77777777" w:rsidR="00255B9A" w:rsidRPr="00255B9A" w:rsidRDefault="00255B9A" w:rsidP="00255B9A"/>
    <w:p w14:paraId="51134FEB" w14:textId="77777777" w:rsidR="00255B9A" w:rsidRDefault="00255B9A" w:rsidP="00255B9A">
      <w:pPr>
        <w:rPr>
          <w:caps/>
          <w:color w:val="323232"/>
          <w:spacing w:val="-10"/>
        </w:rPr>
      </w:pPr>
    </w:p>
    <w:p w14:paraId="77200DB6" w14:textId="77777777" w:rsidR="00255B9A" w:rsidRDefault="00255B9A" w:rsidP="00255B9A">
      <w:pPr>
        <w:jc w:val="center"/>
        <w:rPr>
          <w:caps/>
          <w:color w:val="323232"/>
          <w:spacing w:val="-10"/>
        </w:rPr>
      </w:pPr>
    </w:p>
    <w:p w14:paraId="3E22CB45" w14:textId="23BAF13C" w:rsidR="00255B9A" w:rsidRPr="00255B9A" w:rsidRDefault="00255B9A" w:rsidP="00255B9A">
      <w:pPr>
        <w:tabs>
          <w:tab w:val="center" w:pos="4890"/>
        </w:tabs>
        <w:sectPr w:rsidR="00255B9A" w:rsidRPr="00255B9A"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b/>
      </w:r>
    </w:p>
    <w:p w14:paraId="57DCFBD1" w14:textId="77777777" w:rsidR="0005011A" w:rsidRPr="00E162C4" w:rsidRDefault="0005011A" w:rsidP="00FC07B9">
      <w:pPr>
        <w:pStyle w:val="ACMACorporateAddressHeader"/>
      </w:pPr>
      <w:r w:rsidRPr="00E162C4">
        <w:lastRenderedPageBreak/>
        <w:t>Canberra</w:t>
      </w:r>
    </w:p>
    <w:p w14:paraId="53B57464"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733EF6A5" w14:textId="77777777" w:rsidR="0005011A" w:rsidRPr="00E162C4" w:rsidRDefault="0005011A" w:rsidP="00FC07B9">
      <w:pPr>
        <w:pStyle w:val="ACMACorporateAddresses"/>
      </w:pPr>
      <w:r w:rsidRPr="00E162C4">
        <w:t>PO Box 78</w:t>
      </w:r>
      <w:r w:rsidRPr="00E162C4">
        <w:br/>
        <w:t>Belconnen ACT 2616</w:t>
      </w:r>
    </w:p>
    <w:p w14:paraId="5188FB5F"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0F2046DA" w14:textId="77777777" w:rsidR="0005011A" w:rsidRPr="00E162C4" w:rsidRDefault="0005011A" w:rsidP="00FC07B9">
      <w:pPr>
        <w:pStyle w:val="ACMACorporateAddressHeader"/>
      </w:pPr>
      <w:r w:rsidRPr="00E162C4">
        <w:t>Melbourne</w:t>
      </w:r>
    </w:p>
    <w:p w14:paraId="644ADCC7"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2704B85A"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7B212A69"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4264F68E" w14:textId="77777777" w:rsidR="0005011A" w:rsidRPr="00E162C4" w:rsidRDefault="0005011A" w:rsidP="00FC07B9">
      <w:pPr>
        <w:pStyle w:val="ACMACorporateAddressHeader"/>
      </w:pPr>
      <w:r w:rsidRPr="00E162C4">
        <w:t>Sydney</w:t>
      </w:r>
    </w:p>
    <w:p w14:paraId="36537B88"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3BB6D0FF"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6F7C9024"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18B29630" w14:textId="77777777" w:rsidR="00140318" w:rsidRPr="00E162C4" w:rsidRDefault="00140318" w:rsidP="00FC07B9">
      <w:pPr>
        <w:pStyle w:val="ACMACopyrightHeader"/>
      </w:pPr>
      <w:r w:rsidRPr="00E162C4">
        <w:t>Copyright notice</w:t>
      </w:r>
    </w:p>
    <w:p w14:paraId="16387280" w14:textId="77777777" w:rsidR="00140318" w:rsidRPr="00E162C4" w:rsidRDefault="00623FF9" w:rsidP="00623FF9">
      <w:pPr>
        <w:pStyle w:val="ACMACClogo"/>
      </w:pPr>
      <w:r w:rsidRPr="00E162C4">
        <w:rPr>
          <w:noProof/>
        </w:rPr>
        <w:drawing>
          <wp:inline distT="0" distB="0" distL="0" distR="0" wp14:anchorId="0DB60E6B" wp14:editId="1C53E6A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E8D61C9" w14:textId="77777777" w:rsidR="00AA2DE5" w:rsidRPr="00E162C4" w:rsidRDefault="00514315" w:rsidP="00AA2DE5">
      <w:pPr>
        <w:pStyle w:val="ACMACorporateAddresses"/>
        <w:rPr>
          <w:rStyle w:val="Hyperlink"/>
        </w:rPr>
      </w:pPr>
      <w:hyperlink r:id="rId13" w:history="1">
        <w:r w:rsidR="00AA2DE5" w:rsidRPr="00E162C4">
          <w:rPr>
            <w:rStyle w:val="Hyperlink"/>
          </w:rPr>
          <w:t>https://creativecommons.org/licenses/by/4.0/</w:t>
        </w:r>
      </w:hyperlink>
    </w:p>
    <w:p w14:paraId="60ED01DB"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7F6D2458"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1918327E" w14:textId="77777777" w:rsidR="00AA2DE5" w:rsidRPr="00E162C4" w:rsidRDefault="00AA2DE5" w:rsidP="00AA2DE5">
      <w:pPr>
        <w:pStyle w:val="ACMACorporateAddresses"/>
      </w:pPr>
      <w:r w:rsidRPr="00E162C4">
        <w:t>All other rights are reserved.</w:t>
      </w:r>
    </w:p>
    <w:p w14:paraId="5055BC40"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423D119" w14:textId="77777777" w:rsidR="00AA2DE5" w:rsidRPr="00E162C4" w:rsidRDefault="00AA2DE5" w:rsidP="00AA2DE5">
      <w:pPr>
        <w:pStyle w:val="ACMACorporateAddresses"/>
      </w:pPr>
      <w:r w:rsidRPr="00E162C4">
        <w:t>Written enquiries may be sent to:</w:t>
      </w:r>
    </w:p>
    <w:p w14:paraId="6D196A7F"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03176FBE" w14:textId="77777777" w:rsidR="00D16FE3" w:rsidRPr="00E162C4" w:rsidRDefault="00D16FE3" w:rsidP="00D16FE3">
      <w:pPr>
        <w:pStyle w:val="ACMACorporateAddresses"/>
        <w:rPr>
          <w:rStyle w:val="Hyperlink"/>
        </w:rPr>
      </w:pPr>
    </w:p>
    <w:p w14:paraId="35268B30"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D71BECB" w14:textId="7A462AC6" w:rsidR="00823B5C"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03610994" w:history="1">
        <w:r w:rsidR="00823B5C" w:rsidRPr="007E6511">
          <w:rPr>
            <w:rStyle w:val="Hyperlink"/>
          </w:rPr>
          <w:t>Executive summary</w:t>
        </w:r>
        <w:r w:rsidR="00823B5C">
          <w:rPr>
            <w:webHidden/>
          </w:rPr>
          <w:tab/>
        </w:r>
        <w:r w:rsidR="00823B5C">
          <w:rPr>
            <w:webHidden/>
          </w:rPr>
          <w:fldChar w:fldCharType="begin"/>
        </w:r>
        <w:r w:rsidR="00823B5C">
          <w:rPr>
            <w:webHidden/>
          </w:rPr>
          <w:instrText xml:space="preserve"> PAGEREF _Toc103610994 \h </w:instrText>
        </w:r>
        <w:r w:rsidR="00823B5C">
          <w:rPr>
            <w:webHidden/>
          </w:rPr>
        </w:r>
        <w:r w:rsidR="00823B5C">
          <w:rPr>
            <w:webHidden/>
          </w:rPr>
          <w:fldChar w:fldCharType="separate"/>
        </w:r>
        <w:r w:rsidR="00823B5C">
          <w:rPr>
            <w:webHidden/>
          </w:rPr>
          <w:t>1</w:t>
        </w:r>
        <w:r w:rsidR="00823B5C">
          <w:rPr>
            <w:webHidden/>
          </w:rPr>
          <w:fldChar w:fldCharType="end"/>
        </w:r>
      </w:hyperlink>
    </w:p>
    <w:p w14:paraId="2FB12287" w14:textId="3A598F12" w:rsidR="00823B5C" w:rsidRDefault="00514315">
      <w:pPr>
        <w:pStyle w:val="TOC1"/>
        <w:rPr>
          <w:rFonts w:asciiTheme="minorHAnsi" w:eastAsiaTheme="minorEastAsia" w:hAnsiTheme="minorHAnsi" w:cstheme="minorBidi"/>
          <w:b w:val="0"/>
          <w:spacing w:val="0"/>
          <w:sz w:val="22"/>
          <w:szCs w:val="22"/>
        </w:rPr>
      </w:pPr>
      <w:hyperlink w:anchor="_Toc103610995" w:history="1">
        <w:r w:rsidR="00823B5C" w:rsidRPr="007E6511">
          <w:rPr>
            <w:rStyle w:val="Hyperlink"/>
          </w:rPr>
          <w:t>Issue for comment</w:t>
        </w:r>
        <w:r w:rsidR="00823B5C">
          <w:rPr>
            <w:webHidden/>
          </w:rPr>
          <w:tab/>
        </w:r>
        <w:r w:rsidR="00823B5C">
          <w:rPr>
            <w:webHidden/>
          </w:rPr>
          <w:fldChar w:fldCharType="begin"/>
        </w:r>
        <w:r w:rsidR="00823B5C">
          <w:rPr>
            <w:webHidden/>
          </w:rPr>
          <w:instrText xml:space="preserve"> PAGEREF _Toc103610995 \h </w:instrText>
        </w:r>
        <w:r w:rsidR="00823B5C">
          <w:rPr>
            <w:webHidden/>
          </w:rPr>
        </w:r>
        <w:r w:rsidR="00823B5C">
          <w:rPr>
            <w:webHidden/>
          </w:rPr>
          <w:fldChar w:fldCharType="separate"/>
        </w:r>
        <w:r w:rsidR="00823B5C">
          <w:rPr>
            <w:webHidden/>
          </w:rPr>
          <w:t>2</w:t>
        </w:r>
        <w:r w:rsidR="00823B5C">
          <w:rPr>
            <w:webHidden/>
          </w:rPr>
          <w:fldChar w:fldCharType="end"/>
        </w:r>
      </w:hyperlink>
    </w:p>
    <w:p w14:paraId="39865209" w14:textId="7AF50702" w:rsidR="00823B5C" w:rsidRDefault="00514315">
      <w:pPr>
        <w:pStyle w:val="TOC1"/>
        <w:rPr>
          <w:rFonts w:asciiTheme="minorHAnsi" w:eastAsiaTheme="minorEastAsia" w:hAnsiTheme="minorHAnsi" w:cstheme="minorBidi"/>
          <w:b w:val="0"/>
          <w:spacing w:val="0"/>
          <w:sz w:val="22"/>
          <w:szCs w:val="22"/>
        </w:rPr>
      </w:pPr>
      <w:hyperlink w:anchor="_Toc103610996" w:history="1">
        <w:r w:rsidR="00823B5C" w:rsidRPr="007E6511">
          <w:rPr>
            <w:rStyle w:val="Hyperlink"/>
          </w:rPr>
          <w:t>Background</w:t>
        </w:r>
        <w:r w:rsidR="00823B5C">
          <w:rPr>
            <w:webHidden/>
          </w:rPr>
          <w:tab/>
        </w:r>
        <w:r w:rsidR="00823B5C">
          <w:rPr>
            <w:webHidden/>
          </w:rPr>
          <w:fldChar w:fldCharType="begin"/>
        </w:r>
        <w:r w:rsidR="00823B5C">
          <w:rPr>
            <w:webHidden/>
          </w:rPr>
          <w:instrText xml:space="preserve"> PAGEREF _Toc103610996 \h </w:instrText>
        </w:r>
        <w:r w:rsidR="00823B5C">
          <w:rPr>
            <w:webHidden/>
          </w:rPr>
        </w:r>
        <w:r w:rsidR="00823B5C">
          <w:rPr>
            <w:webHidden/>
          </w:rPr>
          <w:fldChar w:fldCharType="separate"/>
        </w:r>
        <w:r w:rsidR="00823B5C">
          <w:rPr>
            <w:webHidden/>
          </w:rPr>
          <w:t>3</w:t>
        </w:r>
        <w:r w:rsidR="00823B5C">
          <w:rPr>
            <w:webHidden/>
          </w:rPr>
          <w:fldChar w:fldCharType="end"/>
        </w:r>
      </w:hyperlink>
    </w:p>
    <w:p w14:paraId="7105F790" w14:textId="6C570320" w:rsidR="00823B5C" w:rsidRDefault="00514315">
      <w:pPr>
        <w:pStyle w:val="TOC2"/>
        <w:rPr>
          <w:rFonts w:asciiTheme="minorHAnsi" w:eastAsiaTheme="minorEastAsia" w:hAnsiTheme="minorHAnsi" w:cstheme="minorBidi"/>
          <w:spacing w:val="0"/>
          <w:sz w:val="22"/>
          <w:szCs w:val="22"/>
        </w:rPr>
      </w:pPr>
      <w:hyperlink w:anchor="_Toc103610997" w:history="1">
        <w:r w:rsidR="00823B5C" w:rsidRPr="007E6511">
          <w:rPr>
            <w:rStyle w:val="Hyperlink"/>
          </w:rPr>
          <w:t>LPON services</w:t>
        </w:r>
        <w:r w:rsidR="00823B5C">
          <w:rPr>
            <w:webHidden/>
          </w:rPr>
          <w:tab/>
        </w:r>
        <w:r w:rsidR="00823B5C">
          <w:rPr>
            <w:webHidden/>
          </w:rPr>
          <w:fldChar w:fldCharType="begin"/>
        </w:r>
        <w:r w:rsidR="00823B5C">
          <w:rPr>
            <w:webHidden/>
          </w:rPr>
          <w:instrText xml:space="preserve"> PAGEREF _Toc103610997 \h </w:instrText>
        </w:r>
        <w:r w:rsidR="00823B5C">
          <w:rPr>
            <w:webHidden/>
          </w:rPr>
        </w:r>
        <w:r w:rsidR="00823B5C">
          <w:rPr>
            <w:webHidden/>
          </w:rPr>
          <w:fldChar w:fldCharType="separate"/>
        </w:r>
        <w:r w:rsidR="00823B5C">
          <w:rPr>
            <w:webHidden/>
          </w:rPr>
          <w:t>3</w:t>
        </w:r>
        <w:r w:rsidR="00823B5C">
          <w:rPr>
            <w:webHidden/>
          </w:rPr>
          <w:fldChar w:fldCharType="end"/>
        </w:r>
      </w:hyperlink>
    </w:p>
    <w:p w14:paraId="0CF7366B" w14:textId="4ED4CB8C" w:rsidR="00823B5C" w:rsidRDefault="00514315">
      <w:pPr>
        <w:pStyle w:val="TOC1"/>
        <w:rPr>
          <w:rFonts w:asciiTheme="minorHAnsi" w:eastAsiaTheme="minorEastAsia" w:hAnsiTheme="minorHAnsi" w:cstheme="minorBidi"/>
          <w:b w:val="0"/>
          <w:spacing w:val="0"/>
          <w:sz w:val="22"/>
          <w:szCs w:val="22"/>
        </w:rPr>
      </w:pPr>
      <w:hyperlink w:anchor="_Toc103610998" w:history="1">
        <w:r w:rsidR="00823B5C" w:rsidRPr="007E6511">
          <w:rPr>
            <w:rStyle w:val="Hyperlink"/>
          </w:rPr>
          <w:t>Spectrum availability for LPON services</w:t>
        </w:r>
        <w:r w:rsidR="00823B5C">
          <w:rPr>
            <w:webHidden/>
          </w:rPr>
          <w:tab/>
        </w:r>
        <w:r w:rsidR="00823B5C">
          <w:rPr>
            <w:webHidden/>
          </w:rPr>
          <w:fldChar w:fldCharType="begin"/>
        </w:r>
        <w:r w:rsidR="00823B5C">
          <w:rPr>
            <w:webHidden/>
          </w:rPr>
          <w:instrText xml:space="preserve"> PAGEREF _Toc103610998 \h </w:instrText>
        </w:r>
        <w:r w:rsidR="00823B5C">
          <w:rPr>
            <w:webHidden/>
          </w:rPr>
        </w:r>
        <w:r w:rsidR="00823B5C">
          <w:rPr>
            <w:webHidden/>
          </w:rPr>
          <w:fldChar w:fldCharType="separate"/>
        </w:r>
        <w:r w:rsidR="00823B5C">
          <w:rPr>
            <w:webHidden/>
          </w:rPr>
          <w:t>4</w:t>
        </w:r>
        <w:r w:rsidR="00823B5C">
          <w:rPr>
            <w:webHidden/>
          </w:rPr>
          <w:fldChar w:fldCharType="end"/>
        </w:r>
      </w:hyperlink>
    </w:p>
    <w:p w14:paraId="02EF57F4" w14:textId="7B35B0CC" w:rsidR="00823B5C" w:rsidRDefault="00514315">
      <w:pPr>
        <w:pStyle w:val="TOC2"/>
        <w:rPr>
          <w:rFonts w:asciiTheme="minorHAnsi" w:eastAsiaTheme="minorEastAsia" w:hAnsiTheme="minorHAnsi" w:cstheme="minorBidi"/>
          <w:spacing w:val="0"/>
          <w:sz w:val="22"/>
          <w:szCs w:val="22"/>
        </w:rPr>
      </w:pPr>
      <w:hyperlink w:anchor="_Toc103610999" w:history="1">
        <w:r w:rsidR="00823B5C" w:rsidRPr="007E6511">
          <w:rPr>
            <w:rStyle w:val="Hyperlink"/>
          </w:rPr>
          <w:t>Section 34 determinations</w:t>
        </w:r>
        <w:r w:rsidR="00823B5C">
          <w:rPr>
            <w:webHidden/>
          </w:rPr>
          <w:tab/>
        </w:r>
        <w:r w:rsidR="00823B5C">
          <w:rPr>
            <w:webHidden/>
          </w:rPr>
          <w:fldChar w:fldCharType="begin"/>
        </w:r>
        <w:r w:rsidR="00823B5C">
          <w:rPr>
            <w:webHidden/>
          </w:rPr>
          <w:instrText xml:space="preserve"> PAGEREF _Toc103610999 \h </w:instrText>
        </w:r>
        <w:r w:rsidR="00823B5C">
          <w:rPr>
            <w:webHidden/>
          </w:rPr>
        </w:r>
        <w:r w:rsidR="00823B5C">
          <w:rPr>
            <w:webHidden/>
          </w:rPr>
          <w:fldChar w:fldCharType="separate"/>
        </w:r>
        <w:r w:rsidR="00823B5C">
          <w:rPr>
            <w:webHidden/>
          </w:rPr>
          <w:t>4</w:t>
        </w:r>
        <w:r w:rsidR="00823B5C">
          <w:rPr>
            <w:webHidden/>
          </w:rPr>
          <w:fldChar w:fldCharType="end"/>
        </w:r>
      </w:hyperlink>
    </w:p>
    <w:p w14:paraId="330DDE25" w14:textId="5CC38379" w:rsidR="00823B5C" w:rsidRDefault="00514315">
      <w:pPr>
        <w:pStyle w:val="TOC2"/>
        <w:rPr>
          <w:rFonts w:asciiTheme="minorHAnsi" w:eastAsiaTheme="minorEastAsia" w:hAnsiTheme="minorHAnsi" w:cstheme="minorBidi"/>
          <w:spacing w:val="0"/>
          <w:sz w:val="22"/>
          <w:szCs w:val="22"/>
        </w:rPr>
      </w:pPr>
      <w:hyperlink w:anchor="_Toc103611000" w:history="1">
        <w:r w:rsidR="00823B5C" w:rsidRPr="007E6511">
          <w:rPr>
            <w:rStyle w:val="Hyperlink"/>
          </w:rPr>
          <w:t>Process and timing of extending spectrum availability for LPON services</w:t>
        </w:r>
        <w:r w:rsidR="00823B5C">
          <w:rPr>
            <w:webHidden/>
          </w:rPr>
          <w:tab/>
        </w:r>
        <w:r w:rsidR="00823B5C">
          <w:rPr>
            <w:webHidden/>
          </w:rPr>
          <w:fldChar w:fldCharType="begin"/>
        </w:r>
        <w:r w:rsidR="00823B5C">
          <w:rPr>
            <w:webHidden/>
          </w:rPr>
          <w:instrText xml:space="preserve"> PAGEREF _Toc103611000 \h </w:instrText>
        </w:r>
        <w:r w:rsidR="00823B5C">
          <w:rPr>
            <w:webHidden/>
          </w:rPr>
        </w:r>
        <w:r w:rsidR="00823B5C">
          <w:rPr>
            <w:webHidden/>
          </w:rPr>
          <w:fldChar w:fldCharType="separate"/>
        </w:r>
        <w:r w:rsidR="00823B5C">
          <w:rPr>
            <w:webHidden/>
          </w:rPr>
          <w:t>6</w:t>
        </w:r>
        <w:r w:rsidR="00823B5C">
          <w:rPr>
            <w:webHidden/>
          </w:rPr>
          <w:fldChar w:fldCharType="end"/>
        </w:r>
      </w:hyperlink>
    </w:p>
    <w:p w14:paraId="360FF541" w14:textId="7671A274" w:rsidR="00823B5C" w:rsidRDefault="00514315">
      <w:pPr>
        <w:pStyle w:val="TOC1"/>
        <w:rPr>
          <w:rFonts w:asciiTheme="minorHAnsi" w:eastAsiaTheme="minorEastAsia" w:hAnsiTheme="minorHAnsi" w:cstheme="minorBidi"/>
          <w:b w:val="0"/>
          <w:spacing w:val="0"/>
          <w:sz w:val="22"/>
          <w:szCs w:val="22"/>
        </w:rPr>
      </w:pPr>
      <w:hyperlink w:anchor="_Toc103611001" w:history="1">
        <w:r w:rsidR="00823B5C" w:rsidRPr="007E6511">
          <w:rPr>
            <w:rStyle w:val="Hyperlink"/>
          </w:rPr>
          <w:t>Invitation to comment</w:t>
        </w:r>
        <w:r w:rsidR="00823B5C">
          <w:rPr>
            <w:webHidden/>
          </w:rPr>
          <w:tab/>
        </w:r>
        <w:r w:rsidR="00823B5C">
          <w:rPr>
            <w:webHidden/>
          </w:rPr>
          <w:fldChar w:fldCharType="begin"/>
        </w:r>
        <w:r w:rsidR="00823B5C">
          <w:rPr>
            <w:webHidden/>
          </w:rPr>
          <w:instrText xml:space="preserve"> PAGEREF _Toc103611001 \h </w:instrText>
        </w:r>
        <w:r w:rsidR="00823B5C">
          <w:rPr>
            <w:webHidden/>
          </w:rPr>
        </w:r>
        <w:r w:rsidR="00823B5C">
          <w:rPr>
            <w:webHidden/>
          </w:rPr>
          <w:fldChar w:fldCharType="separate"/>
        </w:r>
        <w:r w:rsidR="00823B5C">
          <w:rPr>
            <w:webHidden/>
          </w:rPr>
          <w:t>7</w:t>
        </w:r>
        <w:r w:rsidR="00823B5C">
          <w:rPr>
            <w:webHidden/>
          </w:rPr>
          <w:fldChar w:fldCharType="end"/>
        </w:r>
      </w:hyperlink>
    </w:p>
    <w:p w14:paraId="1D4097DB" w14:textId="5D2EFE09" w:rsidR="00823B5C" w:rsidRDefault="00514315">
      <w:pPr>
        <w:pStyle w:val="TOC2"/>
        <w:rPr>
          <w:rFonts w:asciiTheme="minorHAnsi" w:eastAsiaTheme="minorEastAsia" w:hAnsiTheme="minorHAnsi" w:cstheme="minorBidi"/>
          <w:spacing w:val="0"/>
          <w:sz w:val="22"/>
          <w:szCs w:val="22"/>
        </w:rPr>
      </w:pPr>
      <w:hyperlink w:anchor="_Toc103611002" w:history="1">
        <w:r w:rsidR="00823B5C" w:rsidRPr="007E6511">
          <w:rPr>
            <w:rStyle w:val="Hyperlink"/>
          </w:rPr>
          <w:t>Making a submission</w:t>
        </w:r>
        <w:r w:rsidR="00823B5C">
          <w:rPr>
            <w:webHidden/>
          </w:rPr>
          <w:tab/>
        </w:r>
        <w:r w:rsidR="00823B5C">
          <w:rPr>
            <w:webHidden/>
          </w:rPr>
          <w:fldChar w:fldCharType="begin"/>
        </w:r>
        <w:r w:rsidR="00823B5C">
          <w:rPr>
            <w:webHidden/>
          </w:rPr>
          <w:instrText xml:space="preserve"> PAGEREF _Toc103611002 \h </w:instrText>
        </w:r>
        <w:r w:rsidR="00823B5C">
          <w:rPr>
            <w:webHidden/>
          </w:rPr>
        </w:r>
        <w:r w:rsidR="00823B5C">
          <w:rPr>
            <w:webHidden/>
          </w:rPr>
          <w:fldChar w:fldCharType="separate"/>
        </w:r>
        <w:r w:rsidR="00823B5C">
          <w:rPr>
            <w:webHidden/>
          </w:rPr>
          <w:t>7</w:t>
        </w:r>
        <w:r w:rsidR="00823B5C">
          <w:rPr>
            <w:webHidden/>
          </w:rPr>
          <w:fldChar w:fldCharType="end"/>
        </w:r>
      </w:hyperlink>
    </w:p>
    <w:p w14:paraId="520E6CD9" w14:textId="6D0FF95B" w:rsidR="00823B5C" w:rsidRPr="00EF39DA" w:rsidRDefault="00514315">
      <w:pPr>
        <w:pStyle w:val="TOC1"/>
        <w:rPr>
          <w:rFonts w:asciiTheme="minorHAnsi" w:eastAsiaTheme="minorEastAsia" w:hAnsiTheme="minorHAnsi" w:cstheme="minorBidi"/>
          <w:b w:val="0"/>
          <w:spacing w:val="0"/>
          <w:sz w:val="22"/>
          <w:szCs w:val="22"/>
        </w:rPr>
      </w:pPr>
      <w:hyperlink w:anchor="_Toc103611003" w:history="1">
        <w:r w:rsidR="00823B5C" w:rsidRPr="00EF39DA">
          <w:rPr>
            <w:rStyle w:val="Hyperlink"/>
          </w:rPr>
          <w:t>Appendix A: current section 34 determination</w:t>
        </w:r>
        <w:r w:rsidR="00823B5C" w:rsidRPr="00EF39DA">
          <w:rPr>
            <w:webHidden/>
          </w:rPr>
          <w:tab/>
        </w:r>
        <w:r w:rsidR="00823B5C" w:rsidRPr="00B76550">
          <w:rPr>
            <w:webHidden/>
          </w:rPr>
          <w:fldChar w:fldCharType="begin"/>
        </w:r>
        <w:r w:rsidR="00823B5C" w:rsidRPr="00EF39DA">
          <w:rPr>
            <w:webHidden/>
          </w:rPr>
          <w:instrText xml:space="preserve"> PAGEREF _Toc103611003 \h </w:instrText>
        </w:r>
        <w:r w:rsidR="00823B5C" w:rsidRPr="00B76550">
          <w:rPr>
            <w:webHidden/>
          </w:rPr>
        </w:r>
        <w:r w:rsidR="00823B5C" w:rsidRPr="00B76550">
          <w:rPr>
            <w:webHidden/>
          </w:rPr>
          <w:fldChar w:fldCharType="separate"/>
        </w:r>
        <w:r w:rsidR="00823B5C" w:rsidRPr="00EF39DA">
          <w:rPr>
            <w:webHidden/>
          </w:rPr>
          <w:t>8</w:t>
        </w:r>
        <w:r w:rsidR="00823B5C" w:rsidRPr="00B76550">
          <w:rPr>
            <w:webHidden/>
          </w:rPr>
          <w:fldChar w:fldCharType="end"/>
        </w:r>
      </w:hyperlink>
    </w:p>
    <w:p w14:paraId="0E7294D4" w14:textId="35CE7140" w:rsidR="00823B5C" w:rsidRPr="00EF39DA" w:rsidRDefault="00514315">
      <w:pPr>
        <w:pStyle w:val="TOC2"/>
        <w:rPr>
          <w:rFonts w:asciiTheme="minorHAnsi" w:eastAsiaTheme="minorEastAsia" w:hAnsiTheme="minorHAnsi" w:cstheme="minorBidi"/>
          <w:spacing w:val="0"/>
          <w:sz w:val="22"/>
          <w:szCs w:val="22"/>
        </w:rPr>
      </w:pPr>
      <w:hyperlink w:anchor="_Toc103611004" w:history="1">
        <w:r w:rsidR="00823B5C" w:rsidRPr="008147A9">
          <w:rPr>
            <w:rStyle w:val="Hyperlink"/>
          </w:rPr>
          <w:t>Drop-through</w:t>
        </w:r>
        <w:r w:rsidR="00823B5C" w:rsidRPr="00EF39DA">
          <w:rPr>
            <w:rStyle w:val="Hyperlink"/>
          </w:rPr>
          <w:t xml:space="preserve"> 1133140</w:t>
        </w:r>
        <w:r w:rsidR="00823B5C" w:rsidRPr="00EF39DA">
          <w:rPr>
            <w:webHidden/>
          </w:rPr>
          <w:tab/>
        </w:r>
        <w:r w:rsidR="00823B5C" w:rsidRPr="00B76550">
          <w:rPr>
            <w:webHidden/>
          </w:rPr>
          <w:fldChar w:fldCharType="begin"/>
        </w:r>
        <w:r w:rsidR="00823B5C" w:rsidRPr="00EF39DA">
          <w:rPr>
            <w:webHidden/>
          </w:rPr>
          <w:instrText xml:space="preserve"> PAGEREF _Toc103611004 \h </w:instrText>
        </w:r>
        <w:r w:rsidR="00823B5C" w:rsidRPr="00B76550">
          <w:rPr>
            <w:webHidden/>
          </w:rPr>
        </w:r>
        <w:r w:rsidR="00823B5C" w:rsidRPr="00B76550">
          <w:rPr>
            <w:webHidden/>
          </w:rPr>
          <w:fldChar w:fldCharType="separate"/>
        </w:r>
        <w:r w:rsidR="00823B5C" w:rsidRPr="00EF39DA">
          <w:rPr>
            <w:webHidden/>
          </w:rPr>
          <w:t>8</w:t>
        </w:r>
        <w:r w:rsidR="00823B5C" w:rsidRPr="00B76550">
          <w:rPr>
            <w:webHidden/>
          </w:rPr>
          <w:fldChar w:fldCharType="end"/>
        </w:r>
      </w:hyperlink>
    </w:p>
    <w:p w14:paraId="22D09C31" w14:textId="227C6816" w:rsidR="004D56FF" w:rsidRPr="00E162C4" w:rsidRDefault="006A3ECF">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3804C165" w14:textId="77777777" w:rsidR="009D6C71" w:rsidRPr="00E162C4" w:rsidRDefault="009D6C71" w:rsidP="009174F3">
      <w:pPr>
        <w:pStyle w:val="Execsummaryheading"/>
      </w:pPr>
      <w:bookmarkStart w:id="0" w:name="_Toc103610994"/>
      <w:r w:rsidRPr="00E162C4">
        <w:lastRenderedPageBreak/>
        <w:t>Executive summary</w:t>
      </w:r>
      <w:bookmarkEnd w:id="0"/>
    </w:p>
    <w:p w14:paraId="40114A3F" w14:textId="4CBB818B" w:rsidR="0065782A" w:rsidRDefault="0065782A" w:rsidP="0065782A">
      <w:pPr>
        <w:pStyle w:val="Paragraph"/>
      </w:pPr>
      <w:bookmarkStart w:id="1" w:name="_Toc433122125"/>
      <w:r>
        <w:t>For the ACMA to licen</w:t>
      </w:r>
      <w:r w:rsidR="00333732">
        <w:t>s</w:t>
      </w:r>
      <w:r w:rsidR="00AF303B">
        <w:t>e</w:t>
      </w:r>
      <w:r>
        <w:t xml:space="preserve"> </w:t>
      </w:r>
      <w:r w:rsidR="0058252C">
        <w:t xml:space="preserve">radiocommunications transmitters for </w:t>
      </w:r>
      <w:r>
        <w:t xml:space="preserve">low-power FM radio services, known as low-power open narrowcasting </w:t>
      </w:r>
      <w:r w:rsidR="00EB2DF3">
        <w:t xml:space="preserve">(LPON) </w:t>
      </w:r>
      <w:r>
        <w:t>services, we must determine</w:t>
      </w:r>
      <w:r w:rsidR="003628F0">
        <w:t xml:space="preserve"> </w:t>
      </w:r>
      <w:r>
        <w:t xml:space="preserve">that radiofrequency spectrum is available </w:t>
      </w:r>
      <w:r w:rsidR="0058252C">
        <w:t>for allocation to providers of open narrowcasting services</w:t>
      </w:r>
      <w:r>
        <w:t xml:space="preserve">. </w:t>
      </w:r>
    </w:p>
    <w:p w14:paraId="725A2A8D" w14:textId="497C242A" w:rsidR="0065782A" w:rsidRDefault="0065782A" w:rsidP="0065782A">
      <w:pPr>
        <w:pStyle w:val="Paragraph"/>
      </w:pPr>
      <w:r>
        <w:t>The current</w:t>
      </w:r>
      <w:r w:rsidR="004D5D03">
        <w:t xml:space="preserve"> determination</w:t>
      </w:r>
      <w:r>
        <w:t xml:space="preserve"> for LPON services was made in September 2018 and expires on </w:t>
      </w:r>
      <w:r w:rsidRPr="00A07517">
        <w:t>31 December 2025</w:t>
      </w:r>
      <w:r>
        <w:t>.</w:t>
      </w:r>
      <w:r w:rsidR="00AF303B">
        <w:t xml:space="preserve"> </w:t>
      </w:r>
    </w:p>
    <w:p w14:paraId="54D0C841" w14:textId="50FF8244" w:rsidR="004A096A" w:rsidRDefault="0065782A" w:rsidP="0065782A">
      <w:pPr>
        <w:pStyle w:val="Paragraph"/>
      </w:pPr>
      <w:r>
        <w:t>This paper seeks comments</w:t>
      </w:r>
      <w:r w:rsidR="007F260D">
        <w:t xml:space="preserve"> </w:t>
      </w:r>
      <w:r w:rsidR="00616C3B">
        <w:t xml:space="preserve">on </w:t>
      </w:r>
      <w:r w:rsidR="007F260D">
        <w:t>whether</w:t>
      </w:r>
      <w:r w:rsidR="00585BE3">
        <w:t xml:space="preserve"> </w:t>
      </w:r>
      <w:r w:rsidR="001811AB">
        <w:t xml:space="preserve">there are alternative uses for sub-band spectrum </w:t>
      </w:r>
      <w:r w:rsidR="00750F31">
        <w:t>primarily used by LPON services</w:t>
      </w:r>
      <w:r w:rsidR="004727D8">
        <w:t xml:space="preserve"> </w:t>
      </w:r>
      <w:r w:rsidR="001811AB">
        <w:t xml:space="preserve">(87.5-88.0 MHz). </w:t>
      </w:r>
      <w:r w:rsidR="00007AA7">
        <w:t>I</w:t>
      </w:r>
      <w:r w:rsidR="009E20E5">
        <w:t xml:space="preserve">t asks </w:t>
      </w:r>
      <w:r w:rsidR="001811AB">
        <w:t xml:space="preserve">whether </w:t>
      </w:r>
      <w:r w:rsidR="00A206C0">
        <w:t xml:space="preserve">we </w:t>
      </w:r>
      <w:r w:rsidR="00585BE3">
        <w:t xml:space="preserve">should make a new </w:t>
      </w:r>
      <w:r w:rsidR="00585BE3" w:rsidRPr="00C25370">
        <w:t xml:space="preserve">determination </w:t>
      </w:r>
      <w:r w:rsidR="009D2CA2" w:rsidRPr="00C25370">
        <w:t xml:space="preserve">later </w:t>
      </w:r>
      <w:r w:rsidR="00556587" w:rsidRPr="00C25370">
        <w:t>this year</w:t>
      </w:r>
      <w:r w:rsidR="00556587">
        <w:t xml:space="preserve"> </w:t>
      </w:r>
      <w:r w:rsidR="00585BE3">
        <w:t xml:space="preserve">to </w:t>
      </w:r>
      <w:r w:rsidR="00AF303B">
        <w:t>make spectrum available for LPON services after December 2025</w:t>
      </w:r>
      <w:r w:rsidR="0098140F">
        <w:t xml:space="preserve"> – </w:t>
      </w:r>
      <w:r w:rsidR="00585BE3">
        <w:t xml:space="preserve">and if so, </w:t>
      </w:r>
      <w:r>
        <w:t xml:space="preserve">the </w:t>
      </w:r>
      <w:r w:rsidR="00034B7B">
        <w:t xml:space="preserve">appropriate </w:t>
      </w:r>
      <w:r>
        <w:t xml:space="preserve">duration of </w:t>
      </w:r>
      <w:r w:rsidR="00585BE3">
        <w:t>that determination.</w:t>
      </w:r>
      <w:r>
        <w:t xml:space="preserve"> </w:t>
      </w:r>
    </w:p>
    <w:p w14:paraId="081F50FF" w14:textId="69ED6F39" w:rsidR="0065782A" w:rsidRDefault="0065782A" w:rsidP="0065782A">
      <w:pPr>
        <w:pStyle w:val="Paragraph"/>
      </w:pPr>
      <w:r>
        <w:t xml:space="preserve">The paper also </w:t>
      </w:r>
      <w:r w:rsidR="00000BDF">
        <w:t xml:space="preserve">asks </w:t>
      </w:r>
      <w:r w:rsidR="00556587">
        <w:t>how often we should carry out our periodic reviews</w:t>
      </w:r>
      <w:r>
        <w:t xml:space="preserve"> </w:t>
      </w:r>
      <w:r w:rsidR="00556587">
        <w:t xml:space="preserve">on </w:t>
      </w:r>
      <w:r w:rsidR="00585BE3">
        <w:t xml:space="preserve">making </w:t>
      </w:r>
      <w:r>
        <w:t xml:space="preserve">spectrum </w:t>
      </w:r>
      <w:r w:rsidR="0059203A">
        <w:t>availa</w:t>
      </w:r>
      <w:r w:rsidR="00585BE3">
        <w:t xml:space="preserve">ble </w:t>
      </w:r>
      <w:r>
        <w:t>for LPON services.</w:t>
      </w:r>
    </w:p>
    <w:p w14:paraId="29EDEF2C" w14:textId="75353AF3" w:rsidR="001811AB" w:rsidRDefault="001811AB" w:rsidP="001811AB">
      <w:pPr>
        <w:pStyle w:val="Paragraph"/>
      </w:pPr>
      <w:r>
        <w:t xml:space="preserve">We are seeking </w:t>
      </w:r>
      <w:r w:rsidR="008F0BB0">
        <w:t xml:space="preserve">views at this time </w:t>
      </w:r>
      <w:r>
        <w:t xml:space="preserve">to give certainty to the LPON industry </w:t>
      </w:r>
      <w:r w:rsidR="009870ED">
        <w:t xml:space="preserve">and other stakeholders </w:t>
      </w:r>
      <w:r>
        <w:t>about spectrum availability after December 2025.</w:t>
      </w:r>
    </w:p>
    <w:p w14:paraId="6BD0B69A" w14:textId="77777777" w:rsidR="001811AB" w:rsidRPr="00E162C4" w:rsidRDefault="001811AB" w:rsidP="0065782A">
      <w:pPr>
        <w:pStyle w:val="Paragraph"/>
      </w:pPr>
    </w:p>
    <w:p w14:paraId="3B9B688C" w14:textId="1E3DF56D" w:rsidR="00715722" w:rsidRPr="00E162C4" w:rsidRDefault="00715722" w:rsidP="00715722">
      <w:pPr>
        <w:pStyle w:val="Heading1"/>
      </w:pPr>
      <w:bookmarkStart w:id="2" w:name="_Toc103610995"/>
      <w:r w:rsidRPr="00E162C4">
        <w:lastRenderedPageBreak/>
        <w:t>Issue</w:t>
      </w:r>
      <w:r w:rsidR="009870ED">
        <w:t>s</w:t>
      </w:r>
      <w:r w:rsidRPr="00E162C4">
        <w:t xml:space="preserve"> for comment</w:t>
      </w:r>
      <w:bookmarkEnd w:id="1"/>
      <w:bookmarkEnd w:id="2"/>
    </w:p>
    <w:p w14:paraId="1E3B477F" w14:textId="1C2C8CB1" w:rsidR="00C767E2" w:rsidRPr="00E162C4" w:rsidRDefault="00C767E2" w:rsidP="00C767E2">
      <w:pPr>
        <w:pStyle w:val="Paragraphbeforelist"/>
      </w:pPr>
      <w:r>
        <w:t>We</w:t>
      </w:r>
      <w:r w:rsidRPr="00E162C4">
        <w:t xml:space="preserve"> invite comments on the issue</w:t>
      </w:r>
      <w:r w:rsidR="00255B9A">
        <w:t>s</w:t>
      </w:r>
      <w:r w:rsidRPr="00E162C4">
        <w:t xml:space="preserve"> set out in this paper:</w:t>
      </w:r>
    </w:p>
    <w:p w14:paraId="2271EC84" w14:textId="67C20B27" w:rsidR="001811AB" w:rsidRDefault="001811AB" w:rsidP="001811AB">
      <w:pPr>
        <w:pStyle w:val="Numberlistlevel1"/>
      </w:pPr>
      <w:r>
        <w:t xml:space="preserve">Are there any alternative broadcasting and non-broadcasting uses of the sub-band spectrum (87.5-88.0 MHz) that </w:t>
      </w:r>
      <w:r w:rsidR="00792165">
        <w:t xml:space="preserve">we </w:t>
      </w:r>
      <w:r>
        <w:t>should be aware of?</w:t>
      </w:r>
    </w:p>
    <w:p w14:paraId="2127FB54" w14:textId="1A32D01B" w:rsidR="007F260D" w:rsidRDefault="007F260D" w:rsidP="007D1E2D">
      <w:pPr>
        <w:pStyle w:val="Numberlistlevel1"/>
      </w:pPr>
      <w:r>
        <w:t xml:space="preserve">Should </w:t>
      </w:r>
      <w:r w:rsidR="000C6830">
        <w:t xml:space="preserve">we </w:t>
      </w:r>
      <w:r>
        <w:t xml:space="preserve">make a </w:t>
      </w:r>
      <w:r w:rsidR="007D1E2D">
        <w:t xml:space="preserve">new </w:t>
      </w:r>
      <w:r>
        <w:t xml:space="preserve">determination for LPON services </w:t>
      </w:r>
      <w:r w:rsidR="007D1E2D">
        <w:t>later this year</w:t>
      </w:r>
      <w:bookmarkStart w:id="3" w:name="_Hlk101365493"/>
      <w:r w:rsidR="00EC2F5E">
        <w:t xml:space="preserve"> </w:t>
      </w:r>
      <w:r w:rsidR="007D1E2D">
        <w:t xml:space="preserve">to </w:t>
      </w:r>
      <w:r w:rsidR="007D1E2D" w:rsidRPr="007D1E2D">
        <w:t xml:space="preserve">extend the availability of spectrum for LPON services </w:t>
      </w:r>
      <w:r w:rsidR="007D1E2D">
        <w:t>beyond</w:t>
      </w:r>
      <w:r w:rsidR="007D1E2D" w:rsidRPr="007D1E2D">
        <w:t xml:space="preserve"> 31 December 2025</w:t>
      </w:r>
      <w:bookmarkEnd w:id="3"/>
      <w:r w:rsidR="00253932">
        <w:t>?</w:t>
      </w:r>
    </w:p>
    <w:p w14:paraId="118E5CCB" w14:textId="76E90AFE" w:rsidR="002428A7" w:rsidRDefault="009E20E5" w:rsidP="007F260D">
      <w:pPr>
        <w:pStyle w:val="Numberlistlevel1"/>
      </w:pPr>
      <w:r>
        <w:t>W</w:t>
      </w:r>
      <w:r w:rsidR="007F260D" w:rsidRPr="007F260D">
        <w:t xml:space="preserve">hat </w:t>
      </w:r>
      <w:r w:rsidR="00585BE3">
        <w:t xml:space="preserve">would be an </w:t>
      </w:r>
      <w:r w:rsidR="007F260D" w:rsidRPr="007F260D">
        <w:t xml:space="preserve">appropriate duration </w:t>
      </w:r>
      <w:r w:rsidR="00585BE3">
        <w:t>for the determination</w:t>
      </w:r>
      <w:r w:rsidR="005E6C9F">
        <w:t>?</w:t>
      </w:r>
    </w:p>
    <w:p w14:paraId="53FB8CDB" w14:textId="32F3AA12" w:rsidR="003860E5" w:rsidRDefault="00025C81" w:rsidP="00AA190A">
      <w:pPr>
        <w:pStyle w:val="ListNumber"/>
      </w:pPr>
      <w:r>
        <w:t xml:space="preserve">How often should </w:t>
      </w:r>
      <w:r w:rsidR="000C6830">
        <w:t xml:space="preserve">we </w:t>
      </w:r>
      <w:r>
        <w:t>c</w:t>
      </w:r>
      <w:r w:rsidR="000B701E">
        <w:t xml:space="preserve">onduct </w:t>
      </w:r>
      <w:r w:rsidR="00740AC1" w:rsidRPr="00740AC1">
        <w:t xml:space="preserve">periodic reviews on </w:t>
      </w:r>
      <w:r w:rsidR="00C767E2">
        <w:t xml:space="preserve">spectrum availability for LPON </w:t>
      </w:r>
      <w:r w:rsidR="00740AC1">
        <w:t xml:space="preserve">services? </w:t>
      </w:r>
    </w:p>
    <w:p w14:paraId="0064C72F" w14:textId="75AA7BB4" w:rsidR="005E250B" w:rsidRPr="00E162C4" w:rsidRDefault="002C61EC" w:rsidP="002C0530">
      <w:pPr>
        <w:pStyle w:val="Heading1"/>
      </w:pPr>
      <w:bookmarkStart w:id="4" w:name="_Toc103610996"/>
      <w:r>
        <w:lastRenderedPageBreak/>
        <w:t>Background</w:t>
      </w:r>
      <w:bookmarkEnd w:id="4"/>
    </w:p>
    <w:p w14:paraId="46C77F94" w14:textId="184021EC" w:rsidR="005E250B" w:rsidRPr="00E162C4" w:rsidRDefault="002C61EC" w:rsidP="005C34EF">
      <w:pPr>
        <w:pStyle w:val="Heading2"/>
      </w:pPr>
      <w:bookmarkStart w:id="5" w:name="_Toc103610997"/>
      <w:r>
        <w:t>LPON services</w:t>
      </w:r>
      <w:bookmarkEnd w:id="5"/>
    </w:p>
    <w:p w14:paraId="3E44D178" w14:textId="48D044C9" w:rsidR="00213ED8" w:rsidRDefault="00DC61E9" w:rsidP="00394AF7">
      <w:pPr>
        <w:pStyle w:val="Paragraph"/>
      </w:pPr>
      <w:r>
        <w:t xml:space="preserve">Under section 18 of the </w:t>
      </w:r>
      <w:r w:rsidRPr="003B7075">
        <w:rPr>
          <w:i/>
          <w:iCs/>
        </w:rPr>
        <w:t>Broadcasting Services Act 1992</w:t>
      </w:r>
      <w:r>
        <w:t xml:space="preserve"> (the BSA), </w:t>
      </w:r>
      <w:r w:rsidR="00B7220C">
        <w:t xml:space="preserve">narrowcasting </w:t>
      </w:r>
      <w:r>
        <w:t xml:space="preserve">services are broadcasting services whose reception is limited in some way. </w:t>
      </w:r>
      <w:r w:rsidR="00B7220C">
        <w:t xml:space="preserve">Narrowcasting services include both high power open narrowcasting and LPON services. </w:t>
      </w:r>
    </w:p>
    <w:p w14:paraId="13663758" w14:textId="0674AFC3" w:rsidR="00B7220C" w:rsidRDefault="00B7220C" w:rsidP="00394AF7">
      <w:pPr>
        <w:pStyle w:val="Paragraph"/>
      </w:pPr>
      <w:r>
        <w:t>This consultation paper concern</w:t>
      </w:r>
      <w:r w:rsidR="00D753EB">
        <w:t>s</w:t>
      </w:r>
      <w:r>
        <w:t xml:space="preserve"> the latter </w:t>
      </w:r>
      <w:r w:rsidR="00485C01">
        <w:t xml:space="preserve">– </w:t>
      </w:r>
      <w:r>
        <w:t>specifically those operating in the sub-band (87.5</w:t>
      </w:r>
      <w:r w:rsidR="002104E2">
        <w:t>–</w:t>
      </w:r>
      <w:r>
        <w:t xml:space="preserve">88.0 MHz). </w:t>
      </w:r>
      <w:r w:rsidR="009807E6">
        <w:t xml:space="preserve">A few </w:t>
      </w:r>
      <w:r w:rsidR="00882292">
        <w:t>LPON services also operate in the main band</w:t>
      </w:r>
      <w:r w:rsidR="00F7116C">
        <w:t xml:space="preserve"> or ‘in band’</w:t>
      </w:r>
      <w:r w:rsidR="00882292">
        <w:t xml:space="preserve"> (88.1</w:t>
      </w:r>
      <w:r w:rsidR="002104E2">
        <w:t>–</w:t>
      </w:r>
      <w:r w:rsidR="00882292">
        <w:t xml:space="preserve">104 MHz). </w:t>
      </w:r>
      <w:r w:rsidR="000A4E43" w:rsidRPr="000A4E43">
        <w:t xml:space="preserve">The allocation of </w:t>
      </w:r>
      <w:r w:rsidR="00882292">
        <w:t xml:space="preserve">spectrum for those </w:t>
      </w:r>
      <w:r w:rsidR="000A4E43" w:rsidRPr="000A4E43">
        <w:t>LPON services is historical</w:t>
      </w:r>
      <w:r w:rsidR="009807E6">
        <w:t xml:space="preserve">, and </w:t>
      </w:r>
      <w:r w:rsidR="006605E0">
        <w:t xml:space="preserve">we </w:t>
      </w:r>
      <w:r w:rsidR="009807E6">
        <w:t>do not intend to make</w:t>
      </w:r>
      <w:r w:rsidR="00D9087A">
        <w:t xml:space="preserve"> spectrum available in the main band for new LPON services</w:t>
      </w:r>
      <w:r w:rsidR="000A4E43">
        <w:t>. D</w:t>
      </w:r>
      <w:r w:rsidR="000A4E43" w:rsidRPr="000A4E43">
        <w:t xml:space="preserve">epending on the </w:t>
      </w:r>
      <w:r w:rsidR="000A4E43">
        <w:t>submissions</w:t>
      </w:r>
      <w:r w:rsidR="000A4E43" w:rsidRPr="000A4E43">
        <w:t xml:space="preserve"> we receive, any future </w:t>
      </w:r>
      <w:r w:rsidR="000A4E43">
        <w:t>decision</w:t>
      </w:r>
      <w:r w:rsidR="000A4E43" w:rsidRPr="000A4E43">
        <w:t xml:space="preserve"> </w:t>
      </w:r>
      <w:r w:rsidR="00882292">
        <w:t xml:space="preserve">on whether to </w:t>
      </w:r>
      <w:r w:rsidR="000A4E43">
        <w:t xml:space="preserve">make </w:t>
      </w:r>
      <w:r w:rsidR="000A4E43" w:rsidRPr="000A4E43">
        <w:t xml:space="preserve">a new </w:t>
      </w:r>
      <w:r w:rsidR="000A4E43">
        <w:t>s</w:t>
      </w:r>
      <w:r w:rsidR="007F0515">
        <w:t>ection</w:t>
      </w:r>
      <w:r w:rsidR="00882292">
        <w:t xml:space="preserve"> </w:t>
      </w:r>
      <w:r w:rsidR="000A4E43">
        <w:t xml:space="preserve">34 </w:t>
      </w:r>
      <w:r w:rsidR="000A4E43" w:rsidRPr="000A4E43">
        <w:t xml:space="preserve">determination would include the </w:t>
      </w:r>
      <w:r w:rsidR="00D9087A">
        <w:t xml:space="preserve">main </w:t>
      </w:r>
      <w:r w:rsidR="000A4E43" w:rsidRPr="000A4E43">
        <w:t>band spectrum.</w:t>
      </w:r>
    </w:p>
    <w:p w14:paraId="783218A5" w14:textId="00911070" w:rsidR="00DC61E9" w:rsidRDefault="00A44F6F" w:rsidP="00394AF7">
      <w:pPr>
        <w:pStyle w:val="Paragraph"/>
      </w:pPr>
      <w:r>
        <w:t xml:space="preserve">An </w:t>
      </w:r>
      <w:r w:rsidR="00D9087A">
        <w:t xml:space="preserve">open narrowcasting </w:t>
      </w:r>
      <w:r w:rsidR="00DC61E9">
        <w:t xml:space="preserve">service </w:t>
      </w:r>
      <w:r>
        <w:t xml:space="preserve">can be limited because it </w:t>
      </w:r>
      <w:r w:rsidR="00DC61E9">
        <w:t xml:space="preserve">is targeted at a special interest group, or it is intended only for a limited location. Typical examples of </w:t>
      </w:r>
      <w:r w:rsidR="00D9087A">
        <w:t xml:space="preserve">open narrowcasting </w:t>
      </w:r>
      <w:r w:rsidR="00DC61E9">
        <w:t xml:space="preserve">services include the provision of tourist and racing radio services, religious programming, and </w:t>
      </w:r>
      <w:r>
        <w:t xml:space="preserve">non-English </w:t>
      </w:r>
      <w:r w:rsidR="00DC61E9">
        <w:t xml:space="preserve">language services. </w:t>
      </w:r>
    </w:p>
    <w:p w14:paraId="088495BB" w14:textId="3AE47909" w:rsidR="00ED6C39" w:rsidRDefault="00FC6F12" w:rsidP="00394AF7">
      <w:pPr>
        <w:pStyle w:val="Paragraph"/>
      </w:pPr>
      <w:r w:rsidRPr="00FC6F12">
        <w:t xml:space="preserve">The provision of open narrowcasting services is authorised by a class licence under the BSA. To provide those services using radiofrequency spectrum, providers require a transmitter licence issued under section 100 of the </w:t>
      </w:r>
      <w:r w:rsidRPr="00FC6F12">
        <w:rPr>
          <w:i/>
          <w:iCs/>
        </w:rPr>
        <w:t>Radiocommunications Act 1992</w:t>
      </w:r>
      <w:r w:rsidRPr="00FC6F12">
        <w:t xml:space="preserve"> (</w:t>
      </w:r>
      <w:r>
        <w:t xml:space="preserve">the </w:t>
      </w:r>
      <w:r w:rsidRPr="00FC6F12">
        <w:t xml:space="preserve">Radiocommunications Act). </w:t>
      </w:r>
    </w:p>
    <w:p w14:paraId="34E874EB" w14:textId="6AE6D071" w:rsidR="00DC61E9" w:rsidRDefault="00DC61E9" w:rsidP="00394AF7">
      <w:pPr>
        <w:pStyle w:val="Paragraph"/>
      </w:pPr>
      <w:r>
        <w:t xml:space="preserve">As the name suggests, LPON services </w:t>
      </w:r>
      <w:r w:rsidR="00693EA9">
        <w:t xml:space="preserve">are provided by transmitters that </w:t>
      </w:r>
      <w:r>
        <w:t xml:space="preserve">operate at low power. </w:t>
      </w:r>
      <w:r w:rsidR="00B84619">
        <w:t>The power limitations are a m</w:t>
      </w:r>
      <w:r>
        <w:t xml:space="preserve">aximum of </w:t>
      </w:r>
      <w:proofErr w:type="gramStart"/>
      <w:r>
        <w:t>1 watt</w:t>
      </w:r>
      <w:proofErr w:type="gramEnd"/>
      <w:r>
        <w:t xml:space="preserve"> effective radiated power in residential areas and 10 watts in non-residential areas. </w:t>
      </w:r>
      <w:r w:rsidR="00693EA9">
        <w:t xml:space="preserve">Transmitters for </w:t>
      </w:r>
      <w:r>
        <w:t xml:space="preserve">LPON services must also meet field-strength </w:t>
      </w:r>
      <w:r w:rsidR="00B84619">
        <w:t xml:space="preserve">requirements, </w:t>
      </w:r>
      <w:r>
        <w:t xml:space="preserve">which means that they have a coverage area </w:t>
      </w:r>
      <w:r w:rsidR="00B84619">
        <w:t xml:space="preserve">with a </w:t>
      </w:r>
      <w:r>
        <w:t xml:space="preserve">2 km radius from the transmitter site in residential areas and </w:t>
      </w:r>
      <w:r w:rsidR="00A07517">
        <w:br/>
      </w:r>
      <w:r>
        <w:t>10</w:t>
      </w:r>
      <w:r w:rsidR="005B4EF6">
        <w:t xml:space="preserve"> </w:t>
      </w:r>
      <w:r>
        <w:t xml:space="preserve">km radius in non-residential areas. </w:t>
      </w:r>
    </w:p>
    <w:p w14:paraId="54DA2254" w14:textId="61945876" w:rsidR="00DC61E9" w:rsidRDefault="00DC61E9" w:rsidP="00394AF7">
      <w:pPr>
        <w:pStyle w:val="Paragraph"/>
      </w:pPr>
      <w:r>
        <w:t xml:space="preserve">LPON services are provided using FM spectrum in the broadcasting services bands. </w:t>
      </w:r>
      <w:r w:rsidR="009870ED">
        <w:t>As mentioned above, m</w:t>
      </w:r>
      <w:r>
        <w:t>ost LPON services operate in the ‘sub-band’ (87.5</w:t>
      </w:r>
      <w:r w:rsidR="002104E2">
        <w:t>–</w:t>
      </w:r>
      <w:r>
        <w:t>88.0 MHz)</w:t>
      </w:r>
      <w:r w:rsidR="00F7116C">
        <w:t>,</w:t>
      </w:r>
      <w:r>
        <w:t xml:space="preserve"> </w:t>
      </w:r>
      <w:r w:rsidR="00F7116C">
        <w:t>though</w:t>
      </w:r>
      <w:r>
        <w:t xml:space="preserve"> a limited number of LPON services operate in the main band (88.1</w:t>
      </w:r>
      <w:r w:rsidR="002104E2">
        <w:t>–</w:t>
      </w:r>
      <w:r w:rsidR="00F7116C">
        <w:t>104</w:t>
      </w:r>
      <w:r w:rsidR="00F608A0">
        <w:t xml:space="preserve"> </w:t>
      </w:r>
      <w:r>
        <w:t>MHz). There are currently 2,4</w:t>
      </w:r>
      <w:r w:rsidR="00A22E96">
        <w:t>07</w:t>
      </w:r>
      <w:r>
        <w:t xml:space="preserve"> licensed </w:t>
      </w:r>
      <w:r w:rsidR="00F7116C">
        <w:t xml:space="preserve">transmitters for the provision of </w:t>
      </w:r>
      <w:r>
        <w:t xml:space="preserve">LPON services in the sub-band and 7 licensed </w:t>
      </w:r>
      <w:r w:rsidR="00F7116C">
        <w:t xml:space="preserve">transmitters for the provision of </w:t>
      </w:r>
      <w:r>
        <w:t xml:space="preserve">LPON services in the </w:t>
      </w:r>
      <w:r w:rsidR="00F7116C">
        <w:t xml:space="preserve">main </w:t>
      </w:r>
      <w:r>
        <w:t>band.</w:t>
      </w:r>
      <w:r>
        <w:rPr>
          <w:rStyle w:val="FootnoteReference"/>
        </w:rPr>
        <w:footnoteReference w:id="2"/>
      </w:r>
    </w:p>
    <w:p w14:paraId="306A32E9" w14:textId="6D60F43F" w:rsidR="003663A0" w:rsidRDefault="003663A0" w:rsidP="00DC61E9">
      <w:pPr>
        <w:pStyle w:val="ListBullet"/>
        <w:numPr>
          <w:ilvl w:val="0"/>
          <w:numId w:val="0"/>
        </w:numPr>
      </w:pPr>
    </w:p>
    <w:p w14:paraId="3B8719CF" w14:textId="2A942D9B" w:rsidR="003663A0" w:rsidRDefault="003663A0" w:rsidP="00DC61E9">
      <w:pPr>
        <w:pStyle w:val="ListBullet"/>
        <w:numPr>
          <w:ilvl w:val="0"/>
          <w:numId w:val="0"/>
        </w:numPr>
      </w:pPr>
    </w:p>
    <w:p w14:paraId="11A66821" w14:textId="150C0FC3" w:rsidR="003663A0" w:rsidRDefault="003663A0" w:rsidP="00DC61E9">
      <w:pPr>
        <w:pStyle w:val="ListBullet"/>
        <w:numPr>
          <w:ilvl w:val="0"/>
          <w:numId w:val="0"/>
        </w:numPr>
      </w:pPr>
    </w:p>
    <w:p w14:paraId="0AC55701" w14:textId="2C2B99AD" w:rsidR="003663A0" w:rsidRDefault="003663A0" w:rsidP="00DC61E9">
      <w:pPr>
        <w:pStyle w:val="ListBullet"/>
        <w:numPr>
          <w:ilvl w:val="0"/>
          <w:numId w:val="0"/>
        </w:numPr>
      </w:pPr>
    </w:p>
    <w:p w14:paraId="1FB354DF" w14:textId="3A3F0396" w:rsidR="003663A0" w:rsidRDefault="003663A0" w:rsidP="00DC61E9">
      <w:pPr>
        <w:pStyle w:val="ListBullet"/>
        <w:numPr>
          <w:ilvl w:val="0"/>
          <w:numId w:val="0"/>
        </w:numPr>
      </w:pPr>
    </w:p>
    <w:p w14:paraId="0440587B" w14:textId="14A0CC72" w:rsidR="005E250B" w:rsidRPr="00E162C4" w:rsidRDefault="005B3E95" w:rsidP="003663A0">
      <w:pPr>
        <w:pStyle w:val="Heading1"/>
      </w:pPr>
      <w:bookmarkStart w:id="6" w:name="_Toc103610998"/>
      <w:r>
        <w:lastRenderedPageBreak/>
        <w:t>Spectrum availability for LPON services</w:t>
      </w:r>
      <w:bookmarkEnd w:id="6"/>
    </w:p>
    <w:p w14:paraId="2F50923A" w14:textId="048F05FA" w:rsidR="00AC6EEA" w:rsidRDefault="004D5D03" w:rsidP="00AC6EEA">
      <w:pPr>
        <w:pStyle w:val="Heading2"/>
      </w:pPr>
      <w:bookmarkStart w:id="7" w:name="_Toc103610999"/>
      <w:r>
        <w:t xml:space="preserve">Section 34 </w:t>
      </w:r>
      <w:r w:rsidR="00452E88">
        <w:t>determinations</w:t>
      </w:r>
      <w:bookmarkEnd w:id="7"/>
    </w:p>
    <w:p w14:paraId="25039F11" w14:textId="45A016FD" w:rsidR="008E603E" w:rsidRDefault="00353979" w:rsidP="008E603E">
      <w:pPr>
        <w:pStyle w:val="Paragraph"/>
      </w:pPr>
      <w:r>
        <w:t xml:space="preserve">We </w:t>
      </w:r>
      <w:r w:rsidR="00D32FB9" w:rsidRPr="00D32FB9">
        <w:t>must not issue a transmitter licence in the broadcasting services bands under section 100 of the Radiocommunications Act, except in certain circumstances (subsection</w:t>
      </w:r>
      <w:r w:rsidR="00793F58">
        <w:t xml:space="preserve"> </w:t>
      </w:r>
      <w:r w:rsidR="00D32FB9" w:rsidRPr="00D32FB9">
        <w:t xml:space="preserve">100(2)). </w:t>
      </w:r>
      <w:r w:rsidR="008E603E">
        <w:t xml:space="preserve">Under section 34 of the BSA we may, by written instrument, determine that </w:t>
      </w:r>
      <w:r w:rsidR="00B84619">
        <w:t xml:space="preserve">a </w:t>
      </w:r>
      <w:r w:rsidR="008E603E">
        <w:t>part or parts of the radiofrequency spectrum is or are available for allocation, for a period specified by us for specified purposes</w:t>
      </w:r>
      <w:r w:rsidR="00D92EC6">
        <w:t>. This is called a section 34 determination</w:t>
      </w:r>
      <w:r w:rsidR="00964792">
        <w:t xml:space="preserve"> (s 34 determination)</w:t>
      </w:r>
      <w:r w:rsidR="008E603E">
        <w:t xml:space="preserve">. </w:t>
      </w:r>
      <w:r w:rsidR="00D13DF2">
        <w:t xml:space="preserve">The </w:t>
      </w:r>
      <w:r w:rsidR="008E603E">
        <w:t xml:space="preserve">purposes include </w:t>
      </w:r>
      <w:r w:rsidR="00D13DF2">
        <w:t xml:space="preserve">the </w:t>
      </w:r>
      <w:r w:rsidR="0006431F">
        <w:t>provision</w:t>
      </w:r>
      <w:r w:rsidR="008E603E">
        <w:t xml:space="preserve"> of open narrowcasting services (paragraph 34(1)(f) of the BSA). As s</w:t>
      </w:r>
      <w:r w:rsidR="000315B3">
        <w:t>ection</w:t>
      </w:r>
      <w:r w:rsidR="00712A2E">
        <w:t xml:space="preserve"> </w:t>
      </w:r>
      <w:r w:rsidR="008E603E">
        <w:t xml:space="preserve">34 </w:t>
      </w:r>
      <w:r w:rsidR="00644A6A">
        <w:t xml:space="preserve">does not specify </w:t>
      </w:r>
      <w:r w:rsidR="008E603E">
        <w:t xml:space="preserve">duration, we may </w:t>
      </w:r>
      <w:proofErr w:type="gramStart"/>
      <w:r w:rsidR="008E603E">
        <w:t xml:space="preserve">make a </w:t>
      </w:r>
      <w:r w:rsidR="0082782F">
        <w:t>determination</w:t>
      </w:r>
      <w:proofErr w:type="gramEnd"/>
      <w:r w:rsidR="0082782F">
        <w:t xml:space="preserve"> </w:t>
      </w:r>
      <w:r w:rsidR="002D1859">
        <w:t>to last</w:t>
      </w:r>
      <w:r w:rsidR="00CB6F97">
        <w:t>, for example,</w:t>
      </w:r>
      <w:r w:rsidR="002D1859">
        <w:t xml:space="preserve"> </w:t>
      </w:r>
      <w:r w:rsidR="009870ED">
        <w:t>several</w:t>
      </w:r>
      <w:r w:rsidR="002D1859">
        <w:t xml:space="preserve"> months or </w:t>
      </w:r>
      <w:r w:rsidR="009870ED">
        <w:t>several</w:t>
      </w:r>
      <w:r w:rsidR="002D1859">
        <w:t xml:space="preserve"> years.</w:t>
      </w:r>
    </w:p>
    <w:p w14:paraId="078C941A" w14:textId="299EC08D" w:rsidR="00226D97" w:rsidRPr="00EB2DF3" w:rsidRDefault="00226D97" w:rsidP="00A07517">
      <w:pPr>
        <w:pStyle w:val="Heading3"/>
      </w:pPr>
      <w:r w:rsidRPr="00FA3639">
        <w:t xml:space="preserve">Licensing of LPON </w:t>
      </w:r>
      <w:r w:rsidR="001042BE">
        <w:t>s</w:t>
      </w:r>
      <w:r w:rsidRPr="00FA3639">
        <w:t>ervices</w:t>
      </w:r>
    </w:p>
    <w:p w14:paraId="4F9BA0B9" w14:textId="5AF30AFD" w:rsidR="007F0C5F" w:rsidRDefault="007678E0" w:rsidP="008E603E">
      <w:pPr>
        <w:pStyle w:val="Paragraph"/>
      </w:pPr>
      <w:r>
        <w:t xml:space="preserve">Once a </w:t>
      </w:r>
      <w:r w:rsidR="00950BDC">
        <w:t>s</w:t>
      </w:r>
      <w:r w:rsidR="00C25370">
        <w:t xml:space="preserve"> </w:t>
      </w:r>
      <w:r w:rsidR="00950BDC">
        <w:t>34</w:t>
      </w:r>
      <w:r>
        <w:t xml:space="preserve"> d</w:t>
      </w:r>
      <w:r w:rsidR="004D5D03">
        <w:t>etermination</w:t>
      </w:r>
      <w:r>
        <w:t xml:space="preserve"> has been made, we authorise the operation of a transmitter used to provide an LPON service by allocating a </w:t>
      </w:r>
      <w:r w:rsidR="005106D7">
        <w:t xml:space="preserve">transmitter </w:t>
      </w:r>
      <w:r>
        <w:t xml:space="preserve">licence under Part 3 of the </w:t>
      </w:r>
      <w:r w:rsidRPr="00AE217E">
        <w:t>Radiocommunications Act</w:t>
      </w:r>
      <w:r>
        <w:t xml:space="preserve">. Such a licence is allocated on a ‘buyer beware’ basis. This means that the licensee has no </w:t>
      </w:r>
      <w:r w:rsidR="009870ED">
        <w:t>guaranteed</w:t>
      </w:r>
      <w:r>
        <w:t xml:space="preserve"> tenure</w:t>
      </w:r>
      <w:r w:rsidR="0093665E">
        <w:t xml:space="preserve">; renewal of the licence is at </w:t>
      </w:r>
      <w:r w:rsidR="0069684E">
        <w:t xml:space="preserve">our </w:t>
      </w:r>
      <w:r w:rsidR="0093665E">
        <w:t>discretion</w:t>
      </w:r>
      <w:r>
        <w:t>.</w:t>
      </w:r>
      <w:r w:rsidR="00FA3639">
        <w:t xml:space="preserve"> </w:t>
      </w:r>
    </w:p>
    <w:p w14:paraId="45400A28" w14:textId="54289841" w:rsidR="00B1344B" w:rsidRDefault="008E603E" w:rsidP="008E603E">
      <w:pPr>
        <w:pStyle w:val="Paragraph"/>
      </w:pPr>
      <w:r w:rsidRPr="00EF39DA">
        <w:t>Previously</w:t>
      </w:r>
      <w:r w:rsidR="00FA3639" w:rsidRPr="00EF39DA">
        <w:t>,</w:t>
      </w:r>
      <w:r w:rsidRPr="00EF39DA">
        <w:t xml:space="preserve"> we have made </w:t>
      </w:r>
      <w:r w:rsidR="004D5D03" w:rsidRPr="00EF39DA">
        <w:t>s</w:t>
      </w:r>
      <w:r w:rsidR="00FA0CFE" w:rsidRPr="00EF39DA">
        <w:t xml:space="preserve"> </w:t>
      </w:r>
      <w:r w:rsidR="004D5D03" w:rsidRPr="00EF39DA">
        <w:t>34</w:t>
      </w:r>
      <w:r w:rsidRPr="00EF39DA">
        <w:t xml:space="preserve"> </w:t>
      </w:r>
      <w:r w:rsidR="00327584" w:rsidRPr="00EF39DA">
        <w:t xml:space="preserve">determinations </w:t>
      </w:r>
      <w:r w:rsidR="002D1859" w:rsidRPr="00EF39DA">
        <w:t xml:space="preserve">with </w:t>
      </w:r>
      <w:r w:rsidRPr="00EF39DA">
        <w:t>5-year duration</w:t>
      </w:r>
      <w:r w:rsidR="0048493A">
        <w:t>s</w:t>
      </w:r>
      <w:r w:rsidRPr="00EF39DA">
        <w:t xml:space="preserve"> (with some exceptions). This was to align the duration of the </w:t>
      </w:r>
      <w:r w:rsidR="00964792" w:rsidRPr="00EF39DA">
        <w:t xml:space="preserve">relevant s 34 </w:t>
      </w:r>
      <w:r w:rsidR="00327584" w:rsidRPr="00EF39DA">
        <w:t>determination</w:t>
      </w:r>
      <w:r w:rsidR="00964792" w:rsidRPr="00EF39DA">
        <w:t xml:space="preserve">, also </w:t>
      </w:r>
      <w:r w:rsidR="00823B5C" w:rsidRPr="00EF39DA">
        <w:t xml:space="preserve">historically </w:t>
      </w:r>
      <w:r w:rsidR="00964792" w:rsidRPr="00EF39DA">
        <w:t>referred to as the “drop-through” determination,</w:t>
      </w:r>
      <w:r w:rsidR="00327584" w:rsidRPr="00EF39DA">
        <w:t xml:space="preserve"> </w:t>
      </w:r>
      <w:r w:rsidRPr="00EF39DA">
        <w:t>with the maximum duration of an apparatus licence</w:t>
      </w:r>
      <w:r w:rsidR="002D1859" w:rsidRPr="00EF39DA">
        <w:t>.</w:t>
      </w:r>
      <w:r w:rsidRPr="00EF39DA">
        <w:rPr>
          <w:rStyle w:val="FootnoteReference"/>
        </w:rPr>
        <w:footnoteReference w:id="3"/>
      </w:r>
      <w:r w:rsidRPr="00EF39DA">
        <w:t xml:space="preserve"> However, on </w:t>
      </w:r>
      <w:r w:rsidR="009870ED">
        <w:t xml:space="preserve">one </w:t>
      </w:r>
      <w:r w:rsidRPr="00EF39DA">
        <w:t xml:space="preserve">occasion, we did make a </w:t>
      </w:r>
      <w:r w:rsidR="00964792" w:rsidRPr="00EF39DA">
        <w:t xml:space="preserve">s 34 </w:t>
      </w:r>
      <w:r w:rsidR="00327584" w:rsidRPr="00EF39DA">
        <w:t xml:space="preserve">determination </w:t>
      </w:r>
      <w:r w:rsidRPr="00EF39DA">
        <w:t xml:space="preserve">with a longer duration. </w:t>
      </w:r>
    </w:p>
    <w:p w14:paraId="16FA2499" w14:textId="6CB70B79" w:rsidR="008E603E" w:rsidRPr="00EF39DA" w:rsidRDefault="008E603E" w:rsidP="008E603E">
      <w:pPr>
        <w:pStyle w:val="Paragraph"/>
      </w:pPr>
      <w:r w:rsidRPr="00EF39DA">
        <w:t xml:space="preserve">For example, the current </w:t>
      </w:r>
      <w:r w:rsidR="00964792" w:rsidRPr="00EF39DA">
        <w:t xml:space="preserve">s 34 </w:t>
      </w:r>
      <w:r w:rsidR="00327584" w:rsidRPr="00EF39DA">
        <w:t xml:space="preserve">determination </w:t>
      </w:r>
      <w:r w:rsidRPr="00EF39DA">
        <w:t>was made on 10</w:t>
      </w:r>
      <w:r w:rsidR="00FE515B">
        <w:t xml:space="preserve"> </w:t>
      </w:r>
      <w:r w:rsidRPr="00EF39DA">
        <w:t xml:space="preserve">September 2018 and expires on 31 December 2025. </w:t>
      </w:r>
      <w:r w:rsidR="00FA0CFE" w:rsidRPr="00EF39DA">
        <w:t xml:space="preserve">Our reason for making the duration of that determination longer than usual was because of the proposed changes to the legislative framework and the passing of the </w:t>
      </w:r>
      <w:r w:rsidR="00FA0CFE" w:rsidRPr="00EF39DA">
        <w:rPr>
          <w:i/>
          <w:iCs/>
        </w:rPr>
        <w:t>Radiocommunications Legislation Amendment (Reform and Modernisation) Act 2020</w:t>
      </w:r>
      <w:r w:rsidR="00FA0CFE" w:rsidRPr="00EF39DA">
        <w:t xml:space="preserve">. </w:t>
      </w:r>
      <w:r w:rsidRPr="00EF39DA">
        <w:t xml:space="preserve">A copy of that </w:t>
      </w:r>
      <w:r w:rsidR="00327584" w:rsidRPr="00EF39DA">
        <w:t xml:space="preserve">determination </w:t>
      </w:r>
      <w:r w:rsidRPr="00EF39DA">
        <w:t>is available at</w:t>
      </w:r>
      <w:r w:rsidRPr="00B1344B">
        <w:t xml:space="preserve"> </w:t>
      </w:r>
      <w:r w:rsidRPr="00560877">
        <w:t>Appendix A</w:t>
      </w:r>
      <w:r w:rsidRPr="00B1344B">
        <w:t>.</w:t>
      </w:r>
    </w:p>
    <w:p w14:paraId="29793169" w14:textId="3465E4F5" w:rsidR="00FE60AE" w:rsidRPr="00EF39DA" w:rsidRDefault="00FE60AE" w:rsidP="00560877">
      <w:pPr>
        <w:pStyle w:val="Heading3"/>
      </w:pPr>
      <w:r w:rsidRPr="00EF39DA">
        <w:t>Extending the spectrum availability for LPON services</w:t>
      </w:r>
    </w:p>
    <w:p w14:paraId="5018CF22" w14:textId="7DAEB543" w:rsidR="003A1844" w:rsidRDefault="00327584" w:rsidP="003D3AB1">
      <w:pPr>
        <w:pStyle w:val="Paragraph"/>
      </w:pPr>
      <w:r w:rsidRPr="00EF39DA">
        <w:t xml:space="preserve">The current determination </w:t>
      </w:r>
      <w:r w:rsidR="000960F3" w:rsidRPr="00EF39DA">
        <w:t>allocates</w:t>
      </w:r>
      <w:r w:rsidR="000960F3">
        <w:t xml:space="preserve"> spectrum for </w:t>
      </w:r>
      <w:r>
        <w:t xml:space="preserve">LPON services </w:t>
      </w:r>
      <w:r w:rsidR="003A1844">
        <w:t xml:space="preserve">operating </w:t>
      </w:r>
      <w:r>
        <w:t xml:space="preserve">in both the main band and the sub-band. The focus of this </w:t>
      </w:r>
      <w:r w:rsidR="003A1844">
        <w:t xml:space="preserve">consultation paper is </w:t>
      </w:r>
      <w:r w:rsidR="000960F3">
        <w:t>the LPON services operating in the sub-band, which are the majority of LPON services.</w:t>
      </w:r>
    </w:p>
    <w:p w14:paraId="173129AA" w14:textId="3286C87A" w:rsidR="00E0476E" w:rsidRDefault="003D3AB1" w:rsidP="003D3AB1">
      <w:pPr>
        <w:pStyle w:val="Paragraph"/>
      </w:pPr>
      <w:r w:rsidRPr="00E0059A">
        <w:t xml:space="preserve">The sub-band of the broadcasting services bands has been </w:t>
      </w:r>
      <w:r w:rsidR="00290FF1">
        <w:t xml:space="preserve">continuously available </w:t>
      </w:r>
      <w:r w:rsidRPr="00E0059A">
        <w:t>for LPON services since 1993.</w:t>
      </w:r>
      <w:r w:rsidR="008319E6">
        <w:t xml:space="preserve"> LPON services play a </w:t>
      </w:r>
      <w:r w:rsidRPr="00E0059A">
        <w:t xml:space="preserve">niche </w:t>
      </w:r>
      <w:r w:rsidR="004860C9">
        <w:t xml:space="preserve">but </w:t>
      </w:r>
      <w:r w:rsidR="005D7F42">
        <w:t xml:space="preserve">important </w:t>
      </w:r>
      <w:r w:rsidRPr="00E0059A">
        <w:t xml:space="preserve">role </w:t>
      </w:r>
      <w:r w:rsidR="004860C9">
        <w:t xml:space="preserve">that </w:t>
      </w:r>
      <w:r w:rsidR="008319E6">
        <w:t>contribut</w:t>
      </w:r>
      <w:r w:rsidR="004860C9">
        <w:t>es</w:t>
      </w:r>
      <w:r w:rsidR="008319E6">
        <w:t xml:space="preserve"> to the diversity of </w:t>
      </w:r>
      <w:r w:rsidRPr="00E0059A">
        <w:t xml:space="preserve">broadcasting services </w:t>
      </w:r>
      <w:r w:rsidR="008319E6">
        <w:t xml:space="preserve">provided to the </w:t>
      </w:r>
      <w:r w:rsidRPr="00E0059A">
        <w:t xml:space="preserve">Australian </w:t>
      </w:r>
      <w:r w:rsidR="008319E6">
        <w:t>public. In addition, LPON services provide economic</w:t>
      </w:r>
      <w:r w:rsidR="009870ED">
        <w:t xml:space="preserve"> and social</w:t>
      </w:r>
      <w:r w:rsidR="008319E6">
        <w:t xml:space="preserve"> benefits to </w:t>
      </w:r>
      <w:r w:rsidR="004860C9">
        <w:t xml:space="preserve">listeners, advertisers and the LPON </w:t>
      </w:r>
      <w:r w:rsidR="000960F3">
        <w:t>providers</w:t>
      </w:r>
      <w:r w:rsidR="004860C9">
        <w:t>.</w:t>
      </w:r>
    </w:p>
    <w:p w14:paraId="07DE3D4E" w14:textId="440D61B2" w:rsidR="00280D6A" w:rsidRDefault="000960F3" w:rsidP="003D3AB1">
      <w:pPr>
        <w:pStyle w:val="Paragraph"/>
      </w:pPr>
      <w:r>
        <w:t>At present</w:t>
      </w:r>
      <w:r w:rsidR="00E0476E">
        <w:t>,</w:t>
      </w:r>
      <w:r>
        <w:t xml:space="preserve"> we have</w:t>
      </w:r>
      <w:r w:rsidR="00280D6A">
        <w:t xml:space="preserve"> not identified any obvious alternative use for the sub-band spectrum. </w:t>
      </w:r>
      <w:r w:rsidR="00E0476E">
        <w:t xml:space="preserve">Given the </w:t>
      </w:r>
      <w:r w:rsidR="00280D6A">
        <w:t xml:space="preserve">length of time over which we have been allocating the </w:t>
      </w:r>
      <w:r w:rsidR="007B232D">
        <w:t xml:space="preserve">sub-band </w:t>
      </w:r>
      <w:r w:rsidR="00280D6A">
        <w:t xml:space="preserve">spectrum </w:t>
      </w:r>
      <w:r w:rsidR="007B232D">
        <w:t>for LPON services</w:t>
      </w:r>
      <w:r w:rsidR="00E0476E">
        <w:t xml:space="preserve">, we </w:t>
      </w:r>
      <w:r w:rsidR="00E715E3">
        <w:t xml:space="preserve">believe </w:t>
      </w:r>
      <w:r w:rsidR="00E0476E">
        <w:t xml:space="preserve">this situation is unlikely to change </w:t>
      </w:r>
      <w:r w:rsidR="007875EF">
        <w:t>soon</w:t>
      </w:r>
      <w:r w:rsidR="00E0476E">
        <w:t>.</w:t>
      </w:r>
      <w:r w:rsidR="00FB6811">
        <w:t xml:space="preserve"> However, we welcome comments on this to inform us further (see below)</w:t>
      </w:r>
      <w:r w:rsidR="007F0C5F">
        <w:t>.</w:t>
      </w:r>
    </w:p>
    <w:p w14:paraId="75B2643B" w14:textId="2C3246FA" w:rsidR="008319E6" w:rsidRPr="00C400FB" w:rsidRDefault="008319E6" w:rsidP="00493AA8">
      <w:pPr>
        <w:pStyle w:val="Paragraph"/>
        <w:keepNext/>
        <w:rPr>
          <w:b/>
          <w:bCs/>
          <w:i/>
          <w:iCs/>
        </w:rPr>
      </w:pPr>
      <w:r>
        <w:rPr>
          <w:b/>
          <w:bCs/>
          <w:i/>
          <w:iCs/>
        </w:rPr>
        <w:lastRenderedPageBreak/>
        <w:t>Legislative framework</w:t>
      </w:r>
    </w:p>
    <w:p w14:paraId="6FB236F5" w14:textId="4495BC5B" w:rsidR="00FB6811" w:rsidRDefault="007B232D" w:rsidP="00CD4F50">
      <w:pPr>
        <w:pStyle w:val="Paragraphbeforelist"/>
      </w:pPr>
      <w:r>
        <w:t xml:space="preserve">In deciding whether to </w:t>
      </w:r>
      <w:r w:rsidR="00B86983">
        <w:t xml:space="preserve">make </w:t>
      </w:r>
      <w:r>
        <w:t xml:space="preserve">spectrum </w:t>
      </w:r>
      <w:r w:rsidR="00B86983">
        <w:t>available</w:t>
      </w:r>
      <w:r>
        <w:t xml:space="preserve">, we must have regard to the planning criteria in section 23 of the BSA. </w:t>
      </w:r>
      <w:r w:rsidR="009A11F0">
        <w:t xml:space="preserve">This </w:t>
      </w:r>
      <w:r w:rsidR="0090723A">
        <w:t xml:space="preserve">provides </w:t>
      </w:r>
      <w:r w:rsidR="00280D6A">
        <w:t xml:space="preserve">that in </w:t>
      </w:r>
      <w:r w:rsidR="006C0116" w:rsidRPr="00127F10">
        <w:t xml:space="preserve">performing </w:t>
      </w:r>
      <w:r w:rsidR="00280D6A">
        <w:t xml:space="preserve">our </w:t>
      </w:r>
      <w:r w:rsidR="006C0116" w:rsidRPr="00127F10">
        <w:t>functions under Part 3</w:t>
      </w:r>
      <w:r w:rsidR="006C0116">
        <w:t xml:space="preserve"> (which includes section 34) </w:t>
      </w:r>
      <w:r w:rsidR="00A66111">
        <w:t xml:space="preserve">we </w:t>
      </w:r>
      <w:r w:rsidR="008F0A34">
        <w:t xml:space="preserve">must </w:t>
      </w:r>
      <w:r w:rsidR="006C0116">
        <w:t>promote the objects of the BSA, including the economic and efficient use of the radiofrequency spectrum</w:t>
      </w:r>
      <w:r w:rsidR="002B4BB4">
        <w:t>,</w:t>
      </w:r>
      <w:r w:rsidR="006C0116">
        <w:t xml:space="preserve"> and to have regard to </w:t>
      </w:r>
      <w:r w:rsidR="00280D6A">
        <w:t xml:space="preserve">the </w:t>
      </w:r>
      <w:r w:rsidR="0076062A">
        <w:t xml:space="preserve">following </w:t>
      </w:r>
      <w:r w:rsidR="00280D6A">
        <w:t xml:space="preserve">matters </w:t>
      </w:r>
      <w:r w:rsidR="0076062A">
        <w:t xml:space="preserve">set out </w:t>
      </w:r>
      <w:r w:rsidR="00280D6A">
        <w:t xml:space="preserve">in </w:t>
      </w:r>
      <w:r w:rsidR="002B4BB4">
        <w:t>section 23</w:t>
      </w:r>
      <w:r w:rsidR="0065339E">
        <w:t>:</w:t>
      </w:r>
    </w:p>
    <w:p w14:paraId="1495128E" w14:textId="3F67BCC2" w:rsidR="00FB6811" w:rsidRPr="009817F6" w:rsidRDefault="00FB6811" w:rsidP="00FB6811">
      <w:pPr>
        <w:pStyle w:val="Bulletlevel1"/>
      </w:pPr>
      <w:r w:rsidRPr="009817F6">
        <w:t>demographics (paragraph 23(a))</w:t>
      </w:r>
    </w:p>
    <w:p w14:paraId="35F5959F" w14:textId="72622D5C" w:rsidR="00FB6811" w:rsidRPr="009817F6" w:rsidRDefault="00FB6811" w:rsidP="00FB6811">
      <w:pPr>
        <w:pStyle w:val="Bulletlevel1"/>
      </w:pPr>
      <w:r w:rsidRPr="009817F6">
        <w:t>social and economic characteristics within the licence area, within neighbouring licence areas and within Australia generally (paragraph 23(b))</w:t>
      </w:r>
    </w:p>
    <w:p w14:paraId="2979CBE8" w14:textId="3B73204D" w:rsidR="00FB6811" w:rsidRPr="009817F6" w:rsidRDefault="00FB6811" w:rsidP="00FB6811">
      <w:pPr>
        <w:pStyle w:val="Bulletlevel1"/>
      </w:pPr>
      <w:r w:rsidRPr="009817F6">
        <w:t>the number of existing broadcasting services and the demand for new broadcasting services within the licence area, within neighbouring licence areas and within Australia generally</w:t>
      </w:r>
      <w:r w:rsidRPr="00F36B71">
        <w:t xml:space="preserve"> (paragraph 23(c))</w:t>
      </w:r>
    </w:p>
    <w:p w14:paraId="40904046" w14:textId="4AAB09CE" w:rsidR="00FB6811" w:rsidRPr="009817F6" w:rsidRDefault="00FB6811" w:rsidP="00FB6811">
      <w:pPr>
        <w:pStyle w:val="Bulletlevel1"/>
      </w:pPr>
      <w:r w:rsidRPr="009817F6">
        <w:t>developments in technology</w:t>
      </w:r>
      <w:r w:rsidRPr="00F36B71">
        <w:t xml:space="preserve"> (paragraph 23(d))</w:t>
      </w:r>
    </w:p>
    <w:p w14:paraId="78FE91B9" w14:textId="1EA409E4" w:rsidR="00FB6811" w:rsidRPr="009817F6" w:rsidRDefault="00FB6811" w:rsidP="00FB6811">
      <w:pPr>
        <w:pStyle w:val="Bulletlevel1"/>
      </w:pPr>
      <w:r w:rsidRPr="009817F6">
        <w:t>technical restraints relating to the delivery or reception of broadcasting services</w:t>
      </w:r>
      <w:r w:rsidRPr="00F36B71">
        <w:t xml:space="preserve"> (paragraph 23(e))</w:t>
      </w:r>
    </w:p>
    <w:p w14:paraId="59294D4F" w14:textId="161C3271" w:rsidR="00FB6811" w:rsidRPr="009817F6" w:rsidRDefault="00FB6811" w:rsidP="00FB6811">
      <w:pPr>
        <w:pStyle w:val="Bulletlevel1"/>
      </w:pPr>
      <w:r w:rsidRPr="009817F6">
        <w:t>the demand for radiofrequency spectrum for services other than broadcasting services</w:t>
      </w:r>
      <w:r w:rsidRPr="00F36B71">
        <w:t xml:space="preserve"> (paragraph 23(f))</w:t>
      </w:r>
    </w:p>
    <w:p w14:paraId="2087A725" w14:textId="7C72978A" w:rsidR="00FB6811" w:rsidRPr="009817F6" w:rsidRDefault="00FB6811" w:rsidP="00FB6811">
      <w:pPr>
        <w:pStyle w:val="Bulletlevel1"/>
      </w:pPr>
      <w:r w:rsidRPr="009817F6">
        <w:t>such other matters as the ACMA considers relevant</w:t>
      </w:r>
      <w:r w:rsidRPr="00F36B71">
        <w:t xml:space="preserve"> (paragraph 23(g)).</w:t>
      </w:r>
    </w:p>
    <w:p w14:paraId="4AA9C66E" w14:textId="2C58791B" w:rsidR="00FB6811" w:rsidRPr="00275004" w:rsidRDefault="00FB6811" w:rsidP="00275004">
      <w:pPr>
        <w:pStyle w:val="Paragraph"/>
        <w:spacing w:before="240"/>
      </w:pPr>
      <w:r>
        <w:t>You may wish to discuss the matters mentioned in section 23 in your comments on the questions raised in this paper.</w:t>
      </w:r>
    </w:p>
    <w:p w14:paraId="62D8FD85" w14:textId="314F4F81" w:rsidR="002B4BB4" w:rsidRDefault="002B4BB4" w:rsidP="002B4BB4">
      <w:pPr>
        <w:pStyle w:val="Paragraph"/>
        <w:rPr>
          <w:b/>
          <w:bCs/>
          <w:i/>
          <w:iCs/>
        </w:rPr>
      </w:pPr>
      <w:r>
        <w:rPr>
          <w:b/>
          <w:bCs/>
          <w:i/>
          <w:iCs/>
        </w:rPr>
        <w:t xml:space="preserve">Current </w:t>
      </w:r>
      <w:r w:rsidR="00122AD8">
        <w:rPr>
          <w:b/>
          <w:bCs/>
          <w:i/>
          <w:iCs/>
        </w:rPr>
        <w:t>review</w:t>
      </w:r>
    </w:p>
    <w:p w14:paraId="5708E40C" w14:textId="1BD02516" w:rsidR="00330939" w:rsidRDefault="008D214D" w:rsidP="002B4BB4">
      <w:pPr>
        <w:pStyle w:val="Paragraph"/>
      </w:pPr>
      <w:r>
        <w:t xml:space="preserve">With </w:t>
      </w:r>
      <w:r w:rsidR="00330939">
        <w:t xml:space="preserve">our obligations under the legislative framework, we are </w:t>
      </w:r>
      <w:r w:rsidR="004D5D03">
        <w:t xml:space="preserve">considering whether </w:t>
      </w:r>
      <w:r w:rsidR="00330939">
        <w:t xml:space="preserve">to extend the allocation of spectrum for LPON services. Before deciding </w:t>
      </w:r>
      <w:r>
        <w:t>this</w:t>
      </w:r>
      <w:r w:rsidR="00330939">
        <w:t>, we are seeking views on our approach.</w:t>
      </w:r>
    </w:p>
    <w:p w14:paraId="5D60D428" w14:textId="1B2B73EB" w:rsidR="007044B3" w:rsidRPr="00645EF7" w:rsidRDefault="007044B3" w:rsidP="002B4BB4">
      <w:pPr>
        <w:pStyle w:val="Paragraph"/>
        <w:rPr>
          <w:b/>
          <w:bCs/>
          <w:i/>
          <w:iCs/>
        </w:rPr>
      </w:pPr>
      <w:r>
        <w:t>We recognise that there are other issues</w:t>
      </w:r>
      <w:r w:rsidR="005072B7">
        <w:t xml:space="preserve"> about </w:t>
      </w:r>
      <w:r w:rsidR="00BA5B78">
        <w:t xml:space="preserve">the regulatory arrangements for LPON services that </w:t>
      </w:r>
      <w:r w:rsidR="006D09B6">
        <w:t xml:space="preserve">LPON </w:t>
      </w:r>
      <w:r w:rsidR="00BA5B78">
        <w:t xml:space="preserve">industry </w:t>
      </w:r>
      <w:r w:rsidR="006D09B6">
        <w:t xml:space="preserve">stakeholders </w:t>
      </w:r>
      <w:r w:rsidR="00BA5B78">
        <w:t>ha</w:t>
      </w:r>
      <w:r w:rsidR="006D09B6">
        <w:t xml:space="preserve">ve </w:t>
      </w:r>
      <w:r w:rsidR="00BA5B78">
        <w:t xml:space="preserve">raised previously. </w:t>
      </w:r>
      <w:r w:rsidR="00D8619F">
        <w:t>These issues include the ‘</w:t>
      </w:r>
      <w:r w:rsidR="00D07A48">
        <w:t>use it or lose it</w:t>
      </w:r>
      <w:r w:rsidR="00D8619F">
        <w:t xml:space="preserve">’ </w:t>
      </w:r>
      <w:r w:rsidR="00D924B6">
        <w:t>condition</w:t>
      </w:r>
      <w:r w:rsidR="0087348D">
        <w:t>s</w:t>
      </w:r>
      <w:r w:rsidR="00387D4D">
        <w:t xml:space="preserve"> intended to deter ‘hoarding’</w:t>
      </w:r>
      <w:r w:rsidR="00CA3BB8">
        <w:t xml:space="preserve">, </w:t>
      </w:r>
      <w:r w:rsidR="00AA3DB1">
        <w:t>power and coverage limitations</w:t>
      </w:r>
      <w:r w:rsidR="000D14CB">
        <w:t>,</w:t>
      </w:r>
      <w:r w:rsidR="00B21E16">
        <w:t xml:space="preserve"> </w:t>
      </w:r>
      <w:r w:rsidR="00C06C42">
        <w:t xml:space="preserve">and </w:t>
      </w:r>
      <w:r w:rsidR="00F225D8">
        <w:t>interference management</w:t>
      </w:r>
      <w:r w:rsidR="003F62AF">
        <w:t xml:space="preserve">. </w:t>
      </w:r>
      <w:r w:rsidR="00F11173">
        <w:t xml:space="preserve">We consider that </w:t>
      </w:r>
      <w:r w:rsidR="00635A7A">
        <w:t xml:space="preserve">such issues </w:t>
      </w:r>
      <w:r w:rsidR="00C12FBA">
        <w:t xml:space="preserve">raise </w:t>
      </w:r>
      <w:r w:rsidR="005D231E">
        <w:t xml:space="preserve">broader </w:t>
      </w:r>
      <w:r w:rsidR="00F11173">
        <w:t>policy questions</w:t>
      </w:r>
      <w:r w:rsidR="002A4950">
        <w:t xml:space="preserve"> which </w:t>
      </w:r>
      <w:r w:rsidR="00AA6F5C">
        <w:t>fall outside the scope of this paper.</w:t>
      </w:r>
      <w:r w:rsidR="00D8006D">
        <w:t xml:space="preserve"> </w:t>
      </w:r>
      <w:r w:rsidR="00A64B6C">
        <w:t xml:space="preserve">We ask that </w:t>
      </w:r>
      <w:r w:rsidR="00105788">
        <w:t xml:space="preserve">any feedback provided </w:t>
      </w:r>
      <w:r w:rsidR="00BC7B0B">
        <w:t>in response to this consultation paper</w:t>
      </w:r>
      <w:r w:rsidR="003A38F7">
        <w:t xml:space="preserve"> is </w:t>
      </w:r>
      <w:r w:rsidR="00105788">
        <w:t xml:space="preserve">confined to the </w:t>
      </w:r>
      <w:r w:rsidR="003A38F7">
        <w:t>issues related to spectrum availability for L</w:t>
      </w:r>
      <w:r w:rsidR="0023262E">
        <w:t>PON services and s 34 determination.</w:t>
      </w:r>
    </w:p>
    <w:p w14:paraId="2ACC90AD" w14:textId="77777777" w:rsidR="00882292" w:rsidRPr="00F36B71" w:rsidRDefault="00882292" w:rsidP="00CD4F50">
      <w:pPr>
        <w:pStyle w:val="Heading3"/>
      </w:pPr>
      <w:r w:rsidRPr="00F36B71">
        <w:t>Alternative uses of the spectrum</w:t>
      </w:r>
    </w:p>
    <w:p w14:paraId="04D704EF" w14:textId="4F277A10" w:rsidR="00882292" w:rsidRPr="00D51511" w:rsidRDefault="00307C0C" w:rsidP="004409DB">
      <w:pPr>
        <w:pStyle w:val="Paragraph"/>
      </w:pPr>
      <w:r>
        <w:t>A</w:t>
      </w:r>
      <w:r w:rsidR="00882292" w:rsidRPr="00F36B71">
        <w:t>t present, we have not identified any obvious alternative use</w:t>
      </w:r>
      <w:r w:rsidR="00882292">
        <w:t>s</w:t>
      </w:r>
      <w:r w:rsidR="00882292" w:rsidRPr="00F36B71">
        <w:t xml:space="preserve"> </w:t>
      </w:r>
      <w:r w:rsidR="00882292">
        <w:t>of</w:t>
      </w:r>
      <w:r w:rsidR="00882292" w:rsidRPr="00F36B71">
        <w:t xml:space="preserve"> the sub-band spectrum.</w:t>
      </w:r>
      <w:r w:rsidR="00882292">
        <w:t xml:space="preserve"> However, we </w:t>
      </w:r>
      <w:r w:rsidR="00E11A73">
        <w:t xml:space="preserve">would like feedback </w:t>
      </w:r>
      <w:r>
        <w:t xml:space="preserve">on </w:t>
      </w:r>
      <w:r w:rsidR="007F0C5F">
        <w:t>w</w:t>
      </w:r>
      <w:r w:rsidR="00882292">
        <w:t>hether that is the case. This is to ensure we are fully informed prior to making our decision under section 34 of the BSA.</w:t>
      </w:r>
    </w:p>
    <w:p w14:paraId="47E4EE42" w14:textId="292741EF" w:rsidR="00882292" w:rsidRPr="00E162C4" w:rsidRDefault="00882292" w:rsidP="00882292">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1</w:t>
      </w:r>
    </w:p>
    <w:p w14:paraId="349544FA" w14:textId="38829759" w:rsidR="00882292" w:rsidRPr="00E162C4" w:rsidRDefault="00882292" w:rsidP="00882292">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Are there any alternative broadcasting or non-broadcasting uses of the sub-band spectrum (87.5</w:t>
      </w:r>
      <w:r w:rsidR="000526CB">
        <w:t>–</w:t>
      </w:r>
      <w:r>
        <w:t>88.0 MHz) that we should be aware of?</w:t>
      </w:r>
    </w:p>
    <w:p w14:paraId="0F5226C1" w14:textId="78FF6A1C" w:rsidR="00C773DC" w:rsidRDefault="00C773DC" w:rsidP="008E603E">
      <w:pPr>
        <w:pStyle w:val="Paragraph"/>
      </w:pPr>
      <w:r>
        <w:t>In the interests of providing certainty to the LPON industry about spectrum arrangements after December 2025, we would also like to know whether we should make a new s 34 determination later this year.</w:t>
      </w:r>
    </w:p>
    <w:p w14:paraId="3BEA0F41" w14:textId="3D6EFC1E" w:rsidR="00882292" w:rsidRPr="00E162C4" w:rsidRDefault="00882292" w:rsidP="00882292">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2</w:t>
      </w:r>
    </w:p>
    <w:p w14:paraId="1D57F9E5" w14:textId="04F4FB84" w:rsidR="00882292" w:rsidRPr="00E162C4" w:rsidRDefault="00882292" w:rsidP="00882292">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Should </w:t>
      </w:r>
      <w:r w:rsidR="005014A9">
        <w:t xml:space="preserve">we </w:t>
      </w:r>
      <w:r>
        <w:t xml:space="preserve">make a new determination for LPON services later this year </w:t>
      </w:r>
      <w:r w:rsidRPr="00264EC9">
        <w:t>to extend the availability of spectrum for LPON services beyond 31 December 2025</w:t>
      </w:r>
      <w:r>
        <w:t>?</w:t>
      </w:r>
    </w:p>
    <w:p w14:paraId="3816596D" w14:textId="3997F13A" w:rsidR="005A708C" w:rsidRDefault="00FE60AE" w:rsidP="004409DB">
      <w:pPr>
        <w:pStyle w:val="Paragraph"/>
        <w:keepNext/>
        <w:rPr>
          <w:b/>
          <w:bCs/>
        </w:rPr>
      </w:pPr>
      <w:r w:rsidRPr="00253932">
        <w:rPr>
          <w:b/>
          <w:bCs/>
        </w:rPr>
        <w:lastRenderedPageBreak/>
        <w:t xml:space="preserve">Duration of the </w:t>
      </w:r>
      <w:r w:rsidR="00CE3305">
        <w:rPr>
          <w:b/>
          <w:bCs/>
        </w:rPr>
        <w:t>s</w:t>
      </w:r>
      <w:r w:rsidR="007B74F0">
        <w:rPr>
          <w:b/>
          <w:bCs/>
        </w:rPr>
        <w:t xml:space="preserve"> </w:t>
      </w:r>
      <w:r w:rsidR="00CE3305">
        <w:rPr>
          <w:b/>
          <w:bCs/>
        </w:rPr>
        <w:t xml:space="preserve">34 </w:t>
      </w:r>
      <w:r w:rsidR="004D5D03">
        <w:rPr>
          <w:b/>
          <w:bCs/>
        </w:rPr>
        <w:t>determination</w:t>
      </w:r>
    </w:p>
    <w:p w14:paraId="2BF108E0" w14:textId="052E24AE" w:rsidR="007678E0" w:rsidRDefault="009C1166" w:rsidP="00275004">
      <w:pPr>
        <w:pStyle w:val="Paragraph"/>
      </w:pPr>
      <w:r>
        <w:t xml:space="preserve">In March 2021, we published </w:t>
      </w:r>
      <w:r w:rsidR="004171DD">
        <w:t xml:space="preserve">the information paper, </w:t>
      </w:r>
      <w:hyperlink r:id="rId24" w:history="1">
        <w:r w:rsidR="00AC5FF6" w:rsidRPr="001D0012">
          <w:rPr>
            <w:rStyle w:val="Hyperlink"/>
            <w:i/>
            <w:iCs/>
          </w:rPr>
          <w:t>Our approach to radiocommunications licensing and allocation</w:t>
        </w:r>
      </w:hyperlink>
      <w:r w:rsidR="00AC5FF6">
        <w:rPr>
          <w:u w:color="0000FF"/>
        </w:rPr>
        <w:t>.</w:t>
      </w:r>
      <w:r>
        <w:t xml:space="preserve"> </w:t>
      </w:r>
      <w:r w:rsidR="00AC5FF6">
        <w:t xml:space="preserve">It outlined the implementation of the Radiocommunications Legislation Amendment (Reform and Modernisation) Act 2020 </w:t>
      </w:r>
      <w:r>
        <w:t xml:space="preserve">where we state </w:t>
      </w:r>
      <w:r w:rsidR="00813709">
        <w:t>‘</w:t>
      </w:r>
      <w:r w:rsidR="00B11B5C" w:rsidRPr="00B11B5C">
        <w:t>the intent of the Modernisation Act was not to change the arrangements for licensing of broadcasting services</w:t>
      </w:r>
      <w:r w:rsidR="00813709">
        <w:t>’</w:t>
      </w:r>
      <w:r w:rsidR="00B11B5C">
        <w:t>.</w:t>
      </w:r>
      <w:r w:rsidR="004E5B92">
        <w:rPr>
          <w:rStyle w:val="FootnoteReference"/>
        </w:rPr>
        <w:footnoteReference w:id="4"/>
      </w:r>
      <w:r w:rsidR="00B11B5C">
        <w:t xml:space="preserve"> </w:t>
      </w:r>
      <w:r w:rsidR="008107CA">
        <w:t xml:space="preserve">We </w:t>
      </w:r>
      <w:r w:rsidR="00B11B5C">
        <w:t xml:space="preserve">noted that </w:t>
      </w:r>
      <w:r w:rsidR="00CF7598">
        <w:t>‘</w:t>
      </w:r>
      <w:r w:rsidR="00B11B5C" w:rsidRPr="00B11B5C">
        <w:t>we do not intend to offer NBS transmitter or narrowcasting licences for periods exceeding 5 years</w:t>
      </w:r>
      <w:r w:rsidR="00CF7598">
        <w:t>’</w:t>
      </w:r>
      <w:r w:rsidR="00B11B5C">
        <w:t xml:space="preserve"> and </w:t>
      </w:r>
      <w:r w:rsidR="00CF7598">
        <w:t>‘</w:t>
      </w:r>
      <w:r>
        <w:t>narrowcasting licence terms will continue to be constrained by the period determined under section 34 of the BSA, which is generally, but not always, 5 years</w:t>
      </w:r>
      <w:r w:rsidR="00CF7598">
        <w:t>’</w:t>
      </w:r>
      <w:r>
        <w:t>.</w:t>
      </w:r>
      <w:r>
        <w:rPr>
          <w:rStyle w:val="FootnoteReference"/>
        </w:rPr>
        <w:footnoteReference w:id="5"/>
      </w:r>
    </w:p>
    <w:p w14:paraId="5AC4182B" w14:textId="510DDF98" w:rsidR="00E452DE" w:rsidRDefault="00E452DE" w:rsidP="009C1166">
      <w:r>
        <w:t xml:space="preserve">We are </w:t>
      </w:r>
      <w:r w:rsidR="00FE60AE">
        <w:t xml:space="preserve">seeking views on the appropriate duration </w:t>
      </w:r>
      <w:r w:rsidR="00A0534D">
        <w:t xml:space="preserve">for </w:t>
      </w:r>
      <w:r w:rsidR="00B20B3B">
        <w:t xml:space="preserve">a </w:t>
      </w:r>
      <w:r w:rsidR="00A0534D">
        <w:t>determination</w:t>
      </w:r>
      <w:r w:rsidR="00FE60AE">
        <w:t>. Th</w:t>
      </w:r>
      <w:r w:rsidR="009C1166">
        <w:t xml:space="preserve">is request for comment </w:t>
      </w:r>
      <w:r w:rsidR="002D1859">
        <w:t xml:space="preserve">does not </w:t>
      </w:r>
      <w:r w:rsidR="00FE60AE">
        <w:t xml:space="preserve">imply a </w:t>
      </w:r>
      <w:r w:rsidR="002D1859">
        <w:t xml:space="preserve">change </w:t>
      </w:r>
      <w:r w:rsidR="00FE60AE">
        <w:t xml:space="preserve">of </w:t>
      </w:r>
      <w:r w:rsidR="002D1859">
        <w:t xml:space="preserve">our </w:t>
      </w:r>
      <w:r w:rsidR="00FE60AE">
        <w:t>current policy on licensing</w:t>
      </w:r>
      <w:r w:rsidR="009455B3">
        <w:t xml:space="preserve"> transmitters for the provision of</w:t>
      </w:r>
      <w:r w:rsidR="00FE60AE">
        <w:t xml:space="preserve"> LPON</w:t>
      </w:r>
      <w:r w:rsidR="00EC3706">
        <w:t xml:space="preserve"> services.</w:t>
      </w:r>
      <w:r w:rsidR="002D1859">
        <w:t xml:space="preserve"> </w:t>
      </w:r>
    </w:p>
    <w:p w14:paraId="06EAC333" w14:textId="70E333FF" w:rsidR="009C1166" w:rsidRDefault="00854E77" w:rsidP="009C1166">
      <w:r>
        <w:t xml:space="preserve">We </w:t>
      </w:r>
      <w:r w:rsidR="009C1166">
        <w:t>are not proposing to license transmitters used for the provision of LPON services for more than 5 years</w:t>
      </w:r>
      <w:r w:rsidR="00520046">
        <w:t xml:space="preserve"> </w:t>
      </w:r>
      <w:r w:rsidR="00337A5A">
        <w:t xml:space="preserve">– most </w:t>
      </w:r>
      <w:r w:rsidR="009C1166">
        <w:t xml:space="preserve">of </w:t>
      </w:r>
      <w:r w:rsidR="00AA487A">
        <w:t xml:space="preserve">the </w:t>
      </w:r>
      <w:r w:rsidR="009C1166">
        <w:t xml:space="preserve">transmitters </w:t>
      </w:r>
      <w:r w:rsidR="00AA487A">
        <w:t xml:space="preserve">that are used to provide LPON services are </w:t>
      </w:r>
      <w:r w:rsidR="009C1166">
        <w:t xml:space="preserve">licensed </w:t>
      </w:r>
      <w:r w:rsidR="00AA487A">
        <w:t xml:space="preserve">annually. </w:t>
      </w:r>
      <w:r w:rsidR="009C1166">
        <w:t>Of the 2,4</w:t>
      </w:r>
      <w:r w:rsidR="001D174D">
        <w:t>07</w:t>
      </w:r>
      <w:r w:rsidR="009C1166">
        <w:t xml:space="preserve"> </w:t>
      </w:r>
      <w:r w:rsidR="00167DEB">
        <w:t>sub</w:t>
      </w:r>
      <w:r w:rsidR="009C1166">
        <w:t xml:space="preserve">-band licences referred to </w:t>
      </w:r>
      <w:r w:rsidR="009C1166" w:rsidRPr="003717FE">
        <w:t>above, 2,</w:t>
      </w:r>
      <w:r w:rsidR="00E27FD4">
        <w:t>378</w:t>
      </w:r>
      <w:r w:rsidR="009C1166" w:rsidRPr="003717FE">
        <w:t xml:space="preserve"> had a licence period of </w:t>
      </w:r>
      <w:r w:rsidR="00AA487A" w:rsidRPr="003717FE">
        <w:t>one</w:t>
      </w:r>
      <w:r w:rsidR="009C1166" w:rsidRPr="003717FE">
        <w:t xml:space="preserve"> year</w:t>
      </w:r>
      <w:r w:rsidR="00AA487A" w:rsidRPr="003717FE">
        <w:t>.</w:t>
      </w:r>
      <w:r w:rsidR="009C1166" w:rsidRPr="003717FE">
        <w:rPr>
          <w:rStyle w:val="FootnoteReference"/>
        </w:rPr>
        <w:t xml:space="preserve"> </w:t>
      </w:r>
      <w:r w:rsidR="009C1166" w:rsidRPr="003717FE">
        <w:rPr>
          <w:rStyle w:val="FootnoteReference"/>
        </w:rPr>
        <w:footnoteReference w:id="6"/>
      </w:r>
    </w:p>
    <w:p w14:paraId="394CCEF6" w14:textId="6B0F08C0" w:rsidR="00EB335A" w:rsidRPr="00E162C4" w:rsidRDefault="00EB335A" w:rsidP="00EB335A">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882292">
        <w:t>3</w:t>
      </w:r>
    </w:p>
    <w:p w14:paraId="52AC7D2C" w14:textId="7B922922" w:rsidR="00EB335A" w:rsidRPr="00E162C4" w:rsidRDefault="00122AD8" w:rsidP="00EB335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If the </w:t>
      </w:r>
      <w:r w:rsidR="000169D5">
        <w:t xml:space="preserve">answer to question </w:t>
      </w:r>
      <w:r w:rsidR="00882292">
        <w:t>2</w:t>
      </w:r>
      <w:r w:rsidR="000169D5">
        <w:t xml:space="preserve"> is ‘yes’, w</w:t>
      </w:r>
      <w:r w:rsidR="00EB335A">
        <w:t xml:space="preserve">hat </w:t>
      </w:r>
      <w:r w:rsidR="000169D5">
        <w:t xml:space="preserve">would be an </w:t>
      </w:r>
      <w:r w:rsidR="00EB335A">
        <w:t xml:space="preserve">appropriate duration </w:t>
      </w:r>
      <w:r w:rsidR="000169D5">
        <w:t xml:space="preserve">for </w:t>
      </w:r>
      <w:r w:rsidR="00EB335A">
        <w:t xml:space="preserve">the </w:t>
      </w:r>
      <w:r w:rsidR="000169D5">
        <w:t>determination</w:t>
      </w:r>
      <w:r w:rsidR="00EB335A">
        <w:t>?</w:t>
      </w:r>
    </w:p>
    <w:p w14:paraId="6F9F8B66" w14:textId="009C9800" w:rsidR="0063346D" w:rsidRPr="00E162C4" w:rsidRDefault="00CA74D8" w:rsidP="0063346D">
      <w:pPr>
        <w:pStyle w:val="Heading2"/>
      </w:pPr>
      <w:bookmarkStart w:id="8" w:name="_Toc103611000"/>
      <w:r>
        <w:t>E</w:t>
      </w:r>
      <w:r w:rsidR="005B3E95">
        <w:t xml:space="preserve">xtending spectrum </w:t>
      </w:r>
      <w:r w:rsidR="00024392">
        <w:t xml:space="preserve">availability </w:t>
      </w:r>
      <w:r w:rsidR="005B3E95">
        <w:t>for LPON services</w:t>
      </w:r>
      <w:bookmarkEnd w:id="8"/>
    </w:p>
    <w:p w14:paraId="12D5F5E4" w14:textId="5FE649BF" w:rsidR="00563D77" w:rsidRPr="00EF39DA" w:rsidRDefault="008213A7" w:rsidP="00563D77">
      <w:pPr>
        <w:pStyle w:val="Paragraph"/>
      </w:pPr>
      <w:r>
        <w:t xml:space="preserve">When </w:t>
      </w:r>
      <w:r w:rsidR="0063638D" w:rsidRPr="00EF39DA">
        <w:t>we review w</w:t>
      </w:r>
      <w:r w:rsidR="00563D77" w:rsidRPr="00EF39DA">
        <w:t xml:space="preserve">hether to extend spectrum </w:t>
      </w:r>
      <w:r w:rsidR="00FB3F19" w:rsidRPr="00EF39DA">
        <w:t xml:space="preserve">availability </w:t>
      </w:r>
      <w:r w:rsidR="00563D77" w:rsidRPr="00EF39DA">
        <w:t xml:space="preserve">for LPON services </w:t>
      </w:r>
      <w:r w:rsidR="00323F1F" w:rsidRPr="00EF39DA">
        <w:t xml:space="preserve">in the sub-band, </w:t>
      </w:r>
      <w:r w:rsidR="00563D77" w:rsidRPr="00EF39DA">
        <w:t>we conduct a public consultation process</w:t>
      </w:r>
      <w:r w:rsidR="00714D44">
        <w:t xml:space="preserve">. </w:t>
      </w:r>
      <w:r w:rsidR="00563D77" w:rsidRPr="00EF39DA">
        <w:t xml:space="preserve">This is to </w:t>
      </w:r>
      <w:r w:rsidR="004C6330" w:rsidRPr="00EF39DA">
        <w:t xml:space="preserve">obtain </w:t>
      </w:r>
      <w:r w:rsidR="00563D77" w:rsidRPr="00EF39DA">
        <w:t xml:space="preserve">stakeholder views </w:t>
      </w:r>
      <w:r w:rsidR="002713BA" w:rsidRPr="00EF39DA">
        <w:t xml:space="preserve">before we consider </w:t>
      </w:r>
      <w:r w:rsidR="007875EF" w:rsidRPr="00EF39DA">
        <w:t>whether</w:t>
      </w:r>
      <w:r w:rsidR="004C6330" w:rsidRPr="00EF39DA">
        <w:t xml:space="preserve"> </w:t>
      </w:r>
      <w:r w:rsidR="002713BA" w:rsidRPr="00EF39DA">
        <w:t xml:space="preserve">to make a </w:t>
      </w:r>
      <w:r w:rsidR="00563D77" w:rsidRPr="00EF39DA">
        <w:t xml:space="preserve">new </w:t>
      </w:r>
      <w:r w:rsidR="00C25370" w:rsidRPr="00EF39DA">
        <w:t>relevant s</w:t>
      </w:r>
      <w:r>
        <w:t xml:space="preserve"> </w:t>
      </w:r>
      <w:r w:rsidR="00C25370" w:rsidRPr="00EF39DA">
        <w:t xml:space="preserve">34 </w:t>
      </w:r>
      <w:r w:rsidR="004C6330" w:rsidRPr="00EF39DA">
        <w:t>determination.</w:t>
      </w:r>
    </w:p>
    <w:p w14:paraId="3919098E" w14:textId="4149B801" w:rsidR="00E81517" w:rsidRDefault="00563D77" w:rsidP="00563D77">
      <w:pPr>
        <w:pStyle w:val="Paragraph"/>
      </w:pPr>
      <w:r w:rsidRPr="00EF39DA">
        <w:t xml:space="preserve">We </w:t>
      </w:r>
      <w:r w:rsidR="00D05C35">
        <w:t xml:space="preserve">understand </w:t>
      </w:r>
      <w:r w:rsidRPr="00EF39DA">
        <w:t xml:space="preserve">that the timing of our reviews is of interest to providers of LPON services </w:t>
      </w:r>
      <w:r w:rsidR="002713BA" w:rsidRPr="00EF39DA">
        <w:t xml:space="preserve">for their </w:t>
      </w:r>
      <w:r w:rsidRPr="00EF39DA">
        <w:t>business planning. For example, LPON services providers may need to consider their leasing arrangements.</w:t>
      </w:r>
      <w:r>
        <w:t xml:space="preserve"> We </w:t>
      </w:r>
      <w:r w:rsidR="002713BA">
        <w:t xml:space="preserve">also </w:t>
      </w:r>
      <w:r>
        <w:t>acknowledge that the timing of our previous reviews</w:t>
      </w:r>
      <w:r w:rsidR="002713BA">
        <w:t xml:space="preserve"> </w:t>
      </w:r>
      <w:r w:rsidR="00743FE8">
        <w:t xml:space="preserve">and the duration of </w:t>
      </w:r>
      <w:r w:rsidR="00110895">
        <w:t>s</w:t>
      </w:r>
      <w:r w:rsidR="00D05C35">
        <w:t xml:space="preserve"> </w:t>
      </w:r>
      <w:r w:rsidR="00110895">
        <w:t>34</w:t>
      </w:r>
      <w:r w:rsidR="0063638D">
        <w:t xml:space="preserve"> determinations</w:t>
      </w:r>
      <w:r w:rsidR="00743FE8">
        <w:t xml:space="preserve"> has varied, which may not be desirable </w:t>
      </w:r>
      <w:r w:rsidR="00E81517">
        <w:t>to providers.</w:t>
      </w:r>
    </w:p>
    <w:p w14:paraId="3546F52F" w14:textId="60000764" w:rsidR="00563D77" w:rsidRDefault="00E81517" w:rsidP="00563D77">
      <w:pPr>
        <w:pStyle w:val="Paragraph"/>
      </w:pPr>
      <w:r>
        <w:t xml:space="preserve">Therefore, </w:t>
      </w:r>
      <w:r w:rsidR="004C6330">
        <w:t xml:space="preserve">assuming that a new determination is made, </w:t>
      </w:r>
      <w:r w:rsidR="00743FE8">
        <w:t xml:space="preserve">we </w:t>
      </w:r>
      <w:r w:rsidR="00D15180">
        <w:t xml:space="preserve">will examine </w:t>
      </w:r>
      <w:r w:rsidR="00743FE8">
        <w:t xml:space="preserve">whether </w:t>
      </w:r>
      <w:r w:rsidR="0063638D">
        <w:t xml:space="preserve">we should </w:t>
      </w:r>
      <w:r w:rsidR="004C6330">
        <w:t xml:space="preserve">conduct our future reviews on a </w:t>
      </w:r>
      <w:r w:rsidR="00743FE8">
        <w:t xml:space="preserve">more </w:t>
      </w:r>
      <w:r w:rsidR="00113045">
        <w:t>regular basis</w:t>
      </w:r>
      <w:r w:rsidR="004C6330">
        <w:t xml:space="preserve"> to give</w:t>
      </w:r>
      <w:r w:rsidR="004D5D03">
        <w:t xml:space="preserve"> licensees</w:t>
      </w:r>
      <w:r w:rsidR="004C6330">
        <w:t xml:space="preserve"> a greater degree of </w:t>
      </w:r>
      <w:r w:rsidR="008767AB">
        <w:t>certainty.</w:t>
      </w:r>
    </w:p>
    <w:p w14:paraId="5CE68455" w14:textId="48CAA3FF" w:rsidR="002F7CBB" w:rsidRPr="00E162C4" w:rsidRDefault="002F7CBB" w:rsidP="002F7CBB">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882292">
        <w:t>4</w:t>
      </w:r>
    </w:p>
    <w:p w14:paraId="126F9596" w14:textId="343B7F42" w:rsidR="002F7CBB" w:rsidRPr="00E162C4" w:rsidRDefault="00D8138D" w:rsidP="002F7CB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How often should </w:t>
      </w:r>
      <w:r w:rsidR="008767AB">
        <w:t xml:space="preserve">we </w:t>
      </w:r>
      <w:r>
        <w:t>c</w:t>
      </w:r>
      <w:r w:rsidR="006D082E">
        <w:t>onduct</w:t>
      </w:r>
      <w:r>
        <w:t xml:space="preserve"> </w:t>
      </w:r>
      <w:r w:rsidR="00081847">
        <w:t>our</w:t>
      </w:r>
      <w:r>
        <w:t xml:space="preserve"> periodic reviews on spectrum availability for LPON services?</w:t>
      </w:r>
    </w:p>
    <w:p w14:paraId="3E60BF34" w14:textId="4EDA7E87" w:rsidR="00FD0107" w:rsidRPr="00E162C4" w:rsidRDefault="00FD0107" w:rsidP="00FD0107">
      <w:pPr>
        <w:pStyle w:val="ACMATableHeader"/>
        <w:numPr>
          <w:ilvl w:val="0"/>
          <w:numId w:val="0"/>
        </w:numPr>
        <w:ind w:left="964" w:hanging="964"/>
      </w:pPr>
      <w:bookmarkStart w:id="9" w:name="_Toc298924672"/>
      <w:bookmarkStart w:id="10" w:name="_Toc300909555"/>
      <w:bookmarkStart w:id="11" w:name="_Toc348105636"/>
    </w:p>
    <w:p w14:paraId="2BCAF8EC" w14:textId="77777777" w:rsidR="006C1631" w:rsidRPr="00E162C4" w:rsidRDefault="006C1631" w:rsidP="006C1631">
      <w:pPr>
        <w:pStyle w:val="Heading1"/>
      </w:pPr>
      <w:bookmarkStart w:id="12" w:name="_Toc103611001"/>
      <w:bookmarkEnd w:id="9"/>
      <w:bookmarkEnd w:id="10"/>
      <w:bookmarkEnd w:id="11"/>
      <w:r w:rsidRPr="00E162C4">
        <w:lastRenderedPageBreak/>
        <w:t>Invitation to comment</w:t>
      </w:r>
      <w:bookmarkEnd w:id="12"/>
    </w:p>
    <w:p w14:paraId="24BC314E" w14:textId="77777777" w:rsidR="006C1631" w:rsidRPr="00E162C4" w:rsidRDefault="006C1631" w:rsidP="006C1631">
      <w:pPr>
        <w:pStyle w:val="Heading2"/>
      </w:pPr>
      <w:bookmarkStart w:id="13" w:name="_Toc433122131"/>
      <w:bookmarkStart w:id="14" w:name="_Toc348105637"/>
      <w:bookmarkStart w:id="15" w:name="_Toc300909556"/>
      <w:bookmarkStart w:id="16" w:name="_Toc298924673"/>
      <w:bookmarkStart w:id="17" w:name="_Toc103611002"/>
      <w:bookmarkStart w:id="18" w:name="_Toc348105638"/>
      <w:bookmarkStart w:id="19" w:name="_Toc300909557"/>
      <w:bookmarkStart w:id="20" w:name="_Toc298924674"/>
      <w:bookmarkStart w:id="21" w:name="_Toc274296357"/>
      <w:r w:rsidRPr="00E162C4">
        <w:t>Making a submission</w:t>
      </w:r>
      <w:bookmarkEnd w:id="13"/>
      <w:bookmarkEnd w:id="14"/>
      <w:bookmarkEnd w:id="15"/>
      <w:bookmarkEnd w:id="16"/>
      <w:bookmarkEnd w:id="17"/>
    </w:p>
    <w:p w14:paraId="62BC4052" w14:textId="7B62772B" w:rsidR="006C1631" w:rsidRPr="00E162C4" w:rsidRDefault="006C5FD4" w:rsidP="006C1631">
      <w:r w:rsidRPr="00E162C4">
        <w:t>We</w:t>
      </w:r>
      <w:r w:rsidR="006C1631" w:rsidRPr="00E162C4">
        <w:t xml:space="preserve"> invite comments on the issues set out in this </w:t>
      </w:r>
      <w:r w:rsidR="009870ED">
        <w:t>consultation</w:t>
      </w:r>
      <w:r w:rsidR="009870ED" w:rsidRPr="00E162C4">
        <w:t xml:space="preserve"> </w:t>
      </w:r>
      <w:r w:rsidR="006C1631" w:rsidRPr="00E162C4">
        <w:t xml:space="preserve">paper. </w:t>
      </w:r>
    </w:p>
    <w:p w14:paraId="6AFC7276" w14:textId="77777777" w:rsidR="0070133D" w:rsidRPr="00E162C4" w:rsidRDefault="00514315" w:rsidP="0070133D">
      <w:pPr>
        <w:pStyle w:val="Bulletlevel1"/>
      </w:pPr>
      <w:hyperlink r:id="rId25"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p>
    <w:p w14:paraId="71C00F8D" w14:textId="77777777" w:rsidR="006C1631" w:rsidRPr="00E162C4" w:rsidRDefault="006C1631" w:rsidP="0070133D">
      <w:pPr>
        <w:pStyle w:val="Bulletlevel1"/>
      </w:pPr>
      <w:r w:rsidRPr="00E162C4">
        <w:t xml:space="preserve">Submissions by post can be sent to: </w:t>
      </w:r>
    </w:p>
    <w:p w14:paraId="702189A2" w14:textId="77777777" w:rsidR="006C1631" w:rsidRPr="007F43C1" w:rsidRDefault="006C1631" w:rsidP="006C1631">
      <w:pPr>
        <w:tabs>
          <w:tab w:val="num" w:pos="295"/>
        </w:tabs>
        <w:spacing w:after="0"/>
        <w:ind w:left="295"/>
        <w:rPr>
          <w:szCs w:val="20"/>
        </w:rPr>
      </w:pPr>
      <w:r w:rsidRPr="007F43C1">
        <w:rPr>
          <w:szCs w:val="20"/>
        </w:rPr>
        <w:t>The Manager</w:t>
      </w:r>
    </w:p>
    <w:p w14:paraId="51A9FDF7" w14:textId="36BA9C8C" w:rsidR="006C1631" w:rsidRPr="007F43C1" w:rsidRDefault="007F43C1" w:rsidP="006C1631">
      <w:pPr>
        <w:spacing w:after="0"/>
        <w:ind w:left="295"/>
        <w:rPr>
          <w:szCs w:val="20"/>
        </w:rPr>
      </w:pPr>
      <w:r w:rsidRPr="007F43C1">
        <w:rPr>
          <w:szCs w:val="20"/>
        </w:rPr>
        <w:t>Broadcasting Carriage Policy Section</w:t>
      </w:r>
    </w:p>
    <w:p w14:paraId="0180DF26" w14:textId="77777777" w:rsidR="006C1631" w:rsidRPr="007F43C1" w:rsidRDefault="006C1631" w:rsidP="006C1631">
      <w:pPr>
        <w:spacing w:after="0"/>
        <w:ind w:left="295"/>
        <w:rPr>
          <w:szCs w:val="20"/>
        </w:rPr>
      </w:pPr>
      <w:r w:rsidRPr="007F43C1">
        <w:rPr>
          <w:szCs w:val="20"/>
        </w:rPr>
        <w:t>Australian Communications and Media Authority</w:t>
      </w:r>
    </w:p>
    <w:p w14:paraId="47FD764B" w14:textId="77777777" w:rsidR="006C1631" w:rsidRPr="007F43C1" w:rsidRDefault="006C1631" w:rsidP="006C1631">
      <w:pPr>
        <w:spacing w:after="0"/>
        <w:ind w:left="295"/>
        <w:rPr>
          <w:szCs w:val="20"/>
        </w:rPr>
      </w:pPr>
      <w:r w:rsidRPr="007F43C1">
        <w:rPr>
          <w:szCs w:val="20"/>
        </w:rPr>
        <w:t>PO Box 78</w:t>
      </w:r>
    </w:p>
    <w:p w14:paraId="61AFEBA5" w14:textId="77777777" w:rsidR="006C1631" w:rsidRPr="00E162C4" w:rsidRDefault="006C1631" w:rsidP="006C1631">
      <w:pPr>
        <w:ind w:left="295"/>
        <w:rPr>
          <w:szCs w:val="20"/>
        </w:rPr>
      </w:pPr>
      <w:r w:rsidRPr="007F43C1">
        <w:rPr>
          <w:szCs w:val="20"/>
        </w:rPr>
        <w:t>Belconnen ACT 2616</w:t>
      </w:r>
    </w:p>
    <w:p w14:paraId="34EFFA6D" w14:textId="70D49228" w:rsidR="006C1631" w:rsidRPr="00E162C4" w:rsidRDefault="006C1631" w:rsidP="006C1631">
      <w:r w:rsidRPr="00E162C4">
        <w:t xml:space="preserve">The closing date for submissions is COB, </w:t>
      </w:r>
      <w:r w:rsidR="00CB24D5" w:rsidRPr="00CB24D5">
        <w:rPr>
          <w:b/>
          <w:bCs/>
        </w:rPr>
        <w:t>Wednesday, 20 July 2022</w:t>
      </w:r>
      <w:r w:rsidR="00A439A3">
        <w:t>.</w:t>
      </w:r>
    </w:p>
    <w:p w14:paraId="7566E722" w14:textId="218F1C73" w:rsidR="006C1631" w:rsidRPr="00E162C4" w:rsidRDefault="006C1631" w:rsidP="006C1631">
      <w:pPr>
        <w:rPr>
          <w:szCs w:val="20"/>
        </w:rPr>
      </w:pPr>
      <w:r w:rsidRPr="00E162C4">
        <w:t xml:space="preserve">Consultation enquiries can be emailed </w:t>
      </w:r>
      <w:r w:rsidRPr="00E162C4">
        <w:rPr>
          <w:szCs w:val="20"/>
        </w:rPr>
        <w:t xml:space="preserve">to </w:t>
      </w:r>
      <w:hyperlink r:id="rId26" w:history="1">
        <w:r w:rsidR="00EE52B6" w:rsidRPr="00EE52B6">
          <w:rPr>
            <w:rStyle w:val="Hyperlink"/>
            <w:szCs w:val="20"/>
          </w:rPr>
          <w:t>bcps@acma.gov.au</w:t>
        </w:r>
      </w:hyperlink>
      <w:r w:rsidRPr="00EE52B6">
        <w:rPr>
          <w:szCs w:val="20"/>
        </w:rPr>
        <w:t>.</w:t>
      </w:r>
    </w:p>
    <w:p w14:paraId="07BE04C2" w14:textId="77777777" w:rsidR="006C1631" w:rsidRPr="00E162C4" w:rsidRDefault="006C1631" w:rsidP="005B2F0D">
      <w:pPr>
        <w:pStyle w:val="Heading4"/>
      </w:pPr>
      <w:bookmarkStart w:id="22" w:name="_Toc348105639"/>
      <w:bookmarkStart w:id="23" w:name="_Toc300909558"/>
      <w:bookmarkStart w:id="24" w:name="_Hlk59627494"/>
      <w:bookmarkEnd w:id="18"/>
      <w:bookmarkEnd w:id="19"/>
      <w:r w:rsidRPr="00E162C4">
        <w:t>Publication of submissions</w:t>
      </w:r>
      <w:bookmarkEnd w:id="20"/>
      <w:bookmarkEnd w:id="21"/>
      <w:bookmarkEnd w:id="22"/>
      <w:bookmarkEnd w:id="23"/>
    </w:p>
    <w:p w14:paraId="1FC92E44" w14:textId="77777777" w:rsidR="006C1631" w:rsidRPr="00E162C4" w:rsidRDefault="006C5FD4" w:rsidP="006C1631">
      <w:bookmarkStart w:id="25" w:name="_Toc348105640"/>
      <w:bookmarkStart w:id="26" w:name="_Toc300909559"/>
      <w:bookmarkStart w:id="27"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0400AB7E" w14:textId="77777777" w:rsidR="006C1631" w:rsidRPr="00E162C4" w:rsidRDefault="006C1631" w:rsidP="006C1631">
      <w:r w:rsidRPr="00E162C4">
        <w:t>Confidential information will not be published or otherwise released unless required or authorised by law.</w:t>
      </w:r>
    </w:p>
    <w:p w14:paraId="28BFAA83" w14:textId="77777777" w:rsidR="006C1631" w:rsidRPr="00E162C4" w:rsidRDefault="006C1631" w:rsidP="005B2F0D">
      <w:pPr>
        <w:pStyle w:val="Heading4"/>
      </w:pPr>
      <w:r w:rsidRPr="00E162C4">
        <w:t>Privacy</w:t>
      </w:r>
    </w:p>
    <w:p w14:paraId="5BFD1DBC"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27"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25"/>
    <w:bookmarkEnd w:id="26"/>
    <w:bookmarkEnd w:id="27"/>
    <w:p w14:paraId="186A8D57" w14:textId="77777777" w:rsidR="00A4193E" w:rsidRPr="00E162C4" w:rsidRDefault="006C1631" w:rsidP="005B2F0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28" w:history="1">
        <w:r w:rsidR="00E21056" w:rsidRPr="00E162C4">
          <w:rPr>
            <w:rStyle w:val="Hyperlink"/>
          </w:rPr>
          <w:t>privacy policy</w:t>
        </w:r>
      </w:hyperlink>
      <w:r w:rsidRPr="00E162C4">
        <w:t>.</w:t>
      </w:r>
      <w:r w:rsidR="00A4193E" w:rsidRPr="00E162C4">
        <w:t xml:space="preserve"> </w:t>
      </w:r>
    </w:p>
    <w:p w14:paraId="4ABD067D" w14:textId="7891C555" w:rsidR="00240CE9" w:rsidRPr="00EF39DA" w:rsidRDefault="00FF3C69" w:rsidP="00FF3C69">
      <w:pPr>
        <w:pStyle w:val="Heading1"/>
      </w:pPr>
      <w:bookmarkStart w:id="28" w:name="_Toc348105641"/>
      <w:bookmarkStart w:id="29" w:name="_Toc103611003"/>
      <w:bookmarkEnd w:id="24"/>
      <w:r w:rsidRPr="00EF39DA">
        <w:lastRenderedPageBreak/>
        <w:t>Appendix A</w:t>
      </w:r>
      <w:bookmarkEnd w:id="28"/>
      <w:r w:rsidR="00023A36" w:rsidRPr="00EF39DA">
        <w:t xml:space="preserve">: </w:t>
      </w:r>
      <w:r w:rsidR="00FA7244" w:rsidRPr="00EF39DA">
        <w:t xml:space="preserve">current </w:t>
      </w:r>
      <w:r w:rsidR="00964792" w:rsidRPr="00EF39DA">
        <w:t>section 34</w:t>
      </w:r>
      <w:r w:rsidR="005769F7" w:rsidRPr="00EF39DA">
        <w:t xml:space="preserve"> determination</w:t>
      </w:r>
      <w:bookmarkEnd w:id="29"/>
    </w:p>
    <w:p w14:paraId="0A2DA367" w14:textId="2439FC5C" w:rsidR="00A1077E" w:rsidRPr="00A1077E" w:rsidRDefault="00F679F5" w:rsidP="00F679F5">
      <w:pPr>
        <w:pStyle w:val="Heading2"/>
      </w:pPr>
      <w:bookmarkStart w:id="30" w:name="_Toc96602278"/>
      <w:bookmarkStart w:id="31" w:name="_Toc103611004"/>
      <w:r w:rsidRPr="00EF39DA">
        <w:t>Drop-through 1133140</w:t>
      </w:r>
      <w:bookmarkEnd w:id="30"/>
      <w:bookmarkEnd w:id="31"/>
    </w:p>
    <w:p w14:paraId="5EC6DA6A" w14:textId="7724546C" w:rsidR="00FF3C69" w:rsidRDefault="00CA0156" w:rsidP="00851F3F">
      <w:r>
        <w:rPr>
          <w:noProof/>
        </w:rPr>
        <w:drawing>
          <wp:inline distT="0" distB="0" distL="0" distR="0" wp14:anchorId="169BDFC4" wp14:editId="4BF2C316">
            <wp:extent cx="4871085" cy="6692900"/>
            <wp:effectExtent l="0" t="0" r="5715"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29"/>
                    <a:stretch>
                      <a:fillRect/>
                    </a:stretch>
                  </pic:blipFill>
                  <pic:spPr>
                    <a:xfrm>
                      <a:off x="0" y="0"/>
                      <a:ext cx="4871085" cy="6692900"/>
                    </a:xfrm>
                    <a:prstGeom prst="rect">
                      <a:avLst/>
                    </a:prstGeom>
                  </pic:spPr>
                </pic:pic>
              </a:graphicData>
            </a:graphic>
          </wp:inline>
        </w:drawing>
      </w:r>
    </w:p>
    <w:p w14:paraId="47C7B323" w14:textId="47A865DE" w:rsidR="00ED6D00" w:rsidRDefault="00ED6D00" w:rsidP="00851F3F"/>
    <w:p w14:paraId="2258CFF0" w14:textId="442DFF4E" w:rsidR="00ED6D00" w:rsidRDefault="00ED6D00" w:rsidP="00851F3F"/>
    <w:p w14:paraId="33A83A5D" w14:textId="3FB870A9" w:rsidR="00ED6D00" w:rsidRDefault="00753347" w:rsidP="00851F3F">
      <w:r>
        <w:rPr>
          <w:noProof/>
        </w:rPr>
        <w:lastRenderedPageBreak/>
        <w:drawing>
          <wp:inline distT="0" distB="0" distL="0" distR="0" wp14:anchorId="3C0A0903" wp14:editId="3126FCAE">
            <wp:extent cx="4871085" cy="3472815"/>
            <wp:effectExtent l="0" t="0" r="5715" b="0"/>
            <wp:docPr id="3" name="Picture 3"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able&#10;&#10;Description automatically generated"/>
                    <pic:cNvPicPr/>
                  </pic:nvPicPr>
                  <pic:blipFill>
                    <a:blip r:embed="rId30"/>
                    <a:stretch>
                      <a:fillRect/>
                    </a:stretch>
                  </pic:blipFill>
                  <pic:spPr>
                    <a:xfrm>
                      <a:off x="0" y="0"/>
                      <a:ext cx="4871085" cy="3472815"/>
                    </a:xfrm>
                    <a:prstGeom prst="rect">
                      <a:avLst/>
                    </a:prstGeom>
                  </pic:spPr>
                </pic:pic>
              </a:graphicData>
            </a:graphic>
          </wp:inline>
        </w:drawing>
      </w:r>
    </w:p>
    <w:p w14:paraId="21C6C7E2" w14:textId="4AC52BD9" w:rsidR="00753347" w:rsidRPr="00E162C4" w:rsidRDefault="00654784" w:rsidP="00851F3F">
      <w:r>
        <w:rPr>
          <w:noProof/>
        </w:rPr>
        <w:drawing>
          <wp:inline distT="0" distB="0" distL="0" distR="0" wp14:anchorId="092FF07D" wp14:editId="4BB672DC">
            <wp:extent cx="4871085" cy="1950085"/>
            <wp:effectExtent l="0" t="0" r="5715" b="0"/>
            <wp:docPr id="4" name="Picture 4"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able&#10;&#10;Description automatically generated"/>
                    <pic:cNvPicPr/>
                  </pic:nvPicPr>
                  <pic:blipFill>
                    <a:blip r:embed="rId31"/>
                    <a:stretch>
                      <a:fillRect/>
                    </a:stretch>
                  </pic:blipFill>
                  <pic:spPr>
                    <a:xfrm>
                      <a:off x="0" y="0"/>
                      <a:ext cx="4871085" cy="1950085"/>
                    </a:xfrm>
                    <a:prstGeom prst="rect">
                      <a:avLst/>
                    </a:prstGeom>
                  </pic:spPr>
                </pic:pic>
              </a:graphicData>
            </a:graphic>
          </wp:inline>
        </w:drawing>
      </w:r>
    </w:p>
    <w:sectPr w:rsidR="00753347" w:rsidRPr="00E162C4" w:rsidSect="00C77380">
      <w:headerReference w:type="even" r:id="rId32"/>
      <w:headerReference w:type="default" r:id="rId33"/>
      <w:footerReference w:type="even" r:id="rId34"/>
      <w:footerReference w:type="default" r:id="rId3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1FECC0" w14:textId="77777777" w:rsidR="009E6473" w:rsidRDefault="009E6473">
      <w:r>
        <w:separator/>
      </w:r>
    </w:p>
  </w:endnote>
  <w:endnote w:type="continuationSeparator" w:id="0">
    <w:p w14:paraId="5FD31EF5" w14:textId="77777777" w:rsidR="009E6473" w:rsidRDefault="009E6473">
      <w:r>
        <w:continuationSeparator/>
      </w:r>
    </w:p>
  </w:endnote>
  <w:endnote w:type="continuationNotice" w:id="1">
    <w:p w14:paraId="55B31467" w14:textId="77777777" w:rsidR="009E6473" w:rsidRDefault="009E647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2C453" w14:textId="77777777" w:rsidR="005E250B" w:rsidRDefault="005E250B" w:rsidP="005E250B">
    <w:pPr>
      <w:pStyle w:val="Footer"/>
      <w:jc w:val="right"/>
    </w:pPr>
    <w:r w:rsidRPr="005E250B">
      <w:rPr>
        <w:noProof/>
        <w:vertAlign w:val="subscript"/>
      </w:rPr>
      <w:drawing>
        <wp:inline distT="0" distB="0" distL="0" distR="0" wp14:anchorId="5B24AC9A" wp14:editId="28FE8120">
          <wp:extent cx="1066800" cy="277368"/>
          <wp:effectExtent l="0" t="0" r="0" b="0"/>
          <wp:docPr id="22" name="Picture 22"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6FE5"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51B48"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97819"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8D10250"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0EA2D"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7F94B216"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4FFC3"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E348F17"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D96B2"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CCAE749"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801CD"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6DB9EB0A"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5CE10" w14:textId="77777777" w:rsidR="009E6473" w:rsidRDefault="009E6473" w:rsidP="00EA0969">
      <w:pPr>
        <w:spacing w:after="0"/>
      </w:pPr>
      <w:r>
        <w:separator/>
      </w:r>
    </w:p>
  </w:footnote>
  <w:footnote w:type="continuationSeparator" w:id="0">
    <w:p w14:paraId="408F7C80" w14:textId="77777777" w:rsidR="009E6473" w:rsidRDefault="009E6473">
      <w:r>
        <w:continuationSeparator/>
      </w:r>
    </w:p>
  </w:footnote>
  <w:footnote w:type="continuationNotice" w:id="1">
    <w:p w14:paraId="5A51FD14" w14:textId="77777777" w:rsidR="009E6473" w:rsidRDefault="009E6473">
      <w:pPr>
        <w:spacing w:after="0" w:line="240" w:lineRule="auto"/>
      </w:pPr>
    </w:p>
  </w:footnote>
  <w:footnote w:id="2">
    <w:p w14:paraId="4F63CAE1" w14:textId="3CE8EA01" w:rsidR="00DC61E9" w:rsidRDefault="00DC61E9" w:rsidP="00DC61E9">
      <w:pPr>
        <w:pStyle w:val="FootnoteText"/>
      </w:pPr>
      <w:r>
        <w:rPr>
          <w:rStyle w:val="FootnoteReference"/>
        </w:rPr>
        <w:footnoteRef/>
      </w:r>
      <w:r>
        <w:t xml:space="preserve"> ACMA database, current as of </w:t>
      </w:r>
      <w:r w:rsidR="00A22E96">
        <w:t>1</w:t>
      </w:r>
      <w:r>
        <w:t xml:space="preserve">3 </w:t>
      </w:r>
      <w:r w:rsidR="00A22E96">
        <w:t xml:space="preserve">May </w:t>
      </w:r>
      <w:r>
        <w:t>2022.</w:t>
      </w:r>
    </w:p>
  </w:footnote>
  <w:footnote w:id="3">
    <w:p w14:paraId="155AB7C2" w14:textId="77777777" w:rsidR="008E603E" w:rsidRDefault="008E603E" w:rsidP="008E603E">
      <w:pPr>
        <w:pStyle w:val="FootnoteText"/>
        <w:ind w:left="142" w:hanging="142"/>
      </w:pPr>
      <w:r>
        <w:rPr>
          <w:rStyle w:val="FootnoteReference"/>
        </w:rPr>
        <w:footnoteRef/>
      </w:r>
      <w:r>
        <w:t xml:space="preserve"> Prior to the </w:t>
      </w:r>
      <w:r w:rsidRPr="008E31DB">
        <w:rPr>
          <w:i/>
          <w:iCs/>
        </w:rPr>
        <w:t>Radiocommunications Legislation Amendment (Reform and Modernisation) Act 2020</w:t>
      </w:r>
      <w:r>
        <w:t>, subsection 103(3) provided that an apparatus licence may specify any period not exceeding 5 years.</w:t>
      </w:r>
    </w:p>
  </w:footnote>
  <w:footnote w:id="4">
    <w:p w14:paraId="2A924518" w14:textId="366BF64B" w:rsidR="004E5B92" w:rsidRDefault="004E5B92" w:rsidP="004E5B92">
      <w:pPr>
        <w:pStyle w:val="FootnoteText"/>
        <w:ind w:left="142" w:hanging="142"/>
      </w:pPr>
      <w:r>
        <w:rPr>
          <w:rStyle w:val="FootnoteReference"/>
        </w:rPr>
        <w:footnoteRef/>
      </w:r>
      <w:r>
        <w:t xml:space="preserve"> ACMA, “Our approach to radiocommunications licensing and allocation: Implementing the </w:t>
      </w:r>
      <w:r w:rsidRPr="00EF0489">
        <w:rPr>
          <w:i/>
          <w:iCs/>
        </w:rPr>
        <w:t>Radiocommunications Legislation Amendment (Reform and Modernisation) Act 2020</w:t>
      </w:r>
      <w:r>
        <w:t>”, p</w:t>
      </w:r>
      <w:r w:rsidR="00F318E8">
        <w:t xml:space="preserve"> </w:t>
      </w:r>
      <w:r>
        <w:t>11.</w:t>
      </w:r>
    </w:p>
  </w:footnote>
  <w:footnote w:id="5">
    <w:p w14:paraId="774F3FB6" w14:textId="7034F23E" w:rsidR="009C1166" w:rsidRDefault="009C1166" w:rsidP="009473EF">
      <w:pPr>
        <w:pStyle w:val="FootnoteText"/>
        <w:ind w:left="142" w:hanging="142"/>
      </w:pPr>
      <w:r>
        <w:rPr>
          <w:rStyle w:val="FootnoteReference"/>
        </w:rPr>
        <w:footnoteRef/>
      </w:r>
      <w:r>
        <w:t xml:space="preserve"> </w:t>
      </w:r>
      <w:r w:rsidR="00AC5300">
        <w:t xml:space="preserve">ACMA, </w:t>
      </w:r>
      <w:r w:rsidR="00D40712">
        <w:t>“</w:t>
      </w:r>
      <w:r w:rsidR="00AC5300">
        <w:t xml:space="preserve">Our approach to radiocommunications </w:t>
      </w:r>
      <w:r w:rsidR="00F5198C">
        <w:t xml:space="preserve">licensing and allocation: Implementing the </w:t>
      </w:r>
      <w:r w:rsidR="00F5198C" w:rsidRPr="00EF0489">
        <w:rPr>
          <w:i/>
          <w:iCs/>
        </w:rPr>
        <w:t>Radiocommunications Legislation Amendment (Reform and Modernisation</w:t>
      </w:r>
      <w:r w:rsidR="009473EF" w:rsidRPr="00EF0489">
        <w:rPr>
          <w:i/>
          <w:iCs/>
        </w:rPr>
        <w:t>) Act 2020</w:t>
      </w:r>
      <w:r w:rsidR="00D40712">
        <w:t>”</w:t>
      </w:r>
      <w:r w:rsidR="009473EF">
        <w:t xml:space="preserve">, p </w:t>
      </w:r>
      <w:r>
        <w:t>11.</w:t>
      </w:r>
    </w:p>
  </w:footnote>
  <w:footnote w:id="6">
    <w:p w14:paraId="364C2531" w14:textId="5BD175AE" w:rsidR="009C1166" w:rsidRDefault="009C1166" w:rsidP="009C1166">
      <w:pPr>
        <w:pStyle w:val="FootnoteText"/>
      </w:pPr>
      <w:r>
        <w:rPr>
          <w:rStyle w:val="FootnoteReference"/>
        </w:rPr>
        <w:footnoteRef/>
      </w:r>
      <w:r>
        <w:t xml:space="preserve"> ACMA database, current as of </w:t>
      </w:r>
      <w:r w:rsidR="001A16B0">
        <w:t>1</w:t>
      </w:r>
      <w:r>
        <w:t xml:space="preserve">3 </w:t>
      </w:r>
      <w:r w:rsidR="001A16B0">
        <w:t>May 2</w:t>
      </w:r>
      <w:r>
        <w:t>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AEDF9" w14:textId="77777777" w:rsidR="00C053A1" w:rsidRPr="00A5474E" w:rsidRDefault="0021426C" w:rsidP="00A5474E">
    <w:pPr>
      <w:pStyle w:val="Header"/>
    </w:pPr>
    <w:r>
      <w:rPr>
        <w:noProof/>
      </w:rPr>
      <w:drawing>
        <wp:inline distT="0" distB="0" distL="0" distR="0" wp14:anchorId="00BA6C7B" wp14:editId="0AE054DF">
          <wp:extent cx="6210300" cy="571134"/>
          <wp:effectExtent l="0" t="0" r="0" b="0"/>
          <wp:docPr id="21" name="Picture 2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ABABD"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4D47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0BFC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6B7716A" w14:textId="77777777" w:rsidTr="003B0421">
      <w:trPr>
        <w:trHeight w:hRule="exact" w:val="988"/>
      </w:trPr>
      <w:tc>
        <w:tcPr>
          <w:tcW w:w="7678" w:type="dxa"/>
          <w:shd w:val="clear" w:color="auto" w:fill="auto"/>
        </w:tcPr>
        <w:p w14:paraId="45EBEB87" w14:textId="77777777" w:rsidR="00971914" w:rsidRDefault="00971914" w:rsidP="00971914">
          <w:pPr>
            <w:pStyle w:val="Header"/>
          </w:pPr>
        </w:p>
      </w:tc>
    </w:tr>
    <w:tr w:rsidR="00971914" w14:paraId="34F6BCEE" w14:textId="77777777" w:rsidTr="003B0421">
      <w:tc>
        <w:tcPr>
          <w:tcW w:w="7678" w:type="dxa"/>
          <w:shd w:val="clear" w:color="auto" w:fill="auto"/>
        </w:tcPr>
        <w:p w14:paraId="46869B0B" w14:textId="77777777" w:rsidR="00971914" w:rsidRDefault="00971914" w:rsidP="00971914">
          <w:pPr>
            <w:pStyle w:val="GridTable31"/>
          </w:pPr>
          <w:r>
            <w:t xml:space="preserve">Contents </w:t>
          </w:r>
          <w:r w:rsidRPr="00915B1C">
            <w:rPr>
              <w:b w:val="0"/>
              <w:spacing w:val="0"/>
              <w:sz w:val="28"/>
              <w:szCs w:val="28"/>
            </w:rPr>
            <w:t>(Continued)</w:t>
          </w:r>
        </w:p>
      </w:tc>
    </w:tr>
    <w:tr w:rsidR="00971914" w14:paraId="2E3E1508" w14:textId="77777777" w:rsidTr="003B0421">
      <w:trPr>
        <w:trHeight w:val="1220"/>
      </w:trPr>
      <w:tc>
        <w:tcPr>
          <w:tcW w:w="7678" w:type="dxa"/>
          <w:shd w:val="clear" w:color="auto" w:fill="auto"/>
        </w:tcPr>
        <w:p w14:paraId="78BAB852" w14:textId="77777777" w:rsidR="00971914" w:rsidRDefault="00971914" w:rsidP="00971914"/>
      </w:tc>
    </w:tr>
  </w:tbl>
  <w:p w14:paraId="1EB99579"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B6256A2" w14:textId="77777777" w:rsidTr="003B0421">
      <w:trPr>
        <w:trHeight w:hRule="exact" w:val="988"/>
      </w:trPr>
      <w:tc>
        <w:tcPr>
          <w:tcW w:w="7678" w:type="dxa"/>
          <w:shd w:val="clear" w:color="auto" w:fill="auto"/>
        </w:tcPr>
        <w:p w14:paraId="5646F643" w14:textId="77777777" w:rsidR="00971914" w:rsidRDefault="00971914" w:rsidP="00971914">
          <w:pPr>
            <w:pStyle w:val="Header"/>
          </w:pPr>
        </w:p>
      </w:tc>
    </w:tr>
    <w:tr w:rsidR="00971914" w14:paraId="203F6538" w14:textId="77777777" w:rsidTr="003B0421">
      <w:tc>
        <w:tcPr>
          <w:tcW w:w="7678" w:type="dxa"/>
          <w:shd w:val="clear" w:color="auto" w:fill="auto"/>
        </w:tcPr>
        <w:p w14:paraId="06A26D15" w14:textId="77777777" w:rsidR="00971914" w:rsidRDefault="00971914" w:rsidP="00971914">
          <w:pPr>
            <w:pStyle w:val="GridTable31"/>
          </w:pPr>
          <w:r>
            <w:t xml:space="preserve">Contents </w:t>
          </w:r>
          <w:r w:rsidRPr="00915B1C">
            <w:rPr>
              <w:b w:val="0"/>
              <w:spacing w:val="0"/>
              <w:sz w:val="28"/>
              <w:szCs w:val="28"/>
            </w:rPr>
            <w:t>(Continued)</w:t>
          </w:r>
        </w:p>
      </w:tc>
    </w:tr>
    <w:tr w:rsidR="00971914" w14:paraId="10B8EDE2" w14:textId="77777777" w:rsidTr="003B0421">
      <w:trPr>
        <w:trHeight w:val="1220"/>
      </w:trPr>
      <w:tc>
        <w:tcPr>
          <w:tcW w:w="7678" w:type="dxa"/>
          <w:shd w:val="clear" w:color="auto" w:fill="auto"/>
        </w:tcPr>
        <w:p w14:paraId="3B1ADDBA" w14:textId="77777777" w:rsidR="00971914" w:rsidRDefault="00971914" w:rsidP="00971914"/>
      </w:tc>
    </w:tr>
  </w:tbl>
  <w:p w14:paraId="218AAB41"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3A2CC"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460B8"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0E06F6B"/>
    <w:multiLevelType w:val="hybridMultilevel"/>
    <w:tmpl w:val="7D0A65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020905"/>
    <w:multiLevelType w:val="hybridMultilevel"/>
    <w:tmpl w:val="01322C3E"/>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B26272C"/>
    <w:multiLevelType w:val="hybridMultilevel"/>
    <w:tmpl w:val="0AE685A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8"/>
  </w:num>
  <w:num w:numId="6">
    <w:abstractNumId w:val="14"/>
  </w:num>
  <w:num w:numId="7">
    <w:abstractNumId w:val="12"/>
  </w:num>
  <w:num w:numId="8">
    <w:abstractNumId w:val="13"/>
  </w:num>
  <w:num w:numId="9">
    <w:abstractNumId w:val="15"/>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9"/>
  </w:num>
  <w:num w:numId="17">
    <w:abstractNumId w:val="2"/>
    <w:lvlOverride w:ilvl="0">
      <w:startOverride w:val="1"/>
    </w:lvlOverride>
  </w:num>
  <w:num w:numId="18">
    <w:abstractNumId w:val="3"/>
  </w:num>
  <w:num w:numId="19">
    <w:abstractNumId w:val="3"/>
  </w:num>
  <w:num w:numId="20">
    <w:abstractNumId w:val="6"/>
  </w:num>
  <w:num w:numId="21">
    <w:abstractNumId w:val="11"/>
  </w:num>
  <w:num w:numId="22">
    <w:abstractNumId w:val="7"/>
  </w:num>
  <w:num w:numId="23">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6EE"/>
    <w:rsid w:val="00000BDF"/>
    <w:rsid w:val="00007AA7"/>
    <w:rsid w:val="00010667"/>
    <w:rsid w:val="0001258A"/>
    <w:rsid w:val="000129D5"/>
    <w:rsid w:val="000156EE"/>
    <w:rsid w:val="00015AE7"/>
    <w:rsid w:val="000169D5"/>
    <w:rsid w:val="00016E21"/>
    <w:rsid w:val="0001719C"/>
    <w:rsid w:val="00021454"/>
    <w:rsid w:val="0002224E"/>
    <w:rsid w:val="00023A36"/>
    <w:rsid w:val="00024392"/>
    <w:rsid w:val="000245E5"/>
    <w:rsid w:val="00025C81"/>
    <w:rsid w:val="00026F91"/>
    <w:rsid w:val="000315B3"/>
    <w:rsid w:val="00032621"/>
    <w:rsid w:val="00033A73"/>
    <w:rsid w:val="00034B7B"/>
    <w:rsid w:val="00044D5C"/>
    <w:rsid w:val="0004764C"/>
    <w:rsid w:val="0005011A"/>
    <w:rsid w:val="0005045A"/>
    <w:rsid w:val="00051C1E"/>
    <w:rsid w:val="000526CB"/>
    <w:rsid w:val="000539F9"/>
    <w:rsid w:val="00054C27"/>
    <w:rsid w:val="00055EC3"/>
    <w:rsid w:val="000563CE"/>
    <w:rsid w:val="0006431F"/>
    <w:rsid w:val="000659B6"/>
    <w:rsid w:val="0006686F"/>
    <w:rsid w:val="0006722A"/>
    <w:rsid w:val="00071BAA"/>
    <w:rsid w:val="00072A62"/>
    <w:rsid w:val="000732CF"/>
    <w:rsid w:val="00075B96"/>
    <w:rsid w:val="00081847"/>
    <w:rsid w:val="0008196A"/>
    <w:rsid w:val="00082F99"/>
    <w:rsid w:val="00085F7D"/>
    <w:rsid w:val="000915ED"/>
    <w:rsid w:val="0009209D"/>
    <w:rsid w:val="00092EA6"/>
    <w:rsid w:val="0009463C"/>
    <w:rsid w:val="000960F3"/>
    <w:rsid w:val="000969BD"/>
    <w:rsid w:val="000969BF"/>
    <w:rsid w:val="000A0C22"/>
    <w:rsid w:val="000A1400"/>
    <w:rsid w:val="000A3C43"/>
    <w:rsid w:val="000A4A51"/>
    <w:rsid w:val="000A4E43"/>
    <w:rsid w:val="000A5D2B"/>
    <w:rsid w:val="000B4664"/>
    <w:rsid w:val="000B5DE3"/>
    <w:rsid w:val="000B701E"/>
    <w:rsid w:val="000C0A57"/>
    <w:rsid w:val="000C0B37"/>
    <w:rsid w:val="000C12EC"/>
    <w:rsid w:val="000C230C"/>
    <w:rsid w:val="000C6830"/>
    <w:rsid w:val="000C6AB4"/>
    <w:rsid w:val="000D14CB"/>
    <w:rsid w:val="000D71D9"/>
    <w:rsid w:val="000D76E0"/>
    <w:rsid w:val="000D7E8B"/>
    <w:rsid w:val="000E2E50"/>
    <w:rsid w:val="000E4449"/>
    <w:rsid w:val="000E6097"/>
    <w:rsid w:val="000F32E6"/>
    <w:rsid w:val="000F79C0"/>
    <w:rsid w:val="00103829"/>
    <w:rsid w:val="001042BE"/>
    <w:rsid w:val="00105788"/>
    <w:rsid w:val="00110895"/>
    <w:rsid w:val="00111FCE"/>
    <w:rsid w:val="00113045"/>
    <w:rsid w:val="0011589B"/>
    <w:rsid w:val="001229A5"/>
    <w:rsid w:val="00122AD8"/>
    <w:rsid w:val="0012489B"/>
    <w:rsid w:val="00127F10"/>
    <w:rsid w:val="00130017"/>
    <w:rsid w:val="00130095"/>
    <w:rsid w:val="00130F91"/>
    <w:rsid w:val="00131F0B"/>
    <w:rsid w:val="001349ED"/>
    <w:rsid w:val="00137424"/>
    <w:rsid w:val="001374A3"/>
    <w:rsid w:val="00140318"/>
    <w:rsid w:val="00141AD9"/>
    <w:rsid w:val="00146CE6"/>
    <w:rsid w:val="00152903"/>
    <w:rsid w:val="00153FD5"/>
    <w:rsid w:val="0015614F"/>
    <w:rsid w:val="001577C2"/>
    <w:rsid w:val="0016151E"/>
    <w:rsid w:val="001633C4"/>
    <w:rsid w:val="001674C4"/>
    <w:rsid w:val="00167DEB"/>
    <w:rsid w:val="001704D5"/>
    <w:rsid w:val="001708CB"/>
    <w:rsid w:val="00171591"/>
    <w:rsid w:val="00173981"/>
    <w:rsid w:val="0017719D"/>
    <w:rsid w:val="001811AB"/>
    <w:rsid w:val="00183FD7"/>
    <w:rsid w:val="00185CAB"/>
    <w:rsid w:val="001872C1"/>
    <w:rsid w:val="001875B7"/>
    <w:rsid w:val="00187CB3"/>
    <w:rsid w:val="0019050A"/>
    <w:rsid w:val="001910D4"/>
    <w:rsid w:val="001976E3"/>
    <w:rsid w:val="001A16B0"/>
    <w:rsid w:val="001A44EC"/>
    <w:rsid w:val="001B3864"/>
    <w:rsid w:val="001B41D6"/>
    <w:rsid w:val="001B58AA"/>
    <w:rsid w:val="001B7E48"/>
    <w:rsid w:val="001C17CE"/>
    <w:rsid w:val="001C36CA"/>
    <w:rsid w:val="001C44D1"/>
    <w:rsid w:val="001C6AEE"/>
    <w:rsid w:val="001C7630"/>
    <w:rsid w:val="001D174D"/>
    <w:rsid w:val="001D6A45"/>
    <w:rsid w:val="001D6D15"/>
    <w:rsid w:val="001E30F3"/>
    <w:rsid w:val="001F394A"/>
    <w:rsid w:val="001F3DA9"/>
    <w:rsid w:val="001F50F7"/>
    <w:rsid w:val="001F534F"/>
    <w:rsid w:val="001F69FC"/>
    <w:rsid w:val="001F7558"/>
    <w:rsid w:val="00201EE2"/>
    <w:rsid w:val="00204532"/>
    <w:rsid w:val="00205B57"/>
    <w:rsid w:val="002104E2"/>
    <w:rsid w:val="00213ED8"/>
    <w:rsid w:val="0021426C"/>
    <w:rsid w:val="002157E0"/>
    <w:rsid w:val="00215875"/>
    <w:rsid w:val="00216A57"/>
    <w:rsid w:val="00217448"/>
    <w:rsid w:val="002202F4"/>
    <w:rsid w:val="0022334F"/>
    <w:rsid w:val="00226819"/>
    <w:rsid w:val="00226D97"/>
    <w:rsid w:val="0023262E"/>
    <w:rsid w:val="00233101"/>
    <w:rsid w:val="0023318B"/>
    <w:rsid w:val="00233817"/>
    <w:rsid w:val="0023539A"/>
    <w:rsid w:val="002367FF"/>
    <w:rsid w:val="002374EC"/>
    <w:rsid w:val="00240CE9"/>
    <w:rsid w:val="002428A7"/>
    <w:rsid w:val="002434BA"/>
    <w:rsid w:val="00246089"/>
    <w:rsid w:val="00246093"/>
    <w:rsid w:val="00246702"/>
    <w:rsid w:val="00247C59"/>
    <w:rsid w:val="00247F2E"/>
    <w:rsid w:val="00250ADC"/>
    <w:rsid w:val="00250B07"/>
    <w:rsid w:val="00253932"/>
    <w:rsid w:val="00255B9A"/>
    <w:rsid w:val="00257553"/>
    <w:rsid w:val="00260FB2"/>
    <w:rsid w:val="00262128"/>
    <w:rsid w:val="00264EC9"/>
    <w:rsid w:val="002713BA"/>
    <w:rsid w:val="0027165D"/>
    <w:rsid w:val="00273CEB"/>
    <w:rsid w:val="00275004"/>
    <w:rsid w:val="00280D6A"/>
    <w:rsid w:val="00281500"/>
    <w:rsid w:val="002818B7"/>
    <w:rsid w:val="00281C89"/>
    <w:rsid w:val="0028282F"/>
    <w:rsid w:val="00290FF1"/>
    <w:rsid w:val="0029593B"/>
    <w:rsid w:val="00297FC5"/>
    <w:rsid w:val="002A0417"/>
    <w:rsid w:val="002A16D8"/>
    <w:rsid w:val="002A1BC8"/>
    <w:rsid w:val="002A3EF2"/>
    <w:rsid w:val="002A4950"/>
    <w:rsid w:val="002B0522"/>
    <w:rsid w:val="002B0DED"/>
    <w:rsid w:val="002B19A2"/>
    <w:rsid w:val="002B381A"/>
    <w:rsid w:val="002B4BB4"/>
    <w:rsid w:val="002B4FCC"/>
    <w:rsid w:val="002B7408"/>
    <w:rsid w:val="002B7CFD"/>
    <w:rsid w:val="002C0530"/>
    <w:rsid w:val="002C210F"/>
    <w:rsid w:val="002C61EC"/>
    <w:rsid w:val="002D1859"/>
    <w:rsid w:val="002D3600"/>
    <w:rsid w:val="002D619D"/>
    <w:rsid w:val="002E4DDC"/>
    <w:rsid w:val="002F1BEE"/>
    <w:rsid w:val="002F7CBB"/>
    <w:rsid w:val="00302480"/>
    <w:rsid w:val="00302758"/>
    <w:rsid w:val="00307C0C"/>
    <w:rsid w:val="00311B6E"/>
    <w:rsid w:val="003165E6"/>
    <w:rsid w:val="003215B5"/>
    <w:rsid w:val="003221CF"/>
    <w:rsid w:val="003233ED"/>
    <w:rsid w:val="00323F1F"/>
    <w:rsid w:val="00324D9F"/>
    <w:rsid w:val="003253EE"/>
    <w:rsid w:val="00327584"/>
    <w:rsid w:val="00327948"/>
    <w:rsid w:val="0033000F"/>
    <w:rsid w:val="00330939"/>
    <w:rsid w:val="00332011"/>
    <w:rsid w:val="00332518"/>
    <w:rsid w:val="00332925"/>
    <w:rsid w:val="00332E3F"/>
    <w:rsid w:val="003332ED"/>
    <w:rsid w:val="00333732"/>
    <w:rsid w:val="003368DC"/>
    <w:rsid w:val="00337A5A"/>
    <w:rsid w:val="0034490B"/>
    <w:rsid w:val="00345927"/>
    <w:rsid w:val="00345E7E"/>
    <w:rsid w:val="00350584"/>
    <w:rsid w:val="00351857"/>
    <w:rsid w:val="00353979"/>
    <w:rsid w:val="003545E8"/>
    <w:rsid w:val="003568CE"/>
    <w:rsid w:val="003610E1"/>
    <w:rsid w:val="003628F0"/>
    <w:rsid w:val="003663A0"/>
    <w:rsid w:val="003671BE"/>
    <w:rsid w:val="003717FE"/>
    <w:rsid w:val="00372485"/>
    <w:rsid w:val="00373200"/>
    <w:rsid w:val="00375EF5"/>
    <w:rsid w:val="003767A5"/>
    <w:rsid w:val="003803BD"/>
    <w:rsid w:val="00381D15"/>
    <w:rsid w:val="00384A01"/>
    <w:rsid w:val="00384E52"/>
    <w:rsid w:val="00385254"/>
    <w:rsid w:val="003854E8"/>
    <w:rsid w:val="003860E5"/>
    <w:rsid w:val="00386FAE"/>
    <w:rsid w:val="003871B5"/>
    <w:rsid w:val="00387D4D"/>
    <w:rsid w:val="00390D91"/>
    <w:rsid w:val="003933E8"/>
    <w:rsid w:val="00393AC6"/>
    <w:rsid w:val="00394031"/>
    <w:rsid w:val="0039483F"/>
    <w:rsid w:val="00394AF7"/>
    <w:rsid w:val="00396DC2"/>
    <w:rsid w:val="003A04DB"/>
    <w:rsid w:val="003A1844"/>
    <w:rsid w:val="003A38F7"/>
    <w:rsid w:val="003A5AA0"/>
    <w:rsid w:val="003A5F5B"/>
    <w:rsid w:val="003A789A"/>
    <w:rsid w:val="003B12EC"/>
    <w:rsid w:val="003B2FF2"/>
    <w:rsid w:val="003B5BD4"/>
    <w:rsid w:val="003C03B8"/>
    <w:rsid w:val="003C77E0"/>
    <w:rsid w:val="003D17D7"/>
    <w:rsid w:val="003D2678"/>
    <w:rsid w:val="003D3AB1"/>
    <w:rsid w:val="003D71A3"/>
    <w:rsid w:val="003E2B8A"/>
    <w:rsid w:val="003F10EE"/>
    <w:rsid w:val="003F16F6"/>
    <w:rsid w:val="003F4DC7"/>
    <w:rsid w:val="003F5235"/>
    <w:rsid w:val="003F62AF"/>
    <w:rsid w:val="004022A1"/>
    <w:rsid w:val="004027E4"/>
    <w:rsid w:val="0041071D"/>
    <w:rsid w:val="00410A60"/>
    <w:rsid w:val="00411B8C"/>
    <w:rsid w:val="00414AFC"/>
    <w:rsid w:val="004151A7"/>
    <w:rsid w:val="00415310"/>
    <w:rsid w:val="004171DD"/>
    <w:rsid w:val="00417A1B"/>
    <w:rsid w:val="00421709"/>
    <w:rsid w:val="00423763"/>
    <w:rsid w:val="0042762F"/>
    <w:rsid w:val="00427DC7"/>
    <w:rsid w:val="00431613"/>
    <w:rsid w:val="00431792"/>
    <w:rsid w:val="0043297A"/>
    <w:rsid w:val="00432EB2"/>
    <w:rsid w:val="0043714F"/>
    <w:rsid w:val="004409DB"/>
    <w:rsid w:val="004438B5"/>
    <w:rsid w:val="00444339"/>
    <w:rsid w:val="00447037"/>
    <w:rsid w:val="0045124D"/>
    <w:rsid w:val="00452E88"/>
    <w:rsid w:val="00454596"/>
    <w:rsid w:val="0045605D"/>
    <w:rsid w:val="0046135B"/>
    <w:rsid w:val="00461D47"/>
    <w:rsid w:val="00465457"/>
    <w:rsid w:val="004718CC"/>
    <w:rsid w:val="00472341"/>
    <w:rsid w:val="004727D8"/>
    <w:rsid w:val="00476BD2"/>
    <w:rsid w:val="00481695"/>
    <w:rsid w:val="0048493A"/>
    <w:rsid w:val="00485C01"/>
    <w:rsid w:val="004860C9"/>
    <w:rsid w:val="00486FF6"/>
    <w:rsid w:val="00492BA8"/>
    <w:rsid w:val="00493AA8"/>
    <w:rsid w:val="00495A96"/>
    <w:rsid w:val="00495BB3"/>
    <w:rsid w:val="004A096A"/>
    <w:rsid w:val="004A56BB"/>
    <w:rsid w:val="004A5A2C"/>
    <w:rsid w:val="004A70D6"/>
    <w:rsid w:val="004B04C2"/>
    <w:rsid w:val="004B1751"/>
    <w:rsid w:val="004B4928"/>
    <w:rsid w:val="004C0253"/>
    <w:rsid w:val="004C6330"/>
    <w:rsid w:val="004D3E8B"/>
    <w:rsid w:val="004D56FF"/>
    <w:rsid w:val="004D5D03"/>
    <w:rsid w:val="004E1060"/>
    <w:rsid w:val="004E1745"/>
    <w:rsid w:val="004E39D3"/>
    <w:rsid w:val="004E508A"/>
    <w:rsid w:val="004E5B92"/>
    <w:rsid w:val="004E616D"/>
    <w:rsid w:val="004F1BDE"/>
    <w:rsid w:val="004F2CEE"/>
    <w:rsid w:val="004F556E"/>
    <w:rsid w:val="004F591C"/>
    <w:rsid w:val="004F6AF6"/>
    <w:rsid w:val="004F7F44"/>
    <w:rsid w:val="005014A9"/>
    <w:rsid w:val="00501837"/>
    <w:rsid w:val="005037B4"/>
    <w:rsid w:val="005072B7"/>
    <w:rsid w:val="005079BF"/>
    <w:rsid w:val="005106D7"/>
    <w:rsid w:val="005110D0"/>
    <w:rsid w:val="0051269A"/>
    <w:rsid w:val="00513FB3"/>
    <w:rsid w:val="00514315"/>
    <w:rsid w:val="00520046"/>
    <w:rsid w:val="005219E7"/>
    <w:rsid w:val="00531B9A"/>
    <w:rsid w:val="00531D15"/>
    <w:rsid w:val="005342B5"/>
    <w:rsid w:val="00537604"/>
    <w:rsid w:val="00541B18"/>
    <w:rsid w:val="00542377"/>
    <w:rsid w:val="00546C9A"/>
    <w:rsid w:val="005476EB"/>
    <w:rsid w:val="00551782"/>
    <w:rsid w:val="0055458A"/>
    <w:rsid w:val="00555021"/>
    <w:rsid w:val="00556587"/>
    <w:rsid w:val="0056021F"/>
    <w:rsid w:val="00560877"/>
    <w:rsid w:val="00563D77"/>
    <w:rsid w:val="00563EF1"/>
    <w:rsid w:val="00566AB4"/>
    <w:rsid w:val="00570F24"/>
    <w:rsid w:val="00573812"/>
    <w:rsid w:val="00575AC5"/>
    <w:rsid w:val="0057605D"/>
    <w:rsid w:val="005769F7"/>
    <w:rsid w:val="00581347"/>
    <w:rsid w:val="00581AC9"/>
    <w:rsid w:val="0058252C"/>
    <w:rsid w:val="005849F8"/>
    <w:rsid w:val="00584B51"/>
    <w:rsid w:val="00585BE3"/>
    <w:rsid w:val="0059203A"/>
    <w:rsid w:val="005938DF"/>
    <w:rsid w:val="00594E9C"/>
    <w:rsid w:val="005A099B"/>
    <w:rsid w:val="005A2D9C"/>
    <w:rsid w:val="005A55FE"/>
    <w:rsid w:val="005A6A11"/>
    <w:rsid w:val="005A708C"/>
    <w:rsid w:val="005B2F0D"/>
    <w:rsid w:val="005B3E95"/>
    <w:rsid w:val="005B4AED"/>
    <w:rsid w:val="005B4EF6"/>
    <w:rsid w:val="005C34EF"/>
    <w:rsid w:val="005D0356"/>
    <w:rsid w:val="005D231E"/>
    <w:rsid w:val="005D2502"/>
    <w:rsid w:val="005D40BB"/>
    <w:rsid w:val="005D47F3"/>
    <w:rsid w:val="005D49BF"/>
    <w:rsid w:val="005D4AA5"/>
    <w:rsid w:val="005D6F4E"/>
    <w:rsid w:val="005D7C73"/>
    <w:rsid w:val="005D7F42"/>
    <w:rsid w:val="005E11EE"/>
    <w:rsid w:val="005E250B"/>
    <w:rsid w:val="005E3ACD"/>
    <w:rsid w:val="005E6C9F"/>
    <w:rsid w:val="005E7226"/>
    <w:rsid w:val="005E7A57"/>
    <w:rsid w:val="005F24B0"/>
    <w:rsid w:val="005F455B"/>
    <w:rsid w:val="00600337"/>
    <w:rsid w:val="00604315"/>
    <w:rsid w:val="00604E26"/>
    <w:rsid w:val="0060523F"/>
    <w:rsid w:val="006052CF"/>
    <w:rsid w:val="00607986"/>
    <w:rsid w:val="00607B8D"/>
    <w:rsid w:val="00610078"/>
    <w:rsid w:val="00611F5C"/>
    <w:rsid w:val="00614C87"/>
    <w:rsid w:val="00616C3B"/>
    <w:rsid w:val="00616E09"/>
    <w:rsid w:val="00622A3B"/>
    <w:rsid w:val="00622EEA"/>
    <w:rsid w:val="0062396C"/>
    <w:rsid w:val="00623FF9"/>
    <w:rsid w:val="0062437D"/>
    <w:rsid w:val="00624EF2"/>
    <w:rsid w:val="00627D4E"/>
    <w:rsid w:val="00632B89"/>
    <w:rsid w:val="0063346D"/>
    <w:rsid w:val="00634478"/>
    <w:rsid w:val="00635A7A"/>
    <w:rsid w:val="0063638D"/>
    <w:rsid w:val="006426DB"/>
    <w:rsid w:val="00644373"/>
    <w:rsid w:val="00644A6A"/>
    <w:rsid w:val="00645915"/>
    <w:rsid w:val="00646CC4"/>
    <w:rsid w:val="00650268"/>
    <w:rsid w:val="006519C3"/>
    <w:rsid w:val="00652B30"/>
    <w:rsid w:val="0065339E"/>
    <w:rsid w:val="00654784"/>
    <w:rsid w:val="00656345"/>
    <w:rsid w:val="00656DC6"/>
    <w:rsid w:val="0065782A"/>
    <w:rsid w:val="006605E0"/>
    <w:rsid w:val="00660EC6"/>
    <w:rsid w:val="00664110"/>
    <w:rsid w:val="00664D17"/>
    <w:rsid w:val="00666520"/>
    <w:rsid w:val="00667C5B"/>
    <w:rsid w:val="0068265F"/>
    <w:rsid w:val="00685021"/>
    <w:rsid w:val="00685B77"/>
    <w:rsid w:val="00685B9C"/>
    <w:rsid w:val="00691EB8"/>
    <w:rsid w:val="00692CDE"/>
    <w:rsid w:val="00693073"/>
    <w:rsid w:val="00693EA9"/>
    <w:rsid w:val="0069684E"/>
    <w:rsid w:val="006977FF"/>
    <w:rsid w:val="006A01FA"/>
    <w:rsid w:val="006A0E9E"/>
    <w:rsid w:val="006A204E"/>
    <w:rsid w:val="006A25C7"/>
    <w:rsid w:val="006A31E6"/>
    <w:rsid w:val="006A3ECF"/>
    <w:rsid w:val="006A4AAD"/>
    <w:rsid w:val="006A4CCA"/>
    <w:rsid w:val="006A60E8"/>
    <w:rsid w:val="006A6DA2"/>
    <w:rsid w:val="006A74B1"/>
    <w:rsid w:val="006A7AB2"/>
    <w:rsid w:val="006B0765"/>
    <w:rsid w:val="006B0912"/>
    <w:rsid w:val="006B52DE"/>
    <w:rsid w:val="006B5717"/>
    <w:rsid w:val="006B582F"/>
    <w:rsid w:val="006B5EB2"/>
    <w:rsid w:val="006C0116"/>
    <w:rsid w:val="006C0CEB"/>
    <w:rsid w:val="006C1626"/>
    <w:rsid w:val="006C1631"/>
    <w:rsid w:val="006C3B1E"/>
    <w:rsid w:val="006C47FD"/>
    <w:rsid w:val="006C5C19"/>
    <w:rsid w:val="006C5FD4"/>
    <w:rsid w:val="006C70A0"/>
    <w:rsid w:val="006D082E"/>
    <w:rsid w:val="006D09B6"/>
    <w:rsid w:val="006D27CB"/>
    <w:rsid w:val="006D2F08"/>
    <w:rsid w:val="006D576C"/>
    <w:rsid w:val="006D5865"/>
    <w:rsid w:val="006E1B72"/>
    <w:rsid w:val="006E4B1B"/>
    <w:rsid w:val="006E5445"/>
    <w:rsid w:val="006E7D93"/>
    <w:rsid w:val="006F1D7C"/>
    <w:rsid w:val="006F34F0"/>
    <w:rsid w:val="006F7C41"/>
    <w:rsid w:val="0070133D"/>
    <w:rsid w:val="00701B1F"/>
    <w:rsid w:val="007029A3"/>
    <w:rsid w:val="00703252"/>
    <w:rsid w:val="007044B3"/>
    <w:rsid w:val="00706E4E"/>
    <w:rsid w:val="0070791C"/>
    <w:rsid w:val="00710006"/>
    <w:rsid w:val="00712A2E"/>
    <w:rsid w:val="0071383C"/>
    <w:rsid w:val="007141A7"/>
    <w:rsid w:val="00714D44"/>
    <w:rsid w:val="00715722"/>
    <w:rsid w:val="00715BAF"/>
    <w:rsid w:val="00721032"/>
    <w:rsid w:val="00721B55"/>
    <w:rsid w:val="007250F3"/>
    <w:rsid w:val="00726CE4"/>
    <w:rsid w:val="00727BF1"/>
    <w:rsid w:val="00733BAD"/>
    <w:rsid w:val="00734143"/>
    <w:rsid w:val="00737E47"/>
    <w:rsid w:val="00740670"/>
    <w:rsid w:val="00740AC1"/>
    <w:rsid w:val="00740EAC"/>
    <w:rsid w:val="00743FE8"/>
    <w:rsid w:val="00744956"/>
    <w:rsid w:val="00745A5C"/>
    <w:rsid w:val="0074605F"/>
    <w:rsid w:val="00747E94"/>
    <w:rsid w:val="00750F31"/>
    <w:rsid w:val="00752B41"/>
    <w:rsid w:val="00753347"/>
    <w:rsid w:val="00754C83"/>
    <w:rsid w:val="0076062A"/>
    <w:rsid w:val="00761E5C"/>
    <w:rsid w:val="00765DF8"/>
    <w:rsid w:val="00766749"/>
    <w:rsid w:val="007678E0"/>
    <w:rsid w:val="00767C1B"/>
    <w:rsid w:val="00770B3F"/>
    <w:rsid w:val="007714A9"/>
    <w:rsid w:val="00774F88"/>
    <w:rsid w:val="00774FDB"/>
    <w:rsid w:val="00777BA2"/>
    <w:rsid w:val="00781408"/>
    <w:rsid w:val="00784F7F"/>
    <w:rsid w:val="007875EF"/>
    <w:rsid w:val="007878BD"/>
    <w:rsid w:val="00792165"/>
    <w:rsid w:val="007928A0"/>
    <w:rsid w:val="00793F58"/>
    <w:rsid w:val="00796F25"/>
    <w:rsid w:val="00797DD9"/>
    <w:rsid w:val="007A2E98"/>
    <w:rsid w:val="007A3BA3"/>
    <w:rsid w:val="007A467E"/>
    <w:rsid w:val="007A6AF3"/>
    <w:rsid w:val="007A6CC0"/>
    <w:rsid w:val="007A7FEC"/>
    <w:rsid w:val="007B1499"/>
    <w:rsid w:val="007B1BBF"/>
    <w:rsid w:val="007B232D"/>
    <w:rsid w:val="007B2960"/>
    <w:rsid w:val="007B355D"/>
    <w:rsid w:val="007B40A2"/>
    <w:rsid w:val="007B74F0"/>
    <w:rsid w:val="007B7980"/>
    <w:rsid w:val="007C0DEF"/>
    <w:rsid w:val="007C4A20"/>
    <w:rsid w:val="007C5D5A"/>
    <w:rsid w:val="007C607F"/>
    <w:rsid w:val="007C79DD"/>
    <w:rsid w:val="007D035A"/>
    <w:rsid w:val="007D03D2"/>
    <w:rsid w:val="007D1A97"/>
    <w:rsid w:val="007D1E2D"/>
    <w:rsid w:val="007D24D6"/>
    <w:rsid w:val="007D2CD6"/>
    <w:rsid w:val="007D3063"/>
    <w:rsid w:val="007D3CEB"/>
    <w:rsid w:val="007E7683"/>
    <w:rsid w:val="007F0515"/>
    <w:rsid w:val="007F0C5F"/>
    <w:rsid w:val="007F260D"/>
    <w:rsid w:val="007F43C1"/>
    <w:rsid w:val="007F49FA"/>
    <w:rsid w:val="007F54C4"/>
    <w:rsid w:val="007F6E9A"/>
    <w:rsid w:val="00800CCD"/>
    <w:rsid w:val="00801FEB"/>
    <w:rsid w:val="0080313A"/>
    <w:rsid w:val="008044D4"/>
    <w:rsid w:val="00807C57"/>
    <w:rsid w:val="008107CA"/>
    <w:rsid w:val="00810AB4"/>
    <w:rsid w:val="00813709"/>
    <w:rsid w:val="008147A9"/>
    <w:rsid w:val="00817B56"/>
    <w:rsid w:val="008207A3"/>
    <w:rsid w:val="008213A7"/>
    <w:rsid w:val="00821A88"/>
    <w:rsid w:val="00821B50"/>
    <w:rsid w:val="0082322E"/>
    <w:rsid w:val="00823B5C"/>
    <w:rsid w:val="0082495D"/>
    <w:rsid w:val="00826DF0"/>
    <w:rsid w:val="0082782F"/>
    <w:rsid w:val="008319E6"/>
    <w:rsid w:val="00831AC3"/>
    <w:rsid w:val="00836FCE"/>
    <w:rsid w:val="0083759D"/>
    <w:rsid w:val="008408FF"/>
    <w:rsid w:val="00843BBF"/>
    <w:rsid w:val="00851F3F"/>
    <w:rsid w:val="00854E77"/>
    <w:rsid w:val="00855ADB"/>
    <w:rsid w:val="00856EDC"/>
    <w:rsid w:val="00857114"/>
    <w:rsid w:val="00860DF6"/>
    <w:rsid w:val="00861017"/>
    <w:rsid w:val="008623B5"/>
    <w:rsid w:val="008656A6"/>
    <w:rsid w:val="00870ABA"/>
    <w:rsid w:val="008710E1"/>
    <w:rsid w:val="008716E5"/>
    <w:rsid w:val="0087348D"/>
    <w:rsid w:val="008767AB"/>
    <w:rsid w:val="00881CA9"/>
    <w:rsid w:val="00882292"/>
    <w:rsid w:val="00883628"/>
    <w:rsid w:val="00885544"/>
    <w:rsid w:val="0088634E"/>
    <w:rsid w:val="00887FB0"/>
    <w:rsid w:val="008926AB"/>
    <w:rsid w:val="00893AB8"/>
    <w:rsid w:val="00894106"/>
    <w:rsid w:val="0089653F"/>
    <w:rsid w:val="008A04C8"/>
    <w:rsid w:val="008A4066"/>
    <w:rsid w:val="008A6913"/>
    <w:rsid w:val="008B445A"/>
    <w:rsid w:val="008B70F3"/>
    <w:rsid w:val="008B71C4"/>
    <w:rsid w:val="008B76DF"/>
    <w:rsid w:val="008C10F4"/>
    <w:rsid w:val="008C65F7"/>
    <w:rsid w:val="008D214D"/>
    <w:rsid w:val="008D7470"/>
    <w:rsid w:val="008E0428"/>
    <w:rsid w:val="008E4767"/>
    <w:rsid w:val="008E603E"/>
    <w:rsid w:val="008E7A8C"/>
    <w:rsid w:val="008F0A34"/>
    <w:rsid w:val="008F0BB0"/>
    <w:rsid w:val="008F2AB0"/>
    <w:rsid w:val="008F434A"/>
    <w:rsid w:val="0090203B"/>
    <w:rsid w:val="00903285"/>
    <w:rsid w:val="00906325"/>
    <w:rsid w:val="00906F40"/>
    <w:rsid w:val="0090723A"/>
    <w:rsid w:val="0090731E"/>
    <w:rsid w:val="009123C8"/>
    <w:rsid w:val="00915B1C"/>
    <w:rsid w:val="009174F3"/>
    <w:rsid w:val="0091797D"/>
    <w:rsid w:val="00922311"/>
    <w:rsid w:val="00923CBA"/>
    <w:rsid w:val="00926703"/>
    <w:rsid w:val="00926B3B"/>
    <w:rsid w:val="00927691"/>
    <w:rsid w:val="00927A5F"/>
    <w:rsid w:val="00930304"/>
    <w:rsid w:val="00930510"/>
    <w:rsid w:val="00935B63"/>
    <w:rsid w:val="0093665E"/>
    <w:rsid w:val="00936E95"/>
    <w:rsid w:val="0094078F"/>
    <w:rsid w:val="00940FA3"/>
    <w:rsid w:val="00941FB0"/>
    <w:rsid w:val="009426D4"/>
    <w:rsid w:val="00943243"/>
    <w:rsid w:val="009454B6"/>
    <w:rsid w:val="009455B3"/>
    <w:rsid w:val="00945B80"/>
    <w:rsid w:val="009473EF"/>
    <w:rsid w:val="00947F25"/>
    <w:rsid w:val="00950159"/>
    <w:rsid w:val="00950BDC"/>
    <w:rsid w:val="0095490B"/>
    <w:rsid w:val="00960A33"/>
    <w:rsid w:val="00964792"/>
    <w:rsid w:val="009665F9"/>
    <w:rsid w:val="00971914"/>
    <w:rsid w:val="00974363"/>
    <w:rsid w:val="0097669A"/>
    <w:rsid w:val="00976A15"/>
    <w:rsid w:val="009807E6"/>
    <w:rsid w:val="0098140F"/>
    <w:rsid w:val="00981898"/>
    <w:rsid w:val="009870ED"/>
    <w:rsid w:val="0099577C"/>
    <w:rsid w:val="009A021C"/>
    <w:rsid w:val="009A11F0"/>
    <w:rsid w:val="009A25CC"/>
    <w:rsid w:val="009A2EE8"/>
    <w:rsid w:val="009A5A0E"/>
    <w:rsid w:val="009B24A5"/>
    <w:rsid w:val="009B2601"/>
    <w:rsid w:val="009B4E9E"/>
    <w:rsid w:val="009C1166"/>
    <w:rsid w:val="009C15C4"/>
    <w:rsid w:val="009C1690"/>
    <w:rsid w:val="009C50E5"/>
    <w:rsid w:val="009C6881"/>
    <w:rsid w:val="009C7759"/>
    <w:rsid w:val="009D043D"/>
    <w:rsid w:val="009D07C8"/>
    <w:rsid w:val="009D2CA2"/>
    <w:rsid w:val="009D3D8C"/>
    <w:rsid w:val="009D4C85"/>
    <w:rsid w:val="009D6C71"/>
    <w:rsid w:val="009E0631"/>
    <w:rsid w:val="009E16D0"/>
    <w:rsid w:val="009E2051"/>
    <w:rsid w:val="009E20E5"/>
    <w:rsid w:val="009E38FD"/>
    <w:rsid w:val="009E3D8B"/>
    <w:rsid w:val="009E6473"/>
    <w:rsid w:val="009F13D6"/>
    <w:rsid w:val="009F4C6B"/>
    <w:rsid w:val="009F78A8"/>
    <w:rsid w:val="00A017E0"/>
    <w:rsid w:val="00A02AD6"/>
    <w:rsid w:val="00A0534D"/>
    <w:rsid w:val="00A07096"/>
    <w:rsid w:val="00A07318"/>
    <w:rsid w:val="00A07517"/>
    <w:rsid w:val="00A1077E"/>
    <w:rsid w:val="00A11370"/>
    <w:rsid w:val="00A1604D"/>
    <w:rsid w:val="00A206C0"/>
    <w:rsid w:val="00A224CE"/>
    <w:rsid w:val="00A22522"/>
    <w:rsid w:val="00A22E96"/>
    <w:rsid w:val="00A24AFD"/>
    <w:rsid w:val="00A24F5C"/>
    <w:rsid w:val="00A32F96"/>
    <w:rsid w:val="00A36031"/>
    <w:rsid w:val="00A40871"/>
    <w:rsid w:val="00A412AB"/>
    <w:rsid w:val="00A4193E"/>
    <w:rsid w:val="00A439A3"/>
    <w:rsid w:val="00A440E0"/>
    <w:rsid w:val="00A442EF"/>
    <w:rsid w:val="00A44F6F"/>
    <w:rsid w:val="00A51D1A"/>
    <w:rsid w:val="00A5418D"/>
    <w:rsid w:val="00A5474E"/>
    <w:rsid w:val="00A57D7D"/>
    <w:rsid w:val="00A64234"/>
    <w:rsid w:val="00A6496A"/>
    <w:rsid w:val="00A64B6C"/>
    <w:rsid w:val="00A66111"/>
    <w:rsid w:val="00A70ADF"/>
    <w:rsid w:val="00A71466"/>
    <w:rsid w:val="00A74B5E"/>
    <w:rsid w:val="00A7524D"/>
    <w:rsid w:val="00A77819"/>
    <w:rsid w:val="00A81BED"/>
    <w:rsid w:val="00A81EC4"/>
    <w:rsid w:val="00A824E8"/>
    <w:rsid w:val="00A82661"/>
    <w:rsid w:val="00A85C35"/>
    <w:rsid w:val="00A86559"/>
    <w:rsid w:val="00A92920"/>
    <w:rsid w:val="00A967FD"/>
    <w:rsid w:val="00A9763E"/>
    <w:rsid w:val="00AA190A"/>
    <w:rsid w:val="00AA2DE5"/>
    <w:rsid w:val="00AA3DB1"/>
    <w:rsid w:val="00AA487A"/>
    <w:rsid w:val="00AA6F5C"/>
    <w:rsid w:val="00AB156C"/>
    <w:rsid w:val="00AB6814"/>
    <w:rsid w:val="00AC04BA"/>
    <w:rsid w:val="00AC0E39"/>
    <w:rsid w:val="00AC5300"/>
    <w:rsid w:val="00AC5FF6"/>
    <w:rsid w:val="00AC6EEA"/>
    <w:rsid w:val="00AD0026"/>
    <w:rsid w:val="00AD26DC"/>
    <w:rsid w:val="00AD3082"/>
    <w:rsid w:val="00AD32B4"/>
    <w:rsid w:val="00AD4AD0"/>
    <w:rsid w:val="00AD5436"/>
    <w:rsid w:val="00AD60CD"/>
    <w:rsid w:val="00AD6C8C"/>
    <w:rsid w:val="00AE091D"/>
    <w:rsid w:val="00AE217E"/>
    <w:rsid w:val="00AE3B60"/>
    <w:rsid w:val="00AE42C4"/>
    <w:rsid w:val="00AE53A1"/>
    <w:rsid w:val="00AF2484"/>
    <w:rsid w:val="00AF303B"/>
    <w:rsid w:val="00AF63E7"/>
    <w:rsid w:val="00AF6E17"/>
    <w:rsid w:val="00B0165D"/>
    <w:rsid w:val="00B01B60"/>
    <w:rsid w:val="00B031F3"/>
    <w:rsid w:val="00B052A4"/>
    <w:rsid w:val="00B11B5C"/>
    <w:rsid w:val="00B125DE"/>
    <w:rsid w:val="00B1344B"/>
    <w:rsid w:val="00B13FDD"/>
    <w:rsid w:val="00B20B3B"/>
    <w:rsid w:val="00B21E16"/>
    <w:rsid w:val="00B22AA9"/>
    <w:rsid w:val="00B22EB2"/>
    <w:rsid w:val="00B244EB"/>
    <w:rsid w:val="00B25321"/>
    <w:rsid w:val="00B27442"/>
    <w:rsid w:val="00B30874"/>
    <w:rsid w:val="00B31167"/>
    <w:rsid w:val="00B329D8"/>
    <w:rsid w:val="00B32BB9"/>
    <w:rsid w:val="00B33AE1"/>
    <w:rsid w:val="00B37C38"/>
    <w:rsid w:val="00B4288C"/>
    <w:rsid w:val="00B43262"/>
    <w:rsid w:val="00B44100"/>
    <w:rsid w:val="00B46CBA"/>
    <w:rsid w:val="00B46F94"/>
    <w:rsid w:val="00B532E7"/>
    <w:rsid w:val="00B6003C"/>
    <w:rsid w:val="00B61F03"/>
    <w:rsid w:val="00B626E4"/>
    <w:rsid w:val="00B63BB3"/>
    <w:rsid w:val="00B7220C"/>
    <w:rsid w:val="00B72F4A"/>
    <w:rsid w:val="00B76375"/>
    <w:rsid w:val="00B76550"/>
    <w:rsid w:val="00B83C27"/>
    <w:rsid w:val="00B84619"/>
    <w:rsid w:val="00B84BC3"/>
    <w:rsid w:val="00B84BDD"/>
    <w:rsid w:val="00B8513B"/>
    <w:rsid w:val="00B86983"/>
    <w:rsid w:val="00B87530"/>
    <w:rsid w:val="00B92812"/>
    <w:rsid w:val="00BA5B78"/>
    <w:rsid w:val="00BA66BC"/>
    <w:rsid w:val="00BB45A1"/>
    <w:rsid w:val="00BB6335"/>
    <w:rsid w:val="00BB655B"/>
    <w:rsid w:val="00BB7686"/>
    <w:rsid w:val="00BB7802"/>
    <w:rsid w:val="00BC23F9"/>
    <w:rsid w:val="00BC3421"/>
    <w:rsid w:val="00BC50D6"/>
    <w:rsid w:val="00BC732C"/>
    <w:rsid w:val="00BC7B0B"/>
    <w:rsid w:val="00BD08CA"/>
    <w:rsid w:val="00BD4421"/>
    <w:rsid w:val="00BE1194"/>
    <w:rsid w:val="00BE15A6"/>
    <w:rsid w:val="00BE2580"/>
    <w:rsid w:val="00BE266D"/>
    <w:rsid w:val="00BE3938"/>
    <w:rsid w:val="00BE4735"/>
    <w:rsid w:val="00BE4C11"/>
    <w:rsid w:val="00BE71C0"/>
    <w:rsid w:val="00BF4098"/>
    <w:rsid w:val="00BF610C"/>
    <w:rsid w:val="00C0060B"/>
    <w:rsid w:val="00C01A6C"/>
    <w:rsid w:val="00C0277D"/>
    <w:rsid w:val="00C02F26"/>
    <w:rsid w:val="00C053A1"/>
    <w:rsid w:val="00C06C42"/>
    <w:rsid w:val="00C12FBA"/>
    <w:rsid w:val="00C16198"/>
    <w:rsid w:val="00C2083D"/>
    <w:rsid w:val="00C24466"/>
    <w:rsid w:val="00C245C9"/>
    <w:rsid w:val="00C24A53"/>
    <w:rsid w:val="00C25370"/>
    <w:rsid w:val="00C34A05"/>
    <w:rsid w:val="00C35CCE"/>
    <w:rsid w:val="00C400FB"/>
    <w:rsid w:val="00C4032F"/>
    <w:rsid w:val="00C41F21"/>
    <w:rsid w:val="00C44047"/>
    <w:rsid w:val="00C45155"/>
    <w:rsid w:val="00C5498F"/>
    <w:rsid w:val="00C55235"/>
    <w:rsid w:val="00C62062"/>
    <w:rsid w:val="00C64CD0"/>
    <w:rsid w:val="00C656EE"/>
    <w:rsid w:val="00C65F61"/>
    <w:rsid w:val="00C6684F"/>
    <w:rsid w:val="00C70E70"/>
    <w:rsid w:val="00C75F8D"/>
    <w:rsid w:val="00C767E2"/>
    <w:rsid w:val="00C77380"/>
    <w:rsid w:val="00C773DC"/>
    <w:rsid w:val="00C87E8A"/>
    <w:rsid w:val="00C913D6"/>
    <w:rsid w:val="00C91BBD"/>
    <w:rsid w:val="00C97736"/>
    <w:rsid w:val="00CA0156"/>
    <w:rsid w:val="00CA345A"/>
    <w:rsid w:val="00CA3BB8"/>
    <w:rsid w:val="00CA74D8"/>
    <w:rsid w:val="00CB02B6"/>
    <w:rsid w:val="00CB1E82"/>
    <w:rsid w:val="00CB24D5"/>
    <w:rsid w:val="00CB4BA8"/>
    <w:rsid w:val="00CB52D7"/>
    <w:rsid w:val="00CB6F97"/>
    <w:rsid w:val="00CC6732"/>
    <w:rsid w:val="00CD3A7F"/>
    <w:rsid w:val="00CD4F50"/>
    <w:rsid w:val="00CD6ACF"/>
    <w:rsid w:val="00CE3305"/>
    <w:rsid w:val="00CE3C96"/>
    <w:rsid w:val="00CE51A8"/>
    <w:rsid w:val="00CF0BFE"/>
    <w:rsid w:val="00CF14DF"/>
    <w:rsid w:val="00CF2A35"/>
    <w:rsid w:val="00CF369B"/>
    <w:rsid w:val="00CF7598"/>
    <w:rsid w:val="00D00915"/>
    <w:rsid w:val="00D00E28"/>
    <w:rsid w:val="00D0269E"/>
    <w:rsid w:val="00D03276"/>
    <w:rsid w:val="00D05C35"/>
    <w:rsid w:val="00D05D6C"/>
    <w:rsid w:val="00D07A48"/>
    <w:rsid w:val="00D13C8D"/>
    <w:rsid w:val="00D13DF2"/>
    <w:rsid w:val="00D15180"/>
    <w:rsid w:val="00D15810"/>
    <w:rsid w:val="00D16D4E"/>
    <w:rsid w:val="00D16FE3"/>
    <w:rsid w:val="00D2791D"/>
    <w:rsid w:val="00D27F41"/>
    <w:rsid w:val="00D32FB9"/>
    <w:rsid w:val="00D36441"/>
    <w:rsid w:val="00D4064E"/>
    <w:rsid w:val="00D40712"/>
    <w:rsid w:val="00D43B47"/>
    <w:rsid w:val="00D44E9B"/>
    <w:rsid w:val="00D47AEB"/>
    <w:rsid w:val="00D50DB9"/>
    <w:rsid w:val="00D51302"/>
    <w:rsid w:val="00D51511"/>
    <w:rsid w:val="00D52C43"/>
    <w:rsid w:val="00D61243"/>
    <w:rsid w:val="00D6507F"/>
    <w:rsid w:val="00D65175"/>
    <w:rsid w:val="00D730BC"/>
    <w:rsid w:val="00D73912"/>
    <w:rsid w:val="00D753EB"/>
    <w:rsid w:val="00D755CB"/>
    <w:rsid w:val="00D76BBA"/>
    <w:rsid w:val="00D8006D"/>
    <w:rsid w:val="00D8138D"/>
    <w:rsid w:val="00D85226"/>
    <w:rsid w:val="00D8619F"/>
    <w:rsid w:val="00D87B94"/>
    <w:rsid w:val="00D9087A"/>
    <w:rsid w:val="00D90F85"/>
    <w:rsid w:val="00D924B6"/>
    <w:rsid w:val="00D92D49"/>
    <w:rsid w:val="00D92EC1"/>
    <w:rsid w:val="00D92EC6"/>
    <w:rsid w:val="00D96DEA"/>
    <w:rsid w:val="00DA2A09"/>
    <w:rsid w:val="00DA4E41"/>
    <w:rsid w:val="00DB0195"/>
    <w:rsid w:val="00DB117A"/>
    <w:rsid w:val="00DB5173"/>
    <w:rsid w:val="00DB69F9"/>
    <w:rsid w:val="00DB74DD"/>
    <w:rsid w:val="00DB7873"/>
    <w:rsid w:val="00DB7914"/>
    <w:rsid w:val="00DB7B29"/>
    <w:rsid w:val="00DC187B"/>
    <w:rsid w:val="00DC61E9"/>
    <w:rsid w:val="00DD1A43"/>
    <w:rsid w:val="00DD73C2"/>
    <w:rsid w:val="00DE319B"/>
    <w:rsid w:val="00DF34FE"/>
    <w:rsid w:val="00DF5634"/>
    <w:rsid w:val="00DF56AA"/>
    <w:rsid w:val="00DF56AF"/>
    <w:rsid w:val="00DF78E7"/>
    <w:rsid w:val="00E0476E"/>
    <w:rsid w:val="00E06041"/>
    <w:rsid w:val="00E110E0"/>
    <w:rsid w:val="00E11A73"/>
    <w:rsid w:val="00E15371"/>
    <w:rsid w:val="00E162C4"/>
    <w:rsid w:val="00E17546"/>
    <w:rsid w:val="00E17769"/>
    <w:rsid w:val="00E21056"/>
    <w:rsid w:val="00E24104"/>
    <w:rsid w:val="00E24326"/>
    <w:rsid w:val="00E27FD4"/>
    <w:rsid w:val="00E302D0"/>
    <w:rsid w:val="00E35707"/>
    <w:rsid w:val="00E36AA1"/>
    <w:rsid w:val="00E41ECB"/>
    <w:rsid w:val="00E42676"/>
    <w:rsid w:val="00E427CA"/>
    <w:rsid w:val="00E452DE"/>
    <w:rsid w:val="00E464D4"/>
    <w:rsid w:val="00E5426D"/>
    <w:rsid w:val="00E54FDB"/>
    <w:rsid w:val="00E5617D"/>
    <w:rsid w:val="00E563D7"/>
    <w:rsid w:val="00E663F4"/>
    <w:rsid w:val="00E666F2"/>
    <w:rsid w:val="00E66DD4"/>
    <w:rsid w:val="00E715E3"/>
    <w:rsid w:val="00E71872"/>
    <w:rsid w:val="00E73997"/>
    <w:rsid w:val="00E748CC"/>
    <w:rsid w:val="00E74F15"/>
    <w:rsid w:val="00E75415"/>
    <w:rsid w:val="00E775B1"/>
    <w:rsid w:val="00E77682"/>
    <w:rsid w:val="00E810A7"/>
    <w:rsid w:val="00E81517"/>
    <w:rsid w:val="00E8152A"/>
    <w:rsid w:val="00E871DA"/>
    <w:rsid w:val="00E90A04"/>
    <w:rsid w:val="00E92D33"/>
    <w:rsid w:val="00E93629"/>
    <w:rsid w:val="00E93B5C"/>
    <w:rsid w:val="00E94CEC"/>
    <w:rsid w:val="00EA04EF"/>
    <w:rsid w:val="00EA0969"/>
    <w:rsid w:val="00EA53C3"/>
    <w:rsid w:val="00EA6C79"/>
    <w:rsid w:val="00EA6F19"/>
    <w:rsid w:val="00EA7053"/>
    <w:rsid w:val="00EB2DF3"/>
    <w:rsid w:val="00EB335A"/>
    <w:rsid w:val="00EB482F"/>
    <w:rsid w:val="00EB7090"/>
    <w:rsid w:val="00EC1BBE"/>
    <w:rsid w:val="00EC2B68"/>
    <w:rsid w:val="00EC2F5E"/>
    <w:rsid w:val="00EC3706"/>
    <w:rsid w:val="00EC3AEF"/>
    <w:rsid w:val="00EC5CD7"/>
    <w:rsid w:val="00EC786F"/>
    <w:rsid w:val="00EC7CA5"/>
    <w:rsid w:val="00ED6C39"/>
    <w:rsid w:val="00ED6D00"/>
    <w:rsid w:val="00EE52B6"/>
    <w:rsid w:val="00EE5FB3"/>
    <w:rsid w:val="00EE6F1D"/>
    <w:rsid w:val="00EE7F79"/>
    <w:rsid w:val="00EF0489"/>
    <w:rsid w:val="00EF39DA"/>
    <w:rsid w:val="00EF6001"/>
    <w:rsid w:val="00EF715A"/>
    <w:rsid w:val="00F02D55"/>
    <w:rsid w:val="00F06D2D"/>
    <w:rsid w:val="00F06E14"/>
    <w:rsid w:val="00F11173"/>
    <w:rsid w:val="00F13732"/>
    <w:rsid w:val="00F158D4"/>
    <w:rsid w:val="00F179D4"/>
    <w:rsid w:val="00F225D8"/>
    <w:rsid w:val="00F22A23"/>
    <w:rsid w:val="00F318E8"/>
    <w:rsid w:val="00F33C56"/>
    <w:rsid w:val="00F347C7"/>
    <w:rsid w:val="00F34848"/>
    <w:rsid w:val="00F361D7"/>
    <w:rsid w:val="00F37443"/>
    <w:rsid w:val="00F42D46"/>
    <w:rsid w:val="00F4496C"/>
    <w:rsid w:val="00F44F3A"/>
    <w:rsid w:val="00F5198C"/>
    <w:rsid w:val="00F51F10"/>
    <w:rsid w:val="00F529A5"/>
    <w:rsid w:val="00F5310D"/>
    <w:rsid w:val="00F608A0"/>
    <w:rsid w:val="00F60F00"/>
    <w:rsid w:val="00F614C0"/>
    <w:rsid w:val="00F679F5"/>
    <w:rsid w:val="00F7116C"/>
    <w:rsid w:val="00F71386"/>
    <w:rsid w:val="00F71C6E"/>
    <w:rsid w:val="00F83848"/>
    <w:rsid w:val="00F93658"/>
    <w:rsid w:val="00F955E3"/>
    <w:rsid w:val="00F975E9"/>
    <w:rsid w:val="00FA017F"/>
    <w:rsid w:val="00FA0CFE"/>
    <w:rsid w:val="00FA1B7D"/>
    <w:rsid w:val="00FA3639"/>
    <w:rsid w:val="00FA5A47"/>
    <w:rsid w:val="00FA7244"/>
    <w:rsid w:val="00FB3F19"/>
    <w:rsid w:val="00FB4665"/>
    <w:rsid w:val="00FB6811"/>
    <w:rsid w:val="00FB6A2D"/>
    <w:rsid w:val="00FC07B9"/>
    <w:rsid w:val="00FC4E21"/>
    <w:rsid w:val="00FC5F6D"/>
    <w:rsid w:val="00FC6F12"/>
    <w:rsid w:val="00FD0107"/>
    <w:rsid w:val="00FD2C2F"/>
    <w:rsid w:val="00FD3B31"/>
    <w:rsid w:val="00FE0978"/>
    <w:rsid w:val="00FE1823"/>
    <w:rsid w:val="00FE487A"/>
    <w:rsid w:val="00FE515B"/>
    <w:rsid w:val="00FE60AE"/>
    <w:rsid w:val="00FF0569"/>
    <w:rsid w:val="00FF206E"/>
    <w:rsid w:val="00FF3C69"/>
    <w:rsid w:val="00FF3F03"/>
    <w:rsid w:val="00FF40BA"/>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3C94C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customStyle="1" w:styleId="ACMANumberedList">
    <w:name w:val="ACMA Numbered List"/>
    <w:rsid w:val="00FC6F12"/>
    <w:pPr>
      <w:numPr>
        <w:numId w:val="22"/>
      </w:numPr>
      <w:spacing w:before="20" w:after="20"/>
    </w:pPr>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mailto:bcps@acma.gov.au"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have-your-say"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publications/2021-03/rules/our-approach-radcomms-licensing-and-allocation" TargetMode="Externa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rivacy-policy"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ublication-submissions" TargetMode="External"/><Relationship Id="rId30" Type="http://schemas.openxmlformats.org/officeDocument/2006/relationships/image" Target="media/image5.png"/><Relationship Id="rId35"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2354</Words>
  <Characters>13420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15743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2022-06-15T06:53:00Z</dcterms:created>
  <dcterms:modified xsi:type="dcterms:W3CDTF">2022-06-15T06:53:00Z</dcterms:modified>
  <cp:category/>
</cp:coreProperties>
</file>