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DD0B63" w14:textId="77777777" w:rsidR="0030537A" w:rsidRPr="00123733" w:rsidRDefault="0030537A" w:rsidP="0030537A">
      <w:pPr>
        <w:pStyle w:val="ACMAReportTitle"/>
        <w:spacing w:after="200"/>
      </w:pPr>
      <w:r w:rsidRPr="00123733">
        <w:t xml:space="preserve">Political </w:t>
      </w:r>
      <w:r>
        <w:t xml:space="preserve">and election </w:t>
      </w:r>
      <w:r w:rsidRPr="00123733">
        <w:t xml:space="preserve">matter guidelines </w:t>
      </w:r>
    </w:p>
    <w:p w14:paraId="206179B4" w14:textId="10E39AD3" w:rsidR="00C97736" w:rsidRPr="00A17B1B" w:rsidRDefault="0007346C" w:rsidP="00EC2B68">
      <w:pPr>
        <w:pStyle w:val="Reportdate"/>
        <w:spacing w:after="720"/>
        <w:rPr>
          <w:rFonts w:cs="Arial"/>
        </w:rPr>
        <w:sectPr w:rsidR="00C97736" w:rsidRPr="00A17B1B"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MARCH</w:t>
      </w:r>
      <w:r w:rsidR="00BD4421" w:rsidRPr="00A17B1B">
        <w:t xml:space="preserve"> 20</w:t>
      </w:r>
      <w:r w:rsidR="000971BD" w:rsidRPr="00A17B1B">
        <w:t>2</w:t>
      </w:r>
      <w:r w:rsidR="00A17B1B" w:rsidRPr="00A17B1B">
        <w:t>2</w:t>
      </w:r>
    </w:p>
    <w:p w14:paraId="5686A9A8" w14:textId="77777777" w:rsidR="00284A74" w:rsidRPr="00A17B1B" w:rsidRDefault="00284A74" w:rsidP="00284A74">
      <w:pPr>
        <w:pStyle w:val="ACMACorporateAddressHeader"/>
      </w:pPr>
      <w:r w:rsidRPr="00A17B1B">
        <w:lastRenderedPageBreak/>
        <w:t>Canberra</w:t>
      </w:r>
    </w:p>
    <w:p w14:paraId="072785E0"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12478ED0" w14:textId="77777777" w:rsidR="00284A74" w:rsidRPr="00A17B1B" w:rsidRDefault="00284A74" w:rsidP="00284A74">
      <w:pPr>
        <w:pStyle w:val="ACMACorporateAddresses"/>
      </w:pPr>
      <w:r w:rsidRPr="00A17B1B">
        <w:t>PO Box 78</w:t>
      </w:r>
      <w:r w:rsidRPr="00A17B1B">
        <w:br/>
        <w:t>Belconnen ACT 2616</w:t>
      </w:r>
    </w:p>
    <w:p w14:paraId="5E3E6A06"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1B764551" w14:textId="77777777" w:rsidR="00284A74" w:rsidRPr="00A17B1B" w:rsidRDefault="00284A74" w:rsidP="00284A74">
      <w:pPr>
        <w:pStyle w:val="ACMACorporateAddressHeader"/>
      </w:pPr>
      <w:r w:rsidRPr="00A17B1B">
        <w:t>Melbourne</w:t>
      </w:r>
    </w:p>
    <w:p w14:paraId="234E05CD"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034146FE"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7A4D369E"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7F353C04" w14:textId="77777777" w:rsidR="00284A74" w:rsidRPr="00A17B1B" w:rsidRDefault="00284A74" w:rsidP="00284A74">
      <w:pPr>
        <w:pStyle w:val="ACMACorporateAddressHeader"/>
      </w:pPr>
      <w:r w:rsidRPr="00A17B1B">
        <w:t>Sydney</w:t>
      </w:r>
    </w:p>
    <w:p w14:paraId="384C5685"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63A009E6"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0DA8B7BD"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1C9D98D1" w14:textId="77777777" w:rsidR="00284A74" w:rsidRPr="00A17B1B" w:rsidRDefault="00284A74" w:rsidP="00284A74">
      <w:pPr>
        <w:pStyle w:val="ACMACopyrightHeader"/>
      </w:pPr>
      <w:r w:rsidRPr="00A17B1B">
        <w:t>Copyright notice</w:t>
      </w:r>
    </w:p>
    <w:p w14:paraId="64FC4485" w14:textId="77777777" w:rsidR="00284A74" w:rsidRPr="00A17B1B" w:rsidRDefault="00284A74" w:rsidP="00284A74">
      <w:pPr>
        <w:pStyle w:val="ACMACClogo"/>
      </w:pPr>
      <w:r w:rsidRPr="00A17B1B">
        <w:rPr>
          <w:noProof/>
        </w:rPr>
        <w:drawing>
          <wp:inline distT="0" distB="0" distL="0" distR="0" wp14:anchorId="09F6E92E" wp14:editId="605C3F5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CDD7DCE" w14:textId="77777777" w:rsidR="00284A74" w:rsidRPr="00A17B1B" w:rsidRDefault="007B370C" w:rsidP="00284A74">
      <w:pPr>
        <w:pStyle w:val="ACMACorporateAddresses"/>
        <w:rPr>
          <w:rStyle w:val="Hyperlink"/>
        </w:rPr>
      </w:pPr>
      <w:hyperlink r:id="rId13" w:history="1">
        <w:r w:rsidR="00284A74" w:rsidRPr="00A17B1B">
          <w:rPr>
            <w:rStyle w:val="Hyperlink"/>
          </w:rPr>
          <w:t>https://creativecommons.org/licenses/by/4.0/</w:t>
        </w:r>
      </w:hyperlink>
    </w:p>
    <w:p w14:paraId="1830195C"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0849A9E1" w14:textId="77777777" w:rsidR="00284A74" w:rsidRPr="00A17B1B" w:rsidRDefault="00284A74" w:rsidP="00284A74">
      <w:pPr>
        <w:pStyle w:val="ACMACorporateAddresses"/>
      </w:pPr>
      <w:r w:rsidRPr="00A17B1B">
        <w:t>We request attribution as © Commonwealth of Australia (Australian Communications and Media Authority) 202</w:t>
      </w:r>
      <w:r w:rsidR="00A17B1B" w:rsidRPr="00A17B1B">
        <w:t>2</w:t>
      </w:r>
      <w:r w:rsidRPr="00A17B1B">
        <w:t>.</w:t>
      </w:r>
    </w:p>
    <w:p w14:paraId="0D06CCD8" w14:textId="77777777" w:rsidR="00284A74" w:rsidRPr="00A17B1B" w:rsidRDefault="00284A74" w:rsidP="00284A74">
      <w:pPr>
        <w:pStyle w:val="ACMACorporateAddresses"/>
      </w:pPr>
      <w:r w:rsidRPr="00A17B1B">
        <w:t>All other rights are reserved.</w:t>
      </w:r>
    </w:p>
    <w:p w14:paraId="58ED4579"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18F05FB" w14:textId="77777777" w:rsidR="00284A74" w:rsidRPr="00A17B1B" w:rsidRDefault="00284A74" w:rsidP="00284A74">
      <w:pPr>
        <w:pStyle w:val="ACMACorporateAddresses"/>
      </w:pPr>
      <w:r w:rsidRPr="00A17B1B">
        <w:t>Written enquiries may be sent to:</w:t>
      </w:r>
    </w:p>
    <w:p w14:paraId="06E52B8E"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4" w:history="1">
        <w:r w:rsidRPr="00A17B1B">
          <w:rPr>
            <w:rStyle w:val="Hyperlink"/>
          </w:rPr>
          <w:t>info@acma.gov.au</w:t>
        </w:r>
      </w:hyperlink>
    </w:p>
    <w:p w14:paraId="20C490FF" w14:textId="77777777" w:rsidR="00D16FE3" w:rsidRPr="00A17B1B" w:rsidRDefault="00D16FE3" w:rsidP="00D16FE3">
      <w:pPr>
        <w:pStyle w:val="ACMACorporateAddresses"/>
        <w:sectPr w:rsidR="00D16FE3" w:rsidRPr="00A17B1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7495A7C" w14:textId="4609BEC2" w:rsidR="000743A4" w:rsidRDefault="00DF0799">
      <w:pPr>
        <w:pStyle w:val="TOC1"/>
        <w:rPr>
          <w:rFonts w:asciiTheme="minorHAnsi" w:eastAsiaTheme="minorEastAsia" w:hAnsiTheme="minorHAnsi" w:cstheme="minorBidi"/>
          <w:b w:val="0"/>
          <w:spacing w:val="0"/>
          <w:sz w:val="22"/>
          <w:szCs w:val="22"/>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97799964" w:history="1">
        <w:r w:rsidR="000743A4" w:rsidRPr="00E863F2">
          <w:rPr>
            <w:rStyle w:val="Hyperlink"/>
          </w:rPr>
          <w:t>Political and election matter guidelines</w:t>
        </w:r>
        <w:r w:rsidR="000743A4">
          <w:rPr>
            <w:webHidden/>
          </w:rPr>
          <w:tab/>
        </w:r>
        <w:r w:rsidR="000743A4">
          <w:rPr>
            <w:webHidden/>
          </w:rPr>
          <w:fldChar w:fldCharType="begin"/>
        </w:r>
        <w:r w:rsidR="000743A4">
          <w:rPr>
            <w:webHidden/>
          </w:rPr>
          <w:instrText xml:space="preserve"> PAGEREF _Toc97799964 \h </w:instrText>
        </w:r>
        <w:r w:rsidR="000743A4">
          <w:rPr>
            <w:webHidden/>
          </w:rPr>
        </w:r>
        <w:r w:rsidR="000743A4">
          <w:rPr>
            <w:webHidden/>
          </w:rPr>
          <w:fldChar w:fldCharType="separate"/>
        </w:r>
        <w:r w:rsidR="000743A4">
          <w:rPr>
            <w:webHidden/>
          </w:rPr>
          <w:t>1</w:t>
        </w:r>
        <w:r w:rsidR="000743A4">
          <w:rPr>
            <w:webHidden/>
          </w:rPr>
          <w:fldChar w:fldCharType="end"/>
        </w:r>
      </w:hyperlink>
    </w:p>
    <w:p w14:paraId="44210B88" w14:textId="5AD93021" w:rsidR="000743A4" w:rsidRDefault="007B370C">
      <w:pPr>
        <w:pStyle w:val="TOC2"/>
        <w:rPr>
          <w:rFonts w:asciiTheme="minorHAnsi" w:eastAsiaTheme="minorEastAsia" w:hAnsiTheme="minorHAnsi" w:cstheme="minorBidi"/>
          <w:spacing w:val="0"/>
          <w:sz w:val="22"/>
          <w:szCs w:val="22"/>
        </w:rPr>
      </w:pPr>
      <w:hyperlink w:anchor="_Toc97799965" w:history="1">
        <w:r w:rsidR="000743A4" w:rsidRPr="00E863F2">
          <w:rPr>
            <w:rStyle w:val="Hyperlink"/>
          </w:rPr>
          <w:t>Political and election matter</w:t>
        </w:r>
        <w:r w:rsidR="000743A4">
          <w:rPr>
            <w:webHidden/>
          </w:rPr>
          <w:tab/>
        </w:r>
        <w:r w:rsidR="000743A4">
          <w:rPr>
            <w:webHidden/>
          </w:rPr>
          <w:fldChar w:fldCharType="begin"/>
        </w:r>
        <w:r w:rsidR="000743A4">
          <w:rPr>
            <w:webHidden/>
          </w:rPr>
          <w:instrText xml:space="preserve"> PAGEREF _Toc97799965 \h </w:instrText>
        </w:r>
        <w:r w:rsidR="000743A4">
          <w:rPr>
            <w:webHidden/>
          </w:rPr>
        </w:r>
        <w:r w:rsidR="000743A4">
          <w:rPr>
            <w:webHidden/>
          </w:rPr>
          <w:fldChar w:fldCharType="separate"/>
        </w:r>
        <w:r w:rsidR="000743A4">
          <w:rPr>
            <w:webHidden/>
          </w:rPr>
          <w:t>1</w:t>
        </w:r>
        <w:r w:rsidR="000743A4">
          <w:rPr>
            <w:webHidden/>
          </w:rPr>
          <w:fldChar w:fldCharType="end"/>
        </w:r>
      </w:hyperlink>
    </w:p>
    <w:p w14:paraId="42C43AFF" w14:textId="19CBBD8B" w:rsidR="000743A4" w:rsidRDefault="007B370C">
      <w:pPr>
        <w:pStyle w:val="TOC2"/>
        <w:rPr>
          <w:rFonts w:asciiTheme="minorHAnsi" w:eastAsiaTheme="minorEastAsia" w:hAnsiTheme="minorHAnsi" w:cstheme="minorBidi"/>
          <w:spacing w:val="0"/>
          <w:sz w:val="22"/>
          <w:szCs w:val="22"/>
        </w:rPr>
      </w:pPr>
      <w:hyperlink w:anchor="_Toc97799966" w:history="1">
        <w:r w:rsidR="000743A4" w:rsidRPr="00E863F2">
          <w:rPr>
            <w:rStyle w:val="Hyperlink"/>
          </w:rPr>
          <w:t>Who do the rules apply to?</w:t>
        </w:r>
        <w:r w:rsidR="000743A4">
          <w:rPr>
            <w:webHidden/>
          </w:rPr>
          <w:tab/>
        </w:r>
        <w:r w:rsidR="000743A4">
          <w:rPr>
            <w:webHidden/>
          </w:rPr>
          <w:fldChar w:fldCharType="begin"/>
        </w:r>
        <w:r w:rsidR="000743A4">
          <w:rPr>
            <w:webHidden/>
          </w:rPr>
          <w:instrText xml:space="preserve"> PAGEREF _Toc97799966 \h </w:instrText>
        </w:r>
        <w:r w:rsidR="000743A4">
          <w:rPr>
            <w:webHidden/>
          </w:rPr>
        </w:r>
        <w:r w:rsidR="000743A4">
          <w:rPr>
            <w:webHidden/>
          </w:rPr>
          <w:fldChar w:fldCharType="separate"/>
        </w:r>
        <w:r w:rsidR="000743A4">
          <w:rPr>
            <w:webHidden/>
          </w:rPr>
          <w:t>1</w:t>
        </w:r>
        <w:r w:rsidR="000743A4">
          <w:rPr>
            <w:webHidden/>
          </w:rPr>
          <w:fldChar w:fldCharType="end"/>
        </w:r>
      </w:hyperlink>
    </w:p>
    <w:p w14:paraId="7D181343" w14:textId="350A1803" w:rsidR="000743A4" w:rsidRDefault="007B370C">
      <w:pPr>
        <w:pStyle w:val="TOC2"/>
        <w:rPr>
          <w:rFonts w:asciiTheme="minorHAnsi" w:eastAsiaTheme="minorEastAsia" w:hAnsiTheme="minorHAnsi" w:cstheme="minorBidi"/>
          <w:spacing w:val="0"/>
          <w:sz w:val="22"/>
          <w:szCs w:val="22"/>
        </w:rPr>
      </w:pPr>
      <w:hyperlink w:anchor="_Toc97799967" w:history="1">
        <w:r w:rsidR="000743A4" w:rsidRPr="00E863F2">
          <w:rPr>
            <w:rStyle w:val="Hyperlink"/>
          </w:rPr>
          <w:t>Complaints and enforcement</w:t>
        </w:r>
        <w:r w:rsidR="000743A4">
          <w:rPr>
            <w:webHidden/>
          </w:rPr>
          <w:tab/>
        </w:r>
        <w:r w:rsidR="000743A4">
          <w:rPr>
            <w:webHidden/>
          </w:rPr>
          <w:fldChar w:fldCharType="begin"/>
        </w:r>
        <w:r w:rsidR="000743A4">
          <w:rPr>
            <w:webHidden/>
          </w:rPr>
          <w:instrText xml:space="preserve"> PAGEREF _Toc97799967 \h </w:instrText>
        </w:r>
        <w:r w:rsidR="000743A4">
          <w:rPr>
            <w:webHidden/>
          </w:rPr>
        </w:r>
        <w:r w:rsidR="000743A4">
          <w:rPr>
            <w:webHidden/>
          </w:rPr>
          <w:fldChar w:fldCharType="separate"/>
        </w:r>
        <w:r w:rsidR="000743A4">
          <w:rPr>
            <w:webHidden/>
          </w:rPr>
          <w:t>1</w:t>
        </w:r>
        <w:r w:rsidR="000743A4">
          <w:rPr>
            <w:webHidden/>
          </w:rPr>
          <w:fldChar w:fldCharType="end"/>
        </w:r>
      </w:hyperlink>
    </w:p>
    <w:p w14:paraId="1FA7EE3F" w14:textId="0AB3B54B" w:rsidR="000743A4" w:rsidRDefault="007B370C">
      <w:pPr>
        <w:pStyle w:val="TOC2"/>
        <w:rPr>
          <w:rFonts w:asciiTheme="minorHAnsi" w:eastAsiaTheme="minorEastAsia" w:hAnsiTheme="minorHAnsi" w:cstheme="minorBidi"/>
          <w:spacing w:val="0"/>
          <w:sz w:val="22"/>
          <w:szCs w:val="22"/>
        </w:rPr>
      </w:pPr>
      <w:hyperlink w:anchor="_Toc97799968" w:history="1">
        <w:r w:rsidR="000743A4" w:rsidRPr="00E863F2">
          <w:rPr>
            <w:rStyle w:val="Hyperlink"/>
          </w:rPr>
          <w:t>Election matter on other platforms</w:t>
        </w:r>
        <w:r w:rsidR="000743A4">
          <w:rPr>
            <w:webHidden/>
          </w:rPr>
          <w:tab/>
        </w:r>
        <w:r w:rsidR="000743A4">
          <w:rPr>
            <w:webHidden/>
          </w:rPr>
          <w:fldChar w:fldCharType="begin"/>
        </w:r>
        <w:r w:rsidR="000743A4">
          <w:rPr>
            <w:webHidden/>
          </w:rPr>
          <w:instrText xml:space="preserve"> PAGEREF _Toc97799968 \h </w:instrText>
        </w:r>
        <w:r w:rsidR="000743A4">
          <w:rPr>
            <w:webHidden/>
          </w:rPr>
        </w:r>
        <w:r w:rsidR="000743A4">
          <w:rPr>
            <w:webHidden/>
          </w:rPr>
          <w:fldChar w:fldCharType="separate"/>
        </w:r>
        <w:r w:rsidR="000743A4">
          <w:rPr>
            <w:webHidden/>
          </w:rPr>
          <w:t>2</w:t>
        </w:r>
        <w:r w:rsidR="000743A4">
          <w:rPr>
            <w:webHidden/>
          </w:rPr>
          <w:fldChar w:fldCharType="end"/>
        </w:r>
      </w:hyperlink>
    </w:p>
    <w:p w14:paraId="086BB8F0" w14:textId="24B9B612" w:rsidR="000743A4" w:rsidRDefault="007B370C">
      <w:pPr>
        <w:pStyle w:val="TOC2"/>
        <w:rPr>
          <w:rFonts w:asciiTheme="minorHAnsi" w:eastAsiaTheme="minorEastAsia" w:hAnsiTheme="minorHAnsi" w:cstheme="minorBidi"/>
          <w:spacing w:val="0"/>
          <w:sz w:val="22"/>
          <w:szCs w:val="22"/>
        </w:rPr>
      </w:pPr>
      <w:hyperlink w:anchor="_Toc97799969" w:history="1">
        <w:r w:rsidR="000743A4" w:rsidRPr="00E863F2">
          <w:rPr>
            <w:rStyle w:val="Hyperlink"/>
          </w:rPr>
          <w:t>About the guidelines</w:t>
        </w:r>
        <w:r w:rsidR="000743A4">
          <w:rPr>
            <w:webHidden/>
          </w:rPr>
          <w:tab/>
        </w:r>
        <w:r w:rsidR="000743A4">
          <w:rPr>
            <w:webHidden/>
          </w:rPr>
          <w:fldChar w:fldCharType="begin"/>
        </w:r>
        <w:r w:rsidR="000743A4">
          <w:rPr>
            <w:webHidden/>
          </w:rPr>
          <w:instrText xml:space="preserve"> PAGEREF _Toc97799969 \h </w:instrText>
        </w:r>
        <w:r w:rsidR="000743A4">
          <w:rPr>
            <w:webHidden/>
          </w:rPr>
        </w:r>
        <w:r w:rsidR="000743A4">
          <w:rPr>
            <w:webHidden/>
          </w:rPr>
          <w:fldChar w:fldCharType="separate"/>
        </w:r>
        <w:r w:rsidR="000743A4">
          <w:rPr>
            <w:webHidden/>
          </w:rPr>
          <w:t>2</w:t>
        </w:r>
        <w:r w:rsidR="000743A4">
          <w:rPr>
            <w:webHidden/>
          </w:rPr>
          <w:fldChar w:fldCharType="end"/>
        </w:r>
      </w:hyperlink>
    </w:p>
    <w:p w14:paraId="27A27EB2" w14:textId="418F8E18" w:rsidR="000743A4" w:rsidRDefault="007B370C">
      <w:pPr>
        <w:pStyle w:val="TOC3"/>
        <w:rPr>
          <w:rFonts w:asciiTheme="minorHAnsi" w:eastAsiaTheme="minorEastAsia" w:hAnsiTheme="minorHAnsi" w:cstheme="minorBidi"/>
        </w:rPr>
      </w:pPr>
      <w:hyperlink w:anchor="_Toc97799970" w:history="1">
        <w:r w:rsidR="000743A4" w:rsidRPr="00E863F2">
          <w:rPr>
            <w:rStyle w:val="Hyperlink"/>
          </w:rPr>
          <w:t>Reviewing these guidelines</w:t>
        </w:r>
        <w:r w:rsidR="000743A4">
          <w:rPr>
            <w:webHidden/>
          </w:rPr>
          <w:tab/>
        </w:r>
        <w:r w:rsidR="000743A4">
          <w:rPr>
            <w:webHidden/>
          </w:rPr>
          <w:fldChar w:fldCharType="begin"/>
        </w:r>
        <w:r w:rsidR="000743A4">
          <w:rPr>
            <w:webHidden/>
          </w:rPr>
          <w:instrText xml:space="preserve"> PAGEREF _Toc97799970 \h </w:instrText>
        </w:r>
        <w:r w:rsidR="000743A4">
          <w:rPr>
            <w:webHidden/>
          </w:rPr>
        </w:r>
        <w:r w:rsidR="000743A4">
          <w:rPr>
            <w:webHidden/>
          </w:rPr>
          <w:fldChar w:fldCharType="separate"/>
        </w:r>
        <w:r w:rsidR="000743A4">
          <w:rPr>
            <w:webHidden/>
          </w:rPr>
          <w:t>2</w:t>
        </w:r>
        <w:r w:rsidR="000743A4">
          <w:rPr>
            <w:webHidden/>
          </w:rPr>
          <w:fldChar w:fldCharType="end"/>
        </w:r>
      </w:hyperlink>
    </w:p>
    <w:p w14:paraId="1FE32C49" w14:textId="31CB69C5" w:rsidR="000743A4" w:rsidRDefault="007B370C">
      <w:pPr>
        <w:pStyle w:val="TOC2"/>
        <w:rPr>
          <w:rFonts w:asciiTheme="minorHAnsi" w:eastAsiaTheme="minorEastAsia" w:hAnsiTheme="minorHAnsi" w:cstheme="minorBidi"/>
          <w:spacing w:val="0"/>
          <w:sz w:val="22"/>
          <w:szCs w:val="22"/>
        </w:rPr>
      </w:pPr>
      <w:hyperlink w:anchor="_Toc97799971" w:history="1">
        <w:r w:rsidR="000743A4" w:rsidRPr="00E863F2">
          <w:rPr>
            <w:rStyle w:val="Hyperlink"/>
          </w:rPr>
          <w:t>Relevant legislation</w:t>
        </w:r>
        <w:r w:rsidR="000743A4">
          <w:rPr>
            <w:webHidden/>
          </w:rPr>
          <w:tab/>
        </w:r>
        <w:r w:rsidR="000743A4">
          <w:rPr>
            <w:webHidden/>
          </w:rPr>
          <w:fldChar w:fldCharType="begin"/>
        </w:r>
        <w:r w:rsidR="000743A4">
          <w:rPr>
            <w:webHidden/>
          </w:rPr>
          <w:instrText xml:space="preserve"> PAGEREF _Toc97799971 \h </w:instrText>
        </w:r>
        <w:r w:rsidR="000743A4">
          <w:rPr>
            <w:webHidden/>
          </w:rPr>
        </w:r>
        <w:r w:rsidR="000743A4">
          <w:rPr>
            <w:webHidden/>
          </w:rPr>
          <w:fldChar w:fldCharType="separate"/>
        </w:r>
        <w:r w:rsidR="000743A4">
          <w:rPr>
            <w:webHidden/>
          </w:rPr>
          <w:t>2</w:t>
        </w:r>
        <w:r w:rsidR="000743A4">
          <w:rPr>
            <w:webHidden/>
          </w:rPr>
          <w:fldChar w:fldCharType="end"/>
        </w:r>
      </w:hyperlink>
    </w:p>
    <w:p w14:paraId="6926BA25" w14:textId="22E8FD50" w:rsidR="000743A4" w:rsidRDefault="007B370C">
      <w:pPr>
        <w:pStyle w:val="TOC1"/>
        <w:rPr>
          <w:rFonts w:asciiTheme="minorHAnsi" w:eastAsiaTheme="minorEastAsia" w:hAnsiTheme="minorHAnsi" w:cstheme="minorBidi"/>
          <w:b w:val="0"/>
          <w:spacing w:val="0"/>
          <w:sz w:val="22"/>
          <w:szCs w:val="22"/>
        </w:rPr>
      </w:pPr>
      <w:hyperlink w:anchor="_Toc97799972" w:history="1">
        <w:r w:rsidR="000743A4" w:rsidRPr="00E863F2">
          <w:rPr>
            <w:rStyle w:val="Hyperlink"/>
          </w:rPr>
          <w:t>Political matter</w:t>
        </w:r>
        <w:r w:rsidR="000743A4">
          <w:rPr>
            <w:webHidden/>
          </w:rPr>
          <w:tab/>
        </w:r>
        <w:r w:rsidR="000743A4">
          <w:rPr>
            <w:webHidden/>
          </w:rPr>
          <w:fldChar w:fldCharType="begin"/>
        </w:r>
        <w:r w:rsidR="000743A4">
          <w:rPr>
            <w:webHidden/>
          </w:rPr>
          <w:instrText xml:space="preserve"> PAGEREF _Toc97799972 \h </w:instrText>
        </w:r>
        <w:r w:rsidR="000743A4">
          <w:rPr>
            <w:webHidden/>
          </w:rPr>
        </w:r>
        <w:r w:rsidR="000743A4">
          <w:rPr>
            <w:webHidden/>
          </w:rPr>
          <w:fldChar w:fldCharType="separate"/>
        </w:r>
        <w:r w:rsidR="000743A4">
          <w:rPr>
            <w:webHidden/>
          </w:rPr>
          <w:t>3</w:t>
        </w:r>
        <w:r w:rsidR="000743A4">
          <w:rPr>
            <w:webHidden/>
          </w:rPr>
          <w:fldChar w:fldCharType="end"/>
        </w:r>
      </w:hyperlink>
    </w:p>
    <w:p w14:paraId="0DBFFE2D" w14:textId="191F587A" w:rsidR="000743A4" w:rsidRDefault="007B370C">
      <w:pPr>
        <w:pStyle w:val="TOC2"/>
        <w:rPr>
          <w:rFonts w:asciiTheme="minorHAnsi" w:eastAsiaTheme="minorEastAsia" w:hAnsiTheme="minorHAnsi" w:cstheme="minorBidi"/>
          <w:spacing w:val="0"/>
          <w:sz w:val="22"/>
          <w:szCs w:val="22"/>
        </w:rPr>
      </w:pPr>
      <w:hyperlink w:anchor="_Toc97799973" w:history="1">
        <w:r w:rsidR="000743A4" w:rsidRPr="00E863F2">
          <w:rPr>
            <w:rStyle w:val="Hyperlink"/>
          </w:rPr>
          <w:t>Broadcasting political matter – the basic rule</w:t>
        </w:r>
        <w:r w:rsidR="000743A4">
          <w:rPr>
            <w:webHidden/>
          </w:rPr>
          <w:tab/>
        </w:r>
        <w:r w:rsidR="000743A4">
          <w:rPr>
            <w:webHidden/>
          </w:rPr>
          <w:fldChar w:fldCharType="begin"/>
        </w:r>
        <w:r w:rsidR="000743A4">
          <w:rPr>
            <w:webHidden/>
          </w:rPr>
          <w:instrText xml:space="preserve"> PAGEREF _Toc97799973 \h </w:instrText>
        </w:r>
        <w:r w:rsidR="000743A4">
          <w:rPr>
            <w:webHidden/>
          </w:rPr>
        </w:r>
        <w:r w:rsidR="000743A4">
          <w:rPr>
            <w:webHidden/>
          </w:rPr>
          <w:fldChar w:fldCharType="separate"/>
        </w:r>
        <w:r w:rsidR="000743A4">
          <w:rPr>
            <w:webHidden/>
          </w:rPr>
          <w:t>3</w:t>
        </w:r>
        <w:r w:rsidR="000743A4">
          <w:rPr>
            <w:webHidden/>
          </w:rPr>
          <w:fldChar w:fldCharType="end"/>
        </w:r>
      </w:hyperlink>
    </w:p>
    <w:p w14:paraId="1986CAEF" w14:textId="49D35C4A" w:rsidR="000743A4" w:rsidRDefault="007B370C">
      <w:pPr>
        <w:pStyle w:val="TOC2"/>
        <w:rPr>
          <w:rFonts w:asciiTheme="minorHAnsi" w:eastAsiaTheme="minorEastAsia" w:hAnsiTheme="minorHAnsi" w:cstheme="minorBidi"/>
          <w:spacing w:val="0"/>
          <w:sz w:val="22"/>
          <w:szCs w:val="22"/>
        </w:rPr>
      </w:pPr>
      <w:hyperlink w:anchor="_Toc97799974" w:history="1">
        <w:r w:rsidR="000743A4" w:rsidRPr="00E863F2">
          <w:rPr>
            <w:rStyle w:val="Hyperlink"/>
          </w:rPr>
          <w:t>Which licensees are included?</w:t>
        </w:r>
        <w:r w:rsidR="000743A4">
          <w:rPr>
            <w:webHidden/>
          </w:rPr>
          <w:tab/>
        </w:r>
        <w:r w:rsidR="000743A4">
          <w:rPr>
            <w:webHidden/>
          </w:rPr>
          <w:fldChar w:fldCharType="begin"/>
        </w:r>
        <w:r w:rsidR="000743A4">
          <w:rPr>
            <w:webHidden/>
          </w:rPr>
          <w:instrText xml:space="preserve"> PAGEREF _Toc97799974 \h </w:instrText>
        </w:r>
        <w:r w:rsidR="000743A4">
          <w:rPr>
            <w:webHidden/>
          </w:rPr>
        </w:r>
        <w:r w:rsidR="000743A4">
          <w:rPr>
            <w:webHidden/>
          </w:rPr>
          <w:fldChar w:fldCharType="separate"/>
        </w:r>
        <w:r w:rsidR="000743A4">
          <w:rPr>
            <w:webHidden/>
          </w:rPr>
          <w:t>3</w:t>
        </w:r>
        <w:r w:rsidR="000743A4">
          <w:rPr>
            <w:webHidden/>
          </w:rPr>
          <w:fldChar w:fldCharType="end"/>
        </w:r>
      </w:hyperlink>
    </w:p>
    <w:p w14:paraId="6323EA58" w14:textId="5C28336A" w:rsidR="000743A4" w:rsidRDefault="007B370C">
      <w:pPr>
        <w:pStyle w:val="TOC2"/>
        <w:rPr>
          <w:rFonts w:asciiTheme="minorHAnsi" w:eastAsiaTheme="minorEastAsia" w:hAnsiTheme="minorHAnsi" w:cstheme="minorBidi"/>
          <w:spacing w:val="0"/>
          <w:sz w:val="22"/>
          <w:szCs w:val="22"/>
        </w:rPr>
      </w:pPr>
      <w:hyperlink w:anchor="_Toc97799975" w:history="1">
        <w:r w:rsidR="000743A4" w:rsidRPr="00E863F2">
          <w:rPr>
            <w:rStyle w:val="Hyperlink"/>
          </w:rPr>
          <w:t>What is ‘political matter’?</w:t>
        </w:r>
        <w:r w:rsidR="000743A4">
          <w:rPr>
            <w:webHidden/>
          </w:rPr>
          <w:tab/>
        </w:r>
        <w:r w:rsidR="000743A4">
          <w:rPr>
            <w:webHidden/>
          </w:rPr>
          <w:fldChar w:fldCharType="begin"/>
        </w:r>
        <w:r w:rsidR="000743A4">
          <w:rPr>
            <w:webHidden/>
          </w:rPr>
          <w:instrText xml:space="preserve"> PAGEREF _Toc97799975 \h </w:instrText>
        </w:r>
        <w:r w:rsidR="000743A4">
          <w:rPr>
            <w:webHidden/>
          </w:rPr>
        </w:r>
        <w:r w:rsidR="000743A4">
          <w:rPr>
            <w:webHidden/>
          </w:rPr>
          <w:fldChar w:fldCharType="separate"/>
        </w:r>
        <w:r w:rsidR="000743A4">
          <w:rPr>
            <w:webHidden/>
          </w:rPr>
          <w:t>4</w:t>
        </w:r>
        <w:r w:rsidR="000743A4">
          <w:rPr>
            <w:webHidden/>
          </w:rPr>
          <w:fldChar w:fldCharType="end"/>
        </w:r>
      </w:hyperlink>
    </w:p>
    <w:p w14:paraId="73E222A8" w14:textId="349B2AF2" w:rsidR="000743A4" w:rsidRDefault="007B370C">
      <w:pPr>
        <w:pStyle w:val="TOC3"/>
        <w:rPr>
          <w:rFonts w:asciiTheme="minorHAnsi" w:eastAsiaTheme="minorEastAsia" w:hAnsiTheme="minorHAnsi" w:cstheme="minorBidi"/>
        </w:rPr>
      </w:pPr>
      <w:hyperlink w:anchor="_Toc97799976" w:history="1">
        <w:r w:rsidR="000743A4" w:rsidRPr="00E863F2">
          <w:rPr>
            <w:rStyle w:val="Hyperlink"/>
          </w:rPr>
          <w:t>The content of the broadcast</w:t>
        </w:r>
        <w:r w:rsidR="000743A4">
          <w:rPr>
            <w:webHidden/>
          </w:rPr>
          <w:tab/>
        </w:r>
        <w:r w:rsidR="000743A4">
          <w:rPr>
            <w:webHidden/>
          </w:rPr>
          <w:fldChar w:fldCharType="begin"/>
        </w:r>
        <w:r w:rsidR="000743A4">
          <w:rPr>
            <w:webHidden/>
          </w:rPr>
          <w:instrText xml:space="preserve"> PAGEREF _Toc97799976 \h </w:instrText>
        </w:r>
        <w:r w:rsidR="000743A4">
          <w:rPr>
            <w:webHidden/>
          </w:rPr>
        </w:r>
        <w:r w:rsidR="000743A4">
          <w:rPr>
            <w:webHidden/>
          </w:rPr>
          <w:fldChar w:fldCharType="separate"/>
        </w:r>
        <w:r w:rsidR="000743A4">
          <w:rPr>
            <w:webHidden/>
          </w:rPr>
          <w:t>4</w:t>
        </w:r>
        <w:r w:rsidR="000743A4">
          <w:rPr>
            <w:webHidden/>
          </w:rPr>
          <w:fldChar w:fldCharType="end"/>
        </w:r>
      </w:hyperlink>
    </w:p>
    <w:p w14:paraId="45588E6D" w14:textId="418BCC85" w:rsidR="000743A4" w:rsidRDefault="007B370C">
      <w:pPr>
        <w:pStyle w:val="TOC3"/>
        <w:rPr>
          <w:rFonts w:asciiTheme="minorHAnsi" w:eastAsiaTheme="minorEastAsia" w:hAnsiTheme="minorHAnsi" w:cstheme="minorBidi"/>
        </w:rPr>
      </w:pPr>
      <w:hyperlink w:anchor="_Toc97799977" w:history="1">
        <w:r w:rsidR="000743A4" w:rsidRPr="00E863F2">
          <w:rPr>
            <w:rStyle w:val="Hyperlink"/>
          </w:rPr>
          <w:t>Promotion of brands, products or services is not determinative</w:t>
        </w:r>
        <w:r w:rsidR="000743A4">
          <w:rPr>
            <w:webHidden/>
          </w:rPr>
          <w:tab/>
        </w:r>
        <w:r w:rsidR="000743A4">
          <w:rPr>
            <w:webHidden/>
          </w:rPr>
          <w:fldChar w:fldCharType="begin"/>
        </w:r>
        <w:r w:rsidR="000743A4">
          <w:rPr>
            <w:webHidden/>
          </w:rPr>
          <w:instrText xml:space="preserve"> PAGEREF _Toc97799977 \h </w:instrText>
        </w:r>
        <w:r w:rsidR="000743A4">
          <w:rPr>
            <w:webHidden/>
          </w:rPr>
        </w:r>
        <w:r w:rsidR="000743A4">
          <w:rPr>
            <w:webHidden/>
          </w:rPr>
          <w:fldChar w:fldCharType="separate"/>
        </w:r>
        <w:r w:rsidR="000743A4">
          <w:rPr>
            <w:webHidden/>
          </w:rPr>
          <w:t>4</w:t>
        </w:r>
        <w:r w:rsidR="000743A4">
          <w:rPr>
            <w:webHidden/>
          </w:rPr>
          <w:fldChar w:fldCharType="end"/>
        </w:r>
      </w:hyperlink>
    </w:p>
    <w:p w14:paraId="715CCE20" w14:textId="4C95BE11" w:rsidR="000743A4" w:rsidRDefault="007B370C">
      <w:pPr>
        <w:pStyle w:val="TOC3"/>
        <w:rPr>
          <w:rFonts w:asciiTheme="minorHAnsi" w:eastAsiaTheme="minorEastAsia" w:hAnsiTheme="minorHAnsi" w:cstheme="minorBidi"/>
        </w:rPr>
      </w:pPr>
      <w:hyperlink w:anchor="_Toc97799978" w:history="1">
        <w:r w:rsidR="000743A4" w:rsidRPr="00E863F2">
          <w:rPr>
            <w:rStyle w:val="Hyperlink"/>
          </w:rPr>
          <w:t xml:space="preserve">The overall presentation of the material, including the tone, </w:t>
        </w:r>
        <w:r w:rsidR="000743A4">
          <w:rPr>
            <w:rStyle w:val="Hyperlink"/>
          </w:rPr>
          <w:br/>
        </w:r>
        <w:r w:rsidR="000743A4" w:rsidRPr="00E863F2">
          <w:rPr>
            <w:rStyle w:val="Hyperlink"/>
          </w:rPr>
          <w:t>style and emphasis</w:t>
        </w:r>
        <w:r w:rsidR="000743A4">
          <w:rPr>
            <w:webHidden/>
          </w:rPr>
          <w:tab/>
        </w:r>
        <w:r w:rsidR="000743A4">
          <w:rPr>
            <w:webHidden/>
          </w:rPr>
          <w:fldChar w:fldCharType="begin"/>
        </w:r>
        <w:r w:rsidR="000743A4">
          <w:rPr>
            <w:webHidden/>
          </w:rPr>
          <w:instrText xml:space="preserve"> PAGEREF _Toc97799978 \h </w:instrText>
        </w:r>
        <w:r w:rsidR="000743A4">
          <w:rPr>
            <w:webHidden/>
          </w:rPr>
        </w:r>
        <w:r w:rsidR="000743A4">
          <w:rPr>
            <w:webHidden/>
          </w:rPr>
          <w:fldChar w:fldCharType="separate"/>
        </w:r>
        <w:r w:rsidR="000743A4">
          <w:rPr>
            <w:webHidden/>
          </w:rPr>
          <w:t>5</w:t>
        </w:r>
        <w:r w:rsidR="000743A4">
          <w:rPr>
            <w:webHidden/>
          </w:rPr>
          <w:fldChar w:fldCharType="end"/>
        </w:r>
      </w:hyperlink>
    </w:p>
    <w:p w14:paraId="105C9C5C" w14:textId="3E249C82" w:rsidR="000743A4" w:rsidRDefault="007B370C">
      <w:pPr>
        <w:pStyle w:val="TOC3"/>
        <w:rPr>
          <w:rFonts w:asciiTheme="minorHAnsi" w:eastAsiaTheme="minorEastAsia" w:hAnsiTheme="minorHAnsi" w:cstheme="minorBidi"/>
        </w:rPr>
      </w:pPr>
      <w:hyperlink w:anchor="_Toc97799979" w:history="1">
        <w:r w:rsidR="000743A4" w:rsidRPr="00E863F2">
          <w:rPr>
            <w:rStyle w:val="Hyperlink"/>
          </w:rPr>
          <w:t>The nature and style of accompanying audio or visual material</w:t>
        </w:r>
        <w:r w:rsidR="000743A4">
          <w:rPr>
            <w:webHidden/>
          </w:rPr>
          <w:tab/>
        </w:r>
        <w:r w:rsidR="000743A4">
          <w:rPr>
            <w:webHidden/>
          </w:rPr>
          <w:fldChar w:fldCharType="begin"/>
        </w:r>
        <w:r w:rsidR="000743A4">
          <w:rPr>
            <w:webHidden/>
          </w:rPr>
          <w:instrText xml:space="preserve"> PAGEREF _Toc97799979 \h </w:instrText>
        </w:r>
        <w:r w:rsidR="000743A4">
          <w:rPr>
            <w:webHidden/>
          </w:rPr>
        </w:r>
        <w:r w:rsidR="000743A4">
          <w:rPr>
            <w:webHidden/>
          </w:rPr>
          <w:fldChar w:fldCharType="separate"/>
        </w:r>
        <w:r w:rsidR="000743A4">
          <w:rPr>
            <w:webHidden/>
          </w:rPr>
          <w:t>5</w:t>
        </w:r>
        <w:r w:rsidR="000743A4">
          <w:rPr>
            <w:webHidden/>
          </w:rPr>
          <w:fldChar w:fldCharType="end"/>
        </w:r>
      </w:hyperlink>
    </w:p>
    <w:p w14:paraId="4BE73D47" w14:textId="19EB1C4C" w:rsidR="000743A4" w:rsidRDefault="007B370C">
      <w:pPr>
        <w:pStyle w:val="TOC3"/>
        <w:rPr>
          <w:rFonts w:asciiTheme="minorHAnsi" w:eastAsiaTheme="minorEastAsia" w:hAnsiTheme="minorHAnsi" w:cstheme="minorBidi"/>
        </w:rPr>
      </w:pPr>
      <w:hyperlink w:anchor="_Toc97799980" w:history="1">
        <w:r w:rsidR="000743A4" w:rsidRPr="00E863F2">
          <w:rPr>
            <w:rStyle w:val="Hyperlink"/>
          </w:rPr>
          <w:t>The context surrounding the broadcast</w:t>
        </w:r>
        <w:r w:rsidR="000743A4">
          <w:rPr>
            <w:webHidden/>
          </w:rPr>
          <w:tab/>
        </w:r>
        <w:r w:rsidR="000743A4">
          <w:rPr>
            <w:webHidden/>
          </w:rPr>
          <w:fldChar w:fldCharType="begin"/>
        </w:r>
        <w:r w:rsidR="000743A4">
          <w:rPr>
            <w:webHidden/>
          </w:rPr>
          <w:instrText xml:space="preserve"> PAGEREF _Toc97799980 \h </w:instrText>
        </w:r>
        <w:r w:rsidR="000743A4">
          <w:rPr>
            <w:webHidden/>
          </w:rPr>
        </w:r>
        <w:r w:rsidR="000743A4">
          <w:rPr>
            <w:webHidden/>
          </w:rPr>
          <w:fldChar w:fldCharType="separate"/>
        </w:r>
        <w:r w:rsidR="000743A4">
          <w:rPr>
            <w:webHidden/>
          </w:rPr>
          <w:t>5</w:t>
        </w:r>
        <w:r w:rsidR="000743A4">
          <w:rPr>
            <w:webHidden/>
          </w:rPr>
          <w:fldChar w:fldCharType="end"/>
        </w:r>
      </w:hyperlink>
    </w:p>
    <w:p w14:paraId="0126AE0E" w14:textId="72AF3BAB" w:rsidR="000743A4" w:rsidRDefault="007B370C">
      <w:pPr>
        <w:pStyle w:val="TOC2"/>
        <w:rPr>
          <w:rFonts w:asciiTheme="minorHAnsi" w:eastAsiaTheme="minorEastAsia" w:hAnsiTheme="minorHAnsi" w:cstheme="minorBidi"/>
          <w:spacing w:val="0"/>
          <w:sz w:val="22"/>
          <w:szCs w:val="22"/>
        </w:rPr>
      </w:pPr>
      <w:hyperlink w:anchor="_Toc97799981" w:history="1">
        <w:r w:rsidR="000743A4" w:rsidRPr="00E863F2">
          <w:rPr>
            <w:rStyle w:val="Hyperlink"/>
          </w:rPr>
          <w:t>What is ‘at the request of another person’?</w:t>
        </w:r>
        <w:r w:rsidR="000743A4">
          <w:rPr>
            <w:webHidden/>
          </w:rPr>
          <w:tab/>
        </w:r>
        <w:r w:rsidR="000743A4">
          <w:rPr>
            <w:webHidden/>
          </w:rPr>
          <w:fldChar w:fldCharType="begin"/>
        </w:r>
        <w:r w:rsidR="000743A4">
          <w:rPr>
            <w:webHidden/>
          </w:rPr>
          <w:instrText xml:space="preserve"> PAGEREF _Toc97799981 \h </w:instrText>
        </w:r>
        <w:r w:rsidR="000743A4">
          <w:rPr>
            <w:webHidden/>
          </w:rPr>
        </w:r>
        <w:r w:rsidR="000743A4">
          <w:rPr>
            <w:webHidden/>
          </w:rPr>
          <w:fldChar w:fldCharType="separate"/>
        </w:r>
        <w:r w:rsidR="000743A4">
          <w:rPr>
            <w:webHidden/>
          </w:rPr>
          <w:t>5</w:t>
        </w:r>
        <w:r w:rsidR="000743A4">
          <w:rPr>
            <w:webHidden/>
          </w:rPr>
          <w:fldChar w:fldCharType="end"/>
        </w:r>
      </w:hyperlink>
    </w:p>
    <w:p w14:paraId="43EFF9B8" w14:textId="32E9B05B" w:rsidR="000743A4" w:rsidRDefault="007B370C">
      <w:pPr>
        <w:pStyle w:val="TOC2"/>
        <w:rPr>
          <w:rFonts w:asciiTheme="minorHAnsi" w:eastAsiaTheme="minorEastAsia" w:hAnsiTheme="minorHAnsi" w:cstheme="minorBidi"/>
          <w:spacing w:val="0"/>
          <w:sz w:val="22"/>
          <w:szCs w:val="22"/>
        </w:rPr>
      </w:pPr>
      <w:hyperlink w:anchor="_Toc97799982" w:history="1">
        <w:r w:rsidR="000743A4" w:rsidRPr="00E863F2">
          <w:rPr>
            <w:rStyle w:val="Hyperlink"/>
          </w:rPr>
          <w:t>What are the ‘required particulars’?</w:t>
        </w:r>
        <w:r w:rsidR="000743A4">
          <w:rPr>
            <w:webHidden/>
          </w:rPr>
          <w:tab/>
        </w:r>
        <w:r w:rsidR="000743A4">
          <w:rPr>
            <w:webHidden/>
          </w:rPr>
          <w:fldChar w:fldCharType="begin"/>
        </w:r>
        <w:r w:rsidR="000743A4">
          <w:rPr>
            <w:webHidden/>
          </w:rPr>
          <w:instrText xml:space="preserve"> PAGEREF _Toc97799982 \h </w:instrText>
        </w:r>
        <w:r w:rsidR="000743A4">
          <w:rPr>
            <w:webHidden/>
          </w:rPr>
        </w:r>
        <w:r w:rsidR="000743A4">
          <w:rPr>
            <w:webHidden/>
          </w:rPr>
          <w:fldChar w:fldCharType="separate"/>
        </w:r>
        <w:r w:rsidR="000743A4">
          <w:rPr>
            <w:webHidden/>
          </w:rPr>
          <w:t>5</w:t>
        </w:r>
        <w:r w:rsidR="000743A4">
          <w:rPr>
            <w:webHidden/>
          </w:rPr>
          <w:fldChar w:fldCharType="end"/>
        </w:r>
      </w:hyperlink>
    </w:p>
    <w:p w14:paraId="684BEF3E" w14:textId="7749B2C6" w:rsidR="000743A4" w:rsidRDefault="007B370C">
      <w:pPr>
        <w:pStyle w:val="TOC2"/>
        <w:rPr>
          <w:rFonts w:asciiTheme="minorHAnsi" w:eastAsiaTheme="minorEastAsia" w:hAnsiTheme="minorHAnsi" w:cstheme="minorBidi"/>
          <w:spacing w:val="0"/>
          <w:sz w:val="22"/>
          <w:szCs w:val="22"/>
        </w:rPr>
      </w:pPr>
      <w:hyperlink w:anchor="_Toc97799983" w:history="1">
        <w:r w:rsidR="000743A4" w:rsidRPr="00E863F2">
          <w:rPr>
            <w:rStyle w:val="Hyperlink"/>
          </w:rPr>
          <w:t>What is a ‘disclosure entity’?</w:t>
        </w:r>
        <w:r w:rsidR="000743A4">
          <w:rPr>
            <w:webHidden/>
          </w:rPr>
          <w:tab/>
        </w:r>
        <w:r w:rsidR="000743A4">
          <w:rPr>
            <w:webHidden/>
          </w:rPr>
          <w:fldChar w:fldCharType="begin"/>
        </w:r>
        <w:r w:rsidR="000743A4">
          <w:rPr>
            <w:webHidden/>
          </w:rPr>
          <w:instrText xml:space="preserve"> PAGEREF _Toc97799983 \h </w:instrText>
        </w:r>
        <w:r w:rsidR="000743A4">
          <w:rPr>
            <w:webHidden/>
          </w:rPr>
        </w:r>
        <w:r w:rsidR="000743A4">
          <w:rPr>
            <w:webHidden/>
          </w:rPr>
          <w:fldChar w:fldCharType="separate"/>
        </w:r>
        <w:r w:rsidR="000743A4">
          <w:rPr>
            <w:webHidden/>
          </w:rPr>
          <w:t>7</w:t>
        </w:r>
        <w:r w:rsidR="000743A4">
          <w:rPr>
            <w:webHidden/>
          </w:rPr>
          <w:fldChar w:fldCharType="end"/>
        </w:r>
      </w:hyperlink>
    </w:p>
    <w:p w14:paraId="44261C4D" w14:textId="58BB81FE" w:rsidR="000743A4" w:rsidRDefault="007B370C">
      <w:pPr>
        <w:pStyle w:val="TOC2"/>
        <w:rPr>
          <w:rFonts w:asciiTheme="minorHAnsi" w:eastAsiaTheme="minorEastAsia" w:hAnsiTheme="minorHAnsi" w:cstheme="minorBidi"/>
          <w:spacing w:val="0"/>
          <w:sz w:val="22"/>
          <w:szCs w:val="22"/>
        </w:rPr>
      </w:pPr>
      <w:hyperlink w:anchor="_Toc97799984" w:history="1">
        <w:r w:rsidR="000743A4" w:rsidRPr="00E863F2">
          <w:rPr>
            <w:rStyle w:val="Hyperlink"/>
          </w:rPr>
          <w:t>Who ‘authorises’ the broadcast of political matter?</w:t>
        </w:r>
        <w:r w:rsidR="000743A4">
          <w:rPr>
            <w:webHidden/>
          </w:rPr>
          <w:tab/>
        </w:r>
        <w:r w:rsidR="000743A4">
          <w:rPr>
            <w:webHidden/>
          </w:rPr>
          <w:fldChar w:fldCharType="begin"/>
        </w:r>
        <w:r w:rsidR="000743A4">
          <w:rPr>
            <w:webHidden/>
          </w:rPr>
          <w:instrText xml:space="preserve"> PAGEREF _Toc97799984 \h </w:instrText>
        </w:r>
        <w:r w:rsidR="000743A4">
          <w:rPr>
            <w:webHidden/>
          </w:rPr>
        </w:r>
        <w:r w:rsidR="000743A4">
          <w:rPr>
            <w:webHidden/>
          </w:rPr>
          <w:fldChar w:fldCharType="separate"/>
        </w:r>
        <w:r w:rsidR="000743A4">
          <w:rPr>
            <w:webHidden/>
          </w:rPr>
          <w:t>7</w:t>
        </w:r>
        <w:r w:rsidR="000743A4">
          <w:rPr>
            <w:webHidden/>
          </w:rPr>
          <w:fldChar w:fldCharType="end"/>
        </w:r>
      </w:hyperlink>
    </w:p>
    <w:p w14:paraId="05189CB4" w14:textId="2A96BE74" w:rsidR="000743A4" w:rsidRDefault="007B370C">
      <w:pPr>
        <w:pStyle w:val="TOC2"/>
        <w:rPr>
          <w:rFonts w:asciiTheme="minorHAnsi" w:eastAsiaTheme="minorEastAsia" w:hAnsiTheme="minorHAnsi" w:cstheme="minorBidi"/>
          <w:spacing w:val="0"/>
          <w:sz w:val="22"/>
          <w:szCs w:val="22"/>
        </w:rPr>
      </w:pPr>
      <w:hyperlink w:anchor="_Toc97799985" w:history="1">
        <w:r w:rsidR="000743A4" w:rsidRPr="00E863F2">
          <w:rPr>
            <w:rStyle w:val="Hyperlink"/>
          </w:rPr>
          <w:t>Abbreviations</w:t>
        </w:r>
        <w:r w:rsidR="000743A4">
          <w:rPr>
            <w:webHidden/>
          </w:rPr>
          <w:tab/>
        </w:r>
        <w:r w:rsidR="000743A4">
          <w:rPr>
            <w:webHidden/>
          </w:rPr>
          <w:fldChar w:fldCharType="begin"/>
        </w:r>
        <w:r w:rsidR="000743A4">
          <w:rPr>
            <w:webHidden/>
          </w:rPr>
          <w:instrText xml:space="preserve"> PAGEREF _Toc97799985 \h </w:instrText>
        </w:r>
        <w:r w:rsidR="000743A4">
          <w:rPr>
            <w:webHidden/>
          </w:rPr>
        </w:r>
        <w:r w:rsidR="000743A4">
          <w:rPr>
            <w:webHidden/>
          </w:rPr>
          <w:fldChar w:fldCharType="separate"/>
        </w:r>
        <w:r w:rsidR="000743A4">
          <w:rPr>
            <w:webHidden/>
          </w:rPr>
          <w:t>7</w:t>
        </w:r>
        <w:r w:rsidR="000743A4">
          <w:rPr>
            <w:webHidden/>
          </w:rPr>
          <w:fldChar w:fldCharType="end"/>
        </w:r>
      </w:hyperlink>
    </w:p>
    <w:p w14:paraId="1C4059FE" w14:textId="045EA7BC" w:rsidR="000743A4" w:rsidRDefault="007B370C">
      <w:pPr>
        <w:pStyle w:val="TOC2"/>
        <w:rPr>
          <w:rFonts w:asciiTheme="minorHAnsi" w:eastAsiaTheme="minorEastAsia" w:hAnsiTheme="minorHAnsi" w:cstheme="minorBidi"/>
          <w:spacing w:val="0"/>
          <w:sz w:val="22"/>
          <w:szCs w:val="22"/>
        </w:rPr>
      </w:pPr>
      <w:hyperlink w:anchor="_Toc97799986" w:history="1">
        <w:r w:rsidR="000743A4" w:rsidRPr="00E863F2">
          <w:rPr>
            <w:rStyle w:val="Hyperlink"/>
          </w:rPr>
          <w:t>What is the ‘relevant town or city’?</w:t>
        </w:r>
        <w:r w:rsidR="000743A4">
          <w:rPr>
            <w:webHidden/>
          </w:rPr>
          <w:tab/>
        </w:r>
        <w:r w:rsidR="000743A4">
          <w:rPr>
            <w:webHidden/>
          </w:rPr>
          <w:fldChar w:fldCharType="begin"/>
        </w:r>
        <w:r w:rsidR="000743A4">
          <w:rPr>
            <w:webHidden/>
          </w:rPr>
          <w:instrText xml:space="preserve"> PAGEREF _Toc97799986 \h </w:instrText>
        </w:r>
        <w:r w:rsidR="000743A4">
          <w:rPr>
            <w:webHidden/>
          </w:rPr>
        </w:r>
        <w:r w:rsidR="000743A4">
          <w:rPr>
            <w:webHidden/>
          </w:rPr>
          <w:fldChar w:fldCharType="separate"/>
        </w:r>
        <w:r w:rsidR="000743A4">
          <w:rPr>
            <w:webHidden/>
          </w:rPr>
          <w:t>8</w:t>
        </w:r>
        <w:r w:rsidR="000743A4">
          <w:rPr>
            <w:webHidden/>
          </w:rPr>
          <w:fldChar w:fldCharType="end"/>
        </w:r>
      </w:hyperlink>
    </w:p>
    <w:p w14:paraId="6BC92C61" w14:textId="03F93BBD" w:rsidR="000743A4" w:rsidRDefault="007B370C">
      <w:pPr>
        <w:pStyle w:val="TOC2"/>
        <w:rPr>
          <w:rFonts w:asciiTheme="minorHAnsi" w:eastAsiaTheme="minorEastAsia" w:hAnsiTheme="minorHAnsi" w:cstheme="minorBidi"/>
          <w:spacing w:val="0"/>
          <w:sz w:val="22"/>
          <w:szCs w:val="22"/>
        </w:rPr>
      </w:pPr>
      <w:hyperlink w:anchor="_Toc97799987" w:history="1">
        <w:r w:rsidR="000743A4" w:rsidRPr="00E863F2">
          <w:rPr>
            <w:rStyle w:val="Hyperlink"/>
          </w:rPr>
          <w:t>Ensuring compliance</w:t>
        </w:r>
        <w:r w:rsidR="000743A4">
          <w:rPr>
            <w:webHidden/>
          </w:rPr>
          <w:tab/>
        </w:r>
        <w:r w:rsidR="000743A4">
          <w:rPr>
            <w:webHidden/>
          </w:rPr>
          <w:fldChar w:fldCharType="begin"/>
        </w:r>
        <w:r w:rsidR="000743A4">
          <w:rPr>
            <w:webHidden/>
          </w:rPr>
          <w:instrText xml:space="preserve"> PAGEREF _Toc97799987 \h </w:instrText>
        </w:r>
        <w:r w:rsidR="000743A4">
          <w:rPr>
            <w:webHidden/>
          </w:rPr>
        </w:r>
        <w:r w:rsidR="000743A4">
          <w:rPr>
            <w:webHidden/>
          </w:rPr>
          <w:fldChar w:fldCharType="separate"/>
        </w:r>
        <w:r w:rsidR="000743A4">
          <w:rPr>
            <w:webHidden/>
          </w:rPr>
          <w:t>8</w:t>
        </w:r>
        <w:r w:rsidR="000743A4">
          <w:rPr>
            <w:webHidden/>
          </w:rPr>
          <w:fldChar w:fldCharType="end"/>
        </w:r>
      </w:hyperlink>
    </w:p>
    <w:p w14:paraId="1FB86D8A" w14:textId="3556CFB0" w:rsidR="000743A4" w:rsidRDefault="007B370C">
      <w:pPr>
        <w:pStyle w:val="TOC2"/>
        <w:rPr>
          <w:rFonts w:asciiTheme="minorHAnsi" w:eastAsiaTheme="minorEastAsia" w:hAnsiTheme="minorHAnsi" w:cstheme="minorBidi"/>
          <w:spacing w:val="0"/>
          <w:sz w:val="22"/>
          <w:szCs w:val="22"/>
        </w:rPr>
      </w:pPr>
      <w:hyperlink w:anchor="_Toc97799988" w:history="1">
        <w:r w:rsidR="000743A4" w:rsidRPr="00E863F2">
          <w:rPr>
            <w:rStyle w:val="Hyperlink"/>
          </w:rPr>
          <w:t>Keeping records</w:t>
        </w:r>
        <w:r w:rsidR="000743A4">
          <w:rPr>
            <w:webHidden/>
          </w:rPr>
          <w:tab/>
        </w:r>
        <w:r w:rsidR="000743A4">
          <w:rPr>
            <w:webHidden/>
          </w:rPr>
          <w:fldChar w:fldCharType="begin"/>
        </w:r>
        <w:r w:rsidR="000743A4">
          <w:rPr>
            <w:webHidden/>
          </w:rPr>
          <w:instrText xml:space="preserve"> PAGEREF _Toc97799988 \h </w:instrText>
        </w:r>
        <w:r w:rsidR="000743A4">
          <w:rPr>
            <w:webHidden/>
          </w:rPr>
        </w:r>
        <w:r w:rsidR="000743A4">
          <w:rPr>
            <w:webHidden/>
          </w:rPr>
          <w:fldChar w:fldCharType="separate"/>
        </w:r>
        <w:r w:rsidR="000743A4">
          <w:rPr>
            <w:webHidden/>
          </w:rPr>
          <w:t>8</w:t>
        </w:r>
        <w:r w:rsidR="000743A4">
          <w:rPr>
            <w:webHidden/>
          </w:rPr>
          <w:fldChar w:fldCharType="end"/>
        </w:r>
      </w:hyperlink>
    </w:p>
    <w:p w14:paraId="014F1AFB" w14:textId="79B988C8" w:rsidR="000743A4" w:rsidRDefault="007B370C">
      <w:pPr>
        <w:pStyle w:val="TOC1"/>
        <w:rPr>
          <w:rFonts w:asciiTheme="minorHAnsi" w:eastAsiaTheme="minorEastAsia" w:hAnsiTheme="minorHAnsi" w:cstheme="minorBidi"/>
          <w:b w:val="0"/>
          <w:spacing w:val="0"/>
          <w:sz w:val="22"/>
          <w:szCs w:val="22"/>
        </w:rPr>
      </w:pPr>
      <w:hyperlink w:anchor="_Toc97799989" w:history="1">
        <w:r w:rsidR="000743A4" w:rsidRPr="00E863F2">
          <w:rPr>
            <w:rStyle w:val="Hyperlink"/>
          </w:rPr>
          <w:t>Election matter</w:t>
        </w:r>
        <w:r w:rsidR="000743A4">
          <w:rPr>
            <w:webHidden/>
          </w:rPr>
          <w:tab/>
        </w:r>
        <w:r w:rsidR="000743A4">
          <w:rPr>
            <w:webHidden/>
          </w:rPr>
          <w:fldChar w:fldCharType="begin"/>
        </w:r>
        <w:r w:rsidR="000743A4">
          <w:rPr>
            <w:webHidden/>
          </w:rPr>
          <w:instrText xml:space="preserve"> PAGEREF _Toc97799989 \h </w:instrText>
        </w:r>
        <w:r w:rsidR="000743A4">
          <w:rPr>
            <w:webHidden/>
          </w:rPr>
        </w:r>
        <w:r w:rsidR="000743A4">
          <w:rPr>
            <w:webHidden/>
          </w:rPr>
          <w:fldChar w:fldCharType="separate"/>
        </w:r>
        <w:r w:rsidR="000743A4">
          <w:rPr>
            <w:webHidden/>
          </w:rPr>
          <w:t>10</w:t>
        </w:r>
        <w:r w:rsidR="000743A4">
          <w:rPr>
            <w:webHidden/>
          </w:rPr>
          <w:fldChar w:fldCharType="end"/>
        </w:r>
      </w:hyperlink>
    </w:p>
    <w:p w14:paraId="52CACC79" w14:textId="2A8A09E4" w:rsidR="000743A4" w:rsidRDefault="007B370C">
      <w:pPr>
        <w:pStyle w:val="TOC2"/>
        <w:rPr>
          <w:rFonts w:asciiTheme="minorHAnsi" w:eastAsiaTheme="minorEastAsia" w:hAnsiTheme="minorHAnsi" w:cstheme="minorBidi"/>
          <w:spacing w:val="0"/>
          <w:sz w:val="22"/>
          <w:szCs w:val="22"/>
        </w:rPr>
      </w:pPr>
      <w:hyperlink w:anchor="_Toc97799990" w:history="1">
        <w:r w:rsidR="000743A4" w:rsidRPr="00E863F2">
          <w:rPr>
            <w:rStyle w:val="Hyperlink"/>
            <w:shd w:val="clear" w:color="auto" w:fill="FFFFFF"/>
          </w:rPr>
          <w:t>What is ‘election matter’?</w:t>
        </w:r>
        <w:r w:rsidR="000743A4">
          <w:rPr>
            <w:webHidden/>
          </w:rPr>
          <w:tab/>
        </w:r>
        <w:r w:rsidR="000743A4">
          <w:rPr>
            <w:webHidden/>
          </w:rPr>
          <w:fldChar w:fldCharType="begin"/>
        </w:r>
        <w:r w:rsidR="000743A4">
          <w:rPr>
            <w:webHidden/>
          </w:rPr>
          <w:instrText xml:space="preserve"> PAGEREF _Toc97799990 \h </w:instrText>
        </w:r>
        <w:r w:rsidR="000743A4">
          <w:rPr>
            <w:webHidden/>
          </w:rPr>
        </w:r>
        <w:r w:rsidR="000743A4">
          <w:rPr>
            <w:webHidden/>
          </w:rPr>
          <w:fldChar w:fldCharType="separate"/>
        </w:r>
        <w:r w:rsidR="000743A4">
          <w:rPr>
            <w:webHidden/>
          </w:rPr>
          <w:t>10</w:t>
        </w:r>
        <w:r w:rsidR="000743A4">
          <w:rPr>
            <w:webHidden/>
          </w:rPr>
          <w:fldChar w:fldCharType="end"/>
        </w:r>
      </w:hyperlink>
    </w:p>
    <w:p w14:paraId="49132E20" w14:textId="770CFF45" w:rsidR="000743A4" w:rsidRDefault="007B370C">
      <w:pPr>
        <w:pStyle w:val="TOC2"/>
        <w:rPr>
          <w:rFonts w:asciiTheme="minorHAnsi" w:eastAsiaTheme="minorEastAsia" w:hAnsiTheme="minorHAnsi" w:cstheme="minorBidi"/>
          <w:spacing w:val="0"/>
          <w:sz w:val="22"/>
          <w:szCs w:val="22"/>
        </w:rPr>
      </w:pPr>
      <w:hyperlink w:anchor="_Toc97799991" w:history="1">
        <w:r w:rsidR="000743A4" w:rsidRPr="00E863F2">
          <w:rPr>
            <w:rStyle w:val="Hyperlink"/>
            <w:shd w:val="clear" w:color="auto" w:fill="FFFFFF"/>
          </w:rPr>
          <w:t>What is an ‘election period’?</w:t>
        </w:r>
        <w:r w:rsidR="000743A4">
          <w:rPr>
            <w:webHidden/>
          </w:rPr>
          <w:tab/>
        </w:r>
        <w:r w:rsidR="000743A4">
          <w:rPr>
            <w:webHidden/>
          </w:rPr>
          <w:fldChar w:fldCharType="begin"/>
        </w:r>
        <w:r w:rsidR="000743A4">
          <w:rPr>
            <w:webHidden/>
          </w:rPr>
          <w:instrText xml:space="preserve"> PAGEREF _Toc97799991 \h </w:instrText>
        </w:r>
        <w:r w:rsidR="000743A4">
          <w:rPr>
            <w:webHidden/>
          </w:rPr>
        </w:r>
        <w:r w:rsidR="000743A4">
          <w:rPr>
            <w:webHidden/>
          </w:rPr>
          <w:fldChar w:fldCharType="separate"/>
        </w:r>
        <w:r w:rsidR="000743A4">
          <w:rPr>
            <w:webHidden/>
          </w:rPr>
          <w:t>10</w:t>
        </w:r>
        <w:r w:rsidR="000743A4">
          <w:rPr>
            <w:webHidden/>
          </w:rPr>
          <w:fldChar w:fldCharType="end"/>
        </w:r>
      </w:hyperlink>
    </w:p>
    <w:p w14:paraId="7FDD63B4" w14:textId="732005FC" w:rsidR="000743A4" w:rsidRDefault="007B370C">
      <w:pPr>
        <w:pStyle w:val="TOC2"/>
        <w:rPr>
          <w:rFonts w:asciiTheme="minorHAnsi" w:eastAsiaTheme="minorEastAsia" w:hAnsiTheme="minorHAnsi" w:cstheme="minorBidi"/>
          <w:spacing w:val="0"/>
          <w:sz w:val="22"/>
          <w:szCs w:val="22"/>
        </w:rPr>
      </w:pPr>
      <w:hyperlink w:anchor="_Toc97799992" w:history="1">
        <w:r w:rsidR="000743A4" w:rsidRPr="00E863F2">
          <w:rPr>
            <w:rStyle w:val="Hyperlink"/>
            <w:shd w:val="clear" w:color="auto" w:fill="FFFFFF"/>
          </w:rPr>
          <w:t>‘Reasonable opportunities’ to participants in elections</w:t>
        </w:r>
        <w:r w:rsidR="000743A4">
          <w:rPr>
            <w:webHidden/>
          </w:rPr>
          <w:tab/>
        </w:r>
        <w:r w:rsidR="000743A4">
          <w:rPr>
            <w:webHidden/>
          </w:rPr>
          <w:fldChar w:fldCharType="begin"/>
        </w:r>
        <w:r w:rsidR="000743A4">
          <w:rPr>
            <w:webHidden/>
          </w:rPr>
          <w:instrText xml:space="preserve"> PAGEREF _Toc97799992 \h </w:instrText>
        </w:r>
        <w:r w:rsidR="000743A4">
          <w:rPr>
            <w:webHidden/>
          </w:rPr>
        </w:r>
        <w:r w:rsidR="000743A4">
          <w:rPr>
            <w:webHidden/>
          </w:rPr>
          <w:fldChar w:fldCharType="separate"/>
        </w:r>
        <w:r w:rsidR="000743A4">
          <w:rPr>
            <w:webHidden/>
          </w:rPr>
          <w:t>10</w:t>
        </w:r>
        <w:r w:rsidR="000743A4">
          <w:rPr>
            <w:webHidden/>
          </w:rPr>
          <w:fldChar w:fldCharType="end"/>
        </w:r>
      </w:hyperlink>
    </w:p>
    <w:p w14:paraId="6B46E7AD" w14:textId="618DC151" w:rsidR="000743A4" w:rsidRDefault="007B370C">
      <w:pPr>
        <w:pStyle w:val="TOC2"/>
        <w:rPr>
          <w:rFonts w:asciiTheme="minorHAnsi" w:eastAsiaTheme="minorEastAsia" w:hAnsiTheme="minorHAnsi" w:cstheme="minorBidi"/>
          <w:spacing w:val="0"/>
          <w:sz w:val="22"/>
          <w:szCs w:val="22"/>
        </w:rPr>
      </w:pPr>
      <w:hyperlink w:anchor="_Toc97799993" w:history="1">
        <w:r w:rsidR="000743A4" w:rsidRPr="00E863F2">
          <w:rPr>
            <w:rStyle w:val="Hyperlink"/>
          </w:rPr>
          <w:t>Election ‘blackouts’</w:t>
        </w:r>
        <w:r w:rsidR="000743A4">
          <w:rPr>
            <w:webHidden/>
          </w:rPr>
          <w:tab/>
        </w:r>
        <w:r w:rsidR="000743A4">
          <w:rPr>
            <w:webHidden/>
          </w:rPr>
          <w:fldChar w:fldCharType="begin"/>
        </w:r>
        <w:r w:rsidR="000743A4">
          <w:rPr>
            <w:webHidden/>
          </w:rPr>
          <w:instrText xml:space="preserve"> PAGEREF _Toc97799993 \h </w:instrText>
        </w:r>
        <w:r w:rsidR="000743A4">
          <w:rPr>
            <w:webHidden/>
          </w:rPr>
        </w:r>
        <w:r w:rsidR="000743A4">
          <w:rPr>
            <w:webHidden/>
          </w:rPr>
          <w:fldChar w:fldCharType="separate"/>
        </w:r>
        <w:r w:rsidR="000743A4">
          <w:rPr>
            <w:webHidden/>
          </w:rPr>
          <w:t>11</w:t>
        </w:r>
        <w:r w:rsidR="000743A4">
          <w:rPr>
            <w:webHidden/>
          </w:rPr>
          <w:fldChar w:fldCharType="end"/>
        </w:r>
      </w:hyperlink>
    </w:p>
    <w:p w14:paraId="1A32B848" w14:textId="54985EC8" w:rsidR="000743A4" w:rsidRDefault="007B370C">
      <w:pPr>
        <w:pStyle w:val="TOC1"/>
        <w:rPr>
          <w:rFonts w:asciiTheme="minorHAnsi" w:eastAsiaTheme="minorEastAsia" w:hAnsiTheme="minorHAnsi" w:cstheme="minorBidi"/>
          <w:b w:val="0"/>
          <w:spacing w:val="0"/>
          <w:sz w:val="22"/>
          <w:szCs w:val="22"/>
        </w:rPr>
      </w:pPr>
      <w:hyperlink w:anchor="_Toc97799994" w:history="1">
        <w:r w:rsidR="000743A4" w:rsidRPr="00E863F2">
          <w:rPr>
            <w:rStyle w:val="Hyperlink"/>
          </w:rPr>
          <w:t>Appendix</w:t>
        </w:r>
        <w:r w:rsidR="000743A4">
          <w:rPr>
            <w:webHidden/>
          </w:rPr>
          <w:tab/>
        </w:r>
        <w:r w:rsidR="000743A4">
          <w:rPr>
            <w:webHidden/>
          </w:rPr>
          <w:fldChar w:fldCharType="begin"/>
        </w:r>
        <w:r w:rsidR="000743A4">
          <w:rPr>
            <w:webHidden/>
          </w:rPr>
          <w:instrText xml:space="preserve"> PAGEREF _Toc97799994 \h </w:instrText>
        </w:r>
        <w:r w:rsidR="000743A4">
          <w:rPr>
            <w:webHidden/>
          </w:rPr>
        </w:r>
        <w:r w:rsidR="000743A4">
          <w:rPr>
            <w:webHidden/>
          </w:rPr>
          <w:fldChar w:fldCharType="separate"/>
        </w:r>
        <w:r w:rsidR="000743A4">
          <w:rPr>
            <w:webHidden/>
          </w:rPr>
          <w:t>12</w:t>
        </w:r>
        <w:r w:rsidR="000743A4">
          <w:rPr>
            <w:webHidden/>
          </w:rPr>
          <w:fldChar w:fldCharType="end"/>
        </w:r>
      </w:hyperlink>
    </w:p>
    <w:p w14:paraId="26D4734E" w14:textId="3F2ABA70" w:rsidR="000743A4" w:rsidRDefault="007B370C">
      <w:pPr>
        <w:pStyle w:val="TOC2"/>
        <w:rPr>
          <w:rFonts w:asciiTheme="minorHAnsi" w:eastAsiaTheme="minorEastAsia" w:hAnsiTheme="minorHAnsi" w:cstheme="minorBidi"/>
          <w:spacing w:val="0"/>
          <w:sz w:val="22"/>
          <w:szCs w:val="22"/>
        </w:rPr>
      </w:pPr>
      <w:hyperlink w:anchor="_Toc97799995" w:history="1">
        <w:r w:rsidR="000743A4" w:rsidRPr="00E863F2">
          <w:rPr>
            <w:rStyle w:val="Hyperlink"/>
          </w:rPr>
          <w:t>Case study 1</w:t>
        </w:r>
        <w:r w:rsidR="000743A4">
          <w:rPr>
            <w:webHidden/>
          </w:rPr>
          <w:tab/>
        </w:r>
        <w:r w:rsidR="000743A4">
          <w:rPr>
            <w:webHidden/>
          </w:rPr>
          <w:fldChar w:fldCharType="begin"/>
        </w:r>
        <w:r w:rsidR="000743A4">
          <w:rPr>
            <w:webHidden/>
          </w:rPr>
          <w:instrText xml:space="preserve"> PAGEREF _Toc97799995 \h </w:instrText>
        </w:r>
        <w:r w:rsidR="000743A4">
          <w:rPr>
            <w:webHidden/>
          </w:rPr>
        </w:r>
        <w:r w:rsidR="000743A4">
          <w:rPr>
            <w:webHidden/>
          </w:rPr>
          <w:fldChar w:fldCharType="separate"/>
        </w:r>
        <w:r w:rsidR="000743A4">
          <w:rPr>
            <w:webHidden/>
          </w:rPr>
          <w:t>12</w:t>
        </w:r>
        <w:r w:rsidR="000743A4">
          <w:rPr>
            <w:webHidden/>
          </w:rPr>
          <w:fldChar w:fldCharType="end"/>
        </w:r>
      </w:hyperlink>
    </w:p>
    <w:p w14:paraId="3F584650" w14:textId="50FAC781" w:rsidR="000743A4" w:rsidRDefault="007B370C">
      <w:pPr>
        <w:pStyle w:val="TOC3"/>
        <w:rPr>
          <w:rFonts w:asciiTheme="minorHAnsi" w:eastAsiaTheme="minorEastAsia" w:hAnsiTheme="minorHAnsi" w:cstheme="minorBidi"/>
        </w:rPr>
      </w:pPr>
      <w:hyperlink w:anchor="_Toc97799996" w:history="1">
        <w:r w:rsidR="000743A4" w:rsidRPr="00E863F2">
          <w:rPr>
            <w:rStyle w:val="Hyperlink"/>
          </w:rPr>
          <w:t xml:space="preserve">Breach – licensee did not announce the required particulars </w:t>
        </w:r>
        <w:r w:rsidR="000743A4">
          <w:rPr>
            <w:rStyle w:val="Hyperlink"/>
          </w:rPr>
          <w:br/>
        </w:r>
        <w:r w:rsidR="000743A4" w:rsidRPr="00E863F2">
          <w:rPr>
            <w:rStyle w:val="Hyperlink"/>
          </w:rPr>
          <w:t>immediately after the broadcast of political matter.</w:t>
        </w:r>
        <w:r w:rsidR="000743A4">
          <w:rPr>
            <w:webHidden/>
          </w:rPr>
          <w:tab/>
        </w:r>
        <w:r w:rsidR="000743A4">
          <w:rPr>
            <w:webHidden/>
          </w:rPr>
          <w:fldChar w:fldCharType="begin"/>
        </w:r>
        <w:r w:rsidR="000743A4">
          <w:rPr>
            <w:webHidden/>
          </w:rPr>
          <w:instrText xml:space="preserve"> PAGEREF _Toc97799996 \h </w:instrText>
        </w:r>
        <w:r w:rsidR="000743A4">
          <w:rPr>
            <w:webHidden/>
          </w:rPr>
        </w:r>
        <w:r w:rsidR="000743A4">
          <w:rPr>
            <w:webHidden/>
          </w:rPr>
          <w:fldChar w:fldCharType="separate"/>
        </w:r>
        <w:r w:rsidR="000743A4">
          <w:rPr>
            <w:webHidden/>
          </w:rPr>
          <w:t>12</w:t>
        </w:r>
        <w:r w:rsidR="000743A4">
          <w:rPr>
            <w:webHidden/>
          </w:rPr>
          <w:fldChar w:fldCharType="end"/>
        </w:r>
      </w:hyperlink>
    </w:p>
    <w:p w14:paraId="388E2FC6" w14:textId="28DB13FD" w:rsidR="000743A4" w:rsidRDefault="007B370C">
      <w:pPr>
        <w:pStyle w:val="TOC2"/>
        <w:rPr>
          <w:rFonts w:asciiTheme="minorHAnsi" w:eastAsiaTheme="minorEastAsia" w:hAnsiTheme="minorHAnsi" w:cstheme="minorBidi"/>
          <w:spacing w:val="0"/>
          <w:sz w:val="22"/>
          <w:szCs w:val="22"/>
        </w:rPr>
      </w:pPr>
      <w:hyperlink w:anchor="_Toc97799997" w:history="1">
        <w:r w:rsidR="000743A4" w:rsidRPr="00E863F2">
          <w:rPr>
            <w:rStyle w:val="Hyperlink"/>
          </w:rPr>
          <w:t>Case study 2</w:t>
        </w:r>
        <w:r w:rsidR="000743A4">
          <w:rPr>
            <w:webHidden/>
          </w:rPr>
          <w:tab/>
        </w:r>
        <w:r w:rsidR="000743A4">
          <w:rPr>
            <w:webHidden/>
          </w:rPr>
          <w:fldChar w:fldCharType="begin"/>
        </w:r>
        <w:r w:rsidR="000743A4">
          <w:rPr>
            <w:webHidden/>
          </w:rPr>
          <w:instrText xml:space="preserve"> PAGEREF _Toc97799997 \h </w:instrText>
        </w:r>
        <w:r w:rsidR="000743A4">
          <w:rPr>
            <w:webHidden/>
          </w:rPr>
        </w:r>
        <w:r w:rsidR="000743A4">
          <w:rPr>
            <w:webHidden/>
          </w:rPr>
          <w:fldChar w:fldCharType="separate"/>
        </w:r>
        <w:r w:rsidR="000743A4">
          <w:rPr>
            <w:webHidden/>
          </w:rPr>
          <w:t>13</w:t>
        </w:r>
        <w:r w:rsidR="000743A4">
          <w:rPr>
            <w:webHidden/>
          </w:rPr>
          <w:fldChar w:fldCharType="end"/>
        </w:r>
      </w:hyperlink>
    </w:p>
    <w:p w14:paraId="41CB880F" w14:textId="3FC48A90" w:rsidR="000743A4" w:rsidRDefault="007B370C">
      <w:pPr>
        <w:pStyle w:val="TOC3"/>
        <w:rPr>
          <w:rFonts w:asciiTheme="minorHAnsi" w:eastAsiaTheme="minorEastAsia" w:hAnsiTheme="minorHAnsi" w:cstheme="minorBidi"/>
        </w:rPr>
      </w:pPr>
      <w:hyperlink w:anchor="_Toc97799998" w:history="1">
        <w:r w:rsidR="000743A4" w:rsidRPr="00E863F2">
          <w:rPr>
            <w:rStyle w:val="Hyperlink"/>
          </w:rPr>
          <w:t xml:space="preserve">No breach – political matter was not broadcast at the request of </w:t>
        </w:r>
        <w:r w:rsidR="000743A4">
          <w:rPr>
            <w:rStyle w:val="Hyperlink"/>
          </w:rPr>
          <w:br/>
        </w:r>
        <w:r w:rsidR="000743A4" w:rsidRPr="00E863F2">
          <w:rPr>
            <w:rStyle w:val="Hyperlink"/>
          </w:rPr>
          <w:t>another person</w:t>
        </w:r>
        <w:r w:rsidR="000743A4">
          <w:rPr>
            <w:webHidden/>
          </w:rPr>
          <w:tab/>
        </w:r>
        <w:r w:rsidR="000743A4">
          <w:rPr>
            <w:webHidden/>
          </w:rPr>
          <w:fldChar w:fldCharType="begin"/>
        </w:r>
        <w:r w:rsidR="000743A4">
          <w:rPr>
            <w:webHidden/>
          </w:rPr>
          <w:instrText xml:space="preserve"> PAGEREF _Toc97799998 \h </w:instrText>
        </w:r>
        <w:r w:rsidR="000743A4">
          <w:rPr>
            <w:webHidden/>
          </w:rPr>
        </w:r>
        <w:r w:rsidR="000743A4">
          <w:rPr>
            <w:webHidden/>
          </w:rPr>
          <w:fldChar w:fldCharType="separate"/>
        </w:r>
        <w:r w:rsidR="000743A4">
          <w:rPr>
            <w:webHidden/>
          </w:rPr>
          <w:t>13</w:t>
        </w:r>
        <w:r w:rsidR="000743A4">
          <w:rPr>
            <w:webHidden/>
          </w:rPr>
          <w:fldChar w:fldCharType="end"/>
        </w:r>
      </w:hyperlink>
    </w:p>
    <w:p w14:paraId="382F8C14" w14:textId="0A98DF3D" w:rsidR="000743A4" w:rsidRDefault="007B370C">
      <w:pPr>
        <w:pStyle w:val="TOC2"/>
        <w:rPr>
          <w:rFonts w:asciiTheme="minorHAnsi" w:eastAsiaTheme="minorEastAsia" w:hAnsiTheme="minorHAnsi" w:cstheme="minorBidi"/>
          <w:spacing w:val="0"/>
          <w:sz w:val="22"/>
          <w:szCs w:val="22"/>
        </w:rPr>
      </w:pPr>
      <w:hyperlink w:anchor="_Toc97799999" w:history="1">
        <w:r w:rsidR="000743A4" w:rsidRPr="00E863F2">
          <w:rPr>
            <w:rStyle w:val="Hyperlink"/>
          </w:rPr>
          <w:t>Case study 3</w:t>
        </w:r>
        <w:r w:rsidR="000743A4">
          <w:rPr>
            <w:webHidden/>
          </w:rPr>
          <w:tab/>
        </w:r>
        <w:r w:rsidR="000743A4">
          <w:rPr>
            <w:webHidden/>
          </w:rPr>
          <w:fldChar w:fldCharType="begin"/>
        </w:r>
        <w:r w:rsidR="000743A4">
          <w:rPr>
            <w:webHidden/>
          </w:rPr>
          <w:instrText xml:space="preserve"> PAGEREF _Toc97799999 \h </w:instrText>
        </w:r>
        <w:r w:rsidR="000743A4">
          <w:rPr>
            <w:webHidden/>
          </w:rPr>
        </w:r>
        <w:r w:rsidR="000743A4">
          <w:rPr>
            <w:webHidden/>
          </w:rPr>
          <w:fldChar w:fldCharType="separate"/>
        </w:r>
        <w:r w:rsidR="000743A4">
          <w:rPr>
            <w:webHidden/>
          </w:rPr>
          <w:t>15</w:t>
        </w:r>
        <w:r w:rsidR="000743A4">
          <w:rPr>
            <w:webHidden/>
          </w:rPr>
          <w:fldChar w:fldCharType="end"/>
        </w:r>
      </w:hyperlink>
    </w:p>
    <w:p w14:paraId="131DB2EF" w14:textId="6FDABF81" w:rsidR="000743A4" w:rsidRDefault="007B370C">
      <w:pPr>
        <w:pStyle w:val="TOC3"/>
        <w:rPr>
          <w:rFonts w:asciiTheme="minorHAnsi" w:eastAsiaTheme="minorEastAsia" w:hAnsiTheme="minorHAnsi" w:cstheme="minorBidi"/>
        </w:rPr>
      </w:pPr>
      <w:hyperlink w:anchor="_Toc97800000" w:history="1">
        <w:r w:rsidR="000743A4" w:rsidRPr="00E863F2">
          <w:rPr>
            <w:rStyle w:val="Hyperlink"/>
          </w:rPr>
          <w:t>No breach – broadcast did not constitute political matter</w:t>
        </w:r>
        <w:r w:rsidR="000743A4">
          <w:rPr>
            <w:webHidden/>
          </w:rPr>
          <w:tab/>
        </w:r>
        <w:r w:rsidR="000743A4">
          <w:rPr>
            <w:webHidden/>
          </w:rPr>
          <w:fldChar w:fldCharType="begin"/>
        </w:r>
        <w:r w:rsidR="000743A4">
          <w:rPr>
            <w:webHidden/>
          </w:rPr>
          <w:instrText xml:space="preserve"> PAGEREF _Toc97800000 \h </w:instrText>
        </w:r>
        <w:r w:rsidR="000743A4">
          <w:rPr>
            <w:webHidden/>
          </w:rPr>
        </w:r>
        <w:r w:rsidR="000743A4">
          <w:rPr>
            <w:webHidden/>
          </w:rPr>
          <w:fldChar w:fldCharType="separate"/>
        </w:r>
        <w:r w:rsidR="000743A4">
          <w:rPr>
            <w:webHidden/>
          </w:rPr>
          <w:t>15</w:t>
        </w:r>
        <w:r w:rsidR="000743A4">
          <w:rPr>
            <w:webHidden/>
          </w:rPr>
          <w:fldChar w:fldCharType="end"/>
        </w:r>
      </w:hyperlink>
    </w:p>
    <w:p w14:paraId="7566423A" w14:textId="2C2A1942" w:rsidR="000743A4" w:rsidRDefault="007B370C">
      <w:pPr>
        <w:pStyle w:val="TOC2"/>
        <w:rPr>
          <w:rFonts w:asciiTheme="minorHAnsi" w:eastAsiaTheme="minorEastAsia" w:hAnsiTheme="minorHAnsi" w:cstheme="minorBidi"/>
          <w:spacing w:val="0"/>
          <w:sz w:val="22"/>
          <w:szCs w:val="22"/>
        </w:rPr>
      </w:pPr>
      <w:hyperlink w:anchor="_Toc97800001" w:history="1">
        <w:r w:rsidR="000743A4" w:rsidRPr="00E863F2">
          <w:rPr>
            <w:rStyle w:val="Hyperlink"/>
          </w:rPr>
          <w:t>Case study 4</w:t>
        </w:r>
        <w:r w:rsidR="000743A4">
          <w:rPr>
            <w:webHidden/>
          </w:rPr>
          <w:tab/>
        </w:r>
        <w:r w:rsidR="000743A4">
          <w:rPr>
            <w:webHidden/>
          </w:rPr>
          <w:fldChar w:fldCharType="begin"/>
        </w:r>
        <w:r w:rsidR="000743A4">
          <w:rPr>
            <w:webHidden/>
          </w:rPr>
          <w:instrText xml:space="preserve"> PAGEREF _Toc97800001 \h </w:instrText>
        </w:r>
        <w:r w:rsidR="000743A4">
          <w:rPr>
            <w:webHidden/>
          </w:rPr>
        </w:r>
        <w:r w:rsidR="000743A4">
          <w:rPr>
            <w:webHidden/>
          </w:rPr>
          <w:fldChar w:fldCharType="separate"/>
        </w:r>
        <w:r w:rsidR="000743A4">
          <w:rPr>
            <w:webHidden/>
          </w:rPr>
          <w:t>16</w:t>
        </w:r>
        <w:r w:rsidR="000743A4">
          <w:rPr>
            <w:webHidden/>
          </w:rPr>
          <w:fldChar w:fldCharType="end"/>
        </w:r>
      </w:hyperlink>
    </w:p>
    <w:p w14:paraId="6F07AF3E" w14:textId="720482F6" w:rsidR="000743A4" w:rsidRDefault="007B370C">
      <w:pPr>
        <w:pStyle w:val="TOC3"/>
        <w:rPr>
          <w:rFonts w:asciiTheme="minorHAnsi" w:eastAsiaTheme="minorEastAsia" w:hAnsiTheme="minorHAnsi" w:cstheme="minorBidi"/>
        </w:rPr>
      </w:pPr>
      <w:hyperlink w:anchor="_Toc97800002" w:history="1">
        <w:r w:rsidR="000743A4" w:rsidRPr="00E863F2">
          <w:rPr>
            <w:rStyle w:val="Hyperlink"/>
          </w:rPr>
          <w:t xml:space="preserve">No breach – political matter was not broadcast at the request of </w:t>
        </w:r>
        <w:r w:rsidR="000743A4">
          <w:rPr>
            <w:rStyle w:val="Hyperlink"/>
          </w:rPr>
          <w:br/>
        </w:r>
        <w:r w:rsidR="000743A4" w:rsidRPr="00E863F2">
          <w:rPr>
            <w:rStyle w:val="Hyperlink"/>
          </w:rPr>
          <w:t>another person</w:t>
        </w:r>
        <w:r w:rsidR="000743A4">
          <w:rPr>
            <w:webHidden/>
          </w:rPr>
          <w:tab/>
        </w:r>
        <w:r w:rsidR="000743A4">
          <w:rPr>
            <w:webHidden/>
          </w:rPr>
          <w:fldChar w:fldCharType="begin"/>
        </w:r>
        <w:r w:rsidR="000743A4">
          <w:rPr>
            <w:webHidden/>
          </w:rPr>
          <w:instrText xml:space="preserve"> PAGEREF _Toc97800002 \h </w:instrText>
        </w:r>
        <w:r w:rsidR="000743A4">
          <w:rPr>
            <w:webHidden/>
          </w:rPr>
        </w:r>
        <w:r w:rsidR="000743A4">
          <w:rPr>
            <w:webHidden/>
          </w:rPr>
          <w:fldChar w:fldCharType="separate"/>
        </w:r>
        <w:r w:rsidR="000743A4">
          <w:rPr>
            <w:webHidden/>
          </w:rPr>
          <w:t>16</w:t>
        </w:r>
        <w:r w:rsidR="000743A4">
          <w:rPr>
            <w:webHidden/>
          </w:rPr>
          <w:fldChar w:fldCharType="end"/>
        </w:r>
      </w:hyperlink>
    </w:p>
    <w:p w14:paraId="14DAC740" w14:textId="43D3BA72" w:rsidR="000743A4" w:rsidRDefault="007B370C">
      <w:pPr>
        <w:pStyle w:val="TOC2"/>
        <w:rPr>
          <w:rFonts w:asciiTheme="minorHAnsi" w:eastAsiaTheme="minorEastAsia" w:hAnsiTheme="minorHAnsi" w:cstheme="minorBidi"/>
          <w:spacing w:val="0"/>
          <w:sz w:val="22"/>
          <w:szCs w:val="22"/>
        </w:rPr>
      </w:pPr>
      <w:hyperlink w:anchor="_Toc97800003" w:history="1">
        <w:r w:rsidR="000743A4" w:rsidRPr="00E863F2">
          <w:rPr>
            <w:rStyle w:val="Hyperlink"/>
          </w:rPr>
          <w:t>Case study 5</w:t>
        </w:r>
        <w:r w:rsidR="000743A4">
          <w:rPr>
            <w:webHidden/>
          </w:rPr>
          <w:tab/>
        </w:r>
        <w:r w:rsidR="000743A4">
          <w:rPr>
            <w:webHidden/>
          </w:rPr>
          <w:fldChar w:fldCharType="begin"/>
        </w:r>
        <w:r w:rsidR="000743A4">
          <w:rPr>
            <w:webHidden/>
          </w:rPr>
          <w:instrText xml:space="preserve"> PAGEREF _Toc97800003 \h </w:instrText>
        </w:r>
        <w:r w:rsidR="000743A4">
          <w:rPr>
            <w:webHidden/>
          </w:rPr>
        </w:r>
        <w:r w:rsidR="000743A4">
          <w:rPr>
            <w:webHidden/>
          </w:rPr>
          <w:fldChar w:fldCharType="separate"/>
        </w:r>
        <w:r w:rsidR="000743A4">
          <w:rPr>
            <w:webHidden/>
          </w:rPr>
          <w:t>18</w:t>
        </w:r>
        <w:r w:rsidR="000743A4">
          <w:rPr>
            <w:webHidden/>
          </w:rPr>
          <w:fldChar w:fldCharType="end"/>
        </w:r>
      </w:hyperlink>
    </w:p>
    <w:p w14:paraId="281AA11E" w14:textId="3986B9E4" w:rsidR="000743A4" w:rsidRDefault="007B370C">
      <w:pPr>
        <w:pStyle w:val="TOC3"/>
        <w:rPr>
          <w:rFonts w:asciiTheme="minorHAnsi" w:eastAsiaTheme="minorEastAsia" w:hAnsiTheme="minorHAnsi" w:cstheme="minorBidi"/>
        </w:rPr>
      </w:pPr>
      <w:hyperlink w:anchor="_Toc97800004" w:history="1">
        <w:r w:rsidR="000743A4" w:rsidRPr="00E863F2">
          <w:rPr>
            <w:rStyle w:val="Hyperlink"/>
          </w:rPr>
          <w:t xml:space="preserve">No breach – political matter was not an election advertisement </w:t>
        </w:r>
        <w:r w:rsidR="000743A4">
          <w:rPr>
            <w:rStyle w:val="Hyperlink"/>
          </w:rPr>
          <w:br/>
        </w:r>
        <w:r w:rsidR="000743A4" w:rsidRPr="00E863F2">
          <w:rPr>
            <w:rStyle w:val="Hyperlink"/>
          </w:rPr>
          <w:t xml:space="preserve">broadcast during the ‘blackout period’ and was not broadcast at the </w:t>
        </w:r>
        <w:r w:rsidR="000743A4">
          <w:rPr>
            <w:rStyle w:val="Hyperlink"/>
          </w:rPr>
          <w:br/>
        </w:r>
        <w:r w:rsidR="000743A4" w:rsidRPr="00E863F2">
          <w:rPr>
            <w:rStyle w:val="Hyperlink"/>
          </w:rPr>
          <w:t>request of another person</w:t>
        </w:r>
        <w:r w:rsidR="000743A4">
          <w:rPr>
            <w:webHidden/>
          </w:rPr>
          <w:tab/>
        </w:r>
        <w:r w:rsidR="000743A4">
          <w:rPr>
            <w:webHidden/>
          </w:rPr>
          <w:fldChar w:fldCharType="begin"/>
        </w:r>
        <w:r w:rsidR="000743A4">
          <w:rPr>
            <w:webHidden/>
          </w:rPr>
          <w:instrText xml:space="preserve"> PAGEREF _Toc97800004 \h </w:instrText>
        </w:r>
        <w:r w:rsidR="000743A4">
          <w:rPr>
            <w:webHidden/>
          </w:rPr>
        </w:r>
        <w:r w:rsidR="000743A4">
          <w:rPr>
            <w:webHidden/>
          </w:rPr>
          <w:fldChar w:fldCharType="separate"/>
        </w:r>
        <w:r w:rsidR="000743A4">
          <w:rPr>
            <w:webHidden/>
          </w:rPr>
          <w:t>18</w:t>
        </w:r>
        <w:r w:rsidR="000743A4">
          <w:rPr>
            <w:webHidden/>
          </w:rPr>
          <w:fldChar w:fldCharType="end"/>
        </w:r>
      </w:hyperlink>
    </w:p>
    <w:p w14:paraId="2321E4BF" w14:textId="3B410E4C" w:rsidR="004D56FF" w:rsidRPr="00A17B1B" w:rsidRDefault="00DF0799">
      <w:pPr>
        <w:rPr>
          <w:rFonts w:cs="Arial"/>
        </w:rPr>
        <w:sectPr w:rsidR="004D56FF" w:rsidRPr="00A17B1B"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A17B1B">
        <w:rPr>
          <w:rFonts w:cs="Arial"/>
        </w:rPr>
        <w:fldChar w:fldCharType="end"/>
      </w:r>
    </w:p>
    <w:p w14:paraId="040D3FB4" w14:textId="77777777" w:rsidR="0030537A" w:rsidRDefault="0030537A" w:rsidP="0030537A">
      <w:pPr>
        <w:pStyle w:val="Heading1"/>
      </w:pPr>
      <w:bookmarkStart w:id="0" w:name="_Toc96344030"/>
      <w:bookmarkStart w:id="1" w:name="_Toc97799964"/>
      <w:bookmarkStart w:id="2" w:name="_Hlk97718214"/>
      <w:r w:rsidRPr="00123733">
        <w:lastRenderedPageBreak/>
        <w:t xml:space="preserve">Political </w:t>
      </w:r>
      <w:r>
        <w:t xml:space="preserve">and election </w:t>
      </w:r>
      <w:r w:rsidRPr="00123733">
        <w:t>matter guidelines</w:t>
      </w:r>
      <w:bookmarkEnd w:id="0"/>
      <w:bookmarkEnd w:id="1"/>
      <w:r w:rsidRPr="00123733">
        <w:t xml:space="preserve"> </w:t>
      </w:r>
    </w:p>
    <w:p w14:paraId="51AD38F8" w14:textId="3A670F1E" w:rsidR="0030537A" w:rsidRDefault="0030537A" w:rsidP="0030537A">
      <w:r w:rsidRPr="00BF49A8">
        <w:t xml:space="preserve">During political debate, it is important that </w:t>
      </w:r>
      <w:r>
        <w:t>audiences</w:t>
      </w:r>
      <w:r w:rsidRPr="00BF49A8">
        <w:t xml:space="preserve"> are informed about who is trying to persuade them to think or act in a certain way</w:t>
      </w:r>
      <w:r>
        <w:t xml:space="preserve">, and that </w:t>
      </w:r>
      <w:r w:rsidRPr="00F87C8A">
        <w:t xml:space="preserve">people authorising political </w:t>
      </w:r>
      <w:r>
        <w:t>matter</w:t>
      </w:r>
      <w:r w:rsidRPr="00F87C8A">
        <w:t xml:space="preserve"> are accountable for the material broadcast</w:t>
      </w:r>
      <w:r w:rsidRPr="00BF49A8">
        <w:t xml:space="preserve">. </w:t>
      </w:r>
      <w:r>
        <w:t>When proper attribution is absent or the source of political messaging is disguised, the political process can be compromised.</w:t>
      </w:r>
      <w:r>
        <w:rPr>
          <w:rStyle w:val="FootnoteReference"/>
        </w:rPr>
        <w:footnoteReference w:id="1"/>
      </w:r>
      <w:r>
        <w:t xml:space="preserve"> </w:t>
      </w:r>
    </w:p>
    <w:p w14:paraId="7D6F5B68" w14:textId="77777777" w:rsidR="0030537A" w:rsidRDefault="0030537A" w:rsidP="0030537A">
      <w:r>
        <w:t>T</w:t>
      </w:r>
      <w:r w:rsidRPr="00F87C8A">
        <w:t xml:space="preserve">he </w:t>
      </w:r>
      <w:r>
        <w:t xml:space="preserve">provisions in the </w:t>
      </w:r>
      <w:r>
        <w:rPr>
          <w:i/>
        </w:rPr>
        <w:t xml:space="preserve">Broadcasting Services Act 1992 </w:t>
      </w:r>
      <w:r>
        <w:t xml:space="preserve">(BSA) relating to the broadcast of political matter apply at all times. </w:t>
      </w:r>
    </w:p>
    <w:p w14:paraId="34129267" w14:textId="77777777" w:rsidR="0030537A" w:rsidRPr="00220825" w:rsidRDefault="0030537A" w:rsidP="006352BF">
      <w:pPr>
        <w:pStyle w:val="Heading2"/>
      </w:pPr>
      <w:bookmarkStart w:id="3" w:name="_Toc96344032"/>
      <w:bookmarkStart w:id="4" w:name="_Toc97799965"/>
      <w:r>
        <w:t>Political and election matter</w:t>
      </w:r>
      <w:bookmarkEnd w:id="3"/>
      <w:bookmarkEnd w:id="4"/>
    </w:p>
    <w:p w14:paraId="4787495E" w14:textId="77777777" w:rsidR="0030537A" w:rsidRDefault="0030537A" w:rsidP="0030537A">
      <w:r>
        <w:t>Election matter and election advertisements are specific forms of political matter that relate directly to an election to a parliament or a local government authority of a state or territory. During election campaigns, the BSA places some restrictions on the broadcast of election advertising. It also places certain obligations on licensees to provide access to the licensee’s broadcasting service to participants contesting the election.</w:t>
      </w:r>
    </w:p>
    <w:p w14:paraId="2C166DB9" w14:textId="77777777" w:rsidR="0030537A" w:rsidRPr="00220825" w:rsidRDefault="0030537A" w:rsidP="006352BF">
      <w:pPr>
        <w:pStyle w:val="Heading2"/>
      </w:pPr>
      <w:bookmarkStart w:id="5" w:name="_Toc96344033"/>
      <w:bookmarkStart w:id="6" w:name="_Toc97799966"/>
      <w:r>
        <w:t>Who do the rules apply to?</w:t>
      </w:r>
      <w:bookmarkEnd w:id="5"/>
      <w:bookmarkEnd w:id="6"/>
    </w:p>
    <w:p w14:paraId="0AA1B808" w14:textId="77777777" w:rsidR="0007346C" w:rsidRDefault="0030537A" w:rsidP="006352BF">
      <w:pPr>
        <w:pStyle w:val="Paragraphbeforelist"/>
        <w:rPr>
          <w:shd w:val="clear" w:color="auto" w:fill="FFFFFF"/>
        </w:rPr>
      </w:pPr>
      <w:r>
        <w:rPr>
          <w:shd w:val="clear" w:color="auto" w:fill="FFFFFF"/>
        </w:rPr>
        <w:t xml:space="preserve">The provisions </w:t>
      </w:r>
      <w:r w:rsidRPr="00487B06">
        <w:rPr>
          <w:shd w:val="clear" w:color="auto" w:fill="FFFFFF"/>
        </w:rPr>
        <w:t>about political</w:t>
      </w:r>
      <w:r>
        <w:rPr>
          <w:shd w:val="clear" w:color="auto" w:fill="FFFFFF"/>
        </w:rPr>
        <w:t xml:space="preserve"> matter, election </w:t>
      </w:r>
      <w:r w:rsidRPr="00487B06">
        <w:rPr>
          <w:shd w:val="clear" w:color="auto" w:fill="FFFFFF"/>
        </w:rPr>
        <w:t xml:space="preserve">matter </w:t>
      </w:r>
      <w:r>
        <w:rPr>
          <w:shd w:val="clear" w:color="auto" w:fill="FFFFFF"/>
        </w:rPr>
        <w:t>and election advertisements apply to</w:t>
      </w:r>
      <w:r w:rsidR="0007346C">
        <w:rPr>
          <w:shd w:val="clear" w:color="auto" w:fill="FFFFFF"/>
        </w:rPr>
        <w:t>:</w:t>
      </w:r>
      <w:r>
        <w:rPr>
          <w:shd w:val="clear" w:color="auto" w:fill="FFFFFF"/>
        </w:rPr>
        <w:t xml:space="preserve"> </w:t>
      </w:r>
    </w:p>
    <w:p w14:paraId="370F44CC" w14:textId="7CC28395" w:rsidR="0007346C" w:rsidRDefault="0030537A" w:rsidP="006352BF">
      <w:pPr>
        <w:pStyle w:val="Bulletlevel1"/>
      </w:pPr>
      <w:r w:rsidRPr="00227057">
        <w:t>commercial television broadcasting licensees</w:t>
      </w:r>
    </w:p>
    <w:p w14:paraId="234B0EA6" w14:textId="1DE498E7" w:rsidR="0007346C" w:rsidRDefault="0030537A" w:rsidP="006352BF">
      <w:pPr>
        <w:pStyle w:val="Bulletlevel1"/>
      </w:pPr>
      <w:r w:rsidRPr="00227057">
        <w:t>commercial radio broadcasting licensees</w:t>
      </w:r>
    </w:p>
    <w:p w14:paraId="10D44984" w14:textId="0D00F58B" w:rsidR="0007346C" w:rsidRDefault="0030537A" w:rsidP="006352BF">
      <w:pPr>
        <w:pStyle w:val="Bulletlevel1"/>
      </w:pPr>
      <w:r w:rsidRPr="00227057">
        <w:t>community broadcasting licensees</w:t>
      </w:r>
    </w:p>
    <w:p w14:paraId="1F9508DB" w14:textId="0DDCFAF0" w:rsidR="0007346C" w:rsidRDefault="0030537A" w:rsidP="006352BF">
      <w:pPr>
        <w:pStyle w:val="Bulletlevel1"/>
      </w:pPr>
      <w:r w:rsidRPr="00227057">
        <w:t>subscription television broadcasting licensees</w:t>
      </w:r>
    </w:p>
    <w:p w14:paraId="737C0C20" w14:textId="182FE594" w:rsidR="0030537A" w:rsidRDefault="0030537A" w:rsidP="006352BF">
      <w:pPr>
        <w:pStyle w:val="Bulletlevel1last"/>
        <w:rPr>
          <w:shd w:val="clear" w:color="auto" w:fill="FFFFFF"/>
        </w:rPr>
      </w:pPr>
      <w:r w:rsidRPr="00227057">
        <w:t>persons providing broadcasting services under class licences</w:t>
      </w:r>
      <w:r>
        <w:rPr>
          <w:shd w:val="clear" w:color="auto" w:fill="FFFFFF"/>
        </w:rPr>
        <w:t>.</w:t>
      </w:r>
    </w:p>
    <w:p w14:paraId="7BC363A2" w14:textId="77777777" w:rsidR="0030537A" w:rsidRDefault="0030537A" w:rsidP="0030537A">
      <w:r>
        <w:t xml:space="preserve">The national broadcasters have their own rules about the broadcast of political matter (and in the case of SBS, also election advertisements). These rules are specified in each national broadcaster’s respective legislation – the </w:t>
      </w:r>
      <w:hyperlink r:id="rId24" w:history="1">
        <w:r w:rsidRPr="00C60F95">
          <w:rPr>
            <w:rStyle w:val="Hyperlink"/>
            <w:i/>
          </w:rPr>
          <w:t>Australian Broadcasting Corporation Act 1983</w:t>
        </w:r>
      </w:hyperlink>
      <w:r>
        <w:t xml:space="preserve"> and the </w:t>
      </w:r>
      <w:hyperlink r:id="rId25" w:history="1">
        <w:r w:rsidRPr="00C60F95">
          <w:rPr>
            <w:rStyle w:val="Hyperlink"/>
            <w:i/>
          </w:rPr>
          <w:t>Special Broadcasting Service Act 1991</w:t>
        </w:r>
      </w:hyperlink>
      <w:r>
        <w:t xml:space="preserve">. </w:t>
      </w:r>
    </w:p>
    <w:p w14:paraId="11D2482C" w14:textId="77777777" w:rsidR="0030537A" w:rsidRPr="00487B06" w:rsidRDefault="0030537A" w:rsidP="00371873">
      <w:pPr>
        <w:pStyle w:val="Heading2"/>
      </w:pPr>
      <w:bookmarkStart w:id="7" w:name="_Toc96344034"/>
      <w:bookmarkStart w:id="8" w:name="_Toc97799967"/>
      <w:r w:rsidRPr="00487B06">
        <w:t>Complaints and enforcement</w:t>
      </w:r>
      <w:bookmarkEnd w:id="7"/>
      <w:bookmarkEnd w:id="8"/>
    </w:p>
    <w:p w14:paraId="4B277F73" w14:textId="77777777" w:rsidR="0030537A" w:rsidRDefault="0030537A" w:rsidP="0030537A">
      <w:pPr>
        <w:rPr>
          <w:shd w:val="clear" w:color="auto" w:fill="FFFFFF"/>
        </w:rPr>
      </w:pPr>
      <w:r w:rsidRPr="00487B06">
        <w:rPr>
          <w:shd w:val="clear" w:color="auto" w:fill="FFFFFF"/>
        </w:rPr>
        <w:t xml:space="preserve">The </w:t>
      </w:r>
      <w:r>
        <w:rPr>
          <w:shd w:val="clear" w:color="auto" w:fill="FFFFFF"/>
        </w:rPr>
        <w:t xml:space="preserve">provisions </w:t>
      </w:r>
      <w:r w:rsidRPr="00487B06">
        <w:rPr>
          <w:shd w:val="clear" w:color="auto" w:fill="FFFFFF"/>
        </w:rPr>
        <w:t>about political</w:t>
      </w:r>
      <w:r>
        <w:rPr>
          <w:shd w:val="clear" w:color="auto" w:fill="FFFFFF"/>
        </w:rPr>
        <w:t xml:space="preserve"> matter, election </w:t>
      </w:r>
      <w:r w:rsidRPr="00487B06">
        <w:rPr>
          <w:shd w:val="clear" w:color="auto" w:fill="FFFFFF"/>
        </w:rPr>
        <w:t xml:space="preserve">matter </w:t>
      </w:r>
      <w:r>
        <w:rPr>
          <w:shd w:val="clear" w:color="auto" w:fill="FFFFFF"/>
        </w:rPr>
        <w:t xml:space="preserve">and election advertisements are set out as licence conditions in Schedule 2 to the </w:t>
      </w:r>
      <w:hyperlink r:id="rId26" w:history="1">
        <w:r w:rsidRPr="003A20DB">
          <w:rPr>
            <w:rStyle w:val="Hyperlink"/>
            <w:shd w:val="clear" w:color="auto" w:fill="FFFFFF"/>
          </w:rPr>
          <w:t>BSA</w:t>
        </w:r>
      </w:hyperlink>
      <w:r w:rsidRPr="00487B06">
        <w:rPr>
          <w:shd w:val="clear" w:color="auto" w:fill="FFFFFF"/>
        </w:rPr>
        <w:t xml:space="preserve">. </w:t>
      </w:r>
    </w:p>
    <w:p w14:paraId="455132D9" w14:textId="5105CD71" w:rsidR="0030537A" w:rsidRPr="00487B06" w:rsidRDefault="0030537A" w:rsidP="0030537A">
      <w:pPr>
        <w:rPr>
          <w:shd w:val="clear" w:color="auto" w:fill="FFFFFF"/>
        </w:rPr>
      </w:pPr>
      <w:r w:rsidRPr="00487B06">
        <w:rPr>
          <w:shd w:val="clear" w:color="auto" w:fill="FFFFFF"/>
        </w:rPr>
        <w:t>Complaints about compliance with licence conditions can be made directly to the ACMA</w:t>
      </w:r>
      <w:r>
        <w:rPr>
          <w:shd w:val="clear" w:color="auto" w:fill="FFFFFF"/>
        </w:rPr>
        <w:t xml:space="preserve">. There is no need for complainants to go to licensees in the first instance. </w:t>
      </w:r>
      <w:r w:rsidR="00DF7366">
        <w:rPr>
          <w:shd w:val="clear" w:color="auto" w:fill="FFFFFF"/>
        </w:rPr>
        <w:t>Find out more</w:t>
      </w:r>
      <w:r>
        <w:rPr>
          <w:shd w:val="clear" w:color="auto" w:fill="FFFFFF"/>
        </w:rPr>
        <w:t xml:space="preserve"> about </w:t>
      </w:r>
      <w:hyperlink r:id="rId27" w:history="1">
        <w:r w:rsidRPr="00DF7366">
          <w:rPr>
            <w:rStyle w:val="Hyperlink"/>
            <w:shd w:val="clear" w:color="auto" w:fill="FFFFFF"/>
          </w:rPr>
          <w:t>this process</w:t>
        </w:r>
      </w:hyperlink>
      <w:r w:rsidRPr="00487B06">
        <w:rPr>
          <w:shd w:val="clear" w:color="auto" w:fill="FFFFFF"/>
        </w:rPr>
        <w:t>.</w:t>
      </w:r>
    </w:p>
    <w:p w14:paraId="57188107" w14:textId="56E5D753" w:rsidR="0030537A" w:rsidRPr="00487B06" w:rsidRDefault="0030537A" w:rsidP="0030537A">
      <w:r w:rsidRPr="00487B06">
        <w:t xml:space="preserve">If </w:t>
      </w:r>
      <w:r w:rsidR="00DD2657">
        <w:t xml:space="preserve">we </w:t>
      </w:r>
      <w:r>
        <w:t xml:space="preserve">investigate a complaint and find that a </w:t>
      </w:r>
      <w:r w:rsidRPr="00487B06">
        <w:t xml:space="preserve">licence condition </w:t>
      </w:r>
      <w:r>
        <w:t>ha</w:t>
      </w:r>
      <w:r w:rsidRPr="00487B06">
        <w:t>s</w:t>
      </w:r>
      <w:r>
        <w:t xml:space="preserve"> been</w:t>
      </w:r>
      <w:r w:rsidRPr="00487B06">
        <w:t xml:space="preserve"> breached, </w:t>
      </w:r>
      <w:r w:rsidR="00DD2657">
        <w:t xml:space="preserve">we have </w:t>
      </w:r>
      <w:r>
        <w:t xml:space="preserve">a range of </w:t>
      </w:r>
      <w:hyperlink r:id="rId28" w:history="1">
        <w:r w:rsidRPr="00DF7366">
          <w:rPr>
            <w:rStyle w:val="Hyperlink"/>
          </w:rPr>
          <w:t>compliance and enforcement options</w:t>
        </w:r>
      </w:hyperlink>
      <w:r w:rsidRPr="00487B06">
        <w:t>, including accept</w:t>
      </w:r>
      <w:r>
        <w:t>ing</w:t>
      </w:r>
      <w:r w:rsidRPr="00487B06">
        <w:t xml:space="preserve"> enforceable </w:t>
      </w:r>
      <w:r w:rsidRPr="00487B06">
        <w:lastRenderedPageBreak/>
        <w:t>undertakings</w:t>
      </w:r>
      <w:r>
        <w:t>,</w:t>
      </w:r>
      <w:r w:rsidRPr="00AC49DA">
        <w:t xml:space="preserve"> </w:t>
      </w:r>
      <w:r>
        <w:t>giving</w:t>
      </w:r>
      <w:r w:rsidRPr="00487B06">
        <w:t xml:space="preserve"> remedial directions</w:t>
      </w:r>
      <w:r>
        <w:t xml:space="preserve"> or commencing civil penalty proceedings in the Federal Court to obtain civil penalty orders</w:t>
      </w:r>
      <w:r w:rsidRPr="00487B06">
        <w:t>.</w:t>
      </w:r>
      <w:r>
        <w:t xml:space="preserve"> </w:t>
      </w:r>
    </w:p>
    <w:p w14:paraId="621ACD58" w14:textId="77777777" w:rsidR="0030537A" w:rsidRPr="00436699" w:rsidRDefault="0030537A" w:rsidP="00371873">
      <w:pPr>
        <w:pStyle w:val="Heading2"/>
      </w:pPr>
      <w:bookmarkStart w:id="9" w:name="_Toc97799968"/>
      <w:bookmarkStart w:id="10" w:name="_Toc96344035"/>
      <w:r w:rsidRPr="00436699">
        <w:t>Election matter on other platforms</w:t>
      </w:r>
      <w:bookmarkEnd w:id="9"/>
    </w:p>
    <w:p w14:paraId="3944A713" w14:textId="3B60252C" w:rsidR="0030537A" w:rsidRPr="00436699" w:rsidRDefault="0030537A" w:rsidP="0030537A">
      <w:r w:rsidRPr="00436699">
        <w:t xml:space="preserve">There are rules that apply to the disclosure of authorisation details for </w:t>
      </w:r>
      <w:r w:rsidR="00DF7366">
        <w:t>information</w:t>
      </w:r>
      <w:r w:rsidR="00DF7366" w:rsidRPr="00436699">
        <w:t xml:space="preserve"> </w:t>
      </w:r>
      <w:r w:rsidR="00DF7366">
        <w:t>about</w:t>
      </w:r>
      <w:r w:rsidRPr="00436699">
        <w:t xml:space="preserve"> elections on non-broadcasting media platforms</w:t>
      </w:r>
      <w:r w:rsidR="00DF7366">
        <w:t xml:space="preserve">. This </w:t>
      </w:r>
      <w:r w:rsidR="00DF7366" w:rsidRPr="00436699">
        <w:t>includ</w:t>
      </w:r>
      <w:r w:rsidR="00DF7366">
        <w:t xml:space="preserve">es </w:t>
      </w:r>
      <w:r w:rsidRPr="00436699">
        <w:t>online</w:t>
      </w:r>
      <w:r w:rsidR="000B27D7">
        <w:t xml:space="preserve"> channels</w:t>
      </w:r>
      <w:r w:rsidRPr="00436699">
        <w:t>, bulk text messages and robocalls, as well as printed materials such as leaflets and how-to-vote cards.</w:t>
      </w:r>
    </w:p>
    <w:p w14:paraId="19CA5248" w14:textId="77777777" w:rsidR="0030537A" w:rsidRPr="00436699" w:rsidRDefault="0030537A" w:rsidP="0030537A">
      <w:pPr>
        <w:rPr>
          <w:lang w:eastAsia="en-US"/>
        </w:rPr>
      </w:pPr>
      <w:r w:rsidRPr="00436699">
        <w:rPr>
          <w:lang w:eastAsia="en-US"/>
        </w:rPr>
        <w:t>The authorisation requirements for non</w:t>
      </w:r>
      <w:r w:rsidRPr="00436699">
        <w:rPr>
          <w:lang w:eastAsia="en-US"/>
        </w:rPr>
        <w:noBreakHyphen/>
        <w:t xml:space="preserve">broadcasting electoral communications related to federal elections are administered by the Australian Electoral Commission (AEC), and for state or territory elections by the relevant state or territory electoral authorities. </w:t>
      </w:r>
    </w:p>
    <w:p w14:paraId="01C3477C" w14:textId="77777777" w:rsidR="0030537A" w:rsidRPr="00436699" w:rsidRDefault="0030537A" w:rsidP="0030537A">
      <w:r w:rsidRPr="00436699">
        <w:rPr>
          <w:lang w:eastAsia="en-US"/>
        </w:rPr>
        <w:t xml:space="preserve">Complaints and enquiries about electoral matter on these other platforms should be directed to the AEC or relevant state or territory electoral authority. For more information about the authorisation of federal electoral communications, see the Electoral Backgrounder on the </w:t>
      </w:r>
      <w:hyperlink r:id="rId29" w:history="1">
        <w:r w:rsidRPr="00436699">
          <w:rPr>
            <w:rStyle w:val="Hyperlink"/>
            <w:lang w:eastAsia="en-US"/>
          </w:rPr>
          <w:t>AEC website</w:t>
        </w:r>
      </w:hyperlink>
      <w:r w:rsidRPr="00436699">
        <w:rPr>
          <w:lang w:eastAsia="en-US"/>
        </w:rPr>
        <w:t xml:space="preserve">. </w:t>
      </w:r>
    </w:p>
    <w:p w14:paraId="3B9A23C8" w14:textId="28ADD45B" w:rsidR="0030537A" w:rsidRDefault="0030537A" w:rsidP="0030537A">
      <w:pPr>
        <w:rPr>
          <w:rFonts w:ascii="Times New Roman" w:hAnsi="Times New Roman"/>
          <w:sz w:val="24"/>
        </w:rPr>
      </w:pPr>
      <w:r w:rsidRPr="00436699">
        <w:rPr>
          <w:lang w:eastAsia="en-US"/>
        </w:rPr>
        <w:t xml:space="preserve">Complaints and enquiries about the operation of the </w:t>
      </w:r>
      <w:r w:rsidRPr="00436699">
        <w:rPr>
          <w:i/>
          <w:lang w:eastAsia="en-US"/>
        </w:rPr>
        <w:t>Spam Act 2003</w:t>
      </w:r>
      <w:r w:rsidRPr="00436699">
        <w:rPr>
          <w:lang w:eastAsia="en-US"/>
        </w:rPr>
        <w:t xml:space="preserve">, the </w:t>
      </w:r>
      <w:r w:rsidRPr="00436699">
        <w:rPr>
          <w:i/>
          <w:lang w:eastAsia="en-US"/>
        </w:rPr>
        <w:t>Do Not Call Register Act 2006</w:t>
      </w:r>
      <w:r w:rsidRPr="00935476">
        <w:rPr>
          <w:iCs/>
          <w:lang w:eastAsia="en-US"/>
        </w:rPr>
        <w:t xml:space="preserve"> </w:t>
      </w:r>
      <w:r w:rsidRPr="00436699">
        <w:rPr>
          <w:iCs/>
          <w:lang w:eastAsia="en-US"/>
        </w:rPr>
        <w:t>and associated regulations</w:t>
      </w:r>
      <w:r w:rsidRPr="00436699">
        <w:rPr>
          <w:i/>
          <w:lang w:eastAsia="en-US"/>
        </w:rPr>
        <w:t xml:space="preserve">, </w:t>
      </w:r>
      <w:r w:rsidRPr="00436699">
        <w:rPr>
          <w:lang w:eastAsia="en-US"/>
        </w:rPr>
        <w:t xml:space="preserve">should be </w:t>
      </w:r>
      <w:r w:rsidR="00340482">
        <w:rPr>
          <w:lang w:eastAsia="en-US"/>
        </w:rPr>
        <w:t>made</w:t>
      </w:r>
      <w:r w:rsidR="00340482" w:rsidRPr="00436699">
        <w:rPr>
          <w:lang w:eastAsia="en-US"/>
        </w:rPr>
        <w:t xml:space="preserve"> </w:t>
      </w:r>
      <w:r w:rsidRPr="00436699">
        <w:rPr>
          <w:lang w:eastAsia="en-US"/>
        </w:rPr>
        <w:t>to the ACMA. Complaints and enquiries about the authorisation of robocalls or text messages regarding electoral matter should be referred to the AEC.</w:t>
      </w:r>
      <w:r>
        <w:rPr>
          <w:rFonts w:ascii="Times New Roman" w:hAnsi="Times New Roman"/>
          <w:sz w:val="24"/>
        </w:rPr>
        <w:t xml:space="preserve"> </w:t>
      </w:r>
    </w:p>
    <w:p w14:paraId="58D6889C" w14:textId="26FE21A3" w:rsidR="00DD2657" w:rsidRDefault="00DD2657" w:rsidP="00DD2657">
      <w:pPr>
        <w:pStyle w:val="Heading2"/>
      </w:pPr>
      <w:bookmarkStart w:id="11" w:name="_Toc97799969"/>
      <w:bookmarkStart w:id="12" w:name="_Toc96344036"/>
      <w:bookmarkEnd w:id="10"/>
      <w:r>
        <w:t>About the guidelines</w:t>
      </w:r>
      <w:bookmarkEnd w:id="11"/>
    </w:p>
    <w:p w14:paraId="6642F17E" w14:textId="77777777" w:rsidR="00DD2657" w:rsidRPr="008A69F6" w:rsidRDefault="00DD2657" w:rsidP="00DD2657">
      <w:pPr>
        <w:pStyle w:val="Paragraphbeforelist"/>
      </w:pPr>
      <w:r>
        <w:t xml:space="preserve">These </w:t>
      </w:r>
      <w:r w:rsidRPr="00C06489">
        <w:t>guidelines are intended to</w:t>
      </w:r>
      <w:r w:rsidRPr="008A69F6">
        <w:t>:</w:t>
      </w:r>
    </w:p>
    <w:p w14:paraId="31375DAB" w14:textId="0E25F21C" w:rsidR="00DD2657" w:rsidRPr="00395507" w:rsidRDefault="00DD2657" w:rsidP="00DD2657">
      <w:pPr>
        <w:pStyle w:val="Bulletlevel1"/>
      </w:pPr>
      <w:r w:rsidRPr="00395507">
        <w:t xml:space="preserve">assist licensees </w:t>
      </w:r>
      <w:r w:rsidR="00AD4162">
        <w:t>to</w:t>
      </w:r>
      <w:r>
        <w:t xml:space="preserve"> </w:t>
      </w:r>
      <w:r w:rsidRPr="00395507">
        <w:t xml:space="preserve">identify political </w:t>
      </w:r>
      <w:r>
        <w:t xml:space="preserve">and election </w:t>
      </w:r>
      <w:r w:rsidRPr="00395507">
        <w:t xml:space="preserve">matter </w:t>
      </w:r>
    </w:p>
    <w:p w14:paraId="34113C5E" w14:textId="77777777" w:rsidR="00DD2657" w:rsidRPr="008A69F6" w:rsidRDefault="00DD2657" w:rsidP="00DD2657">
      <w:pPr>
        <w:pStyle w:val="Bulletlevel1last"/>
      </w:pPr>
      <w:r w:rsidRPr="00395507">
        <w:t xml:space="preserve">increase awareness and understanding of the obligations relating to the broadcast of political </w:t>
      </w:r>
      <w:r>
        <w:t xml:space="preserve">matter, election </w:t>
      </w:r>
      <w:r w:rsidRPr="00395507">
        <w:t>matter</w:t>
      </w:r>
      <w:r>
        <w:t xml:space="preserve"> and election advertisements</w:t>
      </w:r>
      <w:r w:rsidRPr="00395507">
        <w:t>.</w:t>
      </w:r>
    </w:p>
    <w:p w14:paraId="1445B46C" w14:textId="57826C7D" w:rsidR="00DD2657" w:rsidRDefault="00DD2657" w:rsidP="00DD2657">
      <w:r w:rsidRPr="00487B06">
        <w:t xml:space="preserve">Examples </w:t>
      </w:r>
      <w:r>
        <w:t xml:space="preserve">featured </w:t>
      </w:r>
      <w:r w:rsidRPr="00487B06">
        <w:t>in these guidelines are illustrative only.</w:t>
      </w:r>
      <w:r>
        <w:t xml:space="preserve"> We will consider a licensee’s compliance with the BSA </w:t>
      </w:r>
      <w:r w:rsidRPr="00487B06">
        <w:t xml:space="preserve">on a case-by-case basis. </w:t>
      </w:r>
    </w:p>
    <w:p w14:paraId="512757A5" w14:textId="77777777" w:rsidR="00DD2657" w:rsidRDefault="00DD2657" w:rsidP="00DD2657">
      <w:r>
        <w:t>Licensees should always obtain their own legal advice about their obligations under the BSA.</w:t>
      </w:r>
    </w:p>
    <w:p w14:paraId="235B914B" w14:textId="54263545" w:rsidR="0030537A" w:rsidRDefault="0030537A" w:rsidP="0030537A">
      <w:pPr>
        <w:pStyle w:val="Heading3"/>
      </w:pPr>
      <w:bookmarkStart w:id="13" w:name="_Toc97799970"/>
      <w:r w:rsidRPr="00AA2455">
        <w:t>Reviewing these guidelines</w:t>
      </w:r>
      <w:bookmarkEnd w:id="12"/>
      <w:bookmarkEnd w:id="13"/>
    </w:p>
    <w:p w14:paraId="0E04C185" w14:textId="67DF3BB0" w:rsidR="0030537A" w:rsidRDefault="00DD2657" w:rsidP="00DD2657">
      <w:r>
        <w:t>The guidelines will be updated w</w:t>
      </w:r>
      <w:r w:rsidR="0030537A" w:rsidRPr="00F87C8A">
        <w:t>hen changes are made</w:t>
      </w:r>
      <w:r w:rsidR="0030537A">
        <w:t xml:space="preserve"> to regulatory provisions about the broadcast of political and election matter</w:t>
      </w:r>
      <w:r>
        <w:t xml:space="preserve"> Case studies in these guidelines </w:t>
      </w:r>
      <w:r w:rsidR="00340482">
        <w:t>are</w:t>
      </w:r>
      <w:r>
        <w:t xml:space="preserve"> </w:t>
      </w:r>
      <w:r w:rsidR="0030537A" w:rsidRPr="009C1D02">
        <w:t>periodically review</w:t>
      </w:r>
      <w:r>
        <w:t>ed for</w:t>
      </w:r>
      <w:r w:rsidR="0030537A" w:rsidRPr="009C1D02">
        <w:t xml:space="preserve"> </w:t>
      </w:r>
      <w:r w:rsidR="0030537A">
        <w:t>relevance</w:t>
      </w:r>
      <w:r w:rsidR="00FF4B55">
        <w:t>.</w:t>
      </w:r>
    </w:p>
    <w:p w14:paraId="6780B49A" w14:textId="4401F363" w:rsidR="0030537A" w:rsidRDefault="00FF4B55" w:rsidP="00371873">
      <w:pPr>
        <w:pStyle w:val="Heading2"/>
      </w:pPr>
      <w:bookmarkStart w:id="14" w:name="_Toc96344037"/>
      <w:bookmarkStart w:id="15" w:name="_Toc97799971"/>
      <w:r>
        <w:t>Relevant l</w:t>
      </w:r>
      <w:r w:rsidR="0030537A" w:rsidRPr="00197957">
        <w:t>egislation</w:t>
      </w:r>
      <w:bookmarkEnd w:id="14"/>
      <w:bookmarkEnd w:id="15"/>
    </w:p>
    <w:p w14:paraId="4F9D5501" w14:textId="77777777" w:rsidR="0030537A" w:rsidRDefault="0030537A" w:rsidP="00371873">
      <w:pPr>
        <w:pStyle w:val="Paragraphbeforelist"/>
      </w:pPr>
      <w:r>
        <w:t>The guidelines refer to provisions in the following legislation:</w:t>
      </w:r>
    </w:p>
    <w:p w14:paraId="61D2F821" w14:textId="77777777" w:rsidR="0030537A" w:rsidRPr="002F0901" w:rsidRDefault="0030537A" w:rsidP="00371873">
      <w:pPr>
        <w:pStyle w:val="ListParagraph"/>
        <w:numPr>
          <w:ilvl w:val="0"/>
          <w:numId w:val="13"/>
        </w:numPr>
        <w:spacing w:after="80" w:line="240" w:lineRule="atLeast"/>
        <w:ind w:left="357" w:hanging="357"/>
        <w:contextualSpacing w:val="0"/>
        <w:rPr>
          <w:rFonts w:ascii="Arial" w:hAnsi="Arial" w:cs="Arial"/>
          <w:i/>
          <w:sz w:val="20"/>
          <w:szCs w:val="20"/>
        </w:rPr>
      </w:pPr>
      <w:r w:rsidRPr="002F0901">
        <w:rPr>
          <w:rFonts w:ascii="Arial" w:hAnsi="Arial" w:cs="Arial"/>
          <w:i/>
          <w:sz w:val="20"/>
          <w:szCs w:val="20"/>
        </w:rPr>
        <w:t>Broadcasting Services Act 1992</w:t>
      </w:r>
    </w:p>
    <w:p w14:paraId="7585F1FC" w14:textId="77777777" w:rsidR="0030537A" w:rsidRPr="002F0901" w:rsidRDefault="0030537A" w:rsidP="00371873">
      <w:pPr>
        <w:pStyle w:val="ListParagraph"/>
        <w:numPr>
          <w:ilvl w:val="0"/>
          <w:numId w:val="13"/>
        </w:numPr>
        <w:spacing w:after="80" w:line="240" w:lineRule="atLeast"/>
        <w:ind w:left="357" w:hanging="357"/>
        <w:contextualSpacing w:val="0"/>
        <w:rPr>
          <w:rFonts w:ascii="Arial" w:hAnsi="Arial" w:cs="Arial"/>
          <w:i/>
          <w:sz w:val="20"/>
          <w:szCs w:val="20"/>
        </w:rPr>
      </w:pPr>
      <w:r w:rsidRPr="002F0901">
        <w:rPr>
          <w:rFonts w:ascii="Arial" w:hAnsi="Arial" w:cs="Arial"/>
          <w:i/>
          <w:sz w:val="20"/>
          <w:szCs w:val="20"/>
        </w:rPr>
        <w:t>Commonwealth Electoral Act 1918</w:t>
      </w:r>
    </w:p>
    <w:p w14:paraId="2EA1553F" w14:textId="1C0EBF16" w:rsidR="0030537A" w:rsidRPr="00371873" w:rsidRDefault="0030537A" w:rsidP="00371873">
      <w:pPr>
        <w:pStyle w:val="ListParagraph"/>
        <w:numPr>
          <w:ilvl w:val="0"/>
          <w:numId w:val="13"/>
        </w:numPr>
        <w:spacing w:after="80" w:line="240" w:lineRule="atLeast"/>
        <w:ind w:left="357" w:hanging="357"/>
        <w:contextualSpacing w:val="0"/>
        <w:rPr>
          <w:rFonts w:ascii="Arial" w:hAnsi="Arial" w:cs="Arial"/>
          <w:iCs/>
          <w:sz w:val="20"/>
          <w:szCs w:val="20"/>
        </w:rPr>
      </w:pPr>
      <w:r w:rsidRPr="00371873">
        <w:rPr>
          <w:rFonts w:ascii="Arial" w:hAnsi="Arial" w:cs="Arial"/>
          <w:iCs/>
          <w:sz w:val="20"/>
          <w:szCs w:val="20"/>
        </w:rPr>
        <w:t>Commonwealth Electoral (Authorisation of Voter Communication) Determination 2021</w:t>
      </w:r>
    </w:p>
    <w:p w14:paraId="7E501FBC" w14:textId="2E08730C" w:rsidR="0030537A" w:rsidRPr="00605C77" w:rsidRDefault="0030537A" w:rsidP="0030537A">
      <w:pPr>
        <w:pStyle w:val="ListParagraph"/>
        <w:numPr>
          <w:ilvl w:val="0"/>
          <w:numId w:val="13"/>
        </w:numPr>
        <w:rPr>
          <w:rFonts w:ascii="Arial" w:hAnsi="Arial" w:cs="Arial"/>
          <w:i/>
          <w:sz w:val="20"/>
          <w:szCs w:val="20"/>
        </w:rPr>
      </w:pPr>
      <w:r>
        <w:rPr>
          <w:rFonts w:ascii="Arial" w:hAnsi="Arial" w:cs="Arial"/>
          <w:i/>
          <w:iCs/>
          <w:sz w:val="20"/>
          <w:szCs w:val="20"/>
          <w:shd w:val="clear" w:color="auto" w:fill="FFFFFF"/>
        </w:rPr>
        <w:t>Referendum (Machinery Provisions) Act 1984</w:t>
      </w:r>
      <w:r w:rsidR="0035162C">
        <w:rPr>
          <w:rFonts w:ascii="Arial" w:hAnsi="Arial" w:cs="Arial"/>
          <w:i/>
          <w:iCs/>
          <w:sz w:val="20"/>
          <w:szCs w:val="20"/>
          <w:shd w:val="clear" w:color="auto" w:fill="FFFFFF"/>
        </w:rPr>
        <w:t>.</w:t>
      </w:r>
    </w:p>
    <w:p w14:paraId="7EBDB31A" w14:textId="62DE64EF" w:rsidR="0030537A" w:rsidRDefault="0030537A" w:rsidP="0030537A">
      <w:r>
        <w:t xml:space="preserve">These can be accessed at </w:t>
      </w:r>
      <w:hyperlink r:id="rId30" w:history="1">
        <w:r w:rsidRPr="00434512">
          <w:rPr>
            <w:rStyle w:val="Hyperlink"/>
          </w:rPr>
          <w:t>legislation.gov.au</w:t>
        </w:r>
      </w:hyperlink>
      <w:r>
        <w:t>.</w:t>
      </w:r>
      <w:bookmarkEnd w:id="2"/>
    </w:p>
    <w:p w14:paraId="0E3D1B31" w14:textId="77777777" w:rsidR="0030537A" w:rsidRPr="00A17B1B" w:rsidRDefault="0030537A" w:rsidP="00702EA1"/>
    <w:p w14:paraId="6A29E168" w14:textId="77777777" w:rsidR="0030537A" w:rsidRDefault="0030537A" w:rsidP="0030537A">
      <w:pPr>
        <w:pStyle w:val="Heading1"/>
      </w:pPr>
      <w:bookmarkStart w:id="16" w:name="_Toc96344038"/>
      <w:bookmarkStart w:id="17" w:name="_Toc97799972"/>
      <w:bookmarkStart w:id="18" w:name="_Hlk26868779"/>
      <w:bookmarkStart w:id="19" w:name="_Hlk26868934"/>
      <w:r>
        <w:lastRenderedPageBreak/>
        <w:t>Political matter</w:t>
      </w:r>
      <w:bookmarkEnd w:id="16"/>
      <w:bookmarkEnd w:id="17"/>
    </w:p>
    <w:p w14:paraId="63B943FF" w14:textId="1D2E6940" w:rsidR="0030537A" w:rsidRDefault="0030537A" w:rsidP="0030537A">
      <w:pPr>
        <w:pStyle w:val="Heading2"/>
      </w:pPr>
      <w:bookmarkStart w:id="20" w:name="_Toc96344039"/>
      <w:bookmarkStart w:id="21" w:name="_Toc97799973"/>
      <w:r>
        <w:t>Broadcasting political matter</w:t>
      </w:r>
      <w:r w:rsidR="0035162C">
        <w:t xml:space="preserve"> – </w:t>
      </w:r>
      <w:r>
        <w:t>the basic rule</w:t>
      </w:r>
      <w:bookmarkEnd w:id="20"/>
      <w:bookmarkEnd w:id="21"/>
      <w:r>
        <w:t xml:space="preserve"> </w:t>
      </w:r>
    </w:p>
    <w:p w14:paraId="55727915" w14:textId="77777777" w:rsidR="0030537A" w:rsidRDefault="0030537A" w:rsidP="00371873">
      <w:pPr>
        <w:pStyle w:val="Paragraph"/>
      </w:pPr>
      <w:r>
        <w:t xml:space="preserve">If </w:t>
      </w:r>
      <w:r w:rsidRPr="00BF1BC5">
        <w:t xml:space="preserve">a </w:t>
      </w:r>
      <w:r>
        <w:t>licensee</w:t>
      </w:r>
      <w:r w:rsidRPr="00BF1BC5">
        <w:t xml:space="preserve"> broadcasts political matter at the request of another person, the </w:t>
      </w:r>
      <w:r>
        <w:t>licensee</w:t>
      </w:r>
      <w:r w:rsidRPr="00BF1BC5">
        <w:t xml:space="preserve"> must ensure that </w:t>
      </w:r>
      <w:r>
        <w:t>authorisation details (called ‘</w:t>
      </w:r>
      <w:r w:rsidRPr="00BF1BC5">
        <w:t>required particulars</w:t>
      </w:r>
      <w:r>
        <w:t>’)</w:t>
      </w:r>
      <w:r w:rsidRPr="00BF1BC5">
        <w:t xml:space="preserve"> are announced</w:t>
      </w:r>
      <w:r>
        <w:t xml:space="preserve"> (s</w:t>
      </w:r>
      <w:r w:rsidRPr="004C3C19">
        <w:t>ubclause 4(2) of Schedule 2</w:t>
      </w:r>
      <w:r w:rsidRPr="007A0368">
        <w:t xml:space="preserve"> to the BSA</w:t>
      </w:r>
      <w:r>
        <w:t xml:space="preserve">). </w:t>
      </w:r>
    </w:p>
    <w:p w14:paraId="239C069A" w14:textId="35DE322C" w:rsidR="0030537A" w:rsidRDefault="0030537A" w:rsidP="00371873">
      <w:pPr>
        <w:pStyle w:val="Paragraph"/>
      </w:pPr>
      <w:r>
        <w:t xml:space="preserve">The content of the required particulars (see below) is specified in the BSA (subclauses 1(2) and 1(3) of Schedule 2) and the </w:t>
      </w:r>
      <w:r w:rsidRPr="000D0ED0">
        <w:rPr>
          <w:i/>
        </w:rPr>
        <w:t>Commonwealth Electoral Act 1918</w:t>
      </w:r>
      <w:r>
        <w:rPr>
          <w:i/>
        </w:rPr>
        <w:t xml:space="preserve"> </w:t>
      </w:r>
      <w:r w:rsidR="00371873">
        <w:rPr>
          <w:iCs/>
        </w:rPr>
        <w:t xml:space="preserve">(the Commonwealth Electoral Act) </w:t>
      </w:r>
      <w:r>
        <w:t xml:space="preserve">(subsection 321D(7)) and must </w:t>
      </w:r>
      <w:r w:rsidRPr="009C1D02">
        <w:t xml:space="preserve">be placed in a broadcast in accordance with the requirements in </w:t>
      </w:r>
      <w:r>
        <w:t>sections 14 and 15</w:t>
      </w:r>
      <w:r w:rsidRPr="009C1D02">
        <w:t xml:space="preserve"> of</w:t>
      </w:r>
      <w:r>
        <w:t xml:space="preserve"> the </w:t>
      </w:r>
      <w:r w:rsidRPr="003A0A8B">
        <w:rPr>
          <w:i/>
          <w:szCs w:val="20"/>
        </w:rPr>
        <w:t>Commonwealth Electoral (Authorisation of Voter Communication) Determination 20</w:t>
      </w:r>
      <w:r>
        <w:rPr>
          <w:i/>
          <w:szCs w:val="20"/>
        </w:rPr>
        <w:t>21</w:t>
      </w:r>
      <w:r w:rsidRPr="00A56A02">
        <w:rPr>
          <w:i/>
          <w:szCs w:val="20"/>
        </w:rPr>
        <w:t xml:space="preserve"> </w:t>
      </w:r>
      <w:r w:rsidRPr="00A56A02">
        <w:rPr>
          <w:szCs w:val="20"/>
        </w:rPr>
        <w:t>(the Commonwealth Electoral Determination)</w:t>
      </w:r>
      <w:r w:rsidRPr="001638A2">
        <w:rPr>
          <w:szCs w:val="20"/>
        </w:rPr>
        <w:t>.</w:t>
      </w:r>
      <w:r w:rsidRPr="00BF1BC5">
        <w:t xml:space="preserve"> </w:t>
      </w:r>
    </w:p>
    <w:p w14:paraId="33B611F8" w14:textId="35948A4B" w:rsidR="0030537A" w:rsidRPr="002D7C25" w:rsidRDefault="0030537A" w:rsidP="0030537A">
      <w:pPr>
        <w:spacing w:after="80"/>
      </w:pPr>
      <w:r>
        <w:t xml:space="preserve">Sections 14 and 15 of the </w:t>
      </w:r>
      <w:r w:rsidRPr="002D7C25">
        <w:t>Commonwealth Electoral Determination require that</w:t>
      </w:r>
      <w:r>
        <w:t>, respectively</w:t>
      </w:r>
      <w:r w:rsidRPr="002D7C25">
        <w:t>:</w:t>
      </w:r>
    </w:p>
    <w:p w14:paraId="6ADC30A1" w14:textId="09E9A9E3" w:rsidR="0030537A" w:rsidRPr="009F716E" w:rsidRDefault="0030537A" w:rsidP="0030537A">
      <w:pPr>
        <w:pStyle w:val="ListBullet"/>
      </w:pPr>
      <w:r>
        <w:t>f</w:t>
      </w:r>
      <w:r w:rsidRPr="009F716E">
        <w:t xml:space="preserve">or a </w:t>
      </w:r>
      <w:r w:rsidR="0035162C" w:rsidRPr="00371873">
        <w:rPr>
          <w:b/>
          <w:bCs/>
        </w:rPr>
        <w:t xml:space="preserve">radio </w:t>
      </w:r>
      <w:r w:rsidRPr="00371873">
        <w:rPr>
          <w:b/>
          <w:bCs/>
        </w:rPr>
        <w:t>broadcast</w:t>
      </w:r>
      <w:r w:rsidRPr="009F716E">
        <w:t xml:space="preserve">, the required particulars must be announced at the end of the communication </w:t>
      </w:r>
    </w:p>
    <w:p w14:paraId="1C429304" w14:textId="7022E071" w:rsidR="0030537A" w:rsidRDefault="0030537A" w:rsidP="0030537A">
      <w:pPr>
        <w:pStyle w:val="ListBullet"/>
        <w:spacing w:after="240"/>
      </w:pPr>
      <w:r>
        <w:t>f</w:t>
      </w:r>
      <w:r w:rsidRPr="002D7C25">
        <w:t xml:space="preserve">or a </w:t>
      </w:r>
      <w:r w:rsidR="0035162C" w:rsidRPr="00371873">
        <w:rPr>
          <w:b/>
          <w:bCs/>
        </w:rPr>
        <w:t xml:space="preserve">television </w:t>
      </w:r>
      <w:r w:rsidRPr="00371873">
        <w:rPr>
          <w:b/>
          <w:bCs/>
        </w:rPr>
        <w:t>broadcast</w:t>
      </w:r>
      <w:r w:rsidRPr="002D7C25">
        <w:t>, the required particulars must be announced and shown at the end of the communication</w:t>
      </w:r>
      <w:r>
        <w:t>.</w:t>
      </w:r>
    </w:p>
    <w:p w14:paraId="410EC41D" w14:textId="0C8C118C" w:rsidR="0030537A" w:rsidRPr="009F716E" w:rsidRDefault="0030537A" w:rsidP="0030537A">
      <w:pPr>
        <w:pStyle w:val="ListBullet"/>
        <w:numPr>
          <w:ilvl w:val="0"/>
          <w:numId w:val="0"/>
        </w:numPr>
        <w:spacing w:after="240"/>
      </w:pPr>
      <w:r>
        <w:t xml:space="preserve">In each case, the particulars must be notified in the same language as the </w:t>
      </w:r>
      <w:r w:rsidR="0035162C">
        <w:t>broadcast</w:t>
      </w:r>
      <w:r>
        <w:t xml:space="preserve">, unless the </w:t>
      </w:r>
      <w:r w:rsidR="0035162C">
        <w:t xml:space="preserve">broadcast </w:t>
      </w:r>
      <w:r>
        <w:t>is in 2 or more languages, in which case the particulars must be notified in English.</w:t>
      </w:r>
    </w:p>
    <w:p w14:paraId="6E866732" w14:textId="213453D8" w:rsidR="0030537A" w:rsidRDefault="00DC6F15" w:rsidP="0030537A">
      <w:pPr>
        <w:spacing w:after="80"/>
      </w:pPr>
      <w:r>
        <w:t xml:space="preserve">When </w:t>
      </w:r>
      <w:r w:rsidR="0030537A">
        <w:t>investigat</w:t>
      </w:r>
      <w:r>
        <w:t>ing</w:t>
      </w:r>
      <w:r w:rsidR="0030537A">
        <w:t xml:space="preserve"> compliance with the relevant licence condition, </w:t>
      </w:r>
      <w:r>
        <w:t xml:space="preserve">we </w:t>
      </w:r>
      <w:r w:rsidR="0030537A">
        <w:t>will ask:</w:t>
      </w:r>
    </w:p>
    <w:p w14:paraId="3531E120" w14:textId="77777777" w:rsidR="0030537A" w:rsidRDefault="0030537A" w:rsidP="0030537A">
      <w:pPr>
        <w:pStyle w:val="ListBullet"/>
      </w:pPr>
      <w:r>
        <w:t>Did the broadcast material include political matter?</w:t>
      </w:r>
    </w:p>
    <w:p w14:paraId="55965B1F" w14:textId="77777777" w:rsidR="0030537A" w:rsidRDefault="0030537A" w:rsidP="0030537A">
      <w:pPr>
        <w:pStyle w:val="ListBullet"/>
      </w:pPr>
      <w:r>
        <w:t>If so, was the broadcast made at the request of another person?</w:t>
      </w:r>
    </w:p>
    <w:p w14:paraId="04328D95" w14:textId="77777777" w:rsidR="0030537A" w:rsidRDefault="0030537A" w:rsidP="0030537A">
      <w:pPr>
        <w:pStyle w:val="ListBullet"/>
        <w:spacing w:after="240"/>
      </w:pPr>
      <w:r>
        <w:t>If so, were the required particulars broadcast correctly?</w:t>
      </w:r>
    </w:p>
    <w:p w14:paraId="226E2E06" w14:textId="77777777" w:rsidR="0030537A" w:rsidRPr="00BF1BC5" w:rsidRDefault="0030537A" w:rsidP="00340482">
      <w:pPr>
        <w:spacing w:after="80"/>
      </w:pPr>
      <w:r w:rsidRPr="00BF1BC5">
        <w:t>Key terms include:</w:t>
      </w:r>
    </w:p>
    <w:p w14:paraId="77E86C0D" w14:textId="77777777" w:rsidR="0030537A" w:rsidRPr="00BF1BC5" w:rsidRDefault="0030537A" w:rsidP="00340482">
      <w:pPr>
        <w:pStyle w:val="ListBullet"/>
      </w:pPr>
      <w:r w:rsidRPr="001638A2">
        <w:t>licensee</w:t>
      </w:r>
    </w:p>
    <w:p w14:paraId="2A8620B1" w14:textId="77777777" w:rsidR="0030537A" w:rsidRPr="00BF1BC5" w:rsidRDefault="0030537A" w:rsidP="00340482">
      <w:pPr>
        <w:pStyle w:val="ListBullet"/>
      </w:pPr>
      <w:r w:rsidRPr="00BF1BC5">
        <w:t>political matter</w:t>
      </w:r>
    </w:p>
    <w:p w14:paraId="76A0E46A" w14:textId="77777777" w:rsidR="0030537A" w:rsidRPr="00BF1BC5" w:rsidRDefault="0030537A" w:rsidP="00340482">
      <w:pPr>
        <w:pStyle w:val="ListBullet"/>
      </w:pPr>
      <w:r w:rsidRPr="00BF1BC5">
        <w:t>request of another person</w:t>
      </w:r>
    </w:p>
    <w:p w14:paraId="1567A69A" w14:textId="77777777" w:rsidR="0030537A" w:rsidRDefault="0030537A" w:rsidP="00340482">
      <w:pPr>
        <w:pStyle w:val="ListBulletLast"/>
      </w:pPr>
      <w:r w:rsidRPr="00BF1BC5">
        <w:t>required particulars</w:t>
      </w:r>
      <w:r>
        <w:t>.</w:t>
      </w:r>
    </w:p>
    <w:p w14:paraId="446F3198" w14:textId="77777777" w:rsidR="0030537A" w:rsidRDefault="0030537A" w:rsidP="00340482">
      <w:pPr>
        <w:pStyle w:val="ListBulletLast"/>
        <w:numPr>
          <w:ilvl w:val="0"/>
          <w:numId w:val="0"/>
        </w:numPr>
      </w:pPr>
      <w:r>
        <w:t xml:space="preserve">These terms are each discussed below. </w:t>
      </w:r>
    </w:p>
    <w:p w14:paraId="78CE7147" w14:textId="77777777" w:rsidR="0030537A" w:rsidRPr="00BF1BC5" w:rsidRDefault="0030537A" w:rsidP="0030537A">
      <w:pPr>
        <w:pStyle w:val="Heading2"/>
      </w:pPr>
      <w:bookmarkStart w:id="22" w:name="_Toc96344040"/>
      <w:bookmarkStart w:id="23" w:name="_Toc97799974"/>
      <w:r w:rsidRPr="00BF1BC5">
        <w:t xml:space="preserve">Which </w:t>
      </w:r>
      <w:r>
        <w:t>licensee</w:t>
      </w:r>
      <w:r w:rsidRPr="00BF1BC5">
        <w:t>s are included?</w:t>
      </w:r>
      <w:bookmarkEnd w:id="22"/>
      <w:bookmarkEnd w:id="23"/>
    </w:p>
    <w:p w14:paraId="36D0EC9C" w14:textId="77777777" w:rsidR="00DC6F15" w:rsidRDefault="0030537A" w:rsidP="00371873">
      <w:pPr>
        <w:pStyle w:val="Paragraphbeforelist"/>
      </w:pPr>
      <w:r>
        <w:t>These provisions apply to</w:t>
      </w:r>
      <w:r w:rsidR="00DC6F15">
        <w:t>:</w:t>
      </w:r>
      <w:r>
        <w:t xml:space="preserve"> </w:t>
      </w:r>
    </w:p>
    <w:p w14:paraId="2A57F76C" w14:textId="2D25F782" w:rsidR="00DC6F15" w:rsidRDefault="0030537A" w:rsidP="00371873">
      <w:pPr>
        <w:pStyle w:val="ListBullet"/>
      </w:pPr>
      <w:r w:rsidRPr="00227057">
        <w:t>commercial television broadcasting licensees</w:t>
      </w:r>
    </w:p>
    <w:p w14:paraId="51662CB7" w14:textId="37A7F932" w:rsidR="00DC6F15" w:rsidRDefault="0030537A" w:rsidP="00371873">
      <w:pPr>
        <w:pStyle w:val="ListBullet"/>
      </w:pPr>
      <w:r w:rsidRPr="00227057">
        <w:t>commercial radio broadcasting licensees</w:t>
      </w:r>
    </w:p>
    <w:p w14:paraId="1DDCD1B6" w14:textId="1A0DF3BF" w:rsidR="00DC6F15" w:rsidRDefault="0030537A" w:rsidP="00371873">
      <w:pPr>
        <w:pStyle w:val="ListBullet"/>
      </w:pPr>
      <w:r w:rsidRPr="00227057">
        <w:t>community broadcasting licensees</w:t>
      </w:r>
    </w:p>
    <w:p w14:paraId="5ACCD2DE" w14:textId="3992780C" w:rsidR="00DC6F15" w:rsidRDefault="0030537A" w:rsidP="00371873">
      <w:pPr>
        <w:pStyle w:val="ListBullet"/>
      </w:pPr>
      <w:r w:rsidRPr="00227057">
        <w:t>subscription television broadcasting licensees</w:t>
      </w:r>
    </w:p>
    <w:p w14:paraId="22DCA190" w14:textId="3D6FF98C" w:rsidR="0030537A" w:rsidRDefault="00371873" w:rsidP="00371873">
      <w:pPr>
        <w:pStyle w:val="ListBulletLast"/>
      </w:pPr>
      <w:r>
        <w:t>persons</w:t>
      </w:r>
      <w:r w:rsidR="00DC6F15">
        <w:t xml:space="preserve"> </w:t>
      </w:r>
      <w:r w:rsidR="0030537A" w:rsidRPr="00227057">
        <w:t>providing broadcasting services under class licences.</w:t>
      </w:r>
      <w:r w:rsidR="0030537A">
        <w:t xml:space="preserve"> </w:t>
      </w:r>
    </w:p>
    <w:p w14:paraId="052ED307" w14:textId="77777777" w:rsidR="0030537A" w:rsidRDefault="0030537A" w:rsidP="0030537A">
      <w:r>
        <w:t>Provisions relating to the ABC and SBS are included in their respective acts.</w:t>
      </w:r>
    </w:p>
    <w:p w14:paraId="7062727B" w14:textId="13CD8FD5" w:rsidR="0030537A" w:rsidRDefault="0030537A" w:rsidP="0030537A">
      <w:pPr>
        <w:rPr>
          <w:b/>
          <w:sz w:val="28"/>
          <w:szCs w:val="28"/>
        </w:rPr>
      </w:pPr>
      <w:r>
        <w:lastRenderedPageBreak/>
        <w:t xml:space="preserve">The provisions </w:t>
      </w:r>
      <w:r w:rsidRPr="00A56A02">
        <w:t>do not</w:t>
      </w:r>
      <w:r>
        <w:t xml:space="preserve"> apply to non-broadcasting platforms, for example</w:t>
      </w:r>
      <w:r w:rsidR="00DC6F15">
        <w:t>,</w:t>
      </w:r>
      <w:r>
        <w:t xml:space="preserve"> printed material, online streaming and on-demand services, including when such platforms are operated by licensed broadcasters.</w:t>
      </w:r>
    </w:p>
    <w:p w14:paraId="0BCEC8B4" w14:textId="77777777" w:rsidR="0030537A" w:rsidRDefault="0030537A" w:rsidP="0030537A">
      <w:pPr>
        <w:pStyle w:val="Heading2"/>
      </w:pPr>
      <w:bookmarkStart w:id="24" w:name="_Toc96344041"/>
      <w:bookmarkStart w:id="25" w:name="_Toc97799975"/>
      <w:r>
        <w:t>What is ‘political matter’?</w:t>
      </w:r>
      <w:bookmarkEnd w:id="24"/>
      <w:bookmarkEnd w:id="25"/>
    </w:p>
    <w:p w14:paraId="16F66A26" w14:textId="77777777" w:rsidR="0030537A" w:rsidRDefault="0030537A" w:rsidP="0030537A">
      <w:r>
        <w:t xml:space="preserve">This is a fundamental question with the potential to cause most uncertainty. </w:t>
      </w:r>
    </w:p>
    <w:p w14:paraId="0652F598" w14:textId="77777777" w:rsidR="0030537A" w:rsidRDefault="0030537A" w:rsidP="0030537A">
      <w:r w:rsidRPr="007A0368">
        <w:t>‘Political matter' is defined very broadly in the BSA</w:t>
      </w:r>
      <w:r>
        <w:t xml:space="preserve"> (</w:t>
      </w:r>
      <w:r w:rsidRPr="007A0368">
        <w:t>clause 1 of Schedule 2</w:t>
      </w:r>
      <w:r>
        <w:t xml:space="preserve">) </w:t>
      </w:r>
      <w:r w:rsidRPr="007A0368">
        <w:t>to mean ‘any political matter, including the policy launch of a political party’.</w:t>
      </w:r>
      <w:r>
        <w:t xml:space="preserve"> Guidance as to the sort of material that may constitute political matter is provided primarily through the ACMA’s decision-making, reflected in reports of political matter investigations. </w:t>
      </w:r>
    </w:p>
    <w:p w14:paraId="37A48E21" w14:textId="77777777" w:rsidR="0030537A" w:rsidRPr="007A0368" w:rsidRDefault="0030537A" w:rsidP="0030537A">
      <w:pPr>
        <w:rPr>
          <w:i/>
        </w:rPr>
      </w:pPr>
      <w:r w:rsidRPr="007A0368">
        <w:t>What is political matter is an objective test and must be determined on a case</w:t>
      </w:r>
      <w:r>
        <w:t>-</w:t>
      </w:r>
      <w:r w:rsidRPr="007A0368">
        <w:t>by</w:t>
      </w:r>
      <w:r>
        <w:t>-</w:t>
      </w:r>
      <w:r w:rsidRPr="007A0368">
        <w:t xml:space="preserve">case basis. </w:t>
      </w:r>
      <w:r>
        <w:t>T</w:t>
      </w:r>
      <w:r w:rsidRPr="007A0368">
        <w:t xml:space="preserve">he balance can be a fine one. </w:t>
      </w:r>
    </w:p>
    <w:p w14:paraId="3EED4D86" w14:textId="303FB2A6" w:rsidR="0030537A" w:rsidRPr="007A0368" w:rsidRDefault="0030537A" w:rsidP="0030537A">
      <w:pPr>
        <w:spacing w:after="80"/>
      </w:pPr>
      <w:r>
        <w:t xml:space="preserve">When </w:t>
      </w:r>
      <w:proofErr w:type="gramStart"/>
      <w:r>
        <w:t>conducting an investigation</w:t>
      </w:r>
      <w:proofErr w:type="gramEnd"/>
      <w:r>
        <w:t xml:space="preserve"> under the BSA, </w:t>
      </w:r>
      <w:r w:rsidR="00DC6F15">
        <w:t xml:space="preserve">we </w:t>
      </w:r>
      <w:r w:rsidRPr="007A0368">
        <w:t>determin</w:t>
      </w:r>
      <w:r>
        <w:t>e</w:t>
      </w:r>
      <w:r w:rsidRPr="007A0368">
        <w:t xml:space="preserve"> whether </w:t>
      </w:r>
      <w:r>
        <w:t xml:space="preserve">broadcast </w:t>
      </w:r>
      <w:r w:rsidRPr="007A0368">
        <w:t>material is political matter</w:t>
      </w:r>
      <w:r>
        <w:t xml:space="preserve"> by </w:t>
      </w:r>
      <w:r w:rsidR="00DC6F15">
        <w:t>considering</w:t>
      </w:r>
      <w:r w:rsidRPr="007A0368">
        <w:t>:</w:t>
      </w:r>
    </w:p>
    <w:p w14:paraId="30C3D6BC" w14:textId="77777777" w:rsidR="0030537A" w:rsidRPr="007A0368" w:rsidRDefault="0030537A" w:rsidP="0030537A">
      <w:pPr>
        <w:pStyle w:val="ListBullet"/>
      </w:pPr>
      <w:r w:rsidRPr="007A0368">
        <w:t xml:space="preserve">the content of </w:t>
      </w:r>
      <w:r w:rsidRPr="001638A2">
        <w:t>the</w:t>
      </w:r>
      <w:r w:rsidRPr="007A0368">
        <w:t xml:space="preserve"> broadcast</w:t>
      </w:r>
    </w:p>
    <w:p w14:paraId="6411C7F5" w14:textId="77777777" w:rsidR="0030537A" w:rsidRPr="007A0368" w:rsidRDefault="0030537A" w:rsidP="0030537A">
      <w:pPr>
        <w:pStyle w:val="ListBullet"/>
      </w:pPr>
      <w:r w:rsidRPr="007A0368">
        <w:t>the overall presentation of the material</w:t>
      </w:r>
      <w:r>
        <w:t>,</w:t>
      </w:r>
      <w:r w:rsidRPr="007A0368">
        <w:t xml:space="preserve"> including the tone, style and emphasis</w:t>
      </w:r>
    </w:p>
    <w:p w14:paraId="1930DDCB" w14:textId="77777777" w:rsidR="0030537A" w:rsidRDefault="0030537A" w:rsidP="0030537A">
      <w:pPr>
        <w:pStyle w:val="ListBullet"/>
      </w:pPr>
      <w:r w:rsidRPr="007A0368">
        <w:t>the nature and style of accompanying audio or visual material</w:t>
      </w:r>
    </w:p>
    <w:p w14:paraId="02B97BC8" w14:textId="77777777" w:rsidR="0030537A" w:rsidRPr="007A0368" w:rsidRDefault="0030537A" w:rsidP="0030537A">
      <w:pPr>
        <w:pStyle w:val="ListBullet"/>
        <w:spacing w:after="240"/>
      </w:pPr>
      <w:r w:rsidRPr="007A0368">
        <w:t xml:space="preserve">the context surrounding the broadcast. </w:t>
      </w:r>
    </w:p>
    <w:p w14:paraId="20CE62A1" w14:textId="77777777" w:rsidR="0030537A" w:rsidRPr="003E3272" w:rsidRDefault="0030537A" w:rsidP="0030537A">
      <w:pPr>
        <w:pStyle w:val="Heading3"/>
      </w:pPr>
      <w:bookmarkStart w:id="26" w:name="_Toc96344042"/>
      <w:bookmarkStart w:id="27" w:name="_Toc97799976"/>
      <w:bookmarkStart w:id="28" w:name="_Hlk6916157"/>
      <w:r w:rsidRPr="003E3272">
        <w:t>The content of the broadcast</w:t>
      </w:r>
      <w:bookmarkEnd w:id="26"/>
      <w:bookmarkEnd w:id="27"/>
    </w:p>
    <w:p w14:paraId="28AA6C18" w14:textId="064CFD73" w:rsidR="0030537A" w:rsidRDefault="0030537A" w:rsidP="0030537A">
      <w:r>
        <w:t xml:space="preserve">The understanding of the ordinary reasonable viewer </w:t>
      </w:r>
      <w:r w:rsidR="00770A4B">
        <w:t>of</w:t>
      </w:r>
      <w:r>
        <w:t xml:space="preserve"> the nature of the message or messages communicated by the broadcast is a consideration in determining whether material is political. The question is asked: Does the content convey a message about matters that are or could be the subject of public political discussion? </w:t>
      </w:r>
    </w:p>
    <w:p w14:paraId="33AF5FD7" w14:textId="37229806" w:rsidR="0030537A" w:rsidRPr="005D4975" w:rsidRDefault="0030537A" w:rsidP="0030537A">
      <w:r w:rsidRPr="007A0368">
        <w:t>Some matter broadcast will obviously be political matter</w:t>
      </w:r>
      <w:r w:rsidR="00770A4B">
        <w:t xml:space="preserve"> – </w:t>
      </w:r>
      <w:r w:rsidRPr="007A0368">
        <w:t>for example</w:t>
      </w:r>
      <w:r>
        <w:t>,</w:t>
      </w:r>
      <w:r w:rsidRPr="007A0368">
        <w:t xml:space="preserve"> a broadcast </w:t>
      </w:r>
      <w:r w:rsidRPr="005D4975">
        <w:t>designed to affect how a person will vote in an election. However, it is not necessary for material to explicitly promote a political party, candidate or policy for it to be political matter.</w:t>
      </w:r>
      <w:r w:rsidR="00770A4B">
        <w:t xml:space="preserve"> If</w:t>
      </w:r>
      <w:r w:rsidR="00770A4B" w:rsidRPr="005D4975">
        <w:t xml:space="preserve"> </w:t>
      </w:r>
      <w:r w:rsidRPr="005D4975">
        <w:t>content engage</w:t>
      </w:r>
      <w:r w:rsidR="00770A4B">
        <w:t>s</w:t>
      </w:r>
      <w:r w:rsidRPr="005D4975">
        <w:t xml:space="preserve"> with a matter of public contention or discussion, in a meaningful way that objectively seeks to </w:t>
      </w:r>
      <w:r w:rsidRPr="0096465E">
        <w:rPr>
          <w:i/>
          <w:iCs/>
        </w:rPr>
        <w:t>influence the audience’s position</w:t>
      </w:r>
      <w:r w:rsidRPr="005D4975">
        <w:t xml:space="preserve"> </w:t>
      </w:r>
      <w:r w:rsidR="00770A4B">
        <w:t>about</w:t>
      </w:r>
      <w:r w:rsidRPr="005D4975">
        <w:t xml:space="preserve"> that matter</w:t>
      </w:r>
      <w:r w:rsidR="00770A4B">
        <w:t>, it may be considered political.</w:t>
      </w:r>
    </w:p>
    <w:p w14:paraId="69FC80C9" w14:textId="77777777" w:rsidR="0030537A" w:rsidRPr="005D4975" w:rsidRDefault="0030537A" w:rsidP="0030537A">
      <w:pPr>
        <w:pStyle w:val="Heading3"/>
      </w:pPr>
      <w:bookmarkStart w:id="29" w:name="_Toc96344043"/>
      <w:bookmarkStart w:id="30" w:name="_Toc97799977"/>
      <w:bookmarkStart w:id="31" w:name="_Hlk6916139"/>
      <w:r w:rsidRPr="005D4975">
        <w:t>Promotion of brands, products or services is not determinative</w:t>
      </w:r>
      <w:bookmarkEnd w:id="29"/>
      <w:bookmarkEnd w:id="30"/>
    </w:p>
    <w:p w14:paraId="16E59C61" w14:textId="7CCD8EFA" w:rsidR="0030537A" w:rsidRPr="005D4975" w:rsidRDefault="0030537A" w:rsidP="0030537A">
      <w:r w:rsidRPr="005D4975">
        <w:t>Some material promotes brands</w:t>
      </w:r>
      <w:r>
        <w:t>,</w:t>
      </w:r>
      <w:r w:rsidRPr="005D4975">
        <w:t xml:space="preserve"> products and services while including political references. In considering whether particular material might be political matter, </w:t>
      </w:r>
      <w:r w:rsidR="00770A4B">
        <w:t>we</w:t>
      </w:r>
      <w:r w:rsidRPr="005D4975">
        <w:t xml:space="preserve"> </w:t>
      </w:r>
      <w:r w:rsidR="00770A4B">
        <w:t>consider</w:t>
      </w:r>
      <w:r w:rsidRPr="005D4975">
        <w:t xml:space="preserve"> a range of factors including the content, overall presentation of the material</w:t>
      </w:r>
      <w:r>
        <w:t>,</w:t>
      </w:r>
      <w:r w:rsidRPr="005D4975">
        <w:t xml:space="preserve"> emphasis</w:t>
      </w:r>
      <w:r>
        <w:t>,</w:t>
      </w:r>
      <w:r w:rsidRPr="005D4975">
        <w:t xml:space="preserve"> style</w:t>
      </w:r>
      <w:r>
        <w:t xml:space="preserve"> and </w:t>
      </w:r>
      <w:r w:rsidRPr="007A0368">
        <w:t>the context surrounding the broadcast</w:t>
      </w:r>
      <w:r w:rsidRPr="005D4975">
        <w:t>.</w:t>
      </w:r>
    </w:p>
    <w:p w14:paraId="01ACE44C" w14:textId="54D228FC" w:rsidR="0030537A" w:rsidRPr="005D4975" w:rsidRDefault="0030537A" w:rsidP="0030537A">
      <w:r w:rsidRPr="005D4975">
        <w:t xml:space="preserve">For example, </w:t>
      </w:r>
      <w:r w:rsidR="004B3933">
        <w:t xml:space="preserve">if </w:t>
      </w:r>
      <w:r w:rsidRPr="005D4975">
        <w:t>material promote</w:t>
      </w:r>
      <w:r w:rsidR="004B3933">
        <w:t>s</w:t>
      </w:r>
      <w:r w:rsidRPr="005D4975">
        <w:t xml:space="preserve"> a brand, product or service, and also refer</w:t>
      </w:r>
      <w:r w:rsidR="004B3933">
        <w:t>s</w:t>
      </w:r>
      <w:r w:rsidRPr="005D4975">
        <w:t xml:space="preserve"> to something that is political, but does so in a way that attempt</w:t>
      </w:r>
      <w:r w:rsidR="004B3933">
        <w:t>s</w:t>
      </w:r>
      <w:r w:rsidRPr="005D4975">
        <w:t xml:space="preserve"> to influence the audience’s position </w:t>
      </w:r>
      <w:r w:rsidR="00770A4B">
        <w:t xml:space="preserve">about </w:t>
      </w:r>
      <w:r w:rsidRPr="005D4975">
        <w:t xml:space="preserve">the brand rather than influence the audience’s position </w:t>
      </w:r>
      <w:r w:rsidR="00770A4B">
        <w:t xml:space="preserve">about </w:t>
      </w:r>
      <w:r w:rsidRPr="005D4975">
        <w:t xml:space="preserve">the political content (see </w:t>
      </w:r>
      <w:hyperlink w:anchor="_Case_study_3" w:history="1">
        <w:r w:rsidRPr="00DB626B">
          <w:rPr>
            <w:rStyle w:val="Hyperlink"/>
          </w:rPr>
          <w:t>case study 3</w:t>
        </w:r>
      </w:hyperlink>
      <w:r w:rsidRPr="005D4975">
        <w:t>)</w:t>
      </w:r>
      <w:r w:rsidR="004B3933">
        <w:t xml:space="preserve">, this </w:t>
      </w:r>
      <w:r w:rsidRPr="005D4975">
        <w:t xml:space="preserve">material is unlikely to be regarded as political matter. Conversely, other material </w:t>
      </w:r>
      <w:r w:rsidR="004B3933">
        <w:t xml:space="preserve">that </w:t>
      </w:r>
      <w:r w:rsidRPr="005D4975">
        <w:t>might contain content that promotes a brand, product or service, but also includes other content that engage</w:t>
      </w:r>
      <w:r w:rsidR="004B3933">
        <w:t>s</w:t>
      </w:r>
      <w:r w:rsidRPr="005D4975">
        <w:t xml:space="preserve"> with matters of public contention or discussion in meaningful way</w:t>
      </w:r>
      <w:r w:rsidR="004B3933">
        <w:t xml:space="preserve">, </w:t>
      </w:r>
      <w:r w:rsidRPr="005D4975">
        <w:t xml:space="preserve">may well be regarded as political matter. </w:t>
      </w:r>
    </w:p>
    <w:p w14:paraId="60BEEDC8" w14:textId="77777777" w:rsidR="0030537A" w:rsidRDefault="0030537A" w:rsidP="0030537A">
      <w:r w:rsidRPr="005D4975">
        <w:t xml:space="preserve">Material may highlight certain actions taken, or beliefs held by an organisation or business about matters of public contention or discussion as a way of promoting that organisation to an audience. Such material may become political if it engages with the broader issues underpinning those actions or beliefs. </w:t>
      </w:r>
      <w:r>
        <w:t xml:space="preserve"> </w:t>
      </w:r>
    </w:p>
    <w:p w14:paraId="17B4F803" w14:textId="77777777" w:rsidR="0030537A" w:rsidRDefault="0030537A" w:rsidP="0030537A">
      <w:pPr>
        <w:pStyle w:val="Heading3"/>
      </w:pPr>
      <w:bookmarkStart w:id="32" w:name="_Toc96344044"/>
      <w:bookmarkStart w:id="33" w:name="_Toc97799978"/>
      <w:bookmarkEnd w:id="28"/>
      <w:bookmarkEnd w:id="31"/>
      <w:r w:rsidRPr="00EA60F7">
        <w:lastRenderedPageBreak/>
        <w:t>The overall presentation of the material, including the tone, style and emphasis</w:t>
      </w:r>
      <w:bookmarkEnd w:id="32"/>
      <w:bookmarkEnd w:id="33"/>
    </w:p>
    <w:p w14:paraId="149B5A38" w14:textId="27D18038" w:rsidR="0030537A" w:rsidRPr="007A0368" w:rsidRDefault="0030537A" w:rsidP="0030537A">
      <w:r>
        <w:t>M</w:t>
      </w:r>
      <w:r w:rsidRPr="007A0368" w:rsidDel="005F6E58">
        <w:t xml:space="preserve">aterial </w:t>
      </w:r>
      <w:r>
        <w:t xml:space="preserve">may </w:t>
      </w:r>
      <w:r w:rsidRPr="007A0368" w:rsidDel="005F6E58">
        <w:t xml:space="preserve">be political matter if it seeks to persuade the audience to a political point of view, even </w:t>
      </w:r>
      <w:r>
        <w:t>if at the time</w:t>
      </w:r>
      <w:r w:rsidRPr="007A0368" w:rsidDel="005F6E58">
        <w:t xml:space="preserve"> there is no </w:t>
      </w:r>
      <w:r>
        <w:t xml:space="preserve">public </w:t>
      </w:r>
      <w:r w:rsidRPr="007A0368" w:rsidDel="005F6E58">
        <w:t xml:space="preserve">proposal to change the law about the issue. </w:t>
      </w:r>
    </w:p>
    <w:p w14:paraId="26E0C2A1" w14:textId="77777777" w:rsidR="0030537A" w:rsidRDefault="0030537A" w:rsidP="0030537A">
      <w:r w:rsidRPr="007A0368" w:rsidDel="005F6E58">
        <w:t>It may</w:t>
      </w:r>
      <w:r w:rsidRPr="007A0368">
        <w:t xml:space="preserve"> also</w:t>
      </w:r>
      <w:r w:rsidRPr="007A0368" w:rsidDel="005F6E58">
        <w:t xml:space="preserve"> be enough if the broadcast is likely to influence the </w:t>
      </w:r>
      <w:r w:rsidRPr="007A0368">
        <w:t>audience</w:t>
      </w:r>
      <w:r w:rsidRPr="007A0368" w:rsidDel="005F6E58">
        <w:t xml:space="preserve"> about a political issue</w:t>
      </w:r>
      <w:r w:rsidRPr="007A0368">
        <w:t xml:space="preserve">, regardless of the intention of the person requesting the </w:t>
      </w:r>
      <w:r>
        <w:t xml:space="preserve">broadcast of the </w:t>
      </w:r>
      <w:r w:rsidRPr="007A0368">
        <w:t>matter. It is also not essential that the approach be express, rather than indirect, for the broadcast to be political matter.</w:t>
      </w:r>
      <w:r>
        <w:t xml:space="preserve"> </w:t>
      </w:r>
    </w:p>
    <w:p w14:paraId="17975B61" w14:textId="77777777" w:rsidR="0030537A" w:rsidRPr="007A0368" w:rsidRDefault="0030537A" w:rsidP="0030537A">
      <w:r>
        <w:t xml:space="preserve">Further consideration about the intent of a broadcast can be found at </w:t>
      </w:r>
      <w:hyperlink w:anchor="_Case_study_5" w:history="1">
        <w:r w:rsidRPr="00DB626B">
          <w:rPr>
            <w:rStyle w:val="Hyperlink"/>
          </w:rPr>
          <w:t>case study 5</w:t>
        </w:r>
      </w:hyperlink>
      <w:r>
        <w:t>.</w:t>
      </w:r>
    </w:p>
    <w:p w14:paraId="24995741" w14:textId="77777777" w:rsidR="0030537A" w:rsidRPr="00C06489" w:rsidRDefault="0030537A" w:rsidP="0030537A">
      <w:pPr>
        <w:pStyle w:val="Heading3"/>
      </w:pPr>
      <w:bookmarkStart w:id="34" w:name="_Toc96344045"/>
      <w:bookmarkStart w:id="35" w:name="_Toc97799979"/>
      <w:r w:rsidRPr="003E3272">
        <w:t>The nature and style of accompanying audio or visual material</w:t>
      </w:r>
      <w:bookmarkEnd w:id="34"/>
      <w:bookmarkEnd w:id="35"/>
    </w:p>
    <w:p w14:paraId="29B5293D" w14:textId="2D2638A1" w:rsidR="0030537A" w:rsidRPr="002D7C25" w:rsidRDefault="0030537A" w:rsidP="0030537A">
      <w:r>
        <w:t xml:space="preserve">Political matter may include individual components that contribute to the communication of a political message. These may be images or audio that the ordinary reasonable viewer associates with a particular political position </w:t>
      </w:r>
      <w:r w:rsidR="004B3933">
        <w:t>about</w:t>
      </w:r>
      <w:r>
        <w:t xml:space="preserve"> matters that are</w:t>
      </w:r>
      <w:r w:rsidR="004B3933">
        <w:t>,</w:t>
      </w:r>
      <w:r>
        <w:t xml:space="preserve"> or could be</w:t>
      </w:r>
      <w:r w:rsidR="004B3933">
        <w:t>,</w:t>
      </w:r>
      <w:r>
        <w:t xml:space="preserve"> the subject of public political discussion. </w:t>
      </w:r>
    </w:p>
    <w:p w14:paraId="25FBCDB9" w14:textId="77777777" w:rsidR="0030537A" w:rsidRPr="003E3272" w:rsidRDefault="0030537A" w:rsidP="0030537A">
      <w:pPr>
        <w:pStyle w:val="Heading3"/>
      </w:pPr>
      <w:bookmarkStart w:id="36" w:name="_Toc96344046"/>
      <w:bookmarkStart w:id="37" w:name="_Toc97799980"/>
      <w:r w:rsidRPr="003E3272">
        <w:t>The context surrounding the broadcast</w:t>
      </w:r>
      <w:bookmarkEnd w:id="36"/>
      <w:bookmarkEnd w:id="37"/>
      <w:r w:rsidRPr="003E3272">
        <w:t xml:space="preserve"> </w:t>
      </w:r>
    </w:p>
    <w:p w14:paraId="480FED66" w14:textId="1ADDBE12" w:rsidR="0030537A" w:rsidRDefault="0030537A" w:rsidP="0030537A">
      <w:r>
        <w:t>I</w:t>
      </w:r>
      <w:r w:rsidRPr="007A0368">
        <w:t>t</w:t>
      </w:r>
      <w:r>
        <w:t xml:space="preserve"> is</w:t>
      </w:r>
      <w:r w:rsidRPr="007A0368">
        <w:t xml:space="preserve"> </w:t>
      </w:r>
      <w:r>
        <w:t xml:space="preserve">not </w:t>
      </w:r>
      <w:r w:rsidRPr="007A0368">
        <w:t xml:space="preserve">necessary </w:t>
      </w:r>
      <w:r w:rsidR="004B3933">
        <w:t>for</w:t>
      </w:r>
      <w:r w:rsidR="004B3933" w:rsidRPr="007A0368">
        <w:t xml:space="preserve"> </w:t>
      </w:r>
      <w:r w:rsidRPr="007A0368">
        <w:t xml:space="preserve">there </w:t>
      </w:r>
      <w:r w:rsidR="004B3933">
        <w:t xml:space="preserve">to </w:t>
      </w:r>
      <w:r w:rsidRPr="007A0368">
        <w:t xml:space="preserve">be a high level of </w:t>
      </w:r>
      <w:r>
        <w:t xml:space="preserve">current </w:t>
      </w:r>
      <w:r w:rsidRPr="007A0368">
        <w:t>public discourse at a government level about a matter for it to meet the threshold of political matter.</w:t>
      </w:r>
      <w:r>
        <w:t xml:space="preserve"> The content need only engage with a matter of public contention or discussion in a meaningful way that objectively seeks to influence the audience’s position </w:t>
      </w:r>
      <w:r w:rsidR="004B3933">
        <w:t>about</w:t>
      </w:r>
      <w:r>
        <w:t xml:space="preserve"> that matter.</w:t>
      </w:r>
    </w:p>
    <w:p w14:paraId="26134EED" w14:textId="77777777" w:rsidR="0030537A" w:rsidRPr="007A0368" w:rsidDel="005F6E58" w:rsidRDefault="0030537A" w:rsidP="0030537A">
      <w:r>
        <w:t xml:space="preserve">Further discussion on what constitutes political matter can be found in </w:t>
      </w:r>
      <w:hyperlink w:anchor="_Case_study_1" w:history="1">
        <w:r w:rsidRPr="00D85ACC">
          <w:rPr>
            <w:rStyle w:val="Hyperlink"/>
          </w:rPr>
          <w:t>case study 1</w:t>
        </w:r>
      </w:hyperlink>
      <w:r>
        <w:t xml:space="preserve"> and </w:t>
      </w:r>
      <w:hyperlink w:anchor="_Case_study_3" w:history="1">
        <w:r w:rsidRPr="00D85ACC">
          <w:rPr>
            <w:rStyle w:val="Hyperlink"/>
          </w:rPr>
          <w:t>case study 3</w:t>
        </w:r>
      </w:hyperlink>
      <w:r>
        <w:t>.</w:t>
      </w:r>
    </w:p>
    <w:p w14:paraId="4DC7B104" w14:textId="77777777" w:rsidR="0030537A" w:rsidRDefault="0030537A" w:rsidP="0030537A">
      <w:pPr>
        <w:pStyle w:val="Heading2"/>
      </w:pPr>
      <w:bookmarkStart w:id="38" w:name="_Toc96344047"/>
      <w:bookmarkStart w:id="39" w:name="_Toc97799981"/>
      <w:r>
        <w:t xml:space="preserve">What is </w:t>
      </w:r>
      <w:r w:rsidRPr="00F90BF8">
        <w:t>‘at the request of another person’</w:t>
      </w:r>
      <w:r>
        <w:t>?</w:t>
      </w:r>
      <w:bookmarkEnd w:id="38"/>
      <w:bookmarkEnd w:id="39"/>
    </w:p>
    <w:p w14:paraId="00DEB4E8" w14:textId="77777777" w:rsidR="0030537A" w:rsidRPr="00BF1BC5" w:rsidRDefault="0030537A" w:rsidP="0030537A">
      <w:r w:rsidRPr="00BF1BC5">
        <w:t xml:space="preserve">Only political matter that is broadcast at the request of another person is subject to the </w:t>
      </w:r>
      <w:r>
        <w:t>requirement about broadcasting the required particulars</w:t>
      </w:r>
      <w:r w:rsidRPr="00BF1BC5">
        <w:t xml:space="preserve">. </w:t>
      </w:r>
    </w:p>
    <w:p w14:paraId="7ACEE292" w14:textId="06C4EBDB" w:rsidR="0030537A" w:rsidRPr="00BF1BC5" w:rsidRDefault="0030537A" w:rsidP="0030537A">
      <w:r w:rsidRPr="00BF1BC5">
        <w:t>A person can include a political party, a corporation and any other association (incorporated or unincorporated)</w:t>
      </w:r>
      <w:r>
        <w:t>, a</w:t>
      </w:r>
      <w:r w:rsidRPr="002B7717">
        <w:t>s well as a natural person</w:t>
      </w:r>
      <w:r w:rsidRPr="00BF1BC5">
        <w:t xml:space="preserve">. </w:t>
      </w:r>
    </w:p>
    <w:p w14:paraId="6DD70761" w14:textId="5D3A9626" w:rsidR="0030537A" w:rsidRPr="00BF1BC5" w:rsidRDefault="0030537A" w:rsidP="0030537A">
      <w:r>
        <w:t>L</w:t>
      </w:r>
      <w:r w:rsidRPr="00BF1BC5">
        <w:t xml:space="preserve">icensees </w:t>
      </w:r>
      <w:r>
        <w:t xml:space="preserve">are not prevented from </w:t>
      </w:r>
      <w:r w:rsidRPr="00BF1BC5">
        <w:t>advocat</w:t>
      </w:r>
      <w:r>
        <w:t xml:space="preserve">ing </w:t>
      </w:r>
      <w:r w:rsidRPr="00BF1BC5">
        <w:t xml:space="preserve">on social issues </w:t>
      </w:r>
      <w:r>
        <w:t>and</w:t>
      </w:r>
      <w:r w:rsidR="004B3933">
        <w:t>,</w:t>
      </w:r>
      <w:r>
        <w:t xml:space="preserve"> from time</w:t>
      </w:r>
      <w:r w:rsidR="004B3933">
        <w:t>-</w:t>
      </w:r>
      <w:r>
        <w:t>to</w:t>
      </w:r>
      <w:r w:rsidR="004B3933">
        <w:t>-</w:t>
      </w:r>
      <w:r>
        <w:t>time</w:t>
      </w:r>
      <w:r w:rsidR="004B3933">
        <w:t>,</w:t>
      </w:r>
      <w:r w:rsidRPr="00BF1BC5">
        <w:t xml:space="preserve"> </w:t>
      </w:r>
      <w:r>
        <w:t xml:space="preserve">may </w:t>
      </w:r>
      <w:r w:rsidRPr="00BF1BC5">
        <w:t>support policy initiatives</w:t>
      </w:r>
      <w:r>
        <w:t>.</w:t>
      </w:r>
      <w:r w:rsidRPr="00BF1BC5">
        <w:t xml:space="preserve"> </w:t>
      </w:r>
    </w:p>
    <w:p w14:paraId="6D4301DB" w14:textId="77777777" w:rsidR="0030537A" w:rsidRPr="00BF1BC5" w:rsidRDefault="0030537A" w:rsidP="0030537A">
      <w:r w:rsidRPr="00BF1BC5">
        <w:t xml:space="preserve">The </w:t>
      </w:r>
      <w:r>
        <w:t xml:space="preserve">required particulars </w:t>
      </w:r>
      <w:r w:rsidRPr="00BF1BC5">
        <w:t xml:space="preserve">do not </w:t>
      </w:r>
      <w:r>
        <w:t>need to be broadcast if political</w:t>
      </w:r>
      <w:r w:rsidRPr="00BF1BC5">
        <w:t xml:space="preserve"> matter is broadcast on the </w:t>
      </w:r>
      <w:r>
        <w:t>licensee</w:t>
      </w:r>
      <w:r w:rsidRPr="00BF1BC5">
        <w:t xml:space="preserve">’s own initiative (see </w:t>
      </w:r>
      <w:hyperlink w:anchor="_Case_study_2" w:history="1">
        <w:r w:rsidRPr="00D85ACC">
          <w:rPr>
            <w:rStyle w:val="Hyperlink"/>
          </w:rPr>
          <w:t>case study 2</w:t>
        </w:r>
      </w:hyperlink>
      <w:r w:rsidRPr="00BF1BC5">
        <w:t>)</w:t>
      </w:r>
      <w:r>
        <w:t>.</w:t>
      </w:r>
    </w:p>
    <w:p w14:paraId="3EAB24DF" w14:textId="77777777" w:rsidR="0030537A" w:rsidRDefault="0030537A" w:rsidP="0030537A">
      <w:pPr>
        <w:pStyle w:val="Heading2"/>
      </w:pPr>
      <w:bookmarkStart w:id="40" w:name="_Toc96344048"/>
      <w:bookmarkStart w:id="41" w:name="_Toc97799982"/>
      <w:r>
        <w:t>What are the</w:t>
      </w:r>
      <w:r w:rsidRPr="00CD18E2">
        <w:t xml:space="preserve"> ‘required </w:t>
      </w:r>
      <w:proofErr w:type="gramStart"/>
      <w:r w:rsidRPr="00CD18E2">
        <w:t>particulars’</w:t>
      </w:r>
      <w:proofErr w:type="gramEnd"/>
      <w:r>
        <w:t>?</w:t>
      </w:r>
      <w:bookmarkEnd w:id="40"/>
      <w:bookmarkEnd w:id="41"/>
    </w:p>
    <w:p w14:paraId="46B251A8" w14:textId="77777777" w:rsidR="0030537A" w:rsidRDefault="0030537A" w:rsidP="0030537A">
      <w:r w:rsidRPr="00BF1BC5">
        <w:t>The required particulars are the authorisation details that must be broadcast following political matter. These are also called ‘</w:t>
      </w:r>
      <w:proofErr w:type="gramStart"/>
      <w:r w:rsidRPr="00BF1BC5">
        <w:t>tags’</w:t>
      </w:r>
      <w:proofErr w:type="gramEnd"/>
      <w:r w:rsidRPr="00BF1BC5">
        <w:t xml:space="preserve">. </w:t>
      </w:r>
    </w:p>
    <w:p w14:paraId="41F38148" w14:textId="77777777" w:rsidR="0030537A" w:rsidRDefault="0030537A" w:rsidP="0030537A">
      <w:r>
        <w:t xml:space="preserve">The provision about broadcasting the required </w:t>
      </w:r>
      <w:r w:rsidRPr="0029695B">
        <w:t>particulars</w:t>
      </w:r>
      <w:r>
        <w:t xml:space="preserve"> of the person who </w:t>
      </w:r>
      <w:r w:rsidRPr="009C1D02">
        <w:t>authorised t</w:t>
      </w:r>
      <w:r>
        <w:t>he broadcast</w:t>
      </w:r>
      <w:r w:rsidRPr="0029695B">
        <w:t xml:space="preserve"> applies at all times. It</w:t>
      </w:r>
      <w:r>
        <w:t xml:space="preserve"> is not </w:t>
      </w:r>
      <w:r w:rsidRPr="007A0368">
        <w:t>restricted to material broadcast during election</w:t>
      </w:r>
      <w:r>
        <w:t>s,</w:t>
      </w:r>
      <w:r w:rsidRPr="007A0368">
        <w:t xml:space="preserve"> or </w:t>
      </w:r>
      <w:r w:rsidRPr="009C1D02">
        <w:t>in</w:t>
      </w:r>
      <w:r w:rsidRPr="007A0368">
        <w:t xml:space="preserve"> times of significant public debate on certain issues</w:t>
      </w:r>
      <w:r>
        <w:t>.</w:t>
      </w:r>
      <w:r w:rsidRPr="007A0368">
        <w:t xml:space="preserve"> </w:t>
      </w:r>
      <w:r>
        <w:t>W</w:t>
      </w:r>
      <w:r w:rsidRPr="007A0368">
        <w:t>hen advertisements are broadcast outside an election</w:t>
      </w:r>
      <w:r>
        <w:t xml:space="preserve"> period</w:t>
      </w:r>
      <w:r w:rsidRPr="007A0368">
        <w:t xml:space="preserve"> or are not on behalf of a political party or other </w:t>
      </w:r>
      <w:r>
        <w:t>‘</w:t>
      </w:r>
      <w:r w:rsidRPr="007A0368">
        <w:t>disclosure entity</w:t>
      </w:r>
      <w:r>
        <w:t>’ (defined below)</w:t>
      </w:r>
      <w:r w:rsidRPr="007A0368">
        <w:t>, they may still be political matter and be required to be ‘tagged’</w:t>
      </w:r>
      <w:r>
        <w:t xml:space="preserve"> with the required particulars</w:t>
      </w:r>
      <w:r w:rsidRPr="007A0368">
        <w:t xml:space="preserve">. </w:t>
      </w:r>
    </w:p>
    <w:p w14:paraId="35B38C89" w14:textId="3DC273A9" w:rsidR="0030537A" w:rsidRDefault="0030537A" w:rsidP="0030537A">
      <w:pPr>
        <w:rPr>
          <w:rFonts w:cs="Arial"/>
          <w:sz w:val="19"/>
          <w:szCs w:val="19"/>
        </w:rPr>
      </w:pPr>
      <w:r>
        <w:rPr>
          <w:shd w:val="clear" w:color="auto" w:fill="FFFFFF"/>
        </w:rPr>
        <w:t>On both radio and television, the</w:t>
      </w:r>
      <w:r w:rsidRPr="00BF1BC5">
        <w:rPr>
          <w:shd w:val="clear" w:color="auto" w:fill="FFFFFF"/>
        </w:rPr>
        <w:t xml:space="preserve"> required particulars must be announced at the end of the communication in the same language used in the communication</w:t>
      </w:r>
      <w:r>
        <w:rPr>
          <w:shd w:val="clear" w:color="auto" w:fill="FFFFFF"/>
        </w:rPr>
        <w:t xml:space="preserve">, or in English if </w:t>
      </w:r>
      <w:r>
        <w:rPr>
          <w:shd w:val="clear" w:color="auto" w:fill="FFFFFF"/>
        </w:rPr>
        <w:lastRenderedPageBreak/>
        <w:t>2 or more languages are used in the communication. On television</w:t>
      </w:r>
      <w:r w:rsidR="00476DBE">
        <w:rPr>
          <w:shd w:val="clear" w:color="auto" w:fill="FFFFFF"/>
        </w:rPr>
        <w:t>,</w:t>
      </w:r>
      <w:r>
        <w:rPr>
          <w:shd w:val="clear" w:color="auto" w:fill="FFFFFF"/>
        </w:rPr>
        <w:t xml:space="preserve"> there is an</w:t>
      </w:r>
      <w:r w:rsidRPr="00BF1BC5">
        <w:rPr>
          <w:shd w:val="clear" w:color="auto" w:fill="FFFFFF"/>
        </w:rPr>
        <w:t xml:space="preserve"> additional requirement that the particulars </w:t>
      </w:r>
      <w:r>
        <w:rPr>
          <w:shd w:val="clear" w:color="auto" w:fill="FFFFFF"/>
        </w:rPr>
        <w:t>must</w:t>
      </w:r>
      <w:r w:rsidRPr="00BF1BC5">
        <w:rPr>
          <w:shd w:val="clear" w:color="auto" w:fill="FFFFFF"/>
        </w:rPr>
        <w:t xml:space="preserve"> also</w:t>
      </w:r>
      <w:r>
        <w:rPr>
          <w:shd w:val="clear" w:color="auto" w:fill="FFFFFF"/>
        </w:rPr>
        <w:t xml:space="preserve"> be</w:t>
      </w:r>
      <w:r w:rsidRPr="00BF1BC5">
        <w:rPr>
          <w:shd w:val="clear" w:color="auto" w:fill="FFFFFF"/>
        </w:rPr>
        <w:t xml:space="preserve"> </w:t>
      </w:r>
      <w:r>
        <w:rPr>
          <w:shd w:val="clear" w:color="auto" w:fill="FFFFFF"/>
        </w:rPr>
        <w:t xml:space="preserve">shown (see </w:t>
      </w:r>
      <w:r w:rsidR="00476DBE">
        <w:rPr>
          <w:shd w:val="clear" w:color="auto" w:fill="FFFFFF"/>
        </w:rPr>
        <w:t xml:space="preserve">the </w:t>
      </w:r>
      <w:r w:rsidRPr="00B325C4">
        <w:rPr>
          <w:rFonts w:cs="Arial"/>
          <w:szCs w:val="20"/>
        </w:rPr>
        <w:t>Commonwealth Electoral Determination).</w:t>
      </w:r>
    </w:p>
    <w:p w14:paraId="44233464" w14:textId="272F6ADA" w:rsidR="0030537A" w:rsidRDefault="0030537A" w:rsidP="0030537A">
      <w:pPr>
        <w:rPr>
          <w:shd w:val="clear" w:color="auto" w:fill="FFFFFF"/>
        </w:rPr>
      </w:pPr>
      <w:r w:rsidRPr="009C1D02">
        <w:rPr>
          <w:shd w:val="clear" w:color="auto" w:fill="FFFFFF"/>
        </w:rPr>
        <w:t xml:space="preserve">The BSA defines ‘required particulars’ as the particulars set out in </w:t>
      </w:r>
      <w:r w:rsidR="00476DBE">
        <w:rPr>
          <w:shd w:val="clear" w:color="auto" w:fill="FFFFFF"/>
        </w:rPr>
        <w:t>T</w:t>
      </w:r>
      <w:r w:rsidRPr="009C1D02">
        <w:rPr>
          <w:shd w:val="clear" w:color="auto" w:fill="FFFFFF"/>
        </w:rPr>
        <w:t>able</w:t>
      </w:r>
      <w:r w:rsidR="00476DBE">
        <w:rPr>
          <w:shd w:val="clear" w:color="auto" w:fill="FFFFFF"/>
        </w:rPr>
        <w:t xml:space="preserve"> 1.</w:t>
      </w:r>
      <w:r w:rsidRPr="009C1D02">
        <w:rPr>
          <w:rStyle w:val="FootnoteReference"/>
          <w:shd w:val="clear" w:color="auto" w:fill="FFFFFF"/>
        </w:rPr>
        <w:footnoteReference w:id="2"/>
      </w:r>
    </w:p>
    <w:p w14:paraId="159DCB41" w14:textId="4DD08032" w:rsidR="0030537A" w:rsidRPr="002B7717" w:rsidRDefault="00476DBE" w:rsidP="0096465E">
      <w:pPr>
        <w:pStyle w:val="Tableheading"/>
        <w:rPr>
          <w:shd w:val="clear" w:color="auto" w:fill="FFFFFF"/>
        </w:rPr>
      </w:pPr>
      <w:r>
        <w:rPr>
          <w:shd w:val="clear" w:color="auto" w:fill="FFFFFF"/>
        </w:rPr>
        <w:t>R</w:t>
      </w:r>
      <w:r w:rsidRPr="00476DBE">
        <w:rPr>
          <w:shd w:val="clear" w:color="auto" w:fill="FFFFFF"/>
        </w:rPr>
        <w:t>equired particulars</w:t>
      </w:r>
      <w:r w:rsidRPr="00476DBE" w:rsidDel="00476DBE">
        <w:rPr>
          <w:shd w:val="clear" w:color="auto" w:fill="FFFFFF"/>
        </w:rPr>
        <w:t xml:space="preserve"> </w:t>
      </w:r>
      <w:r>
        <w:rPr>
          <w:shd w:val="clear" w:color="auto" w:fill="FFFFFF"/>
        </w:rPr>
        <w:t>defined in the BSA</w:t>
      </w:r>
    </w:p>
    <w:tbl>
      <w:tblPr>
        <w:tblW w:w="7513"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1843"/>
        <w:gridCol w:w="5670"/>
      </w:tblGrid>
      <w:tr w:rsidR="0030537A" w:rsidRPr="006D46E5" w14:paraId="611BE4AB" w14:textId="77777777" w:rsidTr="00E91A27">
        <w:tc>
          <w:tcPr>
            <w:tcW w:w="1843" w:type="dxa"/>
            <w:shd w:val="clear" w:color="auto" w:fill="404040" w:themeFill="text1" w:themeFillTint="BF"/>
          </w:tcPr>
          <w:p w14:paraId="618B37CE" w14:textId="10B9FA19" w:rsidR="0030537A" w:rsidRPr="006D46E5" w:rsidRDefault="0030537A" w:rsidP="00E91A27">
            <w:pPr>
              <w:pStyle w:val="TableHeading0"/>
              <w:rPr>
                <w:rFonts w:cs="Arial"/>
                <w:color w:val="FFFFFF" w:themeColor="background1"/>
              </w:rPr>
            </w:pPr>
            <w:r>
              <w:rPr>
                <w:rFonts w:cs="Arial"/>
                <w:color w:val="FFFFFF" w:themeColor="background1"/>
              </w:rPr>
              <w:t>Broadcast is authorised by</w:t>
            </w:r>
          </w:p>
        </w:tc>
        <w:tc>
          <w:tcPr>
            <w:tcW w:w="5670" w:type="dxa"/>
            <w:shd w:val="clear" w:color="auto" w:fill="404040" w:themeFill="text1" w:themeFillTint="BF"/>
          </w:tcPr>
          <w:p w14:paraId="34E8C6B5" w14:textId="253A0D02" w:rsidR="0030537A" w:rsidRPr="006D46E5" w:rsidRDefault="0030537A" w:rsidP="00E91A27">
            <w:pPr>
              <w:pStyle w:val="TableHeading0"/>
              <w:rPr>
                <w:rFonts w:cs="Arial"/>
                <w:color w:val="FFFFFF" w:themeColor="background1"/>
              </w:rPr>
            </w:pPr>
            <w:r>
              <w:rPr>
                <w:rFonts w:cs="Arial"/>
                <w:color w:val="FFFFFF" w:themeColor="background1"/>
              </w:rPr>
              <w:t>Required particulars</w:t>
            </w:r>
          </w:p>
        </w:tc>
      </w:tr>
      <w:tr w:rsidR="0030537A" w:rsidRPr="006D46E5" w14:paraId="5A093F1D" w14:textId="77777777" w:rsidTr="00E91A27">
        <w:tc>
          <w:tcPr>
            <w:tcW w:w="1843" w:type="dxa"/>
            <w:tcBorders>
              <w:bottom w:val="single" w:sz="4" w:space="0" w:color="auto"/>
            </w:tcBorders>
          </w:tcPr>
          <w:p w14:paraId="062068F0" w14:textId="77777777" w:rsidR="0030537A" w:rsidRPr="006D46E5" w:rsidRDefault="0030537A" w:rsidP="00E91A27">
            <w:pPr>
              <w:pStyle w:val="TableBody"/>
              <w:rPr>
                <w:rFonts w:cs="Arial"/>
              </w:rPr>
            </w:pPr>
            <w:r w:rsidRPr="00137DE1">
              <w:rPr>
                <w:rFonts w:cs="Arial"/>
                <w:sz w:val="18"/>
                <w:szCs w:val="18"/>
              </w:rPr>
              <w:t>a disclosure entity that is not a natural person</w:t>
            </w:r>
          </w:p>
        </w:tc>
        <w:tc>
          <w:tcPr>
            <w:tcW w:w="5670" w:type="dxa"/>
            <w:tcBorders>
              <w:bottom w:val="single" w:sz="4" w:space="0" w:color="auto"/>
            </w:tcBorders>
          </w:tcPr>
          <w:p w14:paraId="2466797C" w14:textId="4BFB2B56" w:rsidR="0030537A" w:rsidRDefault="0030537A" w:rsidP="00E91A27">
            <w:pPr>
              <w:spacing w:after="120"/>
              <w:rPr>
                <w:rFonts w:cs="Arial"/>
                <w:sz w:val="18"/>
                <w:szCs w:val="18"/>
              </w:rPr>
            </w:pPr>
            <w:r w:rsidRPr="00137DE1">
              <w:rPr>
                <w:rFonts w:cs="Arial"/>
                <w:sz w:val="18"/>
                <w:szCs w:val="18"/>
              </w:rPr>
              <w:t>(</w:t>
            </w:r>
            <w:r>
              <w:rPr>
                <w:rFonts w:cs="Arial"/>
                <w:sz w:val="18"/>
                <w:szCs w:val="18"/>
              </w:rPr>
              <w:t>1</w:t>
            </w:r>
            <w:r w:rsidRPr="00137DE1">
              <w:rPr>
                <w:rFonts w:cs="Arial"/>
                <w:sz w:val="18"/>
                <w:szCs w:val="18"/>
              </w:rPr>
              <w:t xml:space="preserve">) </w:t>
            </w:r>
            <w:r w:rsidRPr="00096C27">
              <w:rPr>
                <w:rFonts w:cs="Arial"/>
                <w:sz w:val="18"/>
                <w:szCs w:val="18"/>
              </w:rPr>
              <w:t>(a) if the entity is a registered political party</w:t>
            </w:r>
            <w:r w:rsidR="00476DBE">
              <w:rPr>
                <w:rFonts w:cs="Arial"/>
                <w:sz w:val="18"/>
                <w:szCs w:val="18"/>
              </w:rPr>
              <w:t xml:space="preserve"> – </w:t>
            </w:r>
            <w:r w:rsidRPr="00096C27">
              <w:rPr>
                <w:rFonts w:cs="Arial"/>
                <w:sz w:val="18"/>
                <w:szCs w:val="18"/>
              </w:rPr>
              <w:t>the name of the</w:t>
            </w:r>
            <w:r>
              <w:rPr>
                <w:rFonts w:cs="Arial"/>
                <w:sz w:val="18"/>
                <w:szCs w:val="18"/>
              </w:rPr>
              <w:t xml:space="preserve"> </w:t>
            </w:r>
            <w:r w:rsidRPr="00096C27">
              <w:rPr>
                <w:rFonts w:cs="Arial"/>
                <w:sz w:val="18"/>
                <w:szCs w:val="18"/>
              </w:rPr>
              <w:t xml:space="preserve">party (the </w:t>
            </w:r>
            <w:r w:rsidRPr="00DD3617">
              <w:rPr>
                <w:rFonts w:cs="Arial"/>
                <w:sz w:val="18"/>
                <w:szCs w:val="18"/>
              </w:rPr>
              <w:t>registered name</w:t>
            </w:r>
            <w:r w:rsidRPr="00096C27">
              <w:rPr>
                <w:rFonts w:cs="Arial"/>
                <w:sz w:val="18"/>
                <w:szCs w:val="18"/>
              </w:rPr>
              <w:t>) that is entered in the Register of</w:t>
            </w:r>
            <w:r>
              <w:rPr>
                <w:rFonts w:cs="Arial"/>
                <w:sz w:val="18"/>
                <w:szCs w:val="18"/>
              </w:rPr>
              <w:t xml:space="preserve"> </w:t>
            </w:r>
            <w:r w:rsidRPr="00096C27">
              <w:rPr>
                <w:rFonts w:cs="Arial"/>
                <w:sz w:val="18"/>
                <w:szCs w:val="18"/>
              </w:rPr>
              <w:t xml:space="preserve">Political Parties under the </w:t>
            </w:r>
            <w:r w:rsidRPr="0096465E">
              <w:rPr>
                <w:rFonts w:cs="Arial"/>
                <w:sz w:val="18"/>
                <w:szCs w:val="18"/>
              </w:rPr>
              <w:t>Commonwealth Electoral Act</w:t>
            </w:r>
            <w:r w:rsidRPr="00E14FCE">
              <w:rPr>
                <w:rFonts w:cs="Arial"/>
                <w:sz w:val="18"/>
                <w:szCs w:val="18"/>
              </w:rPr>
              <w:t xml:space="preserve"> </w:t>
            </w:r>
            <w:r w:rsidRPr="00096C27">
              <w:rPr>
                <w:rFonts w:cs="Arial"/>
                <w:sz w:val="18"/>
                <w:szCs w:val="18"/>
              </w:rPr>
              <w:t>or that name omitting any of the following:</w:t>
            </w:r>
          </w:p>
          <w:p w14:paraId="0A4F49AA" w14:textId="54621989" w:rsidR="0030537A" w:rsidRPr="00096C27" w:rsidRDefault="0030537A" w:rsidP="00E91A27">
            <w:pPr>
              <w:spacing w:after="120"/>
              <w:ind w:left="599" w:hanging="284"/>
              <w:rPr>
                <w:rFonts w:cs="Arial"/>
                <w:sz w:val="18"/>
                <w:szCs w:val="18"/>
              </w:rPr>
            </w:pPr>
            <w:r w:rsidRPr="00096C27">
              <w:rPr>
                <w:rFonts w:cs="Arial"/>
                <w:sz w:val="18"/>
                <w:szCs w:val="18"/>
              </w:rPr>
              <w:t xml:space="preserve">(i) </w:t>
            </w:r>
            <w:r>
              <w:rPr>
                <w:rFonts w:cs="Arial"/>
                <w:sz w:val="18"/>
                <w:szCs w:val="18"/>
              </w:rPr>
              <w:t xml:space="preserve"> </w:t>
            </w:r>
            <w:r w:rsidRPr="00096C27">
              <w:rPr>
                <w:rFonts w:cs="Arial"/>
                <w:sz w:val="18"/>
                <w:szCs w:val="18"/>
              </w:rPr>
              <w:t>if the registered name includes both a word or phrase</w:t>
            </w:r>
            <w:r>
              <w:rPr>
                <w:rFonts w:cs="Arial"/>
                <w:sz w:val="18"/>
                <w:szCs w:val="18"/>
              </w:rPr>
              <w:t xml:space="preserve"> </w:t>
            </w:r>
            <w:r w:rsidRPr="00096C27">
              <w:rPr>
                <w:rFonts w:cs="Arial"/>
                <w:sz w:val="18"/>
                <w:szCs w:val="18"/>
              </w:rPr>
              <w:t>and its abbreviation</w:t>
            </w:r>
            <w:r w:rsidR="00476DBE">
              <w:rPr>
                <w:rFonts w:cs="Arial"/>
                <w:sz w:val="18"/>
                <w:szCs w:val="18"/>
              </w:rPr>
              <w:t xml:space="preserve"> – </w:t>
            </w:r>
            <w:r w:rsidRPr="00096C27">
              <w:rPr>
                <w:rFonts w:cs="Arial"/>
                <w:sz w:val="18"/>
                <w:szCs w:val="18"/>
              </w:rPr>
              <w:t>the abbreviation;</w:t>
            </w:r>
          </w:p>
          <w:p w14:paraId="1EC9BA67" w14:textId="0A25E109" w:rsidR="0030537A" w:rsidRPr="00096C27" w:rsidRDefault="0030537A" w:rsidP="00E91A27">
            <w:pPr>
              <w:spacing w:after="120"/>
              <w:ind w:left="599" w:hanging="284"/>
              <w:rPr>
                <w:rFonts w:cs="Arial"/>
                <w:sz w:val="18"/>
                <w:szCs w:val="18"/>
              </w:rPr>
            </w:pPr>
            <w:r w:rsidRPr="00096C27">
              <w:rPr>
                <w:rFonts w:cs="Arial"/>
                <w:sz w:val="18"/>
                <w:szCs w:val="18"/>
              </w:rPr>
              <w:t xml:space="preserve">(ii) if the registered name includes </w:t>
            </w:r>
            <w:r w:rsidR="00476DBE">
              <w:rPr>
                <w:rFonts w:cs="Arial"/>
                <w:sz w:val="18"/>
                <w:szCs w:val="18"/>
              </w:rPr>
              <w:t>‘</w:t>
            </w:r>
            <w:r w:rsidRPr="00096C27">
              <w:rPr>
                <w:rFonts w:cs="Arial"/>
                <w:sz w:val="18"/>
                <w:szCs w:val="18"/>
              </w:rPr>
              <w:t>Incorporated</w:t>
            </w:r>
            <w:r w:rsidR="00476DBE">
              <w:rPr>
                <w:rFonts w:cs="Arial"/>
                <w:sz w:val="18"/>
                <w:szCs w:val="18"/>
              </w:rPr>
              <w:t>’</w:t>
            </w:r>
            <w:r w:rsidRPr="00096C27">
              <w:rPr>
                <w:rFonts w:cs="Arial"/>
                <w:sz w:val="18"/>
                <w:szCs w:val="18"/>
              </w:rPr>
              <w:t xml:space="preserve"> or an</w:t>
            </w:r>
            <w:r>
              <w:rPr>
                <w:rFonts w:cs="Arial"/>
                <w:sz w:val="18"/>
                <w:szCs w:val="18"/>
              </w:rPr>
              <w:t xml:space="preserve"> </w:t>
            </w:r>
            <w:r w:rsidRPr="00096C27">
              <w:rPr>
                <w:rFonts w:cs="Arial"/>
                <w:sz w:val="18"/>
                <w:szCs w:val="18"/>
              </w:rPr>
              <w:t>abbreviation of that word</w:t>
            </w:r>
            <w:r w:rsidR="00476DBE">
              <w:rPr>
                <w:rFonts w:cs="Arial"/>
                <w:sz w:val="18"/>
                <w:szCs w:val="18"/>
              </w:rPr>
              <w:t xml:space="preserve"> – </w:t>
            </w:r>
            <w:r w:rsidRPr="00096C27">
              <w:rPr>
                <w:rFonts w:cs="Arial"/>
                <w:sz w:val="18"/>
                <w:szCs w:val="18"/>
              </w:rPr>
              <w:t>that word or its</w:t>
            </w:r>
            <w:r>
              <w:rPr>
                <w:rFonts w:cs="Arial"/>
                <w:sz w:val="18"/>
                <w:szCs w:val="18"/>
              </w:rPr>
              <w:t xml:space="preserve"> </w:t>
            </w:r>
            <w:r w:rsidRPr="00096C27">
              <w:rPr>
                <w:rFonts w:cs="Arial"/>
                <w:sz w:val="18"/>
                <w:szCs w:val="18"/>
              </w:rPr>
              <w:t>abbreviation;</w:t>
            </w:r>
          </w:p>
          <w:p w14:paraId="3C00CB5F" w14:textId="06BC1C3E" w:rsidR="0030537A" w:rsidRPr="00096C27" w:rsidRDefault="0030537A" w:rsidP="00E91A27">
            <w:pPr>
              <w:spacing w:after="120"/>
              <w:ind w:left="599" w:hanging="284"/>
              <w:rPr>
                <w:rFonts w:cs="Arial"/>
                <w:sz w:val="18"/>
                <w:szCs w:val="18"/>
              </w:rPr>
            </w:pPr>
            <w:r w:rsidRPr="00096C27">
              <w:rPr>
                <w:rFonts w:cs="Arial"/>
                <w:sz w:val="18"/>
                <w:szCs w:val="18"/>
              </w:rPr>
              <w:t xml:space="preserve">(iii) if the registered name includes </w:t>
            </w:r>
            <w:r w:rsidR="00476DBE">
              <w:rPr>
                <w:rFonts w:cs="Arial"/>
                <w:sz w:val="18"/>
                <w:szCs w:val="18"/>
              </w:rPr>
              <w:t>‘</w:t>
            </w:r>
            <w:r w:rsidRPr="00096C27">
              <w:rPr>
                <w:rFonts w:cs="Arial"/>
                <w:sz w:val="18"/>
                <w:szCs w:val="18"/>
              </w:rPr>
              <w:t>of Australia</w:t>
            </w:r>
            <w:r w:rsidR="00476DBE">
              <w:rPr>
                <w:rFonts w:cs="Arial"/>
                <w:sz w:val="18"/>
                <w:szCs w:val="18"/>
              </w:rPr>
              <w:t xml:space="preserve">’ – </w:t>
            </w:r>
            <w:r w:rsidRPr="00096C27">
              <w:rPr>
                <w:rFonts w:cs="Arial"/>
                <w:sz w:val="18"/>
                <w:szCs w:val="18"/>
              </w:rPr>
              <w:t>those</w:t>
            </w:r>
            <w:r>
              <w:rPr>
                <w:rFonts w:cs="Arial"/>
                <w:sz w:val="18"/>
                <w:szCs w:val="18"/>
              </w:rPr>
              <w:t xml:space="preserve"> </w:t>
            </w:r>
            <w:r w:rsidRPr="00096C27">
              <w:rPr>
                <w:rFonts w:cs="Arial"/>
                <w:sz w:val="18"/>
                <w:szCs w:val="18"/>
              </w:rPr>
              <w:t>words;</w:t>
            </w:r>
          </w:p>
          <w:p w14:paraId="0586E012" w14:textId="363AFD06" w:rsidR="0030537A" w:rsidRPr="00096C27" w:rsidRDefault="0030537A" w:rsidP="00E91A27">
            <w:pPr>
              <w:spacing w:after="120"/>
              <w:ind w:left="599" w:hanging="284"/>
              <w:rPr>
                <w:rFonts w:cs="Arial"/>
                <w:sz w:val="18"/>
                <w:szCs w:val="18"/>
              </w:rPr>
            </w:pPr>
            <w:r w:rsidRPr="00096C27">
              <w:rPr>
                <w:rFonts w:cs="Arial"/>
                <w:sz w:val="18"/>
                <w:szCs w:val="18"/>
              </w:rPr>
              <w:t xml:space="preserve">(iv) if the registered name ends with </w:t>
            </w:r>
            <w:r w:rsidR="00476DBE">
              <w:rPr>
                <w:rFonts w:cs="Arial"/>
                <w:sz w:val="18"/>
                <w:szCs w:val="18"/>
              </w:rPr>
              <w:t>‘</w:t>
            </w:r>
            <w:r w:rsidRPr="00096C27">
              <w:rPr>
                <w:rFonts w:cs="Arial"/>
                <w:sz w:val="18"/>
                <w:szCs w:val="18"/>
              </w:rPr>
              <w:t>Australia</w:t>
            </w:r>
            <w:r w:rsidR="00476DBE">
              <w:rPr>
                <w:rFonts w:cs="Arial"/>
                <w:sz w:val="18"/>
                <w:szCs w:val="18"/>
              </w:rPr>
              <w:t xml:space="preserve">’ – </w:t>
            </w:r>
            <w:r w:rsidRPr="00096C27">
              <w:rPr>
                <w:rFonts w:cs="Arial"/>
                <w:sz w:val="18"/>
                <w:szCs w:val="18"/>
              </w:rPr>
              <w:t>that</w:t>
            </w:r>
            <w:r>
              <w:rPr>
                <w:rFonts w:cs="Arial"/>
                <w:sz w:val="18"/>
                <w:szCs w:val="18"/>
              </w:rPr>
              <w:t xml:space="preserve"> </w:t>
            </w:r>
            <w:r w:rsidRPr="00096C27">
              <w:rPr>
                <w:rFonts w:cs="Arial"/>
                <w:sz w:val="18"/>
                <w:szCs w:val="18"/>
              </w:rPr>
              <w:t>word;</w:t>
            </w:r>
          </w:p>
          <w:p w14:paraId="224EBCE0" w14:textId="43E54CB3" w:rsidR="0030537A" w:rsidRPr="00096C27" w:rsidRDefault="0030537A" w:rsidP="00E91A27">
            <w:pPr>
              <w:spacing w:after="120"/>
              <w:ind w:left="599" w:hanging="284"/>
              <w:rPr>
                <w:rFonts w:cs="Arial"/>
                <w:sz w:val="18"/>
                <w:szCs w:val="18"/>
              </w:rPr>
            </w:pPr>
            <w:r w:rsidRPr="00096C27">
              <w:rPr>
                <w:rFonts w:cs="Arial"/>
                <w:sz w:val="18"/>
                <w:szCs w:val="18"/>
              </w:rPr>
              <w:t>(v) if the entity is a registered branch or division of a</w:t>
            </w:r>
            <w:r>
              <w:rPr>
                <w:rFonts w:cs="Arial"/>
                <w:sz w:val="18"/>
                <w:szCs w:val="18"/>
              </w:rPr>
              <w:t xml:space="preserve"> </w:t>
            </w:r>
            <w:r w:rsidRPr="00096C27">
              <w:rPr>
                <w:rFonts w:cs="Arial"/>
                <w:sz w:val="18"/>
                <w:szCs w:val="18"/>
              </w:rPr>
              <w:t>registered political party</w:t>
            </w:r>
            <w:r w:rsidR="00476DBE">
              <w:rPr>
                <w:rFonts w:cs="Arial"/>
                <w:sz w:val="18"/>
                <w:szCs w:val="18"/>
              </w:rPr>
              <w:t xml:space="preserve"> – </w:t>
            </w:r>
            <w:r w:rsidRPr="00096C27">
              <w:rPr>
                <w:rFonts w:cs="Arial"/>
                <w:sz w:val="18"/>
                <w:szCs w:val="18"/>
              </w:rPr>
              <w:t>the words indicating the</w:t>
            </w:r>
            <w:r>
              <w:rPr>
                <w:rFonts w:cs="Arial"/>
                <w:sz w:val="18"/>
                <w:szCs w:val="18"/>
              </w:rPr>
              <w:t xml:space="preserve"> </w:t>
            </w:r>
            <w:r w:rsidRPr="00096C27">
              <w:rPr>
                <w:rFonts w:cs="Arial"/>
                <w:sz w:val="18"/>
                <w:szCs w:val="18"/>
              </w:rPr>
              <w:t>name of the branch or division; or</w:t>
            </w:r>
          </w:p>
          <w:p w14:paraId="41B0A8E7" w14:textId="16265AD6" w:rsidR="0030537A" w:rsidRPr="00096C27" w:rsidRDefault="0030537A" w:rsidP="00E91A27">
            <w:pPr>
              <w:spacing w:after="120"/>
              <w:rPr>
                <w:rFonts w:cs="Arial"/>
                <w:sz w:val="18"/>
                <w:szCs w:val="18"/>
              </w:rPr>
            </w:pPr>
            <w:r>
              <w:rPr>
                <w:rFonts w:cs="Arial"/>
                <w:sz w:val="18"/>
                <w:szCs w:val="18"/>
              </w:rPr>
              <w:t xml:space="preserve">    </w:t>
            </w:r>
            <w:r w:rsidRPr="00096C27">
              <w:rPr>
                <w:rFonts w:cs="Arial"/>
                <w:sz w:val="18"/>
                <w:szCs w:val="18"/>
              </w:rPr>
              <w:t>(b) if the entity is a disclosure entity (but not a registered</w:t>
            </w:r>
            <w:r>
              <w:rPr>
                <w:rFonts w:cs="Arial"/>
                <w:sz w:val="18"/>
                <w:szCs w:val="18"/>
              </w:rPr>
              <w:t xml:space="preserve"> </w:t>
            </w:r>
            <w:r w:rsidRPr="00096C27">
              <w:rPr>
                <w:rFonts w:cs="Arial"/>
                <w:sz w:val="18"/>
                <w:szCs w:val="18"/>
              </w:rPr>
              <w:t>political party)</w:t>
            </w:r>
            <w:r w:rsidR="00476DBE">
              <w:rPr>
                <w:rFonts w:cs="Arial"/>
                <w:sz w:val="18"/>
                <w:szCs w:val="18"/>
              </w:rPr>
              <w:t xml:space="preserve"> – </w:t>
            </w:r>
            <w:r w:rsidRPr="00096C27">
              <w:rPr>
                <w:rFonts w:cs="Arial"/>
                <w:sz w:val="18"/>
                <w:szCs w:val="18"/>
              </w:rPr>
              <w:t>the name of the entity entered on the</w:t>
            </w:r>
            <w:r>
              <w:rPr>
                <w:rFonts w:cs="Arial"/>
                <w:sz w:val="18"/>
                <w:szCs w:val="18"/>
              </w:rPr>
              <w:t xml:space="preserve"> </w:t>
            </w:r>
            <w:r w:rsidRPr="00096C27">
              <w:rPr>
                <w:rFonts w:cs="Arial"/>
                <w:sz w:val="18"/>
                <w:szCs w:val="18"/>
              </w:rPr>
              <w:t xml:space="preserve">Transparency Register under the </w:t>
            </w:r>
            <w:r w:rsidRPr="0096465E">
              <w:rPr>
                <w:rFonts w:cs="Arial"/>
                <w:sz w:val="18"/>
                <w:szCs w:val="18"/>
              </w:rPr>
              <w:t>Commonwealth Electoral Act</w:t>
            </w:r>
            <w:r w:rsidRPr="00E14FCE">
              <w:rPr>
                <w:rFonts w:cs="Arial"/>
                <w:sz w:val="18"/>
                <w:szCs w:val="18"/>
              </w:rPr>
              <w:t>;</w:t>
            </w:r>
            <w:r w:rsidRPr="00096C27">
              <w:rPr>
                <w:rFonts w:cs="Arial"/>
                <w:sz w:val="18"/>
                <w:szCs w:val="18"/>
              </w:rPr>
              <w:t xml:space="preserve"> or</w:t>
            </w:r>
          </w:p>
          <w:p w14:paraId="314C835B" w14:textId="29B0AA5D" w:rsidR="0030537A" w:rsidRPr="00096C27" w:rsidRDefault="0030537A" w:rsidP="00E91A27">
            <w:pPr>
              <w:spacing w:after="120"/>
              <w:rPr>
                <w:rFonts w:cs="Arial"/>
                <w:sz w:val="18"/>
                <w:szCs w:val="18"/>
              </w:rPr>
            </w:pPr>
            <w:r>
              <w:rPr>
                <w:rFonts w:cs="Arial"/>
                <w:sz w:val="18"/>
                <w:szCs w:val="18"/>
              </w:rPr>
              <w:t xml:space="preserve">   </w:t>
            </w:r>
            <w:r w:rsidRPr="00096C27">
              <w:rPr>
                <w:rFonts w:cs="Arial"/>
                <w:sz w:val="18"/>
                <w:szCs w:val="18"/>
              </w:rPr>
              <w:t>(c) if the entity is not an entity covered by paragraph (a) or (b)</w:t>
            </w:r>
            <w:r>
              <w:rPr>
                <w:rFonts w:cs="Arial"/>
                <w:sz w:val="18"/>
                <w:szCs w:val="18"/>
              </w:rPr>
              <w:t xml:space="preserve"> </w:t>
            </w:r>
            <w:r w:rsidRPr="00096C27">
              <w:rPr>
                <w:rFonts w:cs="Arial"/>
                <w:sz w:val="18"/>
                <w:szCs w:val="18"/>
              </w:rPr>
              <w:t>and a return has been given under Part XX of the</w:t>
            </w:r>
            <w:r>
              <w:rPr>
                <w:rFonts w:cs="Arial"/>
                <w:sz w:val="18"/>
                <w:szCs w:val="18"/>
              </w:rPr>
              <w:t xml:space="preserve"> </w:t>
            </w:r>
            <w:r w:rsidRPr="0096465E">
              <w:rPr>
                <w:rFonts w:cs="Arial"/>
                <w:sz w:val="18"/>
                <w:szCs w:val="18"/>
              </w:rPr>
              <w:t>Commonwealth Electoral Act</w:t>
            </w:r>
            <w:r w:rsidRPr="00096C27">
              <w:rPr>
                <w:rFonts w:cs="Arial"/>
                <w:sz w:val="18"/>
                <w:szCs w:val="18"/>
              </w:rPr>
              <w:t xml:space="preserve"> in relation to the entity</w:t>
            </w:r>
            <w:r w:rsidR="00476DBE">
              <w:rPr>
                <w:rFonts w:cs="Arial"/>
                <w:sz w:val="18"/>
                <w:szCs w:val="18"/>
              </w:rPr>
              <w:t xml:space="preserve"> – </w:t>
            </w:r>
            <w:r w:rsidRPr="00096C27">
              <w:rPr>
                <w:rFonts w:cs="Arial"/>
                <w:sz w:val="18"/>
                <w:szCs w:val="18"/>
              </w:rPr>
              <w:t>the name included in the most recent return given in relation</w:t>
            </w:r>
            <w:r>
              <w:rPr>
                <w:rFonts w:cs="Arial"/>
                <w:sz w:val="18"/>
                <w:szCs w:val="18"/>
              </w:rPr>
              <w:t xml:space="preserve"> </w:t>
            </w:r>
            <w:r w:rsidRPr="00096C27">
              <w:rPr>
                <w:rFonts w:cs="Arial"/>
                <w:sz w:val="18"/>
                <w:szCs w:val="18"/>
              </w:rPr>
              <w:t>to the entity; or</w:t>
            </w:r>
          </w:p>
          <w:p w14:paraId="5F5800F0" w14:textId="1D01D0A5" w:rsidR="0030537A" w:rsidRPr="00096C27" w:rsidRDefault="0030537A" w:rsidP="00E91A27">
            <w:pPr>
              <w:spacing w:after="120"/>
              <w:rPr>
                <w:rFonts w:cs="Arial"/>
                <w:sz w:val="18"/>
                <w:szCs w:val="18"/>
              </w:rPr>
            </w:pPr>
            <w:r>
              <w:rPr>
                <w:rFonts w:cs="Arial"/>
                <w:sz w:val="18"/>
                <w:szCs w:val="18"/>
              </w:rPr>
              <w:t xml:space="preserve">    </w:t>
            </w:r>
            <w:r w:rsidRPr="00096C27">
              <w:rPr>
                <w:rFonts w:cs="Arial"/>
                <w:sz w:val="18"/>
                <w:szCs w:val="18"/>
              </w:rPr>
              <w:t>(d) in any other case</w:t>
            </w:r>
            <w:r w:rsidR="00476DBE">
              <w:rPr>
                <w:rFonts w:cs="Arial"/>
                <w:sz w:val="18"/>
                <w:szCs w:val="18"/>
              </w:rPr>
              <w:t xml:space="preserve"> – </w:t>
            </w:r>
            <w:r w:rsidRPr="00096C27">
              <w:rPr>
                <w:rFonts w:cs="Arial"/>
                <w:sz w:val="18"/>
                <w:szCs w:val="18"/>
              </w:rPr>
              <w:t>the name of the entity.</w:t>
            </w:r>
          </w:p>
          <w:p w14:paraId="4E28F0F2" w14:textId="5029B153" w:rsidR="0030537A" w:rsidRPr="00B325C4" w:rsidRDefault="0030537A" w:rsidP="00E91A27">
            <w:pPr>
              <w:spacing w:after="120"/>
              <w:rPr>
                <w:rFonts w:cs="Arial"/>
                <w:sz w:val="16"/>
                <w:szCs w:val="16"/>
              </w:rPr>
            </w:pPr>
            <w:r w:rsidRPr="00B325C4">
              <w:rPr>
                <w:rFonts w:cs="Arial"/>
                <w:sz w:val="16"/>
                <w:szCs w:val="16"/>
              </w:rPr>
              <w:t>Note: For example, under paragraph (a) the registered name “Quokka Party of Australia Inc.—NSW” may be notified as “Quokka Party”</w:t>
            </w:r>
          </w:p>
          <w:p w14:paraId="13B05420" w14:textId="25FB8C52" w:rsidR="0030537A" w:rsidRPr="00137DE1" w:rsidRDefault="0030537A" w:rsidP="00E91A27">
            <w:pPr>
              <w:spacing w:after="120"/>
              <w:rPr>
                <w:rFonts w:cs="Arial"/>
                <w:sz w:val="18"/>
                <w:szCs w:val="18"/>
              </w:rPr>
            </w:pPr>
            <w:r w:rsidRPr="00137DE1">
              <w:rPr>
                <w:rFonts w:cs="Arial"/>
                <w:sz w:val="18"/>
                <w:szCs w:val="18"/>
              </w:rPr>
              <w:t>(</w:t>
            </w:r>
            <w:r>
              <w:rPr>
                <w:rFonts w:cs="Arial"/>
                <w:sz w:val="18"/>
                <w:szCs w:val="18"/>
              </w:rPr>
              <w:t>2</w:t>
            </w:r>
            <w:r w:rsidRPr="00137DE1">
              <w:rPr>
                <w:rFonts w:cs="Arial"/>
                <w:sz w:val="18"/>
                <w:szCs w:val="18"/>
              </w:rPr>
              <w:t>) the relevant town or city of the entity</w:t>
            </w:r>
          </w:p>
          <w:p w14:paraId="6E980BCA" w14:textId="42E5C9A7" w:rsidR="0030537A" w:rsidRPr="006D46E5" w:rsidRDefault="0030537A" w:rsidP="00E91A27">
            <w:pPr>
              <w:pStyle w:val="TableBody"/>
              <w:rPr>
                <w:rFonts w:cs="Arial"/>
              </w:rPr>
            </w:pPr>
            <w:r w:rsidRPr="00137DE1">
              <w:rPr>
                <w:rFonts w:cs="Arial"/>
                <w:sz w:val="18"/>
                <w:szCs w:val="18"/>
              </w:rPr>
              <w:t>(</w:t>
            </w:r>
            <w:r>
              <w:rPr>
                <w:rFonts w:cs="Arial"/>
                <w:sz w:val="18"/>
                <w:szCs w:val="18"/>
              </w:rPr>
              <w:t>3</w:t>
            </w:r>
            <w:r w:rsidRPr="00137DE1">
              <w:rPr>
                <w:rFonts w:cs="Arial"/>
                <w:sz w:val="18"/>
                <w:szCs w:val="18"/>
              </w:rPr>
              <w:t>) the name of the natural person responsible for giving effect to the authorisation</w:t>
            </w:r>
            <w:r>
              <w:rPr>
                <w:rFonts w:cs="Arial"/>
                <w:sz w:val="18"/>
                <w:szCs w:val="18"/>
              </w:rPr>
              <w:t>.</w:t>
            </w:r>
          </w:p>
        </w:tc>
      </w:tr>
      <w:tr w:rsidR="0030537A" w:rsidRPr="006D46E5" w14:paraId="6CF8DDA0" w14:textId="77777777" w:rsidTr="00E91A27">
        <w:tc>
          <w:tcPr>
            <w:tcW w:w="1843" w:type="dxa"/>
            <w:shd w:val="clear" w:color="auto" w:fill="F2F2F2" w:themeFill="background1" w:themeFillShade="F2"/>
          </w:tcPr>
          <w:p w14:paraId="2FC729C2" w14:textId="77777777" w:rsidR="0030537A" w:rsidRPr="00A662AB" w:rsidRDefault="0030537A" w:rsidP="00E91A27">
            <w:pPr>
              <w:pStyle w:val="TableBody"/>
              <w:rPr>
                <w:rFonts w:cs="Arial"/>
                <w:sz w:val="18"/>
                <w:szCs w:val="18"/>
              </w:rPr>
            </w:pPr>
            <w:r w:rsidRPr="00137DE1">
              <w:rPr>
                <w:rFonts w:cs="Arial"/>
                <w:sz w:val="18"/>
                <w:szCs w:val="18"/>
              </w:rPr>
              <w:t xml:space="preserve">a disclosure entity </w:t>
            </w:r>
            <w:r>
              <w:rPr>
                <w:rFonts w:cs="Arial"/>
                <w:sz w:val="18"/>
                <w:szCs w:val="18"/>
              </w:rPr>
              <w:t>that is</w:t>
            </w:r>
            <w:r w:rsidRPr="00137DE1">
              <w:rPr>
                <w:rFonts w:cs="Arial"/>
                <w:sz w:val="18"/>
                <w:szCs w:val="18"/>
              </w:rPr>
              <w:t xml:space="preserve"> a natural person</w:t>
            </w:r>
          </w:p>
        </w:tc>
        <w:tc>
          <w:tcPr>
            <w:tcW w:w="5670" w:type="dxa"/>
            <w:shd w:val="clear" w:color="auto" w:fill="F2F2F2" w:themeFill="background1" w:themeFillShade="F2"/>
          </w:tcPr>
          <w:p w14:paraId="0699B260" w14:textId="6C505C5B" w:rsidR="0030537A" w:rsidRPr="00137DE1" w:rsidRDefault="0030537A" w:rsidP="00E91A27">
            <w:pPr>
              <w:spacing w:after="120"/>
              <w:rPr>
                <w:rFonts w:cs="Arial"/>
                <w:sz w:val="18"/>
                <w:szCs w:val="18"/>
              </w:rPr>
            </w:pPr>
            <w:r w:rsidRPr="00137DE1">
              <w:rPr>
                <w:rFonts w:cs="Arial"/>
                <w:sz w:val="18"/>
                <w:szCs w:val="18"/>
              </w:rPr>
              <w:t>(</w:t>
            </w:r>
            <w:r>
              <w:rPr>
                <w:rFonts w:cs="Arial"/>
                <w:sz w:val="18"/>
                <w:szCs w:val="18"/>
              </w:rPr>
              <w:t>1</w:t>
            </w:r>
            <w:r w:rsidRPr="00137DE1">
              <w:rPr>
                <w:rFonts w:cs="Arial"/>
                <w:sz w:val="18"/>
                <w:szCs w:val="18"/>
              </w:rPr>
              <w:t>) the name of the person</w:t>
            </w:r>
          </w:p>
          <w:p w14:paraId="515CB782" w14:textId="4D9603C5" w:rsidR="0030537A" w:rsidRPr="00137DE1" w:rsidRDefault="0030537A" w:rsidP="00E91A27">
            <w:pPr>
              <w:spacing w:after="120"/>
              <w:rPr>
                <w:rFonts w:cs="Arial"/>
                <w:sz w:val="18"/>
                <w:szCs w:val="18"/>
              </w:rPr>
            </w:pPr>
            <w:r w:rsidRPr="00137DE1">
              <w:rPr>
                <w:rFonts w:cs="Arial"/>
                <w:sz w:val="18"/>
                <w:szCs w:val="18"/>
              </w:rPr>
              <w:t>(</w:t>
            </w:r>
            <w:r>
              <w:rPr>
                <w:rFonts w:cs="Arial"/>
                <w:sz w:val="18"/>
                <w:szCs w:val="18"/>
              </w:rPr>
              <w:t>2</w:t>
            </w:r>
            <w:r w:rsidRPr="00137DE1">
              <w:rPr>
                <w:rFonts w:cs="Arial"/>
                <w:sz w:val="18"/>
                <w:szCs w:val="18"/>
              </w:rPr>
              <w:t xml:space="preserve">) the town or city </w:t>
            </w:r>
            <w:r>
              <w:rPr>
                <w:rFonts w:cs="Arial"/>
                <w:sz w:val="18"/>
                <w:szCs w:val="18"/>
              </w:rPr>
              <w:t xml:space="preserve">in which the </w:t>
            </w:r>
            <w:r w:rsidRPr="00137DE1">
              <w:rPr>
                <w:rFonts w:cs="Arial"/>
                <w:sz w:val="18"/>
                <w:szCs w:val="18"/>
              </w:rPr>
              <w:t>person lives</w:t>
            </w:r>
            <w:r>
              <w:rPr>
                <w:rFonts w:cs="Arial"/>
                <w:sz w:val="18"/>
                <w:szCs w:val="18"/>
              </w:rPr>
              <w:t>.</w:t>
            </w:r>
          </w:p>
        </w:tc>
      </w:tr>
      <w:tr w:rsidR="0030537A" w:rsidRPr="006D46E5" w14:paraId="73CBB341" w14:textId="77777777" w:rsidTr="00E91A27">
        <w:tc>
          <w:tcPr>
            <w:tcW w:w="1843" w:type="dxa"/>
            <w:shd w:val="clear" w:color="auto" w:fill="FFFFFF" w:themeFill="background1"/>
          </w:tcPr>
          <w:p w14:paraId="225B3671" w14:textId="77777777" w:rsidR="0030537A" w:rsidRPr="006D46E5" w:rsidRDefault="0030537A" w:rsidP="00E91A27">
            <w:pPr>
              <w:pStyle w:val="TableBody"/>
              <w:rPr>
                <w:rFonts w:cs="Arial"/>
              </w:rPr>
            </w:pPr>
            <w:r w:rsidRPr="00A662AB">
              <w:rPr>
                <w:rFonts w:cs="Arial"/>
                <w:sz w:val="18"/>
                <w:szCs w:val="18"/>
              </w:rPr>
              <w:t xml:space="preserve">any other entity </w:t>
            </w:r>
            <w:r>
              <w:rPr>
                <w:rFonts w:cs="Arial"/>
                <w:sz w:val="18"/>
                <w:szCs w:val="18"/>
              </w:rPr>
              <w:t>(that is not a disclosure entity or a natural person)</w:t>
            </w:r>
          </w:p>
        </w:tc>
        <w:tc>
          <w:tcPr>
            <w:tcW w:w="5670" w:type="dxa"/>
            <w:shd w:val="clear" w:color="auto" w:fill="FFFFFF" w:themeFill="background1"/>
          </w:tcPr>
          <w:p w14:paraId="20445582" w14:textId="3CA56888" w:rsidR="0030537A" w:rsidRPr="00137DE1" w:rsidRDefault="0030537A" w:rsidP="00E91A27">
            <w:pPr>
              <w:spacing w:after="120"/>
              <w:rPr>
                <w:rFonts w:cs="Arial"/>
                <w:sz w:val="18"/>
                <w:szCs w:val="18"/>
              </w:rPr>
            </w:pPr>
            <w:r w:rsidRPr="00137DE1">
              <w:rPr>
                <w:rFonts w:cs="Arial"/>
                <w:sz w:val="18"/>
                <w:szCs w:val="18"/>
              </w:rPr>
              <w:t>(</w:t>
            </w:r>
            <w:r>
              <w:rPr>
                <w:rFonts w:cs="Arial"/>
                <w:sz w:val="18"/>
                <w:szCs w:val="18"/>
              </w:rPr>
              <w:t>1</w:t>
            </w:r>
            <w:r w:rsidRPr="00137DE1">
              <w:rPr>
                <w:rFonts w:cs="Arial"/>
                <w:sz w:val="18"/>
                <w:szCs w:val="18"/>
              </w:rPr>
              <w:t xml:space="preserve">) the name of the </w:t>
            </w:r>
            <w:r>
              <w:rPr>
                <w:rFonts w:cs="Arial"/>
                <w:sz w:val="18"/>
                <w:szCs w:val="18"/>
              </w:rPr>
              <w:t>entity</w:t>
            </w:r>
          </w:p>
          <w:p w14:paraId="78912880" w14:textId="7AE2D541" w:rsidR="0030537A" w:rsidRPr="006D46E5" w:rsidRDefault="0030537A" w:rsidP="00E91A27">
            <w:pPr>
              <w:pStyle w:val="TableBody"/>
              <w:rPr>
                <w:rFonts w:cs="Arial"/>
              </w:rPr>
            </w:pPr>
            <w:r w:rsidRPr="00137DE1">
              <w:rPr>
                <w:rFonts w:cs="Arial"/>
                <w:sz w:val="18"/>
                <w:szCs w:val="18"/>
              </w:rPr>
              <w:t>(</w:t>
            </w:r>
            <w:r>
              <w:rPr>
                <w:rFonts w:cs="Arial"/>
                <w:sz w:val="18"/>
                <w:szCs w:val="18"/>
              </w:rPr>
              <w:t>2</w:t>
            </w:r>
            <w:r w:rsidRPr="00137DE1">
              <w:rPr>
                <w:rFonts w:cs="Arial"/>
                <w:sz w:val="18"/>
                <w:szCs w:val="18"/>
              </w:rPr>
              <w:t xml:space="preserve">) the </w:t>
            </w:r>
            <w:r>
              <w:rPr>
                <w:rFonts w:cs="Arial"/>
                <w:sz w:val="18"/>
                <w:szCs w:val="18"/>
              </w:rPr>
              <w:t xml:space="preserve">relevant </w:t>
            </w:r>
            <w:r w:rsidRPr="00137DE1">
              <w:rPr>
                <w:rFonts w:cs="Arial"/>
                <w:sz w:val="18"/>
                <w:szCs w:val="18"/>
              </w:rPr>
              <w:t xml:space="preserve">town or city </w:t>
            </w:r>
            <w:r>
              <w:rPr>
                <w:rFonts w:cs="Arial"/>
                <w:sz w:val="18"/>
                <w:szCs w:val="18"/>
              </w:rPr>
              <w:t>of the entity.</w:t>
            </w:r>
          </w:p>
        </w:tc>
      </w:tr>
      <w:tr w:rsidR="0030537A" w:rsidRPr="006D46E5" w14:paraId="7152EAC5" w14:textId="77777777" w:rsidTr="00E91A27">
        <w:tc>
          <w:tcPr>
            <w:tcW w:w="1843" w:type="dxa"/>
            <w:shd w:val="clear" w:color="auto" w:fill="F2F2F2" w:themeFill="background1" w:themeFillShade="F2"/>
          </w:tcPr>
          <w:p w14:paraId="68A8AF16" w14:textId="77777777" w:rsidR="0030537A" w:rsidRPr="00A662AB" w:rsidRDefault="0030537A" w:rsidP="00E91A27">
            <w:pPr>
              <w:pStyle w:val="TableBody"/>
              <w:rPr>
                <w:rFonts w:cs="Arial"/>
                <w:sz w:val="18"/>
                <w:szCs w:val="18"/>
              </w:rPr>
            </w:pPr>
            <w:r w:rsidRPr="00137DE1">
              <w:rPr>
                <w:rFonts w:cs="Arial"/>
                <w:sz w:val="18"/>
                <w:szCs w:val="18"/>
              </w:rPr>
              <w:t>a natural person</w:t>
            </w:r>
            <w:r>
              <w:rPr>
                <w:rFonts w:cs="Arial"/>
                <w:sz w:val="18"/>
                <w:szCs w:val="18"/>
              </w:rPr>
              <w:t xml:space="preserve"> (who is not a disclosure entity)</w:t>
            </w:r>
          </w:p>
        </w:tc>
        <w:tc>
          <w:tcPr>
            <w:tcW w:w="5670" w:type="dxa"/>
            <w:shd w:val="clear" w:color="auto" w:fill="F2F2F2" w:themeFill="background1" w:themeFillShade="F2"/>
          </w:tcPr>
          <w:p w14:paraId="2A51BD2E" w14:textId="5123F4B0" w:rsidR="0030537A" w:rsidRPr="00540F15" w:rsidRDefault="0030537A" w:rsidP="00E91A27">
            <w:pPr>
              <w:spacing w:after="120"/>
              <w:rPr>
                <w:rFonts w:cs="Arial"/>
                <w:sz w:val="18"/>
                <w:szCs w:val="18"/>
              </w:rPr>
            </w:pPr>
            <w:r w:rsidRPr="00540F15">
              <w:rPr>
                <w:rFonts w:cs="Arial"/>
                <w:sz w:val="18"/>
                <w:szCs w:val="18"/>
              </w:rPr>
              <w:t>(</w:t>
            </w:r>
            <w:r>
              <w:rPr>
                <w:rFonts w:cs="Arial"/>
                <w:sz w:val="18"/>
                <w:szCs w:val="18"/>
              </w:rPr>
              <w:t>1</w:t>
            </w:r>
            <w:r w:rsidRPr="00540F15">
              <w:rPr>
                <w:rFonts w:cs="Arial"/>
                <w:sz w:val="18"/>
                <w:szCs w:val="18"/>
              </w:rPr>
              <w:t>) the name of the person</w:t>
            </w:r>
          </w:p>
          <w:p w14:paraId="1CD34D8D" w14:textId="7AC2E1C7" w:rsidR="0030537A" w:rsidRPr="00137DE1" w:rsidRDefault="0030537A" w:rsidP="0096465E">
            <w:pPr>
              <w:spacing w:after="0"/>
              <w:rPr>
                <w:rFonts w:cs="Arial"/>
                <w:sz w:val="18"/>
                <w:szCs w:val="18"/>
              </w:rPr>
            </w:pPr>
            <w:r w:rsidRPr="00540F15">
              <w:rPr>
                <w:rFonts w:cs="Arial"/>
                <w:sz w:val="18"/>
                <w:szCs w:val="18"/>
              </w:rPr>
              <w:t>(</w:t>
            </w:r>
            <w:r>
              <w:rPr>
                <w:rFonts w:cs="Arial"/>
                <w:sz w:val="18"/>
                <w:szCs w:val="18"/>
              </w:rPr>
              <w:t>2</w:t>
            </w:r>
            <w:r w:rsidRPr="00540F15">
              <w:rPr>
                <w:rFonts w:cs="Arial"/>
                <w:sz w:val="18"/>
                <w:szCs w:val="18"/>
              </w:rPr>
              <w:t>) the town or city in which the person lives</w:t>
            </w:r>
            <w:r>
              <w:rPr>
                <w:rFonts w:cs="Arial"/>
                <w:sz w:val="18"/>
                <w:szCs w:val="18"/>
              </w:rPr>
              <w:t xml:space="preserve">. </w:t>
            </w:r>
          </w:p>
        </w:tc>
      </w:tr>
    </w:tbl>
    <w:p w14:paraId="15056B86" w14:textId="77777777" w:rsidR="0030537A" w:rsidRPr="00BF1BC5" w:rsidRDefault="0030537A" w:rsidP="0096465E">
      <w:pPr>
        <w:pStyle w:val="Paragraphbeforelist"/>
      </w:pPr>
      <w:r>
        <w:lastRenderedPageBreak/>
        <w:t>T</w:t>
      </w:r>
      <w:r w:rsidRPr="00BF1BC5">
        <w:t>he required particulars refer to specific terms:</w:t>
      </w:r>
    </w:p>
    <w:p w14:paraId="0BFAB326" w14:textId="77777777" w:rsidR="0030537A" w:rsidRPr="00E14FCE" w:rsidRDefault="0030537A" w:rsidP="00E14FCE">
      <w:pPr>
        <w:pStyle w:val="ListBullet"/>
      </w:pPr>
      <w:r>
        <w:t>d</w:t>
      </w:r>
      <w:r w:rsidRPr="00BF1BC5">
        <w:t>isclosure</w:t>
      </w:r>
      <w:r w:rsidRPr="00E14FCE">
        <w:t xml:space="preserve"> entity</w:t>
      </w:r>
    </w:p>
    <w:p w14:paraId="2BB76683" w14:textId="77777777" w:rsidR="0030537A" w:rsidRDefault="0030537A" w:rsidP="00E14FCE">
      <w:pPr>
        <w:pStyle w:val="ListBullet"/>
      </w:pPr>
      <w:r w:rsidRPr="00E14FCE">
        <w:t>authorises</w:t>
      </w:r>
    </w:p>
    <w:p w14:paraId="35E481CA" w14:textId="77777777" w:rsidR="0030537A" w:rsidRDefault="0030537A" w:rsidP="0096465E">
      <w:pPr>
        <w:pStyle w:val="ListBulletLast"/>
      </w:pPr>
      <w:r>
        <w:t>relevant town or city.</w:t>
      </w:r>
    </w:p>
    <w:p w14:paraId="1A53DFD4" w14:textId="77777777" w:rsidR="0030537A" w:rsidRDefault="0030537A" w:rsidP="0096465E">
      <w:r>
        <w:t>These terms are each discussed below.</w:t>
      </w:r>
    </w:p>
    <w:p w14:paraId="0C43E612" w14:textId="77777777" w:rsidR="0030537A" w:rsidRPr="005C6BBC" w:rsidRDefault="0030537A" w:rsidP="0030537A">
      <w:pPr>
        <w:pStyle w:val="Heading2"/>
      </w:pPr>
      <w:bookmarkStart w:id="42" w:name="_Toc96344049"/>
      <w:bookmarkStart w:id="43" w:name="_Toc97799983"/>
      <w:r w:rsidRPr="005C6BBC">
        <w:t xml:space="preserve">What </w:t>
      </w:r>
      <w:r>
        <w:t>is a</w:t>
      </w:r>
      <w:r w:rsidRPr="005C6BBC">
        <w:t xml:space="preserve"> </w:t>
      </w:r>
      <w:r>
        <w:t>‘</w:t>
      </w:r>
      <w:r w:rsidRPr="005C6BBC">
        <w:t>disclosure entit</w:t>
      </w:r>
      <w:r>
        <w:t>y’</w:t>
      </w:r>
      <w:r w:rsidRPr="005C6BBC">
        <w:t>?</w:t>
      </w:r>
      <w:bookmarkEnd w:id="42"/>
      <w:bookmarkEnd w:id="43"/>
    </w:p>
    <w:p w14:paraId="23DDF3DE" w14:textId="1FC159A7" w:rsidR="0030537A" w:rsidRPr="009C1D02" w:rsidRDefault="0030537A" w:rsidP="0030537A">
      <w:pPr>
        <w:spacing w:after="80"/>
        <w:rPr>
          <w:rFonts w:cs="Arial"/>
          <w:szCs w:val="20"/>
          <w:shd w:val="clear" w:color="auto" w:fill="FFFFFF"/>
        </w:rPr>
      </w:pPr>
      <w:r w:rsidRPr="009C1D02">
        <w:rPr>
          <w:rFonts w:cs="Arial"/>
          <w:szCs w:val="20"/>
          <w:shd w:val="clear" w:color="auto" w:fill="FFFFFF"/>
        </w:rPr>
        <w:t xml:space="preserve">A ‘disclosure entity’ is defined in the BSA with reference to </w:t>
      </w:r>
      <w:r w:rsidRPr="009C1D02">
        <w:rPr>
          <w:shd w:val="clear" w:color="auto" w:fill="FFFFFF"/>
        </w:rPr>
        <w:t xml:space="preserve">section 321B of </w:t>
      </w:r>
      <w:r w:rsidRPr="009C1D02">
        <w:rPr>
          <w:rFonts w:cs="Arial"/>
          <w:szCs w:val="20"/>
          <w:shd w:val="clear" w:color="auto" w:fill="FFFFFF"/>
        </w:rPr>
        <w:t xml:space="preserve">the </w:t>
      </w:r>
      <w:r w:rsidRPr="0096465E">
        <w:rPr>
          <w:rFonts w:cs="Arial"/>
          <w:szCs w:val="20"/>
          <w:shd w:val="clear" w:color="auto" w:fill="FFFFFF"/>
        </w:rPr>
        <w:t>Commonwealth Electoral Act</w:t>
      </w:r>
      <w:r w:rsidRPr="009C1D02">
        <w:rPr>
          <w:rFonts w:cs="Arial"/>
          <w:i/>
          <w:iCs/>
          <w:szCs w:val="20"/>
          <w:shd w:val="clear" w:color="auto" w:fill="FFFFFF"/>
        </w:rPr>
        <w:t xml:space="preserve"> </w:t>
      </w:r>
      <w:r w:rsidRPr="009C1D02">
        <w:rPr>
          <w:rFonts w:cs="Arial"/>
          <w:szCs w:val="20"/>
          <w:shd w:val="clear" w:color="auto" w:fill="FFFFFF"/>
        </w:rPr>
        <w:t xml:space="preserve">and </w:t>
      </w:r>
      <w:r w:rsidRPr="009C1D02">
        <w:rPr>
          <w:shd w:val="clear" w:color="auto" w:fill="FFFFFF"/>
        </w:rPr>
        <w:t xml:space="preserve">section 110 of </w:t>
      </w:r>
      <w:r w:rsidRPr="009C1D02">
        <w:rPr>
          <w:rFonts w:cs="Arial"/>
          <w:szCs w:val="20"/>
          <w:shd w:val="clear" w:color="auto" w:fill="FFFFFF"/>
        </w:rPr>
        <w:t xml:space="preserve">the </w:t>
      </w:r>
      <w:r w:rsidRPr="009C1D02">
        <w:rPr>
          <w:rFonts w:cs="Arial"/>
          <w:i/>
          <w:iCs/>
          <w:szCs w:val="20"/>
          <w:shd w:val="clear" w:color="auto" w:fill="FFFFFF"/>
        </w:rPr>
        <w:t>Referendum (Machinery Provisions) Act 1984</w:t>
      </w:r>
      <w:r w:rsidR="00E14FCE">
        <w:rPr>
          <w:rFonts w:cs="Arial"/>
          <w:szCs w:val="20"/>
          <w:shd w:val="clear" w:color="auto" w:fill="FFFFFF"/>
        </w:rPr>
        <w:t xml:space="preserve">. It </w:t>
      </w:r>
      <w:r w:rsidRPr="009C1D02">
        <w:rPr>
          <w:rFonts w:cs="Arial"/>
          <w:szCs w:val="20"/>
          <w:shd w:val="clear" w:color="auto" w:fill="FFFFFF"/>
        </w:rPr>
        <w:t xml:space="preserve">includes: </w:t>
      </w:r>
    </w:p>
    <w:p w14:paraId="14E14F63" w14:textId="5FF972D8" w:rsidR="0030537A" w:rsidRPr="009C1D02" w:rsidRDefault="0030537A" w:rsidP="0030537A">
      <w:pPr>
        <w:pStyle w:val="ListBullet"/>
        <w:rPr>
          <w:shd w:val="clear" w:color="auto" w:fill="FFFFFF"/>
        </w:rPr>
      </w:pPr>
      <w:r w:rsidRPr="009C1D02">
        <w:rPr>
          <w:shd w:val="clear" w:color="auto" w:fill="FFFFFF"/>
        </w:rPr>
        <w:t xml:space="preserve">a registered political party (as registered under </w:t>
      </w:r>
      <w:r>
        <w:rPr>
          <w:shd w:val="clear" w:color="auto" w:fill="FFFFFF"/>
        </w:rPr>
        <w:t xml:space="preserve">Part XI of </w:t>
      </w:r>
      <w:r w:rsidRPr="009C1D02">
        <w:rPr>
          <w:shd w:val="clear" w:color="auto" w:fill="FFFFFF"/>
        </w:rPr>
        <w:t xml:space="preserve">the </w:t>
      </w:r>
      <w:r w:rsidRPr="0096465E">
        <w:rPr>
          <w:shd w:val="clear" w:color="auto" w:fill="FFFFFF"/>
        </w:rPr>
        <w:t>Commonwealth Electoral Act</w:t>
      </w:r>
      <w:r w:rsidRPr="009C1D02">
        <w:rPr>
          <w:iCs/>
          <w:shd w:val="clear" w:color="auto" w:fill="FFFFFF"/>
        </w:rPr>
        <w:t>)</w:t>
      </w:r>
    </w:p>
    <w:p w14:paraId="22AF443C" w14:textId="6B579AB7" w:rsidR="0030537A" w:rsidRPr="009C1D02" w:rsidRDefault="0030537A" w:rsidP="0030537A">
      <w:pPr>
        <w:pStyle w:val="ListBullet"/>
        <w:rPr>
          <w:i/>
          <w:shd w:val="clear" w:color="auto" w:fill="FFFFFF"/>
        </w:rPr>
      </w:pPr>
      <w:r w:rsidRPr="009C1D02">
        <w:rPr>
          <w:shd w:val="clear" w:color="auto" w:fill="FFFFFF"/>
        </w:rPr>
        <w:t xml:space="preserve">a </w:t>
      </w:r>
      <w:r>
        <w:rPr>
          <w:shd w:val="clear" w:color="auto" w:fill="FFFFFF"/>
        </w:rPr>
        <w:t>significant third party</w:t>
      </w:r>
      <w:r w:rsidRPr="009C1D02">
        <w:rPr>
          <w:shd w:val="clear" w:color="auto" w:fill="FFFFFF"/>
        </w:rPr>
        <w:t>, which is a person or entity that is registered under section 287L of the</w:t>
      </w:r>
      <w:r w:rsidRPr="009C1D02">
        <w:rPr>
          <w:i/>
          <w:shd w:val="clear" w:color="auto" w:fill="FFFFFF"/>
        </w:rPr>
        <w:t xml:space="preserve"> </w:t>
      </w:r>
      <w:r w:rsidRPr="0096465E">
        <w:rPr>
          <w:iCs/>
          <w:shd w:val="clear" w:color="auto" w:fill="FFFFFF"/>
        </w:rPr>
        <w:t>Commonwealth Electoral Act</w:t>
      </w:r>
    </w:p>
    <w:p w14:paraId="38D97F46" w14:textId="1FF875A1" w:rsidR="0030537A" w:rsidRPr="009C1D02" w:rsidRDefault="0030537A" w:rsidP="0030537A">
      <w:pPr>
        <w:pStyle w:val="ListBullet"/>
        <w:rPr>
          <w:i/>
          <w:shd w:val="clear" w:color="auto" w:fill="FFFFFF"/>
        </w:rPr>
      </w:pPr>
      <w:r w:rsidRPr="009C1D02">
        <w:rPr>
          <w:shd w:val="clear" w:color="auto" w:fill="FFFFFF"/>
        </w:rPr>
        <w:t>a third party, which is a person or entity that incurs electoral expenditure during the financial year that is more than the indexed disclosure threshold</w:t>
      </w:r>
      <w:r w:rsidRPr="009C1D02">
        <w:rPr>
          <w:rStyle w:val="FootnoteReference"/>
          <w:rFonts w:cs="Arial"/>
          <w:szCs w:val="20"/>
        </w:rPr>
        <w:footnoteReference w:id="3"/>
      </w:r>
      <w:r>
        <w:rPr>
          <w:shd w:val="clear" w:color="auto" w:fill="FFFFFF"/>
        </w:rPr>
        <w:t xml:space="preserve"> and </w:t>
      </w:r>
      <w:r w:rsidR="00EC6723">
        <w:rPr>
          <w:shd w:val="clear" w:color="auto" w:fill="FFFFFF"/>
        </w:rPr>
        <w:t xml:space="preserve">that </w:t>
      </w:r>
      <w:r>
        <w:rPr>
          <w:shd w:val="clear" w:color="auto" w:fill="FFFFFF"/>
        </w:rPr>
        <w:t>is not required to be registered as a significant third party</w:t>
      </w:r>
      <w:r w:rsidRPr="009C1D02">
        <w:t xml:space="preserve"> </w:t>
      </w:r>
    </w:p>
    <w:p w14:paraId="0AF4733B" w14:textId="3B5DFCF6" w:rsidR="0030537A" w:rsidRPr="009C1D02" w:rsidRDefault="0030537A" w:rsidP="0030537A">
      <w:pPr>
        <w:pStyle w:val="ListBullet"/>
        <w:rPr>
          <w:shd w:val="clear" w:color="auto" w:fill="FFFFFF"/>
        </w:rPr>
      </w:pPr>
      <w:r w:rsidRPr="009C1D02">
        <w:rPr>
          <w:shd w:val="clear" w:color="auto" w:fill="FFFFFF"/>
        </w:rPr>
        <w:t>an associated entity (which is defined in section 287</w:t>
      </w:r>
      <w:r>
        <w:rPr>
          <w:shd w:val="clear" w:color="auto" w:fill="FFFFFF"/>
        </w:rPr>
        <w:t>H</w:t>
      </w:r>
      <w:r w:rsidRPr="009C1D02">
        <w:rPr>
          <w:shd w:val="clear" w:color="auto" w:fill="FFFFFF"/>
        </w:rPr>
        <w:t xml:space="preserve"> of the </w:t>
      </w:r>
      <w:r w:rsidRPr="0096465E">
        <w:rPr>
          <w:shd w:val="clear" w:color="auto" w:fill="FFFFFF"/>
        </w:rPr>
        <w:t>Commonwealth Electoral Act</w:t>
      </w:r>
      <w:r w:rsidRPr="00E14FCE">
        <w:rPr>
          <w:shd w:val="clear" w:color="auto" w:fill="FFFFFF"/>
        </w:rPr>
        <w:t>)</w:t>
      </w:r>
      <w:r w:rsidRPr="009C1D02">
        <w:rPr>
          <w:shd w:val="clear" w:color="auto" w:fill="FFFFFF"/>
        </w:rPr>
        <w:t xml:space="preserve"> as an entity that is registered as an associated entity under section 287L of that </w:t>
      </w:r>
      <w:r>
        <w:rPr>
          <w:shd w:val="clear" w:color="auto" w:fill="FFFFFF"/>
        </w:rPr>
        <w:t>A</w:t>
      </w:r>
      <w:r w:rsidRPr="009C1D02">
        <w:rPr>
          <w:shd w:val="clear" w:color="auto" w:fill="FFFFFF"/>
        </w:rPr>
        <w:t>ct and includes entities that are controlled by one or more registered political parties operationally, financially or through voting rights.</w:t>
      </w:r>
      <w:r>
        <w:rPr>
          <w:rStyle w:val="FootnoteReference"/>
          <w:shd w:val="clear" w:color="auto" w:fill="FFFFFF"/>
        </w:rPr>
        <w:footnoteReference w:id="4"/>
      </w:r>
      <w:r w:rsidRPr="009C1D02">
        <w:rPr>
          <w:shd w:val="clear" w:color="auto" w:fill="FFFFFF"/>
        </w:rPr>
        <w:t xml:space="preserve"> Examples of associated entities include </w:t>
      </w:r>
      <w:r>
        <w:rPr>
          <w:shd w:val="clear" w:color="auto" w:fill="FFFFFF"/>
        </w:rPr>
        <w:t>‘</w:t>
      </w:r>
      <w:r w:rsidRPr="009C1D02">
        <w:rPr>
          <w:shd w:val="clear" w:color="auto" w:fill="FFFFFF"/>
        </w:rPr>
        <w:t>think tanks</w:t>
      </w:r>
      <w:r>
        <w:rPr>
          <w:shd w:val="clear" w:color="auto" w:fill="FFFFFF"/>
        </w:rPr>
        <w:t>’</w:t>
      </w:r>
      <w:r w:rsidRPr="009C1D02">
        <w:rPr>
          <w:shd w:val="clear" w:color="auto" w:fill="FFFFFF"/>
        </w:rPr>
        <w:t xml:space="preserve">, registered clubs, service companies, trade unions and corporate party members </w:t>
      </w:r>
    </w:p>
    <w:p w14:paraId="5EF546E5" w14:textId="77777777" w:rsidR="0030537A" w:rsidRPr="009C1D02" w:rsidRDefault="0030537A" w:rsidP="0030537A">
      <w:pPr>
        <w:pStyle w:val="ListParagraph"/>
        <w:numPr>
          <w:ilvl w:val="0"/>
          <w:numId w:val="20"/>
        </w:numPr>
        <w:spacing w:after="80" w:line="240" w:lineRule="atLeast"/>
        <w:ind w:left="295" w:hanging="295"/>
        <w:contextualSpacing w:val="0"/>
        <w:rPr>
          <w:rFonts w:ascii="Arial" w:eastAsia="Times New Roman" w:hAnsi="Arial" w:cs="Arial"/>
          <w:sz w:val="20"/>
          <w:szCs w:val="20"/>
          <w:shd w:val="clear" w:color="auto" w:fill="FFFFFF"/>
        </w:rPr>
      </w:pPr>
      <w:r w:rsidRPr="009C1D02">
        <w:rPr>
          <w:rFonts w:ascii="Arial" w:eastAsia="Times New Roman" w:hAnsi="Arial" w:cs="Arial"/>
          <w:sz w:val="20"/>
          <w:szCs w:val="20"/>
          <w:shd w:val="clear" w:color="auto" w:fill="FFFFFF"/>
        </w:rPr>
        <w:t xml:space="preserve">current members of the Parliament of the Commonwealth </w:t>
      </w:r>
    </w:p>
    <w:p w14:paraId="02AD9C55" w14:textId="77777777" w:rsidR="0030537A" w:rsidRPr="009C1D02" w:rsidRDefault="0030537A" w:rsidP="0030537A">
      <w:pPr>
        <w:pStyle w:val="ListParagraph"/>
        <w:numPr>
          <w:ilvl w:val="0"/>
          <w:numId w:val="20"/>
        </w:numPr>
        <w:spacing w:after="80" w:line="240" w:lineRule="atLeast"/>
        <w:ind w:left="295" w:hanging="295"/>
        <w:contextualSpacing w:val="0"/>
        <w:rPr>
          <w:rFonts w:ascii="Arial" w:eastAsia="Times New Roman" w:hAnsi="Arial" w:cs="Arial"/>
          <w:sz w:val="20"/>
          <w:szCs w:val="20"/>
          <w:shd w:val="clear" w:color="auto" w:fill="FFFFFF"/>
        </w:rPr>
      </w:pPr>
      <w:r w:rsidRPr="009C1D02">
        <w:rPr>
          <w:rFonts w:ascii="Arial" w:eastAsia="Times New Roman" w:hAnsi="Arial" w:cs="Arial"/>
          <w:sz w:val="20"/>
          <w:szCs w:val="20"/>
          <w:shd w:val="clear" w:color="auto" w:fill="FFFFFF"/>
        </w:rPr>
        <w:t>candidates for an election to the Parliament of the Commonwealth</w:t>
      </w:r>
      <w:r>
        <w:rPr>
          <w:rStyle w:val="FootnoteReference"/>
          <w:rFonts w:eastAsia="Times New Roman" w:cs="Arial"/>
          <w:sz w:val="20"/>
          <w:szCs w:val="20"/>
          <w:shd w:val="clear" w:color="auto" w:fill="FFFFFF"/>
        </w:rPr>
        <w:footnoteReference w:id="5"/>
      </w:r>
      <w:r w:rsidRPr="009C1D02">
        <w:rPr>
          <w:rFonts w:ascii="Arial" w:eastAsia="Times New Roman" w:hAnsi="Arial" w:cs="Arial"/>
          <w:sz w:val="20"/>
          <w:szCs w:val="20"/>
          <w:shd w:val="clear" w:color="auto" w:fill="FFFFFF"/>
        </w:rPr>
        <w:t xml:space="preserve"> </w:t>
      </w:r>
    </w:p>
    <w:p w14:paraId="595313E3" w14:textId="6B30C05E" w:rsidR="0030537A" w:rsidRPr="009C1D02" w:rsidRDefault="0030537A" w:rsidP="0030537A">
      <w:pPr>
        <w:pStyle w:val="ListParagraph"/>
        <w:numPr>
          <w:ilvl w:val="0"/>
          <w:numId w:val="20"/>
        </w:numPr>
        <w:spacing w:after="80" w:line="240" w:lineRule="atLeast"/>
        <w:ind w:left="295" w:hanging="295"/>
        <w:contextualSpacing w:val="0"/>
        <w:rPr>
          <w:rFonts w:ascii="Arial" w:eastAsia="Times New Roman" w:hAnsi="Arial" w:cs="Arial"/>
          <w:sz w:val="20"/>
          <w:szCs w:val="20"/>
          <w:shd w:val="clear" w:color="auto" w:fill="FFFFFF"/>
        </w:rPr>
      </w:pPr>
      <w:r w:rsidRPr="009C1D02">
        <w:rPr>
          <w:rFonts w:ascii="Arial" w:eastAsia="Times New Roman" w:hAnsi="Arial" w:cs="Arial"/>
          <w:sz w:val="20"/>
          <w:szCs w:val="20"/>
          <w:shd w:val="clear" w:color="auto" w:fill="FFFFFF"/>
        </w:rPr>
        <w:t xml:space="preserve">other persons and entities </w:t>
      </w:r>
      <w:r w:rsidR="00EC6723">
        <w:rPr>
          <w:rFonts w:ascii="Arial" w:eastAsia="Times New Roman" w:hAnsi="Arial" w:cs="Arial"/>
          <w:sz w:val="20"/>
          <w:szCs w:val="20"/>
          <w:shd w:val="clear" w:color="auto" w:fill="FFFFFF"/>
        </w:rPr>
        <w:t>that</w:t>
      </w:r>
      <w:r w:rsidR="00EC6723" w:rsidRPr="009C1D02">
        <w:rPr>
          <w:rFonts w:ascii="Arial" w:eastAsia="Times New Roman" w:hAnsi="Arial" w:cs="Arial"/>
          <w:sz w:val="20"/>
          <w:szCs w:val="20"/>
          <w:shd w:val="clear" w:color="auto" w:fill="FFFFFF"/>
        </w:rPr>
        <w:t xml:space="preserve"> </w:t>
      </w:r>
      <w:r w:rsidRPr="009C1D02">
        <w:rPr>
          <w:rFonts w:ascii="Arial" w:eastAsia="Times New Roman" w:hAnsi="Arial" w:cs="Arial"/>
          <w:sz w:val="20"/>
          <w:szCs w:val="20"/>
          <w:shd w:val="clear" w:color="auto" w:fill="FFFFFF"/>
        </w:rPr>
        <w:t>have to lodge returns with the AEC in relation to gifts</w:t>
      </w:r>
      <w:r w:rsidRPr="009C1D02">
        <w:rPr>
          <w:rFonts w:ascii="Arial" w:eastAsia="Times New Roman" w:hAnsi="Arial" w:cs="Arial"/>
          <w:sz w:val="20"/>
          <w:szCs w:val="20"/>
        </w:rPr>
        <w:t>.</w:t>
      </w:r>
      <w:r w:rsidRPr="009C1D02">
        <w:rPr>
          <w:rStyle w:val="FootnoteReference"/>
          <w:rFonts w:eastAsia="Times New Roman" w:cs="Arial"/>
          <w:sz w:val="20"/>
          <w:szCs w:val="20"/>
        </w:rPr>
        <w:footnoteReference w:id="6"/>
      </w:r>
      <w:r w:rsidRPr="009C1D02">
        <w:rPr>
          <w:rFonts w:ascii="Arial" w:eastAsia="Times New Roman" w:hAnsi="Arial" w:cs="Arial"/>
          <w:sz w:val="20"/>
          <w:szCs w:val="20"/>
        </w:rPr>
        <w:t xml:space="preserve"> </w:t>
      </w:r>
    </w:p>
    <w:p w14:paraId="632ECF58" w14:textId="05B79A96" w:rsidR="0030537A" w:rsidRDefault="0030537A" w:rsidP="0030537A">
      <w:pPr>
        <w:spacing w:before="240"/>
      </w:pPr>
      <w:r w:rsidRPr="007A0368">
        <w:t>Annual financial disclosure returns</w:t>
      </w:r>
      <w:r w:rsidR="00EC6723">
        <w:t xml:space="preserve"> – </w:t>
      </w:r>
      <w:r w:rsidRPr="007A0368">
        <w:t>available for public inspection</w:t>
      </w:r>
      <w:r w:rsidR="00EC6723">
        <w:t xml:space="preserve"> – </w:t>
      </w:r>
      <w:r w:rsidRPr="007A0368">
        <w:t xml:space="preserve">can be accessed </w:t>
      </w:r>
      <w:r>
        <w:t xml:space="preserve">on the </w:t>
      </w:r>
      <w:hyperlink r:id="rId31" w:history="1">
        <w:r w:rsidRPr="00EF6865">
          <w:rPr>
            <w:rStyle w:val="Hyperlink"/>
          </w:rPr>
          <w:t>AEC website</w:t>
        </w:r>
      </w:hyperlink>
      <w:r w:rsidRPr="007A0368">
        <w:t>.</w:t>
      </w:r>
    </w:p>
    <w:p w14:paraId="15D558AF" w14:textId="77777777" w:rsidR="0030537A" w:rsidRDefault="0030537A" w:rsidP="0030537A">
      <w:pPr>
        <w:pStyle w:val="Heading2"/>
      </w:pPr>
      <w:bookmarkStart w:id="44" w:name="_Toc96344050"/>
      <w:bookmarkStart w:id="45" w:name="_Toc97799984"/>
      <w:r>
        <w:t xml:space="preserve">Who </w:t>
      </w:r>
      <w:r w:rsidRPr="00F90BF8">
        <w:t>‘a</w:t>
      </w:r>
      <w:r>
        <w:t>uthorises</w:t>
      </w:r>
      <w:r w:rsidRPr="00F90BF8">
        <w:t>’</w:t>
      </w:r>
      <w:r>
        <w:t xml:space="preserve"> the broadcast of political matter?</w:t>
      </w:r>
      <w:bookmarkEnd w:id="44"/>
      <w:bookmarkEnd w:id="45"/>
    </w:p>
    <w:p w14:paraId="34B7F2C3" w14:textId="77777777" w:rsidR="0030537A" w:rsidRPr="007A0368" w:rsidRDefault="0030537A" w:rsidP="0030537A">
      <w:r w:rsidRPr="007A0368">
        <w:t>A person authorises the broadcasting of political matter only if the person is responsible for approval of the content and the decision to present it for broadcasting</w:t>
      </w:r>
      <w:r>
        <w:t xml:space="preserve"> (s</w:t>
      </w:r>
      <w:r w:rsidRPr="007A0368">
        <w:t>ubclause 4(</w:t>
      </w:r>
      <w:r>
        <w:t>4</w:t>
      </w:r>
      <w:r w:rsidRPr="007A0368">
        <w:t>)</w:t>
      </w:r>
      <w:r>
        <w:t xml:space="preserve"> of Schedule 2 to the BSA)</w:t>
      </w:r>
      <w:r w:rsidRPr="007A0368">
        <w:t>.</w:t>
      </w:r>
    </w:p>
    <w:p w14:paraId="0FE8FDBB" w14:textId="77777777" w:rsidR="0030537A" w:rsidRDefault="0030537A" w:rsidP="000743A4">
      <w:pPr>
        <w:pStyle w:val="Heading2"/>
        <w:keepLines/>
        <w:rPr>
          <w:highlight w:val="yellow"/>
        </w:rPr>
      </w:pPr>
      <w:bookmarkStart w:id="46" w:name="_Toc96344051"/>
      <w:bookmarkStart w:id="47" w:name="_Toc97799985"/>
      <w:r w:rsidRPr="00500BC6">
        <w:lastRenderedPageBreak/>
        <w:t>Ab</w:t>
      </w:r>
      <w:r>
        <w:t>bre</w:t>
      </w:r>
      <w:r w:rsidRPr="00500BC6">
        <w:t>viations</w:t>
      </w:r>
      <w:bookmarkEnd w:id="46"/>
      <w:bookmarkEnd w:id="47"/>
    </w:p>
    <w:p w14:paraId="785AAF12" w14:textId="6FF76A4A" w:rsidR="0030537A" w:rsidRPr="00CD42F9" w:rsidRDefault="0030537A" w:rsidP="000743A4">
      <w:pPr>
        <w:pStyle w:val="ListBullet"/>
        <w:keepNext/>
        <w:keepLines/>
        <w:numPr>
          <w:ilvl w:val="0"/>
          <w:numId w:val="0"/>
        </w:numPr>
        <w:rPr>
          <w:shd w:val="clear" w:color="auto" w:fill="FFFFFF"/>
        </w:rPr>
      </w:pPr>
      <w:r>
        <w:t xml:space="preserve">If an abbreviation of the name of a registered political party that has a registered branch or division, or a branch or division of a registered political party is entered in the Register of Political Parties under the </w:t>
      </w:r>
      <w:r w:rsidRPr="0096465E">
        <w:t>Commonwealth Electoral Act</w:t>
      </w:r>
      <w:r>
        <w:rPr>
          <w:i/>
          <w:iCs/>
        </w:rPr>
        <w:t>,</w:t>
      </w:r>
      <w:r>
        <w:t xml:space="preserve"> then the required particulars are taken to be either </w:t>
      </w:r>
      <w:r w:rsidRPr="00CD42F9">
        <w:rPr>
          <w:shd w:val="clear" w:color="auto" w:fill="FFFFFF"/>
        </w:rPr>
        <w:t xml:space="preserve">the particulars referred to in </w:t>
      </w:r>
      <w:r>
        <w:rPr>
          <w:shd w:val="clear" w:color="auto" w:fill="FFFFFF"/>
        </w:rPr>
        <w:t xml:space="preserve">paragraph 1(3)(a) of Schedule 2 to the BSA (summarised above in the first row of Table 1), </w:t>
      </w:r>
      <w:r w:rsidRPr="00CD42F9">
        <w:rPr>
          <w:shd w:val="clear" w:color="auto" w:fill="FFFFFF"/>
        </w:rPr>
        <w:t>or</w:t>
      </w:r>
      <w:r>
        <w:rPr>
          <w:shd w:val="clear" w:color="auto" w:fill="FFFFFF"/>
        </w:rPr>
        <w:t xml:space="preserve"> the</w:t>
      </w:r>
      <w:r w:rsidRPr="00CD42F9">
        <w:rPr>
          <w:shd w:val="clear" w:color="auto" w:fill="FFFFFF"/>
        </w:rPr>
        <w:t xml:space="preserve"> </w:t>
      </w:r>
      <w:r>
        <w:rPr>
          <w:shd w:val="clear" w:color="auto" w:fill="FFFFFF"/>
        </w:rPr>
        <w:t xml:space="preserve">relevant </w:t>
      </w:r>
      <w:r w:rsidRPr="00CD42F9">
        <w:rPr>
          <w:shd w:val="clear" w:color="auto" w:fill="FFFFFF"/>
        </w:rPr>
        <w:t>abbreviation</w:t>
      </w:r>
      <w:r>
        <w:rPr>
          <w:shd w:val="clear" w:color="auto" w:fill="FFFFFF"/>
        </w:rPr>
        <w:t xml:space="preserve"> entered in the </w:t>
      </w:r>
      <w:r w:rsidR="00EC6723">
        <w:rPr>
          <w:shd w:val="clear" w:color="auto" w:fill="FFFFFF"/>
        </w:rPr>
        <w:t>r</w:t>
      </w:r>
      <w:r>
        <w:rPr>
          <w:shd w:val="clear" w:color="auto" w:fill="FFFFFF"/>
        </w:rPr>
        <w:t>egister</w:t>
      </w:r>
      <w:r w:rsidRPr="00CD42F9">
        <w:rPr>
          <w:shd w:val="clear" w:color="auto" w:fill="FFFFFF"/>
        </w:rPr>
        <w:t>.</w:t>
      </w:r>
    </w:p>
    <w:p w14:paraId="49FB31F6" w14:textId="77777777" w:rsidR="0030537A" w:rsidRDefault="0030537A" w:rsidP="0030537A">
      <w:pPr>
        <w:pStyle w:val="Heading2"/>
      </w:pPr>
      <w:bookmarkStart w:id="48" w:name="_Toc96344052"/>
      <w:bookmarkStart w:id="49" w:name="_Toc97799986"/>
      <w:r>
        <w:t>What is the ‘relevant town or city’?</w:t>
      </w:r>
      <w:bookmarkEnd w:id="48"/>
      <w:bookmarkEnd w:id="49"/>
    </w:p>
    <w:p w14:paraId="44B87DEA" w14:textId="77777777" w:rsidR="0030537A" w:rsidRPr="004D0420" w:rsidRDefault="0030537A" w:rsidP="0030537A">
      <w:pPr>
        <w:spacing w:after="80"/>
        <w:rPr>
          <w:rFonts w:cs="Arial"/>
          <w:szCs w:val="20"/>
        </w:rPr>
      </w:pPr>
      <w:r>
        <w:t>The ‘relevant town or city’ of an entity that authorised the broadcast of political matter is:</w:t>
      </w:r>
    </w:p>
    <w:p w14:paraId="74C341C9" w14:textId="77777777" w:rsidR="0030537A" w:rsidRPr="009C1D02" w:rsidRDefault="0030537A" w:rsidP="0030537A">
      <w:pPr>
        <w:pStyle w:val="ListBullet"/>
        <w:rPr>
          <w:shd w:val="clear" w:color="auto" w:fill="FFFFFF"/>
        </w:rPr>
      </w:pPr>
      <w:r w:rsidRPr="009C1D02">
        <w:rPr>
          <w:shd w:val="clear" w:color="auto" w:fill="FFFFFF"/>
        </w:rPr>
        <w:t xml:space="preserve">if the </w:t>
      </w:r>
      <w:r w:rsidRPr="00A56A02">
        <w:t>entity</w:t>
      </w:r>
      <w:r w:rsidRPr="009C1D02">
        <w:rPr>
          <w:shd w:val="clear" w:color="auto" w:fill="FFFFFF"/>
        </w:rPr>
        <w:t xml:space="preserve"> has a principal office or premises</w:t>
      </w:r>
      <w:r>
        <w:rPr>
          <w:shd w:val="clear" w:color="auto" w:fill="FFFFFF"/>
        </w:rPr>
        <w:t>,</w:t>
      </w:r>
      <w:r w:rsidRPr="009C1D02">
        <w:rPr>
          <w:shd w:val="clear" w:color="auto" w:fill="FFFFFF"/>
        </w:rPr>
        <w:t xml:space="preserve"> the town or city where it has its principal office or premises </w:t>
      </w:r>
    </w:p>
    <w:p w14:paraId="01BFBCAD" w14:textId="77777777" w:rsidR="0030537A" w:rsidRPr="009C1D02" w:rsidRDefault="0030537A" w:rsidP="0030537A">
      <w:pPr>
        <w:pStyle w:val="ListBullet"/>
        <w:rPr>
          <w:shd w:val="clear" w:color="auto" w:fill="FFFFFF"/>
        </w:rPr>
      </w:pPr>
      <w:r w:rsidRPr="009C1D02">
        <w:rPr>
          <w:shd w:val="clear" w:color="auto" w:fill="FFFFFF"/>
        </w:rPr>
        <w:t>the town or city in which the natural person who was responsible for giving effect to the authorisation lives.</w:t>
      </w:r>
    </w:p>
    <w:p w14:paraId="33B5E7AE" w14:textId="3EF88B5C" w:rsidR="0030537A" w:rsidRDefault="0030537A" w:rsidP="0030537A">
      <w:pPr>
        <w:spacing w:before="240"/>
      </w:pPr>
      <w:r>
        <w:t>Where the office of the relevant entity is in a particular suburb, an authorisation that refers only to the greater metropolitan area (</w:t>
      </w:r>
      <w:r w:rsidR="00EC6723">
        <w:t>for example,</w:t>
      </w:r>
      <w:r>
        <w:t xml:space="preserve"> Brisbane) would generally be sufficient. </w:t>
      </w:r>
    </w:p>
    <w:p w14:paraId="6485C5D8" w14:textId="6440C3E4" w:rsidR="0030537A" w:rsidRDefault="0030537A" w:rsidP="0030537A">
      <w:r>
        <w:t xml:space="preserve">Exceptions to this approach may include circumstances where a locality or suburb is relevant to the audience’s understanding of the political matter. Therefore, </w:t>
      </w:r>
      <w:r w:rsidR="00B876CA">
        <w:t xml:space="preserve">if </w:t>
      </w:r>
      <w:r>
        <w:t>a campaign is about a local issue</w:t>
      </w:r>
      <w:r w:rsidR="00B876CA">
        <w:t>,</w:t>
      </w:r>
      <w:r>
        <w:t xml:space="preserve"> it may be relevant for the audience to know whether the entity seeking to influence their view is from the local area or from outside. In such a situation, merely citing the general metropolitan area may not suffice.</w:t>
      </w:r>
    </w:p>
    <w:p w14:paraId="7B03D2D2" w14:textId="6BCCDD4E" w:rsidR="0030537A" w:rsidRDefault="0030537A" w:rsidP="0030537A">
      <w:r>
        <w:t xml:space="preserve">If the entity is a natural person, the required particulars include the town or city in which the person lives. </w:t>
      </w:r>
    </w:p>
    <w:p w14:paraId="5CBBBCF2" w14:textId="77777777" w:rsidR="0030537A" w:rsidRPr="004258FC" w:rsidRDefault="0030537A" w:rsidP="0030537A">
      <w:pPr>
        <w:pStyle w:val="Heading2"/>
      </w:pPr>
      <w:bookmarkStart w:id="50" w:name="_Toc96344053"/>
      <w:bookmarkStart w:id="51" w:name="_Toc97799987"/>
      <w:r>
        <w:t>E</w:t>
      </w:r>
      <w:r w:rsidRPr="004258FC">
        <w:t>nsur</w:t>
      </w:r>
      <w:r>
        <w:t>ing</w:t>
      </w:r>
      <w:r w:rsidRPr="004258FC">
        <w:t xml:space="preserve"> compliance</w:t>
      </w:r>
      <w:bookmarkEnd w:id="50"/>
      <w:bookmarkEnd w:id="51"/>
    </w:p>
    <w:p w14:paraId="294C7718" w14:textId="77777777" w:rsidR="0030537A" w:rsidRPr="007A0368" w:rsidRDefault="0030537A" w:rsidP="0030537A">
      <w:r>
        <w:t>Licensee</w:t>
      </w:r>
      <w:r w:rsidRPr="007A0368">
        <w:t xml:space="preserve">s are responsible for compliance with the </w:t>
      </w:r>
      <w:r>
        <w:t>provision about broadcasting the required particulars</w:t>
      </w:r>
      <w:r w:rsidRPr="007A0368">
        <w:t xml:space="preserve">. </w:t>
      </w:r>
    </w:p>
    <w:p w14:paraId="75818BC3" w14:textId="77777777" w:rsidR="0030537A" w:rsidRPr="009C1D02" w:rsidDel="00FC0E64" w:rsidRDefault="0030537A" w:rsidP="0030537A">
      <w:r w:rsidDel="00FC0E64">
        <w:t>T</w:t>
      </w:r>
      <w:r w:rsidRPr="007A0368" w:rsidDel="00FC0E64">
        <w:t>his mean</w:t>
      </w:r>
      <w:r w:rsidDel="00FC0E64">
        <w:t>s</w:t>
      </w:r>
      <w:r w:rsidRPr="007A0368" w:rsidDel="00FC0E64">
        <w:t xml:space="preserve"> taking steps to determine </w:t>
      </w:r>
      <w:r>
        <w:t>whether</w:t>
      </w:r>
      <w:r w:rsidRPr="007A0368" w:rsidDel="00FC0E64">
        <w:t xml:space="preserve"> the person who authorises the broadcast of </w:t>
      </w:r>
      <w:r w:rsidRPr="009C1D02" w:rsidDel="00FC0E64">
        <w:t xml:space="preserve">the political matter is a ‘disclosure entity’. </w:t>
      </w:r>
    </w:p>
    <w:p w14:paraId="05DBB2F3" w14:textId="0A96B7F3" w:rsidR="0030537A" w:rsidRPr="009C1D02" w:rsidRDefault="0030537A" w:rsidP="0030537A">
      <w:r w:rsidRPr="009C1D02">
        <w:t xml:space="preserve">For matter authorised by persons or entities who are not disclosure entities, a licensee is taken to have ensured that required particulars are announced if, </w:t>
      </w:r>
      <w:r w:rsidRPr="009C1D02">
        <w:rPr>
          <w:rFonts w:cs="Arial"/>
          <w:szCs w:val="20"/>
        </w:rPr>
        <w:t>as a result of steps taken by the licensee, it was reasonable for the licensee to rely on the particulars provided to it</w:t>
      </w:r>
      <w:r w:rsidRPr="009C1D02">
        <w:t>.</w:t>
      </w:r>
      <w:r w:rsidRPr="009C1D02">
        <w:rPr>
          <w:rStyle w:val="FootnoteReference"/>
        </w:rPr>
        <w:footnoteReference w:id="7"/>
      </w:r>
      <w:r w:rsidRPr="009C1D02">
        <w:t xml:space="preserve"> </w:t>
      </w:r>
    </w:p>
    <w:p w14:paraId="586CD889" w14:textId="77777777" w:rsidR="0030537A" w:rsidRPr="009C1D02" w:rsidRDefault="0030537A" w:rsidP="0030537A">
      <w:pPr>
        <w:keepNext/>
        <w:keepLines/>
        <w:spacing w:after="80"/>
        <w:rPr>
          <w:rFonts w:cs="Arial"/>
          <w:szCs w:val="20"/>
        </w:rPr>
      </w:pPr>
      <w:r w:rsidRPr="009C1D02">
        <w:rPr>
          <w:rFonts w:cs="Arial"/>
          <w:szCs w:val="20"/>
        </w:rPr>
        <w:t xml:space="preserve">Steps that may be taken by the licensee include: </w:t>
      </w:r>
    </w:p>
    <w:p w14:paraId="62BBEBD0" w14:textId="77777777" w:rsidR="0030537A" w:rsidRPr="009C1D02" w:rsidRDefault="0030537A" w:rsidP="0030537A">
      <w:pPr>
        <w:pStyle w:val="ListBullet"/>
        <w:keepNext/>
        <w:keepLines/>
        <w:rPr>
          <w:lang w:val="en-US"/>
        </w:rPr>
      </w:pPr>
      <w:r w:rsidRPr="009C1D02">
        <w:t xml:space="preserve">notifying a person wanting to broadcast political matter that the name of the person required to be announced as having authorised the broadcast depends on whether the person is a disclosure entity </w:t>
      </w:r>
    </w:p>
    <w:p w14:paraId="5E5287EA" w14:textId="77777777" w:rsidR="0030537A" w:rsidRPr="009C1D02" w:rsidRDefault="0030537A" w:rsidP="0030537A">
      <w:pPr>
        <w:pStyle w:val="ListBulletLast"/>
        <w:rPr>
          <w:lang w:val="en-US"/>
        </w:rPr>
      </w:pPr>
      <w:r w:rsidRPr="009C1D02">
        <w:t>seeking a verification whether the person is a disclosure entity.</w:t>
      </w:r>
    </w:p>
    <w:p w14:paraId="1F3517CB" w14:textId="06817084" w:rsidR="0030537A" w:rsidRDefault="0030537A" w:rsidP="0030537A">
      <w:pPr>
        <w:spacing w:before="240"/>
      </w:pPr>
      <w:r w:rsidRPr="009C1D02">
        <w:t>More information about disclosure entities</w:t>
      </w:r>
      <w:r w:rsidR="00B876CA">
        <w:t xml:space="preserve"> – </w:t>
      </w:r>
      <w:r w:rsidRPr="009C1D02">
        <w:t xml:space="preserve">including current listings of entities </w:t>
      </w:r>
      <w:r>
        <w:t>that have lodged</w:t>
      </w:r>
      <w:r w:rsidRPr="009C1D02">
        <w:t xml:space="preserve"> returns</w:t>
      </w:r>
      <w:r w:rsidR="00B876CA">
        <w:t xml:space="preserve"> – </w:t>
      </w:r>
      <w:r w:rsidRPr="009C1D02">
        <w:t xml:space="preserve">is available </w:t>
      </w:r>
      <w:r>
        <w:t xml:space="preserve">on the Transparency Register on the </w:t>
      </w:r>
      <w:hyperlink r:id="rId32" w:history="1">
        <w:r w:rsidRPr="00336476">
          <w:rPr>
            <w:rStyle w:val="Hyperlink"/>
          </w:rPr>
          <w:t>AEC website</w:t>
        </w:r>
      </w:hyperlink>
      <w:r w:rsidRPr="009C1D02">
        <w:t>.</w:t>
      </w:r>
    </w:p>
    <w:p w14:paraId="52DE7CEB" w14:textId="77777777" w:rsidR="0030537A" w:rsidRPr="009C1D02" w:rsidRDefault="0030537A" w:rsidP="0030537A">
      <w:pPr>
        <w:pStyle w:val="Heading2"/>
      </w:pPr>
      <w:bookmarkStart w:id="52" w:name="_Toc96344054"/>
      <w:bookmarkStart w:id="53" w:name="_Toc97799988"/>
      <w:r w:rsidRPr="009C1D02">
        <w:lastRenderedPageBreak/>
        <w:t>Keeping records</w:t>
      </w:r>
      <w:bookmarkEnd w:id="52"/>
      <w:bookmarkEnd w:id="53"/>
    </w:p>
    <w:p w14:paraId="31346068" w14:textId="41761F29" w:rsidR="0030537A" w:rsidRPr="002D7C25" w:rsidRDefault="0030537A" w:rsidP="00E63629">
      <w:pPr>
        <w:pStyle w:val="ACMABodyText"/>
        <w:suppressAutoHyphens w:val="0"/>
        <w:spacing w:after="80"/>
        <w:rPr>
          <w:shd w:val="clear" w:color="auto" w:fill="FFFFFF"/>
        </w:rPr>
      </w:pPr>
      <w:r w:rsidRPr="009C1D02">
        <w:t xml:space="preserve">A licensee must keep, for the </w:t>
      </w:r>
      <w:r>
        <w:t>‘</w:t>
      </w:r>
      <w:r w:rsidRPr="009C1D02">
        <w:t>required period</w:t>
      </w:r>
      <w:r>
        <w:t>’</w:t>
      </w:r>
      <w:r w:rsidRPr="009C1D02">
        <w:t>, a record of</w:t>
      </w:r>
      <w:r>
        <w:t xml:space="preserve"> the</w:t>
      </w:r>
      <w:r w:rsidR="00B876CA">
        <w:t xml:space="preserve"> </w:t>
      </w:r>
      <w:r w:rsidRPr="002D7C25">
        <w:rPr>
          <w:shd w:val="clear" w:color="auto" w:fill="FFFFFF"/>
        </w:rPr>
        <w:t>name</w:t>
      </w:r>
      <w:r w:rsidR="00B876CA">
        <w:rPr>
          <w:shd w:val="clear" w:color="auto" w:fill="FFFFFF"/>
        </w:rPr>
        <w:t xml:space="preserve">, </w:t>
      </w:r>
      <w:r w:rsidRPr="002D7C25">
        <w:rPr>
          <w:shd w:val="clear" w:color="auto" w:fill="FFFFFF"/>
        </w:rPr>
        <w:t>address</w:t>
      </w:r>
      <w:r w:rsidR="00B876CA">
        <w:rPr>
          <w:shd w:val="clear" w:color="auto" w:fill="FFFFFF"/>
        </w:rPr>
        <w:t xml:space="preserve"> and </w:t>
      </w:r>
      <w:r w:rsidRPr="00B876CA">
        <w:rPr>
          <w:shd w:val="clear" w:color="auto" w:fill="FFFFFF"/>
        </w:rPr>
        <w:t xml:space="preserve">occupation </w:t>
      </w:r>
      <w:r w:rsidRPr="002D7C25">
        <w:rPr>
          <w:shd w:val="clear" w:color="auto" w:fill="FFFFFF"/>
        </w:rPr>
        <w:t xml:space="preserve">of the person (or the name and address of the principal office, if the person is a company) that requests the broadcast of political matter (subclause 4(3) of Schedule 2 to the BSA). </w:t>
      </w:r>
    </w:p>
    <w:p w14:paraId="41634D86" w14:textId="2E89CD5E" w:rsidR="0030537A" w:rsidRPr="009C1D02" w:rsidRDefault="0030537A" w:rsidP="0030537A">
      <w:pPr>
        <w:rPr>
          <w:rFonts w:cs="Arial"/>
          <w:szCs w:val="20"/>
        </w:rPr>
      </w:pPr>
      <w:r w:rsidRPr="009C1D02">
        <w:rPr>
          <w:rFonts w:cs="Arial"/>
          <w:szCs w:val="20"/>
        </w:rPr>
        <w:t xml:space="preserve">The </w:t>
      </w:r>
      <w:r>
        <w:rPr>
          <w:rFonts w:cs="Arial"/>
          <w:szCs w:val="20"/>
        </w:rPr>
        <w:t>‘</w:t>
      </w:r>
      <w:r w:rsidRPr="009C1D02">
        <w:rPr>
          <w:rFonts w:cs="Arial"/>
          <w:szCs w:val="20"/>
        </w:rPr>
        <w:t>required period</w:t>
      </w:r>
      <w:r>
        <w:rPr>
          <w:rFonts w:cs="Arial"/>
          <w:szCs w:val="20"/>
        </w:rPr>
        <w:t>’</w:t>
      </w:r>
      <w:r w:rsidRPr="009C1D02">
        <w:rPr>
          <w:rFonts w:cs="Arial"/>
          <w:szCs w:val="20"/>
        </w:rPr>
        <w:t xml:space="preserve"> is the longer of </w:t>
      </w:r>
      <w:r w:rsidR="00B876CA">
        <w:rPr>
          <w:rFonts w:cs="Arial"/>
          <w:szCs w:val="20"/>
        </w:rPr>
        <w:t>6</w:t>
      </w:r>
      <w:r w:rsidR="00B876CA" w:rsidRPr="009C1D02">
        <w:rPr>
          <w:rFonts w:cs="Arial"/>
          <w:szCs w:val="20"/>
        </w:rPr>
        <w:t xml:space="preserve"> </w:t>
      </w:r>
      <w:r w:rsidRPr="009C1D02">
        <w:rPr>
          <w:rFonts w:cs="Arial"/>
          <w:szCs w:val="20"/>
        </w:rPr>
        <w:t>weeks from the date of the broadcast or until the day on which the election ends (if the matter relates to an election or referendum and was broadcast during the relevant election period). The ACMA can direct a licensee (in writing) to keep records for a longer period.</w:t>
      </w:r>
    </w:p>
    <w:p w14:paraId="7183DEC6" w14:textId="55578970" w:rsidR="0030537A" w:rsidRPr="009C1D02" w:rsidRDefault="0030537A" w:rsidP="007B370C">
      <w:r w:rsidRPr="009C1D02">
        <w:t>These records must be given to the ACMA if requested by written notice.</w:t>
      </w:r>
      <w:r w:rsidRPr="009C1D02">
        <w:rPr>
          <w:rStyle w:val="FootnoteReference"/>
        </w:rPr>
        <w:footnoteReference w:id="8"/>
      </w:r>
    </w:p>
    <w:p w14:paraId="6B063C07" w14:textId="77777777" w:rsidR="0030537A" w:rsidRDefault="0030537A" w:rsidP="0030537A">
      <w:pPr>
        <w:pStyle w:val="Heading1"/>
      </w:pPr>
      <w:bookmarkStart w:id="54" w:name="_Toc96344055"/>
      <w:bookmarkStart w:id="55" w:name="_Toc97799989"/>
      <w:r>
        <w:lastRenderedPageBreak/>
        <w:t>Election matter</w:t>
      </w:r>
      <w:bookmarkEnd w:id="54"/>
      <w:bookmarkEnd w:id="55"/>
    </w:p>
    <w:p w14:paraId="6939BA2C" w14:textId="77777777" w:rsidR="0030537A" w:rsidRPr="008F2663" w:rsidRDefault="0030537A" w:rsidP="0030537A">
      <w:pPr>
        <w:pStyle w:val="Heading2"/>
        <w:rPr>
          <w:shd w:val="clear" w:color="auto" w:fill="FFFFFF"/>
        </w:rPr>
      </w:pPr>
      <w:bookmarkStart w:id="56" w:name="_Toc96344056"/>
      <w:bookmarkStart w:id="57" w:name="_Toc97799990"/>
      <w:r w:rsidRPr="008F2663">
        <w:rPr>
          <w:shd w:val="clear" w:color="auto" w:fill="FFFFFF"/>
        </w:rPr>
        <w:t xml:space="preserve">What is </w:t>
      </w:r>
      <w:r>
        <w:rPr>
          <w:shd w:val="clear" w:color="auto" w:fill="FFFFFF"/>
        </w:rPr>
        <w:t>‘</w:t>
      </w:r>
      <w:r w:rsidRPr="008F2663">
        <w:rPr>
          <w:shd w:val="clear" w:color="auto" w:fill="FFFFFF"/>
        </w:rPr>
        <w:t>election matter</w:t>
      </w:r>
      <w:r>
        <w:rPr>
          <w:shd w:val="clear" w:color="auto" w:fill="FFFFFF"/>
        </w:rPr>
        <w:t>’</w:t>
      </w:r>
      <w:r w:rsidRPr="008F2663">
        <w:rPr>
          <w:shd w:val="clear" w:color="auto" w:fill="FFFFFF"/>
        </w:rPr>
        <w:t>?</w:t>
      </w:r>
      <w:bookmarkEnd w:id="56"/>
      <w:bookmarkEnd w:id="57"/>
      <w:r w:rsidRPr="008F2663">
        <w:rPr>
          <w:shd w:val="clear" w:color="auto" w:fill="FFFFFF"/>
        </w:rPr>
        <w:t xml:space="preserve"> </w:t>
      </w:r>
    </w:p>
    <w:p w14:paraId="66A81DE5" w14:textId="77777777" w:rsidR="0030537A" w:rsidRPr="002B59EC" w:rsidRDefault="0030537A" w:rsidP="004C2B77">
      <w:pPr>
        <w:spacing w:after="80"/>
      </w:pPr>
      <w:r>
        <w:rPr>
          <w:bCs/>
          <w:iCs/>
        </w:rPr>
        <w:t>‘</w:t>
      </w:r>
      <w:r w:rsidRPr="00A56A02">
        <w:rPr>
          <w:bCs/>
          <w:iCs/>
        </w:rPr>
        <w:t>Election matter</w:t>
      </w:r>
      <w:r>
        <w:rPr>
          <w:bCs/>
          <w:iCs/>
        </w:rPr>
        <w:t>’</w:t>
      </w:r>
      <w:r w:rsidRPr="002B59EC">
        <w:t>, in relation to an election, means matter of any of the following kinds:</w:t>
      </w:r>
    </w:p>
    <w:p w14:paraId="5A8FDA51" w14:textId="77777777" w:rsidR="0030537A" w:rsidRDefault="0030537A" w:rsidP="004C2B77">
      <w:pPr>
        <w:pStyle w:val="paragraph0"/>
        <w:numPr>
          <w:ilvl w:val="0"/>
          <w:numId w:val="32"/>
        </w:numPr>
        <w:shd w:val="clear" w:color="auto" w:fill="FFFFFF"/>
        <w:spacing w:before="0" w:beforeAutospacing="0" w:after="80" w:afterAutospacing="0"/>
        <w:ind w:left="709"/>
        <w:rPr>
          <w:rFonts w:ascii="Arial" w:hAnsi="Arial" w:cs="Arial"/>
          <w:color w:val="000000"/>
          <w:sz w:val="20"/>
          <w:szCs w:val="20"/>
        </w:rPr>
      </w:pPr>
      <w:r w:rsidRPr="002B59EC">
        <w:rPr>
          <w:rFonts w:ascii="Arial" w:hAnsi="Arial" w:cs="Arial"/>
          <w:color w:val="000000"/>
          <w:sz w:val="20"/>
          <w:szCs w:val="20"/>
        </w:rPr>
        <w:t>matter commenting on, or soliciting votes for, a candidate at the</w:t>
      </w:r>
      <w:r>
        <w:rPr>
          <w:rFonts w:ascii="Arial" w:hAnsi="Arial" w:cs="Arial"/>
          <w:color w:val="000000"/>
          <w:sz w:val="20"/>
          <w:szCs w:val="20"/>
        </w:rPr>
        <w:t xml:space="preserve"> </w:t>
      </w:r>
      <w:r w:rsidRPr="002B59EC">
        <w:rPr>
          <w:rFonts w:ascii="Arial" w:hAnsi="Arial" w:cs="Arial"/>
          <w:color w:val="000000"/>
          <w:sz w:val="20"/>
          <w:szCs w:val="20"/>
        </w:rPr>
        <w:t>election</w:t>
      </w:r>
    </w:p>
    <w:p w14:paraId="5BB7467E" w14:textId="77777777" w:rsidR="0030537A" w:rsidRDefault="0030537A" w:rsidP="004C2B77">
      <w:pPr>
        <w:pStyle w:val="paragraph0"/>
        <w:numPr>
          <w:ilvl w:val="0"/>
          <w:numId w:val="32"/>
        </w:numPr>
        <w:shd w:val="clear" w:color="auto" w:fill="FFFFFF"/>
        <w:spacing w:before="0" w:beforeAutospacing="0" w:after="80" w:afterAutospacing="0"/>
        <w:ind w:left="709"/>
        <w:rPr>
          <w:rFonts w:ascii="Arial" w:hAnsi="Arial" w:cs="Arial"/>
          <w:color w:val="000000"/>
          <w:sz w:val="20"/>
          <w:szCs w:val="20"/>
        </w:rPr>
      </w:pPr>
      <w:r w:rsidRPr="002B59EC">
        <w:rPr>
          <w:rFonts w:ascii="Arial" w:hAnsi="Arial" w:cs="Arial"/>
          <w:color w:val="000000"/>
          <w:sz w:val="20"/>
          <w:szCs w:val="20"/>
        </w:rPr>
        <w:t>matter commenting on, or advocating support of, a political party to which a candidate at the election belongs</w:t>
      </w:r>
    </w:p>
    <w:p w14:paraId="21182D49" w14:textId="5CC344D1" w:rsidR="0030537A" w:rsidRDefault="0030537A" w:rsidP="004C2B77">
      <w:pPr>
        <w:pStyle w:val="paragraph0"/>
        <w:numPr>
          <w:ilvl w:val="0"/>
          <w:numId w:val="32"/>
        </w:numPr>
        <w:shd w:val="clear" w:color="auto" w:fill="FFFFFF"/>
        <w:spacing w:before="0" w:beforeAutospacing="0" w:after="80" w:afterAutospacing="0"/>
        <w:ind w:left="709"/>
        <w:rPr>
          <w:rFonts w:ascii="Arial" w:hAnsi="Arial" w:cs="Arial"/>
          <w:color w:val="000000"/>
          <w:sz w:val="20"/>
          <w:szCs w:val="20"/>
        </w:rPr>
      </w:pPr>
      <w:r w:rsidRPr="002B59EC">
        <w:rPr>
          <w:rFonts w:ascii="Arial" w:hAnsi="Arial" w:cs="Arial"/>
          <w:color w:val="000000"/>
          <w:sz w:val="20"/>
          <w:szCs w:val="20"/>
        </w:rPr>
        <w:t>matter commenting on, stating or indicating any of the matters being submitted to the electors at the election</w:t>
      </w:r>
      <w:r w:rsidR="00B876CA">
        <w:rPr>
          <w:rFonts w:ascii="Arial" w:hAnsi="Arial" w:cs="Arial"/>
          <w:color w:val="000000"/>
          <w:sz w:val="20"/>
          <w:szCs w:val="20"/>
        </w:rPr>
        <w:t>,</w:t>
      </w:r>
      <w:r w:rsidRPr="002B59EC">
        <w:rPr>
          <w:rFonts w:ascii="Arial" w:hAnsi="Arial" w:cs="Arial"/>
          <w:color w:val="000000"/>
          <w:sz w:val="20"/>
          <w:szCs w:val="20"/>
        </w:rPr>
        <w:t xml:space="preserve"> or any part of the policy of a candidate at the election</w:t>
      </w:r>
      <w:r w:rsidR="00B876CA">
        <w:rPr>
          <w:rFonts w:ascii="Arial" w:hAnsi="Arial" w:cs="Arial"/>
          <w:color w:val="000000"/>
          <w:sz w:val="20"/>
          <w:szCs w:val="20"/>
        </w:rPr>
        <w:t>,</w:t>
      </w:r>
      <w:r w:rsidRPr="002B59EC">
        <w:rPr>
          <w:rFonts w:ascii="Arial" w:hAnsi="Arial" w:cs="Arial"/>
          <w:color w:val="000000"/>
          <w:sz w:val="20"/>
          <w:szCs w:val="20"/>
        </w:rPr>
        <w:t xml:space="preserve"> or of the political party to which a candidate at the election belongs</w:t>
      </w:r>
    </w:p>
    <w:p w14:paraId="378E175F" w14:textId="6E11707D" w:rsidR="0030537A" w:rsidRPr="002B59EC" w:rsidRDefault="0030537A" w:rsidP="001A0D30">
      <w:pPr>
        <w:pStyle w:val="paragraph0"/>
        <w:numPr>
          <w:ilvl w:val="0"/>
          <w:numId w:val="32"/>
        </w:numPr>
        <w:shd w:val="clear" w:color="auto" w:fill="FFFFFF"/>
        <w:spacing w:before="0" w:beforeAutospacing="0" w:after="240" w:afterAutospacing="0"/>
        <w:ind w:left="709"/>
        <w:rPr>
          <w:rFonts w:ascii="Arial" w:hAnsi="Arial" w:cs="Arial"/>
          <w:color w:val="000000"/>
          <w:sz w:val="20"/>
          <w:szCs w:val="20"/>
        </w:rPr>
      </w:pPr>
      <w:r w:rsidRPr="002B59EC">
        <w:rPr>
          <w:rFonts w:ascii="Arial" w:hAnsi="Arial" w:cs="Arial"/>
          <w:color w:val="000000"/>
          <w:sz w:val="20"/>
          <w:szCs w:val="20"/>
        </w:rPr>
        <w:t>matter referring to a meeting held</w:t>
      </w:r>
      <w:r w:rsidR="00B876CA">
        <w:rPr>
          <w:rFonts w:ascii="Arial" w:hAnsi="Arial" w:cs="Arial"/>
          <w:color w:val="000000"/>
          <w:sz w:val="20"/>
          <w:szCs w:val="20"/>
        </w:rPr>
        <w:t>,</w:t>
      </w:r>
      <w:r w:rsidRPr="002B59EC">
        <w:rPr>
          <w:rFonts w:ascii="Arial" w:hAnsi="Arial" w:cs="Arial"/>
          <w:color w:val="000000"/>
          <w:sz w:val="20"/>
          <w:szCs w:val="20"/>
        </w:rPr>
        <w:t xml:space="preserve"> or to be held</w:t>
      </w:r>
      <w:r w:rsidR="00B876CA">
        <w:rPr>
          <w:rFonts w:ascii="Arial" w:hAnsi="Arial" w:cs="Arial"/>
          <w:color w:val="000000"/>
          <w:sz w:val="20"/>
          <w:szCs w:val="20"/>
        </w:rPr>
        <w:t>,</w:t>
      </w:r>
      <w:r w:rsidRPr="002B59EC">
        <w:rPr>
          <w:rFonts w:ascii="Arial" w:hAnsi="Arial" w:cs="Arial"/>
          <w:color w:val="000000"/>
          <w:sz w:val="20"/>
          <w:szCs w:val="20"/>
        </w:rPr>
        <w:t xml:space="preserve"> in connection with the election</w:t>
      </w:r>
      <w:r>
        <w:rPr>
          <w:rFonts w:ascii="Arial" w:hAnsi="Arial" w:cs="Arial"/>
          <w:color w:val="000000"/>
          <w:sz w:val="20"/>
          <w:szCs w:val="20"/>
        </w:rPr>
        <w:t xml:space="preserve">. </w:t>
      </w:r>
      <w:r w:rsidRPr="00D0541C">
        <w:rPr>
          <w:rFonts w:cs="Arial"/>
          <w:color w:val="000000"/>
          <w:szCs w:val="20"/>
        </w:rPr>
        <w:t xml:space="preserve"> </w:t>
      </w:r>
    </w:p>
    <w:p w14:paraId="612366C9" w14:textId="77777777" w:rsidR="0030537A" w:rsidRDefault="0030537A" w:rsidP="0030537A">
      <w:pPr>
        <w:pStyle w:val="Heading2"/>
        <w:rPr>
          <w:shd w:val="clear" w:color="auto" w:fill="FFFFFF"/>
        </w:rPr>
      </w:pPr>
      <w:r w:rsidRPr="002B59EC" w:rsidDel="002B59EC">
        <w:rPr>
          <w:sz w:val="20"/>
          <w:szCs w:val="20"/>
        </w:rPr>
        <w:t xml:space="preserve"> </w:t>
      </w:r>
      <w:bookmarkStart w:id="58" w:name="_Toc96344057"/>
      <w:bookmarkStart w:id="59" w:name="_Toc97799991"/>
      <w:r w:rsidRPr="002B59EC">
        <w:rPr>
          <w:shd w:val="clear" w:color="auto" w:fill="FFFFFF"/>
        </w:rPr>
        <w:t xml:space="preserve">What is an </w:t>
      </w:r>
      <w:r>
        <w:rPr>
          <w:shd w:val="clear" w:color="auto" w:fill="FFFFFF"/>
        </w:rPr>
        <w:t>‘</w:t>
      </w:r>
      <w:r w:rsidRPr="002B59EC">
        <w:rPr>
          <w:shd w:val="clear" w:color="auto" w:fill="FFFFFF"/>
        </w:rPr>
        <w:t>election</w:t>
      </w:r>
      <w:r>
        <w:rPr>
          <w:shd w:val="clear" w:color="auto" w:fill="FFFFFF"/>
        </w:rPr>
        <w:t xml:space="preserve"> period’?</w:t>
      </w:r>
      <w:bookmarkEnd w:id="58"/>
      <w:bookmarkEnd w:id="59"/>
    </w:p>
    <w:p w14:paraId="262B0D9B" w14:textId="502E621D" w:rsidR="0030537A" w:rsidRPr="002B59EC" w:rsidRDefault="0030537A" w:rsidP="000C0CE7">
      <w:pPr>
        <w:pStyle w:val="definition"/>
        <w:shd w:val="clear" w:color="auto" w:fill="FFFFFF"/>
        <w:spacing w:before="0" w:beforeAutospacing="0" w:after="80" w:afterAutospacing="0"/>
        <w:rPr>
          <w:rFonts w:ascii="Arial" w:hAnsi="Arial" w:cs="Arial"/>
          <w:color w:val="000000"/>
          <w:sz w:val="20"/>
          <w:szCs w:val="20"/>
        </w:rPr>
      </w:pPr>
      <w:r>
        <w:rPr>
          <w:rFonts w:ascii="Arial" w:hAnsi="Arial" w:cs="Arial"/>
          <w:bCs/>
          <w:iCs/>
          <w:color w:val="000000"/>
          <w:sz w:val="20"/>
          <w:szCs w:val="20"/>
        </w:rPr>
        <w:t>‘E</w:t>
      </w:r>
      <w:r w:rsidRPr="00A56A02">
        <w:rPr>
          <w:rFonts w:ascii="Arial" w:hAnsi="Arial" w:cs="Arial"/>
          <w:bCs/>
          <w:iCs/>
          <w:color w:val="000000"/>
          <w:sz w:val="20"/>
          <w:szCs w:val="20"/>
        </w:rPr>
        <w:t>lection period</w:t>
      </w:r>
      <w:r>
        <w:rPr>
          <w:rFonts w:ascii="Arial" w:hAnsi="Arial" w:cs="Arial"/>
          <w:bCs/>
          <w:iCs/>
          <w:color w:val="000000"/>
          <w:sz w:val="20"/>
          <w:szCs w:val="20"/>
        </w:rPr>
        <w:t>’</w:t>
      </w:r>
      <w:r w:rsidRPr="001638A2">
        <w:rPr>
          <w:rFonts w:ascii="Arial" w:hAnsi="Arial" w:cs="Arial"/>
          <w:color w:val="000000"/>
          <w:sz w:val="20"/>
          <w:szCs w:val="20"/>
        </w:rPr>
        <w:t> </w:t>
      </w:r>
      <w:r w:rsidRPr="002B59EC">
        <w:rPr>
          <w:rFonts w:ascii="Arial" w:hAnsi="Arial" w:cs="Arial"/>
          <w:color w:val="000000"/>
          <w:sz w:val="20"/>
          <w:szCs w:val="20"/>
        </w:rPr>
        <w:t>means:</w:t>
      </w:r>
    </w:p>
    <w:p w14:paraId="5CB5ABF4" w14:textId="7B5F4E7E" w:rsidR="0030537A" w:rsidRDefault="0030537A" w:rsidP="000C0CE7">
      <w:pPr>
        <w:pStyle w:val="paragraph0"/>
        <w:numPr>
          <w:ilvl w:val="0"/>
          <w:numId w:val="38"/>
        </w:numPr>
        <w:shd w:val="clear" w:color="auto" w:fill="FFFFFF"/>
        <w:spacing w:before="0" w:beforeAutospacing="0" w:after="80" w:afterAutospacing="0"/>
        <w:ind w:left="709"/>
        <w:rPr>
          <w:rFonts w:ascii="Arial" w:hAnsi="Arial" w:cs="Arial"/>
          <w:color w:val="000000"/>
          <w:sz w:val="20"/>
          <w:szCs w:val="20"/>
        </w:rPr>
      </w:pPr>
      <w:r w:rsidRPr="002B59EC">
        <w:rPr>
          <w:rFonts w:ascii="Arial" w:hAnsi="Arial" w:cs="Arial"/>
          <w:color w:val="000000"/>
          <w:sz w:val="20"/>
          <w:szCs w:val="20"/>
        </w:rPr>
        <w:t>in relation to an election to the Legislative Council of Tasmania, or an ordinary election to the Legislative Assembly for the Australian Capital Territory</w:t>
      </w:r>
      <w:r w:rsidR="00B876CA">
        <w:t xml:space="preserve"> – </w:t>
      </w:r>
      <w:r w:rsidRPr="002B59EC">
        <w:rPr>
          <w:rFonts w:ascii="Arial" w:hAnsi="Arial" w:cs="Arial"/>
          <w:color w:val="000000"/>
          <w:sz w:val="20"/>
          <w:szCs w:val="20"/>
        </w:rPr>
        <w:t>the period that starts 33 days before the polling day for the election and ends at the close of the poll on that day</w:t>
      </w:r>
    </w:p>
    <w:p w14:paraId="409295C5" w14:textId="5B179A3B" w:rsidR="0030537A" w:rsidRPr="00AF3988" w:rsidRDefault="0030537A" w:rsidP="000C0CE7">
      <w:pPr>
        <w:pStyle w:val="paragraph0"/>
        <w:numPr>
          <w:ilvl w:val="0"/>
          <w:numId w:val="38"/>
        </w:numPr>
        <w:shd w:val="clear" w:color="auto" w:fill="FFFFFF"/>
        <w:spacing w:before="0" w:beforeAutospacing="0" w:after="80" w:afterAutospacing="0"/>
        <w:ind w:left="709"/>
        <w:rPr>
          <w:rFonts w:ascii="Arial" w:hAnsi="Arial" w:cs="Arial"/>
          <w:color w:val="000000"/>
          <w:sz w:val="20"/>
          <w:szCs w:val="20"/>
        </w:rPr>
      </w:pPr>
      <w:r w:rsidRPr="001638A2">
        <w:rPr>
          <w:rFonts w:ascii="Arial" w:hAnsi="Arial" w:cs="Arial"/>
          <w:color w:val="000000"/>
          <w:sz w:val="20"/>
          <w:szCs w:val="20"/>
        </w:rPr>
        <w:t>in relation to any oth</w:t>
      </w:r>
      <w:r w:rsidRPr="00AF3988">
        <w:rPr>
          <w:rFonts w:ascii="Arial" w:hAnsi="Arial" w:cs="Arial"/>
          <w:color w:val="000000"/>
          <w:sz w:val="20"/>
          <w:szCs w:val="20"/>
        </w:rPr>
        <w:t xml:space="preserve">er election to a </w:t>
      </w:r>
      <w:r>
        <w:rPr>
          <w:rFonts w:ascii="Arial" w:hAnsi="Arial" w:cs="Arial"/>
          <w:color w:val="000000"/>
          <w:sz w:val="20"/>
          <w:szCs w:val="20"/>
        </w:rPr>
        <w:t>p</w:t>
      </w:r>
      <w:r w:rsidRPr="001638A2">
        <w:rPr>
          <w:rFonts w:ascii="Arial" w:hAnsi="Arial" w:cs="Arial"/>
          <w:color w:val="000000"/>
          <w:sz w:val="20"/>
          <w:szCs w:val="20"/>
        </w:rPr>
        <w:t>arliame</w:t>
      </w:r>
      <w:r w:rsidRPr="00AF3988">
        <w:rPr>
          <w:rFonts w:ascii="Arial" w:hAnsi="Arial" w:cs="Arial"/>
          <w:color w:val="000000"/>
          <w:sz w:val="20"/>
          <w:szCs w:val="20"/>
        </w:rPr>
        <w:t>nt</w:t>
      </w:r>
      <w:r w:rsidR="00B876CA">
        <w:t xml:space="preserve"> – </w:t>
      </w:r>
      <w:r w:rsidRPr="00AF3988">
        <w:rPr>
          <w:rFonts w:ascii="Arial" w:hAnsi="Arial" w:cs="Arial"/>
          <w:color w:val="000000"/>
          <w:sz w:val="20"/>
          <w:szCs w:val="20"/>
        </w:rPr>
        <w:t>the period that starts on:</w:t>
      </w:r>
    </w:p>
    <w:p w14:paraId="52887025" w14:textId="77777777" w:rsidR="0030537A" w:rsidRDefault="0030537A" w:rsidP="000C0CE7">
      <w:pPr>
        <w:pStyle w:val="paragraphsub"/>
        <w:numPr>
          <w:ilvl w:val="0"/>
          <w:numId w:val="36"/>
        </w:numPr>
        <w:shd w:val="clear" w:color="auto" w:fill="FFFFFF"/>
        <w:spacing w:before="0" w:beforeAutospacing="0" w:after="80" w:afterAutospacing="0"/>
        <w:ind w:left="1418"/>
        <w:rPr>
          <w:rFonts w:ascii="Arial" w:hAnsi="Arial" w:cs="Arial"/>
          <w:color w:val="000000"/>
          <w:sz w:val="20"/>
          <w:szCs w:val="20"/>
        </w:rPr>
      </w:pPr>
      <w:r w:rsidRPr="002B59EC">
        <w:rPr>
          <w:rFonts w:ascii="Arial" w:hAnsi="Arial" w:cs="Arial"/>
          <w:color w:val="000000"/>
          <w:sz w:val="20"/>
          <w:szCs w:val="20"/>
        </w:rPr>
        <w:t>the day on which the proposed polling day for the election is publicly announced</w:t>
      </w:r>
    </w:p>
    <w:p w14:paraId="57432384" w14:textId="58199B68" w:rsidR="0030537A" w:rsidRPr="00945F21" w:rsidRDefault="0030537A" w:rsidP="000C0CE7">
      <w:pPr>
        <w:pStyle w:val="paragraphsub"/>
        <w:numPr>
          <w:ilvl w:val="0"/>
          <w:numId w:val="36"/>
        </w:numPr>
        <w:shd w:val="clear" w:color="auto" w:fill="FFFFFF"/>
        <w:spacing w:before="0" w:beforeAutospacing="0" w:after="80" w:afterAutospacing="0"/>
        <w:ind w:left="1418"/>
        <w:rPr>
          <w:rFonts w:ascii="Arial" w:hAnsi="Arial" w:cs="Arial"/>
          <w:color w:val="000000"/>
          <w:sz w:val="20"/>
          <w:szCs w:val="20"/>
        </w:rPr>
      </w:pPr>
      <w:r w:rsidRPr="002B59EC">
        <w:rPr>
          <w:rFonts w:ascii="Arial" w:hAnsi="Arial" w:cs="Arial"/>
          <w:color w:val="000000"/>
          <w:sz w:val="20"/>
          <w:szCs w:val="20"/>
        </w:rPr>
        <w:t>the day on which the writs for the election are issued</w:t>
      </w:r>
      <w:r>
        <w:rPr>
          <w:rFonts w:ascii="Arial" w:hAnsi="Arial" w:cs="Arial"/>
          <w:color w:val="000000"/>
          <w:sz w:val="20"/>
          <w:szCs w:val="20"/>
        </w:rPr>
        <w:t xml:space="preserve"> (</w:t>
      </w:r>
      <w:r w:rsidRPr="001638A2">
        <w:rPr>
          <w:rFonts w:ascii="Arial" w:hAnsi="Arial" w:cs="Arial"/>
          <w:color w:val="000000"/>
          <w:sz w:val="20"/>
          <w:szCs w:val="20"/>
        </w:rPr>
        <w:t>whichever happens first</w:t>
      </w:r>
      <w:r w:rsidRPr="00945F21">
        <w:rPr>
          <w:rFonts w:ascii="Arial" w:hAnsi="Arial" w:cs="Arial"/>
          <w:color w:val="000000"/>
          <w:sz w:val="20"/>
          <w:szCs w:val="20"/>
        </w:rPr>
        <w:t xml:space="preserve"> and ends at the close of the poll on the polling day for the election</w:t>
      </w:r>
      <w:r>
        <w:rPr>
          <w:rFonts w:ascii="Arial" w:hAnsi="Arial" w:cs="Arial"/>
          <w:color w:val="000000"/>
          <w:sz w:val="20"/>
          <w:szCs w:val="20"/>
        </w:rPr>
        <w:t>)</w:t>
      </w:r>
    </w:p>
    <w:p w14:paraId="45B66442" w14:textId="383B6A0C" w:rsidR="0030537A" w:rsidRDefault="0030537A" w:rsidP="000C0CE7">
      <w:pPr>
        <w:pStyle w:val="paragraph0"/>
        <w:numPr>
          <w:ilvl w:val="0"/>
          <w:numId w:val="38"/>
        </w:numPr>
        <w:shd w:val="clear" w:color="auto" w:fill="FFFFFF"/>
        <w:spacing w:before="0" w:beforeAutospacing="0" w:after="80" w:afterAutospacing="0"/>
        <w:ind w:left="709"/>
        <w:rPr>
          <w:rFonts w:ascii="Arial" w:hAnsi="Arial" w:cs="Arial"/>
          <w:color w:val="000000"/>
          <w:sz w:val="20"/>
          <w:szCs w:val="20"/>
        </w:rPr>
      </w:pPr>
      <w:r w:rsidRPr="002B59EC">
        <w:rPr>
          <w:rFonts w:ascii="Arial" w:hAnsi="Arial" w:cs="Arial"/>
          <w:color w:val="000000"/>
          <w:sz w:val="20"/>
          <w:szCs w:val="20"/>
        </w:rPr>
        <w:t>in relation to an election to a local government authority</w:t>
      </w:r>
      <w:r w:rsidR="003C1722">
        <w:t xml:space="preserve"> – </w:t>
      </w:r>
      <w:r w:rsidRPr="002B59EC">
        <w:rPr>
          <w:rFonts w:ascii="Arial" w:hAnsi="Arial" w:cs="Arial"/>
          <w:color w:val="000000"/>
          <w:sz w:val="20"/>
          <w:szCs w:val="20"/>
        </w:rPr>
        <w:t>the period that starts 33 days before the polling day for the election and ends at the close of the poll on that day</w:t>
      </w:r>
    </w:p>
    <w:p w14:paraId="013101A3" w14:textId="7A8103FD" w:rsidR="0030537A" w:rsidRDefault="0030537A" w:rsidP="000C0CE7">
      <w:pPr>
        <w:pStyle w:val="paragraph0"/>
        <w:numPr>
          <w:ilvl w:val="0"/>
          <w:numId w:val="38"/>
        </w:numPr>
        <w:shd w:val="clear" w:color="auto" w:fill="FFFFFF"/>
        <w:spacing w:before="0" w:beforeAutospacing="0" w:after="80" w:afterAutospacing="0"/>
        <w:ind w:left="709"/>
        <w:rPr>
          <w:rFonts w:ascii="Arial" w:hAnsi="Arial" w:cs="Arial"/>
          <w:color w:val="000000"/>
          <w:sz w:val="20"/>
          <w:szCs w:val="20"/>
        </w:rPr>
      </w:pPr>
      <w:r w:rsidRPr="002B59EC">
        <w:rPr>
          <w:rFonts w:ascii="Arial" w:hAnsi="Arial" w:cs="Arial"/>
          <w:color w:val="000000"/>
          <w:sz w:val="20"/>
          <w:szCs w:val="20"/>
        </w:rPr>
        <w:t>in relation to a referendum whose voting day is the same as the polling day for an election to the Parliament of the Commonwealth</w:t>
      </w:r>
      <w:r w:rsidR="003C1722">
        <w:t xml:space="preserve"> – </w:t>
      </w:r>
      <w:r w:rsidRPr="002B59EC">
        <w:rPr>
          <w:rFonts w:ascii="Arial" w:hAnsi="Arial" w:cs="Arial"/>
          <w:color w:val="000000"/>
          <w:sz w:val="20"/>
          <w:szCs w:val="20"/>
        </w:rPr>
        <w:t>the election period in relation to that election</w:t>
      </w:r>
    </w:p>
    <w:p w14:paraId="50186C88" w14:textId="5B48B1FF" w:rsidR="0030537A" w:rsidRPr="002B59EC" w:rsidRDefault="0030537A" w:rsidP="000C0CE7">
      <w:pPr>
        <w:pStyle w:val="paragraph0"/>
        <w:numPr>
          <w:ilvl w:val="0"/>
          <w:numId w:val="38"/>
        </w:numPr>
        <w:shd w:val="clear" w:color="auto" w:fill="FFFFFF"/>
        <w:spacing w:before="0" w:beforeAutospacing="0" w:after="80" w:afterAutospacing="0"/>
        <w:ind w:left="709"/>
        <w:rPr>
          <w:rFonts w:ascii="Arial" w:hAnsi="Arial" w:cs="Arial"/>
          <w:color w:val="000000"/>
          <w:sz w:val="20"/>
          <w:szCs w:val="20"/>
        </w:rPr>
      </w:pPr>
      <w:r w:rsidRPr="002B59EC">
        <w:rPr>
          <w:rFonts w:ascii="Arial" w:hAnsi="Arial" w:cs="Arial"/>
          <w:color w:val="000000"/>
          <w:sz w:val="20"/>
          <w:szCs w:val="20"/>
        </w:rPr>
        <w:t>in relation to any other referendum</w:t>
      </w:r>
      <w:r w:rsidR="003C1722">
        <w:t xml:space="preserve"> – </w:t>
      </w:r>
      <w:r w:rsidRPr="002B59EC">
        <w:rPr>
          <w:rFonts w:ascii="Arial" w:hAnsi="Arial" w:cs="Arial"/>
          <w:color w:val="000000"/>
          <w:sz w:val="20"/>
          <w:szCs w:val="20"/>
        </w:rPr>
        <w:t>the period that starts 33 days before the voting day for the referendum and ends at the close of voting on that day.</w:t>
      </w:r>
    </w:p>
    <w:p w14:paraId="54087E97" w14:textId="793AD454" w:rsidR="0030537A" w:rsidRDefault="003C1722" w:rsidP="0030537A">
      <w:pPr>
        <w:pStyle w:val="Heading2"/>
        <w:rPr>
          <w:shd w:val="clear" w:color="auto" w:fill="FFFFFF"/>
        </w:rPr>
      </w:pPr>
      <w:bookmarkStart w:id="60" w:name="_Toc96344058"/>
      <w:bookmarkStart w:id="61" w:name="_Toc97799992"/>
      <w:r>
        <w:rPr>
          <w:shd w:val="clear" w:color="auto" w:fill="FFFFFF"/>
        </w:rPr>
        <w:t>‘</w:t>
      </w:r>
      <w:r w:rsidR="0030537A">
        <w:rPr>
          <w:shd w:val="clear" w:color="auto" w:fill="FFFFFF"/>
        </w:rPr>
        <w:t>Reasonable opportunities</w:t>
      </w:r>
      <w:r>
        <w:rPr>
          <w:shd w:val="clear" w:color="auto" w:fill="FFFFFF"/>
        </w:rPr>
        <w:t>’</w:t>
      </w:r>
      <w:r w:rsidR="0030537A">
        <w:rPr>
          <w:shd w:val="clear" w:color="auto" w:fill="FFFFFF"/>
        </w:rPr>
        <w:t xml:space="preserve"> to participants in elections</w:t>
      </w:r>
      <w:bookmarkEnd w:id="60"/>
      <w:bookmarkEnd w:id="61"/>
    </w:p>
    <w:p w14:paraId="64ED3C59" w14:textId="77777777" w:rsidR="0030537A" w:rsidRPr="00E22B2A" w:rsidRDefault="0030537A" w:rsidP="0030537A">
      <w:pPr>
        <w:spacing w:after="160" w:line="259" w:lineRule="auto"/>
        <w:rPr>
          <w:rFonts w:cs="Arial"/>
          <w:szCs w:val="20"/>
        </w:rPr>
      </w:pPr>
      <w:r w:rsidRPr="00E22B2A">
        <w:rPr>
          <w:rFonts w:cs="Arial"/>
          <w:szCs w:val="20"/>
        </w:rPr>
        <w:t xml:space="preserve">Licensees are not obliged to broadcast election matter at all. However, if they do, </w:t>
      </w:r>
      <w:r>
        <w:rPr>
          <w:rFonts w:cs="Arial"/>
          <w:szCs w:val="20"/>
        </w:rPr>
        <w:t>certain obligations arise</w:t>
      </w:r>
      <w:r w:rsidRPr="00E22B2A">
        <w:rPr>
          <w:rFonts w:cs="Arial"/>
          <w:szCs w:val="20"/>
        </w:rPr>
        <w:t>.</w:t>
      </w:r>
    </w:p>
    <w:p w14:paraId="7C3105D5" w14:textId="60D2190D" w:rsidR="0030537A" w:rsidRDefault="0030537A" w:rsidP="0030537A">
      <w:r>
        <w:t>If, during an election period a broadcaster broadcasts election matter, the broadcaster must give reasonable opportunities for broadcasting election matter to all political parties contesting the election</w:t>
      </w:r>
      <w:r w:rsidR="000B27D7">
        <w:t xml:space="preserve"> that</w:t>
      </w:r>
      <w:r>
        <w:t xml:space="preserve"> were represented in either House of the Parliament for which the election is to be held</w:t>
      </w:r>
      <w:r w:rsidR="000B27D7">
        <w:t>,</w:t>
      </w:r>
      <w:r>
        <w:t xml:space="preserve"> at the time of its last meeting before the election period.</w:t>
      </w:r>
    </w:p>
    <w:p w14:paraId="7FB9C4F8" w14:textId="77777777" w:rsidR="0030537A" w:rsidRDefault="0030537A" w:rsidP="0030537A">
      <w:pPr>
        <w:rPr>
          <w:rFonts w:cs="Arial"/>
          <w:szCs w:val="20"/>
        </w:rPr>
      </w:pPr>
      <w:r w:rsidRPr="00E22B2A">
        <w:rPr>
          <w:rFonts w:cs="Arial"/>
          <w:szCs w:val="20"/>
        </w:rPr>
        <w:t xml:space="preserve">There is no obligation for licensees to </w:t>
      </w:r>
      <w:r>
        <w:rPr>
          <w:rFonts w:cs="Arial"/>
          <w:szCs w:val="20"/>
        </w:rPr>
        <w:t xml:space="preserve">broadcast any election matter </w:t>
      </w:r>
      <w:r w:rsidRPr="00E22B2A">
        <w:rPr>
          <w:rFonts w:cs="Arial"/>
          <w:szCs w:val="20"/>
        </w:rPr>
        <w:t>free of charge.</w:t>
      </w:r>
    </w:p>
    <w:p w14:paraId="14C66365" w14:textId="77777777" w:rsidR="0030537A" w:rsidRDefault="0030537A" w:rsidP="0030537A">
      <w:r>
        <w:rPr>
          <w:rFonts w:cs="Arial"/>
          <w:szCs w:val="20"/>
        </w:rPr>
        <w:t xml:space="preserve">Whether opportunities were considered to be ‘reasonable’ would be established during an investigation if the ACMA were to investigate a matter that required this issue to be considered. </w:t>
      </w:r>
    </w:p>
    <w:p w14:paraId="19DFD291" w14:textId="77777777" w:rsidR="0030537A" w:rsidRPr="00E22B2A" w:rsidRDefault="0030537A" w:rsidP="0030537A">
      <w:pPr>
        <w:pStyle w:val="Heading2"/>
      </w:pPr>
      <w:bookmarkStart w:id="62" w:name="_Toc96344059"/>
      <w:bookmarkStart w:id="63" w:name="_Toc97799993"/>
      <w:r w:rsidRPr="00E22B2A">
        <w:lastRenderedPageBreak/>
        <w:t>Election ‘blackouts’</w:t>
      </w:r>
      <w:bookmarkEnd w:id="62"/>
      <w:bookmarkEnd w:id="63"/>
    </w:p>
    <w:p w14:paraId="3A9DB2FB" w14:textId="30B0AC36" w:rsidR="0030537A" w:rsidRPr="00E22B2A" w:rsidRDefault="0030537A" w:rsidP="0030537A">
      <w:pPr>
        <w:spacing w:after="160" w:line="259" w:lineRule="auto"/>
        <w:rPr>
          <w:rFonts w:cs="Arial"/>
          <w:szCs w:val="20"/>
        </w:rPr>
      </w:pPr>
      <w:r>
        <w:rPr>
          <w:rFonts w:cs="Arial"/>
          <w:szCs w:val="20"/>
        </w:rPr>
        <w:t>Election blackouts are c</w:t>
      </w:r>
      <w:r w:rsidRPr="00E22B2A">
        <w:rPr>
          <w:rFonts w:cs="Arial"/>
          <w:szCs w:val="20"/>
        </w:rPr>
        <w:t>alled the ‘relevant period’</w:t>
      </w:r>
      <w:r>
        <w:rPr>
          <w:rFonts w:cs="Arial"/>
          <w:szCs w:val="20"/>
        </w:rPr>
        <w:t xml:space="preserve"> in the BSA. This period </w:t>
      </w:r>
      <w:r w:rsidR="003C1722">
        <w:rPr>
          <w:rFonts w:cs="Arial"/>
          <w:szCs w:val="20"/>
        </w:rPr>
        <w:t>begins</w:t>
      </w:r>
      <w:r w:rsidR="003C1722" w:rsidRPr="00E22B2A">
        <w:rPr>
          <w:rFonts w:cs="Arial"/>
          <w:szCs w:val="20"/>
        </w:rPr>
        <w:t xml:space="preserve"> </w:t>
      </w:r>
      <w:r w:rsidRPr="00E22B2A">
        <w:rPr>
          <w:rFonts w:cs="Arial"/>
          <w:szCs w:val="20"/>
        </w:rPr>
        <w:t xml:space="preserve">at midnight on the Thursday morning before polling day and </w:t>
      </w:r>
      <w:r w:rsidR="003C1722">
        <w:rPr>
          <w:rFonts w:cs="Arial"/>
          <w:szCs w:val="20"/>
        </w:rPr>
        <w:t>ends</w:t>
      </w:r>
      <w:r w:rsidR="003C1722" w:rsidRPr="00E22B2A">
        <w:rPr>
          <w:rFonts w:cs="Arial"/>
          <w:szCs w:val="20"/>
        </w:rPr>
        <w:t xml:space="preserve"> </w:t>
      </w:r>
      <w:r w:rsidRPr="00E22B2A">
        <w:rPr>
          <w:rFonts w:cs="Arial"/>
          <w:szCs w:val="20"/>
        </w:rPr>
        <w:t>at the close of the poll</w:t>
      </w:r>
      <w:r>
        <w:rPr>
          <w:rFonts w:cs="Arial"/>
          <w:szCs w:val="20"/>
        </w:rPr>
        <w:t xml:space="preserve"> (</w:t>
      </w:r>
      <w:r w:rsidR="003C1722">
        <w:rPr>
          <w:rFonts w:cs="Arial"/>
          <w:szCs w:val="20"/>
        </w:rPr>
        <w:t xml:space="preserve">that is, </w:t>
      </w:r>
      <w:r>
        <w:rPr>
          <w:rFonts w:cs="Arial"/>
          <w:szCs w:val="20"/>
        </w:rPr>
        <w:t>voting)</w:t>
      </w:r>
      <w:r w:rsidRPr="00E22B2A">
        <w:rPr>
          <w:rFonts w:cs="Arial"/>
          <w:szCs w:val="20"/>
        </w:rPr>
        <w:t xml:space="preserve"> on polling day.</w:t>
      </w:r>
    </w:p>
    <w:p w14:paraId="4EE82AC3" w14:textId="1AB635DA" w:rsidR="0030537A" w:rsidRPr="007B58C4" w:rsidRDefault="0030537A" w:rsidP="0030537A">
      <w:pPr>
        <w:rPr>
          <w:rFonts w:cs="Arial"/>
          <w:szCs w:val="20"/>
        </w:rPr>
      </w:pPr>
      <w:r>
        <w:rPr>
          <w:rFonts w:cs="Arial"/>
          <w:szCs w:val="20"/>
        </w:rPr>
        <w:t>Election blackouts o</w:t>
      </w:r>
      <w:r w:rsidRPr="007B58C4">
        <w:rPr>
          <w:rFonts w:cs="Arial"/>
          <w:szCs w:val="20"/>
        </w:rPr>
        <w:t>nly appl</w:t>
      </w:r>
      <w:r>
        <w:rPr>
          <w:rFonts w:cs="Arial"/>
          <w:szCs w:val="20"/>
        </w:rPr>
        <w:t>y</w:t>
      </w:r>
      <w:r w:rsidRPr="007B58C4">
        <w:rPr>
          <w:rFonts w:cs="Arial"/>
          <w:szCs w:val="20"/>
        </w:rPr>
        <w:t xml:space="preserve"> to parliamentary elections</w:t>
      </w:r>
      <w:r w:rsidR="00B13E8F">
        <w:t xml:space="preserve"> – </w:t>
      </w:r>
      <w:r>
        <w:rPr>
          <w:rFonts w:cs="Arial"/>
          <w:szCs w:val="20"/>
        </w:rPr>
        <w:t>that is, f</w:t>
      </w:r>
      <w:r w:rsidRPr="007B58C4">
        <w:rPr>
          <w:rFonts w:cs="Arial"/>
          <w:szCs w:val="20"/>
        </w:rPr>
        <w:t xml:space="preserve">ederal and </w:t>
      </w:r>
      <w:r>
        <w:rPr>
          <w:rFonts w:cs="Arial"/>
          <w:szCs w:val="20"/>
        </w:rPr>
        <w:t>s</w:t>
      </w:r>
      <w:r w:rsidRPr="007B58C4">
        <w:rPr>
          <w:rFonts w:cs="Arial"/>
          <w:szCs w:val="20"/>
        </w:rPr>
        <w:t>tat</w:t>
      </w:r>
      <w:r>
        <w:rPr>
          <w:rFonts w:cs="Arial"/>
          <w:szCs w:val="20"/>
        </w:rPr>
        <w:t>e or t</w:t>
      </w:r>
      <w:r w:rsidRPr="007B58C4">
        <w:rPr>
          <w:rFonts w:cs="Arial"/>
          <w:szCs w:val="20"/>
        </w:rPr>
        <w:t>erritory</w:t>
      </w:r>
      <w:r>
        <w:rPr>
          <w:rFonts w:cs="Arial"/>
          <w:szCs w:val="20"/>
        </w:rPr>
        <w:t xml:space="preserve"> elections. There is no blackout period for </w:t>
      </w:r>
      <w:r w:rsidRPr="007B58C4">
        <w:rPr>
          <w:rFonts w:cs="Arial"/>
          <w:szCs w:val="20"/>
        </w:rPr>
        <w:t>local government</w:t>
      </w:r>
      <w:r>
        <w:rPr>
          <w:rFonts w:cs="Arial"/>
          <w:szCs w:val="20"/>
        </w:rPr>
        <w:t xml:space="preserve"> elections</w:t>
      </w:r>
      <w:r w:rsidRPr="007B58C4">
        <w:rPr>
          <w:rFonts w:cs="Arial"/>
          <w:szCs w:val="20"/>
        </w:rPr>
        <w:t>.</w:t>
      </w:r>
    </w:p>
    <w:p w14:paraId="3BBD640A" w14:textId="77777777" w:rsidR="0030537A" w:rsidRPr="00C06489" w:rsidRDefault="0030537A" w:rsidP="0030537A">
      <w:pPr>
        <w:rPr>
          <w:rFonts w:cs="Arial"/>
          <w:szCs w:val="20"/>
        </w:rPr>
      </w:pPr>
      <w:r>
        <w:rPr>
          <w:rFonts w:cs="Arial"/>
          <w:szCs w:val="20"/>
        </w:rPr>
        <w:t>For federal elections, t</w:t>
      </w:r>
      <w:r w:rsidRPr="003E3272">
        <w:rPr>
          <w:rFonts w:cs="Arial"/>
          <w:szCs w:val="20"/>
        </w:rPr>
        <w:t>he ACMA updates its website information about current election blackouts shortly after election dates have been publicised by the AEC. The website is not updated for state and territory by-elections.</w:t>
      </w:r>
    </w:p>
    <w:p w14:paraId="67354B13" w14:textId="0FFFE288" w:rsidR="0030537A" w:rsidRDefault="0030537A" w:rsidP="0030537A">
      <w:pPr>
        <w:pStyle w:val="Heading1"/>
      </w:pPr>
      <w:bookmarkStart w:id="64" w:name="_Toc96344060"/>
      <w:bookmarkStart w:id="65" w:name="_Toc97799994"/>
      <w:r>
        <w:lastRenderedPageBreak/>
        <w:t>Appendix</w:t>
      </w:r>
      <w:bookmarkEnd w:id="64"/>
      <w:bookmarkEnd w:id="65"/>
    </w:p>
    <w:p w14:paraId="66A22F41" w14:textId="6A298763" w:rsidR="00F643D7" w:rsidRPr="00F643D7" w:rsidRDefault="00F643D7" w:rsidP="00997A95">
      <w:r>
        <w:t xml:space="preserve">These case studies are based on actual investigations undertaken by the ACMA. </w:t>
      </w:r>
    </w:p>
    <w:p w14:paraId="028E0CB8" w14:textId="77777777" w:rsidR="0030537A" w:rsidRPr="00DB1AA8" w:rsidRDefault="0030537A" w:rsidP="0030537A">
      <w:pPr>
        <w:pStyle w:val="Heading2"/>
      </w:pPr>
      <w:bookmarkStart w:id="66" w:name="_Case_study_1"/>
      <w:bookmarkStart w:id="67" w:name="_Toc96344061"/>
      <w:bookmarkStart w:id="68" w:name="_Toc97799995"/>
      <w:bookmarkEnd w:id="66"/>
      <w:r w:rsidRPr="000606EE">
        <w:t>Case stud</w:t>
      </w:r>
      <w:r>
        <w:t>y 1</w:t>
      </w:r>
      <w:bookmarkEnd w:id="67"/>
      <w:bookmarkEnd w:id="68"/>
    </w:p>
    <w:p w14:paraId="1E8AA924" w14:textId="0368114E" w:rsidR="0030537A" w:rsidRDefault="0030537A" w:rsidP="0030537A">
      <w:pPr>
        <w:pStyle w:val="Heading3"/>
      </w:pPr>
      <w:bookmarkStart w:id="69" w:name="_Toc5863397"/>
      <w:bookmarkStart w:id="70" w:name="_Toc5963141"/>
      <w:bookmarkStart w:id="71" w:name="_Toc96344062"/>
      <w:bookmarkStart w:id="72" w:name="_Toc97799996"/>
      <w:r w:rsidRPr="00321AF8">
        <w:t>Breach</w:t>
      </w:r>
      <w:r w:rsidR="00B13E8F">
        <w:t xml:space="preserve"> – </w:t>
      </w:r>
      <w:r w:rsidR="005F42B5">
        <w:t>l</w:t>
      </w:r>
      <w:r>
        <w:t>icensee did not announce the required particulars immediately after the broadcast of political matter.</w:t>
      </w:r>
      <w:bookmarkEnd w:id="69"/>
      <w:bookmarkEnd w:id="70"/>
      <w:bookmarkEnd w:id="71"/>
      <w:bookmarkEnd w:id="72"/>
      <w:r>
        <w:t xml:space="preserve">  </w:t>
      </w:r>
    </w:p>
    <w:p w14:paraId="488789B2" w14:textId="77777777" w:rsidR="0030537A" w:rsidRPr="00427FF4" w:rsidRDefault="0030537A" w:rsidP="003008E1">
      <w:pPr>
        <w:pStyle w:val="BodySubHeader"/>
      </w:pPr>
      <w:r w:rsidRPr="00427FF4">
        <w:t xml:space="preserve">The </w:t>
      </w:r>
      <w:r w:rsidRPr="009E163D">
        <w:t>broadcast</w:t>
      </w:r>
      <w:r w:rsidRPr="00427FF4">
        <w:t xml:space="preserve"> material</w:t>
      </w:r>
    </w:p>
    <w:p w14:paraId="12BA4450" w14:textId="2A6C1C7F" w:rsidR="0030537A" w:rsidRDefault="0030537A" w:rsidP="0030537A">
      <w:pPr>
        <w:rPr>
          <w:rFonts w:cs="Arial"/>
          <w:szCs w:val="20"/>
        </w:rPr>
      </w:pPr>
      <w:r w:rsidRPr="00517129">
        <w:rPr>
          <w:rFonts w:cs="Arial"/>
          <w:szCs w:val="20"/>
        </w:rPr>
        <w:t>The advertisement feature</w:t>
      </w:r>
      <w:r>
        <w:rPr>
          <w:rFonts w:cs="Arial"/>
          <w:szCs w:val="20"/>
        </w:rPr>
        <w:t>d</w:t>
      </w:r>
      <w:r w:rsidRPr="00517129">
        <w:rPr>
          <w:rFonts w:cs="Arial"/>
          <w:szCs w:val="20"/>
        </w:rPr>
        <w:t xml:space="preserve"> a man wearing ‘hi-vis’ work attire. He </w:t>
      </w:r>
      <w:r>
        <w:rPr>
          <w:rFonts w:cs="Arial"/>
          <w:szCs w:val="20"/>
        </w:rPr>
        <w:t>wa</w:t>
      </w:r>
      <w:r w:rsidRPr="00517129">
        <w:rPr>
          <w:rFonts w:cs="Arial"/>
          <w:szCs w:val="20"/>
        </w:rPr>
        <w:t xml:space="preserve">s sitting in his </w:t>
      </w:r>
      <w:r w:rsidR="00B13E8F">
        <w:rPr>
          <w:rFonts w:cs="Arial"/>
          <w:szCs w:val="20"/>
        </w:rPr>
        <w:t>ute</w:t>
      </w:r>
      <w:r w:rsidRPr="00517129">
        <w:rPr>
          <w:rFonts w:cs="Arial"/>
          <w:szCs w:val="20"/>
        </w:rPr>
        <w:t xml:space="preserve"> and speaking directly to the camera as he recall</w:t>
      </w:r>
      <w:r>
        <w:rPr>
          <w:rFonts w:cs="Arial"/>
          <w:szCs w:val="20"/>
        </w:rPr>
        <w:t>ed</w:t>
      </w:r>
      <w:r w:rsidRPr="00517129">
        <w:rPr>
          <w:rFonts w:cs="Arial"/>
          <w:szCs w:val="20"/>
        </w:rPr>
        <w:t xml:space="preserve"> the circumstances of his wife’s first pregnancy and sa</w:t>
      </w:r>
      <w:r>
        <w:rPr>
          <w:rFonts w:cs="Arial"/>
          <w:szCs w:val="20"/>
        </w:rPr>
        <w:t>id</w:t>
      </w:r>
      <w:r w:rsidRPr="00517129">
        <w:rPr>
          <w:rFonts w:cs="Arial"/>
          <w:szCs w:val="20"/>
        </w:rPr>
        <w:t>, ‘I can remember thinking, how are we going to cope?’ He exit</w:t>
      </w:r>
      <w:r>
        <w:rPr>
          <w:rFonts w:cs="Arial"/>
          <w:szCs w:val="20"/>
        </w:rPr>
        <w:t>ed</w:t>
      </w:r>
      <w:r w:rsidRPr="00517129">
        <w:rPr>
          <w:rFonts w:cs="Arial"/>
          <w:szCs w:val="20"/>
        </w:rPr>
        <w:t xml:space="preserve"> the vehicle and enter</w:t>
      </w:r>
      <w:r>
        <w:rPr>
          <w:rFonts w:cs="Arial"/>
          <w:szCs w:val="20"/>
        </w:rPr>
        <w:t>ed</w:t>
      </w:r>
      <w:r w:rsidRPr="00517129">
        <w:rPr>
          <w:rFonts w:cs="Arial"/>
          <w:szCs w:val="20"/>
        </w:rPr>
        <w:t xml:space="preserve"> his family home. </w:t>
      </w:r>
    </w:p>
    <w:p w14:paraId="0EDB71F4" w14:textId="77777777" w:rsidR="0030537A" w:rsidRPr="00862EA6" w:rsidRDefault="0030537A" w:rsidP="0030537A">
      <w:pPr>
        <w:rPr>
          <w:rFonts w:cs="Arial"/>
          <w:szCs w:val="20"/>
        </w:rPr>
      </w:pPr>
      <w:r w:rsidRPr="00862EA6">
        <w:rPr>
          <w:rFonts w:cs="Arial"/>
          <w:szCs w:val="20"/>
        </w:rPr>
        <w:t>The advertisement continue</w:t>
      </w:r>
      <w:r>
        <w:rPr>
          <w:rFonts w:cs="Arial"/>
          <w:szCs w:val="20"/>
        </w:rPr>
        <w:t>d</w:t>
      </w:r>
      <w:r w:rsidRPr="00862EA6">
        <w:rPr>
          <w:rFonts w:cs="Arial"/>
          <w:szCs w:val="20"/>
        </w:rPr>
        <w:t xml:space="preserve"> with the man and his seven children in the family kitchen/living room. As he h</w:t>
      </w:r>
      <w:r>
        <w:rPr>
          <w:rFonts w:cs="Arial"/>
          <w:szCs w:val="20"/>
        </w:rPr>
        <w:t>eld</w:t>
      </w:r>
      <w:r w:rsidRPr="00862EA6">
        <w:rPr>
          <w:rFonts w:cs="Arial"/>
          <w:szCs w:val="20"/>
        </w:rPr>
        <w:t xml:space="preserve"> a newborn baby, the man sa</w:t>
      </w:r>
      <w:r>
        <w:rPr>
          <w:rFonts w:cs="Arial"/>
          <w:szCs w:val="20"/>
        </w:rPr>
        <w:t>id</w:t>
      </w:r>
      <w:r w:rsidRPr="00862EA6">
        <w:rPr>
          <w:rFonts w:cs="Arial"/>
          <w:szCs w:val="20"/>
        </w:rPr>
        <w:t>, ‘I reckon, I’ve coped just fine’. At the same time, the words</w:t>
      </w:r>
      <w:r>
        <w:rPr>
          <w:rFonts w:cs="Arial"/>
          <w:szCs w:val="20"/>
        </w:rPr>
        <w:t>,</w:t>
      </w:r>
      <w:r w:rsidRPr="00862EA6">
        <w:rPr>
          <w:rFonts w:cs="Arial"/>
          <w:szCs w:val="20"/>
        </w:rPr>
        <w:t xml:space="preserve"> ‘I coped … you can too’ appear</w:t>
      </w:r>
      <w:r>
        <w:rPr>
          <w:rFonts w:cs="Arial"/>
          <w:szCs w:val="20"/>
        </w:rPr>
        <w:t>ed</w:t>
      </w:r>
      <w:r w:rsidRPr="00862EA6">
        <w:rPr>
          <w:rFonts w:cs="Arial"/>
          <w:szCs w:val="20"/>
        </w:rPr>
        <w:t xml:space="preserve"> as on-screen text.</w:t>
      </w:r>
    </w:p>
    <w:p w14:paraId="13AF5CA9" w14:textId="04AC9FE2" w:rsidR="0030537A" w:rsidRDefault="0030537A" w:rsidP="0030537A">
      <w:pPr>
        <w:rPr>
          <w:rFonts w:cs="Arial"/>
          <w:szCs w:val="20"/>
        </w:rPr>
      </w:pPr>
      <w:r w:rsidRPr="00862EA6">
        <w:rPr>
          <w:rFonts w:cs="Arial"/>
          <w:szCs w:val="20"/>
        </w:rPr>
        <w:t>The advertisement conclude</w:t>
      </w:r>
      <w:r>
        <w:rPr>
          <w:rFonts w:cs="Arial"/>
          <w:szCs w:val="20"/>
        </w:rPr>
        <w:t>d</w:t>
      </w:r>
      <w:r w:rsidRPr="00862EA6">
        <w:rPr>
          <w:rFonts w:cs="Arial"/>
          <w:szCs w:val="20"/>
        </w:rPr>
        <w:t xml:space="preserve"> with the man standing in a kitchen, surrounded by his family as they each h</w:t>
      </w:r>
      <w:r>
        <w:rPr>
          <w:rFonts w:cs="Arial"/>
          <w:szCs w:val="20"/>
        </w:rPr>
        <w:t>e</w:t>
      </w:r>
      <w:r w:rsidRPr="00862EA6">
        <w:rPr>
          <w:rFonts w:cs="Arial"/>
          <w:szCs w:val="20"/>
        </w:rPr>
        <w:t>ld up what appear</w:t>
      </w:r>
      <w:r>
        <w:rPr>
          <w:rFonts w:cs="Arial"/>
          <w:szCs w:val="20"/>
        </w:rPr>
        <w:t>ed</w:t>
      </w:r>
      <w:r w:rsidRPr="00862EA6">
        <w:rPr>
          <w:rFonts w:cs="Arial"/>
          <w:szCs w:val="20"/>
        </w:rPr>
        <w:t xml:space="preserve"> to be ultrasound images of human fetuses. The man t</w:t>
      </w:r>
      <w:r>
        <w:rPr>
          <w:rFonts w:cs="Arial"/>
          <w:szCs w:val="20"/>
        </w:rPr>
        <w:t>hen told</w:t>
      </w:r>
      <w:r w:rsidRPr="00862EA6">
        <w:rPr>
          <w:rFonts w:cs="Arial"/>
          <w:szCs w:val="20"/>
        </w:rPr>
        <w:t xml:space="preserve"> viewers to ‘visit notbornyet.com’. </w:t>
      </w:r>
      <w:r w:rsidRPr="00CE3356">
        <w:rPr>
          <w:rFonts w:cs="Arial"/>
          <w:szCs w:val="20"/>
        </w:rPr>
        <w:t>The Emily’s Voice logo</w:t>
      </w:r>
      <w:r w:rsidRPr="00862EA6">
        <w:rPr>
          <w:rFonts w:cs="Arial"/>
          <w:szCs w:val="20"/>
        </w:rPr>
        <w:t xml:space="preserve"> and the text ‘</w:t>
      </w:r>
      <w:r w:rsidRPr="00CE3356">
        <w:rPr>
          <w:rFonts w:cs="Arial"/>
          <w:szCs w:val="20"/>
        </w:rPr>
        <w:t>notbornyet.com</w:t>
      </w:r>
      <w:r w:rsidRPr="00862EA6">
        <w:rPr>
          <w:rFonts w:cs="Arial"/>
          <w:szCs w:val="20"/>
        </w:rPr>
        <w:t xml:space="preserve">’ </w:t>
      </w:r>
      <w:r>
        <w:rPr>
          <w:rFonts w:cs="Arial"/>
          <w:szCs w:val="20"/>
        </w:rPr>
        <w:t>we</w:t>
      </w:r>
      <w:r w:rsidRPr="00862EA6">
        <w:rPr>
          <w:rFonts w:cs="Arial"/>
          <w:szCs w:val="20"/>
        </w:rPr>
        <w:t>re then superimposed in the lower half of the screen.</w:t>
      </w:r>
    </w:p>
    <w:p w14:paraId="498269A7" w14:textId="77777777" w:rsidR="0030537A" w:rsidRPr="00427FF4" w:rsidRDefault="0030537A" w:rsidP="0030537A">
      <w:pPr>
        <w:pStyle w:val="BodySubHeader"/>
      </w:pPr>
      <w:r w:rsidRPr="00427FF4">
        <w:t xml:space="preserve">The </w:t>
      </w:r>
      <w:r w:rsidRPr="009E163D">
        <w:t>ACMA’s</w:t>
      </w:r>
      <w:r w:rsidRPr="00427FF4">
        <w:t xml:space="preserve"> findings</w:t>
      </w:r>
    </w:p>
    <w:p w14:paraId="2B1C1698" w14:textId="2AB5EEC9" w:rsidR="0030537A" w:rsidRDefault="0030537A" w:rsidP="0030537A">
      <w:r w:rsidRPr="00FF02D3">
        <w:t>While the advertisement ha</w:t>
      </w:r>
      <w:r>
        <w:t>d</w:t>
      </w:r>
      <w:r w:rsidRPr="00FF02D3">
        <w:t xml:space="preserve"> a social dimension regarding individual health choices, </w:t>
      </w:r>
      <w:r w:rsidR="00F643D7">
        <w:t xml:space="preserve">we </w:t>
      </w:r>
      <w:r w:rsidRPr="00FF02D3">
        <w:t>consider</w:t>
      </w:r>
      <w:r>
        <w:t>ed</w:t>
      </w:r>
      <w:r w:rsidRPr="00FF02D3">
        <w:t xml:space="preserve"> that it </w:t>
      </w:r>
      <w:r>
        <w:t>went</w:t>
      </w:r>
      <w:r w:rsidRPr="00FF02D3">
        <w:t xml:space="preserve"> beyond providing information about the man’s personal story and the message of support for continuing with an unwanted pregnancy</w:t>
      </w:r>
      <w:r w:rsidR="00B13E8F">
        <w:t>,</w:t>
      </w:r>
      <w:r w:rsidRPr="00FF02D3">
        <w:t xml:space="preserve"> even in difficult circumstances. It </w:t>
      </w:r>
      <w:r>
        <w:t>was</w:t>
      </w:r>
      <w:r w:rsidRPr="00FF02D3">
        <w:t xml:space="preserve"> attempting to influence the viewpoints of viewers. The text onscreen ‘I coped </w:t>
      </w:r>
      <w:r>
        <w:t>… y</w:t>
      </w:r>
      <w:r w:rsidRPr="00FF02D3">
        <w:t>ou can too’ and the call from the man to ‘visit notbornyet.com’ encourage</w:t>
      </w:r>
      <w:r>
        <w:t>d</w:t>
      </w:r>
      <w:r w:rsidRPr="00FF02D3">
        <w:t xml:space="preserve"> viewers to get more information about the issue of abortion</w:t>
      </w:r>
      <w:r>
        <w:t>,</w:t>
      </w:r>
      <w:r w:rsidRPr="00FF02D3">
        <w:t xml:space="preserve"> which </w:t>
      </w:r>
      <w:r>
        <w:t>wa</w:t>
      </w:r>
      <w:r w:rsidRPr="00FF02D3">
        <w:t>s raised indirectly in the advertisement. Together with the use of ultrasound images, these elements signal</w:t>
      </w:r>
      <w:r>
        <w:t>led</w:t>
      </w:r>
      <w:r w:rsidRPr="00FF02D3">
        <w:t xml:space="preserve"> to the ordinary reasonable viewer that the advertisement intended to influence viewers to accept a particular view on abortion.</w:t>
      </w:r>
    </w:p>
    <w:p w14:paraId="6F9B8069" w14:textId="13AC410F" w:rsidR="0030537A" w:rsidRPr="00433F5D" w:rsidRDefault="00F643D7" w:rsidP="0030537A">
      <w:pPr>
        <w:rPr>
          <w:rFonts w:cs="Arial"/>
          <w:szCs w:val="20"/>
        </w:rPr>
      </w:pPr>
      <w:r>
        <w:rPr>
          <w:rFonts w:cs="Arial"/>
          <w:szCs w:val="20"/>
        </w:rPr>
        <w:t xml:space="preserve">We </w:t>
      </w:r>
      <w:r w:rsidR="0030537A">
        <w:rPr>
          <w:rFonts w:cs="Arial"/>
          <w:szCs w:val="20"/>
        </w:rPr>
        <w:t xml:space="preserve">believed </w:t>
      </w:r>
      <w:r w:rsidR="0030537A" w:rsidRPr="00433F5D">
        <w:rPr>
          <w:rFonts w:cs="Arial"/>
          <w:szCs w:val="20"/>
        </w:rPr>
        <w:t xml:space="preserve">a key purpose of the advertisement was to promote the aims and objectives of Emily’s Voice and to change people’s views about </w:t>
      </w:r>
      <w:proofErr w:type="gramStart"/>
      <w:r w:rsidR="0030537A" w:rsidRPr="00433F5D">
        <w:rPr>
          <w:rFonts w:cs="Arial"/>
          <w:szCs w:val="20"/>
        </w:rPr>
        <w:t>abortion</w:t>
      </w:r>
      <w:r>
        <w:rPr>
          <w:rFonts w:cs="Arial"/>
          <w:szCs w:val="20"/>
        </w:rPr>
        <w:t>,</w:t>
      </w:r>
      <w:r w:rsidR="0030537A" w:rsidRPr="00433F5D">
        <w:rPr>
          <w:rFonts w:cs="Arial"/>
          <w:szCs w:val="20"/>
        </w:rPr>
        <w:t xml:space="preserve"> and</w:t>
      </w:r>
      <w:proofErr w:type="gramEnd"/>
      <w:r w:rsidR="0030537A" w:rsidRPr="00433F5D">
        <w:rPr>
          <w:rFonts w:cs="Arial"/>
          <w:szCs w:val="20"/>
        </w:rPr>
        <w:t xml:space="preserve"> build a broader constituency that oppose</w:t>
      </w:r>
      <w:r w:rsidR="0030537A">
        <w:rPr>
          <w:rFonts w:cs="Arial"/>
          <w:szCs w:val="20"/>
        </w:rPr>
        <w:t>d</w:t>
      </w:r>
      <w:r w:rsidR="0030537A" w:rsidRPr="00433F5D">
        <w:rPr>
          <w:rFonts w:cs="Arial"/>
          <w:szCs w:val="20"/>
        </w:rPr>
        <w:t xml:space="preserve"> abortion </w:t>
      </w:r>
      <w:r>
        <w:rPr>
          <w:rFonts w:cs="Arial"/>
          <w:szCs w:val="20"/>
        </w:rPr>
        <w:t xml:space="preserve">while </w:t>
      </w:r>
      <w:r w:rsidR="0030537A" w:rsidRPr="00433F5D">
        <w:rPr>
          <w:rFonts w:cs="Arial"/>
          <w:szCs w:val="20"/>
        </w:rPr>
        <w:t>laws about abortion continue</w:t>
      </w:r>
      <w:r w:rsidR="0030537A">
        <w:rPr>
          <w:rFonts w:cs="Arial"/>
          <w:szCs w:val="20"/>
        </w:rPr>
        <w:t>d</w:t>
      </w:r>
      <w:r w:rsidR="0030537A" w:rsidRPr="00433F5D">
        <w:rPr>
          <w:rFonts w:cs="Arial"/>
          <w:szCs w:val="20"/>
        </w:rPr>
        <w:t xml:space="preserve"> to be actively debated in Australia. For this reason, there </w:t>
      </w:r>
      <w:r w:rsidR="0030537A">
        <w:rPr>
          <w:rFonts w:cs="Arial"/>
          <w:szCs w:val="20"/>
        </w:rPr>
        <w:t>we</w:t>
      </w:r>
      <w:r w:rsidR="0030537A" w:rsidRPr="00433F5D">
        <w:rPr>
          <w:rFonts w:cs="Arial"/>
          <w:szCs w:val="20"/>
        </w:rPr>
        <w:t xml:space="preserve">re strong political dimensions to the advertisement. </w:t>
      </w:r>
    </w:p>
    <w:p w14:paraId="3B9A2904" w14:textId="5850F416" w:rsidR="0030537A" w:rsidRDefault="003008E1" w:rsidP="0030537A">
      <w:pPr>
        <w:rPr>
          <w:rFonts w:cs="Arial"/>
          <w:i/>
          <w:szCs w:val="20"/>
        </w:rPr>
      </w:pPr>
      <w:r>
        <w:rPr>
          <w:rFonts w:cs="Arial"/>
          <w:szCs w:val="20"/>
        </w:rPr>
        <w:t xml:space="preserve">We </w:t>
      </w:r>
      <w:r w:rsidR="0030537A">
        <w:rPr>
          <w:rFonts w:cs="Arial"/>
          <w:szCs w:val="20"/>
        </w:rPr>
        <w:t>deemed</w:t>
      </w:r>
      <w:r w:rsidR="0030537A" w:rsidRPr="00433F5D">
        <w:rPr>
          <w:rFonts w:cs="Arial"/>
          <w:szCs w:val="20"/>
        </w:rPr>
        <w:t xml:space="preserve"> </w:t>
      </w:r>
      <w:r w:rsidR="0030537A">
        <w:rPr>
          <w:rFonts w:cs="Arial"/>
          <w:szCs w:val="20"/>
        </w:rPr>
        <w:t xml:space="preserve">that as the </w:t>
      </w:r>
      <w:r w:rsidR="0030537A" w:rsidRPr="00433F5D">
        <w:rPr>
          <w:rFonts w:cs="Arial"/>
          <w:szCs w:val="20"/>
        </w:rPr>
        <w:t xml:space="preserve">broadcast </w:t>
      </w:r>
      <w:r w:rsidR="0030537A">
        <w:rPr>
          <w:rFonts w:cs="Arial"/>
          <w:szCs w:val="20"/>
        </w:rPr>
        <w:t>wa</w:t>
      </w:r>
      <w:r w:rsidR="0030537A" w:rsidRPr="00433F5D">
        <w:rPr>
          <w:rFonts w:cs="Arial"/>
          <w:szCs w:val="20"/>
        </w:rPr>
        <w:t>s likely to affect a person’s opinion on a matter of political controversy</w:t>
      </w:r>
      <w:r w:rsidR="0030537A">
        <w:rPr>
          <w:rFonts w:cs="Arial"/>
          <w:szCs w:val="20"/>
        </w:rPr>
        <w:t>,</w:t>
      </w:r>
      <w:r w:rsidR="0030537A" w:rsidRPr="00433F5D">
        <w:rPr>
          <w:rFonts w:cs="Arial"/>
          <w:szCs w:val="20"/>
        </w:rPr>
        <w:t xml:space="preserve"> it </w:t>
      </w:r>
      <w:r w:rsidR="0030537A">
        <w:rPr>
          <w:rFonts w:cs="Arial"/>
          <w:szCs w:val="20"/>
        </w:rPr>
        <w:t>wa</w:t>
      </w:r>
      <w:r w:rsidR="0030537A" w:rsidRPr="00433F5D">
        <w:rPr>
          <w:rFonts w:cs="Arial"/>
          <w:szCs w:val="20"/>
        </w:rPr>
        <w:t>s political matter and f</w:t>
      </w:r>
      <w:r w:rsidR="0030537A">
        <w:rPr>
          <w:rFonts w:cs="Arial"/>
          <w:szCs w:val="20"/>
        </w:rPr>
        <w:t>e</w:t>
      </w:r>
      <w:r w:rsidR="0030537A" w:rsidRPr="00433F5D">
        <w:rPr>
          <w:rFonts w:cs="Arial"/>
          <w:szCs w:val="20"/>
        </w:rPr>
        <w:t>l</w:t>
      </w:r>
      <w:r w:rsidR="0030537A">
        <w:rPr>
          <w:rFonts w:cs="Arial"/>
          <w:szCs w:val="20"/>
        </w:rPr>
        <w:t>l</w:t>
      </w:r>
      <w:r w:rsidR="0030537A" w:rsidRPr="00433F5D">
        <w:rPr>
          <w:rFonts w:cs="Arial"/>
          <w:szCs w:val="20"/>
        </w:rPr>
        <w:t xml:space="preserve"> within subclause 4(2)</w:t>
      </w:r>
      <w:r w:rsidR="0030537A">
        <w:rPr>
          <w:rFonts w:cs="Arial"/>
          <w:szCs w:val="20"/>
        </w:rPr>
        <w:t xml:space="preserve"> of Schedule 2 to the BSA</w:t>
      </w:r>
      <w:r w:rsidR="0030537A" w:rsidRPr="00433F5D">
        <w:rPr>
          <w:rFonts w:cs="Arial"/>
          <w:szCs w:val="20"/>
        </w:rPr>
        <w:t>.</w:t>
      </w:r>
      <w:r w:rsidR="0030537A" w:rsidRPr="00433F5D">
        <w:rPr>
          <w:rFonts w:cs="Arial"/>
          <w:i/>
          <w:szCs w:val="20"/>
        </w:rPr>
        <w:t xml:space="preserve"> </w:t>
      </w:r>
    </w:p>
    <w:p w14:paraId="24245572" w14:textId="44106D80" w:rsidR="0030537A" w:rsidRPr="001638A2" w:rsidRDefault="0030537A" w:rsidP="0030537A">
      <w:pPr>
        <w:rPr>
          <w:rFonts w:cs="Arial"/>
          <w:szCs w:val="20"/>
        </w:rPr>
      </w:pPr>
      <w:r w:rsidRPr="00A56A02">
        <w:rPr>
          <w:rFonts w:cs="Arial"/>
          <w:szCs w:val="20"/>
        </w:rPr>
        <w:t xml:space="preserve">The complete analysis in this investigation can be accessed at </w:t>
      </w:r>
      <w:hyperlink r:id="rId33" w:history="1">
        <w:r w:rsidRPr="00A56A02">
          <w:rPr>
            <w:rStyle w:val="Hyperlink"/>
            <w:rFonts w:cs="Arial"/>
            <w:szCs w:val="20"/>
          </w:rPr>
          <w:t>acma.gov.au</w:t>
        </w:r>
      </w:hyperlink>
      <w:r w:rsidR="003008E1">
        <w:rPr>
          <w:rStyle w:val="Hyperlink"/>
          <w:rFonts w:cs="Arial"/>
          <w:szCs w:val="20"/>
        </w:rPr>
        <w:t xml:space="preserve"> </w:t>
      </w:r>
      <w:r w:rsidR="003008E1" w:rsidRPr="004744D1">
        <w:t>(search</w:t>
      </w:r>
      <w:r w:rsidR="003008E1">
        <w:t xml:space="preserve"> ‘</w:t>
      </w:r>
      <w:r w:rsidR="003008E1" w:rsidRPr="00A56A02">
        <w:rPr>
          <w:rFonts w:cs="Arial"/>
          <w:szCs w:val="20"/>
        </w:rPr>
        <w:t>BI-231</w:t>
      </w:r>
      <w:r w:rsidR="003008E1">
        <w:rPr>
          <w:rFonts w:cs="Arial"/>
          <w:szCs w:val="20"/>
        </w:rPr>
        <w:t>’)</w:t>
      </w:r>
      <w:r w:rsidRPr="00A56A02">
        <w:rPr>
          <w:rFonts w:cs="Arial"/>
          <w:szCs w:val="20"/>
        </w:rPr>
        <w:t>.</w:t>
      </w:r>
    </w:p>
    <w:p w14:paraId="040E86EB" w14:textId="77777777" w:rsidR="0030537A" w:rsidRPr="00DB1AA8" w:rsidRDefault="0030537A" w:rsidP="007B370C">
      <w:pPr>
        <w:pStyle w:val="Heading2"/>
        <w:pageBreakBefore/>
      </w:pPr>
      <w:bookmarkStart w:id="73" w:name="_Case_study_2"/>
      <w:bookmarkStart w:id="74" w:name="_Toc96344063"/>
      <w:bookmarkStart w:id="75" w:name="_Toc97799997"/>
      <w:bookmarkEnd w:id="73"/>
      <w:r w:rsidRPr="000606EE">
        <w:lastRenderedPageBreak/>
        <w:t>Case stud</w:t>
      </w:r>
      <w:r>
        <w:t>y 2</w:t>
      </w:r>
      <w:bookmarkEnd w:id="74"/>
      <w:bookmarkEnd w:id="75"/>
    </w:p>
    <w:p w14:paraId="3C5AA55C" w14:textId="445C58EC" w:rsidR="0030537A" w:rsidRDefault="0030537A" w:rsidP="0030537A">
      <w:pPr>
        <w:pStyle w:val="Heading3"/>
      </w:pPr>
      <w:bookmarkStart w:id="76" w:name="_Toc5863399"/>
      <w:bookmarkStart w:id="77" w:name="_Toc5963143"/>
      <w:bookmarkStart w:id="78" w:name="_Toc96344064"/>
      <w:bookmarkStart w:id="79" w:name="_Toc97799998"/>
      <w:r>
        <w:t>No b</w:t>
      </w:r>
      <w:r w:rsidRPr="00321AF8">
        <w:t>reach</w:t>
      </w:r>
      <w:r w:rsidR="003008E1">
        <w:t xml:space="preserve"> – </w:t>
      </w:r>
      <w:r w:rsidR="005F42B5">
        <w:t>p</w:t>
      </w:r>
      <w:r>
        <w:t>olitical matter was not broadcast at the request of another person</w:t>
      </w:r>
      <w:bookmarkEnd w:id="76"/>
      <w:bookmarkEnd w:id="77"/>
      <w:bookmarkEnd w:id="78"/>
      <w:bookmarkEnd w:id="79"/>
      <w:r>
        <w:t xml:space="preserve"> </w:t>
      </w:r>
    </w:p>
    <w:p w14:paraId="7C8698E7" w14:textId="77777777" w:rsidR="0030537A" w:rsidRPr="003008E1" w:rsidRDefault="0030537A" w:rsidP="003008E1">
      <w:pPr>
        <w:pStyle w:val="BodySubHeader"/>
      </w:pPr>
      <w:r w:rsidRPr="003008E1">
        <w:t>The broadcast material</w:t>
      </w:r>
    </w:p>
    <w:p w14:paraId="52A4D7FE" w14:textId="77777777" w:rsidR="0030537A" w:rsidRDefault="0030537A" w:rsidP="004744D1">
      <w:r>
        <w:t xml:space="preserve">The content contained a sequence of 16 images of different people, representing all walks of life, holding up handwritten signs stating what love means to them. For example: ‘I love my dog (&amp; fiancé)’, ‘Love makes the world go round!’ and ‘Love is my baby daughter’. </w:t>
      </w:r>
    </w:p>
    <w:p w14:paraId="18FF11B4" w14:textId="77777777" w:rsidR="0030537A" w:rsidRDefault="0030537A" w:rsidP="004744D1">
      <w:r>
        <w:t>The signs presented a range of personal reflections on love and the ways that people experience it. One of the signs explicitly commented on marriage equality by stating, ‘Love is for everyone. I don’t want to get married but I want the choice!’</w:t>
      </w:r>
    </w:p>
    <w:p w14:paraId="0C56E57C" w14:textId="22BD0841" w:rsidR="0030537A" w:rsidRDefault="0030537A" w:rsidP="004744D1">
      <w:r>
        <w:t>At the end of the promotion, a rainbow-coloured heart appeared on-screen and transformed into the Lifestyle channels’ logo in rainbow colours. The logo was accompanied by the tagline ‘Love is Love’</w:t>
      </w:r>
      <w:r w:rsidR="003008E1">
        <w:t>,</w:t>
      </w:r>
      <w:r>
        <w:t xml:space="preserve"> which transformed into the word ‘Lifestyle’. The use of the Lifestyle channels’ logo in rainbow colours and the text ‘Love is Love’ at the end of the promotion, ‘branded’ it as part of the ‘Love is Love’ campaign. </w:t>
      </w:r>
    </w:p>
    <w:p w14:paraId="7CAE7745" w14:textId="77777777" w:rsidR="0030537A" w:rsidRDefault="0030537A" w:rsidP="0030537A">
      <w:pPr>
        <w:pStyle w:val="ACMABodyText"/>
        <w:spacing w:after="80"/>
      </w:pPr>
      <w:r>
        <w:t>The licensee stated:</w:t>
      </w:r>
    </w:p>
    <w:p w14:paraId="4C229F3B" w14:textId="7F19D63C" w:rsidR="0030537A" w:rsidRPr="00FA2998" w:rsidRDefault="0030537A" w:rsidP="0030537A">
      <w:pPr>
        <w:pStyle w:val="ListBullet"/>
      </w:pPr>
      <w:r>
        <w:t>t</w:t>
      </w:r>
      <w:r w:rsidRPr="00DC43DE">
        <w:t>he ‘Love is Love’ campaign was</w:t>
      </w:r>
      <w:r>
        <w:t xml:space="preserve"> an independent initiative of the Lifestyle channel, </w:t>
      </w:r>
      <w:r w:rsidRPr="00FA2998">
        <w:t xml:space="preserve">planned to coincide with Valentine’s Day, ‘to promote love in all forms, between all different people, regardless of their sexual orientation’ </w:t>
      </w:r>
    </w:p>
    <w:p w14:paraId="67437C5D" w14:textId="4BD2A58E" w:rsidR="0030537A" w:rsidRDefault="0030537A" w:rsidP="0030537A">
      <w:pPr>
        <w:pStyle w:val="ListBullet"/>
        <w:rPr>
          <w:lang w:val="en-US"/>
        </w:rPr>
      </w:pPr>
      <w:r w:rsidRPr="00FA2998">
        <w:t xml:space="preserve">‘Love is Love’ </w:t>
      </w:r>
      <w:r w:rsidRPr="00FA2998">
        <w:rPr>
          <w:lang w:val="en-US"/>
        </w:rPr>
        <w:t>ha</w:t>
      </w:r>
      <w:r>
        <w:rPr>
          <w:lang w:val="en-US"/>
        </w:rPr>
        <w:t>d</w:t>
      </w:r>
      <w:r w:rsidRPr="00FA2998">
        <w:rPr>
          <w:lang w:val="en-US"/>
        </w:rPr>
        <w:t xml:space="preserve"> become synonymous with the </w:t>
      </w:r>
      <w:r>
        <w:rPr>
          <w:lang w:val="en-US"/>
        </w:rPr>
        <w:t xml:space="preserve">global </w:t>
      </w:r>
      <w:r w:rsidRPr="00FA2998">
        <w:rPr>
          <w:lang w:val="en-US"/>
        </w:rPr>
        <w:t xml:space="preserve">push for equality of the </w:t>
      </w:r>
      <w:r w:rsidR="00203190">
        <w:rPr>
          <w:lang w:val="en-US"/>
        </w:rPr>
        <w:t>[</w:t>
      </w:r>
      <w:r w:rsidRPr="00FA2998">
        <w:rPr>
          <w:lang w:val="en-US"/>
        </w:rPr>
        <w:t>LGBT</w:t>
      </w:r>
      <w:r w:rsidR="00203190">
        <w:rPr>
          <w:lang w:val="en-US"/>
        </w:rPr>
        <w:t>Q</w:t>
      </w:r>
      <w:r w:rsidR="00524696">
        <w:rPr>
          <w:lang w:val="en-US"/>
        </w:rPr>
        <w:t>I</w:t>
      </w:r>
      <w:r w:rsidR="00203190">
        <w:rPr>
          <w:lang w:val="en-US"/>
        </w:rPr>
        <w:t>+]</w:t>
      </w:r>
      <w:r w:rsidRPr="00FA2998">
        <w:rPr>
          <w:lang w:val="en-US"/>
        </w:rPr>
        <w:t xml:space="preserve"> community in a</w:t>
      </w:r>
      <w:r>
        <w:rPr>
          <w:lang w:val="en-US"/>
        </w:rPr>
        <w:t xml:space="preserve">ll areas of life, including </w:t>
      </w:r>
      <w:r w:rsidRPr="00FA2998">
        <w:rPr>
          <w:lang w:val="en-US"/>
        </w:rPr>
        <w:t xml:space="preserve">marriage equality in Australia </w:t>
      </w:r>
    </w:p>
    <w:p w14:paraId="2306E523" w14:textId="2C6C96A0" w:rsidR="0030537A" w:rsidRPr="00FA2998" w:rsidRDefault="0030537A" w:rsidP="0030537A">
      <w:pPr>
        <w:pStyle w:val="ListBullet"/>
        <w:rPr>
          <w:lang w:val="en-US"/>
        </w:rPr>
      </w:pPr>
      <w:r w:rsidRPr="00FA2998">
        <w:rPr>
          <w:lang w:val="en-US"/>
        </w:rPr>
        <w:t>the campaign use</w:t>
      </w:r>
      <w:r>
        <w:rPr>
          <w:lang w:val="en-US"/>
        </w:rPr>
        <w:t>d</w:t>
      </w:r>
      <w:r w:rsidRPr="00FA2998">
        <w:rPr>
          <w:lang w:val="en-US"/>
        </w:rPr>
        <w:t xml:space="preserve"> the rainbow colours of the </w:t>
      </w:r>
      <w:r w:rsidR="00524696">
        <w:rPr>
          <w:lang w:val="en-US"/>
        </w:rPr>
        <w:t>[</w:t>
      </w:r>
      <w:r w:rsidRPr="00FA2998">
        <w:rPr>
          <w:lang w:val="en-US"/>
        </w:rPr>
        <w:t>LGBT</w:t>
      </w:r>
      <w:r w:rsidR="00524696">
        <w:rPr>
          <w:lang w:val="en-US"/>
        </w:rPr>
        <w:t>Q</w:t>
      </w:r>
      <w:r w:rsidRPr="00FA2998">
        <w:rPr>
          <w:lang w:val="en-US"/>
        </w:rPr>
        <w:t>I</w:t>
      </w:r>
      <w:r w:rsidR="00524696">
        <w:rPr>
          <w:lang w:val="en-US"/>
        </w:rPr>
        <w:t>+]</w:t>
      </w:r>
      <w:r w:rsidRPr="00FA2998">
        <w:rPr>
          <w:lang w:val="en-US"/>
        </w:rPr>
        <w:t xml:space="preserve"> pride flag to symbolise the acceptance of all expressions of love</w:t>
      </w:r>
    </w:p>
    <w:p w14:paraId="5A913206" w14:textId="129A5AAC" w:rsidR="0030537A" w:rsidRDefault="0030537A" w:rsidP="0030537A">
      <w:pPr>
        <w:pStyle w:val="ListBulletLast"/>
      </w:pPr>
      <w:r>
        <w:t xml:space="preserve">the </w:t>
      </w:r>
      <w:r w:rsidRPr="00DC43DE">
        <w:t xml:space="preserve">‘Love is Love’ </w:t>
      </w:r>
      <w:r>
        <w:t>campaign was conceived and developed by the Lifestyle c</w:t>
      </w:r>
      <w:r w:rsidRPr="00DC43DE">
        <w:t>hannel</w:t>
      </w:r>
      <w:r>
        <w:t>,</w:t>
      </w:r>
      <w:r w:rsidRPr="00DC43DE">
        <w:t xml:space="preserve"> wh</w:t>
      </w:r>
      <w:r>
        <w:t>ich</w:t>
      </w:r>
      <w:r w:rsidRPr="00DC43DE">
        <w:t xml:space="preserve"> </w:t>
      </w:r>
      <w:r>
        <w:t xml:space="preserve">also </w:t>
      </w:r>
      <w:r w:rsidRPr="00DC43DE">
        <w:t>had creative and edito</w:t>
      </w:r>
      <w:r>
        <w:t xml:space="preserve">rial control over the </w:t>
      </w:r>
      <w:r w:rsidRPr="00DC43DE">
        <w:t>content</w:t>
      </w:r>
      <w:r>
        <w:t xml:space="preserve"> used</w:t>
      </w:r>
      <w:r w:rsidRPr="00DC43DE">
        <w:t>.</w:t>
      </w:r>
    </w:p>
    <w:p w14:paraId="0F3906DF" w14:textId="1E56DE9B" w:rsidR="0030537A" w:rsidRDefault="0030537A" w:rsidP="0030537A">
      <w:pPr>
        <w:pStyle w:val="ACMABodyText"/>
      </w:pPr>
      <w:r w:rsidRPr="007A68B6">
        <w:rPr>
          <w:szCs w:val="24"/>
        </w:rPr>
        <w:t>T</w:t>
      </w:r>
      <w:r>
        <w:rPr>
          <w:szCs w:val="24"/>
        </w:rPr>
        <w:t xml:space="preserve">aking this </w:t>
      </w:r>
      <w:r w:rsidRPr="007A68B6">
        <w:rPr>
          <w:szCs w:val="24"/>
        </w:rPr>
        <w:t>content</w:t>
      </w:r>
      <w:r>
        <w:rPr>
          <w:szCs w:val="24"/>
        </w:rPr>
        <w:t xml:space="preserve"> as a whole</w:t>
      </w:r>
      <w:r w:rsidRPr="007A68B6">
        <w:rPr>
          <w:szCs w:val="24"/>
        </w:rPr>
        <w:t xml:space="preserve">, </w:t>
      </w:r>
      <w:r>
        <w:rPr>
          <w:szCs w:val="24"/>
        </w:rPr>
        <w:t>the promotion</w:t>
      </w:r>
      <w:r w:rsidRPr="007A68B6">
        <w:rPr>
          <w:szCs w:val="24"/>
        </w:rPr>
        <w:t xml:space="preserve"> would have prompted viewers to</w:t>
      </w:r>
      <w:r>
        <w:rPr>
          <w:szCs w:val="24"/>
        </w:rPr>
        <w:t>wards</w:t>
      </w:r>
      <w:r w:rsidRPr="007A68B6">
        <w:rPr>
          <w:szCs w:val="24"/>
        </w:rPr>
        <w:t xml:space="preserve"> </w:t>
      </w:r>
      <w:r>
        <w:rPr>
          <w:szCs w:val="24"/>
        </w:rPr>
        <w:t>a particular point of view about ma</w:t>
      </w:r>
      <w:r w:rsidRPr="007A68B6">
        <w:rPr>
          <w:szCs w:val="24"/>
        </w:rPr>
        <w:t xml:space="preserve">rriage </w:t>
      </w:r>
      <w:r>
        <w:rPr>
          <w:szCs w:val="24"/>
        </w:rPr>
        <w:t>laws</w:t>
      </w:r>
      <w:r w:rsidRPr="007A68B6">
        <w:rPr>
          <w:szCs w:val="24"/>
        </w:rPr>
        <w:t>.</w:t>
      </w:r>
    </w:p>
    <w:p w14:paraId="19C941B3" w14:textId="77777777" w:rsidR="0030537A" w:rsidRPr="00427FF4" w:rsidRDefault="0030537A" w:rsidP="0030537A">
      <w:pPr>
        <w:pStyle w:val="BodySubHeader"/>
      </w:pPr>
      <w:r w:rsidRPr="00427FF4">
        <w:t xml:space="preserve">The </w:t>
      </w:r>
      <w:r w:rsidRPr="009E163D">
        <w:t>ACMA’s</w:t>
      </w:r>
      <w:r w:rsidRPr="00427FF4">
        <w:t xml:space="preserve"> findings</w:t>
      </w:r>
    </w:p>
    <w:p w14:paraId="58EA3BB4" w14:textId="77777777" w:rsidR="0030537A" w:rsidRPr="00484D48" w:rsidRDefault="0030537A" w:rsidP="0030537A">
      <w:pPr>
        <w:rPr>
          <w:rFonts w:cs="Arial"/>
          <w:szCs w:val="20"/>
        </w:rPr>
      </w:pPr>
      <w:r w:rsidRPr="00484D48">
        <w:rPr>
          <w:rFonts w:cs="Arial"/>
          <w:szCs w:val="20"/>
        </w:rPr>
        <w:t>The licensee’s description of the initiative as a ‘campaign’ suggest</w:t>
      </w:r>
      <w:r>
        <w:rPr>
          <w:rFonts w:cs="Arial"/>
          <w:szCs w:val="20"/>
        </w:rPr>
        <w:t>ed</w:t>
      </w:r>
      <w:r w:rsidRPr="00484D48">
        <w:rPr>
          <w:rFonts w:cs="Arial"/>
          <w:szCs w:val="20"/>
        </w:rPr>
        <w:t xml:space="preserve"> that the intention was to influence audience views about marriage equality as a political issue beyond merely communicating about equality and inclusiveness in society more generally. </w:t>
      </w:r>
    </w:p>
    <w:p w14:paraId="2D0153C4" w14:textId="77777777" w:rsidR="0030537A" w:rsidRPr="00484D48" w:rsidRDefault="0030537A" w:rsidP="0030537A">
      <w:pPr>
        <w:rPr>
          <w:rFonts w:cs="Arial"/>
          <w:szCs w:val="20"/>
        </w:rPr>
      </w:pPr>
      <w:r w:rsidRPr="00484D48">
        <w:rPr>
          <w:rFonts w:cs="Arial"/>
          <w:szCs w:val="20"/>
        </w:rPr>
        <w:t xml:space="preserve">Frequent and repetitive broadcasts of the ‘Love is Love’ campaign in a defined period leading up to Valentine’s Day would have been understood by the audience as a direct appeal to garner support for marriage equality, even if the substance of some of the individual promotions might not </w:t>
      </w:r>
      <w:r>
        <w:rPr>
          <w:rFonts w:cs="Arial"/>
          <w:szCs w:val="20"/>
        </w:rPr>
        <w:t xml:space="preserve">have </w:t>
      </w:r>
      <w:r w:rsidRPr="00484D48">
        <w:rPr>
          <w:rFonts w:cs="Arial"/>
          <w:szCs w:val="20"/>
        </w:rPr>
        <w:t>be</w:t>
      </w:r>
      <w:r>
        <w:rPr>
          <w:rFonts w:cs="Arial"/>
          <w:szCs w:val="20"/>
        </w:rPr>
        <w:t>en</w:t>
      </w:r>
      <w:r w:rsidRPr="00484D48">
        <w:rPr>
          <w:rFonts w:cs="Arial"/>
          <w:szCs w:val="20"/>
        </w:rPr>
        <w:t xml:space="preserve"> characterised as political in nature.</w:t>
      </w:r>
    </w:p>
    <w:p w14:paraId="26F744D8" w14:textId="1B1E3E65" w:rsidR="0030537A" w:rsidRPr="00484D48" w:rsidRDefault="00E90993" w:rsidP="0030537A">
      <w:pPr>
        <w:rPr>
          <w:rFonts w:cs="Arial"/>
          <w:szCs w:val="20"/>
        </w:rPr>
      </w:pPr>
      <w:r>
        <w:rPr>
          <w:rFonts w:cs="Arial"/>
          <w:szCs w:val="20"/>
        </w:rPr>
        <w:t xml:space="preserve">We </w:t>
      </w:r>
      <w:r w:rsidR="0030537A" w:rsidRPr="00484D48">
        <w:rPr>
          <w:rFonts w:cs="Arial"/>
          <w:szCs w:val="20"/>
        </w:rPr>
        <w:t>ha</w:t>
      </w:r>
      <w:r w:rsidR="0030537A">
        <w:rPr>
          <w:rFonts w:cs="Arial"/>
          <w:szCs w:val="20"/>
        </w:rPr>
        <w:t>d</w:t>
      </w:r>
      <w:r w:rsidR="0030537A" w:rsidRPr="00484D48">
        <w:rPr>
          <w:rFonts w:cs="Arial"/>
          <w:szCs w:val="20"/>
        </w:rPr>
        <w:t xml:space="preserve"> previously stated that material need not contain an explicit call to action to be political matter. As a package, the ‘Love is Love’ campaign include</w:t>
      </w:r>
      <w:r w:rsidR="0030537A">
        <w:rPr>
          <w:rFonts w:cs="Arial"/>
          <w:szCs w:val="20"/>
        </w:rPr>
        <w:t>d</w:t>
      </w:r>
      <w:r w:rsidR="0030537A" w:rsidRPr="00484D48">
        <w:rPr>
          <w:rFonts w:cs="Arial"/>
          <w:szCs w:val="20"/>
        </w:rPr>
        <w:t xml:space="preserve"> elements that amount</w:t>
      </w:r>
      <w:r w:rsidR="0030537A">
        <w:rPr>
          <w:rFonts w:cs="Arial"/>
          <w:szCs w:val="20"/>
        </w:rPr>
        <w:t>ed</w:t>
      </w:r>
      <w:r w:rsidR="0030537A" w:rsidRPr="00484D48">
        <w:rPr>
          <w:rFonts w:cs="Arial"/>
          <w:szCs w:val="20"/>
        </w:rPr>
        <w:t xml:space="preserve"> to a call to action and more subtle attempts that would have been understood as intended to persuade viewers to support marriage equality.</w:t>
      </w:r>
    </w:p>
    <w:p w14:paraId="7718E69C" w14:textId="76560A99" w:rsidR="0030537A" w:rsidRPr="00484D48" w:rsidRDefault="0030537A" w:rsidP="0030537A">
      <w:pPr>
        <w:rPr>
          <w:rFonts w:cs="Arial"/>
          <w:szCs w:val="20"/>
        </w:rPr>
      </w:pPr>
      <w:r w:rsidRPr="00484D48">
        <w:rPr>
          <w:rFonts w:cs="Arial"/>
          <w:szCs w:val="20"/>
        </w:rPr>
        <w:t xml:space="preserve">For these reasons, </w:t>
      </w:r>
      <w:r w:rsidR="00E90993">
        <w:rPr>
          <w:rFonts w:cs="Arial"/>
          <w:szCs w:val="20"/>
        </w:rPr>
        <w:t xml:space="preserve">we </w:t>
      </w:r>
      <w:r w:rsidRPr="00484D48">
        <w:rPr>
          <w:rFonts w:cs="Arial"/>
          <w:szCs w:val="20"/>
        </w:rPr>
        <w:t>consider</w:t>
      </w:r>
      <w:r>
        <w:rPr>
          <w:rFonts w:cs="Arial"/>
          <w:szCs w:val="20"/>
        </w:rPr>
        <w:t>ed</w:t>
      </w:r>
      <w:r w:rsidRPr="00484D48">
        <w:rPr>
          <w:rFonts w:cs="Arial"/>
          <w:szCs w:val="20"/>
        </w:rPr>
        <w:t xml:space="preserve"> that the ‘Love is Love’ campaign constitute</w:t>
      </w:r>
      <w:r>
        <w:rPr>
          <w:rFonts w:cs="Arial"/>
          <w:szCs w:val="20"/>
        </w:rPr>
        <w:t>d</w:t>
      </w:r>
      <w:r w:rsidRPr="00484D48">
        <w:rPr>
          <w:rFonts w:cs="Arial"/>
          <w:szCs w:val="20"/>
        </w:rPr>
        <w:t xml:space="preserve"> political matter within the meaning of the BSA.</w:t>
      </w:r>
    </w:p>
    <w:p w14:paraId="1153EE34" w14:textId="4E8238D5" w:rsidR="0030537A" w:rsidRDefault="00E90993" w:rsidP="0030537A">
      <w:pPr>
        <w:rPr>
          <w:rFonts w:cs="Arial"/>
          <w:szCs w:val="20"/>
          <w:lang w:val="en-US"/>
        </w:rPr>
      </w:pPr>
      <w:r>
        <w:rPr>
          <w:rFonts w:cs="Arial"/>
          <w:szCs w:val="20"/>
          <w:lang w:val="en-US"/>
        </w:rPr>
        <w:t xml:space="preserve">We </w:t>
      </w:r>
      <w:r w:rsidR="0030537A" w:rsidRPr="00484D48">
        <w:rPr>
          <w:rFonts w:cs="Arial"/>
          <w:szCs w:val="20"/>
          <w:lang w:val="en-US"/>
        </w:rPr>
        <w:t>accept</w:t>
      </w:r>
      <w:r w:rsidR="0030537A">
        <w:rPr>
          <w:rFonts w:cs="Arial"/>
          <w:szCs w:val="20"/>
          <w:lang w:val="en-US"/>
        </w:rPr>
        <w:t>ed</w:t>
      </w:r>
      <w:r w:rsidR="0030537A" w:rsidRPr="00484D48">
        <w:rPr>
          <w:rFonts w:cs="Arial"/>
          <w:szCs w:val="20"/>
          <w:lang w:val="en-US"/>
        </w:rPr>
        <w:t xml:space="preserve"> the licensee’s submissions that neither the advertisement nor the ‘Love is Love’ campaign </w:t>
      </w:r>
      <w:r w:rsidR="0030537A">
        <w:rPr>
          <w:rFonts w:cs="Arial"/>
          <w:szCs w:val="20"/>
          <w:lang w:val="en-US"/>
        </w:rPr>
        <w:t xml:space="preserve">was broadcast </w:t>
      </w:r>
      <w:r w:rsidR="0030537A" w:rsidRPr="00484D48">
        <w:rPr>
          <w:rFonts w:cs="Arial"/>
          <w:szCs w:val="20"/>
          <w:lang w:val="en-US"/>
        </w:rPr>
        <w:t>at the request of another person</w:t>
      </w:r>
      <w:r>
        <w:rPr>
          <w:rFonts w:cs="Arial"/>
          <w:szCs w:val="20"/>
          <w:lang w:val="en-US"/>
        </w:rPr>
        <w:t xml:space="preserve">, </w:t>
      </w:r>
      <w:r w:rsidR="0030537A" w:rsidRPr="00484D48">
        <w:rPr>
          <w:rFonts w:cs="Arial"/>
          <w:szCs w:val="20"/>
          <w:lang w:val="en-US"/>
        </w:rPr>
        <w:t>as evidenced in submissions made to the ACMA, where the licensee confirmed that no consideration was received for the broadcast of this material</w:t>
      </w:r>
      <w:r w:rsidR="0030537A">
        <w:rPr>
          <w:rFonts w:cs="Arial"/>
          <w:szCs w:val="20"/>
          <w:lang w:val="en-US"/>
        </w:rPr>
        <w:t xml:space="preserve">. </w:t>
      </w:r>
    </w:p>
    <w:p w14:paraId="5BE5FA5C" w14:textId="77621944" w:rsidR="0030537A" w:rsidRDefault="0030537A" w:rsidP="0030537A">
      <w:pPr>
        <w:rPr>
          <w:rFonts w:cs="Arial"/>
          <w:szCs w:val="20"/>
        </w:rPr>
      </w:pPr>
      <w:r w:rsidRPr="00433F5D">
        <w:rPr>
          <w:rFonts w:cs="Arial"/>
          <w:szCs w:val="20"/>
        </w:rPr>
        <w:lastRenderedPageBreak/>
        <w:t xml:space="preserve">For these reasons, </w:t>
      </w:r>
      <w:r w:rsidR="00E90993">
        <w:rPr>
          <w:rFonts w:cs="Arial"/>
          <w:szCs w:val="20"/>
        </w:rPr>
        <w:t xml:space="preserve">we </w:t>
      </w:r>
      <w:r w:rsidRPr="00433F5D">
        <w:rPr>
          <w:rFonts w:cs="Arial"/>
          <w:szCs w:val="20"/>
        </w:rPr>
        <w:t>f</w:t>
      </w:r>
      <w:r>
        <w:rPr>
          <w:rFonts w:cs="Arial"/>
          <w:szCs w:val="20"/>
        </w:rPr>
        <w:t>ound</w:t>
      </w:r>
      <w:r w:rsidRPr="00433F5D">
        <w:rPr>
          <w:rFonts w:cs="Arial"/>
          <w:szCs w:val="20"/>
        </w:rPr>
        <w:t xml:space="preserve"> that the </w:t>
      </w:r>
      <w:r>
        <w:rPr>
          <w:rFonts w:cs="Arial"/>
          <w:szCs w:val="20"/>
        </w:rPr>
        <w:t>political matter was not broadcast at the request of another person and the requirements in clause 4 of Schedule 2 to the BSA did not apply to the broadcast.</w:t>
      </w:r>
      <w:r w:rsidDel="00FF7E24">
        <w:rPr>
          <w:rFonts w:cs="Arial"/>
          <w:szCs w:val="20"/>
        </w:rPr>
        <w:t xml:space="preserve"> </w:t>
      </w:r>
    </w:p>
    <w:p w14:paraId="20C2817A" w14:textId="11D8B06A" w:rsidR="0030537A" w:rsidRPr="009C07DA" w:rsidRDefault="0030537A" w:rsidP="0030537A">
      <w:pPr>
        <w:rPr>
          <w:rFonts w:cs="Arial"/>
          <w:b/>
          <w:szCs w:val="20"/>
        </w:rPr>
      </w:pPr>
      <w:r w:rsidRPr="00A56A02">
        <w:rPr>
          <w:rFonts w:cs="Arial"/>
          <w:szCs w:val="20"/>
        </w:rPr>
        <w:t xml:space="preserve">The complete analysis in this investigation can be accessed at </w:t>
      </w:r>
      <w:hyperlink r:id="rId34" w:history="1">
        <w:r w:rsidRPr="00A56A02">
          <w:rPr>
            <w:rStyle w:val="Hyperlink"/>
            <w:rFonts w:cs="Arial"/>
            <w:szCs w:val="20"/>
          </w:rPr>
          <w:t>acma.gov.au</w:t>
        </w:r>
      </w:hyperlink>
      <w:r w:rsidR="00E90993" w:rsidRPr="000650B9">
        <w:t xml:space="preserve"> (search ‘</w:t>
      </w:r>
      <w:r w:rsidR="00E90993" w:rsidRPr="00A56A02">
        <w:rPr>
          <w:rFonts w:cs="Arial"/>
          <w:szCs w:val="20"/>
        </w:rPr>
        <w:t>BI-302</w:t>
      </w:r>
      <w:r w:rsidR="00E90993">
        <w:rPr>
          <w:rFonts w:cs="Arial"/>
          <w:szCs w:val="20"/>
        </w:rPr>
        <w:t>’)</w:t>
      </w:r>
      <w:r>
        <w:rPr>
          <w:rFonts w:cs="Arial"/>
          <w:szCs w:val="20"/>
        </w:rPr>
        <w:t>.</w:t>
      </w:r>
    </w:p>
    <w:p w14:paraId="60EDE7EE" w14:textId="53226504" w:rsidR="0030537A" w:rsidRPr="00DB1AA8" w:rsidRDefault="0030537A" w:rsidP="007B370C">
      <w:pPr>
        <w:pStyle w:val="Heading2"/>
        <w:pageBreakBefore/>
      </w:pPr>
      <w:bookmarkStart w:id="80" w:name="_Case_study_3"/>
      <w:bookmarkStart w:id="81" w:name="_Toc96344065"/>
      <w:bookmarkStart w:id="82" w:name="_Toc97799999"/>
      <w:bookmarkEnd w:id="80"/>
      <w:r w:rsidRPr="000606EE">
        <w:lastRenderedPageBreak/>
        <w:t>Case stud</w:t>
      </w:r>
      <w:r>
        <w:t>y 3</w:t>
      </w:r>
      <w:bookmarkEnd w:id="81"/>
      <w:bookmarkEnd w:id="82"/>
    </w:p>
    <w:p w14:paraId="21E781A9" w14:textId="5BAC4037" w:rsidR="0030537A" w:rsidRDefault="0030537A" w:rsidP="0030537A">
      <w:pPr>
        <w:pStyle w:val="Heading3"/>
      </w:pPr>
      <w:bookmarkStart w:id="83" w:name="_Toc5863401"/>
      <w:bookmarkStart w:id="84" w:name="_Toc5963145"/>
      <w:bookmarkStart w:id="85" w:name="_Toc96344066"/>
      <w:bookmarkStart w:id="86" w:name="_Toc97800000"/>
      <w:r>
        <w:t>No b</w:t>
      </w:r>
      <w:r w:rsidRPr="00321AF8">
        <w:t>reach</w:t>
      </w:r>
      <w:r w:rsidR="00E90993">
        <w:t xml:space="preserve"> –</w:t>
      </w:r>
      <w:r w:rsidR="005F42B5">
        <w:t xml:space="preserve"> </w:t>
      </w:r>
      <w:r>
        <w:t>broadcast did not constitute political matter</w:t>
      </w:r>
      <w:bookmarkEnd w:id="83"/>
      <w:bookmarkEnd w:id="84"/>
      <w:bookmarkEnd w:id="85"/>
      <w:bookmarkEnd w:id="86"/>
      <w:r>
        <w:t xml:space="preserve"> </w:t>
      </w:r>
    </w:p>
    <w:p w14:paraId="4965EEF6" w14:textId="77777777" w:rsidR="0030537A" w:rsidRPr="00427FF4" w:rsidRDefault="0030537A" w:rsidP="0030537A">
      <w:pPr>
        <w:pStyle w:val="BodySubHeader"/>
      </w:pPr>
      <w:r w:rsidRPr="00427FF4">
        <w:t xml:space="preserve">The broadcast </w:t>
      </w:r>
      <w:r w:rsidRPr="009E163D">
        <w:t>material</w:t>
      </w:r>
    </w:p>
    <w:p w14:paraId="668D208B" w14:textId="0CDCA7DF" w:rsidR="0030537A" w:rsidRDefault="005F42B5" w:rsidP="0030537A">
      <w:r>
        <w:t xml:space="preserve">We </w:t>
      </w:r>
      <w:r w:rsidR="0030537A" w:rsidRPr="003F67F8">
        <w:t xml:space="preserve">received a complaint </w:t>
      </w:r>
      <w:r w:rsidR="0030537A">
        <w:t>about</w:t>
      </w:r>
      <w:r w:rsidR="0030537A" w:rsidRPr="003F67F8">
        <w:t xml:space="preserve"> an </w:t>
      </w:r>
      <w:r w:rsidR="0030537A">
        <w:t>advertise</w:t>
      </w:r>
      <w:r w:rsidR="0030537A" w:rsidRPr="003F67F8">
        <w:t xml:space="preserve">ment </w:t>
      </w:r>
      <w:r w:rsidR="0030537A">
        <w:t xml:space="preserve">for Godfreys Vacuum Cleaners broadcast on commercial television station TCN Sydney. </w:t>
      </w:r>
      <w:r w:rsidR="0030537A" w:rsidRPr="003F67F8">
        <w:t xml:space="preserve">The complainant </w:t>
      </w:r>
      <w:r w:rsidR="0030537A">
        <w:t>was concerned that Godfreys were paid by the Labor Party to refer to Mr Tony Abbott, the then Leader of the Opposition, in a negative manner during the advertisement</w:t>
      </w:r>
      <w:r>
        <w:t>,</w:t>
      </w:r>
      <w:r w:rsidR="0030537A">
        <w:t xml:space="preserve"> without announcing the required particulars at the end of the commercial.</w:t>
      </w:r>
    </w:p>
    <w:p w14:paraId="4F2651C8" w14:textId="77777777" w:rsidR="0030537A" w:rsidRDefault="0030537A" w:rsidP="00063EC6">
      <w:pPr>
        <w:spacing w:after="120"/>
      </w:pPr>
      <w:r>
        <w:t>The advertisement promoted Godfreys Vacuum Cleaners. The spokesman appeared to be wearing a blond wig and glasses to impersonate the then Prime Minister, Mr Kevin Rudd:</w:t>
      </w:r>
    </w:p>
    <w:p w14:paraId="0C1C44F8" w14:textId="77777777" w:rsidR="0030537A" w:rsidRPr="00D66DF0" w:rsidRDefault="0030537A" w:rsidP="00063EC6">
      <w:pPr>
        <w:spacing w:after="120"/>
        <w:ind w:left="284"/>
        <w:rPr>
          <w:sz w:val="18"/>
          <w:szCs w:val="18"/>
        </w:rPr>
      </w:pPr>
      <w:r w:rsidRPr="00D66DF0">
        <w:rPr>
          <w:b/>
          <w:sz w:val="18"/>
          <w:szCs w:val="18"/>
        </w:rPr>
        <w:t xml:space="preserve">Spokesman: </w:t>
      </w:r>
      <w:r w:rsidRPr="00D66DF0">
        <w:rPr>
          <w:sz w:val="18"/>
          <w:szCs w:val="18"/>
        </w:rPr>
        <w:t>Someone’s been a little negative lately</w:t>
      </w:r>
      <w:r>
        <w:rPr>
          <w:sz w:val="18"/>
          <w:szCs w:val="18"/>
        </w:rPr>
        <w:t>,</w:t>
      </w:r>
      <w:r w:rsidRPr="00D66DF0">
        <w:rPr>
          <w:sz w:val="18"/>
          <w:szCs w:val="18"/>
        </w:rPr>
        <w:t xml:space="preserve"> Mr Abbott. Why don’t you be a little more positive</w:t>
      </w:r>
      <w:r>
        <w:rPr>
          <w:sz w:val="18"/>
          <w:szCs w:val="18"/>
        </w:rPr>
        <w:t>,</w:t>
      </w:r>
      <w:r w:rsidRPr="00D66DF0">
        <w:rPr>
          <w:sz w:val="18"/>
          <w:szCs w:val="18"/>
        </w:rPr>
        <w:t xml:space="preserve"> Mr Abbott?</w:t>
      </w:r>
    </w:p>
    <w:p w14:paraId="338E935E" w14:textId="77777777" w:rsidR="0030537A" w:rsidRPr="00D66DF0" w:rsidRDefault="0030537A" w:rsidP="00063EC6">
      <w:pPr>
        <w:spacing w:after="120"/>
        <w:ind w:left="284"/>
        <w:rPr>
          <w:sz w:val="18"/>
          <w:szCs w:val="18"/>
        </w:rPr>
      </w:pPr>
      <w:r w:rsidRPr="00D66DF0">
        <w:rPr>
          <w:b/>
          <w:sz w:val="18"/>
          <w:szCs w:val="18"/>
        </w:rPr>
        <w:t xml:space="preserve">Narrator: </w:t>
      </w:r>
      <w:r w:rsidRPr="00D66DF0">
        <w:rPr>
          <w:sz w:val="18"/>
          <w:szCs w:val="18"/>
        </w:rPr>
        <w:t>It’s positively amazing.</w:t>
      </w:r>
    </w:p>
    <w:p w14:paraId="7FB85C9B" w14:textId="2D40690A" w:rsidR="0030537A" w:rsidRPr="00D66DF0" w:rsidRDefault="0030537A" w:rsidP="00063EC6">
      <w:pPr>
        <w:spacing w:after="120"/>
        <w:ind w:left="284"/>
        <w:rPr>
          <w:sz w:val="18"/>
          <w:szCs w:val="18"/>
        </w:rPr>
      </w:pPr>
      <w:r w:rsidRPr="00D66DF0">
        <w:rPr>
          <w:b/>
          <w:sz w:val="18"/>
          <w:szCs w:val="18"/>
        </w:rPr>
        <w:t>Spokesman:</w:t>
      </w:r>
      <w:r w:rsidRPr="00D66DF0">
        <w:rPr>
          <w:sz w:val="18"/>
          <w:szCs w:val="18"/>
        </w:rPr>
        <w:t xml:space="preserve"> Godfrey’s amazing $99 weekend.</w:t>
      </w:r>
    </w:p>
    <w:p w14:paraId="5EC58FE2" w14:textId="3E358A50" w:rsidR="0030537A" w:rsidRPr="00D66DF0" w:rsidRDefault="0030537A" w:rsidP="00063EC6">
      <w:pPr>
        <w:spacing w:after="120"/>
        <w:ind w:left="284"/>
        <w:rPr>
          <w:sz w:val="18"/>
          <w:szCs w:val="18"/>
        </w:rPr>
      </w:pPr>
      <w:r w:rsidRPr="00D66DF0">
        <w:rPr>
          <w:b/>
          <w:sz w:val="18"/>
          <w:szCs w:val="18"/>
        </w:rPr>
        <w:t>Narrator:</w:t>
      </w:r>
      <w:r w:rsidRPr="00D66DF0">
        <w:rPr>
          <w:sz w:val="18"/>
          <w:szCs w:val="18"/>
        </w:rPr>
        <w:t xml:space="preserve"> </w:t>
      </w:r>
      <w:r w:rsidRPr="00F43C7A">
        <w:rPr>
          <w:sz w:val="18"/>
          <w:szCs w:val="18"/>
        </w:rPr>
        <w:t>Hoover</w:t>
      </w:r>
      <w:r w:rsidRPr="00D66DF0">
        <w:rPr>
          <w:sz w:val="18"/>
          <w:szCs w:val="18"/>
        </w:rPr>
        <w:t xml:space="preserve"> bagless, half price $99, </w:t>
      </w:r>
      <w:r w:rsidRPr="00F43C7A">
        <w:rPr>
          <w:sz w:val="18"/>
          <w:szCs w:val="18"/>
        </w:rPr>
        <w:t>Philips</w:t>
      </w:r>
      <w:r w:rsidRPr="00D66DF0">
        <w:rPr>
          <w:sz w:val="18"/>
          <w:szCs w:val="18"/>
        </w:rPr>
        <w:t xml:space="preserve"> bagless half price $99, </w:t>
      </w:r>
      <w:r w:rsidRPr="00F43C7A">
        <w:rPr>
          <w:sz w:val="18"/>
          <w:szCs w:val="18"/>
        </w:rPr>
        <w:t>Bissell</w:t>
      </w:r>
      <w:r w:rsidRPr="00D66DF0">
        <w:rPr>
          <w:sz w:val="18"/>
          <w:szCs w:val="18"/>
        </w:rPr>
        <w:t xml:space="preserve"> Cordless $99, </w:t>
      </w:r>
      <w:r w:rsidR="005F42B5">
        <w:rPr>
          <w:sz w:val="18"/>
          <w:szCs w:val="18"/>
        </w:rPr>
        <w:t>s</w:t>
      </w:r>
      <w:r w:rsidRPr="00D66DF0">
        <w:rPr>
          <w:sz w:val="18"/>
          <w:szCs w:val="18"/>
        </w:rPr>
        <w:t>hampooers $99.</w:t>
      </w:r>
    </w:p>
    <w:p w14:paraId="5C2DA864" w14:textId="77777777" w:rsidR="0030537A" w:rsidRPr="00D66DF0" w:rsidRDefault="0030537A" w:rsidP="00063EC6">
      <w:pPr>
        <w:spacing w:after="120"/>
        <w:ind w:left="284"/>
        <w:rPr>
          <w:sz w:val="18"/>
          <w:szCs w:val="18"/>
        </w:rPr>
      </w:pPr>
      <w:r w:rsidRPr="00D66DF0">
        <w:rPr>
          <w:b/>
          <w:sz w:val="18"/>
          <w:szCs w:val="18"/>
        </w:rPr>
        <w:t>Spokesman</w:t>
      </w:r>
      <w:r w:rsidRPr="00880357">
        <w:rPr>
          <w:b/>
          <w:sz w:val="18"/>
          <w:szCs w:val="18"/>
        </w:rPr>
        <w:t xml:space="preserve">: </w:t>
      </w:r>
      <w:r w:rsidRPr="00D66DF0">
        <w:rPr>
          <w:sz w:val="18"/>
          <w:szCs w:val="18"/>
        </w:rPr>
        <w:t>Godfreys!</w:t>
      </w:r>
    </w:p>
    <w:p w14:paraId="5EA1F59E" w14:textId="77777777" w:rsidR="0030537A" w:rsidRPr="00D66DF0" w:rsidRDefault="0030537A" w:rsidP="00063EC6">
      <w:pPr>
        <w:spacing w:after="120"/>
        <w:ind w:left="284"/>
        <w:rPr>
          <w:sz w:val="18"/>
          <w:szCs w:val="18"/>
        </w:rPr>
      </w:pPr>
      <w:r w:rsidRPr="00D66DF0">
        <w:rPr>
          <w:b/>
          <w:sz w:val="18"/>
          <w:szCs w:val="18"/>
        </w:rPr>
        <w:t>Narrator</w:t>
      </w:r>
      <w:r w:rsidRPr="00880357">
        <w:rPr>
          <w:b/>
          <w:sz w:val="18"/>
          <w:szCs w:val="18"/>
        </w:rPr>
        <w:t>:</w:t>
      </w:r>
      <w:r w:rsidRPr="00D66DF0">
        <w:rPr>
          <w:sz w:val="18"/>
          <w:szCs w:val="18"/>
        </w:rPr>
        <w:t xml:space="preserve"> And with every $99 cleaner</w:t>
      </w:r>
      <w:r>
        <w:rPr>
          <w:sz w:val="18"/>
          <w:szCs w:val="18"/>
        </w:rPr>
        <w:t>,</w:t>
      </w:r>
      <w:r w:rsidRPr="00D66DF0">
        <w:rPr>
          <w:sz w:val="18"/>
          <w:szCs w:val="18"/>
        </w:rPr>
        <w:t xml:space="preserve"> get this steam mop free. Yeah, with every $99 cleaner get this steam mop free.</w:t>
      </w:r>
    </w:p>
    <w:p w14:paraId="0658A0D1" w14:textId="6F02317A" w:rsidR="0030537A" w:rsidRPr="00D66DF0" w:rsidRDefault="0030537A" w:rsidP="0030537A">
      <w:pPr>
        <w:ind w:left="284"/>
        <w:rPr>
          <w:sz w:val="18"/>
          <w:szCs w:val="18"/>
        </w:rPr>
      </w:pPr>
      <w:r w:rsidRPr="00D66DF0">
        <w:rPr>
          <w:b/>
          <w:sz w:val="18"/>
          <w:szCs w:val="18"/>
        </w:rPr>
        <w:t>Spokesman</w:t>
      </w:r>
      <w:r w:rsidRPr="00880357">
        <w:rPr>
          <w:b/>
          <w:sz w:val="18"/>
          <w:szCs w:val="18"/>
        </w:rPr>
        <w:t xml:space="preserve">: </w:t>
      </w:r>
      <w:r w:rsidRPr="00D66DF0">
        <w:rPr>
          <w:sz w:val="18"/>
          <w:szCs w:val="18"/>
        </w:rPr>
        <w:t>Godfrey’s amazing $99 weekend. This weekend</w:t>
      </w:r>
      <w:r>
        <w:rPr>
          <w:sz w:val="18"/>
          <w:szCs w:val="18"/>
        </w:rPr>
        <w:t>,</w:t>
      </w:r>
      <w:r w:rsidRPr="00D66DF0">
        <w:rPr>
          <w:sz w:val="18"/>
          <w:szCs w:val="18"/>
        </w:rPr>
        <w:t xml:space="preserve"> Mr Abbott.</w:t>
      </w:r>
    </w:p>
    <w:p w14:paraId="111E336B" w14:textId="77777777" w:rsidR="0030537A" w:rsidRPr="006C1F88" w:rsidRDefault="0030537A" w:rsidP="0030537A">
      <w:pPr>
        <w:pStyle w:val="BodySubHeader"/>
      </w:pPr>
      <w:r w:rsidRPr="006C1F88">
        <w:t xml:space="preserve">The ACMA’s </w:t>
      </w:r>
      <w:r w:rsidRPr="009E163D">
        <w:t>findings</w:t>
      </w:r>
    </w:p>
    <w:p w14:paraId="4EA739E8" w14:textId="77777777" w:rsidR="0030537A" w:rsidRDefault="0030537A" w:rsidP="0030537A">
      <w:r>
        <w:t>A</w:t>
      </w:r>
      <w:r w:rsidRPr="00C51B8C">
        <w:t>ny matter broadcast advocat</w:t>
      </w:r>
      <w:r>
        <w:t>ing</w:t>
      </w:r>
      <w:r w:rsidRPr="00C51B8C">
        <w:t xml:space="preserve"> a point of view </w:t>
      </w:r>
      <w:r>
        <w:t xml:space="preserve">on a </w:t>
      </w:r>
      <w:r w:rsidRPr="00C51B8C">
        <w:t xml:space="preserve">government and its policies, or political parties and their policies, </w:t>
      </w:r>
      <w:r>
        <w:t>can</w:t>
      </w:r>
      <w:r w:rsidRPr="00C51B8C">
        <w:t xml:space="preserve"> fall within the</w:t>
      </w:r>
      <w:r>
        <w:t xml:space="preserve"> definition of political matter. </w:t>
      </w:r>
      <w:r w:rsidRPr="00C51B8C">
        <w:t>However, matter that simply promot</w:t>
      </w:r>
      <w:r>
        <w:t>es</w:t>
      </w:r>
      <w:r w:rsidRPr="00C51B8C">
        <w:t xml:space="preserve"> a product or service </w:t>
      </w:r>
      <w:r>
        <w:t>does</w:t>
      </w:r>
      <w:r w:rsidRPr="00C51B8C">
        <w:t xml:space="preserve"> not fall within the definition of </w:t>
      </w:r>
      <w:r>
        <w:t>‘</w:t>
      </w:r>
      <w:r w:rsidRPr="00C51B8C">
        <w:t>political matter</w:t>
      </w:r>
      <w:r>
        <w:t>’</w:t>
      </w:r>
      <w:r w:rsidRPr="00C51B8C">
        <w:t xml:space="preserve"> merely because it refers to something that is political. </w:t>
      </w:r>
    </w:p>
    <w:p w14:paraId="00654F4E" w14:textId="0048EFCC" w:rsidR="0030537A" w:rsidRDefault="005F42B5" w:rsidP="0030537A">
      <w:r>
        <w:t xml:space="preserve">We </w:t>
      </w:r>
      <w:r w:rsidR="0030537A">
        <w:t xml:space="preserve">noted that the primary purpose of the advertisement was to promote vacuum cleaners. While the spokesman referred to the negativity of Mr Abbott, it was presented in a humorous style by impersonating the then Prime Minister, Mr Rudd. </w:t>
      </w:r>
      <w:r>
        <w:t xml:space="preserve">We </w:t>
      </w:r>
      <w:r w:rsidR="0030537A">
        <w:t xml:space="preserve">did not consider that the advertisement participated </w:t>
      </w:r>
      <w:r w:rsidR="0030537A" w:rsidRPr="005A35C0">
        <w:t xml:space="preserve">in the political </w:t>
      </w:r>
      <w:r w:rsidR="0030537A">
        <w:t>process</w:t>
      </w:r>
      <w:r w:rsidR="0030537A" w:rsidRPr="005A35C0">
        <w:t xml:space="preserve"> </w:t>
      </w:r>
      <w:r w:rsidR="0030537A">
        <w:t xml:space="preserve">as it did not engage with, or allude to, any specific issue of a political nature or discuss </w:t>
      </w:r>
      <w:r w:rsidR="0030537A" w:rsidRPr="00D11EF3">
        <w:t>any political process or political matter</w:t>
      </w:r>
      <w:r w:rsidR="0030537A">
        <w:t>. The light-hearted presentation of the advertisement indicated that it was not intended to be a serious comment on politics or the political process.</w:t>
      </w:r>
    </w:p>
    <w:p w14:paraId="49A00487" w14:textId="3E205E8D" w:rsidR="0030537A" w:rsidRDefault="0030537A" w:rsidP="0030537A">
      <w:r>
        <w:t xml:space="preserve">For these reasons, </w:t>
      </w:r>
      <w:r w:rsidR="005F42B5">
        <w:t xml:space="preserve">we </w:t>
      </w:r>
      <w:r>
        <w:t xml:space="preserve">found that the material broadcast did not constitute ‘political matter’. </w:t>
      </w:r>
    </w:p>
    <w:p w14:paraId="1ADA9ACB" w14:textId="597ADE99" w:rsidR="0030537A" w:rsidRPr="009C07DA" w:rsidRDefault="0030537A" w:rsidP="0030537A">
      <w:pPr>
        <w:rPr>
          <w:rFonts w:cs="Arial"/>
          <w:b/>
          <w:sz w:val="28"/>
          <w:szCs w:val="28"/>
        </w:rPr>
      </w:pPr>
      <w:r w:rsidRPr="00A56A02">
        <w:rPr>
          <w:rFonts w:cs="Arial"/>
          <w:szCs w:val="20"/>
        </w:rPr>
        <w:t xml:space="preserve">The complete analysis in this investigation can be accessed at </w:t>
      </w:r>
      <w:hyperlink r:id="rId35" w:history="1">
        <w:r w:rsidRPr="00A56A02">
          <w:rPr>
            <w:rStyle w:val="Hyperlink"/>
            <w:rFonts w:cs="Arial"/>
            <w:szCs w:val="20"/>
          </w:rPr>
          <w:t>acma.gov.au</w:t>
        </w:r>
      </w:hyperlink>
      <w:r w:rsidR="005F42B5" w:rsidRPr="00C315F1">
        <w:t xml:space="preserve"> (search ‘</w:t>
      </w:r>
      <w:r w:rsidR="005F42B5" w:rsidRPr="00A56A02">
        <w:rPr>
          <w:rFonts w:cs="Arial"/>
          <w:szCs w:val="20"/>
        </w:rPr>
        <w:t>3086</w:t>
      </w:r>
      <w:r w:rsidR="005F42B5">
        <w:rPr>
          <w:rFonts w:cs="Arial"/>
          <w:szCs w:val="20"/>
        </w:rPr>
        <w:t>’)</w:t>
      </w:r>
      <w:r>
        <w:rPr>
          <w:rFonts w:cs="Arial"/>
          <w:szCs w:val="20"/>
        </w:rPr>
        <w:t>.</w:t>
      </w:r>
    </w:p>
    <w:p w14:paraId="4F712740" w14:textId="77777777" w:rsidR="0030537A" w:rsidRPr="00DB1AA8" w:rsidRDefault="0030537A" w:rsidP="007B370C">
      <w:pPr>
        <w:pStyle w:val="Heading2"/>
        <w:pageBreakBefore/>
      </w:pPr>
      <w:bookmarkStart w:id="87" w:name="_Toc96344067"/>
      <w:bookmarkStart w:id="88" w:name="_Toc97800001"/>
      <w:r w:rsidRPr="000606EE">
        <w:lastRenderedPageBreak/>
        <w:t>Case stud</w:t>
      </w:r>
      <w:r>
        <w:t>y 4</w:t>
      </w:r>
      <w:bookmarkEnd w:id="87"/>
      <w:bookmarkEnd w:id="88"/>
    </w:p>
    <w:p w14:paraId="42FBA35B" w14:textId="1B9F26C1" w:rsidR="0030537A" w:rsidRDefault="0030537A" w:rsidP="0030537A">
      <w:pPr>
        <w:pStyle w:val="Heading3"/>
      </w:pPr>
      <w:bookmarkStart w:id="89" w:name="_Toc5863403"/>
      <w:bookmarkStart w:id="90" w:name="_Toc5963147"/>
      <w:bookmarkStart w:id="91" w:name="_Toc96344068"/>
      <w:bookmarkStart w:id="92" w:name="_Toc97800002"/>
      <w:r>
        <w:t>No b</w:t>
      </w:r>
      <w:r w:rsidRPr="00321AF8">
        <w:t>reach</w:t>
      </w:r>
      <w:r w:rsidR="005F42B5">
        <w:t xml:space="preserve"> – </w:t>
      </w:r>
      <w:r>
        <w:t>political matter was not broadcast at the request of another person</w:t>
      </w:r>
      <w:bookmarkEnd w:id="89"/>
      <w:bookmarkEnd w:id="90"/>
      <w:bookmarkEnd w:id="91"/>
      <w:bookmarkEnd w:id="92"/>
      <w:r>
        <w:t xml:space="preserve"> </w:t>
      </w:r>
    </w:p>
    <w:p w14:paraId="4AB6C37B" w14:textId="77777777" w:rsidR="0030537A" w:rsidRPr="006C1F88" w:rsidRDefault="0030537A" w:rsidP="0030537A">
      <w:pPr>
        <w:pStyle w:val="BodySubHeader"/>
      </w:pPr>
      <w:r w:rsidRPr="006C1F88">
        <w:t xml:space="preserve">The broadcast </w:t>
      </w:r>
      <w:r w:rsidRPr="009E163D">
        <w:t>material</w:t>
      </w:r>
    </w:p>
    <w:p w14:paraId="60763553" w14:textId="2B156EE6" w:rsidR="0030537A" w:rsidRDefault="0030537A" w:rsidP="0030537A">
      <w:r>
        <w:t xml:space="preserve">The material was broadcast immediately before </w:t>
      </w:r>
      <w:r w:rsidR="005F42B5">
        <w:t xml:space="preserve">start </w:t>
      </w:r>
      <w:r>
        <w:t xml:space="preserve">of the second half in a live rugby league program, as the teams were running onto the field. </w:t>
      </w:r>
    </w:p>
    <w:p w14:paraId="31E8A3B8" w14:textId="1C49B1DB" w:rsidR="0030537A" w:rsidRDefault="0030537A" w:rsidP="00C315F1">
      <w:pPr>
        <w:spacing w:after="120"/>
      </w:pPr>
      <w:r>
        <w:t>The audio was:</w:t>
      </w:r>
    </w:p>
    <w:p w14:paraId="44DD9945" w14:textId="77777777" w:rsidR="0030537A" w:rsidRDefault="0030537A" w:rsidP="00C315F1">
      <w:pPr>
        <w:spacing w:after="0"/>
        <w:ind w:left="284"/>
        <w:rPr>
          <w:b/>
          <w:sz w:val="18"/>
          <w:szCs w:val="18"/>
        </w:rPr>
      </w:pPr>
      <w:r>
        <w:rPr>
          <w:b/>
          <w:sz w:val="18"/>
          <w:szCs w:val="18"/>
        </w:rPr>
        <w:t>Commentator 1</w:t>
      </w:r>
      <w:r w:rsidRPr="00880357">
        <w:rPr>
          <w:b/>
          <w:sz w:val="18"/>
          <w:szCs w:val="18"/>
        </w:rPr>
        <w:t xml:space="preserve">: </w:t>
      </w:r>
    </w:p>
    <w:p w14:paraId="770061E4" w14:textId="77777777" w:rsidR="00DF018C" w:rsidRDefault="0030537A" w:rsidP="00C315F1">
      <w:pPr>
        <w:spacing w:after="120"/>
        <w:ind w:left="284"/>
        <w:rPr>
          <w:sz w:val="18"/>
          <w:szCs w:val="18"/>
        </w:rPr>
      </w:pPr>
      <w:r w:rsidRPr="00561B82">
        <w:rPr>
          <w:sz w:val="18"/>
          <w:szCs w:val="18"/>
        </w:rPr>
        <w:t xml:space="preserve">Back at the football stadium, finals football continues. The first preliminary final, with Manly leading 16 to 4. Forty minutes of football, perhaps, left. The Eagles are rocking. </w:t>
      </w:r>
      <w:r w:rsidRPr="0051003E">
        <w:rPr>
          <w:sz w:val="18"/>
          <w:szCs w:val="18"/>
        </w:rPr>
        <w:t xml:space="preserve">Not only has the Manly Football Club been doing great work on the field this season, they’ve also been very busy working with the community off the field. With significant funding from the Manly Leagues Club and Harbord Diggers, for whom a lot of these kids played, the Sea Eagles established The Eagle’s Nest, </w:t>
      </w:r>
      <w:r w:rsidRPr="00227E88">
        <w:rPr>
          <w:sz w:val="18"/>
          <w:szCs w:val="18"/>
        </w:rPr>
        <w:t>in conjunction with the Royal Far West Health Service. Eagle’s Nest is a multi-purpose room where staff run adolescent mentoring programs with the assistance of the Manly players. The ongoing financial assistance of registered clubs across Australia ensure</w:t>
      </w:r>
      <w:r>
        <w:rPr>
          <w:sz w:val="18"/>
          <w:szCs w:val="18"/>
        </w:rPr>
        <w:t xml:space="preserve"> [sic]</w:t>
      </w:r>
      <w:r w:rsidRPr="00227E88">
        <w:rPr>
          <w:sz w:val="18"/>
          <w:szCs w:val="18"/>
        </w:rPr>
        <w:t xml:space="preserve"> this, and many other worthwhile programs, continue, but they are under threat from the new untested technology the Federal Government plans to introduce. Funding from clubs is the lifeblood of many community programs and initiatives that we all enjoy. So for more information go to wontworkwillhurt.com.au. </w:t>
      </w:r>
    </w:p>
    <w:p w14:paraId="57924556" w14:textId="47D675CB" w:rsidR="00DF018C" w:rsidRDefault="0030537A" w:rsidP="00C315F1">
      <w:pPr>
        <w:spacing w:after="120"/>
        <w:ind w:left="284"/>
        <w:rPr>
          <w:sz w:val="18"/>
          <w:szCs w:val="18"/>
        </w:rPr>
      </w:pPr>
      <w:r w:rsidRPr="00561B82">
        <w:rPr>
          <w:sz w:val="18"/>
          <w:szCs w:val="18"/>
        </w:rPr>
        <w:t xml:space="preserve">As Manly come back in front of 31,894 </w:t>
      </w:r>
      <w:r w:rsidR="006667C1">
        <w:rPr>
          <w:sz w:val="18"/>
          <w:szCs w:val="18"/>
        </w:rPr>
        <w:t xml:space="preserve">– </w:t>
      </w:r>
      <w:r w:rsidRPr="00561B82">
        <w:rPr>
          <w:sz w:val="18"/>
          <w:szCs w:val="18"/>
        </w:rPr>
        <w:t>the crowd figure.</w:t>
      </w:r>
      <w:r w:rsidR="00DF018C">
        <w:rPr>
          <w:sz w:val="18"/>
          <w:szCs w:val="18"/>
        </w:rPr>
        <w:t xml:space="preserve"> </w:t>
      </w:r>
      <w:r w:rsidRPr="00561B82">
        <w:rPr>
          <w:sz w:val="18"/>
          <w:szCs w:val="18"/>
        </w:rPr>
        <w:t>At</w:t>
      </w:r>
      <w:r>
        <w:rPr>
          <w:sz w:val="18"/>
          <w:szCs w:val="18"/>
        </w:rPr>
        <w:t> </w:t>
      </w:r>
      <w:r w:rsidRPr="00561B82">
        <w:rPr>
          <w:sz w:val="18"/>
          <w:szCs w:val="18"/>
        </w:rPr>
        <w:t>16</w:t>
      </w:r>
      <w:r>
        <w:rPr>
          <w:sz w:val="18"/>
          <w:szCs w:val="18"/>
        </w:rPr>
        <w:t>–</w:t>
      </w:r>
      <w:r w:rsidRPr="00561B82">
        <w:rPr>
          <w:sz w:val="18"/>
          <w:szCs w:val="18"/>
        </w:rPr>
        <w:t xml:space="preserve">4. </w:t>
      </w:r>
    </w:p>
    <w:p w14:paraId="044DB43A" w14:textId="0B690931" w:rsidR="0030537A" w:rsidRPr="00561B82" w:rsidRDefault="0030537A" w:rsidP="00C315F1">
      <w:pPr>
        <w:spacing w:after="120"/>
        <w:ind w:left="284"/>
        <w:rPr>
          <w:sz w:val="18"/>
          <w:szCs w:val="18"/>
        </w:rPr>
      </w:pPr>
      <w:r w:rsidRPr="00561B82">
        <w:rPr>
          <w:sz w:val="18"/>
          <w:szCs w:val="18"/>
        </w:rPr>
        <w:t>Well, you’re very much a part of the club industry these days</w:t>
      </w:r>
      <w:r>
        <w:rPr>
          <w:sz w:val="18"/>
          <w:szCs w:val="18"/>
        </w:rPr>
        <w:t xml:space="preserve"> … </w:t>
      </w:r>
      <w:r w:rsidRPr="00561B82">
        <w:rPr>
          <w:sz w:val="18"/>
          <w:szCs w:val="18"/>
        </w:rPr>
        <w:t>and it is true, they do a lot for the community. And if they keep hitting the clubs, the ones who are going to suffer are the ones at the bottom of the ladder.</w:t>
      </w:r>
    </w:p>
    <w:p w14:paraId="3407C57A" w14:textId="77777777" w:rsidR="0030537A" w:rsidRDefault="0030537A" w:rsidP="006667C1">
      <w:pPr>
        <w:spacing w:after="0"/>
        <w:ind w:left="284"/>
        <w:rPr>
          <w:sz w:val="18"/>
          <w:szCs w:val="18"/>
        </w:rPr>
      </w:pPr>
      <w:bookmarkStart w:id="93" w:name="_Hlk534967699"/>
      <w:r>
        <w:rPr>
          <w:b/>
          <w:sz w:val="18"/>
          <w:szCs w:val="18"/>
        </w:rPr>
        <w:t>Commentator 2</w:t>
      </w:r>
      <w:bookmarkEnd w:id="93"/>
      <w:r w:rsidRPr="00880357">
        <w:rPr>
          <w:b/>
          <w:sz w:val="18"/>
          <w:szCs w:val="18"/>
        </w:rPr>
        <w:t>:</w:t>
      </w:r>
      <w:r>
        <w:rPr>
          <w:sz w:val="18"/>
          <w:szCs w:val="18"/>
        </w:rPr>
        <w:t xml:space="preserve"> </w:t>
      </w:r>
    </w:p>
    <w:p w14:paraId="292F99D6" w14:textId="77777777" w:rsidR="0030537A" w:rsidRPr="00561B82" w:rsidRDefault="0030537A" w:rsidP="006667C1">
      <w:pPr>
        <w:spacing w:after="120"/>
        <w:ind w:left="284"/>
        <w:rPr>
          <w:sz w:val="18"/>
          <w:szCs w:val="18"/>
        </w:rPr>
      </w:pPr>
      <w:r w:rsidRPr="00561B82">
        <w:rPr>
          <w:sz w:val="18"/>
          <w:szCs w:val="18"/>
        </w:rPr>
        <w:t>Yes, the proposed mandatory pre-commitment that they’ve put forward is a rubbish policy. It won’t work, it won’t solve the problem they say they’re going to target, and it will do irreparable damage to the hospitality industry. It won’t work, and it will hurt. You’re 100</w:t>
      </w:r>
      <w:r>
        <w:rPr>
          <w:sz w:val="18"/>
          <w:szCs w:val="18"/>
        </w:rPr>
        <w:t xml:space="preserve"> per cent</w:t>
      </w:r>
      <w:r w:rsidRPr="00561B82">
        <w:rPr>
          <w:sz w:val="18"/>
          <w:szCs w:val="18"/>
        </w:rPr>
        <w:t xml:space="preserve"> right. I’ve never seen a more stupid </w:t>
      </w:r>
      <w:r>
        <w:rPr>
          <w:sz w:val="18"/>
          <w:szCs w:val="18"/>
        </w:rPr>
        <w:t xml:space="preserve">policy in all my life. </w:t>
      </w:r>
    </w:p>
    <w:p w14:paraId="222D6948" w14:textId="77777777" w:rsidR="0030537A" w:rsidRPr="00561B82" w:rsidRDefault="0030537A" w:rsidP="0030537A">
      <w:pPr>
        <w:ind w:left="284"/>
        <w:rPr>
          <w:sz w:val="18"/>
          <w:szCs w:val="18"/>
        </w:rPr>
      </w:pPr>
      <w:r w:rsidRPr="00561B82">
        <w:rPr>
          <w:sz w:val="18"/>
          <w:szCs w:val="18"/>
        </w:rPr>
        <w:t>[Whistle blows and play in second half begins</w:t>
      </w:r>
      <w:r>
        <w:rPr>
          <w:sz w:val="18"/>
          <w:szCs w:val="18"/>
        </w:rPr>
        <w:t>.</w:t>
      </w:r>
      <w:r w:rsidRPr="00561B82">
        <w:rPr>
          <w:sz w:val="18"/>
          <w:szCs w:val="18"/>
        </w:rPr>
        <w:t>]</w:t>
      </w:r>
    </w:p>
    <w:p w14:paraId="432CAE05" w14:textId="77777777" w:rsidR="0030537A" w:rsidRDefault="0030537A" w:rsidP="006667C1">
      <w:pPr>
        <w:spacing w:after="0"/>
        <w:ind w:left="284"/>
        <w:rPr>
          <w:sz w:val="18"/>
          <w:szCs w:val="18"/>
        </w:rPr>
      </w:pPr>
      <w:r>
        <w:rPr>
          <w:b/>
          <w:sz w:val="18"/>
          <w:szCs w:val="18"/>
        </w:rPr>
        <w:t>Commentator 1</w:t>
      </w:r>
      <w:r w:rsidRPr="000B0762">
        <w:rPr>
          <w:b/>
          <w:sz w:val="18"/>
          <w:szCs w:val="18"/>
        </w:rPr>
        <w:t>:</w:t>
      </w:r>
      <w:r>
        <w:rPr>
          <w:sz w:val="18"/>
          <w:szCs w:val="18"/>
        </w:rPr>
        <w:t xml:space="preserve"> </w:t>
      </w:r>
    </w:p>
    <w:p w14:paraId="241CDEDE" w14:textId="77777777" w:rsidR="0030537A" w:rsidRDefault="0030537A" w:rsidP="0030537A">
      <w:pPr>
        <w:ind w:left="284"/>
        <w:rPr>
          <w:sz w:val="18"/>
          <w:szCs w:val="18"/>
        </w:rPr>
      </w:pPr>
      <w:r w:rsidRPr="00561B82">
        <w:rPr>
          <w:sz w:val="18"/>
          <w:szCs w:val="18"/>
        </w:rPr>
        <w:t xml:space="preserve">Well, that’s an endorsement. </w:t>
      </w:r>
    </w:p>
    <w:p w14:paraId="029EB774" w14:textId="77777777" w:rsidR="0030537A" w:rsidRPr="002E1B06" w:rsidRDefault="0030537A" w:rsidP="0030537A">
      <w:r>
        <w:t>There was also a visual on screen ‘wontworkwillhurt.com.au’ while part of the above was being broadcast, over vision of the teams running out onto the field for the second half of the match.</w:t>
      </w:r>
    </w:p>
    <w:p w14:paraId="1DF09796" w14:textId="77777777" w:rsidR="0030537A" w:rsidRPr="006C1F88" w:rsidRDefault="0030537A" w:rsidP="0030537A">
      <w:pPr>
        <w:pStyle w:val="BodySubHeader"/>
      </w:pPr>
      <w:r w:rsidRPr="006C1F88">
        <w:t xml:space="preserve">The </w:t>
      </w:r>
      <w:r w:rsidRPr="009E163D">
        <w:t>ACMA’s</w:t>
      </w:r>
      <w:r w:rsidRPr="006C1F88">
        <w:t xml:space="preserve"> findings</w:t>
      </w:r>
    </w:p>
    <w:p w14:paraId="31F4230C" w14:textId="2C932416" w:rsidR="0030537A" w:rsidRDefault="008C0DE6" w:rsidP="0030537A">
      <w:r>
        <w:t xml:space="preserve">We </w:t>
      </w:r>
      <w:r w:rsidR="0030537A">
        <w:t>found that mandatory pre-commitment (MPC) for poker machine play</w:t>
      </w:r>
      <w:r w:rsidR="0030537A" w:rsidRPr="00C04AB8">
        <w:t xml:space="preserve"> had been a controversial topic for several months at the time of the broadcast</w:t>
      </w:r>
      <w:r w:rsidR="0030537A">
        <w:t xml:space="preserve"> and was the subject of proposed Federal Government legislation</w:t>
      </w:r>
      <w:r w:rsidR="0030537A" w:rsidRPr="00C04AB8">
        <w:t xml:space="preserve">. Accordingly, </w:t>
      </w:r>
      <w:r>
        <w:t xml:space="preserve">we </w:t>
      </w:r>
      <w:r w:rsidR="0030537A" w:rsidRPr="00C04AB8">
        <w:t>consider</w:t>
      </w:r>
      <w:r w:rsidR="0030537A">
        <w:t>ed</w:t>
      </w:r>
      <w:r w:rsidR="0030537A" w:rsidRPr="00C04AB8">
        <w:t xml:space="preserve"> that MPC </w:t>
      </w:r>
      <w:r w:rsidR="0030537A">
        <w:t xml:space="preserve">was a political issue at that time. While the material broadcast contained information, such as details of the Eagle’s Nest project, it also sought to influence viewers to oppose </w:t>
      </w:r>
      <w:r w:rsidR="0030537A" w:rsidRPr="00C04AB8">
        <w:t>MPC</w:t>
      </w:r>
      <w:r w:rsidR="0030537A">
        <w:t xml:space="preserve">. </w:t>
      </w:r>
      <w:r>
        <w:t xml:space="preserve">We </w:t>
      </w:r>
      <w:r w:rsidR="0030537A">
        <w:t xml:space="preserve">therefore considered that the material in the broadcast relating to MPC constituted political matter. </w:t>
      </w:r>
    </w:p>
    <w:p w14:paraId="7DF14DC2" w14:textId="66DEE755" w:rsidR="0030537A" w:rsidRDefault="0030537A" w:rsidP="0030537A">
      <w:pPr>
        <w:rPr>
          <w:rFonts w:cs="Arial"/>
        </w:rPr>
      </w:pPr>
      <w:r>
        <w:rPr>
          <w:rFonts w:cs="Arial"/>
        </w:rPr>
        <w:t xml:space="preserve">Having carefully examined the sequence of events concerning communications between the licensee (Nine), Clubs Australia/Clubs NSW, the National Rugby League (NRL) and Manly-Warringah Sea Eagles Limited, </w:t>
      </w:r>
      <w:r w:rsidR="008C0DE6">
        <w:rPr>
          <w:rFonts w:cs="Arial"/>
        </w:rPr>
        <w:t xml:space="preserve">we </w:t>
      </w:r>
      <w:r>
        <w:rPr>
          <w:rFonts w:cs="Arial"/>
        </w:rPr>
        <w:t xml:space="preserve">concluded that it was Nine, not any other person, which took the initiative that led to the broadcast of the impugned material, and that the contribution of others (Manly-Warringah Sea Eagles Limited, </w:t>
      </w:r>
      <w:r>
        <w:rPr>
          <w:rFonts w:cs="Arial"/>
        </w:rPr>
        <w:lastRenderedPageBreak/>
        <w:t>Clubs NSW/Clubs Australia and the NRL) was at the request of Nine, not the other way round.</w:t>
      </w:r>
    </w:p>
    <w:p w14:paraId="2D4119D7" w14:textId="2780B9BF" w:rsidR="0030537A" w:rsidRDefault="008C0DE6" w:rsidP="0030537A">
      <w:r>
        <w:t xml:space="preserve">We </w:t>
      </w:r>
      <w:r w:rsidR="0030537A">
        <w:t xml:space="preserve">also noted that </w:t>
      </w:r>
      <w:r>
        <w:t xml:space="preserve">while </w:t>
      </w:r>
      <w:r w:rsidR="0030537A">
        <w:t>there was no prohibition on a licensee running its own political campaign, the licensee did not make clear in the broadcast that the script had been prepared by Nine management and was broadcast at the initiative of Nine management. Nor did the licensee make clear that the website to which it directed viewers for ‘more information’ was a website of a campaign funded by Clubs Australia and other industry associations</w:t>
      </w:r>
      <w:r>
        <w:t>,</w:t>
      </w:r>
      <w:r w:rsidR="0030537A">
        <w:t xml:space="preserve"> which considered that their revenue would be negatively affected by the introduction of MPC. </w:t>
      </w:r>
    </w:p>
    <w:p w14:paraId="6A545BD3" w14:textId="39817B23" w:rsidR="0030537A" w:rsidRDefault="0030537A" w:rsidP="00376A50">
      <w:pPr>
        <w:keepNext/>
        <w:spacing w:before="320" w:after="60"/>
        <w:outlineLvl w:val="1"/>
        <w:rPr>
          <w:rFonts w:cs="Arial"/>
          <w:i/>
          <w:szCs w:val="20"/>
        </w:rPr>
      </w:pPr>
      <w:r w:rsidRPr="00A56A02">
        <w:rPr>
          <w:rFonts w:cs="Arial"/>
          <w:szCs w:val="20"/>
        </w:rPr>
        <w:t xml:space="preserve">The complete analysis in this investigation can be accessed at </w:t>
      </w:r>
      <w:hyperlink r:id="rId36" w:history="1">
        <w:r w:rsidRPr="00A56A02">
          <w:rPr>
            <w:rStyle w:val="Hyperlink"/>
            <w:rFonts w:cs="Arial"/>
            <w:szCs w:val="20"/>
          </w:rPr>
          <w:t>acma.gov.au</w:t>
        </w:r>
      </w:hyperlink>
      <w:r w:rsidR="00BE735D" w:rsidRPr="00376A50">
        <w:t xml:space="preserve"> (search ‘2686’)</w:t>
      </w:r>
      <w:r>
        <w:rPr>
          <w:rFonts w:cs="Arial"/>
          <w:szCs w:val="20"/>
        </w:rPr>
        <w:t>.</w:t>
      </w:r>
    </w:p>
    <w:p w14:paraId="41539C52" w14:textId="46F2238B" w:rsidR="0030537A" w:rsidRPr="00DB1AA8" w:rsidRDefault="0030537A" w:rsidP="007B370C">
      <w:pPr>
        <w:pStyle w:val="Heading2"/>
        <w:pageBreakBefore/>
      </w:pPr>
      <w:bookmarkStart w:id="94" w:name="_Case_study_5"/>
      <w:bookmarkStart w:id="95" w:name="_Toc96344069"/>
      <w:bookmarkStart w:id="96" w:name="_Toc97800003"/>
      <w:bookmarkEnd w:id="94"/>
      <w:r w:rsidRPr="000606EE">
        <w:lastRenderedPageBreak/>
        <w:t>Case stud</w:t>
      </w:r>
      <w:r>
        <w:t>y 5</w:t>
      </w:r>
      <w:bookmarkEnd w:id="95"/>
      <w:bookmarkEnd w:id="96"/>
    </w:p>
    <w:p w14:paraId="3FA0DA7E" w14:textId="219A685E" w:rsidR="0030537A" w:rsidRDefault="0030537A" w:rsidP="0030537A">
      <w:pPr>
        <w:pStyle w:val="Heading3"/>
      </w:pPr>
      <w:bookmarkStart w:id="97" w:name="_Toc5863405"/>
      <w:bookmarkStart w:id="98" w:name="_Toc5963149"/>
      <w:bookmarkStart w:id="99" w:name="_Toc96344070"/>
      <w:bookmarkStart w:id="100" w:name="_Toc97800004"/>
      <w:r>
        <w:t>No b</w:t>
      </w:r>
      <w:r w:rsidRPr="00321AF8">
        <w:t>reach</w:t>
      </w:r>
      <w:r w:rsidR="00BE735D">
        <w:t xml:space="preserve"> – </w:t>
      </w:r>
      <w:r>
        <w:t>political matter was not an election advertisement broadcast during the ‘blackout period’ and was not broadcast at the request of another person</w:t>
      </w:r>
      <w:bookmarkEnd w:id="97"/>
      <w:bookmarkEnd w:id="98"/>
      <w:bookmarkEnd w:id="99"/>
      <w:bookmarkEnd w:id="100"/>
      <w:r>
        <w:t xml:space="preserve"> </w:t>
      </w:r>
    </w:p>
    <w:p w14:paraId="18EAF269" w14:textId="77777777" w:rsidR="0030537A" w:rsidRPr="006C1F88" w:rsidRDefault="0030537A" w:rsidP="0030537A">
      <w:pPr>
        <w:pStyle w:val="BodySubHeader"/>
      </w:pPr>
      <w:r w:rsidRPr="006C1F88">
        <w:t xml:space="preserve">The broadcast </w:t>
      </w:r>
      <w:r w:rsidRPr="009E163D">
        <w:t>material</w:t>
      </w:r>
    </w:p>
    <w:p w14:paraId="0862696F" w14:textId="3D3B50A9" w:rsidR="0030537A" w:rsidRDefault="0030537A" w:rsidP="0030537A">
      <w:pPr>
        <w:keepNext/>
        <w:outlineLvl w:val="1"/>
      </w:pPr>
      <w:r>
        <w:t>The content complain</w:t>
      </w:r>
      <w:r w:rsidR="00BE735D">
        <w:t xml:space="preserve">ed about </w:t>
      </w:r>
      <w:r>
        <w:t xml:space="preserve">was </w:t>
      </w:r>
      <w:r w:rsidR="00BE735D">
        <w:t xml:space="preserve">2 </w:t>
      </w:r>
      <w:r>
        <w:t>short recordings of what were presented to be election advertisements for the then Prime Minister of Australia, Mr Malcolm Turnbull MP. The recordings, which were comedic in nature, were voiced by a comedian who sounded similar to Mr Turnbull.</w:t>
      </w:r>
    </w:p>
    <w:p w14:paraId="42737F25" w14:textId="77777777" w:rsidR="0030537A" w:rsidRDefault="0030537A" w:rsidP="0030537A">
      <w:pPr>
        <w:pStyle w:val="ACMABodyText"/>
        <w:rPr>
          <w:lang w:eastAsia="en-AU"/>
        </w:rPr>
      </w:pPr>
      <w:r>
        <w:t>The recordings were broadcast the day before and on the day of the 2016 federal election.</w:t>
      </w:r>
    </w:p>
    <w:p w14:paraId="63E194A4" w14:textId="77777777" w:rsidR="0030537A" w:rsidRDefault="0030537A" w:rsidP="00376A50">
      <w:pPr>
        <w:pStyle w:val="BodySubHeader"/>
        <w:rPr>
          <w:i w:val="0"/>
        </w:rPr>
      </w:pPr>
      <w:r w:rsidRPr="006C1F88">
        <w:t xml:space="preserve">The </w:t>
      </w:r>
      <w:r w:rsidRPr="001638A2">
        <w:t>ACMA’s</w:t>
      </w:r>
      <w:r w:rsidRPr="006C1F88">
        <w:t xml:space="preserve"> finding</w:t>
      </w:r>
      <w:r>
        <w:t>s</w:t>
      </w:r>
    </w:p>
    <w:p w14:paraId="6C9FF55D" w14:textId="557DAAEB" w:rsidR="0030537A" w:rsidRPr="001638A2" w:rsidRDefault="0030537A" w:rsidP="007B370C">
      <w:pPr>
        <w:pStyle w:val="BodySubHeader"/>
        <w:numPr>
          <w:ilvl w:val="0"/>
          <w:numId w:val="37"/>
        </w:numPr>
        <w:spacing w:before="0"/>
        <w:ind w:left="426" w:hanging="426"/>
      </w:pPr>
      <w:r w:rsidRPr="006352BF">
        <w:rPr>
          <w:bCs/>
        </w:rPr>
        <w:t>Election advertisement broadcast during the election ‘blackout’</w:t>
      </w:r>
      <w:r>
        <w:rPr>
          <w:b w:val="0"/>
          <w:i w:val="0"/>
        </w:rPr>
        <w:t>.</w:t>
      </w:r>
    </w:p>
    <w:p w14:paraId="4F94D676" w14:textId="27767D8A" w:rsidR="0030537A" w:rsidRDefault="0030537A" w:rsidP="00D846AD">
      <w:pPr>
        <w:pStyle w:val="Paragraph"/>
      </w:pPr>
      <w:r>
        <w:t xml:space="preserve">As the ‘relevant period’ (also known as the election blackout period) </w:t>
      </w:r>
      <w:r w:rsidR="00BE735D">
        <w:t xml:space="preserve">starts </w:t>
      </w:r>
      <w:r>
        <w:t>at midnight on the Wednesday before the election, the content was broadcast within the ‘relevant period’ for the purposes of the BSA.</w:t>
      </w:r>
    </w:p>
    <w:p w14:paraId="1BF45971" w14:textId="42E5F06D" w:rsidR="0030537A" w:rsidRDefault="0030537A" w:rsidP="00D846AD">
      <w:r>
        <w:t>The licensee submitted that the recordings were not advertisements but were ‘sweepers’</w:t>
      </w:r>
      <w:r w:rsidR="00BE735D">
        <w:t xml:space="preserve"> –</w:t>
      </w:r>
      <w:r>
        <w:t xml:space="preserve"> pre-recorded samples aired between songs</w:t>
      </w:r>
      <w:r w:rsidR="001924CD">
        <w:t xml:space="preserve"> that are </w:t>
      </w:r>
      <w:r>
        <w:t xml:space="preserve">commonly used on radio. It advised that </w:t>
      </w:r>
      <w:r w:rsidR="00BE735D">
        <w:t xml:space="preserve">a </w:t>
      </w:r>
      <w:r>
        <w:t>comedian voiced them and that listeners were used to hearing these impersonations.</w:t>
      </w:r>
    </w:p>
    <w:p w14:paraId="0817FF19" w14:textId="77777777" w:rsidR="0030537A" w:rsidRDefault="0030537A" w:rsidP="00D846AD">
      <w:r>
        <w:t xml:space="preserve">The licensee also submitted that the content was not ‘election matter’ as it did not genuinely advocate the support of any political party and did not comment on any matters being submitted to the electors at the election or any candidate’s policies. </w:t>
      </w:r>
    </w:p>
    <w:p w14:paraId="1BA21AA8" w14:textId="040F95A0" w:rsidR="0030537A" w:rsidRDefault="001924CD" w:rsidP="00D846AD">
      <w:r>
        <w:t xml:space="preserve">We </w:t>
      </w:r>
      <w:r w:rsidR="0030537A">
        <w:t xml:space="preserve">considered that some listeners, including the complainant, may not have realised that the recordings were not genuine political advertisements. The impersonation closely resembled Mr Turnbull’s speaking voice. Further, although the recordings were mostly broadcast between songs, several times they were played immediately following advertising blocks, which would have suggested to some listeners that they were bona fide political advertisements. </w:t>
      </w:r>
    </w:p>
    <w:p w14:paraId="34E557D4" w14:textId="29BEAD55" w:rsidR="0030537A" w:rsidRDefault="0030537A" w:rsidP="00D846AD">
      <w:r>
        <w:t xml:space="preserve">In </w:t>
      </w:r>
      <w:r w:rsidR="001924CD">
        <w:t>our</w:t>
      </w:r>
      <w:r>
        <w:t xml:space="preserve"> view, the content fell within the definition of ‘election matter’ because, although intended to be comedic, the recordings were, on the face of it, a direct appeal to voters to vote for Mr Turnbull, who was a candidate at the election and the leader of a political party contesting the election. </w:t>
      </w:r>
    </w:p>
    <w:p w14:paraId="5D672DB7" w14:textId="77777777" w:rsidR="0030537A" w:rsidRDefault="0030537A" w:rsidP="00D846AD">
      <w:r>
        <w:t xml:space="preserve">The content was not excluded from the definition of ‘election matter’ by the fact that it was not Mr Turnbull or the Liberal Party who made the appeal, or that the content did not genuinely advocate support for Mr Turnbull because it was intended to be comedic. </w:t>
      </w:r>
    </w:p>
    <w:p w14:paraId="5A51AD2E" w14:textId="77777777" w:rsidR="0030537A" w:rsidRDefault="0030537A" w:rsidP="00D846AD">
      <w:r w:rsidRPr="002D7C25">
        <w:rPr>
          <w:rFonts w:cs="Arial"/>
        </w:rPr>
        <w:t>However,</w:t>
      </w:r>
      <w:r>
        <w:rPr>
          <w:rFonts w:cs="Arial"/>
          <w:i/>
        </w:rPr>
        <w:t xml:space="preserve"> </w:t>
      </w:r>
      <w:r>
        <w:t>as the ACMA accepted the licensee’s submission that it did not receive ‘any funding or other consideration, directly or indirectly’ in relation to the broadcasts, the ‘election matter’ was not an ‘election advertisement’, and so was not subject to the restrictions in the ‘blackout’ period.</w:t>
      </w:r>
    </w:p>
    <w:p w14:paraId="0A6DA68A" w14:textId="77777777" w:rsidR="0030537A" w:rsidRPr="007B370C" w:rsidRDefault="0030537A" w:rsidP="007B370C">
      <w:pPr>
        <w:pStyle w:val="BodySubHeader"/>
        <w:numPr>
          <w:ilvl w:val="0"/>
          <w:numId w:val="37"/>
        </w:numPr>
        <w:spacing w:before="0"/>
        <w:ind w:left="426" w:hanging="426"/>
        <w:rPr>
          <w:bCs/>
        </w:rPr>
      </w:pPr>
      <w:r w:rsidRPr="00883339">
        <w:rPr>
          <w:bCs/>
        </w:rPr>
        <w:t>Political matter without the required particulars.</w:t>
      </w:r>
    </w:p>
    <w:p w14:paraId="2B9AB408" w14:textId="474376E4" w:rsidR="0030537A" w:rsidRDefault="001924CD" w:rsidP="0030537A">
      <w:pPr>
        <w:pStyle w:val="ACMABodyText"/>
        <w:rPr>
          <w:lang w:eastAsia="en-AU"/>
        </w:rPr>
      </w:pPr>
      <w:r>
        <w:rPr>
          <w:lang w:eastAsia="en-AU"/>
        </w:rPr>
        <w:t xml:space="preserve">We </w:t>
      </w:r>
      <w:r w:rsidR="0030537A">
        <w:rPr>
          <w:lang w:eastAsia="en-AU"/>
        </w:rPr>
        <w:t xml:space="preserve">found that even though the recordings were comedic, they referenced the federal election and appealed to listeners to vote for Mr Turnbull, a candidate in that election. In </w:t>
      </w:r>
      <w:r>
        <w:rPr>
          <w:lang w:eastAsia="en-AU"/>
        </w:rPr>
        <w:t xml:space="preserve">our </w:t>
      </w:r>
      <w:r w:rsidR="0030537A">
        <w:rPr>
          <w:lang w:eastAsia="en-AU"/>
        </w:rPr>
        <w:t xml:space="preserve">view, that was sufficient to meet the definition of ‘political matter’. </w:t>
      </w:r>
    </w:p>
    <w:p w14:paraId="68F95DB6" w14:textId="33B880D3" w:rsidR="0030537A" w:rsidRDefault="0030537A" w:rsidP="00883339">
      <w:r>
        <w:lastRenderedPageBreak/>
        <w:t xml:space="preserve">However, </w:t>
      </w:r>
      <w:r w:rsidR="001924CD">
        <w:t xml:space="preserve">we </w:t>
      </w:r>
      <w:r>
        <w:t xml:space="preserve">accepted the licensee’s submission that the content was not broadcast at the request of a political party or any other person. Therefore, there was no requirement for </w:t>
      </w:r>
      <w:r>
        <w:rPr>
          <w:rFonts w:cs="Arial"/>
        </w:rPr>
        <w:t>the required particulars to be announced immediately afterwards</w:t>
      </w:r>
      <w:r>
        <w:t>.</w:t>
      </w:r>
    </w:p>
    <w:p w14:paraId="43BAA3C7" w14:textId="62CD3C4B" w:rsidR="0030537A" w:rsidRPr="000743A4" w:rsidRDefault="0030537A" w:rsidP="000743A4">
      <w:pPr>
        <w:keepNext/>
        <w:spacing w:before="240" w:after="60"/>
        <w:outlineLvl w:val="1"/>
        <w:rPr>
          <w:rFonts w:cs="Arial"/>
          <w:szCs w:val="20"/>
        </w:rPr>
      </w:pPr>
      <w:r w:rsidRPr="00A56A02">
        <w:rPr>
          <w:rFonts w:cs="Arial"/>
          <w:szCs w:val="20"/>
        </w:rPr>
        <w:t xml:space="preserve">The complete analysis in this investigation can be accessed at </w:t>
      </w:r>
      <w:hyperlink r:id="rId37" w:history="1">
        <w:r w:rsidRPr="00A56A02">
          <w:rPr>
            <w:rStyle w:val="Hyperlink"/>
            <w:rFonts w:cs="Arial"/>
            <w:szCs w:val="20"/>
          </w:rPr>
          <w:t>acma.gov.au</w:t>
        </w:r>
      </w:hyperlink>
      <w:r w:rsidR="001924CD">
        <w:rPr>
          <w:rFonts w:cs="Arial"/>
          <w:szCs w:val="20"/>
        </w:rPr>
        <w:t xml:space="preserve"> (search ‘</w:t>
      </w:r>
      <w:r w:rsidR="001924CD" w:rsidRPr="00A56A02">
        <w:rPr>
          <w:rFonts w:cs="Arial"/>
          <w:szCs w:val="20"/>
        </w:rPr>
        <w:t>BI-214</w:t>
      </w:r>
      <w:r w:rsidR="001924CD">
        <w:rPr>
          <w:rFonts w:cs="Arial"/>
          <w:szCs w:val="20"/>
        </w:rPr>
        <w:t>’).</w:t>
      </w:r>
    </w:p>
    <w:bookmarkEnd w:id="18"/>
    <w:bookmarkEnd w:id="19"/>
    <w:sectPr w:rsidR="0030537A" w:rsidRPr="000743A4" w:rsidSect="00C77380">
      <w:headerReference w:type="even" r:id="rId38"/>
      <w:headerReference w:type="default" r:id="rId39"/>
      <w:footerReference w:type="even" r:id="rId40"/>
      <w:footerReference w:type="default" r:id="rId4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9991E" w14:textId="77777777" w:rsidR="0030537A" w:rsidRDefault="0030537A">
      <w:r>
        <w:separator/>
      </w:r>
    </w:p>
  </w:endnote>
  <w:endnote w:type="continuationSeparator" w:id="0">
    <w:p w14:paraId="4472F5E6" w14:textId="77777777" w:rsidR="0030537A" w:rsidRDefault="003053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9F521" w14:textId="77777777" w:rsidR="005E250B" w:rsidRDefault="005E250B" w:rsidP="005E250B">
    <w:pPr>
      <w:pStyle w:val="Footer"/>
      <w:jc w:val="right"/>
    </w:pPr>
    <w:r w:rsidRPr="005E250B">
      <w:rPr>
        <w:noProof/>
        <w:vertAlign w:val="subscript"/>
      </w:rPr>
      <w:drawing>
        <wp:inline distT="0" distB="0" distL="0" distR="0" wp14:anchorId="5BB4C952" wp14:editId="419C407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D83F7"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211FB"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7A622"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88D2B70"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E8CA1"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4DE5FC64"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ED928"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7C0D9C22"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956C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C92FB4B"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43488"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1401CD9"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D036B" w14:textId="77777777" w:rsidR="0030537A" w:rsidRDefault="0030537A" w:rsidP="00DB3A64">
      <w:pPr>
        <w:spacing w:after="0"/>
      </w:pPr>
      <w:r>
        <w:separator/>
      </w:r>
    </w:p>
  </w:footnote>
  <w:footnote w:type="continuationSeparator" w:id="0">
    <w:p w14:paraId="49E56EBB" w14:textId="77777777" w:rsidR="0030537A" w:rsidRDefault="0030537A">
      <w:r>
        <w:continuationSeparator/>
      </w:r>
    </w:p>
  </w:footnote>
  <w:footnote w:id="1">
    <w:p w14:paraId="08D3058F" w14:textId="77777777" w:rsidR="0030537A" w:rsidRDefault="0030537A" w:rsidP="0030537A">
      <w:pPr>
        <w:pStyle w:val="FootnoteText"/>
        <w:spacing w:before="40" w:after="40" w:line="240" w:lineRule="auto"/>
      </w:pPr>
      <w:r>
        <w:rPr>
          <w:rStyle w:val="FootnoteReference"/>
        </w:rPr>
        <w:footnoteRef/>
      </w:r>
      <w:r>
        <w:t xml:space="preserve"> See ‘How the Internet is Being Used by Political Organisations: Promises, Problems and Pointers’, </w:t>
      </w:r>
      <w:hyperlink r:id="rId1" w:anchor="PROBLEMS,[accessed" w:history="1">
        <w:r w:rsidRPr="00F22303">
          <w:rPr>
            <w:rStyle w:val="Hyperlink"/>
          </w:rPr>
          <w:t>https://www.aph.gov.au/About_Parliament/Parliamentary_Departments/Parliamentary_Library/pubs/rp/RP9798/98RP11#PROBLEMS</w:t>
        </w:r>
      </w:hyperlink>
      <w:r>
        <w:t>, accessed 6 February 2019.</w:t>
      </w:r>
    </w:p>
  </w:footnote>
  <w:footnote w:id="2">
    <w:p w14:paraId="598F059C" w14:textId="334A4833" w:rsidR="0030537A" w:rsidRPr="00886DCE" w:rsidRDefault="0030537A" w:rsidP="0030537A">
      <w:pPr>
        <w:pStyle w:val="FootnoteText"/>
        <w:spacing w:line="240" w:lineRule="auto"/>
      </w:pPr>
      <w:r>
        <w:rPr>
          <w:rStyle w:val="FootnoteReference"/>
        </w:rPr>
        <w:footnoteRef/>
      </w:r>
      <w:r>
        <w:t xml:space="preserve"> </w:t>
      </w:r>
      <w:r>
        <w:rPr>
          <w:shd w:val="clear" w:color="auto" w:fill="FFFFFF"/>
        </w:rPr>
        <w:t xml:space="preserve">See subclauses 1(2) and 1(3) of Schedule 2. </w:t>
      </w:r>
      <w:r>
        <w:t>The definition of ‘</w:t>
      </w:r>
      <w:r w:rsidRPr="00A56A02">
        <w:t>required particulars</w:t>
      </w:r>
      <w:r>
        <w:t>’</w:t>
      </w:r>
      <w:r>
        <w:rPr>
          <w:i/>
        </w:rPr>
        <w:t xml:space="preserve"> </w:t>
      </w:r>
      <w:r>
        <w:t xml:space="preserve">also refers to any particulars determined under subsection 321D(7) of the </w:t>
      </w:r>
      <w:r w:rsidRPr="0096465E">
        <w:rPr>
          <w:iCs/>
        </w:rPr>
        <w:t>Commonwealth Electoral Act</w:t>
      </w:r>
      <w:r>
        <w:rPr>
          <w:i/>
        </w:rPr>
        <w:t xml:space="preserve"> </w:t>
      </w:r>
      <w:r>
        <w:t xml:space="preserve">for the purposes of paragraph 1(2)(b) of Schedule 2. No such particulars have been determined to date. </w:t>
      </w:r>
    </w:p>
  </w:footnote>
  <w:footnote w:id="3">
    <w:p w14:paraId="5ED713D4" w14:textId="214410D6" w:rsidR="0030537A" w:rsidRPr="00D30009" w:rsidRDefault="0030537A" w:rsidP="0030537A">
      <w:pPr>
        <w:pStyle w:val="FootnoteText"/>
        <w:spacing w:line="240" w:lineRule="auto"/>
      </w:pPr>
      <w:r>
        <w:rPr>
          <w:rStyle w:val="FootnoteReference"/>
        </w:rPr>
        <w:footnoteRef/>
      </w:r>
      <w:r>
        <w:t xml:space="preserve"> Section 287 of the </w:t>
      </w:r>
      <w:r w:rsidRPr="0096465E">
        <w:rPr>
          <w:iCs/>
        </w:rPr>
        <w:t xml:space="preserve">Commonwealth Electoral Act </w:t>
      </w:r>
      <w:r>
        <w:t xml:space="preserve">defines the disclosure threshold as $13,800, an amount which is indexed under section 321A. For the 2021–22 financial year, the threshold is $14,300. </w:t>
      </w:r>
    </w:p>
  </w:footnote>
  <w:footnote w:id="4">
    <w:p w14:paraId="7C2083E7" w14:textId="31F4760C" w:rsidR="0030537A" w:rsidRPr="002A0673" w:rsidRDefault="0030537A" w:rsidP="0030537A">
      <w:pPr>
        <w:pStyle w:val="FootnoteText"/>
        <w:spacing w:line="240" w:lineRule="auto"/>
        <w:rPr>
          <w:rStyle w:val="FootnoteReference"/>
          <w:vertAlign w:val="baseline"/>
        </w:rPr>
      </w:pPr>
      <w:r>
        <w:rPr>
          <w:rStyle w:val="FootnoteReference"/>
        </w:rPr>
        <w:footnoteRef/>
      </w:r>
      <w:r w:rsidRPr="002A0673">
        <w:rPr>
          <w:rStyle w:val="FootnoteReference"/>
        </w:rPr>
        <w:t xml:space="preserve"> </w:t>
      </w:r>
      <w:r w:rsidRPr="002A0673">
        <w:rPr>
          <w:rStyle w:val="FootnoteReference"/>
          <w:vertAlign w:val="baseline"/>
        </w:rPr>
        <w:t>This is a plain English summary of the definition. For the full definition of an associated entity</w:t>
      </w:r>
      <w:r w:rsidR="00EC6723">
        <w:t>,</w:t>
      </w:r>
      <w:r w:rsidRPr="002A0673">
        <w:rPr>
          <w:rStyle w:val="FootnoteReference"/>
          <w:vertAlign w:val="baseline"/>
        </w:rPr>
        <w:t xml:space="preserve"> see section 287H of the </w:t>
      </w:r>
      <w:r w:rsidRPr="0096465E">
        <w:rPr>
          <w:rStyle w:val="FootnoteReference"/>
          <w:vertAlign w:val="baseline"/>
        </w:rPr>
        <w:t>Commonwealth Electoral Act</w:t>
      </w:r>
      <w:r>
        <w:t>.</w:t>
      </w:r>
    </w:p>
  </w:footnote>
  <w:footnote w:id="5">
    <w:p w14:paraId="06713799" w14:textId="1729533B" w:rsidR="0030537A" w:rsidRPr="002B7717" w:rsidRDefault="0030537A" w:rsidP="0030537A">
      <w:pPr>
        <w:pStyle w:val="FootnoteText"/>
        <w:spacing w:line="240" w:lineRule="auto"/>
        <w:rPr>
          <w:rStyle w:val="FootnoteReference"/>
          <w:vertAlign w:val="baseline"/>
        </w:rPr>
      </w:pPr>
      <w:r w:rsidRPr="00A71253">
        <w:rPr>
          <w:rStyle w:val="FootnoteReference"/>
        </w:rPr>
        <w:footnoteRef/>
      </w:r>
      <w:r w:rsidRPr="00A71253">
        <w:rPr>
          <w:rStyle w:val="FootnoteReference"/>
        </w:rPr>
        <w:t xml:space="preserve"> </w:t>
      </w:r>
      <w:r w:rsidRPr="002B7717">
        <w:rPr>
          <w:rStyle w:val="FootnoteReference"/>
          <w:vertAlign w:val="baseline"/>
        </w:rPr>
        <w:t xml:space="preserve">This includes people who have been candidates for an election of a member for the House of Representatives in the previous 4 years or the Senate for the previous 7 years, and a group of 2 or more candidates nominated for election to the Senate who have their names grouped together in the ballot papers in accordance with section 168 of the </w:t>
      </w:r>
      <w:r w:rsidRPr="0096465E">
        <w:rPr>
          <w:rStyle w:val="FootnoteReference"/>
          <w:vertAlign w:val="baseline"/>
        </w:rPr>
        <w:t>Commonwealth Electoral Act</w:t>
      </w:r>
      <w:r w:rsidRPr="002B7717">
        <w:rPr>
          <w:rStyle w:val="FootnoteReference"/>
          <w:vertAlign w:val="baseline"/>
        </w:rPr>
        <w:t>.</w:t>
      </w:r>
    </w:p>
  </w:footnote>
  <w:footnote w:id="6">
    <w:p w14:paraId="406E93AB" w14:textId="56970DE6" w:rsidR="0030537A" w:rsidRDefault="0030537A" w:rsidP="0030537A">
      <w:pPr>
        <w:pStyle w:val="FootnoteText"/>
        <w:spacing w:line="240" w:lineRule="auto"/>
        <w:contextualSpacing/>
      </w:pPr>
      <w:r>
        <w:rPr>
          <w:rStyle w:val="FootnoteReference"/>
        </w:rPr>
        <w:footnoteRef/>
      </w:r>
      <w:r>
        <w:t xml:space="preserve"> See sections 305A, 305B and 306 of the </w:t>
      </w:r>
      <w:r w:rsidRPr="0096465E">
        <w:rPr>
          <w:iCs/>
        </w:rPr>
        <w:t>Commonwealth Electoral Act</w:t>
      </w:r>
      <w:r>
        <w:rPr>
          <w:i/>
        </w:rPr>
        <w:t>.</w:t>
      </w:r>
    </w:p>
  </w:footnote>
  <w:footnote w:id="7">
    <w:p w14:paraId="6D23CB9A" w14:textId="77777777" w:rsidR="0030537A" w:rsidRDefault="0030537A" w:rsidP="0030537A">
      <w:pPr>
        <w:pStyle w:val="FootnoteText"/>
        <w:spacing w:line="240" w:lineRule="auto"/>
        <w:contextualSpacing/>
      </w:pPr>
      <w:r>
        <w:rPr>
          <w:rStyle w:val="FootnoteReference"/>
        </w:rPr>
        <w:footnoteRef/>
      </w:r>
      <w:r>
        <w:t xml:space="preserve"> </w:t>
      </w:r>
      <w:r>
        <w:rPr>
          <w:rFonts w:cs="Arial"/>
          <w:szCs w:val="20"/>
        </w:rPr>
        <w:t>See</w:t>
      </w:r>
      <w:r>
        <w:t xml:space="preserve"> s</w:t>
      </w:r>
      <w:r w:rsidRPr="007A0368">
        <w:t>ubclause 4(</w:t>
      </w:r>
      <w:r>
        <w:t>5</w:t>
      </w:r>
      <w:r w:rsidRPr="007A0368">
        <w:t>)</w:t>
      </w:r>
      <w:r>
        <w:t xml:space="preserve"> of Schedule 2 to the </w:t>
      </w:r>
      <w:r w:rsidRPr="007A0368">
        <w:t>BSA</w:t>
      </w:r>
    </w:p>
  </w:footnote>
  <w:footnote w:id="8">
    <w:p w14:paraId="1146D3E6" w14:textId="51180EAF" w:rsidR="0030537A" w:rsidRDefault="0030537A" w:rsidP="0030537A">
      <w:pPr>
        <w:pStyle w:val="FootnoteText"/>
        <w:spacing w:line="240" w:lineRule="auto"/>
      </w:pPr>
      <w:r>
        <w:rPr>
          <w:rStyle w:val="FootnoteReference"/>
        </w:rPr>
        <w:footnoteRef/>
      </w:r>
      <w:r>
        <w:t xml:space="preserve"> See subclause 4(3) of Schedule 2 to the BSA</w:t>
      </w:r>
      <w:r w:rsidR="00B876CA">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38124" w14:textId="77777777" w:rsidR="00C053A1" w:rsidRPr="00A5474E" w:rsidRDefault="00C053A1" w:rsidP="00A5474E">
    <w:pPr>
      <w:pStyle w:val="Header"/>
    </w:pPr>
    <w:r>
      <w:rPr>
        <w:noProof/>
      </w:rPr>
      <w:drawing>
        <wp:inline distT="0" distB="0" distL="0" distR="0" wp14:anchorId="503A0957" wp14:editId="5D853E52">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0F5EF"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6B21F"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D6839"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28EA2F8" w14:textId="77777777" w:rsidTr="003B0421">
      <w:trPr>
        <w:trHeight w:hRule="exact" w:val="988"/>
      </w:trPr>
      <w:tc>
        <w:tcPr>
          <w:tcW w:w="7678" w:type="dxa"/>
          <w:shd w:val="clear" w:color="auto" w:fill="auto"/>
        </w:tcPr>
        <w:p w14:paraId="4E0E3832" w14:textId="77777777" w:rsidR="00971914" w:rsidRDefault="00971914" w:rsidP="00971914">
          <w:pPr>
            <w:pStyle w:val="Header"/>
          </w:pPr>
        </w:p>
      </w:tc>
    </w:tr>
    <w:tr w:rsidR="00971914" w14:paraId="23BBAA26" w14:textId="77777777" w:rsidTr="003B0421">
      <w:tc>
        <w:tcPr>
          <w:tcW w:w="7678" w:type="dxa"/>
          <w:shd w:val="clear" w:color="auto" w:fill="auto"/>
        </w:tcPr>
        <w:p w14:paraId="050ECC2E" w14:textId="77777777" w:rsidR="00971914" w:rsidRDefault="00971914" w:rsidP="00971914">
          <w:pPr>
            <w:pStyle w:val="GridTable31"/>
          </w:pPr>
          <w:r>
            <w:t xml:space="preserve">Contents </w:t>
          </w:r>
          <w:r w:rsidRPr="00915B1C">
            <w:rPr>
              <w:b w:val="0"/>
              <w:spacing w:val="0"/>
              <w:sz w:val="28"/>
              <w:szCs w:val="28"/>
            </w:rPr>
            <w:t>(Continued)</w:t>
          </w:r>
        </w:p>
      </w:tc>
    </w:tr>
    <w:tr w:rsidR="00971914" w14:paraId="1F310937" w14:textId="77777777" w:rsidTr="003B0421">
      <w:trPr>
        <w:trHeight w:val="1220"/>
      </w:trPr>
      <w:tc>
        <w:tcPr>
          <w:tcW w:w="7678" w:type="dxa"/>
          <w:shd w:val="clear" w:color="auto" w:fill="auto"/>
        </w:tcPr>
        <w:p w14:paraId="717B3870" w14:textId="77777777" w:rsidR="00971914" w:rsidRDefault="00971914" w:rsidP="00971914"/>
      </w:tc>
    </w:tr>
  </w:tbl>
  <w:p w14:paraId="373B4571"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EEE5C84" w14:textId="77777777" w:rsidTr="003B0421">
      <w:trPr>
        <w:trHeight w:hRule="exact" w:val="988"/>
      </w:trPr>
      <w:tc>
        <w:tcPr>
          <w:tcW w:w="7678" w:type="dxa"/>
          <w:shd w:val="clear" w:color="auto" w:fill="auto"/>
        </w:tcPr>
        <w:p w14:paraId="7BD469DE" w14:textId="77777777" w:rsidR="00971914" w:rsidRDefault="00971914" w:rsidP="00971914">
          <w:pPr>
            <w:pStyle w:val="Header"/>
          </w:pPr>
        </w:p>
      </w:tc>
    </w:tr>
    <w:tr w:rsidR="00971914" w14:paraId="31DEDA5F" w14:textId="77777777" w:rsidTr="003B0421">
      <w:tc>
        <w:tcPr>
          <w:tcW w:w="7678" w:type="dxa"/>
          <w:shd w:val="clear" w:color="auto" w:fill="auto"/>
        </w:tcPr>
        <w:p w14:paraId="395FF8F6" w14:textId="77777777" w:rsidR="00971914" w:rsidRDefault="00971914" w:rsidP="00971914">
          <w:pPr>
            <w:pStyle w:val="GridTable31"/>
          </w:pPr>
          <w:r>
            <w:t xml:space="preserve">Contents </w:t>
          </w:r>
          <w:r w:rsidRPr="00915B1C">
            <w:rPr>
              <w:b w:val="0"/>
              <w:spacing w:val="0"/>
              <w:sz w:val="28"/>
              <w:szCs w:val="28"/>
            </w:rPr>
            <w:t>(Continued)</w:t>
          </w:r>
        </w:p>
      </w:tc>
    </w:tr>
    <w:tr w:rsidR="00971914" w14:paraId="4D460032" w14:textId="77777777" w:rsidTr="003B0421">
      <w:trPr>
        <w:trHeight w:val="1220"/>
      </w:trPr>
      <w:tc>
        <w:tcPr>
          <w:tcW w:w="7678" w:type="dxa"/>
          <w:shd w:val="clear" w:color="auto" w:fill="auto"/>
        </w:tcPr>
        <w:p w14:paraId="4D6C42A8" w14:textId="77777777" w:rsidR="00971914" w:rsidRDefault="00971914" w:rsidP="00971914"/>
      </w:tc>
    </w:tr>
  </w:tbl>
  <w:p w14:paraId="11825DDA"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EAC9C"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E938A"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E44813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1622A25"/>
    <w:multiLevelType w:val="hybridMultilevel"/>
    <w:tmpl w:val="12581CC2"/>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16940E8"/>
    <w:multiLevelType w:val="hybridMultilevel"/>
    <w:tmpl w:val="4F246CF8"/>
    <w:lvl w:ilvl="0" w:tplc="FFFFFFFF">
      <w:start w:val="1"/>
      <w:numFmt w:val="lowerLetter"/>
      <w:lvlText w:val="%1)"/>
      <w:lvlJc w:val="left"/>
      <w:pPr>
        <w:ind w:left="1890" w:hanging="360"/>
      </w:pPr>
    </w:lvl>
    <w:lvl w:ilvl="1" w:tplc="FFFFFFFF" w:tentative="1">
      <w:start w:val="1"/>
      <w:numFmt w:val="lowerLetter"/>
      <w:lvlText w:val="%2."/>
      <w:lvlJc w:val="left"/>
      <w:pPr>
        <w:ind w:left="2610" w:hanging="360"/>
      </w:pPr>
    </w:lvl>
    <w:lvl w:ilvl="2" w:tplc="FFFFFFFF" w:tentative="1">
      <w:start w:val="1"/>
      <w:numFmt w:val="lowerRoman"/>
      <w:lvlText w:val="%3."/>
      <w:lvlJc w:val="right"/>
      <w:pPr>
        <w:ind w:left="3330" w:hanging="180"/>
      </w:pPr>
    </w:lvl>
    <w:lvl w:ilvl="3" w:tplc="FFFFFFFF" w:tentative="1">
      <w:start w:val="1"/>
      <w:numFmt w:val="decimal"/>
      <w:lvlText w:val="%4."/>
      <w:lvlJc w:val="left"/>
      <w:pPr>
        <w:ind w:left="4050" w:hanging="360"/>
      </w:pPr>
    </w:lvl>
    <w:lvl w:ilvl="4" w:tplc="FFFFFFFF" w:tentative="1">
      <w:start w:val="1"/>
      <w:numFmt w:val="lowerLetter"/>
      <w:lvlText w:val="%5."/>
      <w:lvlJc w:val="left"/>
      <w:pPr>
        <w:ind w:left="4770" w:hanging="360"/>
      </w:pPr>
    </w:lvl>
    <w:lvl w:ilvl="5" w:tplc="FFFFFFFF" w:tentative="1">
      <w:start w:val="1"/>
      <w:numFmt w:val="lowerRoman"/>
      <w:lvlText w:val="%6."/>
      <w:lvlJc w:val="right"/>
      <w:pPr>
        <w:ind w:left="5490" w:hanging="180"/>
      </w:pPr>
    </w:lvl>
    <w:lvl w:ilvl="6" w:tplc="FFFFFFFF" w:tentative="1">
      <w:start w:val="1"/>
      <w:numFmt w:val="decimal"/>
      <w:lvlText w:val="%7."/>
      <w:lvlJc w:val="left"/>
      <w:pPr>
        <w:ind w:left="6210" w:hanging="360"/>
      </w:pPr>
    </w:lvl>
    <w:lvl w:ilvl="7" w:tplc="FFFFFFFF" w:tentative="1">
      <w:start w:val="1"/>
      <w:numFmt w:val="lowerLetter"/>
      <w:lvlText w:val="%8."/>
      <w:lvlJc w:val="left"/>
      <w:pPr>
        <w:ind w:left="6930" w:hanging="360"/>
      </w:pPr>
    </w:lvl>
    <w:lvl w:ilvl="8" w:tplc="FFFFFFFF" w:tentative="1">
      <w:start w:val="1"/>
      <w:numFmt w:val="lowerRoman"/>
      <w:lvlText w:val="%9."/>
      <w:lvlJc w:val="right"/>
      <w:pPr>
        <w:ind w:left="7650" w:hanging="180"/>
      </w:pPr>
    </w:lvl>
  </w:abstractNum>
  <w:abstractNum w:abstractNumId="7"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88F077D"/>
    <w:multiLevelType w:val="hybridMultilevel"/>
    <w:tmpl w:val="EBE2DD8C"/>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60B6751"/>
    <w:multiLevelType w:val="hybridMultilevel"/>
    <w:tmpl w:val="BBBE054A"/>
    <w:lvl w:ilvl="0" w:tplc="ABCE7B00">
      <w:start w:val="1"/>
      <w:numFmt w:val="bullet"/>
      <w:lvlText w:val="&gt;"/>
      <w:lvlJc w:val="left"/>
      <w:pPr>
        <w:ind w:left="1080" w:hanging="360"/>
      </w:pPr>
      <w:rPr>
        <w:rFonts w:ascii="Arial" w:hAnsi="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253778C9"/>
    <w:multiLevelType w:val="hybridMultilevel"/>
    <w:tmpl w:val="5B3A53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8C95232"/>
    <w:multiLevelType w:val="hybridMultilevel"/>
    <w:tmpl w:val="2CAE8112"/>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AF70CCA"/>
    <w:multiLevelType w:val="hybridMultilevel"/>
    <w:tmpl w:val="67CA1884"/>
    <w:lvl w:ilvl="0" w:tplc="C5F03F80">
      <w:start w:val="1"/>
      <w:numFmt w:val="lowerLetter"/>
      <w:lvlText w:val="(%1)"/>
      <w:lvlJc w:val="left"/>
      <w:pPr>
        <w:ind w:left="1248" w:hanging="360"/>
      </w:pPr>
      <w:rPr>
        <w:rFonts w:hint="default"/>
      </w:rPr>
    </w:lvl>
    <w:lvl w:ilvl="1" w:tplc="0C090019" w:tentative="1">
      <w:start w:val="1"/>
      <w:numFmt w:val="lowerLetter"/>
      <w:lvlText w:val="%2."/>
      <w:lvlJc w:val="left"/>
      <w:pPr>
        <w:ind w:left="1968" w:hanging="360"/>
      </w:pPr>
    </w:lvl>
    <w:lvl w:ilvl="2" w:tplc="0C09001B" w:tentative="1">
      <w:start w:val="1"/>
      <w:numFmt w:val="lowerRoman"/>
      <w:lvlText w:val="%3."/>
      <w:lvlJc w:val="right"/>
      <w:pPr>
        <w:ind w:left="2688" w:hanging="180"/>
      </w:pPr>
    </w:lvl>
    <w:lvl w:ilvl="3" w:tplc="0C09000F" w:tentative="1">
      <w:start w:val="1"/>
      <w:numFmt w:val="decimal"/>
      <w:lvlText w:val="%4."/>
      <w:lvlJc w:val="left"/>
      <w:pPr>
        <w:ind w:left="3408" w:hanging="360"/>
      </w:pPr>
    </w:lvl>
    <w:lvl w:ilvl="4" w:tplc="0C090019" w:tentative="1">
      <w:start w:val="1"/>
      <w:numFmt w:val="lowerLetter"/>
      <w:lvlText w:val="%5."/>
      <w:lvlJc w:val="left"/>
      <w:pPr>
        <w:ind w:left="4128" w:hanging="360"/>
      </w:pPr>
    </w:lvl>
    <w:lvl w:ilvl="5" w:tplc="0C09001B" w:tentative="1">
      <w:start w:val="1"/>
      <w:numFmt w:val="lowerRoman"/>
      <w:lvlText w:val="%6."/>
      <w:lvlJc w:val="right"/>
      <w:pPr>
        <w:ind w:left="4848" w:hanging="180"/>
      </w:pPr>
    </w:lvl>
    <w:lvl w:ilvl="6" w:tplc="0C09000F" w:tentative="1">
      <w:start w:val="1"/>
      <w:numFmt w:val="decimal"/>
      <w:lvlText w:val="%7."/>
      <w:lvlJc w:val="left"/>
      <w:pPr>
        <w:ind w:left="5568" w:hanging="360"/>
      </w:pPr>
    </w:lvl>
    <w:lvl w:ilvl="7" w:tplc="0C090019" w:tentative="1">
      <w:start w:val="1"/>
      <w:numFmt w:val="lowerLetter"/>
      <w:lvlText w:val="%8."/>
      <w:lvlJc w:val="left"/>
      <w:pPr>
        <w:ind w:left="6288" w:hanging="360"/>
      </w:pPr>
    </w:lvl>
    <w:lvl w:ilvl="8" w:tplc="0C09001B" w:tentative="1">
      <w:start w:val="1"/>
      <w:numFmt w:val="lowerRoman"/>
      <w:lvlText w:val="%9."/>
      <w:lvlJc w:val="right"/>
      <w:pPr>
        <w:ind w:left="7008" w:hanging="180"/>
      </w:pPr>
    </w:lvl>
  </w:abstractNum>
  <w:abstractNum w:abstractNumId="1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6" w15:restartNumberingAfterBreak="0">
    <w:nsid w:val="310262F7"/>
    <w:multiLevelType w:val="hybridMultilevel"/>
    <w:tmpl w:val="E04A2610"/>
    <w:lvl w:ilvl="0" w:tplc="ABCE7B00">
      <w:start w:val="1"/>
      <w:numFmt w:val="bullet"/>
      <w:lvlText w:val="&gt;"/>
      <w:lvlJc w:val="left"/>
      <w:pPr>
        <w:ind w:left="1212" w:hanging="360"/>
      </w:pPr>
      <w:rPr>
        <w:rFonts w:ascii="Arial" w:hAnsi="Arial" w:hint="default"/>
      </w:rPr>
    </w:lvl>
    <w:lvl w:ilvl="1" w:tplc="0C090003" w:tentative="1">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17" w15:restartNumberingAfterBreak="0">
    <w:nsid w:val="339E67AF"/>
    <w:multiLevelType w:val="hybridMultilevel"/>
    <w:tmpl w:val="08480B30"/>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31A79B8"/>
    <w:multiLevelType w:val="hybridMultilevel"/>
    <w:tmpl w:val="09D20C36"/>
    <w:lvl w:ilvl="0" w:tplc="D8A61070">
      <w:start w:val="1"/>
      <w:numFmt w:val="lowerLetter"/>
      <w:lvlText w:val="%1)"/>
      <w:lvlJc w:val="left"/>
      <w:pPr>
        <w:ind w:left="720" w:hanging="360"/>
      </w:pPr>
      <w:rPr>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7F37722"/>
    <w:multiLevelType w:val="hybridMultilevel"/>
    <w:tmpl w:val="9EBE7E42"/>
    <w:lvl w:ilvl="0" w:tplc="0696030E">
      <w:start w:val="1"/>
      <w:numFmt w:val="lowerRoman"/>
      <w:lvlText w:val="(%1)"/>
      <w:lvlJc w:val="left"/>
      <w:pPr>
        <w:ind w:left="2320" w:hanging="720"/>
      </w:pPr>
      <w:rPr>
        <w:rFonts w:hint="default"/>
      </w:rPr>
    </w:lvl>
    <w:lvl w:ilvl="1" w:tplc="0C090019" w:tentative="1">
      <w:start w:val="1"/>
      <w:numFmt w:val="lowerLetter"/>
      <w:lvlText w:val="%2."/>
      <w:lvlJc w:val="left"/>
      <w:pPr>
        <w:ind w:left="2680" w:hanging="360"/>
      </w:pPr>
    </w:lvl>
    <w:lvl w:ilvl="2" w:tplc="0C09001B" w:tentative="1">
      <w:start w:val="1"/>
      <w:numFmt w:val="lowerRoman"/>
      <w:lvlText w:val="%3."/>
      <w:lvlJc w:val="right"/>
      <w:pPr>
        <w:ind w:left="3400" w:hanging="180"/>
      </w:pPr>
    </w:lvl>
    <w:lvl w:ilvl="3" w:tplc="0C09000F" w:tentative="1">
      <w:start w:val="1"/>
      <w:numFmt w:val="decimal"/>
      <w:lvlText w:val="%4."/>
      <w:lvlJc w:val="left"/>
      <w:pPr>
        <w:ind w:left="4120" w:hanging="360"/>
      </w:pPr>
    </w:lvl>
    <w:lvl w:ilvl="4" w:tplc="0C090019" w:tentative="1">
      <w:start w:val="1"/>
      <w:numFmt w:val="lowerLetter"/>
      <w:lvlText w:val="%5."/>
      <w:lvlJc w:val="left"/>
      <w:pPr>
        <w:ind w:left="4840" w:hanging="360"/>
      </w:pPr>
    </w:lvl>
    <w:lvl w:ilvl="5" w:tplc="0C09001B" w:tentative="1">
      <w:start w:val="1"/>
      <w:numFmt w:val="lowerRoman"/>
      <w:lvlText w:val="%6."/>
      <w:lvlJc w:val="right"/>
      <w:pPr>
        <w:ind w:left="5560" w:hanging="180"/>
      </w:pPr>
    </w:lvl>
    <w:lvl w:ilvl="6" w:tplc="0C09000F" w:tentative="1">
      <w:start w:val="1"/>
      <w:numFmt w:val="decimal"/>
      <w:lvlText w:val="%7."/>
      <w:lvlJc w:val="left"/>
      <w:pPr>
        <w:ind w:left="6280" w:hanging="360"/>
      </w:pPr>
    </w:lvl>
    <w:lvl w:ilvl="7" w:tplc="0C090019" w:tentative="1">
      <w:start w:val="1"/>
      <w:numFmt w:val="lowerLetter"/>
      <w:lvlText w:val="%8."/>
      <w:lvlJc w:val="left"/>
      <w:pPr>
        <w:ind w:left="7000" w:hanging="360"/>
      </w:pPr>
    </w:lvl>
    <w:lvl w:ilvl="8" w:tplc="0C09001B" w:tentative="1">
      <w:start w:val="1"/>
      <w:numFmt w:val="lowerRoman"/>
      <w:lvlText w:val="%9."/>
      <w:lvlJc w:val="right"/>
      <w:pPr>
        <w:ind w:left="7720" w:hanging="180"/>
      </w:pPr>
    </w:lvl>
  </w:abstractNum>
  <w:abstractNum w:abstractNumId="20" w15:restartNumberingAfterBreak="0">
    <w:nsid w:val="48B759EC"/>
    <w:multiLevelType w:val="hybridMultilevel"/>
    <w:tmpl w:val="F72E266E"/>
    <w:lvl w:ilvl="0" w:tplc="0C090017">
      <w:start w:val="1"/>
      <w:numFmt w:val="lowerLetter"/>
      <w:lvlText w:val="%1)"/>
      <w:lvlJc w:val="left"/>
      <w:pPr>
        <w:ind w:left="1600" w:hanging="360"/>
      </w:pPr>
    </w:lvl>
    <w:lvl w:ilvl="1" w:tplc="0C090019" w:tentative="1">
      <w:start w:val="1"/>
      <w:numFmt w:val="lowerLetter"/>
      <w:lvlText w:val="%2."/>
      <w:lvlJc w:val="left"/>
      <w:pPr>
        <w:ind w:left="2320" w:hanging="360"/>
      </w:pPr>
    </w:lvl>
    <w:lvl w:ilvl="2" w:tplc="0C09001B" w:tentative="1">
      <w:start w:val="1"/>
      <w:numFmt w:val="lowerRoman"/>
      <w:lvlText w:val="%3."/>
      <w:lvlJc w:val="right"/>
      <w:pPr>
        <w:ind w:left="3040" w:hanging="180"/>
      </w:pPr>
    </w:lvl>
    <w:lvl w:ilvl="3" w:tplc="0C09000F" w:tentative="1">
      <w:start w:val="1"/>
      <w:numFmt w:val="decimal"/>
      <w:lvlText w:val="%4."/>
      <w:lvlJc w:val="left"/>
      <w:pPr>
        <w:ind w:left="3760" w:hanging="360"/>
      </w:pPr>
    </w:lvl>
    <w:lvl w:ilvl="4" w:tplc="0C090019" w:tentative="1">
      <w:start w:val="1"/>
      <w:numFmt w:val="lowerLetter"/>
      <w:lvlText w:val="%5."/>
      <w:lvlJc w:val="left"/>
      <w:pPr>
        <w:ind w:left="4480" w:hanging="360"/>
      </w:pPr>
    </w:lvl>
    <w:lvl w:ilvl="5" w:tplc="0C09001B">
      <w:start w:val="1"/>
      <w:numFmt w:val="lowerRoman"/>
      <w:lvlText w:val="%6."/>
      <w:lvlJc w:val="right"/>
      <w:pPr>
        <w:ind w:left="5200" w:hanging="180"/>
      </w:pPr>
    </w:lvl>
    <w:lvl w:ilvl="6" w:tplc="0C09000F" w:tentative="1">
      <w:start w:val="1"/>
      <w:numFmt w:val="decimal"/>
      <w:lvlText w:val="%7."/>
      <w:lvlJc w:val="left"/>
      <w:pPr>
        <w:ind w:left="5920" w:hanging="360"/>
      </w:pPr>
    </w:lvl>
    <w:lvl w:ilvl="7" w:tplc="0C090019" w:tentative="1">
      <w:start w:val="1"/>
      <w:numFmt w:val="lowerLetter"/>
      <w:lvlText w:val="%8."/>
      <w:lvlJc w:val="left"/>
      <w:pPr>
        <w:ind w:left="6640" w:hanging="360"/>
      </w:pPr>
    </w:lvl>
    <w:lvl w:ilvl="8" w:tplc="0C09001B" w:tentative="1">
      <w:start w:val="1"/>
      <w:numFmt w:val="lowerRoman"/>
      <w:lvlText w:val="%9."/>
      <w:lvlJc w:val="right"/>
      <w:pPr>
        <w:ind w:left="7360" w:hanging="180"/>
      </w:pPr>
    </w:lvl>
  </w:abstractNum>
  <w:abstractNum w:abstractNumId="21" w15:restartNumberingAfterBreak="0">
    <w:nsid w:val="4C923904"/>
    <w:multiLevelType w:val="hybridMultilevel"/>
    <w:tmpl w:val="0E5E74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C9C43A6"/>
    <w:multiLevelType w:val="hybridMultilevel"/>
    <w:tmpl w:val="19D68F86"/>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08E12A7"/>
    <w:multiLevelType w:val="hybridMultilevel"/>
    <w:tmpl w:val="6BA62750"/>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14F1A33"/>
    <w:multiLevelType w:val="hybridMultilevel"/>
    <w:tmpl w:val="EABA982A"/>
    <w:lvl w:ilvl="0" w:tplc="9310331A">
      <w:start w:val="1"/>
      <w:numFmt w:val="lowerLetter"/>
      <w:lvlText w:val="(%1)"/>
      <w:lvlJc w:val="left"/>
      <w:pPr>
        <w:ind w:left="1530" w:hanging="360"/>
      </w:pPr>
      <w:rPr>
        <w:rFonts w:hint="default"/>
      </w:rPr>
    </w:lvl>
    <w:lvl w:ilvl="1" w:tplc="0C090019" w:tentative="1">
      <w:start w:val="1"/>
      <w:numFmt w:val="lowerLetter"/>
      <w:lvlText w:val="%2."/>
      <w:lvlJc w:val="left"/>
      <w:pPr>
        <w:ind w:left="2250" w:hanging="360"/>
      </w:pPr>
    </w:lvl>
    <w:lvl w:ilvl="2" w:tplc="0C09001B" w:tentative="1">
      <w:start w:val="1"/>
      <w:numFmt w:val="lowerRoman"/>
      <w:lvlText w:val="%3."/>
      <w:lvlJc w:val="right"/>
      <w:pPr>
        <w:ind w:left="2970" w:hanging="180"/>
      </w:pPr>
    </w:lvl>
    <w:lvl w:ilvl="3" w:tplc="0C09000F" w:tentative="1">
      <w:start w:val="1"/>
      <w:numFmt w:val="decimal"/>
      <w:lvlText w:val="%4."/>
      <w:lvlJc w:val="left"/>
      <w:pPr>
        <w:ind w:left="3690" w:hanging="360"/>
      </w:pPr>
    </w:lvl>
    <w:lvl w:ilvl="4" w:tplc="0C090019" w:tentative="1">
      <w:start w:val="1"/>
      <w:numFmt w:val="lowerLetter"/>
      <w:lvlText w:val="%5."/>
      <w:lvlJc w:val="left"/>
      <w:pPr>
        <w:ind w:left="4410" w:hanging="360"/>
      </w:pPr>
    </w:lvl>
    <w:lvl w:ilvl="5" w:tplc="0C09001B" w:tentative="1">
      <w:start w:val="1"/>
      <w:numFmt w:val="lowerRoman"/>
      <w:lvlText w:val="%6."/>
      <w:lvlJc w:val="right"/>
      <w:pPr>
        <w:ind w:left="5130" w:hanging="180"/>
      </w:pPr>
    </w:lvl>
    <w:lvl w:ilvl="6" w:tplc="0C09000F" w:tentative="1">
      <w:start w:val="1"/>
      <w:numFmt w:val="decimal"/>
      <w:lvlText w:val="%7."/>
      <w:lvlJc w:val="left"/>
      <w:pPr>
        <w:ind w:left="5850" w:hanging="360"/>
      </w:pPr>
    </w:lvl>
    <w:lvl w:ilvl="7" w:tplc="0C090019" w:tentative="1">
      <w:start w:val="1"/>
      <w:numFmt w:val="lowerLetter"/>
      <w:lvlText w:val="%8."/>
      <w:lvlJc w:val="left"/>
      <w:pPr>
        <w:ind w:left="6570" w:hanging="360"/>
      </w:pPr>
    </w:lvl>
    <w:lvl w:ilvl="8" w:tplc="0C09001B" w:tentative="1">
      <w:start w:val="1"/>
      <w:numFmt w:val="lowerRoman"/>
      <w:lvlText w:val="%9."/>
      <w:lvlJc w:val="right"/>
      <w:pPr>
        <w:ind w:left="7290" w:hanging="180"/>
      </w:pPr>
    </w:lvl>
  </w:abstractNum>
  <w:abstractNum w:abstractNumId="2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C085C25"/>
    <w:multiLevelType w:val="hybridMultilevel"/>
    <w:tmpl w:val="8C5A01FC"/>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F8301EF"/>
    <w:multiLevelType w:val="hybridMultilevel"/>
    <w:tmpl w:val="B3AE9222"/>
    <w:lvl w:ilvl="0" w:tplc="ABCE7B00">
      <w:start w:val="1"/>
      <w:numFmt w:val="bullet"/>
      <w:lvlText w:val="&gt;"/>
      <w:lvlJc w:val="left"/>
      <w:pPr>
        <w:ind w:left="1212" w:hanging="360"/>
      </w:pPr>
      <w:rPr>
        <w:rFonts w:ascii="Arial" w:hAnsi="Arial" w:hint="default"/>
      </w:rPr>
    </w:lvl>
    <w:lvl w:ilvl="1" w:tplc="0C090003" w:tentative="1">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28" w15:restartNumberingAfterBreak="0">
    <w:nsid w:val="62E70CAE"/>
    <w:multiLevelType w:val="hybridMultilevel"/>
    <w:tmpl w:val="5B98662C"/>
    <w:lvl w:ilvl="0" w:tplc="6E2056D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3D4F12"/>
    <w:multiLevelType w:val="hybridMultilevel"/>
    <w:tmpl w:val="658057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F636AF"/>
    <w:multiLevelType w:val="multilevel"/>
    <w:tmpl w:val="2C900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BEB42BB"/>
    <w:multiLevelType w:val="hybridMultilevel"/>
    <w:tmpl w:val="9DE6288E"/>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7C6E6E35"/>
    <w:multiLevelType w:val="hybridMultilevel"/>
    <w:tmpl w:val="4F246CF8"/>
    <w:lvl w:ilvl="0" w:tplc="0C090017">
      <w:start w:val="1"/>
      <w:numFmt w:val="lowerLetter"/>
      <w:lvlText w:val="%1)"/>
      <w:lvlJc w:val="left"/>
      <w:pPr>
        <w:ind w:left="1890" w:hanging="360"/>
      </w:pPr>
    </w:lvl>
    <w:lvl w:ilvl="1" w:tplc="0C090019" w:tentative="1">
      <w:start w:val="1"/>
      <w:numFmt w:val="lowerLetter"/>
      <w:lvlText w:val="%2."/>
      <w:lvlJc w:val="left"/>
      <w:pPr>
        <w:ind w:left="2610" w:hanging="360"/>
      </w:pPr>
    </w:lvl>
    <w:lvl w:ilvl="2" w:tplc="0C09001B" w:tentative="1">
      <w:start w:val="1"/>
      <w:numFmt w:val="lowerRoman"/>
      <w:lvlText w:val="%3."/>
      <w:lvlJc w:val="right"/>
      <w:pPr>
        <w:ind w:left="3330" w:hanging="180"/>
      </w:pPr>
    </w:lvl>
    <w:lvl w:ilvl="3" w:tplc="0C09000F" w:tentative="1">
      <w:start w:val="1"/>
      <w:numFmt w:val="decimal"/>
      <w:lvlText w:val="%4."/>
      <w:lvlJc w:val="left"/>
      <w:pPr>
        <w:ind w:left="4050" w:hanging="360"/>
      </w:pPr>
    </w:lvl>
    <w:lvl w:ilvl="4" w:tplc="0C090019" w:tentative="1">
      <w:start w:val="1"/>
      <w:numFmt w:val="lowerLetter"/>
      <w:lvlText w:val="%5."/>
      <w:lvlJc w:val="left"/>
      <w:pPr>
        <w:ind w:left="4770" w:hanging="360"/>
      </w:pPr>
    </w:lvl>
    <w:lvl w:ilvl="5" w:tplc="0C09001B" w:tentative="1">
      <w:start w:val="1"/>
      <w:numFmt w:val="lowerRoman"/>
      <w:lvlText w:val="%6."/>
      <w:lvlJc w:val="right"/>
      <w:pPr>
        <w:ind w:left="5490" w:hanging="180"/>
      </w:pPr>
    </w:lvl>
    <w:lvl w:ilvl="6" w:tplc="0C09000F" w:tentative="1">
      <w:start w:val="1"/>
      <w:numFmt w:val="decimal"/>
      <w:lvlText w:val="%7."/>
      <w:lvlJc w:val="left"/>
      <w:pPr>
        <w:ind w:left="6210" w:hanging="360"/>
      </w:pPr>
    </w:lvl>
    <w:lvl w:ilvl="7" w:tplc="0C090019" w:tentative="1">
      <w:start w:val="1"/>
      <w:numFmt w:val="lowerLetter"/>
      <w:lvlText w:val="%8."/>
      <w:lvlJc w:val="left"/>
      <w:pPr>
        <w:ind w:left="6930" w:hanging="360"/>
      </w:pPr>
    </w:lvl>
    <w:lvl w:ilvl="8" w:tplc="0C09001B" w:tentative="1">
      <w:start w:val="1"/>
      <w:numFmt w:val="lowerRoman"/>
      <w:lvlText w:val="%9."/>
      <w:lvlJc w:val="right"/>
      <w:pPr>
        <w:ind w:left="7650" w:hanging="180"/>
      </w:pPr>
    </w:lvl>
  </w:abstractNum>
  <w:num w:numId="1">
    <w:abstractNumId w:val="4"/>
  </w:num>
  <w:num w:numId="2">
    <w:abstractNumId w:val="2"/>
  </w:num>
  <w:num w:numId="3">
    <w:abstractNumId w:val="3"/>
  </w:num>
  <w:num w:numId="4">
    <w:abstractNumId w:val="1"/>
  </w:num>
  <w:num w:numId="5">
    <w:abstractNumId w:val="15"/>
  </w:num>
  <w:num w:numId="6">
    <w:abstractNumId w:val="30"/>
  </w:num>
  <w:num w:numId="7">
    <w:abstractNumId w:val="25"/>
  </w:num>
  <w:num w:numId="8">
    <w:abstractNumId w:val="29"/>
  </w:num>
  <w:num w:numId="9">
    <w:abstractNumId w:val="32"/>
  </w:num>
  <w:num w:numId="10">
    <w:abstractNumId w:val="9"/>
  </w:num>
  <w:num w:numId="11">
    <w:abstractNumId w:val="3"/>
    <w:lvlOverride w:ilvl="0">
      <w:startOverride w:val="1"/>
    </w:lvlOverride>
  </w:num>
  <w:num w:numId="12">
    <w:abstractNumId w:val="3"/>
    <w:lvlOverride w:ilvl="0">
      <w:startOverride w:val="1"/>
    </w:lvlOverride>
  </w:num>
  <w:num w:numId="13">
    <w:abstractNumId w:val="17"/>
  </w:num>
  <w:num w:numId="14">
    <w:abstractNumId w:val="34"/>
  </w:num>
  <w:num w:numId="15">
    <w:abstractNumId w:val="8"/>
  </w:num>
  <w:num w:numId="16">
    <w:abstractNumId w:val="7"/>
  </w:num>
  <w:num w:numId="17">
    <w:abstractNumId w:val="33"/>
  </w:num>
  <w:num w:numId="18">
    <w:abstractNumId w:val="0"/>
  </w:num>
  <w:num w:numId="19">
    <w:abstractNumId w:val="21"/>
  </w:num>
  <w:num w:numId="20">
    <w:abstractNumId w:val="23"/>
  </w:num>
  <w:num w:numId="21">
    <w:abstractNumId w:val="5"/>
  </w:num>
  <w:num w:numId="22">
    <w:abstractNumId w:val="28"/>
  </w:num>
  <w:num w:numId="23">
    <w:abstractNumId w:val="22"/>
  </w:num>
  <w:num w:numId="24">
    <w:abstractNumId w:val="13"/>
  </w:num>
  <w:num w:numId="25">
    <w:abstractNumId w:val="16"/>
  </w:num>
  <w:num w:numId="26">
    <w:abstractNumId w:val="27"/>
  </w:num>
  <w:num w:numId="27">
    <w:abstractNumId w:val="31"/>
  </w:num>
  <w:num w:numId="28">
    <w:abstractNumId w:val="12"/>
  </w:num>
  <w:num w:numId="29">
    <w:abstractNumId w:val="11"/>
  </w:num>
  <w:num w:numId="30">
    <w:abstractNumId w:val="10"/>
  </w:num>
  <w:num w:numId="31">
    <w:abstractNumId w:val="26"/>
  </w:num>
  <w:num w:numId="32">
    <w:abstractNumId w:val="35"/>
  </w:num>
  <w:num w:numId="33">
    <w:abstractNumId w:val="24"/>
  </w:num>
  <w:num w:numId="34">
    <w:abstractNumId w:val="20"/>
  </w:num>
  <w:num w:numId="35">
    <w:abstractNumId w:val="14"/>
  </w:num>
  <w:num w:numId="36">
    <w:abstractNumId w:val="19"/>
  </w:num>
  <w:num w:numId="37">
    <w:abstractNumId w:val="18"/>
  </w:num>
  <w:num w:numId="38">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37A"/>
    <w:rsid w:val="00010667"/>
    <w:rsid w:val="000129D5"/>
    <w:rsid w:val="00015AE7"/>
    <w:rsid w:val="00016E21"/>
    <w:rsid w:val="0001719C"/>
    <w:rsid w:val="0002224E"/>
    <w:rsid w:val="000245E5"/>
    <w:rsid w:val="00026F91"/>
    <w:rsid w:val="0003499D"/>
    <w:rsid w:val="0004764C"/>
    <w:rsid w:val="0005011A"/>
    <w:rsid w:val="0005045A"/>
    <w:rsid w:val="00051C1E"/>
    <w:rsid w:val="000539F9"/>
    <w:rsid w:val="00054C27"/>
    <w:rsid w:val="00055EC3"/>
    <w:rsid w:val="000563CE"/>
    <w:rsid w:val="00063EC6"/>
    <w:rsid w:val="000650B9"/>
    <w:rsid w:val="000659B6"/>
    <w:rsid w:val="0006686F"/>
    <w:rsid w:val="0006722A"/>
    <w:rsid w:val="000732CF"/>
    <w:rsid w:val="0007346C"/>
    <w:rsid w:val="000743A4"/>
    <w:rsid w:val="00075B96"/>
    <w:rsid w:val="0008196A"/>
    <w:rsid w:val="000915ED"/>
    <w:rsid w:val="0009209D"/>
    <w:rsid w:val="0009463C"/>
    <w:rsid w:val="000969BD"/>
    <w:rsid w:val="000969BF"/>
    <w:rsid w:val="000971BD"/>
    <w:rsid w:val="000A0C22"/>
    <w:rsid w:val="000A1400"/>
    <w:rsid w:val="000A3C43"/>
    <w:rsid w:val="000A4A51"/>
    <w:rsid w:val="000A5D2B"/>
    <w:rsid w:val="000B27D7"/>
    <w:rsid w:val="000B4664"/>
    <w:rsid w:val="000B5DE3"/>
    <w:rsid w:val="000C0A57"/>
    <w:rsid w:val="000C0CE7"/>
    <w:rsid w:val="000C230C"/>
    <w:rsid w:val="000C6AB4"/>
    <w:rsid w:val="000D71D9"/>
    <w:rsid w:val="000D76E0"/>
    <w:rsid w:val="000D7E8B"/>
    <w:rsid w:val="000E4449"/>
    <w:rsid w:val="000E6097"/>
    <w:rsid w:val="0010267F"/>
    <w:rsid w:val="00103829"/>
    <w:rsid w:val="00111FCE"/>
    <w:rsid w:val="00113F84"/>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24CD"/>
    <w:rsid w:val="001976E3"/>
    <w:rsid w:val="001A0D30"/>
    <w:rsid w:val="001A44EC"/>
    <w:rsid w:val="001B28D9"/>
    <w:rsid w:val="001B58AA"/>
    <w:rsid w:val="001B7E48"/>
    <w:rsid w:val="001C17CE"/>
    <w:rsid w:val="001C36CA"/>
    <w:rsid w:val="001C44D1"/>
    <w:rsid w:val="001C6AEE"/>
    <w:rsid w:val="001C7630"/>
    <w:rsid w:val="001D4DD0"/>
    <w:rsid w:val="001D5797"/>
    <w:rsid w:val="001D6D15"/>
    <w:rsid w:val="001F7558"/>
    <w:rsid w:val="00203190"/>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4A74"/>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08E1"/>
    <w:rsid w:val="00302480"/>
    <w:rsid w:val="00302758"/>
    <w:rsid w:val="0030537A"/>
    <w:rsid w:val="003125DD"/>
    <w:rsid w:val="003165E6"/>
    <w:rsid w:val="003215B5"/>
    <w:rsid w:val="003221CF"/>
    <w:rsid w:val="003233ED"/>
    <w:rsid w:val="00324D9F"/>
    <w:rsid w:val="00327948"/>
    <w:rsid w:val="0033000F"/>
    <w:rsid w:val="00332011"/>
    <w:rsid w:val="00332518"/>
    <w:rsid w:val="00332925"/>
    <w:rsid w:val="003332ED"/>
    <w:rsid w:val="003368DC"/>
    <w:rsid w:val="00340482"/>
    <w:rsid w:val="00345927"/>
    <w:rsid w:val="00350584"/>
    <w:rsid w:val="0035162C"/>
    <w:rsid w:val="00351857"/>
    <w:rsid w:val="003545E8"/>
    <w:rsid w:val="003610E1"/>
    <w:rsid w:val="003671BE"/>
    <w:rsid w:val="00371873"/>
    <w:rsid w:val="00372485"/>
    <w:rsid w:val="00373200"/>
    <w:rsid w:val="00375EF5"/>
    <w:rsid w:val="003767A5"/>
    <w:rsid w:val="00376A50"/>
    <w:rsid w:val="00381D15"/>
    <w:rsid w:val="00385254"/>
    <w:rsid w:val="003A04DB"/>
    <w:rsid w:val="003A5F5B"/>
    <w:rsid w:val="003A789A"/>
    <w:rsid w:val="003B12EC"/>
    <w:rsid w:val="003C1722"/>
    <w:rsid w:val="003C77E0"/>
    <w:rsid w:val="003D17D7"/>
    <w:rsid w:val="003D2678"/>
    <w:rsid w:val="003D6AA4"/>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1C5"/>
    <w:rsid w:val="0045124D"/>
    <w:rsid w:val="00454596"/>
    <w:rsid w:val="0045605D"/>
    <w:rsid w:val="00461071"/>
    <w:rsid w:val="0046135B"/>
    <w:rsid w:val="00461D47"/>
    <w:rsid w:val="004718CC"/>
    <w:rsid w:val="004744D1"/>
    <w:rsid w:val="004759F0"/>
    <w:rsid w:val="00476DBE"/>
    <w:rsid w:val="00481695"/>
    <w:rsid w:val="00495A96"/>
    <w:rsid w:val="00495BB3"/>
    <w:rsid w:val="004962DC"/>
    <w:rsid w:val="004A56BB"/>
    <w:rsid w:val="004A70D6"/>
    <w:rsid w:val="004B1751"/>
    <w:rsid w:val="004B3933"/>
    <w:rsid w:val="004C0253"/>
    <w:rsid w:val="004C2B77"/>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24696"/>
    <w:rsid w:val="00525B37"/>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1215"/>
    <w:rsid w:val="005E250B"/>
    <w:rsid w:val="005E3ACD"/>
    <w:rsid w:val="005E7226"/>
    <w:rsid w:val="005E7A57"/>
    <w:rsid w:val="005F24B0"/>
    <w:rsid w:val="005F42B5"/>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352BF"/>
    <w:rsid w:val="00644373"/>
    <w:rsid w:val="00645915"/>
    <w:rsid w:val="006519C3"/>
    <w:rsid w:val="00652B30"/>
    <w:rsid w:val="00656345"/>
    <w:rsid w:val="00656DC6"/>
    <w:rsid w:val="00660EC6"/>
    <w:rsid w:val="00664110"/>
    <w:rsid w:val="00664D17"/>
    <w:rsid w:val="00666520"/>
    <w:rsid w:val="006667C1"/>
    <w:rsid w:val="00667C5B"/>
    <w:rsid w:val="00691EB8"/>
    <w:rsid w:val="00692CDE"/>
    <w:rsid w:val="00693073"/>
    <w:rsid w:val="006977FF"/>
    <w:rsid w:val="006A01FA"/>
    <w:rsid w:val="006A0E9E"/>
    <w:rsid w:val="006A25C7"/>
    <w:rsid w:val="006A4AAD"/>
    <w:rsid w:val="006A6DA2"/>
    <w:rsid w:val="006A7AB2"/>
    <w:rsid w:val="006B2425"/>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2EA1"/>
    <w:rsid w:val="00706E4E"/>
    <w:rsid w:val="0070791C"/>
    <w:rsid w:val="0071383C"/>
    <w:rsid w:val="007141A7"/>
    <w:rsid w:val="007152CD"/>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0A4B"/>
    <w:rsid w:val="007714A9"/>
    <w:rsid w:val="00774F88"/>
    <w:rsid w:val="00774FDB"/>
    <w:rsid w:val="007775FC"/>
    <w:rsid w:val="00777BA2"/>
    <w:rsid w:val="00781408"/>
    <w:rsid w:val="00784F7F"/>
    <w:rsid w:val="007878BD"/>
    <w:rsid w:val="00796F25"/>
    <w:rsid w:val="007A2E98"/>
    <w:rsid w:val="007A3BA3"/>
    <w:rsid w:val="007A6CC0"/>
    <w:rsid w:val="007A7FEC"/>
    <w:rsid w:val="007B1499"/>
    <w:rsid w:val="007B1BBF"/>
    <w:rsid w:val="007B2960"/>
    <w:rsid w:val="007B355D"/>
    <w:rsid w:val="007B370C"/>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D4C"/>
    <w:rsid w:val="00856EDC"/>
    <w:rsid w:val="008623B5"/>
    <w:rsid w:val="00870ABA"/>
    <w:rsid w:val="008710E1"/>
    <w:rsid w:val="008716E5"/>
    <w:rsid w:val="00881CA9"/>
    <w:rsid w:val="00883339"/>
    <w:rsid w:val="00883628"/>
    <w:rsid w:val="00885544"/>
    <w:rsid w:val="0088634E"/>
    <w:rsid w:val="00893AB8"/>
    <w:rsid w:val="008A04C8"/>
    <w:rsid w:val="008A6913"/>
    <w:rsid w:val="008B70F3"/>
    <w:rsid w:val="008B71C4"/>
    <w:rsid w:val="008B76DF"/>
    <w:rsid w:val="008C0DE6"/>
    <w:rsid w:val="008C10F4"/>
    <w:rsid w:val="008C65F7"/>
    <w:rsid w:val="008E4767"/>
    <w:rsid w:val="008E7A8C"/>
    <w:rsid w:val="0090203B"/>
    <w:rsid w:val="00903285"/>
    <w:rsid w:val="00906F40"/>
    <w:rsid w:val="0090731E"/>
    <w:rsid w:val="00907C3C"/>
    <w:rsid w:val="00915B1C"/>
    <w:rsid w:val="009174F3"/>
    <w:rsid w:val="0091797D"/>
    <w:rsid w:val="00923CBA"/>
    <w:rsid w:val="009242EB"/>
    <w:rsid w:val="00926703"/>
    <w:rsid w:val="00927691"/>
    <w:rsid w:val="00927A5F"/>
    <w:rsid w:val="00930510"/>
    <w:rsid w:val="00935B63"/>
    <w:rsid w:val="0094078F"/>
    <w:rsid w:val="00940FA3"/>
    <w:rsid w:val="00941134"/>
    <w:rsid w:val="00941FB0"/>
    <w:rsid w:val="009426D4"/>
    <w:rsid w:val="00947F25"/>
    <w:rsid w:val="00950159"/>
    <w:rsid w:val="0095490B"/>
    <w:rsid w:val="00960A33"/>
    <w:rsid w:val="0096465E"/>
    <w:rsid w:val="00971914"/>
    <w:rsid w:val="00974363"/>
    <w:rsid w:val="00981898"/>
    <w:rsid w:val="0099577C"/>
    <w:rsid w:val="00997A95"/>
    <w:rsid w:val="009B24A5"/>
    <w:rsid w:val="009B2601"/>
    <w:rsid w:val="009B4E9E"/>
    <w:rsid w:val="009B7453"/>
    <w:rsid w:val="009C1690"/>
    <w:rsid w:val="009C6881"/>
    <w:rsid w:val="009C7759"/>
    <w:rsid w:val="009D043D"/>
    <w:rsid w:val="009D07C8"/>
    <w:rsid w:val="009D1D05"/>
    <w:rsid w:val="009D6C71"/>
    <w:rsid w:val="009E0631"/>
    <w:rsid w:val="009E16D0"/>
    <w:rsid w:val="009E2051"/>
    <w:rsid w:val="009E38FD"/>
    <w:rsid w:val="009F13D6"/>
    <w:rsid w:val="009F4C6B"/>
    <w:rsid w:val="009F78A8"/>
    <w:rsid w:val="00A02AD6"/>
    <w:rsid w:val="00A07096"/>
    <w:rsid w:val="00A07318"/>
    <w:rsid w:val="00A11370"/>
    <w:rsid w:val="00A17B1B"/>
    <w:rsid w:val="00A22161"/>
    <w:rsid w:val="00A224CE"/>
    <w:rsid w:val="00A22522"/>
    <w:rsid w:val="00A2440D"/>
    <w:rsid w:val="00A24882"/>
    <w:rsid w:val="00A24AFD"/>
    <w:rsid w:val="00A24F5C"/>
    <w:rsid w:val="00A32F96"/>
    <w:rsid w:val="00A40871"/>
    <w:rsid w:val="00A412AB"/>
    <w:rsid w:val="00A4193E"/>
    <w:rsid w:val="00A440E0"/>
    <w:rsid w:val="00A442EF"/>
    <w:rsid w:val="00A51D1A"/>
    <w:rsid w:val="00A5418D"/>
    <w:rsid w:val="00A5474E"/>
    <w:rsid w:val="00A64234"/>
    <w:rsid w:val="00A665C4"/>
    <w:rsid w:val="00A70ADF"/>
    <w:rsid w:val="00A71466"/>
    <w:rsid w:val="00A74B5E"/>
    <w:rsid w:val="00A81BED"/>
    <w:rsid w:val="00A81EC4"/>
    <w:rsid w:val="00A824E8"/>
    <w:rsid w:val="00A967FD"/>
    <w:rsid w:val="00AA2DE5"/>
    <w:rsid w:val="00AB156C"/>
    <w:rsid w:val="00AB5A0D"/>
    <w:rsid w:val="00AB6814"/>
    <w:rsid w:val="00AC04BA"/>
    <w:rsid w:val="00AC0E39"/>
    <w:rsid w:val="00AD3082"/>
    <w:rsid w:val="00AD32B4"/>
    <w:rsid w:val="00AD4162"/>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E8F"/>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876CA"/>
    <w:rsid w:val="00B92812"/>
    <w:rsid w:val="00BB45A1"/>
    <w:rsid w:val="00BB7686"/>
    <w:rsid w:val="00BC23F9"/>
    <w:rsid w:val="00BC3421"/>
    <w:rsid w:val="00BC732C"/>
    <w:rsid w:val="00BD4421"/>
    <w:rsid w:val="00BD7249"/>
    <w:rsid w:val="00BE2580"/>
    <w:rsid w:val="00BE266D"/>
    <w:rsid w:val="00BE35CB"/>
    <w:rsid w:val="00BE3938"/>
    <w:rsid w:val="00BE4C11"/>
    <w:rsid w:val="00BE6805"/>
    <w:rsid w:val="00BE71C0"/>
    <w:rsid w:val="00BE735D"/>
    <w:rsid w:val="00BF610C"/>
    <w:rsid w:val="00C0060B"/>
    <w:rsid w:val="00C00BC9"/>
    <w:rsid w:val="00C01A6C"/>
    <w:rsid w:val="00C0277D"/>
    <w:rsid w:val="00C053A1"/>
    <w:rsid w:val="00C16198"/>
    <w:rsid w:val="00C2083D"/>
    <w:rsid w:val="00C24A53"/>
    <w:rsid w:val="00C315F1"/>
    <w:rsid w:val="00C34A05"/>
    <w:rsid w:val="00C35CCE"/>
    <w:rsid w:val="00C4032F"/>
    <w:rsid w:val="00C44047"/>
    <w:rsid w:val="00C45155"/>
    <w:rsid w:val="00C5498F"/>
    <w:rsid w:val="00C55235"/>
    <w:rsid w:val="00C64CD0"/>
    <w:rsid w:val="00C6684F"/>
    <w:rsid w:val="00C70E70"/>
    <w:rsid w:val="00C75F8D"/>
    <w:rsid w:val="00C77380"/>
    <w:rsid w:val="00C82940"/>
    <w:rsid w:val="00C87E8A"/>
    <w:rsid w:val="00C97736"/>
    <w:rsid w:val="00CA345A"/>
    <w:rsid w:val="00CB1E82"/>
    <w:rsid w:val="00CB4BA8"/>
    <w:rsid w:val="00CB52D7"/>
    <w:rsid w:val="00CC6732"/>
    <w:rsid w:val="00CE0BB5"/>
    <w:rsid w:val="00CE3C96"/>
    <w:rsid w:val="00CE51A8"/>
    <w:rsid w:val="00CF369B"/>
    <w:rsid w:val="00D00E28"/>
    <w:rsid w:val="00D0269E"/>
    <w:rsid w:val="00D05D6C"/>
    <w:rsid w:val="00D15810"/>
    <w:rsid w:val="00D16D4E"/>
    <w:rsid w:val="00D16FE3"/>
    <w:rsid w:val="00D27F41"/>
    <w:rsid w:val="00D36441"/>
    <w:rsid w:val="00D3709F"/>
    <w:rsid w:val="00D4064E"/>
    <w:rsid w:val="00D414E9"/>
    <w:rsid w:val="00D42EF0"/>
    <w:rsid w:val="00D44E9B"/>
    <w:rsid w:val="00D45FD2"/>
    <w:rsid w:val="00D47AEB"/>
    <w:rsid w:val="00D50DB9"/>
    <w:rsid w:val="00D51302"/>
    <w:rsid w:val="00D52C43"/>
    <w:rsid w:val="00D6507F"/>
    <w:rsid w:val="00D730BC"/>
    <w:rsid w:val="00D73912"/>
    <w:rsid w:val="00D846AD"/>
    <w:rsid w:val="00D85226"/>
    <w:rsid w:val="00D87B94"/>
    <w:rsid w:val="00D92D49"/>
    <w:rsid w:val="00D92EC1"/>
    <w:rsid w:val="00D96DEA"/>
    <w:rsid w:val="00DA4E41"/>
    <w:rsid w:val="00DB117A"/>
    <w:rsid w:val="00DB3A64"/>
    <w:rsid w:val="00DB5173"/>
    <w:rsid w:val="00DB6F26"/>
    <w:rsid w:val="00DB7873"/>
    <w:rsid w:val="00DC187B"/>
    <w:rsid w:val="00DC6F15"/>
    <w:rsid w:val="00DC7DEF"/>
    <w:rsid w:val="00DD1A43"/>
    <w:rsid w:val="00DD2657"/>
    <w:rsid w:val="00DD73C2"/>
    <w:rsid w:val="00DE319B"/>
    <w:rsid w:val="00DF018C"/>
    <w:rsid w:val="00DF0799"/>
    <w:rsid w:val="00DF2237"/>
    <w:rsid w:val="00DF34FE"/>
    <w:rsid w:val="00DF56AA"/>
    <w:rsid w:val="00DF56AF"/>
    <w:rsid w:val="00DF7366"/>
    <w:rsid w:val="00DF78E7"/>
    <w:rsid w:val="00E110E0"/>
    <w:rsid w:val="00E14FCE"/>
    <w:rsid w:val="00E15371"/>
    <w:rsid w:val="00E23372"/>
    <w:rsid w:val="00E24104"/>
    <w:rsid w:val="00E302D0"/>
    <w:rsid w:val="00E35707"/>
    <w:rsid w:val="00E36AA1"/>
    <w:rsid w:val="00E41ECB"/>
    <w:rsid w:val="00E42676"/>
    <w:rsid w:val="00E54FDB"/>
    <w:rsid w:val="00E5617D"/>
    <w:rsid w:val="00E563D7"/>
    <w:rsid w:val="00E63629"/>
    <w:rsid w:val="00E663F4"/>
    <w:rsid w:val="00E666F2"/>
    <w:rsid w:val="00E66DD4"/>
    <w:rsid w:val="00E748CC"/>
    <w:rsid w:val="00E75415"/>
    <w:rsid w:val="00E775B1"/>
    <w:rsid w:val="00E8152A"/>
    <w:rsid w:val="00E90993"/>
    <w:rsid w:val="00E93629"/>
    <w:rsid w:val="00E93B5C"/>
    <w:rsid w:val="00E94CEC"/>
    <w:rsid w:val="00EA04EF"/>
    <w:rsid w:val="00EA6F19"/>
    <w:rsid w:val="00EB7090"/>
    <w:rsid w:val="00EC1BBE"/>
    <w:rsid w:val="00EC2B68"/>
    <w:rsid w:val="00EC3AEF"/>
    <w:rsid w:val="00EC5CD7"/>
    <w:rsid w:val="00EC6723"/>
    <w:rsid w:val="00EE5FB3"/>
    <w:rsid w:val="00EE7F79"/>
    <w:rsid w:val="00EF715A"/>
    <w:rsid w:val="00F01BC3"/>
    <w:rsid w:val="00F04366"/>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643D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4B55"/>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D95C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NECG) Footnote Reference,(NECG) Footnote Reference1,(NECG) Footnote Reference2,o"/>
    <w:basedOn w:val="DefaultParagraphFont"/>
    <w:rsid w:val="00566AB4"/>
    <w:rPr>
      <w:rFonts w:ascii="Arial" w:hAnsi="Arial"/>
      <w:vertAlign w:val="superscript"/>
    </w:rPr>
  </w:style>
  <w:style w:type="paragraph" w:styleId="FootnoteText">
    <w:name w:val="footnote text"/>
    <w:aliases w:val="Footnote text,ACMA Footnote Text,ABA Footnote Text"/>
    <w:basedOn w:val="Normal"/>
    <w:link w:val="FootnoteTextChar"/>
    <w:rsid w:val="00A17B1B"/>
    <w:pPr>
      <w:spacing w:after="0" w:line="200" w:lineRule="atLeast"/>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ACMAReportTitle">
    <w:name w:val="ACMA_ReportTitle"/>
    <w:basedOn w:val="Normal"/>
    <w:qFormat/>
    <w:rsid w:val="0030537A"/>
    <w:pPr>
      <w:spacing w:after="0" w:line="560" w:lineRule="exact"/>
    </w:pPr>
    <w:rPr>
      <w:b/>
      <w:spacing w:val="-28"/>
      <w:sz w:val="53"/>
    </w:rPr>
  </w:style>
  <w:style w:type="paragraph" w:styleId="ListParagraph">
    <w:name w:val="List Paragraph"/>
    <w:basedOn w:val="Normal"/>
    <w:uiPriority w:val="34"/>
    <w:qFormat/>
    <w:rsid w:val="0030537A"/>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otnoteTextChar">
    <w:name w:val="Footnote Text Char"/>
    <w:aliases w:val="Footnote text Char,ACMA Footnote Text Char,ABA Footnote Text Char"/>
    <w:basedOn w:val="DefaultParagraphFont"/>
    <w:link w:val="FootnoteText"/>
    <w:rsid w:val="0030537A"/>
    <w:rPr>
      <w:rFonts w:ascii="Arial" w:hAnsi="Arial"/>
      <w:sz w:val="16"/>
      <w:szCs w:val="16"/>
    </w:rPr>
  </w:style>
  <w:style w:type="paragraph" w:customStyle="1" w:styleId="ACMAReportSubTitle">
    <w:name w:val="ACMA_ReportSubTitle"/>
    <w:basedOn w:val="Normal"/>
    <w:qFormat/>
    <w:rsid w:val="0030537A"/>
    <w:pPr>
      <w:spacing w:after="200" w:line="560" w:lineRule="exact"/>
    </w:pPr>
    <w:rPr>
      <w:color w:val="323232"/>
      <w:spacing w:val="-28"/>
      <w:sz w:val="53"/>
    </w:rPr>
  </w:style>
  <w:style w:type="paragraph" w:customStyle="1" w:styleId="ACMAReportDate">
    <w:name w:val="ACMA_ReportDate"/>
    <w:basedOn w:val="ACMAReportSubTitle"/>
    <w:qFormat/>
    <w:rsid w:val="0030537A"/>
    <w:pPr>
      <w:spacing w:after="1200" w:line="240" w:lineRule="auto"/>
    </w:pPr>
    <w:rPr>
      <w:caps/>
      <w:spacing w:val="-10"/>
      <w:sz w:val="20"/>
    </w:rPr>
  </w:style>
  <w:style w:type="paragraph" w:customStyle="1" w:styleId="TableHeading0">
    <w:name w:val="Table Heading"/>
    <w:basedOn w:val="Normal"/>
    <w:qFormat/>
    <w:rsid w:val="0030537A"/>
    <w:pPr>
      <w:spacing w:after="0"/>
    </w:pPr>
    <w:rPr>
      <w:b/>
    </w:rPr>
  </w:style>
  <w:style w:type="paragraph" w:customStyle="1" w:styleId="ACMAExecSummaryHeading">
    <w:name w:val="ACMA_ExecSummaryHeading"/>
    <w:basedOn w:val="Normal"/>
    <w:qFormat/>
    <w:rsid w:val="0030537A"/>
    <w:pPr>
      <w:spacing w:after="1440" w:line="550" w:lineRule="exact"/>
    </w:pPr>
    <w:rPr>
      <w:b/>
      <w:color w:val="323232"/>
      <w:spacing w:val="-18"/>
      <w:sz w:val="53"/>
    </w:rPr>
  </w:style>
  <w:style w:type="character" w:styleId="Strong">
    <w:name w:val="Strong"/>
    <w:basedOn w:val="DefaultParagraphFont"/>
    <w:semiHidden/>
    <w:qFormat/>
    <w:rsid w:val="0030537A"/>
    <w:rPr>
      <w:b/>
      <w:bCs/>
    </w:rPr>
  </w:style>
  <w:style w:type="paragraph" w:customStyle="1" w:styleId="ACMANormalTabbed">
    <w:name w:val="ACMA_NormalTabbed"/>
    <w:basedOn w:val="Normal"/>
    <w:qFormat/>
    <w:rsid w:val="0030537A"/>
    <w:pPr>
      <w:tabs>
        <w:tab w:val="left" w:pos="1134"/>
      </w:tabs>
    </w:pPr>
  </w:style>
  <w:style w:type="paragraph" w:customStyle="1" w:styleId="ACMASpaceaftertable">
    <w:name w:val="ACMA_Space after table"/>
    <w:basedOn w:val="Normal"/>
    <w:qFormat/>
    <w:rsid w:val="0030537A"/>
    <w:rPr>
      <w:rFonts w:cs="Arial"/>
    </w:rPr>
  </w:style>
  <w:style w:type="paragraph" w:customStyle="1" w:styleId="ABABodyText">
    <w:name w:val="ABA Body Text"/>
    <w:link w:val="ABABodyTextChar"/>
    <w:rsid w:val="0030537A"/>
    <w:pPr>
      <w:suppressAutoHyphens/>
      <w:spacing w:before="80" w:after="120" w:line="280" w:lineRule="atLeast"/>
    </w:pPr>
    <w:rPr>
      <w:snapToGrid w:val="0"/>
      <w:szCs w:val="20"/>
      <w:lang w:eastAsia="en-US"/>
    </w:rPr>
  </w:style>
  <w:style w:type="character" w:customStyle="1" w:styleId="ABABodyTextChar">
    <w:name w:val="ABA Body Text Char"/>
    <w:basedOn w:val="DefaultParagraphFont"/>
    <w:link w:val="ABABodyText"/>
    <w:locked/>
    <w:rsid w:val="0030537A"/>
    <w:rPr>
      <w:snapToGrid w:val="0"/>
      <w:szCs w:val="20"/>
      <w:lang w:eastAsia="en-US"/>
    </w:rPr>
  </w:style>
  <w:style w:type="paragraph" w:customStyle="1" w:styleId="ACMABodyText">
    <w:name w:val="ACMA_BodyText"/>
    <w:qFormat/>
    <w:rsid w:val="0030537A"/>
    <w:pPr>
      <w:suppressAutoHyphens/>
      <w:spacing w:after="240" w:line="240" w:lineRule="atLeast"/>
    </w:pPr>
    <w:rPr>
      <w:rFonts w:ascii="Arial" w:hAnsi="Arial"/>
      <w:snapToGrid w:val="0"/>
      <w:sz w:val="20"/>
      <w:szCs w:val="20"/>
      <w:lang w:eastAsia="en-US"/>
    </w:rPr>
  </w:style>
  <w:style w:type="paragraph" w:customStyle="1" w:styleId="ACMABodyTextBold">
    <w:name w:val="ACMA_BodyTextBold"/>
    <w:basedOn w:val="ACMABodyText"/>
    <w:qFormat/>
    <w:rsid w:val="0030537A"/>
    <w:pPr>
      <w:spacing w:line="240" w:lineRule="auto"/>
    </w:pPr>
    <w:rPr>
      <w:rFonts w:cs="Arial"/>
      <w:b/>
    </w:rPr>
  </w:style>
  <w:style w:type="paragraph" w:customStyle="1" w:styleId="ACMABodyText0">
    <w:name w:val="ACMA Body Text"/>
    <w:link w:val="ACMABodyTextChar"/>
    <w:rsid w:val="0030537A"/>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0"/>
    <w:locked/>
    <w:rsid w:val="0030537A"/>
    <w:rPr>
      <w:snapToGrid w:val="0"/>
      <w:szCs w:val="20"/>
      <w:lang w:eastAsia="en-US"/>
    </w:rPr>
  </w:style>
  <w:style w:type="paragraph" w:styleId="NormalWeb">
    <w:name w:val="Normal (Web)"/>
    <w:basedOn w:val="Normal"/>
    <w:uiPriority w:val="99"/>
    <w:semiHidden/>
    <w:unhideWhenUsed/>
    <w:rsid w:val="0030537A"/>
    <w:pPr>
      <w:spacing w:before="100" w:beforeAutospacing="1" w:after="100" w:afterAutospacing="1" w:line="240" w:lineRule="auto"/>
    </w:pPr>
    <w:rPr>
      <w:rFonts w:ascii="Times New Roman" w:hAnsi="Times New Roman"/>
      <w:sz w:val="24"/>
    </w:rPr>
  </w:style>
  <w:style w:type="character" w:customStyle="1" w:styleId="UnresolvedMention1">
    <w:name w:val="Unresolved Mention1"/>
    <w:basedOn w:val="DefaultParagraphFont"/>
    <w:uiPriority w:val="99"/>
    <w:semiHidden/>
    <w:unhideWhenUsed/>
    <w:rsid w:val="0030537A"/>
    <w:rPr>
      <w:color w:val="605E5C"/>
      <w:shd w:val="clear" w:color="auto" w:fill="E1DFDD"/>
    </w:rPr>
  </w:style>
  <w:style w:type="paragraph" w:customStyle="1" w:styleId="Default">
    <w:name w:val="Default"/>
    <w:rsid w:val="0030537A"/>
    <w:pPr>
      <w:autoSpaceDE w:val="0"/>
      <w:autoSpaceDN w:val="0"/>
      <w:adjustRightInd w:val="0"/>
    </w:pPr>
    <w:rPr>
      <w:color w:val="000000"/>
    </w:rPr>
  </w:style>
  <w:style w:type="character" w:customStyle="1" w:styleId="UnresolvedMention2">
    <w:name w:val="Unresolved Mention2"/>
    <w:basedOn w:val="DefaultParagraphFont"/>
    <w:uiPriority w:val="99"/>
    <w:semiHidden/>
    <w:unhideWhenUsed/>
    <w:rsid w:val="0030537A"/>
    <w:rPr>
      <w:color w:val="605E5C"/>
      <w:shd w:val="clear" w:color="auto" w:fill="E1DFDD"/>
    </w:rPr>
  </w:style>
  <w:style w:type="paragraph" w:customStyle="1" w:styleId="tabletext">
    <w:name w:val="tabletext"/>
    <w:basedOn w:val="Normal"/>
    <w:rsid w:val="0030537A"/>
    <w:pPr>
      <w:spacing w:before="100" w:beforeAutospacing="1" w:after="100" w:afterAutospacing="1" w:line="240" w:lineRule="auto"/>
    </w:pPr>
    <w:rPr>
      <w:rFonts w:ascii="Times New Roman" w:hAnsi="Times New Roman"/>
      <w:sz w:val="24"/>
    </w:rPr>
  </w:style>
  <w:style w:type="paragraph" w:customStyle="1" w:styleId="paragraph0">
    <w:name w:val="paragraph"/>
    <w:basedOn w:val="Normal"/>
    <w:rsid w:val="0030537A"/>
    <w:pPr>
      <w:spacing w:before="100" w:beforeAutospacing="1" w:after="100" w:afterAutospacing="1" w:line="240" w:lineRule="auto"/>
    </w:pPr>
    <w:rPr>
      <w:rFonts w:ascii="Times New Roman" w:hAnsi="Times New Roman"/>
      <w:sz w:val="24"/>
    </w:rPr>
  </w:style>
  <w:style w:type="paragraph" w:customStyle="1" w:styleId="definition">
    <w:name w:val="definition"/>
    <w:basedOn w:val="Normal"/>
    <w:rsid w:val="0030537A"/>
    <w:pPr>
      <w:spacing w:before="100" w:beforeAutospacing="1" w:after="100" w:afterAutospacing="1" w:line="240" w:lineRule="auto"/>
    </w:pPr>
    <w:rPr>
      <w:rFonts w:ascii="Times New Roman" w:hAnsi="Times New Roman"/>
      <w:sz w:val="24"/>
    </w:rPr>
  </w:style>
  <w:style w:type="paragraph" w:customStyle="1" w:styleId="paragraphsub">
    <w:name w:val="paragraphsub"/>
    <w:basedOn w:val="Normal"/>
    <w:rsid w:val="0030537A"/>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Series/C2004A04401" TargetMode="External"/><Relationship Id="rId39"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www.acma.gov.au"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C2018C00086" TargetMode="External"/><Relationship Id="rId33" Type="http://schemas.openxmlformats.org/officeDocument/2006/relationships/hyperlink" Target="http://www.acma.gov.au" TargetMode="External"/><Relationship Id="rId38"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www.aec.gov.au" TargetMode="Externa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C2018C00079" TargetMode="External"/><Relationship Id="rId32" Type="http://schemas.openxmlformats.org/officeDocument/2006/relationships/hyperlink" Target="http://www.aec.gov.au" TargetMode="External"/><Relationship Id="rId37" Type="http://schemas.openxmlformats.org/officeDocument/2006/relationships/hyperlink" Target="http://www.acma.gov.au" TargetMode="External"/><Relationship Id="rId40"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11L01778" TargetMode="External"/><Relationship Id="rId36" Type="http://schemas.openxmlformats.org/officeDocument/2006/relationships/hyperlink" Target="http://www.acma.gov.au"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periodicdisclosures.aec.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Citizen/TV-Radio/Broadcasting-complaints2/Broadcast-complaints/broadcasting-complaints" TargetMode="External"/><Relationship Id="rId30" Type="http://schemas.openxmlformats.org/officeDocument/2006/relationships/hyperlink" Target="http://www.legislation.gov.au" TargetMode="External"/><Relationship Id="rId35" Type="http://schemas.openxmlformats.org/officeDocument/2006/relationships/hyperlink" Target="http://www.acma.gov.au" TargetMode="External"/><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ph.gov.au/About_Parliament/Parliamentary_Departments/Parliamentary_Library/pubs/rp/RP9798/98RP1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7257</Words>
  <Characters>38322</Characters>
  <Application>Microsoft Office Word</Application>
  <DocSecurity>0</DocSecurity>
  <Lines>798</Lines>
  <Paragraphs>434</Paragraphs>
  <ScaleCrop>false</ScaleCrop>
  <Manager/>
  <Company/>
  <LinksUpToDate>false</LinksUpToDate>
  <CharactersWithSpaces>45145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2022-03-09T23:22:00Z</dcterms:created>
  <dcterms:modified xsi:type="dcterms:W3CDTF">2022-03-09T23:28:00Z</dcterms:modified>
  <cp:category/>
</cp:coreProperties>
</file>