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48C0A3" w14:textId="6CADE008" w:rsidR="00B72519" w:rsidRPr="00DC70B6" w:rsidRDefault="00B72519" w:rsidP="00B72519">
      <w:pPr>
        <w:pStyle w:val="EmbargoHeading"/>
      </w:pPr>
      <w:r w:rsidRPr="002778A3">
        <w:t xml:space="preserve">EMBARGO </w:t>
      </w:r>
      <w:r w:rsidR="0051619A">
        <w:t>75</w:t>
      </w:r>
    </w:p>
    <w:p w14:paraId="56131FDB" w14:textId="77777777" w:rsidR="00B72519" w:rsidRDefault="00B72519" w:rsidP="00B72519">
      <w:pPr>
        <w:rPr>
          <w:lang w:val="en-GB"/>
        </w:rPr>
      </w:pPr>
    </w:p>
    <w:p w14:paraId="36B9EAF4" w14:textId="3D8090ED" w:rsidR="00B72519" w:rsidRPr="00DC70B6" w:rsidRDefault="00B72519" w:rsidP="00B72519">
      <w:pPr>
        <w:pStyle w:val="embheader"/>
      </w:pPr>
      <w:bookmarkStart w:id="0" w:name="_Hlk94259087"/>
      <w:r w:rsidRPr="00D11509">
        <w:rPr>
          <w:b/>
        </w:rPr>
        <w:t>FREQUENCY RANGE:</w:t>
      </w:r>
      <w:r w:rsidRPr="00DC70B6">
        <w:tab/>
      </w:r>
      <w:r w:rsidR="00F54BB8">
        <w:t>34</w:t>
      </w:r>
      <w:r w:rsidR="002A14C5">
        <w:t>00</w:t>
      </w:r>
      <w:r w:rsidR="007E75B3">
        <w:t>–</w:t>
      </w:r>
      <w:r w:rsidR="002A5239">
        <w:t>3575 MHz</w:t>
      </w:r>
    </w:p>
    <w:p w14:paraId="157756AE" w14:textId="670D0E03" w:rsidR="00B72519" w:rsidRPr="006F7A7D" w:rsidRDefault="00B72519" w:rsidP="00B72519">
      <w:pPr>
        <w:pStyle w:val="embheader"/>
      </w:pPr>
      <w:r w:rsidRPr="00D11509">
        <w:rPr>
          <w:b/>
        </w:rPr>
        <w:t>SUBJECT:</w:t>
      </w:r>
      <w:r w:rsidRPr="00DC70B6">
        <w:tab/>
      </w:r>
      <w:bookmarkStart w:id="1" w:name="_Hlk24114470"/>
      <w:r w:rsidRPr="00DC70B6">
        <w:t xml:space="preserve">Embargo on </w:t>
      </w:r>
      <w:r w:rsidR="008C7573">
        <w:t xml:space="preserve">all new </w:t>
      </w:r>
      <w:r>
        <w:t>frequency assignments</w:t>
      </w:r>
      <w:r w:rsidR="008C7573">
        <w:t xml:space="preserve"> to support the implementation of new planning arrangements</w:t>
      </w:r>
      <w:r w:rsidR="00A077F5">
        <w:t>.</w:t>
      </w:r>
      <w:bookmarkEnd w:id="1"/>
    </w:p>
    <w:p w14:paraId="1E4501FE" w14:textId="4AC6202D" w:rsidR="00B72519" w:rsidRPr="00975411" w:rsidRDefault="00B72519" w:rsidP="00B72519">
      <w:pPr>
        <w:pStyle w:val="embheader"/>
      </w:pPr>
      <w:r w:rsidRPr="006F7A7D">
        <w:rPr>
          <w:b/>
        </w:rPr>
        <w:t>DATE OF EFFECT:</w:t>
      </w:r>
      <w:r w:rsidRPr="006F7A7D">
        <w:tab/>
      </w:r>
      <w:bookmarkStart w:id="2" w:name="_Hlk24114482"/>
      <w:r w:rsidR="00DE7740" w:rsidRPr="00F94798">
        <w:t xml:space="preserve">9 </w:t>
      </w:r>
      <w:r w:rsidR="00DE7740" w:rsidRPr="00975411">
        <w:t>May</w:t>
      </w:r>
      <w:r w:rsidRPr="00975411">
        <w:t xml:space="preserve"> 2019</w:t>
      </w:r>
      <w:r w:rsidR="0084392A" w:rsidRPr="00975411">
        <w:t xml:space="preserve"> (last revised </w:t>
      </w:r>
      <w:r w:rsidR="00975411" w:rsidRPr="00975411">
        <w:t xml:space="preserve">2 </w:t>
      </w:r>
      <w:r w:rsidR="001F2154" w:rsidRPr="00975411">
        <w:t>March 2022</w:t>
      </w:r>
      <w:r w:rsidR="0084392A" w:rsidRPr="00975411">
        <w:t>)</w:t>
      </w:r>
      <w:bookmarkEnd w:id="2"/>
      <w:r w:rsidR="00A077F5" w:rsidRPr="00975411">
        <w:t>.</w:t>
      </w:r>
    </w:p>
    <w:p w14:paraId="586A2A44" w14:textId="4C0970DC" w:rsidR="00B72519" w:rsidRPr="00975411" w:rsidRDefault="00B72519" w:rsidP="00B72519">
      <w:pPr>
        <w:pStyle w:val="embheader"/>
      </w:pPr>
      <w:r w:rsidRPr="00975411">
        <w:rPr>
          <w:b/>
        </w:rPr>
        <w:t>COVERAGE:</w:t>
      </w:r>
      <w:r w:rsidRPr="00975411">
        <w:tab/>
      </w:r>
      <w:r w:rsidR="001F4BAE" w:rsidRPr="00975411">
        <w:t>Metropolitan and regional areas</w:t>
      </w:r>
      <w:r w:rsidR="00A077F5" w:rsidRPr="00975411">
        <w:t>.</w:t>
      </w:r>
    </w:p>
    <w:p w14:paraId="7BE446FE" w14:textId="278F80BB" w:rsidR="00B72519" w:rsidRPr="00975411" w:rsidRDefault="00B72519" w:rsidP="00B72519">
      <w:pPr>
        <w:pStyle w:val="embheader"/>
      </w:pPr>
      <w:r w:rsidRPr="00975411">
        <w:rPr>
          <w:b/>
        </w:rPr>
        <w:t>TIME FRAME:</w:t>
      </w:r>
      <w:r w:rsidRPr="00975411">
        <w:tab/>
      </w:r>
      <w:r w:rsidR="00E04CAF" w:rsidRPr="00975411">
        <w:t>Until further notice</w:t>
      </w:r>
    </w:p>
    <w:p w14:paraId="7F848BBC" w14:textId="77777777" w:rsidR="00B72519" w:rsidRPr="00975411" w:rsidRDefault="00B72519" w:rsidP="00B72519">
      <w:pPr>
        <w:rPr>
          <w:lang w:val="en-GB"/>
        </w:rPr>
      </w:pPr>
    </w:p>
    <w:p w14:paraId="1AF1A91B" w14:textId="77777777" w:rsidR="00B72519" w:rsidRPr="00975411" w:rsidRDefault="00B72519" w:rsidP="00B72519">
      <w:pPr>
        <w:pStyle w:val="embsechead"/>
        <w:rPr>
          <w:lang w:val="en-GB"/>
        </w:rPr>
      </w:pPr>
      <w:r w:rsidRPr="00975411">
        <w:rPr>
          <w:lang w:val="en-GB"/>
        </w:rPr>
        <w:t>INSTRUCTIONS</w:t>
      </w:r>
    </w:p>
    <w:p w14:paraId="64552046" w14:textId="6C283D9A" w:rsidR="005A6FE2" w:rsidRPr="00975411" w:rsidRDefault="00FD6B2C" w:rsidP="00B72519">
      <w:pPr>
        <w:pStyle w:val="embbody"/>
        <w:rPr>
          <w:lang w:val="en-GB"/>
        </w:rPr>
      </w:pPr>
      <w:r w:rsidRPr="00975411">
        <w:rPr>
          <w:lang w:val="en-GB"/>
        </w:rPr>
        <w:t xml:space="preserve">No new frequency assignments </w:t>
      </w:r>
      <w:r w:rsidR="001F4BAE" w:rsidRPr="00975411">
        <w:rPr>
          <w:lang w:val="en-GB"/>
        </w:rPr>
        <w:t xml:space="preserve">for </w:t>
      </w:r>
      <w:r w:rsidR="008C7573" w:rsidRPr="00975411">
        <w:rPr>
          <w:lang w:val="en-GB"/>
        </w:rPr>
        <w:t>apparatus licence</w:t>
      </w:r>
      <w:r w:rsidR="00A30237" w:rsidRPr="00975411">
        <w:rPr>
          <w:lang w:val="en-GB"/>
        </w:rPr>
        <w:t>s</w:t>
      </w:r>
      <w:r w:rsidR="001F4BAE" w:rsidRPr="00975411">
        <w:rPr>
          <w:lang w:val="en-GB"/>
        </w:rPr>
        <w:t xml:space="preserve"> </w:t>
      </w:r>
      <w:r w:rsidRPr="00975411">
        <w:rPr>
          <w:lang w:val="en-GB"/>
        </w:rPr>
        <w:t xml:space="preserve">are to be </w:t>
      </w:r>
      <w:r w:rsidR="00A30237" w:rsidRPr="00975411">
        <w:rPr>
          <w:lang w:val="en-GB"/>
        </w:rPr>
        <w:t xml:space="preserve">issued </w:t>
      </w:r>
      <w:r w:rsidR="001F4BAE" w:rsidRPr="00975411">
        <w:rPr>
          <w:lang w:val="en-GB"/>
        </w:rPr>
        <w:t xml:space="preserve">in </w:t>
      </w:r>
      <w:r w:rsidR="00193FA1" w:rsidRPr="00975411">
        <w:rPr>
          <w:lang w:val="en-GB"/>
        </w:rPr>
        <w:t>m</w:t>
      </w:r>
      <w:r w:rsidR="001F4BAE" w:rsidRPr="00975411">
        <w:rPr>
          <w:lang w:val="en-GB"/>
        </w:rPr>
        <w:t xml:space="preserve">etropolitan and regional areas (defined at </w:t>
      </w:r>
      <w:r w:rsidR="00312B27" w:rsidRPr="00975411">
        <w:rPr>
          <w:lang w:val="en-GB"/>
        </w:rPr>
        <w:t>Attachment 1</w:t>
      </w:r>
      <w:r w:rsidR="001F4BAE" w:rsidRPr="00975411">
        <w:rPr>
          <w:lang w:val="en-GB"/>
        </w:rPr>
        <w:t xml:space="preserve">) </w:t>
      </w:r>
      <w:r w:rsidR="00F54BB8" w:rsidRPr="00975411">
        <w:rPr>
          <w:lang w:val="en-GB"/>
        </w:rPr>
        <w:t>in the 34</w:t>
      </w:r>
      <w:r w:rsidR="002A5239" w:rsidRPr="00975411">
        <w:rPr>
          <w:lang w:val="en-GB"/>
        </w:rPr>
        <w:t>00</w:t>
      </w:r>
      <w:r w:rsidR="007E75B3" w:rsidRPr="00975411">
        <w:rPr>
          <w:lang w:val="en-GB"/>
        </w:rPr>
        <w:t>–</w:t>
      </w:r>
      <w:r w:rsidR="002E107F" w:rsidRPr="00975411">
        <w:rPr>
          <w:lang w:val="en-GB"/>
        </w:rPr>
        <w:t xml:space="preserve">3575 MHz </w:t>
      </w:r>
      <w:r w:rsidR="001F4BAE" w:rsidRPr="00975411">
        <w:rPr>
          <w:lang w:val="en-GB"/>
        </w:rPr>
        <w:t>frequency range</w:t>
      </w:r>
      <w:r w:rsidRPr="00975411">
        <w:rPr>
          <w:lang w:val="en-GB"/>
        </w:rPr>
        <w:t>.</w:t>
      </w:r>
      <w:r w:rsidR="005A6FE2" w:rsidRPr="00975411">
        <w:rPr>
          <w:lang w:val="en-GB"/>
        </w:rPr>
        <w:t xml:space="preserve"> </w:t>
      </w:r>
    </w:p>
    <w:p w14:paraId="14E757BF" w14:textId="0EF60AED" w:rsidR="00B72519" w:rsidRPr="00975411" w:rsidRDefault="00B72519" w:rsidP="00B72519">
      <w:pPr>
        <w:pStyle w:val="embbody"/>
        <w:rPr>
          <w:lang w:val="en-GB"/>
        </w:rPr>
      </w:pPr>
      <w:r w:rsidRPr="00975411">
        <w:rPr>
          <w:lang w:val="en-GB"/>
        </w:rPr>
        <w:t xml:space="preserve">Any applications for case-by-case exemptions are to be referred to the Manager, Spectrum </w:t>
      </w:r>
      <w:r w:rsidR="007C09BE" w:rsidRPr="00975411">
        <w:rPr>
          <w:lang w:val="en-GB"/>
        </w:rPr>
        <w:t xml:space="preserve">Planning </w:t>
      </w:r>
      <w:r w:rsidRPr="00975411">
        <w:rPr>
          <w:lang w:val="en-GB"/>
        </w:rPr>
        <w:t>Section for consideration.</w:t>
      </w:r>
    </w:p>
    <w:p w14:paraId="0A1DF882" w14:textId="77777777" w:rsidR="00B72519" w:rsidRPr="00975411" w:rsidRDefault="00B72519" w:rsidP="00B72519">
      <w:pPr>
        <w:pStyle w:val="embbody"/>
        <w:rPr>
          <w:lang w:val="en-GB"/>
        </w:rPr>
      </w:pPr>
    </w:p>
    <w:p w14:paraId="3AD33698" w14:textId="77777777" w:rsidR="00B72519" w:rsidRPr="00975411" w:rsidRDefault="00B72519" w:rsidP="00B72519">
      <w:pPr>
        <w:pStyle w:val="embsechead"/>
        <w:rPr>
          <w:lang w:val="en-GB"/>
        </w:rPr>
      </w:pPr>
      <w:r w:rsidRPr="00975411">
        <w:rPr>
          <w:lang w:val="en-GB"/>
        </w:rPr>
        <w:t>REASONS</w:t>
      </w:r>
    </w:p>
    <w:p w14:paraId="03A0E14D" w14:textId="32F972E7" w:rsidR="0045087E" w:rsidRPr="00975411" w:rsidRDefault="000F5F3D" w:rsidP="0045087E">
      <w:pPr>
        <w:pStyle w:val="embbody"/>
        <w:rPr>
          <w:lang w:val="en-GB"/>
        </w:rPr>
      </w:pPr>
      <w:bookmarkStart w:id="3" w:name="_Hlk22733458"/>
      <w:r w:rsidRPr="00975411">
        <w:t xml:space="preserve">Various segments of the 3400-3575 MHz band are currently subject to spectrum licensing in metropolitan and regional areas – refer to </w:t>
      </w:r>
      <w:hyperlink r:id="rId7" w:history="1">
        <w:r w:rsidR="00B730EE" w:rsidRPr="00975411">
          <w:rPr>
            <w:rStyle w:val="Hyperlink"/>
          </w:rPr>
          <w:t>RALI SM26</w:t>
        </w:r>
      </w:hyperlink>
      <w:r w:rsidR="00B730EE" w:rsidRPr="00975411">
        <w:t xml:space="preserve"> </w:t>
      </w:r>
      <w:r w:rsidRPr="00975411">
        <w:t xml:space="preserve">for details. </w:t>
      </w:r>
      <w:r w:rsidR="00C44432" w:rsidRPr="00975411">
        <w:t>The purpose of th</w:t>
      </w:r>
      <w:r w:rsidR="00193FA1" w:rsidRPr="00975411">
        <w:t>is</w:t>
      </w:r>
      <w:r w:rsidR="00C44432" w:rsidRPr="00975411">
        <w:t xml:space="preserve"> embargo is to support</w:t>
      </w:r>
      <w:r w:rsidR="005506ED" w:rsidRPr="00975411">
        <w:t xml:space="preserve"> </w:t>
      </w:r>
      <w:r w:rsidR="00E04CAF" w:rsidRPr="00975411">
        <w:t xml:space="preserve">further </w:t>
      </w:r>
      <w:r w:rsidR="00B47147" w:rsidRPr="00975411">
        <w:t>investigation</w:t>
      </w:r>
      <w:r w:rsidR="00E04CAF" w:rsidRPr="00975411">
        <w:t xml:space="preserve"> into the</w:t>
      </w:r>
      <w:r w:rsidR="005506ED" w:rsidRPr="00975411">
        <w:t xml:space="preserve"> possible </w:t>
      </w:r>
      <w:r w:rsidR="002E107F" w:rsidRPr="00975411">
        <w:t>re-allocation</w:t>
      </w:r>
      <w:r w:rsidR="00B730EE" w:rsidRPr="00975411">
        <w:t xml:space="preserve"> for spectrum licenc</w:t>
      </w:r>
      <w:r w:rsidR="00B47147" w:rsidRPr="00975411">
        <w:t>ing</w:t>
      </w:r>
      <w:r w:rsidR="00B730EE" w:rsidRPr="00975411">
        <w:t xml:space="preserve"> </w:t>
      </w:r>
      <w:r w:rsidR="005506ED" w:rsidRPr="00975411">
        <w:t xml:space="preserve">in </w:t>
      </w:r>
      <w:r w:rsidR="00B730EE" w:rsidRPr="00975411">
        <w:t>parts of</w:t>
      </w:r>
      <w:r w:rsidR="00F03AB9" w:rsidRPr="00975411">
        <w:t xml:space="preserve"> the 3400–3575 MHz band in </w:t>
      </w:r>
      <w:r w:rsidR="0045087E" w:rsidRPr="00975411">
        <w:t xml:space="preserve">metropolitan and regional </w:t>
      </w:r>
      <w:r w:rsidR="00F03AB9" w:rsidRPr="00975411">
        <w:t xml:space="preserve">areas </w:t>
      </w:r>
      <w:r w:rsidR="00E04CAF" w:rsidRPr="00975411">
        <w:t xml:space="preserve">that are </w:t>
      </w:r>
      <w:r w:rsidR="00B730EE" w:rsidRPr="00975411">
        <w:t>not currently subject to spectrum licensing</w:t>
      </w:r>
      <w:r w:rsidR="00937E91" w:rsidRPr="00975411">
        <w:t xml:space="preserve">. </w:t>
      </w:r>
      <w:r w:rsidR="0045087E" w:rsidRPr="00975411">
        <w:t>Details of th</w:t>
      </w:r>
      <w:r w:rsidR="00CF6B3B" w:rsidRPr="00975411">
        <w:t xml:space="preserve">e </w:t>
      </w:r>
      <w:r w:rsidRPr="00975411">
        <w:t xml:space="preserve">ACMA’s </w:t>
      </w:r>
      <w:r w:rsidR="00CF6B3B" w:rsidRPr="00975411">
        <w:t xml:space="preserve">consultation on this proposal are available on the </w:t>
      </w:r>
      <w:hyperlink r:id="rId8" w:history="1">
        <w:r w:rsidR="00CF6B3B" w:rsidRPr="008A0C2B">
          <w:rPr>
            <w:rStyle w:val="Hyperlink"/>
          </w:rPr>
          <w:t>ACMA’s website</w:t>
        </w:r>
      </w:hyperlink>
      <w:r w:rsidR="00CF6B3B" w:rsidRPr="00975411">
        <w:t xml:space="preserve">. </w:t>
      </w:r>
      <w:bookmarkEnd w:id="3"/>
    </w:p>
    <w:p w14:paraId="7CCEE185" w14:textId="77777777" w:rsidR="00B72519" w:rsidRPr="00975411" w:rsidRDefault="00B72519" w:rsidP="00B72519">
      <w:pPr>
        <w:pStyle w:val="embbody"/>
        <w:rPr>
          <w:lang w:val="en-GB"/>
        </w:rPr>
      </w:pPr>
    </w:p>
    <w:p w14:paraId="27AE9352" w14:textId="77777777" w:rsidR="00B72519" w:rsidRPr="00975411" w:rsidRDefault="00B72519" w:rsidP="00B72519">
      <w:pPr>
        <w:pStyle w:val="embsechead"/>
        <w:rPr>
          <w:lang w:val="en-GB"/>
        </w:rPr>
      </w:pPr>
      <w:r w:rsidRPr="00975411">
        <w:rPr>
          <w:lang w:val="en-GB"/>
        </w:rPr>
        <w:t>COMMENTS</w:t>
      </w:r>
    </w:p>
    <w:p w14:paraId="6F5668C2" w14:textId="321E57F3" w:rsidR="00B72519" w:rsidRPr="00975411" w:rsidRDefault="00914A41" w:rsidP="00B72519">
      <w:pPr>
        <w:pStyle w:val="embbody"/>
        <w:rPr>
          <w:lang w:val="en-GB"/>
        </w:rPr>
      </w:pPr>
      <w:bookmarkStart w:id="4" w:name="_Hlk5025551"/>
      <w:r w:rsidRPr="00975411">
        <w:t xml:space="preserve">Pending the outcomes of the consultation </w:t>
      </w:r>
      <w:r w:rsidR="00916197" w:rsidRPr="00975411">
        <w:t xml:space="preserve">process </w:t>
      </w:r>
      <w:r w:rsidRPr="00975411">
        <w:t xml:space="preserve">for this proposal, the ACMA will review this embargo. </w:t>
      </w:r>
      <w:r w:rsidR="008C7573" w:rsidRPr="00975411">
        <w:rPr>
          <w:lang w:val="en-GB"/>
        </w:rPr>
        <w:t xml:space="preserve">This is </w:t>
      </w:r>
      <w:r w:rsidR="0084392A" w:rsidRPr="00975411">
        <w:rPr>
          <w:lang w:val="en-GB"/>
        </w:rPr>
        <w:t xml:space="preserve">planned to occur </w:t>
      </w:r>
      <w:r w:rsidRPr="00975411">
        <w:rPr>
          <w:lang w:val="en-GB"/>
        </w:rPr>
        <w:t>in</w:t>
      </w:r>
      <w:r w:rsidR="00124E6B" w:rsidRPr="00975411">
        <w:rPr>
          <w:lang w:val="en-GB"/>
        </w:rPr>
        <w:t xml:space="preserve"> the second half of </w:t>
      </w:r>
      <w:r w:rsidRPr="00975411">
        <w:rPr>
          <w:lang w:val="en-GB"/>
        </w:rPr>
        <w:t>2022</w:t>
      </w:r>
      <w:r w:rsidR="0084392A" w:rsidRPr="00975411">
        <w:rPr>
          <w:lang w:val="en-GB"/>
        </w:rPr>
        <w:t xml:space="preserve">. </w:t>
      </w:r>
    </w:p>
    <w:bookmarkEnd w:id="4"/>
    <w:p w14:paraId="35E19D24" w14:textId="77777777" w:rsidR="00AA1D5A" w:rsidRPr="00975411" w:rsidRDefault="00AA1D5A" w:rsidP="00B72519">
      <w:pPr>
        <w:pStyle w:val="embbody"/>
        <w:rPr>
          <w:b/>
          <w:lang w:val="en-GB"/>
        </w:rPr>
      </w:pPr>
    </w:p>
    <w:p w14:paraId="164F5116" w14:textId="77777777" w:rsidR="00C73034" w:rsidRPr="00975411" w:rsidRDefault="00B72519" w:rsidP="00C73034">
      <w:pPr>
        <w:pStyle w:val="embsechead"/>
      </w:pPr>
      <w:r w:rsidRPr="00975411">
        <w:t>EMBARGO AUTHORISATION:</w:t>
      </w:r>
    </w:p>
    <w:p w14:paraId="1B26DCD7" w14:textId="43075FBF" w:rsidR="00B72519" w:rsidRPr="00C73034" w:rsidRDefault="00B72519" w:rsidP="00C73034">
      <w:pPr>
        <w:pStyle w:val="embbody"/>
      </w:pPr>
      <w:r w:rsidRPr="00975411">
        <w:br/>
        <w:t xml:space="preserve">Approved </w:t>
      </w:r>
      <w:r w:rsidR="00975411" w:rsidRPr="00975411">
        <w:t>2</w:t>
      </w:r>
      <w:r w:rsidRPr="00975411">
        <w:t>/</w:t>
      </w:r>
      <w:r w:rsidR="00325149" w:rsidRPr="00975411">
        <w:t>3</w:t>
      </w:r>
      <w:r w:rsidRPr="00975411">
        <w:t>/20</w:t>
      </w:r>
      <w:r w:rsidR="00325149" w:rsidRPr="00975411">
        <w:t>22</w:t>
      </w:r>
      <w:r w:rsidRPr="00C73034">
        <w:br/>
      </w:r>
      <w:r w:rsidRPr="00C73034">
        <w:br/>
      </w:r>
      <w:bookmarkStart w:id="5" w:name="_Hlk22733172"/>
      <w:r w:rsidR="00325149">
        <w:t>Chris Worley</w:t>
      </w:r>
      <w:r w:rsidRPr="00C73034">
        <w:br/>
        <w:t>Manager</w:t>
      </w:r>
      <w:r w:rsidRPr="00C73034">
        <w:br/>
      </w:r>
      <w:r w:rsidR="00C44432" w:rsidRPr="00C73034">
        <w:t xml:space="preserve">Spectrum Planning </w:t>
      </w:r>
      <w:r w:rsidRPr="00C73034">
        <w:t>Section</w:t>
      </w:r>
      <w:bookmarkEnd w:id="5"/>
      <w:r w:rsidR="00C73034">
        <w:br/>
      </w:r>
      <w:r w:rsidR="00DE7740" w:rsidRPr="00C73034">
        <w:t>Communications Infrastructure Division</w:t>
      </w:r>
      <w:r w:rsidR="00DE7740" w:rsidRPr="00C73034">
        <w:br/>
      </w:r>
      <w:r w:rsidRPr="00C73034">
        <w:t>Australian Communications &amp; Media Authority</w:t>
      </w:r>
    </w:p>
    <w:bookmarkEnd w:id="0"/>
    <w:p w14:paraId="3CF2D423" w14:textId="77777777" w:rsidR="00B72519" w:rsidRPr="00DC70B6" w:rsidRDefault="00B72519" w:rsidP="00B72519">
      <w:pPr>
        <w:pStyle w:val="embbody"/>
        <w:rPr>
          <w:lang w:val="en-GB"/>
        </w:rPr>
      </w:pPr>
    </w:p>
    <w:p w14:paraId="5EE4B0C0" w14:textId="77777777" w:rsidR="001F4BAE" w:rsidRDefault="001F4BAE" w:rsidP="00C73034">
      <w:pPr>
        <w:pStyle w:val="embsechead"/>
        <w:pageBreakBefore/>
        <w:rPr>
          <w:rFonts w:ascii="HelveticaNeueLT Std Lt" w:hAnsi="HelveticaNeueLT Std Lt"/>
        </w:rPr>
      </w:pPr>
      <w:bookmarkStart w:id="6" w:name="_Hlk5025824"/>
      <w:r>
        <w:rPr>
          <w:lang w:val="en-GB"/>
        </w:rPr>
        <w:lastRenderedPageBreak/>
        <w:t>ATTACHEMENT 1:</w:t>
      </w:r>
    </w:p>
    <w:p w14:paraId="581C4165" w14:textId="1D22AB3B" w:rsidR="001F4BAE" w:rsidRDefault="0099404F" w:rsidP="0099404F">
      <w:pPr>
        <w:pStyle w:val="embbody"/>
      </w:pPr>
      <w:r>
        <w:t xml:space="preserve">For the purpose of </w:t>
      </w:r>
      <w:r w:rsidR="00565BCD">
        <w:t>E</w:t>
      </w:r>
      <w:r>
        <w:t xml:space="preserve">mbargo </w:t>
      </w:r>
      <w:r w:rsidR="00565BCD">
        <w:t xml:space="preserve">75, </w:t>
      </w:r>
      <w:r>
        <w:t>m</w:t>
      </w:r>
      <w:r w:rsidR="001F4BAE">
        <w:t xml:space="preserve">etropolitan and regional areas are </w:t>
      </w:r>
      <w:r>
        <w:t>defined</w:t>
      </w:r>
      <w:r w:rsidR="001F4BAE">
        <w:t xml:space="preserve"> by the </w:t>
      </w:r>
      <w:r>
        <w:t xml:space="preserve">following </w:t>
      </w:r>
      <w:r w:rsidR="001F4BAE">
        <w:t xml:space="preserve">HCIS </w:t>
      </w:r>
      <w:r>
        <w:t>area description:</w:t>
      </w:r>
    </w:p>
    <w:p w14:paraId="50AF5FA7" w14:textId="77777777" w:rsidR="00FC2D0E" w:rsidRDefault="00FC2D0E" w:rsidP="0099404F">
      <w:pPr>
        <w:pStyle w:val="embbody"/>
      </w:pPr>
    </w:p>
    <w:p w14:paraId="65197A44" w14:textId="4A520872" w:rsidR="0099404F" w:rsidRDefault="0099404F" w:rsidP="0099404F">
      <w:pPr>
        <w:pStyle w:val="embbody"/>
        <w:rPr>
          <w:lang w:eastAsia="en-US"/>
        </w:rPr>
      </w:pPr>
      <w:r w:rsidRPr="0095065A">
        <w:rPr>
          <w:lang w:eastAsia="en-US"/>
        </w:rPr>
        <w:t>BV, CV, DV, IV, IW, JV, JW, KQ, KV, KW, LR, LV, LW, LX, LY, MS, MT, MU, MV, MW, NT, NU, AU9, AV9, AW3, BU7, BU8, BW1, BW2, BW3, BW5, BW6, CW1, CW2, CW3, CW4, DW1, DW2, DW3, EV1, EV2, EV3, EV4, EV5, EV6, EV7, FV1, FV2, FV3, FV4, FV5, GV1, GV2, GV3, GV6, HV1, HV2, HV3, HV4, HV5, HV6, HV8, HV9, HW3, HW6, JX1, JX2, JX3, JX5, JX6, KO1, KO4, KO5, KO7, KO8, KP1, KP2, KP4, KP5, KP6, KP7, KP8, KP9, KX1, KX2, KX3, KX4, KX5, KX6, KX8, KX9, KY2, KY3, KY6, LP4, LP7, LQ1, LQ2, LQ4, LQ5, LQ7, LQ8, LZ1, LZ2, LZ3, MR1, MR4, MR5, MR7, MR8, MR9, MX1, MX2, MX3, MX4, MX7, MY1, MY4, MY7, MZ1, NS4, NS7, NS8, NS9, NV1, NV2, NV3, NV4, NV5, NV7, NW1, AU6I, AU6J, AU6K, AU6L, AU6M, AU6N, AU6O, AU6P, BU4H, BU4I, BU4J, BU4K, BU4L, BU4M, BU4N, BU4O, BU4P, BU5E, BU5F, BU5G, BU5H, BU5I, BU5J, BU5K, BU5L, BU5M, BU5N, BU5O, BU5P, BU9A, BU9B, BU9E, BU9F, BU9I, BU9J, BU9M, BU9N</w:t>
      </w:r>
    </w:p>
    <w:p w14:paraId="481ADE00" w14:textId="77777777" w:rsidR="00565BCD" w:rsidRDefault="00565BCD" w:rsidP="0099404F">
      <w:pPr>
        <w:pStyle w:val="embbody"/>
        <w:rPr>
          <w:lang w:eastAsia="en-US"/>
        </w:rPr>
      </w:pPr>
    </w:p>
    <w:p w14:paraId="67E5E526" w14:textId="0346B31D" w:rsidR="0099404F" w:rsidRPr="00CA5F13" w:rsidRDefault="0099404F" w:rsidP="0099404F">
      <w:pPr>
        <w:pStyle w:val="embbody"/>
      </w:pPr>
      <w:r w:rsidRPr="00CA5F13">
        <w:t xml:space="preserve">HCIS area descriptions can be converted into a Placemark file (viewable in Google Earth) through the </w:t>
      </w:r>
      <w:hyperlink r:id="rId9" w:history="1">
        <w:r w:rsidRPr="00CA5F13">
          <w:rPr>
            <w:rStyle w:val="Hyperlink"/>
            <w:i/>
            <w:iCs/>
          </w:rPr>
          <w:t>Convert HCIS area description to Placemark</w:t>
        </w:r>
      </w:hyperlink>
      <w:r w:rsidRPr="00CA5F13">
        <w:t xml:space="preserve"> facility on the ACMA website.</w:t>
      </w:r>
    </w:p>
    <w:p w14:paraId="7994C6D5" w14:textId="77777777" w:rsidR="0099404F" w:rsidRDefault="0099404F" w:rsidP="0099404F">
      <w:pPr>
        <w:pStyle w:val="embbody"/>
      </w:pPr>
      <w:r w:rsidRPr="003F1C2C">
        <w:rPr>
          <w:bCs/>
          <w:szCs w:val="22"/>
        </w:rPr>
        <w:t xml:space="preserve">The HCIS is described in the </w:t>
      </w:r>
      <w:hyperlink r:id="rId10" w:history="1">
        <w:r w:rsidRPr="00CA5F13">
          <w:rPr>
            <w:rStyle w:val="Hyperlink"/>
            <w:bCs/>
            <w:i/>
            <w:iCs/>
            <w:szCs w:val="22"/>
          </w:rPr>
          <w:t>Australian Spectrum Map Grid 2012</w:t>
        </w:r>
      </w:hyperlink>
      <w:r w:rsidRPr="003F1C2C">
        <w:rPr>
          <w:bCs/>
          <w:szCs w:val="22"/>
        </w:rPr>
        <w:t>.</w:t>
      </w:r>
    </w:p>
    <w:p w14:paraId="3750EDBC" w14:textId="77777777" w:rsidR="0099404F" w:rsidRDefault="0099404F" w:rsidP="0099404F">
      <w:pPr>
        <w:pStyle w:val="embbody"/>
      </w:pPr>
    </w:p>
    <w:bookmarkEnd w:id="6"/>
    <w:sectPr w:rsidR="0099404F"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0FFC44" w14:textId="77777777" w:rsidR="0093045F" w:rsidRDefault="0093045F" w:rsidP="006F7A7D">
      <w:pPr>
        <w:spacing w:line="240" w:lineRule="auto"/>
      </w:pPr>
      <w:r>
        <w:separator/>
      </w:r>
    </w:p>
  </w:endnote>
  <w:endnote w:type="continuationSeparator" w:id="0">
    <w:p w14:paraId="55613AFC" w14:textId="77777777" w:rsidR="0093045F" w:rsidRDefault="0093045F" w:rsidP="006F7A7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NeueLT Std Lt">
    <w:altName w:val="Arial"/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NeueLT Std Med">
    <w:altName w:val="Arial"/>
    <w:panose1 w:val="020B0604020202020204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683" w:type="dxa"/>
      <w:tblInd w:w="113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7683"/>
    </w:tblGrid>
    <w:tr w:rsidR="006F7A7D" w:rsidRPr="00575AC5" w14:paraId="7547528F" w14:textId="77777777" w:rsidTr="00792B72">
      <w:tc>
        <w:tcPr>
          <w:tcW w:w="7683" w:type="dxa"/>
          <w:shd w:val="clear" w:color="auto" w:fill="auto"/>
        </w:tcPr>
        <w:p w14:paraId="0174B4C3" w14:textId="77777777" w:rsidR="006F7A7D" w:rsidRPr="00575AC5" w:rsidRDefault="006F7A7D" w:rsidP="006F7A7D">
          <w:pPr>
            <w:pStyle w:val="Footer"/>
            <w:ind w:right="28"/>
            <w:jc w:val="right"/>
            <w:rPr>
              <w:color w:val="505050"/>
            </w:rPr>
          </w:pPr>
          <w:r w:rsidRPr="00575AC5">
            <w:rPr>
              <w:color w:val="505050"/>
            </w:rPr>
            <w:t xml:space="preserve">   </w:t>
          </w:r>
          <w:r w:rsidRPr="00821A88">
            <w:rPr>
              <w:rFonts w:ascii="HelveticaNeueLT Std Med" w:hAnsi="HelveticaNeueLT Std Med"/>
              <w:b/>
              <w:noProof/>
              <w:color w:val="505050"/>
              <w:spacing w:val="-16"/>
              <w:szCs w:val="20"/>
            </w:rPr>
            <w:t>a</w:t>
          </w:r>
          <w:r w:rsidRPr="00AE091D">
            <w:rPr>
              <w:rFonts w:ascii="HelveticaNeueLT Std Med" w:hAnsi="HelveticaNeueLT Std Med"/>
              <w:b/>
              <w:noProof/>
              <w:color w:val="505050"/>
              <w:spacing w:val="-15"/>
              <w:szCs w:val="20"/>
            </w:rPr>
            <w:t>c</w:t>
          </w:r>
          <w:r w:rsidRPr="00821A88">
            <w:rPr>
              <w:rFonts w:ascii="HelveticaNeueLT Std Med" w:hAnsi="HelveticaNeueLT Std Med"/>
              <w:b/>
              <w:noProof/>
              <w:color w:val="505050"/>
              <w:spacing w:val="-16"/>
              <w:szCs w:val="20"/>
            </w:rPr>
            <w:t>m</w:t>
          </w:r>
          <w:r w:rsidRPr="00FD2C2F">
            <w:rPr>
              <w:rFonts w:ascii="HelveticaNeueLT Std Med" w:hAnsi="HelveticaNeueLT Std Med"/>
              <w:b/>
              <w:noProof/>
              <w:color w:val="505050"/>
              <w:spacing w:val="-14"/>
              <w:szCs w:val="20"/>
            </w:rPr>
            <w:t>a</w:t>
          </w:r>
          <w:r w:rsidRPr="00575AC5">
            <w:rPr>
              <w:color w:val="505050"/>
            </w:rPr>
            <w:t xml:space="preserve">   |   </w:t>
          </w:r>
          <w:r w:rsidRPr="00C51F98">
            <w:rPr>
              <w:color w:val="505050"/>
              <w:sz w:val="16"/>
              <w:szCs w:val="16"/>
            </w:rPr>
            <w:fldChar w:fldCharType="begin"/>
          </w:r>
          <w:r w:rsidRPr="00C51F98">
            <w:rPr>
              <w:color w:val="505050"/>
              <w:sz w:val="16"/>
              <w:szCs w:val="16"/>
            </w:rPr>
            <w:instrText xml:space="preserve"> PAGE  \* Arabic  \* MERGEFORMAT </w:instrText>
          </w:r>
          <w:r w:rsidRPr="00C51F98">
            <w:rPr>
              <w:color w:val="505050"/>
              <w:sz w:val="16"/>
              <w:szCs w:val="16"/>
            </w:rPr>
            <w:fldChar w:fldCharType="separate"/>
          </w:r>
          <w:r w:rsidRPr="00C51F98">
            <w:rPr>
              <w:noProof/>
              <w:color w:val="505050"/>
              <w:sz w:val="16"/>
              <w:szCs w:val="16"/>
            </w:rPr>
            <w:t>87</w:t>
          </w:r>
          <w:r w:rsidRPr="00C51F98">
            <w:rPr>
              <w:color w:val="505050"/>
              <w:sz w:val="16"/>
              <w:szCs w:val="16"/>
            </w:rPr>
            <w:fldChar w:fldCharType="end"/>
          </w:r>
        </w:p>
      </w:tc>
    </w:tr>
  </w:tbl>
  <w:p w14:paraId="75D8D3F5" w14:textId="5AB233A9" w:rsidR="006F7A7D" w:rsidRDefault="006F7A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1DA177" w14:textId="77777777" w:rsidR="0093045F" w:rsidRDefault="0093045F" w:rsidP="006F7A7D">
      <w:pPr>
        <w:spacing w:line="240" w:lineRule="auto"/>
      </w:pPr>
      <w:r>
        <w:separator/>
      </w:r>
    </w:p>
  </w:footnote>
  <w:footnote w:type="continuationSeparator" w:id="0">
    <w:p w14:paraId="7AA8C7B5" w14:textId="77777777" w:rsidR="0093045F" w:rsidRDefault="0093045F" w:rsidP="006F7A7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5ADE5D84"/>
    <w:lvl w:ilvl="0">
      <w:start w:val="1"/>
      <w:numFmt w:val="bullet"/>
      <w:pStyle w:val="ListBullet"/>
      <w:lvlText w:val="&gt;"/>
      <w:lvlJc w:val="left"/>
      <w:pPr>
        <w:tabs>
          <w:tab w:val="num" w:pos="295"/>
        </w:tabs>
        <w:ind w:left="295" w:hanging="295"/>
      </w:pPr>
      <w:rPr>
        <w:rFonts w:ascii="HelveticaNeueLT Std Lt" w:hAnsi="HelveticaNeueLT Std Lt" w:hint="default"/>
        <w:sz w:val="20"/>
      </w:rPr>
    </w:lvl>
  </w:abstractNum>
  <w:abstractNum w:abstractNumId="1" w15:restartNumberingAfterBreak="0">
    <w:nsid w:val="55AA21F0"/>
    <w:multiLevelType w:val="hybridMultilevel"/>
    <w:tmpl w:val="F39E9976"/>
    <w:lvl w:ilvl="0" w:tplc="CE0AD192">
      <w:start w:val="1"/>
      <w:numFmt w:val="decimal"/>
      <w:pStyle w:val="ACMATableHeader"/>
      <w:lvlText w:val="Table %1:"/>
      <w:lvlJc w:val="left"/>
      <w:pPr>
        <w:tabs>
          <w:tab w:val="num" w:pos="964"/>
        </w:tabs>
        <w:ind w:left="964" w:hanging="964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071478"/>
    <w:multiLevelType w:val="hybridMultilevel"/>
    <w:tmpl w:val="FC6EAB70"/>
    <w:lvl w:ilvl="0" w:tplc="5FA0D590">
      <w:start w:val="1"/>
      <w:numFmt w:val="decimal"/>
      <w:pStyle w:val="ACMAFigureHeader"/>
      <w:lvlText w:val="Figure %1: "/>
      <w:lvlJc w:val="left"/>
      <w:pPr>
        <w:tabs>
          <w:tab w:val="num" w:pos="1021"/>
        </w:tabs>
        <w:ind w:left="1021" w:hanging="1021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2519"/>
    <w:rsid w:val="00023590"/>
    <w:rsid w:val="000F5F3D"/>
    <w:rsid w:val="00124E6B"/>
    <w:rsid w:val="0016162B"/>
    <w:rsid w:val="00191942"/>
    <w:rsid w:val="00193FA1"/>
    <w:rsid w:val="001F2154"/>
    <w:rsid w:val="001F4BAE"/>
    <w:rsid w:val="002323F7"/>
    <w:rsid w:val="002778A3"/>
    <w:rsid w:val="002A14C5"/>
    <w:rsid w:val="002A5239"/>
    <w:rsid w:val="002E107F"/>
    <w:rsid w:val="00312B27"/>
    <w:rsid w:val="00325149"/>
    <w:rsid w:val="003569E6"/>
    <w:rsid w:val="003B4F79"/>
    <w:rsid w:val="003C0F26"/>
    <w:rsid w:val="003E1304"/>
    <w:rsid w:val="00402EF8"/>
    <w:rsid w:val="0042439F"/>
    <w:rsid w:val="0042512C"/>
    <w:rsid w:val="0045087E"/>
    <w:rsid w:val="00457656"/>
    <w:rsid w:val="004C36CF"/>
    <w:rsid w:val="004F00E4"/>
    <w:rsid w:val="0051619A"/>
    <w:rsid w:val="005506ED"/>
    <w:rsid w:val="00565BCD"/>
    <w:rsid w:val="00594865"/>
    <w:rsid w:val="005A6FE2"/>
    <w:rsid w:val="005C1048"/>
    <w:rsid w:val="005F27B9"/>
    <w:rsid w:val="006D41AF"/>
    <w:rsid w:val="006E5C03"/>
    <w:rsid w:val="006F7A7D"/>
    <w:rsid w:val="007B3EC2"/>
    <w:rsid w:val="007C09BE"/>
    <w:rsid w:val="007C3E82"/>
    <w:rsid w:val="007C4513"/>
    <w:rsid w:val="007E75B3"/>
    <w:rsid w:val="0084392A"/>
    <w:rsid w:val="008A0C2B"/>
    <w:rsid w:val="008C7573"/>
    <w:rsid w:val="008E3CE0"/>
    <w:rsid w:val="00914A41"/>
    <w:rsid w:val="00916197"/>
    <w:rsid w:val="00927DB7"/>
    <w:rsid w:val="0093045F"/>
    <w:rsid w:val="00937E91"/>
    <w:rsid w:val="0095065A"/>
    <w:rsid w:val="00975411"/>
    <w:rsid w:val="0099404F"/>
    <w:rsid w:val="00A077F5"/>
    <w:rsid w:val="00A107DC"/>
    <w:rsid w:val="00A30237"/>
    <w:rsid w:val="00A86E5C"/>
    <w:rsid w:val="00AA1D5A"/>
    <w:rsid w:val="00AB0562"/>
    <w:rsid w:val="00AC0124"/>
    <w:rsid w:val="00B02489"/>
    <w:rsid w:val="00B47147"/>
    <w:rsid w:val="00B72519"/>
    <w:rsid w:val="00B730EE"/>
    <w:rsid w:val="00BB0949"/>
    <w:rsid w:val="00C44432"/>
    <w:rsid w:val="00C57CEB"/>
    <w:rsid w:val="00C73034"/>
    <w:rsid w:val="00C94FB3"/>
    <w:rsid w:val="00CF6B3B"/>
    <w:rsid w:val="00D8782C"/>
    <w:rsid w:val="00D94C00"/>
    <w:rsid w:val="00D97360"/>
    <w:rsid w:val="00DB0390"/>
    <w:rsid w:val="00DC43D2"/>
    <w:rsid w:val="00DE7740"/>
    <w:rsid w:val="00E04CAF"/>
    <w:rsid w:val="00E91B37"/>
    <w:rsid w:val="00EE16C5"/>
    <w:rsid w:val="00F03AB9"/>
    <w:rsid w:val="00F32B52"/>
    <w:rsid w:val="00F54BB8"/>
    <w:rsid w:val="00F94798"/>
    <w:rsid w:val="00FC2D0E"/>
    <w:rsid w:val="00FC5824"/>
    <w:rsid w:val="00FD6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,"/>
  <w14:docId w14:val="544B492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0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27DB7"/>
    <w:pPr>
      <w:spacing w:after="0" w:line="240" w:lineRule="atLeast"/>
    </w:pPr>
    <w:rPr>
      <w:rFonts w:ascii="Arial" w:eastAsia="Times New Roman" w:hAnsi="Arial" w:cs="Times New Roman"/>
      <w:sz w:val="20"/>
      <w:szCs w:val="24"/>
      <w:lang w:eastAsia="en-AU"/>
    </w:rPr>
  </w:style>
  <w:style w:type="paragraph" w:styleId="Heading1">
    <w:name w:val="heading 1"/>
    <w:aliases w:val="RIS Heading 1"/>
    <w:basedOn w:val="Normal"/>
    <w:next w:val="Normal"/>
    <w:link w:val="Heading1Char"/>
    <w:rsid w:val="001F4BAE"/>
    <w:pPr>
      <w:keepNext/>
      <w:pageBreakBefore/>
      <w:widowControl w:val="0"/>
      <w:spacing w:after="360" w:line="240" w:lineRule="auto"/>
      <w:outlineLvl w:val="0"/>
    </w:pPr>
    <w:rPr>
      <w:rFonts w:cs="Arial"/>
      <w:bCs/>
      <w:color w:val="323232"/>
      <w:kern w:val="32"/>
      <w:sz w:val="53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mbargoHeading">
    <w:name w:val="Embargo Heading"/>
    <w:basedOn w:val="Normal"/>
    <w:qFormat/>
    <w:rsid w:val="00B72519"/>
    <w:pPr>
      <w:pBdr>
        <w:top w:val="single" w:sz="12" w:space="1" w:color="auto"/>
        <w:left w:val="single" w:sz="12" w:space="4" w:color="auto"/>
        <w:bottom w:val="single" w:sz="12" w:space="1" w:color="auto"/>
        <w:right w:val="single" w:sz="12" w:space="4" w:color="auto"/>
      </w:pBdr>
      <w:shd w:val="clear" w:color="auto" w:fill="D9D9D9" w:themeFill="background1" w:themeFillShade="D9"/>
      <w:jc w:val="center"/>
    </w:pPr>
    <w:rPr>
      <w:b/>
      <w:sz w:val="24"/>
    </w:rPr>
  </w:style>
  <w:style w:type="paragraph" w:customStyle="1" w:styleId="embheader">
    <w:name w:val="emb_header"/>
    <w:basedOn w:val="Normal"/>
    <w:link w:val="embheaderChar"/>
    <w:qFormat/>
    <w:rsid w:val="00B72519"/>
    <w:pPr>
      <w:widowControl w:val="0"/>
      <w:tabs>
        <w:tab w:val="left" w:pos="3544"/>
      </w:tabs>
      <w:spacing w:after="120" w:line="240" w:lineRule="auto"/>
      <w:ind w:left="3544" w:hanging="3544"/>
    </w:pPr>
    <w:rPr>
      <w:rFonts w:cs="Calibri"/>
      <w:szCs w:val="20"/>
      <w:lang w:val="en-GB"/>
    </w:rPr>
  </w:style>
  <w:style w:type="paragraph" w:customStyle="1" w:styleId="embbody">
    <w:name w:val="emb_body"/>
    <w:basedOn w:val="Normal"/>
    <w:link w:val="embbodyChar"/>
    <w:qFormat/>
    <w:rsid w:val="00B72519"/>
    <w:pPr>
      <w:spacing w:after="120" w:line="240" w:lineRule="auto"/>
    </w:pPr>
    <w:rPr>
      <w:rFonts w:cs="Calibri"/>
      <w:szCs w:val="20"/>
    </w:rPr>
  </w:style>
  <w:style w:type="character" w:customStyle="1" w:styleId="embheaderChar">
    <w:name w:val="emb_header Char"/>
    <w:basedOn w:val="DefaultParagraphFont"/>
    <w:link w:val="embheader"/>
    <w:rsid w:val="00B72519"/>
    <w:rPr>
      <w:rFonts w:ascii="HelveticaNeueLT Std Lt" w:eastAsia="Times New Roman" w:hAnsi="HelveticaNeueLT Std Lt" w:cs="Calibri"/>
      <w:sz w:val="20"/>
      <w:szCs w:val="20"/>
      <w:lang w:val="en-GB" w:eastAsia="en-AU"/>
    </w:rPr>
  </w:style>
  <w:style w:type="character" w:customStyle="1" w:styleId="embbodyChar">
    <w:name w:val="emb_body Char"/>
    <w:basedOn w:val="DefaultParagraphFont"/>
    <w:link w:val="embbody"/>
    <w:rsid w:val="00B72519"/>
    <w:rPr>
      <w:rFonts w:ascii="HelveticaNeueLT Std Lt" w:eastAsia="Times New Roman" w:hAnsi="HelveticaNeueLT Std Lt" w:cs="Calibri"/>
      <w:sz w:val="20"/>
      <w:szCs w:val="20"/>
      <w:lang w:eastAsia="en-AU"/>
    </w:rPr>
  </w:style>
  <w:style w:type="paragraph" w:customStyle="1" w:styleId="embsechead">
    <w:name w:val="emb_sec_head"/>
    <w:basedOn w:val="embbody"/>
    <w:link w:val="embsecheadChar"/>
    <w:qFormat/>
    <w:rsid w:val="00B72519"/>
    <w:pPr>
      <w:spacing w:after="0"/>
    </w:pPr>
    <w:rPr>
      <w:b/>
    </w:rPr>
  </w:style>
  <w:style w:type="character" w:customStyle="1" w:styleId="embsecheadChar">
    <w:name w:val="emb_sec_head Char"/>
    <w:basedOn w:val="embbodyChar"/>
    <w:link w:val="embsechead"/>
    <w:rsid w:val="00B72519"/>
    <w:rPr>
      <w:rFonts w:ascii="HelveticaNeueLT Std Lt" w:eastAsia="Times New Roman" w:hAnsi="HelveticaNeueLT Std Lt" w:cs="Calibri"/>
      <w:b/>
      <w:sz w:val="20"/>
      <w:szCs w:val="20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FC582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C5824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C5824"/>
    <w:rPr>
      <w:rFonts w:ascii="HelveticaNeueLT Std Lt" w:eastAsia="Times New Roman" w:hAnsi="HelveticaNeueLT Std Lt" w:cs="Times New Roman"/>
      <w:sz w:val="20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582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5824"/>
    <w:rPr>
      <w:rFonts w:ascii="HelveticaNeueLT Std Lt" w:eastAsia="Times New Roman" w:hAnsi="HelveticaNeueLT Std Lt" w:cs="Times New Roman"/>
      <w:b/>
      <w:bCs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582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5824"/>
    <w:rPr>
      <w:rFonts w:ascii="Segoe UI" w:eastAsia="Times New Roman" w:hAnsi="Segoe UI" w:cs="Segoe UI"/>
      <w:sz w:val="18"/>
      <w:szCs w:val="18"/>
      <w:lang w:eastAsia="en-AU"/>
    </w:rPr>
  </w:style>
  <w:style w:type="character" w:styleId="Hyperlink">
    <w:name w:val="Hyperlink"/>
    <w:basedOn w:val="DefaultParagraphFont"/>
    <w:uiPriority w:val="99"/>
    <w:unhideWhenUsed/>
    <w:rsid w:val="00D9736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97360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2778A3"/>
    <w:pPr>
      <w:spacing w:after="0" w:line="240" w:lineRule="auto"/>
    </w:pPr>
    <w:rPr>
      <w:rFonts w:ascii="Arial" w:eastAsia="Times New Roman" w:hAnsi="Arial" w:cs="Times New Roman"/>
      <w:sz w:val="20"/>
      <w:szCs w:val="24"/>
      <w:lang w:eastAsia="en-AU"/>
    </w:rPr>
  </w:style>
  <w:style w:type="character" w:customStyle="1" w:styleId="Heading1Char">
    <w:name w:val="Heading 1 Char"/>
    <w:aliases w:val="RIS Heading 1 Char"/>
    <w:basedOn w:val="DefaultParagraphFont"/>
    <w:link w:val="Heading1"/>
    <w:rsid w:val="001F4BAE"/>
    <w:rPr>
      <w:rFonts w:ascii="Arial" w:eastAsia="Times New Roman" w:hAnsi="Arial" w:cs="Arial"/>
      <w:bCs/>
      <w:color w:val="323232"/>
      <w:kern w:val="32"/>
      <w:sz w:val="53"/>
      <w:szCs w:val="32"/>
      <w:lang w:eastAsia="en-AU"/>
    </w:rPr>
  </w:style>
  <w:style w:type="paragraph" w:styleId="ListBullet">
    <w:name w:val="List Bullet"/>
    <w:aliases w:val="List Bullet 1"/>
    <w:basedOn w:val="Normal"/>
    <w:semiHidden/>
    <w:unhideWhenUsed/>
    <w:qFormat/>
    <w:rsid w:val="001F4BAE"/>
    <w:pPr>
      <w:numPr>
        <w:numId w:val="1"/>
      </w:numPr>
      <w:spacing w:after="80" w:line="240" w:lineRule="auto"/>
    </w:pPr>
    <w:rPr>
      <w:rFonts w:eastAsiaTheme="minorHAnsi" w:cs="Arial"/>
      <w:szCs w:val="22"/>
      <w:lang w:eastAsia="en-US"/>
    </w:rPr>
  </w:style>
  <w:style w:type="paragraph" w:customStyle="1" w:styleId="TableHeading">
    <w:name w:val="Table Heading"/>
    <w:basedOn w:val="Normal"/>
    <w:rsid w:val="001F4BAE"/>
    <w:rPr>
      <w:b/>
    </w:rPr>
  </w:style>
  <w:style w:type="paragraph" w:customStyle="1" w:styleId="TableBody">
    <w:name w:val="Table Body"/>
    <w:basedOn w:val="Normal"/>
    <w:rsid w:val="001F4BAE"/>
    <w:pPr>
      <w:spacing w:line="240" w:lineRule="auto"/>
    </w:pPr>
  </w:style>
  <w:style w:type="paragraph" w:customStyle="1" w:styleId="ListBulletLast">
    <w:name w:val="List Bullet Last"/>
    <w:basedOn w:val="ListBullet"/>
    <w:rsid w:val="001F4BAE"/>
    <w:pPr>
      <w:spacing w:after="240"/>
    </w:pPr>
  </w:style>
  <w:style w:type="paragraph" w:customStyle="1" w:styleId="ACMATableHeader">
    <w:name w:val="ACMA_TableHeader"/>
    <w:rsid w:val="001F4BAE"/>
    <w:pPr>
      <w:numPr>
        <w:numId w:val="2"/>
      </w:numPr>
      <w:spacing w:line="240" w:lineRule="auto"/>
    </w:pPr>
    <w:rPr>
      <w:rFonts w:ascii="Arial" w:eastAsia="Times New Roman" w:hAnsi="Arial" w:cs="Times New Roman"/>
      <w:b/>
      <w:bCs/>
      <w:color w:val="323232"/>
      <w:sz w:val="20"/>
      <w:szCs w:val="20"/>
      <w:lang w:eastAsia="en-AU"/>
    </w:rPr>
  </w:style>
  <w:style w:type="paragraph" w:customStyle="1" w:styleId="ACMAFigureHeader">
    <w:name w:val="ACMA_FigureHeader"/>
    <w:rsid w:val="001F4BAE"/>
    <w:pPr>
      <w:numPr>
        <w:numId w:val="3"/>
      </w:numPr>
      <w:spacing w:line="240" w:lineRule="auto"/>
    </w:pPr>
    <w:rPr>
      <w:rFonts w:ascii="Arial" w:eastAsia="Times New Roman" w:hAnsi="Arial" w:cs="Times New Roman"/>
      <w:b/>
      <w:bCs/>
      <w:color w:val="323232"/>
      <w:sz w:val="20"/>
      <w:szCs w:val="20"/>
      <w:lang w:eastAsia="en-AU"/>
    </w:rPr>
  </w:style>
  <w:style w:type="table" w:styleId="TableGrid">
    <w:name w:val="Table Grid"/>
    <w:basedOn w:val="TableNormal"/>
    <w:rsid w:val="001F4BAE"/>
    <w:pPr>
      <w:spacing w:after="0" w:line="240" w:lineRule="atLeast"/>
    </w:pPr>
    <w:rPr>
      <w:rFonts w:ascii="Times New Roman" w:eastAsia="Times New Roman" w:hAnsi="Times New Roman" w:cs="Times New Roman"/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F7A7D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7A7D"/>
    <w:rPr>
      <w:rFonts w:ascii="Arial" w:eastAsia="Times New Roman" w:hAnsi="Arial" w:cs="Times New Roman"/>
      <w:sz w:val="20"/>
      <w:szCs w:val="24"/>
      <w:lang w:eastAsia="en-AU"/>
    </w:rPr>
  </w:style>
  <w:style w:type="paragraph" w:styleId="Footer">
    <w:name w:val="footer"/>
    <w:basedOn w:val="Normal"/>
    <w:link w:val="FooterChar"/>
    <w:unhideWhenUsed/>
    <w:rsid w:val="006F7A7D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6F7A7D"/>
    <w:rPr>
      <w:rFonts w:ascii="Arial" w:eastAsia="Times New Roman" w:hAnsi="Arial" w:cs="Times New Roman"/>
      <w:sz w:val="20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359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8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cma.gov.au/consultations/2022-03/proposed-spectrum-re-allocation-declaration-34-ghz-and-37-ghz-band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acma.gov.au/ralis-frequency-coordination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www.acma.gov.au/sites/default/files/2019-10/The%20Australian%20spectrum%20map%20grid%202012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acma.gov.au/convert-hcis-area-description-placemark-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474</Words>
  <Characters>2586</Characters>
  <Application>Microsoft Office Word</Application>
  <DocSecurity>0</DocSecurity>
  <Lines>123</Lines>
  <Paragraphs>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2022-03-01T21:52:00Z</dcterms:created>
  <dcterms:modified xsi:type="dcterms:W3CDTF">2022-03-01T21:52:00Z</dcterms:modified>
</cp:coreProperties>
</file>