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CC8D41" w14:textId="77777777" w:rsidR="00784722" w:rsidRDefault="00784722" w:rsidP="00F44B0E">
      <w:pPr>
        <w:pBdr>
          <w:bottom w:val="single" w:sz="4" w:space="1" w:color="BFBFBF" w:themeColor="background1" w:themeShade="BF"/>
        </w:pBdr>
      </w:pPr>
      <w:r>
        <w:rPr>
          <w:noProof/>
        </w:rPr>
        <w:drawing>
          <wp:inline distT="0" distB="0" distL="0" distR="0" wp14:anchorId="706A795B" wp14:editId="3FBE7D36">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a16="http://schemas.microsoft.com/office/drawing/2014/main" xmlns:c="http://schemas.openxmlformats.org/drawingml/2006/chart" xmlns:arto="http://schemas.microsoft.com/office/word/2006/arto"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dgm="http://schemas.openxmlformats.org/drawingml/2006/diagram">
                          <a:solidFill>
                            <a:srgbClr val="FFFFFF"/>
                          </a:solidFill>
                        </a14:hiddenFill>
                      </a:ext>
                    </a:extLst>
                  </pic:spPr>
                </pic:pic>
              </a:graphicData>
            </a:graphic>
          </wp:inline>
        </w:drawing>
      </w:r>
    </w:p>
    <w:p w14:paraId="6153C074" w14:textId="3C48CFE4" w:rsidR="00F06E14" w:rsidRDefault="000841B3" w:rsidP="00A51D1A">
      <w:pPr>
        <w:pStyle w:val="Reporttitle"/>
      </w:pPr>
      <w:r>
        <w:t>The role of</w:t>
      </w:r>
      <w:r w:rsidR="00A41916" w:rsidRPr="004D3E96">
        <w:t xml:space="preserve"> affiliate services </w:t>
      </w:r>
      <w:r>
        <w:t xml:space="preserve">in </w:t>
      </w:r>
      <w:r w:rsidR="005F471C" w:rsidRPr="004D3E96">
        <w:t>promoting</w:t>
      </w:r>
      <w:r w:rsidR="005F471C">
        <w:t> </w:t>
      </w:r>
      <w:r>
        <w:t xml:space="preserve">illegal </w:t>
      </w:r>
      <w:r w:rsidR="00A41916" w:rsidRPr="004D3E96">
        <w:t>online gambling</w:t>
      </w:r>
      <w:r>
        <w:t xml:space="preserve"> in Australia</w:t>
      </w:r>
      <w:r w:rsidR="008D09E5">
        <w:t xml:space="preserve"> </w:t>
      </w:r>
    </w:p>
    <w:p w14:paraId="0D1D95FA" w14:textId="5AB774BD" w:rsidR="004D3E96" w:rsidRPr="00D020D4" w:rsidRDefault="004D3E96" w:rsidP="00D020D4">
      <w:pPr>
        <w:pStyle w:val="Reporttitle"/>
        <w:spacing w:after="200"/>
        <w:rPr>
          <w:b w:val="0"/>
          <w:bCs/>
        </w:rPr>
      </w:pPr>
      <w:r w:rsidRPr="00D020D4">
        <w:rPr>
          <w:b w:val="0"/>
          <w:bCs/>
        </w:rPr>
        <w:t>Desktop research</w:t>
      </w:r>
    </w:p>
    <w:p w14:paraId="745B8C54" w14:textId="6A3F3DCF" w:rsidR="00784722" w:rsidRDefault="006F4B2D" w:rsidP="00EC2B68">
      <w:pPr>
        <w:pStyle w:val="Reportdate"/>
        <w:spacing w:after="720"/>
      </w:pPr>
      <w:r>
        <w:t>FEBRUARY 2022</w:t>
      </w:r>
    </w:p>
    <w:p w14:paraId="77237A82" w14:textId="77777777" w:rsidR="00784722" w:rsidRPr="00784722" w:rsidRDefault="00784722" w:rsidP="00EC2B68">
      <w:pPr>
        <w:pStyle w:val="Reportdate"/>
        <w:spacing w:after="720"/>
        <w:sectPr w:rsidR="00784722" w:rsidRPr="00784722" w:rsidSect="005E250B">
          <w:headerReference w:type="default" r:id="rId9"/>
          <w:footerReference w:type="default" r:id="rId10"/>
          <w:headerReference w:type="first" r:id="rId11"/>
          <w:pgSz w:w="11906" w:h="16838" w:code="9"/>
          <w:pgMar w:top="3924" w:right="992" w:bottom="1440" w:left="1134" w:header="709" w:footer="454" w:gutter="0"/>
          <w:cols w:space="708"/>
          <w:docGrid w:linePitch="360"/>
        </w:sectPr>
      </w:pPr>
    </w:p>
    <w:p w14:paraId="271FC124" w14:textId="77777777" w:rsidR="0005011A" w:rsidRPr="00F44F3A" w:rsidRDefault="0005011A" w:rsidP="00FC07B9">
      <w:pPr>
        <w:pStyle w:val="ACMACorporateAddressHeader"/>
      </w:pPr>
      <w:r w:rsidRPr="00F44F3A">
        <w:lastRenderedPageBreak/>
        <w:t>Canberra</w:t>
      </w:r>
    </w:p>
    <w:p w14:paraId="08415BEC"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4E70180B" w14:textId="77777777" w:rsidR="0005011A" w:rsidRPr="00FC07B9" w:rsidRDefault="0005011A" w:rsidP="00FC07B9">
      <w:pPr>
        <w:pStyle w:val="ACMACorporateAddresses"/>
      </w:pPr>
      <w:r w:rsidRPr="00FC07B9">
        <w:t>PO Box 78</w:t>
      </w:r>
      <w:r w:rsidRPr="00FC07B9">
        <w:br/>
        <w:t>Belconnen ACT 2616</w:t>
      </w:r>
    </w:p>
    <w:p w14:paraId="3D573763"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55F49F30" w14:textId="77777777" w:rsidR="0005011A" w:rsidRPr="00F44F3A" w:rsidRDefault="0005011A" w:rsidP="00FC07B9">
      <w:pPr>
        <w:pStyle w:val="ACMACorporateAddressHeader"/>
      </w:pPr>
      <w:r w:rsidRPr="00F44F3A">
        <w:t>Melbourne</w:t>
      </w:r>
    </w:p>
    <w:p w14:paraId="248BE68E"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2618A191"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19FAF233"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4B2A3CAF" w14:textId="77777777" w:rsidR="0005011A" w:rsidRPr="00F44F3A" w:rsidRDefault="0005011A" w:rsidP="00FC07B9">
      <w:pPr>
        <w:pStyle w:val="ACMACorporateAddressHeader"/>
      </w:pPr>
      <w:r w:rsidRPr="00F44F3A">
        <w:t>Sydney</w:t>
      </w:r>
    </w:p>
    <w:p w14:paraId="2E66DB38"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3AF4BE6C"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5A3A0F39"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0066DD52" w14:textId="77777777" w:rsidR="00140318" w:rsidRPr="006D46E5" w:rsidRDefault="00140318" w:rsidP="00FC07B9">
      <w:pPr>
        <w:pStyle w:val="ACMACopyrightHeader"/>
      </w:pPr>
      <w:r w:rsidRPr="00140318">
        <w:t>Copyright notice</w:t>
      </w:r>
    </w:p>
    <w:p w14:paraId="05453D94" w14:textId="77777777" w:rsidR="00140318" w:rsidRPr="006D46E5" w:rsidRDefault="00623FF9" w:rsidP="00623FF9">
      <w:pPr>
        <w:pStyle w:val="ACMACClogo"/>
      </w:pPr>
      <w:r w:rsidRPr="00623FF9">
        <w:rPr>
          <w:noProof/>
        </w:rPr>
        <w:drawing>
          <wp:inline distT="0" distB="0" distL="0" distR="0" wp14:anchorId="09D662DA" wp14:editId="009AFDB2">
            <wp:extent cx="838200" cy="295275"/>
            <wp:effectExtent l="0" t="0" r="0" b="0"/>
            <wp:docPr id="1" name="Picture 1" title="Creative Commons logo">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2"/>
                    </pic:cNvPr>
                    <pic:cNvPicPr>
                      <a:picLocks noChangeAspect="1" noChangeArrowheads="1"/>
                    </pic:cNvPicPr>
                  </pic:nvPicPr>
                  <pic:blipFill>
                    <a:blip r:embed="rId13" cstate="print"/>
                    <a:srcRect/>
                    <a:stretch>
                      <a:fillRect/>
                    </a:stretch>
                  </pic:blipFill>
                  <pic:spPr bwMode="auto">
                    <a:xfrm>
                      <a:off x="0" y="0"/>
                      <a:ext cx="838200" cy="295275"/>
                    </a:xfrm>
                    <a:prstGeom prst="rect">
                      <a:avLst/>
                    </a:prstGeom>
                    <a:noFill/>
                  </pic:spPr>
                </pic:pic>
              </a:graphicData>
            </a:graphic>
          </wp:inline>
        </w:drawing>
      </w:r>
    </w:p>
    <w:p w14:paraId="4C57FF61" w14:textId="77777777" w:rsidR="00AA2DE5" w:rsidRDefault="00B549B8" w:rsidP="00AA2DE5">
      <w:pPr>
        <w:pStyle w:val="ACMACorporateAddresses"/>
        <w:rPr>
          <w:rStyle w:val="Hyperlink"/>
        </w:rPr>
      </w:pPr>
      <w:hyperlink r:id="rId14" w:history="1">
        <w:r w:rsidR="00AA2DE5">
          <w:rPr>
            <w:rStyle w:val="Hyperlink"/>
          </w:rPr>
          <w:t>https://creativecommons.org/licenses/by/4.0/</w:t>
        </w:r>
      </w:hyperlink>
    </w:p>
    <w:p w14:paraId="66ECFF51"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2D0BC0A3" w14:textId="1D9FA419" w:rsidR="00AA2DE5" w:rsidRDefault="00AA2DE5" w:rsidP="00AA2DE5">
      <w:pPr>
        <w:pStyle w:val="ACMACorporateAddresses"/>
      </w:pPr>
      <w:r>
        <w:t>We request attribution as © Commonwealth of Australia (Australian Communications and Media Authority) 20</w:t>
      </w:r>
      <w:r w:rsidR="0053036B">
        <w:t>2</w:t>
      </w:r>
      <w:r w:rsidR="006F4B2D">
        <w:t>2</w:t>
      </w:r>
      <w:r>
        <w:t>.</w:t>
      </w:r>
    </w:p>
    <w:p w14:paraId="36E9EA82" w14:textId="77777777" w:rsidR="00AA2DE5" w:rsidRDefault="00AA2DE5" w:rsidP="00AA2DE5">
      <w:pPr>
        <w:pStyle w:val="ACMACorporateAddresses"/>
      </w:pPr>
      <w:r>
        <w:t>All other rights are reserved.</w:t>
      </w:r>
    </w:p>
    <w:p w14:paraId="46D64708"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56FD486" w14:textId="77777777" w:rsidR="00AA2DE5" w:rsidRDefault="00AA2DE5" w:rsidP="00AA2DE5">
      <w:pPr>
        <w:pStyle w:val="ACMACorporateAddresses"/>
      </w:pPr>
      <w:r>
        <w:t>Written enquiries may be sent to:</w:t>
      </w:r>
    </w:p>
    <w:p w14:paraId="4E38F19E"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5" w:history="1">
        <w:r>
          <w:rPr>
            <w:rStyle w:val="Hyperlink"/>
          </w:rPr>
          <w:t>info@acma.gov.au</w:t>
        </w:r>
      </w:hyperlink>
    </w:p>
    <w:p w14:paraId="799A2B89" w14:textId="77777777" w:rsidR="00D16FE3" w:rsidRDefault="00D16FE3" w:rsidP="00D16FE3">
      <w:pPr>
        <w:pStyle w:val="ACMACorporateAddresses"/>
        <w:rPr>
          <w:rStyle w:val="Hyperlink"/>
        </w:rPr>
      </w:pPr>
    </w:p>
    <w:p w14:paraId="2A85319D" w14:textId="77777777" w:rsidR="00D16FE3" w:rsidRPr="00D16FE3" w:rsidRDefault="00D16FE3" w:rsidP="00D16FE3">
      <w:pPr>
        <w:pStyle w:val="ACMACorporateAddresses"/>
        <w:sectPr w:rsidR="00D16FE3" w:rsidRPr="00D16FE3">
          <w:headerReference w:type="even" r:id="rId16"/>
          <w:headerReference w:type="default" r:id="rId17"/>
          <w:footerReference w:type="even" r:id="rId18"/>
          <w:footerReference w:type="default" r:id="rId19"/>
          <w:pgSz w:w="11906" w:h="16838" w:code="9"/>
          <w:pgMar w:top="3924" w:right="1797" w:bottom="697" w:left="1134" w:header="709" w:footer="119" w:gutter="0"/>
          <w:cols w:space="708"/>
          <w:docGrid w:linePitch="360"/>
        </w:sectPr>
      </w:pPr>
    </w:p>
    <w:p w14:paraId="21FEAAD1" w14:textId="42B55CC9" w:rsidR="004276B4" w:rsidRDefault="009B24A5">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\t "Exec summary heading,1" </w:instrText>
      </w:r>
      <w:r>
        <w:rPr>
          <w:rFonts w:cs="Arial"/>
        </w:rPr>
        <w:fldChar w:fldCharType="separate"/>
      </w:r>
      <w:r w:rsidR="004276B4">
        <w:t>Executive summary</w:t>
      </w:r>
      <w:r w:rsidR="004276B4">
        <w:tab/>
      </w:r>
      <w:r w:rsidR="004276B4">
        <w:fldChar w:fldCharType="begin"/>
      </w:r>
      <w:r w:rsidR="004276B4">
        <w:instrText xml:space="preserve"> PAGEREF _Toc88480160 \h </w:instrText>
      </w:r>
      <w:r w:rsidR="004276B4">
        <w:fldChar w:fldCharType="separate"/>
      </w:r>
      <w:r w:rsidR="00401A04">
        <w:t>1</w:t>
      </w:r>
      <w:r w:rsidR="004276B4">
        <w:fldChar w:fldCharType="end"/>
      </w:r>
    </w:p>
    <w:p w14:paraId="41EBDE54" w14:textId="45388E98" w:rsidR="004276B4" w:rsidRDefault="004276B4">
      <w:pPr>
        <w:pStyle w:val="TOC1"/>
        <w:rPr>
          <w:rFonts w:asciiTheme="minorHAnsi" w:eastAsiaTheme="minorEastAsia" w:hAnsiTheme="minorHAnsi" w:cstheme="minorBidi"/>
          <w:b w:val="0"/>
          <w:spacing w:val="0"/>
          <w:sz w:val="22"/>
          <w:szCs w:val="22"/>
        </w:rPr>
      </w:pPr>
      <w:r>
        <w:t>About the research</w:t>
      </w:r>
      <w:r>
        <w:tab/>
      </w:r>
      <w:r>
        <w:fldChar w:fldCharType="begin"/>
      </w:r>
      <w:r>
        <w:instrText xml:space="preserve"> PAGEREF _Toc88480161 \h </w:instrText>
      </w:r>
      <w:r>
        <w:fldChar w:fldCharType="separate"/>
      </w:r>
      <w:r w:rsidR="00401A04">
        <w:t>2</w:t>
      </w:r>
      <w:r>
        <w:fldChar w:fldCharType="end"/>
      </w:r>
    </w:p>
    <w:p w14:paraId="10BD2485" w14:textId="4A6C6B6B" w:rsidR="004276B4" w:rsidRDefault="004276B4">
      <w:pPr>
        <w:pStyle w:val="TOC2"/>
        <w:rPr>
          <w:rFonts w:asciiTheme="minorHAnsi" w:eastAsiaTheme="minorEastAsia" w:hAnsiTheme="minorHAnsi" w:cstheme="minorBidi"/>
          <w:spacing w:val="0"/>
          <w:sz w:val="22"/>
          <w:szCs w:val="22"/>
        </w:rPr>
      </w:pPr>
      <w:r>
        <w:t>Research at the ACMA</w:t>
      </w:r>
      <w:r>
        <w:tab/>
      </w:r>
      <w:r>
        <w:fldChar w:fldCharType="begin"/>
      </w:r>
      <w:r>
        <w:instrText xml:space="preserve"> PAGEREF _Toc88480162 \h </w:instrText>
      </w:r>
      <w:r>
        <w:fldChar w:fldCharType="separate"/>
      </w:r>
      <w:r w:rsidR="00401A04">
        <w:t>2</w:t>
      </w:r>
      <w:r>
        <w:fldChar w:fldCharType="end"/>
      </w:r>
    </w:p>
    <w:p w14:paraId="432EBA4A" w14:textId="0D3A35D4" w:rsidR="004276B4" w:rsidRDefault="004276B4">
      <w:pPr>
        <w:pStyle w:val="TOC1"/>
        <w:rPr>
          <w:rFonts w:asciiTheme="minorHAnsi" w:eastAsiaTheme="minorEastAsia" w:hAnsiTheme="minorHAnsi" w:cstheme="minorBidi"/>
          <w:b w:val="0"/>
          <w:spacing w:val="0"/>
          <w:sz w:val="22"/>
          <w:szCs w:val="22"/>
        </w:rPr>
      </w:pPr>
      <w:r>
        <w:t>Introduction</w:t>
      </w:r>
      <w:r>
        <w:tab/>
      </w:r>
      <w:r>
        <w:fldChar w:fldCharType="begin"/>
      </w:r>
      <w:r>
        <w:instrText xml:space="preserve"> PAGEREF _Toc88480163 \h </w:instrText>
      </w:r>
      <w:r>
        <w:fldChar w:fldCharType="separate"/>
      </w:r>
      <w:r w:rsidR="00401A04">
        <w:t>3</w:t>
      </w:r>
      <w:r>
        <w:fldChar w:fldCharType="end"/>
      </w:r>
    </w:p>
    <w:p w14:paraId="72AD76A8" w14:textId="7A0BB288" w:rsidR="004276B4" w:rsidRDefault="004276B4">
      <w:pPr>
        <w:pStyle w:val="TOC2"/>
        <w:rPr>
          <w:rFonts w:asciiTheme="minorHAnsi" w:eastAsiaTheme="minorEastAsia" w:hAnsiTheme="minorHAnsi" w:cstheme="minorBidi"/>
          <w:spacing w:val="0"/>
          <w:sz w:val="22"/>
          <w:szCs w:val="22"/>
        </w:rPr>
      </w:pPr>
      <w:r>
        <w:t>Online gambling in Australia</w:t>
      </w:r>
      <w:r>
        <w:tab/>
      </w:r>
      <w:r>
        <w:fldChar w:fldCharType="begin"/>
      </w:r>
      <w:r>
        <w:instrText xml:space="preserve"> PAGEREF _Toc88480164 \h </w:instrText>
      </w:r>
      <w:r>
        <w:fldChar w:fldCharType="separate"/>
      </w:r>
      <w:r w:rsidR="00401A04">
        <w:t>3</w:t>
      </w:r>
      <w:r>
        <w:fldChar w:fldCharType="end"/>
      </w:r>
    </w:p>
    <w:p w14:paraId="03ADF9B4" w14:textId="2A9FDB52" w:rsidR="004276B4" w:rsidRDefault="004276B4">
      <w:pPr>
        <w:pStyle w:val="TOC2"/>
        <w:rPr>
          <w:rFonts w:asciiTheme="minorHAnsi" w:eastAsiaTheme="minorEastAsia" w:hAnsiTheme="minorHAnsi" w:cstheme="minorBidi"/>
          <w:spacing w:val="0"/>
          <w:sz w:val="22"/>
          <w:szCs w:val="22"/>
        </w:rPr>
      </w:pPr>
      <w:r>
        <w:t>Affiliate marketing</w:t>
      </w:r>
      <w:r>
        <w:tab/>
      </w:r>
      <w:r>
        <w:fldChar w:fldCharType="begin"/>
      </w:r>
      <w:r>
        <w:instrText xml:space="preserve"> PAGEREF _Toc88480165 \h </w:instrText>
      </w:r>
      <w:r>
        <w:fldChar w:fldCharType="separate"/>
      </w:r>
      <w:r w:rsidR="00401A04">
        <w:t>4</w:t>
      </w:r>
      <w:r>
        <w:fldChar w:fldCharType="end"/>
      </w:r>
    </w:p>
    <w:p w14:paraId="44512CCE" w14:textId="0F853DD8" w:rsidR="004276B4" w:rsidRDefault="004276B4">
      <w:pPr>
        <w:pStyle w:val="TOC1"/>
        <w:rPr>
          <w:rFonts w:asciiTheme="minorHAnsi" w:eastAsiaTheme="minorEastAsia" w:hAnsiTheme="minorHAnsi" w:cstheme="minorBidi"/>
          <w:b w:val="0"/>
          <w:spacing w:val="0"/>
          <w:sz w:val="22"/>
          <w:szCs w:val="22"/>
        </w:rPr>
      </w:pPr>
      <w:r>
        <w:t>The role of affiliate marketing in facilitating access to online gambling</w:t>
      </w:r>
      <w:r>
        <w:tab/>
      </w:r>
      <w:r>
        <w:fldChar w:fldCharType="begin"/>
      </w:r>
      <w:r>
        <w:instrText xml:space="preserve"> PAGEREF _Toc88480166 \h </w:instrText>
      </w:r>
      <w:r>
        <w:fldChar w:fldCharType="separate"/>
      </w:r>
      <w:r w:rsidR="00401A04">
        <w:t>5</w:t>
      </w:r>
      <w:r>
        <w:fldChar w:fldCharType="end"/>
      </w:r>
    </w:p>
    <w:p w14:paraId="7930C06F" w14:textId="3DF26E1C" w:rsidR="004276B4" w:rsidRDefault="004276B4">
      <w:pPr>
        <w:pStyle w:val="TOC2"/>
        <w:rPr>
          <w:rFonts w:asciiTheme="minorHAnsi" w:eastAsiaTheme="minorEastAsia" w:hAnsiTheme="minorHAnsi" w:cstheme="minorBidi"/>
          <w:spacing w:val="0"/>
          <w:sz w:val="22"/>
          <w:szCs w:val="22"/>
        </w:rPr>
      </w:pPr>
      <w:r>
        <w:t>About affiliate marketing</w:t>
      </w:r>
      <w:r>
        <w:tab/>
      </w:r>
      <w:r>
        <w:fldChar w:fldCharType="begin"/>
      </w:r>
      <w:r>
        <w:instrText xml:space="preserve"> PAGEREF _Toc88480167 \h </w:instrText>
      </w:r>
      <w:r>
        <w:fldChar w:fldCharType="separate"/>
      </w:r>
      <w:r w:rsidR="00401A04">
        <w:t>5</w:t>
      </w:r>
      <w:r>
        <w:fldChar w:fldCharType="end"/>
      </w:r>
    </w:p>
    <w:p w14:paraId="5E536E37" w14:textId="27952A46" w:rsidR="004276B4" w:rsidRDefault="004276B4" w:rsidP="00FE37A3">
      <w:pPr>
        <w:pStyle w:val="TOC2"/>
        <w:ind w:left="0" w:firstLine="0"/>
        <w:rPr>
          <w:rFonts w:asciiTheme="minorHAnsi" w:eastAsiaTheme="minorEastAsia" w:hAnsiTheme="minorHAnsi" w:cstheme="minorBidi"/>
          <w:spacing w:val="0"/>
          <w:sz w:val="22"/>
          <w:szCs w:val="22"/>
        </w:rPr>
      </w:pPr>
      <w:r>
        <w:t xml:space="preserve">Differences between standard affiliate marketing and </w:t>
      </w:r>
      <w:r>
        <w:br/>
        <w:t>gambling affiliate marketing</w:t>
      </w:r>
      <w:r>
        <w:tab/>
      </w:r>
      <w:r>
        <w:fldChar w:fldCharType="begin"/>
      </w:r>
      <w:r>
        <w:instrText xml:space="preserve"> PAGEREF _Toc88480168 \h </w:instrText>
      </w:r>
      <w:r>
        <w:fldChar w:fldCharType="separate"/>
      </w:r>
      <w:r w:rsidR="00401A04">
        <w:t>6</w:t>
      </w:r>
      <w:r>
        <w:fldChar w:fldCharType="end"/>
      </w:r>
    </w:p>
    <w:p w14:paraId="41B8129D" w14:textId="7103BB9C" w:rsidR="004276B4" w:rsidRDefault="004276B4">
      <w:pPr>
        <w:pStyle w:val="TOC2"/>
        <w:rPr>
          <w:rFonts w:asciiTheme="minorHAnsi" w:eastAsiaTheme="minorEastAsia" w:hAnsiTheme="minorHAnsi" w:cstheme="minorBidi"/>
          <w:spacing w:val="0"/>
          <w:sz w:val="22"/>
          <w:szCs w:val="22"/>
        </w:rPr>
      </w:pPr>
      <w:r>
        <w:t>Operation of affiliate programs in the online market</w:t>
      </w:r>
      <w:r>
        <w:tab/>
      </w:r>
      <w:r>
        <w:fldChar w:fldCharType="begin"/>
      </w:r>
      <w:r>
        <w:instrText xml:space="preserve"> PAGEREF _Toc88480169 \h </w:instrText>
      </w:r>
      <w:r>
        <w:fldChar w:fldCharType="separate"/>
      </w:r>
      <w:r w:rsidR="00401A04">
        <w:t>7</w:t>
      </w:r>
      <w:r>
        <w:fldChar w:fldCharType="end"/>
      </w:r>
    </w:p>
    <w:p w14:paraId="4DAEFAAF" w14:textId="5E7FC342" w:rsidR="004276B4" w:rsidRDefault="004276B4">
      <w:pPr>
        <w:pStyle w:val="TOC3"/>
        <w:rPr>
          <w:rFonts w:asciiTheme="minorHAnsi" w:eastAsiaTheme="minorEastAsia" w:hAnsiTheme="minorHAnsi" w:cstheme="minorBidi"/>
        </w:rPr>
      </w:pPr>
      <w:r>
        <w:t>Web-based services</w:t>
      </w:r>
      <w:r>
        <w:tab/>
      </w:r>
      <w:r>
        <w:fldChar w:fldCharType="begin"/>
      </w:r>
      <w:r>
        <w:instrText xml:space="preserve"> PAGEREF _Toc88480170 \h </w:instrText>
      </w:r>
      <w:r>
        <w:fldChar w:fldCharType="separate"/>
      </w:r>
      <w:r w:rsidR="00401A04">
        <w:t>8</w:t>
      </w:r>
      <w:r>
        <w:fldChar w:fldCharType="end"/>
      </w:r>
    </w:p>
    <w:p w14:paraId="4CD3E9C2" w14:textId="55EBFA47" w:rsidR="004276B4" w:rsidRDefault="004276B4">
      <w:pPr>
        <w:pStyle w:val="TOC3"/>
        <w:rPr>
          <w:rFonts w:asciiTheme="minorHAnsi" w:eastAsiaTheme="minorEastAsia" w:hAnsiTheme="minorHAnsi" w:cstheme="minorBidi"/>
        </w:rPr>
      </w:pPr>
      <w:r>
        <w:t>Twitter</w:t>
      </w:r>
      <w:r>
        <w:tab/>
      </w:r>
      <w:r>
        <w:fldChar w:fldCharType="begin"/>
      </w:r>
      <w:r>
        <w:instrText xml:space="preserve"> PAGEREF _Toc88480171 \h </w:instrText>
      </w:r>
      <w:r>
        <w:fldChar w:fldCharType="separate"/>
      </w:r>
      <w:r w:rsidR="00401A04">
        <w:t>10</w:t>
      </w:r>
      <w:r>
        <w:fldChar w:fldCharType="end"/>
      </w:r>
    </w:p>
    <w:p w14:paraId="78BB9DAD" w14:textId="22A4B092" w:rsidR="004276B4" w:rsidRDefault="004276B4">
      <w:pPr>
        <w:pStyle w:val="TOC3"/>
        <w:rPr>
          <w:rFonts w:asciiTheme="minorHAnsi" w:eastAsiaTheme="minorEastAsia" w:hAnsiTheme="minorHAnsi" w:cstheme="minorBidi"/>
        </w:rPr>
      </w:pPr>
      <w:r>
        <w:t>Facebook</w:t>
      </w:r>
      <w:r>
        <w:tab/>
      </w:r>
      <w:r>
        <w:fldChar w:fldCharType="begin"/>
      </w:r>
      <w:r>
        <w:instrText xml:space="preserve"> PAGEREF _Toc88480172 \h </w:instrText>
      </w:r>
      <w:r>
        <w:fldChar w:fldCharType="separate"/>
      </w:r>
      <w:r w:rsidR="00401A04">
        <w:t>11</w:t>
      </w:r>
      <w:r>
        <w:fldChar w:fldCharType="end"/>
      </w:r>
    </w:p>
    <w:p w14:paraId="509CECC2" w14:textId="32EC21DC" w:rsidR="004276B4" w:rsidRDefault="004276B4">
      <w:pPr>
        <w:pStyle w:val="TOC3"/>
        <w:rPr>
          <w:rFonts w:asciiTheme="minorHAnsi" w:eastAsiaTheme="minorEastAsia" w:hAnsiTheme="minorHAnsi" w:cstheme="minorBidi"/>
        </w:rPr>
      </w:pPr>
      <w:r>
        <w:t>Streaming services</w:t>
      </w:r>
      <w:r>
        <w:tab/>
      </w:r>
      <w:r>
        <w:fldChar w:fldCharType="begin"/>
      </w:r>
      <w:r>
        <w:instrText xml:space="preserve"> PAGEREF _Toc88480173 \h </w:instrText>
      </w:r>
      <w:r>
        <w:fldChar w:fldCharType="separate"/>
      </w:r>
      <w:r w:rsidR="00401A04">
        <w:t>11</w:t>
      </w:r>
      <w:r>
        <w:fldChar w:fldCharType="end"/>
      </w:r>
    </w:p>
    <w:p w14:paraId="2F33B282" w14:textId="321174A2" w:rsidR="004276B4" w:rsidRDefault="004276B4">
      <w:pPr>
        <w:pStyle w:val="TOC1"/>
        <w:rPr>
          <w:rFonts w:asciiTheme="minorHAnsi" w:eastAsiaTheme="minorEastAsia" w:hAnsiTheme="minorHAnsi" w:cstheme="minorBidi"/>
          <w:b w:val="0"/>
          <w:spacing w:val="0"/>
          <w:sz w:val="22"/>
          <w:szCs w:val="22"/>
        </w:rPr>
      </w:pPr>
      <w:r>
        <w:t>Recent literature reviews</w:t>
      </w:r>
      <w:r>
        <w:tab/>
      </w:r>
      <w:r>
        <w:fldChar w:fldCharType="begin"/>
      </w:r>
      <w:r>
        <w:instrText xml:space="preserve"> PAGEREF _Toc88480174 \h </w:instrText>
      </w:r>
      <w:r>
        <w:fldChar w:fldCharType="separate"/>
      </w:r>
      <w:r w:rsidR="00401A04">
        <w:t>13</w:t>
      </w:r>
      <w:r>
        <w:fldChar w:fldCharType="end"/>
      </w:r>
    </w:p>
    <w:p w14:paraId="6D53EB82" w14:textId="34975BB2" w:rsidR="004276B4" w:rsidRDefault="004276B4">
      <w:pPr>
        <w:pStyle w:val="TOC2"/>
        <w:rPr>
          <w:rFonts w:asciiTheme="minorHAnsi" w:eastAsiaTheme="minorEastAsia" w:hAnsiTheme="minorHAnsi" w:cstheme="minorBidi"/>
          <w:spacing w:val="0"/>
          <w:sz w:val="22"/>
          <w:szCs w:val="22"/>
        </w:rPr>
      </w:pPr>
      <w:r>
        <w:t>Use of affiliate marketing in social media</w:t>
      </w:r>
      <w:r>
        <w:tab/>
      </w:r>
      <w:r>
        <w:fldChar w:fldCharType="begin"/>
      </w:r>
      <w:r>
        <w:instrText xml:space="preserve"> PAGEREF _Toc88480175 \h </w:instrText>
      </w:r>
      <w:r>
        <w:fldChar w:fldCharType="separate"/>
      </w:r>
      <w:r w:rsidR="00401A04">
        <w:t>14</w:t>
      </w:r>
      <w:r>
        <w:fldChar w:fldCharType="end"/>
      </w:r>
    </w:p>
    <w:p w14:paraId="477EC29A" w14:textId="4240403D" w:rsidR="004276B4" w:rsidRDefault="004276B4">
      <w:pPr>
        <w:pStyle w:val="TOC1"/>
        <w:rPr>
          <w:rFonts w:asciiTheme="minorHAnsi" w:eastAsiaTheme="minorEastAsia" w:hAnsiTheme="minorHAnsi" w:cstheme="minorBidi"/>
          <w:b w:val="0"/>
          <w:spacing w:val="0"/>
          <w:sz w:val="22"/>
          <w:szCs w:val="22"/>
        </w:rPr>
      </w:pPr>
      <w:r>
        <w:t>Conclusion</w:t>
      </w:r>
      <w:r>
        <w:tab/>
      </w:r>
      <w:r>
        <w:fldChar w:fldCharType="begin"/>
      </w:r>
      <w:r>
        <w:instrText xml:space="preserve"> PAGEREF _Toc88480176 \h </w:instrText>
      </w:r>
      <w:r>
        <w:fldChar w:fldCharType="separate"/>
      </w:r>
      <w:r w:rsidR="00401A04">
        <w:t>15</w:t>
      </w:r>
      <w:r>
        <w:fldChar w:fldCharType="end"/>
      </w:r>
    </w:p>
    <w:p w14:paraId="59398D92" w14:textId="0DE1AF28" w:rsidR="004D56FF" w:rsidRPr="000D76E0" w:rsidRDefault="009B24A5">
      <w:pPr>
        <w:rPr>
          <w:rFonts w:cs="Arial"/>
        </w:rPr>
        <w:sectPr w:rsidR="004D56FF" w:rsidRPr="000D76E0" w:rsidSect="00C77380">
          <w:headerReference w:type="even" r:id="rId20"/>
          <w:headerReference w:type="default" r:id="rId21"/>
          <w:footerReference w:type="even" r:id="rId22"/>
          <w:footerReference w:type="default" r:id="rId23"/>
          <w:footerReference w:type="first" r:id="rId24"/>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0FF8F993" w14:textId="77777777" w:rsidR="009D6C71" w:rsidRPr="009174F3" w:rsidRDefault="009D6C71" w:rsidP="009174F3">
      <w:pPr>
        <w:pStyle w:val="Execsummaryheading"/>
      </w:pPr>
      <w:bookmarkStart w:id="0" w:name="_Toc88480160"/>
      <w:r w:rsidRPr="009174F3">
        <w:lastRenderedPageBreak/>
        <w:t>Executive summary</w:t>
      </w:r>
      <w:bookmarkEnd w:id="0"/>
    </w:p>
    <w:p w14:paraId="1C6FF844" w14:textId="4C7FF5A5" w:rsidR="002661EA" w:rsidRDefault="002661EA" w:rsidP="002661EA">
      <w:pPr>
        <w:pStyle w:val="Paragraph"/>
      </w:pPr>
      <w:r w:rsidRPr="00D370AD">
        <w:t>Affiliate marketing is the process by which an affiliate earns a commission for marketing another person's or company's products</w:t>
      </w:r>
      <w:r>
        <w:t xml:space="preserve">. Affiliates typically place ads and links online to direct consumers to the website of a company. </w:t>
      </w:r>
    </w:p>
    <w:p w14:paraId="2A9BA574" w14:textId="22D5F8B3" w:rsidR="0060443D" w:rsidRDefault="00170970" w:rsidP="0060443D">
      <w:pPr>
        <w:rPr>
          <w:rFonts w:cs="Arial"/>
        </w:rPr>
      </w:pPr>
      <w:r>
        <w:rPr>
          <w:rFonts w:cs="Arial"/>
        </w:rPr>
        <w:t>T</w:t>
      </w:r>
      <w:r w:rsidR="0060443D" w:rsidRPr="00A43D69">
        <w:rPr>
          <w:rFonts w:cs="Arial"/>
        </w:rPr>
        <w:t xml:space="preserve">he </w:t>
      </w:r>
      <w:r w:rsidR="00D370AD">
        <w:rPr>
          <w:rFonts w:cs="Arial"/>
        </w:rPr>
        <w:t xml:space="preserve">Australian Communications and Media </w:t>
      </w:r>
      <w:r w:rsidR="0060443D" w:rsidRPr="00A43D69">
        <w:rPr>
          <w:rFonts w:cs="Arial"/>
        </w:rPr>
        <w:t xml:space="preserve">Authority </w:t>
      </w:r>
      <w:r w:rsidR="00D370AD">
        <w:rPr>
          <w:rFonts w:cs="Arial"/>
        </w:rPr>
        <w:t xml:space="preserve">(ACMA) has identified </w:t>
      </w:r>
      <w:r w:rsidR="002661EA" w:rsidRPr="00EF01CD">
        <w:rPr>
          <w:rFonts w:cs="Arial"/>
        </w:rPr>
        <w:t xml:space="preserve">affiliate </w:t>
      </w:r>
      <w:r w:rsidR="002661EA">
        <w:rPr>
          <w:rFonts w:cs="Arial"/>
        </w:rPr>
        <w:t xml:space="preserve">gambling </w:t>
      </w:r>
      <w:r w:rsidR="002661EA" w:rsidRPr="00EF01CD">
        <w:rPr>
          <w:rFonts w:cs="Arial"/>
        </w:rPr>
        <w:t>services</w:t>
      </w:r>
      <w:r w:rsidR="002661EA">
        <w:rPr>
          <w:rFonts w:cs="Arial"/>
        </w:rPr>
        <w:t xml:space="preserve"> that</w:t>
      </w:r>
      <w:r w:rsidR="002661EA" w:rsidRPr="00EF01CD">
        <w:rPr>
          <w:rFonts w:cs="Arial"/>
        </w:rPr>
        <w:t xml:space="preserve"> promot</w:t>
      </w:r>
      <w:r w:rsidR="002661EA">
        <w:rPr>
          <w:rFonts w:cs="Arial"/>
        </w:rPr>
        <w:t xml:space="preserve">e and facilitate access to </w:t>
      </w:r>
      <w:r w:rsidR="002661EA" w:rsidRPr="00EF01CD">
        <w:rPr>
          <w:rFonts w:cs="Arial"/>
        </w:rPr>
        <w:t>illegal online gambling</w:t>
      </w:r>
      <w:r w:rsidR="002661EA" w:rsidRPr="00A43D69">
        <w:rPr>
          <w:rFonts w:cs="Arial"/>
        </w:rPr>
        <w:t xml:space="preserve"> services in Australia</w:t>
      </w:r>
      <w:r w:rsidR="002661EA">
        <w:rPr>
          <w:rFonts w:cs="Arial"/>
        </w:rPr>
        <w:t xml:space="preserve"> as </w:t>
      </w:r>
      <w:r w:rsidR="00D370AD">
        <w:rPr>
          <w:rFonts w:cs="Arial"/>
        </w:rPr>
        <w:t xml:space="preserve">a </w:t>
      </w:r>
      <w:r w:rsidR="0060443D" w:rsidRPr="00A43D69">
        <w:rPr>
          <w:rFonts w:cs="Arial"/>
        </w:rPr>
        <w:t>compliance priority for 2021</w:t>
      </w:r>
      <w:r w:rsidR="002661EA">
        <w:rPr>
          <w:rFonts w:cs="Arial"/>
        </w:rPr>
        <w:t>–</w:t>
      </w:r>
      <w:r w:rsidR="0060443D" w:rsidRPr="00A43D69">
        <w:rPr>
          <w:rFonts w:cs="Arial"/>
        </w:rPr>
        <w:t>22</w:t>
      </w:r>
      <w:r w:rsidR="0060443D">
        <w:rPr>
          <w:rFonts w:cs="Arial"/>
        </w:rPr>
        <w:t>.</w:t>
      </w:r>
      <w:r w:rsidR="0060443D" w:rsidRPr="00A43D69">
        <w:rPr>
          <w:rFonts w:cs="Arial"/>
        </w:rPr>
        <w:t xml:space="preserve"> </w:t>
      </w:r>
      <w:r>
        <w:rPr>
          <w:rFonts w:cs="Arial"/>
        </w:rPr>
        <w:t xml:space="preserve">This </w:t>
      </w:r>
      <w:r w:rsidR="00400578" w:rsidRPr="00BE782A">
        <w:rPr>
          <w:rFonts w:cs="Arial"/>
        </w:rPr>
        <w:t>f</w:t>
      </w:r>
      <w:r w:rsidRPr="00BE782A">
        <w:rPr>
          <w:rFonts w:cs="Arial"/>
        </w:rPr>
        <w:t>ollow</w:t>
      </w:r>
      <w:r w:rsidR="00400578" w:rsidRPr="00BE782A">
        <w:rPr>
          <w:rFonts w:cs="Arial"/>
        </w:rPr>
        <w:t>s</w:t>
      </w:r>
      <w:r w:rsidRPr="00BE782A">
        <w:rPr>
          <w:rFonts w:cs="Arial"/>
        </w:rPr>
        <w:t xml:space="preserve"> on from</w:t>
      </w:r>
      <w:r w:rsidRPr="00A43D69">
        <w:rPr>
          <w:rFonts w:cs="Arial"/>
        </w:rPr>
        <w:t xml:space="preserve"> </w:t>
      </w:r>
      <w:r w:rsidR="00B27290">
        <w:rPr>
          <w:rFonts w:cs="Arial"/>
        </w:rPr>
        <w:t>our</w:t>
      </w:r>
      <w:r>
        <w:rPr>
          <w:rFonts w:cs="Arial"/>
        </w:rPr>
        <w:t xml:space="preserve"> </w:t>
      </w:r>
      <w:r w:rsidRPr="00A43D69">
        <w:rPr>
          <w:rFonts w:cs="Arial"/>
        </w:rPr>
        <w:t xml:space="preserve">work </w:t>
      </w:r>
      <w:r>
        <w:rPr>
          <w:rFonts w:cs="Arial"/>
        </w:rPr>
        <w:t>disrupting</w:t>
      </w:r>
      <w:r w:rsidRPr="00A43D69">
        <w:rPr>
          <w:rFonts w:cs="Arial"/>
        </w:rPr>
        <w:t xml:space="preserve"> illegal offshore gambling activity</w:t>
      </w:r>
      <w:r w:rsidR="00400578">
        <w:rPr>
          <w:rFonts w:cs="Arial"/>
        </w:rPr>
        <w:t>.</w:t>
      </w:r>
    </w:p>
    <w:p w14:paraId="1139C83A" w14:textId="6DFDC799" w:rsidR="00F25B0D" w:rsidRDefault="00DF6F03" w:rsidP="00FE37A3">
      <w:pPr>
        <w:pStyle w:val="Paragraphbeforelist"/>
      </w:pPr>
      <w:r>
        <w:t xml:space="preserve">This desktop research </w:t>
      </w:r>
      <w:r w:rsidR="00F25B0D">
        <w:t>provides:</w:t>
      </w:r>
    </w:p>
    <w:p w14:paraId="2FF13931" w14:textId="2B0B8359" w:rsidR="008542ED" w:rsidRDefault="00F25B0D" w:rsidP="00B208B0">
      <w:pPr>
        <w:pStyle w:val="Bulletlevel1"/>
      </w:pPr>
      <w:r>
        <w:t xml:space="preserve">an examination of how </w:t>
      </w:r>
      <w:r w:rsidR="00F539A4">
        <w:t xml:space="preserve">domestic </w:t>
      </w:r>
      <w:r>
        <w:t>gambling affiliates operate across a range of online platforms and jurisdictions</w:t>
      </w:r>
    </w:p>
    <w:p w14:paraId="144693C0" w14:textId="606A7B96" w:rsidR="005E0F0D" w:rsidRDefault="005E0F0D" w:rsidP="00B208B0">
      <w:pPr>
        <w:pStyle w:val="Bulletlevel1"/>
        <w:numPr>
          <w:ilvl w:val="0"/>
          <w:numId w:val="1"/>
        </w:numPr>
        <w:spacing w:after="240"/>
      </w:pPr>
      <w:r>
        <w:t xml:space="preserve">a targeted review of recent research into </w:t>
      </w:r>
      <w:r w:rsidRPr="00EE3006">
        <w:t>affiliate services for online gambling</w:t>
      </w:r>
      <w:r w:rsidR="002E6F46">
        <w:t>.</w:t>
      </w:r>
      <w:r>
        <w:t xml:space="preserve"> </w:t>
      </w:r>
    </w:p>
    <w:p w14:paraId="62B8A9B5" w14:textId="77777777" w:rsidR="003C331A" w:rsidRDefault="00AC1563" w:rsidP="00B7435D">
      <w:pPr>
        <w:pStyle w:val="Paragraph"/>
      </w:pPr>
      <w:r>
        <w:t xml:space="preserve">Affiliate </w:t>
      </w:r>
      <w:r w:rsidR="00D370AD">
        <w:t>marketing is typically performance-based, with the affiliate usually receiving a pre-agreed percentage of sales from a business for each new customer attracted by the affiliate’s marketing efforts.</w:t>
      </w:r>
      <w:r>
        <w:t xml:space="preserve"> </w:t>
      </w:r>
    </w:p>
    <w:p w14:paraId="5CFF38AA" w14:textId="76B6ED40" w:rsidR="003C331A" w:rsidRDefault="00B7435D" w:rsidP="00FE37A3">
      <w:pPr>
        <w:pStyle w:val="Paragraphbeforelist"/>
      </w:pPr>
      <w:r>
        <w:t xml:space="preserve">Affiliate gambling marketers differ </w:t>
      </w:r>
      <w:r w:rsidR="00AC1563">
        <w:t>from other forms of affiliate marketers</w:t>
      </w:r>
      <w:r w:rsidR="003C331A">
        <w:t xml:space="preserve"> because:</w:t>
      </w:r>
    </w:p>
    <w:p w14:paraId="19839CD4" w14:textId="7BB4FF75" w:rsidR="003C331A" w:rsidRDefault="00B7435D" w:rsidP="00FE37A3">
      <w:pPr>
        <w:pStyle w:val="Bulletlevel1"/>
      </w:pPr>
      <w:r>
        <w:t>their revenue is typically significantly higher</w:t>
      </w:r>
      <w:r w:rsidR="003C331A">
        <w:t xml:space="preserve">, for example, </w:t>
      </w:r>
      <w:r>
        <w:t xml:space="preserve">30% </w:t>
      </w:r>
      <w:r w:rsidR="002835B5">
        <w:t xml:space="preserve">compared to market averages of </w:t>
      </w:r>
      <w:r>
        <w:t>1</w:t>
      </w:r>
      <w:r w:rsidR="005F4B94">
        <w:t>%</w:t>
      </w:r>
      <w:r w:rsidR="002835B5">
        <w:t xml:space="preserve"> or </w:t>
      </w:r>
      <w:r>
        <w:t>2</w:t>
      </w:r>
      <w:r w:rsidR="003C331A">
        <w:t>%</w:t>
      </w:r>
    </w:p>
    <w:p w14:paraId="217E29B9" w14:textId="7D06FE7F" w:rsidR="003C331A" w:rsidRDefault="00DB3172" w:rsidP="00FE37A3">
      <w:pPr>
        <w:pStyle w:val="Bulletlevel1"/>
      </w:pPr>
      <w:r>
        <w:t>they can</w:t>
      </w:r>
      <w:r w:rsidR="003C331A">
        <w:t>,</w:t>
      </w:r>
      <w:r>
        <w:t xml:space="preserve"> and often do</w:t>
      </w:r>
      <w:r w:rsidR="003C331A">
        <w:t>,</w:t>
      </w:r>
      <w:r w:rsidR="00B7435D">
        <w:t xml:space="preserve"> derive their earnings directly </w:t>
      </w:r>
      <w:r w:rsidR="003C331A">
        <w:t xml:space="preserve">from </w:t>
      </w:r>
      <w:r w:rsidR="00B7435D">
        <w:t xml:space="preserve">the losses </w:t>
      </w:r>
      <w:r w:rsidR="00CB57BB">
        <w:t>made by the gambler</w:t>
      </w:r>
      <w:r w:rsidR="00B7435D">
        <w:t xml:space="preserve"> they attract</w:t>
      </w:r>
      <w:r w:rsidR="00AE25DE">
        <w:t xml:space="preserve"> to the gambling provider</w:t>
      </w:r>
      <w:r w:rsidR="00CB57BB">
        <w:t>’s site</w:t>
      </w:r>
    </w:p>
    <w:p w14:paraId="3C6BAFC3" w14:textId="0DED25FA" w:rsidR="00B7435D" w:rsidRDefault="003C331A" w:rsidP="00FE37A3">
      <w:pPr>
        <w:pStyle w:val="Bulletlevel1last"/>
      </w:pPr>
      <w:r>
        <w:t xml:space="preserve">their </w:t>
      </w:r>
      <w:r w:rsidR="00CB57BB">
        <w:t>information</w:t>
      </w:r>
      <w:r w:rsidR="00DB3172">
        <w:t xml:space="preserve"> and the legality of the </w:t>
      </w:r>
      <w:r w:rsidR="00AE25DE">
        <w:t>offer they are promoting</w:t>
      </w:r>
      <w:r w:rsidR="00DB3172">
        <w:t xml:space="preserve"> is often not</w:t>
      </w:r>
      <w:r w:rsidR="00CB57BB">
        <w:t xml:space="preserve"> transparent</w:t>
      </w:r>
      <w:r w:rsidR="00DB3172">
        <w:t>.</w:t>
      </w:r>
    </w:p>
    <w:p w14:paraId="2D691CA7" w14:textId="1F8C7E87" w:rsidR="00A00ABF" w:rsidRDefault="009363CC" w:rsidP="00B208B0">
      <w:pPr>
        <w:pStyle w:val="Paragraph"/>
        <w:spacing w:before="240"/>
      </w:pPr>
      <w:r w:rsidRPr="00533767">
        <w:t xml:space="preserve">The internet </w:t>
      </w:r>
      <w:r w:rsidR="00533767">
        <w:t>has</w:t>
      </w:r>
      <w:r w:rsidRPr="00533767">
        <w:t xml:space="preserve"> expanded the way that </w:t>
      </w:r>
      <w:r w:rsidR="00545647">
        <w:t>gambling providers</w:t>
      </w:r>
      <w:r w:rsidR="00E93C8D">
        <w:t xml:space="preserve"> and affiliates</w:t>
      </w:r>
      <w:r w:rsidR="00545647">
        <w:t xml:space="preserve"> can reach</w:t>
      </w:r>
      <w:r w:rsidRPr="00533767">
        <w:t xml:space="preserve"> potential customers. </w:t>
      </w:r>
      <w:r w:rsidR="00E93C8D">
        <w:t xml:space="preserve">There is limited research into how affiliates are operating in Australia or their sign-up rates, </w:t>
      </w:r>
      <w:r w:rsidR="00086823">
        <w:t xml:space="preserve">in part </w:t>
      </w:r>
      <w:r w:rsidR="00E93C8D">
        <w:t>due to</w:t>
      </w:r>
      <w:r w:rsidR="00405E81">
        <w:t xml:space="preserve"> the il</w:t>
      </w:r>
      <w:r>
        <w:t xml:space="preserve">legal status of some </w:t>
      </w:r>
      <w:r w:rsidR="006F33C1">
        <w:t xml:space="preserve">of </w:t>
      </w:r>
      <w:r>
        <w:t xml:space="preserve">the products </w:t>
      </w:r>
      <w:r w:rsidR="00405E81">
        <w:t>they are promoting</w:t>
      </w:r>
      <w:r>
        <w:t xml:space="preserve">. </w:t>
      </w:r>
      <w:r w:rsidR="00482F74">
        <w:t xml:space="preserve">The </w:t>
      </w:r>
      <w:r w:rsidR="003C331A">
        <w:t xml:space="preserve">4 </w:t>
      </w:r>
      <w:r w:rsidR="00482F74">
        <w:t>key</w:t>
      </w:r>
      <w:r w:rsidR="00405E81">
        <w:t xml:space="preserve"> platforms </w:t>
      </w:r>
      <w:r w:rsidR="00482F74">
        <w:t xml:space="preserve">being </w:t>
      </w:r>
      <w:r w:rsidR="00F539A4">
        <w:t xml:space="preserve">used </w:t>
      </w:r>
      <w:r w:rsidR="00482F74">
        <w:t>by gambling affiliates</w:t>
      </w:r>
      <w:r w:rsidR="00E93C8D">
        <w:t xml:space="preserve"> </w:t>
      </w:r>
      <w:r w:rsidR="00764072">
        <w:t>are</w:t>
      </w:r>
      <w:r>
        <w:t xml:space="preserve"> </w:t>
      </w:r>
      <w:r w:rsidR="00482F74">
        <w:t>we</w:t>
      </w:r>
      <w:r w:rsidR="00E93C8D">
        <w:t>b</w:t>
      </w:r>
      <w:r w:rsidR="00482F74">
        <w:t>-based sites,</w:t>
      </w:r>
      <w:r w:rsidR="000C1B9D">
        <w:t xml:space="preserve"> </w:t>
      </w:r>
      <w:r w:rsidRPr="003125FF">
        <w:t>Twitter</w:t>
      </w:r>
      <w:r w:rsidR="000C1B9D">
        <w:t xml:space="preserve">, </w:t>
      </w:r>
      <w:r w:rsidRPr="003125FF">
        <w:t>Facebook</w:t>
      </w:r>
      <w:r w:rsidR="000C1B9D">
        <w:t xml:space="preserve"> and s</w:t>
      </w:r>
      <w:r w:rsidRPr="003125FF">
        <w:t>treaming services</w:t>
      </w:r>
      <w:r w:rsidR="000C1B9D">
        <w:t xml:space="preserve">. </w:t>
      </w:r>
      <w:r w:rsidR="00A02140">
        <w:t>The information provided to gamblers by the</w:t>
      </w:r>
      <w:r w:rsidR="00DB546D">
        <w:t>se</w:t>
      </w:r>
      <w:r w:rsidR="00A02140">
        <w:t xml:space="preserve"> platforms about the legality of the offers being made</w:t>
      </w:r>
      <w:r w:rsidR="005A5798">
        <w:t xml:space="preserve"> is variable;</w:t>
      </w:r>
      <w:r w:rsidR="001E0261">
        <w:t xml:space="preserve"> </w:t>
      </w:r>
      <w:r w:rsidR="00764072">
        <w:t>and the</w:t>
      </w:r>
      <w:r w:rsidR="004E5C14">
        <w:t xml:space="preserve"> range of restrictions</w:t>
      </w:r>
      <w:r w:rsidR="00D075A8">
        <w:t xml:space="preserve"> that are</w:t>
      </w:r>
      <w:r w:rsidR="004E5C14">
        <w:t xml:space="preserve"> </w:t>
      </w:r>
      <w:r w:rsidR="00764072">
        <w:t xml:space="preserve">purportedly </w:t>
      </w:r>
      <w:r w:rsidR="00D075A8">
        <w:t>being put in</w:t>
      </w:r>
      <w:r w:rsidR="00764072">
        <w:t xml:space="preserve"> place </w:t>
      </w:r>
      <w:r w:rsidR="00D075A8">
        <w:t xml:space="preserve">by these platforms </w:t>
      </w:r>
      <w:r w:rsidR="00764072">
        <w:t>to restrict illegal</w:t>
      </w:r>
      <w:r w:rsidR="004E5C14">
        <w:t xml:space="preserve"> activity</w:t>
      </w:r>
      <w:r w:rsidR="00764072">
        <w:t xml:space="preserve"> varies greatly</w:t>
      </w:r>
      <w:r w:rsidR="004E5C14">
        <w:t>.</w:t>
      </w:r>
    </w:p>
    <w:p w14:paraId="6366CB2C" w14:textId="7BC850C2" w:rsidR="009363CC" w:rsidRDefault="00CC04B4" w:rsidP="00CC04B4">
      <w:r>
        <w:t>The</w:t>
      </w:r>
      <w:r w:rsidR="006B1B9B">
        <w:t xml:space="preserve"> r</w:t>
      </w:r>
      <w:r w:rsidR="00F7609F">
        <w:t>egulation</w:t>
      </w:r>
      <w:r w:rsidR="006E4EE8" w:rsidRPr="006E4EE8">
        <w:t xml:space="preserve"> </w:t>
      </w:r>
      <w:r w:rsidR="00D73F92">
        <w:t xml:space="preserve">and disruption </w:t>
      </w:r>
      <w:r w:rsidR="006E4EE8" w:rsidRPr="006E4EE8">
        <w:t xml:space="preserve">of </w:t>
      </w:r>
      <w:r w:rsidR="00F7609F">
        <w:t>affiliate marketing through</w:t>
      </w:r>
      <w:r w:rsidR="006E4EE8" w:rsidRPr="006E4EE8">
        <w:t xml:space="preserve"> social media platforms </w:t>
      </w:r>
      <w:r>
        <w:t>remain</w:t>
      </w:r>
      <w:r w:rsidR="00907367">
        <w:t>s</w:t>
      </w:r>
      <w:r w:rsidR="006E4EE8" w:rsidRPr="006E4EE8">
        <w:t xml:space="preserve"> challenging, given the </w:t>
      </w:r>
      <w:r w:rsidR="00907367">
        <w:t xml:space="preserve">dynamic </w:t>
      </w:r>
      <w:r w:rsidR="00AC34E6">
        <w:t>nature of</w:t>
      </w:r>
      <w:r w:rsidR="006E4EE8" w:rsidRPr="006E4EE8">
        <w:t xml:space="preserve"> and </w:t>
      </w:r>
      <w:r w:rsidR="00AC34E6">
        <w:t xml:space="preserve">the </w:t>
      </w:r>
      <w:r w:rsidR="006E4EE8" w:rsidRPr="006E4EE8">
        <w:t>indirect promotion of gambling within these online spaces.</w:t>
      </w:r>
    </w:p>
    <w:p w14:paraId="4B2F3590" w14:textId="77777777" w:rsidR="00784722" w:rsidRDefault="00784722" w:rsidP="00784722">
      <w:pPr>
        <w:pStyle w:val="Heading1"/>
      </w:pPr>
      <w:bookmarkStart w:id="1" w:name="_Toc285789710"/>
      <w:bookmarkStart w:id="2" w:name="_Toc285791789"/>
      <w:bookmarkStart w:id="3" w:name="_Toc286994473"/>
      <w:bookmarkStart w:id="4" w:name="_Toc88480161"/>
      <w:r>
        <w:lastRenderedPageBreak/>
        <w:t xml:space="preserve">About the </w:t>
      </w:r>
      <w:r w:rsidRPr="00784722">
        <w:t>research</w:t>
      </w:r>
      <w:bookmarkEnd w:id="1"/>
      <w:bookmarkEnd w:id="2"/>
      <w:bookmarkEnd w:id="3"/>
      <w:bookmarkEnd w:id="4"/>
    </w:p>
    <w:p w14:paraId="792AB270" w14:textId="5E91C04B" w:rsidR="006335E4" w:rsidRPr="00A43D69" w:rsidRDefault="006335E4" w:rsidP="006335E4">
      <w:pPr>
        <w:rPr>
          <w:rFonts w:cs="Arial"/>
        </w:rPr>
      </w:pPr>
      <w:r w:rsidRPr="00A43D69">
        <w:rPr>
          <w:rFonts w:cs="Arial"/>
        </w:rPr>
        <w:t xml:space="preserve">Following on from work to disrupt illegal offshore gambling activity, the </w:t>
      </w:r>
      <w:r w:rsidR="00F539A4">
        <w:rPr>
          <w:rFonts w:cs="Arial"/>
        </w:rPr>
        <w:t>ACMA</w:t>
      </w:r>
      <w:r w:rsidR="00F539A4" w:rsidRPr="00A43D69">
        <w:rPr>
          <w:rFonts w:cs="Arial"/>
        </w:rPr>
        <w:t xml:space="preserve"> </w:t>
      </w:r>
      <w:r w:rsidRPr="00A43D69">
        <w:rPr>
          <w:rFonts w:cs="Arial"/>
        </w:rPr>
        <w:t xml:space="preserve">has set a </w:t>
      </w:r>
      <w:hyperlink r:id="rId25" w:history="1">
        <w:r w:rsidRPr="00BB7EBE">
          <w:rPr>
            <w:rStyle w:val="Hyperlink"/>
            <w:rFonts w:cs="Arial"/>
          </w:rPr>
          <w:t>2021</w:t>
        </w:r>
        <w:r w:rsidR="003C331A">
          <w:rPr>
            <w:rStyle w:val="Hyperlink"/>
            <w:rFonts w:cs="Arial"/>
          </w:rPr>
          <w:t>–</w:t>
        </w:r>
        <w:r w:rsidRPr="00BB7EBE">
          <w:rPr>
            <w:rStyle w:val="Hyperlink"/>
            <w:rFonts w:cs="Arial"/>
          </w:rPr>
          <w:t xml:space="preserve">22 </w:t>
        </w:r>
        <w:r w:rsidR="00F539A4" w:rsidRPr="00BB7EBE">
          <w:rPr>
            <w:rStyle w:val="Hyperlink"/>
            <w:rFonts w:cs="Arial"/>
          </w:rPr>
          <w:t xml:space="preserve">compliance </w:t>
        </w:r>
        <w:r w:rsidR="00BB7EBE" w:rsidRPr="00BB7EBE">
          <w:rPr>
            <w:rStyle w:val="Hyperlink"/>
            <w:rFonts w:cs="Arial"/>
          </w:rPr>
          <w:t>priority</w:t>
        </w:r>
      </w:hyperlink>
      <w:r w:rsidR="00F539A4">
        <w:rPr>
          <w:rFonts w:cs="Arial"/>
        </w:rPr>
        <w:t xml:space="preserve"> </w:t>
      </w:r>
      <w:r w:rsidRPr="00A43D69">
        <w:rPr>
          <w:rFonts w:cs="Arial"/>
        </w:rPr>
        <w:t xml:space="preserve">focusing on </w:t>
      </w:r>
      <w:r w:rsidRPr="009637DE">
        <w:rPr>
          <w:rFonts w:cs="Arial"/>
        </w:rPr>
        <w:t>affiliate services promoting online gambling</w:t>
      </w:r>
      <w:r w:rsidRPr="00A43D69">
        <w:rPr>
          <w:rFonts w:cs="Arial"/>
        </w:rPr>
        <w:t xml:space="preserve">. </w:t>
      </w:r>
      <w:r w:rsidR="0048708B">
        <w:rPr>
          <w:rFonts w:cs="Arial"/>
        </w:rPr>
        <w:t>We</w:t>
      </w:r>
      <w:r w:rsidRPr="00A43D69">
        <w:rPr>
          <w:rFonts w:cs="Arial"/>
        </w:rPr>
        <w:t xml:space="preserve"> investigat</w:t>
      </w:r>
      <w:r>
        <w:rPr>
          <w:rFonts w:cs="Arial"/>
        </w:rPr>
        <w:t>e</w:t>
      </w:r>
      <w:r w:rsidRPr="00A43D69">
        <w:rPr>
          <w:rFonts w:cs="Arial"/>
        </w:rPr>
        <w:t xml:space="preserve"> whether these services are promoting </w:t>
      </w:r>
      <w:r>
        <w:rPr>
          <w:rFonts w:cs="Arial"/>
        </w:rPr>
        <w:t xml:space="preserve">or advertising </w:t>
      </w:r>
      <w:r w:rsidRPr="00A43D69">
        <w:rPr>
          <w:rFonts w:cs="Arial"/>
        </w:rPr>
        <w:t xml:space="preserve">illegal gambling services in Australia </w:t>
      </w:r>
      <w:r>
        <w:rPr>
          <w:rFonts w:cs="Arial"/>
        </w:rPr>
        <w:t>in contravention of Australia’s online gambling laws</w:t>
      </w:r>
      <w:r w:rsidR="007C6DB5">
        <w:rPr>
          <w:rFonts w:cs="Arial"/>
        </w:rPr>
        <w:t xml:space="preserve"> or facilitating access to these services</w:t>
      </w:r>
      <w:r>
        <w:rPr>
          <w:rFonts w:cs="Arial"/>
        </w:rPr>
        <w:t>.</w:t>
      </w:r>
      <w:r w:rsidRPr="00A43D69">
        <w:rPr>
          <w:rFonts w:cs="Arial"/>
        </w:rPr>
        <w:t xml:space="preserve"> </w:t>
      </w:r>
    </w:p>
    <w:p w14:paraId="5F416B2D" w14:textId="0F44CDEB" w:rsidR="00E6501E" w:rsidRDefault="00C823AD" w:rsidP="00C146DD">
      <w:pPr>
        <w:pStyle w:val="Paragraphbeforelist"/>
      </w:pPr>
      <w:r>
        <w:t xml:space="preserve">This desktop </w:t>
      </w:r>
      <w:r w:rsidR="00C5027F">
        <w:t xml:space="preserve">research </w:t>
      </w:r>
      <w:r w:rsidR="00271F4F">
        <w:t xml:space="preserve">supports </w:t>
      </w:r>
      <w:r w:rsidR="007F43E9">
        <w:t xml:space="preserve">our </w:t>
      </w:r>
      <w:r w:rsidR="00271F4F">
        <w:t xml:space="preserve">understanding of market developments regarding affiliate services that promote </w:t>
      </w:r>
      <w:r w:rsidR="009B500C">
        <w:t xml:space="preserve">illegal </w:t>
      </w:r>
      <w:r w:rsidR="00271F4F">
        <w:t xml:space="preserve">online gambling. It </w:t>
      </w:r>
      <w:r w:rsidR="00E6501E">
        <w:t>provides:</w:t>
      </w:r>
    </w:p>
    <w:p w14:paraId="447080E9" w14:textId="202AD469" w:rsidR="00DE5A53" w:rsidRDefault="00E6501E" w:rsidP="005A7ED6">
      <w:pPr>
        <w:pStyle w:val="Bulletlevel1"/>
      </w:pPr>
      <w:r>
        <w:t>an examination of how gambling affiliates operate across a range of online platforms</w:t>
      </w:r>
    </w:p>
    <w:p w14:paraId="2D2B4684" w14:textId="6F324BD5" w:rsidR="00EF420B" w:rsidRDefault="00EF420B" w:rsidP="005F4B94">
      <w:pPr>
        <w:pStyle w:val="Bulletlevel1"/>
        <w:numPr>
          <w:ilvl w:val="0"/>
          <w:numId w:val="1"/>
        </w:numPr>
        <w:spacing w:after="240"/>
      </w:pPr>
      <w:r>
        <w:t>a targeted review of recent literature concerning</w:t>
      </w:r>
      <w:r w:rsidRPr="00EE3006">
        <w:t xml:space="preserve"> affiliate services for online gambling</w:t>
      </w:r>
      <w:r>
        <w:t xml:space="preserve">. </w:t>
      </w:r>
    </w:p>
    <w:p w14:paraId="4D2A884C" w14:textId="28299856" w:rsidR="00C677AE" w:rsidRDefault="00C677AE" w:rsidP="005F4B94">
      <w:pPr>
        <w:pStyle w:val="ListBullet"/>
        <w:numPr>
          <w:ilvl w:val="0"/>
          <w:numId w:val="0"/>
        </w:numPr>
        <w:spacing w:after="240"/>
      </w:pPr>
      <w:r w:rsidRPr="00607C01">
        <w:t xml:space="preserve">This report </w:t>
      </w:r>
      <w:r w:rsidR="00140BB7">
        <w:t xml:space="preserve">looks at affiliate </w:t>
      </w:r>
      <w:r w:rsidR="00C8524F">
        <w:t xml:space="preserve">business models and activities including </w:t>
      </w:r>
      <w:r w:rsidRPr="00607C01">
        <w:t>affiliate services that provide links to</w:t>
      </w:r>
      <w:r w:rsidR="00812D7B">
        <w:t xml:space="preserve"> offshore</w:t>
      </w:r>
      <w:r w:rsidRPr="00607C01">
        <w:t xml:space="preserve"> </w:t>
      </w:r>
      <w:r w:rsidR="00854141">
        <w:t xml:space="preserve">gambling </w:t>
      </w:r>
      <w:r w:rsidRPr="00607C01">
        <w:t xml:space="preserve">providers </w:t>
      </w:r>
      <w:r w:rsidR="00812D7B">
        <w:t>not captured under Australian law</w:t>
      </w:r>
      <w:r w:rsidR="004E1470">
        <w:t xml:space="preserve">, </w:t>
      </w:r>
      <w:r>
        <w:t>as</w:t>
      </w:r>
      <w:r w:rsidRPr="00607C01">
        <w:t xml:space="preserve"> this is </w:t>
      </w:r>
      <w:r>
        <w:t xml:space="preserve">an ACMA </w:t>
      </w:r>
      <w:r w:rsidRPr="00607C01">
        <w:t>compliance priority</w:t>
      </w:r>
      <w:r>
        <w:t>.</w:t>
      </w:r>
    </w:p>
    <w:p w14:paraId="6F5C0FDC" w14:textId="7709C72A" w:rsidR="00D876C8" w:rsidRPr="00D876C8" w:rsidRDefault="003C331A" w:rsidP="00032777">
      <w:pPr>
        <w:pStyle w:val="Paragraph"/>
        <w:rPr>
          <w:szCs w:val="20"/>
        </w:rPr>
      </w:pPr>
      <w:r>
        <w:t xml:space="preserve">This </w:t>
      </w:r>
      <w:r w:rsidR="00FB0021">
        <w:t>repo</w:t>
      </w:r>
      <w:r w:rsidR="00FB0021" w:rsidRPr="00CA70C4">
        <w:t>rt</w:t>
      </w:r>
      <w:r w:rsidR="002669A7" w:rsidRPr="00CA70C4">
        <w:t xml:space="preserve"> </w:t>
      </w:r>
      <w:r w:rsidR="00271F4F" w:rsidRPr="00CA70C4">
        <w:t xml:space="preserve">helps </w:t>
      </w:r>
      <w:r w:rsidR="002669A7" w:rsidRPr="00CA70C4">
        <w:t xml:space="preserve">inform </w:t>
      </w:r>
      <w:r w:rsidR="00271F4F" w:rsidRPr="00CA70C4">
        <w:t xml:space="preserve">areas of </w:t>
      </w:r>
      <w:r w:rsidR="002669A7" w:rsidRPr="00CA70C4">
        <w:t>further research</w:t>
      </w:r>
      <w:r w:rsidR="002669A7">
        <w:t xml:space="preserve"> </w:t>
      </w:r>
      <w:r w:rsidR="00DD1C36">
        <w:t xml:space="preserve">about </w:t>
      </w:r>
      <w:r w:rsidR="00697092">
        <w:t xml:space="preserve">the </w:t>
      </w:r>
      <w:r w:rsidR="009B4467">
        <w:t xml:space="preserve">knowledge, awareness and usage of affiliate services </w:t>
      </w:r>
      <w:r w:rsidR="00697092">
        <w:t>by</w:t>
      </w:r>
      <w:r w:rsidR="009B4467">
        <w:t xml:space="preserve"> online gamblers in Australia</w:t>
      </w:r>
      <w:r w:rsidR="00271F4F">
        <w:t>.</w:t>
      </w:r>
    </w:p>
    <w:p w14:paraId="038ADA10" w14:textId="710CFC55" w:rsidR="00784722" w:rsidRPr="003C331A" w:rsidRDefault="003C331A" w:rsidP="003C331A">
      <w:pPr>
        <w:pStyle w:val="Heading2"/>
      </w:pPr>
      <w:bookmarkStart w:id="5" w:name="_Toc88480162"/>
      <w:r w:rsidRPr="00202E21">
        <w:t>Research at the ACMA</w:t>
      </w:r>
      <w:bookmarkEnd w:id="5"/>
    </w:p>
    <w:p w14:paraId="22E821CF" w14:textId="047EEBDB" w:rsidR="00642E9F" w:rsidRDefault="00784722" w:rsidP="00C250DB">
      <w:r>
        <w:t xml:space="preserve">Our </w:t>
      </w:r>
      <w:hyperlink r:id="rId26" w:history="1">
        <w:r w:rsidRPr="00665475">
          <w:rPr>
            <w:rStyle w:val="Hyperlink"/>
          </w:rPr>
          <w:t>research program</w:t>
        </w:r>
      </w:hyperlink>
      <w:r w:rsidR="003C331A">
        <w:t xml:space="preserve"> </w:t>
      </w:r>
      <w:r>
        <w:t xml:space="preserve">underpins our work and decisions as an evidence-informed regulator. </w:t>
      </w:r>
      <w:r w:rsidR="00B74C63" w:rsidRPr="00B74C63">
        <w:t>It helps us to better understand communications and media markets and the issues that matter to Australians.</w:t>
      </w:r>
      <w:r w:rsidR="00642E9F">
        <w:t xml:space="preserve"> </w:t>
      </w:r>
    </w:p>
    <w:p w14:paraId="1CB1A508" w14:textId="5A9861AD" w:rsidR="00784722" w:rsidRDefault="004A14B5" w:rsidP="003903B8">
      <w:pPr>
        <w:spacing w:after="120"/>
      </w:pPr>
      <w:r w:rsidRPr="00441C9A">
        <w:t>Th</w:t>
      </w:r>
      <w:r>
        <w:t>is</w:t>
      </w:r>
      <w:r w:rsidRPr="00441C9A">
        <w:t xml:space="preserve"> </w:t>
      </w:r>
      <w:r w:rsidR="00784722" w:rsidRPr="00441C9A">
        <w:t xml:space="preserve">research contributes to </w:t>
      </w:r>
      <w:r w:rsidR="00120E3C">
        <w:t xml:space="preserve">enhancing </w:t>
      </w:r>
      <w:r w:rsidR="003148F4">
        <w:t>consume</w:t>
      </w:r>
      <w:r w:rsidR="00120E3C">
        <w:t xml:space="preserve">r </w:t>
      </w:r>
      <w:r w:rsidR="003148F4">
        <w:t>safe</w:t>
      </w:r>
      <w:r w:rsidR="009F38A6">
        <w:t>guards, education and information</w:t>
      </w:r>
      <w:r w:rsidR="003148F4">
        <w:t xml:space="preserve"> </w:t>
      </w:r>
      <w:r w:rsidR="00120E3C">
        <w:t xml:space="preserve">through </w:t>
      </w:r>
      <w:r w:rsidR="003174F7">
        <w:t xml:space="preserve">raising awareness </w:t>
      </w:r>
      <w:r>
        <w:t xml:space="preserve">of the </w:t>
      </w:r>
      <w:r w:rsidR="003174F7">
        <w:t xml:space="preserve">regulatory challenges concerning </w:t>
      </w:r>
      <w:r w:rsidRPr="009637DE">
        <w:t xml:space="preserve">affiliate services </w:t>
      </w:r>
      <w:r>
        <w:t xml:space="preserve">for </w:t>
      </w:r>
      <w:r w:rsidR="003174F7" w:rsidRPr="009637DE">
        <w:t>o</w:t>
      </w:r>
      <w:r w:rsidR="00120E3C" w:rsidRPr="009637DE">
        <w:t>nline gambling</w:t>
      </w:r>
      <w:r w:rsidR="00784722" w:rsidRPr="00441C9A">
        <w:t xml:space="preserve">. </w:t>
      </w:r>
      <w:r w:rsidR="00784722">
        <w:t>More</w:t>
      </w:r>
      <w:r w:rsidR="00784722" w:rsidRPr="00441C9A">
        <w:t xml:space="preserve"> details can be found in the </w:t>
      </w:r>
      <w:hyperlink r:id="rId27" w:history="1">
        <w:r w:rsidR="00784722" w:rsidRPr="00441C9A">
          <w:rPr>
            <w:rStyle w:val="Hyperlink"/>
          </w:rPr>
          <w:t>ACMA research program</w:t>
        </w:r>
      </w:hyperlink>
      <w:r w:rsidR="00784722" w:rsidRPr="00441C9A">
        <w:t>.</w:t>
      </w:r>
    </w:p>
    <w:p w14:paraId="4CE6AB48" w14:textId="77777777" w:rsidR="00BD676D" w:rsidRPr="00441C9A" w:rsidRDefault="00BD676D" w:rsidP="00784722">
      <w:pPr>
        <w:spacing w:before="240"/>
        <w:rPr>
          <w:rFonts w:cs="Arial"/>
          <w:b/>
          <w:bCs/>
          <w:iCs/>
          <w:sz w:val="28"/>
          <w:szCs w:val="28"/>
        </w:rPr>
      </w:pPr>
    </w:p>
    <w:p w14:paraId="6614DB54" w14:textId="3A299E86" w:rsidR="005E250B" w:rsidRDefault="002A0678" w:rsidP="005E250B">
      <w:pPr>
        <w:pStyle w:val="Heading1"/>
      </w:pPr>
      <w:bookmarkStart w:id="6" w:name="_Toc88480163"/>
      <w:r>
        <w:lastRenderedPageBreak/>
        <w:t>Introduction</w:t>
      </w:r>
      <w:bookmarkEnd w:id="6"/>
    </w:p>
    <w:p w14:paraId="5F05AB35" w14:textId="709543A2" w:rsidR="00387B3F" w:rsidRPr="00893C87" w:rsidRDefault="00387B3F" w:rsidP="009637DE">
      <w:pPr>
        <w:pStyle w:val="Heading2"/>
      </w:pPr>
      <w:bookmarkStart w:id="7" w:name="_Toc88480164"/>
      <w:r w:rsidRPr="00893C87">
        <w:t>Online gambling in Australia</w:t>
      </w:r>
      <w:bookmarkEnd w:id="7"/>
    </w:p>
    <w:p w14:paraId="5E7437E7" w14:textId="6BFE8EF5" w:rsidR="00D60C8F" w:rsidRDefault="00907D96" w:rsidP="00202E21">
      <w:pPr>
        <w:pStyle w:val="Paragraph"/>
      </w:pPr>
      <w:r>
        <w:t>In</w:t>
      </w:r>
      <w:r w:rsidR="00546DF8" w:rsidRPr="00546DF8">
        <w:t xml:space="preserve"> 2018</w:t>
      </w:r>
      <w:r w:rsidR="004A14B5">
        <w:t>–</w:t>
      </w:r>
      <w:r w:rsidR="00D73F92">
        <w:t>19</w:t>
      </w:r>
      <w:r w:rsidR="00546DF8" w:rsidRPr="00546DF8">
        <w:t>, Australians</w:t>
      </w:r>
      <w:r w:rsidR="00B74717">
        <w:t xml:space="preserve"> </w:t>
      </w:r>
      <w:r w:rsidR="004A14B5">
        <w:t xml:space="preserve">were </w:t>
      </w:r>
      <w:r w:rsidR="00B74717">
        <w:t>estimated to have</w:t>
      </w:r>
      <w:r w:rsidR="00D17DB1">
        <w:t xml:space="preserve"> </w:t>
      </w:r>
      <w:r w:rsidR="00D73F92">
        <w:t xml:space="preserve">lost </w:t>
      </w:r>
      <w:r w:rsidR="00D73F92" w:rsidRPr="00D73F92">
        <w:t xml:space="preserve">approximately </w:t>
      </w:r>
      <w:r w:rsidR="004A14B5">
        <w:t>A</w:t>
      </w:r>
      <w:r w:rsidR="00D73F92" w:rsidRPr="00D73F92">
        <w:t>$25 billion on legal forms of gambling</w:t>
      </w:r>
      <w:r w:rsidR="00B74717">
        <w:rPr>
          <w:rStyle w:val="FootnoteReference"/>
        </w:rPr>
        <w:footnoteReference w:id="2"/>
      </w:r>
      <w:r w:rsidR="00B726A2">
        <w:t xml:space="preserve">, with the </w:t>
      </w:r>
      <w:r w:rsidR="00F447A3">
        <w:t xml:space="preserve">gambling industry </w:t>
      </w:r>
      <w:r w:rsidR="00546DF8" w:rsidRPr="00546DF8">
        <w:t>contribu</w:t>
      </w:r>
      <w:r w:rsidR="00B726A2">
        <w:t>ting</w:t>
      </w:r>
      <w:r w:rsidR="00546DF8" w:rsidRPr="00546DF8">
        <w:t xml:space="preserve"> around </w:t>
      </w:r>
      <w:r w:rsidR="004A14B5">
        <w:t>A</w:t>
      </w:r>
      <w:r w:rsidR="00F447A3">
        <w:t>$</w:t>
      </w:r>
      <w:r w:rsidR="00546DF8" w:rsidRPr="00546DF8">
        <w:t>590 million</w:t>
      </w:r>
      <w:r w:rsidR="00B726A2">
        <w:t xml:space="preserve"> in gross value</w:t>
      </w:r>
      <w:r w:rsidR="00546DF8" w:rsidRPr="00546DF8">
        <w:t xml:space="preserve"> to the economy</w:t>
      </w:r>
      <w:r w:rsidR="00411B5D">
        <w:t>.</w:t>
      </w:r>
      <w:r w:rsidR="00D60ED8">
        <w:rPr>
          <w:rStyle w:val="FootnoteReference"/>
        </w:rPr>
        <w:footnoteReference w:id="3"/>
      </w:r>
      <w:r w:rsidR="00411B5D">
        <w:t xml:space="preserve"> </w:t>
      </w:r>
      <w:r w:rsidR="00A32AD6">
        <w:t>In 2019, 39</w:t>
      </w:r>
      <w:r w:rsidR="00053B72">
        <w:t>%</w:t>
      </w:r>
      <w:r w:rsidR="00A32AD6">
        <w:t xml:space="preserve"> of adult Australians</w:t>
      </w:r>
      <w:r w:rsidR="004A14B5">
        <w:t xml:space="preserve"> – </w:t>
      </w:r>
      <w:r w:rsidR="00A32AD6" w:rsidRPr="00854E5F">
        <w:t xml:space="preserve">6.8 million </w:t>
      </w:r>
      <w:r w:rsidR="00A32AD6">
        <w:t>people</w:t>
      </w:r>
      <w:r w:rsidR="004A14B5">
        <w:t xml:space="preserve"> – </w:t>
      </w:r>
      <w:r w:rsidR="0009162B">
        <w:t>self-</w:t>
      </w:r>
      <w:r w:rsidR="00A32AD6">
        <w:t xml:space="preserve">identified as </w:t>
      </w:r>
      <w:r w:rsidR="00A32AD6" w:rsidRPr="00854E5F">
        <w:t>regular gamblers</w:t>
      </w:r>
      <w:r w:rsidR="00A32AD6">
        <w:t>.</w:t>
      </w:r>
      <w:r w:rsidR="00A32AD6">
        <w:rPr>
          <w:rStyle w:val="FootnoteReference"/>
        </w:rPr>
        <w:footnoteReference w:id="4"/>
      </w:r>
      <w:r w:rsidR="001D12DD">
        <w:t xml:space="preserve"> </w:t>
      </w:r>
    </w:p>
    <w:p w14:paraId="4379AA4C" w14:textId="7C4FDB71" w:rsidR="007F43E9" w:rsidRDefault="00D60C8F" w:rsidP="00202E21">
      <w:pPr>
        <w:pStyle w:val="Paragraph"/>
      </w:pPr>
      <w:r>
        <w:t xml:space="preserve">Interactive gambling </w:t>
      </w:r>
      <w:r w:rsidR="002443D8">
        <w:t xml:space="preserve">is </w:t>
      </w:r>
      <w:r w:rsidR="008B4764">
        <w:t xml:space="preserve">any gambling </w:t>
      </w:r>
      <w:r w:rsidR="008D11AA">
        <w:t>carried out on</w:t>
      </w:r>
      <w:r w:rsidRPr="00D60C8F">
        <w:t xml:space="preserve"> </w:t>
      </w:r>
      <w:r w:rsidR="007F5D9A">
        <w:t>online.</w:t>
      </w:r>
      <w:r w:rsidR="00F57A85">
        <w:rPr>
          <w:rStyle w:val="FootnoteReference"/>
        </w:rPr>
        <w:footnoteReference w:id="5"/>
      </w:r>
      <w:r w:rsidR="007F5D9A">
        <w:t xml:space="preserve"> </w:t>
      </w:r>
      <w:r w:rsidR="008B4764">
        <w:t>With ever</w:t>
      </w:r>
      <w:r w:rsidR="004A14B5">
        <w:t>-</w:t>
      </w:r>
      <w:r w:rsidR="008B4764">
        <w:t>increasing access to online platforms, interactive gambling is a fast-growing segment of the gambling marke</w:t>
      </w:r>
      <w:r w:rsidR="00E33E72">
        <w:t>t.</w:t>
      </w:r>
      <w:r w:rsidR="008B4764">
        <w:t xml:space="preserve"> </w:t>
      </w:r>
    </w:p>
    <w:p w14:paraId="09B7EDE7" w14:textId="1FBF3814" w:rsidR="00D60C8F" w:rsidRDefault="005A69EC" w:rsidP="002A0678">
      <w:pPr>
        <w:rPr>
          <w:rFonts w:cs="Arial"/>
        </w:rPr>
      </w:pPr>
      <w:r w:rsidRPr="005A69EC">
        <w:rPr>
          <w:rFonts w:cs="Arial"/>
        </w:rPr>
        <w:t xml:space="preserve">The types of interactive gambling services that can be provided in Australia are set out in the </w:t>
      </w:r>
      <w:hyperlink r:id="rId28" w:tgtFrame="_blank" w:history="1">
        <w:r w:rsidR="00A371DF" w:rsidRPr="00CF728F">
          <w:rPr>
            <w:rStyle w:val="Hyperlink"/>
            <w:rFonts w:cs="Arial"/>
            <w:i/>
            <w:iCs/>
          </w:rPr>
          <w:t>Interactive Gambling Act 2001</w:t>
        </w:r>
      </w:hyperlink>
      <w:r w:rsidR="00A371DF" w:rsidRPr="00634510">
        <w:rPr>
          <w:rFonts w:cs="Arial"/>
        </w:rPr>
        <w:t xml:space="preserve"> (</w:t>
      </w:r>
      <w:r w:rsidR="00A371DF">
        <w:rPr>
          <w:rFonts w:cs="Arial"/>
        </w:rPr>
        <w:t xml:space="preserve">the </w:t>
      </w:r>
      <w:r w:rsidR="00A371DF" w:rsidRPr="00634510">
        <w:rPr>
          <w:rFonts w:cs="Arial"/>
        </w:rPr>
        <w:t>IGA</w:t>
      </w:r>
      <w:r w:rsidR="00A371DF">
        <w:rPr>
          <w:rFonts w:cs="Arial"/>
        </w:rPr>
        <w:t xml:space="preserve">) </w:t>
      </w:r>
      <w:r>
        <w:rPr>
          <w:rFonts w:cs="Arial"/>
        </w:rPr>
        <w:t>and include sports wagering</w:t>
      </w:r>
      <w:r w:rsidR="008E10B7">
        <w:rPr>
          <w:rFonts w:cs="Arial"/>
        </w:rPr>
        <w:t xml:space="preserve"> and lottery services</w:t>
      </w:r>
      <w:r>
        <w:rPr>
          <w:rFonts w:cs="Arial"/>
        </w:rPr>
        <w:t xml:space="preserve">. </w:t>
      </w:r>
      <w:r w:rsidR="00C95056">
        <w:rPr>
          <w:rFonts w:cs="Arial"/>
        </w:rPr>
        <w:t>I</w:t>
      </w:r>
      <w:r w:rsidR="00C95056" w:rsidRPr="00E31373">
        <w:rPr>
          <w:rFonts w:cs="Arial"/>
        </w:rPr>
        <w:t xml:space="preserve">nteractive </w:t>
      </w:r>
      <w:r w:rsidR="009B4388" w:rsidRPr="00E31373">
        <w:rPr>
          <w:rFonts w:cs="Arial"/>
        </w:rPr>
        <w:t xml:space="preserve">gambling providers </w:t>
      </w:r>
      <w:r w:rsidR="009B4388">
        <w:rPr>
          <w:rFonts w:cs="Arial"/>
        </w:rPr>
        <w:t xml:space="preserve">that </w:t>
      </w:r>
      <w:r w:rsidR="00C95056">
        <w:rPr>
          <w:rFonts w:cs="Arial"/>
        </w:rPr>
        <w:t>provide services</w:t>
      </w:r>
      <w:r w:rsidR="009B4388">
        <w:rPr>
          <w:rFonts w:cs="Arial"/>
        </w:rPr>
        <w:t xml:space="preserve"> to Australian residents must hold a</w:t>
      </w:r>
      <w:r w:rsidR="009B4388" w:rsidRPr="00E31373">
        <w:rPr>
          <w:rFonts w:cs="Arial"/>
        </w:rPr>
        <w:t xml:space="preserve"> </w:t>
      </w:r>
      <w:r w:rsidR="00AD767D">
        <w:rPr>
          <w:rFonts w:cs="Arial"/>
        </w:rPr>
        <w:t>s</w:t>
      </w:r>
      <w:r w:rsidR="009B4388" w:rsidRPr="00E31373">
        <w:rPr>
          <w:rFonts w:cs="Arial"/>
        </w:rPr>
        <w:t xml:space="preserve">tate or </w:t>
      </w:r>
      <w:r w:rsidR="00AD767D">
        <w:rPr>
          <w:rFonts w:cs="Arial"/>
        </w:rPr>
        <w:t>t</w:t>
      </w:r>
      <w:r w:rsidR="009B4388" w:rsidRPr="00E31373">
        <w:rPr>
          <w:rFonts w:cs="Arial"/>
        </w:rPr>
        <w:t xml:space="preserve">erritory </w:t>
      </w:r>
      <w:r w:rsidR="00C95056">
        <w:rPr>
          <w:rFonts w:cs="Arial"/>
        </w:rPr>
        <w:t xml:space="preserve">gambling </w:t>
      </w:r>
      <w:r w:rsidR="009B4388" w:rsidRPr="00E31373">
        <w:rPr>
          <w:rFonts w:cs="Arial"/>
        </w:rPr>
        <w:t>licence</w:t>
      </w:r>
      <w:r w:rsidR="009B4388">
        <w:rPr>
          <w:rFonts w:cs="Arial"/>
        </w:rPr>
        <w:t xml:space="preserve"> </w:t>
      </w:r>
      <w:r w:rsidR="009B4388" w:rsidRPr="00E31373">
        <w:rPr>
          <w:rFonts w:cs="Arial"/>
        </w:rPr>
        <w:t>to operate</w:t>
      </w:r>
      <w:r w:rsidR="00C74031">
        <w:rPr>
          <w:rFonts w:cs="Arial"/>
        </w:rPr>
        <w:t>. P</w:t>
      </w:r>
      <w:r w:rsidR="006C587D">
        <w:rPr>
          <w:rFonts w:cs="Arial"/>
        </w:rPr>
        <w:t>roviding</w:t>
      </w:r>
      <w:r w:rsidR="003540B2">
        <w:rPr>
          <w:rFonts w:cs="Arial"/>
        </w:rPr>
        <w:t xml:space="preserve"> </w:t>
      </w:r>
      <w:r w:rsidR="00C74031">
        <w:rPr>
          <w:rFonts w:cs="Arial"/>
        </w:rPr>
        <w:t>certain</w:t>
      </w:r>
      <w:r w:rsidR="008D11AA">
        <w:rPr>
          <w:rFonts w:cs="Arial"/>
        </w:rPr>
        <w:t xml:space="preserve"> forms of</w:t>
      </w:r>
      <w:r w:rsidR="00E31373" w:rsidRPr="00E31373">
        <w:rPr>
          <w:rFonts w:cs="Arial"/>
        </w:rPr>
        <w:t xml:space="preserve"> interactive gambling services</w:t>
      </w:r>
      <w:r w:rsidR="006C587D">
        <w:rPr>
          <w:rFonts w:cs="Arial"/>
        </w:rPr>
        <w:t xml:space="preserve"> –</w:t>
      </w:r>
      <w:r w:rsidR="00E31373" w:rsidRPr="00E31373">
        <w:rPr>
          <w:rFonts w:cs="Arial"/>
        </w:rPr>
        <w:t xml:space="preserve"> </w:t>
      </w:r>
      <w:r w:rsidR="00135027">
        <w:rPr>
          <w:rFonts w:cs="Arial"/>
        </w:rPr>
        <w:t>including</w:t>
      </w:r>
      <w:r w:rsidR="00E31373" w:rsidRPr="00E31373">
        <w:rPr>
          <w:rFonts w:cs="Arial"/>
        </w:rPr>
        <w:t xml:space="preserve"> </w:t>
      </w:r>
      <w:r w:rsidR="005E7318">
        <w:rPr>
          <w:rFonts w:cs="Arial"/>
        </w:rPr>
        <w:t xml:space="preserve">games of chance such as </w:t>
      </w:r>
      <w:r w:rsidR="00E31373" w:rsidRPr="00E31373">
        <w:rPr>
          <w:rFonts w:cs="Arial"/>
        </w:rPr>
        <w:t>online casinos</w:t>
      </w:r>
      <w:r w:rsidR="005E7318">
        <w:rPr>
          <w:rFonts w:cs="Arial"/>
        </w:rPr>
        <w:t xml:space="preserve"> and</w:t>
      </w:r>
      <w:r w:rsidR="00E31373" w:rsidRPr="00E31373">
        <w:rPr>
          <w:rFonts w:cs="Arial"/>
        </w:rPr>
        <w:t xml:space="preserve"> online ‘scratchies’</w:t>
      </w:r>
      <w:r w:rsidR="005E7318">
        <w:rPr>
          <w:rFonts w:cs="Arial"/>
        </w:rPr>
        <w:t xml:space="preserve">, </w:t>
      </w:r>
      <w:r w:rsidR="008C449D">
        <w:rPr>
          <w:rFonts w:cs="Arial"/>
        </w:rPr>
        <w:t xml:space="preserve">along with </w:t>
      </w:r>
      <w:r w:rsidR="008C449D" w:rsidRPr="00E31373">
        <w:rPr>
          <w:rFonts w:cs="Arial"/>
        </w:rPr>
        <w:t>in-play sports betting</w:t>
      </w:r>
      <w:r w:rsidR="008C449D">
        <w:rPr>
          <w:rFonts w:cs="Arial"/>
        </w:rPr>
        <w:t xml:space="preserve"> </w:t>
      </w:r>
      <w:r w:rsidR="006C587D">
        <w:rPr>
          <w:rFonts w:cs="Arial"/>
        </w:rPr>
        <w:t>– is</w:t>
      </w:r>
      <w:r w:rsidR="003540B2">
        <w:rPr>
          <w:rFonts w:cs="Arial"/>
        </w:rPr>
        <w:t xml:space="preserve"> </w:t>
      </w:r>
      <w:r w:rsidR="00E33E72">
        <w:rPr>
          <w:rFonts w:cs="Arial"/>
        </w:rPr>
        <w:t xml:space="preserve">strictly </w:t>
      </w:r>
      <w:r w:rsidR="003540B2">
        <w:rPr>
          <w:rFonts w:cs="Arial"/>
        </w:rPr>
        <w:t>prohibited</w:t>
      </w:r>
      <w:r w:rsidR="00E31373" w:rsidRPr="00E31373">
        <w:rPr>
          <w:rFonts w:cs="Arial"/>
        </w:rPr>
        <w:t>.</w:t>
      </w:r>
      <w:r w:rsidR="002255E9">
        <w:rPr>
          <w:rStyle w:val="FootnoteReference"/>
          <w:rFonts w:cs="Arial"/>
        </w:rPr>
        <w:footnoteReference w:id="6"/>
      </w:r>
    </w:p>
    <w:p w14:paraId="54E92447" w14:textId="477E8641" w:rsidR="00470C8D" w:rsidRDefault="00BF5C2C" w:rsidP="00470C8D">
      <w:pPr>
        <w:pStyle w:val="Paragraph"/>
      </w:pPr>
      <w:r>
        <w:t xml:space="preserve">According to </w:t>
      </w:r>
      <w:r w:rsidR="00167D7C">
        <w:t xml:space="preserve">separate </w:t>
      </w:r>
      <w:r>
        <w:t>research conducted by the</w:t>
      </w:r>
      <w:r w:rsidR="00F719A7">
        <w:t xml:space="preserve"> ACMA and the</w:t>
      </w:r>
      <w:r>
        <w:t xml:space="preserve"> </w:t>
      </w:r>
      <w:r w:rsidRPr="002A5305">
        <w:t>Australian Institute of Family Studies (AIFS)</w:t>
      </w:r>
      <w:r>
        <w:t>, Australians bet more than ever</w:t>
      </w:r>
      <w:r w:rsidRPr="002A5305">
        <w:t xml:space="preserve"> during </w:t>
      </w:r>
      <w:r w:rsidR="006D2941">
        <w:t xml:space="preserve">the </w:t>
      </w:r>
      <w:r w:rsidR="005B1EBB">
        <w:t>COVID</w:t>
      </w:r>
      <w:r w:rsidRPr="002A5305">
        <w:t>-19</w:t>
      </w:r>
      <w:r w:rsidR="006D2941">
        <w:t xml:space="preserve"> pandemic</w:t>
      </w:r>
      <w:r>
        <w:t>,</w:t>
      </w:r>
      <w:r w:rsidRPr="002A5305">
        <w:t xml:space="preserve"> despite limited access to </w:t>
      </w:r>
      <w:r>
        <w:t xml:space="preserve">physical </w:t>
      </w:r>
      <w:r w:rsidRPr="002A5305">
        <w:t>gambling venues</w:t>
      </w:r>
      <w:r>
        <w:t>.</w:t>
      </w:r>
      <w:r>
        <w:rPr>
          <w:rStyle w:val="FootnoteReference"/>
        </w:rPr>
        <w:footnoteReference w:id="7"/>
      </w:r>
      <w:r>
        <w:t xml:space="preserve"> </w:t>
      </w:r>
      <w:r w:rsidR="0048708B">
        <w:t>ACMA s</w:t>
      </w:r>
      <w:r w:rsidR="00D83F71">
        <w:t xml:space="preserve">urvey data </w:t>
      </w:r>
      <w:r w:rsidR="000E2F27">
        <w:t>reveals that after years of relative stability, the prevalence of online gambling (excluding lotteries) increased in 2021</w:t>
      </w:r>
      <w:r w:rsidR="00CB10CB">
        <w:t xml:space="preserve">. In the 6 months to June 2021, more than </w:t>
      </w:r>
      <w:r w:rsidR="00323AB1">
        <w:t>one</w:t>
      </w:r>
      <w:r w:rsidR="00CB10CB">
        <w:t xml:space="preserve"> in 10 Australian adults reported they had gambled online, up from </w:t>
      </w:r>
      <w:r w:rsidR="00323AB1">
        <w:t>one</w:t>
      </w:r>
      <w:r w:rsidR="00CB10CB">
        <w:t xml:space="preserve"> in 8 in 2020</w:t>
      </w:r>
      <w:r w:rsidR="00AF38B4">
        <w:t>. Further</w:t>
      </w:r>
      <w:r w:rsidR="00A5245F">
        <w:t>more</w:t>
      </w:r>
      <w:r w:rsidR="00AF38B4">
        <w:t>,</w:t>
      </w:r>
      <w:r w:rsidR="00CB10CB">
        <w:t xml:space="preserve"> </w:t>
      </w:r>
      <w:r w:rsidR="00C95F66">
        <w:t xml:space="preserve">7% </w:t>
      </w:r>
      <w:r w:rsidR="00CB10CB">
        <w:t>reported a higher frequency than before the pandemic.</w:t>
      </w:r>
      <w:r w:rsidR="00470C8D">
        <w:rPr>
          <w:rStyle w:val="FootnoteReference"/>
        </w:rPr>
        <w:footnoteReference w:id="8"/>
      </w:r>
      <w:r w:rsidR="008242F9">
        <w:t xml:space="preserve"> </w:t>
      </w:r>
    </w:p>
    <w:p w14:paraId="78A1BD9F" w14:textId="77777777" w:rsidR="00E63EBE" w:rsidRDefault="00E63EBE" w:rsidP="00E63EBE">
      <w:pPr>
        <w:pStyle w:val="Figureheading"/>
      </w:pPr>
      <w:r>
        <w:t>Australians participating in online gambling, excluding lotteries (%)</w:t>
      </w:r>
    </w:p>
    <w:p w14:paraId="53CBB0B0" w14:textId="77777777" w:rsidR="00323AB1" w:rsidRDefault="00E63EBE" w:rsidP="00BF79A4">
      <w:pPr>
        <w:pStyle w:val="Tableorfigurenotemultiple"/>
        <w:spacing w:before="240"/>
      </w:pPr>
      <w:r w:rsidRPr="00E74F38">
        <w:rPr>
          <w:noProof/>
        </w:rPr>
        <w:drawing>
          <wp:inline distT="0" distB="0" distL="0" distR="0" wp14:anchorId="12F78FA2" wp14:editId="1D6D66FD">
            <wp:extent cx="4826635" cy="1442720"/>
            <wp:effectExtent l="0" t="0" r="0" b="5080"/>
            <wp:docPr id="39" name="Chart 39" descr="Graph shows 8% in 2017, 7% in 2018, 8% in 2019 and 2020, and 11% in 2021.">
              <a:extLst xmlns:a="http://schemas.openxmlformats.org/drawingml/2006/main">
                <a:ext uri="{FF2B5EF4-FFF2-40B4-BE49-F238E27FC236}">
                  <a16:creationId xmlns:a16="http://schemas.microsoft.com/office/drawing/2014/main" id="{1DBB55C9-D5CD-43AA-870B-313D97F310D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r w:rsidRPr="00E74F38">
        <w:rPr>
          <w:rFonts w:ascii="Wingdings" w:eastAsia="Wingdings" w:hAnsi="Wingdings" w:cs="Wingdings"/>
          <w:iCs/>
          <w:color w:val="00B050"/>
          <w:lang w:val="en-US"/>
        </w:rPr>
        <w:t>á</w:t>
      </w:r>
      <w:r>
        <w:rPr>
          <w:lang w:val="en-US"/>
        </w:rPr>
        <w:t xml:space="preserve"> Significantly different to previous period at the 95% confidence level</w:t>
      </w:r>
      <w:r w:rsidR="00323AB1">
        <w:rPr>
          <w:lang w:val="en-US"/>
        </w:rPr>
        <w:t>.</w:t>
      </w:r>
    </w:p>
    <w:p w14:paraId="6FF4874D" w14:textId="73EFDE73" w:rsidR="00E63EBE" w:rsidRDefault="00E63EBE" w:rsidP="00202E21">
      <w:pPr>
        <w:pStyle w:val="Tableorfigurenotemultiple"/>
      </w:pPr>
      <w:r w:rsidRPr="00551CE0">
        <w:t>D8. Please indicate whether or not you have done any of the following in the past 6 months at home or elsewhere.</w:t>
      </w:r>
      <w:r>
        <w:t xml:space="preserve"> </w:t>
      </w:r>
      <w:r w:rsidRPr="00551CE0">
        <w:t>k. Online gambling (e.g. using a website or app to bet on racing, sports matches or to play pokies/slots or casino style games)</w:t>
      </w:r>
      <w:r w:rsidR="00323AB1">
        <w:t>.</w:t>
      </w:r>
    </w:p>
    <w:p w14:paraId="3218CE3D" w14:textId="42396D6E" w:rsidR="00A11FDA" w:rsidRDefault="00DA4231" w:rsidP="002A0678">
      <w:pPr>
        <w:rPr>
          <w:rFonts w:cs="Arial"/>
        </w:rPr>
      </w:pPr>
      <w:r>
        <w:rPr>
          <w:rFonts w:cs="Arial"/>
        </w:rPr>
        <w:lastRenderedPageBreak/>
        <w:t xml:space="preserve">Within </w:t>
      </w:r>
      <w:r w:rsidR="00BF5C2C">
        <w:rPr>
          <w:rFonts w:cs="Arial"/>
        </w:rPr>
        <w:t>the</w:t>
      </w:r>
      <w:r w:rsidR="0040136F">
        <w:rPr>
          <w:rFonts w:cs="Arial"/>
        </w:rPr>
        <w:t xml:space="preserve"> interactive gambling</w:t>
      </w:r>
      <w:r>
        <w:rPr>
          <w:rFonts w:cs="Arial"/>
        </w:rPr>
        <w:t xml:space="preserve"> segment, </w:t>
      </w:r>
      <w:r w:rsidR="00021F6B">
        <w:rPr>
          <w:rFonts w:cs="Arial"/>
        </w:rPr>
        <w:t>illegal i</w:t>
      </w:r>
      <w:r w:rsidR="00842A8C" w:rsidRPr="00842A8C">
        <w:rPr>
          <w:rFonts w:cs="Arial"/>
        </w:rPr>
        <w:t xml:space="preserve">nteractive gambling (such as online casinos) </w:t>
      </w:r>
      <w:r w:rsidR="00021F6B">
        <w:rPr>
          <w:rFonts w:cs="Arial"/>
        </w:rPr>
        <w:t xml:space="preserve">has a </w:t>
      </w:r>
      <w:r w:rsidR="00021F6B" w:rsidRPr="006044D2">
        <w:rPr>
          <w:rFonts w:cs="Arial"/>
        </w:rPr>
        <w:t>significant presence.</w:t>
      </w:r>
      <w:r w:rsidR="00021F6B" w:rsidRPr="006044D2">
        <w:rPr>
          <w:rStyle w:val="FootnoteReference"/>
          <w:rFonts w:cs="Arial"/>
        </w:rPr>
        <w:footnoteReference w:id="9"/>
      </w:r>
      <w:r w:rsidR="00BF5C2C">
        <w:rPr>
          <w:rFonts w:cs="Arial"/>
        </w:rPr>
        <w:t xml:space="preserve"> </w:t>
      </w:r>
      <w:r w:rsidR="00267357" w:rsidRPr="00267357">
        <w:rPr>
          <w:rFonts w:cs="Arial"/>
        </w:rPr>
        <w:t xml:space="preserve">Research suggests </w:t>
      </w:r>
      <w:r w:rsidR="004D1C21">
        <w:rPr>
          <w:rFonts w:cs="Arial"/>
        </w:rPr>
        <w:t>the value of illegal interactive market may be</w:t>
      </w:r>
      <w:r w:rsidR="00267357" w:rsidRPr="00267357">
        <w:rPr>
          <w:rFonts w:cs="Arial"/>
        </w:rPr>
        <w:t xml:space="preserve"> </w:t>
      </w:r>
      <w:r w:rsidR="00267357" w:rsidRPr="004D142C">
        <w:rPr>
          <w:rFonts w:cs="Arial"/>
        </w:rPr>
        <w:t>A$0.3 billion,</w:t>
      </w:r>
      <w:r w:rsidR="00267357" w:rsidRPr="00267357">
        <w:rPr>
          <w:rFonts w:cs="Arial"/>
        </w:rPr>
        <w:t xml:space="preserve"> with a profit margin of around </w:t>
      </w:r>
      <w:r w:rsidR="00184261">
        <w:rPr>
          <w:rFonts w:cs="Arial"/>
        </w:rPr>
        <w:t>20</w:t>
      </w:r>
      <w:r w:rsidR="008033A9">
        <w:rPr>
          <w:rFonts w:cs="Arial"/>
        </w:rPr>
        <w:t>%</w:t>
      </w:r>
      <w:r w:rsidR="00184261">
        <w:rPr>
          <w:rFonts w:cs="Arial"/>
        </w:rPr>
        <w:t xml:space="preserve"> </w:t>
      </w:r>
      <w:r w:rsidR="00267357" w:rsidRPr="00267357">
        <w:rPr>
          <w:rFonts w:cs="Arial"/>
        </w:rPr>
        <w:t xml:space="preserve">and turnover of </w:t>
      </w:r>
      <w:r w:rsidR="00323AB1">
        <w:rPr>
          <w:rFonts w:cs="Arial"/>
        </w:rPr>
        <w:t>A</w:t>
      </w:r>
      <w:r w:rsidR="00267357" w:rsidRPr="00267357">
        <w:rPr>
          <w:rFonts w:cs="Arial"/>
        </w:rPr>
        <w:t>$1.5</w:t>
      </w:r>
      <w:r w:rsidR="00326E04">
        <w:rPr>
          <w:rFonts w:cs="Arial"/>
        </w:rPr>
        <w:t> </w:t>
      </w:r>
      <w:r w:rsidR="00267357" w:rsidRPr="00267357">
        <w:rPr>
          <w:rFonts w:cs="Arial"/>
        </w:rPr>
        <w:t xml:space="preserve">billion. </w:t>
      </w:r>
      <w:r w:rsidR="00E33C16">
        <w:rPr>
          <w:rFonts w:cs="Arial"/>
        </w:rPr>
        <w:t>Despite</w:t>
      </w:r>
      <w:r w:rsidR="007565D8">
        <w:rPr>
          <w:rFonts w:cs="Arial"/>
        </w:rPr>
        <w:t xml:space="preserve"> making up</w:t>
      </w:r>
      <w:r w:rsidR="00E33C16">
        <w:rPr>
          <w:rFonts w:cs="Arial"/>
        </w:rPr>
        <w:t xml:space="preserve"> just</w:t>
      </w:r>
      <w:r w:rsidR="007565D8">
        <w:rPr>
          <w:rFonts w:cs="Arial"/>
        </w:rPr>
        <w:t xml:space="preserve"> </w:t>
      </w:r>
      <w:r w:rsidR="000C1842">
        <w:rPr>
          <w:rFonts w:cs="Arial"/>
        </w:rPr>
        <w:t>6</w:t>
      </w:r>
      <w:r w:rsidR="00AB3F43">
        <w:rPr>
          <w:rFonts w:cs="Arial"/>
        </w:rPr>
        <w:t>%</w:t>
      </w:r>
      <w:r w:rsidR="00DF227D">
        <w:rPr>
          <w:rFonts w:cs="Arial"/>
        </w:rPr>
        <w:t xml:space="preserve"> </w:t>
      </w:r>
      <w:r w:rsidR="007565D8">
        <w:rPr>
          <w:rFonts w:cs="Arial"/>
        </w:rPr>
        <w:t xml:space="preserve">of the overall market, </w:t>
      </w:r>
      <w:r w:rsidR="00023D66">
        <w:rPr>
          <w:rFonts w:cs="Arial"/>
        </w:rPr>
        <w:t xml:space="preserve">the profit margin for this sector </w:t>
      </w:r>
      <w:r w:rsidR="007565D8">
        <w:rPr>
          <w:rFonts w:cs="Arial"/>
        </w:rPr>
        <w:t>is almost double that of</w:t>
      </w:r>
      <w:r w:rsidR="00267357" w:rsidRPr="00267357">
        <w:rPr>
          <w:rFonts w:cs="Arial"/>
        </w:rPr>
        <w:t xml:space="preserve"> the legal gambling sector in Australia</w:t>
      </w:r>
      <w:r w:rsidR="00731699">
        <w:rPr>
          <w:rFonts w:cs="Arial"/>
        </w:rPr>
        <w:t>.</w:t>
      </w:r>
      <w:r w:rsidR="00022F08">
        <w:rPr>
          <w:rStyle w:val="FootnoteReference"/>
          <w:rFonts w:cs="Arial"/>
        </w:rPr>
        <w:footnoteReference w:id="10"/>
      </w:r>
      <w:r w:rsidR="00267357" w:rsidRPr="00267357">
        <w:rPr>
          <w:rFonts w:cs="Arial"/>
        </w:rPr>
        <w:t xml:space="preserve"> </w:t>
      </w:r>
    </w:p>
    <w:p w14:paraId="11C713B3" w14:textId="11A4768B" w:rsidR="00387B3F" w:rsidRDefault="00387B3F" w:rsidP="00570C13">
      <w:pPr>
        <w:pStyle w:val="Heading2"/>
      </w:pPr>
      <w:bookmarkStart w:id="8" w:name="_Toc88480165"/>
      <w:r>
        <w:t>Affiliate marketing</w:t>
      </w:r>
      <w:bookmarkEnd w:id="8"/>
    </w:p>
    <w:p w14:paraId="6B9E65A6" w14:textId="295089E6" w:rsidR="00B61829" w:rsidRDefault="00D92027" w:rsidP="00B773E3">
      <w:pPr>
        <w:spacing w:after="120"/>
        <w:rPr>
          <w:rFonts w:cs="Arial"/>
        </w:rPr>
      </w:pPr>
      <w:r w:rsidRPr="004E2C34">
        <w:rPr>
          <w:rFonts w:cs="Arial"/>
        </w:rPr>
        <w:t xml:space="preserve">Affiliate </w:t>
      </w:r>
      <w:r w:rsidR="00E10579">
        <w:rPr>
          <w:rFonts w:cs="Arial"/>
        </w:rPr>
        <w:t>marketer</w:t>
      </w:r>
      <w:r w:rsidR="00C76C5E">
        <w:rPr>
          <w:rFonts w:cs="Arial"/>
        </w:rPr>
        <w:t>s</w:t>
      </w:r>
      <w:r w:rsidR="00E10579">
        <w:rPr>
          <w:rFonts w:cs="Arial"/>
        </w:rPr>
        <w:t xml:space="preserve"> </w:t>
      </w:r>
      <w:r w:rsidR="00A31AF1">
        <w:rPr>
          <w:rFonts w:cs="Arial"/>
        </w:rPr>
        <w:t xml:space="preserve">are </w:t>
      </w:r>
      <w:r w:rsidR="00E10579">
        <w:rPr>
          <w:rFonts w:cs="Arial"/>
        </w:rPr>
        <w:t>third-party</w:t>
      </w:r>
      <w:r w:rsidRPr="004E2C34">
        <w:rPr>
          <w:rFonts w:cs="Arial"/>
        </w:rPr>
        <w:t xml:space="preserve"> companies</w:t>
      </w:r>
      <w:r>
        <w:rPr>
          <w:rFonts w:cs="Arial"/>
        </w:rPr>
        <w:t xml:space="preserve"> </w:t>
      </w:r>
      <w:r w:rsidRPr="004E2C34">
        <w:rPr>
          <w:rFonts w:cs="Arial"/>
        </w:rPr>
        <w:t>or individuals</w:t>
      </w:r>
      <w:r>
        <w:rPr>
          <w:rFonts w:cs="Arial"/>
        </w:rPr>
        <w:t xml:space="preserve"> </w:t>
      </w:r>
      <w:r w:rsidR="005F3A79">
        <w:rPr>
          <w:rFonts w:cs="Arial"/>
        </w:rPr>
        <w:t>paid to direct</w:t>
      </w:r>
      <w:r w:rsidRPr="004E2C34">
        <w:rPr>
          <w:rFonts w:cs="Arial"/>
        </w:rPr>
        <w:t xml:space="preserve"> </w:t>
      </w:r>
      <w:r w:rsidR="008754B1">
        <w:rPr>
          <w:rFonts w:cs="Arial"/>
        </w:rPr>
        <w:t>consumers</w:t>
      </w:r>
      <w:r w:rsidRPr="004E2C34">
        <w:rPr>
          <w:rFonts w:cs="Arial"/>
        </w:rPr>
        <w:t xml:space="preserve"> towards a specific product</w:t>
      </w:r>
      <w:r>
        <w:rPr>
          <w:rFonts w:cs="Arial"/>
        </w:rPr>
        <w:t>, service or brand</w:t>
      </w:r>
      <w:r w:rsidR="00A31AF1">
        <w:rPr>
          <w:rFonts w:cs="Arial"/>
        </w:rPr>
        <w:t xml:space="preserve">. Affiliate marketing is </w:t>
      </w:r>
      <w:r w:rsidR="001077BA">
        <w:rPr>
          <w:rFonts w:cs="Arial"/>
        </w:rPr>
        <w:t>commonplace across a range of</w:t>
      </w:r>
      <w:r w:rsidR="00E90C24">
        <w:rPr>
          <w:rFonts w:cs="Arial"/>
        </w:rPr>
        <w:t xml:space="preserve"> </w:t>
      </w:r>
      <w:r w:rsidR="001077BA">
        <w:rPr>
          <w:rFonts w:cs="Arial"/>
        </w:rPr>
        <w:t>industries</w:t>
      </w:r>
      <w:r w:rsidR="00E90C24">
        <w:rPr>
          <w:rFonts w:cs="Arial"/>
        </w:rPr>
        <w:t>.</w:t>
      </w:r>
      <w:r>
        <w:rPr>
          <w:rStyle w:val="FootnoteReference"/>
          <w:rFonts w:cs="Arial"/>
        </w:rPr>
        <w:footnoteReference w:id="11"/>
      </w:r>
      <w:r>
        <w:rPr>
          <w:rFonts w:cs="Arial"/>
        </w:rPr>
        <w:t xml:space="preserve"> </w:t>
      </w:r>
      <w:r w:rsidR="00B61829">
        <w:rPr>
          <w:rFonts w:cs="Arial"/>
        </w:rPr>
        <w:t>The</w:t>
      </w:r>
      <w:r w:rsidR="005B6583">
        <w:rPr>
          <w:rFonts w:cs="Arial"/>
        </w:rPr>
        <w:t xml:space="preserve"> </w:t>
      </w:r>
      <w:r w:rsidR="006B1F7F">
        <w:rPr>
          <w:rFonts w:cs="Arial"/>
        </w:rPr>
        <w:t>Advertising Standards Authority (UK)</w:t>
      </w:r>
      <w:r w:rsidR="00B61829">
        <w:rPr>
          <w:rFonts w:cs="Arial"/>
        </w:rPr>
        <w:t xml:space="preserve"> defines affiliate marketing as:</w:t>
      </w:r>
    </w:p>
    <w:p w14:paraId="5DE969D3" w14:textId="18EB6E40" w:rsidR="00B61829" w:rsidRPr="00B773E3" w:rsidRDefault="00B61829" w:rsidP="005B6583">
      <w:pPr>
        <w:ind w:left="284"/>
        <w:rPr>
          <w:rFonts w:cs="Arial"/>
          <w:sz w:val="18"/>
          <w:szCs w:val="18"/>
        </w:rPr>
      </w:pPr>
      <w:r w:rsidRPr="00B773E3">
        <w:rPr>
          <w:rFonts w:cs="Arial"/>
          <w:sz w:val="18"/>
          <w:szCs w:val="18"/>
        </w:rPr>
        <w:t xml:space="preserve">…  a type of performance-based marketing where an affiliate is rewarded by a business for each new customer attracted by their marketing efforts, usually with a pre-agreed </w:t>
      </w:r>
      <w:r w:rsidR="001A32FC" w:rsidRPr="00B773E3">
        <w:rPr>
          <w:rFonts w:cs="Arial"/>
          <w:sz w:val="18"/>
          <w:szCs w:val="18"/>
        </w:rPr>
        <w:t>percent</w:t>
      </w:r>
      <w:r w:rsidRPr="00B773E3">
        <w:rPr>
          <w:rFonts w:cs="Arial"/>
          <w:sz w:val="18"/>
          <w:szCs w:val="18"/>
        </w:rPr>
        <w:t>age of each sale. Affiliates typically place ads and links online that direct consumers to the website of a company</w:t>
      </w:r>
      <w:r w:rsidR="005B6583" w:rsidRPr="00B773E3">
        <w:rPr>
          <w:rFonts w:cs="Arial"/>
          <w:i/>
          <w:iCs/>
          <w:sz w:val="18"/>
          <w:szCs w:val="18"/>
        </w:rPr>
        <w:t>.</w:t>
      </w:r>
      <w:r w:rsidR="005B6583" w:rsidRPr="00B773E3">
        <w:rPr>
          <w:rStyle w:val="FootnoteReference"/>
          <w:rFonts w:cs="Arial"/>
          <w:sz w:val="18"/>
          <w:szCs w:val="18"/>
        </w:rPr>
        <w:footnoteReference w:id="12"/>
      </w:r>
    </w:p>
    <w:p w14:paraId="15E28F45" w14:textId="5CB47BA4" w:rsidR="00403DA4" w:rsidRPr="0072139D" w:rsidRDefault="00E90C24" w:rsidP="0072139D">
      <w:r>
        <w:rPr>
          <w:rFonts w:cs="Arial"/>
        </w:rPr>
        <w:t>Affiliate</w:t>
      </w:r>
      <w:r w:rsidR="005C7B5D">
        <w:rPr>
          <w:rFonts w:cs="Arial"/>
        </w:rPr>
        <w:t xml:space="preserve"> gambling</w:t>
      </w:r>
      <w:r>
        <w:rPr>
          <w:rFonts w:cs="Arial"/>
        </w:rPr>
        <w:t xml:space="preserve"> marketers </w:t>
      </w:r>
      <w:r w:rsidR="002D09F4">
        <w:rPr>
          <w:rFonts w:cs="Arial"/>
        </w:rPr>
        <w:t>differ</w:t>
      </w:r>
      <w:r w:rsidR="00323AB1">
        <w:rPr>
          <w:rFonts w:cs="Arial"/>
        </w:rPr>
        <w:t>,</w:t>
      </w:r>
      <w:r w:rsidR="002D198F">
        <w:rPr>
          <w:rFonts w:cs="Arial"/>
        </w:rPr>
        <w:t xml:space="preserve"> </w:t>
      </w:r>
      <w:r w:rsidR="00980B20">
        <w:rPr>
          <w:rFonts w:cs="Arial"/>
        </w:rPr>
        <w:t xml:space="preserve">in that </w:t>
      </w:r>
      <w:r w:rsidR="005C7B5D">
        <w:rPr>
          <w:rFonts w:cs="Arial"/>
        </w:rPr>
        <w:t xml:space="preserve">their </w:t>
      </w:r>
      <w:r w:rsidR="00980B20">
        <w:rPr>
          <w:rFonts w:cs="Arial"/>
        </w:rPr>
        <w:t>success</w:t>
      </w:r>
      <w:r w:rsidR="00FB472C">
        <w:rPr>
          <w:rFonts w:cs="Arial"/>
        </w:rPr>
        <w:t xml:space="preserve"> </w:t>
      </w:r>
      <w:r w:rsidR="00403DA4">
        <w:rPr>
          <w:rFonts w:cs="Arial"/>
        </w:rPr>
        <w:t xml:space="preserve">often </w:t>
      </w:r>
      <w:r w:rsidR="00980B20">
        <w:rPr>
          <w:rFonts w:cs="Arial"/>
        </w:rPr>
        <w:t>derive</w:t>
      </w:r>
      <w:r w:rsidR="00C31C34">
        <w:rPr>
          <w:rFonts w:cs="Arial"/>
        </w:rPr>
        <w:t>s</w:t>
      </w:r>
      <w:r>
        <w:rPr>
          <w:rFonts w:cs="Arial"/>
        </w:rPr>
        <w:t xml:space="preserve"> </w:t>
      </w:r>
      <w:r w:rsidR="00BA46AC">
        <w:rPr>
          <w:rFonts w:cs="Arial"/>
        </w:rPr>
        <w:t xml:space="preserve">directly </w:t>
      </w:r>
      <w:r w:rsidR="00980B20">
        <w:rPr>
          <w:rFonts w:cs="Arial"/>
        </w:rPr>
        <w:t xml:space="preserve">from </w:t>
      </w:r>
      <w:r w:rsidR="00B215D6">
        <w:rPr>
          <w:rFonts w:cs="Arial"/>
        </w:rPr>
        <w:t xml:space="preserve">the </w:t>
      </w:r>
      <w:r w:rsidR="00B215D6" w:rsidRPr="393ADA88">
        <w:rPr>
          <w:rFonts w:cs="Arial"/>
        </w:rPr>
        <w:t xml:space="preserve">financial </w:t>
      </w:r>
      <w:r w:rsidR="00980B20" w:rsidRPr="393ADA88">
        <w:rPr>
          <w:rFonts w:cs="Arial"/>
        </w:rPr>
        <w:t xml:space="preserve">loss </w:t>
      </w:r>
      <w:r w:rsidR="00C31C34" w:rsidRPr="393ADA88">
        <w:rPr>
          <w:rFonts w:cs="Arial"/>
        </w:rPr>
        <w:t>of</w:t>
      </w:r>
      <w:r w:rsidR="00980B20" w:rsidRPr="393ADA88">
        <w:rPr>
          <w:rFonts w:cs="Arial"/>
        </w:rPr>
        <w:t xml:space="preserve"> </w:t>
      </w:r>
      <w:r w:rsidR="00D81483" w:rsidRPr="393ADA88">
        <w:rPr>
          <w:rFonts w:cs="Arial"/>
        </w:rPr>
        <w:t xml:space="preserve">the </w:t>
      </w:r>
      <w:r w:rsidR="00980B20" w:rsidRPr="393ADA88">
        <w:rPr>
          <w:rFonts w:cs="Arial"/>
        </w:rPr>
        <w:t>consumer</w:t>
      </w:r>
      <w:r w:rsidR="00FB472C" w:rsidRPr="393ADA88">
        <w:rPr>
          <w:rFonts w:cs="Arial"/>
        </w:rPr>
        <w:t>s</w:t>
      </w:r>
      <w:r w:rsidR="00980B20" w:rsidRPr="393ADA88">
        <w:rPr>
          <w:rFonts w:cs="Arial"/>
        </w:rPr>
        <w:t xml:space="preserve"> </w:t>
      </w:r>
      <w:r w:rsidR="005C7B5D" w:rsidRPr="393ADA88">
        <w:rPr>
          <w:rFonts w:cs="Arial"/>
        </w:rPr>
        <w:t>they engage with</w:t>
      </w:r>
      <w:r w:rsidR="00980B20" w:rsidRPr="393ADA88">
        <w:rPr>
          <w:rFonts w:cs="Arial"/>
        </w:rPr>
        <w:t>.</w:t>
      </w:r>
      <w:r w:rsidR="00125B61" w:rsidRPr="393ADA88">
        <w:rPr>
          <w:rStyle w:val="FootnoteReference"/>
          <w:rFonts w:cs="Arial"/>
        </w:rPr>
        <w:footnoteReference w:id="13"/>
      </w:r>
      <w:r w:rsidR="00980B20" w:rsidRPr="393ADA88">
        <w:rPr>
          <w:rFonts w:cs="Arial"/>
        </w:rPr>
        <w:t xml:space="preserve"> </w:t>
      </w:r>
      <w:r w:rsidR="00403DA4" w:rsidRPr="393ADA88">
        <w:rPr>
          <w:rFonts w:cs="Arial"/>
        </w:rPr>
        <w:t>The</w:t>
      </w:r>
      <w:r w:rsidR="000123F7" w:rsidRPr="393ADA88">
        <w:rPr>
          <w:rFonts w:cs="Arial"/>
        </w:rPr>
        <w:t xml:space="preserve"> </w:t>
      </w:r>
      <w:r w:rsidR="00CE54BB" w:rsidRPr="393ADA88">
        <w:rPr>
          <w:rFonts w:cs="Arial"/>
        </w:rPr>
        <w:t xml:space="preserve">gambling </w:t>
      </w:r>
      <w:r w:rsidR="00347EC1" w:rsidRPr="393ADA88">
        <w:rPr>
          <w:rFonts w:cs="Arial"/>
        </w:rPr>
        <w:t xml:space="preserve">affiliate </w:t>
      </w:r>
      <w:r w:rsidR="002000A8" w:rsidRPr="393ADA88">
        <w:rPr>
          <w:rFonts w:cs="Arial"/>
        </w:rPr>
        <w:t xml:space="preserve">will often receive </w:t>
      </w:r>
      <w:r w:rsidR="00347EC1" w:rsidRPr="393ADA88">
        <w:rPr>
          <w:rFonts w:cs="Arial"/>
        </w:rPr>
        <w:t xml:space="preserve">a percentage of the revenue </w:t>
      </w:r>
      <w:r w:rsidR="002D09F4" w:rsidRPr="393ADA88">
        <w:rPr>
          <w:rFonts w:cs="Arial"/>
        </w:rPr>
        <w:t>(</w:t>
      </w:r>
      <w:r w:rsidR="00323AB1" w:rsidRPr="393ADA88">
        <w:rPr>
          <w:rFonts w:cs="Arial"/>
        </w:rPr>
        <w:t>that is,</w:t>
      </w:r>
      <w:r w:rsidR="002D09F4" w:rsidRPr="393ADA88">
        <w:rPr>
          <w:rFonts w:cs="Arial"/>
        </w:rPr>
        <w:t xml:space="preserve"> the losses</w:t>
      </w:r>
      <w:r w:rsidR="200B8B94" w:rsidRPr="393ADA88">
        <w:rPr>
          <w:rFonts w:cs="Arial"/>
        </w:rPr>
        <w:t xml:space="preserve"> incurred by consumers</w:t>
      </w:r>
      <w:r w:rsidR="002D09F4" w:rsidRPr="393ADA88">
        <w:rPr>
          <w:rFonts w:cs="Arial"/>
        </w:rPr>
        <w:t xml:space="preserve">) </w:t>
      </w:r>
      <w:r w:rsidR="00347EC1" w:rsidRPr="393ADA88">
        <w:rPr>
          <w:rFonts w:cs="Arial"/>
        </w:rPr>
        <w:t xml:space="preserve">the gambling provider </w:t>
      </w:r>
      <w:r w:rsidR="00323AB1" w:rsidRPr="393ADA88">
        <w:rPr>
          <w:rFonts w:cs="Arial"/>
        </w:rPr>
        <w:t xml:space="preserve">makes </w:t>
      </w:r>
      <w:r w:rsidR="00347EC1" w:rsidRPr="393ADA88">
        <w:rPr>
          <w:rFonts w:cs="Arial"/>
        </w:rPr>
        <w:t xml:space="preserve">from each customer </w:t>
      </w:r>
      <w:r w:rsidR="007139B1" w:rsidRPr="393ADA88">
        <w:rPr>
          <w:rFonts w:cs="Arial"/>
        </w:rPr>
        <w:t xml:space="preserve">that the affiliate brings their way. </w:t>
      </w:r>
      <w:r w:rsidR="002000A8" w:rsidRPr="393ADA88">
        <w:rPr>
          <w:rFonts w:cs="Arial"/>
        </w:rPr>
        <w:t xml:space="preserve">Under this model, for </w:t>
      </w:r>
      <w:r w:rsidR="007139B1" w:rsidRPr="393ADA88">
        <w:rPr>
          <w:rFonts w:cs="Arial"/>
        </w:rPr>
        <w:t>the affiliate to profit, the gambler must lose.</w:t>
      </w:r>
      <w:r w:rsidR="000841B3" w:rsidRPr="393ADA88">
        <w:rPr>
          <w:rFonts w:cs="Arial"/>
        </w:rPr>
        <w:t xml:space="preserve"> </w:t>
      </w:r>
    </w:p>
    <w:p w14:paraId="49E07A67" w14:textId="616A04F8" w:rsidR="00862027" w:rsidRDefault="00672ADE" w:rsidP="00862027">
      <w:pPr>
        <w:rPr>
          <w:rFonts w:cs="Arial"/>
        </w:rPr>
      </w:pPr>
      <w:r>
        <w:rPr>
          <w:rFonts w:cs="Arial"/>
        </w:rPr>
        <w:t xml:space="preserve">As part of </w:t>
      </w:r>
      <w:r w:rsidR="00B27290">
        <w:rPr>
          <w:rFonts w:cs="Arial"/>
        </w:rPr>
        <w:t xml:space="preserve">our </w:t>
      </w:r>
      <w:r>
        <w:rPr>
          <w:rFonts w:cs="Arial"/>
        </w:rPr>
        <w:t>2021</w:t>
      </w:r>
      <w:r w:rsidR="007F43E9">
        <w:rPr>
          <w:rFonts w:cs="Arial"/>
        </w:rPr>
        <w:t>–</w:t>
      </w:r>
      <w:r>
        <w:rPr>
          <w:rFonts w:cs="Arial"/>
        </w:rPr>
        <w:t>22</w:t>
      </w:r>
      <w:r w:rsidR="00597788" w:rsidRPr="00862027">
        <w:rPr>
          <w:rFonts w:cs="Arial"/>
        </w:rPr>
        <w:t xml:space="preserve"> compliance priorit</w:t>
      </w:r>
      <w:r>
        <w:rPr>
          <w:rFonts w:cs="Arial"/>
        </w:rPr>
        <w:t>ies,</w:t>
      </w:r>
      <w:r w:rsidR="00597788" w:rsidRPr="00862027">
        <w:rPr>
          <w:rFonts w:cs="Arial"/>
        </w:rPr>
        <w:t xml:space="preserve"> </w:t>
      </w:r>
      <w:r w:rsidR="00B27290">
        <w:rPr>
          <w:rFonts w:cs="Arial"/>
        </w:rPr>
        <w:t>we</w:t>
      </w:r>
      <w:r w:rsidR="00862027" w:rsidRPr="00862027">
        <w:rPr>
          <w:rFonts w:cs="Arial"/>
        </w:rPr>
        <w:t xml:space="preserve"> will be investigating </w:t>
      </w:r>
      <w:r w:rsidR="004E0D17">
        <w:rPr>
          <w:rFonts w:cs="Arial"/>
        </w:rPr>
        <w:t>whether</w:t>
      </w:r>
      <w:r w:rsidR="00862027" w:rsidRPr="00862027">
        <w:rPr>
          <w:rFonts w:cs="Arial"/>
        </w:rPr>
        <w:t xml:space="preserve"> affiliate services are </w:t>
      </w:r>
      <w:r w:rsidR="004E0D17">
        <w:rPr>
          <w:rFonts w:cs="Arial"/>
        </w:rPr>
        <w:t>breaching</w:t>
      </w:r>
      <w:r w:rsidR="00CD4516" w:rsidRPr="00CD4516">
        <w:t xml:space="preserve"> </w:t>
      </w:r>
      <w:r w:rsidR="00CD4516">
        <w:t xml:space="preserve">the advertising prohibition in the </w:t>
      </w:r>
      <w:r w:rsidR="00CD4516" w:rsidRPr="00DC237F">
        <w:t>IGA</w:t>
      </w:r>
      <w:r w:rsidR="00930169">
        <w:t>.</w:t>
      </w:r>
      <w:r w:rsidR="004E0D17">
        <w:rPr>
          <w:rFonts w:cs="Arial"/>
        </w:rPr>
        <w:t xml:space="preserve"> </w:t>
      </w:r>
      <w:r w:rsidR="00930169" w:rsidRPr="00D66DFA">
        <w:rPr>
          <w:rFonts w:cs="Arial"/>
        </w:rPr>
        <w:t xml:space="preserve">The </w:t>
      </w:r>
      <w:r w:rsidR="00930169" w:rsidRPr="00DC237F">
        <w:rPr>
          <w:rFonts w:cs="Arial"/>
        </w:rPr>
        <w:t xml:space="preserve">IGA </w:t>
      </w:r>
      <w:r w:rsidR="00930169" w:rsidRPr="00D66DFA">
        <w:rPr>
          <w:rFonts w:cs="Arial"/>
        </w:rPr>
        <w:t>sets the rules for companies that offer or advertise gambling services</w:t>
      </w:r>
      <w:r w:rsidR="00930169">
        <w:rPr>
          <w:rFonts w:cs="Arial"/>
        </w:rPr>
        <w:t xml:space="preserve"> and as stated above, </w:t>
      </w:r>
      <w:r w:rsidR="00930169" w:rsidRPr="00D66DFA">
        <w:rPr>
          <w:rFonts w:cs="Arial"/>
        </w:rPr>
        <w:t>makes </w:t>
      </w:r>
      <w:r w:rsidR="00930169">
        <w:rPr>
          <w:rFonts w:cs="Arial"/>
        </w:rPr>
        <w:t>clear that it is</w:t>
      </w:r>
      <w:r w:rsidR="00930169" w:rsidRPr="00232E50">
        <w:rPr>
          <w:rFonts w:cs="Arial"/>
        </w:rPr>
        <w:t xml:space="preserve"> illegal for gambling providers to offer </w:t>
      </w:r>
      <w:r w:rsidR="00930169">
        <w:rPr>
          <w:rFonts w:cs="Arial"/>
        </w:rPr>
        <w:t>certain</w:t>
      </w:r>
      <w:r w:rsidR="00930169" w:rsidRPr="00232E50">
        <w:rPr>
          <w:rFonts w:cs="Arial"/>
        </w:rPr>
        <w:t xml:space="preserve"> online services</w:t>
      </w:r>
      <w:r w:rsidR="00930169" w:rsidRPr="003373E4">
        <w:rPr>
          <w:rFonts w:cs="Arial"/>
        </w:rPr>
        <w:t>.</w:t>
      </w:r>
      <w:r w:rsidR="00930169" w:rsidRPr="00862027">
        <w:rPr>
          <w:rFonts w:cs="Arial"/>
        </w:rPr>
        <w:t xml:space="preserve"> </w:t>
      </w:r>
      <w:r w:rsidR="007A755C" w:rsidRPr="007A755C">
        <w:rPr>
          <w:rFonts w:cs="Arial"/>
        </w:rPr>
        <w:t xml:space="preserve"> </w:t>
      </w:r>
      <w:r w:rsidR="00441ABC">
        <w:rPr>
          <w:rFonts w:cs="Arial"/>
        </w:rPr>
        <w:t>Affiliates may</w:t>
      </w:r>
      <w:r w:rsidR="007A755C">
        <w:rPr>
          <w:rFonts w:cs="Arial"/>
        </w:rPr>
        <w:t xml:space="preserve"> </w:t>
      </w:r>
      <w:r w:rsidR="48E05B22">
        <w:rPr>
          <w:rFonts w:cs="Arial"/>
        </w:rPr>
        <w:t>also</w:t>
      </w:r>
      <w:r w:rsidR="007A755C">
        <w:rPr>
          <w:rFonts w:cs="Arial"/>
        </w:rPr>
        <w:t xml:space="preserve"> be found to be ancillary to a breach</w:t>
      </w:r>
      <w:r w:rsidR="007B486A">
        <w:rPr>
          <w:rFonts w:cs="Arial"/>
        </w:rPr>
        <w:t xml:space="preserve">, where they are </w:t>
      </w:r>
      <w:r w:rsidR="007A755C">
        <w:rPr>
          <w:rFonts w:cs="Arial"/>
        </w:rPr>
        <w:t>knowingly concerned in or a party to the provision of illegal online gambling services.</w:t>
      </w:r>
    </w:p>
    <w:p w14:paraId="25DF4579" w14:textId="77777777" w:rsidR="00E87E55" w:rsidRPr="00862027" w:rsidRDefault="00E87E55" w:rsidP="00862027">
      <w:pPr>
        <w:rPr>
          <w:rFonts w:cs="Arial"/>
        </w:rPr>
      </w:pPr>
    </w:p>
    <w:p w14:paraId="0C18382E" w14:textId="12A46CCF" w:rsidR="00F2541B" w:rsidRPr="00ED4F39" w:rsidRDefault="00B27290" w:rsidP="00F2541B">
      <w:pPr>
        <w:pStyle w:val="Heading1"/>
        <w:rPr>
          <w:b/>
          <w:iCs/>
        </w:rPr>
      </w:pPr>
      <w:bookmarkStart w:id="9" w:name="_Toc88480166"/>
      <w:r>
        <w:lastRenderedPageBreak/>
        <w:t xml:space="preserve">The </w:t>
      </w:r>
      <w:r w:rsidR="00F2541B">
        <w:t xml:space="preserve">role </w:t>
      </w:r>
      <w:r>
        <w:t xml:space="preserve">of </w:t>
      </w:r>
      <w:r w:rsidR="00F2541B">
        <w:t>affiliate marketing in facilitating access</w:t>
      </w:r>
      <w:r w:rsidR="00F2541B" w:rsidRPr="00BD28EF">
        <w:t xml:space="preserve"> </w:t>
      </w:r>
      <w:r w:rsidR="00F2541B">
        <w:t xml:space="preserve">to online </w:t>
      </w:r>
      <w:r w:rsidR="00F2541B" w:rsidRPr="00BD28EF">
        <w:t>gambling</w:t>
      </w:r>
      <w:bookmarkEnd w:id="9"/>
    </w:p>
    <w:p w14:paraId="183001DF" w14:textId="5CA20378" w:rsidR="00F2541B" w:rsidRDefault="00B27290" w:rsidP="00F2541B">
      <w:pPr>
        <w:pStyle w:val="Heading2"/>
      </w:pPr>
      <w:bookmarkStart w:id="10" w:name="_Toc88480167"/>
      <w:r>
        <w:t xml:space="preserve">About </w:t>
      </w:r>
      <w:r w:rsidR="00F2541B">
        <w:t>affiliate marketing</w:t>
      </w:r>
      <w:bookmarkEnd w:id="10"/>
    </w:p>
    <w:p w14:paraId="54417363" w14:textId="2B107A83" w:rsidR="00AD50E4" w:rsidRDefault="004212D3" w:rsidP="00AD50E4">
      <w:pPr>
        <w:rPr>
          <w:rFonts w:cs="Arial"/>
        </w:rPr>
      </w:pPr>
      <w:r>
        <w:rPr>
          <w:rFonts w:cs="Arial"/>
        </w:rPr>
        <w:t>There are a range of business models and offers presented by affiliate marketers</w:t>
      </w:r>
      <w:r w:rsidR="00403C05">
        <w:rPr>
          <w:rFonts w:cs="Arial"/>
        </w:rPr>
        <w:t xml:space="preserve">, though typically </w:t>
      </w:r>
      <w:r w:rsidR="00F242DC">
        <w:rPr>
          <w:rFonts w:cs="Arial"/>
        </w:rPr>
        <w:t xml:space="preserve">there is a relationship between the affiliate, an online gambling provider and the gambler. </w:t>
      </w:r>
      <w:r w:rsidR="001F4DAC">
        <w:rPr>
          <w:rFonts w:cs="Arial"/>
        </w:rPr>
        <w:t xml:space="preserve">Figure 2 </w:t>
      </w:r>
      <w:r w:rsidR="00667AC4">
        <w:rPr>
          <w:rFonts w:cs="Arial"/>
        </w:rPr>
        <w:t>provides a high</w:t>
      </w:r>
      <w:r w:rsidR="00AD50E4">
        <w:rPr>
          <w:rFonts w:cs="Arial"/>
        </w:rPr>
        <w:t>-</w:t>
      </w:r>
      <w:r w:rsidR="00667AC4">
        <w:rPr>
          <w:rFonts w:cs="Arial"/>
        </w:rPr>
        <w:t>level illustration of an affiliate marketing business model.</w:t>
      </w:r>
      <w:r w:rsidR="00AD50E4">
        <w:rPr>
          <w:rFonts w:cs="Arial"/>
        </w:rPr>
        <w:t xml:space="preserve"> One common approach is to present as experts, with affiliates providing seemingly informed reviews or expert comparisons between different products to aid consumer choice.</w:t>
      </w:r>
      <w:r w:rsidR="00AD50E4">
        <w:rPr>
          <w:rStyle w:val="FootnoteReference"/>
          <w:rFonts w:cs="Arial"/>
        </w:rPr>
        <w:footnoteReference w:id="14"/>
      </w:r>
      <w:r w:rsidR="00AD50E4">
        <w:rPr>
          <w:rFonts w:cs="Arial"/>
        </w:rPr>
        <w:t xml:space="preserve"> </w:t>
      </w:r>
    </w:p>
    <w:p w14:paraId="2269511E" w14:textId="07947D8D" w:rsidR="00217273" w:rsidRDefault="00B449EB">
      <w:pPr>
        <w:pStyle w:val="Figureheading"/>
        <w:rPr>
          <w:rFonts w:cs="Arial"/>
        </w:rPr>
      </w:pPr>
      <w:r>
        <w:rPr>
          <w:rFonts w:cs="Arial"/>
        </w:rPr>
        <w:t>A</w:t>
      </w:r>
      <w:r w:rsidR="003B4A57">
        <w:rPr>
          <w:rFonts w:cs="Arial"/>
        </w:rPr>
        <w:t>ffiliate marketing model</w:t>
      </w:r>
    </w:p>
    <w:p w14:paraId="66A13202" w14:textId="4D209189" w:rsidR="00401A04" w:rsidRPr="00401A04" w:rsidRDefault="00401A04" w:rsidP="00401A04">
      <w:pPr>
        <w:pStyle w:val="Paragraph"/>
      </w:pPr>
      <w:r>
        <w:rPr>
          <w:noProof/>
        </w:rPr>
        <w:drawing>
          <wp:inline distT="0" distB="0" distL="0" distR="0" wp14:anchorId="757C22E9" wp14:editId="3EC68B68">
            <wp:extent cx="4051738" cy="2749752"/>
            <wp:effectExtent l="0" t="0" r="6350" b="0"/>
            <wp:docPr id="2" name="Picture 2"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10;&#10;Description automatically generated"/>
                    <pic:cNvPicPr/>
                  </pic:nvPicPr>
                  <pic:blipFill>
                    <a:blip r:embed="rId30"/>
                    <a:stretch>
                      <a:fillRect/>
                    </a:stretch>
                  </pic:blipFill>
                  <pic:spPr>
                    <a:xfrm>
                      <a:off x="0" y="0"/>
                      <a:ext cx="4061070" cy="2756085"/>
                    </a:xfrm>
                    <a:prstGeom prst="rect">
                      <a:avLst/>
                    </a:prstGeom>
                  </pic:spPr>
                </pic:pic>
              </a:graphicData>
            </a:graphic>
          </wp:inline>
        </w:drawing>
      </w:r>
    </w:p>
    <w:p w14:paraId="04AC5C65" w14:textId="6A0B43B1" w:rsidR="00F2541B" w:rsidRDefault="00F2541B" w:rsidP="00BF79A4">
      <w:pPr>
        <w:spacing w:after="120"/>
        <w:rPr>
          <w:rFonts w:cs="Arial"/>
        </w:rPr>
      </w:pPr>
      <w:r>
        <w:rPr>
          <w:rFonts w:cs="Arial"/>
        </w:rPr>
        <w:t>A</w:t>
      </w:r>
      <w:r w:rsidRPr="001E7A29">
        <w:rPr>
          <w:rFonts w:cs="Arial"/>
        </w:rPr>
        <w:t xml:space="preserve">ffiliate marketing is common practice </w:t>
      </w:r>
      <w:r>
        <w:rPr>
          <w:rFonts w:cs="Arial"/>
        </w:rPr>
        <w:t xml:space="preserve">and commissions </w:t>
      </w:r>
      <w:r w:rsidR="00742BBC">
        <w:rPr>
          <w:rFonts w:cs="Arial"/>
        </w:rPr>
        <w:t>vary</w:t>
      </w:r>
      <w:r>
        <w:rPr>
          <w:rFonts w:cs="Arial"/>
        </w:rPr>
        <w:t xml:space="preserve">. For example, eBay offers a range of affiliate marketing models for those looking to partner with </w:t>
      </w:r>
      <w:r w:rsidR="00396EF8">
        <w:rPr>
          <w:rFonts w:cs="Arial"/>
        </w:rPr>
        <w:t>it</w:t>
      </w:r>
      <w:r>
        <w:rPr>
          <w:rFonts w:cs="Arial"/>
        </w:rPr>
        <w:t xml:space="preserve">. Affiliates are paid between </w:t>
      </w:r>
      <w:r w:rsidR="00CD25D4">
        <w:rPr>
          <w:rFonts w:cs="Arial"/>
        </w:rPr>
        <w:t>1</w:t>
      </w:r>
      <w:r w:rsidR="00DA178F">
        <w:rPr>
          <w:rFonts w:cs="Arial"/>
        </w:rPr>
        <w:t>%</w:t>
      </w:r>
      <w:r>
        <w:rPr>
          <w:rFonts w:cs="Arial"/>
        </w:rPr>
        <w:t xml:space="preserve"> and </w:t>
      </w:r>
      <w:r w:rsidR="00CD25D4">
        <w:rPr>
          <w:rFonts w:cs="Arial"/>
        </w:rPr>
        <w:t>5</w:t>
      </w:r>
      <w:r w:rsidR="00DA178F">
        <w:rPr>
          <w:rFonts w:cs="Arial"/>
        </w:rPr>
        <w:t>%</w:t>
      </w:r>
      <w:r>
        <w:rPr>
          <w:rFonts w:cs="Arial"/>
        </w:rPr>
        <w:t xml:space="preserve"> commission on all sales they generate for eBay. eBay makes clear that ‘disclosures and transparency’ are the cornerstone of affiliate marketing.</w:t>
      </w:r>
      <w:r w:rsidR="00BC5F46" w:rsidRPr="00BC5F46">
        <w:rPr>
          <w:rStyle w:val="FootnoteReference"/>
          <w:rFonts w:cs="Arial"/>
          <w:sz w:val="18"/>
          <w:szCs w:val="18"/>
        </w:rPr>
        <w:t xml:space="preserve"> </w:t>
      </w:r>
      <w:r w:rsidR="00BC5F46">
        <w:rPr>
          <w:rStyle w:val="FootnoteReference"/>
          <w:rFonts w:cs="Arial"/>
          <w:sz w:val="18"/>
          <w:szCs w:val="18"/>
        </w:rPr>
        <w:footnoteReference w:id="15"/>
      </w:r>
      <w:r>
        <w:rPr>
          <w:rFonts w:cs="Arial"/>
        </w:rPr>
        <w:t xml:space="preserve"> Affiliates are required to include a declaration on their landing page making clear that they are an affiliate of eBay. It is recommended that the affiliate include a statement that includes the following:</w:t>
      </w:r>
    </w:p>
    <w:p w14:paraId="636140F7" w14:textId="77777777" w:rsidR="00F2541B" w:rsidRPr="00F165F6" w:rsidRDefault="00F2541B" w:rsidP="00F2541B">
      <w:pPr>
        <w:ind w:left="284"/>
        <w:rPr>
          <w:rFonts w:cs="Arial"/>
          <w:sz w:val="18"/>
          <w:szCs w:val="18"/>
        </w:rPr>
      </w:pPr>
      <w:r w:rsidRPr="00F165F6">
        <w:rPr>
          <w:rFonts w:cs="Arial"/>
          <w:sz w:val="18"/>
          <w:szCs w:val="18"/>
        </w:rPr>
        <w:t>When you click on links to various merchants on this site and make a purchase, this can result in this site earning a commission.</w:t>
      </w:r>
      <w:r>
        <w:rPr>
          <w:rStyle w:val="FootnoteReference"/>
          <w:rFonts w:cs="Arial"/>
          <w:sz w:val="18"/>
          <w:szCs w:val="18"/>
        </w:rPr>
        <w:footnoteReference w:id="16"/>
      </w:r>
    </w:p>
    <w:p w14:paraId="2E3C37A7" w14:textId="02404A1F" w:rsidR="000C685D" w:rsidRDefault="00F2541B" w:rsidP="00F2541B">
      <w:pPr>
        <w:rPr>
          <w:rFonts w:cs="Arial"/>
        </w:rPr>
      </w:pPr>
      <w:r>
        <w:rPr>
          <w:rFonts w:cs="Arial"/>
        </w:rPr>
        <w:t>Amazon also promotes an affiliate program, encouraging b</w:t>
      </w:r>
      <w:r w:rsidRPr="000050B0">
        <w:rPr>
          <w:rFonts w:cs="Arial"/>
        </w:rPr>
        <w:t xml:space="preserve">loggers, publishers and content creators with a qualifying website or mobile app </w:t>
      </w:r>
      <w:r>
        <w:rPr>
          <w:rFonts w:cs="Arial"/>
        </w:rPr>
        <w:t>to</w:t>
      </w:r>
      <w:r w:rsidRPr="000050B0">
        <w:rPr>
          <w:rFonts w:cs="Arial"/>
        </w:rPr>
        <w:t xml:space="preserve"> participate</w:t>
      </w:r>
      <w:r>
        <w:rPr>
          <w:rFonts w:cs="Arial"/>
        </w:rPr>
        <w:t xml:space="preserve">. Commission varies across product categories, ranging from </w:t>
      </w:r>
      <w:r w:rsidR="00DA178F">
        <w:rPr>
          <w:rFonts w:cs="Arial"/>
        </w:rPr>
        <w:t xml:space="preserve">2% for eBooks to </w:t>
      </w:r>
      <w:r>
        <w:rPr>
          <w:rFonts w:cs="Arial"/>
        </w:rPr>
        <w:t xml:space="preserve">12% for shoes. As </w:t>
      </w:r>
      <w:r>
        <w:rPr>
          <w:rFonts w:cs="Arial"/>
        </w:rPr>
        <w:lastRenderedPageBreak/>
        <w:t>with eBay, Amazon sets out clear requirements for what and how affiliates promote goods and services to attract consumers to Amazon, and the need for transparency.</w:t>
      </w:r>
      <w:r>
        <w:rPr>
          <w:rStyle w:val="FootnoteReference"/>
          <w:rFonts w:cs="Arial"/>
        </w:rPr>
        <w:footnoteReference w:id="17"/>
      </w:r>
    </w:p>
    <w:p w14:paraId="5CC5C661" w14:textId="409BE372" w:rsidR="000C685D" w:rsidRDefault="000C685D" w:rsidP="00F2541B">
      <w:pPr>
        <w:rPr>
          <w:rFonts w:cs="Arial"/>
        </w:rPr>
      </w:pPr>
      <w:r>
        <w:rPr>
          <w:rFonts w:cs="Arial"/>
        </w:rPr>
        <w:t xml:space="preserve">Retail affiliates will </w:t>
      </w:r>
      <w:r w:rsidR="007545F1">
        <w:rPr>
          <w:rFonts w:cs="Arial"/>
        </w:rPr>
        <w:t>normally</w:t>
      </w:r>
      <w:r>
        <w:rPr>
          <w:rFonts w:cs="Arial"/>
        </w:rPr>
        <w:t xml:space="preserve"> have a cookie</w:t>
      </w:r>
      <w:r w:rsidR="00C66AED">
        <w:rPr>
          <w:rFonts w:cs="Arial"/>
        </w:rPr>
        <w:t xml:space="preserve"> – a </w:t>
      </w:r>
      <w:r w:rsidR="00C66AED" w:rsidRPr="00C66AED">
        <w:rPr>
          <w:rFonts w:cs="Arial"/>
        </w:rPr>
        <w:t xml:space="preserve">small file </w:t>
      </w:r>
      <w:r w:rsidR="00C66AED">
        <w:rPr>
          <w:rFonts w:cs="Arial"/>
        </w:rPr>
        <w:t>that is</w:t>
      </w:r>
      <w:r w:rsidR="00C66AED" w:rsidRPr="00C66AED">
        <w:rPr>
          <w:rFonts w:cs="Arial"/>
        </w:rPr>
        <w:t xml:space="preserve"> stored on a user's computer</w:t>
      </w:r>
      <w:r w:rsidR="00C66AED">
        <w:rPr>
          <w:rFonts w:cs="Arial"/>
        </w:rPr>
        <w:t xml:space="preserve"> – that is ‘time-limiting’</w:t>
      </w:r>
      <w:r w:rsidR="00052C77">
        <w:rPr>
          <w:rFonts w:cs="Arial"/>
        </w:rPr>
        <w:t xml:space="preserve">. In effect, the customer must use the affiliate’s link to purchase from the </w:t>
      </w:r>
      <w:r w:rsidR="009F2D4C">
        <w:rPr>
          <w:rFonts w:cs="Arial"/>
        </w:rPr>
        <w:t>retail site</w:t>
      </w:r>
      <w:r w:rsidR="00052C77">
        <w:rPr>
          <w:rFonts w:cs="Arial"/>
        </w:rPr>
        <w:t xml:space="preserve"> within a specified time</w:t>
      </w:r>
      <w:r w:rsidR="009F2D4C">
        <w:rPr>
          <w:rFonts w:cs="Arial"/>
        </w:rPr>
        <w:t xml:space="preserve">. For eBay, this is 24 hours. If </w:t>
      </w:r>
      <w:r w:rsidR="007545F1">
        <w:rPr>
          <w:rFonts w:cs="Arial"/>
        </w:rPr>
        <w:t>the</w:t>
      </w:r>
      <w:r w:rsidR="009F2D4C">
        <w:rPr>
          <w:rFonts w:cs="Arial"/>
        </w:rPr>
        <w:t xml:space="preserve"> purchase </w:t>
      </w:r>
      <w:r w:rsidR="007545F1">
        <w:rPr>
          <w:rFonts w:cs="Arial"/>
        </w:rPr>
        <w:t xml:space="preserve">is made </w:t>
      </w:r>
      <w:r w:rsidR="009F2D4C">
        <w:rPr>
          <w:rFonts w:cs="Arial"/>
        </w:rPr>
        <w:t xml:space="preserve">outside of this </w:t>
      </w:r>
      <w:r w:rsidR="00C66AED">
        <w:rPr>
          <w:rFonts w:cs="Arial"/>
        </w:rPr>
        <w:t>timing</w:t>
      </w:r>
      <w:r w:rsidR="009F2D4C">
        <w:rPr>
          <w:rFonts w:cs="Arial"/>
        </w:rPr>
        <w:t xml:space="preserve">, the affiliate does not receive </w:t>
      </w:r>
      <w:r w:rsidR="007545F1">
        <w:rPr>
          <w:rFonts w:cs="Arial"/>
        </w:rPr>
        <w:t xml:space="preserve">a </w:t>
      </w:r>
      <w:r w:rsidR="009F2D4C">
        <w:rPr>
          <w:rFonts w:cs="Arial"/>
        </w:rPr>
        <w:t>commission.</w:t>
      </w:r>
      <w:r w:rsidR="00416456">
        <w:rPr>
          <w:rStyle w:val="FootnoteReference"/>
          <w:rFonts w:cs="Arial"/>
        </w:rPr>
        <w:footnoteReference w:id="18"/>
      </w:r>
      <w:r w:rsidR="009F2D4C">
        <w:rPr>
          <w:rFonts w:cs="Arial"/>
        </w:rPr>
        <w:t xml:space="preserve"> </w:t>
      </w:r>
      <w:r w:rsidR="007545F1">
        <w:rPr>
          <w:rFonts w:cs="Arial"/>
        </w:rPr>
        <w:t>B</w:t>
      </w:r>
      <w:r w:rsidR="00F01CAA">
        <w:rPr>
          <w:rFonts w:cs="Arial"/>
        </w:rPr>
        <w:t xml:space="preserve">eauty online retailer Adore Beauty offers </w:t>
      </w:r>
      <w:r w:rsidR="00EE660E">
        <w:rPr>
          <w:rFonts w:cs="Arial"/>
        </w:rPr>
        <w:t>a longer trailing commission, with a 30</w:t>
      </w:r>
      <w:r w:rsidR="00C66AED">
        <w:rPr>
          <w:rFonts w:cs="Arial"/>
        </w:rPr>
        <w:t>-</w:t>
      </w:r>
      <w:r w:rsidR="00EE660E">
        <w:rPr>
          <w:rFonts w:cs="Arial"/>
        </w:rPr>
        <w:t>day cookie period.</w:t>
      </w:r>
      <w:r w:rsidR="0068106D">
        <w:rPr>
          <w:rStyle w:val="FootnoteReference"/>
          <w:rFonts w:cs="Arial"/>
        </w:rPr>
        <w:footnoteReference w:id="19"/>
      </w:r>
      <w:r w:rsidR="00EE660E">
        <w:rPr>
          <w:rFonts w:cs="Arial"/>
        </w:rPr>
        <w:t xml:space="preserve"> </w:t>
      </w:r>
    </w:p>
    <w:p w14:paraId="7BB9A162" w14:textId="55CC2E27" w:rsidR="00F2541B" w:rsidRDefault="008776BC" w:rsidP="00F2541B">
      <w:pPr>
        <w:pStyle w:val="Heading2"/>
      </w:pPr>
      <w:bookmarkStart w:id="11" w:name="_Toc88480168"/>
      <w:r>
        <w:t>D</w:t>
      </w:r>
      <w:r w:rsidR="00C66AED">
        <w:t xml:space="preserve">ifferences </w:t>
      </w:r>
      <w:r>
        <w:t xml:space="preserve">between </w:t>
      </w:r>
      <w:r w:rsidRPr="008776BC">
        <w:t>standard affiliate market</w:t>
      </w:r>
      <w:r>
        <w:t xml:space="preserve">ing and gambling </w:t>
      </w:r>
      <w:r w:rsidR="00C66AED">
        <w:t>a</w:t>
      </w:r>
      <w:r w:rsidR="00F2541B">
        <w:t xml:space="preserve">ffiliate </w:t>
      </w:r>
      <w:r w:rsidR="00214F14">
        <w:t>m</w:t>
      </w:r>
      <w:r w:rsidR="00F2541B">
        <w:t>arketing</w:t>
      </w:r>
      <w:bookmarkEnd w:id="11"/>
    </w:p>
    <w:p w14:paraId="1B711B33" w14:textId="7E12138D" w:rsidR="00F2541B" w:rsidRDefault="00F2541B" w:rsidP="00F2541B">
      <w:pPr>
        <w:rPr>
          <w:rFonts w:cs="Arial"/>
        </w:rPr>
      </w:pPr>
      <w:r>
        <w:rPr>
          <w:rFonts w:cs="Arial"/>
        </w:rPr>
        <w:t>As with many online commercial markets, online gambling providers rely on affiliates to attract business.</w:t>
      </w:r>
      <w:r w:rsidRPr="00C1043B">
        <w:rPr>
          <w:rFonts w:cs="Arial"/>
        </w:rPr>
        <w:t xml:space="preserve"> </w:t>
      </w:r>
      <w:r w:rsidRPr="00455113">
        <w:rPr>
          <w:rFonts w:cs="Arial"/>
        </w:rPr>
        <w:t>In 2018</w:t>
      </w:r>
      <w:r w:rsidR="00FD64FE">
        <w:rPr>
          <w:rFonts w:cs="Arial"/>
        </w:rPr>
        <w:t>,</w:t>
      </w:r>
      <w:r w:rsidRPr="00455113">
        <w:rPr>
          <w:rFonts w:cs="Arial"/>
        </w:rPr>
        <w:t xml:space="preserve"> affiliate marketing spend made up about one</w:t>
      </w:r>
      <w:r w:rsidR="00FD64FE">
        <w:rPr>
          <w:rFonts w:cs="Arial"/>
        </w:rPr>
        <w:t>-</w:t>
      </w:r>
      <w:r w:rsidRPr="00455113">
        <w:rPr>
          <w:rFonts w:cs="Arial"/>
        </w:rPr>
        <w:t xml:space="preserve">fifth of total spend by the </w:t>
      </w:r>
      <w:r>
        <w:rPr>
          <w:rFonts w:cs="Arial"/>
        </w:rPr>
        <w:t xml:space="preserve">global </w:t>
      </w:r>
      <w:r w:rsidRPr="00455113">
        <w:rPr>
          <w:rFonts w:cs="Arial"/>
        </w:rPr>
        <w:t>gambling industry. In Spain</w:t>
      </w:r>
      <w:r>
        <w:rPr>
          <w:rFonts w:cs="Arial"/>
        </w:rPr>
        <w:t xml:space="preserve"> alone</w:t>
      </w:r>
      <w:r w:rsidR="00C66AED">
        <w:rPr>
          <w:rFonts w:cs="Arial"/>
        </w:rPr>
        <w:t>,</w:t>
      </w:r>
      <w:r w:rsidRPr="00455113">
        <w:rPr>
          <w:rFonts w:cs="Arial"/>
        </w:rPr>
        <w:t xml:space="preserve"> it rose over 60</w:t>
      </w:r>
      <w:r>
        <w:rPr>
          <w:rFonts w:cs="Arial"/>
        </w:rPr>
        <w:t>%</w:t>
      </w:r>
      <w:r w:rsidRPr="00455113">
        <w:rPr>
          <w:rFonts w:cs="Arial"/>
        </w:rPr>
        <w:t xml:space="preserve"> in 2019 to 10</w:t>
      </w:r>
      <w:r w:rsidR="00C66AED">
        <w:rPr>
          <w:rFonts w:cs="Arial"/>
        </w:rPr>
        <w:t> </w:t>
      </w:r>
      <w:r w:rsidRPr="00455113">
        <w:rPr>
          <w:rFonts w:cs="Arial"/>
        </w:rPr>
        <w:t>million euros</w:t>
      </w:r>
      <w:r>
        <w:rPr>
          <w:rFonts w:cs="Arial"/>
        </w:rPr>
        <w:t>.</w:t>
      </w:r>
      <w:r w:rsidRPr="00455113">
        <w:rPr>
          <w:rFonts w:cs="Arial"/>
          <w:vertAlign w:val="superscript"/>
        </w:rPr>
        <w:footnoteReference w:id="20"/>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4A0" w:firstRow="1" w:lastRow="0" w:firstColumn="1" w:lastColumn="0" w:noHBand="0" w:noVBand="1"/>
      </w:tblPr>
      <w:tblGrid>
        <w:gridCol w:w="3114"/>
        <w:gridCol w:w="4547"/>
      </w:tblGrid>
      <w:tr w:rsidR="00C66AED" w14:paraId="600CB6A7" w14:textId="77777777" w:rsidTr="00190304">
        <w:tc>
          <w:tcPr>
            <w:tcW w:w="3114" w:type="dxa"/>
            <w:shd w:val="clear" w:color="auto" w:fill="31849B" w:themeFill="accent5" w:themeFillShade="BF"/>
          </w:tcPr>
          <w:p w14:paraId="2E99E55A" w14:textId="15A447D1" w:rsidR="00C66AED" w:rsidRPr="008176AF" w:rsidRDefault="00C66AED" w:rsidP="00C66AED">
            <w:pPr>
              <w:spacing w:after="0"/>
              <w:rPr>
                <w:rFonts w:cs="Arial"/>
                <w:b/>
                <w:bCs/>
              </w:rPr>
            </w:pPr>
            <w:r w:rsidRPr="00C66AED">
              <w:rPr>
                <w:rFonts w:cs="Arial"/>
                <w:b/>
                <w:bCs/>
                <w:color w:val="F2F2F2" w:themeColor="background1" w:themeShade="F2"/>
              </w:rPr>
              <w:t>Case study: gambling.com</w:t>
            </w:r>
          </w:p>
        </w:tc>
        <w:tc>
          <w:tcPr>
            <w:tcW w:w="4547" w:type="dxa"/>
            <w:shd w:val="clear" w:color="auto" w:fill="auto"/>
          </w:tcPr>
          <w:p w14:paraId="57C94945" w14:textId="3D5986EC" w:rsidR="00C66AED" w:rsidRPr="008176AF" w:rsidRDefault="00C66AED" w:rsidP="00C66AED">
            <w:pPr>
              <w:spacing w:after="0"/>
              <w:rPr>
                <w:rFonts w:cs="Arial"/>
                <w:b/>
                <w:bCs/>
              </w:rPr>
            </w:pPr>
          </w:p>
        </w:tc>
      </w:tr>
      <w:tr w:rsidR="00E46365" w14:paraId="406CB040" w14:textId="77777777" w:rsidTr="00190304">
        <w:tc>
          <w:tcPr>
            <w:tcW w:w="7661" w:type="dxa"/>
            <w:gridSpan w:val="2"/>
            <w:shd w:val="clear" w:color="auto" w:fill="F2F2F2" w:themeFill="background1" w:themeFillShade="F2"/>
          </w:tcPr>
          <w:p w14:paraId="19D294CC" w14:textId="66E9C8CB" w:rsidR="00E46365" w:rsidRPr="00202C3C" w:rsidRDefault="00E46365" w:rsidP="00C66AED">
            <w:pPr>
              <w:rPr>
                <w:rFonts w:cs="Arial"/>
              </w:rPr>
            </w:pPr>
            <w:r w:rsidRPr="00202C3C">
              <w:rPr>
                <w:rFonts w:cs="Arial"/>
              </w:rPr>
              <w:t>Gambling.com Group</w:t>
            </w:r>
            <w:r>
              <w:rPr>
                <w:rFonts w:cs="Arial"/>
              </w:rPr>
              <w:t xml:space="preserve">, a </w:t>
            </w:r>
            <w:r w:rsidR="00C15F13">
              <w:rPr>
                <w:rFonts w:cs="Arial"/>
              </w:rPr>
              <w:t>publicly listed</w:t>
            </w:r>
            <w:r>
              <w:rPr>
                <w:rFonts w:cs="Arial"/>
              </w:rPr>
              <w:t xml:space="preserve"> gambling affiliate company, reported revenue growth</w:t>
            </w:r>
            <w:r w:rsidRPr="00202C3C">
              <w:rPr>
                <w:rFonts w:cs="Arial"/>
              </w:rPr>
              <w:t xml:space="preserve"> from </w:t>
            </w:r>
            <w:r>
              <w:rPr>
                <w:rFonts w:cs="Arial"/>
              </w:rPr>
              <w:t>US</w:t>
            </w:r>
            <w:r w:rsidRPr="00202C3C">
              <w:rPr>
                <w:rFonts w:cs="Arial"/>
              </w:rPr>
              <w:t>$6.3</w:t>
            </w:r>
            <w:r w:rsidR="006D7AD7">
              <w:rPr>
                <w:rFonts w:cs="Arial"/>
              </w:rPr>
              <w:t xml:space="preserve"> </w:t>
            </w:r>
            <w:r w:rsidRPr="00202C3C">
              <w:rPr>
                <w:rFonts w:cs="Arial"/>
              </w:rPr>
              <w:t>m</w:t>
            </w:r>
            <w:r w:rsidR="006D7AD7">
              <w:rPr>
                <w:rFonts w:cs="Arial"/>
              </w:rPr>
              <w:t>illion</w:t>
            </w:r>
            <w:r w:rsidRPr="00202C3C">
              <w:rPr>
                <w:rFonts w:cs="Arial"/>
              </w:rPr>
              <w:t xml:space="preserve"> in Q2 2020 to </w:t>
            </w:r>
            <w:r>
              <w:rPr>
                <w:rFonts w:cs="Arial"/>
              </w:rPr>
              <w:t>US</w:t>
            </w:r>
            <w:r w:rsidRPr="00202C3C">
              <w:rPr>
                <w:rFonts w:cs="Arial"/>
              </w:rPr>
              <w:t>$10.4</w:t>
            </w:r>
            <w:r w:rsidR="006D7AD7">
              <w:rPr>
                <w:rFonts w:cs="Arial"/>
              </w:rPr>
              <w:t xml:space="preserve"> </w:t>
            </w:r>
            <w:r w:rsidRPr="00202C3C">
              <w:rPr>
                <w:rFonts w:cs="Arial"/>
              </w:rPr>
              <w:t>m</w:t>
            </w:r>
            <w:r w:rsidR="006D7AD7">
              <w:rPr>
                <w:rFonts w:cs="Arial"/>
              </w:rPr>
              <w:t>illion</w:t>
            </w:r>
            <w:r w:rsidRPr="00202C3C">
              <w:rPr>
                <w:rFonts w:cs="Arial"/>
              </w:rPr>
              <w:t xml:space="preserve"> </w:t>
            </w:r>
            <w:r>
              <w:rPr>
                <w:rFonts w:cs="Arial"/>
              </w:rPr>
              <w:t>in August 2021.</w:t>
            </w:r>
            <w:r w:rsidRPr="00202C3C">
              <w:rPr>
                <w:rFonts w:cs="Arial"/>
              </w:rPr>
              <w:t xml:space="preserve"> </w:t>
            </w:r>
            <w:r>
              <w:rPr>
                <w:rFonts w:cs="Arial"/>
              </w:rPr>
              <w:t>C</w:t>
            </w:r>
            <w:r w:rsidRPr="00202C3C">
              <w:rPr>
                <w:rFonts w:cs="Arial"/>
              </w:rPr>
              <w:t xml:space="preserve">hief executive Charles Gillespie </w:t>
            </w:r>
            <w:r>
              <w:rPr>
                <w:rFonts w:cs="Arial"/>
              </w:rPr>
              <w:t xml:space="preserve">has </w:t>
            </w:r>
            <w:r w:rsidRPr="00202C3C">
              <w:rPr>
                <w:rFonts w:cs="Arial"/>
              </w:rPr>
              <w:t xml:space="preserve">described the business as </w:t>
            </w:r>
            <w:r w:rsidR="00F56743">
              <w:rPr>
                <w:rFonts w:cs="Arial"/>
              </w:rPr>
              <w:t>‘</w:t>
            </w:r>
            <w:r w:rsidRPr="00202C3C">
              <w:rPr>
                <w:rFonts w:cs="Arial"/>
              </w:rPr>
              <w:t>among the most profitable names in the online gambling industry</w:t>
            </w:r>
            <w:r w:rsidR="00F56743">
              <w:rPr>
                <w:rFonts w:cs="Arial"/>
              </w:rPr>
              <w:t>’</w:t>
            </w:r>
            <w:r w:rsidRPr="00202C3C">
              <w:rPr>
                <w:rFonts w:cs="Arial"/>
              </w:rPr>
              <w:t xml:space="preserve"> after </w:t>
            </w:r>
            <w:r>
              <w:rPr>
                <w:rFonts w:cs="Arial"/>
              </w:rPr>
              <w:t>reporting revealed</w:t>
            </w:r>
            <w:r w:rsidRPr="00202C3C">
              <w:rPr>
                <w:rFonts w:cs="Arial"/>
              </w:rPr>
              <w:t xml:space="preserve"> a 66</w:t>
            </w:r>
            <w:r>
              <w:rPr>
                <w:rFonts w:cs="Arial"/>
              </w:rPr>
              <w:t>%</w:t>
            </w:r>
            <w:r w:rsidRPr="00202C3C">
              <w:rPr>
                <w:rFonts w:cs="Arial"/>
              </w:rPr>
              <w:t xml:space="preserve"> increase in revenue, and </w:t>
            </w:r>
            <w:r>
              <w:rPr>
                <w:rFonts w:cs="Arial"/>
              </w:rPr>
              <w:t>US</w:t>
            </w:r>
            <w:r w:rsidRPr="00202C3C">
              <w:rPr>
                <w:rFonts w:cs="Arial"/>
              </w:rPr>
              <w:t>$2.4</w:t>
            </w:r>
            <w:r w:rsidR="006D7AD7">
              <w:rPr>
                <w:rFonts w:cs="Arial"/>
              </w:rPr>
              <w:t xml:space="preserve"> </w:t>
            </w:r>
            <w:r w:rsidRPr="00202C3C">
              <w:rPr>
                <w:rFonts w:cs="Arial"/>
              </w:rPr>
              <w:t>m</w:t>
            </w:r>
            <w:r w:rsidR="006D7AD7">
              <w:rPr>
                <w:rFonts w:cs="Arial"/>
              </w:rPr>
              <w:t>illion</w:t>
            </w:r>
            <w:r w:rsidRPr="00202C3C">
              <w:rPr>
                <w:rFonts w:cs="Arial"/>
              </w:rPr>
              <w:t xml:space="preserve"> profit.</w:t>
            </w:r>
            <w:r>
              <w:rPr>
                <w:rStyle w:val="FootnoteReference"/>
                <w:rFonts w:cs="Arial"/>
              </w:rPr>
              <w:footnoteReference w:id="21"/>
            </w:r>
            <w:r>
              <w:rPr>
                <w:rFonts w:cs="Arial"/>
              </w:rPr>
              <w:t xml:space="preserve"> </w:t>
            </w:r>
          </w:p>
          <w:p w14:paraId="2C908C8C" w14:textId="1942B242" w:rsidR="00E46365" w:rsidRDefault="00E46365" w:rsidP="00C66AED">
            <w:pPr>
              <w:spacing w:after="0"/>
              <w:rPr>
                <w:rFonts w:cs="Arial"/>
              </w:rPr>
            </w:pPr>
            <w:r w:rsidRPr="00202C3C">
              <w:rPr>
                <w:rFonts w:cs="Arial"/>
              </w:rPr>
              <w:t xml:space="preserve">Gambling.com Group’s revenue </w:t>
            </w:r>
            <w:r>
              <w:rPr>
                <w:rFonts w:cs="Arial"/>
              </w:rPr>
              <w:t>stems</w:t>
            </w:r>
            <w:r w:rsidRPr="00202C3C">
              <w:rPr>
                <w:rFonts w:cs="Arial"/>
              </w:rPr>
              <w:t xml:space="preserve"> predominantly from the UK and Ireland, </w:t>
            </w:r>
            <w:r>
              <w:rPr>
                <w:rFonts w:cs="Arial"/>
              </w:rPr>
              <w:t>accounting</w:t>
            </w:r>
            <w:r w:rsidRPr="00202C3C">
              <w:rPr>
                <w:rFonts w:cs="Arial"/>
              </w:rPr>
              <w:t xml:space="preserve"> for </w:t>
            </w:r>
            <w:r>
              <w:rPr>
                <w:rFonts w:cs="Arial"/>
              </w:rPr>
              <w:t>US</w:t>
            </w:r>
            <w:r w:rsidRPr="00202C3C">
              <w:rPr>
                <w:rFonts w:cs="Arial"/>
              </w:rPr>
              <w:t>$5.4</w:t>
            </w:r>
            <w:r w:rsidR="006D7AD7">
              <w:rPr>
                <w:rFonts w:cs="Arial"/>
              </w:rPr>
              <w:t xml:space="preserve"> </w:t>
            </w:r>
            <w:r w:rsidRPr="00202C3C">
              <w:rPr>
                <w:rFonts w:cs="Arial"/>
              </w:rPr>
              <w:t>m</w:t>
            </w:r>
            <w:r w:rsidR="006D7AD7">
              <w:rPr>
                <w:rFonts w:cs="Arial"/>
              </w:rPr>
              <w:t>illion</w:t>
            </w:r>
            <w:r w:rsidRPr="00202C3C">
              <w:rPr>
                <w:rFonts w:cs="Arial"/>
              </w:rPr>
              <w:t xml:space="preserve">, with a further </w:t>
            </w:r>
            <w:r>
              <w:rPr>
                <w:rFonts w:cs="Arial"/>
              </w:rPr>
              <w:t>US</w:t>
            </w:r>
            <w:r w:rsidRPr="00202C3C">
              <w:rPr>
                <w:rFonts w:cs="Arial"/>
              </w:rPr>
              <w:t>$2.8</w:t>
            </w:r>
            <w:r w:rsidR="006D7AD7">
              <w:rPr>
                <w:rFonts w:cs="Arial"/>
              </w:rPr>
              <w:t xml:space="preserve"> </w:t>
            </w:r>
            <w:r w:rsidRPr="00202C3C">
              <w:rPr>
                <w:rFonts w:cs="Arial"/>
              </w:rPr>
              <w:t>m</w:t>
            </w:r>
            <w:r w:rsidR="006D7AD7">
              <w:rPr>
                <w:rFonts w:cs="Arial"/>
              </w:rPr>
              <w:t>illion</w:t>
            </w:r>
            <w:r w:rsidRPr="00202C3C">
              <w:rPr>
                <w:rFonts w:cs="Arial"/>
              </w:rPr>
              <w:t xml:space="preserve"> generated from other European markets. North America</w:t>
            </w:r>
            <w:r w:rsidR="008776BC">
              <w:rPr>
                <w:rFonts w:cs="Arial"/>
              </w:rPr>
              <w:t>ns</w:t>
            </w:r>
            <w:r w:rsidRPr="00202C3C">
              <w:rPr>
                <w:rFonts w:cs="Arial"/>
              </w:rPr>
              <w:t xml:space="preserve"> </w:t>
            </w:r>
            <w:r>
              <w:rPr>
                <w:rFonts w:cs="Arial"/>
              </w:rPr>
              <w:t>contributed</w:t>
            </w:r>
            <w:r w:rsidRPr="00202C3C">
              <w:rPr>
                <w:rFonts w:cs="Arial"/>
              </w:rPr>
              <w:t xml:space="preserve"> $1.4</w:t>
            </w:r>
            <w:r w:rsidR="006D7AD7">
              <w:rPr>
                <w:rFonts w:cs="Arial"/>
              </w:rPr>
              <w:t xml:space="preserve"> </w:t>
            </w:r>
            <w:r w:rsidRPr="00202C3C">
              <w:rPr>
                <w:rFonts w:cs="Arial"/>
              </w:rPr>
              <w:t>m</w:t>
            </w:r>
            <w:r w:rsidR="006D7AD7">
              <w:rPr>
                <w:rFonts w:cs="Arial"/>
              </w:rPr>
              <w:t>illion</w:t>
            </w:r>
            <w:r>
              <w:rPr>
                <w:rFonts w:cs="Arial"/>
              </w:rPr>
              <w:t xml:space="preserve"> during the last reporting period</w:t>
            </w:r>
            <w:r w:rsidRPr="00202C3C">
              <w:rPr>
                <w:rFonts w:cs="Arial"/>
              </w:rPr>
              <w:t xml:space="preserve">, while a further </w:t>
            </w:r>
            <w:r>
              <w:rPr>
                <w:rFonts w:cs="Arial"/>
              </w:rPr>
              <w:t>US</w:t>
            </w:r>
            <w:r w:rsidRPr="00202C3C">
              <w:rPr>
                <w:rFonts w:cs="Arial"/>
              </w:rPr>
              <w:t>$752,000 came from the rest of the world.</w:t>
            </w:r>
            <w:r>
              <w:rPr>
                <w:rFonts w:cs="Arial"/>
              </w:rPr>
              <w:t xml:space="preserve"> This growth was </w:t>
            </w:r>
            <w:r w:rsidRPr="00202C3C">
              <w:rPr>
                <w:rFonts w:cs="Arial"/>
              </w:rPr>
              <w:t xml:space="preserve">driven predominantly </w:t>
            </w:r>
            <w:r w:rsidR="008776BC">
              <w:rPr>
                <w:rFonts w:cs="Arial"/>
              </w:rPr>
              <w:t xml:space="preserve">by </w:t>
            </w:r>
            <w:r w:rsidRPr="00202C3C">
              <w:rPr>
                <w:rFonts w:cs="Arial"/>
              </w:rPr>
              <w:t>casino referrals</w:t>
            </w:r>
            <w:r>
              <w:rPr>
                <w:rFonts w:cs="Arial"/>
              </w:rPr>
              <w:t>.</w:t>
            </w:r>
            <w:r>
              <w:rPr>
                <w:rStyle w:val="FootnoteReference"/>
                <w:rFonts w:cs="Arial"/>
              </w:rPr>
              <w:footnoteReference w:id="22"/>
            </w:r>
            <w:r>
              <w:rPr>
                <w:rFonts w:cs="Arial"/>
              </w:rPr>
              <w:t xml:space="preserve"> </w:t>
            </w:r>
            <w:r w:rsidR="004B37E0">
              <w:rPr>
                <w:rFonts w:cs="Arial"/>
              </w:rPr>
              <w:t>The</w:t>
            </w:r>
            <w:r>
              <w:rPr>
                <w:rFonts w:cs="Arial"/>
              </w:rPr>
              <w:t xml:space="preserve"> proportion</w:t>
            </w:r>
            <w:r w:rsidR="004B37E0">
              <w:rPr>
                <w:rFonts w:cs="Arial"/>
              </w:rPr>
              <w:t xml:space="preserve"> that</w:t>
            </w:r>
            <w:r>
              <w:rPr>
                <w:rFonts w:cs="Arial"/>
              </w:rPr>
              <w:t xml:space="preserve"> came from the Australian market</w:t>
            </w:r>
            <w:r w:rsidR="004B37E0">
              <w:rPr>
                <w:rFonts w:cs="Arial"/>
              </w:rPr>
              <w:t xml:space="preserve"> is not known</w:t>
            </w:r>
            <w:r>
              <w:rPr>
                <w:rFonts w:cs="Arial"/>
              </w:rPr>
              <w:t>.</w:t>
            </w:r>
          </w:p>
        </w:tc>
      </w:tr>
    </w:tbl>
    <w:p w14:paraId="3BA15B6F" w14:textId="77777777" w:rsidR="003045C6" w:rsidRDefault="003045C6" w:rsidP="008776BC">
      <w:pPr>
        <w:spacing w:after="0"/>
        <w:rPr>
          <w:rFonts w:cs="Arial"/>
        </w:rPr>
      </w:pPr>
    </w:p>
    <w:p w14:paraId="59206BF9" w14:textId="3A63C5D3" w:rsidR="00F2541B" w:rsidRDefault="00F2541B" w:rsidP="00F2541B">
      <w:pPr>
        <w:rPr>
          <w:rFonts w:cs="Arial"/>
        </w:rPr>
      </w:pPr>
      <w:r>
        <w:rPr>
          <w:rFonts w:cs="Arial"/>
        </w:rPr>
        <w:t xml:space="preserve">A gambling affiliate </w:t>
      </w:r>
      <w:r w:rsidR="007545F1">
        <w:rPr>
          <w:rFonts w:cs="Arial"/>
        </w:rPr>
        <w:t xml:space="preserve">can </w:t>
      </w:r>
      <w:r>
        <w:rPr>
          <w:rFonts w:cs="Arial"/>
        </w:rPr>
        <w:t>receive a</w:t>
      </w:r>
      <w:r w:rsidR="00334CBF">
        <w:rPr>
          <w:rFonts w:cs="Arial"/>
        </w:rPr>
        <w:t xml:space="preserve"> one-time payment per customer</w:t>
      </w:r>
      <w:r>
        <w:rPr>
          <w:rFonts w:cs="Arial"/>
        </w:rPr>
        <w:t xml:space="preserve"> for </w:t>
      </w:r>
      <w:r w:rsidR="007545F1">
        <w:rPr>
          <w:rFonts w:cs="Arial"/>
        </w:rPr>
        <w:t xml:space="preserve">each </w:t>
      </w:r>
      <w:r>
        <w:rPr>
          <w:rFonts w:cs="Arial"/>
        </w:rPr>
        <w:t>click-through to an online gambling provider</w:t>
      </w:r>
      <w:r w:rsidR="00334CBF">
        <w:rPr>
          <w:rFonts w:cs="Arial"/>
        </w:rPr>
        <w:t>, regardless of whether the customer wins or loses</w:t>
      </w:r>
      <w:r>
        <w:rPr>
          <w:rFonts w:cs="Arial"/>
        </w:rPr>
        <w:t>. More typically,</w:t>
      </w:r>
      <w:r w:rsidR="0015625D">
        <w:rPr>
          <w:rFonts w:cs="Arial"/>
        </w:rPr>
        <w:t xml:space="preserve"> </w:t>
      </w:r>
      <w:r w:rsidR="00F16BA8" w:rsidRPr="00A16CD6">
        <w:rPr>
          <w:rFonts w:cs="Arial"/>
        </w:rPr>
        <w:t>the affiliate receives a long-term trailing commission that is a percentage of the gross gambling losses of the referred customer</w:t>
      </w:r>
      <w:r w:rsidR="003C4F58">
        <w:rPr>
          <w:rFonts w:cs="Arial"/>
        </w:rPr>
        <w:t xml:space="preserve"> under a revenue share arrangement</w:t>
      </w:r>
      <w:r w:rsidR="006F1636">
        <w:rPr>
          <w:rFonts w:cs="Arial"/>
        </w:rPr>
        <w:t>.</w:t>
      </w:r>
      <w:r>
        <w:rPr>
          <w:rStyle w:val="FootnoteReference"/>
          <w:rFonts w:cs="Arial"/>
        </w:rPr>
        <w:footnoteReference w:id="23"/>
      </w:r>
    </w:p>
    <w:p w14:paraId="4BDB112A" w14:textId="1DD69DA6" w:rsidR="00F2541B" w:rsidRDefault="00F2541B" w:rsidP="008776BC">
      <w:pPr>
        <w:pStyle w:val="Paragraphbeforelist"/>
      </w:pPr>
      <w:r>
        <w:t xml:space="preserve">Affiliate gambling marketers </w:t>
      </w:r>
      <w:r w:rsidR="00D93142">
        <w:t xml:space="preserve">commonly </w:t>
      </w:r>
      <w:r>
        <w:t xml:space="preserve">differ from standard affiliate marketers </w:t>
      </w:r>
      <w:r w:rsidR="000B2FC1">
        <w:t>in that</w:t>
      </w:r>
      <w:r>
        <w:t>:</w:t>
      </w:r>
    </w:p>
    <w:p w14:paraId="2E2E4CB4" w14:textId="7A1021A6" w:rsidR="00F2541B" w:rsidRDefault="00F2541B" w:rsidP="00F2541B">
      <w:pPr>
        <w:pStyle w:val="Numberlistlevel1"/>
      </w:pPr>
      <w:r>
        <w:t xml:space="preserve">the average affiliate revenue share is notably higher, averaging at around 30% and can be as high as 50% (see </w:t>
      </w:r>
      <w:r w:rsidR="008776BC">
        <w:t>T</w:t>
      </w:r>
      <w:r>
        <w:t xml:space="preserve">able </w:t>
      </w:r>
      <w:r w:rsidR="00EF5639">
        <w:t>2</w:t>
      </w:r>
      <w:r>
        <w:t>)</w:t>
      </w:r>
    </w:p>
    <w:p w14:paraId="41416411" w14:textId="14A67810" w:rsidR="00F2541B" w:rsidRDefault="00F2541B" w:rsidP="00F2541B">
      <w:pPr>
        <w:pStyle w:val="Numberlistlevel1"/>
      </w:pPr>
      <w:r>
        <w:t xml:space="preserve">affiliate gambling marketers derive this revenue directly </w:t>
      </w:r>
      <w:r w:rsidR="008776BC">
        <w:t>from</w:t>
      </w:r>
      <w:r>
        <w:t xml:space="preserve"> the losses of the customers they attract to the gambling operator’s site</w:t>
      </w:r>
      <w:r>
        <w:rPr>
          <w:rStyle w:val="FootnoteReference"/>
          <w:rFonts w:cs="Arial"/>
        </w:rPr>
        <w:footnoteReference w:id="24"/>
      </w:r>
      <w:r>
        <w:t xml:space="preserve"> </w:t>
      </w:r>
    </w:p>
    <w:p w14:paraId="1650AB78" w14:textId="1B648D02" w:rsidR="00E4764F" w:rsidRDefault="00E4764F" w:rsidP="00F2541B">
      <w:pPr>
        <w:pStyle w:val="Numberlistlevel1"/>
      </w:pPr>
      <w:r>
        <w:t>the ‘cookie duration’ (</w:t>
      </w:r>
      <w:r w:rsidR="008776BC">
        <w:t>that is</w:t>
      </w:r>
      <w:r w:rsidR="00C43903">
        <w:t>,</w:t>
      </w:r>
      <w:r>
        <w:t xml:space="preserve"> the time allowed between when the gambler </w:t>
      </w:r>
      <w:r w:rsidR="00351EA1">
        <w:t>first visits the affiliate site and when they click through</w:t>
      </w:r>
      <w:r w:rsidR="00682BCF">
        <w:t>)</w:t>
      </w:r>
      <w:r w:rsidR="00351EA1">
        <w:t xml:space="preserve"> is </w:t>
      </w:r>
      <w:r w:rsidR="00247704">
        <w:t>longer and can be indefinite</w:t>
      </w:r>
      <w:r w:rsidR="000F5340">
        <w:rPr>
          <w:rStyle w:val="FootnoteReference"/>
        </w:rPr>
        <w:footnoteReference w:id="25"/>
      </w:r>
      <w:r w:rsidR="000F5340">
        <w:t xml:space="preserve"> </w:t>
      </w:r>
    </w:p>
    <w:p w14:paraId="04A8AF61" w14:textId="351011A1" w:rsidR="00F2541B" w:rsidRDefault="00F2541B" w:rsidP="00401A04">
      <w:pPr>
        <w:pStyle w:val="Numberlistlevel1"/>
        <w:spacing w:after="240"/>
      </w:pPr>
      <w:r>
        <w:lastRenderedPageBreak/>
        <w:t>transparency requirements placed on the affiliate, and adherence to these requirements, vary widely.</w:t>
      </w:r>
    </w:p>
    <w:p w14:paraId="565CCF7D" w14:textId="694F9C48" w:rsidR="00F2541B" w:rsidRPr="009D6DA8" w:rsidRDefault="00F2541B" w:rsidP="00F2541B">
      <w:pPr>
        <w:pStyle w:val="Tableheading"/>
        <w:keepLines/>
      </w:pPr>
      <w:r w:rsidRPr="009D6DA8">
        <w:t xml:space="preserve">Gambling </w:t>
      </w:r>
      <w:r w:rsidR="002A676E">
        <w:t>a</w:t>
      </w:r>
      <w:r w:rsidRPr="009D6DA8">
        <w:t xml:space="preserve">ffiliate </w:t>
      </w:r>
      <w:r w:rsidR="0059775C">
        <w:t>o</w:t>
      </w:r>
      <w:r w:rsidRPr="009D6DA8">
        <w:t xml:space="preserve">ffers </w:t>
      </w:r>
      <w:r>
        <w:t>a</w:t>
      </w:r>
      <w:r w:rsidRPr="009D6DA8">
        <w:t xml:space="preserve">nd </w:t>
      </w:r>
      <w:r w:rsidR="0059775C">
        <w:t>p</w:t>
      </w:r>
      <w:r w:rsidRPr="009D6DA8">
        <w:t>ayouts</w:t>
      </w:r>
      <w:r>
        <w:rPr>
          <w:rStyle w:val="FootnoteReference"/>
        </w:rPr>
        <w:footnoteReference w:id="26"/>
      </w:r>
    </w:p>
    <w:tbl>
      <w:tblPr>
        <w:tblStyle w:val="ACMAtablestyle"/>
        <w:tblW w:w="76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85" w:type="dxa"/>
          <w:left w:w="57" w:type="dxa"/>
          <w:bottom w:w="85" w:type="dxa"/>
          <w:right w:w="57" w:type="dxa"/>
        </w:tblCellMar>
        <w:tblLook w:val="01E0" w:firstRow="1" w:lastRow="1" w:firstColumn="1" w:lastColumn="1" w:noHBand="0" w:noVBand="0"/>
        <w:tblCaption w:val="Table title to go here"/>
        <w:tblDescription w:val="Table description to go here"/>
      </w:tblPr>
      <w:tblGrid>
        <w:gridCol w:w="2833"/>
        <w:gridCol w:w="4822"/>
      </w:tblGrid>
      <w:tr w:rsidR="00F2541B" w:rsidRPr="00702EA1" w14:paraId="46345191" w14:textId="77777777" w:rsidTr="00CB0D2F">
        <w:trPr>
          <w:cnfStyle w:val="100000000000" w:firstRow="1" w:lastRow="0" w:firstColumn="0" w:lastColumn="0" w:oddVBand="0" w:evenVBand="0" w:oddHBand="0" w:evenHBand="0" w:firstRowFirstColumn="0" w:firstRowLastColumn="0" w:lastRowFirstColumn="0" w:lastRowLastColumn="0"/>
        </w:trPr>
        <w:tc>
          <w:tcPr>
            <w:tcW w:w="2833" w:type="dxa"/>
            <w:tcBorders>
              <w:top w:val="none" w:sz="0" w:space="0" w:color="auto"/>
              <w:left w:val="none" w:sz="0" w:space="0" w:color="auto"/>
              <w:bottom w:val="none" w:sz="0" w:space="0" w:color="auto"/>
              <w:right w:val="none" w:sz="0" w:space="0" w:color="auto"/>
            </w:tcBorders>
            <w:shd w:val="clear" w:color="auto" w:fill="31849B" w:themeFill="accent5" w:themeFillShade="BF"/>
          </w:tcPr>
          <w:p w14:paraId="4190D18A" w14:textId="77777777" w:rsidR="00F2541B" w:rsidRPr="00702EA1" w:rsidRDefault="00F2541B" w:rsidP="00091552">
            <w:pPr>
              <w:pStyle w:val="Tableheaderrow"/>
              <w:keepNext/>
              <w:keepLines/>
            </w:pPr>
            <w:r>
              <w:t>Platform/Company</w:t>
            </w:r>
          </w:p>
        </w:tc>
        <w:tc>
          <w:tcPr>
            <w:tcW w:w="4822" w:type="dxa"/>
            <w:tcBorders>
              <w:top w:val="none" w:sz="0" w:space="0" w:color="auto"/>
              <w:left w:val="none" w:sz="0" w:space="0" w:color="auto"/>
              <w:bottom w:val="none" w:sz="0" w:space="0" w:color="auto"/>
              <w:right w:val="none" w:sz="0" w:space="0" w:color="auto"/>
            </w:tcBorders>
            <w:shd w:val="clear" w:color="auto" w:fill="31849B" w:themeFill="accent5" w:themeFillShade="BF"/>
          </w:tcPr>
          <w:p w14:paraId="6BC380E2" w14:textId="41477B3E" w:rsidR="00F2541B" w:rsidRPr="00702EA1" w:rsidRDefault="00F2541B" w:rsidP="00091552">
            <w:pPr>
              <w:pStyle w:val="Tableheaderrow"/>
              <w:keepNext/>
              <w:keepLines/>
            </w:pPr>
            <w:r>
              <w:t xml:space="preserve">Affiliate </w:t>
            </w:r>
            <w:r w:rsidR="002A676E">
              <w:t>o</w:t>
            </w:r>
            <w:r>
              <w:t>ffer</w:t>
            </w:r>
          </w:p>
        </w:tc>
      </w:tr>
      <w:tr w:rsidR="00F2541B" w:rsidRPr="00702EA1" w14:paraId="3EC32A8B" w14:textId="77777777" w:rsidTr="00CB0D2F">
        <w:trPr>
          <w:cnfStyle w:val="000000100000" w:firstRow="0" w:lastRow="0" w:firstColumn="0" w:lastColumn="0" w:oddVBand="0" w:evenVBand="0" w:oddHBand="1" w:evenHBand="0" w:firstRowFirstColumn="0" w:firstRowLastColumn="0" w:lastRowFirstColumn="0" w:lastRowLastColumn="0"/>
        </w:trPr>
        <w:tc>
          <w:tcPr>
            <w:tcW w:w="2833" w:type="dxa"/>
          </w:tcPr>
          <w:p w14:paraId="6029FE11" w14:textId="77777777" w:rsidR="00F2541B" w:rsidRPr="00702EA1" w:rsidRDefault="00F2541B" w:rsidP="00091552">
            <w:pPr>
              <w:pStyle w:val="TableBody"/>
              <w:keepNext/>
              <w:keepLines/>
            </w:pPr>
            <w:r w:rsidRPr="009B1B7B">
              <w:rPr>
                <w:rFonts w:cs="Arial"/>
              </w:rPr>
              <w:t>Fruity Affiliates</w:t>
            </w:r>
          </w:p>
        </w:tc>
        <w:tc>
          <w:tcPr>
            <w:tcW w:w="4822" w:type="dxa"/>
          </w:tcPr>
          <w:p w14:paraId="4604BC93" w14:textId="68E9BAEF" w:rsidR="00F2541B" w:rsidRPr="00702EA1" w:rsidRDefault="00F2541B" w:rsidP="00091552">
            <w:pPr>
              <w:pStyle w:val="TableBody"/>
              <w:keepNext/>
              <w:keepLines/>
            </w:pPr>
            <w:r w:rsidRPr="009B1B7B">
              <w:rPr>
                <w:rFonts w:cs="Arial"/>
              </w:rPr>
              <w:t>30</w:t>
            </w:r>
            <w:r w:rsidR="002A676E">
              <w:rPr>
                <w:rFonts w:cs="Arial"/>
              </w:rPr>
              <w:t>–</w:t>
            </w:r>
            <w:r w:rsidRPr="009B1B7B">
              <w:rPr>
                <w:rFonts w:cs="Arial"/>
              </w:rPr>
              <w:t>40% rev</w:t>
            </w:r>
            <w:r>
              <w:rPr>
                <w:rFonts w:cs="Arial"/>
              </w:rPr>
              <w:t xml:space="preserve">enue </w:t>
            </w:r>
            <w:r w:rsidRPr="009B1B7B">
              <w:rPr>
                <w:rFonts w:cs="Arial"/>
              </w:rPr>
              <w:t>share via promotion</w:t>
            </w:r>
          </w:p>
        </w:tc>
      </w:tr>
      <w:tr w:rsidR="00F2541B" w:rsidRPr="00702EA1" w14:paraId="46B44683" w14:textId="77777777" w:rsidTr="00CB0D2F">
        <w:trPr>
          <w:cnfStyle w:val="000000010000" w:firstRow="0" w:lastRow="0" w:firstColumn="0" w:lastColumn="0" w:oddVBand="0" w:evenVBand="0" w:oddHBand="0" w:evenHBand="1" w:firstRowFirstColumn="0" w:firstRowLastColumn="0" w:lastRowFirstColumn="0" w:lastRowLastColumn="0"/>
        </w:trPr>
        <w:tc>
          <w:tcPr>
            <w:tcW w:w="2833" w:type="dxa"/>
          </w:tcPr>
          <w:p w14:paraId="6043F9D9" w14:textId="77777777" w:rsidR="00F2541B" w:rsidRPr="00702EA1" w:rsidRDefault="00F2541B" w:rsidP="00091552">
            <w:pPr>
              <w:pStyle w:val="TableBody"/>
              <w:keepNext/>
              <w:keepLines/>
            </w:pPr>
            <w:r w:rsidRPr="009B1B7B">
              <w:rPr>
                <w:rFonts w:cs="Arial"/>
              </w:rPr>
              <w:t>Golden Star</w:t>
            </w:r>
          </w:p>
        </w:tc>
        <w:tc>
          <w:tcPr>
            <w:tcW w:w="4822" w:type="dxa"/>
          </w:tcPr>
          <w:p w14:paraId="2AD4F47E" w14:textId="77777777" w:rsidR="00F2541B" w:rsidRPr="00702EA1" w:rsidRDefault="00F2541B" w:rsidP="00091552">
            <w:pPr>
              <w:pStyle w:val="TableBody"/>
              <w:keepNext/>
              <w:keepLines/>
            </w:pPr>
            <w:r w:rsidRPr="009B1B7B">
              <w:rPr>
                <w:rFonts w:cs="Arial"/>
              </w:rPr>
              <w:t>50% rev</w:t>
            </w:r>
            <w:r>
              <w:rPr>
                <w:rFonts w:cs="Arial"/>
              </w:rPr>
              <w:t xml:space="preserve">enue </w:t>
            </w:r>
            <w:r w:rsidRPr="009B1B7B">
              <w:rPr>
                <w:rFonts w:cs="Arial"/>
              </w:rPr>
              <w:t>share</w:t>
            </w:r>
          </w:p>
        </w:tc>
      </w:tr>
      <w:tr w:rsidR="00F2541B" w:rsidRPr="00702EA1" w14:paraId="7BEFCDBD" w14:textId="77777777" w:rsidTr="00CB0D2F">
        <w:trPr>
          <w:cnfStyle w:val="000000100000" w:firstRow="0" w:lastRow="0" w:firstColumn="0" w:lastColumn="0" w:oddVBand="0" w:evenVBand="0" w:oddHBand="1" w:evenHBand="0" w:firstRowFirstColumn="0" w:firstRowLastColumn="0" w:lastRowFirstColumn="0" w:lastRowLastColumn="0"/>
        </w:trPr>
        <w:tc>
          <w:tcPr>
            <w:tcW w:w="2833" w:type="dxa"/>
          </w:tcPr>
          <w:p w14:paraId="0D01E709" w14:textId="77777777" w:rsidR="00F2541B" w:rsidRPr="00702EA1" w:rsidRDefault="00F2541B" w:rsidP="00091552">
            <w:pPr>
              <w:pStyle w:val="TableBody"/>
              <w:keepNext/>
              <w:keepLines/>
            </w:pPr>
            <w:r w:rsidRPr="009B1B7B">
              <w:rPr>
                <w:rFonts w:cs="Arial"/>
              </w:rPr>
              <w:t>Gunsbet</w:t>
            </w:r>
          </w:p>
        </w:tc>
        <w:tc>
          <w:tcPr>
            <w:tcW w:w="4822" w:type="dxa"/>
          </w:tcPr>
          <w:p w14:paraId="1D08F6C6" w14:textId="1D3261EB" w:rsidR="00F2541B" w:rsidRPr="00702EA1" w:rsidRDefault="002A676E" w:rsidP="00091552">
            <w:pPr>
              <w:pStyle w:val="TableBody"/>
              <w:keepNext/>
              <w:keepLines/>
            </w:pPr>
            <w:r>
              <w:rPr>
                <w:rFonts w:cs="Arial"/>
              </w:rPr>
              <w:t>R</w:t>
            </w:r>
            <w:r w:rsidR="00F2541B" w:rsidRPr="009B1B7B">
              <w:rPr>
                <w:rFonts w:cs="Arial"/>
              </w:rPr>
              <w:t>ev</w:t>
            </w:r>
            <w:r w:rsidR="00F2541B">
              <w:rPr>
                <w:rFonts w:cs="Arial"/>
              </w:rPr>
              <w:t>enue</w:t>
            </w:r>
            <w:r w:rsidR="00CB0D2F">
              <w:rPr>
                <w:rFonts w:cs="Arial"/>
              </w:rPr>
              <w:t>-</w:t>
            </w:r>
            <w:r w:rsidR="00F2541B" w:rsidRPr="009B1B7B">
              <w:rPr>
                <w:rFonts w:cs="Arial"/>
              </w:rPr>
              <w:t>share model</w:t>
            </w:r>
          </w:p>
        </w:tc>
      </w:tr>
      <w:tr w:rsidR="00F2541B" w:rsidRPr="00702EA1" w14:paraId="59897AD5" w14:textId="77777777" w:rsidTr="00CB0D2F">
        <w:trPr>
          <w:cnfStyle w:val="000000010000" w:firstRow="0" w:lastRow="0" w:firstColumn="0" w:lastColumn="0" w:oddVBand="0" w:evenVBand="0" w:oddHBand="0" w:evenHBand="1" w:firstRowFirstColumn="0" w:firstRowLastColumn="0" w:lastRowFirstColumn="0" w:lastRowLastColumn="0"/>
        </w:trPr>
        <w:tc>
          <w:tcPr>
            <w:tcW w:w="2833" w:type="dxa"/>
          </w:tcPr>
          <w:p w14:paraId="39B4B443" w14:textId="77777777" w:rsidR="00F2541B" w:rsidRPr="00702EA1" w:rsidRDefault="00F2541B" w:rsidP="00091552">
            <w:pPr>
              <w:pStyle w:val="TableBody"/>
              <w:keepNext/>
              <w:keepLines/>
            </w:pPr>
            <w:r w:rsidRPr="009B1B7B">
              <w:rPr>
                <w:rFonts w:cs="Arial"/>
              </w:rPr>
              <w:t>Earn Big Affiliate</w:t>
            </w:r>
          </w:p>
        </w:tc>
        <w:tc>
          <w:tcPr>
            <w:tcW w:w="4822" w:type="dxa"/>
          </w:tcPr>
          <w:p w14:paraId="647437B1" w14:textId="77BC8C4C" w:rsidR="00F2541B" w:rsidRPr="00702EA1" w:rsidRDefault="00F2541B" w:rsidP="00091552">
            <w:pPr>
              <w:pStyle w:val="TableBody"/>
              <w:keepNext/>
              <w:keepLines/>
            </w:pPr>
            <w:r w:rsidRPr="009B1B7B">
              <w:rPr>
                <w:rFonts w:cs="Arial"/>
              </w:rPr>
              <w:t>30</w:t>
            </w:r>
            <w:r w:rsidR="002A676E">
              <w:rPr>
                <w:rFonts w:cs="Arial"/>
              </w:rPr>
              <w:t>–</w:t>
            </w:r>
            <w:r w:rsidRPr="009B1B7B">
              <w:rPr>
                <w:rFonts w:cs="Arial"/>
              </w:rPr>
              <w:t>50% revenue shar</w:t>
            </w:r>
            <w:r>
              <w:rPr>
                <w:rFonts w:cs="Arial"/>
              </w:rPr>
              <w:t>e</w:t>
            </w:r>
          </w:p>
        </w:tc>
      </w:tr>
      <w:tr w:rsidR="00F2541B" w:rsidRPr="00702EA1" w14:paraId="26D4A913" w14:textId="77777777" w:rsidTr="00CB0D2F">
        <w:trPr>
          <w:cnfStyle w:val="000000100000" w:firstRow="0" w:lastRow="0" w:firstColumn="0" w:lastColumn="0" w:oddVBand="0" w:evenVBand="0" w:oddHBand="1" w:evenHBand="0" w:firstRowFirstColumn="0" w:firstRowLastColumn="0" w:lastRowFirstColumn="0" w:lastRowLastColumn="0"/>
        </w:trPr>
        <w:tc>
          <w:tcPr>
            <w:tcW w:w="2833" w:type="dxa"/>
          </w:tcPr>
          <w:p w14:paraId="0A3A2F0C" w14:textId="77777777" w:rsidR="00F2541B" w:rsidRPr="009B1B7B" w:rsidRDefault="00F2541B" w:rsidP="00091552">
            <w:pPr>
              <w:pStyle w:val="TableBody"/>
              <w:keepNext/>
              <w:keepLines/>
              <w:rPr>
                <w:rFonts w:cs="Arial"/>
              </w:rPr>
            </w:pPr>
            <w:r w:rsidRPr="009B1B7B">
              <w:rPr>
                <w:rFonts w:cs="Arial"/>
              </w:rPr>
              <w:t>Viks</w:t>
            </w:r>
          </w:p>
        </w:tc>
        <w:tc>
          <w:tcPr>
            <w:tcW w:w="4822" w:type="dxa"/>
          </w:tcPr>
          <w:p w14:paraId="752BA7E3" w14:textId="1D72E6D6" w:rsidR="00F2541B" w:rsidRPr="00702EA1" w:rsidRDefault="00F2541B" w:rsidP="00091552">
            <w:pPr>
              <w:pStyle w:val="TableBody"/>
              <w:keepNext/>
              <w:keepLines/>
            </w:pPr>
            <w:r w:rsidRPr="009B1B7B">
              <w:rPr>
                <w:rFonts w:cs="Arial"/>
              </w:rPr>
              <w:t>20</w:t>
            </w:r>
            <w:r w:rsidR="002A676E">
              <w:rPr>
                <w:rFonts w:cs="Arial"/>
              </w:rPr>
              <w:t>–</w:t>
            </w:r>
            <w:r w:rsidRPr="009B1B7B">
              <w:rPr>
                <w:rFonts w:cs="Arial"/>
              </w:rPr>
              <w:t>40% rev</w:t>
            </w:r>
            <w:r>
              <w:rPr>
                <w:rFonts w:cs="Arial"/>
              </w:rPr>
              <w:t xml:space="preserve">enue </w:t>
            </w:r>
            <w:r w:rsidRPr="009B1B7B">
              <w:rPr>
                <w:rFonts w:cs="Arial"/>
              </w:rPr>
              <w:t>share</w:t>
            </w:r>
          </w:p>
        </w:tc>
      </w:tr>
      <w:tr w:rsidR="00F2541B" w:rsidRPr="00702EA1" w14:paraId="5B8E19FC" w14:textId="77777777" w:rsidTr="00CB0D2F">
        <w:trPr>
          <w:cnfStyle w:val="000000010000" w:firstRow="0" w:lastRow="0" w:firstColumn="0" w:lastColumn="0" w:oddVBand="0" w:evenVBand="0" w:oddHBand="0" w:evenHBand="1" w:firstRowFirstColumn="0" w:firstRowLastColumn="0" w:lastRowFirstColumn="0" w:lastRowLastColumn="0"/>
        </w:trPr>
        <w:tc>
          <w:tcPr>
            <w:tcW w:w="2833" w:type="dxa"/>
          </w:tcPr>
          <w:p w14:paraId="47671040" w14:textId="77777777" w:rsidR="00F2541B" w:rsidRPr="009B1B7B" w:rsidRDefault="00F2541B" w:rsidP="00091552">
            <w:pPr>
              <w:pStyle w:val="TableBody"/>
              <w:keepNext/>
              <w:keepLines/>
              <w:rPr>
                <w:rFonts w:cs="Arial"/>
              </w:rPr>
            </w:pPr>
            <w:r w:rsidRPr="009B1B7B">
              <w:rPr>
                <w:rFonts w:cs="Arial"/>
              </w:rPr>
              <w:t>BitStarz</w:t>
            </w:r>
          </w:p>
        </w:tc>
        <w:tc>
          <w:tcPr>
            <w:tcW w:w="4822" w:type="dxa"/>
          </w:tcPr>
          <w:p w14:paraId="57E732A0" w14:textId="36B526E5" w:rsidR="00F2541B" w:rsidRPr="00702EA1" w:rsidRDefault="00F2541B" w:rsidP="00091552">
            <w:pPr>
              <w:pStyle w:val="TableBody"/>
              <w:keepNext/>
              <w:keepLines/>
            </w:pPr>
            <w:r w:rsidRPr="009B1B7B">
              <w:rPr>
                <w:rFonts w:cs="Arial"/>
              </w:rPr>
              <w:t>25</w:t>
            </w:r>
            <w:r w:rsidR="002A676E">
              <w:rPr>
                <w:rFonts w:cs="Arial"/>
              </w:rPr>
              <w:t>–</w:t>
            </w:r>
            <w:r w:rsidRPr="009B1B7B">
              <w:rPr>
                <w:rFonts w:cs="Arial"/>
              </w:rPr>
              <w:t>40% revenue share</w:t>
            </w:r>
          </w:p>
        </w:tc>
      </w:tr>
      <w:tr w:rsidR="00F2541B" w:rsidRPr="00702EA1" w14:paraId="466E5555" w14:textId="77777777" w:rsidTr="00CB0D2F">
        <w:trPr>
          <w:cnfStyle w:val="000000100000" w:firstRow="0" w:lastRow="0" w:firstColumn="0" w:lastColumn="0" w:oddVBand="0" w:evenVBand="0" w:oddHBand="1" w:evenHBand="0" w:firstRowFirstColumn="0" w:firstRowLastColumn="0" w:lastRowFirstColumn="0" w:lastRowLastColumn="0"/>
        </w:trPr>
        <w:tc>
          <w:tcPr>
            <w:tcW w:w="2833" w:type="dxa"/>
          </w:tcPr>
          <w:p w14:paraId="7587CE08" w14:textId="77777777" w:rsidR="00F2541B" w:rsidRPr="009B1B7B" w:rsidRDefault="00F2541B" w:rsidP="00091552">
            <w:pPr>
              <w:pStyle w:val="TableBody"/>
              <w:keepNext/>
              <w:keepLines/>
              <w:rPr>
                <w:rFonts w:cs="Arial"/>
              </w:rPr>
            </w:pPr>
            <w:r w:rsidRPr="009B1B7B">
              <w:rPr>
                <w:rFonts w:cs="Arial"/>
              </w:rPr>
              <w:t>Fortune Affiliates</w:t>
            </w:r>
          </w:p>
        </w:tc>
        <w:tc>
          <w:tcPr>
            <w:tcW w:w="4822" w:type="dxa"/>
          </w:tcPr>
          <w:p w14:paraId="75F801EA" w14:textId="208050D4" w:rsidR="00F2541B" w:rsidRPr="00702EA1" w:rsidRDefault="002A676E" w:rsidP="00091552">
            <w:pPr>
              <w:pStyle w:val="TableBody"/>
              <w:keepNext/>
              <w:keepLines/>
            </w:pPr>
            <w:r>
              <w:rPr>
                <w:rFonts w:cs="Arial"/>
              </w:rPr>
              <w:t>R</w:t>
            </w:r>
            <w:r w:rsidR="00F2541B" w:rsidRPr="009B1B7B">
              <w:rPr>
                <w:rFonts w:cs="Arial"/>
              </w:rPr>
              <w:t>ev</w:t>
            </w:r>
            <w:r w:rsidR="00F2541B">
              <w:rPr>
                <w:rFonts w:cs="Arial"/>
              </w:rPr>
              <w:t>enue</w:t>
            </w:r>
            <w:r w:rsidR="00CB0D2F">
              <w:rPr>
                <w:rFonts w:cs="Arial"/>
              </w:rPr>
              <w:t>-</w:t>
            </w:r>
            <w:r w:rsidR="00F2541B" w:rsidRPr="009B1B7B">
              <w:rPr>
                <w:rFonts w:cs="Arial"/>
              </w:rPr>
              <w:t>share offer for the first 3 months of 30%, 40% and 50%</w:t>
            </w:r>
          </w:p>
        </w:tc>
      </w:tr>
    </w:tbl>
    <w:p w14:paraId="11CC8A4E" w14:textId="0B5F7A65" w:rsidR="00F2541B" w:rsidRPr="00B203CF" w:rsidRDefault="002A676E" w:rsidP="00F2541B">
      <w:pPr>
        <w:pStyle w:val="Tableorfigurenote"/>
        <w:keepNext/>
        <w:keepLines/>
        <w:rPr>
          <w:i w:val="0"/>
          <w:iCs/>
        </w:rPr>
      </w:pPr>
      <w:r>
        <w:t xml:space="preserve">Source: </w:t>
      </w:r>
      <w:r w:rsidR="006B45B1">
        <w:t xml:space="preserve">Adapted from </w:t>
      </w:r>
      <w:r w:rsidR="00F2541B">
        <w:t xml:space="preserve">Business of Apps. </w:t>
      </w:r>
      <w:hyperlink r:id="rId31" w:history="1">
        <w:r w:rsidR="00B203CF" w:rsidRPr="00E1060B">
          <w:rPr>
            <w:rStyle w:val="Hyperlink"/>
          </w:rPr>
          <w:t>https://www.businessofapps.com/affiliate/gambling/</w:t>
        </w:r>
      </w:hyperlink>
      <w:r w:rsidR="007C635C">
        <w:t xml:space="preserve">, </w:t>
      </w:r>
      <w:r w:rsidR="00B203CF">
        <w:rPr>
          <w:i w:val="0"/>
          <w:iCs/>
        </w:rPr>
        <w:t>accessed 24</w:t>
      </w:r>
      <w:r w:rsidR="007C635C">
        <w:rPr>
          <w:i w:val="0"/>
          <w:iCs/>
        </w:rPr>
        <w:t> </w:t>
      </w:r>
      <w:r w:rsidR="00B203CF">
        <w:rPr>
          <w:i w:val="0"/>
          <w:iCs/>
        </w:rPr>
        <w:t>November, 2021.</w:t>
      </w:r>
    </w:p>
    <w:p w14:paraId="6EE27F71" w14:textId="36662B7C" w:rsidR="00F2541B" w:rsidRPr="00266F35" w:rsidRDefault="00DD2FD3" w:rsidP="0025643B">
      <w:pPr>
        <w:pStyle w:val="Heading2"/>
      </w:pPr>
      <w:bookmarkStart w:id="12" w:name="_Toc88480169"/>
      <w:r>
        <w:t xml:space="preserve">Operation of </w:t>
      </w:r>
      <w:r w:rsidR="00F2541B" w:rsidRPr="00266F35">
        <w:t>affiliate program</w:t>
      </w:r>
      <w:r w:rsidR="00F2541B">
        <w:t>s</w:t>
      </w:r>
      <w:r w:rsidR="00F2541B" w:rsidRPr="00266F35">
        <w:t xml:space="preserve"> in the online market</w:t>
      </w:r>
      <w:bookmarkEnd w:id="12"/>
    </w:p>
    <w:p w14:paraId="023FF93B" w14:textId="61E4DB79" w:rsidR="00F2541B" w:rsidRDefault="00F2541B" w:rsidP="00F2541B">
      <w:pPr>
        <w:rPr>
          <w:rFonts w:cs="Arial"/>
        </w:rPr>
      </w:pPr>
      <w:r>
        <w:rPr>
          <w:rFonts w:cs="Arial"/>
        </w:rPr>
        <w:t xml:space="preserve">The internet </w:t>
      </w:r>
      <w:r w:rsidR="003504E5">
        <w:rPr>
          <w:rFonts w:cs="Arial"/>
        </w:rPr>
        <w:t>and social media</w:t>
      </w:r>
      <w:r>
        <w:rPr>
          <w:rFonts w:cs="Arial"/>
        </w:rPr>
        <w:t xml:space="preserve"> </w:t>
      </w:r>
      <w:r w:rsidR="00BE7DFE">
        <w:rPr>
          <w:rFonts w:cs="Arial"/>
        </w:rPr>
        <w:t>hav</w:t>
      </w:r>
      <w:r w:rsidR="00E36F62">
        <w:rPr>
          <w:rFonts w:cs="Arial"/>
        </w:rPr>
        <w:t>e</w:t>
      </w:r>
      <w:r w:rsidR="00BE7DFE">
        <w:rPr>
          <w:rFonts w:cs="Arial"/>
        </w:rPr>
        <w:t xml:space="preserve"> </w:t>
      </w:r>
      <w:r w:rsidR="00047338">
        <w:rPr>
          <w:rFonts w:cs="Arial"/>
        </w:rPr>
        <w:t xml:space="preserve">both </w:t>
      </w:r>
      <w:r>
        <w:rPr>
          <w:rFonts w:cs="Arial"/>
        </w:rPr>
        <w:t xml:space="preserve">created </w:t>
      </w:r>
      <w:r w:rsidR="00047338">
        <w:rPr>
          <w:rFonts w:cs="Arial"/>
        </w:rPr>
        <w:t xml:space="preserve">the </w:t>
      </w:r>
      <w:r>
        <w:rPr>
          <w:rFonts w:cs="Arial"/>
        </w:rPr>
        <w:t>platform</w:t>
      </w:r>
      <w:r w:rsidR="00047338">
        <w:rPr>
          <w:rFonts w:cs="Arial"/>
        </w:rPr>
        <w:t xml:space="preserve"> </w:t>
      </w:r>
      <w:r>
        <w:rPr>
          <w:rFonts w:cs="Arial"/>
        </w:rPr>
        <w:t>for online gambling</w:t>
      </w:r>
      <w:r w:rsidR="00047338">
        <w:rPr>
          <w:rFonts w:cs="Arial"/>
        </w:rPr>
        <w:t xml:space="preserve"> and</w:t>
      </w:r>
      <w:r>
        <w:rPr>
          <w:rFonts w:cs="Arial"/>
        </w:rPr>
        <w:t xml:space="preserve"> </w:t>
      </w:r>
      <w:r w:rsidRPr="001A2BE0">
        <w:rPr>
          <w:rFonts w:cs="Arial"/>
        </w:rPr>
        <w:t xml:space="preserve">expanded </w:t>
      </w:r>
      <w:r>
        <w:rPr>
          <w:rFonts w:cs="Arial"/>
        </w:rPr>
        <w:t>the way that online operators can reach</w:t>
      </w:r>
      <w:r w:rsidRPr="001A2BE0">
        <w:rPr>
          <w:rFonts w:cs="Arial"/>
        </w:rPr>
        <w:t xml:space="preserve"> potential customers</w:t>
      </w:r>
      <w:r>
        <w:rPr>
          <w:rFonts w:cs="Arial"/>
        </w:rPr>
        <w:t>.</w:t>
      </w:r>
      <w:r>
        <w:rPr>
          <w:rStyle w:val="FootnoteReference"/>
          <w:rFonts w:cs="Arial"/>
        </w:rPr>
        <w:footnoteReference w:id="27"/>
      </w:r>
      <w:r>
        <w:rPr>
          <w:rFonts w:cs="Arial"/>
        </w:rPr>
        <w:t xml:space="preserve"> </w:t>
      </w:r>
      <w:r w:rsidRPr="001A2BE0">
        <w:rPr>
          <w:rFonts w:cs="Arial"/>
        </w:rPr>
        <w:t>Recently, gambling companies have increased their use of social media to attract new</w:t>
      </w:r>
      <w:r w:rsidR="00CB0D2F">
        <w:rPr>
          <w:rFonts w:cs="Arial"/>
        </w:rPr>
        <w:t xml:space="preserve"> customers</w:t>
      </w:r>
      <w:r w:rsidRPr="001A2BE0">
        <w:rPr>
          <w:rFonts w:cs="Arial"/>
        </w:rPr>
        <w:t xml:space="preserve"> and retain existing</w:t>
      </w:r>
      <w:r w:rsidR="00B549B8">
        <w:rPr>
          <w:rFonts w:cs="Arial"/>
        </w:rPr>
        <w:t xml:space="preserve"> ones</w:t>
      </w:r>
      <w:r w:rsidRPr="001A2BE0">
        <w:rPr>
          <w:rFonts w:cs="Arial"/>
        </w:rPr>
        <w:t xml:space="preserve">. </w:t>
      </w:r>
    </w:p>
    <w:p w14:paraId="6B49048D" w14:textId="5C0A5050" w:rsidR="00F2541B" w:rsidRDefault="00F2541B" w:rsidP="00F2541B">
      <w:pPr>
        <w:rPr>
          <w:rFonts w:cs="Arial"/>
        </w:rPr>
      </w:pPr>
      <w:r>
        <w:rPr>
          <w:rFonts w:cs="Arial"/>
        </w:rPr>
        <w:t>Less</w:t>
      </w:r>
      <w:r w:rsidRPr="001A2BE0">
        <w:rPr>
          <w:rFonts w:cs="Arial"/>
        </w:rPr>
        <w:t xml:space="preserve"> is known about the use of social media by gambling affiliates</w:t>
      </w:r>
      <w:r w:rsidR="00047338">
        <w:rPr>
          <w:rFonts w:cs="Arial"/>
        </w:rPr>
        <w:t>. D</w:t>
      </w:r>
      <w:r>
        <w:rPr>
          <w:rFonts w:cs="Arial"/>
        </w:rPr>
        <w:t xml:space="preserve">ue to the illegal status of some the products being promoted by affiliate marketers in certain jurisdictions, it is difficult to quantify how many are actively engaging with Australian residents, or their sign-up rates. However, research into this area is growing. </w:t>
      </w:r>
    </w:p>
    <w:p w14:paraId="6B40974C" w14:textId="72737E09" w:rsidR="00F2541B" w:rsidRDefault="00F2541B" w:rsidP="00F2541B">
      <w:pPr>
        <w:rPr>
          <w:rFonts w:cs="Arial"/>
        </w:rPr>
      </w:pPr>
      <w:r>
        <w:rPr>
          <w:rFonts w:cs="Arial"/>
        </w:rPr>
        <w:t>S</w:t>
      </w:r>
      <w:r w:rsidRPr="004F6926">
        <w:rPr>
          <w:rFonts w:cs="Arial"/>
        </w:rPr>
        <w:t>ocial media accounts are</w:t>
      </w:r>
      <w:r>
        <w:rPr>
          <w:rFonts w:cs="Arial"/>
        </w:rPr>
        <w:t xml:space="preserve"> proving</w:t>
      </w:r>
      <w:r w:rsidRPr="004F6926">
        <w:rPr>
          <w:rFonts w:cs="Arial"/>
        </w:rPr>
        <w:t xml:space="preserve"> a common way for gambling affiliates to target gamblers. </w:t>
      </w:r>
      <w:r>
        <w:rPr>
          <w:rFonts w:cs="Arial"/>
        </w:rPr>
        <w:t>The affiliate marketer either sets up a ‘tipster account’, where they present as a skilled gambler that can provide tips and informed betting suggestions</w:t>
      </w:r>
      <w:r w:rsidR="00CB0D2F">
        <w:rPr>
          <w:rFonts w:cs="Arial"/>
        </w:rPr>
        <w:t>,</w:t>
      </w:r>
      <w:r>
        <w:rPr>
          <w:rFonts w:cs="Arial"/>
        </w:rPr>
        <w:t xml:space="preserve"> or</w:t>
      </w:r>
      <w:r w:rsidRPr="004F6926">
        <w:rPr>
          <w:rFonts w:cs="Arial"/>
        </w:rPr>
        <w:t xml:space="preserve"> </w:t>
      </w:r>
      <w:r w:rsidR="00CB0D2F">
        <w:rPr>
          <w:rFonts w:cs="Arial"/>
        </w:rPr>
        <w:t xml:space="preserve">creates </w:t>
      </w:r>
      <w:r w:rsidRPr="004F6926">
        <w:rPr>
          <w:rFonts w:cs="Arial"/>
        </w:rPr>
        <w:t>‘betting communities’</w:t>
      </w:r>
      <w:r>
        <w:rPr>
          <w:rFonts w:cs="Arial"/>
        </w:rPr>
        <w:t>, presenting as a</w:t>
      </w:r>
      <w:r w:rsidRPr="004F6926">
        <w:rPr>
          <w:rFonts w:cs="Arial"/>
        </w:rPr>
        <w:t xml:space="preserve"> brand rather than an individual. Both create the impression that </w:t>
      </w:r>
      <w:r>
        <w:rPr>
          <w:rFonts w:cs="Arial"/>
        </w:rPr>
        <w:t xml:space="preserve">the affiliate is a </w:t>
      </w:r>
      <w:r w:rsidRPr="004F6926">
        <w:rPr>
          <w:rFonts w:cs="Arial"/>
        </w:rPr>
        <w:t>source of expert gambling advice</w:t>
      </w:r>
      <w:r>
        <w:rPr>
          <w:rFonts w:cs="Arial"/>
        </w:rPr>
        <w:t>. When, as is often the case,</w:t>
      </w:r>
      <w:r w:rsidRPr="004F6926">
        <w:rPr>
          <w:rFonts w:cs="Arial"/>
        </w:rPr>
        <w:t xml:space="preserve"> the gambler is not aware </w:t>
      </w:r>
      <w:r>
        <w:rPr>
          <w:rFonts w:cs="Arial"/>
        </w:rPr>
        <w:t>of the affiliate’s</w:t>
      </w:r>
      <w:r w:rsidRPr="004F6926">
        <w:rPr>
          <w:rFonts w:cs="Arial"/>
        </w:rPr>
        <w:t xml:space="preserve"> </w:t>
      </w:r>
      <w:r>
        <w:rPr>
          <w:rFonts w:cs="Arial"/>
        </w:rPr>
        <w:t>motivation</w:t>
      </w:r>
      <w:r w:rsidRPr="004F6926">
        <w:rPr>
          <w:rFonts w:cs="Arial"/>
        </w:rPr>
        <w:t xml:space="preserve">, </w:t>
      </w:r>
      <w:r>
        <w:rPr>
          <w:rFonts w:cs="Arial"/>
        </w:rPr>
        <w:t>the gambler</w:t>
      </w:r>
      <w:r w:rsidRPr="004F6926">
        <w:rPr>
          <w:rFonts w:cs="Arial"/>
        </w:rPr>
        <w:t xml:space="preserve"> may </w:t>
      </w:r>
      <w:r>
        <w:rPr>
          <w:rFonts w:cs="Arial"/>
        </w:rPr>
        <w:t xml:space="preserve">mistakenly believe they are collaborating </w:t>
      </w:r>
      <w:r w:rsidRPr="004F6926">
        <w:rPr>
          <w:rFonts w:cs="Arial"/>
        </w:rPr>
        <w:t>with a peer</w:t>
      </w:r>
      <w:r>
        <w:rPr>
          <w:rFonts w:cs="Arial"/>
        </w:rPr>
        <w:t>.</w:t>
      </w:r>
      <w:r w:rsidRPr="004F6926">
        <w:rPr>
          <w:rStyle w:val="FootnoteReference"/>
          <w:rFonts w:cs="Arial"/>
        </w:rPr>
        <w:footnoteReference w:id="28"/>
      </w:r>
      <w:r w:rsidRPr="004F6926">
        <w:rPr>
          <w:rFonts w:cs="Arial"/>
        </w:rPr>
        <w:t xml:space="preserve"> </w:t>
      </w:r>
    </w:p>
    <w:p w14:paraId="1F8407F8" w14:textId="2FDB1DC3" w:rsidR="00F2541B" w:rsidRDefault="00F2541B" w:rsidP="008730F3">
      <w:pPr>
        <w:pStyle w:val="Paragraph"/>
      </w:pPr>
      <w:r>
        <w:t xml:space="preserve">It </w:t>
      </w:r>
      <w:r w:rsidR="008253C9">
        <w:t>is</w:t>
      </w:r>
      <w:r>
        <w:t xml:space="preserve"> important to consider how affiliates are targeting and attracting participants. In the UK, gambling advertisers and affiliates have been reported to purchase data from third-party data providers, or ‘data houses’. This data can include </w:t>
      </w:r>
      <w:r w:rsidRPr="00686305">
        <w:t>age, income, debt</w:t>
      </w:r>
      <w:r>
        <w:t xml:space="preserve"> and</w:t>
      </w:r>
      <w:r w:rsidRPr="00686305">
        <w:t xml:space="preserve"> credit information and insurance details</w:t>
      </w:r>
      <w:r>
        <w:t xml:space="preserve">, which affiliates then use to </w:t>
      </w:r>
      <w:r w:rsidRPr="0090253B">
        <w:t xml:space="preserve">tailor </w:t>
      </w:r>
      <w:r>
        <w:t>their messaging.</w:t>
      </w:r>
      <w:r>
        <w:rPr>
          <w:rStyle w:val="FootnoteReference"/>
        </w:rPr>
        <w:footnoteReference w:id="29"/>
      </w:r>
      <w:r>
        <w:t xml:space="preserve"> Advertisers and affiliates then purchase and combine this data with the individual’s playing history to target products to them. They may also employ ‘dynamic retargeting’, employing the data to single</w:t>
      </w:r>
      <w:r w:rsidR="00CB0D2F">
        <w:t>-</w:t>
      </w:r>
      <w:r>
        <w:t xml:space="preserve">out people who have not gambled for a while </w:t>
      </w:r>
      <w:r>
        <w:lastRenderedPageBreak/>
        <w:t>and entice them to start gambling again.</w:t>
      </w:r>
      <w:r>
        <w:rPr>
          <w:rStyle w:val="FootnoteReference"/>
        </w:rPr>
        <w:footnoteReference w:id="30"/>
      </w:r>
      <w:r>
        <w:t xml:space="preserve">  </w:t>
      </w:r>
      <w:r w:rsidR="008730F3">
        <w:t>R</w:t>
      </w:r>
      <w:r>
        <w:t xml:space="preserve">esearch shows </w:t>
      </w:r>
      <w:r w:rsidRPr="004F6926">
        <w:t xml:space="preserve">that people are </w:t>
      </w:r>
      <w:r>
        <w:t>more likely</w:t>
      </w:r>
      <w:r w:rsidRPr="004F6926">
        <w:t xml:space="preserve"> to place increased levels of trust in expert advice </w:t>
      </w:r>
      <w:r>
        <w:t>when</w:t>
      </w:r>
      <w:r w:rsidRPr="004F6926">
        <w:t xml:space="preserve"> making decisions </w:t>
      </w:r>
      <w:r>
        <w:t>about</w:t>
      </w:r>
      <w:r w:rsidRPr="004F6926">
        <w:t xml:space="preserve"> financial risk.</w:t>
      </w:r>
      <w:r w:rsidR="00982F5E">
        <w:rPr>
          <w:rStyle w:val="FootnoteReference"/>
        </w:rPr>
        <w:footnoteReference w:id="31"/>
      </w:r>
      <w:r w:rsidRPr="004F6926">
        <w:t xml:space="preserve"> </w:t>
      </w:r>
    </w:p>
    <w:p w14:paraId="273269FF" w14:textId="6F0524B9" w:rsidR="00F2541B" w:rsidRPr="00E7329A" w:rsidRDefault="00F2541B" w:rsidP="0025643B">
      <w:pPr>
        <w:pStyle w:val="Paragraphbeforelist"/>
      </w:pPr>
      <w:r w:rsidRPr="00E7329A">
        <w:t>The internet provides gambling operators and gambling affiliates with a range of platforms to target gamblers. Four key platforms are considered here:</w:t>
      </w:r>
    </w:p>
    <w:p w14:paraId="54191841" w14:textId="04118CC6" w:rsidR="00F2541B" w:rsidRPr="002B0D10" w:rsidRDefault="00CB0D2F" w:rsidP="0025643B">
      <w:pPr>
        <w:pStyle w:val="Bulletlevel1"/>
      </w:pPr>
      <w:r>
        <w:t>w</w:t>
      </w:r>
      <w:r w:rsidR="00F2541B" w:rsidRPr="002B0D10">
        <w:t>eb-based sites</w:t>
      </w:r>
    </w:p>
    <w:p w14:paraId="61C44D6D" w14:textId="77777777" w:rsidR="00F2541B" w:rsidRPr="002B0D10" w:rsidRDefault="00F2541B" w:rsidP="0025643B">
      <w:pPr>
        <w:pStyle w:val="Bulletlevel1"/>
      </w:pPr>
      <w:r w:rsidRPr="002B0D10">
        <w:t xml:space="preserve">Twitter </w:t>
      </w:r>
    </w:p>
    <w:p w14:paraId="42DB4A4E" w14:textId="77777777" w:rsidR="00F2541B" w:rsidRPr="002B0D10" w:rsidRDefault="00F2541B" w:rsidP="0025643B">
      <w:pPr>
        <w:pStyle w:val="Bulletlevel1"/>
      </w:pPr>
      <w:r w:rsidRPr="002B0D10">
        <w:t>Facebook</w:t>
      </w:r>
    </w:p>
    <w:p w14:paraId="71BE67E7" w14:textId="30522D9F" w:rsidR="00F2541B" w:rsidRPr="002B0D10" w:rsidRDefault="00CB0D2F" w:rsidP="0025643B">
      <w:pPr>
        <w:pStyle w:val="Bulletlevel1last"/>
      </w:pPr>
      <w:r>
        <w:t>s</w:t>
      </w:r>
      <w:r w:rsidR="00F2541B" w:rsidRPr="002B0D10">
        <w:t>treaming services</w:t>
      </w:r>
      <w:r w:rsidR="0053229C">
        <w:t>.</w:t>
      </w:r>
    </w:p>
    <w:p w14:paraId="30A4F364" w14:textId="3C4D3D94" w:rsidR="00F2541B" w:rsidRPr="00C43903" w:rsidRDefault="00396ED5" w:rsidP="0025643B">
      <w:pPr>
        <w:pStyle w:val="Heading3"/>
      </w:pPr>
      <w:bookmarkStart w:id="13" w:name="_Toc88480170"/>
      <w:r w:rsidRPr="00C43903">
        <w:t>Web</w:t>
      </w:r>
      <w:r w:rsidR="00CB0D2F">
        <w:t>-</w:t>
      </w:r>
      <w:r w:rsidRPr="00C43903">
        <w:t>based services</w:t>
      </w:r>
      <w:bookmarkEnd w:id="13"/>
    </w:p>
    <w:p w14:paraId="1E50D4B7" w14:textId="51AFC5AE" w:rsidR="00157BCE" w:rsidRDefault="00122506" w:rsidP="00F2541B">
      <w:pPr>
        <w:rPr>
          <w:rFonts w:cs="Arial"/>
        </w:rPr>
      </w:pPr>
      <w:r>
        <w:rPr>
          <w:rFonts w:cs="Arial"/>
        </w:rPr>
        <w:t>Affiliate marketing operating on w</w:t>
      </w:r>
      <w:r w:rsidR="00157BCE">
        <w:rPr>
          <w:rFonts w:cs="Arial"/>
        </w:rPr>
        <w:t xml:space="preserve">eb-based sites </w:t>
      </w:r>
      <w:r w:rsidR="00CA2DD0">
        <w:rPr>
          <w:rFonts w:cs="Arial"/>
        </w:rPr>
        <w:t xml:space="preserve">present as </w:t>
      </w:r>
      <w:r w:rsidR="00A22DE5">
        <w:rPr>
          <w:rFonts w:cs="Arial"/>
        </w:rPr>
        <w:t xml:space="preserve">contextual advertisements </w:t>
      </w:r>
      <w:r w:rsidR="006D0370">
        <w:rPr>
          <w:rFonts w:cs="Arial"/>
        </w:rPr>
        <w:t xml:space="preserve">or </w:t>
      </w:r>
      <w:r w:rsidR="00935AF0">
        <w:rPr>
          <w:rFonts w:cs="Arial"/>
        </w:rPr>
        <w:t xml:space="preserve">portals, </w:t>
      </w:r>
      <w:r w:rsidR="00A22DE5">
        <w:rPr>
          <w:rFonts w:cs="Arial"/>
        </w:rPr>
        <w:t xml:space="preserve">with links </w:t>
      </w:r>
      <w:r w:rsidR="003A6A76">
        <w:rPr>
          <w:rFonts w:cs="Arial"/>
        </w:rPr>
        <w:t xml:space="preserve">to an online gambling service. These contextual advertisements may </w:t>
      </w:r>
      <w:r w:rsidR="00A04564">
        <w:rPr>
          <w:rFonts w:cs="Arial"/>
        </w:rPr>
        <w:t>appear to be</w:t>
      </w:r>
      <w:r w:rsidR="003A6A76">
        <w:rPr>
          <w:rFonts w:cs="Arial"/>
        </w:rPr>
        <w:t xml:space="preserve"> </w:t>
      </w:r>
      <w:r w:rsidR="00A04564">
        <w:rPr>
          <w:rFonts w:cs="Arial"/>
        </w:rPr>
        <w:t>providing</w:t>
      </w:r>
      <w:r w:rsidR="00C95840">
        <w:rPr>
          <w:rFonts w:cs="Arial"/>
        </w:rPr>
        <w:t xml:space="preserve"> </w:t>
      </w:r>
      <w:r w:rsidR="003A6A76">
        <w:rPr>
          <w:rFonts w:cs="Arial"/>
        </w:rPr>
        <w:t>expert advice and</w:t>
      </w:r>
      <w:r w:rsidR="00C95840">
        <w:rPr>
          <w:rFonts w:cs="Arial"/>
        </w:rPr>
        <w:t>/or</w:t>
      </w:r>
      <w:r w:rsidR="003A6A76">
        <w:rPr>
          <w:rFonts w:cs="Arial"/>
        </w:rPr>
        <w:t xml:space="preserve"> offer an enticement such as betting credits</w:t>
      </w:r>
      <w:r w:rsidR="00C95840">
        <w:rPr>
          <w:rFonts w:cs="Arial"/>
        </w:rPr>
        <w:t xml:space="preserve"> for signing up</w:t>
      </w:r>
      <w:r w:rsidR="003A6A76">
        <w:rPr>
          <w:rFonts w:cs="Arial"/>
        </w:rPr>
        <w:t>.</w:t>
      </w:r>
      <w:r w:rsidR="00CA2DD0">
        <w:rPr>
          <w:rFonts w:cs="Arial"/>
        </w:rPr>
        <w:t xml:space="preserve"> </w:t>
      </w:r>
      <w:r w:rsidR="00A22DE5">
        <w:rPr>
          <w:rFonts w:cs="Arial"/>
        </w:rPr>
        <w:t xml:space="preserve"> </w:t>
      </w:r>
    </w:p>
    <w:p w14:paraId="5FADA68C" w14:textId="027AA04C" w:rsidR="00D314D8" w:rsidRDefault="00D314D8" w:rsidP="00F2541B">
      <w:pPr>
        <w:rPr>
          <w:rFonts w:cs="Arial"/>
        </w:rPr>
      </w:pPr>
      <w:r>
        <w:rPr>
          <w:rFonts w:cs="Arial"/>
        </w:rPr>
        <w:t>In some instances, affiliate marketing services can link to unlicen</w:t>
      </w:r>
      <w:r w:rsidR="00C04523">
        <w:rPr>
          <w:rFonts w:cs="Arial"/>
        </w:rPr>
        <w:t>s</w:t>
      </w:r>
      <w:r>
        <w:rPr>
          <w:rFonts w:cs="Arial"/>
        </w:rPr>
        <w:t xml:space="preserve">ed offshore gambling sites. This is not </w:t>
      </w:r>
      <w:r w:rsidR="00A543B3">
        <w:rPr>
          <w:rFonts w:cs="Arial"/>
        </w:rPr>
        <w:t xml:space="preserve">always </w:t>
      </w:r>
      <w:r>
        <w:rPr>
          <w:rFonts w:cs="Arial"/>
        </w:rPr>
        <w:t xml:space="preserve">disclosed </w:t>
      </w:r>
      <w:r w:rsidR="000A17E4">
        <w:rPr>
          <w:rFonts w:cs="Arial"/>
        </w:rPr>
        <w:t>with</w:t>
      </w:r>
      <w:r w:rsidR="00EB4434">
        <w:rPr>
          <w:rFonts w:cs="Arial"/>
        </w:rPr>
        <w:t>in</w:t>
      </w:r>
      <w:r w:rsidR="000A17E4">
        <w:rPr>
          <w:rFonts w:cs="Arial"/>
        </w:rPr>
        <w:t xml:space="preserve"> the affiliate advertisement. </w:t>
      </w:r>
      <w:r>
        <w:rPr>
          <w:rFonts w:cs="Arial"/>
        </w:rPr>
        <w:t xml:space="preserve"> </w:t>
      </w:r>
    </w:p>
    <w:p w14:paraId="3A59B77B" w14:textId="71708B2D" w:rsidR="00C97A03" w:rsidRDefault="007A2AC2" w:rsidP="0025643B">
      <w:pPr>
        <w:pStyle w:val="Figureheading"/>
      </w:pPr>
      <w:r>
        <w:t>Example of affiliate contextual advertisement</w:t>
      </w:r>
    </w:p>
    <w:p w14:paraId="2E2A2F54" w14:textId="222BA73A" w:rsidR="00C97A03" w:rsidRDefault="00C97A03" w:rsidP="0025643B">
      <w:pPr>
        <w:spacing w:after="120"/>
        <w:rPr>
          <w:rFonts w:cs="Arial"/>
        </w:rPr>
      </w:pPr>
      <w:r w:rsidRPr="00C97A03">
        <w:rPr>
          <w:rFonts w:cs="Arial"/>
          <w:noProof/>
        </w:rPr>
        <w:drawing>
          <wp:inline distT="0" distB="0" distL="0" distR="0" wp14:anchorId="7FBB324F" wp14:editId="79FD5BB4">
            <wp:extent cx="4871085" cy="2117090"/>
            <wp:effectExtent l="0" t="0" r="5715" b="0"/>
            <wp:docPr id="5" name="Picture 5" descr="Webpage screen shot showing advertisement offering free sp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Webpage screen shot showing advertisement offering free spins."/>
                    <pic:cNvPicPr/>
                  </pic:nvPicPr>
                  <pic:blipFill>
                    <a:blip r:embed="rId32"/>
                    <a:stretch>
                      <a:fillRect/>
                    </a:stretch>
                  </pic:blipFill>
                  <pic:spPr>
                    <a:xfrm>
                      <a:off x="0" y="0"/>
                      <a:ext cx="4871085" cy="2117090"/>
                    </a:xfrm>
                    <a:prstGeom prst="rect">
                      <a:avLst/>
                    </a:prstGeom>
                  </pic:spPr>
                </pic:pic>
              </a:graphicData>
            </a:graphic>
          </wp:inline>
        </w:drawing>
      </w:r>
    </w:p>
    <w:p w14:paraId="14F2ED5F" w14:textId="1DABD639" w:rsidR="006D0370" w:rsidRPr="00C43903" w:rsidRDefault="007A2AC2" w:rsidP="0025643B">
      <w:pPr>
        <w:pStyle w:val="Tableorfigurenote"/>
      </w:pPr>
      <w:r>
        <w:t xml:space="preserve">Source: </w:t>
      </w:r>
      <w:hyperlink r:id="rId33" w:history="1">
        <w:r w:rsidR="006D0370" w:rsidRPr="0025643B">
          <w:rPr>
            <w:rStyle w:val="Hyperlink"/>
            <w:szCs w:val="16"/>
          </w:rPr>
          <w:t>Best Bitcoin &amp; Real Money Casino | PlayAmo Online Casino | PlayAmo (playamo38.com)</w:t>
        </w:r>
      </w:hyperlink>
      <w:r w:rsidR="00EE6E26" w:rsidRPr="0025643B">
        <w:rPr>
          <w:i w:val="0"/>
          <w:iCs/>
          <w:szCs w:val="16"/>
        </w:rPr>
        <w:t>,</w:t>
      </w:r>
      <w:r w:rsidR="00EE6E26">
        <w:rPr>
          <w:i w:val="0"/>
          <w:iCs/>
          <w:szCs w:val="16"/>
        </w:rPr>
        <w:t xml:space="preserve"> </w:t>
      </w:r>
      <w:r w:rsidR="006D0370" w:rsidRPr="007A2AC2">
        <w:rPr>
          <w:szCs w:val="16"/>
        </w:rPr>
        <w:t>screen shot</w:t>
      </w:r>
      <w:r w:rsidR="00EE6E26">
        <w:rPr>
          <w:szCs w:val="16"/>
        </w:rPr>
        <w:t xml:space="preserve">, </w:t>
      </w:r>
      <w:r w:rsidR="006D0370" w:rsidRPr="007A2AC2">
        <w:rPr>
          <w:szCs w:val="16"/>
        </w:rPr>
        <w:t>accessed 18 November 2021.</w:t>
      </w:r>
    </w:p>
    <w:p w14:paraId="431A2183" w14:textId="12496850" w:rsidR="00F2541B" w:rsidRDefault="00F2541B" w:rsidP="00F2541B">
      <w:pPr>
        <w:rPr>
          <w:rFonts w:cs="Arial"/>
        </w:rPr>
      </w:pPr>
      <w:r w:rsidRPr="393ADA88">
        <w:rPr>
          <w:rFonts w:cs="Arial"/>
        </w:rPr>
        <w:t xml:space="preserve">It is important to recognise that in Australia, action is currently being taken through the ACMA to </w:t>
      </w:r>
      <w:r w:rsidR="008730F3" w:rsidRPr="393ADA88">
        <w:rPr>
          <w:rFonts w:cs="Arial"/>
        </w:rPr>
        <w:t>restrict</w:t>
      </w:r>
      <w:r w:rsidRPr="393ADA88">
        <w:rPr>
          <w:rFonts w:cs="Arial"/>
        </w:rPr>
        <w:t xml:space="preserve"> the access of unlicen</w:t>
      </w:r>
      <w:r w:rsidR="00C04523" w:rsidRPr="393ADA88">
        <w:rPr>
          <w:rFonts w:cs="Arial"/>
        </w:rPr>
        <w:t>s</w:t>
      </w:r>
      <w:r w:rsidRPr="393ADA88">
        <w:rPr>
          <w:rFonts w:cs="Arial"/>
        </w:rPr>
        <w:t xml:space="preserve">ed offshore gambling operators to the Australian market. </w:t>
      </w:r>
    </w:p>
    <w:p w14:paraId="5C8484CA" w14:textId="260B9DCA" w:rsidR="00F2541B" w:rsidRDefault="000A17E4" w:rsidP="00F2541B">
      <w:pPr>
        <w:rPr>
          <w:rFonts w:cs="Arial"/>
        </w:rPr>
      </w:pPr>
      <w:r>
        <w:rPr>
          <w:rFonts w:cs="Arial"/>
        </w:rPr>
        <w:t>For example,</w:t>
      </w:r>
      <w:r w:rsidR="00F2541B">
        <w:rPr>
          <w:rFonts w:cs="Arial"/>
        </w:rPr>
        <w:t xml:space="preserve"> All Australian Affiliates, </w:t>
      </w:r>
      <w:r w:rsidR="00F2541B" w:rsidRPr="000D2154">
        <w:rPr>
          <w:rFonts w:cs="Arial"/>
        </w:rPr>
        <w:t>a</w:t>
      </w:r>
      <w:r w:rsidR="00F2541B">
        <w:rPr>
          <w:rFonts w:cs="Arial"/>
        </w:rPr>
        <w:t xml:space="preserve"> web-based affiliate program </w:t>
      </w:r>
      <w:r w:rsidR="00F2541B" w:rsidRPr="000D2154">
        <w:rPr>
          <w:rFonts w:cs="Arial"/>
        </w:rPr>
        <w:t xml:space="preserve">owned and operated by Sarah Enterprises Ltd </w:t>
      </w:r>
      <w:r w:rsidR="00F2541B">
        <w:rPr>
          <w:rFonts w:cs="Arial"/>
        </w:rPr>
        <w:t>that was targeting the Australian market has now closed ‘</w:t>
      </w:r>
      <w:r w:rsidR="00F2541B" w:rsidRPr="00B206E7">
        <w:rPr>
          <w:rFonts w:cs="Arial"/>
        </w:rPr>
        <w:t>due to Australian Gaming Regulations</w:t>
      </w:r>
      <w:r w:rsidR="007A2AC2">
        <w:rPr>
          <w:rFonts w:cs="Arial"/>
        </w:rPr>
        <w:t>’</w:t>
      </w:r>
      <w:r w:rsidR="00F2541B">
        <w:rPr>
          <w:rFonts w:cs="Arial"/>
        </w:rPr>
        <w:t>.</w:t>
      </w:r>
      <w:r w:rsidR="00F2541B">
        <w:rPr>
          <w:rStyle w:val="FootnoteReference"/>
          <w:rFonts w:cs="Arial"/>
        </w:rPr>
        <w:footnoteReference w:id="32"/>
      </w:r>
      <w:r w:rsidR="00F2541B">
        <w:rPr>
          <w:rFonts w:cs="Arial"/>
        </w:rPr>
        <w:t xml:space="preserve"> While </w:t>
      </w:r>
      <w:r w:rsidR="007A2AC2">
        <w:rPr>
          <w:rFonts w:cs="Arial"/>
        </w:rPr>
        <w:t>we</w:t>
      </w:r>
      <w:r w:rsidR="00F2541B">
        <w:rPr>
          <w:rFonts w:cs="Arial"/>
        </w:rPr>
        <w:t xml:space="preserve"> had not</w:t>
      </w:r>
      <w:r w:rsidR="00F2541B" w:rsidRPr="00A26EBE">
        <w:rPr>
          <w:rFonts w:cs="Arial"/>
        </w:rPr>
        <w:t xml:space="preserve"> specifically investigated this site</w:t>
      </w:r>
      <w:r w:rsidR="00F2541B">
        <w:rPr>
          <w:rFonts w:cs="Arial"/>
        </w:rPr>
        <w:t>,</w:t>
      </w:r>
      <w:r w:rsidR="00F2541B" w:rsidRPr="00A26EBE">
        <w:rPr>
          <w:rFonts w:cs="Arial"/>
        </w:rPr>
        <w:t xml:space="preserve"> it is likely that they have closed because of increased enforcement and education activities.</w:t>
      </w:r>
    </w:p>
    <w:p w14:paraId="62E7304B" w14:textId="26B1217B" w:rsidR="00F2541B" w:rsidRDefault="00F2541B" w:rsidP="0025643B">
      <w:pPr>
        <w:spacing w:after="120"/>
        <w:rPr>
          <w:rFonts w:cs="Arial"/>
        </w:rPr>
      </w:pPr>
      <w:r>
        <w:rPr>
          <w:rFonts w:cs="Arial"/>
        </w:rPr>
        <w:lastRenderedPageBreak/>
        <w:t xml:space="preserve">Likewise, Australiancasinoclub.com, which until recently was targeting Australians, can no longer be reached through an Australian web browser. </w:t>
      </w:r>
      <w:r w:rsidR="007A2AC2">
        <w:rPr>
          <w:rFonts w:cs="Arial"/>
        </w:rPr>
        <w:t xml:space="preserve">Similarly, </w:t>
      </w:r>
      <w:r>
        <w:rPr>
          <w:rFonts w:cs="Arial"/>
        </w:rPr>
        <w:t>a search for casino.guru, previously used by Australian gamblers, now returns the following message:</w:t>
      </w:r>
    </w:p>
    <w:p w14:paraId="5A349133" w14:textId="77777777" w:rsidR="00F2541B" w:rsidRPr="00B81808" w:rsidRDefault="00F2541B" w:rsidP="00F2541B">
      <w:pPr>
        <w:ind w:left="284"/>
        <w:rPr>
          <w:rFonts w:cs="Arial"/>
          <w:sz w:val="18"/>
          <w:szCs w:val="18"/>
        </w:rPr>
      </w:pPr>
      <w:r w:rsidRPr="00B81808">
        <w:rPr>
          <w:rFonts w:cs="Arial"/>
          <w:sz w:val="18"/>
          <w:szCs w:val="18"/>
        </w:rPr>
        <w:t>Providing online casino services to Australian players is prohibited by the Australian Interactive Gambling Act (IGA). Casino operators reviewed on this website may be considered to be prohibited interactive gambling services under the IGA.</w:t>
      </w:r>
    </w:p>
    <w:p w14:paraId="2DB33735" w14:textId="77777777" w:rsidR="00F2541B" w:rsidRDefault="00F2541B" w:rsidP="0025643B">
      <w:pPr>
        <w:pStyle w:val="Paragraph"/>
      </w:pPr>
      <w:r>
        <w:t xml:space="preserve">However, </w:t>
      </w:r>
      <w:r w:rsidRPr="00B206E7">
        <w:t>POGG Webmasters</w:t>
      </w:r>
      <w:r>
        <w:t>, which provides ratings for both online casinos and affiliate programs by country, currently lists 63 affiliate programs for the Australian market, stating – incorrectly – that there are no country restrictions for these affiliates</w:t>
      </w:r>
      <w:r>
        <w:rPr>
          <w:rStyle w:val="Strong"/>
          <w:rFonts w:ascii="Roboto Slab" w:hAnsi="Roboto Slab"/>
          <w:color w:val="333333"/>
          <w:sz w:val="21"/>
          <w:szCs w:val="21"/>
          <w:bdr w:val="none" w:sz="0" w:space="0" w:color="auto" w:frame="1"/>
          <w:shd w:val="clear" w:color="auto" w:fill="FFFFFF"/>
        </w:rPr>
        <w:t>.</w:t>
      </w:r>
      <w:r>
        <w:rPr>
          <w:rStyle w:val="FootnoteReference"/>
        </w:rPr>
        <w:footnoteReference w:id="33"/>
      </w:r>
      <w:r>
        <w:t xml:space="preserve"> </w:t>
      </w:r>
    </w:p>
    <w:p w14:paraId="4F59B263" w14:textId="253C3CE5" w:rsidR="00F2541B" w:rsidRDefault="00F2541B" w:rsidP="0025643B">
      <w:pPr>
        <w:pStyle w:val="Paragraph"/>
      </w:pPr>
      <w:r>
        <w:t>Affiliates, recognising jurisdictional access limits, can and do advise on how to skirt such issues. For example, the Casino Shortlist website claims to be ‘</w:t>
      </w:r>
      <w:r w:rsidRPr="00A45431">
        <w:t>your friendly guide to the best Australian online casinos</w:t>
      </w:r>
      <w:r>
        <w:t>’</w:t>
      </w:r>
      <w:r w:rsidR="00FE6549">
        <w:t>,</w:t>
      </w:r>
      <w:r>
        <w:t xml:space="preserve"> </w:t>
      </w:r>
      <w:r w:rsidR="00FE6549">
        <w:t>s</w:t>
      </w:r>
      <w:r>
        <w:t>tating that ‘[m]</w:t>
      </w:r>
      <w:r w:rsidRPr="00A45431">
        <w:t>any online casinos will give Australians a royal welcome - it's our job to figure out which is the best.</w:t>
      </w:r>
      <w:r>
        <w:t>’</w:t>
      </w:r>
      <w:r w:rsidRPr="00A3049A">
        <w:rPr>
          <w:rStyle w:val="FootnoteReference"/>
        </w:rPr>
        <w:t xml:space="preserve"> </w:t>
      </w:r>
      <w:r>
        <w:rPr>
          <w:rStyle w:val="FootnoteReference"/>
        </w:rPr>
        <w:footnoteReference w:id="34"/>
      </w:r>
    </w:p>
    <w:p w14:paraId="3F1D5A67" w14:textId="03649E1F" w:rsidR="00F2541B" w:rsidRDefault="00F2541B" w:rsidP="0025643B">
      <w:pPr>
        <w:spacing w:after="120"/>
      </w:pPr>
      <w:r>
        <w:t xml:space="preserve">The site provides links to ‘The Best Online Casinos for 2021’ and an explanation of how Casino Shortlist compares ‘Australia’s Online Casinos’ to maximise player’s success and enjoyment. Along with providing links to several payment options, Casino Shortlist has advice on securing a </w:t>
      </w:r>
      <w:r w:rsidR="007B547F">
        <w:t>v</w:t>
      </w:r>
      <w:r>
        <w:t xml:space="preserve">irtual </w:t>
      </w:r>
      <w:r w:rsidR="007B547F">
        <w:t>p</w:t>
      </w:r>
      <w:r>
        <w:t xml:space="preserve">rivate </w:t>
      </w:r>
      <w:r w:rsidR="007B547F">
        <w:t>n</w:t>
      </w:r>
      <w:r>
        <w:t>etwork</w:t>
      </w:r>
      <w:r w:rsidR="007B547F">
        <w:t xml:space="preserve"> (VPN</w:t>
      </w:r>
      <w:r>
        <w:t xml:space="preserve">), stating: </w:t>
      </w:r>
    </w:p>
    <w:p w14:paraId="64220479" w14:textId="5763FB89" w:rsidR="00F2541B" w:rsidRDefault="00F2541B" w:rsidP="00F2541B">
      <w:pPr>
        <w:ind w:left="284"/>
      </w:pPr>
      <w:r w:rsidRPr="00D927C1">
        <w:rPr>
          <w:sz w:val="18"/>
          <w:szCs w:val="18"/>
        </w:rPr>
        <w:t xml:space="preserve">VPN’s </w:t>
      </w:r>
      <w:r w:rsidR="00EE6E26">
        <w:rPr>
          <w:sz w:val="18"/>
          <w:szCs w:val="18"/>
        </w:rPr>
        <w:t xml:space="preserve">[sic] </w:t>
      </w:r>
      <w:r w:rsidRPr="00D927C1">
        <w:rPr>
          <w:sz w:val="18"/>
          <w:szCs w:val="18"/>
        </w:rPr>
        <w:t>are fast becoming the de facto method for accessing Australian real money casinos. In countries that do not have a regulated online gambling market or countries where online gambling has been outlawed, players have taken to using a VPN to access offshore regulated casinos to get their gambling fix</w:t>
      </w:r>
      <w:r w:rsidRPr="005F2782">
        <w:t>.</w:t>
      </w:r>
      <w:r>
        <w:rPr>
          <w:rStyle w:val="FootnoteReference"/>
        </w:rPr>
        <w:footnoteReference w:id="35"/>
      </w:r>
    </w:p>
    <w:p w14:paraId="6D22C294" w14:textId="5098FF90" w:rsidR="00F2541B" w:rsidRDefault="00F2541B" w:rsidP="00733190">
      <w:r>
        <w:t>In April 2021</w:t>
      </w:r>
      <w:r w:rsidR="007B547F">
        <w:t>,</w:t>
      </w:r>
      <w:r>
        <w:t xml:space="preserve"> </w:t>
      </w:r>
      <w:r w:rsidRPr="00A45431">
        <w:t xml:space="preserve">AltCasino posted an in-depth review </w:t>
      </w:r>
      <w:r w:rsidR="0084602E" w:rsidRPr="00A45431">
        <w:t>o</w:t>
      </w:r>
      <w:r w:rsidR="0084602E">
        <w:t>f</w:t>
      </w:r>
      <w:r w:rsidR="0084602E" w:rsidRPr="00A45431">
        <w:t xml:space="preserve"> </w:t>
      </w:r>
      <w:r w:rsidRPr="00A45431">
        <w:t>the most popular online pokies and casinos</w:t>
      </w:r>
      <w:r>
        <w:t xml:space="preserve"> in Australia.</w:t>
      </w:r>
      <w:r>
        <w:rPr>
          <w:rStyle w:val="FootnoteReference"/>
        </w:rPr>
        <w:footnoteReference w:id="36"/>
      </w:r>
      <w:r>
        <w:t xml:space="preserve"> It is important to note that, as with the affiliates themselves, the</w:t>
      </w:r>
      <w:r w:rsidR="00FE6549">
        <w:t>ir</w:t>
      </w:r>
      <w:r>
        <w:t xml:space="preserve"> ranking of sites </w:t>
      </w:r>
      <w:r w:rsidR="004471F9">
        <w:t>is</w:t>
      </w:r>
      <w:r w:rsidR="004471F9" w:rsidRPr="00A67756">
        <w:t xml:space="preserve"> </w:t>
      </w:r>
      <w:r w:rsidRPr="00A67756">
        <w:t>likely to be based on affiliate agreements, rather than actual data</w:t>
      </w:r>
      <w:r>
        <w:t xml:space="preserve">. </w:t>
      </w:r>
    </w:p>
    <w:p w14:paraId="4514FEE5" w14:textId="0D1AF891" w:rsidR="00F2541B" w:rsidRDefault="00F2541B" w:rsidP="00F2541B">
      <w:r>
        <w:t>The</w:t>
      </w:r>
      <w:r w:rsidR="00FE6549">
        <w:t>ir</w:t>
      </w:r>
      <w:r>
        <w:t xml:space="preserve"> </w:t>
      </w:r>
      <w:r w:rsidR="00FE6549">
        <w:t xml:space="preserve">most popular </w:t>
      </w:r>
      <w:r>
        <w:t>site, Joe Fortune, uses and promotes affiliate marketing and provides a good example of how such programs operate</w:t>
      </w:r>
      <w:r w:rsidR="00FE6549">
        <w:t>, as shown in Figure 4.</w:t>
      </w:r>
      <w:r w:rsidR="00FE6549">
        <w:rPr>
          <w:rStyle w:val="FootnoteReference"/>
        </w:rPr>
        <w:footnoteReference w:id="37"/>
      </w:r>
    </w:p>
    <w:p w14:paraId="2E76E55B" w14:textId="05A139DE" w:rsidR="00FE6549" w:rsidRPr="00C5162C" w:rsidRDefault="00FE6549" w:rsidP="005F4B94">
      <w:pPr>
        <w:pStyle w:val="Figureheading"/>
        <w:keepLines/>
      </w:pPr>
      <w:r>
        <w:lastRenderedPageBreak/>
        <w:t>Promotion on Joe Fortune gambling site</w:t>
      </w:r>
    </w:p>
    <w:tbl>
      <w:tblPr>
        <w:tblStyle w:val="TableGrid"/>
        <w:tblW w:w="0" w:type="auto"/>
        <w:tblInd w:w="284" w:type="dxa"/>
        <w:tblLook w:val="04A0" w:firstRow="1" w:lastRow="0" w:firstColumn="1" w:lastColumn="0" w:noHBand="0" w:noVBand="1"/>
      </w:tblPr>
      <w:tblGrid>
        <w:gridCol w:w="7377"/>
      </w:tblGrid>
      <w:tr w:rsidR="00F2541B" w14:paraId="2A70806F" w14:textId="77777777" w:rsidTr="00091552">
        <w:tc>
          <w:tcPr>
            <w:tcW w:w="7377" w:type="dxa"/>
          </w:tcPr>
          <w:p w14:paraId="518376CD" w14:textId="77777777" w:rsidR="00F2541B" w:rsidRDefault="00F2541B" w:rsidP="005F4B94">
            <w:pPr>
              <w:keepNext/>
              <w:keepLines/>
              <w:ind w:left="31" w:firstLine="253"/>
              <w:jc w:val="center"/>
            </w:pPr>
            <w:r w:rsidRPr="0025003F">
              <w:rPr>
                <w:noProof/>
              </w:rPr>
              <w:drawing>
                <wp:inline distT="0" distB="0" distL="0" distR="0" wp14:anchorId="76F899C6" wp14:editId="3A303572">
                  <wp:extent cx="2376275" cy="1066242"/>
                  <wp:effectExtent l="0" t="0" r="5080" b="635"/>
                  <wp:docPr id="6" name="Picture 6" descr="A picture containing 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qr code&#10;&#10;Description automatically generated"/>
                          <pic:cNvPicPr/>
                        </pic:nvPicPr>
                        <pic:blipFill>
                          <a:blip r:embed="rId34"/>
                          <a:stretch>
                            <a:fillRect/>
                          </a:stretch>
                        </pic:blipFill>
                        <pic:spPr>
                          <a:xfrm>
                            <a:off x="0" y="0"/>
                            <a:ext cx="2466341" cy="1106655"/>
                          </a:xfrm>
                          <a:prstGeom prst="rect">
                            <a:avLst/>
                          </a:prstGeom>
                        </pic:spPr>
                      </pic:pic>
                    </a:graphicData>
                  </a:graphic>
                </wp:inline>
              </w:drawing>
            </w:r>
          </w:p>
          <w:p w14:paraId="3B71679F" w14:textId="74757C60" w:rsidR="00F2541B" w:rsidRPr="004E43F1" w:rsidRDefault="00F2541B" w:rsidP="005F4B94">
            <w:pPr>
              <w:keepNext/>
              <w:keepLines/>
              <w:spacing w:line="276" w:lineRule="auto"/>
              <w:ind w:left="284"/>
              <w:rPr>
                <w:color w:val="C00000"/>
                <w:sz w:val="18"/>
                <w:szCs w:val="18"/>
              </w:rPr>
            </w:pPr>
            <w:r w:rsidRPr="004E43F1">
              <w:rPr>
                <w:color w:val="C00000"/>
                <w:sz w:val="18"/>
                <w:szCs w:val="18"/>
              </w:rPr>
              <w:t>Joe Fortune is Australia’s best online casino and has been proudly serving the nation since 2016.</w:t>
            </w:r>
            <w:r w:rsidR="005A0A4D">
              <w:rPr>
                <w:color w:val="C00000"/>
                <w:sz w:val="18"/>
                <w:szCs w:val="18"/>
              </w:rPr>
              <w:t xml:space="preserve"> </w:t>
            </w:r>
            <w:r w:rsidRPr="004E43F1">
              <w:rPr>
                <w:color w:val="C00000"/>
                <w:sz w:val="18"/>
                <w:szCs w:val="18"/>
              </w:rPr>
              <w:t>We offer a wide range of pokies as well as a live casino. We are known for our high conversion rates, comprehensive online casino experience and quicks</w:t>
            </w:r>
            <w:r w:rsidR="005A0A4D">
              <w:rPr>
                <w:color w:val="C00000"/>
                <w:sz w:val="18"/>
                <w:szCs w:val="18"/>
              </w:rPr>
              <w:t xml:space="preserve"> </w:t>
            </w:r>
            <w:r w:rsidR="007D2D09">
              <w:rPr>
                <w:color w:val="C00000"/>
                <w:sz w:val="18"/>
                <w:szCs w:val="18"/>
              </w:rPr>
              <w:t>[sic]</w:t>
            </w:r>
            <w:r w:rsidRPr="004E43F1">
              <w:rPr>
                <w:color w:val="C00000"/>
                <w:sz w:val="18"/>
                <w:szCs w:val="18"/>
              </w:rPr>
              <w:t xml:space="preserve"> payouts - making us the best choice for affiliates.</w:t>
            </w:r>
          </w:p>
          <w:p w14:paraId="08A10DBD" w14:textId="77777777" w:rsidR="00F2541B" w:rsidRPr="004E43F1" w:rsidRDefault="00F2541B" w:rsidP="005F4B94">
            <w:pPr>
              <w:keepNext/>
              <w:keepLines/>
              <w:spacing w:line="276" w:lineRule="auto"/>
              <w:ind w:left="568"/>
              <w:rPr>
                <w:color w:val="C00000"/>
                <w:sz w:val="18"/>
                <w:szCs w:val="18"/>
              </w:rPr>
            </w:pPr>
            <w:r w:rsidRPr="004E43F1">
              <w:rPr>
                <w:color w:val="C00000"/>
                <w:sz w:val="18"/>
                <w:szCs w:val="18"/>
              </w:rPr>
              <w:t>Our dedicated account managers have a wealth of experience and will take care of your needs. You'll also appreciate complete transparency of earnings with our comprehensive reporting system, along with our generous initiatives for all successful partners.</w:t>
            </w:r>
          </w:p>
          <w:p w14:paraId="2598D05F" w14:textId="77777777" w:rsidR="00F2541B" w:rsidRPr="004E43F1" w:rsidRDefault="00F2541B" w:rsidP="005F4B94">
            <w:pPr>
              <w:keepNext/>
              <w:keepLines/>
              <w:spacing w:after="0" w:line="276" w:lineRule="auto"/>
              <w:ind w:left="568"/>
              <w:rPr>
                <w:b/>
                <w:bCs/>
                <w:i/>
                <w:iCs/>
                <w:color w:val="C00000"/>
                <w:sz w:val="18"/>
                <w:szCs w:val="18"/>
              </w:rPr>
            </w:pPr>
            <w:r w:rsidRPr="004E43F1">
              <w:rPr>
                <w:b/>
                <w:bCs/>
                <w:i/>
                <w:iCs/>
                <w:color w:val="C00000"/>
                <w:sz w:val="18"/>
                <w:szCs w:val="18"/>
              </w:rPr>
              <w:t>How Does it Work?</w:t>
            </w:r>
          </w:p>
          <w:p w14:paraId="727E95A4" w14:textId="77777777" w:rsidR="00F2541B" w:rsidRPr="004E43F1" w:rsidRDefault="00F2541B" w:rsidP="005F4B94">
            <w:pPr>
              <w:pStyle w:val="ListParagraph"/>
              <w:keepNext/>
              <w:keepLines/>
              <w:numPr>
                <w:ilvl w:val="0"/>
                <w:numId w:val="28"/>
              </w:numPr>
              <w:spacing w:after="0" w:line="276" w:lineRule="auto"/>
              <w:rPr>
                <w:color w:val="C00000"/>
                <w:sz w:val="18"/>
                <w:szCs w:val="18"/>
              </w:rPr>
            </w:pPr>
            <w:r w:rsidRPr="004E43F1">
              <w:rPr>
                <w:color w:val="C00000"/>
                <w:sz w:val="18"/>
                <w:szCs w:val="18"/>
              </w:rPr>
              <w:t>Every player who clicks on your Joe Fortune banner receives a "cookie" that allows us to identify your unique affiliate code</w:t>
            </w:r>
          </w:p>
          <w:p w14:paraId="7D3F9934" w14:textId="77777777" w:rsidR="00F2541B" w:rsidRPr="004E43F1" w:rsidRDefault="00F2541B" w:rsidP="005F4B94">
            <w:pPr>
              <w:pStyle w:val="ListParagraph"/>
              <w:keepNext/>
              <w:keepLines/>
              <w:numPr>
                <w:ilvl w:val="0"/>
                <w:numId w:val="28"/>
              </w:numPr>
              <w:spacing w:after="0" w:line="276" w:lineRule="auto"/>
              <w:rPr>
                <w:color w:val="C00000"/>
                <w:sz w:val="18"/>
                <w:szCs w:val="18"/>
              </w:rPr>
            </w:pPr>
            <w:r w:rsidRPr="004E43F1">
              <w:rPr>
                <w:color w:val="C00000"/>
                <w:sz w:val="18"/>
                <w:szCs w:val="18"/>
              </w:rPr>
              <w:t>This player then gets assigned to your affiliate account so we can track them</w:t>
            </w:r>
          </w:p>
          <w:p w14:paraId="0BE55E00" w14:textId="77777777" w:rsidR="00F2541B" w:rsidRPr="004E43F1" w:rsidRDefault="00F2541B" w:rsidP="005F4B94">
            <w:pPr>
              <w:pStyle w:val="ListParagraph"/>
              <w:keepNext/>
              <w:keepLines/>
              <w:numPr>
                <w:ilvl w:val="0"/>
                <w:numId w:val="28"/>
              </w:numPr>
              <w:spacing w:after="0" w:line="276" w:lineRule="auto"/>
              <w:rPr>
                <w:color w:val="C00000"/>
                <w:sz w:val="18"/>
                <w:szCs w:val="18"/>
              </w:rPr>
            </w:pPr>
            <w:r w:rsidRPr="004E43F1">
              <w:rPr>
                <w:color w:val="C00000"/>
                <w:sz w:val="18"/>
                <w:szCs w:val="18"/>
              </w:rPr>
              <w:t>Then, every time your player(s) place a bet at Joe Fortune, you get a share!</w:t>
            </w:r>
          </w:p>
          <w:p w14:paraId="7953CE15" w14:textId="77777777" w:rsidR="00F2541B" w:rsidRDefault="00F2541B" w:rsidP="005F4B94">
            <w:pPr>
              <w:keepNext/>
              <w:keepLines/>
              <w:ind w:left="568"/>
              <w:jc w:val="center"/>
              <w:rPr>
                <w:sz w:val="18"/>
                <w:szCs w:val="18"/>
              </w:rPr>
            </w:pPr>
            <w:r>
              <w:rPr>
                <w:rFonts w:ascii="norwester" w:hAnsi="norwester"/>
                <w:noProof/>
                <w:color w:val="000000"/>
                <w:spacing w:val="8"/>
              </w:rPr>
              <w:drawing>
                <wp:inline distT="0" distB="0" distL="0" distR="0" wp14:anchorId="667F1B45" wp14:editId="3546237F">
                  <wp:extent cx="2805629" cy="1427868"/>
                  <wp:effectExtent l="0" t="0" r="0" b="1270"/>
                  <wp:docPr id="7" name="Picture 7" descr="Joe Fortune Affiliate Commision Share Grap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Joe Fortune Affiliate Commision Share Graph"/>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830907" cy="1440732"/>
                          </a:xfrm>
                          <a:prstGeom prst="rect">
                            <a:avLst/>
                          </a:prstGeom>
                          <a:noFill/>
                          <a:ln>
                            <a:noFill/>
                          </a:ln>
                        </pic:spPr>
                      </pic:pic>
                    </a:graphicData>
                  </a:graphic>
                </wp:inline>
              </w:drawing>
            </w:r>
          </w:p>
          <w:p w14:paraId="1F1602A7" w14:textId="77777777" w:rsidR="00F2541B" w:rsidRDefault="00F2541B" w:rsidP="005F4B94">
            <w:pPr>
              <w:keepNext/>
              <w:keepLines/>
              <w:ind w:left="568"/>
            </w:pPr>
          </w:p>
        </w:tc>
      </w:tr>
    </w:tbl>
    <w:p w14:paraId="38FBEBE8" w14:textId="10846D9B" w:rsidR="00F2541B" w:rsidRPr="002D2EA0" w:rsidRDefault="00FE6549" w:rsidP="0025643B">
      <w:pPr>
        <w:pStyle w:val="Tableorfigurenote"/>
      </w:pPr>
      <w:r>
        <w:t xml:space="preserve">Source: </w:t>
      </w:r>
      <w:r w:rsidR="00D92A84">
        <w:t>Adapted from</w:t>
      </w:r>
      <w:r>
        <w:t xml:space="preserve"> </w:t>
      </w:r>
      <w:hyperlink r:id="rId36" w:history="1">
        <w:r w:rsidR="00667F83" w:rsidRPr="00840D34">
          <w:rPr>
            <w:rStyle w:val="Hyperlink"/>
          </w:rPr>
          <w:t>Joe Fortune, become an affiliate</w:t>
        </w:r>
      </w:hyperlink>
      <w:r w:rsidR="00840D34">
        <w:t>, accessed 23 November 2021.</w:t>
      </w:r>
    </w:p>
    <w:p w14:paraId="3395E4FF" w14:textId="77777777" w:rsidR="00F2541B" w:rsidRPr="00ED2CD9" w:rsidRDefault="00F2541B" w:rsidP="0025643B">
      <w:pPr>
        <w:pStyle w:val="Heading3"/>
        <w:rPr>
          <w:iCs/>
        </w:rPr>
      </w:pPr>
      <w:bookmarkStart w:id="14" w:name="_Toc88480171"/>
      <w:r w:rsidRPr="00ED2CD9">
        <w:t>Twitter</w:t>
      </w:r>
      <w:bookmarkEnd w:id="14"/>
    </w:p>
    <w:p w14:paraId="187EC994" w14:textId="33CE90DE" w:rsidR="00F2541B" w:rsidRDefault="00F2541B" w:rsidP="00F2541B">
      <w:pPr>
        <w:rPr>
          <w:rFonts w:cs="Arial"/>
        </w:rPr>
      </w:pPr>
      <w:r>
        <w:rPr>
          <w:rFonts w:cs="Arial"/>
        </w:rPr>
        <w:t xml:space="preserve">A study conducted in </w:t>
      </w:r>
      <w:r w:rsidR="0066411C">
        <w:rPr>
          <w:rFonts w:cs="Arial"/>
        </w:rPr>
        <w:t>the United Kingdom</w:t>
      </w:r>
      <w:r>
        <w:rPr>
          <w:rFonts w:cs="Arial"/>
        </w:rPr>
        <w:t xml:space="preserve"> in </w:t>
      </w:r>
      <w:r w:rsidR="007D2D09">
        <w:rPr>
          <w:rFonts w:cs="Arial"/>
        </w:rPr>
        <w:t xml:space="preserve">2020 </w:t>
      </w:r>
      <w:r>
        <w:rPr>
          <w:rFonts w:cs="Arial"/>
        </w:rPr>
        <w:t>looking at the use of social media to market gambling identified several</w:t>
      </w:r>
      <w:r w:rsidRPr="00632EF3">
        <w:rPr>
          <w:rFonts w:cs="Arial"/>
        </w:rPr>
        <w:t xml:space="preserve"> gambling affiliates</w:t>
      </w:r>
      <w:r w:rsidR="00052AC9">
        <w:rPr>
          <w:rFonts w:cs="Arial"/>
        </w:rPr>
        <w:t>’</w:t>
      </w:r>
      <w:r w:rsidRPr="00632EF3">
        <w:rPr>
          <w:rFonts w:cs="Arial"/>
        </w:rPr>
        <w:t xml:space="preserve"> accounts on Twitter, </w:t>
      </w:r>
      <w:r>
        <w:rPr>
          <w:rFonts w:cs="Arial"/>
        </w:rPr>
        <w:t xml:space="preserve">and </w:t>
      </w:r>
      <w:r w:rsidRPr="005012ED">
        <w:rPr>
          <w:rFonts w:cs="Arial"/>
        </w:rPr>
        <w:t xml:space="preserve">twice </w:t>
      </w:r>
      <w:r>
        <w:rPr>
          <w:rFonts w:cs="Arial"/>
        </w:rPr>
        <w:t xml:space="preserve">as many </w:t>
      </w:r>
      <w:r w:rsidRPr="005012ED">
        <w:rPr>
          <w:rFonts w:cs="Arial"/>
        </w:rPr>
        <w:t xml:space="preserve">affiliate accounts </w:t>
      </w:r>
      <w:r>
        <w:rPr>
          <w:rFonts w:cs="Arial"/>
        </w:rPr>
        <w:t>as</w:t>
      </w:r>
      <w:r w:rsidRPr="005012ED">
        <w:rPr>
          <w:rFonts w:cs="Arial"/>
        </w:rPr>
        <w:t xml:space="preserve"> gambling operators</w:t>
      </w:r>
      <w:r w:rsidR="00FE6549">
        <w:rPr>
          <w:rFonts w:cs="Arial"/>
        </w:rPr>
        <w:t>’</w:t>
      </w:r>
      <w:r w:rsidRPr="005012ED">
        <w:rPr>
          <w:rFonts w:cs="Arial"/>
        </w:rPr>
        <w:t xml:space="preserve"> </w:t>
      </w:r>
      <w:r>
        <w:rPr>
          <w:rFonts w:cs="Arial"/>
        </w:rPr>
        <w:t>accounts</w:t>
      </w:r>
      <w:r w:rsidRPr="00632EF3">
        <w:rPr>
          <w:rFonts w:cs="Arial"/>
        </w:rPr>
        <w:t>.</w:t>
      </w:r>
      <w:r>
        <w:rPr>
          <w:rStyle w:val="FootnoteReference"/>
          <w:rFonts w:cs="Arial"/>
        </w:rPr>
        <w:footnoteReference w:id="38"/>
      </w:r>
      <w:r w:rsidRPr="00632EF3">
        <w:rPr>
          <w:rFonts w:cs="Arial"/>
        </w:rPr>
        <w:t xml:space="preserve"> </w:t>
      </w:r>
    </w:p>
    <w:p w14:paraId="746B83E9" w14:textId="70595C1A" w:rsidR="00F2541B" w:rsidRDefault="00F2541B" w:rsidP="00F2541B">
      <w:pPr>
        <w:rPr>
          <w:rFonts w:cs="Arial"/>
        </w:rPr>
      </w:pPr>
      <w:r>
        <w:rPr>
          <w:rFonts w:cs="Arial"/>
        </w:rPr>
        <w:t>A 2019 study investigat</w:t>
      </w:r>
      <w:r w:rsidR="008E5858">
        <w:rPr>
          <w:rFonts w:cs="Arial"/>
        </w:rPr>
        <w:t>ed the</w:t>
      </w:r>
      <w:r>
        <w:rPr>
          <w:rFonts w:cs="Arial"/>
        </w:rPr>
        <w:t xml:space="preserve"> </w:t>
      </w:r>
      <w:r w:rsidRPr="00632EF3">
        <w:rPr>
          <w:rFonts w:cs="Arial"/>
        </w:rPr>
        <w:t>differences in content</w:t>
      </w:r>
      <w:r>
        <w:rPr>
          <w:rFonts w:cs="Arial"/>
        </w:rPr>
        <w:t xml:space="preserve"> </w:t>
      </w:r>
      <w:r w:rsidRPr="00632EF3">
        <w:rPr>
          <w:rFonts w:cs="Arial"/>
        </w:rPr>
        <w:t xml:space="preserve">posted on </w:t>
      </w:r>
      <w:r>
        <w:rPr>
          <w:rFonts w:cs="Arial"/>
        </w:rPr>
        <w:t>Twitter</w:t>
      </w:r>
      <w:r w:rsidRPr="00632EF3">
        <w:rPr>
          <w:rFonts w:cs="Arial"/>
        </w:rPr>
        <w:t xml:space="preserve"> between gambling operators and gambling affiliates</w:t>
      </w:r>
      <w:r w:rsidR="008E5858">
        <w:rPr>
          <w:rFonts w:cs="Arial"/>
        </w:rPr>
        <w:t>. This study</w:t>
      </w:r>
      <w:r w:rsidRPr="00632EF3">
        <w:rPr>
          <w:rFonts w:cs="Arial"/>
        </w:rPr>
        <w:t xml:space="preserve"> </w:t>
      </w:r>
      <w:r>
        <w:rPr>
          <w:rFonts w:cs="Arial"/>
        </w:rPr>
        <w:t xml:space="preserve">found </w:t>
      </w:r>
      <w:r w:rsidRPr="00632EF3">
        <w:rPr>
          <w:rFonts w:cs="Arial"/>
        </w:rPr>
        <w:t xml:space="preserve">operators posted content </w:t>
      </w:r>
      <w:r>
        <w:rPr>
          <w:rFonts w:cs="Arial"/>
        </w:rPr>
        <w:t>aimed at building their brand and reputation</w:t>
      </w:r>
      <w:r w:rsidR="00FE6549">
        <w:rPr>
          <w:rFonts w:cs="Arial"/>
        </w:rPr>
        <w:t>,</w:t>
      </w:r>
      <w:r>
        <w:rPr>
          <w:rFonts w:cs="Arial"/>
        </w:rPr>
        <w:t xml:space="preserve"> </w:t>
      </w:r>
      <w:r w:rsidR="006711A6">
        <w:rPr>
          <w:rFonts w:cs="Arial"/>
        </w:rPr>
        <w:t>as well as providing humorous content</w:t>
      </w:r>
      <w:r w:rsidR="00C73BB7">
        <w:rPr>
          <w:rFonts w:cs="Arial"/>
        </w:rPr>
        <w:t>. However,</w:t>
      </w:r>
      <w:r>
        <w:rPr>
          <w:rFonts w:cs="Arial"/>
        </w:rPr>
        <w:t xml:space="preserve"> </w:t>
      </w:r>
      <w:r w:rsidRPr="00632EF3">
        <w:rPr>
          <w:rFonts w:cs="Arial"/>
        </w:rPr>
        <w:t xml:space="preserve">affiliates </w:t>
      </w:r>
      <w:r>
        <w:rPr>
          <w:rFonts w:cs="Arial"/>
        </w:rPr>
        <w:t>were more likely to post content</w:t>
      </w:r>
      <w:r w:rsidRPr="00632EF3">
        <w:rPr>
          <w:rFonts w:cs="Arial"/>
        </w:rPr>
        <w:t xml:space="preserve"> directly invit</w:t>
      </w:r>
      <w:r>
        <w:rPr>
          <w:rFonts w:cs="Arial"/>
        </w:rPr>
        <w:t>ing</w:t>
      </w:r>
      <w:r w:rsidRPr="00632EF3">
        <w:rPr>
          <w:rFonts w:cs="Arial"/>
        </w:rPr>
        <w:t xml:space="preserve"> followers to gamble</w:t>
      </w:r>
      <w:r>
        <w:rPr>
          <w:rFonts w:cs="Arial"/>
        </w:rPr>
        <w:t xml:space="preserve">, </w:t>
      </w:r>
      <w:r w:rsidR="00FE6549">
        <w:rPr>
          <w:rFonts w:cs="Arial"/>
        </w:rPr>
        <w:t xml:space="preserve">which </w:t>
      </w:r>
      <w:r>
        <w:rPr>
          <w:rFonts w:cs="Arial"/>
        </w:rPr>
        <w:t>suggested specific b</w:t>
      </w:r>
      <w:r w:rsidRPr="00632EF3">
        <w:rPr>
          <w:rFonts w:cs="Arial"/>
        </w:rPr>
        <w:t>ets and</w:t>
      </w:r>
      <w:r>
        <w:rPr>
          <w:rFonts w:cs="Arial"/>
        </w:rPr>
        <w:t xml:space="preserve"> offered </w:t>
      </w:r>
      <w:r w:rsidRPr="00632EF3">
        <w:rPr>
          <w:rFonts w:cs="Arial"/>
        </w:rPr>
        <w:t>highly</w:t>
      </w:r>
      <w:r>
        <w:rPr>
          <w:rFonts w:cs="Arial"/>
        </w:rPr>
        <w:t xml:space="preserve"> </w:t>
      </w:r>
      <w:r w:rsidRPr="00632EF3">
        <w:rPr>
          <w:rFonts w:cs="Arial"/>
        </w:rPr>
        <w:t>attractive sign-up</w:t>
      </w:r>
      <w:r>
        <w:rPr>
          <w:rFonts w:cs="Arial"/>
        </w:rPr>
        <w:t>s</w:t>
      </w:r>
      <w:r w:rsidRPr="00632EF3">
        <w:rPr>
          <w:rFonts w:cs="Arial"/>
        </w:rPr>
        <w:t>.</w:t>
      </w:r>
      <w:r>
        <w:rPr>
          <w:rStyle w:val="FootnoteReference"/>
          <w:rFonts w:cs="Arial"/>
        </w:rPr>
        <w:footnoteReference w:id="39"/>
      </w:r>
      <w:r>
        <w:rPr>
          <w:rFonts w:cs="Arial"/>
        </w:rPr>
        <w:t xml:space="preserve"> </w:t>
      </w:r>
      <w:r w:rsidR="00E13F7F">
        <w:rPr>
          <w:rFonts w:cs="Arial"/>
        </w:rPr>
        <w:t>T</w:t>
      </w:r>
      <w:r>
        <w:rPr>
          <w:rFonts w:cs="Arial"/>
        </w:rPr>
        <w:t>here were</w:t>
      </w:r>
      <w:r w:rsidRPr="00632EF3">
        <w:rPr>
          <w:rFonts w:cs="Arial"/>
        </w:rPr>
        <w:t xml:space="preserve"> comparatively fewer posts </w:t>
      </w:r>
      <w:r>
        <w:rPr>
          <w:rFonts w:cs="Arial"/>
        </w:rPr>
        <w:t>about the</w:t>
      </w:r>
      <w:r w:rsidRPr="00632EF3">
        <w:rPr>
          <w:rFonts w:cs="Arial"/>
        </w:rPr>
        <w:t xml:space="preserve"> success of these bets. </w:t>
      </w:r>
      <w:r>
        <w:rPr>
          <w:rFonts w:cs="Arial"/>
        </w:rPr>
        <w:t>Posts that did comment on</w:t>
      </w:r>
      <w:r w:rsidR="00CC3F1C">
        <w:rPr>
          <w:rFonts w:cs="Arial"/>
        </w:rPr>
        <w:t xml:space="preserve"> the outcome of</w:t>
      </w:r>
      <w:r>
        <w:rPr>
          <w:rFonts w:cs="Arial"/>
        </w:rPr>
        <w:t xml:space="preserve"> bets tended to focus on wins or near misses. This may well create in followers an </w:t>
      </w:r>
      <w:r w:rsidRPr="00632EF3">
        <w:rPr>
          <w:rFonts w:cs="Arial"/>
        </w:rPr>
        <w:t xml:space="preserve">unrealistic expectation of </w:t>
      </w:r>
      <w:r>
        <w:rPr>
          <w:rFonts w:cs="Arial"/>
        </w:rPr>
        <w:t xml:space="preserve">their prospect of </w:t>
      </w:r>
      <w:r w:rsidRPr="00632EF3">
        <w:rPr>
          <w:rFonts w:cs="Arial"/>
        </w:rPr>
        <w:t>winning.</w:t>
      </w:r>
      <w:r>
        <w:rPr>
          <w:rFonts w:cs="Arial"/>
        </w:rPr>
        <w:t xml:space="preserve"> Further, </w:t>
      </w:r>
      <w:r w:rsidR="00650D5E">
        <w:rPr>
          <w:rFonts w:cs="Arial"/>
        </w:rPr>
        <w:t xml:space="preserve">fewer </w:t>
      </w:r>
      <w:r>
        <w:rPr>
          <w:rFonts w:cs="Arial"/>
        </w:rPr>
        <w:t xml:space="preserve">than </w:t>
      </w:r>
      <w:r w:rsidR="00650D5E" w:rsidRPr="00BF79A4">
        <w:rPr>
          <w:rFonts w:cs="Arial"/>
        </w:rPr>
        <w:t>1%</w:t>
      </w:r>
      <w:r w:rsidR="00650D5E">
        <w:rPr>
          <w:rFonts w:cs="Arial"/>
        </w:rPr>
        <w:t xml:space="preserve"> </w:t>
      </w:r>
      <w:r>
        <w:rPr>
          <w:rFonts w:cs="Arial"/>
        </w:rPr>
        <w:t xml:space="preserve">of tweets across both groups promoted safer gambling. The study </w:t>
      </w:r>
      <w:r>
        <w:rPr>
          <w:rFonts w:cs="Arial"/>
        </w:rPr>
        <w:lastRenderedPageBreak/>
        <w:t xml:space="preserve">determined </w:t>
      </w:r>
      <w:r w:rsidRPr="00B57C77">
        <w:rPr>
          <w:rFonts w:cs="Arial"/>
        </w:rPr>
        <w:t xml:space="preserve">British </w:t>
      </w:r>
      <w:r>
        <w:rPr>
          <w:rFonts w:cs="Arial"/>
        </w:rPr>
        <w:t xml:space="preserve">gambling </w:t>
      </w:r>
      <w:r w:rsidRPr="00B57C77">
        <w:rPr>
          <w:rFonts w:cs="Arial"/>
        </w:rPr>
        <w:t>affiliates post similar types of content</w:t>
      </w:r>
      <w:r>
        <w:rPr>
          <w:rFonts w:cs="Arial"/>
        </w:rPr>
        <w:t xml:space="preserve"> to their Australian counterparts.</w:t>
      </w:r>
      <w:r>
        <w:rPr>
          <w:rStyle w:val="FootnoteReference"/>
          <w:rFonts w:cs="Arial"/>
        </w:rPr>
        <w:footnoteReference w:id="40"/>
      </w:r>
      <w:r>
        <w:rPr>
          <w:rFonts w:cs="Arial"/>
        </w:rPr>
        <w:t xml:space="preserve">  </w:t>
      </w:r>
    </w:p>
    <w:p w14:paraId="5BB08930" w14:textId="77777777" w:rsidR="00F2541B" w:rsidRPr="00755C0A" w:rsidRDefault="00F2541B" w:rsidP="0025643B">
      <w:pPr>
        <w:pStyle w:val="Heading3"/>
        <w:rPr>
          <w:iCs/>
        </w:rPr>
      </w:pPr>
      <w:bookmarkStart w:id="15" w:name="_Toc88480172"/>
      <w:r w:rsidRPr="00755C0A">
        <w:t>Facebook</w:t>
      </w:r>
      <w:bookmarkEnd w:id="15"/>
    </w:p>
    <w:p w14:paraId="1E8BE6E8" w14:textId="4168CB14" w:rsidR="00F2541B" w:rsidRDefault="00F2541B" w:rsidP="00F2541B">
      <w:pPr>
        <w:rPr>
          <w:rFonts w:cs="Arial"/>
        </w:rPr>
      </w:pPr>
      <w:r>
        <w:rPr>
          <w:rFonts w:cs="Arial"/>
        </w:rPr>
        <w:t>Some</w:t>
      </w:r>
      <w:r w:rsidRPr="00064A39">
        <w:rPr>
          <w:rFonts w:cs="Arial"/>
        </w:rPr>
        <w:t xml:space="preserve"> affiliates</w:t>
      </w:r>
      <w:r>
        <w:rPr>
          <w:rFonts w:cs="Arial"/>
        </w:rPr>
        <w:t xml:space="preserve"> join </w:t>
      </w:r>
      <w:r w:rsidRPr="00064A39">
        <w:rPr>
          <w:rFonts w:cs="Arial"/>
        </w:rPr>
        <w:t xml:space="preserve">Facebook groups, </w:t>
      </w:r>
      <w:r>
        <w:rPr>
          <w:rFonts w:cs="Arial"/>
        </w:rPr>
        <w:t>acting as ‘tipsters’ and taking the time to build</w:t>
      </w:r>
      <w:r w:rsidRPr="00064A39">
        <w:rPr>
          <w:rFonts w:cs="Arial"/>
        </w:rPr>
        <w:t xml:space="preserve"> a following</w:t>
      </w:r>
      <w:r w:rsidR="00650D5E">
        <w:rPr>
          <w:rFonts w:cs="Arial"/>
        </w:rPr>
        <w:t>,</w:t>
      </w:r>
      <w:r w:rsidRPr="00064A39">
        <w:rPr>
          <w:rFonts w:cs="Arial"/>
        </w:rPr>
        <w:t xml:space="preserve"> before posting a sign-up link connected to their affiliate </w:t>
      </w:r>
      <w:r>
        <w:rPr>
          <w:rFonts w:cs="Arial"/>
        </w:rPr>
        <w:t xml:space="preserve">identifier. Once this trust relationship has been established, it has been reported that some will then </w:t>
      </w:r>
      <w:r w:rsidRPr="00064A39">
        <w:rPr>
          <w:rFonts w:cs="Arial"/>
        </w:rPr>
        <w:t xml:space="preserve">purposefully recommend bets </w:t>
      </w:r>
      <w:r>
        <w:rPr>
          <w:rFonts w:cs="Arial"/>
        </w:rPr>
        <w:t xml:space="preserve">on products </w:t>
      </w:r>
      <w:r w:rsidRPr="00064A39">
        <w:rPr>
          <w:rFonts w:cs="Arial"/>
        </w:rPr>
        <w:t>that are likely to lose</w:t>
      </w:r>
      <w:r>
        <w:rPr>
          <w:rFonts w:cs="Arial"/>
        </w:rPr>
        <w:t>, thereby increasing their own revenue as a direct consequence of their followers’ losses</w:t>
      </w:r>
      <w:r w:rsidRPr="00064A39">
        <w:rPr>
          <w:rFonts w:cs="Arial"/>
        </w:rPr>
        <w:t>.</w:t>
      </w:r>
      <w:r>
        <w:rPr>
          <w:rStyle w:val="FootnoteReference"/>
          <w:rFonts w:cs="Arial"/>
        </w:rPr>
        <w:footnoteReference w:id="41"/>
      </w:r>
    </w:p>
    <w:p w14:paraId="78261E68" w14:textId="54CEF9FF" w:rsidR="00F2541B" w:rsidRPr="00581641" w:rsidRDefault="00F2541B" w:rsidP="00F2541B">
      <w:pPr>
        <w:rPr>
          <w:rFonts w:cs="Arial"/>
        </w:rPr>
      </w:pPr>
      <w:r>
        <w:rPr>
          <w:rFonts w:cs="Arial"/>
        </w:rPr>
        <w:t xml:space="preserve">Along with these professional or semi-professional affiliate marketers, there are </w:t>
      </w:r>
      <w:r w:rsidRPr="00581641">
        <w:rPr>
          <w:rFonts w:cs="Arial"/>
        </w:rPr>
        <w:t>online amateur communities built around sharing video clips</w:t>
      </w:r>
      <w:r>
        <w:rPr>
          <w:rFonts w:cs="Arial"/>
        </w:rPr>
        <w:t xml:space="preserve"> and posts</w:t>
      </w:r>
      <w:r w:rsidRPr="00581641">
        <w:rPr>
          <w:rFonts w:cs="Arial"/>
        </w:rPr>
        <w:t xml:space="preserve"> of their online wins. The administrator of </w:t>
      </w:r>
      <w:r>
        <w:rPr>
          <w:rFonts w:cs="Arial"/>
        </w:rPr>
        <w:t xml:space="preserve">one active </w:t>
      </w:r>
      <w:r w:rsidRPr="00581641">
        <w:rPr>
          <w:rFonts w:cs="Arial"/>
        </w:rPr>
        <w:t xml:space="preserve">Facebook page, </w:t>
      </w:r>
      <w:r>
        <w:rPr>
          <w:rFonts w:cs="Arial"/>
        </w:rPr>
        <w:t>‘</w:t>
      </w:r>
      <w:r w:rsidRPr="00581641">
        <w:rPr>
          <w:rFonts w:cs="Arial"/>
        </w:rPr>
        <w:t xml:space="preserve">Big pokie wins </w:t>
      </w:r>
      <w:r>
        <w:rPr>
          <w:rFonts w:cs="Arial"/>
        </w:rPr>
        <w:t>A</w:t>
      </w:r>
      <w:r w:rsidRPr="00581641">
        <w:rPr>
          <w:rFonts w:cs="Arial"/>
        </w:rPr>
        <w:t>ustralia</w:t>
      </w:r>
      <w:r>
        <w:rPr>
          <w:rFonts w:cs="Arial"/>
        </w:rPr>
        <w:t>’</w:t>
      </w:r>
      <w:r w:rsidRPr="00581641">
        <w:rPr>
          <w:rFonts w:cs="Arial"/>
        </w:rPr>
        <w:t>,</w:t>
      </w:r>
      <w:r>
        <w:rPr>
          <w:rStyle w:val="FootnoteReference"/>
          <w:rFonts w:cs="Arial"/>
        </w:rPr>
        <w:footnoteReference w:id="42"/>
      </w:r>
      <w:r w:rsidRPr="00581641">
        <w:rPr>
          <w:rFonts w:cs="Arial"/>
        </w:rPr>
        <w:t xml:space="preserve"> </w:t>
      </w:r>
      <w:r>
        <w:rPr>
          <w:rFonts w:cs="Arial"/>
        </w:rPr>
        <w:t>reportedly received more than</w:t>
      </w:r>
      <w:r w:rsidRPr="00581641">
        <w:rPr>
          <w:rFonts w:cs="Arial"/>
        </w:rPr>
        <w:t xml:space="preserve"> 28,000 </w:t>
      </w:r>
      <w:r>
        <w:rPr>
          <w:rFonts w:cs="Arial"/>
        </w:rPr>
        <w:t>likes and accident</w:t>
      </w:r>
      <w:r w:rsidR="007D2D09">
        <w:rPr>
          <w:rFonts w:cs="Arial"/>
        </w:rPr>
        <w:t>al</w:t>
      </w:r>
      <w:r>
        <w:rPr>
          <w:rFonts w:cs="Arial"/>
        </w:rPr>
        <w:t>ly created a major Facebook presence, after posting about just one large win, which they then capitalised on.</w:t>
      </w:r>
      <w:r>
        <w:rPr>
          <w:rStyle w:val="FootnoteReference"/>
          <w:rFonts w:cs="Arial"/>
        </w:rPr>
        <w:footnoteReference w:id="43"/>
      </w:r>
      <w:r>
        <w:rPr>
          <w:rFonts w:cs="Arial"/>
        </w:rPr>
        <w:t xml:space="preserve"> </w:t>
      </w:r>
    </w:p>
    <w:p w14:paraId="69696A99" w14:textId="293A65EE" w:rsidR="00F2541B" w:rsidRPr="00581641" w:rsidRDefault="00F2541B" w:rsidP="00F2541B">
      <w:pPr>
        <w:rPr>
          <w:rFonts w:cs="Arial"/>
        </w:rPr>
      </w:pPr>
      <w:r w:rsidRPr="00581641">
        <w:rPr>
          <w:rFonts w:cs="Arial"/>
        </w:rPr>
        <w:t xml:space="preserve">When </w:t>
      </w:r>
      <w:r w:rsidR="00650D5E">
        <w:rPr>
          <w:rFonts w:cs="Arial"/>
        </w:rPr>
        <w:t xml:space="preserve">viewers were </w:t>
      </w:r>
      <w:r w:rsidRPr="00581641">
        <w:rPr>
          <w:rFonts w:cs="Arial"/>
        </w:rPr>
        <w:t>asked</w:t>
      </w:r>
      <w:r>
        <w:rPr>
          <w:rFonts w:cs="Arial"/>
        </w:rPr>
        <w:t xml:space="preserve"> about their </w:t>
      </w:r>
      <w:r w:rsidRPr="00581641">
        <w:rPr>
          <w:rFonts w:cs="Arial"/>
        </w:rPr>
        <w:t>motivation for watching</w:t>
      </w:r>
      <w:r>
        <w:rPr>
          <w:rFonts w:cs="Arial"/>
        </w:rPr>
        <w:t xml:space="preserve"> the Facebook clips of gambling affiliates, responses vary, however</w:t>
      </w:r>
      <w:r w:rsidRPr="00581641">
        <w:rPr>
          <w:rFonts w:cs="Arial"/>
        </w:rPr>
        <w:t xml:space="preserve"> </w:t>
      </w:r>
      <w:r>
        <w:rPr>
          <w:rFonts w:cs="Arial"/>
        </w:rPr>
        <w:t>many recognised that they may</w:t>
      </w:r>
      <w:r w:rsidRPr="00581641">
        <w:rPr>
          <w:rFonts w:cs="Arial"/>
        </w:rPr>
        <w:t xml:space="preserve"> have a gambling addiction.</w:t>
      </w:r>
      <w:r>
        <w:rPr>
          <w:rStyle w:val="FootnoteReference"/>
          <w:rFonts w:cs="Arial"/>
        </w:rPr>
        <w:footnoteReference w:id="44"/>
      </w:r>
    </w:p>
    <w:p w14:paraId="0C2B624D" w14:textId="77777777" w:rsidR="00F2541B" w:rsidRPr="0068131B" w:rsidRDefault="00F2541B" w:rsidP="0025643B">
      <w:pPr>
        <w:pStyle w:val="Heading3"/>
        <w:rPr>
          <w:iCs/>
        </w:rPr>
      </w:pPr>
      <w:bookmarkStart w:id="16" w:name="_Toc88480173"/>
      <w:r w:rsidRPr="0068131B">
        <w:t>Streaming services</w:t>
      </w:r>
      <w:bookmarkEnd w:id="16"/>
    </w:p>
    <w:p w14:paraId="7766DAF8" w14:textId="40652DBC" w:rsidR="00F2541B" w:rsidRDefault="00F2541B" w:rsidP="00F2541B">
      <w:pPr>
        <w:rPr>
          <w:rFonts w:cs="Arial"/>
        </w:rPr>
      </w:pPr>
      <w:r w:rsidRPr="00322345">
        <w:rPr>
          <w:rFonts w:cs="Arial"/>
        </w:rPr>
        <w:t xml:space="preserve">Streaming services such as Twitch and YouTube Live </w:t>
      </w:r>
      <w:r>
        <w:rPr>
          <w:rFonts w:cs="Arial"/>
        </w:rPr>
        <w:t xml:space="preserve">provide a dynamic and accessible platform for influencers, including gambling affiliates. </w:t>
      </w:r>
      <w:r w:rsidRPr="0078793E">
        <w:rPr>
          <w:rFonts w:cs="Arial"/>
        </w:rPr>
        <w:t xml:space="preserve">Streamers broadcast </w:t>
      </w:r>
      <w:r>
        <w:rPr>
          <w:rFonts w:cs="Arial"/>
        </w:rPr>
        <w:t xml:space="preserve">live </w:t>
      </w:r>
      <w:r w:rsidRPr="0078793E">
        <w:rPr>
          <w:rFonts w:cs="Arial"/>
        </w:rPr>
        <w:t>to audiences</w:t>
      </w:r>
      <w:r w:rsidR="00420182">
        <w:rPr>
          <w:rFonts w:cs="Arial"/>
        </w:rPr>
        <w:t>,</w:t>
      </w:r>
      <w:r w:rsidRPr="0078793E">
        <w:rPr>
          <w:rFonts w:cs="Arial"/>
        </w:rPr>
        <w:t xml:space="preserve"> who </w:t>
      </w:r>
      <w:r>
        <w:rPr>
          <w:rFonts w:cs="Arial"/>
        </w:rPr>
        <w:t xml:space="preserve">in turn </w:t>
      </w:r>
      <w:r w:rsidRPr="0078793E">
        <w:rPr>
          <w:rFonts w:cs="Arial"/>
        </w:rPr>
        <w:t xml:space="preserve">interact </w:t>
      </w:r>
      <w:r>
        <w:rPr>
          <w:rFonts w:cs="Arial"/>
        </w:rPr>
        <w:t xml:space="preserve">with the streamer, chatting </w:t>
      </w:r>
      <w:r w:rsidRPr="0078793E">
        <w:rPr>
          <w:rFonts w:cs="Arial"/>
        </w:rPr>
        <w:t xml:space="preserve">with them in real-time. Twitch, the dominant streaming platform, </w:t>
      </w:r>
      <w:r>
        <w:rPr>
          <w:rFonts w:cs="Arial"/>
        </w:rPr>
        <w:t>reportedly has approximately</w:t>
      </w:r>
      <w:r w:rsidRPr="0078793E">
        <w:rPr>
          <w:rFonts w:cs="Arial"/>
        </w:rPr>
        <w:t xml:space="preserve"> 150 channels </w:t>
      </w:r>
      <w:r>
        <w:rPr>
          <w:rFonts w:cs="Arial"/>
        </w:rPr>
        <w:t xml:space="preserve">providing </w:t>
      </w:r>
      <w:r w:rsidRPr="0078793E">
        <w:rPr>
          <w:rFonts w:cs="Arial"/>
        </w:rPr>
        <w:t xml:space="preserve">live broadcasting of real-money slot machine gambling </w:t>
      </w:r>
      <w:r w:rsidR="00420182">
        <w:rPr>
          <w:rFonts w:cs="Arial"/>
        </w:rPr>
        <w:t>(</w:t>
      </w:r>
      <w:r w:rsidRPr="0078793E">
        <w:rPr>
          <w:rFonts w:cs="Arial"/>
        </w:rPr>
        <w:t>the most popular</w:t>
      </w:r>
      <w:r w:rsidR="00420182">
        <w:rPr>
          <w:rFonts w:cs="Arial"/>
        </w:rPr>
        <w:t>),</w:t>
      </w:r>
      <w:r w:rsidRPr="0078793E">
        <w:rPr>
          <w:rFonts w:cs="Arial"/>
        </w:rPr>
        <w:t xml:space="preserve"> regularly receiv</w:t>
      </w:r>
      <w:r>
        <w:rPr>
          <w:rFonts w:cs="Arial"/>
        </w:rPr>
        <w:t>ing</w:t>
      </w:r>
      <w:r w:rsidRPr="0078793E">
        <w:rPr>
          <w:rFonts w:cs="Arial"/>
        </w:rPr>
        <w:t xml:space="preserve"> over 100,000 views.</w:t>
      </w:r>
      <w:r>
        <w:rPr>
          <w:rStyle w:val="FootnoteReference"/>
          <w:rFonts w:cs="Arial"/>
        </w:rPr>
        <w:footnoteReference w:id="45"/>
      </w:r>
      <w:r>
        <w:rPr>
          <w:rFonts w:cs="Arial"/>
        </w:rPr>
        <w:t xml:space="preserve"> </w:t>
      </w:r>
    </w:p>
    <w:p w14:paraId="3FEB425F" w14:textId="6A04A922" w:rsidR="00F2541B" w:rsidRDefault="00F2541B" w:rsidP="00F2541B">
      <w:pPr>
        <w:rPr>
          <w:rFonts w:cs="Arial"/>
        </w:rPr>
      </w:pPr>
      <w:r w:rsidRPr="00DD1EDE">
        <w:rPr>
          <w:rFonts w:cs="Arial"/>
        </w:rPr>
        <w:t xml:space="preserve">Research </w:t>
      </w:r>
      <w:r>
        <w:rPr>
          <w:rFonts w:cs="Arial"/>
        </w:rPr>
        <w:t>into</w:t>
      </w:r>
      <w:r w:rsidRPr="00DD1EDE">
        <w:rPr>
          <w:rFonts w:cs="Arial"/>
        </w:rPr>
        <w:t xml:space="preserve"> gambling streams</w:t>
      </w:r>
      <w:r>
        <w:rPr>
          <w:rFonts w:cs="Arial"/>
        </w:rPr>
        <w:t xml:space="preserve"> is increasing.</w:t>
      </w:r>
      <w:r w:rsidRPr="00DD1EDE">
        <w:rPr>
          <w:rFonts w:cs="Arial"/>
        </w:rPr>
        <w:t xml:space="preserve"> One of the first studies in this area</w:t>
      </w:r>
      <w:r>
        <w:rPr>
          <w:rFonts w:cs="Arial"/>
        </w:rPr>
        <w:t>,</w:t>
      </w:r>
      <w:r w:rsidRPr="00DD1EDE">
        <w:rPr>
          <w:rFonts w:cs="Arial"/>
        </w:rPr>
        <w:t xml:space="preserve"> </w:t>
      </w:r>
      <w:r>
        <w:rPr>
          <w:rFonts w:cs="Arial"/>
        </w:rPr>
        <w:t xml:space="preserve">conducted in 2020, </w:t>
      </w:r>
      <w:r w:rsidRPr="00DD1EDE">
        <w:rPr>
          <w:rFonts w:cs="Arial"/>
        </w:rPr>
        <w:t xml:space="preserve">found that </w:t>
      </w:r>
      <w:r w:rsidR="008A3A41">
        <w:rPr>
          <w:rFonts w:cs="Arial"/>
        </w:rPr>
        <w:t>around</w:t>
      </w:r>
      <w:r w:rsidR="008A3A41" w:rsidRPr="00DD1EDE">
        <w:rPr>
          <w:rFonts w:cs="Arial"/>
        </w:rPr>
        <w:t xml:space="preserve"> </w:t>
      </w:r>
      <w:r w:rsidR="008A3A41">
        <w:rPr>
          <w:rFonts w:cs="Arial"/>
        </w:rPr>
        <w:t>4%</w:t>
      </w:r>
      <w:r w:rsidRPr="00DD1EDE">
        <w:rPr>
          <w:rFonts w:cs="Arial"/>
        </w:rPr>
        <w:t xml:space="preserve"> of adults in the </w:t>
      </w:r>
      <w:r w:rsidRPr="00BF79A4">
        <w:rPr>
          <w:rFonts w:cs="Arial"/>
        </w:rPr>
        <w:t>United Kingdom</w:t>
      </w:r>
      <w:r w:rsidRPr="00DD1EDE">
        <w:rPr>
          <w:rFonts w:cs="Arial"/>
        </w:rPr>
        <w:t xml:space="preserve"> watch gambling streams like the Twitch slot channels</w:t>
      </w:r>
      <w:r w:rsidR="00DA7C78">
        <w:rPr>
          <w:rFonts w:cs="Arial"/>
        </w:rPr>
        <w:t xml:space="preserve">. This </w:t>
      </w:r>
      <w:r w:rsidRPr="00DD1EDE">
        <w:rPr>
          <w:rFonts w:cs="Arial"/>
        </w:rPr>
        <w:t>compare</w:t>
      </w:r>
      <w:r w:rsidR="00DA7C78">
        <w:rPr>
          <w:rFonts w:cs="Arial"/>
        </w:rPr>
        <w:t>s</w:t>
      </w:r>
      <w:r w:rsidRPr="00DD1EDE">
        <w:rPr>
          <w:rFonts w:cs="Arial"/>
        </w:rPr>
        <w:t xml:space="preserve"> to </w:t>
      </w:r>
      <w:r w:rsidR="00DA7C78">
        <w:rPr>
          <w:rFonts w:cs="Arial"/>
        </w:rPr>
        <w:t>around</w:t>
      </w:r>
      <w:r w:rsidRPr="00DD1EDE">
        <w:rPr>
          <w:rFonts w:cs="Arial"/>
        </w:rPr>
        <w:t xml:space="preserve"> 14</w:t>
      </w:r>
      <w:r>
        <w:rPr>
          <w:rFonts w:cs="Arial"/>
        </w:rPr>
        <w:t>%</w:t>
      </w:r>
      <w:r w:rsidRPr="00DD1EDE">
        <w:rPr>
          <w:rFonts w:cs="Arial"/>
        </w:rPr>
        <w:t xml:space="preserve"> who play</w:t>
      </w:r>
      <w:r>
        <w:rPr>
          <w:rFonts w:cs="Arial"/>
        </w:rPr>
        <w:t>ed</w:t>
      </w:r>
      <w:r w:rsidRPr="00DD1EDE">
        <w:rPr>
          <w:rFonts w:cs="Arial"/>
        </w:rPr>
        <w:t xml:space="preserve"> slot machine games online.</w:t>
      </w:r>
      <w:r>
        <w:rPr>
          <w:rStyle w:val="FootnoteReference"/>
          <w:rFonts w:cs="Arial"/>
        </w:rPr>
        <w:footnoteReference w:id="46"/>
      </w:r>
      <w:r w:rsidRPr="00DD1EDE">
        <w:rPr>
          <w:rFonts w:cs="Arial"/>
        </w:rPr>
        <w:t xml:space="preserve"> </w:t>
      </w:r>
    </w:p>
    <w:p w14:paraId="3F5E0E1A" w14:textId="77777777" w:rsidR="00F2541B" w:rsidRPr="007B27F6" w:rsidRDefault="00F2541B" w:rsidP="00381D01">
      <w:pPr>
        <w:pStyle w:val="Heading4"/>
        <w:spacing w:line="360" w:lineRule="auto"/>
      </w:pPr>
      <w:r w:rsidRPr="007B27F6">
        <w:t>Twitch</w:t>
      </w:r>
    </w:p>
    <w:p w14:paraId="164FE240" w14:textId="70349C91" w:rsidR="00F2541B" w:rsidRDefault="00F2541B" w:rsidP="00052AC9">
      <w:pPr>
        <w:rPr>
          <w:rFonts w:cs="Arial"/>
        </w:rPr>
      </w:pPr>
      <w:r>
        <w:rPr>
          <w:rFonts w:cs="Arial"/>
        </w:rPr>
        <w:t xml:space="preserve">While the community guidelines on </w:t>
      </w:r>
      <w:r w:rsidRPr="000863C5">
        <w:rPr>
          <w:rFonts w:cs="Arial"/>
        </w:rPr>
        <w:t xml:space="preserve">Twitch </w:t>
      </w:r>
      <w:r>
        <w:rPr>
          <w:rFonts w:cs="Arial"/>
        </w:rPr>
        <w:t>make</w:t>
      </w:r>
      <w:r w:rsidRPr="000863C5">
        <w:rPr>
          <w:rFonts w:cs="Arial"/>
        </w:rPr>
        <w:t xml:space="preserve"> clear that streamers must follow relevant laws, illegal content is prohibited and the platform will suspen</w:t>
      </w:r>
      <w:r>
        <w:rPr>
          <w:rFonts w:cs="Arial"/>
        </w:rPr>
        <w:t>d</w:t>
      </w:r>
      <w:r w:rsidRPr="000863C5">
        <w:rPr>
          <w:rFonts w:cs="Arial"/>
        </w:rPr>
        <w:t xml:space="preserve"> or ban</w:t>
      </w:r>
      <w:r>
        <w:rPr>
          <w:rFonts w:cs="Arial"/>
        </w:rPr>
        <w:t xml:space="preserve"> parties if </w:t>
      </w:r>
      <w:r w:rsidRPr="000863C5">
        <w:rPr>
          <w:rFonts w:cs="Arial"/>
        </w:rPr>
        <w:t xml:space="preserve">investigations </w:t>
      </w:r>
      <w:r>
        <w:rPr>
          <w:rFonts w:cs="Arial"/>
        </w:rPr>
        <w:t xml:space="preserve">reveal illegal behaviour, the regulation of streaming affiliates creates considerable challenges. </w:t>
      </w:r>
    </w:p>
    <w:p w14:paraId="11A76CD2" w14:textId="182DE9BB" w:rsidR="00F2541B" w:rsidRPr="007A6887" w:rsidRDefault="00F2541B" w:rsidP="00F2541B">
      <w:pPr>
        <w:rPr>
          <w:rFonts w:cs="Arial"/>
        </w:rPr>
      </w:pPr>
      <w:r w:rsidRPr="007A6887">
        <w:rPr>
          <w:rFonts w:cs="Arial"/>
        </w:rPr>
        <w:t xml:space="preserve">Twitch’s terms of service prohibit illegal activity </w:t>
      </w:r>
      <w:r>
        <w:rPr>
          <w:rFonts w:cs="Arial"/>
        </w:rPr>
        <w:t>but do not</w:t>
      </w:r>
      <w:r w:rsidRPr="007A6887">
        <w:rPr>
          <w:rFonts w:cs="Arial"/>
        </w:rPr>
        <w:t xml:space="preserve"> explicitly ban gambling streams. </w:t>
      </w:r>
      <w:r>
        <w:rPr>
          <w:rFonts w:cs="Arial"/>
        </w:rPr>
        <w:t xml:space="preserve">Conversely, </w:t>
      </w:r>
      <w:r w:rsidRPr="007A6887">
        <w:rPr>
          <w:rFonts w:cs="Arial"/>
        </w:rPr>
        <w:t xml:space="preserve">YouTube and Facebook Gaming prohibit streaming </w:t>
      </w:r>
      <w:r>
        <w:rPr>
          <w:rFonts w:cs="Arial"/>
        </w:rPr>
        <w:t xml:space="preserve">of at least </w:t>
      </w:r>
      <w:r w:rsidRPr="007A6887">
        <w:rPr>
          <w:rFonts w:cs="Arial"/>
        </w:rPr>
        <w:t>some unchecked online gambling sites.</w:t>
      </w:r>
      <w:r>
        <w:rPr>
          <w:rStyle w:val="FootnoteReference"/>
          <w:rFonts w:cs="Arial"/>
        </w:rPr>
        <w:footnoteReference w:id="47"/>
      </w:r>
      <w:r w:rsidRPr="007A6887">
        <w:rPr>
          <w:rFonts w:cs="Arial"/>
        </w:rPr>
        <w:t xml:space="preserve">   </w:t>
      </w:r>
    </w:p>
    <w:p w14:paraId="5F067746" w14:textId="1B36B2D3" w:rsidR="00F2541B" w:rsidRDefault="00F2541B" w:rsidP="0025643B">
      <w:pPr>
        <w:spacing w:after="120"/>
        <w:rPr>
          <w:rFonts w:cs="Arial"/>
        </w:rPr>
      </w:pPr>
      <w:r>
        <w:rPr>
          <w:rFonts w:cs="Arial"/>
        </w:rPr>
        <w:lastRenderedPageBreak/>
        <w:t>In August 2021</w:t>
      </w:r>
      <w:r w:rsidR="00052AC9">
        <w:rPr>
          <w:rFonts w:cs="Arial"/>
        </w:rPr>
        <w:t>,</w:t>
      </w:r>
      <w:r>
        <w:rPr>
          <w:rFonts w:cs="Arial"/>
        </w:rPr>
        <w:t xml:space="preserve"> Twitch announced that it had banned </w:t>
      </w:r>
      <w:r w:rsidRPr="003A31CE">
        <w:rPr>
          <w:rFonts w:cs="Arial"/>
        </w:rPr>
        <w:t>links and referral codes to roulette, dice and slot games</w:t>
      </w:r>
      <w:r>
        <w:rPr>
          <w:rFonts w:cs="Arial"/>
        </w:rPr>
        <w:t xml:space="preserve">. </w:t>
      </w:r>
      <w:r w:rsidRPr="007A6887">
        <w:rPr>
          <w:rFonts w:cs="Arial"/>
        </w:rPr>
        <w:t xml:space="preserve">In a statement published </w:t>
      </w:r>
      <w:r>
        <w:rPr>
          <w:rFonts w:cs="Arial"/>
        </w:rPr>
        <w:t>that same month</w:t>
      </w:r>
      <w:r w:rsidRPr="007A6887">
        <w:rPr>
          <w:rFonts w:cs="Arial"/>
        </w:rPr>
        <w:t>, the platform said</w:t>
      </w:r>
      <w:r w:rsidR="00A91B28">
        <w:rPr>
          <w:rFonts w:cs="Arial"/>
        </w:rPr>
        <w:t>:</w:t>
      </w:r>
      <w:r w:rsidRPr="007A6887">
        <w:rPr>
          <w:rFonts w:cs="Arial"/>
        </w:rPr>
        <w:t xml:space="preserve"> </w:t>
      </w:r>
    </w:p>
    <w:p w14:paraId="161AA11B" w14:textId="286E5500" w:rsidR="00F2541B" w:rsidRDefault="00F2541B" w:rsidP="00F2541B">
      <w:pPr>
        <w:ind w:left="284"/>
        <w:rPr>
          <w:rFonts w:cs="Arial"/>
          <w:sz w:val="18"/>
          <w:szCs w:val="18"/>
        </w:rPr>
      </w:pPr>
      <w:r w:rsidRPr="00CD558A">
        <w:rPr>
          <w:rFonts w:cs="Arial"/>
          <w:sz w:val="18"/>
          <w:szCs w:val="18"/>
        </w:rPr>
        <w:t>To prevent harm and scams created by questionable gambling services that sponsor content on Twitch, we will prohibit sharing links and/or referral codes to sites that offer slots, roulette, or dice games. Pledging to</w:t>
      </w:r>
      <w:r w:rsidR="00290BC8">
        <w:rPr>
          <w:rFonts w:cs="Arial"/>
          <w:sz w:val="18"/>
          <w:szCs w:val="18"/>
        </w:rPr>
        <w:t xml:space="preserve"> </w:t>
      </w:r>
      <w:r w:rsidRPr="00CD558A">
        <w:rPr>
          <w:rFonts w:cs="Arial"/>
          <w:sz w:val="18"/>
          <w:szCs w:val="18"/>
        </w:rPr>
        <w:t>continue to monitor gambling-related content and update our approach as needed.</w:t>
      </w:r>
      <w:r w:rsidRPr="00CD558A">
        <w:rPr>
          <w:rStyle w:val="FootnoteReference"/>
          <w:rFonts w:cs="Arial"/>
          <w:sz w:val="18"/>
          <w:szCs w:val="18"/>
        </w:rPr>
        <w:footnoteReference w:id="48"/>
      </w:r>
      <w:r w:rsidRPr="00CD558A">
        <w:rPr>
          <w:rFonts w:cs="Arial"/>
          <w:sz w:val="18"/>
          <w:szCs w:val="18"/>
        </w:rPr>
        <w:t xml:space="preserve"> </w:t>
      </w:r>
    </w:p>
    <w:p w14:paraId="16A35922" w14:textId="2ED4FD2B" w:rsidR="00F2541B" w:rsidRDefault="00F2541B" w:rsidP="00F2541B">
      <w:pPr>
        <w:rPr>
          <w:rFonts w:cs="Arial"/>
        </w:rPr>
      </w:pPr>
      <w:r>
        <w:rPr>
          <w:rFonts w:cs="Arial"/>
        </w:rPr>
        <w:t>It should be recognised that Twitch has not removed, or committed to remove, all gambling content</w:t>
      </w:r>
      <w:r w:rsidR="00A91B28">
        <w:rPr>
          <w:rFonts w:cs="Arial"/>
        </w:rPr>
        <w:t xml:space="preserve"> – o</w:t>
      </w:r>
      <w:r>
        <w:rPr>
          <w:rFonts w:cs="Arial"/>
        </w:rPr>
        <w:t xml:space="preserve">nly links and referral codes. </w:t>
      </w:r>
    </w:p>
    <w:p w14:paraId="139F3C67" w14:textId="75607BCA" w:rsidR="00F2541B" w:rsidRPr="007A6887" w:rsidRDefault="008F7CE6" w:rsidP="00F2541B">
      <w:pPr>
        <w:rPr>
          <w:rFonts w:cs="Arial"/>
        </w:rPr>
      </w:pPr>
      <w:r>
        <w:rPr>
          <w:rFonts w:cs="Arial"/>
        </w:rPr>
        <w:t>A person</w:t>
      </w:r>
      <w:r w:rsidR="009C45C4">
        <w:rPr>
          <w:rFonts w:cs="Arial"/>
        </w:rPr>
        <w:t xml:space="preserve"> that</w:t>
      </w:r>
      <w:r w:rsidRPr="008F7CE6">
        <w:rPr>
          <w:rFonts w:cs="Arial"/>
        </w:rPr>
        <w:t xml:space="preserve"> live streams themselves playing video games </w:t>
      </w:r>
      <w:r w:rsidR="00D811F7">
        <w:rPr>
          <w:rFonts w:cs="Arial"/>
        </w:rPr>
        <w:t>as a</w:t>
      </w:r>
      <w:r w:rsidRPr="008F7CE6">
        <w:rPr>
          <w:rFonts w:cs="Arial"/>
        </w:rPr>
        <w:t xml:space="preserve"> hobby or </w:t>
      </w:r>
      <w:r w:rsidR="00D811F7">
        <w:rPr>
          <w:rFonts w:cs="Arial"/>
        </w:rPr>
        <w:t xml:space="preserve">a </w:t>
      </w:r>
      <w:r w:rsidRPr="008F7CE6">
        <w:rPr>
          <w:rFonts w:cs="Arial"/>
        </w:rPr>
        <w:t>profession</w:t>
      </w:r>
      <w:r w:rsidR="009C45C4">
        <w:rPr>
          <w:rFonts w:cs="Arial"/>
        </w:rPr>
        <w:t xml:space="preserve"> is</w:t>
      </w:r>
      <w:r w:rsidR="00EF6457">
        <w:rPr>
          <w:rFonts w:cs="Arial"/>
        </w:rPr>
        <w:t xml:space="preserve"> know</w:t>
      </w:r>
      <w:r w:rsidR="00D811F7">
        <w:rPr>
          <w:rFonts w:cs="Arial"/>
        </w:rPr>
        <w:t>n</w:t>
      </w:r>
      <w:r w:rsidR="00EF6457">
        <w:rPr>
          <w:rFonts w:cs="Arial"/>
        </w:rPr>
        <w:t xml:space="preserve"> as a streamer. </w:t>
      </w:r>
      <w:r w:rsidR="00F2541B">
        <w:rPr>
          <w:rFonts w:cs="Arial"/>
        </w:rPr>
        <w:t xml:space="preserve">The </w:t>
      </w:r>
      <w:r w:rsidR="00F2541B" w:rsidRPr="007A6887">
        <w:rPr>
          <w:rFonts w:cs="Arial"/>
        </w:rPr>
        <w:t xml:space="preserve">top affiliate streamers reportedly </w:t>
      </w:r>
      <w:r w:rsidR="00F2541B">
        <w:rPr>
          <w:rFonts w:cs="Arial"/>
        </w:rPr>
        <w:t>make more than</w:t>
      </w:r>
      <w:r w:rsidR="00F2541B" w:rsidRPr="007A6887">
        <w:rPr>
          <w:rFonts w:cs="Arial"/>
        </w:rPr>
        <w:t xml:space="preserve"> US$1</w:t>
      </w:r>
      <w:r w:rsidR="00D811F7">
        <w:rPr>
          <w:rFonts w:cs="Arial"/>
        </w:rPr>
        <w:t> </w:t>
      </w:r>
      <w:r w:rsidR="00F2541B" w:rsidRPr="007A6887">
        <w:rPr>
          <w:rFonts w:cs="Arial"/>
        </w:rPr>
        <w:t>million a month on the platform from certain operators.</w:t>
      </w:r>
      <w:r w:rsidR="00F2541B">
        <w:rPr>
          <w:rFonts w:cs="Arial"/>
        </w:rPr>
        <w:t xml:space="preserve"> Some affiliate promoters have argued that the announcement by Twitch puts an end to affiliate marketing on its platform.</w:t>
      </w:r>
      <w:r w:rsidR="00F2541B">
        <w:rPr>
          <w:rStyle w:val="FootnoteReference"/>
          <w:rFonts w:cs="Arial"/>
        </w:rPr>
        <w:footnoteReference w:id="49"/>
      </w:r>
    </w:p>
    <w:p w14:paraId="5EDD0718" w14:textId="16C4FE66" w:rsidR="00F2541B" w:rsidRPr="007A6887" w:rsidRDefault="00F2541B" w:rsidP="00F2541B">
      <w:pPr>
        <w:rPr>
          <w:rFonts w:cs="Arial"/>
        </w:rPr>
      </w:pPr>
      <w:r>
        <w:rPr>
          <w:rFonts w:cs="Arial"/>
        </w:rPr>
        <w:t>It has</w:t>
      </w:r>
      <w:r w:rsidR="00B14559">
        <w:rPr>
          <w:rFonts w:cs="Arial"/>
        </w:rPr>
        <w:t>,</w:t>
      </w:r>
      <w:r>
        <w:rPr>
          <w:rFonts w:cs="Arial"/>
        </w:rPr>
        <w:t xml:space="preserve"> however</w:t>
      </w:r>
      <w:r w:rsidR="00B14559">
        <w:rPr>
          <w:rFonts w:cs="Arial"/>
        </w:rPr>
        <w:t>,</w:t>
      </w:r>
      <w:r>
        <w:rPr>
          <w:rFonts w:cs="Arial"/>
        </w:rPr>
        <w:t xml:space="preserve"> been reported that the real target of this intervention by</w:t>
      </w:r>
      <w:r w:rsidRPr="007A6887">
        <w:rPr>
          <w:rFonts w:cs="Arial"/>
        </w:rPr>
        <w:t xml:space="preserve"> Twitch are </w:t>
      </w:r>
      <w:r>
        <w:rPr>
          <w:rFonts w:cs="Arial"/>
        </w:rPr>
        <w:t>primarily</w:t>
      </w:r>
      <w:r w:rsidRPr="007A6887">
        <w:rPr>
          <w:rFonts w:cs="Arial"/>
        </w:rPr>
        <w:t xml:space="preserve"> gambling sites</w:t>
      </w:r>
      <w:r w:rsidR="00CC36FF">
        <w:rPr>
          <w:rFonts w:cs="Arial"/>
        </w:rPr>
        <w:t xml:space="preserve"> using c</w:t>
      </w:r>
      <w:r w:rsidR="00C63B16">
        <w:rPr>
          <w:rFonts w:cs="Arial"/>
        </w:rPr>
        <w:t>ryptocurrencies</w:t>
      </w:r>
      <w:r w:rsidRPr="007A6887">
        <w:rPr>
          <w:rFonts w:cs="Arial"/>
        </w:rPr>
        <w:t xml:space="preserve">. </w:t>
      </w:r>
      <w:r>
        <w:rPr>
          <w:rFonts w:cs="Arial"/>
        </w:rPr>
        <w:t xml:space="preserve">A </w:t>
      </w:r>
      <w:r w:rsidR="000935AA">
        <w:rPr>
          <w:rFonts w:cs="Arial"/>
        </w:rPr>
        <w:t>Wired</w:t>
      </w:r>
      <w:r w:rsidR="000935AA" w:rsidRPr="00A86A88">
        <w:rPr>
          <w:rFonts w:cs="Arial"/>
        </w:rPr>
        <w:t xml:space="preserve"> </w:t>
      </w:r>
      <w:r w:rsidRPr="00A86A88">
        <w:rPr>
          <w:rFonts w:cs="Arial"/>
        </w:rPr>
        <w:t>review</w:t>
      </w:r>
      <w:r>
        <w:rPr>
          <w:rFonts w:cs="Arial"/>
        </w:rPr>
        <w:t xml:space="preserve"> recently</w:t>
      </w:r>
      <w:r w:rsidRPr="00A86A88">
        <w:rPr>
          <w:rFonts w:cs="Arial"/>
        </w:rPr>
        <w:t xml:space="preserve"> </w:t>
      </w:r>
      <w:r>
        <w:rPr>
          <w:rFonts w:cs="Arial"/>
        </w:rPr>
        <w:t>stated</w:t>
      </w:r>
      <w:r w:rsidRPr="00A86A88">
        <w:rPr>
          <w:rFonts w:cs="Arial"/>
        </w:rPr>
        <w:t xml:space="preserve"> that 64 of the top 1,000 most-trafficked Twitch streamers have streamed </w:t>
      </w:r>
      <w:r w:rsidR="00FA278F">
        <w:rPr>
          <w:rFonts w:cs="Arial"/>
        </w:rPr>
        <w:t>gambling products</w:t>
      </w:r>
      <w:r w:rsidRPr="00A86A88">
        <w:rPr>
          <w:rFonts w:cs="Arial"/>
        </w:rPr>
        <w:t xml:space="preserve"> or advertised sponsorship deals from gambling websites</w:t>
      </w:r>
      <w:r w:rsidR="00FA278F">
        <w:rPr>
          <w:rFonts w:cs="Arial"/>
        </w:rPr>
        <w:t xml:space="preserve"> using cryptocurrencies</w:t>
      </w:r>
      <w:r>
        <w:rPr>
          <w:rFonts w:cs="Arial"/>
        </w:rPr>
        <w:t xml:space="preserve">, with the trend increasing in </w:t>
      </w:r>
      <w:r w:rsidRPr="00A86A88">
        <w:rPr>
          <w:rFonts w:cs="Arial"/>
        </w:rPr>
        <w:t>April and May 2021.</w:t>
      </w:r>
      <w:r>
        <w:rPr>
          <w:rStyle w:val="FootnoteReference"/>
          <w:rFonts w:cs="Arial"/>
        </w:rPr>
        <w:footnoteReference w:id="50"/>
      </w:r>
      <w:r w:rsidRPr="00A86A88">
        <w:rPr>
          <w:rFonts w:cs="Arial"/>
        </w:rPr>
        <w:t xml:space="preserve"> </w:t>
      </w:r>
      <w:r>
        <w:rPr>
          <w:rFonts w:cs="Arial"/>
        </w:rPr>
        <w:t xml:space="preserve">These </w:t>
      </w:r>
      <w:r w:rsidRPr="007A6887">
        <w:rPr>
          <w:rFonts w:cs="Arial"/>
        </w:rPr>
        <w:t xml:space="preserve">US-based streamers </w:t>
      </w:r>
      <w:r>
        <w:rPr>
          <w:rFonts w:cs="Arial"/>
        </w:rPr>
        <w:t xml:space="preserve">were said to be </w:t>
      </w:r>
      <w:r w:rsidRPr="007A6887">
        <w:rPr>
          <w:rFonts w:cs="Arial"/>
        </w:rPr>
        <w:t xml:space="preserve">using VPNs to access gambling casinos </w:t>
      </w:r>
      <w:r w:rsidR="00E712CD">
        <w:rPr>
          <w:rFonts w:cs="Arial"/>
        </w:rPr>
        <w:t>using cryptocurrencies</w:t>
      </w:r>
      <w:r w:rsidR="00E712CD" w:rsidRPr="007A6887">
        <w:rPr>
          <w:rFonts w:cs="Arial"/>
        </w:rPr>
        <w:t xml:space="preserve"> </w:t>
      </w:r>
      <w:r w:rsidRPr="007A6887">
        <w:rPr>
          <w:rFonts w:cs="Arial"/>
        </w:rPr>
        <w:t xml:space="preserve">that were </w:t>
      </w:r>
      <w:r w:rsidR="00E712CD">
        <w:rPr>
          <w:rFonts w:cs="Arial"/>
        </w:rPr>
        <w:t>il</w:t>
      </w:r>
      <w:r>
        <w:rPr>
          <w:rFonts w:cs="Arial"/>
        </w:rPr>
        <w:t>legal in the US.</w:t>
      </w:r>
    </w:p>
    <w:p w14:paraId="60660F17" w14:textId="07734C4A" w:rsidR="00F2541B" w:rsidRDefault="00F2541B" w:rsidP="00F2541B">
      <w:pPr>
        <w:rPr>
          <w:rFonts w:cs="Arial"/>
        </w:rPr>
      </w:pPr>
      <w:r>
        <w:rPr>
          <w:rFonts w:cs="Arial"/>
        </w:rPr>
        <w:t>Twitch prohibitions do not extend to poker</w:t>
      </w:r>
      <w:r w:rsidR="00B124BF">
        <w:rPr>
          <w:rFonts w:cs="Arial"/>
        </w:rPr>
        <w:t>.</w:t>
      </w:r>
      <w:r>
        <w:rPr>
          <w:rFonts w:cs="Arial"/>
        </w:rPr>
        <w:t xml:space="preserve"> </w:t>
      </w:r>
      <w:r w:rsidR="00B124BF">
        <w:rPr>
          <w:rFonts w:cs="Arial"/>
        </w:rPr>
        <w:t>A</w:t>
      </w:r>
      <w:r>
        <w:rPr>
          <w:rFonts w:cs="Arial"/>
        </w:rPr>
        <w:t>s of October 2021</w:t>
      </w:r>
      <w:r w:rsidR="00B124BF">
        <w:rPr>
          <w:rFonts w:cs="Arial"/>
        </w:rPr>
        <w:t>,</w:t>
      </w:r>
      <w:r>
        <w:rPr>
          <w:rFonts w:cs="Arial"/>
        </w:rPr>
        <w:t xml:space="preserve"> gambling streamers still appeared to be operating and reaching Australian audiences.</w:t>
      </w:r>
      <w:r>
        <w:rPr>
          <w:rStyle w:val="FootnoteReference"/>
          <w:rFonts w:cs="Arial"/>
        </w:rPr>
        <w:footnoteReference w:id="51"/>
      </w:r>
      <w:r>
        <w:rPr>
          <w:rFonts w:cs="Arial"/>
        </w:rPr>
        <w:t xml:space="preserve"> </w:t>
      </w:r>
    </w:p>
    <w:p w14:paraId="240F9F5B" w14:textId="53913CBE" w:rsidR="00F2541B" w:rsidRPr="000935AA" w:rsidRDefault="00F2541B" w:rsidP="00381D01">
      <w:pPr>
        <w:pStyle w:val="Heading4"/>
        <w:spacing w:line="360" w:lineRule="auto"/>
      </w:pPr>
      <w:r w:rsidRPr="000935AA">
        <w:t>Time2play</w:t>
      </w:r>
    </w:p>
    <w:p w14:paraId="58C0F00C" w14:textId="0C855CED" w:rsidR="00F2541B" w:rsidRPr="000935AA" w:rsidRDefault="00F2541B" w:rsidP="00052AC9">
      <w:pPr>
        <w:rPr>
          <w:rFonts w:cs="Arial"/>
        </w:rPr>
      </w:pPr>
      <w:r w:rsidRPr="000935AA">
        <w:rPr>
          <w:rFonts w:cs="Arial"/>
        </w:rPr>
        <w:t>In September 2021</w:t>
      </w:r>
      <w:r w:rsidR="00B124BF" w:rsidRPr="000935AA">
        <w:rPr>
          <w:rFonts w:cs="Arial"/>
        </w:rPr>
        <w:t>,</w:t>
      </w:r>
      <w:r w:rsidRPr="000935AA">
        <w:rPr>
          <w:rFonts w:cs="Arial"/>
        </w:rPr>
        <w:t xml:space="preserve"> the newly established Time2play, a review site for online gaming, announced it would extend its offer to provide a dedicated platform where streamers can connect with adults seeking information about online casinos and their game libraries. KaFe Rocks, the owner of Time2play, is a global remote-working iGaming affiliate.</w:t>
      </w:r>
      <w:r w:rsidRPr="000935AA">
        <w:rPr>
          <w:rStyle w:val="FootnoteReference"/>
          <w:rFonts w:cs="Arial"/>
        </w:rPr>
        <w:footnoteReference w:id="52"/>
      </w:r>
    </w:p>
    <w:p w14:paraId="7CC5F2BE" w14:textId="5DC59EA6" w:rsidR="00F2541B" w:rsidRPr="006F2964" w:rsidRDefault="000935AA" w:rsidP="00F2541B">
      <w:pPr>
        <w:rPr>
          <w:rFonts w:cs="Arial"/>
        </w:rPr>
      </w:pPr>
      <w:bookmarkStart w:id="17" w:name="_Hlk88467942"/>
      <w:r>
        <w:rPr>
          <w:rFonts w:cs="Arial"/>
        </w:rPr>
        <w:t>T</w:t>
      </w:r>
      <w:r w:rsidR="00F2541B" w:rsidRPr="000935AA">
        <w:rPr>
          <w:rFonts w:cs="Arial"/>
        </w:rPr>
        <w:t xml:space="preserve">he chairman of Time2play reportedly said Time2play would address the concerns raised </w:t>
      </w:r>
      <w:r w:rsidR="00AE5674" w:rsidRPr="000935AA">
        <w:rPr>
          <w:rFonts w:cs="Arial"/>
        </w:rPr>
        <w:t xml:space="preserve">by </w:t>
      </w:r>
      <w:r w:rsidR="00F2541B" w:rsidRPr="000935AA">
        <w:rPr>
          <w:rFonts w:cs="Arial"/>
        </w:rPr>
        <w:t xml:space="preserve">Twitch, ensuring that only adults engage with the service, and increasing transparency, </w:t>
      </w:r>
      <w:r w:rsidR="003346D2">
        <w:rPr>
          <w:rFonts w:cs="Arial"/>
        </w:rPr>
        <w:t xml:space="preserve">so that </w:t>
      </w:r>
      <w:r w:rsidR="00F2541B" w:rsidRPr="000935AA">
        <w:rPr>
          <w:rFonts w:cs="Arial"/>
        </w:rPr>
        <w:t xml:space="preserve">streamers </w:t>
      </w:r>
      <w:r w:rsidR="003346D2">
        <w:rPr>
          <w:rFonts w:cs="Arial"/>
        </w:rPr>
        <w:t xml:space="preserve">are </w:t>
      </w:r>
      <w:r w:rsidR="00F2541B" w:rsidRPr="000935AA">
        <w:rPr>
          <w:rFonts w:cs="Arial"/>
        </w:rPr>
        <w:t>required to show how they are funded.</w:t>
      </w:r>
      <w:bookmarkEnd w:id="17"/>
      <w:r w:rsidR="00F2541B" w:rsidRPr="000935AA">
        <w:rPr>
          <w:rFonts w:cs="Arial"/>
        </w:rPr>
        <w:t xml:space="preserve"> Streamers will also be required to sign and adhere to a code of conduct. When it comes to enforcement, it will be up to users to flag content that they think is directly violating the code.</w:t>
      </w:r>
      <w:r w:rsidR="00F2541B" w:rsidRPr="000935AA">
        <w:rPr>
          <w:rStyle w:val="FootnoteReference"/>
          <w:rFonts w:cs="Arial"/>
        </w:rPr>
        <w:footnoteReference w:id="53"/>
      </w:r>
    </w:p>
    <w:p w14:paraId="0C19A099" w14:textId="08005791" w:rsidR="00AE375A" w:rsidRDefault="00AE375A" w:rsidP="008D09E5">
      <w:pPr>
        <w:pStyle w:val="Heading1"/>
      </w:pPr>
      <w:bookmarkStart w:id="18" w:name="_Toc88480174"/>
      <w:r>
        <w:lastRenderedPageBreak/>
        <w:t>Recent literature reviews</w:t>
      </w:r>
      <w:bookmarkEnd w:id="18"/>
    </w:p>
    <w:p w14:paraId="4E32B2AC" w14:textId="01642565" w:rsidR="00AE375A" w:rsidRDefault="00AE375A" w:rsidP="00AE375A">
      <w:pPr>
        <w:pStyle w:val="Paragraph"/>
      </w:pPr>
      <w:r>
        <w:t xml:space="preserve">There </w:t>
      </w:r>
      <w:r w:rsidRPr="00EB4F89">
        <w:t xml:space="preserve">is limited research </w:t>
      </w:r>
      <w:r w:rsidR="00D049DD">
        <w:t>looking at</w:t>
      </w:r>
      <w:r w:rsidR="00D049DD" w:rsidRPr="00EB4F89">
        <w:t xml:space="preserve"> </w:t>
      </w:r>
      <w:r w:rsidRPr="00EB4F89">
        <w:t>the content, delivery</w:t>
      </w:r>
      <w:r>
        <w:t xml:space="preserve">, structural </w:t>
      </w:r>
      <w:r w:rsidRPr="00EB4F89">
        <w:t xml:space="preserve">features </w:t>
      </w:r>
      <w:r>
        <w:t xml:space="preserve">and effectiveness of affiliate marketing in the gambling sector. Even less when it comes to how affiliates are being used by Australian residents to access off-shore casino-style online gambling sites. </w:t>
      </w:r>
    </w:p>
    <w:p w14:paraId="09FD46F5" w14:textId="35973B32" w:rsidR="00AE375A" w:rsidRDefault="00AE375A" w:rsidP="0025643B">
      <w:pPr>
        <w:pStyle w:val="Paragraphbeforelist"/>
      </w:pPr>
      <w:r>
        <w:t>In 2020</w:t>
      </w:r>
      <w:r w:rsidR="000E28D2">
        <w:t>,</w:t>
      </w:r>
      <w:r>
        <w:t xml:space="preserve"> </w:t>
      </w:r>
      <w:r w:rsidR="00B642BC">
        <w:t xml:space="preserve">a literature review and gap analysis published in the </w:t>
      </w:r>
      <w:r w:rsidRPr="009347F6">
        <w:rPr>
          <w:i/>
          <w:iCs/>
        </w:rPr>
        <w:t>International Journal of Environmental Research and Public Health</w:t>
      </w:r>
      <w:r>
        <w:t xml:space="preserve"> </w:t>
      </w:r>
      <w:r w:rsidR="005D564A">
        <w:t xml:space="preserve">examined </w:t>
      </w:r>
      <w:r>
        <w:t>emerging technologies and new trends in gambling between 2015 and 2020.</w:t>
      </w:r>
      <w:r>
        <w:rPr>
          <w:rStyle w:val="FootnoteReference"/>
        </w:rPr>
        <w:footnoteReference w:id="54"/>
      </w:r>
      <w:r>
        <w:t xml:space="preserve"> This review </w:t>
      </w:r>
      <w:r w:rsidR="00A7178B">
        <w:t>identifie</w:t>
      </w:r>
      <w:r w:rsidR="000935AA">
        <w:t>d</w:t>
      </w:r>
      <w:r w:rsidR="0037063F">
        <w:t>:</w:t>
      </w:r>
    </w:p>
    <w:p w14:paraId="5497C9A5" w14:textId="143EF402" w:rsidR="00AE375A" w:rsidRDefault="003D3E3C" w:rsidP="0025643B">
      <w:pPr>
        <w:pStyle w:val="Bulletlevel1"/>
      </w:pPr>
      <w:r>
        <w:t>o</w:t>
      </w:r>
      <w:r w:rsidR="00AE375A">
        <w:t xml:space="preserve">f the 116 peer-reviewed articles identified, the majority addressed internet gambling, with </w:t>
      </w:r>
      <w:r w:rsidR="00346EAC">
        <w:t>11</w:t>
      </w:r>
      <w:r w:rsidR="00AE375A">
        <w:t xml:space="preserve"> examining new technologies and trends in advertising and inducements. The gap analysis revealed </w:t>
      </w:r>
      <w:r w:rsidR="00346EAC">
        <w:t>5</w:t>
      </w:r>
      <w:r w:rsidR="00AE375A">
        <w:t xml:space="preserve"> priority areas</w:t>
      </w:r>
      <w:r w:rsidR="00FB1373">
        <w:t xml:space="preserve"> for further research</w:t>
      </w:r>
      <w:r w:rsidR="00AE375A">
        <w:t>: internet gambling</w:t>
      </w:r>
      <w:r w:rsidR="00433930">
        <w:t>,</w:t>
      </w:r>
      <w:r w:rsidR="00AE375A">
        <w:t xml:space="preserve"> video gaming and gambling</w:t>
      </w:r>
      <w:r w:rsidR="00433930">
        <w:t>,</w:t>
      </w:r>
      <w:r w:rsidR="00AE375A">
        <w:t xml:space="preserve"> electronic gaming machines</w:t>
      </w:r>
      <w:r w:rsidR="00433930">
        <w:t>,</w:t>
      </w:r>
      <w:r w:rsidR="00AE375A">
        <w:t xml:space="preserve"> advertising and inducements</w:t>
      </w:r>
      <w:r w:rsidR="00433930">
        <w:t>,</w:t>
      </w:r>
      <w:r w:rsidR="00AE375A">
        <w:t xml:space="preserve"> and expansion of the sports betting market.</w:t>
      </w:r>
    </w:p>
    <w:p w14:paraId="350232CA" w14:textId="257A51EF" w:rsidR="000E09CA" w:rsidRDefault="003D3E3C" w:rsidP="0025643B">
      <w:pPr>
        <w:pStyle w:val="Bulletlevel1"/>
      </w:pPr>
      <w:r>
        <w:t>t</w:t>
      </w:r>
      <w:r w:rsidR="00AE375A">
        <w:t xml:space="preserve">here was some discrepancy in the research as to whether online gambling was inherently more harmful </w:t>
      </w:r>
      <w:r w:rsidR="003D21EF">
        <w:t xml:space="preserve">than </w:t>
      </w:r>
      <w:r w:rsidR="00AE375A">
        <w:t>land</w:t>
      </w:r>
      <w:r w:rsidR="00433930">
        <w:t>-</w:t>
      </w:r>
      <w:r w:rsidR="00AE375A">
        <w:t>based</w:t>
      </w:r>
      <w:r w:rsidR="54E2A708">
        <w:t xml:space="preserve"> gambling</w:t>
      </w:r>
      <w:r w:rsidR="00AE375A">
        <w:t xml:space="preserve">. Ultimately the findings suggest that online gambling is not more problematic, but that different forms of gambling impact individual gamblers in different ways. </w:t>
      </w:r>
    </w:p>
    <w:p w14:paraId="5E1F91F6" w14:textId="32DEA25B" w:rsidR="00AE375A" w:rsidRDefault="003D3E3C" w:rsidP="0025643B">
      <w:pPr>
        <w:pStyle w:val="Bulletlevel1last"/>
      </w:pPr>
      <w:r>
        <w:t>t</w:t>
      </w:r>
      <w:r w:rsidR="00AE375A">
        <w:t xml:space="preserve">he main areas identified </w:t>
      </w:r>
      <w:r w:rsidR="000E09CA">
        <w:t xml:space="preserve">as gaps in the research </w:t>
      </w:r>
      <w:r w:rsidR="00AE375A">
        <w:t>related to knowledge about emerging digital technologies and new trends in gambling</w:t>
      </w:r>
      <w:r w:rsidR="00900DE5">
        <w:t>,</w:t>
      </w:r>
      <w:r w:rsidR="00AE375A">
        <w:t xml:space="preserve"> the ‘hidden’ nature of risk and harm, and challenges in monitoring online gambling.</w:t>
      </w:r>
      <w:r w:rsidR="00AE375A">
        <w:rPr>
          <w:rStyle w:val="FootnoteReference"/>
        </w:rPr>
        <w:footnoteReference w:id="55"/>
      </w:r>
      <w:r w:rsidR="00AE375A">
        <w:t xml:space="preserve"> </w:t>
      </w:r>
    </w:p>
    <w:p w14:paraId="7C2F6E18" w14:textId="279E83F3" w:rsidR="00AE375A" w:rsidRDefault="00900DE5" w:rsidP="00AE375A">
      <w:pPr>
        <w:pStyle w:val="Paragraph"/>
      </w:pPr>
      <w:r>
        <w:t>For</w:t>
      </w:r>
      <w:r w:rsidR="00AE375A">
        <w:t xml:space="preserve"> online advertising and inducements in which affiliate programs are presumed to sit</w:t>
      </w:r>
      <w:r>
        <w:t>,</w:t>
      </w:r>
      <w:r w:rsidR="00AE375A">
        <w:t xml:space="preserve"> the research revealed more robust research is needed to determine how these promotional strategies are influencing rates of gambling and problem gambling.</w:t>
      </w:r>
      <w:r w:rsidR="00B40630">
        <w:rPr>
          <w:rStyle w:val="FootnoteReference"/>
        </w:rPr>
        <w:footnoteReference w:id="56"/>
      </w:r>
    </w:p>
    <w:p w14:paraId="385B499D" w14:textId="60DA6BE7" w:rsidR="0040061C" w:rsidRDefault="00E62884" w:rsidP="0025643B">
      <w:pPr>
        <w:pStyle w:val="Paragraphbeforelist"/>
      </w:pPr>
      <w:r>
        <w:t>I</w:t>
      </w:r>
      <w:r w:rsidR="00A840BF">
        <w:t>n 2021</w:t>
      </w:r>
      <w:r w:rsidR="00900DE5">
        <w:t>,</w:t>
      </w:r>
      <w:r w:rsidR="00A840BF">
        <w:t xml:space="preserve"> a</w:t>
      </w:r>
      <w:r w:rsidR="00AE375A">
        <w:t xml:space="preserve"> rapid research review was </w:t>
      </w:r>
      <w:r w:rsidR="005D2D1E">
        <w:t>published by</w:t>
      </w:r>
      <w:r w:rsidR="008B2BF9">
        <w:t xml:space="preserve"> </w:t>
      </w:r>
      <w:r w:rsidR="00557C88">
        <w:t xml:space="preserve">BMC </w:t>
      </w:r>
      <w:r w:rsidR="00537819">
        <w:t>P</w:t>
      </w:r>
      <w:r w:rsidR="00557C88">
        <w:t xml:space="preserve">ublic </w:t>
      </w:r>
      <w:r w:rsidR="00537819">
        <w:t>H</w:t>
      </w:r>
      <w:r w:rsidR="00557C88">
        <w:t>ealth</w:t>
      </w:r>
      <w:r w:rsidR="005D2D1E">
        <w:t>,</w:t>
      </w:r>
      <w:r w:rsidR="00557C88">
        <w:t xml:space="preserve"> examining 25</w:t>
      </w:r>
      <w:r w:rsidR="00FE1E4F">
        <w:t> </w:t>
      </w:r>
      <w:r w:rsidR="00537819">
        <w:t>studies</w:t>
      </w:r>
      <w:r w:rsidR="004B37E0">
        <w:t xml:space="preserve">, the majority </w:t>
      </w:r>
      <w:r w:rsidR="00D545AD">
        <w:t xml:space="preserve">of which </w:t>
      </w:r>
      <w:r w:rsidR="004B37E0">
        <w:t>were conducted either in Australia or the UK</w:t>
      </w:r>
      <w:r w:rsidR="00EB4D7C">
        <w:t>.</w:t>
      </w:r>
      <w:r w:rsidR="00433930">
        <w:t xml:space="preserve"> It </w:t>
      </w:r>
      <w:r w:rsidR="00AE375A">
        <w:t xml:space="preserve">aimed </w:t>
      </w:r>
      <w:r w:rsidR="00433930">
        <w:t xml:space="preserve">to </w:t>
      </w:r>
      <w:r w:rsidR="00433930" w:rsidRPr="00041D45">
        <w:t>improv</w:t>
      </w:r>
      <w:r w:rsidR="00433930">
        <w:t>e</w:t>
      </w:r>
      <w:r w:rsidR="00433930" w:rsidRPr="00041D45">
        <w:t xml:space="preserve"> </w:t>
      </w:r>
      <w:r w:rsidR="00AE375A" w:rsidRPr="00041D45">
        <w:t>understanding of emergent gambling advertising content, delivery methods and structural features.</w:t>
      </w:r>
      <w:r w:rsidR="00AE375A">
        <w:rPr>
          <w:rStyle w:val="FootnoteReference"/>
        </w:rPr>
        <w:footnoteReference w:id="57"/>
      </w:r>
      <w:r w:rsidR="00AE375A">
        <w:t xml:space="preserve"> </w:t>
      </w:r>
      <w:r w:rsidR="00D36AE5">
        <w:t>T</w:t>
      </w:r>
      <w:r w:rsidR="00AE375A">
        <w:t>h</w:t>
      </w:r>
      <w:r>
        <w:t>is</w:t>
      </w:r>
      <w:r w:rsidR="00AE375A">
        <w:t xml:space="preserve"> review </w:t>
      </w:r>
      <w:r w:rsidR="00EF5CCB">
        <w:t>found</w:t>
      </w:r>
      <w:r w:rsidR="0040061C">
        <w:t>:</w:t>
      </w:r>
    </w:p>
    <w:p w14:paraId="7CDEF533" w14:textId="79AF3345" w:rsidR="00AE375A" w:rsidRDefault="00454214" w:rsidP="0025643B">
      <w:pPr>
        <w:pStyle w:val="Bulletlevel1"/>
      </w:pPr>
      <w:r>
        <w:t>in the UK</w:t>
      </w:r>
      <w:r w:rsidR="00B549B8">
        <w:t xml:space="preserve">, </w:t>
      </w:r>
      <w:r w:rsidR="008F6882">
        <w:t xml:space="preserve">the </w:t>
      </w:r>
      <w:r w:rsidR="00AE375A">
        <w:t>increasingly effective regulation of gambling advertising on traditional platforms (television, radio and billboards),</w:t>
      </w:r>
      <w:r w:rsidR="00AE375A" w:rsidRPr="00C37E3C">
        <w:t xml:space="preserve"> </w:t>
      </w:r>
      <w:r w:rsidR="00D545AD">
        <w:t xml:space="preserve">meant that </w:t>
      </w:r>
      <w:r w:rsidR="00AE375A">
        <w:t>such</w:t>
      </w:r>
      <w:r w:rsidR="00AE375A" w:rsidRPr="001351D7">
        <w:t xml:space="preserve"> advertising </w:t>
      </w:r>
      <w:r w:rsidR="00D545AD">
        <w:t xml:space="preserve">was </w:t>
      </w:r>
      <w:r w:rsidR="00AE375A">
        <w:t>moving to</w:t>
      </w:r>
      <w:r w:rsidR="00AE375A" w:rsidRPr="001351D7">
        <w:t xml:space="preserve"> social media platforms.</w:t>
      </w:r>
      <w:r w:rsidR="00AE375A">
        <w:rPr>
          <w:rStyle w:val="FootnoteReference"/>
        </w:rPr>
        <w:footnoteReference w:id="58"/>
      </w:r>
      <w:r w:rsidR="00AE375A">
        <w:t xml:space="preserve"> </w:t>
      </w:r>
      <w:r w:rsidR="00AE375A">
        <w:rPr>
          <w:rStyle w:val="FootnoteReference"/>
        </w:rPr>
        <w:footnoteReference w:id="59"/>
      </w:r>
      <w:r w:rsidR="00AE375A">
        <w:t xml:space="preserve"> Importantly,</w:t>
      </w:r>
      <w:r>
        <w:t xml:space="preserve"> in both Australia and the UK, the</w:t>
      </w:r>
      <w:r w:rsidR="00AE375A">
        <w:t xml:space="preserve"> regulation of advertising on social media platforms was predicted to</w:t>
      </w:r>
      <w:r w:rsidR="00AE375A" w:rsidRPr="00134B74">
        <w:t xml:space="preserve"> prove difficult</w:t>
      </w:r>
      <w:r w:rsidR="00AE375A">
        <w:t>,</w:t>
      </w:r>
      <w:r w:rsidR="00AE375A" w:rsidRPr="00134B74">
        <w:t xml:space="preserve"> given the direct and indirect promotion of gambling within these online spaces.</w:t>
      </w:r>
      <w:r w:rsidR="00F06925">
        <w:rPr>
          <w:rStyle w:val="FootnoteReference"/>
        </w:rPr>
        <w:footnoteReference w:id="60"/>
      </w:r>
    </w:p>
    <w:p w14:paraId="1071B325" w14:textId="388D1D34" w:rsidR="00AE375A" w:rsidRDefault="0040061C" w:rsidP="0025643B">
      <w:pPr>
        <w:pStyle w:val="Bulletlevel1"/>
      </w:pPr>
      <w:r>
        <w:t xml:space="preserve">in terms of </w:t>
      </w:r>
      <w:r w:rsidR="00AE375A">
        <w:t xml:space="preserve">affiliate marketing, it was noted that the </w:t>
      </w:r>
      <w:r w:rsidR="00AE375A" w:rsidRPr="00134B74">
        <w:t>transparency, sincerity and true benefit to consumers</w:t>
      </w:r>
      <w:r w:rsidR="00AE375A">
        <w:t xml:space="preserve"> has recently come into question</w:t>
      </w:r>
      <w:r w:rsidR="00AE375A">
        <w:rPr>
          <w:rStyle w:val="FootnoteReference"/>
        </w:rPr>
        <w:footnoteReference w:id="61"/>
      </w:r>
      <w:r w:rsidR="00AE375A">
        <w:t xml:space="preserve">, and there was concern </w:t>
      </w:r>
      <w:r w:rsidR="00AE375A">
        <w:lastRenderedPageBreak/>
        <w:t>that</w:t>
      </w:r>
      <w:r w:rsidR="00F06925">
        <w:t>,</w:t>
      </w:r>
      <w:r w:rsidR="00AE375A">
        <w:t xml:space="preserve"> </w:t>
      </w:r>
      <w:r w:rsidR="008F6882">
        <w:t>‘</w:t>
      </w:r>
      <w:r w:rsidR="00AE375A" w:rsidRPr="00134B74">
        <w:t>affiliate marketing may also operate as a buffer that shifts or obscures the social responsibility of the gambling industry</w:t>
      </w:r>
      <w:r w:rsidR="008F6882">
        <w:t>’</w:t>
      </w:r>
      <w:r w:rsidR="00AE375A" w:rsidRPr="00134B74">
        <w:t>.</w:t>
      </w:r>
      <w:r w:rsidR="00AE375A">
        <w:rPr>
          <w:rStyle w:val="FootnoteReference"/>
        </w:rPr>
        <w:footnoteReference w:id="62"/>
      </w:r>
      <w:r w:rsidR="00AE375A">
        <w:t xml:space="preserve"> </w:t>
      </w:r>
    </w:p>
    <w:p w14:paraId="7181D24D" w14:textId="1B89C751" w:rsidR="00B51005" w:rsidRPr="009A057A" w:rsidRDefault="00B51005" w:rsidP="001620FC">
      <w:pPr>
        <w:pStyle w:val="Heading2"/>
      </w:pPr>
      <w:bookmarkStart w:id="19" w:name="_Toc88480175"/>
      <w:r w:rsidRPr="009A057A">
        <w:t>Use of affiliate marketing in social media</w:t>
      </w:r>
      <w:bookmarkEnd w:id="19"/>
    </w:p>
    <w:p w14:paraId="575CADF4" w14:textId="18A61BAD" w:rsidR="00787BA6" w:rsidRDefault="00AE375A" w:rsidP="0025643B">
      <w:pPr>
        <w:pStyle w:val="Paragraphbeforelist"/>
      </w:pPr>
      <w:r w:rsidRPr="00324191">
        <w:t xml:space="preserve">Three studies </w:t>
      </w:r>
      <w:r w:rsidR="008F6882">
        <w:t xml:space="preserve">conducted between 2019 and 2021 </w:t>
      </w:r>
      <w:r w:rsidRPr="00324191">
        <w:t xml:space="preserve">focused </w:t>
      </w:r>
      <w:r>
        <w:t>on</w:t>
      </w:r>
      <w:r w:rsidRPr="00324191">
        <w:t xml:space="preserve"> the marketing activity and delivery methods of gambling operators and affiliates on Twitter</w:t>
      </w:r>
      <w:r w:rsidR="00F57793">
        <w:t>. These</w:t>
      </w:r>
      <w:r w:rsidR="00B776C6">
        <w:t xml:space="preserve"> found</w:t>
      </w:r>
      <w:r w:rsidR="00787BA6">
        <w:t>:</w:t>
      </w:r>
    </w:p>
    <w:p w14:paraId="6A4AE3A4" w14:textId="22A52D0F" w:rsidR="00787BA6" w:rsidRDefault="00B776C6" w:rsidP="0025643B">
      <w:pPr>
        <w:pStyle w:val="Bulletlevel1"/>
      </w:pPr>
      <w:r>
        <w:t>a</w:t>
      </w:r>
      <w:r w:rsidRPr="007E4293">
        <w:t>ffiliate marketing</w:t>
      </w:r>
      <w:r>
        <w:t xml:space="preserve"> was a growing form of promotion</w:t>
      </w:r>
      <w:r w:rsidR="00337986">
        <w:rPr>
          <w:rStyle w:val="FootnoteReference"/>
        </w:rPr>
        <w:footnoteReference w:id="63"/>
      </w:r>
      <w:r w:rsidRPr="007E4293">
        <w:t xml:space="preserve"> </w:t>
      </w:r>
    </w:p>
    <w:p w14:paraId="5521BA31" w14:textId="0B123A2E" w:rsidR="004779D0" w:rsidRDefault="005D2D1E" w:rsidP="0025643B">
      <w:pPr>
        <w:pStyle w:val="Bulletlevel1"/>
      </w:pPr>
      <w:r>
        <w:t>a</w:t>
      </w:r>
      <w:r w:rsidRPr="007E4293">
        <w:t>ffiliate marketing</w:t>
      </w:r>
      <w:r w:rsidR="008F6882">
        <w:t xml:space="preserve"> </w:t>
      </w:r>
      <w:r w:rsidR="006473F2">
        <w:t>primarily</w:t>
      </w:r>
      <w:r w:rsidR="00454214">
        <w:t xml:space="preserve"> operates on </w:t>
      </w:r>
      <w:r w:rsidR="00B776C6" w:rsidRPr="007E4293">
        <w:t>social media</w:t>
      </w:r>
      <w:r w:rsidR="00454214">
        <w:t xml:space="preserve"> platforms</w:t>
      </w:r>
      <w:r w:rsidR="00B776C6">
        <w:t>,</w:t>
      </w:r>
      <w:r w:rsidR="00B776C6" w:rsidRPr="007E4293">
        <w:t xml:space="preserve"> </w:t>
      </w:r>
      <w:r w:rsidR="00454214">
        <w:t xml:space="preserve">where </w:t>
      </w:r>
      <w:r w:rsidR="00B776C6">
        <w:t>purportedly</w:t>
      </w:r>
      <w:r w:rsidR="00B776C6" w:rsidRPr="007E4293">
        <w:t xml:space="preserve"> independent ‘influencers’ or ‘tipsters’ </w:t>
      </w:r>
      <w:r w:rsidR="00454214" w:rsidRPr="007E4293">
        <w:t>provid</w:t>
      </w:r>
      <w:r w:rsidR="00454214">
        <w:t>e</w:t>
      </w:r>
      <w:r w:rsidR="00454214" w:rsidRPr="007E4293">
        <w:t xml:space="preserve"> </w:t>
      </w:r>
      <w:r w:rsidR="00B776C6" w:rsidRPr="007E4293">
        <w:t>betting suggestions and recommendations</w:t>
      </w:r>
      <w:r w:rsidR="00AE375A">
        <w:rPr>
          <w:rStyle w:val="FootnoteReference"/>
        </w:rPr>
        <w:footnoteReference w:id="64"/>
      </w:r>
      <w:r w:rsidR="00AE375A">
        <w:t xml:space="preserve"> </w:t>
      </w:r>
    </w:p>
    <w:p w14:paraId="0F3185DF" w14:textId="782EECA6" w:rsidR="00AE375A" w:rsidRDefault="00AE375A" w:rsidP="0025643B">
      <w:pPr>
        <w:pStyle w:val="Bulletlevel1last"/>
      </w:pPr>
      <w:r>
        <w:t>a</w:t>
      </w:r>
      <w:r w:rsidRPr="007E4293">
        <w:t xml:space="preserve">ffiliates </w:t>
      </w:r>
      <w:r>
        <w:t xml:space="preserve">tweet on average </w:t>
      </w:r>
      <w:r w:rsidRPr="007E4293">
        <w:t xml:space="preserve">594 </w:t>
      </w:r>
      <w:r>
        <w:t>times a</w:t>
      </w:r>
      <w:r w:rsidRPr="007E4293">
        <w:t xml:space="preserve"> day.</w:t>
      </w:r>
      <w:r>
        <w:rPr>
          <w:rStyle w:val="FootnoteReference"/>
        </w:rPr>
        <w:footnoteReference w:id="65"/>
      </w:r>
      <w:r w:rsidRPr="007E4293">
        <w:t xml:space="preserve"> </w:t>
      </w:r>
    </w:p>
    <w:p w14:paraId="5BE39A0E" w14:textId="3591040D" w:rsidR="005F151D" w:rsidRDefault="00150D02" w:rsidP="0025643B">
      <w:pPr>
        <w:pStyle w:val="Paragraph"/>
      </w:pPr>
      <w:r w:rsidRPr="00F835AC">
        <w:t>Facebook, YouTube an</w:t>
      </w:r>
      <w:r>
        <w:t>d Twitter</w:t>
      </w:r>
      <w:r w:rsidRPr="00F835AC">
        <w:t xml:space="preserve"> </w:t>
      </w:r>
      <w:r w:rsidR="0085015C">
        <w:t xml:space="preserve">are </w:t>
      </w:r>
      <w:r w:rsidR="006903C0" w:rsidRPr="00F835AC">
        <w:t>used</w:t>
      </w:r>
      <w:r w:rsidR="006903C0">
        <w:t xml:space="preserve"> most frequently</w:t>
      </w:r>
      <w:r w:rsidR="006903C0" w:rsidRPr="00F835AC">
        <w:t xml:space="preserve"> </w:t>
      </w:r>
      <w:r w:rsidR="006903C0">
        <w:t xml:space="preserve">for advertising and promotions </w:t>
      </w:r>
      <w:r w:rsidR="006903C0" w:rsidRPr="00F835AC">
        <w:t xml:space="preserve">by </w:t>
      </w:r>
      <w:r w:rsidR="006903C0">
        <w:t xml:space="preserve">gambling </w:t>
      </w:r>
      <w:r w:rsidR="006903C0" w:rsidRPr="00F835AC">
        <w:t>operators and affiliates</w:t>
      </w:r>
      <w:r w:rsidR="006903C0">
        <w:t>.</w:t>
      </w:r>
      <w:r w:rsidR="006903C0">
        <w:rPr>
          <w:rStyle w:val="FootnoteReference"/>
        </w:rPr>
        <w:footnoteReference w:id="66"/>
      </w:r>
      <w:r w:rsidR="006903C0" w:rsidRPr="00F835AC">
        <w:t xml:space="preserve"> </w:t>
      </w:r>
      <w:r w:rsidR="006903C0">
        <w:t xml:space="preserve">Interviews with Australian </w:t>
      </w:r>
      <w:r w:rsidR="006903C0" w:rsidRPr="00F835AC">
        <w:t xml:space="preserve">gambling industry employees </w:t>
      </w:r>
      <w:r w:rsidR="006903C0">
        <w:t>revealed</w:t>
      </w:r>
      <w:r w:rsidR="006903C0" w:rsidRPr="00F835AC">
        <w:t xml:space="preserve"> that </w:t>
      </w:r>
      <w:r w:rsidR="006903C0">
        <w:t>each was used for specific</w:t>
      </w:r>
      <w:r w:rsidR="006903C0" w:rsidRPr="00F835AC">
        <w:t xml:space="preserve"> purposes</w:t>
      </w:r>
      <w:r w:rsidR="00C04523">
        <w:t xml:space="preserve"> – </w:t>
      </w:r>
      <w:r w:rsidR="006903C0" w:rsidRPr="00F835AC">
        <w:t xml:space="preserve">Facebook primarily </w:t>
      </w:r>
      <w:r w:rsidR="006903C0">
        <w:t>to</w:t>
      </w:r>
      <w:r w:rsidR="006903C0" w:rsidRPr="00F835AC">
        <w:t xml:space="preserve"> provid</w:t>
      </w:r>
      <w:r w:rsidR="006903C0">
        <w:t>e</w:t>
      </w:r>
      <w:r w:rsidR="006903C0" w:rsidRPr="00F835AC">
        <w:t xml:space="preserve"> rapid feedback to customer queries</w:t>
      </w:r>
      <w:r w:rsidR="00DA486D">
        <w:t xml:space="preserve"> and</w:t>
      </w:r>
      <w:r w:rsidR="006903C0">
        <w:t xml:space="preserve"> </w:t>
      </w:r>
      <w:r w:rsidR="006903C0" w:rsidRPr="00F835AC">
        <w:t xml:space="preserve">Twitter </w:t>
      </w:r>
      <w:r w:rsidR="006903C0">
        <w:t>to</w:t>
      </w:r>
      <w:r w:rsidR="006903C0" w:rsidRPr="00F835AC">
        <w:t xml:space="preserve"> broadcast gambling-related news and information.</w:t>
      </w:r>
      <w:r w:rsidR="006903C0">
        <w:rPr>
          <w:rStyle w:val="FootnoteReference"/>
        </w:rPr>
        <w:footnoteReference w:id="67"/>
      </w:r>
      <w:r w:rsidR="006903C0" w:rsidRPr="00F835AC">
        <w:t xml:space="preserve"> </w:t>
      </w:r>
    </w:p>
    <w:p w14:paraId="09258427" w14:textId="7E4CB69C" w:rsidR="005F151D" w:rsidRPr="00702EA1" w:rsidRDefault="005F151D" w:rsidP="0051188E">
      <w:pPr>
        <w:pStyle w:val="Heading1"/>
      </w:pPr>
      <w:bookmarkStart w:id="21" w:name="_Toc88480176"/>
      <w:r>
        <w:lastRenderedPageBreak/>
        <w:t>Conclusion</w:t>
      </w:r>
      <w:bookmarkEnd w:id="21"/>
    </w:p>
    <w:p w14:paraId="19A24AD3" w14:textId="62E2A60E" w:rsidR="006D5BFD" w:rsidRDefault="00C9010E" w:rsidP="0046147C">
      <w:pPr>
        <w:spacing w:before="240"/>
        <w:rPr>
          <w:szCs w:val="20"/>
        </w:rPr>
      </w:pPr>
      <w:r>
        <w:rPr>
          <w:szCs w:val="20"/>
        </w:rPr>
        <w:t xml:space="preserve">There is increasing </w:t>
      </w:r>
      <w:r w:rsidR="009879B9">
        <w:rPr>
          <w:szCs w:val="20"/>
        </w:rPr>
        <w:t xml:space="preserve">interest in and research </w:t>
      </w:r>
      <w:r>
        <w:rPr>
          <w:szCs w:val="20"/>
        </w:rPr>
        <w:t>in</w:t>
      </w:r>
      <w:r w:rsidR="009879B9">
        <w:rPr>
          <w:szCs w:val="20"/>
        </w:rPr>
        <w:t>to</w:t>
      </w:r>
      <w:r>
        <w:rPr>
          <w:szCs w:val="20"/>
        </w:rPr>
        <w:t xml:space="preserve"> the way that </w:t>
      </w:r>
      <w:r w:rsidR="00EE5117">
        <w:rPr>
          <w:szCs w:val="20"/>
        </w:rPr>
        <w:t xml:space="preserve">gambling operators and affiliates are employing a range of interactive online platforms to attract and retain customers. </w:t>
      </w:r>
      <w:r w:rsidR="0061188B">
        <w:rPr>
          <w:szCs w:val="20"/>
        </w:rPr>
        <w:t>However, t</w:t>
      </w:r>
      <w:r w:rsidR="00097239">
        <w:rPr>
          <w:szCs w:val="20"/>
        </w:rPr>
        <w:t>here are information gaps about</w:t>
      </w:r>
      <w:r w:rsidR="00AC34E6" w:rsidRPr="002B3AC8">
        <w:rPr>
          <w:szCs w:val="20"/>
        </w:rPr>
        <w:t xml:space="preserve"> how </w:t>
      </w:r>
      <w:r w:rsidR="00AC34E6">
        <w:rPr>
          <w:szCs w:val="20"/>
        </w:rPr>
        <w:t>affiliates</w:t>
      </w:r>
      <w:r w:rsidR="00AC34E6" w:rsidRPr="002B3AC8">
        <w:rPr>
          <w:szCs w:val="20"/>
        </w:rPr>
        <w:t xml:space="preserve"> are accessing and influencing rates of gambling and problem gambling in Australia</w:t>
      </w:r>
      <w:r w:rsidR="006D5BFD">
        <w:rPr>
          <w:szCs w:val="20"/>
        </w:rPr>
        <w:t xml:space="preserve">, </w:t>
      </w:r>
      <w:r w:rsidR="00D442AB">
        <w:rPr>
          <w:szCs w:val="20"/>
        </w:rPr>
        <w:t>how they are circumventing existing rest</w:t>
      </w:r>
      <w:r w:rsidR="00E95807">
        <w:rPr>
          <w:szCs w:val="20"/>
        </w:rPr>
        <w:t>rictions</w:t>
      </w:r>
      <w:r w:rsidR="009879B9">
        <w:rPr>
          <w:szCs w:val="20"/>
        </w:rPr>
        <w:t>,</w:t>
      </w:r>
      <w:r w:rsidR="00E95807">
        <w:rPr>
          <w:szCs w:val="20"/>
        </w:rPr>
        <w:t xml:space="preserve"> </w:t>
      </w:r>
      <w:r w:rsidR="006D5BFD">
        <w:rPr>
          <w:szCs w:val="20"/>
        </w:rPr>
        <w:t xml:space="preserve">and how these efforts can be </w:t>
      </w:r>
      <w:r w:rsidR="00E95807">
        <w:rPr>
          <w:szCs w:val="20"/>
        </w:rPr>
        <w:t xml:space="preserve">further </w:t>
      </w:r>
      <w:r w:rsidR="00677FA1">
        <w:rPr>
          <w:szCs w:val="20"/>
        </w:rPr>
        <w:t>reduced</w:t>
      </w:r>
      <w:r w:rsidR="006D5BFD">
        <w:rPr>
          <w:szCs w:val="20"/>
        </w:rPr>
        <w:t xml:space="preserve">. </w:t>
      </w:r>
    </w:p>
    <w:p w14:paraId="62244D1F" w14:textId="3C0C5C59" w:rsidR="00C973EB" w:rsidRPr="006D5BFD" w:rsidRDefault="00C973EB" w:rsidP="00C973EB">
      <w:pPr>
        <w:spacing w:before="240"/>
        <w:rPr>
          <w:szCs w:val="20"/>
        </w:rPr>
      </w:pPr>
      <w:r>
        <w:t>As part of its ongoing research, the ACMA will continue to monitor online gambling and any new information about marketing affiliates. This will support the ACMA to make decisions based on the latest evidence and research.</w:t>
      </w:r>
    </w:p>
    <w:p w14:paraId="635D8E8C" w14:textId="77777777" w:rsidR="00D400C4" w:rsidRDefault="00D400C4" w:rsidP="00D400C4">
      <w:pPr>
        <w:pStyle w:val="ListParagraph"/>
        <w:ind w:left="0"/>
        <w:rPr>
          <w:rFonts w:ascii="Arial" w:hAnsi="Arial" w:cs="Arial"/>
        </w:rPr>
      </w:pPr>
    </w:p>
    <w:sectPr w:rsidR="00D400C4" w:rsidSect="00C77380">
      <w:headerReference w:type="even" r:id="rId37"/>
      <w:headerReference w:type="default" r:id="rId38"/>
      <w:footerReference w:type="even" r:id="rId39"/>
      <w:footerReference w:type="default" r:id="rId40"/>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EF0576" w14:textId="77777777" w:rsidR="003A54B7" w:rsidRDefault="003A54B7">
      <w:r>
        <w:separator/>
      </w:r>
    </w:p>
  </w:endnote>
  <w:endnote w:type="continuationSeparator" w:id="0">
    <w:p w14:paraId="66392F8D" w14:textId="77777777" w:rsidR="003A54B7" w:rsidRDefault="003A54B7">
      <w:r>
        <w:continuationSeparator/>
      </w:r>
    </w:p>
  </w:endnote>
  <w:endnote w:type="continuationNotice" w:id="1">
    <w:p w14:paraId="0E1CC3A9" w14:textId="77777777" w:rsidR="003A54B7" w:rsidRDefault="003A54B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altName w:val="Arial"/>
    <w:panose1 w:val="020B0604020202020204"/>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Roboto Slab">
    <w:altName w:val="Arial"/>
    <w:panose1 w:val="00000000000000000000"/>
    <w:charset w:val="00"/>
    <w:family w:val="roman"/>
    <w:notTrueType/>
    <w:pitch w:val="default"/>
  </w:font>
  <w:font w:name="norwester">
    <w:altName w:val="Cambria"/>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47E33" w14:textId="77777777" w:rsidR="005E250B" w:rsidRDefault="005E250B" w:rsidP="005E250B">
    <w:pPr>
      <w:pStyle w:val="Footer"/>
      <w:jc w:val="right"/>
    </w:pPr>
    <w:r w:rsidRPr="005E250B">
      <w:rPr>
        <w:noProof/>
        <w:vertAlign w:val="subscript"/>
      </w:rPr>
      <w:drawing>
        <wp:inline distT="0" distB="0" distL="0" distR="0" wp14:anchorId="1A89C49F" wp14:editId="3248C25B">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8C01F"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54201"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36546"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02310F9E"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DE8555"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7FAE17D1"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2C219"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01ECEE23"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87C514"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7A03F2B"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7C7B8"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05A5E1F2"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AC1E89" w14:textId="77777777" w:rsidR="003A54B7" w:rsidRDefault="003A54B7" w:rsidP="00227ED3">
      <w:pPr>
        <w:spacing w:after="0"/>
      </w:pPr>
      <w:r>
        <w:separator/>
      </w:r>
    </w:p>
  </w:footnote>
  <w:footnote w:type="continuationSeparator" w:id="0">
    <w:p w14:paraId="3892C446" w14:textId="77777777" w:rsidR="003A54B7" w:rsidRDefault="003A54B7">
      <w:r>
        <w:continuationSeparator/>
      </w:r>
    </w:p>
  </w:footnote>
  <w:footnote w:type="continuationNotice" w:id="1">
    <w:p w14:paraId="6786349D" w14:textId="77777777" w:rsidR="003A54B7" w:rsidRDefault="003A54B7">
      <w:pPr>
        <w:spacing w:after="0" w:line="240" w:lineRule="auto"/>
      </w:pPr>
    </w:p>
  </w:footnote>
  <w:footnote w:id="2">
    <w:p w14:paraId="0B5D72B6" w14:textId="2BE264E4" w:rsidR="00B74717" w:rsidRPr="00CA70C4" w:rsidRDefault="00B74717">
      <w:pPr>
        <w:pStyle w:val="FootnoteText"/>
      </w:pPr>
      <w:r>
        <w:rPr>
          <w:rStyle w:val="FootnoteReference"/>
        </w:rPr>
        <w:footnoteRef/>
      </w:r>
      <w:r>
        <w:t xml:space="preserve"> </w:t>
      </w:r>
      <w:r w:rsidRPr="00B74717">
        <w:t xml:space="preserve">QGSO (Queensland Government Statistician’s </w:t>
      </w:r>
      <w:r w:rsidRPr="00CA70C4">
        <w:t>Office), Queensland Treasury 2021. </w:t>
      </w:r>
      <w:hyperlink r:id="rId1" w:tgtFrame="_blank" w:history="1">
        <w:r w:rsidRPr="00CA70C4">
          <w:rPr>
            <w:rStyle w:val="Hyperlink"/>
          </w:rPr>
          <w:t>Australian gambling statistics, 36th edition, 1993–94 to 2018–19. </w:t>
        </w:r>
      </w:hyperlink>
      <w:r w:rsidRPr="00CA70C4">
        <w:t>Brisbane: Queensland Treasury.</w:t>
      </w:r>
    </w:p>
  </w:footnote>
  <w:footnote w:id="3">
    <w:p w14:paraId="2A6468F6" w14:textId="17FBB420" w:rsidR="00D60ED8" w:rsidRPr="00CA70C4" w:rsidRDefault="00D60ED8">
      <w:pPr>
        <w:pStyle w:val="FootnoteText"/>
      </w:pPr>
      <w:r w:rsidRPr="00CA70C4">
        <w:rPr>
          <w:rStyle w:val="FootnoteReference"/>
        </w:rPr>
        <w:footnoteRef/>
      </w:r>
      <w:r w:rsidR="00BD01B0" w:rsidRPr="00CA70C4">
        <w:t xml:space="preserve"> </w:t>
      </w:r>
      <w:r w:rsidR="00F176FB" w:rsidRPr="00CA70C4">
        <w:t xml:space="preserve">W Jolly, </w:t>
      </w:r>
      <w:hyperlink r:id="rId2" w:history="1">
        <w:r w:rsidR="00F176FB" w:rsidRPr="00CA70C4">
          <w:rPr>
            <w:rStyle w:val="Hyperlink"/>
            <w:i/>
            <w:iCs/>
          </w:rPr>
          <w:t>How much do Australians lose on gambling?</w:t>
        </w:r>
      </w:hyperlink>
      <w:r w:rsidR="00A3758C" w:rsidRPr="00CA70C4">
        <w:t xml:space="preserve">, </w:t>
      </w:r>
      <w:hyperlink r:id="rId3" w:history="1">
        <w:r w:rsidR="001B20A7" w:rsidRPr="00CA70C4">
          <w:rPr>
            <w:rStyle w:val="Hyperlink"/>
          </w:rPr>
          <w:t>www.savings.com.au</w:t>
        </w:r>
      </w:hyperlink>
      <w:r w:rsidR="001B20A7" w:rsidRPr="00CA70C4">
        <w:t xml:space="preserve">, </w:t>
      </w:r>
      <w:r w:rsidR="006B4E46" w:rsidRPr="00CA70C4">
        <w:t>23 January 2021</w:t>
      </w:r>
      <w:r w:rsidR="001B20A7" w:rsidRPr="00CA70C4">
        <w:t>.</w:t>
      </w:r>
    </w:p>
  </w:footnote>
  <w:footnote w:id="4">
    <w:p w14:paraId="0203B145" w14:textId="00275E51" w:rsidR="00A32AD6" w:rsidRPr="00CA70C4" w:rsidRDefault="00A32AD6" w:rsidP="00A32AD6">
      <w:pPr>
        <w:pStyle w:val="FootnoteText"/>
      </w:pPr>
      <w:r w:rsidRPr="00CA70C4">
        <w:rPr>
          <w:rStyle w:val="FootnoteReference"/>
        </w:rPr>
        <w:footnoteRef/>
      </w:r>
      <w:r w:rsidRPr="00CA70C4">
        <w:t xml:space="preserve"> </w:t>
      </w:r>
      <w:r w:rsidR="009664DF" w:rsidRPr="00CA70C4">
        <w:t xml:space="preserve">T Hitchin, </w:t>
      </w:r>
      <w:hyperlink r:id="rId4" w:history="1">
        <w:r w:rsidR="00B9307B" w:rsidRPr="00CA70C4">
          <w:rPr>
            <w:rStyle w:val="Hyperlink"/>
          </w:rPr>
          <w:t>Gambling in Australia - statistics &amp; facts,</w:t>
        </w:r>
      </w:hyperlink>
      <w:r w:rsidR="00D43FE1" w:rsidRPr="00CA70C4">
        <w:t xml:space="preserve"> </w:t>
      </w:r>
      <w:r w:rsidR="008A20AD" w:rsidRPr="00CA70C4">
        <w:rPr>
          <w:i/>
          <w:iCs/>
        </w:rPr>
        <w:t>Statistica</w:t>
      </w:r>
      <w:r w:rsidR="008A20AD" w:rsidRPr="00CA70C4">
        <w:t xml:space="preserve">, </w:t>
      </w:r>
      <w:r w:rsidR="00E13DBB" w:rsidRPr="00CA70C4">
        <w:t xml:space="preserve">12 March 2021, </w:t>
      </w:r>
      <w:r w:rsidR="008A5C38" w:rsidRPr="00CA70C4">
        <w:t>accessed 19 October 2021.</w:t>
      </w:r>
    </w:p>
  </w:footnote>
  <w:footnote w:id="5">
    <w:p w14:paraId="2E95402C" w14:textId="0480AF2E" w:rsidR="00F57A85" w:rsidRDefault="00F57A85">
      <w:pPr>
        <w:pStyle w:val="FootnoteText"/>
      </w:pPr>
      <w:r>
        <w:rPr>
          <w:rStyle w:val="FootnoteReference"/>
        </w:rPr>
        <w:footnoteRef/>
      </w:r>
      <w:r>
        <w:t xml:space="preserve"> This </w:t>
      </w:r>
      <w:r w:rsidR="00892ACC">
        <w:t xml:space="preserve">could include using the following to get online: </w:t>
      </w:r>
      <w:r w:rsidRPr="00F57A85">
        <w:t>broadcasting, telecommunications carriage services, datacasting and online platforms.</w:t>
      </w:r>
    </w:p>
  </w:footnote>
  <w:footnote w:id="6">
    <w:p w14:paraId="71596E7B" w14:textId="321E1726" w:rsidR="002255E9" w:rsidRPr="00CA70C4" w:rsidRDefault="002255E9" w:rsidP="00547614">
      <w:pPr>
        <w:pStyle w:val="FootnoteText"/>
      </w:pPr>
      <w:r w:rsidRPr="00CA70C4">
        <w:rPr>
          <w:rStyle w:val="FootnoteReference"/>
        </w:rPr>
        <w:footnoteRef/>
      </w:r>
      <w:r w:rsidR="008324C5" w:rsidRPr="00CA70C4">
        <w:t xml:space="preserve"> </w:t>
      </w:r>
      <w:hyperlink r:id="rId5" w:history="1">
        <w:r w:rsidR="00547614" w:rsidRPr="00CA70C4">
          <w:rPr>
            <w:rStyle w:val="Hyperlink"/>
            <w:i/>
            <w:iCs/>
          </w:rPr>
          <w:t>Interactive Gambling Act 2001</w:t>
        </w:r>
      </w:hyperlink>
      <w:r w:rsidR="00547614" w:rsidRPr="00CA70C4">
        <w:t xml:space="preserve">, Federal Register of Legislation (2020); </w:t>
      </w:r>
      <w:hyperlink r:id="rId6" w:history="1">
        <w:r w:rsidR="00547614" w:rsidRPr="00CA70C4">
          <w:rPr>
            <w:rStyle w:val="Hyperlink"/>
          </w:rPr>
          <w:t>Online gambling – make sure you use a legal operator</w:t>
        </w:r>
      </w:hyperlink>
      <w:r w:rsidR="00547614" w:rsidRPr="00CA70C4">
        <w:t>, Victorian Responsible Gambling Foundation (2020)</w:t>
      </w:r>
      <w:r w:rsidR="00831C81" w:rsidRPr="00CA70C4">
        <w:t>.</w:t>
      </w:r>
    </w:p>
  </w:footnote>
  <w:footnote w:id="7">
    <w:p w14:paraId="736A5D55" w14:textId="1D349D0E" w:rsidR="00BF5C2C" w:rsidRPr="00CA70C4" w:rsidRDefault="00BF5C2C" w:rsidP="00BF5C2C">
      <w:pPr>
        <w:pStyle w:val="FootnoteText"/>
      </w:pPr>
      <w:r w:rsidRPr="00CA70C4">
        <w:rPr>
          <w:rStyle w:val="FootnoteReference"/>
        </w:rPr>
        <w:footnoteRef/>
      </w:r>
      <w:r w:rsidRPr="00CA70C4">
        <w:t xml:space="preserve"> </w:t>
      </w:r>
      <w:r w:rsidR="007C5C68" w:rsidRPr="00CA70C4">
        <w:t>The ACMA, Online gambling in Australia (2021) op. cit</w:t>
      </w:r>
      <w:r w:rsidR="00326A0A" w:rsidRPr="00CA70C4">
        <w:t xml:space="preserve">; </w:t>
      </w:r>
      <w:r w:rsidR="007C5C68" w:rsidRPr="00CA70C4">
        <w:t>.</w:t>
      </w:r>
      <w:r w:rsidR="00F01FC3" w:rsidRPr="00CA70C4">
        <w:t>R Jenkinson</w:t>
      </w:r>
      <w:r w:rsidR="00724B10" w:rsidRPr="00CA70C4">
        <w:t>,</w:t>
      </w:r>
      <w:r w:rsidR="00F01FC3" w:rsidRPr="00CA70C4">
        <w:t xml:space="preserve"> K Sakata, T Khokhar, R Tajin and U Jatkar, </w:t>
      </w:r>
      <w:hyperlink r:id="rId7" w:history="1">
        <w:r w:rsidR="00E413CE" w:rsidRPr="00CA70C4">
          <w:rPr>
            <w:rStyle w:val="Hyperlink"/>
            <w:i/>
            <w:iCs/>
          </w:rPr>
          <w:t>Gambling in Australia during COVID-19</w:t>
        </w:r>
      </w:hyperlink>
      <w:r w:rsidR="00873F82" w:rsidRPr="00CA70C4">
        <w:rPr>
          <w:u w:color="0000FF"/>
        </w:rPr>
        <w:t>, Australian Gambling Research Centre</w:t>
      </w:r>
      <w:r w:rsidR="00042437" w:rsidRPr="00CA70C4">
        <w:rPr>
          <w:u w:color="0000FF"/>
        </w:rPr>
        <w:t>,</w:t>
      </w:r>
      <w:r w:rsidR="00B678A5" w:rsidRPr="00CA70C4">
        <w:rPr>
          <w:u w:color="0000FF"/>
        </w:rPr>
        <w:t xml:space="preserve"> October 2020,</w:t>
      </w:r>
      <w:r w:rsidR="00042437" w:rsidRPr="00CA70C4">
        <w:rPr>
          <w:u w:color="0000FF"/>
        </w:rPr>
        <w:t xml:space="preserve"> Australian Government</w:t>
      </w:r>
      <w:r w:rsidR="002E1EC7" w:rsidRPr="00CA70C4">
        <w:rPr>
          <w:u w:color="0000FF"/>
        </w:rPr>
        <w:t xml:space="preserve"> Australian</w:t>
      </w:r>
      <w:r w:rsidR="00042437" w:rsidRPr="00CA70C4">
        <w:rPr>
          <w:u w:color="0000FF"/>
        </w:rPr>
        <w:t xml:space="preserve"> Institute of </w:t>
      </w:r>
      <w:r w:rsidR="002E1EC7" w:rsidRPr="00CA70C4">
        <w:rPr>
          <w:u w:color="0000FF"/>
        </w:rPr>
        <w:t xml:space="preserve">Family Studies </w:t>
      </w:r>
      <w:r w:rsidR="00B678A5" w:rsidRPr="00CA70C4">
        <w:rPr>
          <w:u w:color="0000FF"/>
        </w:rPr>
        <w:t>accessed 19 October 2021.</w:t>
      </w:r>
    </w:p>
  </w:footnote>
  <w:footnote w:id="8">
    <w:p w14:paraId="697A54A5" w14:textId="77777777" w:rsidR="00470C8D" w:rsidRDefault="00470C8D" w:rsidP="00470C8D">
      <w:pPr>
        <w:pStyle w:val="FootnoteText"/>
      </w:pPr>
      <w:r w:rsidRPr="00CA70C4">
        <w:rPr>
          <w:rStyle w:val="FootnoteReference"/>
        </w:rPr>
        <w:footnoteRef/>
      </w:r>
      <w:r w:rsidRPr="00CA70C4">
        <w:t xml:space="preserve"> The ACMA, Online gambling in Australia (2021) op. cit.</w:t>
      </w:r>
    </w:p>
  </w:footnote>
  <w:footnote w:id="9">
    <w:p w14:paraId="0F1AA1CE" w14:textId="0539AA2E" w:rsidR="00021F6B" w:rsidRDefault="00021F6B" w:rsidP="0048708B">
      <w:pPr>
        <w:pStyle w:val="FootnoteText"/>
      </w:pPr>
      <w:r>
        <w:rPr>
          <w:rStyle w:val="FootnoteReference"/>
        </w:rPr>
        <w:footnoteRef/>
      </w:r>
      <w:r>
        <w:t xml:space="preserve"> </w:t>
      </w:r>
      <w:r w:rsidR="006044D2" w:rsidRPr="00CA70C4">
        <w:t xml:space="preserve">.R Jenkinson, K Sakata, T Khokhar, R Tajin and U Jatkar, </w:t>
      </w:r>
      <w:hyperlink r:id="rId8" w:history="1">
        <w:r w:rsidR="006044D2" w:rsidRPr="00CA70C4">
          <w:rPr>
            <w:rStyle w:val="Hyperlink"/>
            <w:i/>
            <w:iCs/>
          </w:rPr>
          <w:t>Gambling in Australia during COVID-19</w:t>
        </w:r>
      </w:hyperlink>
      <w:r w:rsidR="006044D2" w:rsidRPr="00CA70C4">
        <w:rPr>
          <w:u w:color="0000FF"/>
        </w:rPr>
        <w:t>, Australian Gambling Research Centre, October 2020</w:t>
      </w:r>
    </w:p>
  </w:footnote>
  <w:footnote w:id="10">
    <w:p w14:paraId="0158B106" w14:textId="50E8B847" w:rsidR="00022F08" w:rsidRDefault="00022F08" w:rsidP="0048708B">
      <w:pPr>
        <w:pStyle w:val="FootnoteText"/>
      </w:pPr>
      <w:r>
        <w:rPr>
          <w:rStyle w:val="FootnoteReference"/>
        </w:rPr>
        <w:footnoteRef/>
      </w:r>
      <w:r w:rsidR="00D508B4">
        <w:t xml:space="preserve"> </w:t>
      </w:r>
      <w:r w:rsidR="00D508B4" w:rsidRPr="00876F17">
        <w:t xml:space="preserve">S Houghton, M Moss </w:t>
      </w:r>
      <w:r w:rsidR="00D508B4">
        <w:t>and</w:t>
      </w:r>
      <w:r w:rsidR="00D508B4" w:rsidRPr="00876F17">
        <w:t xml:space="preserve"> E Casey (2020) </w:t>
      </w:r>
      <w:hyperlink r:id="rId9" w:history="1">
        <w:r w:rsidR="00D508B4" w:rsidRPr="00876F17">
          <w:rPr>
            <w:rStyle w:val="Hyperlink"/>
          </w:rPr>
          <w:t>Affiliate marketing of sports betting – a cause for concern</w:t>
        </w:r>
        <w:r w:rsidR="00D508B4" w:rsidRPr="00876F17">
          <w:rPr>
            <w:rStyle w:val="Hyperlink"/>
            <w:i/>
            <w:iCs/>
          </w:rPr>
          <w:t>?</w:t>
        </w:r>
      </w:hyperlink>
      <w:r w:rsidR="00D508B4" w:rsidRPr="005F4B94">
        <w:rPr>
          <w:i/>
          <w:iCs/>
        </w:rPr>
        <w:t>, </w:t>
      </w:r>
      <w:r w:rsidR="00D508B4" w:rsidRPr="00876F17">
        <w:rPr>
          <w:i/>
          <w:iCs/>
        </w:rPr>
        <w:t>International Gambling Studies</w:t>
      </w:r>
      <w:r w:rsidR="00D508B4" w:rsidRPr="00876F17">
        <w:t>, 20:2, 240-245, DOI: </w:t>
      </w:r>
      <w:hyperlink r:id="rId10" w:history="1">
        <w:r w:rsidR="00D508B4" w:rsidRPr="00876F17">
          <w:rPr>
            <w:rStyle w:val="Hyperlink"/>
          </w:rPr>
          <w:t>10.1080/14459795.2020.1718737</w:t>
        </w:r>
      </w:hyperlink>
      <w:r w:rsidR="00D508B4">
        <w:t xml:space="preserve"> </w:t>
      </w:r>
      <w:r>
        <w:t xml:space="preserve"> </w:t>
      </w:r>
    </w:p>
  </w:footnote>
  <w:footnote w:id="11">
    <w:p w14:paraId="21358930" w14:textId="1F6BBDCF" w:rsidR="00D92027" w:rsidRDefault="00D92027" w:rsidP="0048708B">
      <w:pPr>
        <w:pStyle w:val="FootnoteText"/>
      </w:pPr>
      <w:r>
        <w:rPr>
          <w:rStyle w:val="FootnoteReference"/>
        </w:rPr>
        <w:footnoteRef/>
      </w:r>
      <w:r>
        <w:t xml:space="preserve"> </w:t>
      </w:r>
      <w:r w:rsidR="00D508B4">
        <w:t>Ibid.</w:t>
      </w:r>
      <w:r w:rsidR="00876F17">
        <w:t xml:space="preserve"> </w:t>
      </w:r>
    </w:p>
  </w:footnote>
  <w:footnote w:id="12">
    <w:p w14:paraId="1454641E" w14:textId="035D7251" w:rsidR="005B6583" w:rsidRDefault="005B6583" w:rsidP="0048708B">
      <w:pPr>
        <w:pStyle w:val="FootnoteText"/>
      </w:pPr>
      <w:r>
        <w:rPr>
          <w:rStyle w:val="FootnoteReference"/>
        </w:rPr>
        <w:footnoteRef/>
      </w:r>
      <w:r w:rsidR="00533AF5">
        <w:t xml:space="preserve"> </w:t>
      </w:r>
      <w:r w:rsidR="00533AF5" w:rsidRPr="00533AF5">
        <w:t>Responsible Affiliates in Gambling (RAiG)</w:t>
      </w:r>
      <w:r w:rsidR="00533AF5">
        <w:t xml:space="preserve">, </w:t>
      </w:r>
      <w:hyperlink r:id="rId11" w:history="1">
        <w:r w:rsidR="00C46F66" w:rsidRPr="002E1A1D">
          <w:rPr>
            <w:rStyle w:val="Hyperlink"/>
          </w:rPr>
          <w:t>submission</w:t>
        </w:r>
      </w:hyperlink>
      <w:r w:rsidR="00C46F66">
        <w:t xml:space="preserve"> to House of Lords</w:t>
      </w:r>
      <w:r w:rsidR="00C46F66" w:rsidRPr="00C46F66">
        <w:t xml:space="preserve"> Select Committee on the Social and Economic Impact of the Gambling Industry</w:t>
      </w:r>
      <w:r w:rsidR="00B2209E">
        <w:t xml:space="preserve">, June 2019, accessed </w:t>
      </w:r>
      <w:r w:rsidR="002E1A1D">
        <w:t>19 October 2021.</w:t>
      </w:r>
    </w:p>
  </w:footnote>
  <w:footnote w:id="13">
    <w:p w14:paraId="70773E1A" w14:textId="3EAAF5D1" w:rsidR="00125B61" w:rsidRDefault="00125B61" w:rsidP="0048708B">
      <w:pPr>
        <w:pStyle w:val="FootnoteText"/>
      </w:pPr>
      <w:r>
        <w:rPr>
          <w:rStyle w:val="FootnoteReference"/>
        </w:rPr>
        <w:footnoteRef/>
      </w:r>
      <w:r>
        <w:t xml:space="preserve"> </w:t>
      </w:r>
      <w:r w:rsidRPr="0048708B">
        <w:t>S Houghton</w:t>
      </w:r>
      <w:r w:rsidR="00DB434E" w:rsidRPr="0048708B">
        <w:t>, et al. (2020), op. cit.</w:t>
      </w:r>
    </w:p>
  </w:footnote>
  <w:footnote w:id="14">
    <w:p w14:paraId="5A24C47A" w14:textId="77777777" w:rsidR="00AD50E4" w:rsidRDefault="00AD50E4" w:rsidP="00AD50E4">
      <w:pPr>
        <w:pStyle w:val="FootnoteText"/>
      </w:pPr>
      <w:r>
        <w:rPr>
          <w:rStyle w:val="FootnoteReference"/>
        </w:rPr>
        <w:footnoteRef/>
      </w:r>
      <w:r>
        <w:t xml:space="preserve"> </w:t>
      </w:r>
      <w:r w:rsidRPr="00876F17">
        <w:t xml:space="preserve">S Houghton, M Moss </w:t>
      </w:r>
      <w:r>
        <w:t>and</w:t>
      </w:r>
      <w:r w:rsidRPr="00876F17">
        <w:t xml:space="preserve"> E Casey (2020) </w:t>
      </w:r>
      <w:r>
        <w:t>op. cit.</w:t>
      </w:r>
    </w:p>
  </w:footnote>
  <w:footnote w:id="15">
    <w:p w14:paraId="52177C60" w14:textId="77777777" w:rsidR="00BC5F46" w:rsidRDefault="00BC5F46" w:rsidP="00BC5F46">
      <w:pPr>
        <w:pStyle w:val="FootnoteText"/>
      </w:pPr>
      <w:r>
        <w:rPr>
          <w:rStyle w:val="FootnoteReference"/>
        </w:rPr>
        <w:footnoteRef/>
      </w:r>
      <w:r>
        <w:t xml:space="preserve"> Digital Fodder, </w:t>
      </w:r>
      <w:hyperlink r:id="rId12" w:history="1">
        <w:r w:rsidRPr="009C735B">
          <w:rPr>
            <w:rStyle w:val="Hyperlink"/>
            <w:i/>
            <w:iCs/>
          </w:rPr>
          <w:t>eBay affiliate program review</w:t>
        </w:r>
      </w:hyperlink>
      <w:r>
        <w:t xml:space="preserve">, 6 September 2021, accessed 19 October 2021.  </w:t>
      </w:r>
    </w:p>
  </w:footnote>
  <w:footnote w:id="16">
    <w:p w14:paraId="6A773C18" w14:textId="58351F1C" w:rsidR="00F2541B" w:rsidRDefault="00F2541B" w:rsidP="00F2541B">
      <w:pPr>
        <w:pStyle w:val="FootnoteText"/>
      </w:pPr>
      <w:r>
        <w:rPr>
          <w:rStyle w:val="FootnoteReference"/>
        </w:rPr>
        <w:footnoteRef/>
      </w:r>
      <w:r>
        <w:t xml:space="preserve"> </w:t>
      </w:r>
      <w:r w:rsidR="00BC5F46">
        <w:t>ibid</w:t>
      </w:r>
      <w:r>
        <w:t xml:space="preserve">.  </w:t>
      </w:r>
    </w:p>
  </w:footnote>
  <w:footnote w:id="17">
    <w:p w14:paraId="7B494B71" w14:textId="6353BAC8" w:rsidR="00F2541B" w:rsidRDefault="00F2541B" w:rsidP="00F2541B">
      <w:pPr>
        <w:pStyle w:val="FootnoteText"/>
      </w:pPr>
      <w:r>
        <w:rPr>
          <w:rStyle w:val="FootnoteReference"/>
        </w:rPr>
        <w:footnoteRef/>
      </w:r>
      <w:r>
        <w:t xml:space="preserve"> Amazon Associates, </w:t>
      </w:r>
      <w:hyperlink r:id="rId13" w:anchor="Associates%20Program%20Participation%20Requirements" w:history="1">
        <w:r w:rsidRPr="004806FF">
          <w:rPr>
            <w:rStyle w:val="Hyperlink"/>
            <w:i/>
            <w:iCs/>
          </w:rPr>
          <w:t>Associates program policies</w:t>
        </w:r>
      </w:hyperlink>
      <w:r>
        <w:t xml:space="preserve">, accessed 19 October 2021. </w:t>
      </w:r>
    </w:p>
  </w:footnote>
  <w:footnote w:id="18">
    <w:p w14:paraId="2A09E858" w14:textId="55B95C36" w:rsidR="00416456" w:rsidRDefault="00416456">
      <w:pPr>
        <w:pStyle w:val="FootnoteText"/>
      </w:pPr>
      <w:r>
        <w:rPr>
          <w:rStyle w:val="FootnoteReference"/>
        </w:rPr>
        <w:footnoteRef/>
      </w:r>
      <w:r>
        <w:t xml:space="preserve"> </w:t>
      </w:r>
      <w:r w:rsidR="009A4783">
        <w:t xml:space="preserve">Digital Fodder, </w:t>
      </w:r>
      <w:hyperlink r:id="rId14" w:anchor="Pros_of_the_Program" w:history="1">
        <w:r w:rsidR="009A4783" w:rsidRPr="00306715">
          <w:rPr>
            <w:rStyle w:val="Hyperlink"/>
          </w:rPr>
          <w:t>eBay Affiliate Program Review</w:t>
        </w:r>
      </w:hyperlink>
      <w:r w:rsidR="009A4783">
        <w:t xml:space="preserve">, accessed 18 November 2021. </w:t>
      </w:r>
    </w:p>
  </w:footnote>
  <w:footnote w:id="19">
    <w:p w14:paraId="3ACF3BF3" w14:textId="43136686" w:rsidR="0068106D" w:rsidRDefault="0068106D">
      <w:pPr>
        <w:pStyle w:val="FootnoteText"/>
      </w:pPr>
      <w:r>
        <w:rPr>
          <w:rStyle w:val="FootnoteReference"/>
        </w:rPr>
        <w:footnoteRef/>
      </w:r>
      <w:r>
        <w:t xml:space="preserve"> Adore Beauty </w:t>
      </w:r>
      <w:hyperlink r:id="rId15" w:history="1">
        <w:r w:rsidRPr="00124389">
          <w:rPr>
            <w:rStyle w:val="Hyperlink"/>
          </w:rPr>
          <w:t>affiliate program benefits</w:t>
        </w:r>
      </w:hyperlink>
      <w:r>
        <w:t xml:space="preserve">, accessed 18 November 2021. </w:t>
      </w:r>
    </w:p>
  </w:footnote>
  <w:footnote w:id="20">
    <w:p w14:paraId="45E02F61" w14:textId="77777777" w:rsidR="00F2541B" w:rsidRPr="002C2327" w:rsidRDefault="00F2541B" w:rsidP="00F2541B">
      <w:pPr>
        <w:pStyle w:val="FootnoteText"/>
      </w:pPr>
      <w:r>
        <w:rPr>
          <w:rStyle w:val="FootnoteReference"/>
        </w:rPr>
        <w:footnoteRef/>
      </w:r>
      <w:r>
        <w:t xml:space="preserve"> </w:t>
      </w:r>
      <w:r w:rsidRPr="00876F17">
        <w:t xml:space="preserve">S Houghton, M Moss </w:t>
      </w:r>
      <w:r>
        <w:t>and</w:t>
      </w:r>
      <w:r w:rsidRPr="00876F17">
        <w:t xml:space="preserve"> E Casey (2020) </w:t>
      </w:r>
      <w:r>
        <w:t>op. cit.</w:t>
      </w:r>
    </w:p>
  </w:footnote>
  <w:footnote w:id="21">
    <w:p w14:paraId="0EF5D9B4" w14:textId="6E9B5B81" w:rsidR="00E46365" w:rsidRDefault="00E46365" w:rsidP="00E46365">
      <w:pPr>
        <w:pStyle w:val="FootnoteText"/>
      </w:pPr>
      <w:r w:rsidRPr="002C2327">
        <w:rPr>
          <w:rStyle w:val="FootnoteReference"/>
        </w:rPr>
        <w:footnoteRef/>
      </w:r>
      <w:r w:rsidRPr="002C2327">
        <w:t xml:space="preserve"> R Harrison, </w:t>
      </w:r>
      <w:hyperlink r:id="rId16" w:history="1">
        <w:r w:rsidRPr="000F6461">
          <w:rPr>
            <w:rStyle w:val="Hyperlink"/>
            <w:i/>
            <w:iCs/>
          </w:rPr>
          <w:t>Gambling.com Group’s revenue climbs 66% in Q2</w:t>
        </w:r>
      </w:hyperlink>
      <w:r>
        <w:t xml:space="preserve">, iGaming Business, 26 August 2021, accessed 19 October 2021. </w:t>
      </w:r>
    </w:p>
  </w:footnote>
  <w:footnote w:id="22">
    <w:p w14:paraId="08AD84DE" w14:textId="77777777" w:rsidR="00E46365" w:rsidRDefault="00E46365" w:rsidP="00E46365">
      <w:pPr>
        <w:pStyle w:val="FootnoteText"/>
      </w:pPr>
      <w:r>
        <w:rPr>
          <w:rStyle w:val="FootnoteReference"/>
        </w:rPr>
        <w:footnoteRef/>
      </w:r>
      <w:r>
        <w:t xml:space="preserve"> Ibid. </w:t>
      </w:r>
    </w:p>
  </w:footnote>
  <w:footnote w:id="23">
    <w:p w14:paraId="114971B2" w14:textId="59125F6B" w:rsidR="00F2541B" w:rsidRDefault="00F2541B" w:rsidP="00F2541B">
      <w:pPr>
        <w:pStyle w:val="FootnoteText"/>
      </w:pPr>
      <w:r>
        <w:rPr>
          <w:rStyle w:val="FootnoteReference"/>
        </w:rPr>
        <w:footnoteRef/>
      </w:r>
      <w:r>
        <w:t xml:space="preserve"> </w:t>
      </w:r>
      <w:r w:rsidR="00BC009A">
        <w:t xml:space="preserve">WaterhouseVC, </w:t>
      </w:r>
      <w:hyperlink r:id="rId17" w:history="1">
        <w:r w:rsidR="00BC009A" w:rsidRPr="00C5388C">
          <w:rPr>
            <w:rStyle w:val="Hyperlink"/>
          </w:rPr>
          <w:t>May 2021 Fund Update</w:t>
        </w:r>
      </w:hyperlink>
      <w:r w:rsidR="00BC009A">
        <w:t xml:space="preserve">, accessed 18 November 2021. </w:t>
      </w:r>
    </w:p>
  </w:footnote>
  <w:footnote w:id="24">
    <w:p w14:paraId="499B77C8" w14:textId="28A6D034" w:rsidR="00F2541B" w:rsidRDefault="00F2541B" w:rsidP="00F2541B">
      <w:pPr>
        <w:pStyle w:val="FootnoteText"/>
      </w:pPr>
      <w:r>
        <w:rPr>
          <w:rStyle w:val="FootnoteReference"/>
        </w:rPr>
        <w:footnoteRef/>
      </w:r>
      <w:r>
        <w:t xml:space="preserve"> </w:t>
      </w:r>
      <w:r w:rsidR="00E41ED5" w:rsidRPr="00876F17">
        <w:t xml:space="preserve">S Houghton, M Moss </w:t>
      </w:r>
      <w:r w:rsidR="00E41ED5">
        <w:t>and</w:t>
      </w:r>
      <w:r w:rsidR="00E41ED5" w:rsidRPr="00876F17">
        <w:t xml:space="preserve"> E Casey (2020) </w:t>
      </w:r>
      <w:r w:rsidR="00E41ED5">
        <w:t>op. cit.</w:t>
      </w:r>
    </w:p>
  </w:footnote>
  <w:footnote w:id="25">
    <w:p w14:paraId="71524567" w14:textId="30E379F1" w:rsidR="000F5340" w:rsidRDefault="000F5340">
      <w:pPr>
        <w:pStyle w:val="FootnoteText"/>
      </w:pPr>
      <w:r>
        <w:rPr>
          <w:rStyle w:val="FootnoteReference"/>
        </w:rPr>
        <w:footnoteRef/>
      </w:r>
      <w:r>
        <w:t xml:space="preserve"> </w:t>
      </w:r>
      <w:r w:rsidR="00FE6FBA">
        <w:t xml:space="preserve">Diggity Marketing, </w:t>
      </w:r>
      <w:r w:rsidR="00FE6FBA" w:rsidRPr="00FE6FBA">
        <w:t>11 Best Casino Affiliate Programs and Offers for 2021</w:t>
      </w:r>
      <w:r w:rsidR="00FE6FBA">
        <w:t>, accessed 18 November 2021.</w:t>
      </w:r>
    </w:p>
  </w:footnote>
  <w:footnote w:id="26">
    <w:p w14:paraId="6C4EFD62" w14:textId="54D6FFE5" w:rsidR="00F2541B" w:rsidRDefault="00F2541B" w:rsidP="00F2541B">
      <w:pPr>
        <w:pStyle w:val="FootnoteText"/>
      </w:pPr>
      <w:r>
        <w:rPr>
          <w:rStyle w:val="FootnoteReference"/>
        </w:rPr>
        <w:footnoteRef/>
      </w:r>
      <w:r>
        <w:t xml:space="preserve"> A Dogtiev, </w:t>
      </w:r>
      <w:hyperlink r:id="rId18" w:history="1">
        <w:r w:rsidR="00261528" w:rsidRPr="00261528">
          <w:rPr>
            <w:rStyle w:val="Hyperlink"/>
          </w:rPr>
          <w:t>Gambling affiliate networks</w:t>
        </w:r>
      </w:hyperlink>
      <w:r>
        <w:t xml:space="preserve">, </w:t>
      </w:r>
      <w:r w:rsidRPr="00330270">
        <w:rPr>
          <w:i/>
          <w:iCs/>
        </w:rPr>
        <w:t>Business of Apps</w:t>
      </w:r>
      <w:r>
        <w:t xml:space="preserve">, 13 October, 2021, accessed 19 October 2021.  </w:t>
      </w:r>
    </w:p>
  </w:footnote>
  <w:footnote w:id="27">
    <w:p w14:paraId="2D5B8E9D" w14:textId="77777777" w:rsidR="00F2541B" w:rsidRDefault="00F2541B" w:rsidP="00F2541B">
      <w:pPr>
        <w:pStyle w:val="FootnoteText"/>
      </w:pPr>
      <w:r>
        <w:rPr>
          <w:rStyle w:val="FootnoteReference"/>
        </w:rPr>
        <w:footnoteRef/>
      </w:r>
      <w:r>
        <w:t xml:space="preserve"> S. </w:t>
      </w:r>
      <w:r w:rsidRPr="00A4154F">
        <w:t xml:space="preserve">Houghton, </w:t>
      </w:r>
      <w:r>
        <w:t xml:space="preserve">A </w:t>
      </w:r>
      <w:r w:rsidRPr="00A4154F">
        <w:t>McNeil,</w:t>
      </w:r>
      <w:r>
        <w:t xml:space="preserve"> M</w:t>
      </w:r>
      <w:r w:rsidRPr="00A4154F">
        <w:t xml:space="preserve"> Hogg.</w:t>
      </w:r>
      <w:r>
        <w:t xml:space="preserve"> and M </w:t>
      </w:r>
      <w:r w:rsidRPr="00A4154F">
        <w:t>Moss, (2019)</w:t>
      </w:r>
      <w:r>
        <w:t>,</w:t>
      </w:r>
      <w:r w:rsidRPr="00A4154F">
        <w:t xml:space="preserve"> Comparing the Twitter posting of British gambling operators and gambling affiliates: A summative content analysis. </w:t>
      </w:r>
      <w:r w:rsidRPr="00A4154F">
        <w:rPr>
          <w:i/>
          <w:iCs/>
        </w:rPr>
        <w:t>International Gambling Studies</w:t>
      </w:r>
      <w:r w:rsidRPr="00A4154F">
        <w:t xml:space="preserve">. Advance online publication. </w:t>
      </w:r>
      <w:hyperlink r:id="rId19" w:history="1">
        <w:r w:rsidRPr="004135B8">
          <w:rPr>
            <w:rStyle w:val="Hyperlink"/>
          </w:rPr>
          <w:t>https://doi.org/10.1080/14459795.2018.1561923</w:t>
        </w:r>
      </w:hyperlink>
    </w:p>
  </w:footnote>
  <w:footnote w:id="28">
    <w:p w14:paraId="2C7AFA2C" w14:textId="77777777" w:rsidR="00F2541B" w:rsidRDefault="00F2541B" w:rsidP="00F2541B">
      <w:pPr>
        <w:pStyle w:val="FootnoteText"/>
      </w:pPr>
      <w:r>
        <w:rPr>
          <w:rStyle w:val="FootnoteReference"/>
        </w:rPr>
        <w:footnoteRef/>
      </w:r>
      <w:r>
        <w:t xml:space="preserve"> </w:t>
      </w:r>
      <w:r w:rsidRPr="00876F17">
        <w:t xml:space="preserve">S Houghton, M Moss </w:t>
      </w:r>
      <w:r>
        <w:t>and</w:t>
      </w:r>
      <w:r w:rsidRPr="00876F17">
        <w:t xml:space="preserve"> E Casey (2020) </w:t>
      </w:r>
      <w:r>
        <w:t>op. cit.</w:t>
      </w:r>
    </w:p>
  </w:footnote>
  <w:footnote w:id="29">
    <w:p w14:paraId="04DC3B5C" w14:textId="1233CA8E" w:rsidR="00F2541B" w:rsidRDefault="00F2541B" w:rsidP="00F2541B">
      <w:pPr>
        <w:pStyle w:val="FootnoteText"/>
      </w:pPr>
      <w:r>
        <w:rPr>
          <w:rStyle w:val="FootnoteReference"/>
        </w:rPr>
        <w:footnoteRef/>
      </w:r>
      <w:r>
        <w:t xml:space="preserve"> M Busby, </w:t>
      </w:r>
      <w:hyperlink r:id="rId20" w:history="1">
        <w:r w:rsidRPr="002D0B71">
          <w:rPr>
            <w:rStyle w:val="Hyperlink"/>
          </w:rPr>
          <w:t>Revealed: how gambling industry targets poor people and ex-gamblers</w:t>
        </w:r>
      </w:hyperlink>
      <w:r>
        <w:t xml:space="preserve">, </w:t>
      </w:r>
      <w:r w:rsidRPr="002D0B71">
        <w:rPr>
          <w:i/>
          <w:iCs/>
        </w:rPr>
        <w:t>The Guardian</w:t>
      </w:r>
      <w:r>
        <w:t xml:space="preserve">, </w:t>
      </w:r>
      <w:r w:rsidR="00EE6E26">
        <w:t>1 </w:t>
      </w:r>
      <w:r>
        <w:t xml:space="preserve">September 2017, accessed 19 October 2021. </w:t>
      </w:r>
    </w:p>
  </w:footnote>
  <w:footnote w:id="30">
    <w:p w14:paraId="0FDDF5F1" w14:textId="77777777" w:rsidR="00F2541B" w:rsidRDefault="00F2541B" w:rsidP="00F2541B">
      <w:pPr>
        <w:pStyle w:val="FootnoteText"/>
      </w:pPr>
      <w:r>
        <w:rPr>
          <w:rStyle w:val="FootnoteReference"/>
        </w:rPr>
        <w:footnoteRef/>
      </w:r>
      <w:r>
        <w:t xml:space="preserve"> Ibid.</w:t>
      </w:r>
    </w:p>
  </w:footnote>
  <w:footnote w:id="31">
    <w:p w14:paraId="2ED2F146" w14:textId="4A717C15" w:rsidR="00982F5E" w:rsidRDefault="00982F5E" w:rsidP="00E87E29">
      <w:pPr>
        <w:pStyle w:val="FootnoteText"/>
      </w:pPr>
      <w:r>
        <w:rPr>
          <w:rStyle w:val="FootnoteReference"/>
        </w:rPr>
        <w:footnoteRef/>
      </w:r>
      <w:r>
        <w:t xml:space="preserve"> D </w:t>
      </w:r>
      <w:r w:rsidRPr="00982F5E">
        <w:t xml:space="preserve">Meshi, </w:t>
      </w:r>
      <w:r>
        <w:t xml:space="preserve">G </w:t>
      </w:r>
      <w:r w:rsidRPr="00982F5E">
        <w:t xml:space="preserve">Biele, </w:t>
      </w:r>
      <w:r>
        <w:t xml:space="preserve">CW </w:t>
      </w:r>
      <w:r w:rsidRPr="00982F5E">
        <w:t xml:space="preserve">Korn, </w:t>
      </w:r>
      <w:r>
        <w:t xml:space="preserve">HR </w:t>
      </w:r>
      <w:r w:rsidRPr="00982F5E">
        <w:t xml:space="preserve">Heekeren. How expert advice influences decision making. </w:t>
      </w:r>
      <w:r w:rsidRPr="00E87E29">
        <w:rPr>
          <w:i/>
          <w:iCs/>
        </w:rPr>
        <w:t>PLoS One</w:t>
      </w:r>
      <w:r w:rsidRPr="00982F5E">
        <w:t>. 2012;7(11):e49748</w:t>
      </w:r>
      <w:r w:rsidR="00E87E29">
        <w:t xml:space="preserve"> </w:t>
      </w:r>
      <w:r w:rsidR="00E87E29" w:rsidRPr="00E87E29">
        <w:t>DOI: </w:t>
      </w:r>
      <w:hyperlink r:id="rId21" w:tgtFrame="_blank" w:history="1">
        <w:r w:rsidR="00E87E29" w:rsidRPr="00E87E29">
          <w:rPr>
            <w:rStyle w:val="Hyperlink"/>
          </w:rPr>
          <w:t>10.1371/journal.pone.0049748</w:t>
        </w:r>
      </w:hyperlink>
      <w:r w:rsidRPr="00982F5E">
        <w:t>. Epub 2012 Nov 21. PMID: 23185425; PMCID: PMC3504100.</w:t>
      </w:r>
    </w:p>
  </w:footnote>
  <w:footnote w:id="32">
    <w:p w14:paraId="5130D6E5" w14:textId="7EFF35DA" w:rsidR="00F2541B" w:rsidRDefault="00F2541B" w:rsidP="00F2541B">
      <w:pPr>
        <w:pStyle w:val="FootnoteText"/>
      </w:pPr>
      <w:r>
        <w:rPr>
          <w:rStyle w:val="FootnoteReference"/>
        </w:rPr>
        <w:footnoteRef/>
      </w:r>
      <w:r>
        <w:t xml:space="preserve"> Sarah Enterprises Ltd, </w:t>
      </w:r>
      <w:hyperlink r:id="rId22" w:history="1">
        <w:r w:rsidRPr="00183A76">
          <w:rPr>
            <w:rStyle w:val="Hyperlink"/>
          </w:rPr>
          <w:t>All Australian Affiliates</w:t>
        </w:r>
      </w:hyperlink>
      <w:r>
        <w:t xml:space="preserve">, accessed 19 October 2021.  </w:t>
      </w:r>
    </w:p>
  </w:footnote>
  <w:footnote w:id="33">
    <w:p w14:paraId="59B0FFCF" w14:textId="77777777" w:rsidR="00F2541B" w:rsidRDefault="00F2541B" w:rsidP="00F2541B">
      <w:pPr>
        <w:pStyle w:val="FootnoteText"/>
      </w:pPr>
      <w:r>
        <w:rPr>
          <w:rStyle w:val="FootnoteReference"/>
        </w:rPr>
        <w:footnoteRef/>
      </w:r>
      <w:r>
        <w:t xml:space="preserve"> Ibid.</w:t>
      </w:r>
    </w:p>
  </w:footnote>
  <w:footnote w:id="34">
    <w:p w14:paraId="76528243" w14:textId="1FC1D6F8" w:rsidR="00F2541B" w:rsidRDefault="00F2541B" w:rsidP="00F2541B">
      <w:pPr>
        <w:pStyle w:val="FootnoteText"/>
      </w:pPr>
      <w:r>
        <w:rPr>
          <w:rStyle w:val="FootnoteReference"/>
        </w:rPr>
        <w:footnoteRef/>
      </w:r>
      <w:r>
        <w:t xml:space="preserve"> Casino Shortlist, </w:t>
      </w:r>
      <w:hyperlink r:id="rId23" w:history="1">
        <w:r w:rsidRPr="00590297">
          <w:rPr>
            <w:rStyle w:val="Hyperlink"/>
          </w:rPr>
          <w:t>Best VPNs for Australian Online Casinos</w:t>
        </w:r>
      </w:hyperlink>
      <w:r>
        <w:t xml:space="preserve">, accessed 19 October 2021. </w:t>
      </w:r>
    </w:p>
  </w:footnote>
  <w:footnote w:id="35">
    <w:p w14:paraId="565C2AEA" w14:textId="77777777" w:rsidR="00F2541B" w:rsidRDefault="00F2541B" w:rsidP="00F2541B">
      <w:pPr>
        <w:pStyle w:val="FootnoteText"/>
      </w:pPr>
      <w:r>
        <w:rPr>
          <w:rStyle w:val="FootnoteReference"/>
        </w:rPr>
        <w:footnoteRef/>
      </w:r>
      <w:r>
        <w:t xml:space="preserve"> Ibid. </w:t>
      </w:r>
    </w:p>
  </w:footnote>
  <w:footnote w:id="36">
    <w:p w14:paraId="28E74679" w14:textId="50A2DB84" w:rsidR="00F2541B" w:rsidRDefault="00F2541B" w:rsidP="00F2541B">
      <w:pPr>
        <w:pStyle w:val="FootnoteText"/>
      </w:pPr>
      <w:r>
        <w:rPr>
          <w:rStyle w:val="FootnoteReference"/>
        </w:rPr>
        <w:footnoteRef/>
      </w:r>
      <w:r>
        <w:t xml:space="preserve"> Global News Wire</w:t>
      </w:r>
      <w:r w:rsidRPr="00AE22C7">
        <w:t xml:space="preserve">, </w:t>
      </w:r>
      <w:hyperlink r:id="rId24" w:history="1">
        <w:r w:rsidRPr="00FA5E8B">
          <w:rPr>
            <w:rStyle w:val="Hyperlink"/>
          </w:rPr>
          <w:t>10 Best Online Casinos in Australia</w:t>
        </w:r>
      </w:hyperlink>
      <w:r w:rsidRPr="00AE22C7">
        <w:t>: List of Real Money Pokies Sites Rated By Users and Popularity</w:t>
      </w:r>
      <w:r>
        <w:t xml:space="preserve">, 7 April 2021, accessed 19 October 2021. </w:t>
      </w:r>
    </w:p>
  </w:footnote>
  <w:footnote w:id="37">
    <w:p w14:paraId="59135FA2" w14:textId="35CFCBD9" w:rsidR="00FE6549" w:rsidRDefault="00FE6549" w:rsidP="00F2541B">
      <w:pPr>
        <w:pStyle w:val="FootnoteText"/>
      </w:pPr>
      <w:r>
        <w:rPr>
          <w:rStyle w:val="FootnoteReference"/>
        </w:rPr>
        <w:footnoteRef/>
      </w:r>
      <w:r>
        <w:t xml:space="preserve">  Joe Fortune, </w:t>
      </w:r>
      <w:hyperlink r:id="rId25" w:history="1">
        <w:r w:rsidRPr="00A808FE">
          <w:rPr>
            <w:rStyle w:val="Hyperlink"/>
          </w:rPr>
          <w:t>Why become a Joe Fortune affiliate?</w:t>
        </w:r>
      </w:hyperlink>
      <w:r w:rsidR="00EE6E26">
        <w:t>, a</w:t>
      </w:r>
      <w:r>
        <w:t xml:space="preserve">ccessed 19 October 2021. </w:t>
      </w:r>
    </w:p>
  </w:footnote>
  <w:footnote w:id="38">
    <w:p w14:paraId="246B6EDD" w14:textId="77777777" w:rsidR="00F2541B" w:rsidRDefault="00F2541B" w:rsidP="00F2541B">
      <w:pPr>
        <w:pStyle w:val="FootnoteText"/>
      </w:pPr>
      <w:r>
        <w:rPr>
          <w:rStyle w:val="FootnoteReference"/>
        </w:rPr>
        <w:footnoteRef/>
      </w:r>
      <w:r>
        <w:t xml:space="preserve"> </w:t>
      </w:r>
      <w:r w:rsidRPr="00876F17">
        <w:t xml:space="preserve">S Houghton, M Moss </w:t>
      </w:r>
      <w:r>
        <w:t>and</w:t>
      </w:r>
      <w:r w:rsidRPr="00876F17">
        <w:t xml:space="preserve"> E Casey (2020) </w:t>
      </w:r>
      <w:r>
        <w:t>op. cit.</w:t>
      </w:r>
    </w:p>
  </w:footnote>
  <w:footnote w:id="39">
    <w:p w14:paraId="4888C92F" w14:textId="77777777" w:rsidR="00F2541B" w:rsidRDefault="00F2541B" w:rsidP="00F2541B">
      <w:pPr>
        <w:pStyle w:val="FootnoteText"/>
      </w:pPr>
      <w:r>
        <w:rPr>
          <w:rStyle w:val="FootnoteReference"/>
        </w:rPr>
        <w:footnoteRef/>
      </w:r>
      <w:r>
        <w:t xml:space="preserve"> S. </w:t>
      </w:r>
      <w:r w:rsidRPr="00A4154F">
        <w:t xml:space="preserve">Houghton, </w:t>
      </w:r>
      <w:r>
        <w:t xml:space="preserve">A </w:t>
      </w:r>
      <w:r w:rsidRPr="00A4154F">
        <w:t>McNeil,</w:t>
      </w:r>
      <w:r>
        <w:t xml:space="preserve"> M</w:t>
      </w:r>
      <w:r w:rsidRPr="00A4154F">
        <w:t xml:space="preserve"> Hogg.</w:t>
      </w:r>
      <w:r>
        <w:t xml:space="preserve"> and M </w:t>
      </w:r>
      <w:r w:rsidRPr="00A4154F">
        <w:t>Moss, (2019)</w:t>
      </w:r>
      <w:r>
        <w:t>, op. cit.</w:t>
      </w:r>
    </w:p>
  </w:footnote>
  <w:footnote w:id="40">
    <w:p w14:paraId="429AF30E" w14:textId="77777777" w:rsidR="00F2541B" w:rsidRDefault="00F2541B" w:rsidP="00F2541B">
      <w:pPr>
        <w:pStyle w:val="FootnoteText"/>
      </w:pPr>
      <w:r>
        <w:rPr>
          <w:rStyle w:val="FootnoteReference"/>
        </w:rPr>
        <w:footnoteRef/>
      </w:r>
      <w:r>
        <w:t xml:space="preserve"> Ibid. </w:t>
      </w:r>
    </w:p>
  </w:footnote>
  <w:footnote w:id="41">
    <w:p w14:paraId="4D6B37E7" w14:textId="77777777" w:rsidR="00F2541B" w:rsidRDefault="00F2541B" w:rsidP="00F2541B">
      <w:pPr>
        <w:pStyle w:val="FootnoteText"/>
      </w:pPr>
      <w:r>
        <w:rPr>
          <w:rStyle w:val="FootnoteReference"/>
        </w:rPr>
        <w:footnoteRef/>
      </w:r>
      <w:r>
        <w:t xml:space="preserve"> M Busby, op. cit. </w:t>
      </w:r>
    </w:p>
  </w:footnote>
  <w:footnote w:id="42">
    <w:p w14:paraId="254C6E43" w14:textId="71581738" w:rsidR="00F2541B" w:rsidRDefault="00F2541B" w:rsidP="00F2541B">
      <w:pPr>
        <w:pStyle w:val="FootnoteText"/>
      </w:pPr>
      <w:r>
        <w:rPr>
          <w:rStyle w:val="FootnoteReference"/>
        </w:rPr>
        <w:footnoteRef/>
      </w:r>
      <w:r>
        <w:t xml:space="preserve"> </w:t>
      </w:r>
      <w:hyperlink r:id="rId26" w:history="1">
        <w:r>
          <w:rPr>
            <w:rStyle w:val="Hyperlink"/>
          </w:rPr>
          <w:t>Big pokie wins australia - Posts | Facebook</w:t>
        </w:r>
      </w:hyperlink>
      <w:r>
        <w:t xml:space="preserve">, accessed 19 October 2021. </w:t>
      </w:r>
    </w:p>
  </w:footnote>
  <w:footnote w:id="43">
    <w:p w14:paraId="002ED5EA" w14:textId="1C110A1A" w:rsidR="00F2541B" w:rsidRDefault="00F2541B" w:rsidP="00F2541B">
      <w:pPr>
        <w:pStyle w:val="FootnoteText"/>
      </w:pPr>
      <w:r>
        <w:rPr>
          <w:rStyle w:val="FootnoteReference"/>
        </w:rPr>
        <w:footnoteRef/>
      </w:r>
      <w:r>
        <w:t xml:space="preserve"> C Wilson, </w:t>
      </w:r>
      <w:hyperlink r:id="rId27" w:history="1">
        <w:r w:rsidRPr="00873316">
          <w:rPr>
            <w:rStyle w:val="Hyperlink"/>
          </w:rPr>
          <w:t>Some Australians Are Making Careers from Streaming Online Pokies, Calling Themselves ‘Casino Streamers’</w:t>
        </w:r>
      </w:hyperlink>
      <w:r>
        <w:t xml:space="preserve">, </w:t>
      </w:r>
      <w:r w:rsidRPr="00873316">
        <w:rPr>
          <w:i/>
          <w:iCs/>
        </w:rPr>
        <w:t>Kotaku.com</w:t>
      </w:r>
      <w:r>
        <w:t xml:space="preserve">, 3 September 2020, accessed 19 October 2021. </w:t>
      </w:r>
    </w:p>
  </w:footnote>
  <w:footnote w:id="44">
    <w:p w14:paraId="1FD10FC2" w14:textId="77777777" w:rsidR="00F2541B" w:rsidRDefault="00F2541B" w:rsidP="00F2541B">
      <w:pPr>
        <w:pStyle w:val="FootnoteText"/>
      </w:pPr>
      <w:r>
        <w:rPr>
          <w:rStyle w:val="FootnoteReference"/>
        </w:rPr>
        <w:footnoteRef/>
      </w:r>
      <w:r>
        <w:t xml:space="preserve"> Ibid.</w:t>
      </w:r>
    </w:p>
  </w:footnote>
  <w:footnote w:id="45">
    <w:p w14:paraId="32563D3A" w14:textId="7F1F0CA3" w:rsidR="00F2541B" w:rsidRDefault="00F2541B" w:rsidP="00F2541B">
      <w:pPr>
        <w:pStyle w:val="FootnoteText"/>
      </w:pPr>
      <w:r>
        <w:rPr>
          <w:rStyle w:val="FootnoteReference"/>
        </w:rPr>
        <w:footnoteRef/>
      </w:r>
      <w:r>
        <w:t xml:space="preserve"> B </w:t>
      </w:r>
      <w:r w:rsidRPr="00D33F08">
        <w:t>Abarbane</w:t>
      </w:r>
      <w:r>
        <w:t xml:space="preserve">l, D </w:t>
      </w:r>
      <w:r w:rsidRPr="0082595B">
        <w:t>Avramidis</w:t>
      </w:r>
      <w:r>
        <w:t>, L Clarke and M Johnson</w:t>
      </w:r>
      <w:hyperlink r:id="rId28" w:history="1">
        <w:r w:rsidRPr="00D023A1">
          <w:rPr>
            <w:rStyle w:val="Hyperlink"/>
          </w:rPr>
          <w:t>, Gambling live streams on Twitch: What are they and why do they matter?</w:t>
        </w:r>
      </w:hyperlink>
      <w:r>
        <w:t xml:space="preserve"> </w:t>
      </w:r>
      <w:r w:rsidRPr="00D023A1">
        <w:rPr>
          <w:i/>
          <w:iCs/>
        </w:rPr>
        <w:t>The Conversation</w:t>
      </w:r>
      <w:r>
        <w:t xml:space="preserve">, 16 September 2021, accessed 19 October 2021. </w:t>
      </w:r>
    </w:p>
  </w:footnote>
  <w:footnote w:id="46">
    <w:p w14:paraId="3177A154" w14:textId="77777777" w:rsidR="00F2541B" w:rsidRDefault="00F2541B" w:rsidP="00F2541B">
      <w:pPr>
        <w:pStyle w:val="FootnoteText"/>
      </w:pPr>
      <w:r>
        <w:rPr>
          <w:rStyle w:val="FootnoteReference"/>
        </w:rPr>
        <w:footnoteRef/>
      </w:r>
      <w:r>
        <w:t xml:space="preserve"> D </w:t>
      </w:r>
      <w:r w:rsidRPr="008C17DD">
        <w:t xml:space="preserve">Zendle </w:t>
      </w:r>
      <w:r>
        <w:t>(</w:t>
      </w:r>
      <w:r w:rsidRPr="008C17DD">
        <w:t>2020</w:t>
      </w:r>
      <w:r>
        <w:t>),</w:t>
      </w:r>
      <w:r w:rsidRPr="008C17DD">
        <w:t> Beyond loot boxes: a variety of gambling-like practices in video games are linked to both problem gambling and disordered gaming. </w:t>
      </w:r>
      <w:r w:rsidRPr="008C17DD">
        <w:rPr>
          <w:i/>
          <w:iCs/>
        </w:rPr>
        <w:t>PeerJ</w:t>
      </w:r>
      <w:r w:rsidRPr="008C17DD">
        <w:t> 8:e9466 </w:t>
      </w:r>
      <w:hyperlink r:id="rId29" w:history="1">
        <w:r w:rsidRPr="008C17DD">
          <w:rPr>
            <w:rStyle w:val="Hyperlink"/>
          </w:rPr>
          <w:t>https://doi.org/10.7717/peerj.9466</w:t>
        </w:r>
      </w:hyperlink>
    </w:p>
  </w:footnote>
  <w:footnote w:id="47">
    <w:p w14:paraId="5574E363" w14:textId="360B9504" w:rsidR="00F2541B" w:rsidRDefault="00F2541B" w:rsidP="00F2541B">
      <w:pPr>
        <w:pStyle w:val="FootnoteText"/>
      </w:pPr>
      <w:r>
        <w:rPr>
          <w:rStyle w:val="FootnoteReference"/>
        </w:rPr>
        <w:footnoteRef/>
      </w:r>
      <w:r>
        <w:t xml:space="preserve"> H Gannage-Stewart, </w:t>
      </w:r>
      <w:hyperlink r:id="rId30" w:history="1">
        <w:r w:rsidRPr="00211A2B">
          <w:rPr>
            <w:rStyle w:val="Hyperlink"/>
          </w:rPr>
          <w:t>Tottenham Report: Twitch cracks down on gambling affiliates</w:t>
        </w:r>
      </w:hyperlink>
      <w:r>
        <w:t xml:space="preserve">, </w:t>
      </w:r>
      <w:r w:rsidRPr="00FA6843">
        <w:rPr>
          <w:i/>
          <w:iCs/>
        </w:rPr>
        <w:t>CDC Gaming Reports</w:t>
      </w:r>
      <w:r>
        <w:t>, 16 August 2021, accessed 19 October 2021.</w:t>
      </w:r>
    </w:p>
  </w:footnote>
  <w:footnote w:id="48">
    <w:p w14:paraId="00443EEF" w14:textId="77777777" w:rsidR="00F2541B" w:rsidRDefault="00F2541B" w:rsidP="00F2541B">
      <w:pPr>
        <w:pStyle w:val="FootnoteText"/>
      </w:pPr>
      <w:r>
        <w:rPr>
          <w:rStyle w:val="FootnoteReference"/>
        </w:rPr>
        <w:footnoteRef/>
      </w:r>
      <w:r>
        <w:t xml:space="preserve"> Ibid.</w:t>
      </w:r>
    </w:p>
  </w:footnote>
  <w:footnote w:id="49">
    <w:p w14:paraId="552F14DD" w14:textId="77777777" w:rsidR="00F2541B" w:rsidRDefault="00F2541B" w:rsidP="00F2541B">
      <w:pPr>
        <w:pStyle w:val="FootnoteText"/>
      </w:pPr>
      <w:r>
        <w:rPr>
          <w:rStyle w:val="FootnoteReference"/>
        </w:rPr>
        <w:footnoteRef/>
      </w:r>
      <w:r>
        <w:t xml:space="preserve"> Ibid.</w:t>
      </w:r>
    </w:p>
  </w:footnote>
  <w:footnote w:id="50">
    <w:p w14:paraId="0A404B6A" w14:textId="4557FD94" w:rsidR="00F2541B" w:rsidRDefault="00F2541B" w:rsidP="00F2541B">
      <w:pPr>
        <w:pStyle w:val="FootnoteText"/>
      </w:pPr>
      <w:r>
        <w:rPr>
          <w:rStyle w:val="FootnoteReference"/>
        </w:rPr>
        <w:footnoteRef/>
      </w:r>
      <w:r>
        <w:t xml:space="preserve"> C D’Anastasio, </w:t>
      </w:r>
      <w:hyperlink r:id="rId31" w:history="1">
        <w:r w:rsidRPr="007F120E">
          <w:rPr>
            <w:rStyle w:val="Hyperlink"/>
          </w:rPr>
          <w:t>Twitch streamers rake in millions with a shady cypto gambling boom</w:t>
        </w:r>
      </w:hyperlink>
      <w:r>
        <w:t xml:space="preserve">, Wired, 14 July 2021, accessed 19 October 2021. </w:t>
      </w:r>
    </w:p>
  </w:footnote>
  <w:footnote w:id="51">
    <w:p w14:paraId="5F99DD4D" w14:textId="77777777" w:rsidR="00F2541B" w:rsidRDefault="00F2541B" w:rsidP="00F2541B">
      <w:pPr>
        <w:pStyle w:val="FootnoteText"/>
      </w:pPr>
      <w:r>
        <w:rPr>
          <w:rStyle w:val="FootnoteReference"/>
        </w:rPr>
        <w:footnoteRef/>
      </w:r>
      <w:r>
        <w:t xml:space="preserve"> B </w:t>
      </w:r>
      <w:r w:rsidRPr="00D33F08">
        <w:t>Abarbane</w:t>
      </w:r>
      <w:r>
        <w:t xml:space="preserve">l, D </w:t>
      </w:r>
      <w:r w:rsidRPr="0082595B">
        <w:t>Avramidis</w:t>
      </w:r>
      <w:r>
        <w:t>, L Clarke and M Johnson (2021), op. cit.</w:t>
      </w:r>
    </w:p>
  </w:footnote>
  <w:footnote w:id="52">
    <w:p w14:paraId="7961FA77" w14:textId="1F4797AD" w:rsidR="00F2541B" w:rsidRDefault="00F2541B" w:rsidP="00F2541B">
      <w:pPr>
        <w:pStyle w:val="FootnoteText"/>
      </w:pPr>
      <w:r>
        <w:rPr>
          <w:rStyle w:val="FootnoteReference"/>
        </w:rPr>
        <w:footnoteRef/>
      </w:r>
      <w:r>
        <w:t xml:space="preserve"> PR Newswire, </w:t>
      </w:r>
      <w:hyperlink r:id="rId32" w:history="1">
        <w:r w:rsidRPr="00EB7CFA">
          <w:rPr>
            <w:rStyle w:val="Hyperlink"/>
          </w:rPr>
          <w:t>Twitch Gambling Streamers Find a New Home With Time2play</w:t>
        </w:r>
      </w:hyperlink>
      <w:r>
        <w:t xml:space="preserve">, </w:t>
      </w:r>
      <w:r w:rsidRPr="00EB7CFA">
        <w:rPr>
          <w:i/>
          <w:iCs/>
        </w:rPr>
        <w:t>Yahoo Finance</w:t>
      </w:r>
      <w:r>
        <w:t>, 27 August</w:t>
      </w:r>
      <w:r w:rsidR="00EE6E26">
        <w:t xml:space="preserve">  </w:t>
      </w:r>
      <w:r>
        <w:t xml:space="preserve">2021, accessed 19 October 2021. </w:t>
      </w:r>
    </w:p>
  </w:footnote>
  <w:footnote w:id="53">
    <w:p w14:paraId="3ED29C7E" w14:textId="47A5E469" w:rsidR="00F2541B" w:rsidRDefault="00F2541B" w:rsidP="00F2541B">
      <w:pPr>
        <w:pStyle w:val="FootnoteText"/>
      </w:pPr>
      <w:r>
        <w:rPr>
          <w:rStyle w:val="FootnoteReference"/>
        </w:rPr>
        <w:footnoteRef/>
      </w:r>
      <w:r>
        <w:t xml:space="preserve"> F </w:t>
      </w:r>
      <w:r w:rsidRPr="00DF0273">
        <w:t>Mishevski</w:t>
      </w:r>
      <w:r>
        <w:t xml:space="preserve">, </w:t>
      </w:r>
      <w:hyperlink r:id="rId33" w:history="1">
        <w:r w:rsidRPr="00233CCF">
          <w:rPr>
            <w:rStyle w:val="Hyperlink"/>
          </w:rPr>
          <w:t>Time2play Will Be the New Home to Twitch’s Gambling Streamers</w:t>
        </w:r>
      </w:hyperlink>
      <w:r>
        <w:t xml:space="preserve">, </w:t>
      </w:r>
      <w:r w:rsidRPr="00190E0E">
        <w:rPr>
          <w:i/>
          <w:iCs/>
        </w:rPr>
        <w:t>Gambling News</w:t>
      </w:r>
      <w:r>
        <w:t xml:space="preserve">, 31 August 2021, accessed 19 October 2021. </w:t>
      </w:r>
    </w:p>
  </w:footnote>
  <w:footnote w:id="54">
    <w:p w14:paraId="79E9787A" w14:textId="637C6FAF" w:rsidR="00AE375A" w:rsidRDefault="00AE375A" w:rsidP="00AE375A">
      <w:pPr>
        <w:pStyle w:val="FootnoteText"/>
      </w:pPr>
      <w:r>
        <w:rPr>
          <w:rStyle w:val="FootnoteReference"/>
        </w:rPr>
        <w:footnoteRef/>
      </w:r>
      <w:r>
        <w:t xml:space="preserve"> </w:t>
      </w:r>
      <w:r w:rsidR="009418CD">
        <w:t xml:space="preserve">S </w:t>
      </w:r>
      <w:r w:rsidRPr="0018293F">
        <w:t xml:space="preserve">Lawn, </w:t>
      </w:r>
      <w:r w:rsidR="009418CD">
        <w:t xml:space="preserve">C </w:t>
      </w:r>
      <w:r w:rsidRPr="0018293F">
        <w:t>Oster,</w:t>
      </w:r>
      <w:r w:rsidR="00031573">
        <w:t xml:space="preserve"> B</w:t>
      </w:r>
      <w:r w:rsidRPr="0018293F">
        <w:t xml:space="preserve"> Riley, </w:t>
      </w:r>
      <w:r w:rsidR="00031573">
        <w:t xml:space="preserve">D </w:t>
      </w:r>
      <w:r w:rsidRPr="0018293F">
        <w:t>Smith,</w:t>
      </w:r>
      <w:r w:rsidR="00031573">
        <w:t xml:space="preserve"> M</w:t>
      </w:r>
      <w:r w:rsidRPr="0018293F">
        <w:t xml:space="preserve"> Baigent</w:t>
      </w:r>
      <w:r w:rsidR="00031573">
        <w:t xml:space="preserve"> and M</w:t>
      </w:r>
      <w:r w:rsidRPr="0018293F">
        <w:t xml:space="preserve"> Rahamathulla</w:t>
      </w:r>
      <w:r w:rsidR="00031573">
        <w:t xml:space="preserve"> (2020)</w:t>
      </w:r>
      <w:r w:rsidRPr="0018293F">
        <w:t>. A literature review and gap analysis of emerging technologies and new trends in gambling</w:t>
      </w:r>
      <w:r w:rsidRPr="00031573">
        <w:rPr>
          <w:i/>
          <w:iCs/>
        </w:rPr>
        <w:t>. Int J Environ Res Public Health</w:t>
      </w:r>
      <w:r w:rsidRPr="0018293F">
        <w:t>.</w:t>
      </w:r>
      <w:r w:rsidR="00031573">
        <w:t xml:space="preserve">, </w:t>
      </w:r>
      <w:r w:rsidRPr="0018293F">
        <w:t>17(3):744. </w:t>
      </w:r>
      <w:hyperlink r:id="rId34" w:history="1">
        <w:r w:rsidRPr="0018293F">
          <w:rPr>
            <w:rStyle w:val="Hyperlink"/>
          </w:rPr>
          <w:t>https://doi.org/10.3390/ijerph17030744</w:t>
        </w:r>
      </w:hyperlink>
      <w:r w:rsidRPr="0018293F">
        <w:t>.</w:t>
      </w:r>
    </w:p>
  </w:footnote>
  <w:footnote w:id="55">
    <w:p w14:paraId="35B1020C" w14:textId="0DC92CAD" w:rsidR="00AE375A" w:rsidRDefault="00AE375A" w:rsidP="00AE375A">
      <w:pPr>
        <w:pStyle w:val="FootnoteText"/>
      </w:pPr>
      <w:r>
        <w:rPr>
          <w:rStyle w:val="FootnoteReference"/>
        </w:rPr>
        <w:footnoteRef/>
      </w:r>
      <w:r w:rsidR="00031573">
        <w:t xml:space="preserve"> Ibid</w:t>
      </w:r>
      <w:r w:rsidRPr="00632BD5">
        <w:t>.</w:t>
      </w:r>
    </w:p>
  </w:footnote>
  <w:footnote w:id="56">
    <w:p w14:paraId="64E4A844" w14:textId="10EDCC74" w:rsidR="00B40630" w:rsidRDefault="00B40630">
      <w:pPr>
        <w:pStyle w:val="FootnoteText"/>
      </w:pPr>
      <w:r>
        <w:rPr>
          <w:rStyle w:val="FootnoteReference"/>
        </w:rPr>
        <w:footnoteRef/>
      </w:r>
      <w:r>
        <w:t xml:space="preserve"> </w:t>
      </w:r>
      <w:r w:rsidR="00031573">
        <w:t>Ibid</w:t>
      </w:r>
    </w:p>
  </w:footnote>
  <w:footnote w:id="57">
    <w:p w14:paraId="62A8691D" w14:textId="0B641A5B" w:rsidR="00AE375A" w:rsidRDefault="00AE375A" w:rsidP="00AE375A">
      <w:pPr>
        <w:pStyle w:val="FootnoteText"/>
      </w:pPr>
      <w:r>
        <w:rPr>
          <w:rStyle w:val="FootnoteReference"/>
        </w:rPr>
        <w:footnoteRef/>
      </w:r>
      <w:r>
        <w:t xml:space="preserve"> </w:t>
      </w:r>
      <w:r w:rsidR="003452A0">
        <w:t xml:space="preserve">J </w:t>
      </w:r>
      <w:r w:rsidRPr="00FD654C">
        <w:t>Torrance,</w:t>
      </w:r>
      <w:r w:rsidR="003452A0">
        <w:t xml:space="preserve"> </w:t>
      </w:r>
      <w:r w:rsidR="00E966C4">
        <w:t>B</w:t>
      </w:r>
      <w:r w:rsidRPr="00FD654C">
        <w:t xml:space="preserve"> John,</w:t>
      </w:r>
      <w:r w:rsidR="003452A0">
        <w:t xml:space="preserve"> J</w:t>
      </w:r>
      <w:r w:rsidRPr="00FD654C">
        <w:t xml:space="preserve"> Greville. et al.</w:t>
      </w:r>
      <w:r w:rsidR="00B47301">
        <w:t xml:space="preserve"> (2021),</w:t>
      </w:r>
      <w:r w:rsidRPr="00FD654C">
        <w:t xml:space="preserve"> Emergent gambling advertising; a rapid review of marketing content, delivery and structural features. </w:t>
      </w:r>
      <w:r w:rsidRPr="00B47301">
        <w:rPr>
          <w:i/>
          <w:iCs/>
        </w:rPr>
        <w:t>BMC Public Health</w:t>
      </w:r>
      <w:r w:rsidRPr="00FD654C">
        <w:t xml:space="preserve"> 21, 718. </w:t>
      </w:r>
      <w:hyperlink r:id="rId35" w:history="1">
        <w:r w:rsidRPr="004135B8">
          <w:rPr>
            <w:rStyle w:val="Hyperlink"/>
          </w:rPr>
          <w:t>https://doi.org/10.1186/s12889-021-10805-w</w:t>
        </w:r>
      </w:hyperlink>
      <w:r>
        <w:t xml:space="preserve">. </w:t>
      </w:r>
    </w:p>
  </w:footnote>
  <w:footnote w:id="58">
    <w:p w14:paraId="71D566CF" w14:textId="0409258E" w:rsidR="00AE375A" w:rsidRDefault="00AE375A" w:rsidP="00AE375A">
      <w:pPr>
        <w:pStyle w:val="FootnoteText"/>
      </w:pPr>
      <w:r>
        <w:rPr>
          <w:rStyle w:val="FootnoteReference"/>
        </w:rPr>
        <w:footnoteRef/>
      </w:r>
      <w:r>
        <w:t xml:space="preserve"> </w:t>
      </w:r>
      <w:r w:rsidR="00B47301">
        <w:t xml:space="preserve">EA </w:t>
      </w:r>
      <w:r w:rsidRPr="009B3488">
        <w:t xml:space="preserve">Killick </w:t>
      </w:r>
      <w:r w:rsidR="00B47301">
        <w:t>and MD</w:t>
      </w:r>
      <w:r w:rsidRPr="009B3488">
        <w:t xml:space="preserve"> Griffiths</w:t>
      </w:r>
      <w:r w:rsidR="00B47301">
        <w:t xml:space="preserve"> (2020),</w:t>
      </w:r>
      <w:r w:rsidRPr="009B3488">
        <w:t xml:space="preserve"> A content analysis of gambling operators’ twitter accounts at the start of the English premier league football season</w:t>
      </w:r>
      <w:r w:rsidRPr="00B47301">
        <w:rPr>
          <w:i/>
          <w:iCs/>
        </w:rPr>
        <w:t>. J Gambl Stud.</w:t>
      </w:r>
      <w:r w:rsidRPr="009B3488">
        <w:t>36(1):319–41. </w:t>
      </w:r>
      <w:hyperlink r:id="rId36" w:history="1">
        <w:r w:rsidRPr="009B3488">
          <w:rPr>
            <w:rStyle w:val="Hyperlink"/>
          </w:rPr>
          <w:t>https://doi.org/10.1007/s10899-019-09879-4</w:t>
        </w:r>
      </w:hyperlink>
      <w:r w:rsidRPr="009B3488">
        <w:t>.</w:t>
      </w:r>
    </w:p>
  </w:footnote>
  <w:footnote w:id="59">
    <w:p w14:paraId="22D5F4E8" w14:textId="083C3DDB" w:rsidR="00AE375A" w:rsidRDefault="00AE375A" w:rsidP="00AE375A">
      <w:pPr>
        <w:pStyle w:val="FootnoteText"/>
      </w:pPr>
      <w:r>
        <w:rPr>
          <w:rStyle w:val="FootnoteReference"/>
        </w:rPr>
        <w:footnoteRef/>
      </w:r>
      <w:r>
        <w:t xml:space="preserve"> </w:t>
      </w:r>
      <w:r w:rsidR="00B47301">
        <w:t xml:space="preserve">SM </w:t>
      </w:r>
      <w:r w:rsidRPr="00286EDE">
        <w:t>Gainsbury,</w:t>
      </w:r>
      <w:r w:rsidR="00B47301">
        <w:t xml:space="preserve"> P</w:t>
      </w:r>
      <w:r w:rsidRPr="00286EDE">
        <w:t xml:space="preserve"> Delfabbro, </w:t>
      </w:r>
      <w:r w:rsidR="00B47301">
        <w:t xml:space="preserve">DL </w:t>
      </w:r>
      <w:r w:rsidRPr="00286EDE">
        <w:t xml:space="preserve">King </w:t>
      </w:r>
      <w:r w:rsidR="00B47301">
        <w:t xml:space="preserve">and N </w:t>
      </w:r>
      <w:r w:rsidRPr="00286EDE">
        <w:t xml:space="preserve">Hing </w:t>
      </w:r>
      <w:r w:rsidR="00B47301">
        <w:t>(2016),</w:t>
      </w:r>
      <w:r w:rsidRPr="00286EDE">
        <w:t xml:space="preserve"> An exploratory study of gambling operators’ use of social media and the latent messages conveyed</w:t>
      </w:r>
      <w:r w:rsidRPr="00B47301">
        <w:rPr>
          <w:i/>
          <w:iCs/>
        </w:rPr>
        <w:t>. J Gambl Stud</w:t>
      </w:r>
      <w:r w:rsidRPr="00286EDE">
        <w:t>. 32(1):125–41</w:t>
      </w:r>
      <w:r w:rsidR="00EE6E26" w:rsidRPr="00286EDE">
        <w:t>.</w:t>
      </w:r>
      <w:r w:rsidR="00EE6E26">
        <w:t xml:space="preserve"> </w:t>
      </w:r>
      <w:hyperlink r:id="rId37" w:history="1">
        <w:r w:rsidRPr="00286EDE">
          <w:rPr>
            <w:rStyle w:val="Hyperlink"/>
          </w:rPr>
          <w:t>https://doi.org/10.1007/s10899-015-9525-2</w:t>
        </w:r>
      </w:hyperlink>
      <w:r w:rsidRPr="00286EDE">
        <w:t>.</w:t>
      </w:r>
    </w:p>
  </w:footnote>
  <w:footnote w:id="60">
    <w:p w14:paraId="2A8E62C2" w14:textId="7C205DE6" w:rsidR="00F06925" w:rsidRDefault="00F06925">
      <w:pPr>
        <w:pStyle w:val="FootnoteText"/>
      </w:pPr>
      <w:r>
        <w:rPr>
          <w:rStyle w:val="FootnoteReference"/>
        </w:rPr>
        <w:footnoteRef/>
      </w:r>
      <w:r>
        <w:t xml:space="preserve"> </w:t>
      </w:r>
      <w:r w:rsidR="00B16FC7">
        <w:t>Ibid.</w:t>
      </w:r>
    </w:p>
  </w:footnote>
  <w:footnote w:id="61">
    <w:p w14:paraId="05213CBB" w14:textId="0091D9E9" w:rsidR="00AE375A" w:rsidRDefault="00AE375A" w:rsidP="00AE375A">
      <w:pPr>
        <w:pStyle w:val="FootnoteText"/>
      </w:pPr>
      <w:r>
        <w:rPr>
          <w:rStyle w:val="FootnoteReference"/>
        </w:rPr>
        <w:footnoteRef/>
      </w:r>
      <w:r>
        <w:t xml:space="preserve"> </w:t>
      </w:r>
      <w:r w:rsidR="00F37DF1" w:rsidRPr="00876F17">
        <w:t xml:space="preserve">S Houghton, M Moss </w:t>
      </w:r>
      <w:r w:rsidR="00F37DF1">
        <w:t>and</w:t>
      </w:r>
      <w:r w:rsidR="00F37DF1" w:rsidRPr="00876F17">
        <w:t xml:space="preserve"> E Casey (2020) </w:t>
      </w:r>
      <w:r w:rsidR="00F37DF1">
        <w:t>op. cit.</w:t>
      </w:r>
    </w:p>
  </w:footnote>
  <w:footnote w:id="62">
    <w:p w14:paraId="67237A3E" w14:textId="405E91DD" w:rsidR="00AE375A" w:rsidRDefault="00AE375A" w:rsidP="00AE375A">
      <w:pPr>
        <w:pStyle w:val="FootnoteText"/>
      </w:pPr>
      <w:r>
        <w:rPr>
          <w:rStyle w:val="FootnoteReference"/>
        </w:rPr>
        <w:footnoteRef/>
      </w:r>
      <w:r w:rsidR="00FE63BA">
        <w:t xml:space="preserve"> S</w:t>
      </w:r>
      <w:r>
        <w:t xml:space="preserve"> </w:t>
      </w:r>
      <w:r w:rsidRPr="008A69F2">
        <w:t xml:space="preserve">Houghton, </w:t>
      </w:r>
      <w:r w:rsidR="00FE63BA">
        <w:t xml:space="preserve">A </w:t>
      </w:r>
      <w:r w:rsidRPr="008A69F2">
        <w:t xml:space="preserve">McNeil, </w:t>
      </w:r>
      <w:r w:rsidR="00FE63BA">
        <w:t xml:space="preserve">M </w:t>
      </w:r>
      <w:r w:rsidRPr="008A69F2">
        <w:t>Hogg</w:t>
      </w:r>
      <w:r w:rsidR="00FE63BA">
        <w:t xml:space="preserve"> and M </w:t>
      </w:r>
      <w:r w:rsidRPr="008A69F2">
        <w:t>Moss</w:t>
      </w:r>
      <w:r w:rsidR="00FE63BA">
        <w:t xml:space="preserve"> (</w:t>
      </w:r>
      <w:r w:rsidR="0067464C">
        <w:t>2019),</w:t>
      </w:r>
      <w:r w:rsidRPr="008A69F2">
        <w:t xml:space="preserve"> Comparing the twitter posting of British gambling operators and gambling affiliates: a summative content analysis</w:t>
      </w:r>
      <w:r w:rsidRPr="0067464C">
        <w:rPr>
          <w:i/>
          <w:iCs/>
        </w:rPr>
        <w:t>. Int Gambl Stud</w:t>
      </w:r>
      <w:r w:rsidRPr="008A69F2">
        <w:t xml:space="preserve">. 19(2):312–26. </w:t>
      </w:r>
      <w:hyperlink r:id="rId38" w:history="1">
        <w:r w:rsidR="00F37DF1" w:rsidRPr="0056097D">
          <w:rPr>
            <w:rStyle w:val="Hyperlink"/>
          </w:rPr>
          <w:t>https://doi.org/10.1080/14459795.2018.1561923</w:t>
        </w:r>
      </w:hyperlink>
      <w:r w:rsidR="0067464C">
        <w:t>.</w:t>
      </w:r>
    </w:p>
  </w:footnote>
  <w:footnote w:id="63">
    <w:p w14:paraId="7F220B19" w14:textId="77777777" w:rsidR="00337986" w:rsidRDefault="00337986" w:rsidP="00337986">
      <w:pPr>
        <w:pStyle w:val="FootnoteText"/>
      </w:pPr>
      <w:r>
        <w:rPr>
          <w:rStyle w:val="FootnoteReference"/>
        </w:rPr>
        <w:footnoteRef/>
      </w:r>
      <w:r>
        <w:t xml:space="preserve"> Ibid.</w:t>
      </w:r>
    </w:p>
  </w:footnote>
  <w:footnote w:id="64">
    <w:p w14:paraId="22138206" w14:textId="6CC797B3" w:rsidR="00AE375A" w:rsidRDefault="00AE375A" w:rsidP="00AE375A">
      <w:pPr>
        <w:pStyle w:val="FootnoteText"/>
      </w:pPr>
      <w:r>
        <w:rPr>
          <w:rStyle w:val="FootnoteReference"/>
        </w:rPr>
        <w:footnoteRef/>
      </w:r>
      <w:r w:rsidR="00E966C4">
        <w:t xml:space="preserve"> J </w:t>
      </w:r>
      <w:r w:rsidR="00E966C4" w:rsidRPr="00FD654C">
        <w:t>Torrance,</w:t>
      </w:r>
      <w:r w:rsidR="00E966C4">
        <w:t xml:space="preserve"> B</w:t>
      </w:r>
      <w:r w:rsidR="00E966C4" w:rsidRPr="00FD654C">
        <w:t xml:space="preserve"> John,</w:t>
      </w:r>
      <w:r w:rsidR="00E966C4">
        <w:t xml:space="preserve"> J</w:t>
      </w:r>
      <w:r w:rsidR="00E966C4" w:rsidRPr="00FD654C">
        <w:t xml:space="preserve"> Greville. et al.</w:t>
      </w:r>
      <w:r w:rsidR="00E966C4">
        <w:t xml:space="preserve"> (2021)</w:t>
      </w:r>
      <w:r w:rsidR="008262D1">
        <w:t xml:space="preserve"> op. cit</w:t>
      </w:r>
      <w:r w:rsidRPr="005A0C4E">
        <w:t>.</w:t>
      </w:r>
    </w:p>
  </w:footnote>
  <w:footnote w:id="65">
    <w:p w14:paraId="1EB7F06C" w14:textId="1D8743D1" w:rsidR="00AE375A" w:rsidRDefault="00AE375A" w:rsidP="00AE375A">
      <w:pPr>
        <w:pStyle w:val="FootnoteText"/>
      </w:pPr>
      <w:r>
        <w:rPr>
          <w:rStyle w:val="FootnoteReference"/>
        </w:rPr>
        <w:footnoteRef/>
      </w:r>
      <w:r w:rsidR="008262D1">
        <w:t xml:space="preserve"> S </w:t>
      </w:r>
      <w:r w:rsidR="008262D1" w:rsidRPr="008A69F2">
        <w:t xml:space="preserve">Houghton, </w:t>
      </w:r>
      <w:r w:rsidR="008262D1">
        <w:t xml:space="preserve">A </w:t>
      </w:r>
      <w:r w:rsidR="008262D1" w:rsidRPr="008A69F2">
        <w:t xml:space="preserve">McNeil, </w:t>
      </w:r>
      <w:r w:rsidR="008262D1">
        <w:t xml:space="preserve">M </w:t>
      </w:r>
      <w:r w:rsidR="008262D1" w:rsidRPr="008A69F2">
        <w:t>Hogg</w:t>
      </w:r>
      <w:r w:rsidR="008262D1">
        <w:t xml:space="preserve"> and M </w:t>
      </w:r>
      <w:r w:rsidR="008262D1" w:rsidRPr="008A69F2">
        <w:t>Moss</w:t>
      </w:r>
      <w:r w:rsidR="008262D1">
        <w:t xml:space="preserve"> (2019), op. cit.</w:t>
      </w:r>
    </w:p>
  </w:footnote>
  <w:footnote w:id="66">
    <w:p w14:paraId="38B22813" w14:textId="3D64B647" w:rsidR="006903C0" w:rsidRDefault="006903C0" w:rsidP="006903C0">
      <w:pPr>
        <w:pStyle w:val="FootnoteText"/>
      </w:pPr>
      <w:r>
        <w:rPr>
          <w:rStyle w:val="FootnoteReference"/>
        </w:rPr>
        <w:footnoteRef/>
      </w:r>
      <w:bookmarkStart w:id="20" w:name="_Hlk84585140"/>
      <w:r w:rsidR="008262D1">
        <w:t xml:space="preserve"> J </w:t>
      </w:r>
      <w:r w:rsidR="008262D1" w:rsidRPr="00FD654C">
        <w:t>Torrance,</w:t>
      </w:r>
      <w:r w:rsidR="008262D1">
        <w:t xml:space="preserve"> B</w:t>
      </w:r>
      <w:r w:rsidR="008262D1" w:rsidRPr="00FD654C">
        <w:t xml:space="preserve"> John,</w:t>
      </w:r>
      <w:r w:rsidR="008262D1">
        <w:t xml:space="preserve"> J</w:t>
      </w:r>
      <w:r w:rsidR="008262D1" w:rsidRPr="00FD654C">
        <w:t xml:space="preserve"> Greville. et al.</w:t>
      </w:r>
      <w:r w:rsidR="008262D1">
        <w:t xml:space="preserve"> (2021) op. cit</w:t>
      </w:r>
      <w:r w:rsidR="008262D1" w:rsidRPr="005A0C4E">
        <w:t>.</w:t>
      </w:r>
    </w:p>
    <w:bookmarkEnd w:id="20"/>
  </w:footnote>
  <w:footnote w:id="67">
    <w:p w14:paraId="25B83234" w14:textId="0A1DB17C" w:rsidR="006903C0" w:rsidRDefault="006903C0" w:rsidP="006903C0">
      <w:pPr>
        <w:pStyle w:val="FootnoteText"/>
      </w:pPr>
      <w:r>
        <w:rPr>
          <w:rStyle w:val="FootnoteReference"/>
        </w:rPr>
        <w:footnoteRef/>
      </w:r>
      <w:r>
        <w:t xml:space="preserve"> </w:t>
      </w:r>
      <w:r w:rsidR="007D637A">
        <w:t xml:space="preserve">SM </w:t>
      </w:r>
      <w:r w:rsidRPr="00EB2FE4">
        <w:t>Gainsbury</w:t>
      </w:r>
      <w:r w:rsidR="007D637A">
        <w:t>, DL</w:t>
      </w:r>
      <w:r w:rsidRPr="00EB2FE4">
        <w:t xml:space="preserve"> Kin</w:t>
      </w:r>
      <w:r w:rsidR="007D637A">
        <w:t xml:space="preserve">g, N </w:t>
      </w:r>
      <w:r w:rsidRPr="00EB2FE4">
        <w:t xml:space="preserve">Hing </w:t>
      </w:r>
      <w:r w:rsidR="007D637A">
        <w:t xml:space="preserve">and P </w:t>
      </w:r>
      <w:r w:rsidRPr="00EB2FE4">
        <w:t>Delfabbro</w:t>
      </w:r>
      <w:r w:rsidR="007D637A">
        <w:t xml:space="preserve"> (2015),</w:t>
      </w:r>
      <w:r w:rsidRPr="00EB2FE4">
        <w:t xml:space="preserve"> Social media marketing and gambling: an interview study of gambling operators in Australia. </w:t>
      </w:r>
      <w:r w:rsidRPr="007D637A">
        <w:rPr>
          <w:i/>
          <w:iCs/>
        </w:rPr>
        <w:t>Int Gambl Stud</w:t>
      </w:r>
      <w:r w:rsidRPr="00EB2FE4">
        <w:t>. 15(3):377–93</w:t>
      </w:r>
      <w:r w:rsidR="00EE6E26" w:rsidRPr="00EB2FE4">
        <w:t>.</w:t>
      </w:r>
      <w:r w:rsidR="00EE6E26">
        <w:t xml:space="preserve"> </w:t>
      </w:r>
      <w:hyperlink r:id="rId39" w:history="1">
        <w:r w:rsidRPr="00EB2FE4">
          <w:rPr>
            <w:rStyle w:val="Hyperlink"/>
          </w:rPr>
          <w:t>https://doi.org/10.1080/14459795.2015.1058409</w:t>
        </w:r>
      </w:hyperlink>
      <w:r w:rsidRPr="00EB2FE4">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AE75A" w14:textId="77777777" w:rsidR="00C053A1" w:rsidRPr="00A5474E" w:rsidRDefault="00C053A1" w:rsidP="00A5474E">
    <w:pPr>
      <w:pStyle w:val="Header"/>
    </w:pPr>
    <w:r>
      <w:rPr>
        <w:noProof/>
      </w:rPr>
      <w:drawing>
        <wp:inline distT="0" distB="0" distL="0" distR="0" wp14:anchorId="358EA645" wp14:editId="3C8D79E3">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BBF1C"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18E73"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44D41"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BDD614F" w14:textId="77777777" w:rsidTr="00091552">
      <w:trPr>
        <w:trHeight w:hRule="exact" w:val="988"/>
      </w:trPr>
      <w:tc>
        <w:tcPr>
          <w:tcW w:w="7678" w:type="dxa"/>
          <w:shd w:val="clear" w:color="auto" w:fill="auto"/>
        </w:tcPr>
        <w:p w14:paraId="15878A9D" w14:textId="77777777" w:rsidR="00971914" w:rsidRDefault="00971914" w:rsidP="00971914">
          <w:pPr>
            <w:pStyle w:val="Header"/>
          </w:pPr>
        </w:p>
      </w:tc>
    </w:tr>
    <w:tr w:rsidR="00971914" w14:paraId="3A465FBB" w14:textId="77777777" w:rsidTr="00091552">
      <w:tc>
        <w:tcPr>
          <w:tcW w:w="7678" w:type="dxa"/>
          <w:shd w:val="clear" w:color="auto" w:fill="auto"/>
        </w:tcPr>
        <w:p w14:paraId="46EAD6FC" w14:textId="77777777" w:rsidR="00971914" w:rsidRDefault="00971914" w:rsidP="00971914">
          <w:pPr>
            <w:pStyle w:val="GridTable31"/>
          </w:pPr>
          <w:r>
            <w:t xml:space="preserve">Contents </w:t>
          </w:r>
          <w:r w:rsidRPr="00915B1C">
            <w:rPr>
              <w:b w:val="0"/>
              <w:spacing w:val="0"/>
              <w:sz w:val="28"/>
              <w:szCs w:val="28"/>
            </w:rPr>
            <w:t>(Continued)</w:t>
          </w:r>
        </w:p>
      </w:tc>
    </w:tr>
    <w:tr w:rsidR="00971914" w14:paraId="225B6244" w14:textId="77777777" w:rsidTr="00091552">
      <w:trPr>
        <w:trHeight w:val="1220"/>
      </w:trPr>
      <w:tc>
        <w:tcPr>
          <w:tcW w:w="7678" w:type="dxa"/>
          <w:shd w:val="clear" w:color="auto" w:fill="auto"/>
        </w:tcPr>
        <w:p w14:paraId="38D36F23" w14:textId="77777777" w:rsidR="00971914" w:rsidRDefault="00971914" w:rsidP="00971914"/>
      </w:tc>
    </w:tr>
  </w:tbl>
  <w:p w14:paraId="26D5884C"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4814EDDF" w14:textId="77777777" w:rsidTr="00091552">
      <w:trPr>
        <w:trHeight w:hRule="exact" w:val="988"/>
      </w:trPr>
      <w:tc>
        <w:tcPr>
          <w:tcW w:w="7678" w:type="dxa"/>
          <w:shd w:val="clear" w:color="auto" w:fill="auto"/>
        </w:tcPr>
        <w:p w14:paraId="23106C3C" w14:textId="77777777" w:rsidR="00971914" w:rsidRDefault="00971914" w:rsidP="00971914">
          <w:pPr>
            <w:pStyle w:val="Header"/>
          </w:pPr>
        </w:p>
      </w:tc>
    </w:tr>
    <w:tr w:rsidR="00971914" w14:paraId="38DCD5F6" w14:textId="77777777" w:rsidTr="00091552">
      <w:tc>
        <w:tcPr>
          <w:tcW w:w="7678" w:type="dxa"/>
          <w:shd w:val="clear" w:color="auto" w:fill="auto"/>
        </w:tcPr>
        <w:p w14:paraId="65F66711" w14:textId="77777777" w:rsidR="00971914" w:rsidRDefault="00971914" w:rsidP="00971914">
          <w:pPr>
            <w:pStyle w:val="GridTable31"/>
          </w:pPr>
          <w:r>
            <w:t xml:space="preserve">Contents </w:t>
          </w:r>
          <w:r w:rsidRPr="00915B1C">
            <w:rPr>
              <w:b w:val="0"/>
              <w:spacing w:val="0"/>
              <w:sz w:val="28"/>
              <w:szCs w:val="28"/>
            </w:rPr>
            <w:t>(Continued)</w:t>
          </w:r>
        </w:p>
      </w:tc>
    </w:tr>
    <w:tr w:rsidR="00971914" w14:paraId="75A7E9CC" w14:textId="77777777" w:rsidTr="00091552">
      <w:trPr>
        <w:trHeight w:val="1220"/>
      </w:trPr>
      <w:tc>
        <w:tcPr>
          <w:tcW w:w="7678" w:type="dxa"/>
          <w:shd w:val="clear" w:color="auto" w:fill="auto"/>
        </w:tcPr>
        <w:p w14:paraId="0B090F98" w14:textId="77777777" w:rsidR="00971914" w:rsidRDefault="00971914" w:rsidP="00971914"/>
      </w:tc>
    </w:tr>
  </w:tbl>
  <w:p w14:paraId="45C11E10"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79A3B"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69495"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DD8F81C"/>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08E7804"/>
    <w:multiLevelType w:val="multilevel"/>
    <w:tmpl w:val="16FC3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4073838"/>
    <w:multiLevelType w:val="hybridMultilevel"/>
    <w:tmpl w:val="FA1C9ED2"/>
    <w:lvl w:ilvl="0" w:tplc="47C009F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6994009"/>
    <w:multiLevelType w:val="multilevel"/>
    <w:tmpl w:val="D75C69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71B49E3"/>
    <w:multiLevelType w:val="hybridMultilevel"/>
    <w:tmpl w:val="A2C85ECE"/>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9374000"/>
    <w:multiLevelType w:val="hybridMultilevel"/>
    <w:tmpl w:val="2474C90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0A145A26"/>
    <w:multiLevelType w:val="hybridMultilevel"/>
    <w:tmpl w:val="5646139E"/>
    <w:lvl w:ilvl="0" w:tplc="E6B0AE7E">
      <w:start w:val="1"/>
      <w:numFmt w:val="bullet"/>
      <w:lvlText w:val="&gt;"/>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F101B0F"/>
    <w:multiLevelType w:val="multilevel"/>
    <w:tmpl w:val="2BA25D58"/>
    <w:lvl w:ilvl="0">
      <w:start w:val="1"/>
      <w:numFmt w:val="bullet"/>
      <w:lvlText w:val="&gt;"/>
      <w:lvlJc w:val="left"/>
      <w:pPr>
        <w:tabs>
          <w:tab w:val="num" w:pos="720"/>
        </w:tabs>
        <w:ind w:left="720" w:hanging="360"/>
      </w:pPr>
      <w:rPr>
        <w:rFonts w:hint="default"/>
        <w:b w:val="0"/>
        <w:bCs w:val="0"/>
        <w:i w:val="0"/>
        <w:iCs w:val="0"/>
        <w:caps w:val="0"/>
        <w:smallCaps w:val="0"/>
        <w:strike w:val="0"/>
        <w:dstrike w:val="0"/>
        <w:outline w:val="0"/>
        <w:shadow w:val="0"/>
        <w:emboss w:val="0"/>
        <w:imprint w:val="0"/>
        <w:vanish w:val="0"/>
        <w:spacing w:val="0"/>
        <w:kern w:val="0"/>
        <w:position w:val="0"/>
        <w:sz w:val="20"/>
        <w:u w:val="none"/>
        <w:effect w:val="none"/>
        <w:vertAlign w:val="baseline"/>
        <w:em w:val="none"/>
        <w14:ligatures w14:val="none"/>
        <w14:numForm w14:val="default"/>
        <w14:numSpacing w14:val="default"/>
        <w14:stylisticSets/>
        <w14:cntxtAlts w14:val="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7EC60F6"/>
    <w:multiLevelType w:val="hybridMultilevel"/>
    <w:tmpl w:val="B6B004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84540B5"/>
    <w:multiLevelType w:val="hybridMultilevel"/>
    <w:tmpl w:val="DC9CD6AA"/>
    <w:lvl w:ilvl="0" w:tplc="E6B0AE7E">
      <w:start w:val="1"/>
      <w:numFmt w:val="bullet"/>
      <w:lvlText w:val="&gt;"/>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9602B84"/>
    <w:multiLevelType w:val="hybridMultilevel"/>
    <w:tmpl w:val="22B6122E"/>
    <w:lvl w:ilvl="0" w:tplc="E6B0AE7E">
      <w:start w:val="1"/>
      <w:numFmt w:val="bullet"/>
      <w:lvlText w:val="&gt;"/>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E3F07FF"/>
    <w:multiLevelType w:val="hybridMultilevel"/>
    <w:tmpl w:val="C9E84F94"/>
    <w:lvl w:ilvl="0" w:tplc="E6B0AE7E">
      <w:start w:val="1"/>
      <w:numFmt w:val="bullet"/>
      <w:lvlText w:val="&gt;"/>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7EB0975"/>
    <w:multiLevelType w:val="hybridMultilevel"/>
    <w:tmpl w:val="E356DFD4"/>
    <w:lvl w:ilvl="0" w:tplc="0C090001">
      <w:start w:val="1"/>
      <w:numFmt w:val="bullet"/>
      <w:lvlText w:val=""/>
      <w:lvlJc w:val="left"/>
      <w:pPr>
        <w:ind w:left="1288" w:hanging="360"/>
      </w:pPr>
      <w:rPr>
        <w:rFonts w:ascii="Symbol" w:hAnsi="Symbol" w:hint="default"/>
      </w:rPr>
    </w:lvl>
    <w:lvl w:ilvl="1" w:tplc="0C090003" w:tentative="1">
      <w:start w:val="1"/>
      <w:numFmt w:val="bullet"/>
      <w:lvlText w:val="o"/>
      <w:lvlJc w:val="left"/>
      <w:pPr>
        <w:ind w:left="2008" w:hanging="360"/>
      </w:pPr>
      <w:rPr>
        <w:rFonts w:ascii="Courier New" w:hAnsi="Courier New" w:cs="Courier New" w:hint="default"/>
      </w:rPr>
    </w:lvl>
    <w:lvl w:ilvl="2" w:tplc="0C090005" w:tentative="1">
      <w:start w:val="1"/>
      <w:numFmt w:val="bullet"/>
      <w:lvlText w:val=""/>
      <w:lvlJc w:val="left"/>
      <w:pPr>
        <w:ind w:left="2728" w:hanging="360"/>
      </w:pPr>
      <w:rPr>
        <w:rFonts w:ascii="Wingdings" w:hAnsi="Wingdings" w:hint="default"/>
      </w:rPr>
    </w:lvl>
    <w:lvl w:ilvl="3" w:tplc="0C090001" w:tentative="1">
      <w:start w:val="1"/>
      <w:numFmt w:val="bullet"/>
      <w:lvlText w:val=""/>
      <w:lvlJc w:val="left"/>
      <w:pPr>
        <w:ind w:left="3448" w:hanging="360"/>
      </w:pPr>
      <w:rPr>
        <w:rFonts w:ascii="Symbol" w:hAnsi="Symbol" w:hint="default"/>
      </w:rPr>
    </w:lvl>
    <w:lvl w:ilvl="4" w:tplc="0C090003" w:tentative="1">
      <w:start w:val="1"/>
      <w:numFmt w:val="bullet"/>
      <w:lvlText w:val="o"/>
      <w:lvlJc w:val="left"/>
      <w:pPr>
        <w:ind w:left="4168" w:hanging="360"/>
      </w:pPr>
      <w:rPr>
        <w:rFonts w:ascii="Courier New" w:hAnsi="Courier New" w:cs="Courier New" w:hint="default"/>
      </w:rPr>
    </w:lvl>
    <w:lvl w:ilvl="5" w:tplc="0C090005" w:tentative="1">
      <w:start w:val="1"/>
      <w:numFmt w:val="bullet"/>
      <w:lvlText w:val=""/>
      <w:lvlJc w:val="left"/>
      <w:pPr>
        <w:ind w:left="4888" w:hanging="360"/>
      </w:pPr>
      <w:rPr>
        <w:rFonts w:ascii="Wingdings" w:hAnsi="Wingdings" w:hint="default"/>
      </w:rPr>
    </w:lvl>
    <w:lvl w:ilvl="6" w:tplc="0C090001" w:tentative="1">
      <w:start w:val="1"/>
      <w:numFmt w:val="bullet"/>
      <w:lvlText w:val=""/>
      <w:lvlJc w:val="left"/>
      <w:pPr>
        <w:ind w:left="5608" w:hanging="360"/>
      </w:pPr>
      <w:rPr>
        <w:rFonts w:ascii="Symbol" w:hAnsi="Symbol" w:hint="default"/>
      </w:rPr>
    </w:lvl>
    <w:lvl w:ilvl="7" w:tplc="0C090003" w:tentative="1">
      <w:start w:val="1"/>
      <w:numFmt w:val="bullet"/>
      <w:lvlText w:val="o"/>
      <w:lvlJc w:val="left"/>
      <w:pPr>
        <w:ind w:left="6328" w:hanging="360"/>
      </w:pPr>
      <w:rPr>
        <w:rFonts w:ascii="Courier New" w:hAnsi="Courier New" w:cs="Courier New" w:hint="default"/>
      </w:rPr>
    </w:lvl>
    <w:lvl w:ilvl="8" w:tplc="0C090005" w:tentative="1">
      <w:start w:val="1"/>
      <w:numFmt w:val="bullet"/>
      <w:lvlText w:val=""/>
      <w:lvlJc w:val="left"/>
      <w:pPr>
        <w:ind w:left="7048" w:hanging="360"/>
      </w:pPr>
      <w:rPr>
        <w:rFonts w:ascii="Wingdings" w:hAnsi="Wingdings" w:hint="default"/>
      </w:rPr>
    </w:lvl>
  </w:abstractNum>
  <w:abstractNum w:abstractNumId="17" w15:restartNumberingAfterBreak="0">
    <w:nsid w:val="285920FE"/>
    <w:multiLevelType w:val="hybridMultilevel"/>
    <w:tmpl w:val="AF3058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86A22AF"/>
    <w:multiLevelType w:val="hybridMultilevel"/>
    <w:tmpl w:val="ABAC6E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C416EAB"/>
    <w:multiLevelType w:val="hybridMultilevel"/>
    <w:tmpl w:val="A4DCF516"/>
    <w:lvl w:ilvl="0" w:tplc="0C090001">
      <w:start w:val="1"/>
      <w:numFmt w:val="bullet"/>
      <w:lvlText w:val=""/>
      <w:lvlJc w:val="left"/>
      <w:pPr>
        <w:ind w:left="775" w:hanging="360"/>
      </w:pPr>
      <w:rPr>
        <w:rFonts w:ascii="Symbol" w:hAnsi="Symbol" w:hint="default"/>
      </w:rPr>
    </w:lvl>
    <w:lvl w:ilvl="1" w:tplc="0C090003" w:tentative="1">
      <w:start w:val="1"/>
      <w:numFmt w:val="bullet"/>
      <w:lvlText w:val="o"/>
      <w:lvlJc w:val="left"/>
      <w:pPr>
        <w:ind w:left="1495" w:hanging="360"/>
      </w:pPr>
      <w:rPr>
        <w:rFonts w:ascii="Courier New" w:hAnsi="Courier New" w:cs="Courier New" w:hint="default"/>
      </w:rPr>
    </w:lvl>
    <w:lvl w:ilvl="2" w:tplc="0C090005" w:tentative="1">
      <w:start w:val="1"/>
      <w:numFmt w:val="bullet"/>
      <w:lvlText w:val=""/>
      <w:lvlJc w:val="left"/>
      <w:pPr>
        <w:ind w:left="2215" w:hanging="360"/>
      </w:pPr>
      <w:rPr>
        <w:rFonts w:ascii="Wingdings" w:hAnsi="Wingdings" w:hint="default"/>
      </w:rPr>
    </w:lvl>
    <w:lvl w:ilvl="3" w:tplc="0C090001" w:tentative="1">
      <w:start w:val="1"/>
      <w:numFmt w:val="bullet"/>
      <w:lvlText w:val=""/>
      <w:lvlJc w:val="left"/>
      <w:pPr>
        <w:ind w:left="2935" w:hanging="360"/>
      </w:pPr>
      <w:rPr>
        <w:rFonts w:ascii="Symbol" w:hAnsi="Symbol" w:hint="default"/>
      </w:rPr>
    </w:lvl>
    <w:lvl w:ilvl="4" w:tplc="0C090003" w:tentative="1">
      <w:start w:val="1"/>
      <w:numFmt w:val="bullet"/>
      <w:lvlText w:val="o"/>
      <w:lvlJc w:val="left"/>
      <w:pPr>
        <w:ind w:left="3655" w:hanging="360"/>
      </w:pPr>
      <w:rPr>
        <w:rFonts w:ascii="Courier New" w:hAnsi="Courier New" w:cs="Courier New" w:hint="default"/>
      </w:rPr>
    </w:lvl>
    <w:lvl w:ilvl="5" w:tplc="0C090005" w:tentative="1">
      <w:start w:val="1"/>
      <w:numFmt w:val="bullet"/>
      <w:lvlText w:val=""/>
      <w:lvlJc w:val="left"/>
      <w:pPr>
        <w:ind w:left="4375" w:hanging="360"/>
      </w:pPr>
      <w:rPr>
        <w:rFonts w:ascii="Wingdings" w:hAnsi="Wingdings" w:hint="default"/>
      </w:rPr>
    </w:lvl>
    <w:lvl w:ilvl="6" w:tplc="0C090001" w:tentative="1">
      <w:start w:val="1"/>
      <w:numFmt w:val="bullet"/>
      <w:lvlText w:val=""/>
      <w:lvlJc w:val="left"/>
      <w:pPr>
        <w:ind w:left="5095" w:hanging="360"/>
      </w:pPr>
      <w:rPr>
        <w:rFonts w:ascii="Symbol" w:hAnsi="Symbol" w:hint="default"/>
      </w:rPr>
    </w:lvl>
    <w:lvl w:ilvl="7" w:tplc="0C090003" w:tentative="1">
      <w:start w:val="1"/>
      <w:numFmt w:val="bullet"/>
      <w:lvlText w:val="o"/>
      <w:lvlJc w:val="left"/>
      <w:pPr>
        <w:ind w:left="5815" w:hanging="360"/>
      </w:pPr>
      <w:rPr>
        <w:rFonts w:ascii="Courier New" w:hAnsi="Courier New" w:cs="Courier New" w:hint="default"/>
      </w:rPr>
    </w:lvl>
    <w:lvl w:ilvl="8" w:tplc="0C090005" w:tentative="1">
      <w:start w:val="1"/>
      <w:numFmt w:val="bullet"/>
      <w:lvlText w:val=""/>
      <w:lvlJc w:val="left"/>
      <w:pPr>
        <w:ind w:left="6535" w:hanging="360"/>
      </w:pPr>
      <w:rPr>
        <w:rFonts w:ascii="Wingdings" w:hAnsi="Wingdings" w:hint="default"/>
      </w:rPr>
    </w:lvl>
  </w:abstractNum>
  <w:abstractNum w:abstractNumId="20" w15:restartNumberingAfterBreak="0">
    <w:nsid w:val="2D5A21CF"/>
    <w:multiLevelType w:val="hybridMultilevel"/>
    <w:tmpl w:val="737A68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E1B0718"/>
    <w:multiLevelType w:val="multilevel"/>
    <w:tmpl w:val="9D4C1A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E301DD4"/>
    <w:multiLevelType w:val="multilevel"/>
    <w:tmpl w:val="EFC4F69E"/>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3" w15:restartNumberingAfterBreak="0">
    <w:nsid w:val="37B848CB"/>
    <w:multiLevelType w:val="hybridMultilevel"/>
    <w:tmpl w:val="9F7AAD0C"/>
    <w:lvl w:ilvl="0" w:tplc="7BC6DF26">
      <w:start w:val="1"/>
      <w:numFmt w:val="decimal"/>
      <w:lvlText w:val="%1."/>
      <w:lvlJc w:val="left"/>
      <w:pPr>
        <w:ind w:left="1080" w:hanging="72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D6350FF"/>
    <w:multiLevelType w:val="hybridMultilevel"/>
    <w:tmpl w:val="E7AAE308"/>
    <w:lvl w:ilvl="0" w:tplc="E6B0AE7E">
      <w:start w:val="1"/>
      <w:numFmt w:val="bullet"/>
      <w:lvlText w:val="&gt;"/>
      <w:lvlJc w:val="left"/>
      <w:pPr>
        <w:ind w:left="644"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90003">
      <w:start w:val="1"/>
      <w:numFmt w:val="bullet"/>
      <w:lvlText w:val="o"/>
      <w:lvlJc w:val="left"/>
      <w:pPr>
        <w:ind w:left="1364" w:hanging="360"/>
      </w:pPr>
      <w:rPr>
        <w:rFonts w:ascii="Courier New" w:hAnsi="Courier New" w:cs="Courier New" w:hint="default"/>
      </w:rPr>
    </w:lvl>
    <w:lvl w:ilvl="2" w:tplc="0C090005">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25" w15:restartNumberingAfterBreak="0">
    <w:nsid w:val="3EE34C70"/>
    <w:multiLevelType w:val="hybridMultilevel"/>
    <w:tmpl w:val="55DC3D3A"/>
    <w:lvl w:ilvl="0" w:tplc="E6B0AE7E">
      <w:start w:val="1"/>
      <w:numFmt w:val="bullet"/>
      <w:lvlText w:val="&gt;"/>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58A7230"/>
    <w:multiLevelType w:val="hybridMultilevel"/>
    <w:tmpl w:val="C06EC7EC"/>
    <w:lvl w:ilvl="0" w:tplc="E6B0AE7E">
      <w:start w:val="1"/>
      <w:numFmt w:val="bullet"/>
      <w:lvlText w:val="&gt;"/>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95B5DC1"/>
    <w:multiLevelType w:val="hybridMultilevel"/>
    <w:tmpl w:val="E7CAE278"/>
    <w:lvl w:ilvl="0" w:tplc="E6B0AE7E">
      <w:start w:val="1"/>
      <w:numFmt w:val="bullet"/>
      <w:lvlText w:val="&gt;"/>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D8C4B1D"/>
    <w:multiLevelType w:val="hybridMultilevel"/>
    <w:tmpl w:val="AE3EFD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0DC1F2E"/>
    <w:multiLevelType w:val="hybridMultilevel"/>
    <w:tmpl w:val="CF5EC16C"/>
    <w:lvl w:ilvl="0" w:tplc="E6B0AE7E">
      <w:start w:val="1"/>
      <w:numFmt w:val="bullet"/>
      <w:lvlText w:val="&gt;"/>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21D47F0"/>
    <w:multiLevelType w:val="hybridMultilevel"/>
    <w:tmpl w:val="0ACC9BFC"/>
    <w:lvl w:ilvl="0" w:tplc="E6B0AE7E">
      <w:start w:val="1"/>
      <w:numFmt w:val="bullet"/>
      <w:lvlText w:val="&gt;"/>
      <w:lvlJc w:val="left"/>
      <w:pPr>
        <w:ind w:left="108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5071478"/>
    <w:multiLevelType w:val="hybridMultilevel"/>
    <w:tmpl w:val="16D2B96E"/>
    <w:lvl w:ilvl="0" w:tplc="3A9CF91A">
      <w:start w:val="1"/>
      <w:numFmt w:val="decimal"/>
      <w:pStyle w:val="ACMAFigureHeader"/>
      <w:lvlText w:val="Figure %1: "/>
      <w:lvlJc w:val="left"/>
      <w:pPr>
        <w:tabs>
          <w:tab w:val="num" w:pos="2013"/>
        </w:tabs>
        <w:ind w:left="2013"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5361C06"/>
    <w:multiLevelType w:val="hybridMultilevel"/>
    <w:tmpl w:val="96888E7E"/>
    <w:lvl w:ilvl="0" w:tplc="E6B0AE7E">
      <w:start w:val="1"/>
      <w:numFmt w:val="bullet"/>
      <w:lvlText w:val="&gt;"/>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D757AE6"/>
    <w:multiLevelType w:val="hybridMultilevel"/>
    <w:tmpl w:val="0A280EC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56C7F28"/>
    <w:multiLevelType w:val="hybridMultilevel"/>
    <w:tmpl w:val="A692B23A"/>
    <w:lvl w:ilvl="0" w:tplc="E6B0AE7E">
      <w:start w:val="1"/>
      <w:numFmt w:val="bullet"/>
      <w:lvlText w:val="&gt;"/>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9F7398B"/>
    <w:multiLevelType w:val="hybridMultilevel"/>
    <w:tmpl w:val="01B28B18"/>
    <w:lvl w:ilvl="0" w:tplc="E6B0AE7E">
      <w:start w:val="1"/>
      <w:numFmt w:val="bullet"/>
      <w:lvlText w:val="&gt;"/>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AE8644F"/>
    <w:multiLevelType w:val="multilevel"/>
    <w:tmpl w:val="145A20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CAD40C2"/>
    <w:multiLevelType w:val="multilevel"/>
    <w:tmpl w:val="0E9270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E6C54E0"/>
    <w:multiLevelType w:val="hybridMultilevel"/>
    <w:tmpl w:val="ABFC8F3C"/>
    <w:lvl w:ilvl="0" w:tplc="E6B0AE7E">
      <w:start w:val="1"/>
      <w:numFmt w:val="bullet"/>
      <w:lvlText w:val="&gt;"/>
      <w:lvlJc w:val="left"/>
      <w:pPr>
        <w:ind w:left="72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22"/>
  </w:num>
  <w:num w:numId="6">
    <w:abstractNumId w:val="33"/>
  </w:num>
  <w:num w:numId="7">
    <w:abstractNumId w:val="29"/>
  </w:num>
  <w:num w:numId="8">
    <w:abstractNumId w:val="32"/>
  </w:num>
  <w:num w:numId="9">
    <w:abstractNumId w:val="35"/>
  </w:num>
  <w:num w:numId="10">
    <w:abstractNumId w:val="8"/>
  </w:num>
  <w:num w:numId="11">
    <w:abstractNumId w:val="2"/>
    <w:lvlOverride w:ilvl="0">
      <w:startOverride w:val="1"/>
    </w:lvlOverride>
  </w:num>
  <w:num w:numId="12">
    <w:abstractNumId w:val="23"/>
  </w:num>
  <w:num w:numId="13">
    <w:abstractNumId w:val="20"/>
  </w:num>
  <w:num w:numId="14">
    <w:abstractNumId w:val="38"/>
  </w:num>
  <w:num w:numId="15">
    <w:abstractNumId w:val="21"/>
  </w:num>
  <w:num w:numId="16">
    <w:abstractNumId w:val="6"/>
    <w:lvlOverride w:ilvl="0">
      <w:startOverride w:val="1"/>
    </w:lvlOverride>
  </w:num>
  <w:num w:numId="17">
    <w:abstractNumId w:val="4"/>
  </w:num>
  <w:num w:numId="18">
    <w:abstractNumId w:val="3"/>
    <w:lvlOverride w:ilvl="0">
      <w:startOverride w:val="1"/>
    </w:lvlOverride>
  </w:num>
  <w:num w:numId="19">
    <w:abstractNumId w:val="36"/>
  </w:num>
  <w:num w:numId="20">
    <w:abstractNumId w:val="11"/>
  </w:num>
  <w:num w:numId="21">
    <w:abstractNumId w:val="5"/>
  </w:num>
  <w:num w:numId="22">
    <w:abstractNumId w:val="9"/>
  </w:num>
  <w:num w:numId="23">
    <w:abstractNumId w:val="18"/>
  </w:num>
  <w:num w:numId="24">
    <w:abstractNumId w:val="15"/>
  </w:num>
  <w:num w:numId="25">
    <w:abstractNumId w:val="17"/>
  </w:num>
  <w:num w:numId="26">
    <w:abstractNumId w:val="40"/>
  </w:num>
  <w:num w:numId="27">
    <w:abstractNumId w:val="2"/>
    <w:lvlOverride w:ilvl="0">
      <w:startOverride w:val="1"/>
    </w:lvlOverride>
  </w:num>
  <w:num w:numId="28">
    <w:abstractNumId w:val="16"/>
  </w:num>
  <w:num w:numId="29">
    <w:abstractNumId w:val="28"/>
  </w:num>
  <w:num w:numId="30">
    <w:abstractNumId w:val="27"/>
  </w:num>
  <w:num w:numId="31">
    <w:abstractNumId w:val="34"/>
  </w:num>
  <w:num w:numId="32">
    <w:abstractNumId w:val="30"/>
  </w:num>
  <w:num w:numId="33">
    <w:abstractNumId w:val="26"/>
  </w:num>
  <w:num w:numId="34">
    <w:abstractNumId w:val="25"/>
  </w:num>
  <w:num w:numId="35">
    <w:abstractNumId w:val="24"/>
  </w:num>
  <w:num w:numId="36">
    <w:abstractNumId w:val="37"/>
  </w:num>
  <w:num w:numId="37">
    <w:abstractNumId w:val="13"/>
  </w:num>
  <w:num w:numId="38">
    <w:abstractNumId w:val="14"/>
  </w:num>
  <w:num w:numId="39">
    <w:abstractNumId w:val="31"/>
  </w:num>
  <w:num w:numId="40">
    <w:abstractNumId w:val="10"/>
  </w:num>
  <w:num w:numId="41">
    <w:abstractNumId w:val="12"/>
  </w:num>
  <w:num w:numId="42">
    <w:abstractNumId w:val="10"/>
  </w:num>
  <w:num w:numId="43">
    <w:abstractNumId w:val="19"/>
  </w:num>
  <w:num w:numId="44">
    <w:abstractNumId w:val="7"/>
  </w:num>
  <w:num w:numId="45">
    <w:abstractNumId w:val="39"/>
  </w:num>
  <w:num w:numId="46">
    <w:abstractNumId w:val="33"/>
  </w:num>
  <w:num w:numId="47">
    <w:abstractNumId w:val="29"/>
  </w:num>
  <w:num w:numId="48">
    <w:abstractNumId w:val="3"/>
  </w:num>
  <w:num w:numId="49">
    <w:abstractNumId w:val="3"/>
  </w:num>
  <w:num w:numId="50">
    <w:abstractNumId w:val="3"/>
  </w:num>
  <w:num w:numId="51">
    <w:abstractNumId w:val="3"/>
  </w:num>
  <w:num w:numId="52">
    <w:abstractNumId w:val="1"/>
  </w:num>
  <w:num w:numId="53">
    <w:abstractNumId w:val="1"/>
  </w:num>
  <w:num w:numId="54">
    <w:abstractNumId w:val="1"/>
  </w:num>
  <w:num w:numId="55">
    <w:abstractNumId w:val="35"/>
  </w:num>
  <w:num w:numId="56">
    <w:abstractNumId w:val="32"/>
  </w:num>
  <w:num w:numId="57">
    <w:abstractNumId w:val="33"/>
  </w:num>
  <w:num w:numId="58">
    <w:abstractNumId w:val="22"/>
  </w:num>
  <w:num w:numId="59">
    <w:abstractNumId w:val="22"/>
  </w:num>
  <w:num w:numId="60">
    <w:abstractNumId w:val="22"/>
  </w:num>
  <w:num w:numId="61">
    <w:abstractNumId w:val="22"/>
  </w:num>
  <w:num w:numId="62">
    <w:abstractNumId w:val="22"/>
  </w:num>
  <w:num w:numId="63">
    <w:abstractNumId w:val="2"/>
  </w:num>
  <w:num w:numId="64">
    <w:abstractNumId w:val="0"/>
  </w:num>
  <w:num w:numId="65">
    <w:abstractNumId w:val="0"/>
  </w:num>
  <w:num w:numId="66">
    <w:abstractNumId w:val="2"/>
  </w:num>
  <w:num w:numId="67">
    <w:abstractNumId w:val="2"/>
  </w:num>
  <w:num w:numId="68">
    <w:abstractNumId w:val="2"/>
  </w:num>
  <w:num w:numId="69">
    <w:abstractNumId w:val="0"/>
  </w:num>
  <w:num w:numId="70">
    <w:abstractNumId w:val="0"/>
  </w:num>
  <w:num w:numId="71">
    <w:abstractNumId w:val="29"/>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0241">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284D"/>
    <w:rsid w:val="000019D1"/>
    <w:rsid w:val="00002CAD"/>
    <w:rsid w:val="00002F07"/>
    <w:rsid w:val="00002F3A"/>
    <w:rsid w:val="00004844"/>
    <w:rsid w:val="00004D0E"/>
    <w:rsid w:val="000050B0"/>
    <w:rsid w:val="0000573A"/>
    <w:rsid w:val="00005BD6"/>
    <w:rsid w:val="00006DB4"/>
    <w:rsid w:val="0000772B"/>
    <w:rsid w:val="00010667"/>
    <w:rsid w:val="00010A73"/>
    <w:rsid w:val="000123F7"/>
    <w:rsid w:val="000125A0"/>
    <w:rsid w:val="000129D5"/>
    <w:rsid w:val="000143DF"/>
    <w:rsid w:val="000147E5"/>
    <w:rsid w:val="00014878"/>
    <w:rsid w:val="00015AE7"/>
    <w:rsid w:val="00016E21"/>
    <w:rsid w:val="0001719C"/>
    <w:rsid w:val="000175E4"/>
    <w:rsid w:val="0002029E"/>
    <w:rsid w:val="0002067F"/>
    <w:rsid w:val="00020A14"/>
    <w:rsid w:val="00020B53"/>
    <w:rsid w:val="00020CC0"/>
    <w:rsid w:val="000212F7"/>
    <w:rsid w:val="000216DF"/>
    <w:rsid w:val="00021C99"/>
    <w:rsid w:val="00021E20"/>
    <w:rsid w:val="00021F6B"/>
    <w:rsid w:val="0002224E"/>
    <w:rsid w:val="0002275E"/>
    <w:rsid w:val="00022D68"/>
    <w:rsid w:val="00022F08"/>
    <w:rsid w:val="00023A49"/>
    <w:rsid w:val="00023D66"/>
    <w:rsid w:val="000245E5"/>
    <w:rsid w:val="00026F91"/>
    <w:rsid w:val="00027A25"/>
    <w:rsid w:val="00027F0D"/>
    <w:rsid w:val="000301A0"/>
    <w:rsid w:val="0003023C"/>
    <w:rsid w:val="00030351"/>
    <w:rsid w:val="0003045E"/>
    <w:rsid w:val="00031573"/>
    <w:rsid w:val="00031A18"/>
    <w:rsid w:val="00031D0F"/>
    <w:rsid w:val="00031F4C"/>
    <w:rsid w:val="00032777"/>
    <w:rsid w:val="00033302"/>
    <w:rsid w:val="00033FB4"/>
    <w:rsid w:val="000340A8"/>
    <w:rsid w:val="0003414B"/>
    <w:rsid w:val="0003454D"/>
    <w:rsid w:val="00035462"/>
    <w:rsid w:val="0003588D"/>
    <w:rsid w:val="0004044A"/>
    <w:rsid w:val="00040689"/>
    <w:rsid w:val="00041186"/>
    <w:rsid w:val="000411CE"/>
    <w:rsid w:val="00041B80"/>
    <w:rsid w:val="00041D45"/>
    <w:rsid w:val="000420D8"/>
    <w:rsid w:val="00042437"/>
    <w:rsid w:val="00043785"/>
    <w:rsid w:val="00043803"/>
    <w:rsid w:val="000445CC"/>
    <w:rsid w:val="00045BB0"/>
    <w:rsid w:val="00047338"/>
    <w:rsid w:val="00047541"/>
    <w:rsid w:val="000475E9"/>
    <w:rsid w:val="0004764C"/>
    <w:rsid w:val="00047ABF"/>
    <w:rsid w:val="0005011A"/>
    <w:rsid w:val="0005045A"/>
    <w:rsid w:val="00050BEE"/>
    <w:rsid w:val="000517F2"/>
    <w:rsid w:val="00051AEF"/>
    <w:rsid w:val="00051C1E"/>
    <w:rsid w:val="00052288"/>
    <w:rsid w:val="000522B7"/>
    <w:rsid w:val="00052AC9"/>
    <w:rsid w:val="00052C77"/>
    <w:rsid w:val="000539F9"/>
    <w:rsid w:val="00053B72"/>
    <w:rsid w:val="000542F0"/>
    <w:rsid w:val="00054C27"/>
    <w:rsid w:val="00054EC0"/>
    <w:rsid w:val="00055688"/>
    <w:rsid w:val="00055791"/>
    <w:rsid w:val="000558A6"/>
    <w:rsid w:val="00055A1D"/>
    <w:rsid w:val="00055EC3"/>
    <w:rsid w:val="000563CE"/>
    <w:rsid w:val="00056A58"/>
    <w:rsid w:val="00056DBB"/>
    <w:rsid w:val="000602BA"/>
    <w:rsid w:val="00062851"/>
    <w:rsid w:val="000628FA"/>
    <w:rsid w:val="00063809"/>
    <w:rsid w:val="0006397D"/>
    <w:rsid w:val="00063E2A"/>
    <w:rsid w:val="00064A39"/>
    <w:rsid w:val="00064EB0"/>
    <w:rsid w:val="000659B6"/>
    <w:rsid w:val="000663B6"/>
    <w:rsid w:val="0006669A"/>
    <w:rsid w:val="00066743"/>
    <w:rsid w:val="0006686F"/>
    <w:rsid w:val="0006722A"/>
    <w:rsid w:val="00067F14"/>
    <w:rsid w:val="000706D0"/>
    <w:rsid w:val="00070C6A"/>
    <w:rsid w:val="00070E60"/>
    <w:rsid w:val="00071AA2"/>
    <w:rsid w:val="000721CC"/>
    <w:rsid w:val="000732CF"/>
    <w:rsid w:val="000741B6"/>
    <w:rsid w:val="00075405"/>
    <w:rsid w:val="00075B96"/>
    <w:rsid w:val="00076074"/>
    <w:rsid w:val="0007639F"/>
    <w:rsid w:val="00076913"/>
    <w:rsid w:val="00077569"/>
    <w:rsid w:val="000778CF"/>
    <w:rsid w:val="00077A29"/>
    <w:rsid w:val="000806FF"/>
    <w:rsid w:val="000808EC"/>
    <w:rsid w:val="0008196A"/>
    <w:rsid w:val="00082028"/>
    <w:rsid w:val="00082222"/>
    <w:rsid w:val="000823E5"/>
    <w:rsid w:val="0008247C"/>
    <w:rsid w:val="0008289A"/>
    <w:rsid w:val="0008347E"/>
    <w:rsid w:val="0008371F"/>
    <w:rsid w:val="000841B3"/>
    <w:rsid w:val="00084415"/>
    <w:rsid w:val="000854CE"/>
    <w:rsid w:val="0008594D"/>
    <w:rsid w:val="00085FE2"/>
    <w:rsid w:val="000863C5"/>
    <w:rsid w:val="00086823"/>
    <w:rsid w:val="0009064C"/>
    <w:rsid w:val="00091315"/>
    <w:rsid w:val="00091552"/>
    <w:rsid w:val="000915ED"/>
    <w:rsid w:val="0009162B"/>
    <w:rsid w:val="0009162C"/>
    <w:rsid w:val="0009184C"/>
    <w:rsid w:val="0009209D"/>
    <w:rsid w:val="000928D5"/>
    <w:rsid w:val="00092C22"/>
    <w:rsid w:val="000935AA"/>
    <w:rsid w:val="00093E80"/>
    <w:rsid w:val="000941FE"/>
    <w:rsid w:val="0009463C"/>
    <w:rsid w:val="000949AF"/>
    <w:rsid w:val="000952E6"/>
    <w:rsid w:val="00096038"/>
    <w:rsid w:val="000969BD"/>
    <w:rsid w:val="000969BF"/>
    <w:rsid w:val="00096E33"/>
    <w:rsid w:val="00097239"/>
    <w:rsid w:val="00097E6E"/>
    <w:rsid w:val="000A0C22"/>
    <w:rsid w:val="000A1400"/>
    <w:rsid w:val="000A17E4"/>
    <w:rsid w:val="000A2054"/>
    <w:rsid w:val="000A20BF"/>
    <w:rsid w:val="000A29D8"/>
    <w:rsid w:val="000A2CA2"/>
    <w:rsid w:val="000A376A"/>
    <w:rsid w:val="000A37FD"/>
    <w:rsid w:val="000A3C43"/>
    <w:rsid w:val="000A3F5F"/>
    <w:rsid w:val="000A47C5"/>
    <w:rsid w:val="000A4A51"/>
    <w:rsid w:val="000A506B"/>
    <w:rsid w:val="000A5B08"/>
    <w:rsid w:val="000A5D2B"/>
    <w:rsid w:val="000A60F9"/>
    <w:rsid w:val="000A6CD2"/>
    <w:rsid w:val="000A6E9D"/>
    <w:rsid w:val="000A6FBD"/>
    <w:rsid w:val="000A7804"/>
    <w:rsid w:val="000A7EE0"/>
    <w:rsid w:val="000B07A3"/>
    <w:rsid w:val="000B2FC1"/>
    <w:rsid w:val="000B4664"/>
    <w:rsid w:val="000B4737"/>
    <w:rsid w:val="000B5004"/>
    <w:rsid w:val="000B54D8"/>
    <w:rsid w:val="000B59BD"/>
    <w:rsid w:val="000B5DE3"/>
    <w:rsid w:val="000B5E76"/>
    <w:rsid w:val="000B6204"/>
    <w:rsid w:val="000B6823"/>
    <w:rsid w:val="000C00E4"/>
    <w:rsid w:val="000C0505"/>
    <w:rsid w:val="000C05BF"/>
    <w:rsid w:val="000C0A57"/>
    <w:rsid w:val="000C1842"/>
    <w:rsid w:val="000C1B9D"/>
    <w:rsid w:val="000C230C"/>
    <w:rsid w:val="000C23C9"/>
    <w:rsid w:val="000C4757"/>
    <w:rsid w:val="000C5172"/>
    <w:rsid w:val="000C5E9D"/>
    <w:rsid w:val="000C685D"/>
    <w:rsid w:val="000C6AB4"/>
    <w:rsid w:val="000C7A17"/>
    <w:rsid w:val="000D0982"/>
    <w:rsid w:val="000D115D"/>
    <w:rsid w:val="000D1BDC"/>
    <w:rsid w:val="000D1E4E"/>
    <w:rsid w:val="000D2154"/>
    <w:rsid w:val="000D2279"/>
    <w:rsid w:val="000D25A8"/>
    <w:rsid w:val="000D2706"/>
    <w:rsid w:val="000D2EF8"/>
    <w:rsid w:val="000D337C"/>
    <w:rsid w:val="000D4C7D"/>
    <w:rsid w:val="000D5397"/>
    <w:rsid w:val="000D54EE"/>
    <w:rsid w:val="000D590C"/>
    <w:rsid w:val="000D5967"/>
    <w:rsid w:val="000D71D9"/>
    <w:rsid w:val="000D76E0"/>
    <w:rsid w:val="000D7B23"/>
    <w:rsid w:val="000D7E8B"/>
    <w:rsid w:val="000E09CA"/>
    <w:rsid w:val="000E09E4"/>
    <w:rsid w:val="000E16D9"/>
    <w:rsid w:val="000E26DB"/>
    <w:rsid w:val="000E28A4"/>
    <w:rsid w:val="000E28D2"/>
    <w:rsid w:val="000E2C1F"/>
    <w:rsid w:val="000E2F27"/>
    <w:rsid w:val="000E32A8"/>
    <w:rsid w:val="000E38F4"/>
    <w:rsid w:val="000E4449"/>
    <w:rsid w:val="000E44D8"/>
    <w:rsid w:val="000E6097"/>
    <w:rsid w:val="000E711B"/>
    <w:rsid w:val="000E7A4B"/>
    <w:rsid w:val="000F006E"/>
    <w:rsid w:val="000F11C9"/>
    <w:rsid w:val="000F391D"/>
    <w:rsid w:val="000F5154"/>
    <w:rsid w:val="000F5340"/>
    <w:rsid w:val="000F5DB9"/>
    <w:rsid w:val="000F5E22"/>
    <w:rsid w:val="000F6461"/>
    <w:rsid w:val="000F6F0A"/>
    <w:rsid w:val="001019F3"/>
    <w:rsid w:val="00101AB7"/>
    <w:rsid w:val="0010235C"/>
    <w:rsid w:val="00103263"/>
    <w:rsid w:val="00103829"/>
    <w:rsid w:val="00104E7D"/>
    <w:rsid w:val="00104ECC"/>
    <w:rsid w:val="001055A6"/>
    <w:rsid w:val="0010593F"/>
    <w:rsid w:val="00105FB1"/>
    <w:rsid w:val="0010629E"/>
    <w:rsid w:val="001077BA"/>
    <w:rsid w:val="00107C36"/>
    <w:rsid w:val="00111F10"/>
    <w:rsid w:val="00111FCE"/>
    <w:rsid w:val="00113C41"/>
    <w:rsid w:val="00113E8E"/>
    <w:rsid w:val="00113FFD"/>
    <w:rsid w:val="00114007"/>
    <w:rsid w:val="00114785"/>
    <w:rsid w:val="00115ABD"/>
    <w:rsid w:val="00116121"/>
    <w:rsid w:val="00116D2A"/>
    <w:rsid w:val="00117101"/>
    <w:rsid w:val="00120DB0"/>
    <w:rsid w:val="00120E3C"/>
    <w:rsid w:val="00121C09"/>
    <w:rsid w:val="00122506"/>
    <w:rsid w:val="001229A5"/>
    <w:rsid w:val="00123A3B"/>
    <w:rsid w:val="00123A69"/>
    <w:rsid w:val="0012434A"/>
    <w:rsid w:val="00124389"/>
    <w:rsid w:val="001244EC"/>
    <w:rsid w:val="00124696"/>
    <w:rsid w:val="0012489B"/>
    <w:rsid w:val="00124AAC"/>
    <w:rsid w:val="00124CD0"/>
    <w:rsid w:val="001258E1"/>
    <w:rsid w:val="00125B61"/>
    <w:rsid w:val="001266C9"/>
    <w:rsid w:val="00126DBE"/>
    <w:rsid w:val="00127143"/>
    <w:rsid w:val="00127379"/>
    <w:rsid w:val="0012742B"/>
    <w:rsid w:val="00130017"/>
    <w:rsid w:val="0013002B"/>
    <w:rsid w:val="00130F91"/>
    <w:rsid w:val="0013254B"/>
    <w:rsid w:val="00132566"/>
    <w:rsid w:val="001329E3"/>
    <w:rsid w:val="00133C73"/>
    <w:rsid w:val="0013400F"/>
    <w:rsid w:val="0013423F"/>
    <w:rsid w:val="001349ED"/>
    <w:rsid w:val="00134B74"/>
    <w:rsid w:val="00135027"/>
    <w:rsid w:val="001350FC"/>
    <w:rsid w:val="001351D7"/>
    <w:rsid w:val="00135D4D"/>
    <w:rsid w:val="00136993"/>
    <w:rsid w:val="0013704C"/>
    <w:rsid w:val="00137424"/>
    <w:rsid w:val="00137612"/>
    <w:rsid w:val="00137DE6"/>
    <w:rsid w:val="00140318"/>
    <w:rsid w:val="00140BB7"/>
    <w:rsid w:val="00141AD9"/>
    <w:rsid w:val="001422C2"/>
    <w:rsid w:val="00142AD2"/>
    <w:rsid w:val="00143297"/>
    <w:rsid w:val="001436B2"/>
    <w:rsid w:val="00143A46"/>
    <w:rsid w:val="00144768"/>
    <w:rsid w:val="00146178"/>
    <w:rsid w:val="00146CE6"/>
    <w:rsid w:val="00147097"/>
    <w:rsid w:val="001473E3"/>
    <w:rsid w:val="001477FF"/>
    <w:rsid w:val="00150AD5"/>
    <w:rsid w:val="00150D02"/>
    <w:rsid w:val="0015172E"/>
    <w:rsid w:val="00152126"/>
    <w:rsid w:val="00152903"/>
    <w:rsid w:val="00152AE7"/>
    <w:rsid w:val="00153FD5"/>
    <w:rsid w:val="00153FD9"/>
    <w:rsid w:val="00154466"/>
    <w:rsid w:val="0015581D"/>
    <w:rsid w:val="00155B39"/>
    <w:rsid w:val="0015614F"/>
    <w:rsid w:val="0015625D"/>
    <w:rsid w:val="001577C2"/>
    <w:rsid w:val="00157BCE"/>
    <w:rsid w:val="00157E4F"/>
    <w:rsid w:val="00160AB5"/>
    <w:rsid w:val="00160C66"/>
    <w:rsid w:val="001620FC"/>
    <w:rsid w:val="00162156"/>
    <w:rsid w:val="001623B9"/>
    <w:rsid w:val="00163348"/>
    <w:rsid w:val="001633C4"/>
    <w:rsid w:val="00163AB2"/>
    <w:rsid w:val="00163B2D"/>
    <w:rsid w:val="00163D61"/>
    <w:rsid w:val="001648A9"/>
    <w:rsid w:val="001657C6"/>
    <w:rsid w:val="00166370"/>
    <w:rsid w:val="00166A54"/>
    <w:rsid w:val="00167030"/>
    <w:rsid w:val="00167D7C"/>
    <w:rsid w:val="00170153"/>
    <w:rsid w:val="001704D5"/>
    <w:rsid w:val="001708D7"/>
    <w:rsid w:val="00170970"/>
    <w:rsid w:val="00170AA4"/>
    <w:rsid w:val="00171591"/>
    <w:rsid w:val="00171BD5"/>
    <w:rsid w:val="0017328F"/>
    <w:rsid w:val="00173981"/>
    <w:rsid w:val="00174342"/>
    <w:rsid w:val="001747A6"/>
    <w:rsid w:val="0017719D"/>
    <w:rsid w:val="00177227"/>
    <w:rsid w:val="001773A8"/>
    <w:rsid w:val="00180125"/>
    <w:rsid w:val="0018222A"/>
    <w:rsid w:val="0018259B"/>
    <w:rsid w:val="0018293F"/>
    <w:rsid w:val="0018328B"/>
    <w:rsid w:val="001834BC"/>
    <w:rsid w:val="00183855"/>
    <w:rsid w:val="00183A76"/>
    <w:rsid w:val="00183FD7"/>
    <w:rsid w:val="00184261"/>
    <w:rsid w:val="00184717"/>
    <w:rsid w:val="00185CA0"/>
    <w:rsid w:val="00185CAB"/>
    <w:rsid w:val="0018698A"/>
    <w:rsid w:val="00186F1E"/>
    <w:rsid w:val="001875B7"/>
    <w:rsid w:val="0018782C"/>
    <w:rsid w:val="00187CB3"/>
    <w:rsid w:val="00187EC4"/>
    <w:rsid w:val="00190304"/>
    <w:rsid w:val="0019050A"/>
    <w:rsid w:val="0019075B"/>
    <w:rsid w:val="00190E0E"/>
    <w:rsid w:val="001910D4"/>
    <w:rsid w:val="00192FBB"/>
    <w:rsid w:val="0019300A"/>
    <w:rsid w:val="001931BA"/>
    <w:rsid w:val="00194108"/>
    <w:rsid w:val="00194AB1"/>
    <w:rsid w:val="0019519A"/>
    <w:rsid w:val="00195A3E"/>
    <w:rsid w:val="00195A91"/>
    <w:rsid w:val="00196102"/>
    <w:rsid w:val="00196D29"/>
    <w:rsid w:val="001976E3"/>
    <w:rsid w:val="00197C0A"/>
    <w:rsid w:val="001A01DF"/>
    <w:rsid w:val="001A03C1"/>
    <w:rsid w:val="001A0F72"/>
    <w:rsid w:val="001A136E"/>
    <w:rsid w:val="001A1AC8"/>
    <w:rsid w:val="001A1B33"/>
    <w:rsid w:val="001A2296"/>
    <w:rsid w:val="001A29CD"/>
    <w:rsid w:val="001A2AE5"/>
    <w:rsid w:val="001A2BE0"/>
    <w:rsid w:val="001A32FC"/>
    <w:rsid w:val="001A429F"/>
    <w:rsid w:val="001A44EC"/>
    <w:rsid w:val="001A4E60"/>
    <w:rsid w:val="001A53FB"/>
    <w:rsid w:val="001A5BA6"/>
    <w:rsid w:val="001A6B07"/>
    <w:rsid w:val="001B10B4"/>
    <w:rsid w:val="001B1A65"/>
    <w:rsid w:val="001B1DF7"/>
    <w:rsid w:val="001B203E"/>
    <w:rsid w:val="001B20A7"/>
    <w:rsid w:val="001B27CC"/>
    <w:rsid w:val="001B28D9"/>
    <w:rsid w:val="001B31C7"/>
    <w:rsid w:val="001B33C5"/>
    <w:rsid w:val="001B36C8"/>
    <w:rsid w:val="001B3A8D"/>
    <w:rsid w:val="001B3E6D"/>
    <w:rsid w:val="001B4DCF"/>
    <w:rsid w:val="001B4FE0"/>
    <w:rsid w:val="001B58AA"/>
    <w:rsid w:val="001B62EA"/>
    <w:rsid w:val="001B6924"/>
    <w:rsid w:val="001B74B1"/>
    <w:rsid w:val="001B7E48"/>
    <w:rsid w:val="001C0507"/>
    <w:rsid w:val="001C0A05"/>
    <w:rsid w:val="001C0A1E"/>
    <w:rsid w:val="001C0B4B"/>
    <w:rsid w:val="001C16C3"/>
    <w:rsid w:val="001C17CE"/>
    <w:rsid w:val="001C1FCE"/>
    <w:rsid w:val="001C36CA"/>
    <w:rsid w:val="001C44D1"/>
    <w:rsid w:val="001C4DE4"/>
    <w:rsid w:val="001C6AEE"/>
    <w:rsid w:val="001C7630"/>
    <w:rsid w:val="001C7E87"/>
    <w:rsid w:val="001D007D"/>
    <w:rsid w:val="001D12DD"/>
    <w:rsid w:val="001D1B86"/>
    <w:rsid w:val="001D223F"/>
    <w:rsid w:val="001D3ABD"/>
    <w:rsid w:val="001D4A95"/>
    <w:rsid w:val="001D6B68"/>
    <w:rsid w:val="001D6D15"/>
    <w:rsid w:val="001D6D34"/>
    <w:rsid w:val="001D721F"/>
    <w:rsid w:val="001D7465"/>
    <w:rsid w:val="001D7FA0"/>
    <w:rsid w:val="001E0261"/>
    <w:rsid w:val="001E169D"/>
    <w:rsid w:val="001E1A70"/>
    <w:rsid w:val="001E2648"/>
    <w:rsid w:val="001E27CE"/>
    <w:rsid w:val="001E2CF2"/>
    <w:rsid w:val="001E5132"/>
    <w:rsid w:val="001E636C"/>
    <w:rsid w:val="001E7A29"/>
    <w:rsid w:val="001F2B30"/>
    <w:rsid w:val="001F487A"/>
    <w:rsid w:val="001F4A7A"/>
    <w:rsid w:val="001F4DAC"/>
    <w:rsid w:val="001F5334"/>
    <w:rsid w:val="001F6552"/>
    <w:rsid w:val="001F672B"/>
    <w:rsid w:val="001F7558"/>
    <w:rsid w:val="001F788D"/>
    <w:rsid w:val="002000A8"/>
    <w:rsid w:val="00200648"/>
    <w:rsid w:val="00202C3C"/>
    <w:rsid w:val="00202E21"/>
    <w:rsid w:val="00204CD6"/>
    <w:rsid w:val="00205B57"/>
    <w:rsid w:val="00206097"/>
    <w:rsid w:val="00206AD8"/>
    <w:rsid w:val="002106A3"/>
    <w:rsid w:val="0021091E"/>
    <w:rsid w:val="00210936"/>
    <w:rsid w:val="002113B0"/>
    <w:rsid w:val="002119E7"/>
    <w:rsid w:val="00211A2B"/>
    <w:rsid w:val="00211C2F"/>
    <w:rsid w:val="0021269C"/>
    <w:rsid w:val="00213F77"/>
    <w:rsid w:val="00214352"/>
    <w:rsid w:val="002143EF"/>
    <w:rsid w:val="00214C69"/>
    <w:rsid w:val="00214F14"/>
    <w:rsid w:val="0021578A"/>
    <w:rsid w:val="002157E0"/>
    <w:rsid w:val="00216A11"/>
    <w:rsid w:val="00216A44"/>
    <w:rsid w:val="00216A57"/>
    <w:rsid w:val="00217273"/>
    <w:rsid w:val="00217448"/>
    <w:rsid w:val="002205D8"/>
    <w:rsid w:val="00220DF5"/>
    <w:rsid w:val="00221607"/>
    <w:rsid w:val="002219F3"/>
    <w:rsid w:val="00221C53"/>
    <w:rsid w:val="00222285"/>
    <w:rsid w:val="0022334F"/>
    <w:rsid w:val="00224EBE"/>
    <w:rsid w:val="002255E9"/>
    <w:rsid w:val="00226819"/>
    <w:rsid w:val="00226D54"/>
    <w:rsid w:val="0022799D"/>
    <w:rsid w:val="00227ED3"/>
    <w:rsid w:val="00230570"/>
    <w:rsid w:val="00230A8A"/>
    <w:rsid w:val="00230BB1"/>
    <w:rsid w:val="002310A3"/>
    <w:rsid w:val="00231C59"/>
    <w:rsid w:val="002324DC"/>
    <w:rsid w:val="00233101"/>
    <w:rsid w:val="0023344A"/>
    <w:rsid w:val="00233817"/>
    <w:rsid w:val="00233CCF"/>
    <w:rsid w:val="00234BD6"/>
    <w:rsid w:val="00234DD3"/>
    <w:rsid w:val="00236228"/>
    <w:rsid w:val="002367FF"/>
    <w:rsid w:val="00237644"/>
    <w:rsid w:val="002379B3"/>
    <w:rsid w:val="00237BEB"/>
    <w:rsid w:val="00240CE9"/>
    <w:rsid w:val="00241456"/>
    <w:rsid w:val="0024284A"/>
    <w:rsid w:val="00242BE1"/>
    <w:rsid w:val="002434BA"/>
    <w:rsid w:val="00243B65"/>
    <w:rsid w:val="00243C05"/>
    <w:rsid w:val="002443D8"/>
    <w:rsid w:val="002445AD"/>
    <w:rsid w:val="00244791"/>
    <w:rsid w:val="00244CE1"/>
    <w:rsid w:val="00245C74"/>
    <w:rsid w:val="00246089"/>
    <w:rsid w:val="00246093"/>
    <w:rsid w:val="002460D7"/>
    <w:rsid w:val="0024634F"/>
    <w:rsid w:val="00246387"/>
    <w:rsid w:val="00246702"/>
    <w:rsid w:val="00246B7B"/>
    <w:rsid w:val="00247704"/>
    <w:rsid w:val="002479DC"/>
    <w:rsid w:val="00247A4F"/>
    <w:rsid w:val="00247C59"/>
    <w:rsid w:val="00247F2E"/>
    <w:rsid w:val="0025003F"/>
    <w:rsid w:val="0025006E"/>
    <w:rsid w:val="00250ADC"/>
    <w:rsid w:val="00250B07"/>
    <w:rsid w:val="00250B1E"/>
    <w:rsid w:val="00250E30"/>
    <w:rsid w:val="002510C5"/>
    <w:rsid w:val="00251501"/>
    <w:rsid w:val="00251BF6"/>
    <w:rsid w:val="00252319"/>
    <w:rsid w:val="00252F21"/>
    <w:rsid w:val="00252F6C"/>
    <w:rsid w:val="00254B7D"/>
    <w:rsid w:val="002558DB"/>
    <w:rsid w:val="00255AAB"/>
    <w:rsid w:val="0025643B"/>
    <w:rsid w:val="00257553"/>
    <w:rsid w:val="00260FB2"/>
    <w:rsid w:val="00261528"/>
    <w:rsid w:val="002615E9"/>
    <w:rsid w:val="00261607"/>
    <w:rsid w:val="00262128"/>
    <w:rsid w:val="002633C8"/>
    <w:rsid w:val="00263A20"/>
    <w:rsid w:val="002661EA"/>
    <w:rsid w:val="002669A7"/>
    <w:rsid w:val="00266A81"/>
    <w:rsid w:val="00266F35"/>
    <w:rsid w:val="00267357"/>
    <w:rsid w:val="00270F14"/>
    <w:rsid w:val="0027165D"/>
    <w:rsid w:val="00271F44"/>
    <w:rsid w:val="00271F4F"/>
    <w:rsid w:val="00272721"/>
    <w:rsid w:val="00272C9C"/>
    <w:rsid w:val="00273CEB"/>
    <w:rsid w:val="002741B1"/>
    <w:rsid w:val="0027484D"/>
    <w:rsid w:val="002762DD"/>
    <w:rsid w:val="00276AAA"/>
    <w:rsid w:val="00280CF4"/>
    <w:rsid w:val="00281117"/>
    <w:rsid w:val="00281702"/>
    <w:rsid w:val="00281ABB"/>
    <w:rsid w:val="00281C89"/>
    <w:rsid w:val="00281CA3"/>
    <w:rsid w:val="00281EA6"/>
    <w:rsid w:val="00281F90"/>
    <w:rsid w:val="0028282F"/>
    <w:rsid w:val="00282AEA"/>
    <w:rsid w:val="00283095"/>
    <w:rsid w:val="002835B5"/>
    <w:rsid w:val="00283936"/>
    <w:rsid w:val="002839F6"/>
    <w:rsid w:val="002845BE"/>
    <w:rsid w:val="00284D4B"/>
    <w:rsid w:val="00285183"/>
    <w:rsid w:val="0028524E"/>
    <w:rsid w:val="00286EDE"/>
    <w:rsid w:val="002904EF"/>
    <w:rsid w:val="00290BC8"/>
    <w:rsid w:val="00290FB3"/>
    <w:rsid w:val="00290FBF"/>
    <w:rsid w:val="00291794"/>
    <w:rsid w:val="00291DA4"/>
    <w:rsid w:val="00292511"/>
    <w:rsid w:val="002934C9"/>
    <w:rsid w:val="0029390B"/>
    <w:rsid w:val="002951BD"/>
    <w:rsid w:val="0029593B"/>
    <w:rsid w:val="00295D78"/>
    <w:rsid w:val="00295D8B"/>
    <w:rsid w:val="0029649E"/>
    <w:rsid w:val="00296FFC"/>
    <w:rsid w:val="00297524"/>
    <w:rsid w:val="00297C60"/>
    <w:rsid w:val="00297FC5"/>
    <w:rsid w:val="002A0417"/>
    <w:rsid w:val="002A0678"/>
    <w:rsid w:val="002A0AE5"/>
    <w:rsid w:val="002A16D8"/>
    <w:rsid w:val="002A1BC8"/>
    <w:rsid w:val="002A3CF7"/>
    <w:rsid w:val="002A3EF2"/>
    <w:rsid w:val="002A4F90"/>
    <w:rsid w:val="002A5305"/>
    <w:rsid w:val="002A5854"/>
    <w:rsid w:val="002A6066"/>
    <w:rsid w:val="002A6615"/>
    <w:rsid w:val="002A676E"/>
    <w:rsid w:val="002A686D"/>
    <w:rsid w:val="002A72C5"/>
    <w:rsid w:val="002A7A4D"/>
    <w:rsid w:val="002B0331"/>
    <w:rsid w:val="002B073E"/>
    <w:rsid w:val="002B0D10"/>
    <w:rsid w:val="002B0DED"/>
    <w:rsid w:val="002B0F8D"/>
    <w:rsid w:val="002B19A2"/>
    <w:rsid w:val="002B381A"/>
    <w:rsid w:val="002B3AC8"/>
    <w:rsid w:val="002B44B5"/>
    <w:rsid w:val="002B49A0"/>
    <w:rsid w:val="002B4F14"/>
    <w:rsid w:val="002B4FCC"/>
    <w:rsid w:val="002B5A7E"/>
    <w:rsid w:val="002B5C0D"/>
    <w:rsid w:val="002B5CB9"/>
    <w:rsid w:val="002B63F0"/>
    <w:rsid w:val="002B7408"/>
    <w:rsid w:val="002B750D"/>
    <w:rsid w:val="002B7578"/>
    <w:rsid w:val="002B7CFD"/>
    <w:rsid w:val="002C117A"/>
    <w:rsid w:val="002C1C1F"/>
    <w:rsid w:val="002C210F"/>
    <w:rsid w:val="002C2165"/>
    <w:rsid w:val="002C2327"/>
    <w:rsid w:val="002C25A5"/>
    <w:rsid w:val="002C2C09"/>
    <w:rsid w:val="002C3F33"/>
    <w:rsid w:val="002C67DE"/>
    <w:rsid w:val="002D024B"/>
    <w:rsid w:val="002D046A"/>
    <w:rsid w:val="002D09F4"/>
    <w:rsid w:val="002D0AB7"/>
    <w:rsid w:val="002D0B71"/>
    <w:rsid w:val="002D15F7"/>
    <w:rsid w:val="002D198F"/>
    <w:rsid w:val="002D2EA0"/>
    <w:rsid w:val="002D32E6"/>
    <w:rsid w:val="002D3600"/>
    <w:rsid w:val="002D3841"/>
    <w:rsid w:val="002D4731"/>
    <w:rsid w:val="002D4B34"/>
    <w:rsid w:val="002D4D3C"/>
    <w:rsid w:val="002D4E77"/>
    <w:rsid w:val="002D552F"/>
    <w:rsid w:val="002D5ACE"/>
    <w:rsid w:val="002D5C1C"/>
    <w:rsid w:val="002D613A"/>
    <w:rsid w:val="002D6AE3"/>
    <w:rsid w:val="002D6B69"/>
    <w:rsid w:val="002E0E59"/>
    <w:rsid w:val="002E1A1D"/>
    <w:rsid w:val="002E1EC7"/>
    <w:rsid w:val="002E2B80"/>
    <w:rsid w:val="002E2D78"/>
    <w:rsid w:val="002E328C"/>
    <w:rsid w:val="002E4DDC"/>
    <w:rsid w:val="002E5544"/>
    <w:rsid w:val="002E5C9B"/>
    <w:rsid w:val="002E6F46"/>
    <w:rsid w:val="002E7082"/>
    <w:rsid w:val="002E7F37"/>
    <w:rsid w:val="002F108A"/>
    <w:rsid w:val="002F1232"/>
    <w:rsid w:val="002F1DBF"/>
    <w:rsid w:val="002F515A"/>
    <w:rsid w:val="002F53FB"/>
    <w:rsid w:val="002F5B8B"/>
    <w:rsid w:val="002F6088"/>
    <w:rsid w:val="002F63F0"/>
    <w:rsid w:val="002F7B3C"/>
    <w:rsid w:val="00300F9A"/>
    <w:rsid w:val="00302480"/>
    <w:rsid w:val="00302758"/>
    <w:rsid w:val="00302F27"/>
    <w:rsid w:val="0030406C"/>
    <w:rsid w:val="003045C6"/>
    <w:rsid w:val="00304D11"/>
    <w:rsid w:val="00305156"/>
    <w:rsid w:val="00306715"/>
    <w:rsid w:val="003103FF"/>
    <w:rsid w:val="003108AD"/>
    <w:rsid w:val="00310949"/>
    <w:rsid w:val="00310A4C"/>
    <w:rsid w:val="003125FF"/>
    <w:rsid w:val="00313373"/>
    <w:rsid w:val="00313E39"/>
    <w:rsid w:val="0031422D"/>
    <w:rsid w:val="00314711"/>
    <w:rsid w:val="003147DA"/>
    <w:rsid w:val="003148F4"/>
    <w:rsid w:val="00315E14"/>
    <w:rsid w:val="0031644B"/>
    <w:rsid w:val="003165E6"/>
    <w:rsid w:val="00316846"/>
    <w:rsid w:val="003174F7"/>
    <w:rsid w:val="00320912"/>
    <w:rsid w:val="00320CC1"/>
    <w:rsid w:val="00320DDE"/>
    <w:rsid w:val="003215B5"/>
    <w:rsid w:val="00321795"/>
    <w:rsid w:val="003221CF"/>
    <w:rsid w:val="00322345"/>
    <w:rsid w:val="0032279F"/>
    <w:rsid w:val="00322F2C"/>
    <w:rsid w:val="003232FB"/>
    <w:rsid w:val="003233ED"/>
    <w:rsid w:val="00323485"/>
    <w:rsid w:val="00323897"/>
    <w:rsid w:val="00323AB1"/>
    <w:rsid w:val="00324191"/>
    <w:rsid w:val="00324AD0"/>
    <w:rsid w:val="00324D9F"/>
    <w:rsid w:val="00324FF7"/>
    <w:rsid w:val="003253E8"/>
    <w:rsid w:val="0032685C"/>
    <w:rsid w:val="00326A0A"/>
    <w:rsid w:val="00326BA3"/>
    <w:rsid w:val="00326E04"/>
    <w:rsid w:val="00327948"/>
    <w:rsid w:val="00327FEB"/>
    <w:rsid w:val="0033000F"/>
    <w:rsid w:val="00330270"/>
    <w:rsid w:val="00330347"/>
    <w:rsid w:val="00332011"/>
    <w:rsid w:val="00332518"/>
    <w:rsid w:val="00332925"/>
    <w:rsid w:val="003332ED"/>
    <w:rsid w:val="003337EF"/>
    <w:rsid w:val="00333C17"/>
    <w:rsid w:val="003346D2"/>
    <w:rsid w:val="003347E1"/>
    <w:rsid w:val="00334A75"/>
    <w:rsid w:val="00334CBF"/>
    <w:rsid w:val="00335503"/>
    <w:rsid w:val="003368DC"/>
    <w:rsid w:val="00336990"/>
    <w:rsid w:val="003373E4"/>
    <w:rsid w:val="003377D0"/>
    <w:rsid w:val="00337986"/>
    <w:rsid w:val="00340873"/>
    <w:rsid w:val="0034105E"/>
    <w:rsid w:val="0034208A"/>
    <w:rsid w:val="00342F91"/>
    <w:rsid w:val="00343731"/>
    <w:rsid w:val="003445C3"/>
    <w:rsid w:val="003451AB"/>
    <w:rsid w:val="003452A0"/>
    <w:rsid w:val="0034539A"/>
    <w:rsid w:val="00345429"/>
    <w:rsid w:val="0034581E"/>
    <w:rsid w:val="00345927"/>
    <w:rsid w:val="00345B04"/>
    <w:rsid w:val="00346EAC"/>
    <w:rsid w:val="00347167"/>
    <w:rsid w:val="00347CB5"/>
    <w:rsid w:val="00347EC1"/>
    <w:rsid w:val="003503CD"/>
    <w:rsid w:val="003504E5"/>
    <w:rsid w:val="00350584"/>
    <w:rsid w:val="00350D95"/>
    <w:rsid w:val="003516B3"/>
    <w:rsid w:val="00351857"/>
    <w:rsid w:val="00351B13"/>
    <w:rsid w:val="00351EA1"/>
    <w:rsid w:val="003521F7"/>
    <w:rsid w:val="00352336"/>
    <w:rsid w:val="00352866"/>
    <w:rsid w:val="00352946"/>
    <w:rsid w:val="00352E84"/>
    <w:rsid w:val="003533AC"/>
    <w:rsid w:val="003540B2"/>
    <w:rsid w:val="003545E8"/>
    <w:rsid w:val="00354A49"/>
    <w:rsid w:val="00355322"/>
    <w:rsid w:val="00356FE8"/>
    <w:rsid w:val="00357620"/>
    <w:rsid w:val="00357F3D"/>
    <w:rsid w:val="003610E1"/>
    <w:rsid w:val="00361E72"/>
    <w:rsid w:val="00362D11"/>
    <w:rsid w:val="00363821"/>
    <w:rsid w:val="0036427F"/>
    <w:rsid w:val="003644B7"/>
    <w:rsid w:val="00364C7B"/>
    <w:rsid w:val="003658AE"/>
    <w:rsid w:val="003671BE"/>
    <w:rsid w:val="003671FB"/>
    <w:rsid w:val="0036755D"/>
    <w:rsid w:val="0037063F"/>
    <w:rsid w:val="00371B59"/>
    <w:rsid w:val="00372485"/>
    <w:rsid w:val="00372DDA"/>
    <w:rsid w:val="00372F7D"/>
    <w:rsid w:val="00373200"/>
    <w:rsid w:val="00373C8C"/>
    <w:rsid w:val="0037466C"/>
    <w:rsid w:val="00374900"/>
    <w:rsid w:val="00375C21"/>
    <w:rsid w:val="00375C2B"/>
    <w:rsid w:val="00375EF5"/>
    <w:rsid w:val="003763FA"/>
    <w:rsid w:val="003767A5"/>
    <w:rsid w:val="00377EB9"/>
    <w:rsid w:val="00377F3D"/>
    <w:rsid w:val="00380890"/>
    <w:rsid w:val="00380C6E"/>
    <w:rsid w:val="00380F72"/>
    <w:rsid w:val="00381B50"/>
    <w:rsid w:val="00381D01"/>
    <w:rsid w:val="00381D15"/>
    <w:rsid w:val="003820EF"/>
    <w:rsid w:val="0038350D"/>
    <w:rsid w:val="00384B1F"/>
    <w:rsid w:val="00385254"/>
    <w:rsid w:val="00385C0A"/>
    <w:rsid w:val="0038617D"/>
    <w:rsid w:val="0038641D"/>
    <w:rsid w:val="00387B3F"/>
    <w:rsid w:val="00387BFC"/>
    <w:rsid w:val="003903B8"/>
    <w:rsid w:val="00392988"/>
    <w:rsid w:val="003935F3"/>
    <w:rsid w:val="003940CE"/>
    <w:rsid w:val="00394A2F"/>
    <w:rsid w:val="003951E4"/>
    <w:rsid w:val="003957CD"/>
    <w:rsid w:val="00396ED5"/>
    <w:rsid w:val="00396EF8"/>
    <w:rsid w:val="00396F47"/>
    <w:rsid w:val="00397FAC"/>
    <w:rsid w:val="003A04DB"/>
    <w:rsid w:val="003A0FBD"/>
    <w:rsid w:val="003A18FD"/>
    <w:rsid w:val="003A31CE"/>
    <w:rsid w:val="003A3507"/>
    <w:rsid w:val="003A3EDF"/>
    <w:rsid w:val="003A4C5D"/>
    <w:rsid w:val="003A4F74"/>
    <w:rsid w:val="003A5374"/>
    <w:rsid w:val="003A54B7"/>
    <w:rsid w:val="003A5E8A"/>
    <w:rsid w:val="003A5F5B"/>
    <w:rsid w:val="003A6A76"/>
    <w:rsid w:val="003A727E"/>
    <w:rsid w:val="003A789A"/>
    <w:rsid w:val="003B054F"/>
    <w:rsid w:val="003B1124"/>
    <w:rsid w:val="003B12EC"/>
    <w:rsid w:val="003B1D00"/>
    <w:rsid w:val="003B3116"/>
    <w:rsid w:val="003B3C08"/>
    <w:rsid w:val="003B3D92"/>
    <w:rsid w:val="003B4A57"/>
    <w:rsid w:val="003B54E8"/>
    <w:rsid w:val="003B6D14"/>
    <w:rsid w:val="003B79D9"/>
    <w:rsid w:val="003C0925"/>
    <w:rsid w:val="003C25D5"/>
    <w:rsid w:val="003C2BE7"/>
    <w:rsid w:val="003C331A"/>
    <w:rsid w:val="003C4CB1"/>
    <w:rsid w:val="003C4F58"/>
    <w:rsid w:val="003C4FA6"/>
    <w:rsid w:val="003C5F7A"/>
    <w:rsid w:val="003C7459"/>
    <w:rsid w:val="003C77E0"/>
    <w:rsid w:val="003C7908"/>
    <w:rsid w:val="003C7AD3"/>
    <w:rsid w:val="003D0CF9"/>
    <w:rsid w:val="003D10CA"/>
    <w:rsid w:val="003D1201"/>
    <w:rsid w:val="003D134A"/>
    <w:rsid w:val="003D17D7"/>
    <w:rsid w:val="003D21EF"/>
    <w:rsid w:val="003D24B7"/>
    <w:rsid w:val="003D2678"/>
    <w:rsid w:val="003D267D"/>
    <w:rsid w:val="003D31BC"/>
    <w:rsid w:val="003D34D0"/>
    <w:rsid w:val="003D367E"/>
    <w:rsid w:val="003D3E3C"/>
    <w:rsid w:val="003D5A40"/>
    <w:rsid w:val="003D71A3"/>
    <w:rsid w:val="003D73F7"/>
    <w:rsid w:val="003E02FD"/>
    <w:rsid w:val="003E0515"/>
    <w:rsid w:val="003E07E2"/>
    <w:rsid w:val="003E0A38"/>
    <w:rsid w:val="003E0DA2"/>
    <w:rsid w:val="003E1B60"/>
    <w:rsid w:val="003E2B8A"/>
    <w:rsid w:val="003E4B1F"/>
    <w:rsid w:val="003E5167"/>
    <w:rsid w:val="003E6964"/>
    <w:rsid w:val="003E6C98"/>
    <w:rsid w:val="003F02A6"/>
    <w:rsid w:val="003F10EE"/>
    <w:rsid w:val="003F16F6"/>
    <w:rsid w:val="003F2057"/>
    <w:rsid w:val="003F2318"/>
    <w:rsid w:val="003F2738"/>
    <w:rsid w:val="003F33BB"/>
    <w:rsid w:val="003F3878"/>
    <w:rsid w:val="003F3CB6"/>
    <w:rsid w:val="003F3D62"/>
    <w:rsid w:val="003F47C6"/>
    <w:rsid w:val="003F4900"/>
    <w:rsid w:val="003F4DC7"/>
    <w:rsid w:val="003F5235"/>
    <w:rsid w:val="003F5A4E"/>
    <w:rsid w:val="003F60E5"/>
    <w:rsid w:val="003F6668"/>
    <w:rsid w:val="003F67C4"/>
    <w:rsid w:val="00400578"/>
    <w:rsid w:val="0040061C"/>
    <w:rsid w:val="00400A55"/>
    <w:rsid w:val="00400D1F"/>
    <w:rsid w:val="0040136F"/>
    <w:rsid w:val="00401A04"/>
    <w:rsid w:val="004027E4"/>
    <w:rsid w:val="0040379E"/>
    <w:rsid w:val="00403C05"/>
    <w:rsid w:val="00403D41"/>
    <w:rsid w:val="00403DA4"/>
    <w:rsid w:val="00403EB6"/>
    <w:rsid w:val="004053BB"/>
    <w:rsid w:val="004055AC"/>
    <w:rsid w:val="0040574E"/>
    <w:rsid w:val="00405CE9"/>
    <w:rsid w:val="00405E81"/>
    <w:rsid w:val="004067B8"/>
    <w:rsid w:val="00406E2C"/>
    <w:rsid w:val="0040726C"/>
    <w:rsid w:val="004074B3"/>
    <w:rsid w:val="00407A67"/>
    <w:rsid w:val="0041071D"/>
    <w:rsid w:val="00410930"/>
    <w:rsid w:val="00411723"/>
    <w:rsid w:val="00411B5D"/>
    <w:rsid w:val="004126D1"/>
    <w:rsid w:val="00414AFC"/>
    <w:rsid w:val="00414DB4"/>
    <w:rsid w:val="004151A7"/>
    <w:rsid w:val="00415310"/>
    <w:rsid w:val="00415528"/>
    <w:rsid w:val="00415F99"/>
    <w:rsid w:val="004162ED"/>
    <w:rsid w:val="00416456"/>
    <w:rsid w:val="004171AC"/>
    <w:rsid w:val="00420182"/>
    <w:rsid w:val="004212D3"/>
    <w:rsid w:val="00421709"/>
    <w:rsid w:val="0042212A"/>
    <w:rsid w:val="00423763"/>
    <w:rsid w:val="00423FD1"/>
    <w:rsid w:val="00424558"/>
    <w:rsid w:val="004257D4"/>
    <w:rsid w:val="00425F8F"/>
    <w:rsid w:val="00426868"/>
    <w:rsid w:val="00426A50"/>
    <w:rsid w:val="0042762F"/>
    <w:rsid w:val="004276B4"/>
    <w:rsid w:val="00427DC7"/>
    <w:rsid w:val="00431613"/>
    <w:rsid w:val="00431792"/>
    <w:rsid w:val="00432620"/>
    <w:rsid w:val="0043297A"/>
    <w:rsid w:val="00432E66"/>
    <w:rsid w:val="00432EB2"/>
    <w:rsid w:val="00433190"/>
    <w:rsid w:val="00433239"/>
    <w:rsid w:val="0043378E"/>
    <w:rsid w:val="00433930"/>
    <w:rsid w:val="00434021"/>
    <w:rsid w:val="00435614"/>
    <w:rsid w:val="0043631A"/>
    <w:rsid w:val="00436D8C"/>
    <w:rsid w:val="0043714F"/>
    <w:rsid w:val="004371AC"/>
    <w:rsid w:val="004376F3"/>
    <w:rsid w:val="004379F3"/>
    <w:rsid w:val="00437B26"/>
    <w:rsid w:val="00441ABC"/>
    <w:rsid w:val="00441B00"/>
    <w:rsid w:val="004438B5"/>
    <w:rsid w:val="004450C9"/>
    <w:rsid w:val="0044559F"/>
    <w:rsid w:val="00445A33"/>
    <w:rsid w:val="00445AA2"/>
    <w:rsid w:val="00445BED"/>
    <w:rsid w:val="00447037"/>
    <w:rsid w:val="004471F9"/>
    <w:rsid w:val="004505E2"/>
    <w:rsid w:val="0045124D"/>
    <w:rsid w:val="00451807"/>
    <w:rsid w:val="00452072"/>
    <w:rsid w:val="00453589"/>
    <w:rsid w:val="00454214"/>
    <w:rsid w:val="00454596"/>
    <w:rsid w:val="00455113"/>
    <w:rsid w:val="00455180"/>
    <w:rsid w:val="0045536F"/>
    <w:rsid w:val="00455EFD"/>
    <w:rsid w:val="0045605D"/>
    <w:rsid w:val="004576BB"/>
    <w:rsid w:val="00460EE6"/>
    <w:rsid w:val="0046135B"/>
    <w:rsid w:val="0046147C"/>
    <w:rsid w:val="00461558"/>
    <w:rsid w:val="0046197A"/>
    <w:rsid w:val="00461D47"/>
    <w:rsid w:val="00463659"/>
    <w:rsid w:val="0046549B"/>
    <w:rsid w:val="004662D5"/>
    <w:rsid w:val="004673D7"/>
    <w:rsid w:val="004677B9"/>
    <w:rsid w:val="00467B15"/>
    <w:rsid w:val="00467D03"/>
    <w:rsid w:val="00467E32"/>
    <w:rsid w:val="004701AE"/>
    <w:rsid w:val="00470C8D"/>
    <w:rsid w:val="004713E2"/>
    <w:rsid w:val="004718CC"/>
    <w:rsid w:val="00472A51"/>
    <w:rsid w:val="00474883"/>
    <w:rsid w:val="004748F7"/>
    <w:rsid w:val="00475960"/>
    <w:rsid w:val="004767D6"/>
    <w:rsid w:val="00477412"/>
    <w:rsid w:val="004779D0"/>
    <w:rsid w:val="004806FF"/>
    <w:rsid w:val="00480A84"/>
    <w:rsid w:val="00480D92"/>
    <w:rsid w:val="00481695"/>
    <w:rsid w:val="00481FC2"/>
    <w:rsid w:val="00482BDA"/>
    <w:rsid w:val="00482E62"/>
    <w:rsid w:val="00482F74"/>
    <w:rsid w:val="00482FC5"/>
    <w:rsid w:val="004833E7"/>
    <w:rsid w:val="00484561"/>
    <w:rsid w:val="004852E8"/>
    <w:rsid w:val="00485859"/>
    <w:rsid w:val="004862E0"/>
    <w:rsid w:val="0048708B"/>
    <w:rsid w:val="00490944"/>
    <w:rsid w:val="00490D5B"/>
    <w:rsid w:val="004927D5"/>
    <w:rsid w:val="00492E69"/>
    <w:rsid w:val="0049305F"/>
    <w:rsid w:val="004936A3"/>
    <w:rsid w:val="0049481D"/>
    <w:rsid w:val="004948CB"/>
    <w:rsid w:val="00494A56"/>
    <w:rsid w:val="004956C0"/>
    <w:rsid w:val="00495800"/>
    <w:rsid w:val="00495A96"/>
    <w:rsid w:val="00495BB3"/>
    <w:rsid w:val="00496669"/>
    <w:rsid w:val="004978DE"/>
    <w:rsid w:val="00497E93"/>
    <w:rsid w:val="004A02D6"/>
    <w:rsid w:val="004A0938"/>
    <w:rsid w:val="004A14B5"/>
    <w:rsid w:val="004A1A29"/>
    <w:rsid w:val="004A1EEA"/>
    <w:rsid w:val="004A2045"/>
    <w:rsid w:val="004A2227"/>
    <w:rsid w:val="004A2D6A"/>
    <w:rsid w:val="004A3C84"/>
    <w:rsid w:val="004A56BB"/>
    <w:rsid w:val="004A5ED3"/>
    <w:rsid w:val="004A70D6"/>
    <w:rsid w:val="004A70EE"/>
    <w:rsid w:val="004A7A93"/>
    <w:rsid w:val="004B12CB"/>
    <w:rsid w:val="004B1751"/>
    <w:rsid w:val="004B2863"/>
    <w:rsid w:val="004B2E34"/>
    <w:rsid w:val="004B34D1"/>
    <w:rsid w:val="004B37E0"/>
    <w:rsid w:val="004B4155"/>
    <w:rsid w:val="004B43D1"/>
    <w:rsid w:val="004B4721"/>
    <w:rsid w:val="004B4725"/>
    <w:rsid w:val="004B506E"/>
    <w:rsid w:val="004B5D68"/>
    <w:rsid w:val="004B6E5A"/>
    <w:rsid w:val="004B6E9F"/>
    <w:rsid w:val="004B7295"/>
    <w:rsid w:val="004C019E"/>
    <w:rsid w:val="004C0253"/>
    <w:rsid w:val="004C09C5"/>
    <w:rsid w:val="004C0EDD"/>
    <w:rsid w:val="004C29D5"/>
    <w:rsid w:val="004C3375"/>
    <w:rsid w:val="004C3787"/>
    <w:rsid w:val="004C3CF9"/>
    <w:rsid w:val="004C4B52"/>
    <w:rsid w:val="004C4BA7"/>
    <w:rsid w:val="004C52F0"/>
    <w:rsid w:val="004C5964"/>
    <w:rsid w:val="004C5A45"/>
    <w:rsid w:val="004C5C22"/>
    <w:rsid w:val="004C61FC"/>
    <w:rsid w:val="004C6658"/>
    <w:rsid w:val="004C6B45"/>
    <w:rsid w:val="004C6E8C"/>
    <w:rsid w:val="004C7D28"/>
    <w:rsid w:val="004D07BE"/>
    <w:rsid w:val="004D0B68"/>
    <w:rsid w:val="004D12A0"/>
    <w:rsid w:val="004D142C"/>
    <w:rsid w:val="004D17B8"/>
    <w:rsid w:val="004D185B"/>
    <w:rsid w:val="004D1C21"/>
    <w:rsid w:val="004D25B7"/>
    <w:rsid w:val="004D3B09"/>
    <w:rsid w:val="004D3E96"/>
    <w:rsid w:val="004D4380"/>
    <w:rsid w:val="004D56FF"/>
    <w:rsid w:val="004D6281"/>
    <w:rsid w:val="004D7249"/>
    <w:rsid w:val="004D7FF7"/>
    <w:rsid w:val="004E0A1F"/>
    <w:rsid w:val="004E0D17"/>
    <w:rsid w:val="004E0FD5"/>
    <w:rsid w:val="004E1470"/>
    <w:rsid w:val="004E18E4"/>
    <w:rsid w:val="004E2C34"/>
    <w:rsid w:val="004E39D3"/>
    <w:rsid w:val="004E3D5E"/>
    <w:rsid w:val="004E43F1"/>
    <w:rsid w:val="004E508A"/>
    <w:rsid w:val="004E5BBE"/>
    <w:rsid w:val="004E5C14"/>
    <w:rsid w:val="004E616D"/>
    <w:rsid w:val="004E61F7"/>
    <w:rsid w:val="004E6EAF"/>
    <w:rsid w:val="004E6FAA"/>
    <w:rsid w:val="004E7491"/>
    <w:rsid w:val="004F1772"/>
    <w:rsid w:val="004F1BDE"/>
    <w:rsid w:val="004F1F20"/>
    <w:rsid w:val="004F2B7E"/>
    <w:rsid w:val="004F2CB8"/>
    <w:rsid w:val="004F2CEE"/>
    <w:rsid w:val="004F30DA"/>
    <w:rsid w:val="004F556E"/>
    <w:rsid w:val="004F591C"/>
    <w:rsid w:val="004F6111"/>
    <w:rsid w:val="004F63A9"/>
    <w:rsid w:val="004F64CD"/>
    <w:rsid w:val="004F64FF"/>
    <w:rsid w:val="004F6926"/>
    <w:rsid w:val="004F6C12"/>
    <w:rsid w:val="004F6C3A"/>
    <w:rsid w:val="004F703B"/>
    <w:rsid w:val="004F73CC"/>
    <w:rsid w:val="004F7F44"/>
    <w:rsid w:val="005012ED"/>
    <w:rsid w:val="00502CA8"/>
    <w:rsid w:val="005037B4"/>
    <w:rsid w:val="00505BB9"/>
    <w:rsid w:val="0050663B"/>
    <w:rsid w:val="00506A03"/>
    <w:rsid w:val="005079BF"/>
    <w:rsid w:val="0051012B"/>
    <w:rsid w:val="00511225"/>
    <w:rsid w:val="00511254"/>
    <w:rsid w:val="005116AB"/>
    <w:rsid w:val="0051188E"/>
    <w:rsid w:val="00511EDA"/>
    <w:rsid w:val="0051208C"/>
    <w:rsid w:val="0051269A"/>
    <w:rsid w:val="0051352B"/>
    <w:rsid w:val="0051440D"/>
    <w:rsid w:val="005144FB"/>
    <w:rsid w:val="005145B8"/>
    <w:rsid w:val="0051553B"/>
    <w:rsid w:val="005208B0"/>
    <w:rsid w:val="00520958"/>
    <w:rsid w:val="00520E9C"/>
    <w:rsid w:val="005219E7"/>
    <w:rsid w:val="00521ED4"/>
    <w:rsid w:val="00522BEB"/>
    <w:rsid w:val="00523098"/>
    <w:rsid w:val="005230DE"/>
    <w:rsid w:val="00524595"/>
    <w:rsid w:val="0053036B"/>
    <w:rsid w:val="00531B9A"/>
    <w:rsid w:val="00531BB3"/>
    <w:rsid w:val="00531D15"/>
    <w:rsid w:val="0053229C"/>
    <w:rsid w:val="00533147"/>
    <w:rsid w:val="00533767"/>
    <w:rsid w:val="00533AF5"/>
    <w:rsid w:val="00533BB4"/>
    <w:rsid w:val="005346E4"/>
    <w:rsid w:val="00536277"/>
    <w:rsid w:val="00536661"/>
    <w:rsid w:val="00536D42"/>
    <w:rsid w:val="00537604"/>
    <w:rsid w:val="00537819"/>
    <w:rsid w:val="00541415"/>
    <w:rsid w:val="0054201E"/>
    <w:rsid w:val="00542377"/>
    <w:rsid w:val="00543BEE"/>
    <w:rsid w:val="0054523C"/>
    <w:rsid w:val="00545647"/>
    <w:rsid w:val="0054608E"/>
    <w:rsid w:val="00546DF8"/>
    <w:rsid w:val="00546F46"/>
    <w:rsid w:val="00547614"/>
    <w:rsid w:val="005476EB"/>
    <w:rsid w:val="00547826"/>
    <w:rsid w:val="00550299"/>
    <w:rsid w:val="005507D8"/>
    <w:rsid w:val="005508F3"/>
    <w:rsid w:val="00550C9D"/>
    <w:rsid w:val="00550D36"/>
    <w:rsid w:val="00551782"/>
    <w:rsid w:val="00551F73"/>
    <w:rsid w:val="00552E55"/>
    <w:rsid w:val="005547AF"/>
    <w:rsid w:val="00555022"/>
    <w:rsid w:val="00555F61"/>
    <w:rsid w:val="00556006"/>
    <w:rsid w:val="005562A4"/>
    <w:rsid w:val="005562B9"/>
    <w:rsid w:val="005575FD"/>
    <w:rsid w:val="00557C88"/>
    <w:rsid w:val="005607B1"/>
    <w:rsid w:val="005609CD"/>
    <w:rsid w:val="00560BAB"/>
    <w:rsid w:val="00560BED"/>
    <w:rsid w:val="00560EDD"/>
    <w:rsid w:val="00561A95"/>
    <w:rsid w:val="00563D29"/>
    <w:rsid w:val="00563EF1"/>
    <w:rsid w:val="0056456D"/>
    <w:rsid w:val="00564746"/>
    <w:rsid w:val="00566AB4"/>
    <w:rsid w:val="005675CF"/>
    <w:rsid w:val="00567A52"/>
    <w:rsid w:val="00570C13"/>
    <w:rsid w:val="00571532"/>
    <w:rsid w:val="0057210B"/>
    <w:rsid w:val="005722B9"/>
    <w:rsid w:val="00572CAC"/>
    <w:rsid w:val="00573417"/>
    <w:rsid w:val="005749CD"/>
    <w:rsid w:val="00574CFB"/>
    <w:rsid w:val="00575AC5"/>
    <w:rsid w:val="0057605D"/>
    <w:rsid w:val="00576BBB"/>
    <w:rsid w:val="00576E0A"/>
    <w:rsid w:val="00577251"/>
    <w:rsid w:val="00577C80"/>
    <w:rsid w:val="00581347"/>
    <w:rsid w:val="00581641"/>
    <w:rsid w:val="00581AC9"/>
    <w:rsid w:val="00582786"/>
    <w:rsid w:val="005832EC"/>
    <w:rsid w:val="0058362C"/>
    <w:rsid w:val="005849E8"/>
    <w:rsid w:val="005849F8"/>
    <w:rsid w:val="00584AB4"/>
    <w:rsid w:val="00584F45"/>
    <w:rsid w:val="00585409"/>
    <w:rsid w:val="00586BE9"/>
    <w:rsid w:val="00586DA1"/>
    <w:rsid w:val="005870E0"/>
    <w:rsid w:val="00590297"/>
    <w:rsid w:val="005909C6"/>
    <w:rsid w:val="00590DD2"/>
    <w:rsid w:val="00591673"/>
    <w:rsid w:val="00591DEB"/>
    <w:rsid w:val="005938DF"/>
    <w:rsid w:val="0059407E"/>
    <w:rsid w:val="00594345"/>
    <w:rsid w:val="00594E9C"/>
    <w:rsid w:val="00595169"/>
    <w:rsid w:val="005956F0"/>
    <w:rsid w:val="0059601D"/>
    <w:rsid w:val="00596309"/>
    <w:rsid w:val="005966F8"/>
    <w:rsid w:val="005969F7"/>
    <w:rsid w:val="0059775C"/>
    <w:rsid w:val="00597788"/>
    <w:rsid w:val="00597A4A"/>
    <w:rsid w:val="005A0744"/>
    <w:rsid w:val="005A092D"/>
    <w:rsid w:val="005A099B"/>
    <w:rsid w:val="005A0A4D"/>
    <w:rsid w:val="005A0C4E"/>
    <w:rsid w:val="005A19E7"/>
    <w:rsid w:val="005A2D9C"/>
    <w:rsid w:val="005A30E1"/>
    <w:rsid w:val="005A438B"/>
    <w:rsid w:val="005A4CE1"/>
    <w:rsid w:val="005A55FE"/>
    <w:rsid w:val="005A5798"/>
    <w:rsid w:val="005A595C"/>
    <w:rsid w:val="005A6012"/>
    <w:rsid w:val="005A6311"/>
    <w:rsid w:val="005A69EC"/>
    <w:rsid w:val="005A6A11"/>
    <w:rsid w:val="005A6C86"/>
    <w:rsid w:val="005A7ED6"/>
    <w:rsid w:val="005B0C13"/>
    <w:rsid w:val="005B1BF0"/>
    <w:rsid w:val="005B1EBB"/>
    <w:rsid w:val="005B2BDE"/>
    <w:rsid w:val="005B3FCC"/>
    <w:rsid w:val="005B57A9"/>
    <w:rsid w:val="005B630F"/>
    <w:rsid w:val="005B6583"/>
    <w:rsid w:val="005B7371"/>
    <w:rsid w:val="005C12E0"/>
    <w:rsid w:val="005C1527"/>
    <w:rsid w:val="005C26B5"/>
    <w:rsid w:val="005C2B6D"/>
    <w:rsid w:val="005C4132"/>
    <w:rsid w:val="005C4455"/>
    <w:rsid w:val="005C66DC"/>
    <w:rsid w:val="005C741C"/>
    <w:rsid w:val="005C7B5D"/>
    <w:rsid w:val="005D2369"/>
    <w:rsid w:val="005D2502"/>
    <w:rsid w:val="005D2A3C"/>
    <w:rsid w:val="005D2D1E"/>
    <w:rsid w:val="005D3140"/>
    <w:rsid w:val="005D3501"/>
    <w:rsid w:val="005D40BB"/>
    <w:rsid w:val="005D4309"/>
    <w:rsid w:val="005D47F3"/>
    <w:rsid w:val="005D49BF"/>
    <w:rsid w:val="005D4AA5"/>
    <w:rsid w:val="005D544D"/>
    <w:rsid w:val="005D564A"/>
    <w:rsid w:val="005D5ADC"/>
    <w:rsid w:val="005D5DBE"/>
    <w:rsid w:val="005D63C3"/>
    <w:rsid w:val="005D6E01"/>
    <w:rsid w:val="005D6F4E"/>
    <w:rsid w:val="005D7C73"/>
    <w:rsid w:val="005E087A"/>
    <w:rsid w:val="005E0B14"/>
    <w:rsid w:val="005E0C50"/>
    <w:rsid w:val="005E0F0D"/>
    <w:rsid w:val="005E101B"/>
    <w:rsid w:val="005E175C"/>
    <w:rsid w:val="005E1BF4"/>
    <w:rsid w:val="005E21ED"/>
    <w:rsid w:val="005E22CC"/>
    <w:rsid w:val="005E250B"/>
    <w:rsid w:val="005E2FFE"/>
    <w:rsid w:val="005E396B"/>
    <w:rsid w:val="005E3ACD"/>
    <w:rsid w:val="005E4030"/>
    <w:rsid w:val="005E4346"/>
    <w:rsid w:val="005E442A"/>
    <w:rsid w:val="005E4C16"/>
    <w:rsid w:val="005E4E33"/>
    <w:rsid w:val="005E5CC3"/>
    <w:rsid w:val="005E7226"/>
    <w:rsid w:val="005E7318"/>
    <w:rsid w:val="005E7A57"/>
    <w:rsid w:val="005F0233"/>
    <w:rsid w:val="005F096E"/>
    <w:rsid w:val="005F151D"/>
    <w:rsid w:val="005F24B0"/>
    <w:rsid w:val="005F2782"/>
    <w:rsid w:val="005F3717"/>
    <w:rsid w:val="005F3A79"/>
    <w:rsid w:val="005F3F9F"/>
    <w:rsid w:val="005F4227"/>
    <w:rsid w:val="005F471C"/>
    <w:rsid w:val="005F4B94"/>
    <w:rsid w:val="005F5F49"/>
    <w:rsid w:val="006005F1"/>
    <w:rsid w:val="00600D8F"/>
    <w:rsid w:val="00602D12"/>
    <w:rsid w:val="00602E1E"/>
    <w:rsid w:val="00602EAA"/>
    <w:rsid w:val="00603692"/>
    <w:rsid w:val="00603FC9"/>
    <w:rsid w:val="00604315"/>
    <w:rsid w:val="006043FB"/>
    <w:rsid w:val="0060443D"/>
    <w:rsid w:val="006044D2"/>
    <w:rsid w:val="00604CB7"/>
    <w:rsid w:val="00604E12"/>
    <w:rsid w:val="00604E26"/>
    <w:rsid w:val="0060523F"/>
    <w:rsid w:val="006052CF"/>
    <w:rsid w:val="00606B59"/>
    <w:rsid w:val="00607B8D"/>
    <w:rsid w:val="00607C01"/>
    <w:rsid w:val="00610279"/>
    <w:rsid w:val="00610930"/>
    <w:rsid w:val="0061188B"/>
    <w:rsid w:val="00611F5C"/>
    <w:rsid w:val="00612361"/>
    <w:rsid w:val="0061284D"/>
    <w:rsid w:val="00615208"/>
    <w:rsid w:val="00616829"/>
    <w:rsid w:val="006169D1"/>
    <w:rsid w:val="00616E09"/>
    <w:rsid w:val="00617528"/>
    <w:rsid w:val="006213AC"/>
    <w:rsid w:val="00622A3B"/>
    <w:rsid w:val="00622B82"/>
    <w:rsid w:val="00622BC9"/>
    <w:rsid w:val="00622EEA"/>
    <w:rsid w:val="0062396C"/>
    <w:rsid w:val="00623FF9"/>
    <w:rsid w:val="0062548F"/>
    <w:rsid w:val="00625763"/>
    <w:rsid w:val="00627B16"/>
    <w:rsid w:val="00627D4E"/>
    <w:rsid w:val="00630052"/>
    <w:rsid w:val="00630783"/>
    <w:rsid w:val="0063123B"/>
    <w:rsid w:val="006314F9"/>
    <w:rsid w:val="006318AB"/>
    <w:rsid w:val="006321F7"/>
    <w:rsid w:val="00632B89"/>
    <w:rsid w:val="00632BD5"/>
    <w:rsid w:val="00632EF3"/>
    <w:rsid w:val="0063346D"/>
    <w:rsid w:val="006335E4"/>
    <w:rsid w:val="00634478"/>
    <w:rsid w:val="00634510"/>
    <w:rsid w:val="0063486A"/>
    <w:rsid w:val="00635ED6"/>
    <w:rsid w:val="00637B45"/>
    <w:rsid w:val="006409F1"/>
    <w:rsid w:val="006420E5"/>
    <w:rsid w:val="0064228A"/>
    <w:rsid w:val="00642315"/>
    <w:rsid w:val="00642B17"/>
    <w:rsid w:val="00642BE7"/>
    <w:rsid w:val="00642E9F"/>
    <w:rsid w:val="006437EA"/>
    <w:rsid w:val="00643E61"/>
    <w:rsid w:val="00644068"/>
    <w:rsid w:val="00644373"/>
    <w:rsid w:val="00645915"/>
    <w:rsid w:val="00646336"/>
    <w:rsid w:val="006473F2"/>
    <w:rsid w:val="0064754A"/>
    <w:rsid w:val="00647812"/>
    <w:rsid w:val="00650BCF"/>
    <w:rsid w:val="00650D5E"/>
    <w:rsid w:val="00651978"/>
    <w:rsid w:val="006519C3"/>
    <w:rsid w:val="00652B30"/>
    <w:rsid w:val="00653E0D"/>
    <w:rsid w:val="00653F41"/>
    <w:rsid w:val="00654F1A"/>
    <w:rsid w:val="006554C8"/>
    <w:rsid w:val="0065556A"/>
    <w:rsid w:val="00655DF8"/>
    <w:rsid w:val="00655E0D"/>
    <w:rsid w:val="00656110"/>
    <w:rsid w:val="00656345"/>
    <w:rsid w:val="006564E9"/>
    <w:rsid w:val="006564FF"/>
    <w:rsid w:val="0065660C"/>
    <w:rsid w:val="006566E0"/>
    <w:rsid w:val="00656DC6"/>
    <w:rsid w:val="00657650"/>
    <w:rsid w:val="00657F6A"/>
    <w:rsid w:val="00660EB7"/>
    <w:rsid w:val="00660EC6"/>
    <w:rsid w:val="00661817"/>
    <w:rsid w:val="00662A6B"/>
    <w:rsid w:val="00664110"/>
    <w:rsid w:val="0066411C"/>
    <w:rsid w:val="0066412E"/>
    <w:rsid w:val="00664B45"/>
    <w:rsid w:val="00664D17"/>
    <w:rsid w:val="006659CF"/>
    <w:rsid w:val="00666520"/>
    <w:rsid w:val="00667063"/>
    <w:rsid w:val="00667400"/>
    <w:rsid w:val="00667AC4"/>
    <w:rsid w:val="00667C5B"/>
    <w:rsid w:val="00667E7D"/>
    <w:rsid w:val="00667F83"/>
    <w:rsid w:val="006705C7"/>
    <w:rsid w:val="006706D4"/>
    <w:rsid w:val="006706F3"/>
    <w:rsid w:val="00670E65"/>
    <w:rsid w:val="00670FB3"/>
    <w:rsid w:val="006711A6"/>
    <w:rsid w:val="006720CE"/>
    <w:rsid w:val="00672ADE"/>
    <w:rsid w:val="00672C3D"/>
    <w:rsid w:val="0067464C"/>
    <w:rsid w:val="0067513F"/>
    <w:rsid w:val="006751BE"/>
    <w:rsid w:val="00675699"/>
    <w:rsid w:val="006758EA"/>
    <w:rsid w:val="00675A95"/>
    <w:rsid w:val="00675F08"/>
    <w:rsid w:val="00676E35"/>
    <w:rsid w:val="006773A6"/>
    <w:rsid w:val="00677FA1"/>
    <w:rsid w:val="0068106D"/>
    <w:rsid w:val="0068131B"/>
    <w:rsid w:val="006816A3"/>
    <w:rsid w:val="006816E3"/>
    <w:rsid w:val="00682046"/>
    <w:rsid w:val="0068214E"/>
    <w:rsid w:val="00682BCF"/>
    <w:rsid w:val="006838DD"/>
    <w:rsid w:val="00683995"/>
    <w:rsid w:val="0068498C"/>
    <w:rsid w:val="00685C29"/>
    <w:rsid w:val="006903C0"/>
    <w:rsid w:val="00690C90"/>
    <w:rsid w:val="00691564"/>
    <w:rsid w:val="00691EB8"/>
    <w:rsid w:val="00692CDE"/>
    <w:rsid w:val="00693073"/>
    <w:rsid w:val="00693A13"/>
    <w:rsid w:val="00694959"/>
    <w:rsid w:val="00694F52"/>
    <w:rsid w:val="00695878"/>
    <w:rsid w:val="00696983"/>
    <w:rsid w:val="00697092"/>
    <w:rsid w:val="006977FF"/>
    <w:rsid w:val="00697AA5"/>
    <w:rsid w:val="006A01FA"/>
    <w:rsid w:val="006A058B"/>
    <w:rsid w:val="006A08F0"/>
    <w:rsid w:val="006A0951"/>
    <w:rsid w:val="006A0E9E"/>
    <w:rsid w:val="006A0FBF"/>
    <w:rsid w:val="006A25C7"/>
    <w:rsid w:val="006A25D3"/>
    <w:rsid w:val="006A2D85"/>
    <w:rsid w:val="006A2E99"/>
    <w:rsid w:val="006A4671"/>
    <w:rsid w:val="006A4AAD"/>
    <w:rsid w:val="006A5229"/>
    <w:rsid w:val="006A5DEF"/>
    <w:rsid w:val="006A6C3A"/>
    <w:rsid w:val="006A6DA2"/>
    <w:rsid w:val="006A79EC"/>
    <w:rsid w:val="006A7AB2"/>
    <w:rsid w:val="006A7FDC"/>
    <w:rsid w:val="006B05E2"/>
    <w:rsid w:val="006B1782"/>
    <w:rsid w:val="006B1B9B"/>
    <w:rsid w:val="006B1F7F"/>
    <w:rsid w:val="006B2481"/>
    <w:rsid w:val="006B262A"/>
    <w:rsid w:val="006B3ABB"/>
    <w:rsid w:val="006B45B1"/>
    <w:rsid w:val="006B46B0"/>
    <w:rsid w:val="006B4E46"/>
    <w:rsid w:val="006B52DE"/>
    <w:rsid w:val="006B5717"/>
    <w:rsid w:val="006B582F"/>
    <w:rsid w:val="006B5EB2"/>
    <w:rsid w:val="006B626D"/>
    <w:rsid w:val="006B63B7"/>
    <w:rsid w:val="006B66D3"/>
    <w:rsid w:val="006B76EF"/>
    <w:rsid w:val="006C0BD6"/>
    <w:rsid w:val="006C0CEB"/>
    <w:rsid w:val="006C1631"/>
    <w:rsid w:val="006C2162"/>
    <w:rsid w:val="006C223D"/>
    <w:rsid w:val="006C271C"/>
    <w:rsid w:val="006C27CD"/>
    <w:rsid w:val="006C349F"/>
    <w:rsid w:val="006C3B1E"/>
    <w:rsid w:val="006C47FD"/>
    <w:rsid w:val="006C4CAF"/>
    <w:rsid w:val="006C4D6D"/>
    <w:rsid w:val="006C4DAC"/>
    <w:rsid w:val="006C4E83"/>
    <w:rsid w:val="006C56BD"/>
    <w:rsid w:val="006C587D"/>
    <w:rsid w:val="006C5C19"/>
    <w:rsid w:val="006C70A0"/>
    <w:rsid w:val="006C753A"/>
    <w:rsid w:val="006D0370"/>
    <w:rsid w:val="006D27CB"/>
    <w:rsid w:val="006D2941"/>
    <w:rsid w:val="006D2F08"/>
    <w:rsid w:val="006D56C9"/>
    <w:rsid w:val="006D576C"/>
    <w:rsid w:val="006D5865"/>
    <w:rsid w:val="006D5BFD"/>
    <w:rsid w:val="006D5E56"/>
    <w:rsid w:val="006D6002"/>
    <w:rsid w:val="006D6818"/>
    <w:rsid w:val="006D7012"/>
    <w:rsid w:val="006D71ED"/>
    <w:rsid w:val="006D7672"/>
    <w:rsid w:val="006D7AD7"/>
    <w:rsid w:val="006E0CA8"/>
    <w:rsid w:val="006E0CB5"/>
    <w:rsid w:val="006E114B"/>
    <w:rsid w:val="006E206F"/>
    <w:rsid w:val="006E3872"/>
    <w:rsid w:val="006E4783"/>
    <w:rsid w:val="006E4B1B"/>
    <w:rsid w:val="006E4EE8"/>
    <w:rsid w:val="006E5445"/>
    <w:rsid w:val="006E5669"/>
    <w:rsid w:val="006E66D0"/>
    <w:rsid w:val="006E6770"/>
    <w:rsid w:val="006E6DC5"/>
    <w:rsid w:val="006E7D93"/>
    <w:rsid w:val="006F092F"/>
    <w:rsid w:val="006F123D"/>
    <w:rsid w:val="006F1636"/>
    <w:rsid w:val="006F2964"/>
    <w:rsid w:val="006F2C85"/>
    <w:rsid w:val="006F33C1"/>
    <w:rsid w:val="006F3C76"/>
    <w:rsid w:val="006F3EC9"/>
    <w:rsid w:val="006F4413"/>
    <w:rsid w:val="006F4B2D"/>
    <w:rsid w:val="006F69FC"/>
    <w:rsid w:val="006F7499"/>
    <w:rsid w:val="006F7C95"/>
    <w:rsid w:val="007004D6"/>
    <w:rsid w:val="00700C72"/>
    <w:rsid w:val="00701169"/>
    <w:rsid w:val="00701A52"/>
    <w:rsid w:val="007029A3"/>
    <w:rsid w:val="0070338E"/>
    <w:rsid w:val="007047B0"/>
    <w:rsid w:val="007054C6"/>
    <w:rsid w:val="0070671C"/>
    <w:rsid w:val="00706E4E"/>
    <w:rsid w:val="0070702A"/>
    <w:rsid w:val="0070791C"/>
    <w:rsid w:val="007114E7"/>
    <w:rsid w:val="007116B4"/>
    <w:rsid w:val="00711B8C"/>
    <w:rsid w:val="0071383C"/>
    <w:rsid w:val="007139B1"/>
    <w:rsid w:val="007141A7"/>
    <w:rsid w:val="007144A4"/>
    <w:rsid w:val="007146E4"/>
    <w:rsid w:val="007154F4"/>
    <w:rsid w:val="007156E0"/>
    <w:rsid w:val="00715722"/>
    <w:rsid w:val="0071661B"/>
    <w:rsid w:val="00716DCD"/>
    <w:rsid w:val="00720895"/>
    <w:rsid w:val="00721032"/>
    <w:rsid w:val="0072139D"/>
    <w:rsid w:val="007213BF"/>
    <w:rsid w:val="007218AA"/>
    <w:rsid w:val="007219BD"/>
    <w:rsid w:val="00721B55"/>
    <w:rsid w:val="00722549"/>
    <w:rsid w:val="0072306F"/>
    <w:rsid w:val="0072386E"/>
    <w:rsid w:val="00723B22"/>
    <w:rsid w:val="007242B9"/>
    <w:rsid w:val="00724B10"/>
    <w:rsid w:val="00725E65"/>
    <w:rsid w:val="00726B27"/>
    <w:rsid w:val="00726CE4"/>
    <w:rsid w:val="00730133"/>
    <w:rsid w:val="00730A3C"/>
    <w:rsid w:val="00731699"/>
    <w:rsid w:val="00731FF6"/>
    <w:rsid w:val="007325FA"/>
    <w:rsid w:val="00732C52"/>
    <w:rsid w:val="00733190"/>
    <w:rsid w:val="00734143"/>
    <w:rsid w:val="007345D4"/>
    <w:rsid w:val="0073593E"/>
    <w:rsid w:val="00735C46"/>
    <w:rsid w:val="00736418"/>
    <w:rsid w:val="007366B6"/>
    <w:rsid w:val="0073682A"/>
    <w:rsid w:val="007375F0"/>
    <w:rsid w:val="00737E47"/>
    <w:rsid w:val="007401E8"/>
    <w:rsid w:val="00740E7C"/>
    <w:rsid w:val="00740EAC"/>
    <w:rsid w:val="007427BF"/>
    <w:rsid w:val="00742BBC"/>
    <w:rsid w:val="007437EE"/>
    <w:rsid w:val="007444EB"/>
    <w:rsid w:val="00744956"/>
    <w:rsid w:val="00745767"/>
    <w:rsid w:val="00745A5C"/>
    <w:rsid w:val="0074605F"/>
    <w:rsid w:val="00746271"/>
    <w:rsid w:val="00747E94"/>
    <w:rsid w:val="00751BF6"/>
    <w:rsid w:val="00753452"/>
    <w:rsid w:val="007545F1"/>
    <w:rsid w:val="00754C83"/>
    <w:rsid w:val="007555F4"/>
    <w:rsid w:val="00755C0A"/>
    <w:rsid w:val="007565D8"/>
    <w:rsid w:val="00756911"/>
    <w:rsid w:val="0075731A"/>
    <w:rsid w:val="007574CE"/>
    <w:rsid w:val="00757AF9"/>
    <w:rsid w:val="0076073A"/>
    <w:rsid w:val="0076103B"/>
    <w:rsid w:val="007613A2"/>
    <w:rsid w:val="00761E5C"/>
    <w:rsid w:val="007620F8"/>
    <w:rsid w:val="00764072"/>
    <w:rsid w:val="007643E9"/>
    <w:rsid w:val="00765415"/>
    <w:rsid w:val="00765555"/>
    <w:rsid w:val="0076580C"/>
    <w:rsid w:val="00765DF8"/>
    <w:rsid w:val="0076628E"/>
    <w:rsid w:val="00766749"/>
    <w:rsid w:val="00766FC9"/>
    <w:rsid w:val="00767C1B"/>
    <w:rsid w:val="00770AD3"/>
    <w:rsid w:val="007714A9"/>
    <w:rsid w:val="007727D6"/>
    <w:rsid w:val="00773146"/>
    <w:rsid w:val="00774584"/>
    <w:rsid w:val="00774AEB"/>
    <w:rsid w:val="00774F88"/>
    <w:rsid w:val="00774FDB"/>
    <w:rsid w:val="007756DA"/>
    <w:rsid w:val="007757F6"/>
    <w:rsid w:val="00775ECA"/>
    <w:rsid w:val="00777739"/>
    <w:rsid w:val="00777BA2"/>
    <w:rsid w:val="00777F0A"/>
    <w:rsid w:val="00780BA8"/>
    <w:rsid w:val="00781370"/>
    <w:rsid w:val="00781408"/>
    <w:rsid w:val="00781A3D"/>
    <w:rsid w:val="0078274C"/>
    <w:rsid w:val="007830F4"/>
    <w:rsid w:val="00783632"/>
    <w:rsid w:val="0078366C"/>
    <w:rsid w:val="00784426"/>
    <w:rsid w:val="00784456"/>
    <w:rsid w:val="00784722"/>
    <w:rsid w:val="00784EC2"/>
    <w:rsid w:val="00784F7F"/>
    <w:rsid w:val="00786212"/>
    <w:rsid w:val="0078703F"/>
    <w:rsid w:val="0078711B"/>
    <w:rsid w:val="007878BD"/>
    <w:rsid w:val="0078793E"/>
    <w:rsid w:val="00787956"/>
    <w:rsid w:val="00787BA6"/>
    <w:rsid w:val="00790D1E"/>
    <w:rsid w:val="00791114"/>
    <w:rsid w:val="0079120D"/>
    <w:rsid w:val="00793D1C"/>
    <w:rsid w:val="00794371"/>
    <w:rsid w:val="00795115"/>
    <w:rsid w:val="00796478"/>
    <w:rsid w:val="00796E85"/>
    <w:rsid w:val="00796F25"/>
    <w:rsid w:val="00797079"/>
    <w:rsid w:val="00797686"/>
    <w:rsid w:val="007A025B"/>
    <w:rsid w:val="007A0BA4"/>
    <w:rsid w:val="007A0EC3"/>
    <w:rsid w:val="007A2AC2"/>
    <w:rsid w:val="007A2E4C"/>
    <w:rsid w:val="007A2E98"/>
    <w:rsid w:val="007A3527"/>
    <w:rsid w:val="007A3BA3"/>
    <w:rsid w:val="007A3FA7"/>
    <w:rsid w:val="007A428D"/>
    <w:rsid w:val="007A42EA"/>
    <w:rsid w:val="007A6887"/>
    <w:rsid w:val="007A6CC0"/>
    <w:rsid w:val="007A713E"/>
    <w:rsid w:val="007A747D"/>
    <w:rsid w:val="007A755C"/>
    <w:rsid w:val="007A78AC"/>
    <w:rsid w:val="007A7FEC"/>
    <w:rsid w:val="007B03AA"/>
    <w:rsid w:val="007B1499"/>
    <w:rsid w:val="007B16B4"/>
    <w:rsid w:val="007B1BBF"/>
    <w:rsid w:val="007B1D93"/>
    <w:rsid w:val="007B234B"/>
    <w:rsid w:val="007B27F6"/>
    <w:rsid w:val="007B2960"/>
    <w:rsid w:val="007B2DC9"/>
    <w:rsid w:val="007B355D"/>
    <w:rsid w:val="007B3A76"/>
    <w:rsid w:val="007B3FEB"/>
    <w:rsid w:val="007B486A"/>
    <w:rsid w:val="007B48D3"/>
    <w:rsid w:val="007B52A4"/>
    <w:rsid w:val="007B547F"/>
    <w:rsid w:val="007B7980"/>
    <w:rsid w:val="007C0DEF"/>
    <w:rsid w:val="007C0EA4"/>
    <w:rsid w:val="007C18AF"/>
    <w:rsid w:val="007C1B1A"/>
    <w:rsid w:val="007C1CEB"/>
    <w:rsid w:val="007C28D0"/>
    <w:rsid w:val="007C34EE"/>
    <w:rsid w:val="007C35EA"/>
    <w:rsid w:val="007C4615"/>
    <w:rsid w:val="007C4A00"/>
    <w:rsid w:val="007C4B8C"/>
    <w:rsid w:val="007C4DE8"/>
    <w:rsid w:val="007C5560"/>
    <w:rsid w:val="007C5C68"/>
    <w:rsid w:val="007C5D5A"/>
    <w:rsid w:val="007C607F"/>
    <w:rsid w:val="007C635C"/>
    <w:rsid w:val="007C6DB5"/>
    <w:rsid w:val="007C6E44"/>
    <w:rsid w:val="007C6ECC"/>
    <w:rsid w:val="007C79B7"/>
    <w:rsid w:val="007C79DD"/>
    <w:rsid w:val="007D0743"/>
    <w:rsid w:val="007D149C"/>
    <w:rsid w:val="007D1A97"/>
    <w:rsid w:val="007D1F8C"/>
    <w:rsid w:val="007D211F"/>
    <w:rsid w:val="007D2CD6"/>
    <w:rsid w:val="007D2D09"/>
    <w:rsid w:val="007D3063"/>
    <w:rsid w:val="007D3CEB"/>
    <w:rsid w:val="007D4344"/>
    <w:rsid w:val="007D49AE"/>
    <w:rsid w:val="007D52E5"/>
    <w:rsid w:val="007D5434"/>
    <w:rsid w:val="007D5C9C"/>
    <w:rsid w:val="007D6257"/>
    <w:rsid w:val="007D637A"/>
    <w:rsid w:val="007D66A2"/>
    <w:rsid w:val="007D6CE6"/>
    <w:rsid w:val="007E00A0"/>
    <w:rsid w:val="007E00F7"/>
    <w:rsid w:val="007E0D6B"/>
    <w:rsid w:val="007E412C"/>
    <w:rsid w:val="007E4293"/>
    <w:rsid w:val="007E596E"/>
    <w:rsid w:val="007E6476"/>
    <w:rsid w:val="007E6819"/>
    <w:rsid w:val="007E6834"/>
    <w:rsid w:val="007E7254"/>
    <w:rsid w:val="007E7683"/>
    <w:rsid w:val="007F04C6"/>
    <w:rsid w:val="007F0D5E"/>
    <w:rsid w:val="007F0EBE"/>
    <w:rsid w:val="007F120E"/>
    <w:rsid w:val="007F1AEB"/>
    <w:rsid w:val="007F2342"/>
    <w:rsid w:val="007F26F9"/>
    <w:rsid w:val="007F291E"/>
    <w:rsid w:val="007F2982"/>
    <w:rsid w:val="007F3674"/>
    <w:rsid w:val="007F4130"/>
    <w:rsid w:val="007F43E9"/>
    <w:rsid w:val="007F4796"/>
    <w:rsid w:val="007F49FA"/>
    <w:rsid w:val="007F54C4"/>
    <w:rsid w:val="007F5D9A"/>
    <w:rsid w:val="007F5F3D"/>
    <w:rsid w:val="007F6E9A"/>
    <w:rsid w:val="007F7B7B"/>
    <w:rsid w:val="00800828"/>
    <w:rsid w:val="00800A0B"/>
    <w:rsid w:val="00800B4B"/>
    <w:rsid w:val="00800CCD"/>
    <w:rsid w:val="008011D9"/>
    <w:rsid w:val="00802269"/>
    <w:rsid w:val="008033A9"/>
    <w:rsid w:val="00803CFB"/>
    <w:rsid w:val="008044D4"/>
    <w:rsid w:val="00804A0D"/>
    <w:rsid w:val="00804A42"/>
    <w:rsid w:val="008054BA"/>
    <w:rsid w:val="008055F5"/>
    <w:rsid w:val="00806925"/>
    <w:rsid w:val="00806D63"/>
    <w:rsid w:val="0080797A"/>
    <w:rsid w:val="00807A74"/>
    <w:rsid w:val="00810AB4"/>
    <w:rsid w:val="00811671"/>
    <w:rsid w:val="00812D7B"/>
    <w:rsid w:val="00812F73"/>
    <w:rsid w:val="0081392F"/>
    <w:rsid w:val="00813EC6"/>
    <w:rsid w:val="008141A4"/>
    <w:rsid w:val="008146BF"/>
    <w:rsid w:val="0081471B"/>
    <w:rsid w:val="008148EA"/>
    <w:rsid w:val="00814EFA"/>
    <w:rsid w:val="00815032"/>
    <w:rsid w:val="0081680D"/>
    <w:rsid w:val="00816A6B"/>
    <w:rsid w:val="00816FB6"/>
    <w:rsid w:val="008171F2"/>
    <w:rsid w:val="008176AF"/>
    <w:rsid w:val="00817B56"/>
    <w:rsid w:val="00821A88"/>
    <w:rsid w:val="00822D2E"/>
    <w:rsid w:val="00822EE7"/>
    <w:rsid w:val="00823ED0"/>
    <w:rsid w:val="008242F9"/>
    <w:rsid w:val="0082467B"/>
    <w:rsid w:val="0082495D"/>
    <w:rsid w:val="008253C9"/>
    <w:rsid w:val="0082595B"/>
    <w:rsid w:val="008262D1"/>
    <w:rsid w:val="008269B1"/>
    <w:rsid w:val="00826BE7"/>
    <w:rsid w:val="00826C24"/>
    <w:rsid w:val="008275A8"/>
    <w:rsid w:val="00827F60"/>
    <w:rsid w:val="00827FA7"/>
    <w:rsid w:val="00830C44"/>
    <w:rsid w:val="00831070"/>
    <w:rsid w:val="00831AC3"/>
    <w:rsid w:val="00831C81"/>
    <w:rsid w:val="00831F0C"/>
    <w:rsid w:val="0083205C"/>
    <w:rsid w:val="008324C5"/>
    <w:rsid w:val="00832522"/>
    <w:rsid w:val="00832A43"/>
    <w:rsid w:val="0083365D"/>
    <w:rsid w:val="00833FFD"/>
    <w:rsid w:val="0083472A"/>
    <w:rsid w:val="0083489F"/>
    <w:rsid w:val="00834EFC"/>
    <w:rsid w:val="00835008"/>
    <w:rsid w:val="00835152"/>
    <w:rsid w:val="00835FF6"/>
    <w:rsid w:val="00836FCE"/>
    <w:rsid w:val="008377F8"/>
    <w:rsid w:val="0084000B"/>
    <w:rsid w:val="0084055D"/>
    <w:rsid w:val="008405EA"/>
    <w:rsid w:val="008408FF"/>
    <w:rsid w:val="00840C53"/>
    <w:rsid w:val="00840D34"/>
    <w:rsid w:val="00840E40"/>
    <w:rsid w:val="008419C5"/>
    <w:rsid w:val="00841ED7"/>
    <w:rsid w:val="00842016"/>
    <w:rsid w:val="008420F1"/>
    <w:rsid w:val="00842A8C"/>
    <w:rsid w:val="00843893"/>
    <w:rsid w:val="00843F82"/>
    <w:rsid w:val="0084481B"/>
    <w:rsid w:val="0084602E"/>
    <w:rsid w:val="008471BD"/>
    <w:rsid w:val="00847481"/>
    <w:rsid w:val="00847F3E"/>
    <w:rsid w:val="0085015C"/>
    <w:rsid w:val="0085092F"/>
    <w:rsid w:val="00851DD4"/>
    <w:rsid w:val="00851F3F"/>
    <w:rsid w:val="00852BF3"/>
    <w:rsid w:val="00853BBA"/>
    <w:rsid w:val="00854141"/>
    <w:rsid w:val="00854233"/>
    <w:rsid w:val="008542ED"/>
    <w:rsid w:val="008547C0"/>
    <w:rsid w:val="00854E5F"/>
    <w:rsid w:val="0085522F"/>
    <w:rsid w:val="0085570A"/>
    <w:rsid w:val="0085609F"/>
    <w:rsid w:val="0085618F"/>
    <w:rsid w:val="00856523"/>
    <w:rsid w:val="00856EDC"/>
    <w:rsid w:val="00857026"/>
    <w:rsid w:val="00857619"/>
    <w:rsid w:val="00860023"/>
    <w:rsid w:val="0086059F"/>
    <w:rsid w:val="00860DA5"/>
    <w:rsid w:val="0086116F"/>
    <w:rsid w:val="00862027"/>
    <w:rsid w:val="008623B5"/>
    <w:rsid w:val="00862C82"/>
    <w:rsid w:val="00862CC3"/>
    <w:rsid w:val="00863B7C"/>
    <w:rsid w:val="00863BBD"/>
    <w:rsid w:val="00864367"/>
    <w:rsid w:val="00865DD2"/>
    <w:rsid w:val="0086623C"/>
    <w:rsid w:val="0086688F"/>
    <w:rsid w:val="00866DAA"/>
    <w:rsid w:val="0086737F"/>
    <w:rsid w:val="00867E9D"/>
    <w:rsid w:val="00867F25"/>
    <w:rsid w:val="0087091D"/>
    <w:rsid w:val="00870ABA"/>
    <w:rsid w:val="008710E1"/>
    <w:rsid w:val="0087131D"/>
    <w:rsid w:val="008716E5"/>
    <w:rsid w:val="00871F88"/>
    <w:rsid w:val="0087229C"/>
    <w:rsid w:val="0087292D"/>
    <w:rsid w:val="008730F3"/>
    <w:rsid w:val="00873232"/>
    <w:rsid w:val="00873316"/>
    <w:rsid w:val="00873F82"/>
    <w:rsid w:val="008741C6"/>
    <w:rsid w:val="00874721"/>
    <w:rsid w:val="00874B57"/>
    <w:rsid w:val="008754B1"/>
    <w:rsid w:val="00876D4F"/>
    <w:rsid w:val="00876EA7"/>
    <w:rsid w:val="00876F17"/>
    <w:rsid w:val="00876F4C"/>
    <w:rsid w:val="008776BC"/>
    <w:rsid w:val="00880184"/>
    <w:rsid w:val="00880322"/>
    <w:rsid w:val="00880761"/>
    <w:rsid w:val="00880884"/>
    <w:rsid w:val="0088190B"/>
    <w:rsid w:val="00881CA9"/>
    <w:rsid w:val="008820DC"/>
    <w:rsid w:val="00882CD4"/>
    <w:rsid w:val="00883628"/>
    <w:rsid w:val="008836E5"/>
    <w:rsid w:val="00883954"/>
    <w:rsid w:val="00885544"/>
    <w:rsid w:val="0088634E"/>
    <w:rsid w:val="00890F94"/>
    <w:rsid w:val="00891B0D"/>
    <w:rsid w:val="00891C3F"/>
    <w:rsid w:val="0089278F"/>
    <w:rsid w:val="00892ACC"/>
    <w:rsid w:val="00893AB8"/>
    <w:rsid w:val="00893C87"/>
    <w:rsid w:val="00893F0A"/>
    <w:rsid w:val="008949A4"/>
    <w:rsid w:val="00894B2A"/>
    <w:rsid w:val="00894EBF"/>
    <w:rsid w:val="00894F9D"/>
    <w:rsid w:val="00895CC3"/>
    <w:rsid w:val="00895D5D"/>
    <w:rsid w:val="008A0216"/>
    <w:rsid w:val="008A04C8"/>
    <w:rsid w:val="008A0A6B"/>
    <w:rsid w:val="008A0C47"/>
    <w:rsid w:val="008A15EE"/>
    <w:rsid w:val="008A19B9"/>
    <w:rsid w:val="008A20AD"/>
    <w:rsid w:val="008A2460"/>
    <w:rsid w:val="008A2616"/>
    <w:rsid w:val="008A3662"/>
    <w:rsid w:val="008A3A41"/>
    <w:rsid w:val="008A3A5D"/>
    <w:rsid w:val="008A3E13"/>
    <w:rsid w:val="008A4432"/>
    <w:rsid w:val="008A47C4"/>
    <w:rsid w:val="008A4B11"/>
    <w:rsid w:val="008A56BF"/>
    <w:rsid w:val="008A5C38"/>
    <w:rsid w:val="008A603A"/>
    <w:rsid w:val="008A628D"/>
    <w:rsid w:val="008A6913"/>
    <w:rsid w:val="008A69F2"/>
    <w:rsid w:val="008A7C96"/>
    <w:rsid w:val="008B0A06"/>
    <w:rsid w:val="008B2BF9"/>
    <w:rsid w:val="008B3888"/>
    <w:rsid w:val="008B4764"/>
    <w:rsid w:val="008B4BF2"/>
    <w:rsid w:val="008B4DCA"/>
    <w:rsid w:val="008B58DC"/>
    <w:rsid w:val="008B6179"/>
    <w:rsid w:val="008B70F3"/>
    <w:rsid w:val="008B71C4"/>
    <w:rsid w:val="008B738A"/>
    <w:rsid w:val="008B76DF"/>
    <w:rsid w:val="008B79B7"/>
    <w:rsid w:val="008B7BA1"/>
    <w:rsid w:val="008C10F4"/>
    <w:rsid w:val="008C1379"/>
    <w:rsid w:val="008C17DD"/>
    <w:rsid w:val="008C18B7"/>
    <w:rsid w:val="008C2316"/>
    <w:rsid w:val="008C402A"/>
    <w:rsid w:val="008C449D"/>
    <w:rsid w:val="008C5C7F"/>
    <w:rsid w:val="008C6498"/>
    <w:rsid w:val="008C65F7"/>
    <w:rsid w:val="008C7718"/>
    <w:rsid w:val="008C7AB0"/>
    <w:rsid w:val="008C7E5F"/>
    <w:rsid w:val="008D09E5"/>
    <w:rsid w:val="008D0AD8"/>
    <w:rsid w:val="008D11AA"/>
    <w:rsid w:val="008D1795"/>
    <w:rsid w:val="008D1B58"/>
    <w:rsid w:val="008D1BEB"/>
    <w:rsid w:val="008D1E01"/>
    <w:rsid w:val="008D24A2"/>
    <w:rsid w:val="008D2751"/>
    <w:rsid w:val="008D38E9"/>
    <w:rsid w:val="008D3DB2"/>
    <w:rsid w:val="008D461D"/>
    <w:rsid w:val="008D46A5"/>
    <w:rsid w:val="008D5713"/>
    <w:rsid w:val="008E0125"/>
    <w:rsid w:val="008E0EEE"/>
    <w:rsid w:val="008E10B7"/>
    <w:rsid w:val="008E220B"/>
    <w:rsid w:val="008E3570"/>
    <w:rsid w:val="008E3A2D"/>
    <w:rsid w:val="008E3E90"/>
    <w:rsid w:val="008E4767"/>
    <w:rsid w:val="008E47BF"/>
    <w:rsid w:val="008E4E66"/>
    <w:rsid w:val="008E5508"/>
    <w:rsid w:val="008E5858"/>
    <w:rsid w:val="008E5DA4"/>
    <w:rsid w:val="008E6B80"/>
    <w:rsid w:val="008E6CF3"/>
    <w:rsid w:val="008E6D81"/>
    <w:rsid w:val="008E79DF"/>
    <w:rsid w:val="008E7A8C"/>
    <w:rsid w:val="008E7BFF"/>
    <w:rsid w:val="008F0C34"/>
    <w:rsid w:val="008F1D75"/>
    <w:rsid w:val="008F247D"/>
    <w:rsid w:val="008F318E"/>
    <w:rsid w:val="008F3C74"/>
    <w:rsid w:val="008F6882"/>
    <w:rsid w:val="008F7CE6"/>
    <w:rsid w:val="00900DE5"/>
    <w:rsid w:val="0090203B"/>
    <w:rsid w:val="0090253B"/>
    <w:rsid w:val="00903285"/>
    <w:rsid w:val="00905DB4"/>
    <w:rsid w:val="0090647C"/>
    <w:rsid w:val="00906F40"/>
    <w:rsid w:val="00906FA8"/>
    <w:rsid w:val="00906FDB"/>
    <w:rsid w:val="0090731E"/>
    <w:rsid w:val="00907367"/>
    <w:rsid w:val="0090739E"/>
    <w:rsid w:val="009074FC"/>
    <w:rsid w:val="00907D96"/>
    <w:rsid w:val="009103C3"/>
    <w:rsid w:val="009107B2"/>
    <w:rsid w:val="00910985"/>
    <w:rsid w:val="00910AC8"/>
    <w:rsid w:val="0091200C"/>
    <w:rsid w:val="00912B5F"/>
    <w:rsid w:val="00912BBC"/>
    <w:rsid w:val="00912C30"/>
    <w:rsid w:val="00912E7E"/>
    <w:rsid w:val="00913BF4"/>
    <w:rsid w:val="009141AB"/>
    <w:rsid w:val="00915696"/>
    <w:rsid w:val="00915B1C"/>
    <w:rsid w:val="00916098"/>
    <w:rsid w:val="00916255"/>
    <w:rsid w:val="00916D69"/>
    <w:rsid w:val="00916DE3"/>
    <w:rsid w:val="00917226"/>
    <w:rsid w:val="009174F3"/>
    <w:rsid w:val="0091797D"/>
    <w:rsid w:val="00921554"/>
    <w:rsid w:val="00921A4E"/>
    <w:rsid w:val="0092265F"/>
    <w:rsid w:val="00922DAE"/>
    <w:rsid w:val="00923CBA"/>
    <w:rsid w:val="00924A9C"/>
    <w:rsid w:val="0092572F"/>
    <w:rsid w:val="00925BAE"/>
    <w:rsid w:val="00925D1D"/>
    <w:rsid w:val="00925E80"/>
    <w:rsid w:val="0092616D"/>
    <w:rsid w:val="00926663"/>
    <w:rsid w:val="00926703"/>
    <w:rsid w:val="00927414"/>
    <w:rsid w:val="00927691"/>
    <w:rsid w:val="00927A5F"/>
    <w:rsid w:val="00930169"/>
    <w:rsid w:val="00930510"/>
    <w:rsid w:val="00930B9C"/>
    <w:rsid w:val="00931C5C"/>
    <w:rsid w:val="009323C7"/>
    <w:rsid w:val="009324C8"/>
    <w:rsid w:val="00932510"/>
    <w:rsid w:val="009347F6"/>
    <w:rsid w:val="00935AF0"/>
    <w:rsid w:val="00935B63"/>
    <w:rsid w:val="00935FDE"/>
    <w:rsid w:val="009363CC"/>
    <w:rsid w:val="0093666F"/>
    <w:rsid w:val="009379A5"/>
    <w:rsid w:val="00937CE6"/>
    <w:rsid w:val="0094078F"/>
    <w:rsid w:val="00940FA3"/>
    <w:rsid w:val="009412C1"/>
    <w:rsid w:val="009414D8"/>
    <w:rsid w:val="009418CD"/>
    <w:rsid w:val="00941FB0"/>
    <w:rsid w:val="009426D4"/>
    <w:rsid w:val="00943320"/>
    <w:rsid w:val="00943EC0"/>
    <w:rsid w:val="00944F5F"/>
    <w:rsid w:val="009454E2"/>
    <w:rsid w:val="009465FA"/>
    <w:rsid w:val="00946AF3"/>
    <w:rsid w:val="00947751"/>
    <w:rsid w:val="00947F25"/>
    <w:rsid w:val="00950159"/>
    <w:rsid w:val="00951668"/>
    <w:rsid w:val="00951C74"/>
    <w:rsid w:val="00951ED9"/>
    <w:rsid w:val="009520DE"/>
    <w:rsid w:val="00952A05"/>
    <w:rsid w:val="0095335C"/>
    <w:rsid w:val="00953625"/>
    <w:rsid w:val="0095490B"/>
    <w:rsid w:val="0095526E"/>
    <w:rsid w:val="00955F85"/>
    <w:rsid w:val="00956161"/>
    <w:rsid w:val="009561B1"/>
    <w:rsid w:val="00957C4C"/>
    <w:rsid w:val="00960A33"/>
    <w:rsid w:val="009612B4"/>
    <w:rsid w:val="00961338"/>
    <w:rsid w:val="0096196A"/>
    <w:rsid w:val="00962143"/>
    <w:rsid w:val="009622A7"/>
    <w:rsid w:val="009625A4"/>
    <w:rsid w:val="00962C15"/>
    <w:rsid w:val="00962E32"/>
    <w:rsid w:val="009637DE"/>
    <w:rsid w:val="00963C91"/>
    <w:rsid w:val="00964122"/>
    <w:rsid w:val="00964B4A"/>
    <w:rsid w:val="00965469"/>
    <w:rsid w:val="00965C43"/>
    <w:rsid w:val="00966262"/>
    <w:rsid w:val="009662A9"/>
    <w:rsid w:val="009664DF"/>
    <w:rsid w:val="00967390"/>
    <w:rsid w:val="00970536"/>
    <w:rsid w:val="00970720"/>
    <w:rsid w:val="0097108F"/>
    <w:rsid w:val="00971914"/>
    <w:rsid w:val="00971F4C"/>
    <w:rsid w:val="00972D88"/>
    <w:rsid w:val="00974363"/>
    <w:rsid w:val="00974AC1"/>
    <w:rsid w:val="00975191"/>
    <w:rsid w:val="00975276"/>
    <w:rsid w:val="009754DA"/>
    <w:rsid w:val="00975C2A"/>
    <w:rsid w:val="00977A98"/>
    <w:rsid w:val="00977BDC"/>
    <w:rsid w:val="009807D8"/>
    <w:rsid w:val="00980B20"/>
    <w:rsid w:val="00980FAA"/>
    <w:rsid w:val="00981898"/>
    <w:rsid w:val="00981B9A"/>
    <w:rsid w:val="00982F5E"/>
    <w:rsid w:val="009832AC"/>
    <w:rsid w:val="00983B6C"/>
    <w:rsid w:val="009844D7"/>
    <w:rsid w:val="00984966"/>
    <w:rsid w:val="00984A8A"/>
    <w:rsid w:val="009850D4"/>
    <w:rsid w:val="009853F5"/>
    <w:rsid w:val="00985489"/>
    <w:rsid w:val="00985CAB"/>
    <w:rsid w:val="009877D1"/>
    <w:rsid w:val="009879B9"/>
    <w:rsid w:val="00987C03"/>
    <w:rsid w:val="00987D8F"/>
    <w:rsid w:val="009910EF"/>
    <w:rsid w:val="00992660"/>
    <w:rsid w:val="00992FAA"/>
    <w:rsid w:val="00993449"/>
    <w:rsid w:val="00993BB5"/>
    <w:rsid w:val="00993EEF"/>
    <w:rsid w:val="00994FC7"/>
    <w:rsid w:val="0099577C"/>
    <w:rsid w:val="00995B71"/>
    <w:rsid w:val="0099635E"/>
    <w:rsid w:val="00996689"/>
    <w:rsid w:val="009970BA"/>
    <w:rsid w:val="009974DA"/>
    <w:rsid w:val="009A057A"/>
    <w:rsid w:val="009A19C7"/>
    <w:rsid w:val="009A2DE2"/>
    <w:rsid w:val="009A3238"/>
    <w:rsid w:val="009A329C"/>
    <w:rsid w:val="009A38B5"/>
    <w:rsid w:val="009A405D"/>
    <w:rsid w:val="009A4783"/>
    <w:rsid w:val="009A4A61"/>
    <w:rsid w:val="009A502D"/>
    <w:rsid w:val="009A5AAF"/>
    <w:rsid w:val="009A6303"/>
    <w:rsid w:val="009A64FA"/>
    <w:rsid w:val="009A6B1E"/>
    <w:rsid w:val="009A6DA8"/>
    <w:rsid w:val="009A735E"/>
    <w:rsid w:val="009A7D63"/>
    <w:rsid w:val="009A7EC8"/>
    <w:rsid w:val="009B1B7B"/>
    <w:rsid w:val="009B2294"/>
    <w:rsid w:val="009B24A5"/>
    <w:rsid w:val="009B2601"/>
    <w:rsid w:val="009B2B61"/>
    <w:rsid w:val="009B3488"/>
    <w:rsid w:val="009B4093"/>
    <w:rsid w:val="009B428C"/>
    <w:rsid w:val="009B4388"/>
    <w:rsid w:val="009B4467"/>
    <w:rsid w:val="009B455C"/>
    <w:rsid w:val="009B4E9E"/>
    <w:rsid w:val="009B500C"/>
    <w:rsid w:val="009B52DD"/>
    <w:rsid w:val="009B61C5"/>
    <w:rsid w:val="009B61F8"/>
    <w:rsid w:val="009B6B79"/>
    <w:rsid w:val="009C0B10"/>
    <w:rsid w:val="009C107A"/>
    <w:rsid w:val="009C1690"/>
    <w:rsid w:val="009C1CB0"/>
    <w:rsid w:val="009C1F11"/>
    <w:rsid w:val="009C226B"/>
    <w:rsid w:val="009C2654"/>
    <w:rsid w:val="009C2EA6"/>
    <w:rsid w:val="009C32C3"/>
    <w:rsid w:val="009C382B"/>
    <w:rsid w:val="009C44FF"/>
    <w:rsid w:val="009C45C4"/>
    <w:rsid w:val="009C460D"/>
    <w:rsid w:val="009C4AA6"/>
    <w:rsid w:val="009C5658"/>
    <w:rsid w:val="009C5D87"/>
    <w:rsid w:val="009C62AD"/>
    <w:rsid w:val="009C6881"/>
    <w:rsid w:val="009C6DB2"/>
    <w:rsid w:val="009C735B"/>
    <w:rsid w:val="009C7759"/>
    <w:rsid w:val="009D043D"/>
    <w:rsid w:val="009D07C8"/>
    <w:rsid w:val="009D114D"/>
    <w:rsid w:val="009D1ABC"/>
    <w:rsid w:val="009D29F0"/>
    <w:rsid w:val="009D2D2C"/>
    <w:rsid w:val="009D3B17"/>
    <w:rsid w:val="009D4499"/>
    <w:rsid w:val="009D5765"/>
    <w:rsid w:val="009D6C12"/>
    <w:rsid w:val="009D6C71"/>
    <w:rsid w:val="009D6DA8"/>
    <w:rsid w:val="009D76FE"/>
    <w:rsid w:val="009E03A9"/>
    <w:rsid w:val="009E0631"/>
    <w:rsid w:val="009E099F"/>
    <w:rsid w:val="009E1068"/>
    <w:rsid w:val="009E1143"/>
    <w:rsid w:val="009E150C"/>
    <w:rsid w:val="009E16D0"/>
    <w:rsid w:val="009E1B82"/>
    <w:rsid w:val="009E1DEE"/>
    <w:rsid w:val="009E1F38"/>
    <w:rsid w:val="009E2051"/>
    <w:rsid w:val="009E2278"/>
    <w:rsid w:val="009E2FDE"/>
    <w:rsid w:val="009E38FD"/>
    <w:rsid w:val="009E4BC9"/>
    <w:rsid w:val="009E5215"/>
    <w:rsid w:val="009E54B5"/>
    <w:rsid w:val="009E5A54"/>
    <w:rsid w:val="009E6150"/>
    <w:rsid w:val="009E6883"/>
    <w:rsid w:val="009F0234"/>
    <w:rsid w:val="009F12C7"/>
    <w:rsid w:val="009F13D6"/>
    <w:rsid w:val="009F2632"/>
    <w:rsid w:val="009F2D4C"/>
    <w:rsid w:val="009F38A6"/>
    <w:rsid w:val="009F3BCE"/>
    <w:rsid w:val="009F3F40"/>
    <w:rsid w:val="009F4022"/>
    <w:rsid w:val="009F4901"/>
    <w:rsid w:val="009F4C6B"/>
    <w:rsid w:val="009F78A8"/>
    <w:rsid w:val="00A00ABF"/>
    <w:rsid w:val="00A01443"/>
    <w:rsid w:val="00A01824"/>
    <w:rsid w:val="00A0210F"/>
    <w:rsid w:val="00A02140"/>
    <w:rsid w:val="00A02954"/>
    <w:rsid w:val="00A02AD6"/>
    <w:rsid w:val="00A04533"/>
    <w:rsid w:val="00A04564"/>
    <w:rsid w:val="00A053C5"/>
    <w:rsid w:val="00A07096"/>
    <w:rsid w:val="00A07318"/>
    <w:rsid w:val="00A11370"/>
    <w:rsid w:val="00A11424"/>
    <w:rsid w:val="00A115EE"/>
    <w:rsid w:val="00A11FDA"/>
    <w:rsid w:val="00A12D98"/>
    <w:rsid w:val="00A1330A"/>
    <w:rsid w:val="00A13374"/>
    <w:rsid w:val="00A1390C"/>
    <w:rsid w:val="00A13B9F"/>
    <w:rsid w:val="00A140A6"/>
    <w:rsid w:val="00A14D02"/>
    <w:rsid w:val="00A14E4B"/>
    <w:rsid w:val="00A162E0"/>
    <w:rsid w:val="00A169A8"/>
    <w:rsid w:val="00A16CD6"/>
    <w:rsid w:val="00A17622"/>
    <w:rsid w:val="00A177AB"/>
    <w:rsid w:val="00A20C34"/>
    <w:rsid w:val="00A217D5"/>
    <w:rsid w:val="00A21976"/>
    <w:rsid w:val="00A224CE"/>
    <w:rsid w:val="00A22522"/>
    <w:rsid w:val="00A22C68"/>
    <w:rsid w:val="00A22DE5"/>
    <w:rsid w:val="00A23378"/>
    <w:rsid w:val="00A23815"/>
    <w:rsid w:val="00A23C8E"/>
    <w:rsid w:val="00A24AEA"/>
    <w:rsid w:val="00A24AFD"/>
    <w:rsid w:val="00A24F5C"/>
    <w:rsid w:val="00A25546"/>
    <w:rsid w:val="00A25D20"/>
    <w:rsid w:val="00A26627"/>
    <w:rsid w:val="00A26D13"/>
    <w:rsid w:val="00A26EBE"/>
    <w:rsid w:val="00A2711A"/>
    <w:rsid w:val="00A2724E"/>
    <w:rsid w:val="00A27684"/>
    <w:rsid w:val="00A27D1E"/>
    <w:rsid w:val="00A27ED8"/>
    <w:rsid w:val="00A3049A"/>
    <w:rsid w:val="00A309E9"/>
    <w:rsid w:val="00A316DF"/>
    <w:rsid w:val="00A31730"/>
    <w:rsid w:val="00A31AF1"/>
    <w:rsid w:val="00A31E5E"/>
    <w:rsid w:val="00A3259D"/>
    <w:rsid w:val="00A32908"/>
    <w:rsid w:val="00A32AD6"/>
    <w:rsid w:val="00A32F96"/>
    <w:rsid w:val="00A330EC"/>
    <w:rsid w:val="00A3361C"/>
    <w:rsid w:val="00A34F3F"/>
    <w:rsid w:val="00A365EE"/>
    <w:rsid w:val="00A371DF"/>
    <w:rsid w:val="00A3758C"/>
    <w:rsid w:val="00A37B47"/>
    <w:rsid w:val="00A40871"/>
    <w:rsid w:val="00A40FA6"/>
    <w:rsid w:val="00A412AB"/>
    <w:rsid w:val="00A4154F"/>
    <w:rsid w:val="00A41916"/>
    <w:rsid w:val="00A4193E"/>
    <w:rsid w:val="00A41C3E"/>
    <w:rsid w:val="00A4274D"/>
    <w:rsid w:val="00A42A2B"/>
    <w:rsid w:val="00A42A9A"/>
    <w:rsid w:val="00A42DAC"/>
    <w:rsid w:val="00A43009"/>
    <w:rsid w:val="00A440E0"/>
    <w:rsid w:val="00A442EF"/>
    <w:rsid w:val="00A44732"/>
    <w:rsid w:val="00A44E16"/>
    <w:rsid w:val="00A452E9"/>
    <w:rsid w:val="00A45431"/>
    <w:rsid w:val="00A46AD7"/>
    <w:rsid w:val="00A50467"/>
    <w:rsid w:val="00A504C3"/>
    <w:rsid w:val="00A50799"/>
    <w:rsid w:val="00A50A9D"/>
    <w:rsid w:val="00A5176D"/>
    <w:rsid w:val="00A51D1A"/>
    <w:rsid w:val="00A5245F"/>
    <w:rsid w:val="00A52646"/>
    <w:rsid w:val="00A527C9"/>
    <w:rsid w:val="00A5367D"/>
    <w:rsid w:val="00A537E3"/>
    <w:rsid w:val="00A5418D"/>
    <w:rsid w:val="00A543B3"/>
    <w:rsid w:val="00A5444F"/>
    <w:rsid w:val="00A5474E"/>
    <w:rsid w:val="00A55414"/>
    <w:rsid w:val="00A55B45"/>
    <w:rsid w:val="00A56668"/>
    <w:rsid w:val="00A578BF"/>
    <w:rsid w:val="00A6003C"/>
    <w:rsid w:val="00A60357"/>
    <w:rsid w:val="00A63973"/>
    <w:rsid w:val="00A64234"/>
    <w:rsid w:val="00A64505"/>
    <w:rsid w:val="00A6691A"/>
    <w:rsid w:val="00A67756"/>
    <w:rsid w:val="00A67DD3"/>
    <w:rsid w:val="00A67EDA"/>
    <w:rsid w:val="00A709B0"/>
    <w:rsid w:val="00A70ADF"/>
    <w:rsid w:val="00A71385"/>
    <w:rsid w:val="00A71466"/>
    <w:rsid w:val="00A7178B"/>
    <w:rsid w:val="00A72BC6"/>
    <w:rsid w:val="00A73122"/>
    <w:rsid w:val="00A7482F"/>
    <w:rsid w:val="00A74B5E"/>
    <w:rsid w:val="00A7562B"/>
    <w:rsid w:val="00A75818"/>
    <w:rsid w:val="00A75B96"/>
    <w:rsid w:val="00A76F12"/>
    <w:rsid w:val="00A808FE"/>
    <w:rsid w:val="00A80D2B"/>
    <w:rsid w:val="00A81093"/>
    <w:rsid w:val="00A81BED"/>
    <w:rsid w:val="00A81EC4"/>
    <w:rsid w:val="00A824E8"/>
    <w:rsid w:val="00A835E9"/>
    <w:rsid w:val="00A840BF"/>
    <w:rsid w:val="00A842A3"/>
    <w:rsid w:val="00A8454C"/>
    <w:rsid w:val="00A84615"/>
    <w:rsid w:val="00A85618"/>
    <w:rsid w:val="00A8570B"/>
    <w:rsid w:val="00A85864"/>
    <w:rsid w:val="00A85E9B"/>
    <w:rsid w:val="00A86A88"/>
    <w:rsid w:val="00A87BD8"/>
    <w:rsid w:val="00A90525"/>
    <w:rsid w:val="00A90C4E"/>
    <w:rsid w:val="00A91139"/>
    <w:rsid w:val="00A91B28"/>
    <w:rsid w:val="00A91FD6"/>
    <w:rsid w:val="00A94619"/>
    <w:rsid w:val="00A95DE0"/>
    <w:rsid w:val="00A96308"/>
    <w:rsid w:val="00A965C8"/>
    <w:rsid w:val="00A967FD"/>
    <w:rsid w:val="00A9691B"/>
    <w:rsid w:val="00A96D38"/>
    <w:rsid w:val="00A9781C"/>
    <w:rsid w:val="00A97842"/>
    <w:rsid w:val="00AA08E9"/>
    <w:rsid w:val="00AA0C4F"/>
    <w:rsid w:val="00AA104E"/>
    <w:rsid w:val="00AA1D10"/>
    <w:rsid w:val="00AA262C"/>
    <w:rsid w:val="00AA2DE5"/>
    <w:rsid w:val="00AA39A1"/>
    <w:rsid w:val="00AA43FC"/>
    <w:rsid w:val="00AA4505"/>
    <w:rsid w:val="00AA549D"/>
    <w:rsid w:val="00AA5E09"/>
    <w:rsid w:val="00AA6A2F"/>
    <w:rsid w:val="00AA6F0B"/>
    <w:rsid w:val="00AA6F7D"/>
    <w:rsid w:val="00AB02F4"/>
    <w:rsid w:val="00AB156C"/>
    <w:rsid w:val="00AB17CC"/>
    <w:rsid w:val="00AB3F43"/>
    <w:rsid w:val="00AB43F3"/>
    <w:rsid w:val="00AB5ED1"/>
    <w:rsid w:val="00AB6271"/>
    <w:rsid w:val="00AB6814"/>
    <w:rsid w:val="00AB716A"/>
    <w:rsid w:val="00AB7512"/>
    <w:rsid w:val="00AB7953"/>
    <w:rsid w:val="00AC04BA"/>
    <w:rsid w:val="00AC0E39"/>
    <w:rsid w:val="00AC13FA"/>
    <w:rsid w:val="00AC1563"/>
    <w:rsid w:val="00AC1F3A"/>
    <w:rsid w:val="00AC34E6"/>
    <w:rsid w:val="00AC473E"/>
    <w:rsid w:val="00AC4FA8"/>
    <w:rsid w:val="00AC4FC1"/>
    <w:rsid w:val="00AC666F"/>
    <w:rsid w:val="00AC6681"/>
    <w:rsid w:val="00AD06A9"/>
    <w:rsid w:val="00AD08A8"/>
    <w:rsid w:val="00AD0B52"/>
    <w:rsid w:val="00AD0C01"/>
    <w:rsid w:val="00AD120E"/>
    <w:rsid w:val="00AD177A"/>
    <w:rsid w:val="00AD1813"/>
    <w:rsid w:val="00AD18BD"/>
    <w:rsid w:val="00AD2B92"/>
    <w:rsid w:val="00AD2D24"/>
    <w:rsid w:val="00AD3082"/>
    <w:rsid w:val="00AD32B4"/>
    <w:rsid w:val="00AD48F2"/>
    <w:rsid w:val="00AD4AD0"/>
    <w:rsid w:val="00AD4E64"/>
    <w:rsid w:val="00AD4EBB"/>
    <w:rsid w:val="00AD50E4"/>
    <w:rsid w:val="00AD5436"/>
    <w:rsid w:val="00AD5939"/>
    <w:rsid w:val="00AD60CD"/>
    <w:rsid w:val="00AD6146"/>
    <w:rsid w:val="00AD61CA"/>
    <w:rsid w:val="00AD632D"/>
    <w:rsid w:val="00AD6C8C"/>
    <w:rsid w:val="00AD71C8"/>
    <w:rsid w:val="00AD767D"/>
    <w:rsid w:val="00AD7E3C"/>
    <w:rsid w:val="00AE044A"/>
    <w:rsid w:val="00AE091D"/>
    <w:rsid w:val="00AE0A78"/>
    <w:rsid w:val="00AE0C44"/>
    <w:rsid w:val="00AE149F"/>
    <w:rsid w:val="00AE15FB"/>
    <w:rsid w:val="00AE225B"/>
    <w:rsid w:val="00AE22C7"/>
    <w:rsid w:val="00AE25DE"/>
    <w:rsid w:val="00AE28D3"/>
    <w:rsid w:val="00AE375A"/>
    <w:rsid w:val="00AE3B60"/>
    <w:rsid w:val="00AE4190"/>
    <w:rsid w:val="00AE484C"/>
    <w:rsid w:val="00AE4D10"/>
    <w:rsid w:val="00AE5191"/>
    <w:rsid w:val="00AE53A1"/>
    <w:rsid w:val="00AE5674"/>
    <w:rsid w:val="00AE61C8"/>
    <w:rsid w:val="00AE62E9"/>
    <w:rsid w:val="00AE6BCC"/>
    <w:rsid w:val="00AE7BDD"/>
    <w:rsid w:val="00AE7E23"/>
    <w:rsid w:val="00AF0AA9"/>
    <w:rsid w:val="00AF0F06"/>
    <w:rsid w:val="00AF19E8"/>
    <w:rsid w:val="00AF2484"/>
    <w:rsid w:val="00AF2904"/>
    <w:rsid w:val="00AF38B4"/>
    <w:rsid w:val="00AF4071"/>
    <w:rsid w:val="00AF60D2"/>
    <w:rsid w:val="00AF62EA"/>
    <w:rsid w:val="00AF63E7"/>
    <w:rsid w:val="00AF6CFA"/>
    <w:rsid w:val="00AF6E17"/>
    <w:rsid w:val="00AF7007"/>
    <w:rsid w:val="00AF7330"/>
    <w:rsid w:val="00B0165D"/>
    <w:rsid w:val="00B01B60"/>
    <w:rsid w:val="00B02EAC"/>
    <w:rsid w:val="00B031F3"/>
    <w:rsid w:val="00B044BC"/>
    <w:rsid w:val="00B052A4"/>
    <w:rsid w:val="00B0699F"/>
    <w:rsid w:val="00B06E8C"/>
    <w:rsid w:val="00B070CE"/>
    <w:rsid w:val="00B0716A"/>
    <w:rsid w:val="00B07595"/>
    <w:rsid w:val="00B07B41"/>
    <w:rsid w:val="00B100D4"/>
    <w:rsid w:val="00B10DBA"/>
    <w:rsid w:val="00B112E1"/>
    <w:rsid w:val="00B124BF"/>
    <w:rsid w:val="00B125DE"/>
    <w:rsid w:val="00B12942"/>
    <w:rsid w:val="00B132FA"/>
    <w:rsid w:val="00B134D4"/>
    <w:rsid w:val="00B139B5"/>
    <w:rsid w:val="00B13FDD"/>
    <w:rsid w:val="00B14087"/>
    <w:rsid w:val="00B14559"/>
    <w:rsid w:val="00B14A02"/>
    <w:rsid w:val="00B14B90"/>
    <w:rsid w:val="00B15320"/>
    <w:rsid w:val="00B15A26"/>
    <w:rsid w:val="00B16652"/>
    <w:rsid w:val="00B16FC7"/>
    <w:rsid w:val="00B1728F"/>
    <w:rsid w:val="00B177F9"/>
    <w:rsid w:val="00B17DCE"/>
    <w:rsid w:val="00B203CF"/>
    <w:rsid w:val="00B206E7"/>
    <w:rsid w:val="00B208B0"/>
    <w:rsid w:val="00B20E6D"/>
    <w:rsid w:val="00B20F3F"/>
    <w:rsid w:val="00B2128F"/>
    <w:rsid w:val="00B21579"/>
    <w:rsid w:val="00B215D6"/>
    <w:rsid w:val="00B2209E"/>
    <w:rsid w:val="00B22A8C"/>
    <w:rsid w:val="00B22EB2"/>
    <w:rsid w:val="00B2390B"/>
    <w:rsid w:val="00B23F0B"/>
    <w:rsid w:val="00B25A74"/>
    <w:rsid w:val="00B25F07"/>
    <w:rsid w:val="00B26D46"/>
    <w:rsid w:val="00B27290"/>
    <w:rsid w:val="00B27442"/>
    <w:rsid w:val="00B275E1"/>
    <w:rsid w:val="00B308B0"/>
    <w:rsid w:val="00B30B86"/>
    <w:rsid w:val="00B31167"/>
    <w:rsid w:val="00B316AD"/>
    <w:rsid w:val="00B31B81"/>
    <w:rsid w:val="00B31BBC"/>
    <w:rsid w:val="00B32691"/>
    <w:rsid w:val="00B329B2"/>
    <w:rsid w:val="00B329D8"/>
    <w:rsid w:val="00B32BB9"/>
    <w:rsid w:val="00B33AE1"/>
    <w:rsid w:val="00B34131"/>
    <w:rsid w:val="00B351FA"/>
    <w:rsid w:val="00B3733D"/>
    <w:rsid w:val="00B37C38"/>
    <w:rsid w:val="00B40630"/>
    <w:rsid w:val="00B40DE6"/>
    <w:rsid w:val="00B40F6B"/>
    <w:rsid w:val="00B418C4"/>
    <w:rsid w:val="00B4288C"/>
    <w:rsid w:val="00B43262"/>
    <w:rsid w:val="00B43C86"/>
    <w:rsid w:val="00B44100"/>
    <w:rsid w:val="00B44963"/>
    <w:rsid w:val="00B449A1"/>
    <w:rsid w:val="00B449EB"/>
    <w:rsid w:val="00B45F77"/>
    <w:rsid w:val="00B4635C"/>
    <w:rsid w:val="00B46368"/>
    <w:rsid w:val="00B4658B"/>
    <w:rsid w:val="00B467E4"/>
    <w:rsid w:val="00B46CBA"/>
    <w:rsid w:val="00B46F94"/>
    <w:rsid w:val="00B47301"/>
    <w:rsid w:val="00B476CD"/>
    <w:rsid w:val="00B50ABD"/>
    <w:rsid w:val="00B51005"/>
    <w:rsid w:val="00B51844"/>
    <w:rsid w:val="00B537F3"/>
    <w:rsid w:val="00B53DA8"/>
    <w:rsid w:val="00B53F82"/>
    <w:rsid w:val="00B549B8"/>
    <w:rsid w:val="00B54E12"/>
    <w:rsid w:val="00B54F41"/>
    <w:rsid w:val="00B55CF3"/>
    <w:rsid w:val="00B55D91"/>
    <w:rsid w:val="00B55E4E"/>
    <w:rsid w:val="00B56199"/>
    <w:rsid w:val="00B563F9"/>
    <w:rsid w:val="00B5668B"/>
    <w:rsid w:val="00B56864"/>
    <w:rsid w:val="00B569A1"/>
    <w:rsid w:val="00B5715D"/>
    <w:rsid w:val="00B57C77"/>
    <w:rsid w:val="00B6003C"/>
    <w:rsid w:val="00B61829"/>
    <w:rsid w:val="00B61F03"/>
    <w:rsid w:val="00B626E4"/>
    <w:rsid w:val="00B62CC2"/>
    <w:rsid w:val="00B62FA2"/>
    <w:rsid w:val="00B635AB"/>
    <w:rsid w:val="00B6380C"/>
    <w:rsid w:val="00B642BC"/>
    <w:rsid w:val="00B64D28"/>
    <w:rsid w:val="00B64FA8"/>
    <w:rsid w:val="00B6539A"/>
    <w:rsid w:val="00B66C43"/>
    <w:rsid w:val="00B678A5"/>
    <w:rsid w:val="00B67C01"/>
    <w:rsid w:val="00B67CED"/>
    <w:rsid w:val="00B67F40"/>
    <w:rsid w:val="00B7235D"/>
    <w:rsid w:val="00B726A2"/>
    <w:rsid w:val="00B72F4A"/>
    <w:rsid w:val="00B73031"/>
    <w:rsid w:val="00B73B9E"/>
    <w:rsid w:val="00B7435D"/>
    <w:rsid w:val="00B74717"/>
    <w:rsid w:val="00B74C63"/>
    <w:rsid w:val="00B750F4"/>
    <w:rsid w:val="00B75132"/>
    <w:rsid w:val="00B7520F"/>
    <w:rsid w:val="00B759AE"/>
    <w:rsid w:val="00B75DB0"/>
    <w:rsid w:val="00B7606D"/>
    <w:rsid w:val="00B762C8"/>
    <w:rsid w:val="00B765C3"/>
    <w:rsid w:val="00B76BE3"/>
    <w:rsid w:val="00B76CA8"/>
    <w:rsid w:val="00B773E3"/>
    <w:rsid w:val="00B776C6"/>
    <w:rsid w:val="00B77DA9"/>
    <w:rsid w:val="00B8084F"/>
    <w:rsid w:val="00B811D9"/>
    <w:rsid w:val="00B81808"/>
    <w:rsid w:val="00B82017"/>
    <w:rsid w:val="00B82CDE"/>
    <w:rsid w:val="00B83C27"/>
    <w:rsid w:val="00B8431E"/>
    <w:rsid w:val="00B84BC3"/>
    <w:rsid w:val="00B84BDD"/>
    <w:rsid w:val="00B84D4D"/>
    <w:rsid w:val="00B84D82"/>
    <w:rsid w:val="00B84F34"/>
    <w:rsid w:val="00B87AD9"/>
    <w:rsid w:val="00B91E5C"/>
    <w:rsid w:val="00B92812"/>
    <w:rsid w:val="00B92F2D"/>
    <w:rsid w:val="00B9307B"/>
    <w:rsid w:val="00B930C5"/>
    <w:rsid w:val="00B930E3"/>
    <w:rsid w:val="00B933AA"/>
    <w:rsid w:val="00B9380F"/>
    <w:rsid w:val="00B9618D"/>
    <w:rsid w:val="00B96442"/>
    <w:rsid w:val="00BA46AC"/>
    <w:rsid w:val="00BA5464"/>
    <w:rsid w:val="00BA6AF5"/>
    <w:rsid w:val="00BA6CC4"/>
    <w:rsid w:val="00BA6FB7"/>
    <w:rsid w:val="00BB0040"/>
    <w:rsid w:val="00BB1389"/>
    <w:rsid w:val="00BB154C"/>
    <w:rsid w:val="00BB19F9"/>
    <w:rsid w:val="00BB1CA7"/>
    <w:rsid w:val="00BB45A1"/>
    <w:rsid w:val="00BB4D54"/>
    <w:rsid w:val="00BB5E3E"/>
    <w:rsid w:val="00BB67EE"/>
    <w:rsid w:val="00BB7686"/>
    <w:rsid w:val="00BB78E0"/>
    <w:rsid w:val="00BB7C49"/>
    <w:rsid w:val="00BB7D12"/>
    <w:rsid w:val="00BB7EBE"/>
    <w:rsid w:val="00BC009A"/>
    <w:rsid w:val="00BC029D"/>
    <w:rsid w:val="00BC12CA"/>
    <w:rsid w:val="00BC1FE0"/>
    <w:rsid w:val="00BC23F9"/>
    <w:rsid w:val="00BC3421"/>
    <w:rsid w:val="00BC3B3D"/>
    <w:rsid w:val="00BC4219"/>
    <w:rsid w:val="00BC46C3"/>
    <w:rsid w:val="00BC52DA"/>
    <w:rsid w:val="00BC5614"/>
    <w:rsid w:val="00BC5B9A"/>
    <w:rsid w:val="00BC5F46"/>
    <w:rsid w:val="00BC6162"/>
    <w:rsid w:val="00BC655F"/>
    <w:rsid w:val="00BC732C"/>
    <w:rsid w:val="00BD01B0"/>
    <w:rsid w:val="00BD1619"/>
    <w:rsid w:val="00BD27CC"/>
    <w:rsid w:val="00BD27E3"/>
    <w:rsid w:val="00BD28EF"/>
    <w:rsid w:val="00BD2D13"/>
    <w:rsid w:val="00BD367D"/>
    <w:rsid w:val="00BD4421"/>
    <w:rsid w:val="00BD5978"/>
    <w:rsid w:val="00BD676D"/>
    <w:rsid w:val="00BD689A"/>
    <w:rsid w:val="00BD6D49"/>
    <w:rsid w:val="00BD7420"/>
    <w:rsid w:val="00BE0331"/>
    <w:rsid w:val="00BE1F07"/>
    <w:rsid w:val="00BE2329"/>
    <w:rsid w:val="00BE2580"/>
    <w:rsid w:val="00BE266D"/>
    <w:rsid w:val="00BE2952"/>
    <w:rsid w:val="00BE2D0F"/>
    <w:rsid w:val="00BE31FE"/>
    <w:rsid w:val="00BE37DF"/>
    <w:rsid w:val="00BE3938"/>
    <w:rsid w:val="00BE3BAD"/>
    <w:rsid w:val="00BE4C11"/>
    <w:rsid w:val="00BE5B2E"/>
    <w:rsid w:val="00BE6805"/>
    <w:rsid w:val="00BE6949"/>
    <w:rsid w:val="00BE6E5E"/>
    <w:rsid w:val="00BE71C0"/>
    <w:rsid w:val="00BE782A"/>
    <w:rsid w:val="00BE7DFE"/>
    <w:rsid w:val="00BF0754"/>
    <w:rsid w:val="00BF12D1"/>
    <w:rsid w:val="00BF314D"/>
    <w:rsid w:val="00BF352F"/>
    <w:rsid w:val="00BF3AC1"/>
    <w:rsid w:val="00BF4176"/>
    <w:rsid w:val="00BF4CB6"/>
    <w:rsid w:val="00BF5021"/>
    <w:rsid w:val="00BF54C8"/>
    <w:rsid w:val="00BF5634"/>
    <w:rsid w:val="00BF5C2C"/>
    <w:rsid w:val="00BF610C"/>
    <w:rsid w:val="00BF6A61"/>
    <w:rsid w:val="00BF7679"/>
    <w:rsid w:val="00BF79A4"/>
    <w:rsid w:val="00C001D1"/>
    <w:rsid w:val="00C0060B"/>
    <w:rsid w:val="00C00945"/>
    <w:rsid w:val="00C00BC2"/>
    <w:rsid w:val="00C00C01"/>
    <w:rsid w:val="00C0136D"/>
    <w:rsid w:val="00C01A6C"/>
    <w:rsid w:val="00C01C30"/>
    <w:rsid w:val="00C01E51"/>
    <w:rsid w:val="00C02682"/>
    <w:rsid w:val="00C0277D"/>
    <w:rsid w:val="00C03250"/>
    <w:rsid w:val="00C03ADA"/>
    <w:rsid w:val="00C03D9D"/>
    <w:rsid w:val="00C04523"/>
    <w:rsid w:val="00C053A1"/>
    <w:rsid w:val="00C067FD"/>
    <w:rsid w:val="00C069BF"/>
    <w:rsid w:val="00C06B6D"/>
    <w:rsid w:val="00C06D57"/>
    <w:rsid w:val="00C1043B"/>
    <w:rsid w:val="00C11F87"/>
    <w:rsid w:val="00C13A77"/>
    <w:rsid w:val="00C14202"/>
    <w:rsid w:val="00C14448"/>
    <w:rsid w:val="00C146DD"/>
    <w:rsid w:val="00C14EC5"/>
    <w:rsid w:val="00C15F13"/>
    <w:rsid w:val="00C16198"/>
    <w:rsid w:val="00C2075C"/>
    <w:rsid w:val="00C20833"/>
    <w:rsid w:val="00C2083D"/>
    <w:rsid w:val="00C211BE"/>
    <w:rsid w:val="00C2120A"/>
    <w:rsid w:val="00C2128D"/>
    <w:rsid w:val="00C21EA6"/>
    <w:rsid w:val="00C22709"/>
    <w:rsid w:val="00C2434C"/>
    <w:rsid w:val="00C248E6"/>
    <w:rsid w:val="00C24A53"/>
    <w:rsid w:val="00C250DB"/>
    <w:rsid w:val="00C2567A"/>
    <w:rsid w:val="00C25D3C"/>
    <w:rsid w:val="00C264CB"/>
    <w:rsid w:val="00C27201"/>
    <w:rsid w:val="00C27B5A"/>
    <w:rsid w:val="00C27BB2"/>
    <w:rsid w:val="00C30091"/>
    <w:rsid w:val="00C30340"/>
    <w:rsid w:val="00C31573"/>
    <w:rsid w:val="00C31C34"/>
    <w:rsid w:val="00C326B7"/>
    <w:rsid w:val="00C32BC0"/>
    <w:rsid w:val="00C33648"/>
    <w:rsid w:val="00C34A05"/>
    <w:rsid w:val="00C35553"/>
    <w:rsid w:val="00C35CCE"/>
    <w:rsid w:val="00C35D76"/>
    <w:rsid w:val="00C35E10"/>
    <w:rsid w:val="00C35FCE"/>
    <w:rsid w:val="00C360A1"/>
    <w:rsid w:val="00C36DD7"/>
    <w:rsid w:val="00C37182"/>
    <w:rsid w:val="00C37D5A"/>
    <w:rsid w:val="00C37E3C"/>
    <w:rsid w:val="00C4032F"/>
    <w:rsid w:val="00C406B1"/>
    <w:rsid w:val="00C41752"/>
    <w:rsid w:val="00C41BFC"/>
    <w:rsid w:val="00C43903"/>
    <w:rsid w:val="00C43CFB"/>
    <w:rsid w:val="00C44047"/>
    <w:rsid w:val="00C44A0E"/>
    <w:rsid w:val="00C45155"/>
    <w:rsid w:val="00C45B41"/>
    <w:rsid w:val="00C467D5"/>
    <w:rsid w:val="00C46896"/>
    <w:rsid w:val="00C46F66"/>
    <w:rsid w:val="00C46F90"/>
    <w:rsid w:val="00C5027F"/>
    <w:rsid w:val="00C50F3F"/>
    <w:rsid w:val="00C50F69"/>
    <w:rsid w:val="00C5122E"/>
    <w:rsid w:val="00C5162C"/>
    <w:rsid w:val="00C521E5"/>
    <w:rsid w:val="00C52584"/>
    <w:rsid w:val="00C52C5D"/>
    <w:rsid w:val="00C5388C"/>
    <w:rsid w:val="00C53917"/>
    <w:rsid w:val="00C53CC0"/>
    <w:rsid w:val="00C54148"/>
    <w:rsid w:val="00C544C6"/>
    <w:rsid w:val="00C5498F"/>
    <w:rsid w:val="00C54E65"/>
    <w:rsid w:val="00C551B8"/>
    <w:rsid w:val="00C55235"/>
    <w:rsid w:val="00C57578"/>
    <w:rsid w:val="00C60430"/>
    <w:rsid w:val="00C604AF"/>
    <w:rsid w:val="00C60CD1"/>
    <w:rsid w:val="00C61F4C"/>
    <w:rsid w:val="00C63B16"/>
    <w:rsid w:val="00C645D3"/>
    <w:rsid w:val="00C64CD0"/>
    <w:rsid w:val="00C651C2"/>
    <w:rsid w:val="00C6534C"/>
    <w:rsid w:val="00C65B8D"/>
    <w:rsid w:val="00C6684F"/>
    <w:rsid w:val="00C66AED"/>
    <w:rsid w:val="00C677AE"/>
    <w:rsid w:val="00C7021B"/>
    <w:rsid w:val="00C7082C"/>
    <w:rsid w:val="00C70E22"/>
    <w:rsid w:val="00C70E70"/>
    <w:rsid w:val="00C714A7"/>
    <w:rsid w:val="00C71B36"/>
    <w:rsid w:val="00C72E35"/>
    <w:rsid w:val="00C73963"/>
    <w:rsid w:val="00C73BB7"/>
    <w:rsid w:val="00C74031"/>
    <w:rsid w:val="00C74504"/>
    <w:rsid w:val="00C74A24"/>
    <w:rsid w:val="00C74CA5"/>
    <w:rsid w:val="00C74EBB"/>
    <w:rsid w:val="00C75A7E"/>
    <w:rsid w:val="00C75F8D"/>
    <w:rsid w:val="00C761A5"/>
    <w:rsid w:val="00C76C5E"/>
    <w:rsid w:val="00C76D34"/>
    <w:rsid w:val="00C76DB9"/>
    <w:rsid w:val="00C76E93"/>
    <w:rsid w:val="00C77380"/>
    <w:rsid w:val="00C778BC"/>
    <w:rsid w:val="00C808AC"/>
    <w:rsid w:val="00C81542"/>
    <w:rsid w:val="00C81BF3"/>
    <w:rsid w:val="00C81D87"/>
    <w:rsid w:val="00C823AD"/>
    <w:rsid w:val="00C82721"/>
    <w:rsid w:val="00C828D8"/>
    <w:rsid w:val="00C837FF"/>
    <w:rsid w:val="00C84320"/>
    <w:rsid w:val="00C84442"/>
    <w:rsid w:val="00C84516"/>
    <w:rsid w:val="00C8478A"/>
    <w:rsid w:val="00C8524F"/>
    <w:rsid w:val="00C857BC"/>
    <w:rsid w:val="00C85C2F"/>
    <w:rsid w:val="00C85CC6"/>
    <w:rsid w:val="00C87E8A"/>
    <w:rsid w:val="00C9010E"/>
    <w:rsid w:val="00C906B7"/>
    <w:rsid w:val="00C90D29"/>
    <w:rsid w:val="00C90F47"/>
    <w:rsid w:val="00C9186F"/>
    <w:rsid w:val="00C919C0"/>
    <w:rsid w:val="00C93345"/>
    <w:rsid w:val="00C937F0"/>
    <w:rsid w:val="00C94C73"/>
    <w:rsid w:val="00C94F1E"/>
    <w:rsid w:val="00C95056"/>
    <w:rsid w:val="00C9521A"/>
    <w:rsid w:val="00C9528F"/>
    <w:rsid w:val="00C95840"/>
    <w:rsid w:val="00C95F66"/>
    <w:rsid w:val="00C971DF"/>
    <w:rsid w:val="00C973EB"/>
    <w:rsid w:val="00C97736"/>
    <w:rsid w:val="00C97A03"/>
    <w:rsid w:val="00CA049F"/>
    <w:rsid w:val="00CA24AD"/>
    <w:rsid w:val="00CA26B1"/>
    <w:rsid w:val="00CA2DD0"/>
    <w:rsid w:val="00CA345A"/>
    <w:rsid w:val="00CA373E"/>
    <w:rsid w:val="00CA3BDF"/>
    <w:rsid w:val="00CA43D6"/>
    <w:rsid w:val="00CA4662"/>
    <w:rsid w:val="00CA52BA"/>
    <w:rsid w:val="00CA570B"/>
    <w:rsid w:val="00CA5ED6"/>
    <w:rsid w:val="00CA6841"/>
    <w:rsid w:val="00CA70C4"/>
    <w:rsid w:val="00CB0D2F"/>
    <w:rsid w:val="00CB10CB"/>
    <w:rsid w:val="00CB1E82"/>
    <w:rsid w:val="00CB204D"/>
    <w:rsid w:val="00CB2396"/>
    <w:rsid w:val="00CB257F"/>
    <w:rsid w:val="00CB2BAD"/>
    <w:rsid w:val="00CB3292"/>
    <w:rsid w:val="00CB483C"/>
    <w:rsid w:val="00CB4BA8"/>
    <w:rsid w:val="00CB5092"/>
    <w:rsid w:val="00CB52D7"/>
    <w:rsid w:val="00CB57BB"/>
    <w:rsid w:val="00CB5E3E"/>
    <w:rsid w:val="00CB6337"/>
    <w:rsid w:val="00CB639F"/>
    <w:rsid w:val="00CB7535"/>
    <w:rsid w:val="00CB79B1"/>
    <w:rsid w:val="00CC023F"/>
    <w:rsid w:val="00CC04B4"/>
    <w:rsid w:val="00CC08D3"/>
    <w:rsid w:val="00CC0CB6"/>
    <w:rsid w:val="00CC130F"/>
    <w:rsid w:val="00CC1B53"/>
    <w:rsid w:val="00CC1C83"/>
    <w:rsid w:val="00CC1D6C"/>
    <w:rsid w:val="00CC283F"/>
    <w:rsid w:val="00CC28F8"/>
    <w:rsid w:val="00CC2BC5"/>
    <w:rsid w:val="00CC36FF"/>
    <w:rsid w:val="00CC384D"/>
    <w:rsid w:val="00CC3945"/>
    <w:rsid w:val="00CC39A2"/>
    <w:rsid w:val="00CC3F1C"/>
    <w:rsid w:val="00CC4134"/>
    <w:rsid w:val="00CC49B1"/>
    <w:rsid w:val="00CC4EE5"/>
    <w:rsid w:val="00CC5461"/>
    <w:rsid w:val="00CC6732"/>
    <w:rsid w:val="00CC6808"/>
    <w:rsid w:val="00CC6F7E"/>
    <w:rsid w:val="00CC74A7"/>
    <w:rsid w:val="00CD1234"/>
    <w:rsid w:val="00CD1BF2"/>
    <w:rsid w:val="00CD25D4"/>
    <w:rsid w:val="00CD2A7D"/>
    <w:rsid w:val="00CD35C4"/>
    <w:rsid w:val="00CD4516"/>
    <w:rsid w:val="00CD4F8C"/>
    <w:rsid w:val="00CD558A"/>
    <w:rsid w:val="00CE02F3"/>
    <w:rsid w:val="00CE06C4"/>
    <w:rsid w:val="00CE15C0"/>
    <w:rsid w:val="00CE269D"/>
    <w:rsid w:val="00CE2ECE"/>
    <w:rsid w:val="00CE2FCB"/>
    <w:rsid w:val="00CE34FD"/>
    <w:rsid w:val="00CE3C96"/>
    <w:rsid w:val="00CE448B"/>
    <w:rsid w:val="00CE47A6"/>
    <w:rsid w:val="00CE4B7D"/>
    <w:rsid w:val="00CE4F90"/>
    <w:rsid w:val="00CE51A8"/>
    <w:rsid w:val="00CE54BB"/>
    <w:rsid w:val="00CE7B53"/>
    <w:rsid w:val="00CE7F3E"/>
    <w:rsid w:val="00CF04B5"/>
    <w:rsid w:val="00CF065D"/>
    <w:rsid w:val="00CF10F0"/>
    <w:rsid w:val="00CF1F75"/>
    <w:rsid w:val="00CF22FB"/>
    <w:rsid w:val="00CF28AE"/>
    <w:rsid w:val="00CF2B17"/>
    <w:rsid w:val="00CF369B"/>
    <w:rsid w:val="00CF3ACD"/>
    <w:rsid w:val="00CF3C3C"/>
    <w:rsid w:val="00CF3F3F"/>
    <w:rsid w:val="00CF618B"/>
    <w:rsid w:val="00CF674A"/>
    <w:rsid w:val="00CF728F"/>
    <w:rsid w:val="00CF7B06"/>
    <w:rsid w:val="00D00E28"/>
    <w:rsid w:val="00D0174A"/>
    <w:rsid w:val="00D017AE"/>
    <w:rsid w:val="00D01ABC"/>
    <w:rsid w:val="00D020D4"/>
    <w:rsid w:val="00D021FD"/>
    <w:rsid w:val="00D023A1"/>
    <w:rsid w:val="00D025B7"/>
    <w:rsid w:val="00D0269E"/>
    <w:rsid w:val="00D03146"/>
    <w:rsid w:val="00D03396"/>
    <w:rsid w:val="00D03400"/>
    <w:rsid w:val="00D03528"/>
    <w:rsid w:val="00D0361D"/>
    <w:rsid w:val="00D03D49"/>
    <w:rsid w:val="00D049DD"/>
    <w:rsid w:val="00D054B9"/>
    <w:rsid w:val="00D05D6C"/>
    <w:rsid w:val="00D0603A"/>
    <w:rsid w:val="00D06CAF"/>
    <w:rsid w:val="00D06F3C"/>
    <w:rsid w:val="00D075A8"/>
    <w:rsid w:val="00D078FD"/>
    <w:rsid w:val="00D10CFA"/>
    <w:rsid w:val="00D1110E"/>
    <w:rsid w:val="00D121E1"/>
    <w:rsid w:val="00D128B5"/>
    <w:rsid w:val="00D12E08"/>
    <w:rsid w:val="00D135FD"/>
    <w:rsid w:val="00D13607"/>
    <w:rsid w:val="00D136FC"/>
    <w:rsid w:val="00D14D2E"/>
    <w:rsid w:val="00D15810"/>
    <w:rsid w:val="00D16D4E"/>
    <w:rsid w:val="00D16FE3"/>
    <w:rsid w:val="00D17603"/>
    <w:rsid w:val="00D17839"/>
    <w:rsid w:val="00D17DB1"/>
    <w:rsid w:val="00D2037A"/>
    <w:rsid w:val="00D2043F"/>
    <w:rsid w:val="00D2129C"/>
    <w:rsid w:val="00D215BB"/>
    <w:rsid w:val="00D22337"/>
    <w:rsid w:val="00D23267"/>
    <w:rsid w:val="00D23509"/>
    <w:rsid w:val="00D24016"/>
    <w:rsid w:val="00D24424"/>
    <w:rsid w:val="00D244CD"/>
    <w:rsid w:val="00D25642"/>
    <w:rsid w:val="00D25A02"/>
    <w:rsid w:val="00D25B59"/>
    <w:rsid w:val="00D25D75"/>
    <w:rsid w:val="00D25E74"/>
    <w:rsid w:val="00D267F2"/>
    <w:rsid w:val="00D278BA"/>
    <w:rsid w:val="00D27E82"/>
    <w:rsid w:val="00D27F41"/>
    <w:rsid w:val="00D314D8"/>
    <w:rsid w:val="00D335D9"/>
    <w:rsid w:val="00D33F08"/>
    <w:rsid w:val="00D34748"/>
    <w:rsid w:val="00D349AD"/>
    <w:rsid w:val="00D34CD7"/>
    <w:rsid w:val="00D34FD0"/>
    <w:rsid w:val="00D36441"/>
    <w:rsid w:val="00D36A01"/>
    <w:rsid w:val="00D36AE5"/>
    <w:rsid w:val="00D370AD"/>
    <w:rsid w:val="00D400C4"/>
    <w:rsid w:val="00D4064E"/>
    <w:rsid w:val="00D40A28"/>
    <w:rsid w:val="00D41395"/>
    <w:rsid w:val="00D41A52"/>
    <w:rsid w:val="00D42E93"/>
    <w:rsid w:val="00D43EB3"/>
    <w:rsid w:val="00D43FE1"/>
    <w:rsid w:val="00D442AB"/>
    <w:rsid w:val="00D44B82"/>
    <w:rsid w:val="00D44C7D"/>
    <w:rsid w:val="00D44E9B"/>
    <w:rsid w:val="00D4567A"/>
    <w:rsid w:val="00D458B1"/>
    <w:rsid w:val="00D45E5A"/>
    <w:rsid w:val="00D45FD2"/>
    <w:rsid w:val="00D4791B"/>
    <w:rsid w:val="00D47AEB"/>
    <w:rsid w:val="00D508B4"/>
    <w:rsid w:val="00D50A87"/>
    <w:rsid w:val="00D50DB9"/>
    <w:rsid w:val="00D51302"/>
    <w:rsid w:val="00D513A9"/>
    <w:rsid w:val="00D522D2"/>
    <w:rsid w:val="00D52618"/>
    <w:rsid w:val="00D52C43"/>
    <w:rsid w:val="00D52DB5"/>
    <w:rsid w:val="00D53D84"/>
    <w:rsid w:val="00D545AD"/>
    <w:rsid w:val="00D54729"/>
    <w:rsid w:val="00D54D71"/>
    <w:rsid w:val="00D5592F"/>
    <w:rsid w:val="00D56524"/>
    <w:rsid w:val="00D56F53"/>
    <w:rsid w:val="00D60386"/>
    <w:rsid w:val="00D60C8F"/>
    <w:rsid w:val="00D60ED8"/>
    <w:rsid w:val="00D60F11"/>
    <w:rsid w:val="00D61059"/>
    <w:rsid w:val="00D618EE"/>
    <w:rsid w:val="00D61CE5"/>
    <w:rsid w:val="00D627F1"/>
    <w:rsid w:val="00D62C3C"/>
    <w:rsid w:val="00D6507F"/>
    <w:rsid w:val="00D65D85"/>
    <w:rsid w:val="00D66DFA"/>
    <w:rsid w:val="00D675CB"/>
    <w:rsid w:val="00D67D5B"/>
    <w:rsid w:val="00D70479"/>
    <w:rsid w:val="00D70CB2"/>
    <w:rsid w:val="00D730BC"/>
    <w:rsid w:val="00D73912"/>
    <w:rsid w:val="00D73F92"/>
    <w:rsid w:val="00D749CF"/>
    <w:rsid w:val="00D74A7C"/>
    <w:rsid w:val="00D75927"/>
    <w:rsid w:val="00D76166"/>
    <w:rsid w:val="00D77B92"/>
    <w:rsid w:val="00D811F7"/>
    <w:rsid w:val="00D81483"/>
    <w:rsid w:val="00D816A4"/>
    <w:rsid w:val="00D81A46"/>
    <w:rsid w:val="00D81F6A"/>
    <w:rsid w:val="00D820DE"/>
    <w:rsid w:val="00D82110"/>
    <w:rsid w:val="00D8261D"/>
    <w:rsid w:val="00D83917"/>
    <w:rsid w:val="00D83F71"/>
    <w:rsid w:val="00D8464E"/>
    <w:rsid w:val="00D84DB8"/>
    <w:rsid w:val="00D85226"/>
    <w:rsid w:val="00D85590"/>
    <w:rsid w:val="00D8630C"/>
    <w:rsid w:val="00D876C8"/>
    <w:rsid w:val="00D87853"/>
    <w:rsid w:val="00D87B94"/>
    <w:rsid w:val="00D90028"/>
    <w:rsid w:val="00D9184A"/>
    <w:rsid w:val="00D92027"/>
    <w:rsid w:val="00D9211C"/>
    <w:rsid w:val="00D9213C"/>
    <w:rsid w:val="00D922F2"/>
    <w:rsid w:val="00D9274C"/>
    <w:rsid w:val="00D927C1"/>
    <w:rsid w:val="00D92A84"/>
    <w:rsid w:val="00D92D49"/>
    <w:rsid w:val="00D92EC1"/>
    <w:rsid w:val="00D93142"/>
    <w:rsid w:val="00D93D69"/>
    <w:rsid w:val="00D94E6E"/>
    <w:rsid w:val="00D9564A"/>
    <w:rsid w:val="00D957D9"/>
    <w:rsid w:val="00D9613A"/>
    <w:rsid w:val="00D96DEA"/>
    <w:rsid w:val="00DA027F"/>
    <w:rsid w:val="00DA0404"/>
    <w:rsid w:val="00DA0DD6"/>
    <w:rsid w:val="00DA0F83"/>
    <w:rsid w:val="00DA178F"/>
    <w:rsid w:val="00DA1A64"/>
    <w:rsid w:val="00DA1F53"/>
    <w:rsid w:val="00DA2430"/>
    <w:rsid w:val="00DA271F"/>
    <w:rsid w:val="00DA2D75"/>
    <w:rsid w:val="00DA2DCC"/>
    <w:rsid w:val="00DA341F"/>
    <w:rsid w:val="00DA4096"/>
    <w:rsid w:val="00DA4231"/>
    <w:rsid w:val="00DA486D"/>
    <w:rsid w:val="00DA48C8"/>
    <w:rsid w:val="00DA4A2A"/>
    <w:rsid w:val="00DA4E41"/>
    <w:rsid w:val="00DA4FD1"/>
    <w:rsid w:val="00DA50F3"/>
    <w:rsid w:val="00DA5125"/>
    <w:rsid w:val="00DA677A"/>
    <w:rsid w:val="00DA79A9"/>
    <w:rsid w:val="00DA7BBC"/>
    <w:rsid w:val="00DA7C78"/>
    <w:rsid w:val="00DA7CC7"/>
    <w:rsid w:val="00DB082E"/>
    <w:rsid w:val="00DB117A"/>
    <w:rsid w:val="00DB1888"/>
    <w:rsid w:val="00DB1E92"/>
    <w:rsid w:val="00DB256C"/>
    <w:rsid w:val="00DB2AA5"/>
    <w:rsid w:val="00DB3172"/>
    <w:rsid w:val="00DB3E8F"/>
    <w:rsid w:val="00DB434E"/>
    <w:rsid w:val="00DB4936"/>
    <w:rsid w:val="00DB49F9"/>
    <w:rsid w:val="00DB5173"/>
    <w:rsid w:val="00DB546D"/>
    <w:rsid w:val="00DB550F"/>
    <w:rsid w:val="00DB7873"/>
    <w:rsid w:val="00DB794E"/>
    <w:rsid w:val="00DB7AB6"/>
    <w:rsid w:val="00DB7C03"/>
    <w:rsid w:val="00DC060A"/>
    <w:rsid w:val="00DC187B"/>
    <w:rsid w:val="00DC237F"/>
    <w:rsid w:val="00DC2C60"/>
    <w:rsid w:val="00DC38F8"/>
    <w:rsid w:val="00DC586E"/>
    <w:rsid w:val="00DC7135"/>
    <w:rsid w:val="00DC7DEF"/>
    <w:rsid w:val="00DD1A43"/>
    <w:rsid w:val="00DD1C36"/>
    <w:rsid w:val="00DD1EDE"/>
    <w:rsid w:val="00DD2077"/>
    <w:rsid w:val="00DD2E38"/>
    <w:rsid w:val="00DD2FD3"/>
    <w:rsid w:val="00DD3035"/>
    <w:rsid w:val="00DD38B6"/>
    <w:rsid w:val="00DD399F"/>
    <w:rsid w:val="00DD3CF9"/>
    <w:rsid w:val="00DD4462"/>
    <w:rsid w:val="00DD51B6"/>
    <w:rsid w:val="00DD73C2"/>
    <w:rsid w:val="00DE1706"/>
    <w:rsid w:val="00DE1852"/>
    <w:rsid w:val="00DE1BA2"/>
    <w:rsid w:val="00DE1DB8"/>
    <w:rsid w:val="00DE319B"/>
    <w:rsid w:val="00DE3AA5"/>
    <w:rsid w:val="00DE4669"/>
    <w:rsid w:val="00DE5648"/>
    <w:rsid w:val="00DE5A53"/>
    <w:rsid w:val="00DE67BC"/>
    <w:rsid w:val="00DF0088"/>
    <w:rsid w:val="00DF0273"/>
    <w:rsid w:val="00DF07B6"/>
    <w:rsid w:val="00DF0AE8"/>
    <w:rsid w:val="00DF0C44"/>
    <w:rsid w:val="00DF1C5D"/>
    <w:rsid w:val="00DF1E78"/>
    <w:rsid w:val="00DF227D"/>
    <w:rsid w:val="00DF24FD"/>
    <w:rsid w:val="00DF2C48"/>
    <w:rsid w:val="00DF2DE5"/>
    <w:rsid w:val="00DF34FE"/>
    <w:rsid w:val="00DF54F8"/>
    <w:rsid w:val="00DF562C"/>
    <w:rsid w:val="00DF56AA"/>
    <w:rsid w:val="00DF56AF"/>
    <w:rsid w:val="00DF6283"/>
    <w:rsid w:val="00DF6954"/>
    <w:rsid w:val="00DF6CC8"/>
    <w:rsid w:val="00DF6F03"/>
    <w:rsid w:val="00DF746E"/>
    <w:rsid w:val="00DF78E7"/>
    <w:rsid w:val="00E01F2D"/>
    <w:rsid w:val="00E02658"/>
    <w:rsid w:val="00E02C25"/>
    <w:rsid w:val="00E02D93"/>
    <w:rsid w:val="00E02E95"/>
    <w:rsid w:val="00E03AE4"/>
    <w:rsid w:val="00E04EF7"/>
    <w:rsid w:val="00E0639D"/>
    <w:rsid w:val="00E06740"/>
    <w:rsid w:val="00E067A2"/>
    <w:rsid w:val="00E101EE"/>
    <w:rsid w:val="00E10579"/>
    <w:rsid w:val="00E110E0"/>
    <w:rsid w:val="00E11DAB"/>
    <w:rsid w:val="00E11E7E"/>
    <w:rsid w:val="00E129D1"/>
    <w:rsid w:val="00E12B61"/>
    <w:rsid w:val="00E13DBB"/>
    <w:rsid w:val="00E13F7F"/>
    <w:rsid w:val="00E14B76"/>
    <w:rsid w:val="00E15118"/>
    <w:rsid w:val="00E15308"/>
    <w:rsid w:val="00E15371"/>
    <w:rsid w:val="00E16E97"/>
    <w:rsid w:val="00E17843"/>
    <w:rsid w:val="00E20713"/>
    <w:rsid w:val="00E20CAE"/>
    <w:rsid w:val="00E20DCD"/>
    <w:rsid w:val="00E20FBC"/>
    <w:rsid w:val="00E21BEC"/>
    <w:rsid w:val="00E229FA"/>
    <w:rsid w:val="00E22DDE"/>
    <w:rsid w:val="00E23372"/>
    <w:rsid w:val="00E23D06"/>
    <w:rsid w:val="00E24104"/>
    <w:rsid w:val="00E24D0E"/>
    <w:rsid w:val="00E26482"/>
    <w:rsid w:val="00E26979"/>
    <w:rsid w:val="00E26DB0"/>
    <w:rsid w:val="00E27641"/>
    <w:rsid w:val="00E302D0"/>
    <w:rsid w:val="00E30C51"/>
    <w:rsid w:val="00E31287"/>
    <w:rsid w:val="00E31373"/>
    <w:rsid w:val="00E3184E"/>
    <w:rsid w:val="00E31A12"/>
    <w:rsid w:val="00E3315D"/>
    <w:rsid w:val="00E33344"/>
    <w:rsid w:val="00E33C16"/>
    <w:rsid w:val="00E33E72"/>
    <w:rsid w:val="00E341A5"/>
    <w:rsid w:val="00E346AD"/>
    <w:rsid w:val="00E35707"/>
    <w:rsid w:val="00E35CEB"/>
    <w:rsid w:val="00E36AA1"/>
    <w:rsid w:val="00E36F62"/>
    <w:rsid w:val="00E40278"/>
    <w:rsid w:val="00E413CE"/>
    <w:rsid w:val="00E41707"/>
    <w:rsid w:val="00E41B8B"/>
    <w:rsid w:val="00E41ECB"/>
    <w:rsid w:val="00E41ED5"/>
    <w:rsid w:val="00E42676"/>
    <w:rsid w:val="00E4272A"/>
    <w:rsid w:val="00E43194"/>
    <w:rsid w:val="00E4328B"/>
    <w:rsid w:val="00E43509"/>
    <w:rsid w:val="00E458C0"/>
    <w:rsid w:val="00E46365"/>
    <w:rsid w:val="00E463FC"/>
    <w:rsid w:val="00E47473"/>
    <w:rsid w:val="00E4764F"/>
    <w:rsid w:val="00E47E0E"/>
    <w:rsid w:val="00E51BD8"/>
    <w:rsid w:val="00E520FC"/>
    <w:rsid w:val="00E5274A"/>
    <w:rsid w:val="00E53E85"/>
    <w:rsid w:val="00E54181"/>
    <w:rsid w:val="00E54812"/>
    <w:rsid w:val="00E54FDB"/>
    <w:rsid w:val="00E55687"/>
    <w:rsid w:val="00E5617D"/>
    <w:rsid w:val="00E563D7"/>
    <w:rsid w:val="00E571A6"/>
    <w:rsid w:val="00E57822"/>
    <w:rsid w:val="00E57C1F"/>
    <w:rsid w:val="00E616E4"/>
    <w:rsid w:val="00E62884"/>
    <w:rsid w:val="00E63EBE"/>
    <w:rsid w:val="00E6453A"/>
    <w:rsid w:val="00E6501E"/>
    <w:rsid w:val="00E65C1B"/>
    <w:rsid w:val="00E663F4"/>
    <w:rsid w:val="00E666F2"/>
    <w:rsid w:val="00E66769"/>
    <w:rsid w:val="00E667BC"/>
    <w:rsid w:val="00E66DD4"/>
    <w:rsid w:val="00E6702B"/>
    <w:rsid w:val="00E67252"/>
    <w:rsid w:val="00E676A3"/>
    <w:rsid w:val="00E704F1"/>
    <w:rsid w:val="00E7117A"/>
    <w:rsid w:val="00E712CD"/>
    <w:rsid w:val="00E721B4"/>
    <w:rsid w:val="00E72C25"/>
    <w:rsid w:val="00E7329A"/>
    <w:rsid w:val="00E734AA"/>
    <w:rsid w:val="00E738A3"/>
    <w:rsid w:val="00E73927"/>
    <w:rsid w:val="00E739FF"/>
    <w:rsid w:val="00E7480F"/>
    <w:rsid w:val="00E748CC"/>
    <w:rsid w:val="00E748FA"/>
    <w:rsid w:val="00E749B8"/>
    <w:rsid w:val="00E7503E"/>
    <w:rsid w:val="00E75095"/>
    <w:rsid w:val="00E75415"/>
    <w:rsid w:val="00E75AC5"/>
    <w:rsid w:val="00E76F66"/>
    <w:rsid w:val="00E7734C"/>
    <w:rsid w:val="00E775B1"/>
    <w:rsid w:val="00E80229"/>
    <w:rsid w:val="00E80789"/>
    <w:rsid w:val="00E8152A"/>
    <w:rsid w:val="00E81768"/>
    <w:rsid w:val="00E84F67"/>
    <w:rsid w:val="00E853EA"/>
    <w:rsid w:val="00E85AA4"/>
    <w:rsid w:val="00E87652"/>
    <w:rsid w:val="00E8782F"/>
    <w:rsid w:val="00E87890"/>
    <w:rsid w:val="00E87B1F"/>
    <w:rsid w:val="00E87E29"/>
    <w:rsid w:val="00E87E55"/>
    <w:rsid w:val="00E9064E"/>
    <w:rsid w:val="00E907C3"/>
    <w:rsid w:val="00E90C24"/>
    <w:rsid w:val="00E9204D"/>
    <w:rsid w:val="00E926F8"/>
    <w:rsid w:val="00E93629"/>
    <w:rsid w:val="00E93B5C"/>
    <w:rsid w:val="00E93C8D"/>
    <w:rsid w:val="00E94562"/>
    <w:rsid w:val="00E94838"/>
    <w:rsid w:val="00E94CEC"/>
    <w:rsid w:val="00E95807"/>
    <w:rsid w:val="00E95E61"/>
    <w:rsid w:val="00E95EF2"/>
    <w:rsid w:val="00E966C4"/>
    <w:rsid w:val="00E96F7A"/>
    <w:rsid w:val="00E97592"/>
    <w:rsid w:val="00E978DE"/>
    <w:rsid w:val="00EA0047"/>
    <w:rsid w:val="00EA04EF"/>
    <w:rsid w:val="00EA0678"/>
    <w:rsid w:val="00EA0C96"/>
    <w:rsid w:val="00EA183B"/>
    <w:rsid w:val="00EA202E"/>
    <w:rsid w:val="00EA26A0"/>
    <w:rsid w:val="00EA3C42"/>
    <w:rsid w:val="00EA4303"/>
    <w:rsid w:val="00EA4B62"/>
    <w:rsid w:val="00EA4C50"/>
    <w:rsid w:val="00EA5447"/>
    <w:rsid w:val="00EA6F19"/>
    <w:rsid w:val="00EA7BE4"/>
    <w:rsid w:val="00EB0079"/>
    <w:rsid w:val="00EB1452"/>
    <w:rsid w:val="00EB1775"/>
    <w:rsid w:val="00EB2899"/>
    <w:rsid w:val="00EB2FE4"/>
    <w:rsid w:val="00EB37F6"/>
    <w:rsid w:val="00EB3C71"/>
    <w:rsid w:val="00EB3DD8"/>
    <w:rsid w:val="00EB41CC"/>
    <w:rsid w:val="00EB4434"/>
    <w:rsid w:val="00EB4D7C"/>
    <w:rsid w:val="00EB4F89"/>
    <w:rsid w:val="00EB571A"/>
    <w:rsid w:val="00EB5724"/>
    <w:rsid w:val="00EB5E4D"/>
    <w:rsid w:val="00EB5FCF"/>
    <w:rsid w:val="00EB6B47"/>
    <w:rsid w:val="00EB6D04"/>
    <w:rsid w:val="00EB7090"/>
    <w:rsid w:val="00EB77F6"/>
    <w:rsid w:val="00EB7CFA"/>
    <w:rsid w:val="00EB7EA7"/>
    <w:rsid w:val="00EC058C"/>
    <w:rsid w:val="00EC1BBE"/>
    <w:rsid w:val="00EC2709"/>
    <w:rsid w:val="00EC2B68"/>
    <w:rsid w:val="00EC34A3"/>
    <w:rsid w:val="00EC3AEF"/>
    <w:rsid w:val="00EC5CD7"/>
    <w:rsid w:val="00EC5F10"/>
    <w:rsid w:val="00EC734A"/>
    <w:rsid w:val="00EC7517"/>
    <w:rsid w:val="00EC7937"/>
    <w:rsid w:val="00ED017F"/>
    <w:rsid w:val="00ED0501"/>
    <w:rsid w:val="00ED102B"/>
    <w:rsid w:val="00ED18E7"/>
    <w:rsid w:val="00ED1F81"/>
    <w:rsid w:val="00ED29DF"/>
    <w:rsid w:val="00ED2CD9"/>
    <w:rsid w:val="00ED3541"/>
    <w:rsid w:val="00ED4F39"/>
    <w:rsid w:val="00ED5025"/>
    <w:rsid w:val="00ED5FEA"/>
    <w:rsid w:val="00ED61A7"/>
    <w:rsid w:val="00EE0952"/>
    <w:rsid w:val="00EE1C8A"/>
    <w:rsid w:val="00EE2AF5"/>
    <w:rsid w:val="00EE2F8C"/>
    <w:rsid w:val="00EE3006"/>
    <w:rsid w:val="00EE3594"/>
    <w:rsid w:val="00EE438E"/>
    <w:rsid w:val="00EE4BAE"/>
    <w:rsid w:val="00EE4BF6"/>
    <w:rsid w:val="00EE4C36"/>
    <w:rsid w:val="00EE5117"/>
    <w:rsid w:val="00EE51A0"/>
    <w:rsid w:val="00EE5529"/>
    <w:rsid w:val="00EE5FB3"/>
    <w:rsid w:val="00EE660E"/>
    <w:rsid w:val="00EE6E26"/>
    <w:rsid w:val="00EE7315"/>
    <w:rsid w:val="00EE785B"/>
    <w:rsid w:val="00EE7AF0"/>
    <w:rsid w:val="00EE7DFB"/>
    <w:rsid w:val="00EE7F79"/>
    <w:rsid w:val="00EF01CD"/>
    <w:rsid w:val="00EF0565"/>
    <w:rsid w:val="00EF06D5"/>
    <w:rsid w:val="00EF0928"/>
    <w:rsid w:val="00EF0DA6"/>
    <w:rsid w:val="00EF10E6"/>
    <w:rsid w:val="00EF1273"/>
    <w:rsid w:val="00EF20B5"/>
    <w:rsid w:val="00EF281C"/>
    <w:rsid w:val="00EF2872"/>
    <w:rsid w:val="00EF30C0"/>
    <w:rsid w:val="00EF3ABC"/>
    <w:rsid w:val="00EF3B12"/>
    <w:rsid w:val="00EF3B3F"/>
    <w:rsid w:val="00EF3C96"/>
    <w:rsid w:val="00EF420B"/>
    <w:rsid w:val="00EF4701"/>
    <w:rsid w:val="00EF5639"/>
    <w:rsid w:val="00EF5797"/>
    <w:rsid w:val="00EF5948"/>
    <w:rsid w:val="00EF5CCB"/>
    <w:rsid w:val="00EF618F"/>
    <w:rsid w:val="00EF6457"/>
    <w:rsid w:val="00EF6CA0"/>
    <w:rsid w:val="00EF6CED"/>
    <w:rsid w:val="00EF715A"/>
    <w:rsid w:val="00EF7805"/>
    <w:rsid w:val="00F002C8"/>
    <w:rsid w:val="00F003E8"/>
    <w:rsid w:val="00F005D1"/>
    <w:rsid w:val="00F00771"/>
    <w:rsid w:val="00F01BC3"/>
    <w:rsid w:val="00F01CAA"/>
    <w:rsid w:val="00F01FC3"/>
    <w:rsid w:val="00F03306"/>
    <w:rsid w:val="00F0444F"/>
    <w:rsid w:val="00F04873"/>
    <w:rsid w:val="00F05DFC"/>
    <w:rsid w:val="00F063D3"/>
    <w:rsid w:val="00F06834"/>
    <w:rsid w:val="00F06925"/>
    <w:rsid w:val="00F06E14"/>
    <w:rsid w:val="00F07605"/>
    <w:rsid w:val="00F1033E"/>
    <w:rsid w:val="00F10D45"/>
    <w:rsid w:val="00F11178"/>
    <w:rsid w:val="00F1161E"/>
    <w:rsid w:val="00F12757"/>
    <w:rsid w:val="00F1281C"/>
    <w:rsid w:val="00F12DFE"/>
    <w:rsid w:val="00F1358B"/>
    <w:rsid w:val="00F153F0"/>
    <w:rsid w:val="00F15499"/>
    <w:rsid w:val="00F15952"/>
    <w:rsid w:val="00F159B0"/>
    <w:rsid w:val="00F15B04"/>
    <w:rsid w:val="00F165F6"/>
    <w:rsid w:val="00F16BA8"/>
    <w:rsid w:val="00F176FB"/>
    <w:rsid w:val="00F179D4"/>
    <w:rsid w:val="00F20536"/>
    <w:rsid w:val="00F2339F"/>
    <w:rsid w:val="00F2347F"/>
    <w:rsid w:val="00F240A2"/>
    <w:rsid w:val="00F242DC"/>
    <w:rsid w:val="00F24A1B"/>
    <w:rsid w:val="00F25167"/>
    <w:rsid w:val="00F2541B"/>
    <w:rsid w:val="00F25B0D"/>
    <w:rsid w:val="00F2758E"/>
    <w:rsid w:val="00F276B1"/>
    <w:rsid w:val="00F27FFD"/>
    <w:rsid w:val="00F31F0A"/>
    <w:rsid w:val="00F33C56"/>
    <w:rsid w:val="00F33FE1"/>
    <w:rsid w:val="00F342FB"/>
    <w:rsid w:val="00F347C7"/>
    <w:rsid w:val="00F34848"/>
    <w:rsid w:val="00F34B7C"/>
    <w:rsid w:val="00F35403"/>
    <w:rsid w:val="00F36651"/>
    <w:rsid w:val="00F36661"/>
    <w:rsid w:val="00F36FC6"/>
    <w:rsid w:val="00F3764E"/>
    <w:rsid w:val="00F37DF1"/>
    <w:rsid w:val="00F41A52"/>
    <w:rsid w:val="00F42D46"/>
    <w:rsid w:val="00F432A1"/>
    <w:rsid w:val="00F43BA2"/>
    <w:rsid w:val="00F447A3"/>
    <w:rsid w:val="00F44885"/>
    <w:rsid w:val="00F4496C"/>
    <w:rsid w:val="00F44B0E"/>
    <w:rsid w:val="00F44F3A"/>
    <w:rsid w:val="00F4510E"/>
    <w:rsid w:val="00F45627"/>
    <w:rsid w:val="00F45A76"/>
    <w:rsid w:val="00F45DD5"/>
    <w:rsid w:val="00F5128C"/>
    <w:rsid w:val="00F512D1"/>
    <w:rsid w:val="00F51F10"/>
    <w:rsid w:val="00F522C0"/>
    <w:rsid w:val="00F529A5"/>
    <w:rsid w:val="00F5300F"/>
    <w:rsid w:val="00F539A4"/>
    <w:rsid w:val="00F5461F"/>
    <w:rsid w:val="00F54B52"/>
    <w:rsid w:val="00F55EEB"/>
    <w:rsid w:val="00F56743"/>
    <w:rsid w:val="00F57112"/>
    <w:rsid w:val="00F57793"/>
    <w:rsid w:val="00F5790E"/>
    <w:rsid w:val="00F57A85"/>
    <w:rsid w:val="00F6082F"/>
    <w:rsid w:val="00F60B53"/>
    <w:rsid w:val="00F60C0C"/>
    <w:rsid w:val="00F60F00"/>
    <w:rsid w:val="00F612A9"/>
    <w:rsid w:val="00F614C0"/>
    <w:rsid w:val="00F61868"/>
    <w:rsid w:val="00F61C77"/>
    <w:rsid w:val="00F62686"/>
    <w:rsid w:val="00F63B92"/>
    <w:rsid w:val="00F64889"/>
    <w:rsid w:val="00F65AF1"/>
    <w:rsid w:val="00F66EC6"/>
    <w:rsid w:val="00F67DB1"/>
    <w:rsid w:val="00F7008B"/>
    <w:rsid w:val="00F70CDE"/>
    <w:rsid w:val="00F70FE0"/>
    <w:rsid w:val="00F719A7"/>
    <w:rsid w:val="00F719EB"/>
    <w:rsid w:val="00F7324D"/>
    <w:rsid w:val="00F743CC"/>
    <w:rsid w:val="00F7483A"/>
    <w:rsid w:val="00F748BD"/>
    <w:rsid w:val="00F75478"/>
    <w:rsid w:val="00F75571"/>
    <w:rsid w:val="00F75C2F"/>
    <w:rsid w:val="00F75D71"/>
    <w:rsid w:val="00F7609F"/>
    <w:rsid w:val="00F76313"/>
    <w:rsid w:val="00F763D1"/>
    <w:rsid w:val="00F76842"/>
    <w:rsid w:val="00F7798A"/>
    <w:rsid w:val="00F816EE"/>
    <w:rsid w:val="00F81F62"/>
    <w:rsid w:val="00F83245"/>
    <w:rsid w:val="00F833B9"/>
    <w:rsid w:val="00F835AC"/>
    <w:rsid w:val="00F83848"/>
    <w:rsid w:val="00F84E08"/>
    <w:rsid w:val="00F85AA0"/>
    <w:rsid w:val="00F85BC3"/>
    <w:rsid w:val="00F86DCA"/>
    <w:rsid w:val="00F86DEA"/>
    <w:rsid w:val="00F91549"/>
    <w:rsid w:val="00F921F2"/>
    <w:rsid w:val="00F92D7D"/>
    <w:rsid w:val="00F93C31"/>
    <w:rsid w:val="00F9410A"/>
    <w:rsid w:val="00F94C13"/>
    <w:rsid w:val="00F9577A"/>
    <w:rsid w:val="00F95E9B"/>
    <w:rsid w:val="00F96AD6"/>
    <w:rsid w:val="00F96AD8"/>
    <w:rsid w:val="00F96D8D"/>
    <w:rsid w:val="00F975E9"/>
    <w:rsid w:val="00F976E0"/>
    <w:rsid w:val="00F97E01"/>
    <w:rsid w:val="00FA082B"/>
    <w:rsid w:val="00FA0D15"/>
    <w:rsid w:val="00FA1B7D"/>
    <w:rsid w:val="00FA278F"/>
    <w:rsid w:val="00FA3124"/>
    <w:rsid w:val="00FA3AAE"/>
    <w:rsid w:val="00FA5E8B"/>
    <w:rsid w:val="00FA6843"/>
    <w:rsid w:val="00FA6AC8"/>
    <w:rsid w:val="00FA6C2F"/>
    <w:rsid w:val="00FA78CF"/>
    <w:rsid w:val="00FA7FEC"/>
    <w:rsid w:val="00FB0021"/>
    <w:rsid w:val="00FB111E"/>
    <w:rsid w:val="00FB1373"/>
    <w:rsid w:val="00FB20AB"/>
    <w:rsid w:val="00FB25AE"/>
    <w:rsid w:val="00FB3020"/>
    <w:rsid w:val="00FB38F8"/>
    <w:rsid w:val="00FB4462"/>
    <w:rsid w:val="00FB472C"/>
    <w:rsid w:val="00FB4ADC"/>
    <w:rsid w:val="00FB4BD5"/>
    <w:rsid w:val="00FB650F"/>
    <w:rsid w:val="00FB6653"/>
    <w:rsid w:val="00FB669C"/>
    <w:rsid w:val="00FB6F51"/>
    <w:rsid w:val="00FB75B2"/>
    <w:rsid w:val="00FC07B9"/>
    <w:rsid w:val="00FC133D"/>
    <w:rsid w:val="00FC18FA"/>
    <w:rsid w:val="00FC199C"/>
    <w:rsid w:val="00FC2615"/>
    <w:rsid w:val="00FC40DE"/>
    <w:rsid w:val="00FC459D"/>
    <w:rsid w:val="00FC4B3B"/>
    <w:rsid w:val="00FC4E21"/>
    <w:rsid w:val="00FC5F6D"/>
    <w:rsid w:val="00FC663B"/>
    <w:rsid w:val="00FC67FF"/>
    <w:rsid w:val="00FC6837"/>
    <w:rsid w:val="00FC696E"/>
    <w:rsid w:val="00FC78FB"/>
    <w:rsid w:val="00FD0107"/>
    <w:rsid w:val="00FD0B9A"/>
    <w:rsid w:val="00FD1388"/>
    <w:rsid w:val="00FD1637"/>
    <w:rsid w:val="00FD182A"/>
    <w:rsid w:val="00FD1A12"/>
    <w:rsid w:val="00FD2C2F"/>
    <w:rsid w:val="00FD360D"/>
    <w:rsid w:val="00FD3B31"/>
    <w:rsid w:val="00FD3E18"/>
    <w:rsid w:val="00FD4058"/>
    <w:rsid w:val="00FD438F"/>
    <w:rsid w:val="00FD47F5"/>
    <w:rsid w:val="00FD4FAD"/>
    <w:rsid w:val="00FD4FE7"/>
    <w:rsid w:val="00FD64FE"/>
    <w:rsid w:val="00FD654C"/>
    <w:rsid w:val="00FD7413"/>
    <w:rsid w:val="00FE07E3"/>
    <w:rsid w:val="00FE0C2A"/>
    <w:rsid w:val="00FE178A"/>
    <w:rsid w:val="00FE1823"/>
    <w:rsid w:val="00FE1E4F"/>
    <w:rsid w:val="00FE37A3"/>
    <w:rsid w:val="00FE4054"/>
    <w:rsid w:val="00FE463C"/>
    <w:rsid w:val="00FE487A"/>
    <w:rsid w:val="00FE5531"/>
    <w:rsid w:val="00FE6323"/>
    <w:rsid w:val="00FE63BA"/>
    <w:rsid w:val="00FE6549"/>
    <w:rsid w:val="00FE6E58"/>
    <w:rsid w:val="00FE6FBA"/>
    <w:rsid w:val="00FE7629"/>
    <w:rsid w:val="00FF048E"/>
    <w:rsid w:val="00FF0569"/>
    <w:rsid w:val="00FF13C6"/>
    <w:rsid w:val="00FF1416"/>
    <w:rsid w:val="00FF1F3A"/>
    <w:rsid w:val="00FF206E"/>
    <w:rsid w:val="00FF2B53"/>
    <w:rsid w:val="00FF3C69"/>
    <w:rsid w:val="00FF41BE"/>
    <w:rsid w:val="00FF6E0A"/>
    <w:rsid w:val="00FF7518"/>
    <w:rsid w:val="00FF7636"/>
    <w:rsid w:val="030995BE"/>
    <w:rsid w:val="200B8B94"/>
    <w:rsid w:val="2904FEEE"/>
    <w:rsid w:val="30849138"/>
    <w:rsid w:val="3292B8D7"/>
    <w:rsid w:val="393ADA88"/>
    <w:rsid w:val="48E05B22"/>
    <w:rsid w:val="54E2A708"/>
    <w:rsid w:val="650EEF13"/>
    <w:rsid w:val="65C60AF3"/>
    <w:rsid w:val="66C69298"/>
    <w:rsid w:val="713AE771"/>
    <w:rsid w:val="76443B12"/>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colormru v:ext="edit" colors="red,#4d4d4f"/>
    </o:shapedefaults>
    <o:shapelayout v:ext="edit">
      <o:idmap v:ext="edit" data="1"/>
    </o:shapelayout>
  </w:shapeDefaults>
  <w:decimalSymbol w:val="."/>
  <w:listSeparator w:val=","/>
  <w14:docId w14:val="24DAA2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uiPriority="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661EA"/>
    <w:pPr>
      <w:spacing w:after="240" w:line="240" w:lineRule="atLeast"/>
    </w:pPr>
    <w:rPr>
      <w:rFonts w:ascii="Arial" w:hAnsi="Arial"/>
      <w:sz w:val="20"/>
    </w:rPr>
  </w:style>
  <w:style w:type="paragraph" w:styleId="Heading1">
    <w:name w:val="heading 1"/>
    <w:basedOn w:val="Normal"/>
    <w:next w:val="Normal"/>
    <w:link w:val="Heading1Char"/>
    <w:uiPriority w:val="1"/>
    <w:qFormat/>
    <w:rsid w:val="002661EA"/>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2661EA"/>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2661EA"/>
    <w:pPr>
      <w:keepNext/>
      <w:spacing w:before="60" w:after="60"/>
      <w:outlineLvl w:val="2"/>
    </w:pPr>
    <w:rPr>
      <w:rFonts w:cs="Arial"/>
      <w:b/>
      <w:bCs/>
      <w:szCs w:val="26"/>
    </w:rPr>
  </w:style>
  <w:style w:type="paragraph" w:styleId="Heading4">
    <w:name w:val="heading 4"/>
    <w:basedOn w:val="BodySubHeader"/>
    <w:next w:val="Normal"/>
    <w:uiPriority w:val="2"/>
    <w:qFormat/>
    <w:rsid w:val="002661EA"/>
    <w:pPr>
      <w:outlineLvl w:val="3"/>
    </w:pPr>
    <w:rPr>
      <w:rFonts w:cs="Arial"/>
    </w:rPr>
  </w:style>
  <w:style w:type="paragraph" w:styleId="Heading5">
    <w:name w:val="heading 5"/>
    <w:basedOn w:val="Normal"/>
    <w:next w:val="Normal"/>
    <w:semiHidden/>
    <w:qFormat/>
    <w:rsid w:val="002661EA"/>
    <w:pPr>
      <w:numPr>
        <w:ilvl w:val="4"/>
        <w:numId w:val="62"/>
      </w:numPr>
      <w:spacing w:before="240" w:after="60"/>
      <w:outlineLvl w:val="4"/>
    </w:pPr>
    <w:rPr>
      <w:b/>
      <w:bCs/>
      <w:i/>
      <w:iCs/>
      <w:sz w:val="26"/>
      <w:szCs w:val="26"/>
    </w:rPr>
  </w:style>
  <w:style w:type="paragraph" w:styleId="Heading6">
    <w:name w:val="heading 6"/>
    <w:basedOn w:val="Normal"/>
    <w:next w:val="Normal"/>
    <w:semiHidden/>
    <w:qFormat/>
    <w:rsid w:val="002661EA"/>
    <w:pPr>
      <w:numPr>
        <w:ilvl w:val="5"/>
        <w:numId w:val="62"/>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2661EA"/>
    <w:pPr>
      <w:numPr>
        <w:ilvl w:val="6"/>
        <w:numId w:val="62"/>
      </w:numPr>
      <w:spacing w:before="240" w:after="60"/>
      <w:outlineLvl w:val="6"/>
    </w:pPr>
    <w:rPr>
      <w:rFonts w:ascii="Times New Roman" w:hAnsi="Times New Roman"/>
      <w:sz w:val="24"/>
    </w:rPr>
  </w:style>
  <w:style w:type="paragraph" w:styleId="Heading8">
    <w:name w:val="heading 8"/>
    <w:basedOn w:val="Normal"/>
    <w:next w:val="Normal"/>
    <w:semiHidden/>
    <w:qFormat/>
    <w:rsid w:val="002661EA"/>
    <w:pPr>
      <w:numPr>
        <w:ilvl w:val="7"/>
        <w:numId w:val="62"/>
      </w:numPr>
      <w:spacing w:before="240" w:after="60"/>
      <w:outlineLvl w:val="7"/>
    </w:pPr>
    <w:rPr>
      <w:rFonts w:ascii="Times New Roman" w:hAnsi="Times New Roman"/>
      <w:i/>
      <w:iCs/>
      <w:sz w:val="24"/>
    </w:rPr>
  </w:style>
  <w:style w:type="paragraph" w:styleId="Heading9">
    <w:name w:val="heading 9"/>
    <w:basedOn w:val="Normal"/>
    <w:next w:val="Normal"/>
    <w:semiHidden/>
    <w:qFormat/>
    <w:rsid w:val="002661EA"/>
    <w:pPr>
      <w:numPr>
        <w:ilvl w:val="8"/>
        <w:numId w:val="62"/>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2661EA"/>
    <w:pPr>
      <w:tabs>
        <w:tab w:val="center" w:pos="4153"/>
        <w:tab w:val="right" w:pos="8306"/>
      </w:tabs>
      <w:spacing w:line="240" w:lineRule="auto"/>
    </w:pPr>
    <w:rPr>
      <w:sz w:val="16"/>
    </w:rPr>
  </w:style>
  <w:style w:type="paragraph" w:styleId="Footer">
    <w:name w:val="footer"/>
    <w:basedOn w:val="Normal"/>
    <w:link w:val="FooterChar"/>
    <w:semiHidden/>
    <w:qFormat/>
    <w:rsid w:val="002661EA"/>
    <w:pPr>
      <w:tabs>
        <w:tab w:val="right" w:pos="113"/>
      </w:tabs>
      <w:spacing w:line="240" w:lineRule="auto"/>
    </w:pPr>
    <w:rPr>
      <w:color w:val="323232"/>
      <w:sz w:val="16"/>
    </w:rPr>
  </w:style>
  <w:style w:type="character" w:customStyle="1" w:styleId="FooterChar">
    <w:name w:val="Footer Char"/>
    <w:basedOn w:val="DefaultParagraphFont"/>
    <w:link w:val="Footer"/>
    <w:semiHidden/>
    <w:rsid w:val="002661EA"/>
    <w:rPr>
      <w:rFonts w:ascii="Arial" w:hAnsi="Arial"/>
      <w:color w:val="323232"/>
      <w:sz w:val="16"/>
    </w:rPr>
  </w:style>
  <w:style w:type="paragraph" w:customStyle="1" w:styleId="Reporttitle">
    <w:name w:val="Report title"/>
    <w:basedOn w:val="Normal"/>
    <w:uiPriority w:val="19"/>
    <w:qFormat/>
    <w:rsid w:val="002661EA"/>
    <w:pPr>
      <w:spacing w:after="0" w:line="560" w:lineRule="exact"/>
    </w:pPr>
    <w:rPr>
      <w:b/>
      <w:spacing w:val="-28"/>
      <w:sz w:val="53"/>
    </w:rPr>
  </w:style>
  <w:style w:type="paragraph" w:customStyle="1" w:styleId="Reportsubtitle">
    <w:name w:val="Report subtitle"/>
    <w:basedOn w:val="Normal"/>
    <w:uiPriority w:val="20"/>
    <w:qFormat/>
    <w:rsid w:val="002661EA"/>
    <w:pPr>
      <w:spacing w:after="200" w:line="560" w:lineRule="exact"/>
    </w:pPr>
    <w:rPr>
      <w:color w:val="323232"/>
      <w:spacing w:val="-28"/>
      <w:sz w:val="53"/>
    </w:rPr>
  </w:style>
  <w:style w:type="table" w:styleId="TableGrid">
    <w:name w:val="Table Grid"/>
    <w:basedOn w:val="TableNormal"/>
    <w:uiPriority w:val="59"/>
    <w:rsid w:val="002661EA"/>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2661EA"/>
    <w:pPr>
      <w:spacing w:after="1200" w:line="240" w:lineRule="auto"/>
    </w:pPr>
    <w:rPr>
      <w:caps/>
      <w:spacing w:val="-10"/>
      <w:sz w:val="20"/>
    </w:rPr>
  </w:style>
  <w:style w:type="paragraph" w:customStyle="1" w:styleId="Tableheaderrow">
    <w:name w:val="Table header row"/>
    <w:basedOn w:val="Normal"/>
    <w:uiPriority w:val="14"/>
    <w:qFormat/>
    <w:rsid w:val="002661EA"/>
    <w:pPr>
      <w:spacing w:after="0"/>
    </w:pPr>
    <w:rPr>
      <w:b/>
    </w:rPr>
  </w:style>
  <w:style w:type="paragraph" w:customStyle="1" w:styleId="PageNumber">
    <w:name w:val="PageNumber"/>
    <w:basedOn w:val="Normal"/>
    <w:semiHidden/>
    <w:rsid w:val="002661EA"/>
    <w:pPr>
      <w:spacing w:line="240" w:lineRule="auto"/>
    </w:pPr>
    <w:rPr>
      <w:sz w:val="16"/>
    </w:rPr>
  </w:style>
  <w:style w:type="paragraph" w:customStyle="1" w:styleId="Copyright">
    <w:name w:val="Copyright"/>
    <w:basedOn w:val="Normal"/>
    <w:semiHidden/>
    <w:rsid w:val="002661EA"/>
    <w:pPr>
      <w:spacing w:line="160" w:lineRule="exact"/>
    </w:pPr>
    <w:rPr>
      <w:color w:val="4D4D4F"/>
      <w:sz w:val="13"/>
    </w:rPr>
  </w:style>
  <w:style w:type="paragraph" w:styleId="TOCHeading">
    <w:name w:val="TOC Heading"/>
    <w:basedOn w:val="Normal"/>
    <w:semiHidden/>
    <w:qFormat/>
    <w:rsid w:val="002661EA"/>
    <w:pPr>
      <w:spacing w:before="1200" w:line="240" w:lineRule="auto"/>
    </w:pPr>
    <w:rPr>
      <w:b/>
      <w:color w:val="323232"/>
      <w:spacing w:val="-28"/>
      <w:sz w:val="53"/>
    </w:rPr>
  </w:style>
  <w:style w:type="paragraph" w:styleId="Caption">
    <w:name w:val="caption"/>
    <w:aliases w:val="Caption table"/>
    <w:basedOn w:val="Normal"/>
    <w:next w:val="Normal"/>
    <w:semiHidden/>
    <w:qFormat/>
    <w:rsid w:val="002661EA"/>
    <w:pPr>
      <w:numPr>
        <w:numId w:val="55"/>
      </w:numPr>
      <w:spacing w:after="0"/>
    </w:pPr>
    <w:rPr>
      <w:b/>
      <w:bCs/>
      <w:color w:val="323232"/>
      <w:szCs w:val="20"/>
    </w:rPr>
  </w:style>
  <w:style w:type="paragraph" w:customStyle="1" w:styleId="BodySubHeader">
    <w:name w:val="BodySubHeader"/>
    <w:basedOn w:val="Normal"/>
    <w:next w:val="Normal"/>
    <w:semiHidden/>
    <w:rsid w:val="002661EA"/>
    <w:pPr>
      <w:spacing w:before="240" w:after="0"/>
    </w:pPr>
    <w:rPr>
      <w:b/>
      <w:i/>
    </w:rPr>
  </w:style>
  <w:style w:type="paragraph" w:styleId="ListBullet2">
    <w:name w:val="List Bullet 2"/>
    <w:basedOn w:val="Normal"/>
    <w:semiHidden/>
    <w:qFormat/>
    <w:rsid w:val="002661EA"/>
    <w:pPr>
      <w:numPr>
        <w:numId w:val="54"/>
      </w:numPr>
      <w:spacing w:after="80"/>
    </w:pPr>
  </w:style>
  <w:style w:type="paragraph" w:styleId="ListNumber">
    <w:name w:val="List Number"/>
    <w:basedOn w:val="Normal"/>
    <w:semiHidden/>
    <w:qFormat/>
    <w:rsid w:val="002661EA"/>
    <w:pPr>
      <w:numPr>
        <w:numId w:val="68"/>
      </w:numPr>
      <w:spacing w:after="80"/>
    </w:pPr>
  </w:style>
  <w:style w:type="paragraph" w:styleId="ListNumber2">
    <w:name w:val="List Number 2"/>
    <w:basedOn w:val="Normal"/>
    <w:semiHidden/>
    <w:qFormat/>
    <w:rsid w:val="002661EA"/>
    <w:pPr>
      <w:numPr>
        <w:numId w:val="70"/>
      </w:numPr>
      <w:spacing w:after="80"/>
    </w:pPr>
  </w:style>
  <w:style w:type="paragraph" w:customStyle="1" w:styleId="URLEmail">
    <w:name w:val="URL/Email"/>
    <w:basedOn w:val="Normal"/>
    <w:semiHidden/>
    <w:rsid w:val="002661EA"/>
    <w:rPr>
      <w:color w:val="4D4D4F"/>
      <w:spacing w:val="4"/>
    </w:rPr>
  </w:style>
  <w:style w:type="paragraph" w:customStyle="1" w:styleId="Execsummaryheading">
    <w:name w:val="Exec summary heading"/>
    <w:basedOn w:val="Normal"/>
    <w:uiPriority w:val="22"/>
    <w:qFormat/>
    <w:rsid w:val="002661EA"/>
    <w:pPr>
      <w:pageBreakBefore/>
      <w:spacing w:after="1440" w:line="550" w:lineRule="exact"/>
    </w:pPr>
    <w:rPr>
      <w:b/>
      <w:color w:val="323232"/>
      <w:spacing w:val="-18"/>
      <w:sz w:val="53"/>
    </w:rPr>
  </w:style>
  <w:style w:type="character" w:styleId="PageNumber0">
    <w:name w:val="page number"/>
    <w:basedOn w:val="DefaultParagraphFont"/>
    <w:semiHidden/>
    <w:rsid w:val="002661EA"/>
  </w:style>
  <w:style w:type="paragraph" w:styleId="ListContinue5">
    <w:name w:val="List Continue 5"/>
    <w:basedOn w:val="Normal"/>
    <w:semiHidden/>
    <w:rsid w:val="002661EA"/>
    <w:pPr>
      <w:spacing w:after="120"/>
      <w:ind w:left="1415"/>
      <w:contextualSpacing/>
    </w:pPr>
  </w:style>
  <w:style w:type="paragraph" w:customStyle="1" w:styleId="Paragraphbeforelist">
    <w:name w:val="Paragraph before list"/>
    <w:basedOn w:val="Paragraph"/>
    <w:uiPriority w:val="4"/>
    <w:qFormat/>
    <w:rsid w:val="002661EA"/>
    <w:pPr>
      <w:spacing w:after="80"/>
    </w:pPr>
  </w:style>
  <w:style w:type="paragraph" w:styleId="TOC1">
    <w:name w:val="toc 1"/>
    <w:basedOn w:val="Normal"/>
    <w:next w:val="Normal"/>
    <w:uiPriority w:val="39"/>
    <w:qFormat/>
    <w:rsid w:val="002661EA"/>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2661EA"/>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2661EA"/>
    <w:pPr>
      <w:tabs>
        <w:tab w:val="right" w:pos="7615"/>
      </w:tabs>
      <w:spacing w:line="320" w:lineRule="exact"/>
    </w:pPr>
    <w:rPr>
      <w:noProof/>
      <w:color w:val="808285"/>
      <w:sz w:val="28"/>
    </w:rPr>
  </w:style>
  <w:style w:type="paragraph" w:styleId="TOC3">
    <w:name w:val="toc 3"/>
    <w:basedOn w:val="Normal"/>
    <w:next w:val="Normal"/>
    <w:uiPriority w:val="39"/>
    <w:qFormat/>
    <w:rsid w:val="002661EA"/>
    <w:pPr>
      <w:tabs>
        <w:tab w:val="right" w:pos="7661"/>
      </w:tabs>
      <w:spacing w:after="80" w:line="240" w:lineRule="auto"/>
    </w:pPr>
    <w:rPr>
      <w:noProof/>
      <w:sz w:val="22"/>
      <w:szCs w:val="22"/>
    </w:rPr>
  </w:style>
  <w:style w:type="character" w:styleId="Hyperlink">
    <w:name w:val="Hyperlink"/>
    <w:basedOn w:val="DefaultParagraphFont"/>
    <w:uiPriority w:val="99"/>
    <w:qFormat/>
    <w:rsid w:val="002661EA"/>
    <w:rPr>
      <w:color w:val="0000FF"/>
      <w:u w:val="single" w:color="0000FF"/>
    </w:rPr>
  </w:style>
  <w:style w:type="character" w:styleId="FootnoteReference">
    <w:name w:val="footnote reference"/>
    <w:basedOn w:val="DefaultParagraphFont"/>
    <w:rsid w:val="002661EA"/>
    <w:rPr>
      <w:rFonts w:ascii="Arial" w:hAnsi="Arial"/>
      <w:vertAlign w:val="superscript"/>
    </w:rPr>
  </w:style>
  <w:style w:type="paragraph" w:styleId="FootnoteText">
    <w:name w:val="footnote text"/>
    <w:aliases w:val="Footnote text"/>
    <w:basedOn w:val="Normal"/>
    <w:link w:val="FootnoteTextChar"/>
    <w:uiPriority w:val="23"/>
    <w:rsid w:val="0048708B"/>
    <w:pPr>
      <w:spacing w:after="0" w:line="200" w:lineRule="atLeast"/>
    </w:pPr>
    <w:rPr>
      <w:sz w:val="16"/>
      <w:szCs w:val="16"/>
    </w:rPr>
  </w:style>
  <w:style w:type="paragraph" w:customStyle="1" w:styleId="TableBody">
    <w:name w:val="Table Body"/>
    <w:basedOn w:val="Normal"/>
    <w:uiPriority w:val="15"/>
    <w:qFormat/>
    <w:rsid w:val="002661EA"/>
    <w:pPr>
      <w:spacing w:after="0" w:line="240" w:lineRule="auto"/>
    </w:pPr>
  </w:style>
  <w:style w:type="character" w:styleId="CommentReference">
    <w:name w:val="annotation reference"/>
    <w:basedOn w:val="DefaultParagraphFont"/>
    <w:semiHidden/>
    <w:rsid w:val="002661EA"/>
    <w:rPr>
      <w:sz w:val="16"/>
      <w:szCs w:val="16"/>
    </w:rPr>
  </w:style>
  <w:style w:type="paragraph" w:styleId="CommentText">
    <w:name w:val="annotation text"/>
    <w:basedOn w:val="Normal"/>
    <w:link w:val="CommentTextChar"/>
    <w:semiHidden/>
    <w:rsid w:val="002661EA"/>
    <w:pPr>
      <w:spacing w:line="240" w:lineRule="auto"/>
    </w:pPr>
    <w:rPr>
      <w:szCs w:val="20"/>
    </w:rPr>
  </w:style>
  <w:style w:type="character" w:customStyle="1" w:styleId="CommentTextChar">
    <w:name w:val="Comment Text Char"/>
    <w:basedOn w:val="DefaultParagraphFont"/>
    <w:link w:val="CommentText"/>
    <w:semiHidden/>
    <w:rsid w:val="002661EA"/>
    <w:rPr>
      <w:rFonts w:ascii="Arial" w:hAnsi="Arial"/>
      <w:sz w:val="20"/>
      <w:szCs w:val="20"/>
    </w:rPr>
  </w:style>
  <w:style w:type="paragraph" w:styleId="CommentSubject">
    <w:name w:val="annotation subject"/>
    <w:basedOn w:val="CommentText"/>
    <w:next w:val="CommentText"/>
    <w:link w:val="CommentSubjectChar"/>
    <w:semiHidden/>
    <w:rsid w:val="002661EA"/>
    <w:rPr>
      <w:b/>
      <w:bCs/>
    </w:rPr>
  </w:style>
  <w:style w:type="character" w:customStyle="1" w:styleId="CommentSubjectChar">
    <w:name w:val="Comment Subject Char"/>
    <w:basedOn w:val="CommentTextChar"/>
    <w:link w:val="CommentSubject"/>
    <w:semiHidden/>
    <w:rsid w:val="002661EA"/>
    <w:rPr>
      <w:rFonts w:ascii="Arial" w:hAnsi="Arial"/>
      <w:b/>
      <w:bCs/>
      <w:sz w:val="20"/>
      <w:szCs w:val="20"/>
    </w:rPr>
  </w:style>
  <w:style w:type="character" w:styleId="FollowedHyperlink">
    <w:name w:val="FollowedHyperlink"/>
    <w:basedOn w:val="DefaultParagraphFont"/>
    <w:semiHidden/>
    <w:rsid w:val="002661EA"/>
    <w:rPr>
      <w:color w:val="800080" w:themeColor="followedHyperlink"/>
      <w:u w:val="single"/>
    </w:rPr>
  </w:style>
  <w:style w:type="character" w:styleId="PlaceholderText">
    <w:name w:val="Placeholder Text"/>
    <w:basedOn w:val="DefaultParagraphFont"/>
    <w:uiPriority w:val="99"/>
    <w:semiHidden/>
    <w:rsid w:val="002661EA"/>
    <w:rPr>
      <w:color w:val="808080"/>
    </w:rPr>
  </w:style>
  <w:style w:type="paragraph" w:customStyle="1" w:styleId="ACMAInstructions">
    <w:name w:val="ACMA_Instructions"/>
    <w:basedOn w:val="Normal"/>
    <w:semiHidden/>
    <w:unhideWhenUsed/>
    <w:qFormat/>
    <w:rsid w:val="002661EA"/>
    <w:pPr>
      <w:spacing w:after="200"/>
    </w:pPr>
    <w:rPr>
      <w:rFonts w:cs="Arial"/>
      <w:b/>
      <w:vanish/>
      <w:sz w:val="24"/>
    </w:rPr>
  </w:style>
  <w:style w:type="paragraph" w:customStyle="1" w:styleId="CorporateAddresses">
    <w:name w:val="Corporate Addresses"/>
    <w:basedOn w:val="Normal"/>
    <w:semiHidden/>
    <w:rsid w:val="002661EA"/>
    <w:pPr>
      <w:spacing w:line="140" w:lineRule="exact"/>
    </w:pPr>
    <w:rPr>
      <w:color w:val="4D4D4F"/>
      <w:sz w:val="13"/>
    </w:rPr>
  </w:style>
  <w:style w:type="paragraph" w:customStyle="1" w:styleId="Bulletlevel1">
    <w:name w:val="Bullet level 1"/>
    <w:basedOn w:val="ListBullet"/>
    <w:uiPriority w:val="5"/>
    <w:qFormat/>
    <w:rsid w:val="002661EA"/>
    <w:rPr>
      <w:rFonts w:cs="Arial"/>
    </w:rPr>
  </w:style>
  <w:style w:type="paragraph" w:customStyle="1" w:styleId="ACMACorporateAddressHeader">
    <w:name w:val="ACMA_CorporateAddressHeader"/>
    <w:basedOn w:val="Normal"/>
    <w:next w:val="ACMACorporateAddresses"/>
    <w:semiHidden/>
    <w:unhideWhenUsed/>
    <w:qFormat/>
    <w:rsid w:val="002661EA"/>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2661EA"/>
    <w:pPr>
      <w:spacing w:before="0" w:after="120"/>
    </w:pPr>
    <w:rPr>
      <w:b w:val="0"/>
    </w:rPr>
  </w:style>
  <w:style w:type="paragraph" w:customStyle="1" w:styleId="ACMACopyrightHeader">
    <w:name w:val="ACMA_CopyrightHeader"/>
    <w:basedOn w:val="ACMACorporateAddressHeader"/>
    <w:semiHidden/>
    <w:unhideWhenUsed/>
    <w:qFormat/>
    <w:rsid w:val="002661EA"/>
    <w:pPr>
      <w:spacing w:before="3000"/>
    </w:pPr>
  </w:style>
  <w:style w:type="paragraph" w:customStyle="1" w:styleId="ACMACClogo">
    <w:name w:val="ACMA_CClogo"/>
    <w:semiHidden/>
    <w:unhideWhenUsed/>
    <w:qFormat/>
    <w:rsid w:val="002661EA"/>
    <w:pPr>
      <w:spacing w:before="160" w:after="120"/>
    </w:pPr>
    <w:rPr>
      <w:rFonts w:ascii="Arial" w:hAnsi="Arial"/>
      <w:b/>
      <w:sz w:val="13"/>
    </w:rPr>
  </w:style>
  <w:style w:type="paragraph" w:customStyle="1" w:styleId="ListNumberLast">
    <w:name w:val="List Number Last"/>
    <w:basedOn w:val="ListNumber"/>
    <w:semiHidden/>
    <w:qFormat/>
    <w:rsid w:val="002661EA"/>
    <w:pPr>
      <w:spacing w:after="240"/>
      <w:ind w:left="357" w:hanging="357"/>
    </w:pPr>
    <w:rPr>
      <w:rFonts w:cs="Arial"/>
    </w:rPr>
  </w:style>
  <w:style w:type="paragraph" w:customStyle="1" w:styleId="ACMATableHeader">
    <w:name w:val="ACMA_TableHeader"/>
    <w:semiHidden/>
    <w:qFormat/>
    <w:rsid w:val="002661EA"/>
    <w:pPr>
      <w:numPr>
        <w:numId w:val="71"/>
      </w:numPr>
      <w:spacing w:after="160"/>
    </w:pPr>
    <w:rPr>
      <w:rFonts w:ascii="Arial" w:hAnsi="Arial"/>
      <w:b/>
      <w:bCs/>
      <w:color w:val="323232"/>
      <w:sz w:val="20"/>
      <w:szCs w:val="20"/>
    </w:rPr>
  </w:style>
  <w:style w:type="paragraph" w:customStyle="1" w:styleId="ACMANotes">
    <w:name w:val="ACMA_Notes"/>
    <w:semiHidden/>
    <w:rsid w:val="002661EA"/>
    <w:pPr>
      <w:spacing w:before="80"/>
    </w:pPr>
    <w:rPr>
      <w:rFonts w:ascii="Arial" w:hAnsi="Arial" w:cs="Arial"/>
      <w:i/>
      <w:sz w:val="16"/>
    </w:rPr>
  </w:style>
  <w:style w:type="paragraph" w:customStyle="1" w:styleId="Numberlistlevel1">
    <w:name w:val="Number list level 1"/>
    <w:basedOn w:val="ListNumber"/>
    <w:uiPriority w:val="9"/>
    <w:qFormat/>
    <w:rsid w:val="002661EA"/>
  </w:style>
  <w:style w:type="character" w:styleId="Emphasis">
    <w:name w:val="Emphasis"/>
    <w:basedOn w:val="DefaultParagraphFont"/>
    <w:qFormat/>
    <w:rsid w:val="002661EA"/>
    <w:rPr>
      <w:i/>
      <w:iCs/>
    </w:rPr>
  </w:style>
  <w:style w:type="paragraph" w:customStyle="1" w:styleId="ListNumber2Last">
    <w:name w:val="List Number 2 Last"/>
    <w:basedOn w:val="ListNumber2"/>
    <w:semiHidden/>
    <w:qFormat/>
    <w:rsid w:val="002661EA"/>
    <w:pPr>
      <w:spacing w:after="240"/>
      <w:ind w:left="907" w:hanging="357"/>
    </w:pPr>
    <w:rPr>
      <w:rFonts w:cs="Arial"/>
    </w:rPr>
  </w:style>
  <w:style w:type="paragraph" w:customStyle="1" w:styleId="Spaceaftertable">
    <w:name w:val="Space after table"/>
    <w:basedOn w:val="Normal"/>
    <w:uiPriority w:val="99"/>
    <w:qFormat/>
    <w:rsid w:val="002661EA"/>
    <w:rPr>
      <w:rFonts w:cs="Arial"/>
    </w:rPr>
  </w:style>
  <w:style w:type="paragraph" w:customStyle="1" w:styleId="FooterLeft">
    <w:name w:val="Footer Left"/>
    <w:basedOn w:val="Footer"/>
    <w:semiHidden/>
    <w:qFormat/>
    <w:rsid w:val="002661EA"/>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2661EA"/>
    <w:pPr>
      <w:numPr>
        <w:numId w:val="57"/>
      </w:numPr>
      <w:tabs>
        <w:tab w:val="clear" w:pos="2013"/>
        <w:tab w:val="num" w:pos="1021"/>
      </w:tabs>
      <w:spacing w:after="160"/>
      <w:ind w:left="1021"/>
    </w:pPr>
    <w:rPr>
      <w:rFonts w:ascii="Arial" w:hAnsi="Arial"/>
      <w:b/>
      <w:bCs/>
      <w:color w:val="323232"/>
      <w:sz w:val="20"/>
      <w:szCs w:val="20"/>
    </w:rPr>
  </w:style>
  <w:style w:type="paragraph" w:customStyle="1" w:styleId="Captionfigure">
    <w:name w:val="Caption figure"/>
    <w:basedOn w:val="Caption"/>
    <w:semiHidden/>
    <w:qFormat/>
    <w:rsid w:val="002661EA"/>
    <w:pPr>
      <w:keepNext/>
      <w:numPr>
        <w:numId w:val="56"/>
      </w:numPr>
    </w:pPr>
    <w:rPr>
      <w:rFonts w:cs="Arial"/>
    </w:rPr>
  </w:style>
  <w:style w:type="paragraph" w:customStyle="1" w:styleId="GridTable31">
    <w:name w:val="Grid Table 31"/>
    <w:basedOn w:val="Normal"/>
    <w:semiHidden/>
    <w:qFormat/>
    <w:rsid w:val="002661EA"/>
    <w:pPr>
      <w:spacing w:after="0" w:line="240" w:lineRule="auto"/>
    </w:pPr>
    <w:rPr>
      <w:b/>
      <w:color w:val="4D4D4F"/>
      <w:spacing w:val="-28"/>
      <w:sz w:val="53"/>
    </w:rPr>
  </w:style>
  <w:style w:type="character" w:customStyle="1" w:styleId="HeaderChar">
    <w:name w:val="Header Char"/>
    <w:link w:val="Header"/>
    <w:semiHidden/>
    <w:rsid w:val="002661EA"/>
    <w:rPr>
      <w:rFonts w:ascii="Arial" w:hAnsi="Arial"/>
      <w:sz w:val="16"/>
    </w:rPr>
  </w:style>
  <w:style w:type="character" w:customStyle="1" w:styleId="Heading1Char">
    <w:name w:val="Heading 1 Char"/>
    <w:basedOn w:val="DefaultParagraphFont"/>
    <w:link w:val="Heading1"/>
    <w:uiPriority w:val="1"/>
    <w:rsid w:val="002661EA"/>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2661EA"/>
    <w:rPr>
      <w:rFonts w:ascii="Arial" w:hAnsi="Arial" w:cs="Arial"/>
      <w:b/>
      <w:bCs/>
      <w:iCs/>
      <w:sz w:val="28"/>
      <w:szCs w:val="28"/>
    </w:rPr>
  </w:style>
  <w:style w:type="character" w:styleId="UnresolvedMention">
    <w:name w:val="Unresolved Mention"/>
    <w:basedOn w:val="DefaultParagraphFont"/>
    <w:uiPriority w:val="99"/>
    <w:semiHidden/>
    <w:unhideWhenUsed/>
    <w:rsid w:val="002661EA"/>
    <w:rPr>
      <w:color w:val="605E5C"/>
      <w:shd w:val="clear" w:color="auto" w:fill="E1DFDD"/>
    </w:rPr>
  </w:style>
  <w:style w:type="character" w:customStyle="1" w:styleId="Heading3Char">
    <w:name w:val="Heading 3 Char"/>
    <w:basedOn w:val="DefaultParagraphFont"/>
    <w:link w:val="Heading3"/>
    <w:uiPriority w:val="2"/>
    <w:rsid w:val="002661EA"/>
    <w:rPr>
      <w:rFonts w:ascii="Arial" w:hAnsi="Arial" w:cs="Arial"/>
      <w:b/>
      <w:bCs/>
      <w:sz w:val="20"/>
      <w:szCs w:val="26"/>
    </w:rPr>
  </w:style>
  <w:style w:type="paragraph" w:customStyle="1" w:styleId="Paragraph">
    <w:name w:val="Paragraph"/>
    <w:basedOn w:val="Normal"/>
    <w:qFormat/>
    <w:rsid w:val="002661EA"/>
    <w:rPr>
      <w:rFonts w:cs="Arial"/>
    </w:rPr>
  </w:style>
  <w:style w:type="paragraph" w:customStyle="1" w:styleId="Bulletlevel2">
    <w:name w:val="Bullet level 2"/>
    <w:basedOn w:val="ListBullet2"/>
    <w:uiPriority w:val="7"/>
    <w:qFormat/>
    <w:rsid w:val="002661EA"/>
    <w:rPr>
      <w:rFonts w:cs="Arial"/>
    </w:rPr>
  </w:style>
  <w:style w:type="paragraph" w:customStyle="1" w:styleId="Bulletlevel1last">
    <w:name w:val="Bullet level 1 last"/>
    <w:basedOn w:val="ListBulletLast"/>
    <w:uiPriority w:val="6"/>
    <w:qFormat/>
    <w:rsid w:val="002661EA"/>
  </w:style>
  <w:style w:type="paragraph" w:customStyle="1" w:styleId="Numberlistlevel2">
    <w:name w:val="Number list level 2"/>
    <w:basedOn w:val="ListNumber2"/>
    <w:uiPriority w:val="11"/>
    <w:qFormat/>
    <w:rsid w:val="002661EA"/>
    <w:pPr>
      <w:ind w:left="828" w:hanging="357"/>
    </w:pPr>
  </w:style>
  <w:style w:type="paragraph" w:customStyle="1" w:styleId="Numberlistlast">
    <w:name w:val="Number list last"/>
    <w:basedOn w:val="ListNumberLast"/>
    <w:uiPriority w:val="10"/>
    <w:qFormat/>
    <w:rsid w:val="002661EA"/>
  </w:style>
  <w:style w:type="paragraph" w:customStyle="1" w:styleId="Numberlistlevel2last">
    <w:name w:val="Number list level 2 last"/>
    <w:basedOn w:val="Numberlistlevel2"/>
    <w:uiPriority w:val="12"/>
    <w:qFormat/>
    <w:rsid w:val="002661EA"/>
    <w:pPr>
      <w:spacing w:after="240"/>
    </w:pPr>
  </w:style>
  <w:style w:type="paragraph" w:customStyle="1" w:styleId="Bulletlevel2last">
    <w:name w:val="Bullet level 2 last"/>
    <w:basedOn w:val="Bulletlevel2"/>
    <w:uiPriority w:val="8"/>
    <w:qFormat/>
    <w:rsid w:val="002661EA"/>
    <w:pPr>
      <w:spacing w:after="240"/>
    </w:pPr>
  </w:style>
  <w:style w:type="table" w:customStyle="1" w:styleId="ACMAtablestyle">
    <w:name w:val="ACMA table style"/>
    <w:basedOn w:val="TableNormal"/>
    <w:uiPriority w:val="99"/>
    <w:rsid w:val="002661EA"/>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2661EA"/>
    <w:pPr>
      <w:keepNext/>
      <w:spacing w:line="240" w:lineRule="atLeast"/>
    </w:pPr>
  </w:style>
  <w:style w:type="paragraph" w:customStyle="1" w:styleId="Tableorfigurenote">
    <w:name w:val="Table or figure note"/>
    <w:basedOn w:val="ACMANotes"/>
    <w:uiPriority w:val="17"/>
    <w:qFormat/>
    <w:rsid w:val="002661EA"/>
    <w:pPr>
      <w:spacing w:after="240"/>
    </w:pPr>
  </w:style>
  <w:style w:type="paragraph" w:customStyle="1" w:styleId="Figureheading">
    <w:name w:val="Figure heading"/>
    <w:basedOn w:val="ACMAFigureHeader"/>
    <w:next w:val="Paragraph"/>
    <w:uiPriority w:val="16"/>
    <w:qFormat/>
    <w:rsid w:val="002661EA"/>
    <w:pPr>
      <w:keepNext/>
      <w:spacing w:line="240" w:lineRule="atLeast"/>
    </w:pPr>
  </w:style>
  <w:style w:type="paragraph" w:customStyle="1" w:styleId="Tableorfigurenotemultiple">
    <w:name w:val="Table or figure note multiple"/>
    <w:basedOn w:val="Tableorfigurenote"/>
    <w:uiPriority w:val="18"/>
    <w:qFormat/>
    <w:rsid w:val="002661EA"/>
    <w:pPr>
      <w:spacing w:after="80"/>
    </w:pPr>
  </w:style>
  <w:style w:type="character" w:styleId="Strong">
    <w:name w:val="Strong"/>
    <w:basedOn w:val="DefaultParagraphFont"/>
    <w:uiPriority w:val="22"/>
    <w:qFormat/>
    <w:rsid w:val="00784722"/>
    <w:rPr>
      <w:b/>
      <w:bCs/>
    </w:rPr>
  </w:style>
  <w:style w:type="paragraph" w:customStyle="1" w:styleId="Protectivemarking">
    <w:name w:val="Protective marking"/>
    <w:basedOn w:val="Normal"/>
    <w:uiPriority w:val="99"/>
    <w:qFormat/>
    <w:rsid w:val="00B476CD"/>
    <w:pPr>
      <w:tabs>
        <w:tab w:val="left" w:pos="720"/>
      </w:tabs>
      <w:spacing w:after="0" w:line="240" w:lineRule="auto"/>
      <w:jc w:val="center"/>
    </w:pPr>
    <w:rPr>
      <w:rFonts w:cs="Arial"/>
      <w:b/>
      <w:bCs/>
      <w:color w:val="FF0000"/>
      <w:sz w:val="32"/>
      <w:lang w:eastAsia="en-US"/>
    </w:rPr>
  </w:style>
  <w:style w:type="paragraph" w:styleId="ListParagraph">
    <w:name w:val="List Paragraph"/>
    <w:basedOn w:val="Normal"/>
    <w:uiPriority w:val="34"/>
    <w:qFormat/>
    <w:rsid w:val="002F63F0"/>
    <w:pPr>
      <w:spacing w:after="160" w:line="259" w:lineRule="auto"/>
      <w:ind w:left="720"/>
      <w:contextualSpacing/>
    </w:pPr>
    <w:rPr>
      <w:rFonts w:asciiTheme="minorHAnsi" w:eastAsiaTheme="minorHAnsi" w:hAnsiTheme="minorHAnsi" w:cstheme="minorBidi"/>
      <w:sz w:val="22"/>
      <w:szCs w:val="22"/>
      <w:lang w:eastAsia="en-US"/>
    </w:rPr>
  </w:style>
  <w:style w:type="paragraph" w:styleId="NormalWeb">
    <w:name w:val="Normal (Web)"/>
    <w:basedOn w:val="Normal"/>
    <w:uiPriority w:val="99"/>
    <w:semiHidden/>
    <w:unhideWhenUsed/>
    <w:rsid w:val="00A45431"/>
    <w:rPr>
      <w:rFonts w:ascii="Times New Roman" w:hAnsi="Times New Roman"/>
      <w:sz w:val="24"/>
    </w:rPr>
  </w:style>
  <w:style w:type="character" w:customStyle="1" w:styleId="bold">
    <w:name w:val="bold"/>
    <w:basedOn w:val="DefaultParagraphFont"/>
    <w:rsid w:val="000602BA"/>
  </w:style>
  <w:style w:type="paragraph" w:customStyle="1" w:styleId="desktop">
    <w:name w:val="desktop"/>
    <w:basedOn w:val="Normal"/>
    <w:rsid w:val="000602BA"/>
    <w:pPr>
      <w:spacing w:before="100" w:beforeAutospacing="1" w:after="100" w:afterAutospacing="1" w:line="240" w:lineRule="auto"/>
    </w:pPr>
    <w:rPr>
      <w:rFonts w:ascii="Times New Roman" w:hAnsi="Times New Roman"/>
      <w:sz w:val="24"/>
    </w:rPr>
  </w:style>
  <w:style w:type="character" w:customStyle="1" w:styleId="FootnoteTextChar">
    <w:name w:val="Footnote Text Char"/>
    <w:aliases w:val="Footnote text Char"/>
    <w:basedOn w:val="DefaultParagraphFont"/>
    <w:link w:val="FootnoteText"/>
    <w:uiPriority w:val="23"/>
    <w:rsid w:val="0048708B"/>
    <w:rPr>
      <w:rFonts w:ascii="Arial" w:hAnsi="Arial"/>
      <w:sz w:val="16"/>
      <w:szCs w:val="16"/>
    </w:rPr>
  </w:style>
  <w:style w:type="character" w:customStyle="1" w:styleId="normaltextrun">
    <w:name w:val="normaltextrun"/>
    <w:basedOn w:val="DefaultParagraphFont"/>
    <w:rsid w:val="00470C8D"/>
  </w:style>
  <w:style w:type="paragraph" w:styleId="Revision">
    <w:name w:val="Revision"/>
    <w:hidden/>
    <w:semiHidden/>
    <w:rsid w:val="006758EA"/>
    <w:rPr>
      <w:rFonts w:ascii="Arial" w:hAnsi="Arial"/>
      <w:sz w:val="20"/>
    </w:rPr>
  </w:style>
  <w:style w:type="paragraph" w:styleId="BalloonText">
    <w:name w:val="Balloon Text"/>
    <w:basedOn w:val="Normal"/>
    <w:link w:val="BalloonTextChar"/>
    <w:semiHidden/>
    <w:unhideWhenUsed/>
    <w:rsid w:val="00266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2661EA"/>
    <w:rPr>
      <w:rFonts w:ascii="Segoe UI" w:hAnsi="Segoe UI" w:cs="Segoe UI"/>
      <w:sz w:val="18"/>
      <w:szCs w:val="18"/>
    </w:rPr>
  </w:style>
  <w:style w:type="paragraph" w:styleId="ListBullet">
    <w:name w:val="List Bullet"/>
    <w:basedOn w:val="Normal"/>
    <w:semiHidden/>
    <w:qFormat/>
    <w:rsid w:val="002661EA"/>
    <w:pPr>
      <w:numPr>
        <w:numId w:val="51"/>
      </w:numPr>
      <w:spacing w:after="80"/>
    </w:pPr>
  </w:style>
  <w:style w:type="paragraph" w:customStyle="1" w:styleId="ListBulletLast">
    <w:name w:val="List Bullet Last"/>
    <w:basedOn w:val="ListBullet"/>
    <w:semiHidden/>
    <w:qFormat/>
    <w:rsid w:val="002661EA"/>
    <w:pPr>
      <w:spacing w:after="240"/>
    </w:pPr>
    <w:rPr>
      <w:rFonts w:cs="Arial"/>
    </w:rPr>
  </w:style>
  <w:style w:type="paragraph" w:customStyle="1" w:styleId="Note">
    <w:name w:val="Note"/>
    <w:basedOn w:val="ACMANotes"/>
    <w:uiPriority w:val="23"/>
    <w:semiHidden/>
    <w:qFormat/>
    <w:rsid w:val="002661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9717">
      <w:bodyDiv w:val="1"/>
      <w:marLeft w:val="0"/>
      <w:marRight w:val="0"/>
      <w:marTop w:val="0"/>
      <w:marBottom w:val="0"/>
      <w:divBdr>
        <w:top w:val="none" w:sz="0" w:space="0" w:color="auto"/>
        <w:left w:val="none" w:sz="0" w:space="0" w:color="auto"/>
        <w:bottom w:val="none" w:sz="0" w:space="0" w:color="auto"/>
        <w:right w:val="none" w:sz="0" w:space="0" w:color="auto"/>
      </w:divBdr>
    </w:div>
    <w:div w:id="10032220">
      <w:bodyDiv w:val="1"/>
      <w:marLeft w:val="0"/>
      <w:marRight w:val="0"/>
      <w:marTop w:val="0"/>
      <w:marBottom w:val="0"/>
      <w:divBdr>
        <w:top w:val="none" w:sz="0" w:space="0" w:color="auto"/>
        <w:left w:val="none" w:sz="0" w:space="0" w:color="auto"/>
        <w:bottom w:val="none" w:sz="0" w:space="0" w:color="auto"/>
        <w:right w:val="none" w:sz="0" w:space="0" w:color="auto"/>
      </w:divBdr>
      <w:divsChild>
        <w:div w:id="1666586215">
          <w:marLeft w:val="0"/>
          <w:marRight w:val="0"/>
          <w:marTop w:val="0"/>
          <w:marBottom w:val="0"/>
          <w:divBdr>
            <w:top w:val="none" w:sz="0" w:space="0" w:color="auto"/>
            <w:left w:val="none" w:sz="0" w:space="0" w:color="auto"/>
            <w:bottom w:val="none" w:sz="0" w:space="0" w:color="auto"/>
            <w:right w:val="none" w:sz="0" w:space="0" w:color="auto"/>
          </w:divBdr>
        </w:div>
      </w:divsChild>
    </w:div>
    <w:div w:id="87240191">
      <w:bodyDiv w:val="1"/>
      <w:marLeft w:val="0"/>
      <w:marRight w:val="0"/>
      <w:marTop w:val="0"/>
      <w:marBottom w:val="0"/>
      <w:divBdr>
        <w:top w:val="none" w:sz="0" w:space="0" w:color="auto"/>
        <w:left w:val="none" w:sz="0" w:space="0" w:color="auto"/>
        <w:bottom w:val="none" w:sz="0" w:space="0" w:color="auto"/>
        <w:right w:val="none" w:sz="0" w:space="0" w:color="auto"/>
      </w:divBdr>
    </w:div>
    <w:div w:id="143548346">
      <w:bodyDiv w:val="1"/>
      <w:marLeft w:val="0"/>
      <w:marRight w:val="0"/>
      <w:marTop w:val="0"/>
      <w:marBottom w:val="0"/>
      <w:divBdr>
        <w:top w:val="none" w:sz="0" w:space="0" w:color="auto"/>
        <w:left w:val="none" w:sz="0" w:space="0" w:color="auto"/>
        <w:bottom w:val="none" w:sz="0" w:space="0" w:color="auto"/>
        <w:right w:val="none" w:sz="0" w:space="0" w:color="auto"/>
      </w:divBdr>
    </w:div>
    <w:div w:id="159082779">
      <w:bodyDiv w:val="1"/>
      <w:marLeft w:val="0"/>
      <w:marRight w:val="0"/>
      <w:marTop w:val="0"/>
      <w:marBottom w:val="0"/>
      <w:divBdr>
        <w:top w:val="none" w:sz="0" w:space="0" w:color="auto"/>
        <w:left w:val="none" w:sz="0" w:space="0" w:color="auto"/>
        <w:bottom w:val="none" w:sz="0" w:space="0" w:color="auto"/>
        <w:right w:val="none" w:sz="0" w:space="0" w:color="auto"/>
      </w:divBdr>
    </w:div>
    <w:div w:id="185414344">
      <w:bodyDiv w:val="1"/>
      <w:marLeft w:val="0"/>
      <w:marRight w:val="0"/>
      <w:marTop w:val="0"/>
      <w:marBottom w:val="0"/>
      <w:divBdr>
        <w:top w:val="none" w:sz="0" w:space="0" w:color="auto"/>
        <w:left w:val="none" w:sz="0" w:space="0" w:color="auto"/>
        <w:bottom w:val="none" w:sz="0" w:space="0" w:color="auto"/>
        <w:right w:val="none" w:sz="0" w:space="0" w:color="auto"/>
      </w:divBdr>
    </w:div>
    <w:div w:id="203640290">
      <w:bodyDiv w:val="1"/>
      <w:marLeft w:val="0"/>
      <w:marRight w:val="0"/>
      <w:marTop w:val="0"/>
      <w:marBottom w:val="0"/>
      <w:divBdr>
        <w:top w:val="none" w:sz="0" w:space="0" w:color="auto"/>
        <w:left w:val="none" w:sz="0" w:space="0" w:color="auto"/>
        <w:bottom w:val="none" w:sz="0" w:space="0" w:color="auto"/>
        <w:right w:val="none" w:sz="0" w:space="0" w:color="auto"/>
      </w:divBdr>
    </w:div>
    <w:div w:id="225577997">
      <w:bodyDiv w:val="1"/>
      <w:marLeft w:val="0"/>
      <w:marRight w:val="0"/>
      <w:marTop w:val="0"/>
      <w:marBottom w:val="0"/>
      <w:divBdr>
        <w:top w:val="none" w:sz="0" w:space="0" w:color="auto"/>
        <w:left w:val="none" w:sz="0" w:space="0" w:color="auto"/>
        <w:bottom w:val="none" w:sz="0" w:space="0" w:color="auto"/>
        <w:right w:val="none" w:sz="0" w:space="0" w:color="auto"/>
      </w:divBdr>
      <w:divsChild>
        <w:div w:id="1519466940">
          <w:marLeft w:val="0"/>
          <w:marRight w:val="0"/>
          <w:marTop w:val="0"/>
          <w:marBottom w:val="0"/>
          <w:divBdr>
            <w:top w:val="none" w:sz="0" w:space="0" w:color="auto"/>
            <w:left w:val="none" w:sz="0" w:space="0" w:color="auto"/>
            <w:bottom w:val="none" w:sz="0" w:space="0" w:color="auto"/>
            <w:right w:val="none" w:sz="0" w:space="0" w:color="auto"/>
          </w:divBdr>
        </w:div>
      </w:divsChild>
    </w:div>
    <w:div w:id="247622457">
      <w:bodyDiv w:val="1"/>
      <w:marLeft w:val="0"/>
      <w:marRight w:val="0"/>
      <w:marTop w:val="0"/>
      <w:marBottom w:val="0"/>
      <w:divBdr>
        <w:top w:val="none" w:sz="0" w:space="0" w:color="auto"/>
        <w:left w:val="none" w:sz="0" w:space="0" w:color="auto"/>
        <w:bottom w:val="none" w:sz="0" w:space="0" w:color="auto"/>
        <w:right w:val="none" w:sz="0" w:space="0" w:color="auto"/>
      </w:divBdr>
    </w:div>
    <w:div w:id="297032528">
      <w:bodyDiv w:val="1"/>
      <w:marLeft w:val="0"/>
      <w:marRight w:val="0"/>
      <w:marTop w:val="0"/>
      <w:marBottom w:val="0"/>
      <w:divBdr>
        <w:top w:val="none" w:sz="0" w:space="0" w:color="auto"/>
        <w:left w:val="none" w:sz="0" w:space="0" w:color="auto"/>
        <w:bottom w:val="none" w:sz="0" w:space="0" w:color="auto"/>
        <w:right w:val="none" w:sz="0" w:space="0" w:color="auto"/>
      </w:divBdr>
    </w:div>
    <w:div w:id="309752878">
      <w:bodyDiv w:val="1"/>
      <w:marLeft w:val="0"/>
      <w:marRight w:val="0"/>
      <w:marTop w:val="0"/>
      <w:marBottom w:val="0"/>
      <w:divBdr>
        <w:top w:val="none" w:sz="0" w:space="0" w:color="auto"/>
        <w:left w:val="none" w:sz="0" w:space="0" w:color="auto"/>
        <w:bottom w:val="none" w:sz="0" w:space="0" w:color="auto"/>
        <w:right w:val="none" w:sz="0" w:space="0" w:color="auto"/>
      </w:divBdr>
    </w:div>
    <w:div w:id="344136363">
      <w:bodyDiv w:val="1"/>
      <w:marLeft w:val="0"/>
      <w:marRight w:val="0"/>
      <w:marTop w:val="0"/>
      <w:marBottom w:val="0"/>
      <w:divBdr>
        <w:top w:val="none" w:sz="0" w:space="0" w:color="auto"/>
        <w:left w:val="none" w:sz="0" w:space="0" w:color="auto"/>
        <w:bottom w:val="none" w:sz="0" w:space="0" w:color="auto"/>
        <w:right w:val="none" w:sz="0" w:space="0" w:color="auto"/>
      </w:divBdr>
    </w:div>
    <w:div w:id="355237140">
      <w:bodyDiv w:val="1"/>
      <w:marLeft w:val="0"/>
      <w:marRight w:val="0"/>
      <w:marTop w:val="0"/>
      <w:marBottom w:val="0"/>
      <w:divBdr>
        <w:top w:val="none" w:sz="0" w:space="0" w:color="auto"/>
        <w:left w:val="none" w:sz="0" w:space="0" w:color="auto"/>
        <w:bottom w:val="none" w:sz="0" w:space="0" w:color="auto"/>
        <w:right w:val="none" w:sz="0" w:space="0" w:color="auto"/>
      </w:divBdr>
    </w:div>
    <w:div w:id="373427121">
      <w:bodyDiv w:val="1"/>
      <w:marLeft w:val="0"/>
      <w:marRight w:val="0"/>
      <w:marTop w:val="0"/>
      <w:marBottom w:val="0"/>
      <w:divBdr>
        <w:top w:val="none" w:sz="0" w:space="0" w:color="auto"/>
        <w:left w:val="none" w:sz="0" w:space="0" w:color="auto"/>
        <w:bottom w:val="none" w:sz="0" w:space="0" w:color="auto"/>
        <w:right w:val="none" w:sz="0" w:space="0" w:color="auto"/>
      </w:divBdr>
    </w:div>
    <w:div w:id="401298169">
      <w:bodyDiv w:val="1"/>
      <w:marLeft w:val="0"/>
      <w:marRight w:val="0"/>
      <w:marTop w:val="0"/>
      <w:marBottom w:val="0"/>
      <w:divBdr>
        <w:top w:val="none" w:sz="0" w:space="0" w:color="auto"/>
        <w:left w:val="none" w:sz="0" w:space="0" w:color="auto"/>
        <w:bottom w:val="none" w:sz="0" w:space="0" w:color="auto"/>
        <w:right w:val="none" w:sz="0" w:space="0" w:color="auto"/>
      </w:divBdr>
    </w:div>
    <w:div w:id="418723687">
      <w:bodyDiv w:val="1"/>
      <w:marLeft w:val="0"/>
      <w:marRight w:val="0"/>
      <w:marTop w:val="0"/>
      <w:marBottom w:val="0"/>
      <w:divBdr>
        <w:top w:val="none" w:sz="0" w:space="0" w:color="auto"/>
        <w:left w:val="none" w:sz="0" w:space="0" w:color="auto"/>
        <w:bottom w:val="none" w:sz="0" w:space="0" w:color="auto"/>
        <w:right w:val="none" w:sz="0" w:space="0" w:color="auto"/>
      </w:divBdr>
    </w:div>
    <w:div w:id="462306941">
      <w:bodyDiv w:val="1"/>
      <w:marLeft w:val="0"/>
      <w:marRight w:val="0"/>
      <w:marTop w:val="0"/>
      <w:marBottom w:val="0"/>
      <w:divBdr>
        <w:top w:val="none" w:sz="0" w:space="0" w:color="auto"/>
        <w:left w:val="none" w:sz="0" w:space="0" w:color="auto"/>
        <w:bottom w:val="none" w:sz="0" w:space="0" w:color="auto"/>
        <w:right w:val="none" w:sz="0" w:space="0" w:color="auto"/>
      </w:divBdr>
    </w:div>
    <w:div w:id="464590839">
      <w:bodyDiv w:val="1"/>
      <w:marLeft w:val="0"/>
      <w:marRight w:val="0"/>
      <w:marTop w:val="0"/>
      <w:marBottom w:val="0"/>
      <w:divBdr>
        <w:top w:val="none" w:sz="0" w:space="0" w:color="auto"/>
        <w:left w:val="none" w:sz="0" w:space="0" w:color="auto"/>
        <w:bottom w:val="none" w:sz="0" w:space="0" w:color="auto"/>
        <w:right w:val="none" w:sz="0" w:space="0" w:color="auto"/>
      </w:divBdr>
    </w:div>
    <w:div w:id="469135249">
      <w:bodyDiv w:val="1"/>
      <w:marLeft w:val="0"/>
      <w:marRight w:val="0"/>
      <w:marTop w:val="0"/>
      <w:marBottom w:val="0"/>
      <w:divBdr>
        <w:top w:val="none" w:sz="0" w:space="0" w:color="auto"/>
        <w:left w:val="none" w:sz="0" w:space="0" w:color="auto"/>
        <w:bottom w:val="none" w:sz="0" w:space="0" w:color="auto"/>
        <w:right w:val="none" w:sz="0" w:space="0" w:color="auto"/>
      </w:divBdr>
    </w:div>
    <w:div w:id="501553321">
      <w:bodyDiv w:val="1"/>
      <w:marLeft w:val="0"/>
      <w:marRight w:val="0"/>
      <w:marTop w:val="0"/>
      <w:marBottom w:val="0"/>
      <w:divBdr>
        <w:top w:val="none" w:sz="0" w:space="0" w:color="auto"/>
        <w:left w:val="none" w:sz="0" w:space="0" w:color="auto"/>
        <w:bottom w:val="none" w:sz="0" w:space="0" w:color="auto"/>
        <w:right w:val="none" w:sz="0" w:space="0" w:color="auto"/>
      </w:divBdr>
      <w:divsChild>
        <w:div w:id="48961670">
          <w:marLeft w:val="0"/>
          <w:marRight w:val="0"/>
          <w:marTop w:val="300"/>
          <w:marBottom w:val="300"/>
          <w:divBdr>
            <w:top w:val="none" w:sz="0" w:space="0" w:color="auto"/>
            <w:left w:val="none" w:sz="0" w:space="0" w:color="auto"/>
            <w:bottom w:val="none" w:sz="0" w:space="0" w:color="auto"/>
            <w:right w:val="none" w:sz="0" w:space="0" w:color="auto"/>
          </w:divBdr>
        </w:div>
        <w:div w:id="593317563">
          <w:marLeft w:val="0"/>
          <w:marRight w:val="0"/>
          <w:marTop w:val="0"/>
          <w:marBottom w:val="0"/>
          <w:divBdr>
            <w:top w:val="none" w:sz="0" w:space="0" w:color="auto"/>
            <w:left w:val="none" w:sz="0" w:space="0" w:color="auto"/>
            <w:bottom w:val="none" w:sz="0" w:space="0" w:color="auto"/>
            <w:right w:val="none" w:sz="0" w:space="0" w:color="auto"/>
          </w:divBdr>
          <w:divsChild>
            <w:div w:id="820848409">
              <w:marLeft w:val="0"/>
              <w:marRight w:val="0"/>
              <w:marTop w:val="0"/>
              <w:marBottom w:val="0"/>
              <w:divBdr>
                <w:top w:val="none" w:sz="0" w:space="0" w:color="auto"/>
                <w:left w:val="none" w:sz="0" w:space="0" w:color="auto"/>
                <w:bottom w:val="none" w:sz="0" w:space="0" w:color="auto"/>
                <w:right w:val="none" w:sz="0" w:space="0" w:color="auto"/>
              </w:divBdr>
              <w:divsChild>
                <w:div w:id="519051247">
                  <w:marLeft w:val="0"/>
                  <w:marRight w:val="0"/>
                  <w:marTop w:val="0"/>
                  <w:marBottom w:val="0"/>
                  <w:divBdr>
                    <w:top w:val="none" w:sz="0" w:space="0" w:color="auto"/>
                    <w:left w:val="none" w:sz="0" w:space="0" w:color="auto"/>
                    <w:bottom w:val="none" w:sz="0" w:space="0" w:color="auto"/>
                    <w:right w:val="none" w:sz="0" w:space="0" w:color="auto"/>
                  </w:divBdr>
                </w:div>
              </w:divsChild>
            </w:div>
            <w:div w:id="1132477345">
              <w:marLeft w:val="0"/>
              <w:marRight w:val="0"/>
              <w:marTop w:val="0"/>
              <w:marBottom w:val="0"/>
              <w:divBdr>
                <w:top w:val="none" w:sz="0" w:space="0" w:color="auto"/>
                <w:left w:val="none" w:sz="0" w:space="0" w:color="auto"/>
                <w:bottom w:val="none" w:sz="0" w:space="0" w:color="auto"/>
                <w:right w:val="none" w:sz="0" w:space="0" w:color="auto"/>
              </w:divBdr>
              <w:divsChild>
                <w:div w:id="265041275">
                  <w:marLeft w:val="0"/>
                  <w:marRight w:val="0"/>
                  <w:marTop w:val="0"/>
                  <w:marBottom w:val="0"/>
                  <w:divBdr>
                    <w:top w:val="none" w:sz="0" w:space="0" w:color="auto"/>
                    <w:left w:val="none" w:sz="0" w:space="0" w:color="auto"/>
                    <w:bottom w:val="none" w:sz="0" w:space="0" w:color="auto"/>
                    <w:right w:val="none" w:sz="0" w:space="0" w:color="auto"/>
                  </w:divBdr>
                </w:div>
              </w:divsChild>
            </w:div>
            <w:div w:id="1250893633">
              <w:marLeft w:val="0"/>
              <w:marRight w:val="0"/>
              <w:marTop w:val="0"/>
              <w:marBottom w:val="0"/>
              <w:divBdr>
                <w:top w:val="none" w:sz="0" w:space="0" w:color="auto"/>
                <w:left w:val="none" w:sz="0" w:space="0" w:color="auto"/>
                <w:bottom w:val="none" w:sz="0" w:space="0" w:color="auto"/>
                <w:right w:val="none" w:sz="0" w:space="0" w:color="auto"/>
              </w:divBdr>
              <w:divsChild>
                <w:div w:id="1702974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296125">
          <w:marLeft w:val="0"/>
          <w:marRight w:val="0"/>
          <w:marTop w:val="0"/>
          <w:marBottom w:val="0"/>
          <w:divBdr>
            <w:top w:val="none" w:sz="0" w:space="0" w:color="auto"/>
            <w:left w:val="none" w:sz="0" w:space="0" w:color="auto"/>
            <w:bottom w:val="none" w:sz="0" w:space="0" w:color="auto"/>
            <w:right w:val="none" w:sz="0" w:space="0" w:color="auto"/>
          </w:divBdr>
          <w:divsChild>
            <w:div w:id="172308675">
              <w:marLeft w:val="0"/>
              <w:marRight w:val="0"/>
              <w:marTop w:val="0"/>
              <w:marBottom w:val="0"/>
              <w:divBdr>
                <w:top w:val="none" w:sz="0" w:space="0" w:color="auto"/>
                <w:left w:val="none" w:sz="0" w:space="0" w:color="auto"/>
                <w:bottom w:val="none" w:sz="0" w:space="0" w:color="auto"/>
                <w:right w:val="none" w:sz="0" w:space="0" w:color="auto"/>
              </w:divBdr>
              <w:divsChild>
                <w:div w:id="450369071">
                  <w:marLeft w:val="0"/>
                  <w:marRight w:val="0"/>
                  <w:marTop w:val="0"/>
                  <w:marBottom w:val="0"/>
                  <w:divBdr>
                    <w:top w:val="none" w:sz="0" w:space="0" w:color="auto"/>
                    <w:left w:val="none" w:sz="0" w:space="0" w:color="auto"/>
                    <w:bottom w:val="none" w:sz="0" w:space="0" w:color="auto"/>
                    <w:right w:val="none" w:sz="0" w:space="0" w:color="auto"/>
                  </w:divBdr>
                </w:div>
              </w:divsChild>
            </w:div>
            <w:div w:id="608122060">
              <w:marLeft w:val="0"/>
              <w:marRight w:val="0"/>
              <w:marTop w:val="0"/>
              <w:marBottom w:val="0"/>
              <w:divBdr>
                <w:top w:val="none" w:sz="0" w:space="0" w:color="auto"/>
                <w:left w:val="none" w:sz="0" w:space="0" w:color="auto"/>
                <w:bottom w:val="none" w:sz="0" w:space="0" w:color="auto"/>
                <w:right w:val="none" w:sz="0" w:space="0" w:color="auto"/>
              </w:divBdr>
              <w:divsChild>
                <w:div w:id="1576015991">
                  <w:marLeft w:val="0"/>
                  <w:marRight w:val="0"/>
                  <w:marTop w:val="0"/>
                  <w:marBottom w:val="0"/>
                  <w:divBdr>
                    <w:top w:val="none" w:sz="0" w:space="0" w:color="auto"/>
                    <w:left w:val="none" w:sz="0" w:space="0" w:color="auto"/>
                    <w:bottom w:val="none" w:sz="0" w:space="0" w:color="auto"/>
                    <w:right w:val="none" w:sz="0" w:space="0" w:color="auto"/>
                  </w:divBdr>
                </w:div>
              </w:divsChild>
            </w:div>
            <w:div w:id="735587753">
              <w:marLeft w:val="0"/>
              <w:marRight w:val="0"/>
              <w:marTop w:val="0"/>
              <w:marBottom w:val="0"/>
              <w:divBdr>
                <w:top w:val="none" w:sz="0" w:space="0" w:color="auto"/>
                <w:left w:val="none" w:sz="0" w:space="0" w:color="auto"/>
                <w:bottom w:val="none" w:sz="0" w:space="0" w:color="auto"/>
                <w:right w:val="none" w:sz="0" w:space="0" w:color="auto"/>
              </w:divBdr>
              <w:divsChild>
                <w:div w:id="383867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6361104">
          <w:marLeft w:val="0"/>
          <w:marRight w:val="0"/>
          <w:marTop w:val="0"/>
          <w:marBottom w:val="0"/>
          <w:divBdr>
            <w:top w:val="none" w:sz="0" w:space="0" w:color="auto"/>
            <w:left w:val="none" w:sz="0" w:space="0" w:color="auto"/>
            <w:bottom w:val="none" w:sz="0" w:space="0" w:color="auto"/>
            <w:right w:val="none" w:sz="0" w:space="0" w:color="auto"/>
          </w:divBdr>
        </w:div>
      </w:divsChild>
    </w:div>
    <w:div w:id="502938952">
      <w:bodyDiv w:val="1"/>
      <w:marLeft w:val="0"/>
      <w:marRight w:val="0"/>
      <w:marTop w:val="0"/>
      <w:marBottom w:val="0"/>
      <w:divBdr>
        <w:top w:val="none" w:sz="0" w:space="0" w:color="auto"/>
        <w:left w:val="none" w:sz="0" w:space="0" w:color="auto"/>
        <w:bottom w:val="none" w:sz="0" w:space="0" w:color="auto"/>
        <w:right w:val="none" w:sz="0" w:space="0" w:color="auto"/>
      </w:divBdr>
    </w:div>
    <w:div w:id="503057060">
      <w:bodyDiv w:val="1"/>
      <w:marLeft w:val="0"/>
      <w:marRight w:val="0"/>
      <w:marTop w:val="0"/>
      <w:marBottom w:val="0"/>
      <w:divBdr>
        <w:top w:val="none" w:sz="0" w:space="0" w:color="auto"/>
        <w:left w:val="none" w:sz="0" w:space="0" w:color="auto"/>
        <w:bottom w:val="none" w:sz="0" w:space="0" w:color="auto"/>
        <w:right w:val="none" w:sz="0" w:space="0" w:color="auto"/>
      </w:divBdr>
    </w:div>
    <w:div w:id="520246139">
      <w:bodyDiv w:val="1"/>
      <w:marLeft w:val="0"/>
      <w:marRight w:val="0"/>
      <w:marTop w:val="0"/>
      <w:marBottom w:val="0"/>
      <w:divBdr>
        <w:top w:val="none" w:sz="0" w:space="0" w:color="auto"/>
        <w:left w:val="none" w:sz="0" w:space="0" w:color="auto"/>
        <w:bottom w:val="none" w:sz="0" w:space="0" w:color="auto"/>
        <w:right w:val="none" w:sz="0" w:space="0" w:color="auto"/>
      </w:divBdr>
    </w:div>
    <w:div w:id="547180110">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581063757">
      <w:bodyDiv w:val="1"/>
      <w:marLeft w:val="0"/>
      <w:marRight w:val="0"/>
      <w:marTop w:val="0"/>
      <w:marBottom w:val="0"/>
      <w:divBdr>
        <w:top w:val="none" w:sz="0" w:space="0" w:color="auto"/>
        <w:left w:val="none" w:sz="0" w:space="0" w:color="auto"/>
        <w:bottom w:val="none" w:sz="0" w:space="0" w:color="auto"/>
        <w:right w:val="none" w:sz="0" w:space="0" w:color="auto"/>
      </w:divBdr>
    </w:div>
    <w:div w:id="603146618">
      <w:bodyDiv w:val="1"/>
      <w:marLeft w:val="0"/>
      <w:marRight w:val="0"/>
      <w:marTop w:val="0"/>
      <w:marBottom w:val="0"/>
      <w:divBdr>
        <w:top w:val="none" w:sz="0" w:space="0" w:color="auto"/>
        <w:left w:val="none" w:sz="0" w:space="0" w:color="auto"/>
        <w:bottom w:val="none" w:sz="0" w:space="0" w:color="auto"/>
        <w:right w:val="none" w:sz="0" w:space="0" w:color="auto"/>
      </w:divBdr>
    </w:div>
    <w:div w:id="614100387">
      <w:bodyDiv w:val="1"/>
      <w:marLeft w:val="0"/>
      <w:marRight w:val="0"/>
      <w:marTop w:val="0"/>
      <w:marBottom w:val="0"/>
      <w:divBdr>
        <w:top w:val="none" w:sz="0" w:space="0" w:color="auto"/>
        <w:left w:val="none" w:sz="0" w:space="0" w:color="auto"/>
        <w:bottom w:val="none" w:sz="0" w:space="0" w:color="auto"/>
        <w:right w:val="none" w:sz="0" w:space="0" w:color="auto"/>
      </w:divBdr>
    </w:div>
    <w:div w:id="690453213">
      <w:bodyDiv w:val="1"/>
      <w:marLeft w:val="0"/>
      <w:marRight w:val="0"/>
      <w:marTop w:val="0"/>
      <w:marBottom w:val="0"/>
      <w:divBdr>
        <w:top w:val="none" w:sz="0" w:space="0" w:color="auto"/>
        <w:left w:val="none" w:sz="0" w:space="0" w:color="auto"/>
        <w:bottom w:val="none" w:sz="0" w:space="0" w:color="auto"/>
        <w:right w:val="none" w:sz="0" w:space="0" w:color="auto"/>
      </w:divBdr>
    </w:div>
    <w:div w:id="700208954">
      <w:bodyDiv w:val="1"/>
      <w:marLeft w:val="0"/>
      <w:marRight w:val="0"/>
      <w:marTop w:val="0"/>
      <w:marBottom w:val="0"/>
      <w:divBdr>
        <w:top w:val="none" w:sz="0" w:space="0" w:color="auto"/>
        <w:left w:val="none" w:sz="0" w:space="0" w:color="auto"/>
        <w:bottom w:val="none" w:sz="0" w:space="0" w:color="auto"/>
        <w:right w:val="none" w:sz="0" w:space="0" w:color="auto"/>
      </w:divBdr>
      <w:divsChild>
        <w:div w:id="711611205">
          <w:marLeft w:val="0"/>
          <w:marRight w:val="0"/>
          <w:marTop w:val="0"/>
          <w:marBottom w:val="0"/>
          <w:divBdr>
            <w:top w:val="none" w:sz="0" w:space="0" w:color="auto"/>
            <w:left w:val="none" w:sz="0" w:space="0" w:color="auto"/>
            <w:bottom w:val="none" w:sz="0" w:space="0" w:color="auto"/>
            <w:right w:val="none" w:sz="0" w:space="0" w:color="auto"/>
          </w:divBdr>
        </w:div>
      </w:divsChild>
    </w:div>
    <w:div w:id="707029952">
      <w:bodyDiv w:val="1"/>
      <w:marLeft w:val="0"/>
      <w:marRight w:val="0"/>
      <w:marTop w:val="0"/>
      <w:marBottom w:val="0"/>
      <w:divBdr>
        <w:top w:val="none" w:sz="0" w:space="0" w:color="auto"/>
        <w:left w:val="none" w:sz="0" w:space="0" w:color="auto"/>
        <w:bottom w:val="none" w:sz="0" w:space="0" w:color="auto"/>
        <w:right w:val="none" w:sz="0" w:space="0" w:color="auto"/>
      </w:divBdr>
    </w:div>
    <w:div w:id="725489629">
      <w:bodyDiv w:val="1"/>
      <w:marLeft w:val="0"/>
      <w:marRight w:val="0"/>
      <w:marTop w:val="0"/>
      <w:marBottom w:val="0"/>
      <w:divBdr>
        <w:top w:val="none" w:sz="0" w:space="0" w:color="auto"/>
        <w:left w:val="none" w:sz="0" w:space="0" w:color="auto"/>
        <w:bottom w:val="none" w:sz="0" w:space="0" w:color="auto"/>
        <w:right w:val="none" w:sz="0" w:space="0" w:color="auto"/>
      </w:divBdr>
    </w:div>
    <w:div w:id="790905026">
      <w:bodyDiv w:val="1"/>
      <w:marLeft w:val="0"/>
      <w:marRight w:val="0"/>
      <w:marTop w:val="0"/>
      <w:marBottom w:val="0"/>
      <w:divBdr>
        <w:top w:val="none" w:sz="0" w:space="0" w:color="auto"/>
        <w:left w:val="none" w:sz="0" w:space="0" w:color="auto"/>
        <w:bottom w:val="none" w:sz="0" w:space="0" w:color="auto"/>
        <w:right w:val="none" w:sz="0" w:space="0" w:color="auto"/>
      </w:divBdr>
    </w:div>
    <w:div w:id="791174708">
      <w:bodyDiv w:val="1"/>
      <w:marLeft w:val="0"/>
      <w:marRight w:val="0"/>
      <w:marTop w:val="0"/>
      <w:marBottom w:val="0"/>
      <w:divBdr>
        <w:top w:val="none" w:sz="0" w:space="0" w:color="auto"/>
        <w:left w:val="none" w:sz="0" w:space="0" w:color="auto"/>
        <w:bottom w:val="none" w:sz="0" w:space="0" w:color="auto"/>
        <w:right w:val="none" w:sz="0" w:space="0" w:color="auto"/>
      </w:divBdr>
    </w:div>
    <w:div w:id="830099866">
      <w:bodyDiv w:val="1"/>
      <w:marLeft w:val="0"/>
      <w:marRight w:val="0"/>
      <w:marTop w:val="0"/>
      <w:marBottom w:val="0"/>
      <w:divBdr>
        <w:top w:val="none" w:sz="0" w:space="0" w:color="auto"/>
        <w:left w:val="none" w:sz="0" w:space="0" w:color="auto"/>
        <w:bottom w:val="none" w:sz="0" w:space="0" w:color="auto"/>
        <w:right w:val="none" w:sz="0" w:space="0" w:color="auto"/>
      </w:divBdr>
    </w:div>
    <w:div w:id="865294572">
      <w:bodyDiv w:val="1"/>
      <w:marLeft w:val="0"/>
      <w:marRight w:val="0"/>
      <w:marTop w:val="0"/>
      <w:marBottom w:val="0"/>
      <w:divBdr>
        <w:top w:val="none" w:sz="0" w:space="0" w:color="auto"/>
        <w:left w:val="none" w:sz="0" w:space="0" w:color="auto"/>
        <w:bottom w:val="none" w:sz="0" w:space="0" w:color="auto"/>
        <w:right w:val="none" w:sz="0" w:space="0" w:color="auto"/>
      </w:divBdr>
    </w:div>
    <w:div w:id="879325448">
      <w:bodyDiv w:val="1"/>
      <w:marLeft w:val="0"/>
      <w:marRight w:val="0"/>
      <w:marTop w:val="0"/>
      <w:marBottom w:val="0"/>
      <w:divBdr>
        <w:top w:val="none" w:sz="0" w:space="0" w:color="auto"/>
        <w:left w:val="none" w:sz="0" w:space="0" w:color="auto"/>
        <w:bottom w:val="none" w:sz="0" w:space="0" w:color="auto"/>
        <w:right w:val="none" w:sz="0" w:space="0" w:color="auto"/>
      </w:divBdr>
    </w:div>
    <w:div w:id="882792298">
      <w:bodyDiv w:val="1"/>
      <w:marLeft w:val="0"/>
      <w:marRight w:val="0"/>
      <w:marTop w:val="0"/>
      <w:marBottom w:val="0"/>
      <w:divBdr>
        <w:top w:val="none" w:sz="0" w:space="0" w:color="auto"/>
        <w:left w:val="none" w:sz="0" w:space="0" w:color="auto"/>
        <w:bottom w:val="none" w:sz="0" w:space="0" w:color="auto"/>
        <w:right w:val="none" w:sz="0" w:space="0" w:color="auto"/>
      </w:divBdr>
    </w:div>
    <w:div w:id="887297789">
      <w:bodyDiv w:val="1"/>
      <w:marLeft w:val="0"/>
      <w:marRight w:val="0"/>
      <w:marTop w:val="0"/>
      <w:marBottom w:val="0"/>
      <w:divBdr>
        <w:top w:val="none" w:sz="0" w:space="0" w:color="auto"/>
        <w:left w:val="none" w:sz="0" w:space="0" w:color="auto"/>
        <w:bottom w:val="none" w:sz="0" w:space="0" w:color="auto"/>
        <w:right w:val="none" w:sz="0" w:space="0" w:color="auto"/>
      </w:divBdr>
    </w:div>
    <w:div w:id="890076640">
      <w:bodyDiv w:val="1"/>
      <w:marLeft w:val="0"/>
      <w:marRight w:val="0"/>
      <w:marTop w:val="0"/>
      <w:marBottom w:val="0"/>
      <w:divBdr>
        <w:top w:val="none" w:sz="0" w:space="0" w:color="auto"/>
        <w:left w:val="none" w:sz="0" w:space="0" w:color="auto"/>
        <w:bottom w:val="none" w:sz="0" w:space="0" w:color="auto"/>
        <w:right w:val="none" w:sz="0" w:space="0" w:color="auto"/>
      </w:divBdr>
    </w:div>
    <w:div w:id="896555615">
      <w:bodyDiv w:val="1"/>
      <w:marLeft w:val="0"/>
      <w:marRight w:val="0"/>
      <w:marTop w:val="0"/>
      <w:marBottom w:val="0"/>
      <w:divBdr>
        <w:top w:val="none" w:sz="0" w:space="0" w:color="auto"/>
        <w:left w:val="none" w:sz="0" w:space="0" w:color="auto"/>
        <w:bottom w:val="none" w:sz="0" w:space="0" w:color="auto"/>
        <w:right w:val="none" w:sz="0" w:space="0" w:color="auto"/>
      </w:divBdr>
    </w:div>
    <w:div w:id="901912351">
      <w:bodyDiv w:val="1"/>
      <w:marLeft w:val="0"/>
      <w:marRight w:val="0"/>
      <w:marTop w:val="0"/>
      <w:marBottom w:val="0"/>
      <w:divBdr>
        <w:top w:val="none" w:sz="0" w:space="0" w:color="auto"/>
        <w:left w:val="none" w:sz="0" w:space="0" w:color="auto"/>
        <w:bottom w:val="none" w:sz="0" w:space="0" w:color="auto"/>
        <w:right w:val="none" w:sz="0" w:space="0" w:color="auto"/>
      </w:divBdr>
    </w:div>
    <w:div w:id="920532083">
      <w:bodyDiv w:val="1"/>
      <w:marLeft w:val="0"/>
      <w:marRight w:val="0"/>
      <w:marTop w:val="0"/>
      <w:marBottom w:val="0"/>
      <w:divBdr>
        <w:top w:val="none" w:sz="0" w:space="0" w:color="auto"/>
        <w:left w:val="none" w:sz="0" w:space="0" w:color="auto"/>
        <w:bottom w:val="none" w:sz="0" w:space="0" w:color="auto"/>
        <w:right w:val="none" w:sz="0" w:space="0" w:color="auto"/>
      </w:divBdr>
    </w:div>
    <w:div w:id="932011684">
      <w:bodyDiv w:val="1"/>
      <w:marLeft w:val="0"/>
      <w:marRight w:val="0"/>
      <w:marTop w:val="0"/>
      <w:marBottom w:val="0"/>
      <w:divBdr>
        <w:top w:val="none" w:sz="0" w:space="0" w:color="auto"/>
        <w:left w:val="none" w:sz="0" w:space="0" w:color="auto"/>
        <w:bottom w:val="none" w:sz="0" w:space="0" w:color="auto"/>
        <w:right w:val="none" w:sz="0" w:space="0" w:color="auto"/>
      </w:divBdr>
    </w:div>
    <w:div w:id="977219663">
      <w:bodyDiv w:val="1"/>
      <w:marLeft w:val="0"/>
      <w:marRight w:val="0"/>
      <w:marTop w:val="0"/>
      <w:marBottom w:val="0"/>
      <w:divBdr>
        <w:top w:val="none" w:sz="0" w:space="0" w:color="auto"/>
        <w:left w:val="none" w:sz="0" w:space="0" w:color="auto"/>
        <w:bottom w:val="none" w:sz="0" w:space="0" w:color="auto"/>
        <w:right w:val="none" w:sz="0" w:space="0" w:color="auto"/>
      </w:divBdr>
    </w:div>
    <w:div w:id="1040862546">
      <w:bodyDiv w:val="1"/>
      <w:marLeft w:val="0"/>
      <w:marRight w:val="0"/>
      <w:marTop w:val="0"/>
      <w:marBottom w:val="0"/>
      <w:divBdr>
        <w:top w:val="none" w:sz="0" w:space="0" w:color="auto"/>
        <w:left w:val="none" w:sz="0" w:space="0" w:color="auto"/>
        <w:bottom w:val="none" w:sz="0" w:space="0" w:color="auto"/>
        <w:right w:val="none" w:sz="0" w:space="0" w:color="auto"/>
      </w:divBdr>
    </w:div>
    <w:div w:id="1042175533">
      <w:bodyDiv w:val="1"/>
      <w:marLeft w:val="0"/>
      <w:marRight w:val="0"/>
      <w:marTop w:val="0"/>
      <w:marBottom w:val="0"/>
      <w:divBdr>
        <w:top w:val="none" w:sz="0" w:space="0" w:color="auto"/>
        <w:left w:val="none" w:sz="0" w:space="0" w:color="auto"/>
        <w:bottom w:val="none" w:sz="0" w:space="0" w:color="auto"/>
        <w:right w:val="none" w:sz="0" w:space="0" w:color="auto"/>
      </w:divBdr>
    </w:div>
    <w:div w:id="1054305806">
      <w:bodyDiv w:val="1"/>
      <w:marLeft w:val="0"/>
      <w:marRight w:val="0"/>
      <w:marTop w:val="0"/>
      <w:marBottom w:val="0"/>
      <w:divBdr>
        <w:top w:val="none" w:sz="0" w:space="0" w:color="auto"/>
        <w:left w:val="none" w:sz="0" w:space="0" w:color="auto"/>
        <w:bottom w:val="none" w:sz="0" w:space="0" w:color="auto"/>
        <w:right w:val="none" w:sz="0" w:space="0" w:color="auto"/>
      </w:divBdr>
      <w:divsChild>
        <w:div w:id="1674186201">
          <w:marLeft w:val="0"/>
          <w:marRight w:val="0"/>
          <w:marTop w:val="0"/>
          <w:marBottom w:val="0"/>
          <w:divBdr>
            <w:top w:val="none" w:sz="0" w:space="0" w:color="auto"/>
            <w:left w:val="none" w:sz="0" w:space="0" w:color="auto"/>
            <w:bottom w:val="none" w:sz="0" w:space="0" w:color="auto"/>
            <w:right w:val="none" w:sz="0" w:space="0" w:color="auto"/>
          </w:divBdr>
        </w:div>
      </w:divsChild>
    </w:div>
    <w:div w:id="1107702106">
      <w:bodyDiv w:val="1"/>
      <w:marLeft w:val="0"/>
      <w:marRight w:val="0"/>
      <w:marTop w:val="0"/>
      <w:marBottom w:val="0"/>
      <w:divBdr>
        <w:top w:val="none" w:sz="0" w:space="0" w:color="auto"/>
        <w:left w:val="none" w:sz="0" w:space="0" w:color="auto"/>
        <w:bottom w:val="none" w:sz="0" w:space="0" w:color="auto"/>
        <w:right w:val="none" w:sz="0" w:space="0" w:color="auto"/>
      </w:divBdr>
    </w:div>
    <w:div w:id="1117020829">
      <w:bodyDiv w:val="1"/>
      <w:marLeft w:val="0"/>
      <w:marRight w:val="0"/>
      <w:marTop w:val="0"/>
      <w:marBottom w:val="0"/>
      <w:divBdr>
        <w:top w:val="none" w:sz="0" w:space="0" w:color="auto"/>
        <w:left w:val="none" w:sz="0" w:space="0" w:color="auto"/>
        <w:bottom w:val="none" w:sz="0" w:space="0" w:color="auto"/>
        <w:right w:val="none" w:sz="0" w:space="0" w:color="auto"/>
      </w:divBdr>
      <w:divsChild>
        <w:div w:id="1349020144">
          <w:marLeft w:val="0"/>
          <w:marRight w:val="0"/>
          <w:marTop w:val="0"/>
          <w:marBottom w:val="0"/>
          <w:divBdr>
            <w:top w:val="none" w:sz="0" w:space="0" w:color="auto"/>
            <w:left w:val="none" w:sz="0" w:space="0" w:color="auto"/>
            <w:bottom w:val="none" w:sz="0" w:space="0" w:color="auto"/>
            <w:right w:val="none" w:sz="0" w:space="0" w:color="auto"/>
          </w:divBdr>
          <w:divsChild>
            <w:div w:id="1187980506">
              <w:marLeft w:val="0"/>
              <w:marRight w:val="0"/>
              <w:marTop w:val="0"/>
              <w:marBottom w:val="0"/>
              <w:divBdr>
                <w:top w:val="none" w:sz="0" w:space="0" w:color="auto"/>
                <w:left w:val="none" w:sz="0" w:space="0" w:color="auto"/>
                <w:bottom w:val="none" w:sz="0" w:space="0" w:color="auto"/>
                <w:right w:val="none" w:sz="0" w:space="0" w:color="auto"/>
              </w:divBdr>
              <w:divsChild>
                <w:div w:id="612590374">
                  <w:marLeft w:val="0"/>
                  <w:marRight w:val="0"/>
                  <w:marTop w:val="0"/>
                  <w:marBottom w:val="0"/>
                  <w:divBdr>
                    <w:top w:val="none" w:sz="0" w:space="0" w:color="auto"/>
                    <w:left w:val="none" w:sz="0" w:space="0" w:color="auto"/>
                    <w:bottom w:val="none" w:sz="0" w:space="0" w:color="auto"/>
                    <w:right w:val="none" w:sz="0" w:space="0" w:color="auto"/>
                  </w:divBdr>
                </w:div>
              </w:divsChild>
            </w:div>
            <w:div w:id="1286352510">
              <w:marLeft w:val="0"/>
              <w:marRight w:val="0"/>
              <w:marTop w:val="0"/>
              <w:marBottom w:val="0"/>
              <w:divBdr>
                <w:top w:val="none" w:sz="0" w:space="0" w:color="auto"/>
                <w:left w:val="none" w:sz="0" w:space="0" w:color="auto"/>
                <w:bottom w:val="none" w:sz="0" w:space="0" w:color="auto"/>
                <w:right w:val="none" w:sz="0" w:space="0" w:color="auto"/>
              </w:divBdr>
              <w:divsChild>
                <w:div w:id="224995376">
                  <w:marLeft w:val="0"/>
                  <w:marRight w:val="0"/>
                  <w:marTop w:val="0"/>
                  <w:marBottom w:val="0"/>
                  <w:divBdr>
                    <w:top w:val="none" w:sz="0" w:space="0" w:color="auto"/>
                    <w:left w:val="none" w:sz="0" w:space="0" w:color="auto"/>
                    <w:bottom w:val="none" w:sz="0" w:space="0" w:color="auto"/>
                    <w:right w:val="none" w:sz="0" w:space="0" w:color="auto"/>
                  </w:divBdr>
                </w:div>
              </w:divsChild>
            </w:div>
            <w:div w:id="1419864385">
              <w:marLeft w:val="0"/>
              <w:marRight w:val="0"/>
              <w:marTop w:val="0"/>
              <w:marBottom w:val="0"/>
              <w:divBdr>
                <w:top w:val="none" w:sz="0" w:space="0" w:color="auto"/>
                <w:left w:val="none" w:sz="0" w:space="0" w:color="auto"/>
                <w:bottom w:val="none" w:sz="0" w:space="0" w:color="auto"/>
                <w:right w:val="none" w:sz="0" w:space="0" w:color="auto"/>
              </w:divBdr>
              <w:divsChild>
                <w:div w:id="2059014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7434015">
          <w:marLeft w:val="0"/>
          <w:marRight w:val="0"/>
          <w:marTop w:val="0"/>
          <w:marBottom w:val="0"/>
          <w:divBdr>
            <w:top w:val="none" w:sz="0" w:space="0" w:color="auto"/>
            <w:left w:val="none" w:sz="0" w:space="0" w:color="auto"/>
            <w:bottom w:val="none" w:sz="0" w:space="0" w:color="auto"/>
            <w:right w:val="none" w:sz="0" w:space="0" w:color="auto"/>
          </w:divBdr>
          <w:divsChild>
            <w:div w:id="960037239">
              <w:marLeft w:val="0"/>
              <w:marRight w:val="0"/>
              <w:marTop w:val="0"/>
              <w:marBottom w:val="0"/>
              <w:divBdr>
                <w:top w:val="none" w:sz="0" w:space="0" w:color="auto"/>
                <w:left w:val="none" w:sz="0" w:space="0" w:color="auto"/>
                <w:bottom w:val="none" w:sz="0" w:space="0" w:color="auto"/>
                <w:right w:val="none" w:sz="0" w:space="0" w:color="auto"/>
              </w:divBdr>
              <w:divsChild>
                <w:div w:id="1139104576">
                  <w:marLeft w:val="0"/>
                  <w:marRight w:val="0"/>
                  <w:marTop w:val="0"/>
                  <w:marBottom w:val="0"/>
                  <w:divBdr>
                    <w:top w:val="none" w:sz="0" w:space="0" w:color="auto"/>
                    <w:left w:val="none" w:sz="0" w:space="0" w:color="auto"/>
                    <w:bottom w:val="none" w:sz="0" w:space="0" w:color="auto"/>
                    <w:right w:val="none" w:sz="0" w:space="0" w:color="auto"/>
                  </w:divBdr>
                </w:div>
              </w:divsChild>
            </w:div>
            <w:div w:id="985283994">
              <w:marLeft w:val="0"/>
              <w:marRight w:val="0"/>
              <w:marTop w:val="0"/>
              <w:marBottom w:val="0"/>
              <w:divBdr>
                <w:top w:val="none" w:sz="0" w:space="0" w:color="auto"/>
                <w:left w:val="none" w:sz="0" w:space="0" w:color="auto"/>
                <w:bottom w:val="none" w:sz="0" w:space="0" w:color="auto"/>
                <w:right w:val="none" w:sz="0" w:space="0" w:color="auto"/>
              </w:divBdr>
              <w:divsChild>
                <w:div w:id="1203052968">
                  <w:marLeft w:val="0"/>
                  <w:marRight w:val="0"/>
                  <w:marTop w:val="0"/>
                  <w:marBottom w:val="0"/>
                  <w:divBdr>
                    <w:top w:val="none" w:sz="0" w:space="0" w:color="auto"/>
                    <w:left w:val="none" w:sz="0" w:space="0" w:color="auto"/>
                    <w:bottom w:val="none" w:sz="0" w:space="0" w:color="auto"/>
                    <w:right w:val="none" w:sz="0" w:space="0" w:color="auto"/>
                  </w:divBdr>
                </w:div>
              </w:divsChild>
            </w:div>
            <w:div w:id="1212881184">
              <w:marLeft w:val="0"/>
              <w:marRight w:val="0"/>
              <w:marTop w:val="0"/>
              <w:marBottom w:val="0"/>
              <w:divBdr>
                <w:top w:val="none" w:sz="0" w:space="0" w:color="auto"/>
                <w:left w:val="none" w:sz="0" w:space="0" w:color="auto"/>
                <w:bottom w:val="none" w:sz="0" w:space="0" w:color="auto"/>
                <w:right w:val="none" w:sz="0" w:space="0" w:color="auto"/>
              </w:divBdr>
              <w:divsChild>
                <w:div w:id="1490975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9127423">
      <w:bodyDiv w:val="1"/>
      <w:marLeft w:val="0"/>
      <w:marRight w:val="0"/>
      <w:marTop w:val="0"/>
      <w:marBottom w:val="0"/>
      <w:divBdr>
        <w:top w:val="none" w:sz="0" w:space="0" w:color="auto"/>
        <w:left w:val="none" w:sz="0" w:space="0" w:color="auto"/>
        <w:bottom w:val="none" w:sz="0" w:space="0" w:color="auto"/>
        <w:right w:val="none" w:sz="0" w:space="0" w:color="auto"/>
      </w:divBdr>
    </w:div>
    <w:div w:id="1219241697">
      <w:bodyDiv w:val="1"/>
      <w:marLeft w:val="0"/>
      <w:marRight w:val="0"/>
      <w:marTop w:val="0"/>
      <w:marBottom w:val="0"/>
      <w:divBdr>
        <w:top w:val="none" w:sz="0" w:space="0" w:color="auto"/>
        <w:left w:val="none" w:sz="0" w:space="0" w:color="auto"/>
        <w:bottom w:val="none" w:sz="0" w:space="0" w:color="auto"/>
        <w:right w:val="none" w:sz="0" w:space="0" w:color="auto"/>
      </w:divBdr>
    </w:div>
    <w:div w:id="1245338428">
      <w:bodyDiv w:val="1"/>
      <w:marLeft w:val="0"/>
      <w:marRight w:val="0"/>
      <w:marTop w:val="0"/>
      <w:marBottom w:val="0"/>
      <w:divBdr>
        <w:top w:val="none" w:sz="0" w:space="0" w:color="auto"/>
        <w:left w:val="none" w:sz="0" w:space="0" w:color="auto"/>
        <w:bottom w:val="none" w:sz="0" w:space="0" w:color="auto"/>
        <w:right w:val="none" w:sz="0" w:space="0" w:color="auto"/>
      </w:divBdr>
    </w:div>
    <w:div w:id="1251045349">
      <w:bodyDiv w:val="1"/>
      <w:marLeft w:val="0"/>
      <w:marRight w:val="0"/>
      <w:marTop w:val="0"/>
      <w:marBottom w:val="0"/>
      <w:divBdr>
        <w:top w:val="none" w:sz="0" w:space="0" w:color="auto"/>
        <w:left w:val="none" w:sz="0" w:space="0" w:color="auto"/>
        <w:bottom w:val="none" w:sz="0" w:space="0" w:color="auto"/>
        <w:right w:val="none" w:sz="0" w:space="0" w:color="auto"/>
      </w:divBdr>
    </w:div>
    <w:div w:id="1264922527">
      <w:bodyDiv w:val="1"/>
      <w:marLeft w:val="0"/>
      <w:marRight w:val="0"/>
      <w:marTop w:val="0"/>
      <w:marBottom w:val="0"/>
      <w:divBdr>
        <w:top w:val="none" w:sz="0" w:space="0" w:color="auto"/>
        <w:left w:val="none" w:sz="0" w:space="0" w:color="auto"/>
        <w:bottom w:val="none" w:sz="0" w:space="0" w:color="auto"/>
        <w:right w:val="none" w:sz="0" w:space="0" w:color="auto"/>
      </w:divBdr>
    </w:div>
    <w:div w:id="1292059538">
      <w:bodyDiv w:val="1"/>
      <w:marLeft w:val="0"/>
      <w:marRight w:val="0"/>
      <w:marTop w:val="0"/>
      <w:marBottom w:val="0"/>
      <w:divBdr>
        <w:top w:val="none" w:sz="0" w:space="0" w:color="auto"/>
        <w:left w:val="none" w:sz="0" w:space="0" w:color="auto"/>
        <w:bottom w:val="none" w:sz="0" w:space="0" w:color="auto"/>
        <w:right w:val="none" w:sz="0" w:space="0" w:color="auto"/>
      </w:divBdr>
    </w:div>
    <w:div w:id="1299144133">
      <w:bodyDiv w:val="1"/>
      <w:marLeft w:val="0"/>
      <w:marRight w:val="0"/>
      <w:marTop w:val="0"/>
      <w:marBottom w:val="0"/>
      <w:divBdr>
        <w:top w:val="none" w:sz="0" w:space="0" w:color="auto"/>
        <w:left w:val="none" w:sz="0" w:space="0" w:color="auto"/>
        <w:bottom w:val="none" w:sz="0" w:space="0" w:color="auto"/>
        <w:right w:val="none" w:sz="0" w:space="0" w:color="auto"/>
      </w:divBdr>
    </w:div>
    <w:div w:id="1315373533">
      <w:bodyDiv w:val="1"/>
      <w:marLeft w:val="0"/>
      <w:marRight w:val="0"/>
      <w:marTop w:val="0"/>
      <w:marBottom w:val="0"/>
      <w:divBdr>
        <w:top w:val="none" w:sz="0" w:space="0" w:color="auto"/>
        <w:left w:val="none" w:sz="0" w:space="0" w:color="auto"/>
        <w:bottom w:val="none" w:sz="0" w:space="0" w:color="auto"/>
        <w:right w:val="none" w:sz="0" w:space="0" w:color="auto"/>
      </w:divBdr>
    </w:div>
    <w:div w:id="1331372022">
      <w:bodyDiv w:val="1"/>
      <w:marLeft w:val="0"/>
      <w:marRight w:val="0"/>
      <w:marTop w:val="0"/>
      <w:marBottom w:val="0"/>
      <w:divBdr>
        <w:top w:val="none" w:sz="0" w:space="0" w:color="auto"/>
        <w:left w:val="none" w:sz="0" w:space="0" w:color="auto"/>
        <w:bottom w:val="none" w:sz="0" w:space="0" w:color="auto"/>
        <w:right w:val="none" w:sz="0" w:space="0" w:color="auto"/>
      </w:divBdr>
    </w:div>
    <w:div w:id="1364481608">
      <w:bodyDiv w:val="1"/>
      <w:marLeft w:val="0"/>
      <w:marRight w:val="0"/>
      <w:marTop w:val="0"/>
      <w:marBottom w:val="0"/>
      <w:divBdr>
        <w:top w:val="none" w:sz="0" w:space="0" w:color="auto"/>
        <w:left w:val="none" w:sz="0" w:space="0" w:color="auto"/>
        <w:bottom w:val="none" w:sz="0" w:space="0" w:color="auto"/>
        <w:right w:val="none" w:sz="0" w:space="0" w:color="auto"/>
      </w:divBdr>
    </w:div>
    <w:div w:id="1384603294">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46774116">
      <w:bodyDiv w:val="1"/>
      <w:marLeft w:val="0"/>
      <w:marRight w:val="0"/>
      <w:marTop w:val="0"/>
      <w:marBottom w:val="0"/>
      <w:divBdr>
        <w:top w:val="none" w:sz="0" w:space="0" w:color="auto"/>
        <w:left w:val="none" w:sz="0" w:space="0" w:color="auto"/>
        <w:bottom w:val="none" w:sz="0" w:space="0" w:color="auto"/>
        <w:right w:val="none" w:sz="0" w:space="0" w:color="auto"/>
      </w:divBdr>
    </w:div>
    <w:div w:id="1468934709">
      <w:bodyDiv w:val="1"/>
      <w:marLeft w:val="0"/>
      <w:marRight w:val="0"/>
      <w:marTop w:val="0"/>
      <w:marBottom w:val="0"/>
      <w:divBdr>
        <w:top w:val="none" w:sz="0" w:space="0" w:color="auto"/>
        <w:left w:val="none" w:sz="0" w:space="0" w:color="auto"/>
        <w:bottom w:val="none" w:sz="0" w:space="0" w:color="auto"/>
        <w:right w:val="none" w:sz="0" w:space="0" w:color="auto"/>
      </w:divBdr>
    </w:div>
    <w:div w:id="1472747726">
      <w:bodyDiv w:val="1"/>
      <w:marLeft w:val="0"/>
      <w:marRight w:val="0"/>
      <w:marTop w:val="0"/>
      <w:marBottom w:val="0"/>
      <w:divBdr>
        <w:top w:val="none" w:sz="0" w:space="0" w:color="auto"/>
        <w:left w:val="none" w:sz="0" w:space="0" w:color="auto"/>
        <w:bottom w:val="none" w:sz="0" w:space="0" w:color="auto"/>
        <w:right w:val="none" w:sz="0" w:space="0" w:color="auto"/>
      </w:divBdr>
    </w:div>
    <w:div w:id="1483886544">
      <w:bodyDiv w:val="1"/>
      <w:marLeft w:val="0"/>
      <w:marRight w:val="0"/>
      <w:marTop w:val="0"/>
      <w:marBottom w:val="0"/>
      <w:divBdr>
        <w:top w:val="none" w:sz="0" w:space="0" w:color="auto"/>
        <w:left w:val="none" w:sz="0" w:space="0" w:color="auto"/>
        <w:bottom w:val="none" w:sz="0" w:space="0" w:color="auto"/>
        <w:right w:val="none" w:sz="0" w:space="0" w:color="auto"/>
      </w:divBdr>
    </w:div>
    <w:div w:id="1517578495">
      <w:bodyDiv w:val="1"/>
      <w:marLeft w:val="0"/>
      <w:marRight w:val="0"/>
      <w:marTop w:val="0"/>
      <w:marBottom w:val="0"/>
      <w:divBdr>
        <w:top w:val="none" w:sz="0" w:space="0" w:color="auto"/>
        <w:left w:val="none" w:sz="0" w:space="0" w:color="auto"/>
        <w:bottom w:val="none" w:sz="0" w:space="0" w:color="auto"/>
        <w:right w:val="none" w:sz="0" w:space="0" w:color="auto"/>
      </w:divBdr>
    </w:div>
    <w:div w:id="1520663420">
      <w:bodyDiv w:val="1"/>
      <w:marLeft w:val="0"/>
      <w:marRight w:val="0"/>
      <w:marTop w:val="0"/>
      <w:marBottom w:val="0"/>
      <w:divBdr>
        <w:top w:val="none" w:sz="0" w:space="0" w:color="auto"/>
        <w:left w:val="none" w:sz="0" w:space="0" w:color="auto"/>
        <w:bottom w:val="none" w:sz="0" w:space="0" w:color="auto"/>
        <w:right w:val="none" w:sz="0" w:space="0" w:color="auto"/>
      </w:divBdr>
    </w:div>
    <w:div w:id="1529180460">
      <w:bodyDiv w:val="1"/>
      <w:marLeft w:val="0"/>
      <w:marRight w:val="0"/>
      <w:marTop w:val="0"/>
      <w:marBottom w:val="0"/>
      <w:divBdr>
        <w:top w:val="none" w:sz="0" w:space="0" w:color="auto"/>
        <w:left w:val="none" w:sz="0" w:space="0" w:color="auto"/>
        <w:bottom w:val="none" w:sz="0" w:space="0" w:color="auto"/>
        <w:right w:val="none" w:sz="0" w:space="0" w:color="auto"/>
      </w:divBdr>
    </w:div>
    <w:div w:id="1530220422">
      <w:bodyDiv w:val="1"/>
      <w:marLeft w:val="0"/>
      <w:marRight w:val="0"/>
      <w:marTop w:val="0"/>
      <w:marBottom w:val="0"/>
      <w:divBdr>
        <w:top w:val="none" w:sz="0" w:space="0" w:color="auto"/>
        <w:left w:val="none" w:sz="0" w:space="0" w:color="auto"/>
        <w:bottom w:val="none" w:sz="0" w:space="0" w:color="auto"/>
        <w:right w:val="none" w:sz="0" w:space="0" w:color="auto"/>
      </w:divBdr>
    </w:div>
    <w:div w:id="1566841112">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595936211">
      <w:bodyDiv w:val="1"/>
      <w:marLeft w:val="0"/>
      <w:marRight w:val="0"/>
      <w:marTop w:val="0"/>
      <w:marBottom w:val="0"/>
      <w:divBdr>
        <w:top w:val="none" w:sz="0" w:space="0" w:color="auto"/>
        <w:left w:val="none" w:sz="0" w:space="0" w:color="auto"/>
        <w:bottom w:val="none" w:sz="0" w:space="0" w:color="auto"/>
        <w:right w:val="none" w:sz="0" w:space="0" w:color="auto"/>
      </w:divBdr>
    </w:div>
    <w:div w:id="1616983339">
      <w:bodyDiv w:val="1"/>
      <w:marLeft w:val="0"/>
      <w:marRight w:val="0"/>
      <w:marTop w:val="0"/>
      <w:marBottom w:val="0"/>
      <w:divBdr>
        <w:top w:val="none" w:sz="0" w:space="0" w:color="auto"/>
        <w:left w:val="none" w:sz="0" w:space="0" w:color="auto"/>
        <w:bottom w:val="none" w:sz="0" w:space="0" w:color="auto"/>
        <w:right w:val="none" w:sz="0" w:space="0" w:color="auto"/>
      </w:divBdr>
    </w:div>
    <w:div w:id="1616985713">
      <w:bodyDiv w:val="1"/>
      <w:marLeft w:val="0"/>
      <w:marRight w:val="0"/>
      <w:marTop w:val="0"/>
      <w:marBottom w:val="0"/>
      <w:divBdr>
        <w:top w:val="none" w:sz="0" w:space="0" w:color="auto"/>
        <w:left w:val="none" w:sz="0" w:space="0" w:color="auto"/>
        <w:bottom w:val="none" w:sz="0" w:space="0" w:color="auto"/>
        <w:right w:val="none" w:sz="0" w:space="0" w:color="auto"/>
      </w:divBdr>
    </w:div>
    <w:div w:id="1618951950">
      <w:bodyDiv w:val="1"/>
      <w:marLeft w:val="0"/>
      <w:marRight w:val="0"/>
      <w:marTop w:val="0"/>
      <w:marBottom w:val="0"/>
      <w:divBdr>
        <w:top w:val="none" w:sz="0" w:space="0" w:color="auto"/>
        <w:left w:val="none" w:sz="0" w:space="0" w:color="auto"/>
        <w:bottom w:val="none" w:sz="0" w:space="0" w:color="auto"/>
        <w:right w:val="none" w:sz="0" w:space="0" w:color="auto"/>
      </w:divBdr>
    </w:div>
    <w:div w:id="1796630088">
      <w:bodyDiv w:val="1"/>
      <w:marLeft w:val="0"/>
      <w:marRight w:val="0"/>
      <w:marTop w:val="0"/>
      <w:marBottom w:val="0"/>
      <w:divBdr>
        <w:top w:val="none" w:sz="0" w:space="0" w:color="auto"/>
        <w:left w:val="none" w:sz="0" w:space="0" w:color="auto"/>
        <w:bottom w:val="none" w:sz="0" w:space="0" w:color="auto"/>
        <w:right w:val="none" w:sz="0" w:space="0" w:color="auto"/>
      </w:divBdr>
    </w:div>
    <w:div w:id="1847674469">
      <w:bodyDiv w:val="1"/>
      <w:marLeft w:val="0"/>
      <w:marRight w:val="0"/>
      <w:marTop w:val="0"/>
      <w:marBottom w:val="0"/>
      <w:divBdr>
        <w:top w:val="none" w:sz="0" w:space="0" w:color="auto"/>
        <w:left w:val="none" w:sz="0" w:space="0" w:color="auto"/>
        <w:bottom w:val="none" w:sz="0" w:space="0" w:color="auto"/>
        <w:right w:val="none" w:sz="0" w:space="0" w:color="auto"/>
      </w:divBdr>
    </w:div>
    <w:div w:id="1899123641">
      <w:bodyDiv w:val="1"/>
      <w:marLeft w:val="0"/>
      <w:marRight w:val="0"/>
      <w:marTop w:val="0"/>
      <w:marBottom w:val="0"/>
      <w:divBdr>
        <w:top w:val="none" w:sz="0" w:space="0" w:color="auto"/>
        <w:left w:val="none" w:sz="0" w:space="0" w:color="auto"/>
        <w:bottom w:val="none" w:sz="0" w:space="0" w:color="auto"/>
        <w:right w:val="none" w:sz="0" w:space="0" w:color="auto"/>
      </w:divBdr>
    </w:div>
    <w:div w:id="1900556032">
      <w:bodyDiv w:val="1"/>
      <w:marLeft w:val="0"/>
      <w:marRight w:val="0"/>
      <w:marTop w:val="0"/>
      <w:marBottom w:val="0"/>
      <w:divBdr>
        <w:top w:val="none" w:sz="0" w:space="0" w:color="auto"/>
        <w:left w:val="none" w:sz="0" w:space="0" w:color="auto"/>
        <w:bottom w:val="none" w:sz="0" w:space="0" w:color="auto"/>
        <w:right w:val="none" w:sz="0" w:space="0" w:color="auto"/>
      </w:divBdr>
    </w:div>
    <w:div w:id="1904019818">
      <w:bodyDiv w:val="1"/>
      <w:marLeft w:val="0"/>
      <w:marRight w:val="0"/>
      <w:marTop w:val="0"/>
      <w:marBottom w:val="0"/>
      <w:divBdr>
        <w:top w:val="none" w:sz="0" w:space="0" w:color="auto"/>
        <w:left w:val="none" w:sz="0" w:space="0" w:color="auto"/>
        <w:bottom w:val="none" w:sz="0" w:space="0" w:color="auto"/>
        <w:right w:val="none" w:sz="0" w:space="0" w:color="auto"/>
      </w:divBdr>
    </w:div>
    <w:div w:id="1908687082">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59296029">
      <w:bodyDiv w:val="1"/>
      <w:marLeft w:val="0"/>
      <w:marRight w:val="0"/>
      <w:marTop w:val="0"/>
      <w:marBottom w:val="0"/>
      <w:divBdr>
        <w:top w:val="none" w:sz="0" w:space="0" w:color="auto"/>
        <w:left w:val="none" w:sz="0" w:space="0" w:color="auto"/>
        <w:bottom w:val="none" w:sz="0" w:space="0" w:color="auto"/>
        <w:right w:val="none" w:sz="0" w:space="0" w:color="auto"/>
      </w:divBdr>
    </w:div>
    <w:div w:id="1969970558">
      <w:bodyDiv w:val="1"/>
      <w:marLeft w:val="0"/>
      <w:marRight w:val="0"/>
      <w:marTop w:val="0"/>
      <w:marBottom w:val="0"/>
      <w:divBdr>
        <w:top w:val="none" w:sz="0" w:space="0" w:color="auto"/>
        <w:left w:val="none" w:sz="0" w:space="0" w:color="auto"/>
        <w:bottom w:val="none" w:sz="0" w:space="0" w:color="auto"/>
        <w:right w:val="none" w:sz="0" w:space="0" w:color="auto"/>
      </w:divBdr>
    </w:div>
    <w:div w:id="1975328911">
      <w:bodyDiv w:val="1"/>
      <w:marLeft w:val="0"/>
      <w:marRight w:val="0"/>
      <w:marTop w:val="0"/>
      <w:marBottom w:val="0"/>
      <w:divBdr>
        <w:top w:val="none" w:sz="0" w:space="0" w:color="auto"/>
        <w:left w:val="none" w:sz="0" w:space="0" w:color="auto"/>
        <w:bottom w:val="none" w:sz="0" w:space="0" w:color="auto"/>
        <w:right w:val="none" w:sz="0" w:space="0" w:color="auto"/>
      </w:divBdr>
    </w:div>
    <w:div w:id="1982151467">
      <w:bodyDiv w:val="1"/>
      <w:marLeft w:val="0"/>
      <w:marRight w:val="0"/>
      <w:marTop w:val="0"/>
      <w:marBottom w:val="0"/>
      <w:divBdr>
        <w:top w:val="none" w:sz="0" w:space="0" w:color="auto"/>
        <w:left w:val="none" w:sz="0" w:space="0" w:color="auto"/>
        <w:bottom w:val="none" w:sz="0" w:space="0" w:color="auto"/>
        <w:right w:val="none" w:sz="0" w:space="0" w:color="auto"/>
      </w:divBdr>
    </w:div>
    <w:div w:id="1989508671">
      <w:bodyDiv w:val="1"/>
      <w:marLeft w:val="0"/>
      <w:marRight w:val="0"/>
      <w:marTop w:val="0"/>
      <w:marBottom w:val="0"/>
      <w:divBdr>
        <w:top w:val="none" w:sz="0" w:space="0" w:color="auto"/>
        <w:left w:val="none" w:sz="0" w:space="0" w:color="auto"/>
        <w:bottom w:val="none" w:sz="0" w:space="0" w:color="auto"/>
        <w:right w:val="none" w:sz="0" w:space="0" w:color="auto"/>
      </w:divBdr>
    </w:div>
    <w:div w:id="1989897392">
      <w:bodyDiv w:val="1"/>
      <w:marLeft w:val="0"/>
      <w:marRight w:val="0"/>
      <w:marTop w:val="0"/>
      <w:marBottom w:val="0"/>
      <w:divBdr>
        <w:top w:val="none" w:sz="0" w:space="0" w:color="auto"/>
        <w:left w:val="none" w:sz="0" w:space="0" w:color="auto"/>
        <w:bottom w:val="none" w:sz="0" w:space="0" w:color="auto"/>
        <w:right w:val="none" w:sz="0" w:space="0" w:color="auto"/>
      </w:divBdr>
    </w:div>
    <w:div w:id="2056275971">
      <w:bodyDiv w:val="1"/>
      <w:marLeft w:val="0"/>
      <w:marRight w:val="0"/>
      <w:marTop w:val="0"/>
      <w:marBottom w:val="0"/>
      <w:divBdr>
        <w:top w:val="none" w:sz="0" w:space="0" w:color="auto"/>
        <w:left w:val="none" w:sz="0" w:space="0" w:color="auto"/>
        <w:bottom w:val="none" w:sz="0" w:space="0" w:color="auto"/>
        <w:right w:val="none" w:sz="0" w:space="0" w:color="auto"/>
      </w:divBdr>
      <w:divsChild>
        <w:div w:id="172034640">
          <w:marLeft w:val="0"/>
          <w:marRight w:val="0"/>
          <w:marTop w:val="0"/>
          <w:marBottom w:val="0"/>
          <w:divBdr>
            <w:top w:val="none" w:sz="0" w:space="0" w:color="auto"/>
            <w:left w:val="none" w:sz="0" w:space="0" w:color="auto"/>
            <w:bottom w:val="none" w:sz="0" w:space="0" w:color="auto"/>
            <w:right w:val="none" w:sz="0" w:space="0" w:color="auto"/>
          </w:divBdr>
        </w:div>
        <w:div w:id="1159467563">
          <w:marLeft w:val="0"/>
          <w:marRight w:val="0"/>
          <w:marTop w:val="0"/>
          <w:marBottom w:val="0"/>
          <w:divBdr>
            <w:top w:val="none" w:sz="0" w:space="0" w:color="auto"/>
            <w:left w:val="none" w:sz="0" w:space="0" w:color="auto"/>
            <w:bottom w:val="none" w:sz="0" w:space="0" w:color="auto"/>
            <w:right w:val="none" w:sz="0" w:space="0" w:color="auto"/>
          </w:divBdr>
          <w:divsChild>
            <w:div w:id="721902801">
              <w:marLeft w:val="0"/>
              <w:marRight w:val="0"/>
              <w:marTop w:val="0"/>
              <w:marBottom w:val="0"/>
              <w:divBdr>
                <w:top w:val="none" w:sz="0" w:space="0" w:color="auto"/>
                <w:left w:val="none" w:sz="0" w:space="0" w:color="auto"/>
                <w:bottom w:val="none" w:sz="0" w:space="0" w:color="auto"/>
                <w:right w:val="none" w:sz="0" w:space="0" w:color="auto"/>
              </w:divBdr>
            </w:div>
            <w:div w:id="765002513">
              <w:marLeft w:val="0"/>
              <w:marRight w:val="0"/>
              <w:marTop w:val="100"/>
              <w:marBottom w:val="100"/>
              <w:divBdr>
                <w:top w:val="none" w:sz="0" w:space="0" w:color="auto"/>
                <w:left w:val="none" w:sz="0" w:space="0" w:color="auto"/>
                <w:bottom w:val="none" w:sz="0" w:space="0" w:color="auto"/>
                <w:right w:val="none" w:sz="0" w:space="0" w:color="auto"/>
              </w:divBdr>
            </w:div>
            <w:div w:id="776606015">
              <w:marLeft w:val="0"/>
              <w:marRight w:val="0"/>
              <w:marTop w:val="0"/>
              <w:marBottom w:val="0"/>
              <w:divBdr>
                <w:top w:val="none" w:sz="0" w:space="0" w:color="auto"/>
                <w:left w:val="none" w:sz="0" w:space="0" w:color="auto"/>
                <w:bottom w:val="none" w:sz="0" w:space="0" w:color="auto"/>
                <w:right w:val="none" w:sz="0" w:space="0" w:color="auto"/>
              </w:divBdr>
            </w:div>
            <w:div w:id="833570893">
              <w:marLeft w:val="0"/>
              <w:marRight w:val="0"/>
              <w:marTop w:val="0"/>
              <w:marBottom w:val="0"/>
              <w:divBdr>
                <w:top w:val="none" w:sz="0" w:space="0" w:color="auto"/>
                <w:left w:val="none" w:sz="0" w:space="0" w:color="auto"/>
                <w:bottom w:val="none" w:sz="0" w:space="0" w:color="auto"/>
                <w:right w:val="none" w:sz="0" w:space="0" w:color="auto"/>
              </w:divBdr>
            </w:div>
            <w:div w:id="1593707522">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2063361864">
      <w:bodyDiv w:val="1"/>
      <w:marLeft w:val="0"/>
      <w:marRight w:val="0"/>
      <w:marTop w:val="0"/>
      <w:marBottom w:val="0"/>
      <w:divBdr>
        <w:top w:val="none" w:sz="0" w:space="0" w:color="auto"/>
        <w:left w:val="none" w:sz="0" w:space="0" w:color="auto"/>
        <w:bottom w:val="none" w:sz="0" w:space="0" w:color="auto"/>
        <w:right w:val="none" w:sz="0" w:space="0" w:color="auto"/>
      </w:divBdr>
    </w:div>
    <w:div w:id="2068213169">
      <w:bodyDiv w:val="1"/>
      <w:marLeft w:val="0"/>
      <w:marRight w:val="0"/>
      <w:marTop w:val="0"/>
      <w:marBottom w:val="0"/>
      <w:divBdr>
        <w:top w:val="none" w:sz="0" w:space="0" w:color="auto"/>
        <w:left w:val="none" w:sz="0" w:space="0" w:color="auto"/>
        <w:bottom w:val="none" w:sz="0" w:space="0" w:color="auto"/>
        <w:right w:val="none" w:sz="0" w:space="0" w:color="auto"/>
      </w:divBdr>
    </w:div>
    <w:div w:id="2081633631">
      <w:bodyDiv w:val="1"/>
      <w:marLeft w:val="0"/>
      <w:marRight w:val="0"/>
      <w:marTop w:val="0"/>
      <w:marBottom w:val="0"/>
      <w:divBdr>
        <w:top w:val="none" w:sz="0" w:space="0" w:color="auto"/>
        <w:left w:val="none" w:sz="0" w:space="0" w:color="auto"/>
        <w:bottom w:val="none" w:sz="0" w:space="0" w:color="auto"/>
        <w:right w:val="none" w:sz="0" w:space="0" w:color="auto"/>
      </w:divBdr>
    </w:div>
    <w:div w:id="2117096983">
      <w:bodyDiv w:val="1"/>
      <w:marLeft w:val="0"/>
      <w:marRight w:val="0"/>
      <w:marTop w:val="0"/>
      <w:marBottom w:val="0"/>
      <w:divBdr>
        <w:top w:val="none" w:sz="0" w:space="0" w:color="auto"/>
        <w:left w:val="none" w:sz="0" w:space="0" w:color="auto"/>
        <w:bottom w:val="none" w:sz="0" w:space="0" w:color="auto"/>
        <w:right w:val="none" w:sz="0" w:space="0" w:color="auto"/>
      </w:divBdr>
      <w:divsChild>
        <w:div w:id="1525245878">
          <w:marLeft w:val="0"/>
          <w:marRight w:val="0"/>
          <w:marTop w:val="0"/>
          <w:marBottom w:val="0"/>
          <w:divBdr>
            <w:top w:val="none" w:sz="0" w:space="0" w:color="auto"/>
            <w:left w:val="none" w:sz="0" w:space="0" w:color="auto"/>
            <w:bottom w:val="none" w:sz="0" w:space="0" w:color="auto"/>
            <w:right w:val="none" w:sz="0" w:space="0" w:color="auto"/>
          </w:divBdr>
          <w:divsChild>
            <w:div w:id="344985645">
              <w:marLeft w:val="0"/>
              <w:marRight w:val="0"/>
              <w:marTop w:val="0"/>
              <w:marBottom w:val="0"/>
              <w:divBdr>
                <w:top w:val="none" w:sz="0" w:space="0" w:color="auto"/>
                <w:left w:val="none" w:sz="0" w:space="0" w:color="auto"/>
                <w:bottom w:val="none" w:sz="0" w:space="0" w:color="auto"/>
                <w:right w:val="none" w:sz="0" w:space="0" w:color="auto"/>
              </w:divBdr>
              <w:divsChild>
                <w:div w:id="95950119">
                  <w:marLeft w:val="0"/>
                  <w:marRight w:val="0"/>
                  <w:marTop w:val="0"/>
                  <w:marBottom w:val="0"/>
                  <w:divBdr>
                    <w:top w:val="none" w:sz="0" w:space="0" w:color="auto"/>
                    <w:left w:val="none" w:sz="0" w:space="0" w:color="auto"/>
                    <w:bottom w:val="none" w:sz="0" w:space="0" w:color="auto"/>
                    <w:right w:val="none" w:sz="0" w:space="0" w:color="auto"/>
                  </w:divBdr>
                </w:div>
              </w:divsChild>
            </w:div>
            <w:div w:id="706376211">
              <w:marLeft w:val="0"/>
              <w:marRight w:val="0"/>
              <w:marTop w:val="0"/>
              <w:marBottom w:val="0"/>
              <w:divBdr>
                <w:top w:val="none" w:sz="0" w:space="0" w:color="auto"/>
                <w:left w:val="none" w:sz="0" w:space="0" w:color="auto"/>
                <w:bottom w:val="none" w:sz="0" w:space="0" w:color="auto"/>
                <w:right w:val="none" w:sz="0" w:space="0" w:color="auto"/>
              </w:divBdr>
              <w:divsChild>
                <w:div w:id="327095552">
                  <w:marLeft w:val="0"/>
                  <w:marRight w:val="0"/>
                  <w:marTop w:val="0"/>
                  <w:marBottom w:val="0"/>
                  <w:divBdr>
                    <w:top w:val="none" w:sz="0" w:space="0" w:color="auto"/>
                    <w:left w:val="none" w:sz="0" w:space="0" w:color="auto"/>
                    <w:bottom w:val="none" w:sz="0" w:space="0" w:color="auto"/>
                    <w:right w:val="none" w:sz="0" w:space="0" w:color="auto"/>
                  </w:divBdr>
                </w:div>
              </w:divsChild>
            </w:div>
            <w:div w:id="1696491944">
              <w:marLeft w:val="0"/>
              <w:marRight w:val="0"/>
              <w:marTop w:val="0"/>
              <w:marBottom w:val="0"/>
              <w:divBdr>
                <w:top w:val="none" w:sz="0" w:space="0" w:color="auto"/>
                <w:left w:val="none" w:sz="0" w:space="0" w:color="auto"/>
                <w:bottom w:val="none" w:sz="0" w:space="0" w:color="auto"/>
                <w:right w:val="none" w:sz="0" w:space="0" w:color="auto"/>
              </w:divBdr>
              <w:divsChild>
                <w:div w:id="30585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459335">
          <w:marLeft w:val="0"/>
          <w:marRight w:val="0"/>
          <w:marTop w:val="0"/>
          <w:marBottom w:val="0"/>
          <w:divBdr>
            <w:top w:val="none" w:sz="0" w:space="0" w:color="auto"/>
            <w:left w:val="none" w:sz="0" w:space="0" w:color="auto"/>
            <w:bottom w:val="none" w:sz="0" w:space="0" w:color="auto"/>
            <w:right w:val="none" w:sz="0" w:space="0" w:color="auto"/>
          </w:divBdr>
          <w:divsChild>
            <w:div w:id="348414341">
              <w:marLeft w:val="0"/>
              <w:marRight w:val="0"/>
              <w:marTop w:val="0"/>
              <w:marBottom w:val="0"/>
              <w:divBdr>
                <w:top w:val="none" w:sz="0" w:space="0" w:color="auto"/>
                <w:left w:val="none" w:sz="0" w:space="0" w:color="auto"/>
                <w:bottom w:val="none" w:sz="0" w:space="0" w:color="auto"/>
                <w:right w:val="none" w:sz="0" w:space="0" w:color="auto"/>
              </w:divBdr>
              <w:divsChild>
                <w:div w:id="1489131106">
                  <w:marLeft w:val="0"/>
                  <w:marRight w:val="0"/>
                  <w:marTop w:val="0"/>
                  <w:marBottom w:val="0"/>
                  <w:divBdr>
                    <w:top w:val="none" w:sz="0" w:space="0" w:color="auto"/>
                    <w:left w:val="none" w:sz="0" w:space="0" w:color="auto"/>
                    <w:bottom w:val="none" w:sz="0" w:space="0" w:color="auto"/>
                    <w:right w:val="none" w:sz="0" w:space="0" w:color="auto"/>
                  </w:divBdr>
                </w:div>
              </w:divsChild>
            </w:div>
            <w:div w:id="1585067347">
              <w:marLeft w:val="0"/>
              <w:marRight w:val="0"/>
              <w:marTop w:val="0"/>
              <w:marBottom w:val="0"/>
              <w:divBdr>
                <w:top w:val="none" w:sz="0" w:space="0" w:color="auto"/>
                <w:left w:val="none" w:sz="0" w:space="0" w:color="auto"/>
                <w:bottom w:val="none" w:sz="0" w:space="0" w:color="auto"/>
                <w:right w:val="none" w:sz="0" w:space="0" w:color="auto"/>
              </w:divBdr>
              <w:divsChild>
                <w:div w:id="549462007">
                  <w:marLeft w:val="0"/>
                  <w:marRight w:val="0"/>
                  <w:marTop w:val="0"/>
                  <w:marBottom w:val="0"/>
                  <w:divBdr>
                    <w:top w:val="none" w:sz="0" w:space="0" w:color="auto"/>
                    <w:left w:val="none" w:sz="0" w:space="0" w:color="auto"/>
                    <w:bottom w:val="none" w:sz="0" w:space="0" w:color="auto"/>
                    <w:right w:val="none" w:sz="0" w:space="0" w:color="auto"/>
                  </w:divBdr>
                </w:div>
              </w:divsChild>
            </w:div>
            <w:div w:id="2041658960">
              <w:marLeft w:val="0"/>
              <w:marRight w:val="0"/>
              <w:marTop w:val="0"/>
              <w:marBottom w:val="0"/>
              <w:divBdr>
                <w:top w:val="none" w:sz="0" w:space="0" w:color="auto"/>
                <w:left w:val="none" w:sz="0" w:space="0" w:color="auto"/>
                <w:bottom w:val="none" w:sz="0" w:space="0" w:color="auto"/>
                <w:right w:val="none" w:sz="0" w:space="0" w:color="auto"/>
              </w:divBdr>
              <w:divsChild>
                <w:div w:id="1440831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footer" Target="footer2.xml"/><Relationship Id="rId26" Type="http://schemas.openxmlformats.org/officeDocument/2006/relationships/hyperlink" Target="https://www.acma.gov.au/research-program" TargetMode="External"/><Relationship Id="rId39" Type="http://schemas.openxmlformats.org/officeDocument/2006/relationships/footer" Target="footer7.xml"/><Relationship Id="rId3" Type="http://schemas.openxmlformats.org/officeDocument/2006/relationships/styles" Target="styles.xml"/><Relationship Id="rId21" Type="http://schemas.openxmlformats.org/officeDocument/2006/relationships/header" Target="header6.xml"/><Relationship Id="rId34" Type="http://schemas.openxmlformats.org/officeDocument/2006/relationships/image" Target="media/image7.png"/><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i.creativecommons.org/l/by/3.0/88x31.png" TargetMode="External"/><Relationship Id="rId17" Type="http://schemas.openxmlformats.org/officeDocument/2006/relationships/header" Target="header4.xml"/><Relationship Id="rId25" Type="http://schemas.openxmlformats.org/officeDocument/2006/relationships/hyperlink" Target="https://www.acma.gov.au/compliance-priorities" TargetMode="External"/><Relationship Id="rId33" Type="http://schemas.openxmlformats.org/officeDocument/2006/relationships/hyperlink" Target="https://www.playamo38.com/" TargetMode="External"/><Relationship Id="rId38"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chart" Target="charts/chart1.xm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6.xml"/><Relationship Id="rId32" Type="http://schemas.openxmlformats.org/officeDocument/2006/relationships/image" Target="media/image6.png"/><Relationship Id="rId37" Type="http://schemas.openxmlformats.org/officeDocument/2006/relationships/header" Target="header7.xml"/><Relationship Id="rId40"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yperlink" Target="mailto:info@acma.gov.au" TargetMode="External"/><Relationship Id="rId23" Type="http://schemas.openxmlformats.org/officeDocument/2006/relationships/footer" Target="footer5.xml"/><Relationship Id="rId28" Type="http://schemas.openxmlformats.org/officeDocument/2006/relationships/hyperlink" Target="https://www.legislation.gov.au/Details/C2017C00291" TargetMode="External"/><Relationship Id="rId36" Type="http://schemas.openxmlformats.org/officeDocument/2006/relationships/hyperlink" Target="https://www.joefortuneonlinepokies.com/promotions/affiliate-program" TargetMode="External"/><Relationship Id="rId10" Type="http://schemas.openxmlformats.org/officeDocument/2006/relationships/footer" Target="footer1.xml"/><Relationship Id="rId19" Type="http://schemas.openxmlformats.org/officeDocument/2006/relationships/footer" Target="footer3.xml"/><Relationship Id="rId31" Type="http://schemas.openxmlformats.org/officeDocument/2006/relationships/hyperlink" Target="https://www.businessofapps.com/affiliate/gambling/"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creativecommons.org/licenses/by/4.0/" TargetMode="External"/><Relationship Id="rId22" Type="http://schemas.openxmlformats.org/officeDocument/2006/relationships/footer" Target="footer4.xml"/><Relationship Id="rId27" Type="http://schemas.openxmlformats.org/officeDocument/2006/relationships/hyperlink" Target="https://www.acma.gov.au/research-program" TargetMode="External"/><Relationship Id="rId30" Type="http://schemas.openxmlformats.org/officeDocument/2006/relationships/image" Target="media/image5.png"/><Relationship Id="rId35" Type="http://schemas.openxmlformats.org/officeDocument/2006/relationships/image" Target="media/image8.png"/></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aifs.gov.au/agrc/publications/gambling-australia-during-covid-19" TargetMode="External"/><Relationship Id="rId13" Type="http://schemas.openxmlformats.org/officeDocument/2006/relationships/hyperlink" Target="https://affiliate-program.amazon.com.au/help/operating/policies" TargetMode="External"/><Relationship Id="rId18" Type="http://schemas.openxmlformats.org/officeDocument/2006/relationships/hyperlink" Target="https://www.businessofapps.com/affiliate/gambling/" TargetMode="External"/><Relationship Id="rId26" Type="http://schemas.openxmlformats.org/officeDocument/2006/relationships/hyperlink" Target="https://www.facebook.com/pg/bigpokiewinsaustralia/posts/" TargetMode="External"/><Relationship Id="rId39" Type="http://schemas.openxmlformats.org/officeDocument/2006/relationships/hyperlink" Target="https://doi.org/10.1080/14459795.2015.1058409" TargetMode="External"/><Relationship Id="rId3" Type="http://schemas.openxmlformats.org/officeDocument/2006/relationships/hyperlink" Target="http://www.savings.com.au" TargetMode="External"/><Relationship Id="rId21" Type="http://schemas.openxmlformats.org/officeDocument/2006/relationships/hyperlink" Target="https://doi.org/10.1371/journal.pone.0049748" TargetMode="External"/><Relationship Id="rId34" Type="http://schemas.openxmlformats.org/officeDocument/2006/relationships/hyperlink" Target="https://doi.org/10.3390/ijerph17030744" TargetMode="External"/><Relationship Id="rId7" Type="http://schemas.openxmlformats.org/officeDocument/2006/relationships/hyperlink" Target="https://aifs.gov.au/agrc/publications/gambling-australia-during-covid-19" TargetMode="External"/><Relationship Id="rId12" Type="http://schemas.openxmlformats.org/officeDocument/2006/relationships/hyperlink" Target="https://www.digitalfodder.com/ebay-affiliate-program/" TargetMode="External"/><Relationship Id="rId17" Type="http://schemas.openxmlformats.org/officeDocument/2006/relationships/hyperlink" Target="https://www.waterhousevc.com/news-archive/may-2021-fund-update" TargetMode="External"/><Relationship Id="rId25" Type="http://schemas.openxmlformats.org/officeDocument/2006/relationships/hyperlink" Target="https://www.joefortuneonlinepokies.com/promotions/affiliate-program" TargetMode="External"/><Relationship Id="rId33" Type="http://schemas.openxmlformats.org/officeDocument/2006/relationships/hyperlink" Target="https://www.gamblingnews.com/news/time2play-will-be-the-new-home-to-twitchs-gambling-streamers/" TargetMode="External"/><Relationship Id="rId38" Type="http://schemas.openxmlformats.org/officeDocument/2006/relationships/hyperlink" Target="https://doi.org/10.1080/14459795.2018.1561923" TargetMode="External"/><Relationship Id="rId2" Type="http://schemas.openxmlformats.org/officeDocument/2006/relationships/hyperlink" Target="https://www.savings.com.au/savings-accounts/gambling-statistics-australia" TargetMode="External"/><Relationship Id="rId16" Type="http://schemas.openxmlformats.org/officeDocument/2006/relationships/hyperlink" Target="https://igamingbusiness.com/gambling-com-groups-revenue-climbs-66-in-q2/" TargetMode="External"/><Relationship Id="rId20" Type="http://schemas.openxmlformats.org/officeDocument/2006/relationships/hyperlink" Target="https://www.theguardian.com/society/2017/aug/31/gambling-industry-third-party-companies-online-casinos" TargetMode="External"/><Relationship Id="rId29" Type="http://schemas.openxmlformats.org/officeDocument/2006/relationships/hyperlink" Target="https://doi.org/10.7717/peerj.9466" TargetMode="External"/><Relationship Id="rId1" Type="http://schemas.openxmlformats.org/officeDocument/2006/relationships/hyperlink" Target="https://www.qgso.qld.gov.au/issues/2646/australian-gambling-statistics-36th-edn-1993-94-2018-19.pdf" TargetMode="External"/><Relationship Id="rId6" Type="http://schemas.openxmlformats.org/officeDocument/2006/relationships/hyperlink" Target="https://responsiblegambling.vic.gov.au/resources/legislation-and-regulation/online-gambling/" TargetMode="External"/><Relationship Id="rId11" Type="http://schemas.openxmlformats.org/officeDocument/2006/relationships/hyperlink" Target="https://www.raig.org/news-press/news/lords-select-committee-submission/" TargetMode="External"/><Relationship Id="rId24" Type="http://schemas.openxmlformats.org/officeDocument/2006/relationships/hyperlink" Target="https://www.globenewswire.com/news-release/2021/04/07/2206309/0/en/10-Best-Online-Casinos-in-Australia-List-of-Real-Money-Pokies-Sites-Rated-By-Users-and-Popularity.html" TargetMode="External"/><Relationship Id="rId32" Type="http://schemas.openxmlformats.org/officeDocument/2006/relationships/hyperlink" Target="https://au.finance.yahoo.com/news/twitch-gambling-streamers-home-time2play-121500590.html" TargetMode="External"/><Relationship Id="rId37" Type="http://schemas.openxmlformats.org/officeDocument/2006/relationships/hyperlink" Target="https://doi.org/10.1007/s10899-015-9525-2" TargetMode="External"/><Relationship Id="rId5" Type="http://schemas.openxmlformats.org/officeDocument/2006/relationships/hyperlink" Target="https://www.legislation.gov.au/Details/C2020C00027" TargetMode="External"/><Relationship Id="rId15" Type="http://schemas.openxmlformats.org/officeDocument/2006/relationships/hyperlink" Target="https://www.adorebeauty.com.au/affiliates.html" TargetMode="External"/><Relationship Id="rId23" Type="http://schemas.openxmlformats.org/officeDocument/2006/relationships/hyperlink" Target="https://www.casinoshortlist.org/editorial/best-vpns-for-australian-online-casinos.asp" TargetMode="External"/><Relationship Id="rId28" Type="http://schemas.openxmlformats.org/officeDocument/2006/relationships/hyperlink" Target="https://theconversation.com/gambling-live-streams-on-twitch-what-are-they-and-why-do-they-matter-167005" TargetMode="External"/><Relationship Id="rId36" Type="http://schemas.openxmlformats.org/officeDocument/2006/relationships/hyperlink" Target="https://doi.org/10.1007/s10899-019-09879-4" TargetMode="External"/><Relationship Id="rId10" Type="http://schemas.openxmlformats.org/officeDocument/2006/relationships/hyperlink" Target="https://doi.org/10.1080/14459795.2020.1718737" TargetMode="External"/><Relationship Id="rId19" Type="http://schemas.openxmlformats.org/officeDocument/2006/relationships/hyperlink" Target="https://doi.org/10.1080/14459795.2018.1561923" TargetMode="External"/><Relationship Id="rId31" Type="http://schemas.openxmlformats.org/officeDocument/2006/relationships/hyperlink" Target="https://www.wired.com/story/twitch-streamers-crypto-gambling-boom/" TargetMode="External"/><Relationship Id="rId4" Type="http://schemas.openxmlformats.org/officeDocument/2006/relationships/hyperlink" Target="https://www.statista.com/topics/7611/gambling-in-australia/" TargetMode="External"/><Relationship Id="rId9" Type="http://schemas.openxmlformats.org/officeDocument/2006/relationships/hyperlink" Target="https://www.tandfonline.com/doi/abs/10.1080/14459795.2020.1718737?journalCode=rigs20" TargetMode="External"/><Relationship Id="rId14" Type="http://schemas.openxmlformats.org/officeDocument/2006/relationships/hyperlink" Target="https://www.digitalfodder.com/ebay-affiliate-program/" TargetMode="External"/><Relationship Id="rId22" Type="http://schemas.openxmlformats.org/officeDocument/2006/relationships/hyperlink" Target="http://sarahenterprisesltd.com/all-australian-affiliates/" TargetMode="External"/><Relationship Id="rId27" Type="http://schemas.openxmlformats.org/officeDocument/2006/relationships/hyperlink" Target="https://www.kotaku.com.au/2020/09/twitch-aussie-streamers-online-pokies-casino-streamers/" TargetMode="External"/><Relationship Id="rId30" Type="http://schemas.openxmlformats.org/officeDocument/2006/relationships/hyperlink" Target="file:///C:/Users/jknowle/AppData/Local/Microsoft/Windows/INetCache/Content.Outlook/G2VY1GQ6/,%20https:/www.cdcgamingreports.com/commentaries/tottenham-report-twitch-cracks-down-on-gambling-affiliates/" TargetMode="External"/><Relationship Id="rId35" Type="http://schemas.openxmlformats.org/officeDocument/2006/relationships/hyperlink" Target="https://doi.org/10.1186/s12889-021-10805-w"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spPr>
            <a:ln w="28575" cap="rnd">
              <a:solidFill>
                <a:schemeClr val="accent1"/>
              </a:solidFill>
              <a:round/>
            </a:ln>
            <a:effectLst/>
          </c:spPr>
          <c:marker>
            <c:symbol val="none"/>
          </c:marker>
          <c:dLbls>
            <c:dLbl>
              <c:idx val="0"/>
              <c:layout>
                <c:manualLayout>
                  <c:x val="-4.4444444444444446E-2"/>
                  <c:y val="7.042253521126756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2909-4A60-B42F-5EB0C9CD69AC}"/>
                </c:ext>
              </c:extLst>
            </c:dLbl>
            <c:dLbl>
              <c:idx val="1"/>
              <c:layout>
                <c:manualLayout>
                  <c:x val="-3.3333333333333333E-2"/>
                  <c:y val="7.042253521126760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2909-4A60-B42F-5EB0C9CD69AC}"/>
                </c:ext>
              </c:extLst>
            </c:dLbl>
            <c:dLbl>
              <c:idx val="2"/>
              <c:layout>
                <c:manualLayout>
                  <c:x val="-3.3333333333333333E-2"/>
                  <c:y val="7.042253521126760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2909-4A60-B42F-5EB0C9CD69AC}"/>
                </c:ext>
              </c:extLst>
            </c:dLbl>
            <c:dLbl>
              <c:idx val="3"/>
              <c:layout>
                <c:manualLayout>
                  <c:x val="-3.888888888888889E-2"/>
                  <c:y val="7.042253521126760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2909-4A60-B42F-5EB0C9CD69AC}"/>
                </c:ext>
              </c:extLst>
            </c:dLbl>
            <c:dLbl>
              <c:idx val="4"/>
              <c:layout>
                <c:manualLayout>
                  <c:x val="-3.3744828800281665E-2"/>
                  <c:y val="7.0422535211267595E-2"/>
                </c:manualLayout>
              </c:layout>
              <c:tx>
                <c:rich>
                  <a:bodyPr rot="0" spcFirstLastPara="1" vertOverflow="ellipsis" vert="horz" wrap="square" anchor="ctr" anchorCtr="1"/>
                  <a:lstStyle/>
                  <a:p>
                    <a:pPr>
                      <a:defRPr lang="en-US" sz="900" b="0" i="0" u="none" strike="noStrike" kern="1200" baseline="0">
                        <a:solidFill>
                          <a:schemeClr val="tx1">
                            <a:lumMod val="75000"/>
                            <a:lumOff val="25000"/>
                          </a:schemeClr>
                        </a:solidFill>
                        <a:latin typeface="+mn-lt"/>
                        <a:ea typeface="+mn-ea"/>
                        <a:cs typeface="+mn-cs"/>
                      </a:defRPr>
                    </a:pPr>
                    <a:fld id="{DA2A9528-AB4C-4082-99EB-D959773AD6D8}" type="VALUE">
                      <a:rPr lang="en-US"/>
                      <a:pPr>
                        <a:defRPr/>
                      </a:pPr>
                      <a:t>[VALUE]</a:t>
                    </a:fld>
                    <a:r>
                      <a:rPr lang="en-US">
                        <a:solidFill>
                          <a:srgbClr val="00B050"/>
                        </a:solidFill>
                        <a:sym typeface="Wingdings" panose="05000000000000000000" pitchFamily="2" charset="2"/>
                      </a:rPr>
                      <a:t></a:t>
                    </a:r>
                  </a:p>
                </c:rich>
              </c:tx>
              <c:numFmt formatCode="0%" sourceLinked="0"/>
              <c:spPr>
                <a:noFill/>
                <a:ln>
                  <a:noFill/>
                </a:ln>
                <a:effectLst/>
              </c:spPr>
              <c:txPr>
                <a:bodyPr rot="0" spcFirstLastPara="1" vertOverflow="ellipsis" vert="horz" wrap="square" anchor="ctr" anchorCtr="1"/>
                <a:lstStyle/>
                <a:p>
                  <a:pPr>
                    <a:defRPr lang="en-US"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9.7068919989437549E-2"/>
                      <c:h val="0.1174739381168903"/>
                    </c:manualLayout>
                  </c15:layout>
                  <c15:dlblFieldTable/>
                  <c15:showDataLabelsRange val="0"/>
                </c:ext>
                <c:ext xmlns:c16="http://schemas.microsoft.com/office/drawing/2014/chart" uri="{C3380CC4-5D6E-409C-BE32-E72D297353CC}">
                  <c16:uniqueId val="{00000004-2909-4A60-B42F-5EB0C9CD69AC}"/>
                </c:ext>
              </c:extLst>
            </c:dLbl>
            <c:spPr>
              <a:noFill/>
              <a:ln>
                <a:noFill/>
              </a:ln>
              <a:effectLst/>
            </c:spPr>
            <c:txPr>
              <a:bodyPr rot="0" spcFirstLastPara="1" vertOverflow="ellipsis" vert="horz" wrap="square" anchor="ctr" anchorCtr="1"/>
              <a:lstStyle/>
              <a:p>
                <a:pPr>
                  <a:defRPr lang="en-US"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'QD8. Online g by Study year'!$B$2:$F$2</c:f>
              <c:strCache>
                <c:ptCount val="5"/>
                <c:pt idx="0">
                  <c:v>2017</c:v>
                </c:pt>
                <c:pt idx="1">
                  <c:v>2018</c:v>
                </c:pt>
                <c:pt idx="2">
                  <c:v>2019</c:v>
                </c:pt>
                <c:pt idx="3">
                  <c:v>2020</c:v>
                </c:pt>
                <c:pt idx="4">
                  <c:v>2021</c:v>
                </c:pt>
              </c:strCache>
            </c:strRef>
          </c:cat>
          <c:val>
            <c:numRef>
              <c:f>'QD8. Online g by Study year'!$B$3:$F$3</c:f>
              <c:numCache>
                <c:formatCode>0%\ \ \ \ \ \ \ \ </c:formatCode>
                <c:ptCount val="5"/>
                <c:pt idx="0">
                  <c:v>8.0969057716669998E-2</c:v>
                </c:pt>
                <c:pt idx="1">
                  <c:v>7.4732442915559999E-2</c:v>
                </c:pt>
                <c:pt idx="2">
                  <c:v>8.4640475649080005E-2</c:v>
                </c:pt>
                <c:pt idx="3">
                  <c:v>8.1763268820069998E-2</c:v>
                </c:pt>
                <c:pt idx="4" formatCode="0%\ \↑">
                  <c:v>0.1109364954518</c:v>
                </c:pt>
              </c:numCache>
            </c:numRef>
          </c:val>
          <c:smooth val="0"/>
          <c:extLst>
            <c:ext xmlns:c16="http://schemas.microsoft.com/office/drawing/2014/chart" uri="{C3380CC4-5D6E-409C-BE32-E72D297353CC}">
              <c16:uniqueId val="{00000005-2909-4A60-B42F-5EB0C9CD69AC}"/>
            </c:ext>
          </c:extLst>
        </c:ser>
        <c:dLbls>
          <c:showLegendKey val="0"/>
          <c:showVal val="0"/>
          <c:showCatName val="0"/>
          <c:showSerName val="0"/>
          <c:showPercent val="0"/>
          <c:showBubbleSize val="0"/>
        </c:dLbls>
        <c:smooth val="0"/>
        <c:axId val="452844184"/>
        <c:axId val="452841888"/>
      </c:lineChart>
      <c:catAx>
        <c:axId val="4528441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endParaRPr lang="en-US"/>
          </a:p>
        </c:txPr>
        <c:crossAx val="452841888"/>
        <c:crosses val="autoZero"/>
        <c:auto val="1"/>
        <c:lblAlgn val="ctr"/>
        <c:lblOffset val="100"/>
        <c:noMultiLvlLbl val="0"/>
      </c:catAx>
      <c:valAx>
        <c:axId val="452841888"/>
        <c:scaling>
          <c:orientation val="minMax"/>
        </c:scaling>
        <c:delete val="1"/>
        <c:axPos val="l"/>
        <c:numFmt formatCode="0%\ \ \ \ \ \ \ \ " sourceLinked="1"/>
        <c:majorTickMark val="none"/>
        <c:minorTickMark val="none"/>
        <c:tickLblPos val="nextTo"/>
        <c:crossAx val="452844184"/>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lang="en-US"/>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ACMA Powerpoint template colours">
    <a:dk1>
      <a:srgbClr val="262626"/>
    </a:dk1>
    <a:lt1>
      <a:srgbClr val="FFFFFF"/>
    </a:lt1>
    <a:dk2>
      <a:srgbClr val="262626"/>
    </a:dk2>
    <a:lt2>
      <a:srgbClr val="262626"/>
    </a:lt2>
    <a:accent1>
      <a:srgbClr val="39457C"/>
    </a:accent1>
    <a:accent2>
      <a:srgbClr val="7C426F"/>
    </a:accent2>
    <a:accent3>
      <a:srgbClr val="00A0A4"/>
    </a:accent3>
    <a:accent4>
      <a:srgbClr val="436AB3"/>
    </a:accent4>
    <a:accent5>
      <a:srgbClr val="AA5589"/>
    </a:accent5>
    <a:accent6>
      <a:srgbClr val="1EBCBE"/>
    </a:accent6>
    <a:hlink>
      <a:srgbClr val="666666"/>
    </a:hlink>
    <a:folHlink>
      <a:srgbClr val="666666"/>
    </a:folHlink>
  </a:clrScheme>
  <a:fontScheme name="ACMA_PPTemplate_2 FA (2)">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AE9BF3-CD96-4984-85F0-FDBB32ED0D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4786</Words>
  <Characters>27284</Characters>
  <Application>Microsoft Office Word</Application>
  <DocSecurity>0</DocSecurity>
  <Lines>227</Lines>
  <Paragraphs>64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32006</CharactersWithSpaces>
  <SharedDoc>false</SharedDoc>
  <HyperlinkBase/>
  <HLinks>
    <vt:vector size="288" baseType="variant">
      <vt:variant>
        <vt:i4>2687026</vt:i4>
      </vt:variant>
      <vt:variant>
        <vt:i4>78</vt:i4>
      </vt:variant>
      <vt:variant>
        <vt:i4>0</vt:i4>
      </vt:variant>
      <vt:variant>
        <vt:i4>5</vt:i4>
      </vt:variant>
      <vt:variant>
        <vt:lpwstr>https://www.joefortuneonlinepokies.com/promotions/affiliate-program</vt:lpwstr>
      </vt:variant>
      <vt:variant>
        <vt:lpwstr/>
      </vt:variant>
      <vt:variant>
        <vt:i4>7143529</vt:i4>
      </vt:variant>
      <vt:variant>
        <vt:i4>75</vt:i4>
      </vt:variant>
      <vt:variant>
        <vt:i4>0</vt:i4>
      </vt:variant>
      <vt:variant>
        <vt:i4>5</vt:i4>
      </vt:variant>
      <vt:variant>
        <vt:lpwstr>https://www.playamo38.com/</vt:lpwstr>
      </vt:variant>
      <vt:variant>
        <vt:lpwstr/>
      </vt:variant>
      <vt:variant>
        <vt:i4>6357100</vt:i4>
      </vt:variant>
      <vt:variant>
        <vt:i4>72</vt:i4>
      </vt:variant>
      <vt:variant>
        <vt:i4>0</vt:i4>
      </vt:variant>
      <vt:variant>
        <vt:i4>5</vt:i4>
      </vt:variant>
      <vt:variant>
        <vt:lpwstr>https://www.businessofapps.com/affiliate/gambling/</vt:lpwstr>
      </vt:variant>
      <vt:variant>
        <vt:lpwstr/>
      </vt:variant>
      <vt:variant>
        <vt:i4>7602223</vt:i4>
      </vt:variant>
      <vt:variant>
        <vt:i4>69</vt:i4>
      </vt:variant>
      <vt:variant>
        <vt:i4>0</vt:i4>
      </vt:variant>
      <vt:variant>
        <vt:i4>5</vt:i4>
      </vt:variant>
      <vt:variant>
        <vt:lpwstr>https://www.legislation.gov.au/Details/C2017C00291</vt:lpwstr>
      </vt:variant>
      <vt:variant>
        <vt:lpwstr/>
      </vt:variant>
      <vt:variant>
        <vt:i4>983052</vt:i4>
      </vt:variant>
      <vt:variant>
        <vt:i4>66</vt:i4>
      </vt:variant>
      <vt:variant>
        <vt:i4>0</vt:i4>
      </vt:variant>
      <vt:variant>
        <vt:i4>5</vt:i4>
      </vt:variant>
      <vt:variant>
        <vt:lpwstr>https://www.acma.gov.au/research-program</vt:lpwstr>
      </vt:variant>
      <vt:variant>
        <vt:lpwstr/>
      </vt:variant>
      <vt:variant>
        <vt:i4>983052</vt:i4>
      </vt:variant>
      <vt:variant>
        <vt:i4>63</vt:i4>
      </vt:variant>
      <vt:variant>
        <vt:i4>0</vt:i4>
      </vt:variant>
      <vt:variant>
        <vt:i4>5</vt:i4>
      </vt:variant>
      <vt:variant>
        <vt:lpwstr>https://www.acma.gov.au/research-program</vt:lpwstr>
      </vt:variant>
      <vt:variant>
        <vt:lpwstr/>
      </vt:variant>
      <vt:variant>
        <vt:i4>1179654</vt:i4>
      </vt:variant>
      <vt:variant>
        <vt:i4>60</vt:i4>
      </vt:variant>
      <vt:variant>
        <vt:i4>0</vt:i4>
      </vt:variant>
      <vt:variant>
        <vt:i4>5</vt:i4>
      </vt:variant>
      <vt:variant>
        <vt:lpwstr>https://www.acma.gov.au/compliance-priorities</vt:lpwstr>
      </vt:variant>
      <vt:variant>
        <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852036</vt:i4>
      </vt:variant>
      <vt:variant>
        <vt:i4>114</vt:i4>
      </vt:variant>
      <vt:variant>
        <vt:i4>0</vt:i4>
      </vt:variant>
      <vt:variant>
        <vt:i4>5</vt:i4>
      </vt:variant>
      <vt:variant>
        <vt:lpwstr>https://doi.org/10.1080/14459795.2015.1058409</vt:lpwstr>
      </vt:variant>
      <vt:variant>
        <vt:lpwstr/>
      </vt:variant>
      <vt:variant>
        <vt:i4>196679</vt:i4>
      </vt:variant>
      <vt:variant>
        <vt:i4>111</vt:i4>
      </vt:variant>
      <vt:variant>
        <vt:i4>0</vt:i4>
      </vt:variant>
      <vt:variant>
        <vt:i4>5</vt:i4>
      </vt:variant>
      <vt:variant>
        <vt:lpwstr>https://doi.org/10.1080/14459795.2018.1561923</vt:lpwstr>
      </vt:variant>
      <vt:variant>
        <vt:lpwstr/>
      </vt:variant>
      <vt:variant>
        <vt:i4>22</vt:i4>
      </vt:variant>
      <vt:variant>
        <vt:i4>108</vt:i4>
      </vt:variant>
      <vt:variant>
        <vt:i4>0</vt:i4>
      </vt:variant>
      <vt:variant>
        <vt:i4>5</vt:i4>
      </vt:variant>
      <vt:variant>
        <vt:lpwstr>https://doi.org/10.1007/s10899-015-9525-2</vt:lpwstr>
      </vt:variant>
      <vt:variant>
        <vt:lpwstr/>
      </vt:variant>
      <vt:variant>
        <vt:i4>3080245</vt:i4>
      </vt:variant>
      <vt:variant>
        <vt:i4>105</vt:i4>
      </vt:variant>
      <vt:variant>
        <vt:i4>0</vt:i4>
      </vt:variant>
      <vt:variant>
        <vt:i4>5</vt:i4>
      </vt:variant>
      <vt:variant>
        <vt:lpwstr>https://doi.org/10.1007/s10899-019-09879-4</vt:lpwstr>
      </vt:variant>
      <vt:variant>
        <vt:lpwstr/>
      </vt:variant>
      <vt:variant>
        <vt:i4>6357051</vt:i4>
      </vt:variant>
      <vt:variant>
        <vt:i4>102</vt:i4>
      </vt:variant>
      <vt:variant>
        <vt:i4>0</vt:i4>
      </vt:variant>
      <vt:variant>
        <vt:i4>5</vt:i4>
      </vt:variant>
      <vt:variant>
        <vt:lpwstr>https://doi.org/10.1186/s12889-021-10805-w</vt:lpwstr>
      </vt:variant>
      <vt:variant>
        <vt:lpwstr/>
      </vt:variant>
      <vt:variant>
        <vt:i4>7274528</vt:i4>
      </vt:variant>
      <vt:variant>
        <vt:i4>99</vt:i4>
      </vt:variant>
      <vt:variant>
        <vt:i4>0</vt:i4>
      </vt:variant>
      <vt:variant>
        <vt:i4>5</vt:i4>
      </vt:variant>
      <vt:variant>
        <vt:lpwstr>https://doi.org/10.3390/ijerph17030744</vt:lpwstr>
      </vt:variant>
      <vt:variant>
        <vt:lpwstr/>
      </vt:variant>
      <vt:variant>
        <vt:i4>7471149</vt:i4>
      </vt:variant>
      <vt:variant>
        <vt:i4>96</vt:i4>
      </vt:variant>
      <vt:variant>
        <vt:i4>0</vt:i4>
      </vt:variant>
      <vt:variant>
        <vt:i4>5</vt:i4>
      </vt:variant>
      <vt:variant>
        <vt:lpwstr>https://www.gamblingnews.com/news/time2play-will-be-the-new-home-to-twitchs-gambling-streamers/</vt:lpwstr>
      </vt:variant>
      <vt:variant>
        <vt:lpwstr/>
      </vt:variant>
      <vt:variant>
        <vt:i4>4718680</vt:i4>
      </vt:variant>
      <vt:variant>
        <vt:i4>93</vt:i4>
      </vt:variant>
      <vt:variant>
        <vt:i4>0</vt:i4>
      </vt:variant>
      <vt:variant>
        <vt:i4>5</vt:i4>
      </vt:variant>
      <vt:variant>
        <vt:lpwstr>https://au.finance.yahoo.com/news/twitch-gambling-streamers-home-time2play-121500590.html</vt:lpwstr>
      </vt:variant>
      <vt:variant>
        <vt:lpwstr/>
      </vt:variant>
      <vt:variant>
        <vt:i4>7471216</vt:i4>
      </vt:variant>
      <vt:variant>
        <vt:i4>90</vt:i4>
      </vt:variant>
      <vt:variant>
        <vt:i4>0</vt:i4>
      </vt:variant>
      <vt:variant>
        <vt:i4>5</vt:i4>
      </vt:variant>
      <vt:variant>
        <vt:lpwstr>https://www.wired.com/story/twitch-streamers-crypto-gambling-boom/</vt:lpwstr>
      </vt:variant>
      <vt:variant>
        <vt:lpwstr/>
      </vt:variant>
      <vt:variant>
        <vt:i4>5177365</vt:i4>
      </vt:variant>
      <vt:variant>
        <vt:i4>87</vt:i4>
      </vt:variant>
      <vt:variant>
        <vt:i4>0</vt:i4>
      </vt:variant>
      <vt:variant>
        <vt:i4>5</vt:i4>
      </vt:variant>
      <vt:variant>
        <vt:lpwstr>C:\Users\jknowle\AppData\Local\Microsoft\Windows\INetCache\Content.Outlook\G2VY1GQ6\, https:\www.cdcgamingreports.com\commentaries\tottenham-report-twitch-cracks-down-on-gambling-affiliates\</vt:lpwstr>
      </vt:variant>
      <vt:variant>
        <vt:lpwstr/>
      </vt:variant>
      <vt:variant>
        <vt:i4>3080234</vt:i4>
      </vt:variant>
      <vt:variant>
        <vt:i4>84</vt:i4>
      </vt:variant>
      <vt:variant>
        <vt:i4>0</vt:i4>
      </vt:variant>
      <vt:variant>
        <vt:i4>5</vt:i4>
      </vt:variant>
      <vt:variant>
        <vt:lpwstr>https://doi.org/10.7717/peerj.9466</vt:lpwstr>
      </vt:variant>
      <vt:variant>
        <vt:lpwstr/>
      </vt:variant>
      <vt:variant>
        <vt:i4>6357040</vt:i4>
      </vt:variant>
      <vt:variant>
        <vt:i4>81</vt:i4>
      </vt:variant>
      <vt:variant>
        <vt:i4>0</vt:i4>
      </vt:variant>
      <vt:variant>
        <vt:i4>5</vt:i4>
      </vt:variant>
      <vt:variant>
        <vt:lpwstr>https://theconversation.com/gambling-live-streams-on-twitch-what-are-they-and-why-do-they-matter-167005</vt:lpwstr>
      </vt:variant>
      <vt:variant>
        <vt:lpwstr/>
      </vt:variant>
      <vt:variant>
        <vt:i4>5373974</vt:i4>
      </vt:variant>
      <vt:variant>
        <vt:i4>78</vt:i4>
      </vt:variant>
      <vt:variant>
        <vt:i4>0</vt:i4>
      </vt:variant>
      <vt:variant>
        <vt:i4>5</vt:i4>
      </vt:variant>
      <vt:variant>
        <vt:lpwstr>https://www.kotaku.com.au/2020/09/twitch-aussie-streamers-online-pokies-casino-streamers/</vt:lpwstr>
      </vt:variant>
      <vt:variant>
        <vt:lpwstr/>
      </vt:variant>
      <vt:variant>
        <vt:i4>393286</vt:i4>
      </vt:variant>
      <vt:variant>
        <vt:i4>75</vt:i4>
      </vt:variant>
      <vt:variant>
        <vt:i4>0</vt:i4>
      </vt:variant>
      <vt:variant>
        <vt:i4>5</vt:i4>
      </vt:variant>
      <vt:variant>
        <vt:lpwstr>https://www.facebook.com/pg/bigpokiewinsaustralia/posts/</vt:lpwstr>
      </vt:variant>
      <vt:variant>
        <vt:lpwstr/>
      </vt:variant>
      <vt:variant>
        <vt:i4>2687026</vt:i4>
      </vt:variant>
      <vt:variant>
        <vt:i4>72</vt:i4>
      </vt:variant>
      <vt:variant>
        <vt:i4>0</vt:i4>
      </vt:variant>
      <vt:variant>
        <vt:i4>5</vt:i4>
      </vt:variant>
      <vt:variant>
        <vt:lpwstr>https://www.joefortuneonlinepokies.com/promotions/affiliate-program</vt:lpwstr>
      </vt:variant>
      <vt:variant>
        <vt:lpwstr/>
      </vt:variant>
      <vt:variant>
        <vt:i4>131153</vt:i4>
      </vt:variant>
      <vt:variant>
        <vt:i4>69</vt:i4>
      </vt:variant>
      <vt:variant>
        <vt:i4>0</vt:i4>
      </vt:variant>
      <vt:variant>
        <vt:i4>5</vt:i4>
      </vt:variant>
      <vt:variant>
        <vt:lpwstr>https://www.globenewswire.com/news-release/2021/04/07/2206309/0/en/10-Best-Online-Casinos-in-Australia-List-of-Real-Money-Pokies-Sites-Rated-By-Users-and-Popularity.html</vt:lpwstr>
      </vt:variant>
      <vt:variant>
        <vt:lpwstr/>
      </vt:variant>
      <vt:variant>
        <vt:i4>917568</vt:i4>
      </vt:variant>
      <vt:variant>
        <vt:i4>66</vt:i4>
      </vt:variant>
      <vt:variant>
        <vt:i4>0</vt:i4>
      </vt:variant>
      <vt:variant>
        <vt:i4>5</vt:i4>
      </vt:variant>
      <vt:variant>
        <vt:lpwstr>https://www.casinoshortlist.org/editorial/best-vpns-for-australian-online-casinos.asp</vt:lpwstr>
      </vt:variant>
      <vt:variant>
        <vt:lpwstr/>
      </vt:variant>
      <vt:variant>
        <vt:i4>2031691</vt:i4>
      </vt:variant>
      <vt:variant>
        <vt:i4>63</vt:i4>
      </vt:variant>
      <vt:variant>
        <vt:i4>0</vt:i4>
      </vt:variant>
      <vt:variant>
        <vt:i4>5</vt:i4>
      </vt:variant>
      <vt:variant>
        <vt:lpwstr>http://sarahenterprisesltd.com/all-australian-affiliates/</vt:lpwstr>
      </vt:variant>
      <vt:variant>
        <vt:lpwstr/>
      </vt:variant>
      <vt:variant>
        <vt:i4>4653128</vt:i4>
      </vt:variant>
      <vt:variant>
        <vt:i4>60</vt:i4>
      </vt:variant>
      <vt:variant>
        <vt:i4>0</vt:i4>
      </vt:variant>
      <vt:variant>
        <vt:i4>5</vt:i4>
      </vt:variant>
      <vt:variant>
        <vt:lpwstr>https://doi.org/10.1371/journal.pone.0049748</vt:lpwstr>
      </vt:variant>
      <vt:variant>
        <vt:lpwstr/>
      </vt:variant>
      <vt:variant>
        <vt:i4>7864439</vt:i4>
      </vt:variant>
      <vt:variant>
        <vt:i4>57</vt:i4>
      </vt:variant>
      <vt:variant>
        <vt:i4>0</vt:i4>
      </vt:variant>
      <vt:variant>
        <vt:i4>5</vt:i4>
      </vt:variant>
      <vt:variant>
        <vt:lpwstr>https://www.theguardian.com/society/2017/aug/31/gambling-industry-third-party-companies-online-casinos</vt:lpwstr>
      </vt:variant>
      <vt:variant>
        <vt:lpwstr/>
      </vt:variant>
      <vt:variant>
        <vt:i4>196679</vt:i4>
      </vt:variant>
      <vt:variant>
        <vt:i4>54</vt:i4>
      </vt:variant>
      <vt:variant>
        <vt:i4>0</vt:i4>
      </vt:variant>
      <vt:variant>
        <vt:i4>5</vt:i4>
      </vt:variant>
      <vt:variant>
        <vt:lpwstr>https://doi.org/10.1080/14459795.2018.1561923</vt:lpwstr>
      </vt:variant>
      <vt:variant>
        <vt:lpwstr/>
      </vt:variant>
      <vt:variant>
        <vt:i4>6357100</vt:i4>
      </vt:variant>
      <vt:variant>
        <vt:i4>51</vt:i4>
      </vt:variant>
      <vt:variant>
        <vt:i4>0</vt:i4>
      </vt:variant>
      <vt:variant>
        <vt:i4>5</vt:i4>
      </vt:variant>
      <vt:variant>
        <vt:lpwstr>https://www.businessofapps.com/affiliate/gambling/</vt:lpwstr>
      </vt:variant>
      <vt:variant>
        <vt:lpwstr/>
      </vt:variant>
      <vt:variant>
        <vt:i4>3276896</vt:i4>
      </vt:variant>
      <vt:variant>
        <vt:i4>48</vt:i4>
      </vt:variant>
      <vt:variant>
        <vt:i4>0</vt:i4>
      </vt:variant>
      <vt:variant>
        <vt:i4>5</vt:i4>
      </vt:variant>
      <vt:variant>
        <vt:lpwstr>https://www.waterhousevc.com/news-archive/may-2021-fund-update</vt:lpwstr>
      </vt:variant>
      <vt:variant>
        <vt:lpwstr/>
      </vt:variant>
      <vt:variant>
        <vt:i4>4194395</vt:i4>
      </vt:variant>
      <vt:variant>
        <vt:i4>45</vt:i4>
      </vt:variant>
      <vt:variant>
        <vt:i4>0</vt:i4>
      </vt:variant>
      <vt:variant>
        <vt:i4>5</vt:i4>
      </vt:variant>
      <vt:variant>
        <vt:lpwstr>https://igamingbusiness.com/gambling-com-groups-revenue-climbs-66-in-q2/</vt:lpwstr>
      </vt:variant>
      <vt:variant>
        <vt:lpwstr/>
      </vt:variant>
      <vt:variant>
        <vt:i4>6946918</vt:i4>
      </vt:variant>
      <vt:variant>
        <vt:i4>42</vt:i4>
      </vt:variant>
      <vt:variant>
        <vt:i4>0</vt:i4>
      </vt:variant>
      <vt:variant>
        <vt:i4>5</vt:i4>
      </vt:variant>
      <vt:variant>
        <vt:lpwstr>https://www.adorebeauty.com.au/affiliates.html</vt:lpwstr>
      </vt:variant>
      <vt:variant>
        <vt:lpwstr/>
      </vt:variant>
      <vt:variant>
        <vt:i4>2490388</vt:i4>
      </vt:variant>
      <vt:variant>
        <vt:i4>39</vt:i4>
      </vt:variant>
      <vt:variant>
        <vt:i4>0</vt:i4>
      </vt:variant>
      <vt:variant>
        <vt:i4>5</vt:i4>
      </vt:variant>
      <vt:variant>
        <vt:lpwstr>https://www.digitalfodder.com/ebay-affiliate-program/</vt:lpwstr>
      </vt:variant>
      <vt:variant>
        <vt:lpwstr>Pros_of_the_Program</vt:lpwstr>
      </vt:variant>
      <vt:variant>
        <vt:i4>1900609</vt:i4>
      </vt:variant>
      <vt:variant>
        <vt:i4>36</vt:i4>
      </vt:variant>
      <vt:variant>
        <vt:i4>0</vt:i4>
      </vt:variant>
      <vt:variant>
        <vt:i4>5</vt:i4>
      </vt:variant>
      <vt:variant>
        <vt:lpwstr>https://affiliate-program.amazon.com.au/help/operating/policies</vt:lpwstr>
      </vt:variant>
      <vt:variant>
        <vt:lpwstr>Associates%20Program%20Participation%20Requirements</vt:lpwstr>
      </vt:variant>
      <vt:variant>
        <vt:i4>5505102</vt:i4>
      </vt:variant>
      <vt:variant>
        <vt:i4>33</vt:i4>
      </vt:variant>
      <vt:variant>
        <vt:i4>0</vt:i4>
      </vt:variant>
      <vt:variant>
        <vt:i4>5</vt:i4>
      </vt:variant>
      <vt:variant>
        <vt:lpwstr>https://www.digitalfodder.com/ebay-affiliate-program/</vt:lpwstr>
      </vt:variant>
      <vt:variant>
        <vt:lpwstr/>
      </vt:variant>
      <vt:variant>
        <vt:i4>2359342</vt:i4>
      </vt:variant>
      <vt:variant>
        <vt:i4>30</vt:i4>
      </vt:variant>
      <vt:variant>
        <vt:i4>0</vt:i4>
      </vt:variant>
      <vt:variant>
        <vt:i4>5</vt:i4>
      </vt:variant>
      <vt:variant>
        <vt:lpwstr>https://www.raig.org/news-press/news/lords-select-committee-submission/</vt:lpwstr>
      </vt:variant>
      <vt:variant>
        <vt:lpwstr/>
      </vt:variant>
      <vt:variant>
        <vt:i4>655430</vt:i4>
      </vt:variant>
      <vt:variant>
        <vt:i4>27</vt:i4>
      </vt:variant>
      <vt:variant>
        <vt:i4>0</vt:i4>
      </vt:variant>
      <vt:variant>
        <vt:i4>5</vt:i4>
      </vt:variant>
      <vt:variant>
        <vt:lpwstr>https://doi.org/10.1080/14459795.2020.1718737</vt:lpwstr>
      </vt:variant>
      <vt:variant>
        <vt:lpwstr/>
      </vt:variant>
      <vt:variant>
        <vt:i4>1507403</vt:i4>
      </vt:variant>
      <vt:variant>
        <vt:i4>24</vt:i4>
      </vt:variant>
      <vt:variant>
        <vt:i4>0</vt:i4>
      </vt:variant>
      <vt:variant>
        <vt:i4>5</vt:i4>
      </vt:variant>
      <vt:variant>
        <vt:lpwstr>https://www.tandfonline.com/doi/abs/10.1080/14459795.2020.1718737?journalCode=rigs20</vt:lpwstr>
      </vt:variant>
      <vt:variant>
        <vt:lpwstr/>
      </vt:variant>
      <vt:variant>
        <vt:i4>4522057</vt:i4>
      </vt:variant>
      <vt:variant>
        <vt:i4>21</vt:i4>
      </vt:variant>
      <vt:variant>
        <vt:i4>0</vt:i4>
      </vt:variant>
      <vt:variant>
        <vt:i4>5</vt:i4>
      </vt:variant>
      <vt:variant>
        <vt:lpwstr>https://aifs.gov.au/agrc/publications/gambling-australia-during-covid-19</vt:lpwstr>
      </vt:variant>
      <vt:variant>
        <vt:lpwstr/>
      </vt:variant>
      <vt:variant>
        <vt:i4>4522057</vt:i4>
      </vt:variant>
      <vt:variant>
        <vt:i4>18</vt:i4>
      </vt:variant>
      <vt:variant>
        <vt:i4>0</vt:i4>
      </vt:variant>
      <vt:variant>
        <vt:i4>5</vt:i4>
      </vt:variant>
      <vt:variant>
        <vt:lpwstr>https://aifs.gov.au/agrc/publications/gambling-australia-during-covid-19</vt:lpwstr>
      </vt:variant>
      <vt:variant>
        <vt:lpwstr/>
      </vt:variant>
      <vt:variant>
        <vt:i4>5046273</vt:i4>
      </vt:variant>
      <vt:variant>
        <vt:i4>15</vt:i4>
      </vt:variant>
      <vt:variant>
        <vt:i4>0</vt:i4>
      </vt:variant>
      <vt:variant>
        <vt:i4>5</vt:i4>
      </vt:variant>
      <vt:variant>
        <vt:lpwstr>https://responsiblegambling.vic.gov.au/resources/legislation-and-regulation/online-gambling/</vt:lpwstr>
      </vt:variant>
      <vt:variant>
        <vt:lpwstr/>
      </vt:variant>
      <vt:variant>
        <vt:i4>7798823</vt:i4>
      </vt:variant>
      <vt:variant>
        <vt:i4>12</vt:i4>
      </vt:variant>
      <vt:variant>
        <vt:i4>0</vt:i4>
      </vt:variant>
      <vt:variant>
        <vt:i4>5</vt:i4>
      </vt:variant>
      <vt:variant>
        <vt:lpwstr>https://www.legislation.gov.au/Details/C2020C00027</vt:lpwstr>
      </vt:variant>
      <vt:variant>
        <vt:lpwstr/>
      </vt:variant>
      <vt:variant>
        <vt:i4>3997757</vt:i4>
      </vt:variant>
      <vt:variant>
        <vt:i4>9</vt:i4>
      </vt:variant>
      <vt:variant>
        <vt:i4>0</vt:i4>
      </vt:variant>
      <vt:variant>
        <vt:i4>5</vt:i4>
      </vt:variant>
      <vt:variant>
        <vt:lpwstr>https://www.statista.com/topics/7611/gambling-in-australia/</vt:lpwstr>
      </vt:variant>
      <vt:variant>
        <vt:lpwstr/>
      </vt:variant>
      <vt:variant>
        <vt:i4>7536677</vt:i4>
      </vt:variant>
      <vt:variant>
        <vt:i4>6</vt:i4>
      </vt:variant>
      <vt:variant>
        <vt:i4>0</vt:i4>
      </vt:variant>
      <vt:variant>
        <vt:i4>5</vt:i4>
      </vt:variant>
      <vt:variant>
        <vt:lpwstr>http://www.savings.com.au/</vt:lpwstr>
      </vt:variant>
      <vt:variant>
        <vt:lpwstr/>
      </vt:variant>
      <vt:variant>
        <vt:i4>4980747</vt:i4>
      </vt:variant>
      <vt:variant>
        <vt:i4>3</vt:i4>
      </vt:variant>
      <vt:variant>
        <vt:i4>0</vt:i4>
      </vt:variant>
      <vt:variant>
        <vt:i4>5</vt:i4>
      </vt:variant>
      <vt:variant>
        <vt:lpwstr>https://www.savings.com.au/savings-accounts/gambling-statistics-australia</vt:lpwstr>
      </vt:variant>
      <vt:variant>
        <vt:lpwstr/>
      </vt:variant>
      <vt:variant>
        <vt:i4>3342437</vt:i4>
      </vt:variant>
      <vt:variant>
        <vt:i4>0</vt:i4>
      </vt:variant>
      <vt:variant>
        <vt:i4>0</vt:i4>
      </vt:variant>
      <vt:variant>
        <vt:i4>5</vt:i4>
      </vt:variant>
      <vt:variant>
        <vt:lpwstr>https://www.qgso.qld.gov.au/issues/2646/australian-gambling-statistics-36th-edn-1993-94-2018-19.pdf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2022-02-08T00:04:00Z</dcterms:created>
  <dcterms:modified xsi:type="dcterms:W3CDTF">2022-02-09T01:03:00Z</dcterms:modified>
  <cp:category/>
</cp:coreProperties>
</file>