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F3EC6" w14:textId="4DD1B036" w:rsidR="00F06E14" w:rsidRPr="0077441D" w:rsidRDefault="00A8072C" w:rsidP="001B33B0">
      <w:pPr>
        <w:pStyle w:val="ACMAReportTitle"/>
        <w:spacing w:line="240" w:lineRule="auto"/>
        <w:rPr>
          <w:rFonts w:cs="Arial"/>
        </w:rPr>
      </w:pPr>
      <w:r w:rsidRPr="00337EA4">
        <w:rPr>
          <w:rFonts w:cs="Arial"/>
        </w:rPr>
        <w:t xml:space="preserve">Reconfiguring the </w:t>
      </w:r>
      <w:r w:rsidR="00937F28">
        <w:rPr>
          <w:rFonts w:cs="Arial"/>
        </w:rPr>
        <w:t>900</w:t>
      </w:r>
      <w:r w:rsidR="002908D8">
        <w:rPr>
          <w:rFonts w:cs="Arial"/>
        </w:rPr>
        <w:t> MHz</w:t>
      </w:r>
      <w:r w:rsidRPr="00337EA4">
        <w:rPr>
          <w:rFonts w:cs="Arial"/>
        </w:rPr>
        <w:t xml:space="preserve"> band</w:t>
      </w:r>
    </w:p>
    <w:p w14:paraId="00680C39" w14:textId="5E9E2AB2" w:rsidR="00F06E14" w:rsidRDefault="00C86087" w:rsidP="001B33B0">
      <w:pPr>
        <w:pStyle w:val="ACMAReportSubTitle"/>
        <w:spacing w:line="240" w:lineRule="auto"/>
      </w:pPr>
      <w:r>
        <w:t>Options paper</w:t>
      </w:r>
    </w:p>
    <w:p w14:paraId="32A99577" w14:textId="4AFC29C4" w:rsidR="00F06E14" w:rsidRDefault="001F4027" w:rsidP="00002B6E">
      <w:pPr>
        <w:pStyle w:val="ACMAReportDate"/>
        <w:spacing w:before="120" w:after="120"/>
      </w:pPr>
      <w:r>
        <w:t xml:space="preserve">April </w:t>
      </w:r>
      <w:r w:rsidR="00C86087">
        <w:t>2019</w:t>
      </w:r>
    </w:p>
    <w:p w14:paraId="2ED7B6E5" w14:textId="77777777" w:rsidR="00C97736" w:rsidRPr="000D76E0" w:rsidRDefault="00C97736" w:rsidP="00002B6E">
      <w:pPr>
        <w:spacing w:before="120" w:after="120" w:line="240" w:lineRule="auto"/>
        <w:rPr>
          <w:rFonts w:cs="Arial"/>
        </w:rPr>
      </w:pPr>
    </w:p>
    <w:p w14:paraId="24904E0D" w14:textId="77777777" w:rsidR="00C97736" w:rsidRPr="000D76E0" w:rsidRDefault="00C97736" w:rsidP="00002B6E">
      <w:pPr>
        <w:spacing w:before="120" w:after="120" w:line="240" w:lineRule="auto"/>
        <w:rPr>
          <w:rFonts w:cs="Arial"/>
        </w:rPr>
        <w:sectPr w:rsidR="00C97736" w:rsidRPr="000D76E0" w:rsidSect="004F556E">
          <w:headerReference w:type="default" r:id="rId8"/>
          <w:footerReference w:type="default" r:id="rId9"/>
          <w:headerReference w:type="first" r:id="rId10"/>
          <w:pgSz w:w="11906" w:h="16838" w:code="9"/>
          <w:pgMar w:top="3924" w:right="1797" w:bottom="1440" w:left="1134" w:header="709" w:footer="454" w:gutter="0"/>
          <w:cols w:space="708"/>
          <w:docGrid w:linePitch="360"/>
        </w:sectPr>
      </w:pPr>
    </w:p>
    <w:p w14:paraId="7B933C85" w14:textId="77777777" w:rsidR="007159D7" w:rsidRPr="00F44F3A" w:rsidRDefault="007159D7" w:rsidP="007159D7">
      <w:pPr>
        <w:pStyle w:val="ACMACorporateAddressHeader"/>
      </w:pPr>
      <w:r w:rsidRPr="00F44F3A">
        <w:lastRenderedPageBreak/>
        <w:t>Canberra</w:t>
      </w:r>
    </w:p>
    <w:p w14:paraId="5A85BC8A" w14:textId="77777777" w:rsidR="007159D7" w:rsidRPr="00FC07B9" w:rsidRDefault="007159D7" w:rsidP="007159D7">
      <w:pPr>
        <w:pStyle w:val="ACMACorporateAddresses"/>
      </w:pPr>
      <w:r w:rsidRPr="00FC07B9">
        <w:t xml:space="preserve">Red Building </w:t>
      </w:r>
      <w:r w:rsidRPr="00FC07B9">
        <w:br/>
        <w:t>Benjamin Offices</w:t>
      </w:r>
      <w:r w:rsidRPr="00FC07B9">
        <w:br/>
        <w:t xml:space="preserve">Chan Street </w:t>
      </w:r>
      <w:r w:rsidRPr="00FC07B9">
        <w:br/>
        <w:t>Belconnen ACT</w:t>
      </w:r>
    </w:p>
    <w:p w14:paraId="579EEEA5" w14:textId="77777777" w:rsidR="007159D7" w:rsidRPr="00FC07B9" w:rsidRDefault="007159D7" w:rsidP="007159D7">
      <w:pPr>
        <w:pStyle w:val="ACMACorporateAddresses"/>
      </w:pPr>
      <w:r w:rsidRPr="00FC07B9">
        <w:t>PO Box 78</w:t>
      </w:r>
      <w:r w:rsidRPr="00FC07B9">
        <w:br/>
        <w:t>Belconnen ACT 2616</w:t>
      </w:r>
    </w:p>
    <w:p w14:paraId="07361B18" w14:textId="77777777" w:rsidR="007159D7" w:rsidRPr="00FC07B9" w:rsidRDefault="007159D7" w:rsidP="007159D7">
      <w:pPr>
        <w:pStyle w:val="ACMACorporateAddresses"/>
      </w:pPr>
      <w:r w:rsidRPr="00FC07B9">
        <w:t>T</w:t>
      </w:r>
      <w:r w:rsidRPr="00FC07B9">
        <w:tab/>
        <w:t>+61 2 6219 5555</w:t>
      </w:r>
      <w:r w:rsidRPr="00FC07B9">
        <w:br/>
        <w:t>F</w:t>
      </w:r>
      <w:r w:rsidRPr="00FC07B9">
        <w:tab/>
        <w:t>+61 2 6219 5353</w:t>
      </w:r>
    </w:p>
    <w:p w14:paraId="41BA1174" w14:textId="77777777" w:rsidR="007159D7" w:rsidRPr="00F44F3A" w:rsidRDefault="007159D7" w:rsidP="007159D7">
      <w:pPr>
        <w:pStyle w:val="ACMACorporateAddressHeader"/>
      </w:pPr>
      <w:r w:rsidRPr="00F44F3A">
        <w:t>Melbourne</w:t>
      </w:r>
    </w:p>
    <w:p w14:paraId="1A3C6FA7" w14:textId="77777777" w:rsidR="007159D7" w:rsidRPr="00F44F3A" w:rsidRDefault="007159D7" w:rsidP="007159D7">
      <w:pPr>
        <w:pStyle w:val="ACMACorporateAddresses"/>
      </w:pPr>
      <w:r w:rsidRPr="00F44F3A">
        <w:t xml:space="preserve">Level 32 </w:t>
      </w:r>
      <w:r w:rsidRPr="00F44F3A">
        <w:br/>
        <w:t>Melbourne Central Tower</w:t>
      </w:r>
      <w:r w:rsidRPr="00F44F3A">
        <w:br/>
        <w:t xml:space="preserve">360 Elizabeth Street </w:t>
      </w:r>
      <w:r w:rsidRPr="00F44F3A">
        <w:br/>
        <w:t>Melbourne VIC</w:t>
      </w:r>
    </w:p>
    <w:p w14:paraId="1B940B59" w14:textId="77777777" w:rsidR="007159D7" w:rsidRPr="00F44F3A" w:rsidRDefault="007159D7" w:rsidP="007159D7">
      <w:pPr>
        <w:pStyle w:val="ACMACorporateAddresses"/>
      </w:pPr>
      <w:r w:rsidRPr="00F44F3A">
        <w:t>PO Box 13112</w:t>
      </w:r>
      <w:r w:rsidRPr="00F44F3A">
        <w:br/>
        <w:t xml:space="preserve">Law Courts </w:t>
      </w:r>
      <w:r w:rsidRPr="00F44F3A">
        <w:br/>
        <w:t>Melbourne VIC 8010</w:t>
      </w:r>
    </w:p>
    <w:p w14:paraId="19841938" w14:textId="77777777" w:rsidR="007159D7" w:rsidRPr="00F44F3A" w:rsidRDefault="007159D7" w:rsidP="007159D7">
      <w:pPr>
        <w:pStyle w:val="ACMACorporateAddresses"/>
      </w:pPr>
      <w:r w:rsidRPr="00F44F3A">
        <w:t>T</w:t>
      </w:r>
      <w:r w:rsidRPr="00F44F3A">
        <w:tab/>
        <w:t>+61 3 9963 6800</w:t>
      </w:r>
      <w:r w:rsidRPr="00F44F3A">
        <w:br/>
        <w:t>F</w:t>
      </w:r>
      <w:r w:rsidRPr="00F44F3A">
        <w:tab/>
        <w:t>+61 3 9963 6899</w:t>
      </w:r>
    </w:p>
    <w:p w14:paraId="7BC8428C" w14:textId="77777777" w:rsidR="007159D7" w:rsidRPr="00F44F3A" w:rsidRDefault="007159D7" w:rsidP="007159D7">
      <w:pPr>
        <w:pStyle w:val="ACMACorporateAddressHeader"/>
      </w:pPr>
      <w:r w:rsidRPr="00F44F3A">
        <w:t>Sydney</w:t>
      </w:r>
    </w:p>
    <w:p w14:paraId="4CADE075" w14:textId="77777777" w:rsidR="007159D7" w:rsidRPr="00F44F3A" w:rsidRDefault="007159D7" w:rsidP="007159D7">
      <w:pPr>
        <w:pStyle w:val="ACMACorporateAddresses"/>
      </w:pPr>
      <w:r w:rsidRPr="00F44F3A">
        <w:t xml:space="preserve">Level 5 </w:t>
      </w:r>
      <w:r w:rsidRPr="00F44F3A">
        <w:br/>
        <w:t>The Bay Centre</w:t>
      </w:r>
      <w:r w:rsidRPr="00F44F3A">
        <w:br/>
        <w:t xml:space="preserve">65 Pirrama Road </w:t>
      </w:r>
      <w:r w:rsidRPr="00F44F3A">
        <w:br/>
        <w:t>Pyrmont NSW</w:t>
      </w:r>
    </w:p>
    <w:p w14:paraId="4588BC0D" w14:textId="77777777" w:rsidR="007159D7" w:rsidRPr="00F44F3A" w:rsidRDefault="007159D7" w:rsidP="007159D7">
      <w:pPr>
        <w:pStyle w:val="ACMACorporateAddresses"/>
      </w:pPr>
      <w:r w:rsidRPr="00F44F3A">
        <w:t>PO Box Q500</w:t>
      </w:r>
      <w:r w:rsidRPr="00F44F3A">
        <w:br/>
        <w:t xml:space="preserve">Queen Victoria Building </w:t>
      </w:r>
      <w:r w:rsidRPr="00F44F3A">
        <w:br/>
        <w:t>NSW 1230</w:t>
      </w:r>
    </w:p>
    <w:p w14:paraId="29A30681" w14:textId="77777777" w:rsidR="007159D7" w:rsidRPr="00F44F3A" w:rsidRDefault="007159D7" w:rsidP="007159D7">
      <w:pPr>
        <w:pStyle w:val="ACMACorporateAddresses"/>
      </w:pPr>
      <w:r w:rsidRPr="00F44F3A">
        <w:t>T</w:t>
      </w:r>
      <w:r w:rsidRPr="00F44F3A">
        <w:tab/>
        <w:t>+61 2 9334 7700 or 1800 226 667</w:t>
      </w:r>
      <w:r w:rsidRPr="00F44F3A">
        <w:br/>
        <w:t>F</w:t>
      </w:r>
      <w:r w:rsidRPr="00F44F3A">
        <w:tab/>
        <w:t>+61 2 9334 7799</w:t>
      </w:r>
    </w:p>
    <w:p w14:paraId="6E3D5D26" w14:textId="77777777" w:rsidR="007159D7" w:rsidRPr="006D46E5" w:rsidRDefault="007159D7" w:rsidP="007159D7">
      <w:pPr>
        <w:pStyle w:val="ACMACopyrightHeader"/>
      </w:pPr>
      <w:r w:rsidRPr="00140318">
        <w:t>Copyright notice</w:t>
      </w:r>
    </w:p>
    <w:p w14:paraId="432B7649" w14:textId="77777777" w:rsidR="007159D7" w:rsidRPr="006D46E5" w:rsidRDefault="007159D7" w:rsidP="007159D7">
      <w:pPr>
        <w:pStyle w:val="ACMACClogo"/>
      </w:pPr>
      <w:r w:rsidRPr="00623FF9">
        <w:rPr>
          <w:noProof/>
        </w:rPr>
        <w:drawing>
          <wp:inline distT="0" distB="0" distL="0" distR="0" wp14:anchorId="6FCEC93B" wp14:editId="6B0AC302">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7565B58B" w14:textId="77777777" w:rsidR="007159D7" w:rsidRDefault="00374F2F" w:rsidP="007159D7">
      <w:pPr>
        <w:pStyle w:val="ACMACorporateAddresses"/>
        <w:rPr>
          <w:rStyle w:val="Hyperlink"/>
        </w:rPr>
      </w:pPr>
      <w:hyperlink r:id="rId13" w:history="1">
        <w:r w:rsidR="007159D7">
          <w:rPr>
            <w:rStyle w:val="Hyperlink"/>
          </w:rPr>
          <w:t>https://creativecommons.org/licenses/by/4.0/</w:t>
        </w:r>
      </w:hyperlink>
    </w:p>
    <w:p w14:paraId="59F28C55" w14:textId="77777777" w:rsidR="007159D7" w:rsidRDefault="007159D7" w:rsidP="007159D7">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48FE7604" w14:textId="77777777" w:rsidR="007159D7" w:rsidRDefault="007159D7" w:rsidP="007159D7">
      <w:pPr>
        <w:pStyle w:val="ACMACorporateAddresses"/>
      </w:pPr>
      <w:r>
        <w:t>We request attribution as © Commonwealth of Australia (Australian Communications and Media Authority) 2019.</w:t>
      </w:r>
    </w:p>
    <w:p w14:paraId="650248D3" w14:textId="77777777" w:rsidR="007159D7" w:rsidRDefault="007159D7" w:rsidP="007159D7">
      <w:pPr>
        <w:pStyle w:val="ACMACorporateAddresses"/>
      </w:pPr>
      <w:r>
        <w:t>All other rights are reserved.</w:t>
      </w:r>
    </w:p>
    <w:p w14:paraId="23B0AA89" w14:textId="77777777" w:rsidR="007159D7" w:rsidRDefault="007159D7" w:rsidP="007159D7">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B8B021D" w14:textId="77777777" w:rsidR="007159D7" w:rsidRDefault="007159D7" w:rsidP="007159D7">
      <w:pPr>
        <w:pStyle w:val="ACMACorporateAddresses"/>
      </w:pPr>
      <w:r>
        <w:t>Written enquiries may be sent to:</w:t>
      </w:r>
    </w:p>
    <w:p w14:paraId="2EDD0327" w14:textId="77777777" w:rsidR="007159D7" w:rsidRDefault="007159D7" w:rsidP="007159D7">
      <w:pPr>
        <w:pStyle w:val="ACMACorporateAddresses"/>
        <w:rPr>
          <w:rStyle w:val="Hyperlink"/>
        </w:rPr>
      </w:pPr>
      <w:r>
        <w:t>Manager, Editorial Services</w:t>
      </w:r>
      <w:r>
        <w:br/>
        <w:t>PO Box 13112</w:t>
      </w:r>
      <w:r>
        <w:br/>
        <w:t>Law Courts</w:t>
      </w:r>
      <w:r>
        <w:br/>
        <w:t>Melbourne VIC 8010</w:t>
      </w:r>
      <w:r>
        <w:br/>
        <w:t xml:space="preserve">Email: </w:t>
      </w:r>
      <w:hyperlink r:id="rId14" w:history="1">
        <w:r>
          <w:rPr>
            <w:rStyle w:val="Hyperlink"/>
          </w:rPr>
          <w:t>info@acma.gov.au</w:t>
        </w:r>
      </w:hyperlink>
    </w:p>
    <w:p w14:paraId="38A743A3" w14:textId="77777777" w:rsidR="00D16FE3" w:rsidRPr="00D16FE3" w:rsidRDefault="00D16FE3" w:rsidP="00002B6E">
      <w:pPr>
        <w:pStyle w:val="ACMACorporateAddresses"/>
        <w:spacing w:before="120" w:line="240" w:lineRule="auto"/>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5F5F8A90" w14:textId="70715435" w:rsidR="00576E37" w:rsidRDefault="00765470">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\h \z \t "ACMA_ExecSummaryHeading,1" </w:instrText>
      </w:r>
      <w:r>
        <w:rPr>
          <w:rFonts w:cs="Arial"/>
        </w:rPr>
        <w:fldChar w:fldCharType="separate"/>
      </w:r>
      <w:hyperlink w:anchor="_Toc5870062" w:history="1">
        <w:r w:rsidR="00576E37" w:rsidRPr="00D47DC7">
          <w:rPr>
            <w:rStyle w:val="Hyperlink"/>
          </w:rPr>
          <w:t>Executive summary</w:t>
        </w:r>
        <w:r w:rsidR="00576E37">
          <w:rPr>
            <w:webHidden/>
          </w:rPr>
          <w:tab/>
        </w:r>
        <w:r w:rsidR="00576E37">
          <w:rPr>
            <w:webHidden/>
          </w:rPr>
          <w:fldChar w:fldCharType="begin"/>
        </w:r>
        <w:r w:rsidR="00576E37">
          <w:rPr>
            <w:webHidden/>
          </w:rPr>
          <w:instrText xml:space="preserve"> PAGEREF _Toc5870062 \h </w:instrText>
        </w:r>
        <w:r w:rsidR="00576E37">
          <w:rPr>
            <w:webHidden/>
          </w:rPr>
        </w:r>
        <w:r w:rsidR="00576E37">
          <w:rPr>
            <w:webHidden/>
          </w:rPr>
          <w:fldChar w:fldCharType="separate"/>
        </w:r>
        <w:r w:rsidR="00576E37">
          <w:rPr>
            <w:webHidden/>
          </w:rPr>
          <w:t>4</w:t>
        </w:r>
        <w:r w:rsidR="00576E37">
          <w:rPr>
            <w:webHidden/>
          </w:rPr>
          <w:fldChar w:fldCharType="end"/>
        </w:r>
      </w:hyperlink>
    </w:p>
    <w:p w14:paraId="6F53AB20" w14:textId="7BD90797" w:rsidR="00576E37" w:rsidRDefault="00576E37">
      <w:pPr>
        <w:pStyle w:val="TOC1"/>
        <w:rPr>
          <w:rFonts w:asciiTheme="minorHAnsi" w:eastAsiaTheme="minorEastAsia" w:hAnsiTheme="minorHAnsi" w:cstheme="minorBidi"/>
          <w:b w:val="0"/>
          <w:spacing w:val="0"/>
          <w:sz w:val="22"/>
          <w:szCs w:val="22"/>
        </w:rPr>
      </w:pPr>
      <w:hyperlink w:anchor="_Toc5870063" w:history="1">
        <w:r w:rsidRPr="00D47DC7">
          <w:rPr>
            <w:rStyle w:val="Hyperlink"/>
          </w:rPr>
          <w:t>Summary of issues for comment</w:t>
        </w:r>
        <w:r>
          <w:rPr>
            <w:webHidden/>
          </w:rPr>
          <w:tab/>
        </w:r>
        <w:r>
          <w:rPr>
            <w:webHidden/>
          </w:rPr>
          <w:fldChar w:fldCharType="begin"/>
        </w:r>
        <w:r>
          <w:rPr>
            <w:webHidden/>
          </w:rPr>
          <w:instrText xml:space="preserve"> PAGEREF _Toc5870063 \h </w:instrText>
        </w:r>
        <w:r>
          <w:rPr>
            <w:webHidden/>
          </w:rPr>
        </w:r>
        <w:r>
          <w:rPr>
            <w:webHidden/>
          </w:rPr>
          <w:fldChar w:fldCharType="separate"/>
        </w:r>
        <w:r>
          <w:rPr>
            <w:webHidden/>
          </w:rPr>
          <w:t>7</w:t>
        </w:r>
        <w:r>
          <w:rPr>
            <w:webHidden/>
          </w:rPr>
          <w:fldChar w:fldCharType="end"/>
        </w:r>
      </w:hyperlink>
    </w:p>
    <w:p w14:paraId="77D8CB48" w14:textId="76245B97" w:rsidR="00576E37" w:rsidRDefault="00576E37">
      <w:pPr>
        <w:pStyle w:val="TOC1"/>
        <w:rPr>
          <w:rFonts w:asciiTheme="minorHAnsi" w:eastAsiaTheme="minorEastAsia" w:hAnsiTheme="minorHAnsi" w:cstheme="minorBidi"/>
          <w:b w:val="0"/>
          <w:spacing w:val="0"/>
          <w:sz w:val="22"/>
          <w:szCs w:val="22"/>
        </w:rPr>
      </w:pPr>
      <w:hyperlink w:anchor="_Toc5870064" w:history="1">
        <w:r w:rsidRPr="00D47DC7">
          <w:rPr>
            <w:rStyle w:val="Hyperlink"/>
          </w:rPr>
          <w:t>Background</w:t>
        </w:r>
        <w:r>
          <w:rPr>
            <w:webHidden/>
          </w:rPr>
          <w:tab/>
        </w:r>
        <w:r>
          <w:rPr>
            <w:webHidden/>
          </w:rPr>
          <w:fldChar w:fldCharType="begin"/>
        </w:r>
        <w:r>
          <w:rPr>
            <w:webHidden/>
          </w:rPr>
          <w:instrText xml:space="preserve"> PAGEREF _Toc5870064 \h </w:instrText>
        </w:r>
        <w:r>
          <w:rPr>
            <w:webHidden/>
          </w:rPr>
        </w:r>
        <w:r>
          <w:rPr>
            <w:webHidden/>
          </w:rPr>
          <w:fldChar w:fldCharType="separate"/>
        </w:r>
        <w:r>
          <w:rPr>
            <w:webHidden/>
          </w:rPr>
          <w:t>8</w:t>
        </w:r>
        <w:r>
          <w:rPr>
            <w:webHidden/>
          </w:rPr>
          <w:fldChar w:fldCharType="end"/>
        </w:r>
      </w:hyperlink>
    </w:p>
    <w:p w14:paraId="52FB6F48" w14:textId="22BA2E66" w:rsidR="00576E37" w:rsidRDefault="00576E37">
      <w:pPr>
        <w:pStyle w:val="TOC2"/>
        <w:rPr>
          <w:rFonts w:asciiTheme="minorHAnsi" w:eastAsiaTheme="minorEastAsia" w:hAnsiTheme="minorHAnsi" w:cstheme="minorBidi"/>
          <w:spacing w:val="0"/>
          <w:sz w:val="22"/>
          <w:szCs w:val="22"/>
        </w:rPr>
      </w:pPr>
      <w:hyperlink w:anchor="_Toc5870065" w:history="1">
        <w:r w:rsidRPr="00D47DC7">
          <w:rPr>
            <w:rStyle w:val="Hyperlink"/>
          </w:rPr>
          <w:t>Problem</w:t>
        </w:r>
        <w:r>
          <w:rPr>
            <w:webHidden/>
          </w:rPr>
          <w:tab/>
        </w:r>
        <w:r>
          <w:rPr>
            <w:webHidden/>
          </w:rPr>
          <w:tab/>
        </w:r>
        <w:r>
          <w:rPr>
            <w:webHidden/>
          </w:rPr>
          <w:fldChar w:fldCharType="begin"/>
        </w:r>
        <w:r>
          <w:rPr>
            <w:webHidden/>
          </w:rPr>
          <w:instrText xml:space="preserve"> PAGEREF _Toc5870065 \h </w:instrText>
        </w:r>
        <w:r>
          <w:rPr>
            <w:webHidden/>
          </w:rPr>
        </w:r>
        <w:r>
          <w:rPr>
            <w:webHidden/>
          </w:rPr>
          <w:fldChar w:fldCharType="separate"/>
        </w:r>
        <w:r>
          <w:rPr>
            <w:webHidden/>
          </w:rPr>
          <w:t>8</w:t>
        </w:r>
        <w:r>
          <w:rPr>
            <w:webHidden/>
          </w:rPr>
          <w:fldChar w:fldCharType="end"/>
        </w:r>
      </w:hyperlink>
    </w:p>
    <w:p w14:paraId="12E90D2D" w14:textId="7D94A727" w:rsidR="00576E37" w:rsidRDefault="00576E37">
      <w:pPr>
        <w:pStyle w:val="TOC2"/>
        <w:rPr>
          <w:rFonts w:asciiTheme="minorHAnsi" w:eastAsiaTheme="minorEastAsia" w:hAnsiTheme="minorHAnsi" w:cstheme="minorBidi"/>
          <w:spacing w:val="0"/>
          <w:sz w:val="22"/>
          <w:szCs w:val="22"/>
        </w:rPr>
      </w:pPr>
      <w:hyperlink w:anchor="_Toc5870066" w:history="1">
        <w:r w:rsidRPr="00D47DC7">
          <w:rPr>
            <w:rStyle w:val="Hyperlink"/>
          </w:rPr>
          <w:t>Objectives and policy goals</w:t>
        </w:r>
        <w:r>
          <w:rPr>
            <w:webHidden/>
          </w:rPr>
          <w:tab/>
        </w:r>
        <w:r>
          <w:rPr>
            <w:webHidden/>
          </w:rPr>
          <w:fldChar w:fldCharType="begin"/>
        </w:r>
        <w:r>
          <w:rPr>
            <w:webHidden/>
          </w:rPr>
          <w:instrText xml:space="preserve"> PAGEREF _Toc5870066 \h </w:instrText>
        </w:r>
        <w:r>
          <w:rPr>
            <w:webHidden/>
          </w:rPr>
        </w:r>
        <w:r>
          <w:rPr>
            <w:webHidden/>
          </w:rPr>
          <w:fldChar w:fldCharType="separate"/>
        </w:r>
        <w:r>
          <w:rPr>
            <w:webHidden/>
          </w:rPr>
          <w:t>9</w:t>
        </w:r>
        <w:r>
          <w:rPr>
            <w:webHidden/>
          </w:rPr>
          <w:fldChar w:fldCharType="end"/>
        </w:r>
      </w:hyperlink>
    </w:p>
    <w:p w14:paraId="11AB4008" w14:textId="66F064AC" w:rsidR="00576E37" w:rsidRDefault="00576E37">
      <w:pPr>
        <w:pStyle w:val="TOC2"/>
        <w:rPr>
          <w:rFonts w:asciiTheme="minorHAnsi" w:eastAsiaTheme="minorEastAsia" w:hAnsiTheme="minorHAnsi" w:cstheme="minorBidi"/>
          <w:spacing w:val="0"/>
          <w:sz w:val="22"/>
          <w:szCs w:val="22"/>
        </w:rPr>
      </w:pPr>
      <w:hyperlink w:anchor="_Toc5870067" w:history="1">
        <w:r w:rsidRPr="00D47DC7">
          <w:rPr>
            <w:rStyle w:val="Hyperlink"/>
          </w:rPr>
          <w:t>Purpose of this paper</w:t>
        </w:r>
        <w:r>
          <w:rPr>
            <w:webHidden/>
          </w:rPr>
          <w:tab/>
        </w:r>
        <w:r>
          <w:rPr>
            <w:webHidden/>
          </w:rPr>
          <w:fldChar w:fldCharType="begin"/>
        </w:r>
        <w:r>
          <w:rPr>
            <w:webHidden/>
          </w:rPr>
          <w:instrText xml:space="preserve"> PAGEREF _Toc5870067 \h </w:instrText>
        </w:r>
        <w:r>
          <w:rPr>
            <w:webHidden/>
          </w:rPr>
        </w:r>
        <w:r>
          <w:rPr>
            <w:webHidden/>
          </w:rPr>
          <w:fldChar w:fldCharType="separate"/>
        </w:r>
        <w:r>
          <w:rPr>
            <w:webHidden/>
          </w:rPr>
          <w:t>10</w:t>
        </w:r>
        <w:r>
          <w:rPr>
            <w:webHidden/>
          </w:rPr>
          <w:fldChar w:fldCharType="end"/>
        </w:r>
      </w:hyperlink>
    </w:p>
    <w:p w14:paraId="71C42DB9" w14:textId="6FA6DAB0" w:rsidR="00576E37" w:rsidRDefault="00576E37">
      <w:pPr>
        <w:pStyle w:val="TOC1"/>
        <w:rPr>
          <w:rFonts w:asciiTheme="minorHAnsi" w:eastAsiaTheme="minorEastAsia" w:hAnsiTheme="minorHAnsi" w:cstheme="minorBidi"/>
          <w:b w:val="0"/>
          <w:spacing w:val="0"/>
          <w:sz w:val="22"/>
          <w:szCs w:val="22"/>
        </w:rPr>
      </w:pPr>
      <w:hyperlink w:anchor="_Toc5870068" w:history="1">
        <w:r w:rsidRPr="00D47DC7">
          <w:rPr>
            <w:rStyle w:val="Hyperlink"/>
          </w:rPr>
          <w:t>Options</w:t>
        </w:r>
        <w:r>
          <w:rPr>
            <w:webHidden/>
          </w:rPr>
          <w:tab/>
        </w:r>
        <w:r>
          <w:rPr>
            <w:webHidden/>
          </w:rPr>
          <w:fldChar w:fldCharType="begin"/>
        </w:r>
        <w:r>
          <w:rPr>
            <w:webHidden/>
          </w:rPr>
          <w:instrText xml:space="preserve"> PAGEREF _Toc5870068 \h </w:instrText>
        </w:r>
        <w:r>
          <w:rPr>
            <w:webHidden/>
          </w:rPr>
        </w:r>
        <w:r>
          <w:rPr>
            <w:webHidden/>
          </w:rPr>
          <w:fldChar w:fldCharType="separate"/>
        </w:r>
        <w:r>
          <w:rPr>
            <w:webHidden/>
          </w:rPr>
          <w:t>11</w:t>
        </w:r>
        <w:r>
          <w:rPr>
            <w:webHidden/>
          </w:rPr>
          <w:fldChar w:fldCharType="end"/>
        </w:r>
      </w:hyperlink>
    </w:p>
    <w:p w14:paraId="0E1B029A" w14:textId="299BB785" w:rsidR="00576E37" w:rsidRDefault="00576E37">
      <w:pPr>
        <w:pStyle w:val="TOC2"/>
        <w:rPr>
          <w:rFonts w:asciiTheme="minorHAnsi" w:eastAsiaTheme="minorEastAsia" w:hAnsiTheme="minorHAnsi" w:cstheme="minorBidi"/>
          <w:spacing w:val="0"/>
          <w:sz w:val="22"/>
          <w:szCs w:val="22"/>
        </w:rPr>
      </w:pPr>
      <w:hyperlink w:anchor="_Toc5870069" w:history="1">
        <w:r w:rsidRPr="00D47DC7">
          <w:rPr>
            <w:rStyle w:val="Hyperlink"/>
          </w:rPr>
          <w:t>Option 1: Encumbered auction</w:t>
        </w:r>
        <w:r>
          <w:rPr>
            <w:webHidden/>
          </w:rPr>
          <w:tab/>
        </w:r>
        <w:r>
          <w:rPr>
            <w:webHidden/>
          </w:rPr>
          <w:fldChar w:fldCharType="begin"/>
        </w:r>
        <w:r>
          <w:rPr>
            <w:webHidden/>
          </w:rPr>
          <w:instrText xml:space="preserve"> PAGEREF _Toc5870069 \h </w:instrText>
        </w:r>
        <w:r>
          <w:rPr>
            <w:webHidden/>
          </w:rPr>
        </w:r>
        <w:r>
          <w:rPr>
            <w:webHidden/>
          </w:rPr>
          <w:fldChar w:fldCharType="separate"/>
        </w:r>
        <w:r>
          <w:rPr>
            <w:webHidden/>
          </w:rPr>
          <w:t>12</w:t>
        </w:r>
        <w:r>
          <w:rPr>
            <w:webHidden/>
          </w:rPr>
          <w:fldChar w:fldCharType="end"/>
        </w:r>
      </w:hyperlink>
    </w:p>
    <w:p w14:paraId="3D3F931B" w14:textId="39B4A818" w:rsidR="00576E37" w:rsidRDefault="00576E37">
      <w:pPr>
        <w:pStyle w:val="TOC3"/>
        <w:rPr>
          <w:rFonts w:asciiTheme="minorHAnsi" w:eastAsiaTheme="minorEastAsia" w:hAnsiTheme="minorHAnsi" w:cstheme="minorBidi"/>
        </w:rPr>
      </w:pPr>
      <w:hyperlink w:anchor="_Toc5870070" w:history="1">
        <w:r w:rsidRPr="00D47DC7">
          <w:rPr>
            <w:rStyle w:val="Hyperlink"/>
          </w:rPr>
          <w:t>Benefits</w:t>
        </w:r>
        <w:r>
          <w:rPr>
            <w:webHidden/>
          </w:rPr>
          <w:tab/>
        </w:r>
        <w:r>
          <w:rPr>
            <w:webHidden/>
          </w:rPr>
          <w:fldChar w:fldCharType="begin"/>
        </w:r>
        <w:r>
          <w:rPr>
            <w:webHidden/>
          </w:rPr>
          <w:instrText xml:space="preserve"> PAGEREF _Toc5870070 \h </w:instrText>
        </w:r>
        <w:r>
          <w:rPr>
            <w:webHidden/>
          </w:rPr>
        </w:r>
        <w:r>
          <w:rPr>
            <w:webHidden/>
          </w:rPr>
          <w:fldChar w:fldCharType="separate"/>
        </w:r>
        <w:r>
          <w:rPr>
            <w:webHidden/>
          </w:rPr>
          <w:t>12</w:t>
        </w:r>
        <w:r>
          <w:rPr>
            <w:webHidden/>
          </w:rPr>
          <w:fldChar w:fldCharType="end"/>
        </w:r>
      </w:hyperlink>
    </w:p>
    <w:p w14:paraId="4AFB3F63" w14:textId="4FDE029D" w:rsidR="00576E37" w:rsidRDefault="00576E37">
      <w:pPr>
        <w:pStyle w:val="TOC3"/>
        <w:rPr>
          <w:rFonts w:asciiTheme="minorHAnsi" w:eastAsiaTheme="minorEastAsia" w:hAnsiTheme="minorHAnsi" w:cstheme="minorBidi"/>
        </w:rPr>
      </w:pPr>
      <w:hyperlink w:anchor="_Toc5870071" w:history="1">
        <w:r w:rsidRPr="00D47DC7">
          <w:rPr>
            <w:rStyle w:val="Hyperlink"/>
          </w:rPr>
          <w:t>Risks</w:t>
        </w:r>
        <w:r>
          <w:rPr>
            <w:webHidden/>
          </w:rPr>
          <w:tab/>
        </w:r>
        <w:r>
          <w:rPr>
            <w:webHidden/>
          </w:rPr>
          <w:fldChar w:fldCharType="begin"/>
        </w:r>
        <w:r>
          <w:rPr>
            <w:webHidden/>
          </w:rPr>
          <w:instrText xml:space="preserve"> PAGEREF _Toc5870071 \h </w:instrText>
        </w:r>
        <w:r>
          <w:rPr>
            <w:webHidden/>
          </w:rPr>
        </w:r>
        <w:r>
          <w:rPr>
            <w:webHidden/>
          </w:rPr>
          <w:fldChar w:fldCharType="separate"/>
        </w:r>
        <w:r>
          <w:rPr>
            <w:webHidden/>
          </w:rPr>
          <w:t>13</w:t>
        </w:r>
        <w:r>
          <w:rPr>
            <w:webHidden/>
          </w:rPr>
          <w:fldChar w:fldCharType="end"/>
        </w:r>
      </w:hyperlink>
    </w:p>
    <w:p w14:paraId="23BB84DF" w14:textId="700CEB09" w:rsidR="00576E37" w:rsidRDefault="00576E37">
      <w:pPr>
        <w:pStyle w:val="TOC2"/>
        <w:rPr>
          <w:rFonts w:asciiTheme="minorHAnsi" w:eastAsiaTheme="minorEastAsia" w:hAnsiTheme="minorHAnsi" w:cstheme="minorBidi"/>
          <w:spacing w:val="0"/>
          <w:sz w:val="22"/>
          <w:szCs w:val="22"/>
        </w:rPr>
      </w:pPr>
      <w:hyperlink w:anchor="_Toc5870072" w:history="1">
        <w:r w:rsidRPr="00D47DC7">
          <w:rPr>
            <w:rStyle w:val="Hyperlink"/>
          </w:rPr>
          <w:t>Option 2: Hybrid option</w:t>
        </w:r>
        <w:r>
          <w:rPr>
            <w:webHidden/>
          </w:rPr>
          <w:tab/>
        </w:r>
        <w:r>
          <w:rPr>
            <w:webHidden/>
          </w:rPr>
          <w:fldChar w:fldCharType="begin"/>
        </w:r>
        <w:r>
          <w:rPr>
            <w:webHidden/>
          </w:rPr>
          <w:instrText xml:space="preserve"> PAGEREF _Toc5870072 \h </w:instrText>
        </w:r>
        <w:r>
          <w:rPr>
            <w:webHidden/>
          </w:rPr>
        </w:r>
        <w:r>
          <w:rPr>
            <w:webHidden/>
          </w:rPr>
          <w:fldChar w:fldCharType="separate"/>
        </w:r>
        <w:r>
          <w:rPr>
            <w:webHidden/>
          </w:rPr>
          <w:t>13</w:t>
        </w:r>
        <w:r>
          <w:rPr>
            <w:webHidden/>
          </w:rPr>
          <w:fldChar w:fldCharType="end"/>
        </w:r>
      </w:hyperlink>
    </w:p>
    <w:p w14:paraId="6BE5128F" w14:textId="235C045D" w:rsidR="00576E37" w:rsidRDefault="00576E37">
      <w:pPr>
        <w:pStyle w:val="TOC3"/>
        <w:rPr>
          <w:rFonts w:asciiTheme="minorHAnsi" w:eastAsiaTheme="minorEastAsia" w:hAnsiTheme="minorHAnsi" w:cstheme="minorBidi"/>
        </w:rPr>
      </w:pPr>
      <w:hyperlink w:anchor="_Toc5870073" w:history="1">
        <w:r w:rsidRPr="00D47DC7">
          <w:rPr>
            <w:rStyle w:val="Hyperlink"/>
          </w:rPr>
          <w:t>Benefits</w:t>
        </w:r>
        <w:r>
          <w:rPr>
            <w:webHidden/>
          </w:rPr>
          <w:tab/>
        </w:r>
        <w:r>
          <w:rPr>
            <w:webHidden/>
          </w:rPr>
          <w:fldChar w:fldCharType="begin"/>
        </w:r>
        <w:r>
          <w:rPr>
            <w:webHidden/>
          </w:rPr>
          <w:instrText xml:space="preserve"> PAGEREF _Toc5870073 \h </w:instrText>
        </w:r>
        <w:r>
          <w:rPr>
            <w:webHidden/>
          </w:rPr>
        </w:r>
        <w:r>
          <w:rPr>
            <w:webHidden/>
          </w:rPr>
          <w:fldChar w:fldCharType="separate"/>
        </w:r>
        <w:r>
          <w:rPr>
            <w:webHidden/>
          </w:rPr>
          <w:t>14</w:t>
        </w:r>
        <w:r>
          <w:rPr>
            <w:webHidden/>
          </w:rPr>
          <w:fldChar w:fldCharType="end"/>
        </w:r>
      </w:hyperlink>
    </w:p>
    <w:p w14:paraId="4E05F6F4" w14:textId="31A49860" w:rsidR="00576E37" w:rsidRDefault="00576E37">
      <w:pPr>
        <w:pStyle w:val="TOC3"/>
        <w:rPr>
          <w:rFonts w:asciiTheme="minorHAnsi" w:eastAsiaTheme="minorEastAsia" w:hAnsiTheme="minorHAnsi" w:cstheme="minorBidi"/>
        </w:rPr>
      </w:pPr>
      <w:hyperlink w:anchor="_Toc5870074" w:history="1">
        <w:r w:rsidRPr="00D47DC7">
          <w:rPr>
            <w:rStyle w:val="Hyperlink"/>
          </w:rPr>
          <w:t>Risks</w:t>
        </w:r>
        <w:r>
          <w:rPr>
            <w:webHidden/>
          </w:rPr>
          <w:tab/>
        </w:r>
        <w:r>
          <w:rPr>
            <w:webHidden/>
          </w:rPr>
          <w:fldChar w:fldCharType="begin"/>
        </w:r>
        <w:r>
          <w:rPr>
            <w:webHidden/>
          </w:rPr>
          <w:instrText xml:space="preserve"> PAGEREF _Toc5870074 \h </w:instrText>
        </w:r>
        <w:r>
          <w:rPr>
            <w:webHidden/>
          </w:rPr>
        </w:r>
        <w:r>
          <w:rPr>
            <w:webHidden/>
          </w:rPr>
          <w:fldChar w:fldCharType="separate"/>
        </w:r>
        <w:r>
          <w:rPr>
            <w:webHidden/>
          </w:rPr>
          <w:t>14</w:t>
        </w:r>
        <w:r>
          <w:rPr>
            <w:webHidden/>
          </w:rPr>
          <w:fldChar w:fldCharType="end"/>
        </w:r>
      </w:hyperlink>
    </w:p>
    <w:p w14:paraId="55DFC3FC" w14:textId="2955F011" w:rsidR="00576E37" w:rsidRDefault="00576E37">
      <w:pPr>
        <w:pStyle w:val="TOC2"/>
        <w:rPr>
          <w:rFonts w:asciiTheme="minorHAnsi" w:eastAsiaTheme="minorEastAsia" w:hAnsiTheme="minorHAnsi" w:cstheme="minorBidi"/>
          <w:spacing w:val="0"/>
          <w:sz w:val="22"/>
          <w:szCs w:val="22"/>
        </w:rPr>
      </w:pPr>
      <w:hyperlink w:anchor="_Toc5870075" w:history="1">
        <w:r w:rsidRPr="00D47DC7">
          <w:rPr>
            <w:rStyle w:val="Hyperlink"/>
          </w:rPr>
          <w:t>Downshift in the 850 MHz spectrum licences</w:t>
        </w:r>
        <w:r>
          <w:rPr>
            <w:webHidden/>
          </w:rPr>
          <w:tab/>
        </w:r>
        <w:r>
          <w:rPr>
            <w:webHidden/>
          </w:rPr>
          <w:fldChar w:fldCharType="begin"/>
        </w:r>
        <w:r>
          <w:rPr>
            <w:webHidden/>
          </w:rPr>
          <w:instrText xml:space="preserve"> PAGEREF _Toc5870075 \h </w:instrText>
        </w:r>
        <w:r>
          <w:rPr>
            <w:webHidden/>
          </w:rPr>
        </w:r>
        <w:r>
          <w:rPr>
            <w:webHidden/>
          </w:rPr>
          <w:fldChar w:fldCharType="separate"/>
        </w:r>
        <w:r>
          <w:rPr>
            <w:webHidden/>
          </w:rPr>
          <w:t>14</w:t>
        </w:r>
        <w:r>
          <w:rPr>
            <w:webHidden/>
          </w:rPr>
          <w:fldChar w:fldCharType="end"/>
        </w:r>
      </w:hyperlink>
    </w:p>
    <w:p w14:paraId="046E701E" w14:textId="1B8D8ADF" w:rsidR="00576E37" w:rsidRDefault="00576E37">
      <w:pPr>
        <w:pStyle w:val="TOC2"/>
        <w:rPr>
          <w:rFonts w:asciiTheme="minorHAnsi" w:eastAsiaTheme="minorEastAsia" w:hAnsiTheme="minorHAnsi" w:cstheme="minorBidi"/>
          <w:spacing w:val="0"/>
          <w:sz w:val="22"/>
          <w:szCs w:val="22"/>
        </w:rPr>
      </w:pPr>
      <w:hyperlink w:anchor="_Toc5870076" w:history="1">
        <w:r w:rsidRPr="00D47DC7">
          <w:rPr>
            <w:rStyle w:val="Hyperlink"/>
          </w:rPr>
          <w:t>Summary</w:t>
        </w:r>
        <w:r>
          <w:rPr>
            <w:webHidden/>
          </w:rPr>
          <w:tab/>
        </w:r>
        <w:r>
          <w:rPr>
            <w:webHidden/>
          </w:rPr>
          <w:fldChar w:fldCharType="begin"/>
        </w:r>
        <w:r>
          <w:rPr>
            <w:webHidden/>
          </w:rPr>
          <w:instrText xml:space="preserve"> PAGEREF _Toc5870076 \h </w:instrText>
        </w:r>
        <w:r>
          <w:rPr>
            <w:webHidden/>
          </w:rPr>
        </w:r>
        <w:r>
          <w:rPr>
            <w:webHidden/>
          </w:rPr>
          <w:fldChar w:fldCharType="separate"/>
        </w:r>
        <w:r>
          <w:rPr>
            <w:webHidden/>
          </w:rPr>
          <w:t>15</w:t>
        </w:r>
        <w:r>
          <w:rPr>
            <w:webHidden/>
          </w:rPr>
          <w:fldChar w:fldCharType="end"/>
        </w:r>
      </w:hyperlink>
    </w:p>
    <w:p w14:paraId="1BCFF303" w14:textId="661581D3" w:rsidR="00576E37" w:rsidRDefault="00576E37">
      <w:pPr>
        <w:pStyle w:val="TOC1"/>
        <w:rPr>
          <w:rFonts w:asciiTheme="minorHAnsi" w:eastAsiaTheme="minorEastAsia" w:hAnsiTheme="minorHAnsi" w:cstheme="minorBidi"/>
          <w:b w:val="0"/>
          <w:spacing w:val="0"/>
          <w:sz w:val="22"/>
          <w:szCs w:val="22"/>
        </w:rPr>
      </w:pPr>
      <w:hyperlink w:anchor="_Toc5870077" w:history="1">
        <w:r w:rsidRPr="00D47DC7">
          <w:rPr>
            <w:rStyle w:val="Hyperlink"/>
          </w:rPr>
          <w:t>Timing considerations</w:t>
        </w:r>
        <w:r>
          <w:rPr>
            <w:webHidden/>
          </w:rPr>
          <w:tab/>
        </w:r>
        <w:r>
          <w:rPr>
            <w:webHidden/>
          </w:rPr>
          <w:fldChar w:fldCharType="begin"/>
        </w:r>
        <w:r>
          <w:rPr>
            <w:webHidden/>
          </w:rPr>
          <w:instrText xml:space="preserve"> PAGEREF _Toc5870077 \h </w:instrText>
        </w:r>
        <w:r>
          <w:rPr>
            <w:webHidden/>
          </w:rPr>
        </w:r>
        <w:r>
          <w:rPr>
            <w:webHidden/>
          </w:rPr>
          <w:fldChar w:fldCharType="separate"/>
        </w:r>
        <w:r>
          <w:rPr>
            <w:webHidden/>
          </w:rPr>
          <w:t>17</w:t>
        </w:r>
        <w:r>
          <w:rPr>
            <w:webHidden/>
          </w:rPr>
          <w:fldChar w:fldCharType="end"/>
        </w:r>
      </w:hyperlink>
    </w:p>
    <w:p w14:paraId="13AA71D7" w14:textId="4961C496" w:rsidR="00576E37" w:rsidRDefault="00576E37">
      <w:pPr>
        <w:pStyle w:val="TOC1"/>
        <w:rPr>
          <w:rFonts w:asciiTheme="minorHAnsi" w:eastAsiaTheme="minorEastAsia" w:hAnsiTheme="minorHAnsi" w:cstheme="minorBidi"/>
          <w:b w:val="0"/>
          <w:spacing w:val="0"/>
          <w:sz w:val="22"/>
          <w:szCs w:val="22"/>
        </w:rPr>
      </w:pPr>
      <w:hyperlink w:anchor="_Toc5870078" w:history="1">
        <w:r w:rsidRPr="00D47DC7">
          <w:rPr>
            <w:rStyle w:val="Hyperlink"/>
          </w:rPr>
          <w:t>Invitation to comment</w:t>
        </w:r>
        <w:r>
          <w:rPr>
            <w:webHidden/>
          </w:rPr>
          <w:tab/>
        </w:r>
        <w:r>
          <w:rPr>
            <w:webHidden/>
          </w:rPr>
          <w:fldChar w:fldCharType="begin"/>
        </w:r>
        <w:r>
          <w:rPr>
            <w:webHidden/>
          </w:rPr>
          <w:instrText xml:space="preserve"> PAGEREF _Toc5870078 \h </w:instrText>
        </w:r>
        <w:r>
          <w:rPr>
            <w:webHidden/>
          </w:rPr>
        </w:r>
        <w:r>
          <w:rPr>
            <w:webHidden/>
          </w:rPr>
          <w:fldChar w:fldCharType="separate"/>
        </w:r>
        <w:r>
          <w:rPr>
            <w:webHidden/>
          </w:rPr>
          <w:t>19</w:t>
        </w:r>
        <w:r>
          <w:rPr>
            <w:webHidden/>
          </w:rPr>
          <w:fldChar w:fldCharType="end"/>
        </w:r>
      </w:hyperlink>
    </w:p>
    <w:p w14:paraId="0CDDFDFB" w14:textId="2DD014C9" w:rsidR="00576E37" w:rsidRDefault="00576E37">
      <w:pPr>
        <w:pStyle w:val="TOC2"/>
        <w:rPr>
          <w:rFonts w:asciiTheme="minorHAnsi" w:eastAsiaTheme="minorEastAsia" w:hAnsiTheme="minorHAnsi" w:cstheme="minorBidi"/>
          <w:spacing w:val="0"/>
          <w:sz w:val="22"/>
          <w:szCs w:val="22"/>
        </w:rPr>
      </w:pPr>
      <w:hyperlink w:anchor="_Toc5870079" w:history="1">
        <w:r w:rsidRPr="00D47DC7">
          <w:rPr>
            <w:rStyle w:val="Hyperlink"/>
          </w:rPr>
          <w:t>Making a submission</w:t>
        </w:r>
        <w:r>
          <w:rPr>
            <w:webHidden/>
          </w:rPr>
          <w:tab/>
        </w:r>
        <w:r>
          <w:rPr>
            <w:webHidden/>
          </w:rPr>
          <w:fldChar w:fldCharType="begin"/>
        </w:r>
        <w:r>
          <w:rPr>
            <w:webHidden/>
          </w:rPr>
          <w:instrText xml:space="preserve"> PAGEREF _Toc5870079 \h </w:instrText>
        </w:r>
        <w:r>
          <w:rPr>
            <w:webHidden/>
          </w:rPr>
        </w:r>
        <w:r>
          <w:rPr>
            <w:webHidden/>
          </w:rPr>
          <w:fldChar w:fldCharType="separate"/>
        </w:r>
        <w:r>
          <w:rPr>
            <w:webHidden/>
          </w:rPr>
          <w:t>19</w:t>
        </w:r>
        <w:r>
          <w:rPr>
            <w:webHidden/>
          </w:rPr>
          <w:fldChar w:fldCharType="end"/>
        </w:r>
      </w:hyperlink>
    </w:p>
    <w:p w14:paraId="6010EAB0" w14:textId="7F223BDD" w:rsidR="000A4A51" w:rsidRPr="000D76E0" w:rsidRDefault="00765470" w:rsidP="00002B6E">
      <w:pPr>
        <w:spacing w:before="120" w:after="120" w:line="240" w:lineRule="auto"/>
        <w:rPr>
          <w:rFonts w:cs="Arial"/>
        </w:rPr>
      </w:pPr>
      <w:r>
        <w:rPr>
          <w:rFonts w:cs="Arial"/>
          <w:noProof/>
          <w:spacing w:val="-14"/>
          <w:sz w:val="28"/>
        </w:rPr>
        <w:fldChar w:fldCharType="end"/>
      </w:r>
    </w:p>
    <w:p w14:paraId="6BEE2F4E" w14:textId="77777777" w:rsidR="004D56FF" w:rsidRDefault="004D56FF" w:rsidP="00002B6E">
      <w:pPr>
        <w:spacing w:before="120" w:after="120" w:line="240" w:lineRule="auto"/>
        <w:rPr>
          <w:rFonts w:cs="Arial"/>
        </w:rPr>
      </w:pPr>
    </w:p>
    <w:p w14:paraId="47037664" w14:textId="77777777" w:rsidR="00374F2F" w:rsidRPr="00374F2F" w:rsidRDefault="00374F2F" w:rsidP="00374F2F">
      <w:pPr>
        <w:rPr>
          <w:rFonts w:cs="Arial"/>
        </w:rPr>
      </w:pPr>
    </w:p>
    <w:p w14:paraId="6FD246E7" w14:textId="77777777" w:rsidR="00374F2F" w:rsidRPr="00374F2F" w:rsidRDefault="00374F2F" w:rsidP="00374F2F">
      <w:pPr>
        <w:rPr>
          <w:rFonts w:cs="Arial"/>
        </w:rPr>
      </w:pPr>
    </w:p>
    <w:p w14:paraId="4EB028FE" w14:textId="77777777" w:rsidR="00374F2F" w:rsidRPr="00374F2F" w:rsidRDefault="00374F2F" w:rsidP="00374F2F">
      <w:pPr>
        <w:rPr>
          <w:rFonts w:cs="Arial"/>
        </w:rPr>
      </w:pPr>
    </w:p>
    <w:p w14:paraId="3BA1B77F" w14:textId="77777777" w:rsidR="00374F2F" w:rsidRPr="00374F2F" w:rsidRDefault="00374F2F" w:rsidP="00374F2F">
      <w:pPr>
        <w:rPr>
          <w:rFonts w:cs="Arial"/>
        </w:rPr>
      </w:pPr>
    </w:p>
    <w:p w14:paraId="710FAB2E" w14:textId="77777777" w:rsidR="00374F2F" w:rsidRPr="00374F2F" w:rsidRDefault="00374F2F" w:rsidP="00374F2F">
      <w:pPr>
        <w:rPr>
          <w:rFonts w:cs="Arial"/>
        </w:rPr>
      </w:pPr>
    </w:p>
    <w:p w14:paraId="4C83EB28" w14:textId="146E0107" w:rsidR="00374F2F" w:rsidRDefault="00374F2F" w:rsidP="00374F2F">
      <w:pPr>
        <w:tabs>
          <w:tab w:val="left" w:pos="1890"/>
        </w:tabs>
        <w:rPr>
          <w:rFonts w:cs="Arial"/>
        </w:rPr>
      </w:pPr>
      <w:r>
        <w:rPr>
          <w:rFonts w:cs="Arial"/>
        </w:rPr>
        <w:tab/>
      </w:r>
      <w:bookmarkStart w:id="0" w:name="_GoBack"/>
      <w:bookmarkEnd w:id="0"/>
    </w:p>
    <w:p w14:paraId="04085EB2" w14:textId="0E84B705" w:rsidR="00374F2F" w:rsidRPr="00374F2F" w:rsidRDefault="00374F2F" w:rsidP="00374F2F">
      <w:pPr>
        <w:tabs>
          <w:tab w:val="left" w:pos="1890"/>
        </w:tabs>
        <w:rPr>
          <w:rFonts w:cs="Arial"/>
        </w:rPr>
        <w:sectPr w:rsidR="00374F2F" w:rsidRPr="00374F2F"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rPr>
        <w:tab/>
      </w:r>
    </w:p>
    <w:p w14:paraId="502596B3" w14:textId="1618C371" w:rsidR="00D51B5A" w:rsidRDefault="00B740E9" w:rsidP="007D38E3">
      <w:pPr>
        <w:pStyle w:val="ACMAExecSummaryHeading"/>
      </w:pPr>
      <w:bookmarkStart w:id="1" w:name="_Toc487546754"/>
      <w:bookmarkStart w:id="2" w:name="_Toc490213575"/>
      <w:bookmarkStart w:id="3" w:name="_Toc492626738"/>
      <w:bookmarkStart w:id="4" w:name="_Toc5870062"/>
      <w:r>
        <w:t xml:space="preserve">Executive </w:t>
      </w:r>
      <w:r w:rsidR="001B33B0">
        <w:t>s</w:t>
      </w:r>
      <w:r w:rsidRPr="001B33B0">
        <w:t>ummary</w:t>
      </w:r>
      <w:bookmarkEnd w:id="1"/>
      <w:bookmarkEnd w:id="2"/>
      <w:bookmarkEnd w:id="3"/>
      <w:bookmarkEnd w:id="4"/>
    </w:p>
    <w:p w14:paraId="3F62AE86" w14:textId="01FB6E6F" w:rsidR="000F7916" w:rsidRDefault="000F7916" w:rsidP="003B52CB">
      <w:r>
        <w:t>The 890–915/935–960</w:t>
      </w:r>
      <w:r w:rsidR="002908D8">
        <w:t> MHz</w:t>
      </w:r>
      <w:r>
        <w:t xml:space="preserve"> band (or ‘900</w:t>
      </w:r>
      <w:r w:rsidR="002908D8">
        <w:t> MHz</w:t>
      </w:r>
      <w:r>
        <w:t xml:space="preserve"> band’) is currently apparatus licensed as </w:t>
      </w:r>
      <w:r w:rsidR="003B52CB" w:rsidRPr="003B52CB">
        <w:t xml:space="preserve">three frequency division duplex (FDD) pairs. Each pair consists of either 2 x 8.4 MHz or 2 x 8.2 </w:t>
      </w:r>
      <w:proofErr w:type="spellStart"/>
      <w:r w:rsidR="003B52CB" w:rsidRPr="003B52CB">
        <w:t>MHz</w:t>
      </w:r>
      <w:r w:rsidR="003B52CB">
        <w:t>.</w:t>
      </w:r>
      <w:proofErr w:type="spellEnd"/>
      <w:r>
        <w:t xml:space="preserve"> These </w:t>
      </w:r>
      <w:r w:rsidR="001D1826">
        <w:t xml:space="preserve">licences </w:t>
      </w:r>
      <w:r>
        <w:t xml:space="preserve">are held by three mobile network operators—Telstra, Optus and VHA. The current frequency lot configuration is not conducive to optimally efficient carriage of 3G and 4G services. </w:t>
      </w:r>
      <w:r w:rsidRPr="00337EA4">
        <w:t>To achieve the optimal use</w:t>
      </w:r>
      <w:r>
        <w:t>,</w:t>
      </w:r>
      <w:r w:rsidRPr="00337EA4">
        <w:t xml:space="preserve"> it </w:t>
      </w:r>
      <w:r w:rsidR="001D1826">
        <w:t xml:space="preserve">is considered </w:t>
      </w:r>
      <w:r w:rsidRPr="00337EA4">
        <w:t>necessary to change the licence parameters to align with a band configuration based on 5</w:t>
      </w:r>
      <w:r w:rsidR="002908D8">
        <w:t> MHz</w:t>
      </w:r>
      <w:r w:rsidRPr="00337EA4">
        <w:t xml:space="preserve"> FDD blocks.</w:t>
      </w:r>
      <w:r>
        <w:t xml:space="preserve"> </w:t>
      </w:r>
    </w:p>
    <w:p w14:paraId="2604C3A9" w14:textId="25C842BC" w:rsidR="00337400" w:rsidRDefault="00337400" w:rsidP="00337400">
      <w:pPr>
        <w:rPr>
          <w:iCs/>
        </w:rPr>
      </w:pPr>
      <w:r>
        <w:t xml:space="preserve">This paper </w:t>
      </w:r>
      <w:r w:rsidR="008F2D60">
        <w:t xml:space="preserve">provides </w:t>
      </w:r>
      <w:r>
        <w:t xml:space="preserve">an update to the </w:t>
      </w:r>
      <w:r w:rsidRPr="006369D6">
        <w:rPr>
          <w:i/>
          <w:iCs/>
        </w:rPr>
        <w:t>Reconfiguring the 890–915/935–960</w:t>
      </w:r>
      <w:r w:rsidR="002908D8">
        <w:rPr>
          <w:i/>
          <w:iCs/>
        </w:rPr>
        <w:t> MHz</w:t>
      </w:r>
      <w:r w:rsidRPr="006369D6">
        <w:rPr>
          <w:i/>
          <w:iCs/>
        </w:rPr>
        <w:t xml:space="preserve"> band: Way forward</w:t>
      </w:r>
      <w:r>
        <w:rPr>
          <w:i/>
          <w:iCs/>
        </w:rPr>
        <w:t xml:space="preserve"> </w:t>
      </w:r>
      <w:r>
        <w:rPr>
          <w:iCs/>
        </w:rPr>
        <w:t>paper. That paper stated:</w:t>
      </w:r>
    </w:p>
    <w:p w14:paraId="1FD2F34D" w14:textId="7C340A54" w:rsidR="00337400" w:rsidRDefault="00337400" w:rsidP="00337400">
      <w:pPr>
        <w:ind w:left="720"/>
      </w:pPr>
      <w:r>
        <w:t>…</w:t>
      </w:r>
      <w:r w:rsidR="000E5B4C">
        <w:t xml:space="preserve"> </w:t>
      </w:r>
      <w:r>
        <w:t>the Authority finds that a band clearance and price-based reallocation of the 890–915/935–960</w:t>
      </w:r>
      <w:r w:rsidR="002908D8">
        <w:t> MHz</w:t>
      </w:r>
      <w:r>
        <w:t xml:space="preserve"> band</w:t>
      </w:r>
      <w:r w:rsidR="00CB6463">
        <w:t xml:space="preserve"> </w:t>
      </w:r>
      <w:r>
        <w:t>…</w:t>
      </w:r>
      <w:r w:rsidR="00CB6463">
        <w:t xml:space="preserve"> </w:t>
      </w:r>
      <w:r>
        <w:t>will be the most efficient and effective way of achieving a reconfiguration into 5</w:t>
      </w:r>
      <w:r w:rsidR="002908D8">
        <w:t> MHz</w:t>
      </w:r>
      <w:r>
        <w:t xml:space="preserve"> lots and facilitating the optimal efficiency and value of the band.</w:t>
      </w:r>
      <w:r>
        <w:rPr>
          <w:rStyle w:val="FootnoteReference"/>
        </w:rPr>
        <w:footnoteReference w:id="2"/>
      </w:r>
    </w:p>
    <w:p w14:paraId="7ACCA0B1" w14:textId="5C26969C" w:rsidR="00337400" w:rsidRDefault="00337400" w:rsidP="00337400">
      <w:pPr>
        <w:widowControl w:val="0"/>
      </w:pPr>
      <w:r w:rsidRPr="00C30871">
        <w:t xml:space="preserve">However, </w:t>
      </w:r>
      <w:r>
        <w:t xml:space="preserve">stakeholders raised concerns that </w:t>
      </w:r>
      <w:r w:rsidRPr="00C30871">
        <w:t xml:space="preserve">the mid-2021 clearance date </w:t>
      </w:r>
      <w:r w:rsidR="00802D67">
        <w:t>could</w:t>
      </w:r>
      <w:r w:rsidRPr="00C30871">
        <w:t xml:space="preserve"> result in </w:t>
      </w:r>
      <w:r w:rsidR="001D1826">
        <w:t xml:space="preserve">potential </w:t>
      </w:r>
      <w:r>
        <w:t>impacts on consumer service</w:t>
      </w:r>
      <w:r w:rsidR="001D1826">
        <w:t>s</w:t>
      </w:r>
      <w:r w:rsidRPr="00C30871">
        <w:t xml:space="preserve">. </w:t>
      </w:r>
    </w:p>
    <w:p w14:paraId="173DB0B2" w14:textId="189BEF04" w:rsidR="00337400" w:rsidRPr="00495D04" w:rsidRDefault="00366DC4" w:rsidP="00337400">
      <w:pPr>
        <w:rPr>
          <w:rFonts w:cs="Arial"/>
          <w:szCs w:val="20"/>
        </w:rPr>
      </w:pPr>
      <w:r>
        <w:t>Given the</w:t>
      </w:r>
      <w:r w:rsidR="00CB763D">
        <w:t>se concerns</w:t>
      </w:r>
      <w:r>
        <w:t>, t</w:t>
      </w:r>
      <w:r w:rsidR="00337400">
        <w:t xml:space="preserve">he ACMA has reconsidered and </w:t>
      </w:r>
      <w:r w:rsidR="00337400" w:rsidRPr="00495D04">
        <w:rPr>
          <w:rFonts w:cs="Arial"/>
          <w:szCs w:val="20"/>
        </w:rPr>
        <w:t xml:space="preserve">identified </w:t>
      </w:r>
      <w:r w:rsidR="00B6607E">
        <w:rPr>
          <w:rFonts w:cs="Arial"/>
          <w:szCs w:val="20"/>
        </w:rPr>
        <w:t xml:space="preserve">two </w:t>
      </w:r>
      <w:r w:rsidR="00337400" w:rsidRPr="00495D04">
        <w:rPr>
          <w:rFonts w:cs="Arial"/>
          <w:szCs w:val="20"/>
        </w:rPr>
        <w:t xml:space="preserve">options that reconfigure the band while concurrently </w:t>
      </w:r>
      <w:r w:rsidR="00495D04" w:rsidRPr="00495D04">
        <w:rPr>
          <w:rFonts w:cs="Arial"/>
          <w:szCs w:val="20"/>
        </w:rPr>
        <w:t>enabling licensees to mitigate risks to consumer services</w:t>
      </w:r>
      <w:r w:rsidR="00B6607E">
        <w:rPr>
          <w:rFonts w:cs="Arial"/>
          <w:szCs w:val="20"/>
        </w:rPr>
        <w:t>:</w:t>
      </w:r>
    </w:p>
    <w:p w14:paraId="282BDDB3" w14:textId="2BC71848" w:rsidR="00495D04" w:rsidRPr="00495D04" w:rsidRDefault="00495D04" w:rsidP="00495D04">
      <w:pPr>
        <w:pStyle w:val="ListParagraph"/>
        <w:widowControl w:val="0"/>
        <w:numPr>
          <w:ilvl w:val="0"/>
          <w:numId w:val="42"/>
        </w:numPr>
        <w:ind w:left="357" w:hanging="357"/>
        <w:contextualSpacing w:val="0"/>
        <w:rPr>
          <w:rFonts w:ascii="Arial" w:hAnsi="Arial" w:cs="Arial"/>
          <w:sz w:val="20"/>
          <w:szCs w:val="20"/>
        </w:rPr>
      </w:pPr>
      <w:r w:rsidRPr="00495D04">
        <w:rPr>
          <w:rFonts w:ascii="Arial" w:hAnsi="Arial" w:cs="Arial"/>
          <w:sz w:val="20"/>
          <w:szCs w:val="20"/>
        </w:rPr>
        <w:t>The ‘</w:t>
      </w:r>
      <w:r w:rsidR="00137E37">
        <w:rPr>
          <w:rFonts w:ascii="Arial" w:hAnsi="Arial" w:cs="Arial"/>
          <w:sz w:val="20"/>
          <w:szCs w:val="20"/>
        </w:rPr>
        <w:t>e</w:t>
      </w:r>
      <w:r w:rsidRPr="00495D04">
        <w:rPr>
          <w:rFonts w:ascii="Arial" w:hAnsi="Arial" w:cs="Arial"/>
          <w:sz w:val="20"/>
          <w:szCs w:val="20"/>
        </w:rPr>
        <w:t xml:space="preserve">ncumbered auction’ option maintains the price-based allocation approach (chosen by the ACMA in the 2017 </w:t>
      </w:r>
      <w:hyperlink r:id="rId24" w:history="1">
        <w:r w:rsidRPr="00495D04">
          <w:rPr>
            <w:rStyle w:val="Hyperlink"/>
            <w:rFonts w:ascii="Arial" w:hAnsi="Arial" w:cs="Arial"/>
            <w:i/>
            <w:sz w:val="20"/>
            <w:szCs w:val="20"/>
          </w:rPr>
          <w:t xml:space="preserve">Way </w:t>
        </w:r>
        <w:r w:rsidR="00137E37">
          <w:rPr>
            <w:rStyle w:val="Hyperlink"/>
            <w:rFonts w:ascii="Arial" w:hAnsi="Arial" w:cs="Arial"/>
            <w:i/>
            <w:sz w:val="20"/>
            <w:szCs w:val="20"/>
          </w:rPr>
          <w:t>f</w:t>
        </w:r>
        <w:r w:rsidRPr="00495D04">
          <w:rPr>
            <w:rStyle w:val="Hyperlink"/>
            <w:rFonts w:ascii="Arial" w:hAnsi="Arial" w:cs="Arial"/>
            <w:i/>
            <w:sz w:val="20"/>
            <w:szCs w:val="20"/>
          </w:rPr>
          <w:t>orward</w:t>
        </w:r>
      </w:hyperlink>
      <w:r w:rsidRPr="00495D04">
        <w:rPr>
          <w:rFonts w:ascii="Arial" w:hAnsi="Arial" w:cs="Arial"/>
          <w:sz w:val="20"/>
          <w:szCs w:val="20"/>
        </w:rPr>
        <w:t xml:space="preserve"> paper) but delays the date by which incumbent apparatus licensees must clear the band. This involve</w:t>
      </w:r>
      <w:r w:rsidR="008F2D60">
        <w:rPr>
          <w:rFonts w:ascii="Arial" w:hAnsi="Arial" w:cs="Arial"/>
          <w:sz w:val="20"/>
          <w:szCs w:val="20"/>
        </w:rPr>
        <w:t>s</w:t>
      </w:r>
      <w:r w:rsidRPr="00495D04">
        <w:rPr>
          <w:rFonts w:ascii="Arial" w:hAnsi="Arial" w:cs="Arial"/>
          <w:sz w:val="20"/>
          <w:szCs w:val="20"/>
        </w:rPr>
        <w:t xml:space="preserve"> all available spectrum across the 900</w:t>
      </w:r>
      <w:r w:rsidR="002908D8">
        <w:rPr>
          <w:rFonts w:ascii="Arial" w:hAnsi="Arial" w:cs="Arial"/>
          <w:sz w:val="20"/>
          <w:szCs w:val="20"/>
        </w:rPr>
        <w:t> MHz</w:t>
      </w:r>
      <w:r w:rsidRPr="00495D04">
        <w:rPr>
          <w:rFonts w:ascii="Arial" w:hAnsi="Arial" w:cs="Arial"/>
          <w:sz w:val="20"/>
          <w:szCs w:val="20"/>
        </w:rPr>
        <w:t xml:space="preserve"> and 850</w:t>
      </w:r>
      <w:r w:rsidR="002908D8">
        <w:rPr>
          <w:rFonts w:ascii="Arial" w:hAnsi="Arial" w:cs="Arial"/>
          <w:sz w:val="20"/>
          <w:szCs w:val="20"/>
        </w:rPr>
        <w:t> MHz</w:t>
      </w:r>
      <w:r w:rsidRPr="00495D04">
        <w:rPr>
          <w:rFonts w:ascii="Arial" w:hAnsi="Arial" w:cs="Arial"/>
          <w:sz w:val="20"/>
          <w:szCs w:val="20"/>
        </w:rPr>
        <w:t xml:space="preserve"> bands</w:t>
      </w:r>
      <w:r w:rsidR="001D1826" w:rsidRPr="007E24A2">
        <w:rPr>
          <w:vertAlign w:val="superscript"/>
        </w:rPr>
        <w:footnoteReference w:id="3"/>
      </w:r>
      <w:r w:rsidRPr="00495D04">
        <w:rPr>
          <w:rFonts w:ascii="Arial" w:hAnsi="Arial" w:cs="Arial"/>
          <w:sz w:val="20"/>
          <w:szCs w:val="20"/>
        </w:rPr>
        <w:t xml:space="preserve"> (i.e. 2</w:t>
      </w:r>
      <w:r w:rsidR="00356E82">
        <w:rPr>
          <w:rFonts w:ascii="Arial" w:hAnsi="Arial" w:cs="Arial"/>
          <w:sz w:val="20"/>
          <w:szCs w:val="20"/>
        </w:rPr>
        <w:t xml:space="preserve"> </w:t>
      </w:r>
      <w:r w:rsidRPr="00495D04">
        <w:rPr>
          <w:rFonts w:ascii="Arial" w:hAnsi="Arial" w:cs="Arial"/>
          <w:sz w:val="20"/>
          <w:szCs w:val="20"/>
        </w:rPr>
        <w:t>x</w:t>
      </w:r>
      <w:r w:rsidR="00356E82">
        <w:rPr>
          <w:rFonts w:ascii="Arial" w:hAnsi="Arial" w:cs="Arial"/>
          <w:sz w:val="20"/>
          <w:szCs w:val="20"/>
        </w:rPr>
        <w:t xml:space="preserve"> </w:t>
      </w:r>
      <w:r w:rsidRPr="00495D04">
        <w:rPr>
          <w:rFonts w:ascii="Arial" w:hAnsi="Arial" w:cs="Arial"/>
          <w:sz w:val="20"/>
          <w:szCs w:val="20"/>
        </w:rPr>
        <w:t>25</w:t>
      </w:r>
      <w:r w:rsidR="002908D8">
        <w:rPr>
          <w:rFonts w:ascii="Arial" w:hAnsi="Arial" w:cs="Arial"/>
          <w:sz w:val="20"/>
          <w:szCs w:val="20"/>
        </w:rPr>
        <w:t> MHz</w:t>
      </w:r>
      <w:r w:rsidRPr="00495D04">
        <w:rPr>
          <w:rFonts w:ascii="Arial" w:hAnsi="Arial" w:cs="Arial"/>
          <w:sz w:val="20"/>
          <w:szCs w:val="20"/>
        </w:rPr>
        <w:t xml:space="preserve"> in 900</w:t>
      </w:r>
      <w:r w:rsidR="002908D8">
        <w:rPr>
          <w:rFonts w:ascii="Arial" w:hAnsi="Arial" w:cs="Arial"/>
          <w:sz w:val="20"/>
          <w:szCs w:val="20"/>
        </w:rPr>
        <w:t> MHz</w:t>
      </w:r>
      <w:r w:rsidRPr="00495D04">
        <w:rPr>
          <w:rFonts w:ascii="Arial" w:hAnsi="Arial" w:cs="Arial"/>
          <w:sz w:val="20"/>
          <w:szCs w:val="20"/>
        </w:rPr>
        <w:t>, and at least 2</w:t>
      </w:r>
      <w:r w:rsidR="00356E82">
        <w:rPr>
          <w:rFonts w:ascii="Arial" w:hAnsi="Arial" w:cs="Arial"/>
          <w:sz w:val="20"/>
          <w:szCs w:val="20"/>
        </w:rPr>
        <w:t xml:space="preserve"> </w:t>
      </w:r>
      <w:r w:rsidRPr="00495D04">
        <w:rPr>
          <w:rFonts w:ascii="Arial" w:hAnsi="Arial" w:cs="Arial"/>
          <w:sz w:val="20"/>
          <w:szCs w:val="20"/>
        </w:rPr>
        <w:t>x</w:t>
      </w:r>
      <w:r w:rsidR="00356E82">
        <w:rPr>
          <w:rFonts w:ascii="Arial" w:hAnsi="Arial" w:cs="Arial"/>
          <w:sz w:val="20"/>
          <w:szCs w:val="20"/>
        </w:rPr>
        <w:t xml:space="preserve"> </w:t>
      </w:r>
      <w:r w:rsidRPr="00495D04">
        <w:rPr>
          <w:rFonts w:ascii="Arial" w:hAnsi="Arial" w:cs="Arial"/>
          <w:sz w:val="20"/>
          <w:szCs w:val="20"/>
        </w:rPr>
        <w:t>10</w:t>
      </w:r>
      <w:r w:rsidR="002908D8">
        <w:rPr>
          <w:rFonts w:ascii="Arial" w:hAnsi="Arial" w:cs="Arial"/>
          <w:sz w:val="20"/>
          <w:szCs w:val="20"/>
        </w:rPr>
        <w:t> MHz</w:t>
      </w:r>
      <w:r w:rsidRPr="00495D04">
        <w:rPr>
          <w:rFonts w:ascii="Arial" w:hAnsi="Arial" w:cs="Arial"/>
          <w:sz w:val="20"/>
          <w:szCs w:val="20"/>
        </w:rPr>
        <w:t xml:space="preserve"> in the 850</w:t>
      </w:r>
      <w:r w:rsidR="002908D8">
        <w:rPr>
          <w:rFonts w:ascii="Arial" w:hAnsi="Arial" w:cs="Arial"/>
          <w:sz w:val="20"/>
          <w:szCs w:val="20"/>
        </w:rPr>
        <w:t> MHz</w:t>
      </w:r>
      <w:r w:rsidRPr="00495D04">
        <w:rPr>
          <w:rFonts w:ascii="Arial" w:hAnsi="Arial" w:cs="Arial"/>
          <w:sz w:val="20"/>
          <w:szCs w:val="20"/>
        </w:rPr>
        <w:t xml:space="preserve"> expansion band</w:t>
      </w:r>
      <w:r w:rsidR="003B52CB">
        <w:rPr>
          <w:rFonts w:ascii="Arial" w:hAnsi="Arial" w:cs="Arial"/>
          <w:sz w:val="20"/>
          <w:szCs w:val="20"/>
        </w:rPr>
        <w:t xml:space="preserve"> (</w:t>
      </w:r>
      <w:r w:rsidR="003B52CB" w:rsidRPr="003B52CB">
        <w:rPr>
          <w:rFonts w:ascii="Arial" w:hAnsi="Arial" w:cs="Arial"/>
          <w:sz w:val="20"/>
          <w:szCs w:val="20"/>
        </w:rPr>
        <w:t>809–824/854–869 MHz)</w:t>
      </w:r>
      <w:r w:rsidRPr="00495D04">
        <w:rPr>
          <w:rFonts w:ascii="Arial" w:hAnsi="Arial" w:cs="Arial"/>
          <w:sz w:val="20"/>
          <w:szCs w:val="20"/>
        </w:rPr>
        <w:t xml:space="preserve">) </w:t>
      </w:r>
      <w:r w:rsidR="00E1283A">
        <w:rPr>
          <w:rFonts w:ascii="Arial" w:hAnsi="Arial" w:cs="Arial"/>
          <w:sz w:val="20"/>
          <w:szCs w:val="20"/>
        </w:rPr>
        <w:t xml:space="preserve">being </w:t>
      </w:r>
      <w:r w:rsidRPr="00495D04">
        <w:rPr>
          <w:rFonts w:ascii="Arial" w:hAnsi="Arial" w:cs="Arial"/>
          <w:sz w:val="20"/>
          <w:szCs w:val="20"/>
        </w:rPr>
        <w:t>allocated as spectrum licences via price-based allocation (PBA), with those licences beginning soon after the allocation. However, this option also extend</w:t>
      </w:r>
      <w:r w:rsidR="008F2D60">
        <w:rPr>
          <w:rFonts w:ascii="Arial" w:hAnsi="Arial" w:cs="Arial"/>
          <w:sz w:val="20"/>
          <w:szCs w:val="20"/>
        </w:rPr>
        <w:t>s</w:t>
      </w:r>
      <w:r w:rsidRPr="00495D04">
        <w:rPr>
          <w:rFonts w:ascii="Arial" w:hAnsi="Arial" w:cs="Arial"/>
          <w:sz w:val="20"/>
          <w:szCs w:val="20"/>
        </w:rPr>
        <w:t xml:space="preserve"> the clearance date for existing apparatus licences in the 900</w:t>
      </w:r>
      <w:r w:rsidR="002908D8">
        <w:rPr>
          <w:rFonts w:ascii="Arial" w:hAnsi="Arial" w:cs="Arial"/>
          <w:sz w:val="20"/>
          <w:szCs w:val="20"/>
        </w:rPr>
        <w:t> MHz</w:t>
      </w:r>
      <w:r w:rsidRPr="00495D04">
        <w:rPr>
          <w:rFonts w:ascii="Arial" w:hAnsi="Arial" w:cs="Arial"/>
          <w:sz w:val="20"/>
          <w:szCs w:val="20"/>
        </w:rPr>
        <w:t xml:space="preserve"> band to 2024 to align with the full clearance of the 850</w:t>
      </w:r>
      <w:r w:rsidR="002908D8">
        <w:rPr>
          <w:rFonts w:ascii="Arial" w:hAnsi="Arial" w:cs="Arial"/>
          <w:sz w:val="20"/>
          <w:szCs w:val="20"/>
        </w:rPr>
        <w:t> MHz</w:t>
      </w:r>
      <w:r w:rsidRPr="00495D04">
        <w:rPr>
          <w:rFonts w:ascii="Arial" w:hAnsi="Arial" w:cs="Arial"/>
          <w:sz w:val="20"/>
          <w:szCs w:val="20"/>
        </w:rPr>
        <w:t xml:space="preserve"> expansion band licences. </w:t>
      </w:r>
    </w:p>
    <w:p w14:paraId="7964A285" w14:textId="385CF295" w:rsidR="00495D04" w:rsidRPr="00495D04" w:rsidRDefault="00495D04" w:rsidP="00495D04">
      <w:pPr>
        <w:pStyle w:val="ListParagraph"/>
        <w:widowControl w:val="0"/>
        <w:numPr>
          <w:ilvl w:val="0"/>
          <w:numId w:val="42"/>
        </w:numPr>
        <w:ind w:left="357" w:hanging="357"/>
        <w:contextualSpacing w:val="0"/>
        <w:rPr>
          <w:rFonts w:ascii="Arial" w:hAnsi="Arial" w:cs="Arial"/>
          <w:sz w:val="20"/>
          <w:szCs w:val="20"/>
        </w:rPr>
      </w:pPr>
      <w:r w:rsidRPr="00495D04">
        <w:rPr>
          <w:rFonts w:ascii="Arial" w:hAnsi="Arial" w:cs="Arial"/>
          <w:sz w:val="20"/>
          <w:szCs w:val="20"/>
        </w:rPr>
        <w:t xml:space="preserve">The </w:t>
      </w:r>
      <w:r w:rsidR="008B15D9">
        <w:rPr>
          <w:rFonts w:ascii="Arial" w:hAnsi="Arial" w:cs="Arial"/>
          <w:sz w:val="20"/>
          <w:szCs w:val="20"/>
        </w:rPr>
        <w:t>‘h</w:t>
      </w:r>
      <w:r w:rsidRPr="00495D04">
        <w:rPr>
          <w:rFonts w:ascii="Arial" w:hAnsi="Arial" w:cs="Arial"/>
          <w:sz w:val="20"/>
          <w:szCs w:val="20"/>
        </w:rPr>
        <w:t>ybrid</w:t>
      </w:r>
      <w:r w:rsidR="008B15D9">
        <w:rPr>
          <w:rFonts w:ascii="Arial" w:hAnsi="Arial" w:cs="Arial"/>
          <w:sz w:val="20"/>
          <w:szCs w:val="20"/>
        </w:rPr>
        <w:t>’</w:t>
      </w:r>
      <w:r w:rsidRPr="00495D04">
        <w:rPr>
          <w:rFonts w:ascii="Arial" w:hAnsi="Arial" w:cs="Arial"/>
          <w:sz w:val="20"/>
          <w:szCs w:val="20"/>
        </w:rPr>
        <w:t xml:space="preserve"> option involves administrative allocation (via conversion to spectrum licensing) of a 2</w:t>
      </w:r>
      <w:r w:rsidR="00356E82">
        <w:rPr>
          <w:rFonts w:ascii="Arial" w:hAnsi="Arial" w:cs="Arial"/>
          <w:sz w:val="20"/>
          <w:szCs w:val="20"/>
        </w:rPr>
        <w:t xml:space="preserve"> </w:t>
      </w:r>
      <w:r w:rsidRPr="00495D04">
        <w:rPr>
          <w:rFonts w:ascii="Arial" w:hAnsi="Arial" w:cs="Arial"/>
          <w:sz w:val="20"/>
          <w:szCs w:val="20"/>
        </w:rPr>
        <w:t>x</w:t>
      </w:r>
      <w:r w:rsidR="00356E82">
        <w:rPr>
          <w:rFonts w:ascii="Arial" w:hAnsi="Arial" w:cs="Arial"/>
          <w:sz w:val="20"/>
          <w:szCs w:val="20"/>
        </w:rPr>
        <w:t xml:space="preserve"> </w:t>
      </w:r>
      <w:r w:rsidRPr="00495D04">
        <w:rPr>
          <w:rFonts w:ascii="Arial" w:hAnsi="Arial" w:cs="Arial"/>
          <w:sz w:val="20"/>
          <w:szCs w:val="20"/>
        </w:rPr>
        <w:t>5</w:t>
      </w:r>
      <w:r w:rsidR="002908D8">
        <w:rPr>
          <w:rFonts w:ascii="Arial" w:hAnsi="Arial" w:cs="Arial"/>
          <w:sz w:val="20"/>
          <w:szCs w:val="20"/>
        </w:rPr>
        <w:t> MHz</w:t>
      </w:r>
      <w:r w:rsidRPr="00495D04">
        <w:rPr>
          <w:rFonts w:ascii="Arial" w:hAnsi="Arial" w:cs="Arial"/>
          <w:sz w:val="20"/>
          <w:szCs w:val="20"/>
        </w:rPr>
        <w:t xml:space="preserve"> block to each of the three incumbent 900</w:t>
      </w:r>
      <w:r w:rsidR="002908D8">
        <w:rPr>
          <w:rFonts w:ascii="Arial" w:hAnsi="Arial" w:cs="Arial"/>
          <w:sz w:val="20"/>
          <w:szCs w:val="20"/>
        </w:rPr>
        <w:t> MHz</w:t>
      </w:r>
      <w:r w:rsidRPr="00495D04">
        <w:rPr>
          <w:rFonts w:ascii="Arial" w:hAnsi="Arial" w:cs="Arial"/>
          <w:sz w:val="20"/>
          <w:szCs w:val="20"/>
        </w:rPr>
        <w:t xml:space="preserve"> licensees</w:t>
      </w:r>
      <w:r w:rsidR="001D1826">
        <w:rPr>
          <w:rFonts w:ascii="Arial" w:hAnsi="Arial" w:cs="Arial"/>
          <w:sz w:val="20"/>
          <w:szCs w:val="20"/>
        </w:rPr>
        <w:t xml:space="preserve"> </w:t>
      </w:r>
      <w:r w:rsidR="001D1826" w:rsidRPr="001D1826">
        <w:rPr>
          <w:rFonts w:ascii="Arial" w:hAnsi="Arial" w:cs="Arial"/>
          <w:sz w:val="20"/>
          <w:szCs w:val="20"/>
        </w:rPr>
        <w:t xml:space="preserve">(which may require the ACMA to </w:t>
      </w:r>
      <w:r w:rsidR="001D1826">
        <w:rPr>
          <w:rFonts w:ascii="Arial" w:hAnsi="Arial" w:cs="Arial"/>
          <w:sz w:val="20"/>
          <w:szCs w:val="20"/>
        </w:rPr>
        <w:t xml:space="preserve">initially </w:t>
      </w:r>
      <w:r w:rsidR="001D1826" w:rsidRPr="001D1826">
        <w:rPr>
          <w:rFonts w:ascii="Arial" w:hAnsi="Arial" w:cs="Arial"/>
          <w:sz w:val="20"/>
          <w:szCs w:val="20"/>
        </w:rPr>
        <w:t>rationalise the apparatus licensed spectrum holdings of incumbent licensees)</w:t>
      </w:r>
      <w:r w:rsidRPr="00495D04">
        <w:rPr>
          <w:rFonts w:ascii="Arial" w:hAnsi="Arial" w:cs="Arial"/>
          <w:sz w:val="20"/>
          <w:szCs w:val="20"/>
        </w:rPr>
        <w:t>, as well as an auction of the remaining 2</w:t>
      </w:r>
      <w:r w:rsidR="00356E82">
        <w:rPr>
          <w:rFonts w:ascii="Arial" w:hAnsi="Arial" w:cs="Arial"/>
          <w:sz w:val="20"/>
          <w:szCs w:val="20"/>
        </w:rPr>
        <w:t xml:space="preserve"> </w:t>
      </w:r>
      <w:r w:rsidRPr="00495D04">
        <w:rPr>
          <w:rFonts w:ascii="Arial" w:hAnsi="Arial" w:cs="Arial"/>
          <w:sz w:val="20"/>
          <w:szCs w:val="20"/>
        </w:rPr>
        <w:t>x</w:t>
      </w:r>
      <w:r w:rsidR="00356E82">
        <w:rPr>
          <w:rFonts w:ascii="Arial" w:hAnsi="Arial" w:cs="Arial"/>
          <w:sz w:val="20"/>
          <w:szCs w:val="20"/>
        </w:rPr>
        <w:t xml:space="preserve"> </w:t>
      </w:r>
      <w:r w:rsidRPr="00495D04">
        <w:rPr>
          <w:rFonts w:ascii="Arial" w:hAnsi="Arial" w:cs="Arial"/>
          <w:sz w:val="20"/>
          <w:szCs w:val="20"/>
        </w:rPr>
        <w:t>10</w:t>
      </w:r>
      <w:r w:rsidR="002908D8">
        <w:rPr>
          <w:rFonts w:ascii="Arial" w:hAnsi="Arial" w:cs="Arial"/>
          <w:sz w:val="20"/>
          <w:szCs w:val="20"/>
        </w:rPr>
        <w:t> MHz</w:t>
      </w:r>
      <w:r w:rsidRPr="00495D04">
        <w:rPr>
          <w:rFonts w:ascii="Arial" w:hAnsi="Arial" w:cs="Arial"/>
          <w:sz w:val="20"/>
          <w:szCs w:val="20"/>
        </w:rPr>
        <w:t xml:space="preserve"> (combined with the auction of the 850</w:t>
      </w:r>
      <w:r w:rsidR="002908D8">
        <w:rPr>
          <w:rFonts w:ascii="Arial" w:hAnsi="Arial" w:cs="Arial"/>
          <w:sz w:val="20"/>
          <w:szCs w:val="20"/>
        </w:rPr>
        <w:t> MHz</w:t>
      </w:r>
      <w:r w:rsidRPr="00495D04">
        <w:rPr>
          <w:rFonts w:ascii="Arial" w:hAnsi="Arial" w:cs="Arial"/>
          <w:sz w:val="20"/>
          <w:szCs w:val="20"/>
        </w:rPr>
        <w:t xml:space="preserve"> </w:t>
      </w:r>
      <w:r w:rsidR="00BE1B22">
        <w:rPr>
          <w:rFonts w:ascii="Arial" w:hAnsi="Arial" w:cs="Arial"/>
          <w:sz w:val="20"/>
          <w:szCs w:val="20"/>
        </w:rPr>
        <w:t xml:space="preserve">expansion </w:t>
      </w:r>
      <w:r w:rsidRPr="00495D04">
        <w:rPr>
          <w:rFonts w:ascii="Arial" w:hAnsi="Arial" w:cs="Arial"/>
          <w:sz w:val="20"/>
          <w:szCs w:val="20"/>
        </w:rPr>
        <w:t xml:space="preserve">band). </w:t>
      </w:r>
      <w:r w:rsidR="00F722B1">
        <w:rPr>
          <w:rFonts w:ascii="Arial" w:hAnsi="Arial" w:cs="Arial"/>
          <w:sz w:val="20"/>
          <w:szCs w:val="20"/>
        </w:rPr>
        <w:t>This means</w:t>
      </w:r>
      <w:r>
        <w:rPr>
          <w:rFonts w:ascii="Arial" w:hAnsi="Arial" w:cs="Arial"/>
          <w:sz w:val="20"/>
          <w:szCs w:val="20"/>
        </w:rPr>
        <w:t xml:space="preserve"> one 2</w:t>
      </w:r>
      <w:r w:rsidR="00356E82">
        <w:rPr>
          <w:rFonts w:ascii="Arial" w:hAnsi="Arial" w:cs="Arial"/>
          <w:sz w:val="20"/>
          <w:szCs w:val="20"/>
        </w:rPr>
        <w:t xml:space="preserve"> </w:t>
      </w:r>
      <w:r>
        <w:rPr>
          <w:rFonts w:ascii="Arial" w:hAnsi="Arial" w:cs="Arial"/>
          <w:sz w:val="20"/>
          <w:szCs w:val="20"/>
        </w:rPr>
        <w:t>x</w:t>
      </w:r>
      <w:r w:rsidR="00356E82">
        <w:rPr>
          <w:rFonts w:ascii="Arial" w:hAnsi="Arial" w:cs="Arial"/>
          <w:sz w:val="20"/>
          <w:szCs w:val="20"/>
        </w:rPr>
        <w:t xml:space="preserve"> </w:t>
      </w:r>
      <w:r>
        <w:rPr>
          <w:rFonts w:ascii="Arial" w:hAnsi="Arial" w:cs="Arial"/>
          <w:sz w:val="20"/>
          <w:szCs w:val="20"/>
        </w:rPr>
        <w:t>5</w:t>
      </w:r>
      <w:r w:rsidR="002908D8">
        <w:rPr>
          <w:rFonts w:ascii="Arial" w:hAnsi="Arial" w:cs="Arial"/>
          <w:sz w:val="20"/>
          <w:szCs w:val="20"/>
        </w:rPr>
        <w:t> MHz</w:t>
      </w:r>
      <w:r>
        <w:rPr>
          <w:rFonts w:ascii="Arial" w:hAnsi="Arial" w:cs="Arial"/>
          <w:sz w:val="20"/>
          <w:szCs w:val="20"/>
        </w:rPr>
        <w:t xml:space="preserve"> lot </w:t>
      </w:r>
      <w:r w:rsidR="008F2D60">
        <w:rPr>
          <w:rFonts w:ascii="Arial" w:hAnsi="Arial" w:cs="Arial"/>
          <w:sz w:val="20"/>
          <w:szCs w:val="20"/>
        </w:rPr>
        <w:t xml:space="preserve">is </w:t>
      </w:r>
      <w:r w:rsidRPr="00495D04">
        <w:rPr>
          <w:rFonts w:ascii="Arial" w:hAnsi="Arial" w:cs="Arial"/>
          <w:sz w:val="20"/>
          <w:szCs w:val="20"/>
        </w:rPr>
        <w:t>administratively allocated to each of the three incumbent licensees, putting the intermediate (blocks 2 and 4) blocks to market</w:t>
      </w:r>
      <w:r w:rsidR="00764606">
        <w:rPr>
          <w:rFonts w:ascii="Arial" w:hAnsi="Arial" w:cs="Arial"/>
          <w:sz w:val="20"/>
          <w:szCs w:val="20"/>
        </w:rPr>
        <w:t xml:space="preserve"> (see Figure 1)</w:t>
      </w:r>
      <w:r w:rsidRPr="00495D04">
        <w:rPr>
          <w:rFonts w:ascii="Arial" w:hAnsi="Arial" w:cs="Arial"/>
          <w:sz w:val="20"/>
          <w:szCs w:val="20"/>
        </w:rPr>
        <w:t>.</w:t>
      </w:r>
      <w:r w:rsidR="001D1826">
        <w:rPr>
          <w:rStyle w:val="FootnoteReference"/>
          <w:rFonts w:cs="Arial"/>
          <w:sz w:val="20"/>
          <w:szCs w:val="20"/>
        </w:rPr>
        <w:footnoteReference w:id="4"/>
      </w:r>
    </w:p>
    <w:p w14:paraId="7C373797" w14:textId="60D3193D" w:rsidR="008F2D60" w:rsidRPr="00337EA4" w:rsidRDefault="008F2D60" w:rsidP="008F2D60">
      <w:pPr>
        <w:pStyle w:val="ACMAFigureHeader"/>
      </w:pPr>
      <w:r w:rsidRPr="00337EA4">
        <w:t xml:space="preserve">Current </w:t>
      </w:r>
      <w:r w:rsidRPr="00605625">
        <w:t>and</w:t>
      </w:r>
      <w:r w:rsidRPr="00337EA4">
        <w:t xml:space="preserve"> proposed arrangements for the base-receive component of the 890</w:t>
      </w:r>
      <w:r>
        <w:t>–</w:t>
      </w:r>
      <w:r w:rsidRPr="00337EA4">
        <w:t>915/935</w:t>
      </w:r>
      <w:r>
        <w:t>–</w:t>
      </w:r>
      <w:r w:rsidRPr="00337EA4">
        <w:t>960</w:t>
      </w:r>
      <w:r>
        <w:t> MHz</w:t>
      </w:r>
      <w:r w:rsidRPr="00337EA4">
        <w:t xml:space="preserve"> band (the band is planned as an FDD pair and the corresponding base-transmit frequencies are 45</w:t>
      </w:r>
      <w:r>
        <w:t> MHz</w:t>
      </w:r>
      <w:r w:rsidRPr="00337EA4">
        <w:t xml:space="preserve"> higher, i</w:t>
      </w:r>
      <w:r>
        <w:t>.</w:t>
      </w:r>
      <w:r w:rsidRPr="00337EA4">
        <w:t>e. 935</w:t>
      </w:r>
      <w:r>
        <w:t>–</w:t>
      </w:r>
      <w:r w:rsidRPr="00337EA4">
        <w:t>960</w:t>
      </w:r>
      <w:r>
        <w:t> MHz</w:t>
      </w:r>
      <w:r w:rsidRPr="00337EA4">
        <w:t xml:space="preserve">) </w:t>
      </w:r>
    </w:p>
    <w:p w14:paraId="01B4E277" w14:textId="350CF3FC" w:rsidR="008F2D60" w:rsidRDefault="008F2D60" w:rsidP="00A3383B">
      <w:pPr>
        <w:widowControl w:val="0"/>
      </w:pPr>
      <w:r w:rsidRPr="00337EA4">
        <w:rPr>
          <w:noProof/>
        </w:rPr>
        <w:drawing>
          <wp:inline distT="0" distB="0" distL="0" distR="0" wp14:anchorId="4CF8DBC5" wp14:editId="1D519907">
            <wp:extent cx="4871085" cy="2191385"/>
            <wp:effectExtent l="0" t="0" r="5715" b="0"/>
            <wp:docPr id="6" name="Picture 6" title="Current and proposed arrangements for the base-receive component of the 890–915/935–960 MHz band (the band is planned as an FDD pair and the corresponding base-transmit frequencies are 45 MHz higher, ie. 935–960 MHz)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71085" cy="2191385"/>
                    </a:xfrm>
                    <a:prstGeom prst="rect">
                      <a:avLst/>
                    </a:prstGeom>
                    <a:noFill/>
                    <a:ln>
                      <a:noFill/>
                    </a:ln>
                  </pic:spPr>
                </pic:pic>
              </a:graphicData>
            </a:graphic>
          </wp:inline>
        </w:drawing>
      </w:r>
    </w:p>
    <w:p w14:paraId="26CF6BEA" w14:textId="40F97EBC" w:rsidR="009E7B5E" w:rsidRDefault="00BC5D35" w:rsidP="00A3383B">
      <w:pPr>
        <w:widowControl w:val="0"/>
      </w:pPr>
      <w:r>
        <w:t xml:space="preserve">In considering the preferred approach to reconfiguring the band, </w:t>
      </w:r>
      <w:r w:rsidR="00B6607E">
        <w:t xml:space="preserve">the </w:t>
      </w:r>
      <w:r>
        <w:t xml:space="preserve">ACMA is guided by the </w:t>
      </w:r>
      <w:r w:rsidR="00B6607E">
        <w:t xml:space="preserve">objects of the </w:t>
      </w:r>
      <w:r w:rsidR="00B6607E" w:rsidRPr="00B6607E">
        <w:rPr>
          <w:i/>
        </w:rPr>
        <w:t>Radiocommunications Act 1992</w:t>
      </w:r>
      <w:r w:rsidR="001D1826">
        <w:rPr>
          <w:i/>
        </w:rPr>
        <w:t xml:space="preserve"> </w:t>
      </w:r>
      <w:r w:rsidR="001D1826">
        <w:t>(the ‘Act’)</w:t>
      </w:r>
      <w:r>
        <w:t>,</w:t>
      </w:r>
      <w:r w:rsidR="00B6607E">
        <w:t xml:space="preserve"> </w:t>
      </w:r>
      <w:r w:rsidR="00741678">
        <w:t xml:space="preserve">as well as the </w:t>
      </w:r>
      <w:hyperlink r:id="rId26" w:history="1">
        <w:r w:rsidR="00741678" w:rsidRPr="00CD4B3C">
          <w:rPr>
            <w:rStyle w:val="Hyperlink"/>
          </w:rPr>
          <w:t xml:space="preserve">Principles </w:t>
        </w:r>
        <w:r w:rsidR="002A4C91" w:rsidRPr="00CD4B3C">
          <w:rPr>
            <w:rStyle w:val="Hyperlink"/>
          </w:rPr>
          <w:t xml:space="preserve">for </w:t>
        </w:r>
        <w:r w:rsidR="00EB6BE0" w:rsidRPr="00CD4B3C">
          <w:rPr>
            <w:rStyle w:val="Hyperlink"/>
          </w:rPr>
          <w:t>s</w:t>
        </w:r>
        <w:r w:rsidR="00741678" w:rsidRPr="00CD4B3C">
          <w:rPr>
            <w:rStyle w:val="Hyperlink"/>
          </w:rPr>
          <w:t xml:space="preserve">pectrum </w:t>
        </w:r>
        <w:r w:rsidR="00EB6BE0" w:rsidRPr="00CD4B3C">
          <w:rPr>
            <w:rStyle w:val="Hyperlink"/>
          </w:rPr>
          <w:t>m</w:t>
        </w:r>
        <w:r w:rsidR="00741678" w:rsidRPr="00CD4B3C">
          <w:rPr>
            <w:rStyle w:val="Hyperlink"/>
          </w:rPr>
          <w:t>anagement</w:t>
        </w:r>
      </w:hyperlink>
      <w:r w:rsidR="00741678">
        <w:t xml:space="preserve">. </w:t>
      </w:r>
    </w:p>
    <w:p w14:paraId="586AE0A0" w14:textId="4D8D6C14" w:rsidR="00A3383B" w:rsidRPr="00B20D14" w:rsidRDefault="009E7B5E" w:rsidP="00BE73AB">
      <w:pPr>
        <w:widowControl w:val="0"/>
        <w:spacing w:after="80"/>
      </w:pPr>
      <w:r w:rsidRPr="009E7B5E">
        <w:t xml:space="preserve">In addition, </w:t>
      </w:r>
      <w:r>
        <w:t xml:space="preserve">the </w:t>
      </w:r>
      <w:r w:rsidRPr="009E7B5E">
        <w:t xml:space="preserve">ACMA </w:t>
      </w:r>
      <w:r>
        <w:t xml:space="preserve">has </w:t>
      </w:r>
      <w:r w:rsidRPr="009E7B5E">
        <w:t xml:space="preserve">identified a set of outcomes from the proposed reconfiguration process that could be used to assess the success of the reform. </w:t>
      </w:r>
      <w:r w:rsidR="00A3383B">
        <w:t>T</w:t>
      </w:r>
      <w:r w:rsidR="00A3383B" w:rsidRPr="00B20D14">
        <w:t xml:space="preserve">o be considered an effective reform process, the reconfiguration of the band </w:t>
      </w:r>
      <w:r w:rsidR="00A3383B">
        <w:t>should</w:t>
      </w:r>
      <w:r w:rsidR="00A3383B" w:rsidRPr="00B20D14">
        <w:t>:</w:t>
      </w:r>
    </w:p>
    <w:p w14:paraId="173841C1" w14:textId="17DF7D9A" w:rsidR="00A3383B" w:rsidRDefault="00A3383B" w:rsidP="00A3383B">
      <w:pPr>
        <w:pStyle w:val="ListBullet"/>
        <w:widowControl w:val="0"/>
        <w:numPr>
          <w:ilvl w:val="0"/>
          <w:numId w:val="1"/>
        </w:numPr>
        <w:spacing w:after="164"/>
        <w:rPr>
          <w:rFonts w:cs="Arial"/>
          <w:szCs w:val="20"/>
        </w:rPr>
      </w:pPr>
      <w:r w:rsidRPr="00F94039">
        <w:rPr>
          <w:rFonts w:cs="Arial"/>
          <w:szCs w:val="20"/>
        </w:rPr>
        <w:t xml:space="preserve">result in the band being spectrum licensed </w:t>
      </w:r>
    </w:p>
    <w:p w14:paraId="643F449B" w14:textId="3987F3AF" w:rsidR="00A3383B" w:rsidRDefault="00A3383B" w:rsidP="00A3383B">
      <w:pPr>
        <w:pStyle w:val="ListBullet"/>
        <w:widowControl w:val="0"/>
        <w:numPr>
          <w:ilvl w:val="0"/>
          <w:numId w:val="1"/>
        </w:numPr>
        <w:spacing w:after="164"/>
        <w:rPr>
          <w:rFonts w:cs="Arial"/>
          <w:szCs w:val="20"/>
        </w:rPr>
      </w:pPr>
      <w:r w:rsidRPr="00F94039">
        <w:rPr>
          <w:rFonts w:cs="Arial"/>
          <w:szCs w:val="20"/>
        </w:rPr>
        <w:t>facilitate the 1</w:t>
      </w:r>
      <w:r w:rsidR="002908D8">
        <w:rPr>
          <w:rFonts w:cs="Arial"/>
          <w:szCs w:val="20"/>
        </w:rPr>
        <w:t> MHz</w:t>
      </w:r>
      <w:r w:rsidRPr="00F94039">
        <w:rPr>
          <w:rFonts w:cs="Arial"/>
          <w:szCs w:val="20"/>
        </w:rPr>
        <w:t xml:space="preserve"> downshift in the 800</w:t>
      </w:r>
      <w:r w:rsidR="002908D8">
        <w:rPr>
          <w:rFonts w:cs="Arial"/>
          <w:szCs w:val="20"/>
        </w:rPr>
        <w:t> MHz</w:t>
      </w:r>
      <w:r w:rsidRPr="00F94039">
        <w:rPr>
          <w:rFonts w:cs="Arial"/>
          <w:szCs w:val="20"/>
        </w:rPr>
        <w:t xml:space="preserve"> spectrum licences</w:t>
      </w:r>
      <w:r w:rsidR="00537BFF">
        <w:rPr>
          <w:rFonts w:cs="Arial"/>
          <w:szCs w:val="20"/>
        </w:rPr>
        <w:t xml:space="preserve"> by allocating the 2</w:t>
      </w:r>
      <w:r w:rsidR="004A3A6C">
        <w:rPr>
          <w:rFonts w:cs="Arial"/>
          <w:szCs w:val="20"/>
        </w:rPr>
        <w:t xml:space="preserve"> </w:t>
      </w:r>
      <w:r w:rsidR="00537BFF">
        <w:rPr>
          <w:rFonts w:cs="Arial"/>
          <w:szCs w:val="20"/>
        </w:rPr>
        <w:t>x</w:t>
      </w:r>
      <w:r w:rsidR="004A3A6C">
        <w:rPr>
          <w:rFonts w:cs="Arial"/>
          <w:szCs w:val="20"/>
        </w:rPr>
        <w:t xml:space="preserve"> </w:t>
      </w:r>
      <w:r w:rsidR="00537BFF">
        <w:rPr>
          <w:rFonts w:cs="Arial"/>
          <w:szCs w:val="20"/>
        </w:rPr>
        <w:t>1</w:t>
      </w:r>
      <w:r w:rsidR="002908D8">
        <w:rPr>
          <w:rFonts w:cs="Arial"/>
          <w:szCs w:val="20"/>
        </w:rPr>
        <w:t> MHz</w:t>
      </w:r>
      <w:r w:rsidR="00537BFF">
        <w:rPr>
          <w:rFonts w:cs="Arial"/>
          <w:szCs w:val="20"/>
        </w:rPr>
        <w:t xml:space="preserve"> that is </w:t>
      </w:r>
      <w:r w:rsidR="00F77E74">
        <w:rPr>
          <w:rFonts w:cs="Arial"/>
          <w:szCs w:val="20"/>
        </w:rPr>
        <w:t>below</w:t>
      </w:r>
      <w:r w:rsidR="00537BFF">
        <w:rPr>
          <w:rFonts w:cs="Arial"/>
          <w:szCs w:val="20"/>
        </w:rPr>
        <w:t xml:space="preserve"> the 850</w:t>
      </w:r>
      <w:r w:rsidR="002908D8">
        <w:rPr>
          <w:rFonts w:cs="Arial"/>
          <w:szCs w:val="20"/>
        </w:rPr>
        <w:t> MHz</w:t>
      </w:r>
      <w:r w:rsidR="00537BFF">
        <w:rPr>
          <w:rFonts w:cs="Arial"/>
          <w:szCs w:val="20"/>
        </w:rPr>
        <w:t xml:space="preserve"> spectrum licences (there</w:t>
      </w:r>
      <w:r>
        <w:rPr>
          <w:rFonts w:cs="Arial"/>
          <w:szCs w:val="20"/>
        </w:rPr>
        <w:t>by removing a key regulatory impediment</w:t>
      </w:r>
      <w:r w:rsidR="00537BFF">
        <w:rPr>
          <w:rFonts w:cs="Arial"/>
          <w:szCs w:val="20"/>
        </w:rPr>
        <w:t xml:space="preserve"> to achieving the downshift)</w:t>
      </w:r>
    </w:p>
    <w:p w14:paraId="6A37D0B0" w14:textId="46A6F487" w:rsidR="00A3383B" w:rsidRDefault="00A3383B" w:rsidP="00A3383B">
      <w:pPr>
        <w:pStyle w:val="ListBullet"/>
        <w:widowControl w:val="0"/>
        <w:numPr>
          <w:ilvl w:val="0"/>
          <w:numId w:val="1"/>
        </w:numPr>
        <w:spacing w:after="164"/>
        <w:rPr>
          <w:rFonts w:cs="Arial"/>
          <w:szCs w:val="20"/>
        </w:rPr>
      </w:pPr>
      <w:r w:rsidRPr="00F94039">
        <w:rPr>
          <w:rFonts w:cs="Arial"/>
          <w:szCs w:val="20"/>
        </w:rPr>
        <w:t>result in the band being configured in 5</w:t>
      </w:r>
      <w:r w:rsidR="002908D8">
        <w:rPr>
          <w:rFonts w:cs="Arial"/>
          <w:szCs w:val="20"/>
        </w:rPr>
        <w:t> MHz</w:t>
      </w:r>
      <w:r w:rsidRPr="00F94039">
        <w:rPr>
          <w:rFonts w:cs="Arial"/>
          <w:szCs w:val="20"/>
        </w:rPr>
        <w:t xml:space="preserve"> channels</w:t>
      </w:r>
    </w:p>
    <w:p w14:paraId="7A4DDCBB" w14:textId="73E22E52" w:rsidR="00A3383B" w:rsidRDefault="00A3383B" w:rsidP="00A3383B">
      <w:pPr>
        <w:pStyle w:val="ListBullet"/>
        <w:widowControl w:val="0"/>
        <w:numPr>
          <w:ilvl w:val="0"/>
          <w:numId w:val="1"/>
        </w:numPr>
        <w:spacing w:after="164"/>
        <w:rPr>
          <w:rFonts w:cs="Arial"/>
          <w:szCs w:val="20"/>
        </w:rPr>
      </w:pPr>
      <w:r w:rsidRPr="00F94039">
        <w:rPr>
          <w:rFonts w:cs="Arial"/>
          <w:szCs w:val="20"/>
        </w:rPr>
        <w:t xml:space="preserve">result in licensees being charged a market price, or </w:t>
      </w:r>
      <w:r w:rsidR="00360153">
        <w:rPr>
          <w:rFonts w:cs="Arial"/>
          <w:szCs w:val="20"/>
        </w:rPr>
        <w:t xml:space="preserve">a price informed by </w:t>
      </w:r>
      <w:r w:rsidR="006539F6">
        <w:rPr>
          <w:rFonts w:cs="Arial"/>
          <w:szCs w:val="20"/>
        </w:rPr>
        <w:t xml:space="preserve">relevant </w:t>
      </w:r>
      <w:r w:rsidR="00360153">
        <w:rPr>
          <w:rFonts w:cs="Arial"/>
          <w:szCs w:val="20"/>
        </w:rPr>
        <w:t xml:space="preserve">market </w:t>
      </w:r>
      <w:r w:rsidR="006539F6">
        <w:rPr>
          <w:rFonts w:cs="Arial"/>
          <w:szCs w:val="20"/>
        </w:rPr>
        <w:t>outcomes</w:t>
      </w:r>
    </w:p>
    <w:p w14:paraId="05128AA1" w14:textId="017C7595" w:rsidR="00D63DBA" w:rsidRDefault="00A3383B" w:rsidP="00BE73AB">
      <w:pPr>
        <w:pStyle w:val="ListBulletLast"/>
      </w:pPr>
      <w:r w:rsidRPr="00F94039">
        <w:t xml:space="preserve">enable licensees to mitigate risks to </w:t>
      </w:r>
      <w:r w:rsidR="00F47B4E">
        <w:t xml:space="preserve">the continuity of </w:t>
      </w:r>
      <w:r w:rsidRPr="00F94039">
        <w:t>consumer services.</w:t>
      </w:r>
    </w:p>
    <w:p w14:paraId="49713734" w14:textId="6C1D87C5" w:rsidR="00764606" w:rsidRPr="00C81666" w:rsidRDefault="00764606" w:rsidP="007E24A2">
      <w:pPr>
        <w:widowControl w:val="0"/>
      </w:pPr>
      <w:r>
        <w:t xml:space="preserve">A </w:t>
      </w:r>
      <w:r w:rsidRPr="00C81666">
        <w:t xml:space="preserve">method of allocation </w:t>
      </w:r>
      <w:r>
        <w:t xml:space="preserve">that supports a </w:t>
      </w:r>
      <w:r w:rsidRPr="00C81666">
        <w:t>move to larger contiguous bandwidths</w:t>
      </w:r>
      <w:r>
        <w:t xml:space="preserve"> is </w:t>
      </w:r>
      <w:r w:rsidRPr="00C81666">
        <w:t>expected to lead to an increase in technical efficiency.</w:t>
      </w:r>
      <w:r w:rsidR="00F47B4E">
        <w:t xml:space="preserve"> </w:t>
      </w:r>
    </w:p>
    <w:p w14:paraId="390F38A1" w14:textId="46FDF570" w:rsidR="00764606" w:rsidRDefault="00764606" w:rsidP="007E24A2">
      <w:pPr>
        <w:widowControl w:val="0"/>
      </w:pPr>
      <w:bookmarkStart w:id="5" w:name="_Hlk3897279"/>
      <w:r>
        <w:t xml:space="preserve">Of the options outlined in this paper, the ACMA considers the </w:t>
      </w:r>
      <w:r w:rsidRPr="00BF23E2">
        <w:t>‘</w:t>
      </w:r>
      <w:r w:rsidR="004A3A6C">
        <w:t>e</w:t>
      </w:r>
      <w:r w:rsidRPr="00BF23E2">
        <w:t>ncumbered auction’ option</w:t>
      </w:r>
      <w:r w:rsidRPr="00FF03E2">
        <w:t xml:space="preserve"> </w:t>
      </w:r>
      <w:r w:rsidR="00CF13D3">
        <w:t>to be</w:t>
      </w:r>
      <w:r>
        <w:t xml:space="preserve"> the approach that </w:t>
      </w:r>
      <w:r w:rsidR="008F0067">
        <w:t xml:space="preserve">best </w:t>
      </w:r>
      <w:r>
        <w:t xml:space="preserve">meets the objectives of the reform, and also is more likely to achieve the broader policy objectives. </w:t>
      </w:r>
      <w:bookmarkEnd w:id="5"/>
      <w:r>
        <w:t>The A</w:t>
      </w:r>
      <w:r w:rsidR="008F2D60">
        <w:t xml:space="preserve">CMA </w:t>
      </w:r>
      <w:r w:rsidR="00F722B1">
        <w:t>recognised that</w:t>
      </w:r>
      <w:r>
        <w:t xml:space="preserve"> </w:t>
      </w:r>
      <w:r w:rsidR="008F2D60">
        <w:t xml:space="preserve">the </w:t>
      </w:r>
      <w:r>
        <w:t>resolution of the allocation issues associated with the 900</w:t>
      </w:r>
      <w:r w:rsidR="002908D8">
        <w:t> MHz</w:t>
      </w:r>
      <w:r>
        <w:t xml:space="preserve"> band will provide certainty to incumbents and other parties potentially interested in accessing spectrum in the band.</w:t>
      </w:r>
    </w:p>
    <w:p w14:paraId="424136CF" w14:textId="74EAD47C" w:rsidR="00116D9A" w:rsidRDefault="00116D9A" w:rsidP="00116D9A">
      <w:r>
        <w:t>The following table presents a summary of the ACMA’s view of whether each option achieves the 900</w:t>
      </w:r>
      <w:r w:rsidR="002908D8">
        <w:t> MHz</w:t>
      </w:r>
      <w:r>
        <w:t>-specific objectives outlined above.</w:t>
      </w:r>
    </w:p>
    <w:tbl>
      <w:tblPr>
        <w:tblW w:w="98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2107"/>
        <w:gridCol w:w="2401"/>
        <w:gridCol w:w="2672"/>
        <w:gridCol w:w="2672"/>
      </w:tblGrid>
      <w:tr w:rsidR="0006613C" w:rsidRPr="006D46E5" w14:paraId="28D76197" w14:textId="77777777" w:rsidTr="007D38E3">
        <w:trPr>
          <w:trHeight w:val="236"/>
        </w:trPr>
        <w:tc>
          <w:tcPr>
            <w:tcW w:w="2107" w:type="dxa"/>
            <w:shd w:val="clear" w:color="auto" w:fill="404040" w:themeFill="text1" w:themeFillTint="BF"/>
          </w:tcPr>
          <w:p w14:paraId="4FEEDD09" w14:textId="09FB955F" w:rsidR="0006613C" w:rsidRPr="006D46E5" w:rsidRDefault="0006613C" w:rsidP="0006613C">
            <w:pPr>
              <w:pStyle w:val="TableHeading"/>
              <w:rPr>
                <w:rFonts w:cs="Arial"/>
                <w:color w:val="FFFFFF" w:themeColor="background1"/>
              </w:rPr>
            </w:pPr>
          </w:p>
        </w:tc>
        <w:tc>
          <w:tcPr>
            <w:tcW w:w="2401" w:type="dxa"/>
            <w:shd w:val="clear" w:color="auto" w:fill="404040" w:themeFill="text1" w:themeFillTint="BF"/>
          </w:tcPr>
          <w:p w14:paraId="19A270A6" w14:textId="0AC5EFE2" w:rsidR="0006613C" w:rsidRPr="006D46E5" w:rsidRDefault="0006613C" w:rsidP="0006613C">
            <w:pPr>
              <w:pStyle w:val="TableHeading"/>
              <w:rPr>
                <w:rFonts w:cs="Arial"/>
                <w:color w:val="FFFFFF" w:themeColor="background1"/>
              </w:rPr>
            </w:pPr>
            <w:r>
              <w:rPr>
                <w:rFonts w:cs="Arial"/>
                <w:color w:val="FFFFFF" w:themeColor="background1"/>
              </w:rPr>
              <w:t>Status quo</w:t>
            </w:r>
          </w:p>
        </w:tc>
        <w:tc>
          <w:tcPr>
            <w:tcW w:w="2672" w:type="dxa"/>
            <w:shd w:val="clear" w:color="auto" w:fill="404040" w:themeFill="text1" w:themeFillTint="BF"/>
          </w:tcPr>
          <w:p w14:paraId="3486F085" w14:textId="30D27C1F" w:rsidR="0006613C" w:rsidRDefault="0006613C" w:rsidP="0006613C">
            <w:pPr>
              <w:pStyle w:val="TableHeading"/>
              <w:rPr>
                <w:rFonts w:cs="Arial"/>
                <w:color w:val="FFFFFF" w:themeColor="background1"/>
              </w:rPr>
            </w:pPr>
            <w:r>
              <w:rPr>
                <w:rFonts w:cs="Arial"/>
                <w:color w:val="FFFFFF" w:themeColor="background1"/>
              </w:rPr>
              <w:t>Encumbered auction</w:t>
            </w:r>
          </w:p>
        </w:tc>
        <w:tc>
          <w:tcPr>
            <w:tcW w:w="2672" w:type="dxa"/>
            <w:shd w:val="clear" w:color="auto" w:fill="404040" w:themeFill="text1" w:themeFillTint="BF"/>
          </w:tcPr>
          <w:p w14:paraId="07C843A2" w14:textId="6BD781FE" w:rsidR="0006613C" w:rsidRPr="006D46E5" w:rsidRDefault="0006613C" w:rsidP="0006613C">
            <w:pPr>
              <w:pStyle w:val="TableHeading"/>
              <w:rPr>
                <w:rFonts w:cs="Arial"/>
                <w:color w:val="FFFFFF" w:themeColor="background1"/>
              </w:rPr>
            </w:pPr>
            <w:r>
              <w:rPr>
                <w:rFonts w:cs="Arial"/>
                <w:color w:val="FFFFFF" w:themeColor="background1"/>
              </w:rPr>
              <w:t>Hybrid option</w:t>
            </w:r>
          </w:p>
        </w:tc>
      </w:tr>
      <w:tr w:rsidR="005837E3" w:rsidRPr="006D46E5" w14:paraId="6CAD0F58" w14:textId="77777777" w:rsidTr="007D38E3">
        <w:trPr>
          <w:trHeight w:val="230"/>
        </w:trPr>
        <w:tc>
          <w:tcPr>
            <w:tcW w:w="2107" w:type="dxa"/>
            <w:tcBorders>
              <w:bottom w:val="single" w:sz="4" w:space="0" w:color="auto"/>
            </w:tcBorders>
          </w:tcPr>
          <w:p w14:paraId="69C7991F" w14:textId="2263AD71" w:rsidR="005837E3" w:rsidRPr="006D46E5" w:rsidRDefault="005837E3" w:rsidP="005837E3">
            <w:pPr>
              <w:pStyle w:val="TableBody"/>
              <w:rPr>
                <w:rFonts w:cs="Arial"/>
              </w:rPr>
            </w:pPr>
            <w:r>
              <w:rPr>
                <w:rFonts w:cs="Arial"/>
              </w:rPr>
              <w:t>Spectrum licensed?</w:t>
            </w:r>
          </w:p>
        </w:tc>
        <w:tc>
          <w:tcPr>
            <w:tcW w:w="2401" w:type="dxa"/>
            <w:tcBorders>
              <w:bottom w:val="single" w:sz="4" w:space="0" w:color="auto"/>
            </w:tcBorders>
          </w:tcPr>
          <w:p w14:paraId="294A2E1A" w14:textId="6A6959F4" w:rsidR="005837E3" w:rsidRPr="006D46E5" w:rsidRDefault="005837E3" w:rsidP="005837E3">
            <w:pPr>
              <w:pStyle w:val="TableBody"/>
              <w:rPr>
                <w:rFonts w:cs="Arial"/>
              </w:rPr>
            </w:pPr>
            <w:r w:rsidRPr="00FC6E69">
              <w:rPr>
                <w:rFonts w:ascii="Segoe UI Emoji" w:hAnsi="Segoe UI Emoji" w:cs="Segoe UI Emoji"/>
                <w:color w:val="FF0000"/>
                <w:szCs w:val="20"/>
                <w:shd w:val="clear" w:color="auto" w:fill="FFFFFF"/>
              </w:rPr>
              <w:t>✖</w:t>
            </w:r>
          </w:p>
        </w:tc>
        <w:tc>
          <w:tcPr>
            <w:tcW w:w="2672" w:type="dxa"/>
            <w:tcBorders>
              <w:bottom w:val="single" w:sz="4" w:space="0" w:color="auto"/>
            </w:tcBorders>
            <w:vAlign w:val="center"/>
          </w:tcPr>
          <w:p w14:paraId="3F77FF33" w14:textId="66ACDCD9" w:rsidR="005837E3"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tcPr>
          <w:p w14:paraId="1DD76E3E" w14:textId="10A170AA" w:rsidR="005837E3" w:rsidRPr="006D46E5"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r>
      <w:tr w:rsidR="005837E3" w:rsidRPr="006D46E5" w14:paraId="514CFE45" w14:textId="77777777" w:rsidTr="007D38E3">
        <w:trPr>
          <w:trHeight w:val="222"/>
        </w:trPr>
        <w:tc>
          <w:tcPr>
            <w:tcW w:w="2107" w:type="dxa"/>
            <w:shd w:val="clear" w:color="auto" w:fill="F2F2F2" w:themeFill="background1" w:themeFillShade="F2"/>
          </w:tcPr>
          <w:p w14:paraId="4632A678" w14:textId="65019513" w:rsidR="005837E3" w:rsidRPr="006D46E5" w:rsidRDefault="005837E3" w:rsidP="005837E3">
            <w:pPr>
              <w:pStyle w:val="TableBody"/>
              <w:rPr>
                <w:rFonts w:cs="Arial"/>
              </w:rPr>
            </w:pPr>
            <w:r>
              <w:rPr>
                <w:rFonts w:cs="Arial"/>
              </w:rPr>
              <w:t>Facilitate downshift?</w:t>
            </w:r>
          </w:p>
        </w:tc>
        <w:tc>
          <w:tcPr>
            <w:tcW w:w="2401" w:type="dxa"/>
            <w:shd w:val="clear" w:color="auto" w:fill="F2F2F2" w:themeFill="background1" w:themeFillShade="F2"/>
          </w:tcPr>
          <w:p w14:paraId="20291B0B" w14:textId="05180148" w:rsidR="005837E3" w:rsidRPr="006D46E5" w:rsidRDefault="005837E3" w:rsidP="005837E3">
            <w:pPr>
              <w:pStyle w:val="TableBody"/>
              <w:rPr>
                <w:rFonts w:cs="Arial"/>
              </w:rPr>
            </w:pPr>
            <w:r w:rsidRPr="00FC6E69">
              <w:rPr>
                <w:rFonts w:ascii="Segoe UI Emoji" w:hAnsi="Segoe UI Emoji" w:cs="Segoe UI Emoji"/>
                <w:color w:val="FF0000"/>
                <w:szCs w:val="20"/>
                <w:shd w:val="clear" w:color="auto" w:fill="FFFFFF"/>
              </w:rPr>
              <w:t>✖</w:t>
            </w:r>
          </w:p>
        </w:tc>
        <w:tc>
          <w:tcPr>
            <w:tcW w:w="2672" w:type="dxa"/>
            <w:shd w:val="clear" w:color="auto" w:fill="F2F2F2" w:themeFill="background1" w:themeFillShade="F2"/>
            <w:vAlign w:val="center"/>
          </w:tcPr>
          <w:p w14:paraId="206B85C2" w14:textId="63FA0B3E" w:rsidR="005837E3"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c>
          <w:tcPr>
            <w:tcW w:w="2672" w:type="dxa"/>
            <w:shd w:val="clear" w:color="auto" w:fill="F2F2F2" w:themeFill="background1" w:themeFillShade="F2"/>
          </w:tcPr>
          <w:p w14:paraId="63FF397B" w14:textId="0AE3CD78" w:rsidR="005837E3" w:rsidRPr="006D46E5" w:rsidRDefault="005837E3" w:rsidP="005837E3">
            <w:pPr>
              <w:pStyle w:val="TableBody"/>
              <w:rPr>
                <w:rFonts w:cs="Arial"/>
              </w:rPr>
            </w:pPr>
            <w:r w:rsidRPr="00FC6E69">
              <w:rPr>
                <w:b/>
                <w:color w:val="F79646" w:themeColor="accent6"/>
                <w:szCs w:val="20"/>
              </w:rPr>
              <w:t>?</w:t>
            </w:r>
            <w:r w:rsidRPr="00FC6E69">
              <w:rPr>
                <w:rStyle w:val="FootnoteReference"/>
                <w:b/>
                <w:szCs w:val="20"/>
              </w:rPr>
              <w:footnoteReference w:id="5"/>
            </w:r>
          </w:p>
        </w:tc>
      </w:tr>
      <w:tr w:rsidR="005837E3" w:rsidRPr="006D46E5" w14:paraId="40389CC9" w14:textId="77777777" w:rsidTr="007D38E3">
        <w:trPr>
          <w:trHeight w:val="459"/>
        </w:trPr>
        <w:tc>
          <w:tcPr>
            <w:tcW w:w="2107" w:type="dxa"/>
            <w:tcBorders>
              <w:bottom w:val="single" w:sz="4" w:space="0" w:color="auto"/>
            </w:tcBorders>
          </w:tcPr>
          <w:p w14:paraId="11C38E10" w14:textId="08C0EF9E" w:rsidR="005837E3" w:rsidRPr="006D46E5" w:rsidRDefault="005837E3" w:rsidP="005837E3">
            <w:pPr>
              <w:pStyle w:val="TableBody"/>
              <w:rPr>
                <w:rFonts w:cs="Arial"/>
              </w:rPr>
            </w:pPr>
            <w:r>
              <w:rPr>
                <w:rFonts w:cs="Arial"/>
              </w:rPr>
              <w:t>5 MHz configuration?</w:t>
            </w:r>
          </w:p>
        </w:tc>
        <w:tc>
          <w:tcPr>
            <w:tcW w:w="2401" w:type="dxa"/>
            <w:tcBorders>
              <w:bottom w:val="single" w:sz="4" w:space="0" w:color="auto"/>
            </w:tcBorders>
          </w:tcPr>
          <w:p w14:paraId="162DABFF" w14:textId="55EFC92C" w:rsidR="005837E3" w:rsidRPr="006D46E5" w:rsidRDefault="005837E3" w:rsidP="005837E3">
            <w:pPr>
              <w:pStyle w:val="TableBody"/>
              <w:rPr>
                <w:rFonts w:cs="Arial"/>
              </w:rPr>
            </w:pPr>
            <w:r w:rsidRPr="00FC6E69">
              <w:rPr>
                <w:rFonts w:ascii="Segoe UI Emoji" w:hAnsi="Segoe UI Emoji" w:cs="Segoe UI Emoji"/>
                <w:color w:val="FF0000"/>
                <w:szCs w:val="20"/>
                <w:shd w:val="clear" w:color="auto" w:fill="FFFFFF"/>
              </w:rPr>
              <w:t>✖</w:t>
            </w:r>
          </w:p>
        </w:tc>
        <w:tc>
          <w:tcPr>
            <w:tcW w:w="2672" w:type="dxa"/>
            <w:tcBorders>
              <w:bottom w:val="single" w:sz="4" w:space="0" w:color="auto"/>
            </w:tcBorders>
            <w:vAlign w:val="center"/>
          </w:tcPr>
          <w:p w14:paraId="37ADAAB8" w14:textId="6B0583B5" w:rsidR="005837E3" w:rsidRPr="00CB7174"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tcPr>
          <w:p w14:paraId="712C013E" w14:textId="4D9AB814" w:rsidR="005837E3" w:rsidRPr="006D46E5"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r>
      <w:tr w:rsidR="005837E3" w:rsidRPr="006D46E5" w14:paraId="59E28FF4" w14:textId="77777777" w:rsidTr="007D38E3">
        <w:trPr>
          <w:trHeight w:val="222"/>
        </w:trPr>
        <w:tc>
          <w:tcPr>
            <w:tcW w:w="2107" w:type="dxa"/>
            <w:shd w:val="clear" w:color="auto" w:fill="F2F2F2" w:themeFill="background1" w:themeFillShade="F2"/>
          </w:tcPr>
          <w:p w14:paraId="56E3AF33" w14:textId="7E076D27" w:rsidR="005837E3" w:rsidRPr="006D46E5" w:rsidRDefault="005837E3" w:rsidP="005837E3">
            <w:pPr>
              <w:pStyle w:val="TableBody"/>
              <w:rPr>
                <w:rFonts w:cs="Arial"/>
              </w:rPr>
            </w:pPr>
            <w:r>
              <w:rPr>
                <w:rFonts w:cs="Arial"/>
              </w:rPr>
              <w:t>Market price?</w:t>
            </w:r>
          </w:p>
        </w:tc>
        <w:tc>
          <w:tcPr>
            <w:tcW w:w="2401" w:type="dxa"/>
            <w:shd w:val="clear" w:color="auto" w:fill="F2F2F2" w:themeFill="background1" w:themeFillShade="F2"/>
          </w:tcPr>
          <w:p w14:paraId="77C50BBE" w14:textId="7DF37EB4" w:rsidR="005837E3" w:rsidRPr="006D46E5" w:rsidRDefault="005837E3" w:rsidP="005837E3">
            <w:pPr>
              <w:pStyle w:val="TableBody"/>
              <w:rPr>
                <w:rFonts w:cs="Arial"/>
              </w:rPr>
            </w:pPr>
            <w:r w:rsidRPr="00FC6E69">
              <w:rPr>
                <w:rFonts w:ascii="Segoe UI Emoji" w:hAnsi="Segoe UI Emoji" w:cs="Segoe UI Emoji"/>
                <w:color w:val="FF0000"/>
                <w:szCs w:val="20"/>
                <w:shd w:val="clear" w:color="auto" w:fill="FFFFFF"/>
              </w:rPr>
              <w:t>✖</w:t>
            </w:r>
          </w:p>
        </w:tc>
        <w:tc>
          <w:tcPr>
            <w:tcW w:w="2672" w:type="dxa"/>
            <w:shd w:val="clear" w:color="auto" w:fill="F2F2F2" w:themeFill="background1" w:themeFillShade="F2"/>
            <w:vAlign w:val="center"/>
          </w:tcPr>
          <w:p w14:paraId="1EC8D337" w14:textId="0150C43E" w:rsidR="005837E3" w:rsidRPr="00CB7174"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c>
          <w:tcPr>
            <w:tcW w:w="2672" w:type="dxa"/>
            <w:shd w:val="clear" w:color="auto" w:fill="F2F2F2" w:themeFill="background1" w:themeFillShade="F2"/>
          </w:tcPr>
          <w:p w14:paraId="5D607E85" w14:textId="128533F3" w:rsidR="005837E3" w:rsidRPr="006D46E5" w:rsidRDefault="005837E3" w:rsidP="005837E3">
            <w:pPr>
              <w:pStyle w:val="TableBody"/>
              <w:rPr>
                <w:rFonts w:cs="Arial"/>
              </w:rPr>
            </w:pPr>
            <w:r w:rsidRPr="00FC6E69">
              <w:rPr>
                <w:rFonts w:ascii="Segoe UI Emoji" w:hAnsi="Segoe UI Emoji" w:cs="Segoe UI Emoji"/>
                <w:color w:val="FF0000"/>
                <w:szCs w:val="20"/>
                <w:shd w:val="clear" w:color="auto" w:fill="FFFFFF"/>
              </w:rPr>
              <w:t>✖</w:t>
            </w:r>
          </w:p>
        </w:tc>
      </w:tr>
      <w:tr w:rsidR="005837E3" w:rsidRPr="006D46E5" w14:paraId="6190A635" w14:textId="77777777" w:rsidTr="007D38E3">
        <w:trPr>
          <w:trHeight w:val="230"/>
        </w:trPr>
        <w:tc>
          <w:tcPr>
            <w:tcW w:w="2107" w:type="dxa"/>
            <w:tcBorders>
              <w:bottom w:val="single" w:sz="4" w:space="0" w:color="auto"/>
            </w:tcBorders>
          </w:tcPr>
          <w:p w14:paraId="63B96319" w14:textId="0FC97A82" w:rsidR="005837E3" w:rsidRPr="006512E1" w:rsidRDefault="005837E3" w:rsidP="005837E3">
            <w:pPr>
              <w:pStyle w:val="TableBody"/>
              <w:rPr>
                <w:rFonts w:cs="Arial"/>
              </w:rPr>
            </w:pPr>
            <w:r w:rsidRPr="007D38E3">
              <w:rPr>
                <w:szCs w:val="20"/>
              </w:rPr>
              <w:t>Enable licensees to mitigate risks to consumer services?</w:t>
            </w:r>
          </w:p>
        </w:tc>
        <w:tc>
          <w:tcPr>
            <w:tcW w:w="2401" w:type="dxa"/>
            <w:tcBorders>
              <w:bottom w:val="single" w:sz="4" w:space="0" w:color="auto"/>
            </w:tcBorders>
          </w:tcPr>
          <w:p w14:paraId="5A1B9FA8" w14:textId="3F6D73F7" w:rsidR="005837E3" w:rsidRPr="006D46E5"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vAlign w:val="center"/>
          </w:tcPr>
          <w:p w14:paraId="57A922C0" w14:textId="6506AC8C" w:rsidR="005837E3" w:rsidRPr="00CB7174"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tcPr>
          <w:p w14:paraId="70C8C73F" w14:textId="4C1668E6" w:rsidR="005837E3" w:rsidRPr="006D46E5"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r>
      <w:tr w:rsidR="005837E3" w:rsidRPr="006D46E5" w14:paraId="2D61C6EF" w14:textId="77777777" w:rsidTr="007D38E3">
        <w:trPr>
          <w:trHeight w:val="222"/>
        </w:trPr>
        <w:tc>
          <w:tcPr>
            <w:tcW w:w="2107" w:type="dxa"/>
            <w:shd w:val="clear" w:color="auto" w:fill="F2F2F2" w:themeFill="background1" w:themeFillShade="F2"/>
          </w:tcPr>
          <w:p w14:paraId="054535DF" w14:textId="740C0B4E" w:rsidR="005837E3" w:rsidRPr="006512E1" w:rsidRDefault="005837E3" w:rsidP="005837E3">
            <w:pPr>
              <w:pStyle w:val="TableBody"/>
              <w:rPr>
                <w:rFonts w:cs="Arial"/>
              </w:rPr>
            </w:pPr>
            <w:r w:rsidRPr="007D38E3">
              <w:rPr>
                <w:szCs w:val="20"/>
              </w:rPr>
              <w:t>Enables move to larger bandwidth?</w:t>
            </w:r>
          </w:p>
        </w:tc>
        <w:tc>
          <w:tcPr>
            <w:tcW w:w="2401" w:type="dxa"/>
            <w:shd w:val="clear" w:color="auto" w:fill="F2F2F2" w:themeFill="background1" w:themeFillShade="F2"/>
          </w:tcPr>
          <w:p w14:paraId="4B304DBB" w14:textId="0D1A92C5" w:rsidR="005837E3" w:rsidRPr="006D46E5" w:rsidRDefault="005837E3" w:rsidP="005837E3">
            <w:pPr>
              <w:pStyle w:val="TableBody"/>
              <w:rPr>
                <w:rFonts w:cs="Arial"/>
              </w:rPr>
            </w:pPr>
            <w:r w:rsidRPr="00FC6E69">
              <w:rPr>
                <w:rFonts w:ascii="Segoe UI Emoji" w:hAnsi="Segoe UI Emoji" w:cs="Segoe UI Emoji"/>
                <w:color w:val="FF0000"/>
                <w:szCs w:val="20"/>
                <w:shd w:val="clear" w:color="auto" w:fill="FFFFFF"/>
              </w:rPr>
              <w:t>✖</w:t>
            </w:r>
          </w:p>
        </w:tc>
        <w:tc>
          <w:tcPr>
            <w:tcW w:w="2672" w:type="dxa"/>
            <w:shd w:val="clear" w:color="auto" w:fill="F2F2F2" w:themeFill="background1" w:themeFillShade="F2"/>
            <w:vAlign w:val="center"/>
          </w:tcPr>
          <w:p w14:paraId="33780029" w14:textId="4F7D448A" w:rsidR="005837E3" w:rsidRPr="00CB7174" w:rsidRDefault="005837E3" w:rsidP="005837E3">
            <w:pPr>
              <w:pStyle w:val="TableBody"/>
              <w:rPr>
                <w:rFonts w:cs="Arial"/>
              </w:rPr>
            </w:pPr>
            <w:r w:rsidRPr="00FC6E69">
              <w:rPr>
                <w:rFonts w:ascii="Segoe UI Emoji" w:hAnsi="Segoe UI Emoji" w:cs="Segoe UI Emoji"/>
                <w:color w:val="00B050"/>
                <w:szCs w:val="20"/>
                <w:shd w:val="clear" w:color="auto" w:fill="FFFFFF"/>
              </w:rPr>
              <w:t>✔</w:t>
            </w:r>
          </w:p>
        </w:tc>
        <w:tc>
          <w:tcPr>
            <w:tcW w:w="2672" w:type="dxa"/>
            <w:shd w:val="clear" w:color="auto" w:fill="F2F2F2" w:themeFill="background1" w:themeFillShade="F2"/>
          </w:tcPr>
          <w:p w14:paraId="1722CEBC" w14:textId="13BB4C16" w:rsidR="005837E3" w:rsidRPr="006D46E5" w:rsidRDefault="005837E3" w:rsidP="005837E3">
            <w:pPr>
              <w:pStyle w:val="TableBody"/>
              <w:rPr>
                <w:rFonts w:cs="Arial"/>
              </w:rPr>
            </w:pPr>
            <w:r w:rsidRPr="00FC6E69">
              <w:rPr>
                <w:rFonts w:ascii="Segoe UI Emoji" w:hAnsi="Segoe UI Emoji" w:cs="Segoe UI Emoji"/>
                <w:color w:val="FF0000"/>
                <w:szCs w:val="20"/>
                <w:shd w:val="clear" w:color="auto" w:fill="FFFFFF"/>
              </w:rPr>
              <w:t>✖</w:t>
            </w:r>
          </w:p>
        </w:tc>
      </w:tr>
    </w:tbl>
    <w:p w14:paraId="6FE68F6E" w14:textId="77777777" w:rsidR="009D4D26" w:rsidRDefault="009D4D26" w:rsidP="007D38E3">
      <w:pPr>
        <w:pStyle w:val="ACMATableHeader"/>
        <w:numPr>
          <w:ilvl w:val="0"/>
          <w:numId w:val="0"/>
        </w:numPr>
        <w:ind w:left="964" w:hanging="964"/>
      </w:pPr>
    </w:p>
    <w:p w14:paraId="14AD2A69" w14:textId="73579945" w:rsidR="00DC7EF9" w:rsidRPr="00A05EC9" w:rsidRDefault="00FF03E2" w:rsidP="00DC7EF9">
      <w:r w:rsidRPr="00337EA4">
        <w:t>A final decision on a preferred</w:t>
      </w:r>
      <w:r w:rsidR="00764606">
        <w:t xml:space="preserve"> </w:t>
      </w:r>
      <w:r w:rsidR="00FF3F39">
        <w:t xml:space="preserve">configuration and </w:t>
      </w:r>
      <w:r w:rsidR="005023CB">
        <w:t>allocation</w:t>
      </w:r>
      <w:r w:rsidRPr="00337EA4">
        <w:t xml:space="preserve"> method will </w:t>
      </w:r>
      <w:proofErr w:type="gramStart"/>
      <w:r w:rsidRPr="00337EA4">
        <w:t>take into account</w:t>
      </w:r>
      <w:proofErr w:type="gramEnd"/>
      <w:r w:rsidRPr="00337EA4">
        <w:t xml:space="preserve"> </w:t>
      </w:r>
      <w:r w:rsidR="00CF13D3">
        <w:t xml:space="preserve">the </w:t>
      </w:r>
      <w:r w:rsidRPr="00337EA4">
        <w:t xml:space="preserve">responses to this paper. </w:t>
      </w:r>
    </w:p>
    <w:p w14:paraId="78E72299" w14:textId="72196482" w:rsidR="00C94715" w:rsidRPr="00C94715" w:rsidRDefault="00C94715" w:rsidP="00C94715">
      <w:r w:rsidRPr="00C94715">
        <w:t xml:space="preserve">In the case of options involving clearance of apparatus licences and reallocation of the spectrum as spectrum licences, the ACMA and the </w:t>
      </w:r>
      <w:r w:rsidR="009E3694">
        <w:t>M</w:t>
      </w:r>
      <w:r w:rsidRPr="00C94715">
        <w:t>inister</w:t>
      </w:r>
      <w:r w:rsidR="009B7ED6">
        <w:t xml:space="preserve"> </w:t>
      </w:r>
      <w:r w:rsidR="009E3694">
        <w:t xml:space="preserve">for Communications </w:t>
      </w:r>
      <w:r w:rsidRPr="00C94715">
        <w:t xml:space="preserve">would be required to follow the steps outlined in the Act for reallocation of encumbered spectrum (Part 3.6 refers). In the case of options involving the conversion of apparatus licences to spectrum licences, the ACMA is empowered to make recommendations to the </w:t>
      </w:r>
      <w:r w:rsidR="009E3694">
        <w:t>m</w:t>
      </w:r>
      <w:r w:rsidRPr="00C94715">
        <w:t xml:space="preserve">inister about designation of the relevant parts of the spectrum for spectrum licences (Part 2.2. refers). Nothing in this </w:t>
      </w:r>
      <w:r w:rsidR="0054697F">
        <w:t>options</w:t>
      </w:r>
      <w:r w:rsidR="0054697F" w:rsidRPr="00C94715">
        <w:t xml:space="preserve"> </w:t>
      </w:r>
      <w:r w:rsidRPr="00C94715">
        <w:t xml:space="preserve">paper should be taken to fetter the ACMA’s or the </w:t>
      </w:r>
      <w:r w:rsidR="009E3694">
        <w:t>m</w:t>
      </w:r>
      <w:r w:rsidRPr="00C94715">
        <w:t>inister’s</w:t>
      </w:r>
      <w:r w:rsidR="0011033D">
        <w:t xml:space="preserve"> </w:t>
      </w:r>
      <w:r w:rsidRPr="00C94715">
        <w:t>discretion in the exercise of their respective powers under the Act.</w:t>
      </w:r>
    </w:p>
    <w:p w14:paraId="1C277920" w14:textId="77777777" w:rsidR="00FF03E2" w:rsidRPr="000F7916" w:rsidRDefault="00FF03E2" w:rsidP="000F7916"/>
    <w:p w14:paraId="5E58BEDD" w14:textId="77777777" w:rsidR="00F358DE" w:rsidRDefault="00F358DE" w:rsidP="00F358DE">
      <w:pPr>
        <w:pStyle w:val="Heading1"/>
      </w:pPr>
      <w:bookmarkStart w:id="6" w:name="_Toc433122125"/>
      <w:bookmarkStart w:id="7" w:name="_Ref450737931"/>
      <w:bookmarkStart w:id="8" w:name="_Toc455752959"/>
      <w:bookmarkStart w:id="9" w:name="_Toc457404720"/>
      <w:bookmarkStart w:id="10" w:name="_Toc490213576"/>
      <w:bookmarkStart w:id="11" w:name="_Toc492626739"/>
      <w:bookmarkStart w:id="12" w:name="_Toc5870063"/>
      <w:r>
        <w:t>Summary of i</w:t>
      </w:r>
      <w:r w:rsidRPr="007D2083">
        <w:t>ssues for comment</w:t>
      </w:r>
      <w:bookmarkEnd w:id="6"/>
      <w:bookmarkEnd w:id="7"/>
      <w:bookmarkEnd w:id="8"/>
      <w:bookmarkEnd w:id="9"/>
      <w:bookmarkEnd w:id="12"/>
    </w:p>
    <w:p w14:paraId="0FDB1BA8" w14:textId="7AF34320" w:rsidR="00F358DE" w:rsidRPr="00337EA4" w:rsidRDefault="00F358DE" w:rsidP="00F358DE">
      <w:pPr>
        <w:spacing w:after="80"/>
      </w:pPr>
      <w:bookmarkStart w:id="13" w:name="_Toc298924673"/>
      <w:bookmarkStart w:id="14" w:name="_Toc300909556"/>
      <w:bookmarkStart w:id="15" w:name="_Toc348105637"/>
      <w:bookmarkStart w:id="16" w:name="_Toc433122131"/>
      <w:bookmarkStart w:id="17" w:name="_Toc300909557"/>
      <w:bookmarkStart w:id="18" w:name="_Toc348105638"/>
      <w:bookmarkStart w:id="19" w:name="_Toc274296357"/>
      <w:bookmarkStart w:id="20" w:name="_Toc298924674"/>
      <w:r w:rsidRPr="00337EA4">
        <w:t xml:space="preserve">The ACMA invites comments on the issues set out in this </w:t>
      </w:r>
      <w:r w:rsidR="0054697F">
        <w:t>options</w:t>
      </w:r>
      <w:r w:rsidR="0054697F" w:rsidRPr="00337EA4">
        <w:t xml:space="preserve"> </w:t>
      </w:r>
      <w:r w:rsidRPr="00337EA4">
        <w:t xml:space="preserve">paper or any other relevant issues. Interested stakeholders are encouraged to </w:t>
      </w:r>
      <w:r w:rsidR="00FF3F39">
        <w:t>respond</w:t>
      </w:r>
      <w:r w:rsidRPr="00337EA4">
        <w:t xml:space="preserve"> to a range of questions:</w:t>
      </w:r>
    </w:p>
    <w:p w14:paraId="05F9CAF4" w14:textId="5331BB7F" w:rsidR="004A1B55" w:rsidRDefault="004A1B55" w:rsidP="007D38E3">
      <w:pPr>
        <w:pStyle w:val="ListNumber"/>
      </w:pPr>
      <w:bookmarkStart w:id="21" w:name="_Hlk430995"/>
      <w:r>
        <w:t>The ACMA identified a set of outcomes</w:t>
      </w:r>
      <w:r w:rsidR="00FF3F39">
        <w:t xml:space="preserve"> to be </w:t>
      </w:r>
      <w:r w:rsidR="00324D52">
        <w:t>achieved from</w:t>
      </w:r>
      <w:r>
        <w:t xml:space="preserve"> this process</w:t>
      </w:r>
      <w:r w:rsidR="00691071">
        <w:t>—</w:t>
      </w:r>
      <w:r>
        <w:t xml:space="preserve">are these </w:t>
      </w:r>
      <w:r w:rsidR="00FF3F39">
        <w:t xml:space="preserve">the </w:t>
      </w:r>
      <w:r>
        <w:t>appropriate</w:t>
      </w:r>
      <w:r w:rsidR="00FF3F39">
        <w:t xml:space="preserve"> outcomes</w:t>
      </w:r>
      <w:r>
        <w:t>? Are there any other additional outcomes that should be included in this analysis?</w:t>
      </w:r>
    </w:p>
    <w:p w14:paraId="5AEBAC42" w14:textId="516757A3" w:rsidR="004A1B55" w:rsidRDefault="004A1B55" w:rsidP="007D38E3">
      <w:pPr>
        <w:pStyle w:val="ListNumber"/>
      </w:pPr>
      <w:r>
        <w:t>Are the reform options presented in this paper appropriate, and are there any implementation issues that haven’t been identified?</w:t>
      </w:r>
    </w:p>
    <w:p w14:paraId="1E3C53F8" w14:textId="35F2E31C" w:rsidR="004A1B55" w:rsidRDefault="004A1B55" w:rsidP="007D38E3">
      <w:pPr>
        <w:pStyle w:val="ListNumber"/>
      </w:pPr>
      <w:r>
        <w:t>Stakeholders raised concerns that the mid-2021 clearance date will result in consumer service discontinuity</w:t>
      </w:r>
      <w:r w:rsidR="005A5487">
        <w:t>. D</w:t>
      </w:r>
      <w:r>
        <w:t xml:space="preserve">oes the proposed mid-2024 clearance date provide enough time to create an alternative pathway for the deployment of services at risk? </w:t>
      </w:r>
    </w:p>
    <w:p w14:paraId="7017CE10" w14:textId="77777777" w:rsidR="00187301" w:rsidRPr="003613DC" w:rsidRDefault="00187301" w:rsidP="007D38E3">
      <w:pPr>
        <w:pStyle w:val="ListNumber"/>
      </w:pPr>
      <w:r w:rsidRPr="00276D7C">
        <w:t xml:space="preserve">Can stakeholders provide up-to-date information on consumer migration to 4G compatible handsets, including estimates of the numbers of consumers yet to migrate, and information on the timing and speed of consumer migration? </w:t>
      </w:r>
    </w:p>
    <w:p w14:paraId="0B6E0B77" w14:textId="00D94CB5" w:rsidR="004A1B55" w:rsidRDefault="004A1B55" w:rsidP="007D38E3">
      <w:pPr>
        <w:pStyle w:val="ListNumber"/>
      </w:pPr>
      <w:r>
        <w:t xml:space="preserve">The </w:t>
      </w:r>
      <w:r w:rsidR="00E9124E">
        <w:t>e</w:t>
      </w:r>
      <w:r>
        <w:t xml:space="preserve">ncumbered </w:t>
      </w:r>
      <w:r w:rsidR="00E9124E">
        <w:t>a</w:t>
      </w:r>
      <w:r>
        <w:t xml:space="preserve">uction option includes an approach whereby incumbent apparatus licences and spectrum licences would potentially ‘overlap’. Do stakeholders have any concerns with this </w:t>
      </w:r>
      <w:r w:rsidR="006E3592">
        <w:t xml:space="preserve">proposed </w:t>
      </w:r>
      <w:r>
        <w:t>approach?</w:t>
      </w:r>
    </w:p>
    <w:p w14:paraId="17BA9AD1" w14:textId="2B60718E" w:rsidR="004A1B55" w:rsidRDefault="004A1B55" w:rsidP="007D38E3">
      <w:pPr>
        <w:pStyle w:val="ListNumber"/>
      </w:pPr>
      <w:r>
        <w:t xml:space="preserve">Are there any issues associated with the </w:t>
      </w:r>
      <w:r w:rsidR="00E9124E">
        <w:t>h</w:t>
      </w:r>
      <w:r>
        <w:t xml:space="preserve">ybrid option that raise </w:t>
      </w:r>
      <w:r w:rsidR="008D035E">
        <w:t xml:space="preserve">any </w:t>
      </w:r>
      <w:r>
        <w:t>concern</w:t>
      </w:r>
      <w:r w:rsidR="008D035E">
        <w:t>s</w:t>
      </w:r>
      <w:r>
        <w:t xml:space="preserve"> </w:t>
      </w:r>
      <w:r w:rsidR="00B8410E">
        <w:t xml:space="preserve">for </w:t>
      </w:r>
      <w:r>
        <w:t>stakeholders?</w:t>
      </w:r>
    </w:p>
    <w:p w14:paraId="6CD1FB72" w14:textId="20848D9C" w:rsidR="004A1B55" w:rsidRDefault="004A1B55" w:rsidP="007D38E3">
      <w:pPr>
        <w:pStyle w:val="ListNumber"/>
      </w:pPr>
      <w:r>
        <w:t xml:space="preserve">Are there any other mitigation techniques </w:t>
      </w:r>
      <w:r w:rsidR="006E3592">
        <w:t xml:space="preserve">to consider </w:t>
      </w:r>
      <w:r>
        <w:t xml:space="preserve">that </w:t>
      </w:r>
      <w:r w:rsidR="006E3592">
        <w:t xml:space="preserve">support </w:t>
      </w:r>
      <w:r>
        <w:t>reconfiguration of the band into 5</w:t>
      </w:r>
      <w:r w:rsidR="002908D8">
        <w:t> MHz</w:t>
      </w:r>
      <w:r>
        <w:t xml:space="preserve"> configuration whilst mitigating risks to consumer services? </w:t>
      </w:r>
    </w:p>
    <w:p w14:paraId="209728B7" w14:textId="18396A4C" w:rsidR="004A1B55" w:rsidRDefault="004A1B55" w:rsidP="007D38E3">
      <w:pPr>
        <w:pStyle w:val="ListNumber"/>
      </w:pPr>
      <w:r>
        <w:t>The ACMA may progress reconfiguration of 900</w:t>
      </w:r>
      <w:r w:rsidR="002908D8">
        <w:t> MHz</w:t>
      </w:r>
      <w:r>
        <w:t xml:space="preserve"> independently of the allocation of the 850</w:t>
      </w:r>
      <w:r w:rsidR="002908D8">
        <w:t> MHz</w:t>
      </w:r>
      <w:r>
        <w:t xml:space="preserve"> expansion band. </w:t>
      </w:r>
      <w:r w:rsidR="00E75402">
        <w:t xml:space="preserve">Would doing so </w:t>
      </w:r>
      <w:r>
        <w:t>change the view on the optimal approach to reconfiguration?</w:t>
      </w:r>
    </w:p>
    <w:p w14:paraId="5A48A5B7" w14:textId="25A3C2EA" w:rsidR="003427B6" w:rsidRDefault="003427B6" w:rsidP="007D38E3">
      <w:pPr>
        <w:pStyle w:val="ListNumber"/>
      </w:pPr>
      <w:r w:rsidRPr="003427B6">
        <w:t xml:space="preserve">The ACMA is aware </w:t>
      </w:r>
      <w:r w:rsidR="00290636">
        <w:t xml:space="preserve">that due to </w:t>
      </w:r>
      <w:r w:rsidRPr="003427B6">
        <w:t>public safety mobile broadband (PSMB) negotiations there is a request to set aside 2 x 5</w:t>
      </w:r>
      <w:r w:rsidR="002908D8">
        <w:t> MHz</w:t>
      </w:r>
      <w:r w:rsidRPr="003427B6">
        <w:t xml:space="preserve"> of spectrum for a PSMB network</w:t>
      </w:r>
      <w:r>
        <w:t xml:space="preserve">. </w:t>
      </w:r>
      <w:r w:rsidRPr="003427B6">
        <w:t>While the lot location for this spectrum in the 850</w:t>
      </w:r>
      <w:r w:rsidR="002908D8">
        <w:t> MHz</w:t>
      </w:r>
      <w:r w:rsidR="000846D0">
        <w:t xml:space="preserve"> </w:t>
      </w:r>
      <w:r w:rsidRPr="003427B6">
        <w:t>expansion band has not been identified, it is expected that the remaining blocks at the top or bottom of the band would be put to market.</w:t>
      </w:r>
      <w:r>
        <w:t xml:space="preserve"> </w:t>
      </w:r>
      <w:r w:rsidRPr="003427B6">
        <w:t>Do stakeholders have a view on the relative technical efficiency of the remaining blocks of spectrum for carrier services?</w:t>
      </w:r>
    </w:p>
    <w:p w14:paraId="0C6127DD" w14:textId="629B43D0" w:rsidR="00C94715" w:rsidRDefault="00C94715" w:rsidP="007D38E3">
      <w:pPr>
        <w:pStyle w:val="ListNumber"/>
      </w:pPr>
      <w:r>
        <w:t xml:space="preserve">The </w:t>
      </w:r>
      <w:hyperlink r:id="rId27" w:history="1">
        <w:r w:rsidR="00724E57" w:rsidRPr="007D38E3">
          <w:rPr>
            <w:rStyle w:val="Hyperlink"/>
            <w:i/>
          </w:rPr>
          <w:t>Draft f</w:t>
        </w:r>
        <w:r w:rsidRPr="007D38E3">
          <w:rPr>
            <w:rStyle w:val="Hyperlink"/>
            <w:i/>
          </w:rPr>
          <w:t xml:space="preserve">ive-year </w:t>
        </w:r>
        <w:r w:rsidR="00AA7E1D" w:rsidRPr="007D38E3">
          <w:rPr>
            <w:rStyle w:val="Hyperlink"/>
            <w:i/>
          </w:rPr>
          <w:t>s</w:t>
        </w:r>
        <w:r w:rsidRPr="007D38E3">
          <w:rPr>
            <w:rStyle w:val="Hyperlink"/>
            <w:i/>
          </w:rPr>
          <w:t xml:space="preserve">pectrum </w:t>
        </w:r>
        <w:r w:rsidR="00AA7E1D" w:rsidRPr="007D38E3">
          <w:rPr>
            <w:rStyle w:val="Hyperlink"/>
            <w:i/>
          </w:rPr>
          <w:t>o</w:t>
        </w:r>
        <w:r w:rsidRPr="007D38E3">
          <w:rPr>
            <w:rStyle w:val="Hyperlink"/>
            <w:i/>
          </w:rPr>
          <w:t>utlook</w:t>
        </w:r>
        <w:r w:rsidR="00724E57" w:rsidRPr="007D38E3">
          <w:rPr>
            <w:rStyle w:val="Hyperlink"/>
            <w:i/>
          </w:rPr>
          <w:t xml:space="preserve"> 2019–23</w:t>
        </w:r>
      </w:hyperlink>
      <w:r>
        <w:t xml:space="preserve"> (FYSO) forward allocation scenarios outlined the feasibility of allocating the 850 MHz expansion band and 900 MHz band at the same time as 26 GHz band, which, at the time of publication of this paper, is expected to be in Q1</w:t>
      </w:r>
      <w:r w:rsidR="003B1C8E">
        <w:t>/</w:t>
      </w:r>
      <w:r>
        <w:t>2 2020–21. Do stakeholders have a view on the timing of the proposed allocations?</w:t>
      </w:r>
    </w:p>
    <w:p w14:paraId="416BD97B" w14:textId="55B65001" w:rsidR="004A1B55" w:rsidRPr="00337EA4" w:rsidRDefault="004A1B55" w:rsidP="00E61CDB">
      <w:pPr>
        <w:pStyle w:val="ListBullet2"/>
        <w:numPr>
          <w:ilvl w:val="0"/>
          <w:numId w:val="0"/>
        </w:numPr>
        <w:ind w:left="845" w:hanging="544"/>
      </w:pPr>
    </w:p>
    <w:p w14:paraId="17493AB7" w14:textId="2A88C33D" w:rsidR="00605625" w:rsidRPr="00337EA4" w:rsidRDefault="00D1154E" w:rsidP="00E53CAE">
      <w:pPr>
        <w:pStyle w:val="Heading1"/>
      </w:pPr>
      <w:bookmarkStart w:id="22" w:name="_Toc5870064"/>
      <w:bookmarkEnd w:id="13"/>
      <w:bookmarkEnd w:id="14"/>
      <w:bookmarkEnd w:id="15"/>
      <w:bookmarkEnd w:id="16"/>
      <w:bookmarkEnd w:id="17"/>
      <w:bookmarkEnd w:id="18"/>
      <w:bookmarkEnd w:id="19"/>
      <w:bookmarkEnd w:id="20"/>
      <w:bookmarkEnd w:id="21"/>
      <w:r w:rsidRPr="00E53CAE">
        <w:t>Background</w:t>
      </w:r>
      <w:bookmarkEnd w:id="10"/>
      <w:bookmarkEnd w:id="11"/>
      <w:bookmarkEnd w:id="22"/>
    </w:p>
    <w:p w14:paraId="08B8EA0D" w14:textId="77777777" w:rsidR="00F60930" w:rsidRDefault="00F60930" w:rsidP="00F60930">
      <w:pPr>
        <w:pStyle w:val="Heading2"/>
        <w:spacing w:before="120" w:after="120"/>
      </w:pPr>
      <w:bookmarkStart w:id="23" w:name="_Toc520357804"/>
      <w:bookmarkStart w:id="24" w:name="_Toc5870065"/>
      <w:r>
        <w:t>Problem</w:t>
      </w:r>
      <w:bookmarkEnd w:id="23"/>
      <w:bookmarkEnd w:id="24"/>
    </w:p>
    <w:p w14:paraId="753B879E" w14:textId="1E2D74C5" w:rsidR="000F0FEC" w:rsidRDefault="00EF72A9" w:rsidP="000F0FEC">
      <w:pPr>
        <w:widowControl w:val="0"/>
      </w:pPr>
      <w:r>
        <w:t xml:space="preserve">The 890–915/935–960 MHz band (or ‘900 MHz band’) is currently apparatus licensed as </w:t>
      </w:r>
      <w:r w:rsidRPr="003B52CB">
        <w:t xml:space="preserve">three frequency division duplex (FDD) pairs. Each pair consists of either 2 x 8.4 MHz or 2 x 8.2 </w:t>
      </w:r>
      <w:proofErr w:type="spellStart"/>
      <w:r w:rsidRPr="003B52CB">
        <w:t>MHz</w:t>
      </w:r>
      <w:r>
        <w:t>.</w:t>
      </w:r>
      <w:proofErr w:type="spellEnd"/>
      <w:r>
        <w:t xml:space="preserve"> These licences are held by three mobile network operators—Telstra, Optus and VHA. </w:t>
      </w:r>
      <w:r w:rsidR="000F0FEC">
        <w:t xml:space="preserve">These are held by three mobile network operators—Telstra, Optus and VHA. Historically, these licences were used for 2G mobile telecommunications services, which have been, or are being, switched off. </w:t>
      </w:r>
    </w:p>
    <w:p w14:paraId="76A390B2" w14:textId="7D8CA9AF" w:rsidR="003B798A" w:rsidRDefault="003B798A" w:rsidP="003B798A">
      <w:pPr>
        <w:widowControl w:val="0"/>
        <w:rPr>
          <w:highlight w:val="yellow"/>
        </w:rPr>
      </w:pPr>
      <w:r>
        <w:t xml:space="preserve">The current frequency lot configuration is not conducive to optimally efficient carriage of 3G and 4G services. </w:t>
      </w:r>
      <w:r w:rsidRPr="00337EA4">
        <w:t xml:space="preserve">To achieve the optimal </w:t>
      </w:r>
      <w:r w:rsidR="00F31298">
        <w:t>configuration for these services</w:t>
      </w:r>
      <w:r>
        <w:t>,</w:t>
      </w:r>
      <w:r w:rsidRPr="00337EA4">
        <w:t xml:space="preserve"> it </w:t>
      </w:r>
      <w:r w:rsidR="00C064BB">
        <w:t>is</w:t>
      </w:r>
      <w:r w:rsidRPr="00337EA4">
        <w:t xml:space="preserve"> necessary to change the licence parameters to align with a band configuration based on 5</w:t>
      </w:r>
      <w:r w:rsidR="002908D8">
        <w:t> MHz</w:t>
      </w:r>
      <w:r w:rsidRPr="00337EA4">
        <w:t xml:space="preserve"> FDD blocks.</w:t>
      </w:r>
      <w:r>
        <w:t xml:space="preserve"> While licensees have expressed an interest in deploying narrowband </w:t>
      </w:r>
      <w:r w:rsidR="00980AEF">
        <w:t>Internet of Things (NB-</w:t>
      </w:r>
      <w:r>
        <w:t>IoT</w:t>
      </w:r>
      <w:r w:rsidR="00980AEF">
        <w:t>)</w:t>
      </w:r>
      <w:r>
        <w:t xml:space="preserve"> in the ‘</w:t>
      </w:r>
      <w:r w:rsidR="00FF765D">
        <w:t xml:space="preserve">remaining’ </w:t>
      </w:r>
      <w:r>
        <w:t>3.2/3.4</w:t>
      </w:r>
      <w:r w:rsidR="00792B3B">
        <w:t> GHz</w:t>
      </w:r>
      <w:r>
        <w:t xml:space="preserve"> paired</w:t>
      </w:r>
      <w:r w:rsidR="00FF765D">
        <w:t xml:space="preserve"> (i.e. the spectrum leftover after 2</w:t>
      </w:r>
      <w:r w:rsidR="001127E3">
        <w:t xml:space="preserve"> </w:t>
      </w:r>
      <w:r w:rsidR="00FF765D">
        <w:t>x</w:t>
      </w:r>
      <w:r w:rsidR="001127E3">
        <w:t xml:space="preserve"> </w:t>
      </w:r>
      <w:r w:rsidR="00FF765D">
        <w:t>5</w:t>
      </w:r>
      <w:r w:rsidR="002908D8">
        <w:t> MHz</w:t>
      </w:r>
      <w:r w:rsidR="00FF765D">
        <w:t xml:space="preserve"> is put to use for 3G/4G)</w:t>
      </w:r>
      <w:r>
        <w:t xml:space="preserve">, the ACMA considers this to be an inefficient use of this spectrum as </w:t>
      </w:r>
      <w:r w:rsidRPr="00337EA4">
        <w:rPr>
          <w:rFonts w:cs="Arial"/>
        </w:rPr>
        <w:t xml:space="preserve">anticipated traffic demand </w:t>
      </w:r>
      <w:r w:rsidR="00FF765D">
        <w:rPr>
          <w:rFonts w:cs="Arial"/>
        </w:rPr>
        <w:t xml:space="preserve">for </w:t>
      </w:r>
      <w:r w:rsidR="00980AEF">
        <w:rPr>
          <w:rFonts w:cs="Arial"/>
        </w:rPr>
        <w:t>NB-</w:t>
      </w:r>
      <w:r w:rsidR="00FF765D">
        <w:rPr>
          <w:rFonts w:cs="Arial"/>
        </w:rPr>
        <w:t>IoT could be met with a much smaller allocation</w:t>
      </w:r>
      <w:r>
        <w:rPr>
          <w:rFonts w:cs="Arial"/>
        </w:rPr>
        <w:t>. In addition, the 5</w:t>
      </w:r>
      <w:r w:rsidR="002908D8">
        <w:rPr>
          <w:rFonts w:cs="Arial"/>
        </w:rPr>
        <w:t> MHz</w:t>
      </w:r>
      <w:r>
        <w:rPr>
          <w:rFonts w:cs="Arial"/>
        </w:rPr>
        <w:t xml:space="preserve"> </w:t>
      </w:r>
      <w:r w:rsidRPr="00337EA4">
        <w:t xml:space="preserve">block-based configuration is no barrier to deploying NB-IoT technologies if operators wish to do so, and therefore has little bearing on the threshold question of </w:t>
      </w:r>
      <w:r w:rsidR="001127E3" w:rsidRPr="00337EA4">
        <w:t>whether</w:t>
      </w:r>
      <w:r w:rsidRPr="00337EA4">
        <w:t xml:space="preserve"> reform is necessary.</w:t>
      </w:r>
      <w:r>
        <w:rPr>
          <w:rStyle w:val="FootnoteReference"/>
        </w:rPr>
        <w:footnoteReference w:id="6"/>
      </w:r>
    </w:p>
    <w:p w14:paraId="54987722" w14:textId="18568F32" w:rsidR="003B798A" w:rsidRDefault="00905394" w:rsidP="003B798A">
      <w:pPr>
        <w:widowControl w:val="0"/>
      </w:pPr>
      <w:r>
        <w:t>S</w:t>
      </w:r>
      <w:r w:rsidR="003B798A">
        <w:t xml:space="preserve">takeholders raised concerns </w:t>
      </w:r>
      <w:r>
        <w:t xml:space="preserve">that a </w:t>
      </w:r>
      <w:r w:rsidR="00D022CD">
        <w:t xml:space="preserve">proposed </w:t>
      </w:r>
      <w:r w:rsidR="00D022CD" w:rsidRPr="00C30871">
        <w:t>mid</w:t>
      </w:r>
      <w:r w:rsidR="003B798A" w:rsidRPr="00C30871">
        <w:t xml:space="preserve">-2021 clearance date </w:t>
      </w:r>
      <w:r w:rsidR="00B73148">
        <w:t>may</w:t>
      </w:r>
      <w:r w:rsidR="00B73148" w:rsidRPr="00C30871">
        <w:t xml:space="preserve"> </w:t>
      </w:r>
      <w:r w:rsidR="003B798A" w:rsidRPr="00C30871">
        <w:t>result in discontinuity</w:t>
      </w:r>
      <w:r w:rsidR="00E66829">
        <w:t xml:space="preserve"> of consumer services.</w:t>
      </w:r>
      <w:r w:rsidR="003B798A" w:rsidRPr="00C30871">
        <w:t xml:space="preserve"> </w:t>
      </w:r>
      <w:r w:rsidR="003B798A">
        <w:t xml:space="preserve">Of the three incumbent licensees, only Telstra agreed that band clearance and auction </w:t>
      </w:r>
      <w:r w:rsidR="00611CF8">
        <w:t>is</w:t>
      </w:r>
      <w:r w:rsidR="003B798A">
        <w:t xml:space="preserve"> the best method of band reconfiguration. Vodafone and Optus stated that their preferred approach was to convert the apparatus licences to spectrum licences in their current configuration. The ACMA has reconsidered and identified the options below. </w:t>
      </w:r>
    </w:p>
    <w:p w14:paraId="56C4B9B7" w14:textId="4BC024F0" w:rsidR="00905394" w:rsidRDefault="00A41BE8" w:rsidP="003155C4">
      <w:pPr>
        <w:widowControl w:val="0"/>
      </w:pPr>
      <w:r>
        <w:t xml:space="preserve">An issue that is </w:t>
      </w:r>
      <w:r w:rsidR="00D903DF">
        <w:t xml:space="preserve">associated </w:t>
      </w:r>
      <w:r w:rsidR="00A66344">
        <w:t xml:space="preserve">with </w:t>
      </w:r>
      <w:r>
        <w:t>the reconfiguration of the 900</w:t>
      </w:r>
      <w:r w:rsidR="002908D8">
        <w:t xml:space="preserve"> MHz is the allocation of the 850 MHz expansion band. </w:t>
      </w:r>
      <w:r w:rsidR="002908D8" w:rsidRPr="002908D8">
        <w:t>Following a review of the 803</w:t>
      </w:r>
      <w:r w:rsidR="003B1C8E">
        <w:t>–</w:t>
      </w:r>
      <w:r w:rsidR="002908D8" w:rsidRPr="002908D8">
        <w:t>960</w:t>
      </w:r>
      <w:r w:rsidR="002908D8">
        <w:t> MHz</w:t>
      </w:r>
      <w:r w:rsidR="002908D8" w:rsidRPr="002908D8">
        <w:t xml:space="preserve"> band in 2015, 2</w:t>
      </w:r>
      <w:r w:rsidR="00FE2369">
        <w:t xml:space="preserve"> </w:t>
      </w:r>
      <w:r w:rsidR="002908D8" w:rsidRPr="002908D8">
        <w:t>x</w:t>
      </w:r>
      <w:r w:rsidR="00FE2369">
        <w:t xml:space="preserve"> </w:t>
      </w:r>
      <w:r w:rsidR="002908D8" w:rsidRPr="002908D8">
        <w:t>15</w:t>
      </w:r>
      <w:r w:rsidR="002908D8">
        <w:t> MHz</w:t>
      </w:r>
      <w:r w:rsidR="002908D8" w:rsidRPr="002908D8">
        <w:t xml:space="preserve"> of spectrum that is adjacent to the existing 850</w:t>
      </w:r>
      <w:r w:rsidR="002908D8">
        <w:t> MHz</w:t>
      </w:r>
      <w:r w:rsidR="002908D8" w:rsidRPr="002908D8">
        <w:t xml:space="preserve"> spectrum licences (825–845/870–890</w:t>
      </w:r>
      <w:r w:rsidR="002908D8">
        <w:t> MHz</w:t>
      </w:r>
      <w:r w:rsidR="002908D8" w:rsidRPr="002908D8">
        <w:t>) was identified as being optimised and potentially available for use in the medium term for mobile broadband. This band (809–824/854–869</w:t>
      </w:r>
      <w:r w:rsidR="002908D8">
        <w:t> MHz</w:t>
      </w:r>
      <w:r w:rsidR="002908D8" w:rsidRPr="002908D8">
        <w:t>) is known as the ‘850</w:t>
      </w:r>
      <w:r w:rsidR="002908D8">
        <w:t> MHz</w:t>
      </w:r>
      <w:r w:rsidR="002908D8" w:rsidRPr="002908D8">
        <w:t xml:space="preserve"> expansion band’. </w:t>
      </w:r>
    </w:p>
    <w:p w14:paraId="4307B57E" w14:textId="5DEB539D" w:rsidR="002908D8" w:rsidRDefault="002908D8" w:rsidP="003155C4">
      <w:pPr>
        <w:widowControl w:val="0"/>
      </w:pPr>
      <w:r w:rsidRPr="002908D8">
        <w:t>Due to its impending availability, and close substitutability with the 900</w:t>
      </w:r>
      <w:r>
        <w:t> MHz</w:t>
      </w:r>
      <w:r w:rsidRPr="002908D8">
        <w:t xml:space="preserve"> band, there is a unique opportunity to allocate the expansion band in the same process as the 900</w:t>
      </w:r>
      <w:r>
        <w:t> MHz</w:t>
      </w:r>
      <w:r w:rsidRPr="002908D8">
        <w:t xml:space="preserve"> band (should it be decided to reconfigure some or all of that band by auction). </w:t>
      </w:r>
      <w:r w:rsidR="004A1268">
        <w:t>The ACMA is aware that through COAG public safety mobile broadband (PSMB) negotiations, there is a request to set aside 2</w:t>
      </w:r>
      <w:r w:rsidR="00020521">
        <w:t xml:space="preserve"> </w:t>
      </w:r>
      <w:r w:rsidR="004A1268">
        <w:t>x</w:t>
      </w:r>
      <w:r w:rsidR="00020521">
        <w:t xml:space="preserve"> </w:t>
      </w:r>
      <w:r w:rsidR="004A1268">
        <w:t xml:space="preserve">5 MHz of spectrum for a PSMB network. At the 12 December 2018 meeting of COAG all jurisdictions agreed </w:t>
      </w:r>
      <w:r w:rsidR="00DA6547">
        <w:t xml:space="preserve">to </w:t>
      </w:r>
      <w:r w:rsidR="004A1268">
        <w:t xml:space="preserve">a </w:t>
      </w:r>
      <w:r w:rsidR="00020521">
        <w:t>s</w:t>
      </w:r>
      <w:r w:rsidR="004A1268">
        <w:t xml:space="preserve">trategic </w:t>
      </w:r>
      <w:r w:rsidR="00020521">
        <w:t>r</w:t>
      </w:r>
      <w:r w:rsidR="004A1268">
        <w:t>oadmap that set out a plan to design, implement and operate PSMB</w:t>
      </w:r>
      <w:r w:rsidR="00DA6547">
        <w:t>,</w:t>
      </w:r>
      <w:r w:rsidR="004A1268">
        <w:t xml:space="preserve"> and to continue to work together to resolve the supporting spectrum arrangements in parallel with proof of concept trials. </w:t>
      </w:r>
    </w:p>
    <w:p w14:paraId="6CE78364" w14:textId="27F39211" w:rsidR="00C1498C" w:rsidRDefault="00C1498C" w:rsidP="00C1498C">
      <w:pPr>
        <w:widowControl w:val="0"/>
      </w:pPr>
      <w:r>
        <w:t xml:space="preserve">In addition, this paper includes consideration of the 1 MHz downshift in the 850 MHz spectrum licences. </w:t>
      </w:r>
      <w:r w:rsidRPr="002908D8">
        <w:t>The ACMA has previously noted that the addition of a 1 MHz guard band between the 850 MHz band base-transmit segment and the 890–915/935–960 MHz base-receive segment will significantly increase the usability of the lower segment in the 900 MHz band. This can only be achieved via a downshift of the existing 850 MHz band spectrum licence</w:t>
      </w:r>
      <w:r>
        <w:t xml:space="preserve">s. The ACMA </w:t>
      </w:r>
      <w:r w:rsidR="00324D52">
        <w:t>has indicated</w:t>
      </w:r>
      <w:r w:rsidR="00905394">
        <w:t xml:space="preserve"> previously </w:t>
      </w:r>
      <w:r>
        <w:t xml:space="preserve">that this downshift </w:t>
      </w:r>
      <w:r w:rsidR="00324D52">
        <w:t>w</w:t>
      </w:r>
      <w:r>
        <w:t xml:space="preserve">ould occur when the 850 MHz licences expire in 2028 and will make recommendations to the </w:t>
      </w:r>
      <w:r w:rsidR="009E3694">
        <w:t>m</w:t>
      </w:r>
      <w:r>
        <w:t>inister accordingly (in relation to band configurations that will support the downshift) at an appropriate time to operationalise this. However, the ACMA has also foreshadowed it will look at ways to expedite this process so the benefits can be realised sooner.</w:t>
      </w:r>
    </w:p>
    <w:p w14:paraId="2B3C93FA" w14:textId="46375C75" w:rsidR="00905394" w:rsidRDefault="00C1498C" w:rsidP="003155C4">
      <w:pPr>
        <w:widowControl w:val="0"/>
      </w:pPr>
      <w:r w:rsidRPr="007D38E3">
        <w:t>The</w:t>
      </w:r>
      <w:r w:rsidRPr="00073809">
        <w:t xml:space="preserve"> </w:t>
      </w:r>
      <w:hyperlink r:id="rId28" w:history="1">
        <w:r w:rsidRPr="00073809">
          <w:rPr>
            <w:rStyle w:val="Hyperlink"/>
            <w:i/>
          </w:rPr>
          <w:t>ACMA’s long-term strategy for the 803–960 MHz band</w:t>
        </w:r>
        <w:r w:rsidRPr="00073809">
          <w:rPr>
            <w:rStyle w:val="Hyperlink"/>
          </w:rPr>
          <w:t xml:space="preserve"> decision paper</w:t>
        </w:r>
      </w:hyperlink>
      <w:r w:rsidRPr="002908D8">
        <w:t xml:space="preserve"> set up the process of clearing the two blocks of 1</w:t>
      </w:r>
      <w:r>
        <w:t> </w:t>
      </w:r>
      <w:r w:rsidRPr="002908D8">
        <w:t xml:space="preserve">MHz of spectrum into which the downshift would ultimately occur. </w:t>
      </w:r>
    </w:p>
    <w:p w14:paraId="20C62789" w14:textId="00913207" w:rsidR="00C1498C" w:rsidRDefault="00C1498C" w:rsidP="003155C4">
      <w:pPr>
        <w:widowControl w:val="0"/>
      </w:pPr>
      <w:r w:rsidRPr="002908D8">
        <w:t>The relevant question for the purposes of this paper is</w:t>
      </w:r>
      <w:r w:rsidR="00B73148">
        <w:t xml:space="preserve"> to identify</w:t>
      </w:r>
      <w:r w:rsidRPr="002908D8">
        <w:t xml:space="preserve"> the appropriate means by which this 1 MHz can be allocated as a spectrum licence. </w:t>
      </w:r>
      <w:r>
        <w:t xml:space="preserve">It is necessary to allocate this 1 MHz paired as spectrum licences in order to enable the </w:t>
      </w:r>
      <w:r w:rsidRPr="00B36CF4">
        <w:t>agreement necessary to achieve the downshift of the 800</w:t>
      </w:r>
      <w:r>
        <w:t> MHz</w:t>
      </w:r>
      <w:r w:rsidRPr="00B36CF4">
        <w:t xml:space="preserve"> spectrum licences</w:t>
      </w:r>
      <w:r>
        <w:t xml:space="preserve"> prior to 2028.</w:t>
      </w:r>
    </w:p>
    <w:p w14:paraId="325AEE98" w14:textId="4128BC8D" w:rsidR="00F94039" w:rsidRPr="00B20D14" w:rsidRDefault="00F94039" w:rsidP="00F94039">
      <w:pPr>
        <w:pStyle w:val="Heading2"/>
        <w:spacing w:before="120" w:after="120"/>
      </w:pPr>
      <w:bookmarkStart w:id="25" w:name="_Toc5870066"/>
      <w:r w:rsidRPr="00B20D14">
        <w:t>Objectives</w:t>
      </w:r>
      <w:r>
        <w:t xml:space="preserve"> and policy goals</w:t>
      </w:r>
      <w:bookmarkEnd w:id="25"/>
    </w:p>
    <w:p w14:paraId="65800B84" w14:textId="2BB0418A" w:rsidR="00F94039" w:rsidRPr="00C81666" w:rsidRDefault="004A1268" w:rsidP="00F94039">
      <w:pPr>
        <w:widowControl w:val="0"/>
      </w:pPr>
      <w:r>
        <w:t>Any assessment of options aimed at reconfiguring the 900 MHz band should be referenced against the object of the Act which is to provide for management of the radiofrequency spectrum in order to, among other things</w:t>
      </w:r>
      <w:r w:rsidR="00F94039" w:rsidRPr="00C81666">
        <w:rPr>
          <w:vertAlign w:val="superscript"/>
        </w:rPr>
        <w:footnoteReference w:id="7"/>
      </w:r>
      <w:r w:rsidR="00F94039" w:rsidRPr="00C81666">
        <w:t>:</w:t>
      </w:r>
    </w:p>
    <w:p w14:paraId="7C46C009" w14:textId="77777777" w:rsidR="00F94039" w:rsidRPr="00F333B9" w:rsidRDefault="00F94039" w:rsidP="007D38E3">
      <w:pPr>
        <w:pStyle w:val="ListBullet"/>
      </w:pPr>
      <w:r w:rsidRPr="00F333B9">
        <w:t>maximise, by ensuring the efficient allocation and use of the spectrum, the overall public benefit derived from using the radiofrequency spectrum</w:t>
      </w:r>
    </w:p>
    <w:p w14:paraId="4142077D" w14:textId="77777777" w:rsidR="00F94039" w:rsidRPr="00F333B9" w:rsidRDefault="00F94039" w:rsidP="007D38E3">
      <w:pPr>
        <w:pStyle w:val="ListBullet"/>
      </w:pPr>
      <w:r w:rsidRPr="00F333B9">
        <w:t>provide a responsive and flexible approach to meeting the needs of users of the spectrum</w:t>
      </w:r>
    </w:p>
    <w:p w14:paraId="1D2627BF" w14:textId="77777777" w:rsidR="00F94039" w:rsidRPr="001334B9" w:rsidRDefault="00F94039" w:rsidP="007D38E3">
      <w:pPr>
        <w:pStyle w:val="ListBullet"/>
        <w:spacing w:after="240"/>
      </w:pPr>
      <w:r w:rsidRPr="001334B9">
        <w:t>encourage the use of efficient radiocommunications technologies so that a wide range of services of an adequate quality can be provided.</w:t>
      </w:r>
    </w:p>
    <w:p w14:paraId="5BCF7BFD" w14:textId="4D80A2CF" w:rsidR="00F94039" w:rsidRPr="00B20D14" w:rsidRDefault="0010414C" w:rsidP="00ED1E78">
      <w:pPr>
        <w:widowControl w:val="0"/>
        <w:spacing w:after="80"/>
      </w:pPr>
      <w:r>
        <w:t>T</w:t>
      </w:r>
      <w:r w:rsidR="00F94039" w:rsidRPr="00B20D14">
        <w:t xml:space="preserve">he ACMA is </w:t>
      </w:r>
      <w:r>
        <w:t xml:space="preserve">also </w:t>
      </w:r>
      <w:r w:rsidR="00F94039" w:rsidRPr="00B20D14">
        <w:t xml:space="preserve">guided by </w:t>
      </w:r>
      <w:r w:rsidR="008421F2">
        <w:t>its</w:t>
      </w:r>
      <w:r w:rsidR="00F94039" w:rsidRPr="00B20D14">
        <w:t xml:space="preserve"> </w:t>
      </w:r>
      <w:hyperlink r:id="rId29" w:history="1">
        <w:r w:rsidR="00F94039" w:rsidRPr="00B20D14">
          <w:rPr>
            <w:rStyle w:val="Hyperlink"/>
          </w:rPr>
          <w:t xml:space="preserve">Principles for </w:t>
        </w:r>
        <w:r w:rsidR="00CB5F45">
          <w:rPr>
            <w:rStyle w:val="Hyperlink"/>
          </w:rPr>
          <w:t>s</w:t>
        </w:r>
        <w:r w:rsidR="00F94039" w:rsidRPr="00B20D14">
          <w:rPr>
            <w:rStyle w:val="Hyperlink"/>
          </w:rPr>
          <w:t xml:space="preserve">pectrum </w:t>
        </w:r>
        <w:r w:rsidR="00CB5F45">
          <w:rPr>
            <w:rStyle w:val="Hyperlink"/>
          </w:rPr>
          <w:t>m</w:t>
        </w:r>
        <w:r w:rsidR="00F94039" w:rsidRPr="00B20D14">
          <w:rPr>
            <w:rStyle w:val="Hyperlink"/>
          </w:rPr>
          <w:t>anagement</w:t>
        </w:r>
      </w:hyperlink>
      <w:r w:rsidR="00F94039" w:rsidRPr="00B20D14" w:rsidDel="00DA0B78">
        <w:t xml:space="preserve"> </w:t>
      </w:r>
      <w:r w:rsidR="00F94039" w:rsidRPr="00B20D14">
        <w:t>(the Principles), which are</w:t>
      </w:r>
      <w:r w:rsidR="00972750">
        <w:t xml:space="preserve"> to</w:t>
      </w:r>
      <w:r w:rsidR="00F94039" w:rsidRPr="00B20D14">
        <w:t>:</w:t>
      </w:r>
    </w:p>
    <w:p w14:paraId="41D47C31" w14:textId="2F356956" w:rsidR="00F94039" w:rsidRPr="001334B9" w:rsidRDefault="00F333B9" w:rsidP="007D38E3">
      <w:pPr>
        <w:pStyle w:val="ListBullet"/>
      </w:pPr>
      <w:r>
        <w:t xml:space="preserve"> </w:t>
      </w:r>
      <w:r w:rsidRPr="00BC7596">
        <w:t>a</w:t>
      </w:r>
      <w:r w:rsidR="00F94039" w:rsidRPr="00BC7596">
        <w:t>llocate</w:t>
      </w:r>
      <w:r w:rsidR="00F94039" w:rsidRPr="00F333B9">
        <w:t xml:space="preserve"> spectrum to the highest value use (HVU) or uses</w:t>
      </w:r>
    </w:p>
    <w:p w14:paraId="0FAD3121" w14:textId="1B7ED638" w:rsidR="00F94039" w:rsidRPr="00BC7596" w:rsidRDefault="00F333B9" w:rsidP="007D38E3">
      <w:pPr>
        <w:pStyle w:val="ListBullet"/>
      </w:pPr>
      <w:r w:rsidRPr="00BC7596">
        <w:t xml:space="preserve"> e</w:t>
      </w:r>
      <w:r w:rsidR="00F94039" w:rsidRPr="00BC7596">
        <w:t>nable and encourage spectrum to move to its HVU</w:t>
      </w:r>
    </w:p>
    <w:p w14:paraId="024283DA" w14:textId="783B264D" w:rsidR="00F94039" w:rsidRPr="00BC7596" w:rsidRDefault="00F333B9" w:rsidP="007D38E3">
      <w:pPr>
        <w:pStyle w:val="ListBullet"/>
      </w:pPr>
      <w:r w:rsidRPr="00BC7596">
        <w:t xml:space="preserve"> u</w:t>
      </w:r>
      <w:r w:rsidR="00F94039" w:rsidRPr="00BC7596">
        <w:t>se the least cost and least restrictive approach to achieving policy objectives</w:t>
      </w:r>
    </w:p>
    <w:p w14:paraId="4CC8F2E6" w14:textId="03B07FD2" w:rsidR="00F94039" w:rsidRPr="00BC7596" w:rsidRDefault="00F333B9" w:rsidP="007D38E3">
      <w:pPr>
        <w:pStyle w:val="ListBullet"/>
      </w:pPr>
      <w:r w:rsidRPr="00BC7596">
        <w:t xml:space="preserve"> t</w:t>
      </w:r>
      <w:r w:rsidR="00F94039" w:rsidRPr="00BC7596">
        <w:t>o the extent possible, promote both certainty and flexibility</w:t>
      </w:r>
    </w:p>
    <w:p w14:paraId="541B3DF1" w14:textId="25245A15" w:rsidR="00F94039" w:rsidRPr="00BC7596" w:rsidRDefault="00F333B9" w:rsidP="00ED1E78">
      <w:pPr>
        <w:pStyle w:val="ListBulletLast"/>
      </w:pPr>
      <w:r w:rsidRPr="00BC7596">
        <w:t xml:space="preserve"> b</w:t>
      </w:r>
      <w:r w:rsidR="00F94039" w:rsidRPr="00BC7596">
        <w:t>alance the cost of interference and the benefits of greater spectrum utilisation.</w:t>
      </w:r>
    </w:p>
    <w:p w14:paraId="342435F8" w14:textId="454CA2BC" w:rsidR="00F94039" w:rsidRPr="00B20D14" w:rsidRDefault="0056148C" w:rsidP="007D38E3">
      <w:r>
        <w:t xml:space="preserve">The ACMA considered a set of outcomes from this process that </w:t>
      </w:r>
      <w:r w:rsidR="00176EE7">
        <w:t>would indicat</w:t>
      </w:r>
      <w:r w:rsidR="007F101D">
        <w:t xml:space="preserve">e the success of the reform. </w:t>
      </w:r>
      <w:r w:rsidR="004C14DA">
        <w:t>T</w:t>
      </w:r>
      <w:r w:rsidR="00F94039" w:rsidRPr="00B20D14">
        <w:t xml:space="preserve">o be considered an effective reform process, the reconfiguration of the band </w:t>
      </w:r>
      <w:r w:rsidR="00F94039">
        <w:t>should</w:t>
      </w:r>
      <w:r w:rsidR="00F94039" w:rsidRPr="00B20D14">
        <w:t>:</w:t>
      </w:r>
    </w:p>
    <w:p w14:paraId="635FA3CD" w14:textId="7AFB340B" w:rsidR="0031243E" w:rsidRPr="00BB002A" w:rsidRDefault="00BC5A7C" w:rsidP="007D38E3">
      <w:pPr>
        <w:pStyle w:val="ListBullet"/>
        <w:rPr>
          <w:rFonts w:cs="Arial"/>
          <w:szCs w:val="20"/>
        </w:rPr>
      </w:pPr>
      <w:r>
        <w:t>R</w:t>
      </w:r>
      <w:r w:rsidR="00F94039" w:rsidRPr="00F94039">
        <w:t>esult in the band being spectrum licensed (or the equivalent under the new Act)</w:t>
      </w:r>
      <w:r>
        <w:t>—</w:t>
      </w:r>
      <w:r>
        <w:rPr>
          <w:rFonts w:cs="Arial"/>
          <w:szCs w:val="20"/>
        </w:rPr>
        <w:t>l</w:t>
      </w:r>
      <w:r w:rsidR="0031243E" w:rsidRPr="00BB002A">
        <w:rPr>
          <w:rFonts w:cs="Arial"/>
          <w:szCs w:val="20"/>
        </w:rPr>
        <w:t xml:space="preserve">ong-term licences with strong property rights </w:t>
      </w:r>
      <w:r w:rsidR="0031243E">
        <w:t xml:space="preserve">encourage long-term investment </w:t>
      </w:r>
      <w:r w:rsidR="00F2164E">
        <w:t>to</w:t>
      </w:r>
      <w:r w:rsidR="0031243E">
        <w:t xml:space="preserve"> develop new technologies</w:t>
      </w:r>
      <w:r w:rsidR="00F2164E">
        <w:t xml:space="preserve"> and to provide flexibility in deploying new services</w:t>
      </w:r>
      <w:r w:rsidR="0031243E">
        <w:t>.</w:t>
      </w:r>
    </w:p>
    <w:p w14:paraId="27B0487F" w14:textId="180AD91E" w:rsidR="0031243E" w:rsidRPr="00F94039" w:rsidRDefault="00BC5A7C" w:rsidP="007D38E3">
      <w:pPr>
        <w:pStyle w:val="ListBullet"/>
      </w:pPr>
      <w:r>
        <w:t>F</w:t>
      </w:r>
      <w:r w:rsidR="00F94039" w:rsidRPr="00F94039">
        <w:t>acilitate the 1</w:t>
      </w:r>
      <w:r w:rsidR="002908D8">
        <w:t> MHz</w:t>
      </w:r>
      <w:r w:rsidR="00F94039" w:rsidRPr="00F94039">
        <w:t xml:space="preserve"> downshift in the 800</w:t>
      </w:r>
      <w:r w:rsidR="002908D8">
        <w:t> MHz</w:t>
      </w:r>
      <w:r w:rsidR="00F94039" w:rsidRPr="00F94039">
        <w:t xml:space="preserve"> spectrum licences</w:t>
      </w:r>
      <w:r w:rsidR="00DA6310">
        <w:t xml:space="preserve"> by removing a key regulatory impediment</w:t>
      </w:r>
      <w:r w:rsidR="00F94039" w:rsidRPr="00F94039">
        <w:rPr>
          <w:vertAlign w:val="superscript"/>
        </w:rPr>
        <w:footnoteReference w:id="8"/>
      </w:r>
      <w:r>
        <w:t>—t</w:t>
      </w:r>
      <w:r w:rsidR="0031243E">
        <w:t xml:space="preserve">he downshift is necessary to </w:t>
      </w:r>
      <w:r w:rsidR="0031243E" w:rsidRPr="009E7B5E">
        <w:t>introduce a guard band between the 850</w:t>
      </w:r>
      <w:r w:rsidR="002908D8">
        <w:t> MHz</w:t>
      </w:r>
      <w:r w:rsidR="0031243E" w:rsidRPr="009E7B5E">
        <w:t xml:space="preserve"> and 900</w:t>
      </w:r>
      <w:r w:rsidR="002908D8">
        <w:t> MHz</w:t>
      </w:r>
      <w:r w:rsidR="0031243E" w:rsidRPr="009E7B5E">
        <w:t xml:space="preserve"> bands at 889–890</w:t>
      </w:r>
      <w:r w:rsidR="002908D8">
        <w:t> MHz</w:t>
      </w:r>
      <w:r w:rsidR="0031243E" w:rsidRPr="009E7B5E">
        <w:t>, which will help alleviate the coexistence issues and maximise the efficiency of the band by increasing the amount of spectrum capable of providing 4G</w:t>
      </w:r>
      <w:r w:rsidR="0031243E">
        <w:t>/5G</w:t>
      </w:r>
      <w:r w:rsidR="0031243E" w:rsidRPr="009E7B5E">
        <w:t xml:space="preserve"> services.</w:t>
      </w:r>
    </w:p>
    <w:p w14:paraId="395C293F" w14:textId="474F32A9" w:rsidR="003E0057" w:rsidRPr="00BB002A" w:rsidRDefault="00BC5A7C" w:rsidP="007D38E3">
      <w:pPr>
        <w:pStyle w:val="ListBullet"/>
        <w:rPr>
          <w:rFonts w:cs="Arial"/>
          <w:szCs w:val="20"/>
        </w:rPr>
      </w:pPr>
      <w:r>
        <w:t>R</w:t>
      </w:r>
      <w:r w:rsidR="00F94039" w:rsidRPr="00F94039">
        <w:t>esult in the band being configured in 5</w:t>
      </w:r>
      <w:r w:rsidR="002908D8">
        <w:t> MHz</w:t>
      </w:r>
      <w:r w:rsidR="00F94039" w:rsidRPr="00F94039">
        <w:t xml:space="preserve"> channels</w:t>
      </w:r>
      <w:r>
        <w:t>—t</w:t>
      </w:r>
      <w:r w:rsidR="003E0057" w:rsidRPr="00337EA4">
        <w:t>o achieve the optimal use</w:t>
      </w:r>
      <w:r w:rsidR="003E0057">
        <w:t xml:space="preserve"> of the band,</w:t>
      </w:r>
      <w:r w:rsidR="003E0057" w:rsidRPr="00337EA4">
        <w:t xml:space="preserve"> it </w:t>
      </w:r>
      <w:r w:rsidR="003E0057">
        <w:t xml:space="preserve">is </w:t>
      </w:r>
      <w:r w:rsidR="003E0057" w:rsidRPr="00337EA4">
        <w:t>necessary to change the licence parameters to align with a band configuration based on 5</w:t>
      </w:r>
      <w:r w:rsidR="002908D8">
        <w:t> MHz</w:t>
      </w:r>
      <w:r w:rsidR="003E0057" w:rsidRPr="00337EA4">
        <w:t xml:space="preserve"> FDD </w:t>
      </w:r>
      <w:r w:rsidR="003E0057">
        <w:t xml:space="preserve">(paired) </w:t>
      </w:r>
      <w:r w:rsidR="003E0057" w:rsidRPr="00337EA4">
        <w:t>blocks.</w:t>
      </w:r>
    </w:p>
    <w:p w14:paraId="2E25B1A6" w14:textId="5FA7A341" w:rsidR="003E0057" w:rsidRPr="00BB002A" w:rsidRDefault="00BC5A7C" w:rsidP="007D38E3">
      <w:pPr>
        <w:pStyle w:val="ListBullet"/>
        <w:rPr>
          <w:rFonts w:cs="Arial"/>
          <w:szCs w:val="20"/>
        </w:rPr>
      </w:pPr>
      <w:r>
        <w:t>R</w:t>
      </w:r>
      <w:r w:rsidR="00F94039" w:rsidRPr="00BC7596">
        <w:t>esult</w:t>
      </w:r>
      <w:r w:rsidR="00F94039" w:rsidRPr="00F94039">
        <w:t xml:space="preserve"> in licensees being charged a market price, </w:t>
      </w:r>
      <w:r w:rsidR="00972750" w:rsidRPr="00F94039">
        <w:t xml:space="preserve">or </w:t>
      </w:r>
      <w:r w:rsidR="00972750">
        <w:t>a price informed by relevant market outcomes</w:t>
      </w:r>
      <w:r>
        <w:t>—m</w:t>
      </w:r>
      <w:r w:rsidR="008926E6">
        <w:t>arket-determined or informed prices can enhance the efficien</w:t>
      </w:r>
      <w:r w:rsidR="005C516E">
        <w:t>t</w:t>
      </w:r>
      <w:r w:rsidR="008926E6">
        <w:t xml:space="preserve"> use of spectrum by encourag</w:t>
      </w:r>
      <w:r w:rsidR="00A4685F">
        <w:t>ing</w:t>
      </w:r>
      <w:r w:rsidR="008926E6">
        <w:t xml:space="preserve"> spectrum to be used by the licensees who </w:t>
      </w:r>
      <w:r w:rsidR="009C3064">
        <w:t xml:space="preserve">value it </w:t>
      </w:r>
      <w:r w:rsidR="008926E6">
        <w:t>most.</w:t>
      </w:r>
    </w:p>
    <w:p w14:paraId="67FE7A37" w14:textId="72BD0EDE" w:rsidR="00A4685F" w:rsidRPr="00F94039" w:rsidRDefault="00BC5A7C" w:rsidP="007D38E3">
      <w:pPr>
        <w:pStyle w:val="ListBullet"/>
      </w:pPr>
      <w:r>
        <w:t>E</w:t>
      </w:r>
      <w:r w:rsidR="00F94039" w:rsidRPr="00F94039">
        <w:t xml:space="preserve">nable </w:t>
      </w:r>
      <w:r w:rsidR="00F94039" w:rsidRPr="00BC7596">
        <w:t>licensees</w:t>
      </w:r>
      <w:r w:rsidR="00F94039" w:rsidRPr="00F94039">
        <w:t xml:space="preserve"> to mitigate risks to </w:t>
      </w:r>
      <w:r w:rsidR="003E0057">
        <w:t xml:space="preserve">the continuity of </w:t>
      </w:r>
      <w:r w:rsidR="00F94039" w:rsidRPr="00F94039">
        <w:t>consumer services</w:t>
      </w:r>
      <w:r>
        <w:t>—t</w:t>
      </w:r>
      <w:r w:rsidR="00A4685F">
        <w:t xml:space="preserve">he ACMA notes stakeholders’ concerns about the </w:t>
      </w:r>
      <w:r w:rsidR="00A4685F" w:rsidRPr="00A4685F">
        <w:t>critical nature of 900</w:t>
      </w:r>
      <w:r w:rsidR="002908D8">
        <w:t> MHz</w:t>
      </w:r>
      <w:r w:rsidR="00A4685F" w:rsidRPr="00A4685F">
        <w:t xml:space="preserve"> to </w:t>
      </w:r>
      <w:r w:rsidR="00A4685F">
        <w:t xml:space="preserve">regional </w:t>
      </w:r>
      <w:r w:rsidR="00A4685F" w:rsidRPr="00A4685F">
        <w:t>3G coverage</w:t>
      </w:r>
      <w:r w:rsidR="00A4685F">
        <w:t>.</w:t>
      </w:r>
    </w:p>
    <w:p w14:paraId="3205313C" w14:textId="4DDB4D7A" w:rsidR="00A4685F" w:rsidRPr="00C81666" w:rsidRDefault="00BC5A7C" w:rsidP="007D38E3">
      <w:pPr>
        <w:pStyle w:val="ListBullet"/>
        <w:spacing w:after="240"/>
      </w:pPr>
      <w:r>
        <w:t>F</w:t>
      </w:r>
      <w:r w:rsidR="00A4685F">
        <w:t xml:space="preserve">acilitate </w:t>
      </w:r>
      <w:r w:rsidR="007E24A2">
        <w:t xml:space="preserve">a </w:t>
      </w:r>
      <w:r w:rsidR="007E24A2" w:rsidRPr="00BC7596">
        <w:t>move</w:t>
      </w:r>
      <w:r w:rsidR="007E24A2" w:rsidRPr="00C81666">
        <w:t xml:space="preserve"> to larger contiguous bandwidths</w:t>
      </w:r>
      <w:r w:rsidR="00A4685F">
        <w:t xml:space="preserve">, </w:t>
      </w:r>
      <w:r w:rsidR="007E24A2" w:rsidRPr="00BB002A">
        <w:rPr>
          <w:rFonts w:cs="Arial"/>
          <w:szCs w:val="20"/>
        </w:rPr>
        <w:t>increas</w:t>
      </w:r>
      <w:r w:rsidR="00A4685F" w:rsidRPr="00BB002A">
        <w:rPr>
          <w:rFonts w:cs="Arial"/>
          <w:szCs w:val="20"/>
        </w:rPr>
        <w:t>ing</w:t>
      </w:r>
      <w:r w:rsidR="007E24A2" w:rsidRPr="00C81666">
        <w:t xml:space="preserve"> technical efficiency</w:t>
      </w:r>
      <w:r>
        <w:t>—i</w:t>
      </w:r>
      <w:r w:rsidR="00A4685F">
        <w:t xml:space="preserve">ndividual sub-1 GHz commercial mobile bands are relatively small, so allocation of each band in isolation tends to promote fragmentation and hinder the assembly of larger (and more efficient) contiguous holdings. </w:t>
      </w:r>
    </w:p>
    <w:p w14:paraId="7EE5327A" w14:textId="74CA8B45" w:rsidR="00631C8E" w:rsidRDefault="00631C8E" w:rsidP="00631C8E">
      <w:pPr>
        <w:pStyle w:val="Heading2"/>
        <w:spacing w:before="120" w:after="120"/>
      </w:pPr>
      <w:bookmarkStart w:id="26" w:name="_Toc5870067"/>
      <w:r>
        <w:t>Purpose of this paper</w:t>
      </w:r>
      <w:bookmarkEnd w:id="26"/>
    </w:p>
    <w:p w14:paraId="194DBC7F" w14:textId="76986E25" w:rsidR="00631C8E" w:rsidRDefault="00E650AE" w:rsidP="00631C8E">
      <w:r>
        <w:t xml:space="preserve">This paper outlines </w:t>
      </w:r>
      <w:r w:rsidR="0005406D">
        <w:t>two options to achieve the reconfiguration</w:t>
      </w:r>
      <w:r w:rsidR="00445070">
        <w:t xml:space="preserve"> of the 900</w:t>
      </w:r>
      <w:r w:rsidR="002908D8">
        <w:t> MHz</w:t>
      </w:r>
      <w:r w:rsidR="00445070">
        <w:t xml:space="preserve"> band, and is seeking feedback from key stakeholders </w:t>
      </w:r>
      <w:r w:rsidR="007C4C7B">
        <w:t xml:space="preserve">on these options. </w:t>
      </w:r>
    </w:p>
    <w:p w14:paraId="6AE6E2FF" w14:textId="77777777" w:rsidR="00E254E6" w:rsidRPr="003668F1" w:rsidRDefault="00E254E6" w:rsidP="007D38E3">
      <w:pPr>
        <w:pStyle w:val="ListBullet"/>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3668F1">
        <w:rPr>
          <w:b/>
        </w:rPr>
        <w:t>Consultation questions:</w:t>
      </w:r>
    </w:p>
    <w:p w14:paraId="369F3B7C" w14:textId="77777777" w:rsidR="00E254E6" w:rsidRPr="00337EA4" w:rsidRDefault="00E254E6" w:rsidP="007D38E3">
      <w:pPr>
        <w:pStyle w:val="ListNumber"/>
        <w:numPr>
          <w:ilvl w:val="0"/>
          <w:numId w:val="57"/>
        </w:numPr>
        <w:pBdr>
          <w:top w:val="single" w:sz="4" w:space="1" w:color="auto"/>
          <w:left w:val="single" w:sz="4" w:space="4" w:color="auto"/>
          <w:bottom w:val="single" w:sz="4" w:space="1" w:color="auto"/>
          <w:right w:val="single" w:sz="4" w:space="4" w:color="auto"/>
        </w:pBdr>
        <w:shd w:val="clear" w:color="auto" w:fill="F2F2F2" w:themeFill="background1" w:themeFillShade="F2"/>
      </w:pPr>
      <w:r>
        <w:t xml:space="preserve">The ACMA identified a set of outcomes from this process that would indicate the success of the reform—are these appropriate? </w:t>
      </w:r>
      <w:r w:rsidRPr="00337EA4">
        <w:t xml:space="preserve">Are there any other additional </w:t>
      </w:r>
      <w:r>
        <w:t xml:space="preserve">outcomes </w:t>
      </w:r>
      <w:r w:rsidRPr="00337EA4">
        <w:t>that should be included in this analysis?</w:t>
      </w:r>
    </w:p>
    <w:p w14:paraId="50C684F1" w14:textId="77777777" w:rsidR="00E254E6" w:rsidRDefault="00E254E6" w:rsidP="00631C8E"/>
    <w:p w14:paraId="04535BFC" w14:textId="7C2DE910" w:rsidR="007C4C7B" w:rsidRDefault="007C4C7B" w:rsidP="00631C8E"/>
    <w:p w14:paraId="4DE24F08" w14:textId="7DFED758" w:rsidR="007C4C7B" w:rsidRDefault="007C4C7B">
      <w:pPr>
        <w:spacing w:after="0" w:line="240" w:lineRule="auto"/>
      </w:pPr>
      <w:r>
        <w:br w:type="page"/>
      </w:r>
    </w:p>
    <w:p w14:paraId="72839E75" w14:textId="77777777" w:rsidR="007C4C7B" w:rsidRDefault="007C4C7B" w:rsidP="002752AF">
      <w:pPr>
        <w:pStyle w:val="Heading1"/>
        <w:rPr>
          <w:rFonts w:cstheme="minorHAnsi"/>
        </w:rPr>
      </w:pPr>
      <w:bookmarkStart w:id="27" w:name="_Toc5870068"/>
      <w:r w:rsidRPr="002752AF">
        <w:t>Options</w:t>
      </w:r>
      <w:bookmarkEnd w:id="27"/>
    </w:p>
    <w:p w14:paraId="3E62E929" w14:textId="1F8CB725" w:rsidR="007C4C7B" w:rsidRPr="001235FA" w:rsidRDefault="00432219" w:rsidP="007C4C7B">
      <w:pPr>
        <w:widowControl w:val="0"/>
        <w:rPr>
          <w:rFonts w:cs="Arial"/>
          <w:szCs w:val="20"/>
        </w:rPr>
      </w:pPr>
      <w:r>
        <w:rPr>
          <w:rFonts w:cs="Arial"/>
          <w:szCs w:val="20"/>
        </w:rPr>
        <w:t xml:space="preserve">The </w:t>
      </w:r>
      <w:r w:rsidR="007C4C7B" w:rsidRPr="001235FA">
        <w:rPr>
          <w:rFonts w:cs="Arial"/>
          <w:szCs w:val="20"/>
        </w:rPr>
        <w:t>ACMA ha</w:t>
      </w:r>
      <w:r>
        <w:rPr>
          <w:rFonts w:cs="Arial"/>
          <w:szCs w:val="20"/>
        </w:rPr>
        <w:t>s</w:t>
      </w:r>
      <w:r w:rsidR="007C4C7B" w:rsidRPr="001235FA">
        <w:rPr>
          <w:rFonts w:cs="Arial"/>
          <w:szCs w:val="20"/>
        </w:rPr>
        <w:t xml:space="preserve"> identified alternative options that aim to mitigate stakeholder concerns while concurrently facilitating the reconfiguration of the band into 5</w:t>
      </w:r>
      <w:r w:rsidR="002908D8">
        <w:rPr>
          <w:rFonts w:cs="Arial"/>
          <w:szCs w:val="20"/>
        </w:rPr>
        <w:t> MHz</w:t>
      </w:r>
      <w:r w:rsidR="007C4C7B" w:rsidRPr="001235FA">
        <w:rPr>
          <w:rFonts w:cs="Arial"/>
          <w:szCs w:val="20"/>
        </w:rPr>
        <w:t xml:space="preserve"> channel bandwidths. </w:t>
      </w:r>
      <w:r w:rsidR="004F15AC" w:rsidRPr="001235FA">
        <w:rPr>
          <w:rFonts w:cs="Arial"/>
          <w:szCs w:val="20"/>
        </w:rPr>
        <w:t xml:space="preserve">This section also outlines the </w:t>
      </w:r>
      <w:r w:rsidR="0095703B" w:rsidRPr="001235FA">
        <w:rPr>
          <w:rFonts w:cs="Arial"/>
          <w:szCs w:val="20"/>
        </w:rPr>
        <w:t xml:space="preserve">ACMA’s consideration of </w:t>
      </w:r>
      <w:r w:rsidR="004F15AC" w:rsidRPr="001235FA">
        <w:rPr>
          <w:rFonts w:cs="Arial"/>
          <w:szCs w:val="20"/>
        </w:rPr>
        <w:t xml:space="preserve">relative </w:t>
      </w:r>
      <w:r w:rsidR="00905394">
        <w:rPr>
          <w:rFonts w:cs="Arial"/>
          <w:szCs w:val="20"/>
        </w:rPr>
        <w:t xml:space="preserve">benefits and risks </w:t>
      </w:r>
      <w:r w:rsidR="004F15AC" w:rsidRPr="001235FA">
        <w:rPr>
          <w:rFonts w:cs="Arial"/>
          <w:szCs w:val="20"/>
        </w:rPr>
        <w:t>of converting the 900</w:t>
      </w:r>
      <w:r w:rsidR="002908D8">
        <w:rPr>
          <w:rFonts w:cs="Arial"/>
          <w:szCs w:val="20"/>
        </w:rPr>
        <w:t> MHz</w:t>
      </w:r>
      <w:r w:rsidR="004F15AC" w:rsidRPr="001235FA">
        <w:rPr>
          <w:rFonts w:cs="Arial"/>
          <w:szCs w:val="20"/>
        </w:rPr>
        <w:t xml:space="preserve"> incumbent apparatus licences into spectrum licences.</w:t>
      </w:r>
    </w:p>
    <w:p w14:paraId="48CBD429" w14:textId="03587CD9" w:rsidR="0095703B" w:rsidRDefault="0095703B" w:rsidP="0095703B">
      <w:pPr>
        <w:widowControl w:val="0"/>
        <w:rPr>
          <w:rFonts w:cstheme="minorHAnsi"/>
        </w:rPr>
      </w:pPr>
      <w:r w:rsidRPr="001235FA">
        <w:rPr>
          <w:rFonts w:cs="Arial"/>
          <w:szCs w:val="20"/>
        </w:rPr>
        <w:t>The ‘</w:t>
      </w:r>
      <w:r w:rsidR="003C07ED">
        <w:rPr>
          <w:rFonts w:cs="Arial"/>
          <w:szCs w:val="20"/>
        </w:rPr>
        <w:t>e</w:t>
      </w:r>
      <w:r w:rsidRPr="001235FA">
        <w:rPr>
          <w:rFonts w:cs="Arial"/>
          <w:szCs w:val="20"/>
        </w:rPr>
        <w:t>ncumbered</w:t>
      </w:r>
      <w:r w:rsidRPr="000C0FEB">
        <w:rPr>
          <w:rFonts w:cstheme="minorHAnsi"/>
        </w:rPr>
        <w:t xml:space="preserve"> </w:t>
      </w:r>
      <w:r>
        <w:rPr>
          <w:rFonts w:cstheme="minorHAnsi"/>
        </w:rPr>
        <w:t>auction</w:t>
      </w:r>
      <w:r w:rsidRPr="000C0FEB">
        <w:rPr>
          <w:rFonts w:cstheme="minorHAnsi"/>
        </w:rPr>
        <w:t>’</w:t>
      </w:r>
      <w:r>
        <w:rPr>
          <w:rFonts w:cstheme="minorHAnsi"/>
        </w:rPr>
        <w:t xml:space="preserve"> option</w:t>
      </w:r>
      <w:r w:rsidRPr="000C0FEB">
        <w:rPr>
          <w:rFonts w:cstheme="minorHAnsi"/>
        </w:rPr>
        <w:t xml:space="preserve"> </w:t>
      </w:r>
      <w:r>
        <w:rPr>
          <w:rFonts w:cstheme="minorHAnsi"/>
        </w:rPr>
        <w:t>maintains the p</w:t>
      </w:r>
      <w:r w:rsidRPr="000C0FEB">
        <w:rPr>
          <w:rFonts w:cstheme="minorHAnsi"/>
        </w:rPr>
        <w:t>rice</w:t>
      </w:r>
      <w:r>
        <w:rPr>
          <w:rFonts w:cstheme="minorHAnsi"/>
        </w:rPr>
        <w:t>-</w:t>
      </w:r>
      <w:r w:rsidRPr="000C0FEB">
        <w:rPr>
          <w:rFonts w:cstheme="minorHAnsi"/>
        </w:rPr>
        <w:t xml:space="preserve">based allocation </w:t>
      </w:r>
      <w:r>
        <w:rPr>
          <w:rFonts w:cstheme="minorHAnsi"/>
        </w:rPr>
        <w:t xml:space="preserve">approach </w:t>
      </w:r>
      <w:r w:rsidR="00905394">
        <w:rPr>
          <w:rFonts w:cstheme="minorHAnsi"/>
        </w:rPr>
        <w:t>(identified</w:t>
      </w:r>
      <w:r>
        <w:rPr>
          <w:rFonts w:cstheme="minorHAnsi"/>
        </w:rPr>
        <w:t xml:space="preserve"> by the ACMA in the 2017 </w:t>
      </w:r>
      <w:hyperlink r:id="rId30" w:history="1">
        <w:r w:rsidRPr="00BE73AB">
          <w:rPr>
            <w:rStyle w:val="Hyperlink"/>
          </w:rPr>
          <w:t xml:space="preserve">Way </w:t>
        </w:r>
        <w:r w:rsidR="003C07ED" w:rsidRPr="00BE73AB">
          <w:rPr>
            <w:rStyle w:val="Hyperlink"/>
          </w:rPr>
          <w:t>f</w:t>
        </w:r>
        <w:r w:rsidRPr="00BE73AB">
          <w:rPr>
            <w:rStyle w:val="Hyperlink"/>
          </w:rPr>
          <w:t>orward</w:t>
        </w:r>
      </w:hyperlink>
      <w:r w:rsidRPr="00BE73AB">
        <w:rPr>
          <w:rFonts w:cstheme="minorHAnsi"/>
        </w:rPr>
        <w:t xml:space="preserve"> </w:t>
      </w:r>
      <w:r>
        <w:rPr>
          <w:rFonts w:cstheme="minorHAnsi"/>
        </w:rPr>
        <w:t xml:space="preserve">paper) but </w:t>
      </w:r>
      <w:r w:rsidRPr="000C0FEB">
        <w:rPr>
          <w:rFonts w:cstheme="minorHAnsi"/>
        </w:rPr>
        <w:t>delay</w:t>
      </w:r>
      <w:r>
        <w:rPr>
          <w:rFonts w:cstheme="minorHAnsi"/>
        </w:rPr>
        <w:t xml:space="preserve">s the date by which incumbent apparatus licensees must clear the band. </w:t>
      </w:r>
      <w:r w:rsidRPr="000C0FEB">
        <w:rPr>
          <w:rFonts w:cstheme="minorHAnsi"/>
        </w:rPr>
        <w:t>This</w:t>
      </w:r>
      <w:r w:rsidR="00905394">
        <w:rPr>
          <w:rFonts w:cstheme="minorHAnsi"/>
        </w:rPr>
        <w:t xml:space="preserve"> option involves</w:t>
      </w:r>
      <w:r>
        <w:rPr>
          <w:rFonts w:cstheme="minorHAnsi"/>
        </w:rPr>
        <w:t xml:space="preserve"> all available spectrum </w:t>
      </w:r>
      <w:r w:rsidRPr="000C0FEB">
        <w:rPr>
          <w:rFonts w:cstheme="minorHAnsi"/>
        </w:rPr>
        <w:t xml:space="preserve">across </w:t>
      </w:r>
      <w:r>
        <w:rPr>
          <w:rFonts w:cstheme="minorHAnsi"/>
        </w:rPr>
        <w:t>the</w:t>
      </w:r>
      <w:r w:rsidRPr="000C0FEB">
        <w:rPr>
          <w:rFonts w:cstheme="minorHAnsi"/>
        </w:rPr>
        <w:t xml:space="preserve"> 900</w:t>
      </w:r>
      <w:r w:rsidR="002908D8">
        <w:rPr>
          <w:rFonts w:cstheme="minorHAnsi"/>
        </w:rPr>
        <w:t> MHz</w:t>
      </w:r>
      <w:r w:rsidRPr="000C0FEB">
        <w:rPr>
          <w:rFonts w:cstheme="minorHAnsi"/>
        </w:rPr>
        <w:t xml:space="preserve"> and 850</w:t>
      </w:r>
      <w:r w:rsidR="002908D8">
        <w:rPr>
          <w:rFonts w:cstheme="minorHAnsi"/>
        </w:rPr>
        <w:t> MHz</w:t>
      </w:r>
      <w:r w:rsidRPr="000C0FEB">
        <w:rPr>
          <w:rFonts w:cstheme="minorHAnsi"/>
        </w:rPr>
        <w:t xml:space="preserve"> </w:t>
      </w:r>
      <w:r>
        <w:rPr>
          <w:rFonts w:cstheme="minorHAnsi"/>
        </w:rPr>
        <w:t>bands (i.e. 2</w:t>
      </w:r>
      <w:r w:rsidR="003C07ED">
        <w:rPr>
          <w:rFonts w:cstheme="minorHAnsi"/>
        </w:rPr>
        <w:t xml:space="preserve"> </w:t>
      </w:r>
      <w:r>
        <w:rPr>
          <w:rFonts w:cstheme="minorHAnsi"/>
        </w:rPr>
        <w:t>x</w:t>
      </w:r>
      <w:r w:rsidR="003C07ED">
        <w:rPr>
          <w:rFonts w:cstheme="minorHAnsi"/>
        </w:rPr>
        <w:t xml:space="preserve"> </w:t>
      </w:r>
      <w:r>
        <w:rPr>
          <w:rFonts w:cstheme="minorHAnsi"/>
        </w:rPr>
        <w:t>25</w:t>
      </w:r>
      <w:r w:rsidR="002908D8">
        <w:rPr>
          <w:rFonts w:cstheme="minorHAnsi"/>
        </w:rPr>
        <w:t> MHz</w:t>
      </w:r>
      <w:r>
        <w:rPr>
          <w:rFonts w:cstheme="minorHAnsi"/>
        </w:rPr>
        <w:t xml:space="preserve"> in 900</w:t>
      </w:r>
      <w:r w:rsidR="002908D8">
        <w:rPr>
          <w:rFonts w:cstheme="minorHAnsi"/>
        </w:rPr>
        <w:t> MHz</w:t>
      </w:r>
      <w:r>
        <w:rPr>
          <w:rFonts w:cstheme="minorHAnsi"/>
        </w:rPr>
        <w:t>, and at least 2</w:t>
      </w:r>
      <w:r w:rsidR="003C07ED">
        <w:rPr>
          <w:rFonts w:cstheme="minorHAnsi"/>
        </w:rPr>
        <w:t xml:space="preserve"> </w:t>
      </w:r>
      <w:r>
        <w:rPr>
          <w:rFonts w:cstheme="minorHAnsi"/>
        </w:rPr>
        <w:t>x</w:t>
      </w:r>
      <w:r w:rsidR="003C07ED">
        <w:rPr>
          <w:rFonts w:cstheme="minorHAnsi"/>
        </w:rPr>
        <w:t xml:space="preserve"> </w:t>
      </w:r>
      <w:r>
        <w:rPr>
          <w:rFonts w:cstheme="minorHAnsi"/>
        </w:rPr>
        <w:t>10</w:t>
      </w:r>
      <w:r w:rsidR="002908D8">
        <w:rPr>
          <w:rFonts w:cstheme="minorHAnsi"/>
        </w:rPr>
        <w:t> MHz</w:t>
      </w:r>
      <w:r>
        <w:rPr>
          <w:rFonts w:cstheme="minorHAnsi"/>
        </w:rPr>
        <w:t xml:space="preserve"> in the 850</w:t>
      </w:r>
      <w:r w:rsidR="002908D8">
        <w:rPr>
          <w:rFonts w:cstheme="minorHAnsi"/>
        </w:rPr>
        <w:t> MHz</w:t>
      </w:r>
      <w:r>
        <w:rPr>
          <w:rFonts w:cstheme="minorHAnsi"/>
        </w:rPr>
        <w:t xml:space="preserve"> expansion band) </w:t>
      </w:r>
      <w:r w:rsidRPr="000C0FEB">
        <w:rPr>
          <w:rFonts w:cstheme="minorHAnsi"/>
        </w:rPr>
        <w:t xml:space="preserve">allocated as spectrum licences via </w:t>
      </w:r>
      <w:r>
        <w:rPr>
          <w:rFonts w:cstheme="minorHAnsi"/>
        </w:rPr>
        <w:t>price-based allocation (PBA)</w:t>
      </w:r>
      <w:r w:rsidRPr="000C0FEB">
        <w:rPr>
          <w:rFonts w:cstheme="minorHAnsi"/>
        </w:rPr>
        <w:t xml:space="preserve">, with </w:t>
      </w:r>
      <w:r>
        <w:rPr>
          <w:rFonts w:cstheme="minorHAnsi"/>
        </w:rPr>
        <w:t>those</w:t>
      </w:r>
      <w:r w:rsidRPr="000C0FEB">
        <w:rPr>
          <w:rFonts w:cstheme="minorHAnsi"/>
        </w:rPr>
        <w:t xml:space="preserve"> licences beginning soon after the </w:t>
      </w:r>
      <w:r w:rsidR="00A54E35">
        <w:rPr>
          <w:rFonts w:cstheme="minorHAnsi"/>
        </w:rPr>
        <w:t>allocation</w:t>
      </w:r>
      <w:r w:rsidRPr="000C0FEB">
        <w:rPr>
          <w:rFonts w:cstheme="minorHAnsi"/>
        </w:rPr>
        <w:t xml:space="preserve">. However, this </w:t>
      </w:r>
      <w:r w:rsidR="000B64F4" w:rsidRPr="000C0FEB">
        <w:rPr>
          <w:rFonts w:cstheme="minorHAnsi"/>
        </w:rPr>
        <w:t>option also</w:t>
      </w:r>
      <w:r w:rsidRPr="000C0FEB">
        <w:rPr>
          <w:rFonts w:cstheme="minorHAnsi"/>
        </w:rPr>
        <w:t xml:space="preserve"> extend</w:t>
      </w:r>
      <w:r w:rsidR="00905394">
        <w:rPr>
          <w:rFonts w:cstheme="minorHAnsi"/>
        </w:rPr>
        <w:t>s</w:t>
      </w:r>
      <w:r w:rsidRPr="000C0FEB">
        <w:rPr>
          <w:rFonts w:cstheme="minorHAnsi"/>
        </w:rPr>
        <w:t xml:space="preserve"> the clearance date for existing apparatus licences in the 900</w:t>
      </w:r>
      <w:r w:rsidR="002908D8">
        <w:rPr>
          <w:rFonts w:cstheme="minorHAnsi"/>
        </w:rPr>
        <w:t> MHz</w:t>
      </w:r>
      <w:r w:rsidRPr="000C0FEB">
        <w:rPr>
          <w:rFonts w:cstheme="minorHAnsi"/>
        </w:rPr>
        <w:t xml:space="preserve"> band to </w:t>
      </w:r>
      <w:r w:rsidR="00F1452A">
        <w:rPr>
          <w:rFonts w:cstheme="minorHAnsi"/>
        </w:rPr>
        <w:t>mid-</w:t>
      </w:r>
      <w:r w:rsidRPr="000C0FEB">
        <w:rPr>
          <w:rFonts w:cstheme="minorHAnsi"/>
        </w:rPr>
        <w:t>2024</w:t>
      </w:r>
      <w:r>
        <w:rPr>
          <w:rFonts w:cstheme="minorHAnsi"/>
        </w:rPr>
        <w:t xml:space="preserve"> rather than </w:t>
      </w:r>
      <w:r w:rsidR="00F1452A">
        <w:rPr>
          <w:rFonts w:cstheme="minorHAnsi"/>
        </w:rPr>
        <w:t>mid-</w:t>
      </w:r>
      <w:r>
        <w:rPr>
          <w:rFonts w:cstheme="minorHAnsi"/>
        </w:rPr>
        <w:t xml:space="preserve">2021 </w:t>
      </w:r>
      <w:r w:rsidR="00905394">
        <w:rPr>
          <w:rFonts w:cstheme="minorHAnsi"/>
        </w:rPr>
        <w:t xml:space="preserve">previously </w:t>
      </w:r>
      <w:r w:rsidR="00DF7A8A">
        <w:rPr>
          <w:rFonts w:cstheme="minorHAnsi"/>
        </w:rPr>
        <w:t xml:space="preserve">identified. </w:t>
      </w:r>
      <w:r w:rsidRPr="000C0FEB">
        <w:rPr>
          <w:rFonts w:cstheme="minorHAnsi"/>
        </w:rPr>
        <w:t>to align with the full clearance of the 850</w:t>
      </w:r>
      <w:r w:rsidR="002908D8">
        <w:rPr>
          <w:rFonts w:cstheme="minorHAnsi"/>
        </w:rPr>
        <w:t> MHz</w:t>
      </w:r>
      <w:r w:rsidRPr="000C0FEB">
        <w:rPr>
          <w:rFonts w:cstheme="minorHAnsi"/>
        </w:rPr>
        <w:t xml:space="preserve"> expansion band licences.</w:t>
      </w:r>
      <w:r>
        <w:rPr>
          <w:rFonts w:cstheme="minorHAnsi"/>
        </w:rPr>
        <w:t xml:space="preserve"> </w:t>
      </w:r>
      <w:r w:rsidRPr="00F91F63">
        <w:rPr>
          <w:rFonts w:cstheme="minorHAnsi"/>
        </w:rPr>
        <w:t>In addition, the 2</w:t>
      </w:r>
      <w:r w:rsidR="003C07ED">
        <w:rPr>
          <w:rFonts w:cstheme="minorHAnsi"/>
        </w:rPr>
        <w:t xml:space="preserve"> </w:t>
      </w:r>
      <w:r w:rsidRPr="00F91F63">
        <w:rPr>
          <w:rFonts w:cstheme="minorHAnsi"/>
        </w:rPr>
        <w:t>x</w:t>
      </w:r>
      <w:r w:rsidR="003C07ED">
        <w:rPr>
          <w:rFonts w:cstheme="minorHAnsi"/>
        </w:rPr>
        <w:t xml:space="preserve"> </w:t>
      </w:r>
      <w:r w:rsidRPr="00F91F63">
        <w:rPr>
          <w:rFonts w:cstheme="minorHAnsi"/>
        </w:rPr>
        <w:t>1</w:t>
      </w:r>
      <w:r w:rsidR="002908D8">
        <w:rPr>
          <w:rFonts w:cstheme="minorHAnsi"/>
        </w:rPr>
        <w:t> MHz</w:t>
      </w:r>
      <w:r w:rsidRPr="00F91F63">
        <w:rPr>
          <w:rFonts w:cstheme="minorHAnsi"/>
        </w:rPr>
        <w:t xml:space="preserve"> lot that is </w:t>
      </w:r>
      <w:r w:rsidR="00F77E74">
        <w:rPr>
          <w:rFonts w:cstheme="minorHAnsi"/>
        </w:rPr>
        <w:t xml:space="preserve">below </w:t>
      </w:r>
      <w:r w:rsidRPr="00F91F63">
        <w:rPr>
          <w:rFonts w:cstheme="minorHAnsi"/>
        </w:rPr>
        <w:t>the 850</w:t>
      </w:r>
      <w:r w:rsidR="002908D8">
        <w:rPr>
          <w:rFonts w:cstheme="minorHAnsi"/>
        </w:rPr>
        <w:t> MHz</w:t>
      </w:r>
      <w:r w:rsidRPr="00F91F63">
        <w:rPr>
          <w:rFonts w:cstheme="minorHAnsi"/>
        </w:rPr>
        <w:t xml:space="preserve"> spectrum licensed band </w:t>
      </w:r>
      <w:r w:rsidR="00DF7A8A">
        <w:rPr>
          <w:rFonts w:cstheme="minorHAnsi"/>
        </w:rPr>
        <w:t>can</w:t>
      </w:r>
      <w:r w:rsidRPr="00F91F63">
        <w:rPr>
          <w:rFonts w:cstheme="minorHAnsi"/>
        </w:rPr>
        <w:t xml:space="preserve"> be attached to the lower lot of the 900</w:t>
      </w:r>
      <w:r w:rsidR="002908D8">
        <w:rPr>
          <w:rFonts w:cstheme="minorHAnsi"/>
        </w:rPr>
        <w:t> MHz</w:t>
      </w:r>
      <w:r w:rsidRPr="00F91F63">
        <w:rPr>
          <w:rFonts w:cstheme="minorHAnsi"/>
        </w:rPr>
        <w:t xml:space="preserve"> band, meaning that the eventual winner of the lower 900</w:t>
      </w:r>
      <w:r w:rsidR="002908D8">
        <w:rPr>
          <w:rFonts w:cstheme="minorHAnsi"/>
        </w:rPr>
        <w:t> MHz</w:t>
      </w:r>
      <w:r w:rsidRPr="00F91F63">
        <w:rPr>
          <w:rFonts w:cstheme="minorHAnsi"/>
        </w:rPr>
        <w:t xml:space="preserve"> lot would also win that 2</w:t>
      </w:r>
      <w:r w:rsidR="00E14E63">
        <w:rPr>
          <w:rFonts w:cstheme="minorHAnsi"/>
        </w:rPr>
        <w:t xml:space="preserve"> </w:t>
      </w:r>
      <w:r w:rsidRPr="00F91F63">
        <w:rPr>
          <w:rFonts w:cstheme="minorHAnsi"/>
        </w:rPr>
        <w:t>x</w:t>
      </w:r>
      <w:r w:rsidR="00E14E63">
        <w:rPr>
          <w:rFonts w:cstheme="minorHAnsi"/>
        </w:rPr>
        <w:t xml:space="preserve"> </w:t>
      </w:r>
      <w:r w:rsidRPr="00F91F63">
        <w:rPr>
          <w:rFonts w:cstheme="minorHAnsi"/>
        </w:rPr>
        <w:t>1</w:t>
      </w:r>
      <w:r w:rsidR="002908D8">
        <w:rPr>
          <w:rFonts w:cstheme="minorHAnsi"/>
        </w:rPr>
        <w:t> MHz</w:t>
      </w:r>
      <w:r w:rsidRPr="00F91F63">
        <w:rPr>
          <w:rFonts w:cstheme="minorHAnsi"/>
        </w:rPr>
        <w:t xml:space="preserve"> lot</w:t>
      </w:r>
      <w:r w:rsidR="001951C6">
        <w:rPr>
          <w:rFonts w:cstheme="minorHAnsi"/>
        </w:rPr>
        <w:t xml:space="preserve"> (making it in effect a 2</w:t>
      </w:r>
      <w:r w:rsidR="00E14E63">
        <w:rPr>
          <w:rFonts w:cstheme="minorHAnsi"/>
        </w:rPr>
        <w:t xml:space="preserve"> </w:t>
      </w:r>
      <w:r w:rsidR="001951C6">
        <w:rPr>
          <w:rFonts w:cstheme="minorHAnsi"/>
        </w:rPr>
        <w:t>x</w:t>
      </w:r>
      <w:r w:rsidR="00E14E63">
        <w:rPr>
          <w:rFonts w:cstheme="minorHAnsi"/>
        </w:rPr>
        <w:t xml:space="preserve"> </w:t>
      </w:r>
      <w:r w:rsidR="001951C6">
        <w:rPr>
          <w:rFonts w:cstheme="minorHAnsi"/>
        </w:rPr>
        <w:t>6 MHz lot, with the 2</w:t>
      </w:r>
      <w:r w:rsidR="003C07ED">
        <w:rPr>
          <w:rFonts w:cstheme="minorHAnsi"/>
        </w:rPr>
        <w:t xml:space="preserve"> </w:t>
      </w:r>
      <w:r w:rsidR="001951C6">
        <w:rPr>
          <w:rFonts w:cstheme="minorHAnsi"/>
        </w:rPr>
        <w:t>x</w:t>
      </w:r>
      <w:r w:rsidR="003C07ED">
        <w:rPr>
          <w:rFonts w:cstheme="minorHAnsi"/>
        </w:rPr>
        <w:t xml:space="preserve"> </w:t>
      </w:r>
      <w:r w:rsidR="001951C6">
        <w:rPr>
          <w:rFonts w:cstheme="minorHAnsi"/>
        </w:rPr>
        <w:t>5 MHz and the 2</w:t>
      </w:r>
      <w:r w:rsidR="00E14E63">
        <w:rPr>
          <w:rFonts w:cstheme="minorHAnsi"/>
        </w:rPr>
        <w:t xml:space="preserve"> </w:t>
      </w:r>
      <w:r w:rsidR="001951C6">
        <w:rPr>
          <w:rFonts w:cstheme="minorHAnsi"/>
        </w:rPr>
        <w:t>x</w:t>
      </w:r>
      <w:r w:rsidR="00E14E63">
        <w:rPr>
          <w:rFonts w:cstheme="minorHAnsi"/>
        </w:rPr>
        <w:t xml:space="preserve"> </w:t>
      </w:r>
      <w:r w:rsidR="001951C6">
        <w:rPr>
          <w:rFonts w:cstheme="minorHAnsi"/>
        </w:rPr>
        <w:t xml:space="preserve">1 MHz being </w:t>
      </w:r>
      <w:proofErr w:type="spellStart"/>
      <w:r w:rsidR="00E2230A">
        <w:t>discontiguous</w:t>
      </w:r>
      <w:proofErr w:type="spellEnd"/>
      <w:r w:rsidR="001951C6">
        <w:rPr>
          <w:rFonts w:cstheme="minorHAnsi"/>
        </w:rPr>
        <w:t>)</w:t>
      </w:r>
      <w:r w:rsidRPr="00F91F63">
        <w:rPr>
          <w:rFonts w:cstheme="minorHAnsi"/>
        </w:rPr>
        <w:t>.</w:t>
      </w:r>
    </w:p>
    <w:p w14:paraId="4FA67D5E" w14:textId="590A8335" w:rsidR="008C56CC" w:rsidRPr="00D022CD" w:rsidRDefault="003D3347" w:rsidP="00D022CD">
      <w:pPr>
        <w:widowControl w:val="0"/>
        <w:rPr>
          <w:rFonts w:cs="Arial"/>
          <w:szCs w:val="20"/>
        </w:rPr>
      </w:pPr>
      <w:r w:rsidRPr="00D022CD">
        <w:rPr>
          <w:rFonts w:cs="Arial"/>
          <w:szCs w:val="20"/>
        </w:rPr>
        <w:t xml:space="preserve">The </w:t>
      </w:r>
      <w:r w:rsidR="00A70F75">
        <w:rPr>
          <w:rFonts w:cs="Arial"/>
          <w:szCs w:val="20"/>
        </w:rPr>
        <w:t>‘h</w:t>
      </w:r>
      <w:r w:rsidRPr="00D022CD">
        <w:rPr>
          <w:rFonts w:cs="Arial"/>
          <w:szCs w:val="20"/>
        </w:rPr>
        <w:t>ybrid</w:t>
      </w:r>
      <w:r w:rsidR="00A70F75">
        <w:rPr>
          <w:rFonts w:cs="Arial"/>
          <w:szCs w:val="20"/>
        </w:rPr>
        <w:t>’</w:t>
      </w:r>
      <w:r w:rsidRPr="00D022CD">
        <w:rPr>
          <w:rFonts w:cs="Arial"/>
          <w:szCs w:val="20"/>
        </w:rPr>
        <w:t xml:space="preserve"> option involves administrative allocation (via conversion to spectrum licensing) of a 2</w:t>
      </w:r>
      <w:r w:rsidR="00A70F75">
        <w:rPr>
          <w:rFonts w:cs="Arial"/>
          <w:szCs w:val="20"/>
        </w:rPr>
        <w:t xml:space="preserve"> </w:t>
      </w:r>
      <w:r w:rsidRPr="00D022CD">
        <w:rPr>
          <w:rFonts w:cs="Arial"/>
          <w:szCs w:val="20"/>
        </w:rPr>
        <w:t>x</w:t>
      </w:r>
      <w:r w:rsidR="00A70F75">
        <w:rPr>
          <w:rFonts w:cs="Arial"/>
          <w:szCs w:val="20"/>
        </w:rPr>
        <w:t xml:space="preserve"> </w:t>
      </w:r>
      <w:r w:rsidRPr="00D022CD">
        <w:rPr>
          <w:rFonts w:cs="Arial"/>
          <w:szCs w:val="20"/>
        </w:rPr>
        <w:t>5 MHz block to each of the three incumbent 900 MHz licensees (which may require the ACMA to initially rationalise the apparatus licensed spectrum holdings of incumbent licensees), as well as an auction of the remaining 2</w:t>
      </w:r>
      <w:r w:rsidR="00A70F75">
        <w:rPr>
          <w:rFonts w:cs="Arial"/>
          <w:szCs w:val="20"/>
        </w:rPr>
        <w:t xml:space="preserve"> </w:t>
      </w:r>
      <w:r w:rsidRPr="00D022CD">
        <w:rPr>
          <w:rFonts w:cs="Arial"/>
          <w:szCs w:val="20"/>
        </w:rPr>
        <w:t>x</w:t>
      </w:r>
      <w:r w:rsidR="00A70F75">
        <w:rPr>
          <w:rFonts w:cs="Arial"/>
          <w:szCs w:val="20"/>
        </w:rPr>
        <w:t xml:space="preserve"> </w:t>
      </w:r>
      <w:r w:rsidRPr="00D022CD">
        <w:rPr>
          <w:rFonts w:cs="Arial"/>
          <w:szCs w:val="20"/>
        </w:rPr>
        <w:t>10 MHz (combined with the auction of the 850 MHz expansion band).</w:t>
      </w:r>
      <w:r w:rsidR="008C56CC">
        <w:rPr>
          <w:vertAlign w:val="superscript"/>
        </w:rPr>
        <w:footnoteReference w:id="9"/>
      </w:r>
      <w:r w:rsidR="008C56CC">
        <w:rPr>
          <w:rFonts w:ascii="Times New Roman" w:hAnsi="Times New Roman"/>
          <w:sz w:val="24"/>
        </w:rPr>
        <w:t xml:space="preserve"> </w:t>
      </w:r>
      <w:r w:rsidR="00295481" w:rsidRPr="00D022CD">
        <w:rPr>
          <w:rFonts w:cs="Arial"/>
          <w:szCs w:val="20"/>
        </w:rPr>
        <w:t>This means</w:t>
      </w:r>
      <w:r w:rsidRPr="00D022CD">
        <w:rPr>
          <w:rFonts w:cs="Arial"/>
          <w:szCs w:val="20"/>
        </w:rPr>
        <w:t xml:space="preserve"> one 2</w:t>
      </w:r>
      <w:r w:rsidR="00A70F75">
        <w:rPr>
          <w:rFonts w:cs="Arial"/>
          <w:szCs w:val="20"/>
        </w:rPr>
        <w:t xml:space="preserve"> </w:t>
      </w:r>
      <w:r w:rsidRPr="00D022CD">
        <w:rPr>
          <w:rFonts w:cs="Arial"/>
          <w:szCs w:val="20"/>
        </w:rPr>
        <w:t>x</w:t>
      </w:r>
      <w:r w:rsidR="00A70F75">
        <w:rPr>
          <w:rFonts w:cs="Arial"/>
          <w:szCs w:val="20"/>
        </w:rPr>
        <w:t xml:space="preserve"> </w:t>
      </w:r>
      <w:r w:rsidRPr="00D022CD">
        <w:rPr>
          <w:rFonts w:cs="Arial"/>
          <w:szCs w:val="20"/>
        </w:rPr>
        <w:t xml:space="preserve">5 MHz lot is administratively allocated to each of the three incumbent </w:t>
      </w:r>
      <w:r w:rsidR="008C56CC" w:rsidRPr="00D022CD">
        <w:rPr>
          <w:rFonts w:cs="Arial"/>
          <w:szCs w:val="20"/>
        </w:rPr>
        <w:t>licensees and</w:t>
      </w:r>
      <w:r w:rsidRPr="00D022CD">
        <w:rPr>
          <w:rFonts w:cs="Arial"/>
          <w:szCs w:val="20"/>
        </w:rPr>
        <w:t xml:space="preserve"> putting the intermediate (blocks 2 and 4) blocks to market.</w:t>
      </w:r>
      <w:r w:rsidR="00295481" w:rsidRPr="00D022CD">
        <w:rPr>
          <w:vertAlign w:val="superscript"/>
        </w:rPr>
        <w:footnoteReference w:id="10"/>
      </w:r>
    </w:p>
    <w:p w14:paraId="0DFF8806" w14:textId="77777777" w:rsidR="007C4C7B" w:rsidRPr="00D022CD" w:rsidRDefault="007C4C7B" w:rsidP="007C4C7B">
      <w:pPr>
        <w:widowControl w:val="0"/>
        <w:rPr>
          <w:rFonts w:cs="Arial"/>
          <w:szCs w:val="20"/>
        </w:rPr>
      </w:pPr>
      <w:r w:rsidRPr="00D022CD">
        <w:rPr>
          <w:rFonts w:cs="Arial"/>
          <w:szCs w:val="20"/>
        </w:rPr>
        <w:t>These two options are outlined below and compared with the status quo which sees the band retained in its current configuration under the current apparatus licencing framework.</w:t>
      </w:r>
    </w:p>
    <w:p w14:paraId="4C51A995" w14:textId="17114331" w:rsidR="000F61C1" w:rsidRPr="000F61C1" w:rsidRDefault="000F61C1" w:rsidP="00DC5A6B">
      <w:pPr>
        <w:pStyle w:val="Heading2"/>
      </w:pPr>
      <w:bookmarkStart w:id="28" w:name="_Toc5870069"/>
      <w:r w:rsidRPr="000F61C1">
        <w:t xml:space="preserve">Option 1: </w:t>
      </w:r>
      <w:r w:rsidR="00F33FC6">
        <w:t>E</w:t>
      </w:r>
      <w:r w:rsidRPr="00F00FDD">
        <w:t>ncumbered</w:t>
      </w:r>
      <w:r w:rsidRPr="000F61C1">
        <w:t xml:space="preserve"> </w:t>
      </w:r>
      <w:r w:rsidR="00AA537A">
        <w:t>a</w:t>
      </w:r>
      <w:r w:rsidRPr="000F61C1">
        <w:t>uction</w:t>
      </w:r>
      <w:bookmarkEnd w:id="28"/>
    </w:p>
    <w:p w14:paraId="27DEC6DE" w14:textId="01DEC307" w:rsidR="00390DFC" w:rsidRDefault="000F61C1" w:rsidP="00DC5A6B">
      <w:pPr>
        <w:pStyle w:val="ListBullet"/>
        <w:keepNext/>
        <w:keepLines/>
        <w:widowControl w:val="0"/>
        <w:numPr>
          <w:ilvl w:val="0"/>
          <w:numId w:val="0"/>
        </w:numPr>
        <w:spacing w:after="164"/>
        <w:rPr>
          <w:rFonts w:cs="Arial"/>
          <w:szCs w:val="20"/>
        </w:rPr>
      </w:pPr>
      <w:r w:rsidRPr="001235FA">
        <w:rPr>
          <w:rFonts w:cs="Arial"/>
          <w:szCs w:val="20"/>
        </w:rPr>
        <w:t xml:space="preserve">The </w:t>
      </w:r>
      <w:r w:rsidR="00AA537A">
        <w:rPr>
          <w:rFonts w:cs="Arial"/>
          <w:szCs w:val="20"/>
        </w:rPr>
        <w:t>e</w:t>
      </w:r>
      <w:r w:rsidRPr="001235FA">
        <w:rPr>
          <w:rFonts w:cs="Arial"/>
          <w:szCs w:val="20"/>
        </w:rPr>
        <w:t xml:space="preserve">ncumbered </w:t>
      </w:r>
      <w:r w:rsidR="00AA537A">
        <w:rPr>
          <w:rFonts w:cs="Arial"/>
          <w:szCs w:val="20"/>
        </w:rPr>
        <w:t>a</w:t>
      </w:r>
      <w:r w:rsidRPr="001235FA">
        <w:rPr>
          <w:rFonts w:cs="Arial"/>
          <w:szCs w:val="20"/>
        </w:rPr>
        <w:t>uction approach is similar in approach to the 2018 3.6</w:t>
      </w:r>
      <w:r w:rsidR="00792B3B">
        <w:rPr>
          <w:rFonts w:cs="Arial"/>
          <w:szCs w:val="20"/>
        </w:rPr>
        <w:t> GHz</w:t>
      </w:r>
      <w:r w:rsidRPr="001235FA">
        <w:rPr>
          <w:rFonts w:cs="Arial"/>
          <w:szCs w:val="20"/>
        </w:rPr>
        <w:t xml:space="preserve"> auction </w:t>
      </w:r>
      <w:r w:rsidR="006C1548">
        <w:rPr>
          <w:rFonts w:cs="Arial"/>
          <w:szCs w:val="20"/>
        </w:rPr>
        <w:t>in which</w:t>
      </w:r>
      <w:r w:rsidRPr="001235FA">
        <w:rPr>
          <w:rFonts w:cs="Arial"/>
          <w:szCs w:val="20"/>
        </w:rPr>
        <w:t xml:space="preserve"> </w:t>
      </w:r>
      <w:r w:rsidR="000B0296">
        <w:rPr>
          <w:rFonts w:cs="Arial"/>
          <w:szCs w:val="20"/>
        </w:rPr>
        <w:t>some incumbent licensees have been given up to seven years before being cleared from the band</w:t>
      </w:r>
      <w:r w:rsidRPr="001235FA">
        <w:rPr>
          <w:rFonts w:cs="Arial"/>
          <w:szCs w:val="20"/>
        </w:rPr>
        <w:t>. The key difference in the 900</w:t>
      </w:r>
      <w:r w:rsidR="002908D8">
        <w:rPr>
          <w:rFonts w:cs="Arial"/>
          <w:szCs w:val="20"/>
        </w:rPr>
        <w:t> MHz</w:t>
      </w:r>
      <w:r w:rsidRPr="001235FA">
        <w:rPr>
          <w:rFonts w:cs="Arial"/>
          <w:szCs w:val="20"/>
        </w:rPr>
        <w:t xml:space="preserve"> context is that the incumbents are likely to be the same group of parties as the bidders. Nevertheless, the effect is similar</w:t>
      </w:r>
      <w:r w:rsidR="00AA537A">
        <w:rPr>
          <w:rFonts w:cs="Arial"/>
          <w:szCs w:val="20"/>
        </w:rPr>
        <w:t>—</w:t>
      </w:r>
      <w:r w:rsidRPr="001235FA">
        <w:rPr>
          <w:rFonts w:cs="Arial"/>
          <w:szCs w:val="20"/>
        </w:rPr>
        <w:t>incumbent operators are provided with certainty of tenure which will allow them time to update their networks if they are unsuccessful in purchasing spectrum at auction. This underlines one key element of this option</w:t>
      </w:r>
      <w:r w:rsidR="00AA537A">
        <w:rPr>
          <w:rFonts w:cs="Arial"/>
          <w:szCs w:val="20"/>
        </w:rPr>
        <w:t>—</w:t>
      </w:r>
      <w:r w:rsidRPr="001235FA">
        <w:rPr>
          <w:rFonts w:cs="Arial"/>
          <w:szCs w:val="20"/>
        </w:rPr>
        <w:t>a reasonable period between the auction and the apparatus licence termination date</w:t>
      </w:r>
      <w:r w:rsidR="00E34BD0">
        <w:rPr>
          <w:rFonts w:cs="Arial"/>
          <w:szCs w:val="20"/>
        </w:rPr>
        <w:t xml:space="preserve"> would</w:t>
      </w:r>
      <w:r w:rsidR="00392FA3">
        <w:rPr>
          <w:rFonts w:cs="Arial"/>
          <w:szCs w:val="20"/>
        </w:rPr>
        <w:t xml:space="preserve"> provide incumbent licensees with the opportunity to mitigate risks to consumer services. This is one of the drivers in the </w:t>
      </w:r>
      <w:r w:rsidRPr="001235FA">
        <w:rPr>
          <w:rFonts w:cs="Arial"/>
          <w:szCs w:val="20"/>
        </w:rPr>
        <w:t xml:space="preserve">current auction timeline </w:t>
      </w:r>
      <w:r w:rsidR="00DF7A8A">
        <w:rPr>
          <w:rFonts w:cs="Arial"/>
          <w:szCs w:val="20"/>
        </w:rPr>
        <w:t xml:space="preserve">outlined by the ACMA </w:t>
      </w:r>
      <w:r w:rsidRPr="001235FA">
        <w:rPr>
          <w:rFonts w:cs="Arial"/>
          <w:szCs w:val="20"/>
        </w:rPr>
        <w:t>in the FYSO</w:t>
      </w:r>
      <w:r w:rsidR="00390DFC">
        <w:rPr>
          <w:rFonts w:cs="Arial"/>
          <w:szCs w:val="20"/>
        </w:rPr>
        <w:t xml:space="preserve"> 201</w:t>
      </w:r>
      <w:r w:rsidR="002A4C91">
        <w:rPr>
          <w:rFonts w:cs="Arial"/>
          <w:szCs w:val="20"/>
        </w:rPr>
        <w:t>9</w:t>
      </w:r>
      <w:r w:rsidR="00390DFC">
        <w:rPr>
          <w:rFonts w:cs="Arial"/>
          <w:szCs w:val="20"/>
        </w:rPr>
        <w:t>-2</w:t>
      </w:r>
      <w:r w:rsidR="002A4C91">
        <w:rPr>
          <w:rFonts w:cs="Arial"/>
          <w:szCs w:val="20"/>
        </w:rPr>
        <w:t>3</w:t>
      </w:r>
      <w:r w:rsidRPr="001235FA">
        <w:rPr>
          <w:rFonts w:cs="Arial"/>
          <w:szCs w:val="20"/>
        </w:rPr>
        <w:t>.</w:t>
      </w:r>
      <w:r w:rsidR="00390DFC" w:rsidRPr="00D022CD">
        <w:rPr>
          <w:vertAlign w:val="superscript"/>
        </w:rPr>
        <w:footnoteReference w:id="11"/>
      </w:r>
      <w:r w:rsidRPr="001235FA">
        <w:rPr>
          <w:rFonts w:cs="Arial"/>
          <w:szCs w:val="20"/>
        </w:rPr>
        <w:t xml:space="preserve"> </w:t>
      </w:r>
    </w:p>
    <w:p w14:paraId="73E3A89F" w14:textId="10AB5E16" w:rsidR="000F61C1" w:rsidRDefault="000F61C1" w:rsidP="00D022CD">
      <w:pPr>
        <w:pStyle w:val="ListBullet"/>
        <w:widowControl w:val="0"/>
        <w:numPr>
          <w:ilvl w:val="0"/>
          <w:numId w:val="0"/>
        </w:numPr>
        <w:spacing w:after="164"/>
        <w:rPr>
          <w:rFonts w:cs="Arial"/>
          <w:szCs w:val="20"/>
        </w:rPr>
      </w:pPr>
      <w:r w:rsidRPr="001235FA">
        <w:rPr>
          <w:rFonts w:cs="Arial"/>
          <w:szCs w:val="20"/>
        </w:rPr>
        <w:t xml:space="preserve">This </w:t>
      </w:r>
      <w:r w:rsidR="00EF73E4">
        <w:rPr>
          <w:rFonts w:cs="Arial"/>
          <w:szCs w:val="20"/>
        </w:rPr>
        <w:t xml:space="preserve">approach </w:t>
      </w:r>
      <w:r w:rsidR="00EF73E4" w:rsidRPr="001235FA">
        <w:rPr>
          <w:rFonts w:cs="Arial"/>
          <w:szCs w:val="20"/>
        </w:rPr>
        <w:t>also</w:t>
      </w:r>
      <w:r w:rsidR="006E0667">
        <w:rPr>
          <w:rFonts w:cs="Arial"/>
          <w:szCs w:val="20"/>
        </w:rPr>
        <w:t xml:space="preserve"> </w:t>
      </w:r>
      <w:r w:rsidR="006C1548">
        <w:rPr>
          <w:rFonts w:cs="Arial"/>
          <w:szCs w:val="20"/>
        </w:rPr>
        <w:t>enable</w:t>
      </w:r>
      <w:r w:rsidR="00DF7A8A">
        <w:rPr>
          <w:rFonts w:cs="Arial"/>
          <w:szCs w:val="20"/>
        </w:rPr>
        <w:t>s</w:t>
      </w:r>
      <w:r w:rsidRPr="001235FA">
        <w:rPr>
          <w:rFonts w:cs="Arial"/>
          <w:szCs w:val="20"/>
        </w:rPr>
        <w:t xml:space="preserve"> licensees </w:t>
      </w:r>
      <w:r w:rsidR="004241DA">
        <w:rPr>
          <w:rFonts w:cs="Arial"/>
          <w:szCs w:val="20"/>
        </w:rPr>
        <w:t>to</w:t>
      </w:r>
      <w:r w:rsidRPr="001235FA">
        <w:rPr>
          <w:rFonts w:cs="Arial"/>
          <w:szCs w:val="20"/>
        </w:rPr>
        <w:t xml:space="preserve"> gradually transition from their current configuration to the new spectrum licensed configuration prior to the end of the reallocation period.</w:t>
      </w:r>
    </w:p>
    <w:p w14:paraId="78DBBF90" w14:textId="2CC1AC31" w:rsidR="00814BE8" w:rsidRPr="00CD1FAC" w:rsidRDefault="00814BE8" w:rsidP="00814BE8">
      <w:pPr>
        <w:pStyle w:val="ListBullet"/>
        <w:widowControl w:val="0"/>
        <w:numPr>
          <w:ilvl w:val="0"/>
          <w:numId w:val="0"/>
        </w:numPr>
        <w:spacing w:after="164"/>
        <w:rPr>
          <w:rFonts w:cs="Arial"/>
          <w:szCs w:val="20"/>
        </w:rPr>
      </w:pPr>
      <w:r w:rsidRPr="002D324C">
        <w:rPr>
          <w:rFonts w:cs="Arial"/>
          <w:szCs w:val="20"/>
        </w:rPr>
        <w:t xml:space="preserve">It is proposed that interference protection between </w:t>
      </w:r>
      <w:r w:rsidR="001B3A7D">
        <w:rPr>
          <w:rFonts w:cs="Arial"/>
          <w:szCs w:val="20"/>
        </w:rPr>
        <w:t xml:space="preserve">an </w:t>
      </w:r>
      <w:r w:rsidRPr="002D324C">
        <w:rPr>
          <w:rFonts w:cs="Arial"/>
          <w:szCs w:val="20"/>
        </w:rPr>
        <w:t xml:space="preserve">apparatus licensee </w:t>
      </w:r>
      <w:r>
        <w:rPr>
          <w:rFonts w:cs="Arial"/>
          <w:szCs w:val="20"/>
        </w:rPr>
        <w:t>and</w:t>
      </w:r>
      <w:r w:rsidRPr="002D324C">
        <w:rPr>
          <w:rFonts w:cs="Arial"/>
          <w:szCs w:val="20"/>
        </w:rPr>
        <w:t xml:space="preserve"> the spectrum licensee be dealt with via a licence condition on the apparatus licen</w:t>
      </w:r>
      <w:r w:rsidR="002E3805">
        <w:rPr>
          <w:rFonts w:cs="Arial"/>
          <w:szCs w:val="20"/>
        </w:rPr>
        <w:t>ce</w:t>
      </w:r>
      <w:r w:rsidRPr="002D324C">
        <w:rPr>
          <w:rFonts w:cs="Arial"/>
          <w:szCs w:val="20"/>
        </w:rPr>
        <w:t xml:space="preserve"> restricting the deployment of new sites. This </w:t>
      </w:r>
      <w:r w:rsidR="00DF7A8A">
        <w:rPr>
          <w:rFonts w:cs="Arial"/>
          <w:szCs w:val="20"/>
        </w:rPr>
        <w:t xml:space="preserve">approach </w:t>
      </w:r>
      <w:r w:rsidRPr="002D324C">
        <w:rPr>
          <w:rFonts w:cs="Arial"/>
          <w:szCs w:val="20"/>
        </w:rPr>
        <w:t>allow</w:t>
      </w:r>
      <w:r w:rsidR="00DF7A8A">
        <w:rPr>
          <w:rFonts w:cs="Arial"/>
          <w:szCs w:val="20"/>
        </w:rPr>
        <w:t xml:space="preserve">s </w:t>
      </w:r>
      <w:r w:rsidRPr="002D324C">
        <w:rPr>
          <w:rFonts w:cs="Arial"/>
          <w:szCs w:val="20"/>
        </w:rPr>
        <w:t>the apparatus licensee to continue to service its currently serviced customers</w:t>
      </w:r>
      <w:r w:rsidR="00DF7A8A">
        <w:rPr>
          <w:rFonts w:cs="Arial"/>
          <w:szCs w:val="20"/>
        </w:rPr>
        <w:t xml:space="preserve">, while providing </w:t>
      </w:r>
      <w:r w:rsidRPr="002D324C">
        <w:rPr>
          <w:rFonts w:cs="Arial"/>
          <w:szCs w:val="20"/>
        </w:rPr>
        <w:t xml:space="preserve">the </w:t>
      </w:r>
      <w:r w:rsidRPr="00CD1FAC">
        <w:rPr>
          <w:rFonts w:cs="Arial"/>
          <w:szCs w:val="20"/>
        </w:rPr>
        <w:t xml:space="preserve">spectrum licensee with the confidence to deploy </w:t>
      </w:r>
      <w:r w:rsidR="00DF7A8A">
        <w:rPr>
          <w:rFonts w:cs="Arial"/>
          <w:szCs w:val="20"/>
        </w:rPr>
        <w:t xml:space="preserve">its </w:t>
      </w:r>
      <w:r w:rsidRPr="00CD1FAC">
        <w:rPr>
          <w:rFonts w:cs="Arial"/>
          <w:szCs w:val="20"/>
        </w:rPr>
        <w:t>network in a manner that does</w:t>
      </w:r>
      <w:r w:rsidR="00DF7A8A">
        <w:rPr>
          <w:rFonts w:cs="Arial"/>
          <w:szCs w:val="20"/>
        </w:rPr>
        <w:t xml:space="preserve"> </w:t>
      </w:r>
      <w:r w:rsidRPr="00CD1FAC">
        <w:rPr>
          <w:rFonts w:cs="Arial"/>
          <w:szCs w:val="20"/>
        </w:rPr>
        <w:t>n</w:t>
      </w:r>
      <w:r w:rsidR="00DF7A8A">
        <w:rPr>
          <w:rFonts w:cs="Arial"/>
          <w:szCs w:val="20"/>
        </w:rPr>
        <w:t>o</w:t>
      </w:r>
      <w:r w:rsidRPr="00CD1FAC">
        <w:rPr>
          <w:rFonts w:cs="Arial"/>
          <w:szCs w:val="20"/>
        </w:rPr>
        <w:t>t interfere with incumbent services.</w:t>
      </w:r>
    </w:p>
    <w:p w14:paraId="1AE69995" w14:textId="6A28787D" w:rsidR="00F1452A" w:rsidRDefault="00C16EB7" w:rsidP="00F1452A">
      <w:pPr>
        <w:pStyle w:val="ListBullet"/>
        <w:widowControl w:val="0"/>
        <w:numPr>
          <w:ilvl w:val="0"/>
          <w:numId w:val="0"/>
        </w:numPr>
        <w:spacing w:after="164"/>
        <w:rPr>
          <w:rFonts w:cs="Arial"/>
          <w:szCs w:val="20"/>
        </w:rPr>
      </w:pPr>
      <w:r>
        <w:rPr>
          <w:rFonts w:cs="Arial"/>
          <w:szCs w:val="20"/>
        </w:rPr>
        <w:t xml:space="preserve">Incumbent licensees are </w:t>
      </w:r>
      <w:r w:rsidR="00206504">
        <w:rPr>
          <w:rFonts w:cs="Arial"/>
          <w:szCs w:val="20"/>
        </w:rPr>
        <w:t xml:space="preserve">each </w:t>
      </w:r>
      <w:r>
        <w:rPr>
          <w:rFonts w:cs="Arial"/>
          <w:szCs w:val="20"/>
        </w:rPr>
        <w:t xml:space="preserve">currently paying </w:t>
      </w:r>
      <w:r w:rsidR="00F1452A" w:rsidRPr="00CD1FAC">
        <w:rPr>
          <w:rFonts w:cs="Arial"/>
          <w:szCs w:val="20"/>
        </w:rPr>
        <w:t>approximately $28 million in annual apparatus licence fees.</w:t>
      </w:r>
      <w:r w:rsidR="00F1452A">
        <w:rPr>
          <w:rFonts w:cs="Arial"/>
          <w:szCs w:val="20"/>
        </w:rPr>
        <w:t xml:space="preserve"> If they are able to purchase spectrum licences at auction, and transition to the appropriate frequency range, they would have an incentive to hand in their apparatus licence prior to the </w:t>
      </w:r>
      <w:r w:rsidR="00CB05B9">
        <w:rPr>
          <w:rFonts w:cs="Arial"/>
          <w:szCs w:val="20"/>
        </w:rPr>
        <w:t>mid-2024 clearance date.</w:t>
      </w:r>
    </w:p>
    <w:p w14:paraId="485B9BAE" w14:textId="59EC94C5" w:rsidR="009B33DC" w:rsidRDefault="00585244" w:rsidP="003D2231">
      <w:pPr>
        <w:pStyle w:val="ListBullet"/>
        <w:widowControl w:val="0"/>
        <w:numPr>
          <w:ilvl w:val="0"/>
          <w:numId w:val="0"/>
        </w:numPr>
        <w:spacing w:after="164"/>
        <w:rPr>
          <w:rFonts w:cs="Arial"/>
          <w:szCs w:val="20"/>
        </w:rPr>
      </w:pPr>
      <w:r w:rsidRPr="00EF050B">
        <w:rPr>
          <w:rFonts w:cs="Arial"/>
          <w:szCs w:val="20"/>
        </w:rPr>
        <w:t xml:space="preserve">One of the key issues for licensees is the uncertain timeline for the proliferation of </w:t>
      </w:r>
      <w:r w:rsidR="00206504">
        <w:rPr>
          <w:rFonts w:cs="Arial"/>
          <w:color w:val="222222"/>
          <w:shd w:val="clear" w:color="auto" w:fill="FFFFFF"/>
        </w:rPr>
        <w:t>Voice Over LTE (</w:t>
      </w:r>
      <w:r w:rsidRPr="00EF050B">
        <w:rPr>
          <w:rFonts w:cs="Arial"/>
          <w:szCs w:val="20"/>
        </w:rPr>
        <w:t>VoLTE</w:t>
      </w:r>
      <w:r w:rsidR="00206504">
        <w:rPr>
          <w:rFonts w:cs="Arial"/>
          <w:szCs w:val="20"/>
        </w:rPr>
        <w:t>)</w:t>
      </w:r>
      <w:r w:rsidRPr="00EF050B">
        <w:rPr>
          <w:rFonts w:cs="Arial"/>
          <w:szCs w:val="20"/>
        </w:rPr>
        <w:t xml:space="preserve">-enabled devices among consumers. </w:t>
      </w:r>
      <w:r w:rsidR="009B33DC">
        <w:rPr>
          <w:rFonts w:cs="Arial"/>
          <w:szCs w:val="20"/>
        </w:rPr>
        <w:t>The ACMA sought information from</w:t>
      </w:r>
      <w:r w:rsidR="009B33DC" w:rsidRPr="00EF050B">
        <w:rPr>
          <w:rFonts w:cs="Arial"/>
          <w:szCs w:val="20"/>
        </w:rPr>
        <w:t xml:space="preserve"> </w:t>
      </w:r>
      <w:r w:rsidR="009B33DC">
        <w:rPr>
          <w:rFonts w:cs="Arial"/>
          <w:szCs w:val="20"/>
        </w:rPr>
        <w:t xml:space="preserve">incumbent licensees on the expected timing and speed of consumer migration towards the use of VOLTE handsets, </w:t>
      </w:r>
      <w:r w:rsidR="009B33DC">
        <w:t>but still has no clear indication of intended migration paths. </w:t>
      </w:r>
      <w:r w:rsidR="009B33DC" w:rsidRPr="009B33DC">
        <w:t xml:space="preserve">In the absence of receiving any further information to support a more detailed assessment, the ACMA </w:t>
      </w:r>
      <w:r w:rsidR="00500C6F">
        <w:t xml:space="preserve">considers that the proposed timeline outlined in this option (i.e. a </w:t>
      </w:r>
      <w:r w:rsidR="00500C6F">
        <w:rPr>
          <w:rFonts w:cstheme="minorHAnsi"/>
        </w:rPr>
        <w:t>mid-</w:t>
      </w:r>
      <w:r w:rsidR="00500C6F" w:rsidRPr="000C0FEB">
        <w:rPr>
          <w:rFonts w:cstheme="minorHAnsi"/>
        </w:rPr>
        <w:t>2024</w:t>
      </w:r>
      <w:r w:rsidR="00500C6F">
        <w:rPr>
          <w:rFonts w:cstheme="minorHAnsi"/>
        </w:rPr>
        <w:t xml:space="preserve"> </w:t>
      </w:r>
      <w:r w:rsidR="00500C6F" w:rsidRPr="000C0FEB">
        <w:rPr>
          <w:rFonts w:cstheme="minorHAnsi"/>
        </w:rPr>
        <w:t>clearance date for existing apparatus licences</w:t>
      </w:r>
      <w:r w:rsidR="00500C6F">
        <w:rPr>
          <w:rFonts w:cstheme="minorHAnsi"/>
        </w:rPr>
        <w:t xml:space="preserve">) provides </w:t>
      </w:r>
      <w:r w:rsidR="005F5A0B">
        <w:rPr>
          <w:rFonts w:cstheme="minorHAnsi"/>
        </w:rPr>
        <w:t>enough</w:t>
      </w:r>
      <w:r w:rsidR="00500C6F">
        <w:rPr>
          <w:rFonts w:cstheme="minorHAnsi"/>
        </w:rPr>
        <w:t xml:space="preserve"> opportunity for carriers to mitigate risks to the </w:t>
      </w:r>
      <w:r w:rsidR="00500C6F">
        <w:rPr>
          <w:rFonts w:cs="Arial"/>
          <w:szCs w:val="20"/>
        </w:rPr>
        <w:t xml:space="preserve">continuity of </w:t>
      </w:r>
      <w:r w:rsidR="00500C6F" w:rsidRPr="00F94039">
        <w:rPr>
          <w:rFonts w:cs="Arial"/>
          <w:szCs w:val="20"/>
        </w:rPr>
        <w:t>consumer services.</w:t>
      </w:r>
    </w:p>
    <w:p w14:paraId="53899411" w14:textId="75907F14" w:rsidR="000F61C1" w:rsidRPr="001235FA" w:rsidRDefault="000F61C1" w:rsidP="003D2231">
      <w:pPr>
        <w:pStyle w:val="ListBullet"/>
        <w:widowControl w:val="0"/>
        <w:numPr>
          <w:ilvl w:val="0"/>
          <w:numId w:val="0"/>
        </w:numPr>
        <w:spacing w:after="164"/>
        <w:rPr>
          <w:rFonts w:cs="Arial"/>
          <w:szCs w:val="20"/>
        </w:rPr>
      </w:pPr>
      <w:r w:rsidRPr="001235FA">
        <w:rPr>
          <w:rFonts w:cs="Arial"/>
          <w:szCs w:val="20"/>
        </w:rPr>
        <w:t xml:space="preserve">The </w:t>
      </w:r>
      <w:r w:rsidR="006B490A">
        <w:rPr>
          <w:rFonts w:cs="Arial"/>
          <w:szCs w:val="20"/>
        </w:rPr>
        <w:t>benefits and risks</w:t>
      </w:r>
      <w:r w:rsidRPr="001235FA">
        <w:rPr>
          <w:rFonts w:cs="Arial"/>
          <w:szCs w:val="20"/>
        </w:rPr>
        <w:t xml:space="preserve"> </w:t>
      </w:r>
      <w:r w:rsidR="002667BF">
        <w:rPr>
          <w:rFonts w:cs="Arial"/>
          <w:szCs w:val="20"/>
        </w:rPr>
        <w:t xml:space="preserve">identified for </w:t>
      </w:r>
      <w:r w:rsidRPr="001235FA">
        <w:rPr>
          <w:rFonts w:cs="Arial"/>
          <w:szCs w:val="20"/>
        </w:rPr>
        <w:t xml:space="preserve">the </w:t>
      </w:r>
      <w:r w:rsidR="005F5A0B">
        <w:rPr>
          <w:rFonts w:cs="Arial"/>
          <w:szCs w:val="20"/>
        </w:rPr>
        <w:t>e</w:t>
      </w:r>
      <w:r w:rsidRPr="001235FA">
        <w:rPr>
          <w:rFonts w:cs="Arial"/>
          <w:szCs w:val="20"/>
        </w:rPr>
        <w:t xml:space="preserve">ncumbered </w:t>
      </w:r>
      <w:r w:rsidR="005F5A0B">
        <w:rPr>
          <w:rFonts w:cs="Arial"/>
          <w:szCs w:val="20"/>
        </w:rPr>
        <w:t>a</w:t>
      </w:r>
      <w:r w:rsidR="00506DCC">
        <w:rPr>
          <w:rFonts w:cs="Arial"/>
          <w:szCs w:val="20"/>
        </w:rPr>
        <w:t xml:space="preserve">uction </w:t>
      </w:r>
      <w:r w:rsidRPr="001235FA">
        <w:rPr>
          <w:rFonts w:cs="Arial"/>
          <w:szCs w:val="20"/>
        </w:rPr>
        <w:t>option are as follows:</w:t>
      </w:r>
    </w:p>
    <w:p w14:paraId="600244FD" w14:textId="407E078C" w:rsidR="000F61C1" w:rsidRPr="001235FA" w:rsidRDefault="006B490A" w:rsidP="00DC5A6B">
      <w:pPr>
        <w:pStyle w:val="Heading3"/>
      </w:pPr>
      <w:bookmarkStart w:id="29" w:name="_Toc5870070"/>
      <w:r>
        <w:t>Benefits</w:t>
      </w:r>
      <w:bookmarkEnd w:id="29"/>
    </w:p>
    <w:p w14:paraId="521D7E91" w14:textId="411DA694" w:rsidR="000F61C1" w:rsidRPr="001235FA" w:rsidRDefault="000F61C1" w:rsidP="00DC5A6B">
      <w:pPr>
        <w:pStyle w:val="ListBullet"/>
      </w:pPr>
      <w:r w:rsidRPr="001235FA">
        <w:t>Competitive allocation of the 900</w:t>
      </w:r>
      <w:r w:rsidR="002908D8">
        <w:t> MHz</w:t>
      </w:r>
      <w:r w:rsidRPr="001235FA">
        <w:t xml:space="preserve"> </w:t>
      </w:r>
      <w:r w:rsidR="00975284">
        <w:t xml:space="preserve">band </w:t>
      </w:r>
      <w:r w:rsidRPr="001235FA">
        <w:t xml:space="preserve">and </w:t>
      </w:r>
      <w:r w:rsidR="00975284">
        <w:t xml:space="preserve">the </w:t>
      </w:r>
      <w:r w:rsidRPr="001235FA">
        <w:t>850</w:t>
      </w:r>
      <w:r w:rsidR="002908D8">
        <w:t> MHz</w:t>
      </w:r>
      <w:r w:rsidRPr="001235FA">
        <w:t xml:space="preserve"> </w:t>
      </w:r>
      <w:r w:rsidR="00975284">
        <w:t xml:space="preserve">expansion </w:t>
      </w:r>
      <w:r w:rsidRPr="001235FA">
        <w:t xml:space="preserve">band enhances the likelihood that the spectrum is allocated to its highest value use (relative to both the status quo and an approach that includes administrative allocation/conversion). </w:t>
      </w:r>
    </w:p>
    <w:p w14:paraId="508D66A7" w14:textId="0F332E2D" w:rsidR="000F61C1" w:rsidRPr="001235FA" w:rsidRDefault="000F61C1" w:rsidP="00DC5A6B">
      <w:pPr>
        <w:pStyle w:val="ListBullet"/>
      </w:pPr>
      <w:r w:rsidRPr="007E013E">
        <w:t>Combined</w:t>
      </w:r>
      <w:r w:rsidRPr="001235FA">
        <w:t xml:space="preserve"> allocation of the 900</w:t>
      </w:r>
      <w:r w:rsidR="002908D8">
        <w:t> MHz</w:t>
      </w:r>
      <w:r w:rsidRPr="001235FA">
        <w:t xml:space="preserve"> and 850</w:t>
      </w:r>
      <w:r w:rsidR="002908D8">
        <w:t> MHz</w:t>
      </w:r>
      <w:r w:rsidRPr="001235FA">
        <w:t xml:space="preserve"> under this option </w:t>
      </w:r>
      <w:r w:rsidR="002667BF">
        <w:t>offers</w:t>
      </w:r>
      <w:r w:rsidRPr="001235FA">
        <w:t xml:space="preserve"> appropriate incentives for an incumbent licensee to potentially exit the 900</w:t>
      </w:r>
      <w:r w:rsidR="002908D8">
        <w:t> MHz</w:t>
      </w:r>
      <w:r w:rsidRPr="001235FA">
        <w:t xml:space="preserve"> band in favour of the 850</w:t>
      </w:r>
      <w:r w:rsidR="002908D8">
        <w:t> MHz</w:t>
      </w:r>
      <w:r w:rsidRPr="001235FA">
        <w:t xml:space="preserve"> band, resulting in holdings of larger contiguous blocks. </w:t>
      </w:r>
      <w:r w:rsidR="00206504">
        <w:t xml:space="preserve">Mobile network operators </w:t>
      </w:r>
      <w:r w:rsidRPr="001235FA">
        <w:t>have increasing returns to scale between 5</w:t>
      </w:r>
      <w:r w:rsidR="002908D8">
        <w:t> MHz</w:t>
      </w:r>
      <w:r w:rsidRPr="001235FA">
        <w:t xml:space="preserve"> and 10</w:t>
      </w:r>
      <w:r w:rsidR="002908D8">
        <w:t> MHz</w:t>
      </w:r>
      <w:r w:rsidRPr="001235FA">
        <w:t xml:space="preserve"> holdings, and therefore larger contiguous blocks are public welfare-enhancing.</w:t>
      </w:r>
    </w:p>
    <w:p w14:paraId="5BA7F6AC" w14:textId="6D1AFB66" w:rsidR="000F61C1" w:rsidRPr="001235FA" w:rsidRDefault="000F61C1" w:rsidP="00DC5A6B">
      <w:pPr>
        <w:pStyle w:val="ListBullet"/>
      </w:pPr>
      <w:r w:rsidRPr="001235FA">
        <w:t>The long-</w:t>
      </w:r>
      <w:r w:rsidRPr="007E013E">
        <w:t>term</w:t>
      </w:r>
      <w:r w:rsidRPr="001235FA">
        <w:t xml:space="preserve"> apparatus licence tenure for incumbents in the 900</w:t>
      </w:r>
      <w:r w:rsidR="002908D8">
        <w:t> MHz</w:t>
      </w:r>
      <w:r w:rsidRPr="001235FA">
        <w:t xml:space="preserve"> band </w:t>
      </w:r>
      <w:r w:rsidR="00C760C1">
        <w:t xml:space="preserve">(until mid-2024) </w:t>
      </w:r>
      <w:r w:rsidRPr="001235FA">
        <w:t xml:space="preserve">provides protection for incumbents concerned about losing access to the band. </w:t>
      </w:r>
      <w:r w:rsidR="001951C6" w:rsidRPr="001235FA">
        <w:t>Therefore,</w:t>
      </w:r>
      <w:r w:rsidRPr="001235FA">
        <w:t xml:space="preserve"> this option enables licensees to mitigate risks to consumer services.</w:t>
      </w:r>
    </w:p>
    <w:p w14:paraId="55AF14CD" w14:textId="77777777" w:rsidR="000F61C1" w:rsidRPr="001235FA" w:rsidRDefault="000F61C1" w:rsidP="00DC5A6B">
      <w:pPr>
        <w:pStyle w:val="ListBullet"/>
      </w:pPr>
      <w:r w:rsidRPr="001235FA">
        <w:t xml:space="preserve">Should the three incumbent licensees be successful in purchasing spectrum licences at </w:t>
      </w:r>
      <w:r w:rsidRPr="007E013E">
        <w:t>auction</w:t>
      </w:r>
      <w:r w:rsidRPr="001235FA">
        <w:t>, this option provides them with the ability to transition to the new, more efficient configuration prior to 2024.</w:t>
      </w:r>
    </w:p>
    <w:p w14:paraId="38BDE107" w14:textId="58E59B91" w:rsidR="000F61C1" w:rsidRPr="001235FA" w:rsidRDefault="002A1837" w:rsidP="00DC5A6B">
      <w:pPr>
        <w:pStyle w:val="ListBullet"/>
      </w:pPr>
      <w:r>
        <w:t>T</w:t>
      </w:r>
      <w:r w:rsidR="000F61C1" w:rsidRPr="001235FA">
        <w:t xml:space="preserve">his approach will </w:t>
      </w:r>
      <w:r>
        <w:t xml:space="preserve">result in a </w:t>
      </w:r>
      <w:r w:rsidR="000F61C1" w:rsidRPr="001235FA">
        <w:t>spectrum price that reflects market value which will help ensure spectrum is used efficiently.</w:t>
      </w:r>
    </w:p>
    <w:p w14:paraId="70C1C71F" w14:textId="5FA8C9FE" w:rsidR="00D538A0" w:rsidRPr="00D538A0" w:rsidRDefault="00D538A0" w:rsidP="00DC5A6B">
      <w:pPr>
        <w:pStyle w:val="ListBullet"/>
      </w:pPr>
      <w:r w:rsidRPr="00D538A0">
        <w:t>Long-</w:t>
      </w:r>
      <w:r w:rsidRPr="00E2230A">
        <w:t>term</w:t>
      </w:r>
      <w:r w:rsidRPr="00D538A0">
        <w:t xml:space="preserve"> licences encourage long-</w:t>
      </w:r>
      <w:r w:rsidRPr="007E013E">
        <w:t>term</w:t>
      </w:r>
      <w:r w:rsidRPr="00D538A0">
        <w:t xml:space="preserve"> investment and development of new technologies</w:t>
      </w:r>
      <w:r>
        <w:t>, enhancing the efficiency of use of the spectrum.</w:t>
      </w:r>
    </w:p>
    <w:p w14:paraId="4E20661E" w14:textId="41227498" w:rsidR="00565765" w:rsidRDefault="00D67259" w:rsidP="00DC5A6B">
      <w:pPr>
        <w:pStyle w:val="ListBullet"/>
      </w:pPr>
      <w:r>
        <w:t xml:space="preserve">Relative to both </w:t>
      </w:r>
      <w:r w:rsidR="002667BF">
        <w:t xml:space="preserve">the </w:t>
      </w:r>
      <w:r>
        <w:t>status quo and option 2, t</w:t>
      </w:r>
      <w:r w:rsidR="000F61C1" w:rsidRPr="001235FA">
        <w:t xml:space="preserve">his option </w:t>
      </w:r>
      <w:r w:rsidR="00565765" w:rsidRPr="00F2164E">
        <w:t xml:space="preserve">better </w:t>
      </w:r>
      <w:r w:rsidRPr="00F2164E">
        <w:t xml:space="preserve">provides </w:t>
      </w:r>
      <w:r w:rsidR="00565765" w:rsidRPr="00F2164E">
        <w:t xml:space="preserve">for a new entrant to </w:t>
      </w:r>
      <w:r w:rsidR="00565765" w:rsidRPr="00E2230A">
        <w:t>purchase</w:t>
      </w:r>
      <w:r w:rsidR="00565765" w:rsidRPr="00F2164E">
        <w:t xml:space="preserve"> spectrum to enable entry into the market</w:t>
      </w:r>
      <w:r w:rsidR="006C4F80">
        <w:t>, as it includes the opportunity to purchase more than 2</w:t>
      </w:r>
      <w:r w:rsidR="00E2230A">
        <w:t xml:space="preserve"> </w:t>
      </w:r>
      <w:r w:rsidR="006C4F80">
        <w:t>x</w:t>
      </w:r>
      <w:r w:rsidR="00E2230A">
        <w:t xml:space="preserve"> </w:t>
      </w:r>
      <w:r w:rsidR="006C4F80">
        <w:t>5 MHz of contiguous spectrum in the 900 MHz band</w:t>
      </w:r>
      <w:r w:rsidR="009B2F69" w:rsidRPr="001235FA">
        <w:t>.</w:t>
      </w:r>
      <w:r w:rsidR="006C4F80">
        <w:t xml:space="preserve"> </w:t>
      </w:r>
    </w:p>
    <w:p w14:paraId="7A62C3C6" w14:textId="10DB3F69" w:rsidR="000F61C1" w:rsidRPr="007E24A2" w:rsidRDefault="000F61C1" w:rsidP="00DC5A6B">
      <w:pPr>
        <w:pStyle w:val="ListBullet"/>
      </w:pPr>
      <w:r w:rsidRPr="001235FA">
        <w:t xml:space="preserve">This </w:t>
      </w:r>
      <w:r w:rsidR="002667BF">
        <w:t xml:space="preserve">option </w:t>
      </w:r>
      <w:r w:rsidRPr="001235FA">
        <w:t>most easily facilitates the allocation of the 2</w:t>
      </w:r>
      <w:r w:rsidR="00E2230A">
        <w:t xml:space="preserve"> </w:t>
      </w:r>
      <w:r w:rsidRPr="001235FA">
        <w:t>x</w:t>
      </w:r>
      <w:r w:rsidR="00E2230A">
        <w:t xml:space="preserve"> </w:t>
      </w:r>
      <w:r w:rsidRPr="001235FA">
        <w:t>1</w:t>
      </w:r>
      <w:r w:rsidR="002908D8">
        <w:t> MHz</w:t>
      </w:r>
      <w:r w:rsidRPr="001235FA">
        <w:t xml:space="preserve"> </w:t>
      </w:r>
      <w:r w:rsidR="00F77E74">
        <w:t xml:space="preserve">below </w:t>
      </w:r>
      <w:r w:rsidRPr="001235FA">
        <w:t>the current 850</w:t>
      </w:r>
      <w:r w:rsidR="002908D8">
        <w:t> MHz</w:t>
      </w:r>
      <w:r w:rsidRPr="001235FA">
        <w:t xml:space="preserve"> band. This approach </w:t>
      </w:r>
      <w:r w:rsidR="002667BF">
        <w:t xml:space="preserve">entails </w:t>
      </w:r>
      <w:r w:rsidRPr="001235FA">
        <w:t>attaching the 2</w:t>
      </w:r>
      <w:r w:rsidR="00E2230A">
        <w:t xml:space="preserve"> </w:t>
      </w:r>
      <w:r w:rsidRPr="001235FA">
        <w:t>x</w:t>
      </w:r>
      <w:r w:rsidR="00E2230A">
        <w:t xml:space="preserve"> </w:t>
      </w:r>
      <w:r w:rsidRPr="001235FA">
        <w:t>1</w:t>
      </w:r>
      <w:r w:rsidR="002908D8">
        <w:t> MHz</w:t>
      </w:r>
      <w:r w:rsidRPr="001235FA">
        <w:t xml:space="preserve"> </w:t>
      </w:r>
      <w:r w:rsidR="00506DCC">
        <w:t>to</w:t>
      </w:r>
      <w:r w:rsidR="00506DCC" w:rsidRPr="001235FA">
        <w:t xml:space="preserve"> </w:t>
      </w:r>
      <w:r w:rsidRPr="001235FA">
        <w:t>the lower 2</w:t>
      </w:r>
      <w:r w:rsidR="00F00FDD">
        <w:t xml:space="preserve"> </w:t>
      </w:r>
      <w:r w:rsidRPr="001235FA">
        <w:t>x</w:t>
      </w:r>
      <w:r w:rsidR="00F00FDD">
        <w:t xml:space="preserve"> </w:t>
      </w:r>
      <w:r w:rsidRPr="001235FA">
        <w:t>5</w:t>
      </w:r>
      <w:r w:rsidR="002908D8">
        <w:t> MHz</w:t>
      </w:r>
      <w:r w:rsidRPr="001235FA">
        <w:t xml:space="preserve"> lot in the 900</w:t>
      </w:r>
      <w:r w:rsidR="002908D8">
        <w:t> MHz</w:t>
      </w:r>
      <w:r w:rsidRPr="001235FA">
        <w:t xml:space="preserve"> band, which </w:t>
      </w:r>
      <w:r w:rsidR="002667BF">
        <w:t>supports an</w:t>
      </w:r>
      <w:r w:rsidRPr="001235FA">
        <w:t xml:space="preserve"> environment </w:t>
      </w:r>
      <w:r w:rsidR="002667BF">
        <w:t xml:space="preserve">for </w:t>
      </w:r>
      <w:r w:rsidRPr="001235FA">
        <w:t>the market to facilitate the downshift</w:t>
      </w:r>
      <w:r w:rsidR="002667BF">
        <w:t xml:space="preserve"> by commercial negot</w:t>
      </w:r>
      <w:r w:rsidR="00CF6458">
        <w:t>i</w:t>
      </w:r>
      <w:r w:rsidR="002667BF">
        <w:t>ation</w:t>
      </w:r>
      <w:r w:rsidRPr="001235FA">
        <w:t>.</w:t>
      </w:r>
      <w:r w:rsidR="001951C6">
        <w:rPr>
          <w:rStyle w:val="FootnoteReference"/>
          <w:rFonts w:cs="Arial"/>
          <w:szCs w:val="20"/>
        </w:rPr>
        <w:footnoteReference w:id="12"/>
      </w:r>
    </w:p>
    <w:p w14:paraId="2EEEFBB2" w14:textId="21DA9FD4" w:rsidR="00E61CDB" w:rsidRPr="007E24A2" w:rsidRDefault="00E61CDB" w:rsidP="00DC5A6B">
      <w:pPr>
        <w:pStyle w:val="Heading3"/>
      </w:pPr>
      <w:bookmarkStart w:id="30" w:name="_Toc5870071"/>
      <w:r w:rsidRPr="007E24A2">
        <w:t>Risks</w:t>
      </w:r>
      <w:bookmarkEnd w:id="30"/>
    </w:p>
    <w:p w14:paraId="2DBE02F3" w14:textId="600E6EE0" w:rsidR="009A5CDE" w:rsidRDefault="000F61C1" w:rsidP="00DC5A6B">
      <w:pPr>
        <w:pStyle w:val="ListBullet"/>
      </w:pPr>
      <w:r w:rsidRPr="001235FA">
        <w:t xml:space="preserve">There remains some risk that incumbent licensees may not be successful in purchasing spectrum licences in the price-based allocation. </w:t>
      </w:r>
    </w:p>
    <w:p w14:paraId="631E7F22" w14:textId="75619CFD" w:rsidR="009A5CDE" w:rsidRPr="001235FA" w:rsidRDefault="002667BF" w:rsidP="00DC5A6B">
      <w:pPr>
        <w:pStyle w:val="ListBullet2"/>
      </w:pPr>
      <w:r w:rsidRPr="00D81321">
        <w:t>I</w:t>
      </w:r>
      <w:r w:rsidR="000F61C1" w:rsidRPr="00D81321">
        <w:t xml:space="preserve">f this were to occur, and the licensee </w:t>
      </w:r>
      <w:r w:rsidR="00756547" w:rsidRPr="00D81321">
        <w:t>were</w:t>
      </w:r>
      <w:r w:rsidR="000F61C1" w:rsidRPr="00D81321">
        <w:t xml:space="preserve"> unable to mitigate the loss of the spectrum, this may result in a reduction in the quality and potentially </w:t>
      </w:r>
      <w:r w:rsidR="00756547" w:rsidRPr="00D81321">
        <w:t xml:space="preserve">the </w:t>
      </w:r>
      <w:r w:rsidR="000F61C1" w:rsidRPr="00D81321">
        <w:t xml:space="preserve">availability of consumer services. However, </w:t>
      </w:r>
      <w:r w:rsidR="00EA6AF6" w:rsidRPr="00D81321">
        <w:t>the ACMA</w:t>
      </w:r>
      <w:r w:rsidR="000F61C1" w:rsidRPr="00D81321">
        <w:t xml:space="preserve"> consider</w:t>
      </w:r>
      <w:r w:rsidR="00EA6AF6" w:rsidRPr="00D81321">
        <w:t>s</w:t>
      </w:r>
      <w:r w:rsidR="000F61C1" w:rsidRPr="00D81321">
        <w:t xml:space="preserve"> this risk to be negligible, for the following reason</w:t>
      </w:r>
      <w:r w:rsidR="004B15D1" w:rsidRPr="00D81321">
        <w:t xml:space="preserve">.  </w:t>
      </w:r>
    </w:p>
    <w:p w14:paraId="58F6BD9F" w14:textId="0F624F1D" w:rsidR="000F61C1" w:rsidRDefault="000F61C1" w:rsidP="00DC5A6B">
      <w:pPr>
        <w:pStyle w:val="ListBullet2"/>
      </w:pPr>
      <w:r w:rsidRPr="001235FA">
        <w:t xml:space="preserve">In the event an incumbent licensee loses access to </w:t>
      </w:r>
      <w:r w:rsidR="00506DCC">
        <w:t xml:space="preserve">the </w:t>
      </w:r>
      <w:r w:rsidRPr="001235FA">
        <w:t>900</w:t>
      </w:r>
      <w:r w:rsidR="002908D8">
        <w:t> MHz</w:t>
      </w:r>
      <w:r w:rsidRPr="001235FA">
        <w:t>/850</w:t>
      </w:r>
      <w:r w:rsidR="002908D8">
        <w:t> MHz</w:t>
      </w:r>
      <w:r w:rsidR="006B5DDA">
        <w:t xml:space="preserve"> expansion band</w:t>
      </w:r>
      <w:r w:rsidRPr="001235FA">
        <w:t xml:space="preserve"> (or it purchases spectrum heavily encumbered by another licensee), it has until 2024 to create an alternative pathway for the deployment of services at risk. </w:t>
      </w:r>
      <w:r w:rsidR="00693234" w:rsidRPr="001235FA">
        <w:t>This process</w:t>
      </w:r>
      <w:r w:rsidR="002667BF">
        <w:t xml:space="preserve"> </w:t>
      </w:r>
      <w:r w:rsidRPr="001235FA">
        <w:t>provide</w:t>
      </w:r>
      <w:r w:rsidR="002667BF">
        <w:t>s</w:t>
      </w:r>
      <w:r w:rsidRPr="001235FA">
        <w:t xml:space="preserve"> adequate time to avoid significant consumer disruption.</w:t>
      </w:r>
      <w:r w:rsidR="004F44A2">
        <w:t xml:space="preserve"> </w:t>
      </w:r>
      <w:r w:rsidR="00475EEC">
        <w:t>Indeed</w:t>
      </w:r>
      <w:r w:rsidR="00F00FDD">
        <w:t>,</w:t>
      </w:r>
      <w:r w:rsidR="00475EEC">
        <w:t xml:space="preserve"> </w:t>
      </w:r>
      <w:r w:rsidR="009F21E2">
        <w:t xml:space="preserve">a licensee </w:t>
      </w:r>
      <w:r w:rsidR="004F44A2">
        <w:t xml:space="preserve">may also be able to maintain access to the band via </w:t>
      </w:r>
      <w:r w:rsidR="00475EEC">
        <w:t>third-party authorisations and licence trading.</w:t>
      </w:r>
    </w:p>
    <w:p w14:paraId="0CD57420" w14:textId="197CD0CF" w:rsidR="000F61C1" w:rsidRPr="001235FA" w:rsidRDefault="000F61C1" w:rsidP="00DC5A6B">
      <w:pPr>
        <w:pStyle w:val="Heading2"/>
        <w:rPr>
          <w:rStyle w:val="IntenseEmphasis"/>
          <w:rFonts w:cs="Times New Roman"/>
          <w:b w:val="0"/>
          <w:bCs w:val="0"/>
          <w:iCs/>
          <w:sz w:val="20"/>
          <w:szCs w:val="24"/>
        </w:rPr>
      </w:pPr>
      <w:bookmarkStart w:id="31" w:name="_Toc5870072"/>
      <w:r w:rsidRPr="001235FA">
        <w:t>Option 2: Hybrid option</w:t>
      </w:r>
      <w:bookmarkEnd w:id="31"/>
    </w:p>
    <w:p w14:paraId="73D4B0A9" w14:textId="301309BB" w:rsidR="000F61C1" w:rsidRPr="001235FA" w:rsidRDefault="000F61C1" w:rsidP="000F61C1">
      <w:pPr>
        <w:widowControl w:val="0"/>
        <w:rPr>
          <w:rFonts w:cs="Arial"/>
          <w:szCs w:val="20"/>
        </w:rPr>
      </w:pPr>
      <w:r w:rsidRPr="001235FA">
        <w:rPr>
          <w:rFonts w:cs="Arial"/>
          <w:szCs w:val="20"/>
        </w:rPr>
        <w:t xml:space="preserve">A version of the hybrid option was consulted on in the </w:t>
      </w:r>
      <w:r w:rsidRPr="001235FA">
        <w:rPr>
          <w:rFonts w:cs="Arial"/>
          <w:i/>
          <w:szCs w:val="20"/>
        </w:rPr>
        <w:t>Reconfiguring the 890–915/935–960</w:t>
      </w:r>
      <w:r w:rsidR="002908D8">
        <w:rPr>
          <w:rFonts w:cs="Arial"/>
          <w:i/>
          <w:szCs w:val="20"/>
        </w:rPr>
        <w:t> MHz</w:t>
      </w:r>
      <w:r w:rsidRPr="001235FA">
        <w:rPr>
          <w:rFonts w:cs="Arial"/>
          <w:i/>
          <w:szCs w:val="20"/>
        </w:rPr>
        <w:t xml:space="preserve"> band </w:t>
      </w:r>
      <w:r w:rsidRPr="001235FA">
        <w:rPr>
          <w:rFonts w:cs="Arial"/>
          <w:szCs w:val="20"/>
        </w:rPr>
        <w:t>consultation paper released in 2017. The 2017 consultation paper framed the hybrid option as being the choice between two sub-options:</w:t>
      </w:r>
    </w:p>
    <w:p w14:paraId="418A36B6" w14:textId="716EE2EF" w:rsidR="000F61C1" w:rsidRPr="001235FA" w:rsidRDefault="000F61C1" w:rsidP="00DC5A6B">
      <w:pPr>
        <w:pStyle w:val="ListBullet"/>
      </w:pPr>
      <w:r w:rsidRPr="002752AF">
        <w:t>Administrative</w:t>
      </w:r>
      <w:r w:rsidRPr="001235FA">
        <w:t xml:space="preserve"> allocation (via conversion to spectrum licensing) of a 2 x 5</w:t>
      </w:r>
      <w:r w:rsidR="002908D8">
        <w:t> MHz</w:t>
      </w:r>
      <w:r w:rsidRPr="001235FA">
        <w:t xml:space="preserve"> block to each of the three incumbent licensees, the lower (block 1), middle (block 3) and upper (block 5) to Telstra, Optus and Vodafone respectively, and putting the intermediate (blocks 2 and 4) blocks to market</w:t>
      </w:r>
    </w:p>
    <w:p w14:paraId="6E61AC92" w14:textId="61508186" w:rsidR="000F61C1" w:rsidRPr="001235FA" w:rsidRDefault="000F61C1" w:rsidP="00DC5A6B">
      <w:pPr>
        <w:pStyle w:val="ListBullet"/>
      </w:pPr>
      <w:r w:rsidRPr="001235FA">
        <w:t xml:space="preserve">Administrative allocation of three blocks, the </w:t>
      </w:r>
      <w:r w:rsidRPr="002752AF">
        <w:t>order</w:t>
      </w:r>
      <w:r w:rsidRPr="001235FA">
        <w:t xml:space="preserve"> in which they </w:t>
      </w:r>
      <w:r w:rsidR="00506DCC">
        <w:t>we</w:t>
      </w:r>
      <w:r w:rsidRPr="001235FA">
        <w:t xml:space="preserve">re allocated </w:t>
      </w:r>
      <w:r w:rsidR="00506DCC">
        <w:t xml:space="preserve">being </w:t>
      </w:r>
      <w:r w:rsidRPr="001235FA">
        <w:t xml:space="preserve">determined by a market allocation process—that is, each carrier </w:t>
      </w:r>
      <w:r w:rsidR="00506DCC">
        <w:t xml:space="preserve">would be </w:t>
      </w:r>
      <w:r w:rsidRPr="001235FA">
        <w:t>guaranteed 2 x 5</w:t>
      </w:r>
      <w:r w:rsidR="002908D8">
        <w:t> MHz</w:t>
      </w:r>
      <w:r w:rsidRPr="001235FA">
        <w:t xml:space="preserve">, but </w:t>
      </w:r>
      <w:r w:rsidR="00506DCC">
        <w:t xml:space="preserve">would </w:t>
      </w:r>
      <w:r w:rsidRPr="001235FA">
        <w:t>need</w:t>
      </w:r>
      <w:r w:rsidR="00A60BDB">
        <w:t xml:space="preserve"> </w:t>
      </w:r>
      <w:r w:rsidRPr="001235FA">
        <w:t xml:space="preserve">to compete for which block they obtain. </w:t>
      </w:r>
    </w:p>
    <w:p w14:paraId="6590E338" w14:textId="77777777" w:rsidR="007D7F23" w:rsidRPr="00D022CD" w:rsidRDefault="007D7F23" w:rsidP="00DC5A6B">
      <w:r w:rsidRPr="00D022CD">
        <w:t>However, for simplicity and certainty of implementation, this paper only considers the first sub-option.</w:t>
      </w:r>
    </w:p>
    <w:p w14:paraId="6A496A15" w14:textId="6201E25F" w:rsidR="000F61C1" w:rsidRPr="001235FA" w:rsidRDefault="000F61C1" w:rsidP="00DC5A6B">
      <w:r w:rsidRPr="001235FA">
        <w:t xml:space="preserve">The </w:t>
      </w:r>
      <w:r w:rsidR="006B490A">
        <w:t xml:space="preserve">benefits and </w:t>
      </w:r>
      <w:r w:rsidR="00E61CDB">
        <w:t xml:space="preserve">risks </w:t>
      </w:r>
      <w:r w:rsidR="00E61CDB" w:rsidRPr="001235FA">
        <w:t>of</w:t>
      </w:r>
      <w:r w:rsidRPr="001235FA">
        <w:t xml:space="preserve"> the </w:t>
      </w:r>
      <w:r w:rsidR="002752AF">
        <w:t>h</w:t>
      </w:r>
      <w:r w:rsidRPr="001235FA">
        <w:t>ybrid option are as follows:</w:t>
      </w:r>
    </w:p>
    <w:p w14:paraId="1D779CE5" w14:textId="6A3ACB85" w:rsidR="000F61C1" w:rsidRPr="001235FA" w:rsidRDefault="006B490A" w:rsidP="00DC5A6B">
      <w:pPr>
        <w:pStyle w:val="Heading3"/>
      </w:pPr>
      <w:bookmarkStart w:id="32" w:name="_Toc5870073"/>
      <w:r>
        <w:t>Benefits</w:t>
      </w:r>
      <w:bookmarkEnd w:id="32"/>
    </w:p>
    <w:p w14:paraId="10CABAEF" w14:textId="31D0139D" w:rsidR="000F61C1" w:rsidRPr="001235FA" w:rsidRDefault="000F61C1" w:rsidP="00DC5A6B">
      <w:pPr>
        <w:pStyle w:val="ListBullet"/>
      </w:pPr>
      <w:r w:rsidRPr="001235FA">
        <w:t>The option</w:t>
      </w:r>
      <w:r w:rsidR="00A60BDB">
        <w:t>,</w:t>
      </w:r>
      <w:r w:rsidRPr="001235FA">
        <w:t xml:space="preserve"> </w:t>
      </w:r>
      <w:r w:rsidR="00A60BDB">
        <w:t xml:space="preserve">as with the </w:t>
      </w:r>
      <w:r w:rsidR="002752AF">
        <w:t>e</w:t>
      </w:r>
      <w:r w:rsidR="00A60BDB">
        <w:t xml:space="preserve">ncumbered </w:t>
      </w:r>
      <w:r w:rsidR="002752AF">
        <w:t>a</w:t>
      </w:r>
      <w:r w:rsidR="00A60BDB">
        <w:t xml:space="preserve">uction option, </w:t>
      </w:r>
      <w:r w:rsidRPr="001235FA">
        <w:t>results in the successful reconfiguration of the band as spectrum licensed 5</w:t>
      </w:r>
      <w:r w:rsidR="002908D8">
        <w:t> MHz</w:t>
      </w:r>
      <w:r w:rsidRPr="001235FA">
        <w:t xml:space="preserve"> channels, albeit in a more fragmented manner. Nevertheless, long-term </w:t>
      </w:r>
      <w:r w:rsidRPr="002752AF">
        <w:t>licences</w:t>
      </w:r>
      <w:r w:rsidRPr="001235FA">
        <w:t xml:space="preserve"> in the appropriate long-term configuration promote investment certainty</w:t>
      </w:r>
      <w:r w:rsidR="002615A9">
        <w:t xml:space="preserve"> for licensees</w:t>
      </w:r>
      <w:r w:rsidRPr="001235FA">
        <w:t>.</w:t>
      </w:r>
    </w:p>
    <w:p w14:paraId="4C723013" w14:textId="0891F022" w:rsidR="000F61C1" w:rsidRPr="001235FA" w:rsidRDefault="00A60BDB" w:rsidP="00DC5A6B">
      <w:pPr>
        <w:pStyle w:val="ListBullet"/>
      </w:pPr>
      <w:r>
        <w:t xml:space="preserve">Each </w:t>
      </w:r>
      <w:r w:rsidRPr="002752AF">
        <w:t>incumbent</w:t>
      </w:r>
      <w:r>
        <w:t xml:space="preserve"> licensee is </w:t>
      </w:r>
      <w:r w:rsidRPr="002752AF">
        <w:t>administratively</w:t>
      </w:r>
      <w:r>
        <w:t xml:space="preserve"> allocated a spectrum licence for a single 2</w:t>
      </w:r>
      <w:r w:rsidR="002752AF">
        <w:t xml:space="preserve"> </w:t>
      </w:r>
      <w:r>
        <w:t>x</w:t>
      </w:r>
      <w:r w:rsidR="002752AF">
        <w:t xml:space="preserve"> </w:t>
      </w:r>
      <w:r>
        <w:t xml:space="preserve">5 MHz lot, and as such is guaranteed ongoing access to the band for the duration of that licence. </w:t>
      </w:r>
      <w:r w:rsidR="00786A56">
        <w:t>T</w:t>
      </w:r>
      <w:r w:rsidR="000F61C1" w:rsidRPr="001235FA">
        <w:t xml:space="preserve">his helps mitigate risk to </w:t>
      </w:r>
      <w:r w:rsidR="00F26B8D">
        <w:t xml:space="preserve">continuity of </w:t>
      </w:r>
      <w:r w:rsidR="000F61C1" w:rsidRPr="001235FA">
        <w:t>consumer services.</w:t>
      </w:r>
    </w:p>
    <w:p w14:paraId="53AB2D28" w14:textId="4C8BCDC8" w:rsidR="000F61C1" w:rsidRPr="001235FA" w:rsidRDefault="006B490A" w:rsidP="00DC5A6B">
      <w:pPr>
        <w:pStyle w:val="Heading3"/>
      </w:pPr>
      <w:bookmarkStart w:id="33" w:name="_Toc5870074"/>
      <w:r>
        <w:t>Risks</w:t>
      </w:r>
      <w:bookmarkEnd w:id="33"/>
    </w:p>
    <w:p w14:paraId="68F032B8" w14:textId="1097046E" w:rsidR="000F61C1" w:rsidRPr="001235FA" w:rsidRDefault="000F61C1" w:rsidP="00DC5A6B">
      <w:pPr>
        <w:pStyle w:val="ListBullet"/>
      </w:pPr>
      <w:r w:rsidRPr="001235FA">
        <w:t>The auction of the remaining two 2</w:t>
      </w:r>
      <w:r w:rsidR="002752AF">
        <w:t xml:space="preserve"> </w:t>
      </w:r>
      <w:r w:rsidRPr="001235FA">
        <w:t>x</w:t>
      </w:r>
      <w:r w:rsidR="002752AF">
        <w:t xml:space="preserve"> </w:t>
      </w:r>
      <w:r w:rsidRPr="001235FA">
        <w:t>5</w:t>
      </w:r>
      <w:r w:rsidR="002908D8">
        <w:t> MHz</w:t>
      </w:r>
      <w:r w:rsidRPr="001235FA">
        <w:t xml:space="preserve"> lots </w:t>
      </w:r>
      <w:r w:rsidR="005744AB">
        <w:t xml:space="preserve">is </w:t>
      </w:r>
      <w:r w:rsidR="005744AB" w:rsidRPr="001235FA">
        <w:t>heavily</w:t>
      </w:r>
      <w:r w:rsidRPr="001235FA">
        <w:t xml:space="preserve"> constrained given that each lot is only </w:t>
      </w:r>
      <w:r w:rsidRPr="002752AF">
        <w:t>likely</w:t>
      </w:r>
      <w:r w:rsidRPr="001235FA">
        <w:t xml:space="preserve"> to be bid on by the neighbouring licensee. Therefore, the auction outcome</w:t>
      </w:r>
      <w:r w:rsidR="00ED4111">
        <w:t xml:space="preserve"> may </w:t>
      </w:r>
      <w:r w:rsidR="005744AB">
        <w:t xml:space="preserve">not </w:t>
      </w:r>
      <w:r w:rsidR="005744AB" w:rsidRPr="001235FA">
        <w:t>be</w:t>
      </w:r>
      <w:r w:rsidRPr="001235FA">
        <w:t xml:space="preserve"> reflective of the </w:t>
      </w:r>
      <w:r w:rsidR="00ED4111">
        <w:t>full market</w:t>
      </w:r>
      <w:r w:rsidRPr="001235FA">
        <w:t xml:space="preserve"> demand for 900</w:t>
      </w:r>
      <w:r w:rsidR="002908D8">
        <w:t> MHz</w:t>
      </w:r>
      <w:r w:rsidRPr="001235FA">
        <w:t xml:space="preserve"> spectru</w:t>
      </w:r>
      <w:r w:rsidR="002A4C91">
        <w:t>m</w:t>
      </w:r>
      <w:r w:rsidRPr="001235FA">
        <w:t>.</w:t>
      </w:r>
    </w:p>
    <w:p w14:paraId="61D698DB" w14:textId="4AB11EC9" w:rsidR="000F61C1" w:rsidRPr="001235FA" w:rsidRDefault="00ED4111" w:rsidP="00DC5A6B">
      <w:pPr>
        <w:pStyle w:val="ListBullet"/>
      </w:pPr>
      <w:r>
        <w:t xml:space="preserve">This option continues </w:t>
      </w:r>
      <w:r w:rsidR="000F61C1" w:rsidRPr="001235FA">
        <w:t xml:space="preserve">the ‘fragmented’ nature of spectrum holdings in the band, as each </w:t>
      </w:r>
      <w:r w:rsidR="000F61C1" w:rsidRPr="002752AF">
        <w:t>incumbent</w:t>
      </w:r>
      <w:r w:rsidR="000F61C1" w:rsidRPr="001235FA">
        <w:t xml:space="preserve"> licensee will obtain 2</w:t>
      </w:r>
      <w:r w:rsidR="002752AF">
        <w:t xml:space="preserve"> </w:t>
      </w:r>
      <w:r w:rsidR="000F61C1" w:rsidRPr="001235FA">
        <w:t>x</w:t>
      </w:r>
      <w:r w:rsidR="002752AF">
        <w:t xml:space="preserve"> </w:t>
      </w:r>
      <w:r w:rsidR="000F61C1" w:rsidRPr="001235FA">
        <w:t>5</w:t>
      </w:r>
      <w:r w:rsidR="002908D8">
        <w:t> MHz</w:t>
      </w:r>
      <w:r w:rsidR="000F61C1" w:rsidRPr="001235FA">
        <w:t xml:space="preserve"> in the band. While the intermediate </w:t>
      </w:r>
      <w:r w:rsidR="00594437">
        <w:t xml:space="preserve">blocks </w:t>
      </w:r>
      <w:r w:rsidR="000F61C1" w:rsidRPr="001235FA">
        <w:t>(blocks 2 and 4) could still be offered in a combined allocation with the 850</w:t>
      </w:r>
      <w:r w:rsidR="002908D8">
        <w:t> MHz</w:t>
      </w:r>
      <w:r w:rsidR="000F61C1" w:rsidRPr="001235FA">
        <w:t xml:space="preserve"> expansion band, the efficiency gains associated with an incumbent licensee exiting the 900</w:t>
      </w:r>
      <w:r w:rsidR="002908D8">
        <w:t> MHz</w:t>
      </w:r>
      <w:r w:rsidR="000F61C1" w:rsidRPr="001235FA">
        <w:t xml:space="preserve"> band in favour of the 850</w:t>
      </w:r>
      <w:r w:rsidR="002908D8">
        <w:t> MHz</w:t>
      </w:r>
      <w:r w:rsidR="000F61C1" w:rsidRPr="001235FA">
        <w:t xml:space="preserve"> expansion band may not be realised.</w:t>
      </w:r>
      <w:r w:rsidR="000F61C1" w:rsidRPr="001235FA">
        <w:rPr>
          <w:vertAlign w:val="superscript"/>
        </w:rPr>
        <w:footnoteReference w:id="13"/>
      </w:r>
      <w:r w:rsidR="000F61C1" w:rsidRPr="001235FA">
        <w:rPr>
          <w:vertAlign w:val="superscript"/>
        </w:rPr>
        <w:t xml:space="preserve"> </w:t>
      </w:r>
    </w:p>
    <w:p w14:paraId="00B2E580" w14:textId="773D9FFF" w:rsidR="000F61C1" w:rsidRPr="001235FA" w:rsidRDefault="000F61C1" w:rsidP="00DC5A6B">
      <w:pPr>
        <w:pStyle w:val="ListBullet"/>
      </w:pPr>
      <w:r w:rsidRPr="001235FA">
        <w:t>It is more complex to allocate the 2</w:t>
      </w:r>
      <w:r w:rsidR="002752AF">
        <w:t xml:space="preserve"> </w:t>
      </w:r>
      <w:r w:rsidRPr="001235FA">
        <w:t>x</w:t>
      </w:r>
      <w:r w:rsidR="002752AF">
        <w:t xml:space="preserve"> </w:t>
      </w:r>
      <w:r w:rsidRPr="001235FA">
        <w:t>1</w:t>
      </w:r>
      <w:r w:rsidR="002908D8">
        <w:t> MHz</w:t>
      </w:r>
      <w:r w:rsidRPr="001235FA">
        <w:t xml:space="preserve"> that is </w:t>
      </w:r>
      <w:r w:rsidR="00495A3B">
        <w:t>below</w:t>
      </w:r>
      <w:r w:rsidRPr="001235FA">
        <w:t xml:space="preserve"> the 850</w:t>
      </w:r>
      <w:r w:rsidR="002908D8">
        <w:t> MHz</w:t>
      </w:r>
      <w:r w:rsidRPr="001235FA">
        <w:t xml:space="preserve"> spectrum licences under the hybrid option. The options for </w:t>
      </w:r>
      <w:r w:rsidR="00C9794E">
        <w:t xml:space="preserve">allocating </w:t>
      </w:r>
      <w:r w:rsidRPr="001235FA">
        <w:t>the 2</w:t>
      </w:r>
      <w:r w:rsidR="002752AF">
        <w:t xml:space="preserve"> </w:t>
      </w:r>
      <w:r w:rsidRPr="001235FA">
        <w:t>x</w:t>
      </w:r>
      <w:r w:rsidR="002752AF">
        <w:t xml:space="preserve"> </w:t>
      </w:r>
      <w:r w:rsidRPr="001235FA">
        <w:t>1</w:t>
      </w:r>
      <w:r w:rsidR="002908D8">
        <w:t> MHz</w:t>
      </w:r>
      <w:r w:rsidRPr="001235FA">
        <w:t xml:space="preserve"> </w:t>
      </w:r>
      <w:r w:rsidR="002A1837">
        <w:t xml:space="preserve">under this option </w:t>
      </w:r>
      <w:r w:rsidR="00ED4111">
        <w:t>are</w:t>
      </w:r>
      <w:r w:rsidRPr="001235FA">
        <w:t xml:space="preserve"> either via </w:t>
      </w:r>
      <w:r w:rsidRPr="002752AF">
        <w:t>auction</w:t>
      </w:r>
      <w:r w:rsidRPr="001235FA">
        <w:t xml:space="preserve"> in the same process as the remaining 900</w:t>
      </w:r>
      <w:r w:rsidR="002908D8">
        <w:t> MHz</w:t>
      </w:r>
      <w:r w:rsidRPr="001235FA">
        <w:t xml:space="preserve"> lots/850</w:t>
      </w:r>
      <w:r w:rsidR="002908D8">
        <w:t> MHz</w:t>
      </w:r>
      <w:r w:rsidRPr="001235FA">
        <w:t xml:space="preserve"> expansion band (but as a separate lot), or via direct allocation.</w:t>
      </w:r>
    </w:p>
    <w:p w14:paraId="2AF8FAE7" w14:textId="1702E7DB" w:rsidR="000F61C1" w:rsidRPr="00594437" w:rsidRDefault="000F61C1" w:rsidP="00DC5A6B">
      <w:pPr>
        <w:pStyle w:val="ListBullet"/>
      </w:pPr>
      <w:r w:rsidRPr="00594437">
        <w:t xml:space="preserve">Pricing the </w:t>
      </w:r>
      <w:r w:rsidR="00A60BDB" w:rsidRPr="00594437">
        <w:t xml:space="preserve">converted spectrum licences </w:t>
      </w:r>
      <w:r w:rsidRPr="00594437">
        <w:t xml:space="preserve">may be challenging, given the inherent uncertainty associated with the value of spectrum. </w:t>
      </w:r>
      <w:r w:rsidR="00ED4111" w:rsidRPr="00594437">
        <w:t xml:space="preserve">However, the ACMA notes that recent </w:t>
      </w:r>
      <w:r w:rsidRPr="00594437">
        <w:t>allocations of sub-1</w:t>
      </w:r>
      <w:r w:rsidR="00792B3B" w:rsidRPr="00594437">
        <w:t> GHz</w:t>
      </w:r>
      <w:r w:rsidRPr="00594437">
        <w:t xml:space="preserve"> spectrum </w:t>
      </w:r>
      <w:r w:rsidR="00ED4111" w:rsidRPr="00594437">
        <w:t xml:space="preserve">may offer useful price comparisons. </w:t>
      </w:r>
      <w:r w:rsidRPr="00594437">
        <w:t>Nevertheless, there is expected to be some pricing complexity resulting from the heterogeneity within the band.</w:t>
      </w:r>
    </w:p>
    <w:p w14:paraId="28E4FA89" w14:textId="113F4E48" w:rsidR="00CD1FAC" w:rsidRPr="00CD1FAC" w:rsidRDefault="00CD1FAC" w:rsidP="00DC5A6B">
      <w:pPr>
        <w:pStyle w:val="Heading2"/>
      </w:pPr>
      <w:bookmarkStart w:id="34" w:name="_Toc5870075"/>
      <w:r w:rsidRPr="00CD1FAC">
        <w:t>Downshift in the 850</w:t>
      </w:r>
      <w:r w:rsidR="002908D8">
        <w:t> MHz</w:t>
      </w:r>
      <w:r w:rsidRPr="00CD1FAC">
        <w:t xml:space="preserve"> spectrum licences</w:t>
      </w:r>
      <w:bookmarkEnd w:id="34"/>
    </w:p>
    <w:p w14:paraId="736C109D" w14:textId="7C55A8F9" w:rsidR="00CD1FAC" w:rsidRDefault="00ED4111" w:rsidP="00CD1FAC">
      <w:r>
        <w:t xml:space="preserve">The </w:t>
      </w:r>
      <w:r w:rsidR="00CD1FAC">
        <w:t xml:space="preserve">addition of a </w:t>
      </w:r>
      <w:r w:rsidR="00CD1FAC" w:rsidRPr="00D432DC">
        <w:t>1</w:t>
      </w:r>
      <w:r w:rsidR="002908D8">
        <w:t> MHz</w:t>
      </w:r>
      <w:r w:rsidR="00CD1FAC" w:rsidRPr="00D432DC">
        <w:t xml:space="preserve"> guard band between the 850</w:t>
      </w:r>
      <w:r w:rsidR="002908D8">
        <w:t> MHz</w:t>
      </w:r>
      <w:r w:rsidR="00CD1FAC" w:rsidRPr="00D432DC">
        <w:t xml:space="preserve"> </w:t>
      </w:r>
      <w:r w:rsidR="00CD1FAC">
        <w:t>band</w:t>
      </w:r>
      <w:r w:rsidR="00CD1FAC" w:rsidRPr="00D432DC">
        <w:t xml:space="preserve"> base-transmit segment and the </w:t>
      </w:r>
      <w:r w:rsidR="00F1750D">
        <w:t>900</w:t>
      </w:r>
      <w:r w:rsidR="002908D8">
        <w:t> MHz</w:t>
      </w:r>
      <w:r w:rsidR="00CD1FAC">
        <w:t xml:space="preserve"> </w:t>
      </w:r>
      <w:r w:rsidR="00CD1FAC" w:rsidRPr="00D432DC">
        <w:t>base-receive segment</w:t>
      </w:r>
      <w:r w:rsidR="00CD1FAC">
        <w:t xml:space="preserve"> </w:t>
      </w:r>
      <w:r w:rsidR="00CD1FAC" w:rsidRPr="00D432DC">
        <w:t xml:space="preserve">will significantly increase the usability of the lower </w:t>
      </w:r>
      <w:r w:rsidR="00CD1FAC">
        <w:t>segment in</w:t>
      </w:r>
      <w:r w:rsidR="00CD1FAC" w:rsidRPr="00D432DC">
        <w:t xml:space="preserve"> the</w:t>
      </w:r>
      <w:r w:rsidR="00CD1FAC">
        <w:t xml:space="preserve"> 900</w:t>
      </w:r>
      <w:r w:rsidR="002908D8">
        <w:t> MHz</w:t>
      </w:r>
      <w:r w:rsidR="00CD1FAC">
        <w:t xml:space="preserve"> band. This can be achieved via a downshift of the existing 850</w:t>
      </w:r>
      <w:r w:rsidR="002908D8">
        <w:t> MHz</w:t>
      </w:r>
      <w:r w:rsidR="00CD1FAC">
        <w:t xml:space="preserve"> band spectrum licences</w:t>
      </w:r>
      <w:r w:rsidR="00CD1FAC">
        <w:rPr>
          <w:rStyle w:val="FootnoteReference"/>
        </w:rPr>
        <w:footnoteReference w:id="14"/>
      </w:r>
      <w:r w:rsidR="00CD1FAC">
        <w:t>, and as such, could only occur prior to 2028 with the consent of the spectrum licensees in question (Telstra and VHA).</w:t>
      </w:r>
    </w:p>
    <w:p w14:paraId="13C655BE" w14:textId="5D330D36" w:rsidR="00CD1FAC" w:rsidRDefault="00374F2F" w:rsidP="00CD1FAC">
      <w:pPr>
        <w:rPr>
          <w:rFonts w:cstheme="minorHAnsi"/>
        </w:rPr>
      </w:pPr>
      <w:hyperlink r:id="rId31" w:history="1">
        <w:r w:rsidR="00CD1FAC" w:rsidRPr="000D077E">
          <w:rPr>
            <w:rStyle w:val="Hyperlink"/>
            <w:i/>
          </w:rPr>
          <w:t>The ACMA’s long-term strategy for the 803–960</w:t>
        </w:r>
        <w:r w:rsidR="002908D8">
          <w:rPr>
            <w:rStyle w:val="Hyperlink"/>
            <w:i/>
          </w:rPr>
          <w:t> MHz</w:t>
        </w:r>
        <w:r w:rsidR="00CD1FAC" w:rsidRPr="000D077E">
          <w:rPr>
            <w:rStyle w:val="Hyperlink"/>
            <w:i/>
          </w:rPr>
          <w:t xml:space="preserve"> band decision paper</w:t>
        </w:r>
      </w:hyperlink>
      <w:r w:rsidR="00CD1FAC" w:rsidRPr="000D077E">
        <w:rPr>
          <w:i/>
        </w:rPr>
        <w:t xml:space="preserve"> </w:t>
      </w:r>
      <w:r w:rsidR="00CD1FAC">
        <w:t xml:space="preserve">set up </w:t>
      </w:r>
      <w:r w:rsidR="00ED4111">
        <w:t xml:space="preserve">a clearance process </w:t>
      </w:r>
      <w:r w:rsidR="005744AB">
        <w:t xml:space="preserve">for </w:t>
      </w:r>
      <w:r w:rsidR="005744AB">
        <w:rPr>
          <w:rFonts w:cs="Arial"/>
          <w:szCs w:val="20"/>
        </w:rPr>
        <w:t>the</w:t>
      </w:r>
      <w:r w:rsidR="00CD1FAC" w:rsidRPr="006646EF">
        <w:rPr>
          <w:rFonts w:cs="Arial"/>
          <w:szCs w:val="20"/>
        </w:rPr>
        <w:t xml:space="preserve"> two blocks of 1</w:t>
      </w:r>
      <w:r w:rsidR="002908D8">
        <w:rPr>
          <w:rFonts w:cs="Arial"/>
          <w:szCs w:val="20"/>
        </w:rPr>
        <w:t> MHz</w:t>
      </w:r>
      <w:r w:rsidR="00CD1FAC" w:rsidRPr="006646EF">
        <w:rPr>
          <w:rFonts w:cs="Arial"/>
          <w:szCs w:val="20"/>
        </w:rPr>
        <w:t xml:space="preserve"> of spectrum into which the downshift would ultimately occur.</w:t>
      </w:r>
      <w:r w:rsidR="00CD1FAC">
        <w:rPr>
          <w:rFonts w:cs="Arial"/>
          <w:szCs w:val="20"/>
        </w:rPr>
        <w:t xml:space="preserve"> The relevant question for the purposes of this </w:t>
      </w:r>
      <w:r w:rsidR="008E50F3">
        <w:rPr>
          <w:rFonts w:cs="Arial"/>
          <w:szCs w:val="20"/>
        </w:rPr>
        <w:t xml:space="preserve">paper </w:t>
      </w:r>
      <w:r w:rsidR="00CD1FAC">
        <w:rPr>
          <w:rFonts w:cs="Arial"/>
          <w:szCs w:val="20"/>
        </w:rPr>
        <w:t>is the appropriate means by which this 1</w:t>
      </w:r>
      <w:r w:rsidR="002908D8">
        <w:rPr>
          <w:rFonts w:cs="Arial"/>
          <w:szCs w:val="20"/>
        </w:rPr>
        <w:t> MHz</w:t>
      </w:r>
      <w:r w:rsidR="00CD1FAC">
        <w:rPr>
          <w:rFonts w:cs="Arial"/>
          <w:szCs w:val="20"/>
        </w:rPr>
        <w:t xml:space="preserve"> can be allocated as a spectrum licence. Allocating this spectrum as a spectrum licence is necessary to </w:t>
      </w:r>
      <w:r w:rsidR="00CD1FAC">
        <w:rPr>
          <w:rFonts w:cstheme="minorHAnsi"/>
        </w:rPr>
        <w:t xml:space="preserve">remove any regulatory impediments to achieving the downshift. </w:t>
      </w:r>
    </w:p>
    <w:p w14:paraId="21CD2DCD" w14:textId="07C0119B" w:rsidR="00F1750D" w:rsidRDefault="00CD1FAC" w:rsidP="00CD1FAC">
      <w:r w:rsidRPr="00E61CDB">
        <w:t xml:space="preserve">Under the </w:t>
      </w:r>
      <w:r w:rsidR="00286A5C">
        <w:t>e</w:t>
      </w:r>
      <w:r w:rsidRPr="00E61CDB">
        <w:t xml:space="preserve">ncumbered </w:t>
      </w:r>
      <w:r w:rsidR="00286A5C">
        <w:t>a</w:t>
      </w:r>
      <w:r w:rsidRPr="00E61CDB">
        <w:t>uction option, the 2</w:t>
      </w:r>
      <w:r w:rsidR="00286A5C">
        <w:t xml:space="preserve"> </w:t>
      </w:r>
      <w:r w:rsidRPr="00E61CDB">
        <w:t>x</w:t>
      </w:r>
      <w:r w:rsidR="00286A5C">
        <w:t xml:space="preserve"> </w:t>
      </w:r>
      <w:r w:rsidRPr="00E61CDB">
        <w:t>1</w:t>
      </w:r>
      <w:r w:rsidR="002908D8">
        <w:t> MHz</w:t>
      </w:r>
      <w:r w:rsidRPr="00E61CDB">
        <w:t xml:space="preserve"> </w:t>
      </w:r>
      <w:r w:rsidR="00ED4111">
        <w:t>c</w:t>
      </w:r>
      <w:r w:rsidRPr="00E61CDB">
        <w:t>ould be allocated by</w:t>
      </w:r>
      <w:r w:rsidRPr="00FF24FA">
        <w:t xml:space="preserve"> </w:t>
      </w:r>
      <w:r>
        <w:t xml:space="preserve">appending it to </w:t>
      </w:r>
      <w:r w:rsidRPr="00E61CDB">
        <w:t xml:space="preserve">the </w:t>
      </w:r>
      <w:r w:rsidR="00F1750D">
        <w:t xml:space="preserve">lower lot in the </w:t>
      </w:r>
      <w:r w:rsidRPr="00E61CDB">
        <w:t>900</w:t>
      </w:r>
      <w:r w:rsidR="002908D8">
        <w:t> MHz</w:t>
      </w:r>
      <w:r w:rsidRPr="00E61CDB">
        <w:t xml:space="preserve"> band, </w:t>
      </w:r>
      <w:r w:rsidR="00A60BDB" w:rsidRPr="00A60BDB">
        <w:t xml:space="preserve">which supports an environment for the market to facilitate the downshift by commercial negotiation. </w:t>
      </w:r>
      <w:r w:rsidR="00F1750D">
        <w:t>The owner of the lower 900 MHz lot is a beneficiary of the downshift and would be able to use the 2</w:t>
      </w:r>
      <w:r w:rsidR="00286A5C">
        <w:t xml:space="preserve"> </w:t>
      </w:r>
      <w:r w:rsidR="00F1750D">
        <w:t>x</w:t>
      </w:r>
      <w:r w:rsidR="00286A5C">
        <w:t xml:space="preserve"> </w:t>
      </w:r>
      <w:r w:rsidR="00F1750D">
        <w:t>1 MHz in negotiations with 850 MHz spectrum licensees to facilitate the downshift.</w:t>
      </w:r>
    </w:p>
    <w:p w14:paraId="74FCAED3" w14:textId="61A1BDCB" w:rsidR="00CD1FAC" w:rsidRPr="00F628FD" w:rsidRDefault="00CD1FAC" w:rsidP="00CD1FAC">
      <w:r w:rsidRPr="00E61CDB">
        <w:t>Under the Hybrid option, the allocation of the 2</w:t>
      </w:r>
      <w:r w:rsidR="00286A5C">
        <w:t xml:space="preserve"> </w:t>
      </w:r>
      <w:r w:rsidRPr="00E61CDB">
        <w:t>x</w:t>
      </w:r>
      <w:r w:rsidR="00286A5C">
        <w:t xml:space="preserve"> </w:t>
      </w:r>
      <w:r w:rsidRPr="00E61CDB">
        <w:t>1</w:t>
      </w:r>
      <w:r w:rsidR="002908D8">
        <w:t> MHz</w:t>
      </w:r>
      <w:r w:rsidRPr="00E61CDB">
        <w:t xml:space="preserve"> is more complex. </w:t>
      </w:r>
      <w:r w:rsidRPr="00F628FD">
        <w:t xml:space="preserve">The options for </w:t>
      </w:r>
      <w:r w:rsidR="00F24996">
        <w:t>allocating</w:t>
      </w:r>
      <w:r w:rsidRPr="00F628FD">
        <w:t xml:space="preserve"> 2</w:t>
      </w:r>
      <w:r w:rsidR="00286A5C">
        <w:t xml:space="preserve"> </w:t>
      </w:r>
      <w:r w:rsidRPr="00F628FD">
        <w:t>x</w:t>
      </w:r>
      <w:r w:rsidR="00286A5C">
        <w:t xml:space="preserve"> </w:t>
      </w:r>
      <w:r w:rsidRPr="00F628FD">
        <w:t>1</w:t>
      </w:r>
      <w:r w:rsidR="002908D8">
        <w:t> MHz</w:t>
      </w:r>
      <w:r w:rsidRPr="00F628FD">
        <w:t xml:space="preserve"> would be either via auction in the same process as the remaining 900</w:t>
      </w:r>
      <w:r w:rsidR="002908D8">
        <w:t> MHz</w:t>
      </w:r>
      <w:r w:rsidRPr="00F628FD">
        <w:t xml:space="preserve"> lots/850</w:t>
      </w:r>
      <w:r w:rsidR="002908D8">
        <w:t> MHz</w:t>
      </w:r>
      <w:r w:rsidRPr="00F628FD">
        <w:t xml:space="preserve"> expansion band (but as a separate lot), or via direct allocation.</w:t>
      </w:r>
    </w:p>
    <w:p w14:paraId="3B3FEFDD" w14:textId="6BF2885B" w:rsidR="007C4C7B" w:rsidRPr="007C4C7B" w:rsidRDefault="007C4C7B" w:rsidP="00DC5A6B">
      <w:pPr>
        <w:pStyle w:val="Heading2"/>
        <w:rPr>
          <w:i/>
        </w:rPr>
      </w:pPr>
      <w:bookmarkStart w:id="35" w:name="_Toc5870076"/>
      <w:r w:rsidRPr="00981178">
        <w:t>Summary</w:t>
      </w:r>
      <w:bookmarkEnd w:id="35"/>
    </w:p>
    <w:p w14:paraId="0E3C3979" w14:textId="5C75D190" w:rsidR="006D4525" w:rsidRDefault="007C4C7B" w:rsidP="007C4C7B">
      <w:r>
        <w:t xml:space="preserve">The ACMA considers that the </w:t>
      </w:r>
      <w:r w:rsidR="00981178">
        <w:t>e</w:t>
      </w:r>
      <w:r>
        <w:t xml:space="preserve">ncumbered </w:t>
      </w:r>
      <w:r w:rsidR="00981178">
        <w:t>a</w:t>
      </w:r>
      <w:r>
        <w:t xml:space="preserve">uction option is the approach that </w:t>
      </w:r>
      <w:r w:rsidR="00061B55">
        <w:t xml:space="preserve">best </w:t>
      </w:r>
      <w:r w:rsidR="006D4525">
        <w:t>meets the objectives of the reform, and also is more likely to achieve the broader policy objectives.</w:t>
      </w:r>
    </w:p>
    <w:p w14:paraId="34F65EA4" w14:textId="29CA9F0D" w:rsidR="007C4C7B" w:rsidRDefault="007C4C7B" w:rsidP="007C4C7B">
      <w:r>
        <w:t xml:space="preserve">The </w:t>
      </w:r>
      <w:r w:rsidR="00981178">
        <w:t>h</w:t>
      </w:r>
      <w:r>
        <w:t xml:space="preserve">ybrid option is likely to improve upon the status quo, given that it will increase investment certainty and facilitate a reconfiguration to efficient bandwidths. Nevertheless, the </w:t>
      </w:r>
      <w:r w:rsidR="00981178">
        <w:t>h</w:t>
      </w:r>
      <w:r>
        <w:t xml:space="preserve">ybrid option is considered to be suboptimal relative to the </w:t>
      </w:r>
      <w:r w:rsidR="00981178">
        <w:t>e</w:t>
      </w:r>
      <w:r>
        <w:t xml:space="preserve">ncumbered </w:t>
      </w:r>
      <w:r w:rsidR="00981178">
        <w:t>a</w:t>
      </w:r>
      <w:r>
        <w:t>uction.</w:t>
      </w:r>
    </w:p>
    <w:p w14:paraId="77F7F6C8" w14:textId="6DEADB38" w:rsidR="003668F1" w:rsidRDefault="007C4C7B" w:rsidP="007C4C7B">
      <w:r>
        <w:t>The following table presents a summary of the ACMA’s view of whether each option achieves the 900</w:t>
      </w:r>
      <w:r w:rsidR="002908D8">
        <w:t> MHz</w:t>
      </w:r>
      <w:r>
        <w:t>-specific objectives outlined above.</w:t>
      </w:r>
    </w:p>
    <w:tbl>
      <w:tblPr>
        <w:tblW w:w="9852" w:type="dxa"/>
        <w:tblBorders>
          <w:top w:val="single" w:sz="4" w:space="0" w:color="auto"/>
          <w:bottom w:val="single" w:sz="4" w:space="0" w:color="auto"/>
          <w:insideH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2107"/>
        <w:gridCol w:w="2401"/>
        <w:gridCol w:w="2672"/>
        <w:gridCol w:w="2672"/>
      </w:tblGrid>
      <w:tr w:rsidR="008168E6" w:rsidRPr="006D46E5" w14:paraId="514C7E67" w14:textId="77777777" w:rsidTr="008A15A5">
        <w:trPr>
          <w:trHeight w:val="236"/>
        </w:trPr>
        <w:tc>
          <w:tcPr>
            <w:tcW w:w="2107" w:type="dxa"/>
            <w:shd w:val="clear" w:color="auto" w:fill="404040" w:themeFill="text1" w:themeFillTint="BF"/>
          </w:tcPr>
          <w:p w14:paraId="799F13B6" w14:textId="77777777" w:rsidR="008168E6" w:rsidRPr="006D46E5" w:rsidRDefault="008168E6" w:rsidP="008A15A5">
            <w:pPr>
              <w:pStyle w:val="TableHeading"/>
              <w:rPr>
                <w:rFonts w:cs="Arial"/>
                <w:color w:val="FFFFFF" w:themeColor="background1"/>
              </w:rPr>
            </w:pPr>
          </w:p>
        </w:tc>
        <w:tc>
          <w:tcPr>
            <w:tcW w:w="2401" w:type="dxa"/>
            <w:shd w:val="clear" w:color="auto" w:fill="404040" w:themeFill="text1" w:themeFillTint="BF"/>
          </w:tcPr>
          <w:p w14:paraId="66C42D64" w14:textId="77777777" w:rsidR="008168E6" w:rsidRPr="006D46E5" w:rsidRDefault="008168E6" w:rsidP="008A15A5">
            <w:pPr>
              <w:pStyle w:val="TableHeading"/>
              <w:rPr>
                <w:rFonts w:cs="Arial"/>
                <w:color w:val="FFFFFF" w:themeColor="background1"/>
              </w:rPr>
            </w:pPr>
            <w:r>
              <w:rPr>
                <w:rFonts w:cs="Arial"/>
                <w:color w:val="FFFFFF" w:themeColor="background1"/>
              </w:rPr>
              <w:t>Status quo</w:t>
            </w:r>
          </w:p>
        </w:tc>
        <w:tc>
          <w:tcPr>
            <w:tcW w:w="2672" w:type="dxa"/>
            <w:shd w:val="clear" w:color="auto" w:fill="404040" w:themeFill="text1" w:themeFillTint="BF"/>
          </w:tcPr>
          <w:p w14:paraId="0F0E5456" w14:textId="77777777" w:rsidR="008168E6" w:rsidRDefault="008168E6" w:rsidP="008A15A5">
            <w:pPr>
              <w:pStyle w:val="TableHeading"/>
              <w:rPr>
                <w:rFonts w:cs="Arial"/>
                <w:color w:val="FFFFFF" w:themeColor="background1"/>
              </w:rPr>
            </w:pPr>
            <w:r>
              <w:rPr>
                <w:rFonts w:cs="Arial"/>
                <w:color w:val="FFFFFF" w:themeColor="background1"/>
              </w:rPr>
              <w:t>Encumbered auction</w:t>
            </w:r>
          </w:p>
        </w:tc>
        <w:tc>
          <w:tcPr>
            <w:tcW w:w="2672" w:type="dxa"/>
            <w:shd w:val="clear" w:color="auto" w:fill="404040" w:themeFill="text1" w:themeFillTint="BF"/>
          </w:tcPr>
          <w:p w14:paraId="33C61626" w14:textId="77777777" w:rsidR="008168E6" w:rsidRPr="006D46E5" w:rsidRDefault="008168E6" w:rsidP="008A15A5">
            <w:pPr>
              <w:pStyle w:val="TableHeading"/>
              <w:rPr>
                <w:rFonts w:cs="Arial"/>
                <w:color w:val="FFFFFF" w:themeColor="background1"/>
              </w:rPr>
            </w:pPr>
            <w:r>
              <w:rPr>
                <w:rFonts w:cs="Arial"/>
                <w:color w:val="FFFFFF" w:themeColor="background1"/>
              </w:rPr>
              <w:t>Hybrid option</w:t>
            </w:r>
          </w:p>
        </w:tc>
      </w:tr>
      <w:tr w:rsidR="008168E6" w:rsidRPr="006D46E5" w14:paraId="4BD0A4A1" w14:textId="77777777" w:rsidTr="008A15A5">
        <w:trPr>
          <w:trHeight w:val="230"/>
        </w:trPr>
        <w:tc>
          <w:tcPr>
            <w:tcW w:w="2107" w:type="dxa"/>
            <w:tcBorders>
              <w:bottom w:val="single" w:sz="4" w:space="0" w:color="auto"/>
            </w:tcBorders>
          </w:tcPr>
          <w:p w14:paraId="7E9A2402" w14:textId="77777777" w:rsidR="008168E6" w:rsidRPr="006D46E5" w:rsidRDefault="008168E6" w:rsidP="008A15A5">
            <w:pPr>
              <w:pStyle w:val="TableBody"/>
              <w:rPr>
                <w:rFonts w:cs="Arial"/>
              </w:rPr>
            </w:pPr>
            <w:r>
              <w:rPr>
                <w:rFonts w:cs="Arial"/>
              </w:rPr>
              <w:t>Spectrum licensed?</w:t>
            </w:r>
          </w:p>
        </w:tc>
        <w:tc>
          <w:tcPr>
            <w:tcW w:w="2401" w:type="dxa"/>
            <w:tcBorders>
              <w:bottom w:val="single" w:sz="4" w:space="0" w:color="auto"/>
            </w:tcBorders>
          </w:tcPr>
          <w:p w14:paraId="7A6464D2" w14:textId="77777777" w:rsidR="008168E6" w:rsidRPr="006D46E5" w:rsidRDefault="008168E6" w:rsidP="008A15A5">
            <w:pPr>
              <w:pStyle w:val="TableBody"/>
              <w:rPr>
                <w:rFonts w:cs="Arial"/>
              </w:rPr>
            </w:pPr>
            <w:r w:rsidRPr="00FC6E69">
              <w:rPr>
                <w:rFonts w:ascii="Segoe UI Emoji" w:hAnsi="Segoe UI Emoji" w:cs="Segoe UI Emoji"/>
                <w:color w:val="FF0000"/>
                <w:szCs w:val="20"/>
                <w:shd w:val="clear" w:color="auto" w:fill="FFFFFF"/>
              </w:rPr>
              <w:t>✖</w:t>
            </w:r>
          </w:p>
        </w:tc>
        <w:tc>
          <w:tcPr>
            <w:tcW w:w="2672" w:type="dxa"/>
            <w:tcBorders>
              <w:bottom w:val="single" w:sz="4" w:space="0" w:color="auto"/>
            </w:tcBorders>
            <w:vAlign w:val="center"/>
          </w:tcPr>
          <w:p w14:paraId="787CD57B" w14:textId="77777777" w:rsidR="008168E6"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tcPr>
          <w:p w14:paraId="6816C000" w14:textId="77777777" w:rsidR="008168E6" w:rsidRPr="006D46E5"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r>
      <w:tr w:rsidR="008168E6" w:rsidRPr="006D46E5" w14:paraId="1F1BE794" w14:textId="77777777" w:rsidTr="008A15A5">
        <w:trPr>
          <w:trHeight w:val="222"/>
        </w:trPr>
        <w:tc>
          <w:tcPr>
            <w:tcW w:w="2107" w:type="dxa"/>
            <w:shd w:val="clear" w:color="auto" w:fill="F2F2F2" w:themeFill="background1" w:themeFillShade="F2"/>
          </w:tcPr>
          <w:p w14:paraId="1E488C28" w14:textId="77777777" w:rsidR="008168E6" w:rsidRPr="006D46E5" w:rsidRDefault="008168E6" w:rsidP="008A15A5">
            <w:pPr>
              <w:pStyle w:val="TableBody"/>
              <w:rPr>
                <w:rFonts w:cs="Arial"/>
              </w:rPr>
            </w:pPr>
            <w:r>
              <w:rPr>
                <w:rFonts w:cs="Arial"/>
              </w:rPr>
              <w:t>Facilitate downshift?</w:t>
            </w:r>
          </w:p>
        </w:tc>
        <w:tc>
          <w:tcPr>
            <w:tcW w:w="2401" w:type="dxa"/>
            <w:shd w:val="clear" w:color="auto" w:fill="F2F2F2" w:themeFill="background1" w:themeFillShade="F2"/>
          </w:tcPr>
          <w:p w14:paraId="6035A1F0" w14:textId="77777777" w:rsidR="008168E6" w:rsidRPr="006D46E5" w:rsidRDefault="008168E6" w:rsidP="008A15A5">
            <w:pPr>
              <w:pStyle w:val="TableBody"/>
              <w:rPr>
                <w:rFonts w:cs="Arial"/>
              </w:rPr>
            </w:pPr>
            <w:r w:rsidRPr="00FC6E69">
              <w:rPr>
                <w:rFonts w:ascii="Segoe UI Emoji" w:hAnsi="Segoe UI Emoji" w:cs="Segoe UI Emoji"/>
                <w:color w:val="FF0000"/>
                <w:szCs w:val="20"/>
                <w:shd w:val="clear" w:color="auto" w:fill="FFFFFF"/>
              </w:rPr>
              <w:t>✖</w:t>
            </w:r>
          </w:p>
        </w:tc>
        <w:tc>
          <w:tcPr>
            <w:tcW w:w="2672" w:type="dxa"/>
            <w:shd w:val="clear" w:color="auto" w:fill="F2F2F2" w:themeFill="background1" w:themeFillShade="F2"/>
            <w:vAlign w:val="center"/>
          </w:tcPr>
          <w:p w14:paraId="04925200" w14:textId="77777777" w:rsidR="008168E6"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c>
          <w:tcPr>
            <w:tcW w:w="2672" w:type="dxa"/>
            <w:shd w:val="clear" w:color="auto" w:fill="F2F2F2" w:themeFill="background1" w:themeFillShade="F2"/>
          </w:tcPr>
          <w:p w14:paraId="7C608D5B" w14:textId="7D3C33CF" w:rsidR="008168E6" w:rsidRPr="006D46E5" w:rsidRDefault="008168E6" w:rsidP="008A15A5">
            <w:pPr>
              <w:pStyle w:val="TableBody"/>
              <w:rPr>
                <w:rFonts w:cs="Arial"/>
              </w:rPr>
            </w:pPr>
            <w:r w:rsidRPr="00FC6E69">
              <w:rPr>
                <w:b/>
                <w:color w:val="F79646" w:themeColor="accent6"/>
                <w:szCs w:val="20"/>
              </w:rPr>
              <w:t>?</w:t>
            </w:r>
            <w:r w:rsidRPr="00FC6E69">
              <w:rPr>
                <w:rStyle w:val="FootnoteReference"/>
                <w:b/>
                <w:szCs w:val="20"/>
              </w:rPr>
              <w:t xml:space="preserve"> </w:t>
            </w:r>
            <w:r w:rsidRPr="00FC6E69">
              <w:rPr>
                <w:rStyle w:val="FootnoteReference"/>
                <w:b/>
                <w:szCs w:val="20"/>
              </w:rPr>
              <w:footnoteReference w:id="15"/>
            </w:r>
          </w:p>
        </w:tc>
      </w:tr>
      <w:tr w:rsidR="008168E6" w:rsidRPr="006D46E5" w14:paraId="1A0538A5" w14:textId="77777777" w:rsidTr="008A15A5">
        <w:trPr>
          <w:trHeight w:val="459"/>
        </w:trPr>
        <w:tc>
          <w:tcPr>
            <w:tcW w:w="2107" w:type="dxa"/>
            <w:tcBorders>
              <w:bottom w:val="single" w:sz="4" w:space="0" w:color="auto"/>
            </w:tcBorders>
          </w:tcPr>
          <w:p w14:paraId="0C8FD4A3" w14:textId="77777777" w:rsidR="008168E6" w:rsidRPr="006D46E5" w:rsidRDefault="008168E6" w:rsidP="008A15A5">
            <w:pPr>
              <w:pStyle w:val="TableBody"/>
              <w:rPr>
                <w:rFonts w:cs="Arial"/>
              </w:rPr>
            </w:pPr>
            <w:r>
              <w:rPr>
                <w:rFonts w:cs="Arial"/>
              </w:rPr>
              <w:t>5 MHz configuration?</w:t>
            </w:r>
          </w:p>
        </w:tc>
        <w:tc>
          <w:tcPr>
            <w:tcW w:w="2401" w:type="dxa"/>
            <w:tcBorders>
              <w:bottom w:val="single" w:sz="4" w:space="0" w:color="auto"/>
            </w:tcBorders>
          </w:tcPr>
          <w:p w14:paraId="04DD29B7" w14:textId="77777777" w:rsidR="008168E6" w:rsidRPr="006D46E5" w:rsidRDefault="008168E6" w:rsidP="008A15A5">
            <w:pPr>
              <w:pStyle w:val="TableBody"/>
              <w:rPr>
                <w:rFonts w:cs="Arial"/>
              </w:rPr>
            </w:pPr>
            <w:r w:rsidRPr="00FC6E69">
              <w:rPr>
                <w:rFonts w:ascii="Segoe UI Emoji" w:hAnsi="Segoe UI Emoji" w:cs="Segoe UI Emoji"/>
                <w:color w:val="FF0000"/>
                <w:szCs w:val="20"/>
                <w:shd w:val="clear" w:color="auto" w:fill="FFFFFF"/>
              </w:rPr>
              <w:t>✖</w:t>
            </w:r>
          </w:p>
        </w:tc>
        <w:tc>
          <w:tcPr>
            <w:tcW w:w="2672" w:type="dxa"/>
            <w:tcBorders>
              <w:bottom w:val="single" w:sz="4" w:space="0" w:color="auto"/>
            </w:tcBorders>
            <w:vAlign w:val="center"/>
          </w:tcPr>
          <w:p w14:paraId="3396034F" w14:textId="77777777" w:rsidR="008168E6" w:rsidRPr="00CB7174"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tcPr>
          <w:p w14:paraId="1D09BF86" w14:textId="77777777" w:rsidR="008168E6" w:rsidRPr="006D46E5"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r>
      <w:tr w:rsidR="008168E6" w:rsidRPr="006D46E5" w14:paraId="24ED5432" w14:textId="77777777" w:rsidTr="008A15A5">
        <w:trPr>
          <w:trHeight w:val="222"/>
        </w:trPr>
        <w:tc>
          <w:tcPr>
            <w:tcW w:w="2107" w:type="dxa"/>
            <w:shd w:val="clear" w:color="auto" w:fill="F2F2F2" w:themeFill="background1" w:themeFillShade="F2"/>
          </w:tcPr>
          <w:p w14:paraId="555AD7EC" w14:textId="77777777" w:rsidR="008168E6" w:rsidRPr="006D46E5" w:rsidRDefault="008168E6" w:rsidP="008A15A5">
            <w:pPr>
              <w:pStyle w:val="TableBody"/>
              <w:rPr>
                <w:rFonts w:cs="Arial"/>
              </w:rPr>
            </w:pPr>
            <w:r>
              <w:rPr>
                <w:rFonts w:cs="Arial"/>
              </w:rPr>
              <w:t>Market price?</w:t>
            </w:r>
          </w:p>
        </w:tc>
        <w:tc>
          <w:tcPr>
            <w:tcW w:w="2401" w:type="dxa"/>
            <w:shd w:val="clear" w:color="auto" w:fill="F2F2F2" w:themeFill="background1" w:themeFillShade="F2"/>
          </w:tcPr>
          <w:p w14:paraId="191A6B9A" w14:textId="77777777" w:rsidR="008168E6" w:rsidRPr="006D46E5" w:rsidRDefault="008168E6" w:rsidP="008A15A5">
            <w:pPr>
              <w:pStyle w:val="TableBody"/>
              <w:rPr>
                <w:rFonts w:cs="Arial"/>
              </w:rPr>
            </w:pPr>
            <w:r w:rsidRPr="00FC6E69">
              <w:rPr>
                <w:rFonts w:ascii="Segoe UI Emoji" w:hAnsi="Segoe UI Emoji" w:cs="Segoe UI Emoji"/>
                <w:color w:val="FF0000"/>
                <w:szCs w:val="20"/>
                <w:shd w:val="clear" w:color="auto" w:fill="FFFFFF"/>
              </w:rPr>
              <w:t>✖</w:t>
            </w:r>
          </w:p>
        </w:tc>
        <w:tc>
          <w:tcPr>
            <w:tcW w:w="2672" w:type="dxa"/>
            <w:shd w:val="clear" w:color="auto" w:fill="F2F2F2" w:themeFill="background1" w:themeFillShade="F2"/>
            <w:vAlign w:val="center"/>
          </w:tcPr>
          <w:p w14:paraId="259EB7E2" w14:textId="77777777" w:rsidR="008168E6" w:rsidRPr="00CB7174"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c>
          <w:tcPr>
            <w:tcW w:w="2672" w:type="dxa"/>
            <w:shd w:val="clear" w:color="auto" w:fill="F2F2F2" w:themeFill="background1" w:themeFillShade="F2"/>
          </w:tcPr>
          <w:p w14:paraId="550110C6" w14:textId="77777777" w:rsidR="008168E6" w:rsidRPr="006D46E5" w:rsidRDefault="008168E6" w:rsidP="008A15A5">
            <w:pPr>
              <w:pStyle w:val="TableBody"/>
              <w:rPr>
                <w:rFonts w:cs="Arial"/>
              </w:rPr>
            </w:pPr>
            <w:r w:rsidRPr="00FC6E69">
              <w:rPr>
                <w:rFonts w:ascii="Segoe UI Emoji" w:hAnsi="Segoe UI Emoji" w:cs="Segoe UI Emoji"/>
                <w:color w:val="FF0000"/>
                <w:szCs w:val="20"/>
                <w:shd w:val="clear" w:color="auto" w:fill="FFFFFF"/>
              </w:rPr>
              <w:t>✖</w:t>
            </w:r>
          </w:p>
        </w:tc>
      </w:tr>
      <w:tr w:rsidR="008168E6" w:rsidRPr="006D46E5" w14:paraId="38938B59" w14:textId="77777777" w:rsidTr="008A15A5">
        <w:trPr>
          <w:trHeight w:val="230"/>
        </w:trPr>
        <w:tc>
          <w:tcPr>
            <w:tcW w:w="2107" w:type="dxa"/>
            <w:tcBorders>
              <w:bottom w:val="single" w:sz="4" w:space="0" w:color="auto"/>
            </w:tcBorders>
          </w:tcPr>
          <w:p w14:paraId="3FC3DAF4" w14:textId="77777777" w:rsidR="008168E6" w:rsidRPr="00BB002A" w:rsidRDefault="008168E6" w:rsidP="008A15A5">
            <w:pPr>
              <w:pStyle w:val="TableBody"/>
              <w:rPr>
                <w:rFonts w:cs="Arial"/>
              </w:rPr>
            </w:pPr>
            <w:r w:rsidRPr="00DC5A6B">
              <w:rPr>
                <w:szCs w:val="20"/>
              </w:rPr>
              <w:t>Enable licensees to mitigate risks to consumer services?</w:t>
            </w:r>
          </w:p>
        </w:tc>
        <w:tc>
          <w:tcPr>
            <w:tcW w:w="2401" w:type="dxa"/>
            <w:tcBorders>
              <w:bottom w:val="single" w:sz="4" w:space="0" w:color="auto"/>
            </w:tcBorders>
          </w:tcPr>
          <w:p w14:paraId="57B3A5D8" w14:textId="77777777" w:rsidR="008168E6" w:rsidRPr="006D46E5"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vAlign w:val="center"/>
          </w:tcPr>
          <w:p w14:paraId="21EE3C31" w14:textId="77777777" w:rsidR="008168E6" w:rsidRPr="00CB7174"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c>
          <w:tcPr>
            <w:tcW w:w="2672" w:type="dxa"/>
            <w:tcBorders>
              <w:bottom w:val="single" w:sz="4" w:space="0" w:color="auto"/>
            </w:tcBorders>
          </w:tcPr>
          <w:p w14:paraId="4B87ECC8" w14:textId="77777777" w:rsidR="008168E6" w:rsidRPr="006D46E5"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r>
      <w:tr w:rsidR="008168E6" w:rsidRPr="006D46E5" w14:paraId="53272A82" w14:textId="77777777" w:rsidTr="008A15A5">
        <w:trPr>
          <w:trHeight w:val="222"/>
        </w:trPr>
        <w:tc>
          <w:tcPr>
            <w:tcW w:w="2107" w:type="dxa"/>
            <w:shd w:val="clear" w:color="auto" w:fill="F2F2F2" w:themeFill="background1" w:themeFillShade="F2"/>
          </w:tcPr>
          <w:p w14:paraId="0F55B53E" w14:textId="4BA5E764" w:rsidR="008168E6" w:rsidRPr="00BB002A" w:rsidRDefault="008168E6" w:rsidP="008A15A5">
            <w:pPr>
              <w:pStyle w:val="TableBody"/>
              <w:rPr>
                <w:rFonts w:cs="Arial"/>
              </w:rPr>
            </w:pPr>
            <w:r w:rsidRPr="00DC5A6B">
              <w:rPr>
                <w:szCs w:val="20"/>
              </w:rPr>
              <w:t>Enables move to larger bandwidth?</w:t>
            </w:r>
          </w:p>
        </w:tc>
        <w:tc>
          <w:tcPr>
            <w:tcW w:w="2401" w:type="dxa"/>
            <w:shd w:val="clear" w:color="auto" w:fill="F2F2F2" w:themeFill="background1" w:themeFillShade="F2"/>
          </w:tcPr>
          <w:p w14:paraId="6616D22E" w14:textId="77777777" w:rsidR="008168E6" w:rsidRPr="006D46E5" w:rsidRDefault="008168E6" w:rsidP="008A15A5">
            <w:pPr>
              <w:pStyle w:val="TableBody"/>
              <w:rPr>
                <w:rFonts w:cs="Arial"/>
              </w:rPr>
            </w:pPr>
            <w:r w:rsidRPr="00FC6E69">
              <w:rPr>
                <w:rFonts w:ascii="Segoe UI Emoji" w:hAnsi="Segoe UI Emoji" w:cs="Segoe UI Emoji"/>
                <w:color w:val="FF0000"/>
                <w:szCs w:val="20"/>
                <w:shd w:val="clear" w:color="auto" w:fill="FFFFFF"/>
              </w:rPr>
              <w:t>✖</w:t>
            </w:r>
          </w:p>
        </w:tc>
        <w:tc>
          <w:tcPr>
            <w:tcW w:w="2672" w:type="dxa"/>
            <w:shd w:val="clear" w:color="auto" w:fill="F2F2F2" w:themeFill="background1" w:themeFillShade="F2"/>
            <w:vAlign w:val="center"/>
          </w:tcPr>
          <w:p w14:paraId="148A1391" w14:textId="77777777" w:rsidR="008168E6" w:rsidRPr="00CB7174" w:rsidRDefault="008168E6" w:rsidP="008A15A5">
            <w:pPr>
              <w:pStyle w:val="TableBody"/>
              <w:rPr>
                <w:rFonts w:cs="Arial"/>
              </w:rPr>
            </w:pPr>
            <w:r w:rsidRPr="00FC6E69">
              <w:rPr>
                <w:rFonts w:ascii="Segoe UI Emoji" w:hAnsi="Segoe UI Emoji" w:cs="Segoe UI Emoji"/>
                <w:color w:val="00B050"/>
                <w:szCs w:val="20"/>
                <w:shd w:val="clear" w:color="auto" w:fill="FFFFFF"/>
              </w:rPr>
              <w:t>✔</w:t>
            </w:r>
          </w:p>
        </w:tc>
        <w:tc>
          <w:tcPr>
            <w:tcW w:w="2672" w:type="dxa"/>
            <w:shd w:val="clear" w:color="auto" w:fill="F2F2F2" w:themeFill="background1" w:themeFillShade="F2"/>
          </w:tcPr>
          <w:p w14:paraId="101D67E3" w14:textId="77777777" w:rsidR="008168E6" w:rsidRPr="006D46E5" w:rsidRDefault="008168E6" w:rsidP="008A15A5">
            <w:pPr>
              <w:pStyle w:val="TableBody"/>
              <w:rPr>
                <w:rFonts w:cs="Arial"/>
              </w:rPr>
            </w:pPr>
            <w:r w:rsidRPr="00FC6E69">
              <w:rPr>
                <w:rFonts w:ascii="Segoe UI Emoji" w:hAnsi="Segoe UI Emoji" w:cs="Segoe UI Emoji"/>
                <w:color w:val="FF0000"/>
                <w:szCs w:val="20"/>
                <w:shd w:val="clear" w:color="auto" w:fill="FFFFFF"/>
              </w:rPr>
              <w:t>✖</w:t>
            </w:r>
          </w:p>
        </w:tc>
      </w:tr>
    </w:tbl>
    <w:p w14:paraId="65E8F7E4" w14:textId="1F5419D0" w:rsidR="00354EC6" w:rsidRDefault="00354EC6" w:rsidP="00374226">
      <w:pPr>
        <w:pStyle w:val="ACMASpaceaftertable"/>
      </w:pPr>
    </w:p>
    <w:p w14:paraId="786EFED3" w14:textId="49C0E2BD" w:rsidR="00E254E6" w:rsidRPr="00DC5A6B" w:rsidRDefault="00E254E6" w:rsidP="00DC5A6B">
      <w:pPr>
        <w:pStyle w:val="ACMASpaceaftertable"/>
        <w:keepNext/>
        <w:keepLines/>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DC5A6B">
        <w:rPr>
          <w:b/>
        </w:rPr>
        <w:t>Consultation questions:</w:t>
      </w:r>
    </w:p>
    <w:p w14:paraId="0766A661" w14:textId="0D6CA1A2" w:rsidR="00E254E6" w:rsidRPr="00F00348" w:rsidRDefault="00E254E6" w:rsidP="00DC5A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pPr>
      <w:r w:rsidRPr="00DA2E20">
        <w:t xml:space="preserve">Are the reform options presented in this paper appropriate, and are there any implementation issues or </w:t>
      </w:r>
      <w:r w:rsidRPr="00F00348">
        <w:t>suggestions that haven’t been identified?</w:t>
      </w:r>
    </w:p>
    <w:p w14:paraId="08098B04" w14:textId="77777777" w:rsidR="00E254E6" w:rsidRPr="00DA2E20" w:rsidRDefault="00E254E6" w:rsidP="00DC5A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pPr>
      <w:r w:rsidRPr="00F00348">
        <w:t>Stakeholders raised concerns that the mid-2021 clearance date will result in consumer service discontinuity</w:t>
      </w:r>
      <w:r w:rsidRPr="006C621F">
        <w:t xml:space="preserve">; does the proposed mid-2024 clearance date provide enough time to </w:t>
      </w:r>
      <w:r w:rsidRPr="00417691">
        <w:t>create an alternative pathway for the de</w:t>
      </w:r>
      <w:r w:rsidRPr="00C510CA">
        <w:t xml:space="preserve">ployment of services at risk? </w:t>
      </w:r>
    </w:p>
    <w:p w14:paraId="7126DFA2" w14:textId="77777777" w:rsidR="00E254E6" w:rsidRPr="00DA2E20" w:rsidRDefault="00E254E6" w:rsidP="00DC5A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pPr>
      <w:r w:rsidRPr="00DA2E20">
        <w:t xml:space="preserve">Can stakeholders provide up-to-date information on consumer migration to 4G compatible handsets, including estimates of the numbers of consumers yet to migrate, and information on the timing and speed of consumer migration? </w:t>
      </w:r>
    </w:p>
    <w:p w14:paraId="7B5E391E" w14:textId="77777777" w:rsidR="00E254E6" w:rsidRPr="006C621F" w:rsidRDefault="00E254E6" w:rsidP="00DC5A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pPr>
      <w:r w:rsidRPr="00DA2E20">
        <w:t xml:space="preserve">The </w:t>
      </w:r>
      <w:r>
        <w:t>e</w:t>
      </w:r>
      <w:r w:rsidRPr="00F00348">
        <w:t xml:space="preserve">ncumbered </w:t>
      </w:r>
      <w:r>
        <w:t>a</w:t>
      </w:r>
      <w:r w:rsidRPr="00F00348">
        <w:t>uction option includes an approach whereby incumbent apparatus licences and spectrum licences would potentially ‘overlap’. Do stakeholders have any concerns with this approach being employed in this context?</w:t>
      </w:r>
    </w:p>
    <w:p w14:paraId="68C22A0F" w14:textId="77777777" w:rsidR="00E254E6" w:rsidRPr="006C621F" w:rsidRDefault="00E254E6" w:rsidP="00DC5A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pPr>
      <w:r w:rsidRPr="00DA2E20">
        <w:t xml:space="preserve">Are there any issues associated with the </w:t>
      </w:r>
      <w:r>
        <w:t>h</w:t>
      </w:r>
      <w:r w:rsidRPr="00F00348">
        <w:t>ybrid option that raise any concerns for stakeholders?</w:t>
      </w:r>
    </w:p>
    <w:p w14:paraId="7BD46C85" w14:textId="77777777" w:rsidR="00E254E6" w:rsidRPr="00DA2E20" w:rsidRDefault="00E254E6" w:rsidP="00DC5A6B">
      <w:pPr>
        <w:pStyle w:val="ListNumber"/>
        <w:keepNext/>
        <w:keepLines/>
        <w:pBdr>
          <w:top w:val="single" w:sz="4" w:space="1" w:color="auto"/>
          <w:left w:val="single" w:sz="4" w:space="4" w:color="auto"/>
          <w:bottom w:val="single" w:sz="4" w:space="1" w:color="auto"/>
          <w:right w:val="single" w:sz="4" w:space="4" w:color="auto"/>
        </w:pBdr>
        <w:shd w:val="clear" w:color="auto" w:fill="F2F2F2" w:themeFill="background1" w:themeFillShade="F2"/>
      </w:pPr>
      <w:r w:rsidRPr="00DA2E20">
        <w:t xml:space="preserve">Are there any other mitigation techniques that will see the reconfiguration of the band into 5 MHz configuration whilst mitigating risks to consumer services? </w:t>
      </w:r>
    </w:p>
    <w:p w14:paraId="6C6F5D99" w14:textId="77777777" w:rsidR="00E254E6" w:rsidRDefault="00E254E6" w:rsidP="00DC5A6B">
      <w:pPr>
        <w:pStyle w:val="ACMASpaceaftertable"/>
        <w:keepNext/>
      </w:pPr>
    </w:p>
    <w:p w14:paraId="26B15F9E" w14:textId="38999BA1" w:rsidR="00374226" w:rsidRDefault="00374226" w:rsidP="00DC5A6B">
      <w:pPr>
        <w:pStyle w:val="ACMASpaceaftertable"/>
        <w:keepNext/>
      </w:pPr>
    </w:p>
    <w:p w14:paraId="5850B158" w14:textId="718CFAC2" w:rsidR="008168E6" w:rsidRDefault="008168E6" w:rsidP="007C4C7B"/>
    <w:p w14:paraId="5998CD1A" w14:textId="054CBDD1" w:rsidR="008168E6" w:rsidRDefault="008168E6" w:rsidP="007C4C7B"/>
    <w:p w14:paraId="648D725C" w14:textId="373DBB4B" w:rsidR="008168E6" w:rsidRPr="00E83C98" w:rsidRDefault="008168E6" w:rsidP="007C4C7B"/>
    <w:p w14:paraId="493CB0E1" w14:textId="3B4FF4D8" w:rsidR="007C4C7B" w:rsidRDefault="007C4C7B" w:rsidP="007C4C7B">
      <w:pPr>
        <w:rPr>
          <w:iCs/>
        </w:rPr>
      </w:pPr>
    </w:p>
    <w:p w14:paraId="3025DC57" w14:textId="63DD800F" w:rsidR="00AC1ABA" w:rsidRDefault="00AC1ABA" w:rsidP="006D2EA3">
      <w:pPr>
        <w:spacing w:after="0" w:line="240" w:lineRule="auto"/>
      </w:pPr>
      <w:bookmarkStart w:id="36" w:name="_Hlk527552826"/>
    </w:p>
    <w:p w14:paraId="5AD2228C" w14:textId="684B6AD0" w:rsidR="006B508D" w:rsidRDefault="006B508D" w:rsidP="00031309">
      <w:pPr>
        <w:rPr>
          <w:iCs/>
        </w:rPr>
      </w:pPr>
    </w:p>
    <w:bookmarkEnd w:id="36"/>
    <w:p w14:paraId="0509E6D8" w14:textId="59F5BA97" w:rsidR="007C4C7B" w:rsidRDefault="007C4C7B" w:rsidP="007C4C7B">
      <w:pPr>
        <w:rPr>
          <w:rStyle w:val="IntenseEmphasis"/>
          <w:i w:val="0"/>
        </w:rPr>
      </w:pPr>
      <w:r>
        <w:rPr>
          <w:rStyle w:val="IntenseEmphasis"/>
        </w:rPr>
        <w:br w:type="page"/>
      </w:r>
    </w:p>
    <w:p w14:paraId="67E9A1D1" w14:textId="4CDC9693" w:rsidR="007C4C7B" w:rsidRDefault="006B490A" w:rsidP="007C4C7B">
      <w:pPr>
        <w:pStyle w:val="Heading1"/>
        <w:rPr>
          <w:rStyle w:val="Heading1Char"/>
        </w:rPr>
      </w:pPr>
      <w:bookmarkStart w:id="37" w:name="_Toc5870077"/>
      <w:r>
        <w:rPr>
          <w:rStyle w:val="Heading1Char"/>
        </w:rPr>
        <w:t>Timing considerations</w:t>
      </w:r>
      <w:bookmarkEnd w:id="37"/>
    </w:p>
    <w:p w14:paraId="425F497E" w14:textId="4E26A92E" w:rsidR="007C4C7B" w:rsidRDefault="007C4C7B" w:rsidP="007C4C7B">
      <w:pPr>
        <w:rPr>
          <w:iCs/>
        </w:rPr>
      </w:pPr>
      <w:r>
        <w:rPr>
          <w:iCs/>
        </w:rPr>
        <w:t xml:space="preserve">Both the </w:t>
      </w:r>
      <w:r w:rsidR="00F00348">
        <w:rPr>
          <w:iCs/>
        </w:rPr>
        <w:t>e</w:t>
      </w:r>
      <w:r>
        <w:rPr>
          <w:iCs/>
        </w:rPr>
        <w:t xml:space="preserve">ncumbered </w:t>
      </w:r>
      <w:r w:rsidR="00F00348">
        <w:rPr>
          <w:iCs/>
        </w:rPr>
        <w:t>a</w:t>
      </w:r>
      <w:r>
        <w:rPr>
          <w:iCs/>
        </w:rPr>
        <w:t xml:space="preserve">uction option and the </w:t>
      </w:r>
      <w:r w:rsidR="00F00348">
        <w:rPr>
          <w:iCs/>
        </w:rPr>
        <w:t>h</w:t>
      </w:r>
      <w:r>
        <w:rPr>
          <w:iCs/>
        </w:rPr>
        <w:t xml:space="preserve">ybrid option require </w:t>
      </w:r>
      <w:r w:rsidR="005D5C5F">
        <w:rPr>
          <w:iCs/>
        </w:rPr>
        <w:t xml:space="preserve">that </w:t>
      </w:r>
      <w:r>
        <w:rPr>
          <w:iCs/>
        </w:rPr>
        <w:t xml:space="preserve">spectrum be allocated via price-based allocation. </w:t>
      </w:r>
      <w:bookmarkStart w:id="38" w:name="_Hlk528583334"/>
      <w:r>
        <w:rPr>
          <w:iCs/>
        </w:rPr>
        <w:t>The</w:t>
      </w:r>
      <w:r w:rsidR="008E6F43">
        <w:rPr>
          <w:iCs/>
        </w:rPr>
        <w:t xml:space="preserve"> </w:t>
      </w:r>
      <w:r w:rsidR="00F00348">
        <w:rPr>
          <w:iCs/>
        </w:rPr>
        <w:t>D</w:t>
      </w:r>
      <w:r w:rsidR="008E6F43">
        <w:rPr>
          <w:iCs/>
        </w:rPr>
        <w:t>raft</w:t>
      </w:r>
      <w:r>
        <w:rPr>
          <w:iCs/>
        </w:rPr>
        <w:t xml:space="preserve"> </w:t>
      </w:r>
      <w:r w:rsidR="00F00348">
        <w:rPr>
          <w:i/>
          <w:iCs/>
        </w:rPr>
        <w:t>f</w:t>
      </w:r>
      <w:r>
        <w:rPr>
          <w:i/>
          <w:iCs/>
        </w:rPr>
        <w:t>ive-year spectrum outlook</w:t>
      </w:r>
      <w:r w:rsidR="00F00348">
        <w:rPr>
          <w:i/>
          <w:iCs/>
        </w:rPr>
        <w:t xml:space="preserve"> 2019–23</w:t>
      </w:r>
      <w:r>
        <w:rPr>
          <w:i/>
          <w:iCs/>
        </w:rPr>
        <w:t xml:space="preserve"> </w:t>
      </w:r>
      <w:r w:rsidRPr="00EF62E0">
        <w:rPr>
          <w:iCs/>
        </w:rPr>
        <w:t>(FYSO</w:t>
      </w:r>
      <w:r>
        <w:rPr>
          <w:iCs/>
        </w:rPr>
        <w:t>)</w:t>
      </w:r>
      <w:r w:rsidR="006B490A">
        <w:rPr>
          <w:iCs/>
        </w:rPr>
        <w:t xml:space="preserve"> </w:t>
      </w:r>
      <w:r>
        <w:rPr>
          <w:iCs/>
        </w:rPr>
        <w:t>forward allocation scenario</w:t>
      </w:r>
      <w:r w:rsidR="007829EB">
        <w:rPr>
          <w:iCs/>
        </w:rPr>
        <w:t>s</w:t>
      </w:r>
      <w:r>
        <w:rPr>
          <w:iCs/>
        </w:rPr>
        <w:t xml:space="preserve"> outlined the feasibility of allocating 850</w:t>
      </w:r>
      <w:r w:rsidR="002908D8">
        <w:rPr>
          <w:iCs/>
        </w:rPr>
        <w:t> MHz</w:t>
      </w:r>
      <w:r>
        <w:rPr>
          <w:iCs/>
        </w:rPr>
        <w:t>/900</w:t>
      </w:r>
      <w:r w:rsidR="002908D8">
        <w:rPr>
          <w:iCs/>
        </w:rPr>
        <w:t> MHz</w:t>
      </w:r>
      <w:r>
        <w:rPr>
          <w:iCs/>
        </w:rPr>
        <w:t xml:space="preserve"> at the same time as 26</w:t>
      </w:r>
      <w:r w:rsidR="00792B3B">
        <w:rPr>
          <w:iCs/>
        </w:rPr>
        <w:t> GHz</w:t>
      </w:r>
      <w:r>
        <w:rPr>
          <w:iCs/>
        </w:rPr>
        <w:t xml:space="preserve">. The potential timing of the allocations is presented in the </w:t>
      </w:r>
      <w:r w:rsidR="002B7550">
        <w:rPr>
          <w:iCs/>
        </w:rPr>
        <w:t>Table 1</w:t>
      </w:r>
      <w:r>
        <w:rPr>
          <w:iCs/>
        </w:rPr>
        <w:t>.</w:t>
      </w:r>
    </w:p>
    <w:p w14:paraId="5C9348B4" w14:textId="5D7C4B93" w:rsidR="007C4C7B" w:rsidRPr="00836BF7" w:rsidRDefault="007C4C7B" w:rsidP="00836BF7">
      <w:pPr>
        <w:pStyle w:val="ACMATableHeader"/>
      </w:pPr>
      <w:r w:rsidRPr="00836BF7">
        <w:t>Potential timing of allocations (</w:t>
      </w:r>
      <w:r w:rsidR="00F00348">
        <w:t>n</w:t>
      </w:r>
      <w:r w:rsidRPr="00836BF7">
        <w:t xml:space="preserve">ote: </w:t>
      </w:r>
      <w:r w:rsidR="00F00348">
        <w:t>C</w:t>
      </w:r>
      <w:r w:rsidRPr="00836BF7">
        <w:t>onsistent with the FYSO, dates are in financial years)</w:t>
      </w:r>
    </w:p>
    <w:tbl>
      <w:tblPr>
        <w:tblStyle w:val="TableGrid"/>
        <w:tblW w:w="5000" w:type="pct"/>
        <w:tblCellMar>
          <w:top w:w="57" w:type="dxa"/>
          <w:left w:w="57" w:type="dxa"/>
          <w:bottom w:w="57" w:type="dxa"/>
          <w:right w:w="57" w:type="dxa"/>
        </w:tblCellMar>
        <w:tblLook w:val="04A0" w:firstRow="1" w:lastRow="0" w:firstColumn="1" w:lastColumn="0" w:noHBand="0" w:noVBand="1"/>
        <w:tblCaption w:val="Scenario 2—3.6 GHz prioritised, with mmWave next"/>
        <w:tblDescription w:val="Shows planning decision and auction timeframes."/>
      </w:tblPr>
      <w:tblGrid>
        <w:gridCol w:w="1912"/>
        <w:gridCol w:w="1915"/>
        <w:gridCol w:w="1917"/>
        <w:gridCol w:w="1917"/>
      </w:tblGrid>
      <w:tr w:rsidR="007C4C7B" w:rsidRPr="00EF7580" w14:paraId="7505F842" w14:textId="77777777" w:rsidTr="00EF435C">
        <w:trPr>
          <w:tblHeader/>
        </w:trPr>
        <w:tc>
          <w:tcPr>
            <w:tcW w:w="1247" w:type="pct"/>
            <w:shd w:val="clear" w:color="auto" w:fill="404040" w:themeFill="text1" w:themeFillTint="BF"/>
          </w:tcPr>
          <w:p w14:paraId="19590ABE" w14:textId="77777777" w:rsidR="007C4C7B" w:rsidRPr="00836BF7" w:rsidRDefault="007C4C7B" w:rsidP="00EF435C">
            <w:pPr>
              <w:pStyle w:val="TableHeading"/>
              <w:rPr>
                <w:rFonts w:asciiTheme="minorHAnsi" w:hAnsiTheme="minorHAnsi" w:cstheme="minorHAnsi"/>
                <w:color w:val="FFFFFF" w:themeColor="background1"/>
                <w:sz w:val="22"/>
                <w:szCs w:val="22"/>
              </w:rPr>
            </w:pPr>
            <w:bookmarkStart w:id="39" w:name="_Hlk522785298"/>
            <w:r w:rsidRPr="00836BF7">
              <w:rPr>
                <w:rFonts w:asciiTheme="minorHAnsi" w:hAnsiTheme="minorHAnsi" w:cstheme="minorHAnsi"/>
                <w:color w:val="FFFFFF" w:themeColor="background1"/>
                <w:sz w:val="22"/>
                <w:szCs w:val="22"/>
              </w:rPr>
              <w:t>Band</w:t>
            </w:r>
          </w:p>
          <w:p w14:paraId="07FDDD57" w14:textId="77777777" w:rsidR="007C4C7B" w:rsidRPr="00BB002A" w:rsidRDefault="007C4C7B" w:rsidP="00EF435C">
            <w:pPr>
              <w:tabs>
                <w:tab w:val="left" w:pos="538"/>
              </w:tabs>
              <w:rPr>
                <w:rFonts w:asciiTheme="minorHAnsi" w:hAnsiTheme="minorHAnsi" w:cstheme="minorHAnsi"/>
                <w:color w:val="FFFFFF" w:themeColor="background1"/>
                <w:sz w:val="22"/>
                <w:szCs w:val="22"/>
              </w:rPr>
            </w:pPr>
          </w:p>
        </w:tc>
        <w:tc>
          <w:tcPr>
            <w:tcW w:w="1250" w:type="pct"/>
            <w:shd w:val="clear" w:color="auto" w:fill="404040" w:themeFill="text1" w:themeFillTint="BF"/>
          </w:tcPr>
          <w:p w14:paraId="3120FC91" w14:textId="77777777" w:rsidR="007C4C7B" w:rsidRPr="00836BF7" w:rsidRDefault="007C4C7B" w:rsidP="00EF435C">
            <w:pPr>
              <w:pStyle w:val="TableHeading"/>
              <w:rPr>
                <w:rFonts w:asciiTheme="minorHAnsi" w:hAnsiTheme="minorHAnsi" w:cstheme="minorHAnsi"/>
                <w:color w:val="FFFFFF" w:themeColor="background1"/>
                <w:sz w:val="22"/>
                <w:szCs w:val="22"/>
              </w:rPr>
            </w:pPr>
            <w:r w:rsidRPr="00836BF7">
              <w:rPr>
                <w:rFonts w:asciiTheme="minorHAnsi" w:hAnsiTheme="minorHAnsi" w:cstheme="minorHAnsi"/>
                <w:color w:val="FFFFFF" w:themeColor="background1"/>
                <w:sz w:val="22"/>
                <w:szCs w:val="22"/>
              </w:rPr>
              <w:t>ACMA planning decision</w:t>
            </w:r>
          </w:p>
        </w:tc>
        <w:tc>
          <w:tcPr>
            <w:tcW w:w="1251" w:type="pct"/>
            <w:shd w:val="clear" w:color="auto" w:fill="404040" w:themeFill="text1" w:themeFillTint="BF"/>
          </w:tcPr>
          <w:p w14:paraId="598615B9" w14:textId="77777777" w:rsidR="007C4C7B" w:rsidRPr="00836BF7" w:rsidRDefault="007C4C7B" w:rsidP="00EF435C">
            <w:pPr>
              <w:pStyle w:val="TableHeading"/>
              <w:rPr>
                <w:rFonts w:asciiTheme="minorHAnsi" w:hAnsiTheme="minorHAnsi" w:cstheme="minorHAnsi"/>
                <w:color w:val="FFFFFF" w:themeColor="background1"/>
                <w:sz w:val="22"/>
                <w:szCs w:val="22"/>
              </w:rPr>
            </w:pPr>
            <w:r w:rsidRPr="00836BF7">
              <w:rPr>
                <w:rFonts w:asciiTheme="minorHAnsi" w:hAnsiTheme="minorHAnsi" w:cstheme="minorHAnsi"/>
                <w:color w:val="FFFFFF" w:themeColor="background1"/>
                <w:sz w:val="22"/>
                <w:szCs w:val="22"/>
              </w:rPr>
              <w:t>Minister decision where applicable</w:t>
            </w:r>
          </w:p>
        </w:tc>
        <w:tc>
          <w:tcPr>
            <w:tcW w:w="1251" w:type="pct"/>
            <w:shd w:val="clear" w:color="auto" w:fill="404040" w:themeFill="text1" w:themeFillTint="BF"/>
          </w:tcPr>
          <w:p w14:paraId="07FC4C40" w14:textId="2B226444" w:rsidR="007C4C7B" w:rsidRPr="00836BF7" w:rsidRDefault="008E6F43" w:rsidP="00EF435C">
            <w:pPr>
              <w:pStyle w:val="TableHeading"/>
              <w:rPr>
                <w:rFonts w:asciiTheme="minorHAnsi" w:hAnsiTheme="minorHAnsi" w:cstheme="minorHAnsi"/>
                <w:color w:val="FFFFFF" w:themeColor="background1"/>
                <w:sz w:val="22"/>
                <w:szCs w:val="22"/>
              </w:rPr>
            </w:pPr>
            <w:r w:rsidRPr="00836BF7">
              <w:rPr>
                <w:rFonts w:asciiTheme="minorHAnsi" w:hAnsiTheme="minorHAnsi" w:cstheme="minorHAnsi"/>
                <w:color w:val="FFFFFF" w:themeColor="background1"/>
                <w:sz w:val="22"/>
                <w:szCs w:val="22"/>
              </w:rPr>
              <w:t>Allocation/</w:t>
            </w:r>
            <w:r w:rsidR="007C4C7B" w:rsidRPr="00836BF7">
              <w:rPr>
                <w:rFonts w:asciiTheme="minorHAnsi" w:hAnsiTheme="minorHAnsi" w:cstheme="minorHAnsi"/>
                <w:color w:val="FFFFFF" w:themeColor="background1"/>
                <w:sz w:val="22"/>
                <w:szCs w:val="22"/>
              </w:rPr>
              <w:t>Auction</w:t>
            </w:r>
          </w:p>
        </w:tc>
      </w:tr>
      <w:tr w:rsidR="007C4C7B" w:rsidRPr="00EF7580" w14:paraId="44E18B75" w14:textId="77777777" w:rsidTr="00EF435C">
        <w:tc>
          <w:tcPr>
            <w:tcW w:w="1247" w:type="pct"/>
            <w:shd w:val="clear" w:color="auto" w:fill="F2F2F2" w:themeFill="background1" w:themeFillShade="F2"/>
          </w:tcPr>
          <w:p w14:paraId="0111E0FC" w14:textId="540BF13C" w:rsidR="007C4C7B" w:rsidRPr="00836BF7" w:rsidRDefault="007C4C7B" w:rsidP="00EF435C">
            <w:pPr>
              <w:rPr>
                <w:rFonts w:cs="Arial"/>
                <w:b/>
                <w:szCs w:val="20"/>
              </w:rPr>
            </w:pPr>
            <w:r w:rsidRPr="00836BF7">
              <w:rPr>
                <w:rFonts w:cs="Arial"/>
                <w:b/>
                <w:szCs w:val="20"/>
              </w:rPr>
              <w:t>26</w:t>
            </w:r>
            <w:r w:rsidR="00792B3B" w:rsidRPr="00836BF7">
              <w:rPr>
                <w:rFonts w:cs="Arial"/>
                <w:b/>
                <w:szCs w:val="20"/>
              </w:rPr>
              <w:t> GHz</w:t>
            </w:r>
          </w:p>
        </w:tc>
        <w:tc>
          <w:tcPr>
            <w:tcW w:w="1250" w:type="pct"/>
            <w:shd w:val="clear" w:color="auto" w:fill="F2F2F2" w:themeFill="background1" w:themeFillShade="F2"/>
          </w:tcPr>
          <w:p w14:paraId="25F0D154" w14:textId="19B076A0" w:rsidR="007C4C7B" w:rsidRPr="00836BF7" w:rsidRDefault="007C4C7B" w:rsidP="00EF435C">
            <w:pPr>
              <w:rPr>
                <w:rFonts w:cs="Arial"/>
                <w:szCs w:val="20"/>
                <w:highlight w:val="cyan"/>
              </w:rPr>
            </w:pPr>
            <w:r w:rsidRPr="00836BF7">
              <w:rPr>
                <w:rFonts w:cs="Arial"/>
                <w:szCs w:val="20"/>
              </w:rPr>
              <w:t xml:space="preserve">Q4 </w:t>
            </w:r>
            <w:r w:rsidRPr="00836BF7">
              <w:rPr>
                <w:rFonts w:cs="Arial"/>
                <w:szCs w:val="20"/>
              </w:rPr>
              <w:br/>
              <w:t>2018–19</w:t>
            </w:r>
          </w:p>
        </w:tc>
        <w:tc>
          <w:tcPr>
            <w:tcW w:w="1251" w:type="pct"/>
            <w:shd w:val="clear" w:color="auto" w:fill="F2F2F2" w:themeFill="background1" w:themeFillShade="F2"/>
          </w:tcPr>
          <w:p w14:paraId="229B5CAF" w14:textId="204B767E" w:rsidR="007C4C7B" w:rsidRPr="00836BF7" w:rsidRDefault="007C4C7B" w:rsidP="00EF435C">
            <w:pPr>
              <w:rPr>
                <w:rFonts w:cs="Arial"/>
                <w:szCs w:val="20"/>
                <w:highlight w:val="cyan"/>
              </w:rPr>
            </w:pPr>
            <w:r w:rsidRPr="00836BF7">
              <w:rPr>
                <w:rFonts w:cs="Arial"/>
                <w:szCs w:val="20"/>
              </w:rPr>
              <w:t xml:space="preserve">Q1 2019–20 </w:t>
            </w:r>
          </w:p>
        </w:tc>
        <w:tc>
          <w:tcPr>
            <w:tcW w:w="1251" w:type="pct"/>
            <w:shd w:val="clear" w:color="auto" w:fill="F2F2F2" w:themeFill="background1" w:themeFillShade="F2"/>
          </w:tcPr>
          <w:p w14:paraId="3D3F6A65" w14:textId="046C2F02" w:rsidR="007C4C7B" w:rsidRPr="00836BF7" w:rsidRDefault="007C4C7B" w:rsidP="00EF435C">
            <w:pPr>
              <w:rPr>
                <w:rFonts w:cs="Arial"/>
                <w:szCs w:val="20"/>
              </w:rPr>
            </w:pPr>
            <w:r w:rsidRPr="00836BF7" w:rsidDel="00290235">
              <w:rPr>
                <w:rFonts w:cs="Arial"/>
                <w:szCs w:val="20"/>
              </w:rPr>
              <w:t>Q1</w:t>
            </w:r>
            <w:r w:rsidR="00E254E6">
              <w:rPr>
                <w:rFonts w:cs="Arial"/>
                <w:szCs w:val="20"/>
              </w:rPr>
              <w:t>/</w:t>
            </w:r>
            <w:r w:rsidRPr="00836BF7">
              <w:rPr>
                <w:rFonts w:cs="Arial"/>
                <w:szCs w:val="20"/>
              </w:rPr>
              <w:t>2 2020–21</w:t>
            </w:r>
          </w:p>
        </w:tc>
      </w:tr>
      <w:tr w:rsidR="007C4C7B" w:rsidRPr="00EF7580" w14:paraId="04973CB9" w14:textId="77777777" w:rsidTr="00EF435C">
        <w:tc>
          <w:tcPr>
            <w:tcW w:w="1247" w:type="pct"/>
            <w:shd w:val="clear" w:color="auto" w:fill="auto"/>
          </w:tcPr>
          <w:p w14:paraId="1BAFD2BC" w14:textId="5CEDFDCC" w:rsidR="007C4C7B" w:rsidRPr="00836BF7" w:rsidRDefault="007C4C7B" w:rsidP="00EF435C">
            <w:pPr>
              <w:rPr>
                <w:rFonts w:cs="Arial"/>
                <w:b/>
                <w:szCs w:val="20"/>
              </w:rPr>
            </w:pPr>
            <w:r w:rsidRPr="00836BF7">
              <w:rPr>
                <w:rFonts w:cs="Arial"/>
                <w:b/>
                <w:szCs w:val="20"/>
              </w:rPr>
              <w:t>850/900</w:t>
            </w:r>
            <w:r w:rsidR="002908D8" w:rsidRPr="00836BF7">
              <w:rPr>
                <w:rFonts w:cs="Arial"/>
                <w:b/>
                <w:szCs w:val="20"/>
              </w:rPr>
              <w:t> MHz</w:t>
            </w:r>
          </w:p>
        </w:tc>
        <w:tc>
          <w:tcPr>
            <w:tcW w:w="1250" w:type="pct"/>
            <w:shd w:val="clear" w:color="auto" w:fill="auto"/>
          </w:tcPr>
          <w:p w14:paraId="54DCCC5E" w14:textId="77777777" w:rsidR="008E6F43" w:rsidRPr="00C510CA" w:rsidRDefault="008E6F43" w:rsidP="008E6F43">
            <w:pPr>
              <w:spacing w:after="0"/>
              <w:rPr>
                <w:rFonts w:cs="Arial"/>
                <w:szCs w:val="20"/>
              </w:rPr>
            </w:pPr>
            <w:r w:rsidRPr="00C510CA">
              <w:rPr>
                <w:rFonts w:cs="Arial"/>
                <w:szCs w:val="20"/>
              </w:rPr>
              <w:t>Q2 2017–18 (planning decision- complete)</w:t>
            </w:r>
          </w:p>
          <w:p w14:paraId="35992012" w14:textId="77777777" w:rsidR="008E6F43" w:rsidRPr="008A15A5" w:rsidRDefault="008E6F43" w:rsidP="008E6F43">
            <w:pPr>
              <w:spacing w:after="0"/>
              <w:rPr>
                <w:rFonts w:cs="Arial"/>
                <w:szCs w:val="20"/>
              </w:rPr>
            </w:pPr>
          </w:p>
          <w:p w14:paraId="433437DC" w14:textId="59B17D9F" w:rsidR="007C4C7B" w:rsidRPr="00836BF7" w:rsidRDefault="008E6F43" w:rsidP="008E6F43">
            <w:pPr>
              <w:rPr>
                <w:rFonts w:cs="Arial"/>
                <w:szCs w:val="20"/>
              </w:rPr>
            </w:pPr>
            <w:r w:rsidRPr="008A15A5">
              <w:rPr>
                <w:rFonts w:cs="Arial"/>
                <w:szCs w:val="20"/>
              </w:rPr>
              <w:t>Q4</w:t>
            </w:r>
            <w:r w:rsidRPr="008A15A5">
              <w:rPr>
                <w:rFonts w:cs="Arial"/>
                <w:szCs w:val="20"/>
              </w:rPr>
              <w:br/>
              <w:t>2018–19 (configuration options 900</w:t>
            </w:r>
            <w:r w:rsidR="002908D8" w:rsidRPr="008A15A5">
              <w:rPr>
                <w:rFonts w:cs="Arial"/>
                <w:szCs w:val="20"/>
              </w:rPr>
              <w:t> MHz</w:t>
            </w:r>
            <w:r w:rsidRPr="009E3694">
              <w:rPr>
                <w:rFonts w:cs="Arial"/>
                <w:szCs w:val="20"/>
              </w:rPr>
              <w:t>)</w:t>
            </w:r>
          </w:p>
        </w:tc>
        <w:tc>
          <w:tcPr>
            <w:tcW w:w="1251" w:type="pct"/>
            <w:shd w:val="clear" w:color="auto" w:fill="auto"/>
          </w:tcPr>
          <w:p w14:paraId="21104AC8" w14:textId="455402B8" w:rsidR="007C4C7B" w:rsidRPr="00836BF7" w:rsidRDefault="008E6F43" w:rsidP="00EF435C">
            <w:pPr>
              <w:rPr>
                <w:rFonts w:cs="Arial"/>
                <w:szCs w:val="20"/>
              </w:rPr>
            </w:pPr>
            <w:r w:rsidRPr="00836BF7">
              <w:rPr>
                <w:rFonts w:cs="Arial"/>
                <w:szCs w:val="20"/>
              </w:rPr>
              <w:t>Q1</w:t>
            </w:r>
            <w:r w:rsidR="00E254E6">
              <w:rPr>
                <w:rFonts w:cs="Arial"/>
                <w:szCs w:val="20"/>
              </w:rPr>
              <w:t>/</w:t>
            </w:r>
            <w:r w:rsidRPr="00836BF7">
              <w:rPr>
                <w:rFonts w:cs="Arial"/>
                <w:szCs w:val="20"/>
              </w:rPr>
              <w:t>2 20</w:t>
            </w:r>
            <w:r w:rsidR="00C74356" w:rsidRPr="00836BF7">
              <w:rPr>
                <w:rFonts w:cs="Arial"/>
                <w:szCs w:val="20"/>
              </w:rPr>
              <w:t>19</w:t>
            </w:r>
            <w:r w:rsidRPr="00836BF7">
              <w:rPr>
                <w:rFonts w:cs="Arial"/>
                <w:szCs w:val="20"/>
              </w:rPr>
              <w:t>–2</w:t>
            </w:r>
            <w:r w:rsidR="00C74356" w:rsidRPr="00836BF7">
              <w:rPr>
                <w:rFonts w:cs="Arial"/>
                <w:szCs w:val="20"/>
              </w:rPr>
              <w:t>0</w:t>
            </w:r>
          </w:p>
        </w:tc>
        <w:tc>
          <w:tcPr>
            <w:tcW w:w="1251" w:type="pct"/>
            <w:shd w:val="clear" w:color="auto" w:fill="auto"/>
          </w:tcPr>
          <w:p w14:paraId="0911A297" w14:textId="42F92004" w:rsidR="007C4C7B" w:rsidRPr="00836BF7" w:rsidRDefault="007C4C7B" w:rsidP="00EF435C">
            <w:pPr>
              <w:rPr>
                <w:rFonts w:cs="Arial"/>
                <w:szCs w:val="20"/>
              </w:rPr>
            </w:pPr>
            <w:r w:rsidRPr="00836BF7">
              <w:rPr>
                <w:rFonts w:cs="Arial"/>
                <w:szCs w:val="20"/>
              </w:rPr>
              <w:t>Q1</w:t>
            </w:r>
            <w:r w:rsidR="00E254E6">
              <w:rPr>
                <w:rFonts w:cs="Arial"/>
                <w:szCs w:val="20"/>
              </w:rPr>
              <w:t>/</w:t>
            </w:r>
            <w:r w:rsidRPr="00836BF7">
              <w:rPr>
                <w:rFonts w:cs="Arial"/>
                <w:szCs w:val="20"/>
              </w:rPr>
              <w:t>2 2020–21</w:t>
            </w:r>
          </w:p>
        </w:tc>
      </w:tr>
      <w:bookmarkEnd w:id="39"/>
    </w:tbl>
    <w:p w14:paraId="39012BB9" w14:textId="299ED63F" w:rsidR="007C4C7B" w:rsidRPr="00D52346" w:rsidRDefault="007C4C7B" w:rsidP="00836BF7">
      <w:pPr>
        <w:pStyle w:val="ACMASpaceaftertable"/>
      </w:pPr>
    </w:p>
    <w:bookmarkEnd w:id="38"/>
    <w:p w14:paraId="581067B3" w14:textId="0B7F144B" w:rsidR="004A5795" w:rsidRDefault="004A5795" w:rsidP="004A5795">
      <w:pPr>
        <w:widowControl w:val="0"/>
        <w:rPr>
          <w:rFonts w:cstheme="minorHAnsi"/>
        </w:rPr>
      </w:pPr>
      <w:r>
        <w:rPr>
          <w:rFonts w:cstheme="minorHAnsi"/>
        </w:rPr>
        <w:t>T</w:t>
      </w:r>
      <w:r w:rsidRPr="00AE6DEB">
        <w:rPr>
          <w:rFonts w:cstheme="minorHAnsi"/>
        </w:rPr>
        <w:t xml:space="preserve">he key dates </w:t>
      </w:r>
      <w:r>
        <w:rPr>
          <w:rFonts w:cstheme="minorHAnsi"/>
        </w:rPr>
        <w:t>in the availability of the 850</w:t>
      </w:r>
      <w:r w:rsidR="002908D8">
        <w:rPr>
          <w:rFonts w:cstheme="minorHAnsi"/>
        </w:rPr>
        <w:t> MHz</w:t>
      </w:r>
      <w:r>
        <w:rPr>
          <w:rFonts w:cstheme="minorHAnsi"/>
        </w:rPr>
        <w:t xml:space="preserve"> expansion band are a driver for the ACMA’s thinking on preferred allocation timing. The</w:t>
      </w:r>
      <w:r w:rsidR="00DA526C">
        <w:rPr>
          <w:rFonts w:cstheme="minorHAnsi"/>
        </w:rPr>
        <w:t xml:space="preserve"> proposed</w:t>
      </w:r>
      <w:r>
        <w:rPr>
          <w:rFonts w:cstheme="minorHAnsi"/>
        </w:rPr>
        <w:t xml:space="preserve"> implementation process makes large parts of the band available from the key milestone date of 30 June 2021, while the whole band is available from 30 June 2024. The ACMA considers that allocation of the 850</w:t>
      </w:r>
      <w:r w:rsidR="002908D8">
        <w:rPr>
          <w:rFonts w:cstheme="minorHAnsi"/>
        </w:rPr>
        <w:t> MHz</w:t>
      </w:r>
      <w:r>
        <w:rPr>
          <w:rFonts w:cstheme="minorHAnsi"/>
        </w:rPr>
        <w:t xml:space="preserve"> band should occur prior to the 2021 key milestone date in the 850</w:t>
      </w:r>
      <w:r w:rsidR="002908D8">
        <w:rPr>
          <w:rFonts w:cstheme="minorHAnsi"/>
        </w:rPr>
        <w:t> MHz</w:t>
      </w:r>
      <w:r>
        <w:rPr>
          <w:rFonts w:cstheme="minorHAnsi"/>
        </w:rPr>
        <w:t xml:space="preserve"> implementation process in order to avoid valuable spectrum remaining unused. </w:t>
      </w:r>
    </w:p>
    <w:p w14:paraId="47EE006C" w14:textId="3CAD7EA1" w:rsidR="004A6118" w:rsidRDefault="00AC1ABA" w:rsidP="00AC1ABA">
      <w:r>
        <w:t>The ACMA is aware there are d</w:t>
      </w:r>
      <w:r w:rsidRPr="00EF435C">
        <w:t xml:space="preserve">iscussions underway </w:t>
      </w:r>
      <w:r>
        <w:t xml:space="preserve">regarding the allocation of spectrum for </w:t>
      </w:r>
      <w:r w:rsidRPr="00EF435C">
        <w:t>a PSMB capability.</w:t>
      </w:r>
      <w:r w:rsidR="0092673A">
        <w:t xml:space="preserve"> </w:t>
      </w:r>
      <w:bookmarkStart w:id="40" w:name="_Hlk2859258"/>
      <w:r w:rsidR="0092673A">
        <w:t xml:space="preserve">The Australian Government has agreed to set aside </w:t>
      </w:r>
      <w:r w:rsidR="002E7937">
        <w:t>2</w:t>
      </w:r>
      <w:r w:rsidR="00ED202B">
        <w:t xml:space="preserve"> </w:t>
      </w:r>
      <w:r w:rsidR="002E7937">
        <w:t>x</w:t>
      </w:r>
      <w:r w:rsidR="00ED202B">
        <w:t xml:space="preserve"> </w:t>
      </w:r>
      <w:r w:rsidR="002E7937">
        <w:t>5</w:t>
      </w:r>
      <w:r w:rsidR="002908D8">
        <w:t> MHz</w:t>
      </w:r>
      <w:r w:rsidR="0092673A">
        <w:t xml:space="preserve"> of spectrum in the 850</w:t>
      </w:r>
      <w:r w:rsidR="002908D8">
        <w:t> MHz</w:t>
      </w:r>
      <w:r w:rsidR="00EF050B">
        <w:t xml:space="preserve"> </w:t>
      </w:r>
      <w:r w:rsidR="0092673A">
        <w:t>expansion band for this capability.</w:t>
      </w:r>
      <w:r w:rsidRPr="00EF435C">
        <w:t xml:space="preserve"> </w:t>
      </w:r>
    </w:p>
    <w:bookmarkEnd w:id="40"/>
    <w:p w14:paraId="01FA3352" w14:textId="684A3196" w:rsidR="004A6118" w:rsidRDefault="004A6118" w:rsidP="00AC1ABA">
      <w:r w:rsidRPr="004A6118">
        <w:t xml:space="preserve">At the 12 December 2018 meeting of COAG, leaders took a significant step towards achieving a federated national PSMB capability. All jurisdictions agreed a </w:t>
      </w:r>
      <w:r w:rsidR="00ED202B">
        <w:t>s</w:t>
      </w:r>
      <w:r w:rsidRPr="004A6118">
        <w:t xml:space="preserve">trategic </w:t>
      </w:r>
      <w:r w:rsidR="00ED202B">
        <w:t>r</w:t>
      </w:r>
      <w:r w:rsidRPr="004A6118">
        <w:t xml:space="preserve">oadmap that sets out a plan to design, implement and operate PSMB and to continue to work together to resolve the supporting spectrum arrangements in parallel with proof of concept trials. In December 2018, the NSW Telco Authority on behalf of all jurisdictions </w:t>
      </w:r>
      <w:r w:rsidR="000B4F29">
        <w:t>issued</w:t>
      </w:r>
      <w:r w:rsidRPr="004A6118">
        <w:t xml:space="preserve"> a request for proposal from the telecommunications industry, </w:t>
      </w:r>
      <w:r w:rsidR="000B4F29">
        <w:t xml:space="preserve">to support </w:t>
      </w:r>
      <w:r w:rsidRPr="004A6118">
        <w:t>a proof of concept for trial of a national PSMB capability</w:t>
      </w:r>
      <w:r>
        <w:t>.</w:t>
      </w:r>
    </w:p>
    <w:p w14:paraId="629F5922" w14:textId="6835A286" w:rsidR="004A6118" w:rsidRDefault="004A6118" w:rsidP="00AC1ABA">
      <w:r w:rsidRPr="004A6118">
        <w:t xml:space="preserve">The outcomes of these trials </w:t>
      </w:r>
      <w:r w:rsidR="00A43CC9">
        <w:t>may</w:t>
      </w:r>
      <w:r w:rsidRPr="004A6118">
        <w:t xml:space="preserve"> </w:t>
      </w:r>
      <w:r w:rsidR="00490054">
        <w:t xml:space="preserve">be considered as an input into the decision over </w:t>
      </w:r>
      <w:r w:rsidRPr="004A6118">
        <w:t>lot location</w:t>
      </w:r>
      <w:r>
        <w:t xml:space="preserve"> for the spectrum used for a PSMB capability. It is expected that the other spectrum lots</w:t>
      </w:r>
      <w:r w:rsidR="00BC53E4">
        <w:t xml:space="preserve"> in the band</w:t>
      </w:r>
      <w:r>
        <w:t>, which would be at the top or bottom of the band, would be put to market.</w:t>
      </w:r>
    </w:p>
    <w:p w14:paraId="7EF0ACEA" w14:textId="6642BD45" w:rsidR="00AC1ABA" w:rsidRPr="00AC2F3C" w:rsidRDefault="00AC1ABA" w:rsidP="00AC1ABA">
      <w:pPr>
        <w:rPr>
          <w:highlight w:val="yellow"/>
        </w:rPr>
      </w:pPr>
      <w:r>
        <w:t>Resolution of this issue may influence the allocation of the 850</w:t>
      </w:r>
      <w:r w:rsidR="002908D8">
        <w:t> MHz</w:t>
      </w:r>
      <w:r>
        <w:t xml:space="preserve"> band. If there is a delay in the allocation of the 850</w:t>
      </w:r>
      <w:r w:rsidR="002908D8">
        <w:t> MHz</w:t>
      </w:r>
      <w:r>
        <w:t xml:space="preserve"> band, </w:t>
      </w:r>
      <w:r w:rsidRPr="00AC1ABA">
        <w:t xml:space="preserve">it may be </w:t>
      </w:r>
      <w:r w:rsidR="00EF050B">
        <w:t>preferable</w:t>
      </w:r>
      <w:r w:rsidR="00EF050B" w:rsidRPr="00AC1ABA">
        <w:t xml:space="preserve"> </w:t>
      </w:r>
      <w:r w:rsidRPr="00AC1ABA">
        <w:t>to progress the reconfiguration of 900</w:t>
      </w:r>
      <w:r w:rsidR="002908D8">
        <w:t> MHz</w:t>
      </w:r>
      <w:r w:rsidRPr="00AC1ABA">
        <w:t xml:space="preserve"> independently of the allocation of the 850</w:t>
      </w:r>
      <w:r w:rsidR="002908D8">
        <w:t> MHz</w:t>
      </w:r>
      <w:r w:rsidRPr="00AC1ABA">
        <w:t xml:space="preserve"> expansion band.</w:t>
      </w:r>
    </w:p>
    <w:p w14:paraId="1742C0D7" w14:textId="1CC4C0D5" w:rsidR="00907F86" w:rsidRDefault="00AC1ABA" w:rsidP="00907F86">
      <w:pPr>
        <w:widowControl w:val="0"/>
        <w:rPr>
          <w:rFonts w:cstheme="minorHAnsi"/>
        </w:rPr>
      </w:pPr>
      <w:r>
        <w:rPr>
          <w:rFonts w:cstheme="minorHAnsi"/>
        </w:rPr>
        <w:t>I</w:t>
      </w:r>
      <w:r w:rsidR="0078006F">
        <w:rPr>
          <w:rFonts w:cstheme="minorHAnsi"/>
        </w:rPr>
        <w:t xml:space="preserve">t should be noted that there are additional timing requirements </w:t>
      </w:r>
      <w:r w:rsidR="00907F86">
        <w:rPr>
          <w:rFonts w:cstheme="minorHAnsi"/>
        </w:rPr>
        <w:t xml:space="preserve">for the Hybrid option. </w:t>
      </w:r>
      <w:r w:rsidR="00907F86">
        <w:t>This option requires conversion of three 900</w:t>
      </w:r>
      <w:r w:rsidR="002908D8">
        <w:t> MHz</w:t>
      </w:r>
      <w:r w:rsidR="00907F86">
        <w:t xml:space="preserve"> apparatus licences to spectrum licences, along with the auction of two 2</w:t>
      </w:r>
      <w:r w:rsidR="00ED202B">
        <w:t xml:space="preserve"> </w:t>
      </w:r>
      <w:r w:rsidR="00907F86">
        <w:t>x</w:t>
      </w:r>
      <w:r w:rsidR="00ED202B">
        <w:t xml:space="preserve"> </w:t>
      </w:r>
      <w:r w:rsidR="00907F86">
        <w:t>5</w:t>
      </w:r>
      <w:r w:rsidR="002908D8">
        <w:t> MHz</w:t>
      </w:r>
      <w:r w:rsidR="00907F86">
        <w:t xml:space="preserve"> lots (along with spectrum available in the 850</w:t>
      </w:r>
      <w:r w:rsidR="002908D8">
        <w:t> MHz</w:t>
      </w:r>
      <w:r w:rsidR="00907F86">
        <w:t xml:space="preserve"> expansion band). The conversion of apparatus licences to spectrum licences requires that the pricing for the converted licences be administratively determined (as opposed to via auction). Pricing may be challenging, </w:t>
      </w:r>
      <w:r w:rsidR="00907F86" w:rsidRPr="00995D8A">
        <w:t>given the inherent uncertainty associated with the value of spectrum</w:t>
      </w:r>
      <w:r w:rsidR="00907F86">
        <w:t>.</w:t>
      </w:r>
      <w:r w:rsidR="00907F86" w:rsidRPr="00995D8A">
        <w:t xml:space="preserve"> As a </w:t>
      </w:r>
      <w:r w:rsidR="00907F86" w:rsidRPr="00E75ABA">
        <w:rPr>
          <w:rFonts w:cstheme="minorHAnsi"/>
        </w:rPr>
        <w:t>result, there is a risk that this approach may lead to an extended process.</w:t>
      </w:r>
    </w:p>
    <w:p w14:paraId="35422481" w14:textId="77777777" w:rsidR="00717A03" w:rsidRPr="003668F1" w:rsidRDefault="00717A03" w:rsidP="00836BF7">
      <w:pPr>
        <w:pStyle w:val="ListBullet"/>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3668F1">
        <w:rPr>
          <w:b/>
        </w:rPr>
        <w:t>Consultation questions:</w:t>
      </w:r>
    </w:p>
    <w:p w14:paraId="457F2EC5" w14:textId="77777777" w:rsidR="00717A03" w:rsidRDefault="00717A03" w:rsidP="00836BF7">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pPr>
      <w:r>
        <w:t>The ACMA may progress reconfiguration of 900 MHz independently of the allocation of the 850 MHz expansion band. Does this change the view on the optimal approach to reconfiguration?</w:t>
      </w:r>
    </w:p>
    <w:p w14:paraId="3B322777" w14:textId="77777777" w:rsidR="00717A03" w:rsidRDefault="00717A03" w:rsidP="00836BF7">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pPr>
      <w:r w:rsidRPr="003427B6">
        <w:t xml:space="preserve">The ACMA is aware </w:t>
      </w:r>
      <w:r>
        <w:t xml:space="preserve">that due to </w:t>
      </w:r>
      <w:r w:rsidRPr="003427B6">
        <w:t>public safety mobile broadband (PSMB) negotiations there is a request to set aside 2 x 5</w:t>
      </w:r>
      <w:r>
        <w:t> MHz</w:t>
      </w:r>
      <w:r w:rsidRPr="003427B6">
        <w:t xml:space="preserve"> of spectrum for a PSMB network</w:t>
      </w:r>
      <w:r>
        <w:t xml:space="preserve">. </w:t>
      </w:r>
      <w:r w:rsidRPr="003427B6">
        <w:t>While the lot location for this spectrum in the 850</w:t>
      </w:r>
      <w:r>
        <w:t xml:space="preserve"> MHz </w:t>
      </w:r>
      <w:r w:rsidRPr="003427B6">
        <w:t>expansion band has not been identified, it is expected that the remaining blocks at the top or bottom of the band would be put to market.</w:t>
      </w:r>
      <w:r>
        <w:t xml:space="preserve"> </w:t>
      </w:r>
      <w:r w:rsidRPr="003427B6">
        <w:t>Do stakeholders have a view on the relative technical efficiency of the remaining blocks of spectrum for carrier services?</w:t>
      </w:r>
    </w:p>
    <w:p w14:paraId="0E20C94A" w14:textId="003BEF29" w:rsidR="00717A03" w:rsidRDefault="00717A03" w:rsidP="00836BF7">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pPr>
      <w:r w:rsidRPr="0092673A">
        <w:t xml:space="preserve">The </w:t>
      </w:r>
      <w:r w:rsidRPr="004F1BE4">
        <w:rPr>
          <w:i/>
        </w:rPr>
        <w:t xml:space="preserve">Five-year Spectrum Outlook 2018–22 </w:t>
      </w:r>
      <w:r w:rsidRPr="0092673A">
        <w:t xml:space="preserve">(FYSO) forward allocation scenarios outlined the feasibility of allocating </w:t>
      </w:r>
      <w:r>
        <w:t xml:space="preserve">the </w:t>
      </w:r>
      <w:r w:rsidRPr="0092673A">
        <w:t>850</w:t>
      </w:r>
      <w:r>
        <w:t xml:space="preserve"> MHz expansion band and </w:t>
      </w:r>
      <w:r w:rsidRPr="0092673A">
        <w:t>900</w:t>
      </w:r>
      <w:r>
        <w:t> MHz</w:t>
      </w:r>
      <w:r w:rsidRPr="0092673A">
        <w:t xml:space="preserve"> </w:t>
      </w:r>
      <w:r>
        <w:t xml:space="preserve">band </w:t>
      </w:r>
      <w:r w:rsidRPr="0092673A">
        <w:t>at the same time as 26</w:t>
      </w:r>
      <w:r>
        <w:t> GHz band, which would be in Q1/2 2020–21. Do stakeholders have a view on the timing of the proposed allocations?</w:t>
      </w:r>
    </w:p>
    <w:p w14:paraId="43267422" w14:textId="77777777" w:rsidR="00717A03" w:rsidRPr="00907F86" w:rsidRDefault="00717A03" w:rsidP="00836BF7">
      <w:pPr>
        <w:widowControl w:val="0"/>
        <w:pBdr>
          <w:top w:val="single" w:sz="4" w:space="1" w:color="auto"/>
          <w:left w:val="single" w:sz="4" w:space="4" w:color="auto"/>
          <w:bottom w:val="single" w:sz="4" w:space="1" w:color="auto"/>
          <w:right w:val="single" w:sz="4" w:space="4" w:color="auto"/>
        </w:pBdr>
        <w:shd w:val="clear" w:color="auto" w:fill="F2F2F2" w:themeFill="background1" w:themeFillShade="F2"/>
      </w:pPr>
    </w:p>
    <w:p w14:paraId="1DDA0A21" w14:textId="5DB3285E" w:rsidR="0078006F" w:rsidRDefault="0078006F" w:rsidP="004A5795">
      <w:pPr>
        <w:widowControl w:val="0"/>
        <w:rPr>
          <w:rFonts w:cstheme="minorHAnsi"/>
        </w:rPr>
      </w:pPr>
    </w:p>
    <w:p w14:paraId="34984B52" w14:textId="1CC0F671" w:rsidR="00D84D40" w:rsidRDefault="00D84D40">
      <w:pPr>
        <w:spacing w:after="0" w:line="240" w:lineRule="auto"/>
      </w:pPr>
      <w:r>
        <w:br w:type="page"/>
      </w:r>
    </w:p>
    <w:p w14:paraId="702F25CF" w14:textId="77777777" w:rsidR="00D84D40" w:rsidRPr="006D46E5" w:rsidRDefault="00D84D40" w:rsidP="00D84D40">
      <w:pPr>
        <w:pStyle w:val="Heading1"/>
      </w:pPr>
      <w:bookmarkStart w:id="41" w:name="_Toc468705340"/>
      <w:bookmarkStart w:id="42" w:name="_Toc5870078"/>
      <w:r w:rsidRPr="006D46E5">
        <w:t>Invitation to comment</w:t>
      </w:r>
      <w:bookmarkEnd w:id="41"/>
      <w:bookmarkEnd w:id="42"/>
    </w:p>
    <w:p w14:paraId="2F82640E" w14:textId="77777777" w:rsidR="00F358DE" w:rsidRPr="006D46E5" w:rsidRDefault="00F358DE" w:rsidP="00F358DE">
      <w:pPr>
        <w:pStyle w:val="Heading2"/>
      </w:pPr>
      <w:bookmarkStart w:id="43" w:name="_Toc442879670"/>
      <w:bookmarkStart w:id="44" w:name="_Toc455752979"/>
      <w:bookmarkStart w:id="45" w:name="_Toc457404743"/>
      <w:bookmarkStart w:id="46" w:name="_Toc5870079"/>
      <w:r w:rsidRPr="006D46E5">
        <w:t>Making a submission</w:t>
      </w:r>
      <w:bookmarkEnd w:id="43"/>
      <w:bookmarkEnd w:id="44"/>
      <w:bookmarkEnd w:id="45"/>
      <w:bookmarkEnd w:id="46"/>
    </w:p>
    <w:p w14:paraId="7B49CCB4" w14:textId="77777777" w:rsidR="0027089F" w:rsidRDefault="0027089F" w:rsidP="0027089F">
      <w:r>
        <w:t xml:space="preserve">The ACMA invites comments on the issues set out in this discussion paper. </w:t>
      </w:r>
    </w:p>
    <w:p w14:paraId="1613C24E" w14:textId="77777777" w:rsidR="006C621F" w:rsidRDefault="00374F2F" w:rsidP="00836BF7">
      <w:pPr>
        <w:pStyle w:val="ListBullet"/>
      </w:pPr>
      <w:hyperlink r:id="rId32" w:history="1">
        <w:r w:rsidR="006C621F">
          <w:rPr>
            <w:rStyle w:val="Hyperlink"/>
          </w:rPr>
          <w:t>Online submissions</w:t>
        </w:r>
      </w:hyperlink>
      <w:r w:rsidR="006C621F">
        <w:t xml:space="preserve"> can be made via the </w:t>
      </w:r>
      <w:r w:rsidR="006C621F" w:rsidRPr="00417691">
        <w:t>comment</w:t>
      </w:r>
      <w:r w:rsidR="006C621F">
        <w:t xml:space="preserve"> function or by uploading a document. Submissions in Microsoft Word or Rich Text Format are preferred.</w:t>
      </w:r>
    </w:p>
    <w:p w14:paraId="1168D260" w14:textId="57DE912F" w:rsidR="00BC5A7C" w:rsidRDefault="00417691" w:rsidP="00836BF7">
      <w:pPr>
        <w:pStyle w:val="ListBullet"/>
      </w:pPr>
      <w:r w:rsidRPr="00417691">
        <w:t>Submissions</w:t>
      </w:r>
      <w:r>
        <w:t xml:space="preserve"> by post can be sent to: </w:t>
      </w:r>
    </w:p>
    <w:p w14:paraId="119D847B" w14:textId="77777777" w:rsidR="00F358DE" w:rsidRPr="000D686D" w:rsidRDefault="00F358DE" w:rsidP="00F358DE">
      <w:pPr>
        <w:pStyle w:val="ACMANormalTabbed"/>
        <w:tabs>
          <w:tab w:val="num" w:pos="295"/>
        </w:tabs>
        <w:spacing w:after="0"/>
        <w:ind w:left="295"/>
      </w:pPr>
      <w:r w:rsidRPr="000D686D">
        <w:t>The Manager</w:t>
      </w:r>
    </w:p>
    <w:p w14:paraId="62F02AD6" w14:textId="77777777" w:rsidR="00F358DE" w:rsidRPr="000D686D" w:rsidRDefault="00F358DE" w:rsidP="00F358DE">
      <w:pPr>
        <w:pStyle w:val="ACMANormalTabbed"/>
        <w:spacing w:after="0"/>
        <w:ind w:left="295"/>
      </w:pPr>
      <w:r w:rsidRPr="000D686D">
        <w:t xml:space="preserve">Economic Advisory Section </w:t>
      </w:r>
    </w:p>
    <w:p w14:paraId="32A850E0" w14:textId="0AF05586" w:rsidR="00F358DE" w:rsidRPr="000D686D" w:rsidRDefault="007B48DC" w:rsidP="00F358DE">
      <w:pPr>
        <w:pStyle w:val="ACMANormalTabbed"/>
        <w:spacing w:after="0"/>
        <w:ind w:left="295"/>
      </w:pPr>
      <w:r>
        <w:t>Spectrum Allocations</w:t>
      </w:r>
      <w:r w:rsidR="00F358DE" w:rsidRPr="000D686D">
        <w:t xml:space="preserve"> Branch</w:t>
      </w:r>
    </w:p>
    <w:p w14:paraId="7E3361E3" w14:textId="77777777" w:rsidR="00F358DE" w:rsidRPr="000D686D" w:rsidRDefault="00F358DE" w:rsidP="00F358DE">
      <w:pPr>
        <w:pStyle w:val="ACMANormalTabbed"/>
        <w:spacing w:after="0"/>
        <w:ind w:left="295"/>
      </w:pPr>
      <w:r w:rsidRPr="000D686D">
        <w:t>Australian Communications and Media Authority</w:t>
      </w:r>
    </w:p>
    <w:p w14:paraId="143F2A5E" w14:textId="77777777" w:rsidR="00F358DE" w:rsidRDefault="00F358DE" w:rsidP="00F358DE">
      <w:pPr>
        <w:pStyle w:val="ACMANormalTabbed"/>
        <w:spacing w:after="0"/>
        <w:ind w:left="295"/>
      </w:pPr>
      <w:r>
        <w:t>PO Box 13112</w:t>
      </w:r>
    </w:p>
    <w:p w14:paraId="56491703" w14:textId="77777777" w:rsidR="00F358DE" w:rsidRDefault="00F358DE" w:rsidP="00F358DE">
      <w:pPr>
        <w:pStyle w:val="ACMANormalTabbed"/>
        <w:spacing w:after="0"/>
        <w:ind w:left="295"/>
      </w:pPr>
      <w:r>
        <w:t>Law Courts PO</w:t>
      </w:r>
    </w:p>
    <w:p w14:paraId="4D04B724" w14:textId="77777777" w:rsidR="00F358DE" w:rsidRPr="005E7226" w:rsidRDefault="00F358DE" w:rsidP="00F358DE">
      <w:pPr>
        <w:pStyle w:val="ACMANormalTabbed"/>
        <w:ind w:left="295"/>
      </w:pPr>
      <w:r>
        <w:t xml:space="preserve">Melbourne Vic 8010 </w:t>
      </w:r>
    </w:p>
    <w:p w14:paraId="48F2ACE1" w14:textId="410DBA17" w:rsidR="00F358DE" w:rsidRPr="006D576C" w:rsidRDefault="00F358DE" w:rsidP="00F358DE">
      <w:pPr>
        <w:rPr>
          <w:rStyle w:val="Strong"/>
        </w:rPr>
      </w:pPr>
      <w:r w:rsidRPr="006D576C">
        <w:rPr>
          <w:rStyle w:val="Strong"/>
        </w:rPr>
        <w:t>The closing date f</w:t>
      </w:r>
      <w:r>
        <w:rPr>
          <w:rStyle w:val="Strong"/>
        </w:rPr>
        <w:t xml:space="preserve">or submissions is </w:t>
      </w:r>
      <w:r w:rsidRPr="00744EE8">
        <w:rPr>
          <w:rStyle w:val="Strong"/>
        </w:rPr>
        <w:t xml:space="preserve">COB, Friday </w:t>
      </w:r>
      <w:r w:rsidR="007B48DC" w:rsidRPr="00744EE8">
        <w:rPr>
          <w:rStyle w:val="Strong"/>
        </w:rPr>
        <w:t>24</w:t>
      </w:r>
      <w:r w:rsidRPr="00744EE8">
        <w:rPr>
          <w:rStyle w:val="Strong"/>
        </w:rPr>
        <w:t xml:space="preserve"> </w:t>
      </w:r>
      <w:r w:rsidR="008E6F43" w:rsidRPr="00744EE8">
        <w:rPr>
          <w:rStyle w:val="Strong"/>
        </w:rPr>
        <w:t xml:space="preserve">May </w:t>
      </w:r>
      <w:r w:rsidRPr="00744EE8">
        <w:rPr>
          <w:rStyle w:val="Strong"/>
        </w:rPr>
        <w:t>201</w:t>
      </w:r>
      <w:r w:rsidR="008926CF" w:rsidRPr="00744EE8">
        <w:rPr>
          <w:rStyle w:val="Strong"/>
        </w:rPr>
        <w:t>9</w:t>
      </w:r>
      <w:r w:rsidRPr="00744EE8">
        <w:rPr>
          <w:rStyle w:val="Strong"/>
        </w:rPr>
        <w:t>.</w:t>
      </w:r>
    </w:p>
    <w:p w14:paraId="75D18547" w14:textId="1368CC95" w:rsidR="003335BC" w:rsidRDefault="003335BC" w:rsidP="003335BC">
      <w:pPr>
        <w:rPr>
          <w:szCs w:val="20"/>
        </w:rPr>
      </w:pPr>
      <w:r>
        <w:t xml:space="preserve">Consultation enquiries can be emailed </w:t>
      </w:r>
      <w:r>
        <w:rPr>
          <w:szCs w:val="20"/>
        </w:rPr>
        <w:t xml:space="preserve">to </w:t>
      </w:r>
      <w:r w:rsidR="003F7D1B" w:rsidRPr="003F7D1B">
        <w:rPr>
          <w:rStyle w:val="Hyperlink"/>
          <w:szCs w:val="20"/>
        </w:rPr>
        <w:t>Economics.AdvisorySection@acma.gov.au</w:t>
      </w:r>
    </w:p>
    <w:p w14:paraId="0CC2805F" w14:textId="77777777" w:rsidR="009867CC" w:rsidRDefault="009867CC" w:rsidP="009867CC">
      <w:pPr>
        <w:pStyle w:val="BodySubHeader"/>
      </w:pPr>
      <w:bookmarkStart w:id="47" w:name="_Toc300909558"/>
      <w:bookmarkStart w:id="48" w:name="_Toc348105639"/>
      <w:r>
        <w:t>Publication of submissions</w:t>
      </w:r>
    </w:p>
    <w:p w14:paraId="1CC36CB1" w14:textId="77777777" w:rsidR="009867CC" w:rsidRDefault="009867CC" w:rsidP="009867CC">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102D9447" w14:textId="77777777" w:rsidR="009867CC" w:rsidRDefault="009867CC" w:rsidP="009867CC">
      <w:r>
        <w:t>Confidential information will not be published or otherwise released unless required or authorised by law.</w:t>
      </w:r>
    </w:p>
    <w:p w14:paraId="762457CC" w14:textId="77777777" w:rsidR="00F71800" w:rsidRDefault="00F71800" w:rsidP="00F71800">
      <w:pPr>
        <w:pStyle w:val="BodySubHeader"/>
      </w:pPr>
      <w:r>
        <w:t>Privacy</w:t>
      </w:r>
    </w:p>
    <w:p w14:paraId="6B4927B1" w14:textId="77777777" w:rsidR="00F71800" w:rsidRDefault="00374F2F" w:rsidP="00F71800">
      <w:pPr>
        <w:spacing w:after="0"/>
      </w:pPr>
      <w:hyperlink r:id="rId33" w:history="1">
        <w:r w:rsidR="00F71800">
          <w:rPr>
            <w:rStyle w:val="Hyperlink"/>
            <w:i/>
          </w:rPr>
          <w:t>Privacy and consultation</w:t>
        </w:r>
      </w:hyperlink>
      <w:r w:rsidR="00F71800">
        <w:t xml:space="preserve"> provides information about the ACMA’s collection of personal information during consultation and how we handle that information.  </w:t>
      </w:r>
    </w:p>
    <w:p w14:paraId="7084916E" w14:textId="77777777" w:rsidR="00F71800" w:rsidRDefault="00F71800" w:rsidP="00F71800">
      <w:pPr>
        <w:spacing w:after="0"/>
      </w:pPr>
    </w:p>
    <w:p w14:paraId="28CC2AF7" w14:textId="77777777" w:rsidR="00F71800" w:rsidRPr="0041233F" w:rsidRDefault="00F71800" w:rsidP="00F71800">
      <w:r>
        <w:t xml:space="preserve">Information on the </w:t>
      </w:r>
      <w:r>
        <w:rPr>
          <w:i/>
        </w:rPr>
        <w:t xml:space="preserve">Privacy Act 1988 </w:t>
      </w:r>
      <w:r>
        <w:t xml:space="preserve">and the ACMA’s privacy policy (including how to access or correct personal information, how to make a privacy complaint and how we will deal with the complaint) is available at </w:t>
      </w:r>
      <w:hyperlink r:id="rId34" w:tooltip="ACMA Privacy Policy" w:history="1">
        <w:r>
          <w:rPr>
            <w:rStyle w:val="Hyperlink"/>
          </w:rPr>
          <w:t>acma.gov.au/</w:t>
        </w:r>
        <w:proofErr w:type="spellStart"/>
        <w:r>
          <w:rPr>
            <w:rStyle w:val="Hyperlink"/>
          </w:rPr>
          <w:t>privacypolicy</w:t>
        </w:r>
        <w:proofErr w:type="spellEnd"/>
      </w:hyperlink>
      <w:r>
        <w:t xml:space="preserve">. </w:t>
      </w:r>
    </w:p>
    <w:bookmarkEnd w:id="47"/>
    <w:bookmarkEnd w:id="48"/>
    <w:p w14:paraId="6F5E3686" w14:textId="5B6342E7" w:rsidR="009E541C" w:rsidRDefault="009E541C" w:rsidP="00D022CD"/>
    <w:sectPr w:rsidR="009E541C" w:rsidSect="00D40A36">
      <w:headerReference w:type="even" r:id="rId35"/>
      <w:headerReference w:type="default" r:id="rId36"/>
      <w:footerReference w:type="even" r:id="rId37"/>
      <w:footerReference w:type="default" r:id="rId38"/>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6E6C7" w14:textId="77777777" w:rsidR="00DC5A6B" w:rsidRDefault="00DC5A6B">
      <w:r>
        <w:separator/>
      </w:r>
    </w:p>
  </w:endnote>
  <w:endnote w:type="continuationSeparator" w:id="0">
    <w:p w14:paraId="27019D98" w14:textId="77777777" w:rsidR="00DC5A6B" w:rsidRDefault="00DC5A6B">
      <w:r>
        <w:continuationSeparator/>
      </w:r>
    </w:p>
  </w:endnote>
  <w:endnote w:type="continuationNotice" w:id="1">
    <w:p w14:paraId="31EC1776" w14:textId="77777777" w:rsidR="00DC5A6B" w:rsidRDefault="00DC5A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NeueLT Std Med">
    <w:altName w:val="Arial"/>
    <w:panose1 w:val="020B0604020202020204"/>
    <w:charset w:val="00"/>
    <w:family w:val="swiss"/>
    <w:notTrueType/>
    <w:pitch w:val="variable"/>
    <w:sig w:usb0="800000AF" w:usb1="4000204A" w:usb2="00000000" w:usb3="00000000" w:csb0="00000001" w:csb1="00000000"/>
  </w:font>
  <w:font w:name="HelveticaNeueLT Std">
    <w:altName w:val="Arial"/>
    <w:panose1 w:val="020B0604020202020204"/>
    <w:charset w:val="00"/>
    <w:family w:val="swiss"/>
    <w:notTrueType/>
    <w:pitch w:val="variable"/>
    <w:sig w:usb0="800000AF" w:usb1="4000204A" w:usb2="00000000" w:usb3="00000000" w:csb0="00000001" w:csb1="00000000"/>
  </w:font>
  <w:font w:name="Helvetica Neue LT St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C6B95" w14:textId="77777777" w:rsidR="00DC5A6B" w:rsidRPr="00A5474E" w:rsidRDefault="00DC5A6B" w:rsidP="00A5474E">
    <w:pPr>
      <w:pStyle w:val="Footer"/>
    </w:pPr>
    <w:r>
      <w:rPr>
        <w:noProof/>
      </w:rPr>
      <w:drawing>
        <wp:inline distT="0" distB="0" distL="0" distR="0" wp14:anchorId="5B9B2930" wp14:editId="6A87EC74">
          <wp:extent cx="3483864" cy="249613"/>
          <wp:effectExtent l="0" t="0" r="0" b="0"/>
          <wp:docPr id="8" name="Picture 8"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C411A" w14:textId="77777777" w:rsidR="00DC5A6B" w:rsidRDefault="00DC5A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7BB03" w14:textId="77777777" w:rsidR="00DC5A6B" w:rsidRDefault="00DC5A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B5180" w14:textId="77777777" w:rsidR="00DC5A6B" w:rsidRPr="00622A3B" w:rsidRDefault="00DC5A6B"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25628FDE" w14:textId="77777777" w:rsidR="00DC5A6B" w:rsidRPr="00A5474E" w:rsidRDefault="00DC5A6B"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E365A" w14:textId="77777777" w:rsidR="00DC5A6B" w:rsidRPr="00622A3B" w:rsidRDefault="00DC5A6B"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xxvi</w:t>
    </w:r>
    <w:r w:rsidRPr="002E4DDC">
      <w:rPr>
        <w:color w:val="505050"/>
      </w:rPr>
      <w:fldChar w:fldCharType="end"/>
    </w:r>
  </w:p>
  <w:p w14:paraId="4547CFF8" w14:textId="77777777" w:rsidR="00DC5A6B" w:rsidRPr="00A5474E" w:rsidRDefault="00DC5A6B"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9D6CC" w14:textId="77777777" w:rsidR="00DC5A6B" w:rsidRPr="00622A3B" w:rsidRDefault="00DC5A6B"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17122767" w14:textId="77777777" w:rsidR="00DC5A6B" w:rsidRPr="00A5474E" w:rsidRDefault="00DC5A6B"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C1730" w14:textId="77777777" w:rsidR="00DC5A6B" w:rsidRPr="00622A3B" w:rsidRDefault="00DC5A6B"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20</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4782702B" w14:textId="77777777" w:rsidR="00DC5A6B" w:rsidRPr="00A5474E" w:rsidRDefault="00DC5A6B"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0DF30" w14:textId="77777777" w:rsidR="00DC5A6B" w:rsidRPr="00622A3B" w:rsidRDefault="00DC5A6B"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19</w:t>
    </w:r>
    <w:r w:rsidRPr="00575AC5">
      <w:rPr>
        <w:color w:val="505050"/>
      </w:rPr>
      <w:fldChar w:fldCharType="end"/>
    </w:r>
  </w:p>
  <w:p w14:paraId="6F7F0DD3" w14:textId="77777777" w:rsidR="00DC5A6B" w:rsidRPr="00A5474E" w:rsidRDefault="00DC5A6B"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5646D" w14:textId="77777777" w:rsidR="00DC5A6B" w:rsidRDefault="00DC5A6B">
      <w:r>
        <w:separator/>
      </w:r>
    </w:p>
  </w:footnote>
  <w:footnote w:type="continuationSeparator" w:id="0">
    <w:p w14:paraId="5B4659C4" w14:textId="77777777" w:rsidR="00DC5A6B" w:rsidRDefault="00DC5A6B">
      <w:r>
        <w:continuationSeparator/>
      </w:r>
    </w:p>
  </w:footnote>
  <w:footnote w:type="continuationNotice" w:id="1">
    <w:p w14:paraId="3EA0EF9C" w14:textId="77777777" w:rsidR="00DC5A6B" w:rsidRDefault="00DC5A6B">
      <w:pPr>
        <w:spacing w:after="0" w:line="240" w:lineRule="auto"/>
      </w:pPr>
    </w:p>
  </w:footnote>
  <w:footnote w:id="2">
    <w:p w14:paraId="34B06306" w14:textId="67851FF1" w:rsidR="00DC5A6B" w:rsidRDefault="00DC5A6B" w:rsidP="007D38E3">
      <w:pPr>
        <w:pStyle w:val="FootnoteText"/>
        <w:spacing w:after="0" w:line="240" w:lineRule="auto"/>
      </w:pPr>
      <w:r>
        <w:rPr>
          <w:rStyle w:val="FootnoteReference"/>
        </w:rPr>
        <w:footnoteRef/>
      </w:r>
      <w:r>
        <w:t xml:space="preserve"> </w:t>
      </w:r>
      <w:hyperlink r:id="rId1" w:history="1">
        <w:r w:rsidRPr="00926882">
          <w:rPr>
            <w:rStyle w:val="Hyperlink"/>
            <w:i/>
          </w:rPr>
          <w:t>Reconfiguring the 890–915/935–960</w:t>
        </w:r>
        <w:r>
          <w:rPr>
            <w:rStyle w:val="Hyperlink"/>
            <w:i/>
          </w:rPr>
          <w:t> MHz</w:t>
        </w:r>
        <w:r w:rsidRPr="00926882">
          <w:rPr>
            <w:rStyle w:val="Hyperlink"/>
            <w:i/>
          </w:rPr>
          <w:t xml:space="preserve"> band: Way forward</w:t>
        </w:r>
      </w:hyperlink>
      <w:r>
        <w:t>, page 30.</w:t>
      </w:r>
      <w:r w:rsidRPr="00903DC0">
        <w:t xml:space="preserve"> October 2017</w:t>
      </w:r>
    </w:p>
  </w:footnote>
  <w:footnote w:id="3">
    <w:p w14:paraId="33930B80" w14:textId="5620DC2C" w:rsidR="00DC5A6B" w:rsidRDefault="00DC5A6B" w:rsidP="007D38E3">
      <w:pPr>
        <w:pStyle w:val="FootnoteText"/>
        <w:spacing w:after="0" w:line="240" w:lineRule="auto"/>
      </w:pPr>
      <w:r>
        <w:rPr>
          <w:rStyle w:val="FootnoteReference"/>
        </w:rPr>
        <w:footnoteRef/>
      </w:r>
      <w:r>
        <w:t xml:space="preserve"> </w:t>
      </w:r>
      <w:r w:rsidRPr="006328D6">
        <w:t>While this paper is primarily about the reconfiguration of the 900</w:t>
      </w:r>
      <w:r>
        <w:t> MHz</w:t>
      </w:r>
      <w:r w:rsidRPr="006328D6">
        <w:t xml:space="preserve"> band, it is worth noting that the ACMA has identified (and is progressively clearing) spectrum in the 850</w:t>
      </w:r>
      <w:r>
        <w:t> MHz</w:t>
      </w:r>
      <w:r w:rsidRPr="006328D6">
        <w:t xml:space="preserve"> band (809–824/854–869</w:t>
      </w:r>
      <w:r>
        <w:t> MHz</w:t>
      </w:r>
      <w:r w:rsidRPr="006328D6">
        <w:t>) with a view to creating up to 2</w:t>
      </w:r>
      <w:r>
        <w:t xml:space="preserve"> </w:t>
      </w:r>
      <w:r w:rsidRPr="006328D6">
        <w:t>x</w:t>
      </w:r>
      <w:r>
        <w:t xml:space="preserve"> </w:t>
      </w:r>
      <w:r w:rsidRPr="006328D6">
        <w:t>15</w:t>
      </w:r>
      <w:r>
        <w:t> MHz</w:t>
      </w:r>
      <w:r w:rsidRPr="006328D6">
        <w:t xml:space="preserve"> of harmonised mobile broadband spectrum referred to as the 850</w:t>
      </w:r>
      <w:r>
        <w:t> MHz</w:t>
      </w:r>
      <w:r w:rsidRPr="006328D6">
        <w:t xml:space="preserve"> expansion band. This spectrum (which will become available for use progressively between 2021 and 2024) offers an opportunity for combined 900</w:t>
      </w:r>
      <w:r>
        <w:t> MHz</w:t>
      </w:r>
      <w:r w:rsidRPr="006328D6">
        <w:t>/850</w:t>
      </w:r>
      <w:r>
        <w:t> MHz</w:t>
      </w:r>
      <w:r w:rsidRPr="006328D6">
        <w:t xml:space="preserve"> allocation which may help avoid fragmentation of (and by extension, inefficiency</w:t>
      </w:r>
      <w:r>
        <w:t xml:space="preserve"> in</w:t>
      </w:r>
      <w:r w:rsidRPr="006328D6">
        <w:t>) sub-1</w:t>
      </w:r>
      <w:r>
        <w:t xml:space="preserve"> </w:t>
      </w:r>
      <w:r w:rsidRPr="006328D6">
        <w:t xml:space="preserve">GHz spectrum holdings. </w:t>
      </w:r>
    </w:p>
  </w:footnote>
  <w:footnote w:id="4">
    <w:p w14:paraId="03CC6B5D" w14:textId="7311F258" w:rsidR="00DC5A6B" w:rsidRDefault="00DC5A6B" w:rsidP="007D38E3">
      <w:pPr>
        <w:pStyle w:val="FootnoteText"/>
        <w:spacing w:line="240" w:lineRule="auto"/>
      </w:pPr>
      <w:r>
        <w:rPr>
          <w:rStyle w:val="FootnoteReference"/>
        </w:rPr>
        <w:footnoteRef/>
      </w:r>
      <w:r>
        <w:t xml:space="preserve"> </w:t>
      </w:r>
      <w:r w:rsidRPr="001D1826">
        <w:t>For example, a likely configuration would involve a spectrum licence for the lower block (block 1) being issued to Telstra, for the middle block (block 3) to Optus, and the upper block (block 5) to Vodafone.</w:t>
      </w:r>
    </w:p>
  </w:footnote>
  <w:footnote w:id="5">
    <w:p w14:paraId="01F5E25F" w14:textId="5A1CF5AF" w:rsidR="00DC5A6B" w:rsidRDefault="00DC5A6B" w:rsidP="007D38E3">
      <w:pPr>
        <w:pStyle w:val="FootnoteText"/>
        <w:spacing w:after="0" w:line="240" w:lineRule="auto"/>
      </w:pPr>
      <w:r>
        <w:rPr>
          <w:rStyle w:val="FootnoteReference"/>
        </w:rPr>
        <w:footnoteRef/>
      </w:r>
      <w:r>
        <w:t xml:space="preserve"> Notably, this option may still result in the allocation of the 2 x 1 MHz (and thereby facilitate the downshift), but it is more complex as it means the 2 x 1 MHz must be allocated as an independent lot in the same process as the 900 MHz/850 MHz expansion band allocation or be allocated directly. </w:t>
      </w:r>
    </w:p>
  </w:footnote>
  <w:footnote w:id="6">
    <w:p w14:paraId="7BF2F37F" w14:textId="62A879FC" w:rsidR="00DC5A6B" w:rsidRPr="008D572E" w:rsidRDefault="00DC5A6B" w:rsidP="007D38E3">
      <w:pPr>
        <w:pStyle w:val="FootnoteText"/>
        <w:spacing w:after="0" w:line="240" w:lineRule="auto"/>
      </w:pPr>
      <w:r>
        <w:rPr>
          <w:rStyle w:val="FootnoteReference"/>
        </w:rPr>
        <w:footnoteRef/>
      </w:r>
      <w:r>
        <w:t xml:space="preserve"> More technical analysis was included in the </w:t>
      </w:r>
      <w:hyperlink r:id="rId2" w:history="1">
        <w:r w:rsidRPr="008D572E">
          <w:rPr>
            <w:rStyle w:val="Hyperlink"/>
            <w:i/>
          </w:rPr>
          <w:t>Reconfiguring the 890–915/935–960</w:t>
        </w:r>
        <w:r>
          <w:rPr>
            <w:rStyle w:val="Hyperlink"/>
            <w:i/>
          </w:rPr>
          <w:t> MHz</w:t>
        </w:r>
        <w:r w:rsidRPr="008D572E">
          <w:rPr>
            <w:rStyle w:val="Hyperlink"/>
            <w:i/>
          </w:rPr>
          <w:t xml:space="preserve"> band </w:t>
        </w:r>
        <w:r w:rsidRPr="008D572E">
          <w:rPr>
            <w:rStyle w:val="Hyperlink"/>
          </w:rPr>
          <w:t>consultation paper.</w:t>
        </w:r>
      </w:hyperlink>
    </w:p>
  </w:footnote>
  <w:footnote w:id="7">
    <w:p w14:paraId="7206E999" w14:textId="77777777" w:rsidR="00DC5A6B" w:rsidRDefault="00DC5A6B">
      <w:pPr>
        <w:pStyle w:val="Footer"/>
        <w:spacing w:after="0"/>
      </w:pPr>
      <w:r w:rsidRPr="008B1C99">
        <w:rPr>
          <w:rStyle w:val="FootnoteReference"/>
          <w:color w:val="auto"/>
        </w:rPr>
        <w:footnoteRef/>
      </w:r>
      <w:r w:rsidRPr="008B1C99">
        <w:rPr>
          <w:color w:val="auto"/>
        </w:rPr>
        <w:t xml:space="preserve"> </w:t>
      </w:r>
      <w:r w:rsidRPr="00F94039">
        <w:rPr>
          <w:color w:val="auto"/>
          <w:szCs w:val="16"/>
        </w:rPr>
        <w:t xml:space="preserve">The object of the </w:t>
      </w:r>
      <w:r w:rsidRPr="007D38E3">
        <w:rPr>
          <w:i/>
          <w:color w:val="auto"/>
          <w:szCs w:val="16"/>
        </w:rPr>
        <w:t>Radiocommunications Act 1992</w:t>
      </w:r>
      <w:r w:rsidRPr="00F94039">
        <w:rPr>
          <w:color w:val="auto"/>
          <w:szCs w:val="16"/>
        </w:rPr>
        <w:t xml:space="preserve"> is to provide for management of the radiofrequency spectrum, to achieve the goals set out in paragraphs 3(a) to 3(h).</w:t>
      </w:r>
      <w:r w:rsidRPr="003F7A4C">
        <w:t xml:space="preserve"> </w:t>
      </w:r>
    </w:p>
  </w:footnote>
  <w:footnote w:id="8">
    <w:p w14:paraId="41DB5D2B" w14:textId="06956347" w:rsidR="00DC5A6B" w:rsidRPr="00CD1FAC" w:rsidRDefault="00DC5A6B" w:rsidP="007D38E3">
      <w:pPr>
        <w:pStyle w:val="FootnoteText"/>
        <w:spacing w:after="0" w:line="240" w:lineRule="auto"/>
      </w:pPr>
      <w:r>
        <w:rPr>
          <w:rStyle w:val="FootnoteReference"/>
        </w:rPr>
        <w:footnoteRef/>
      </w:r>
      <w:r>
        <w:t xml:space="preserve"> </w:t>
      </w:r>
      <w:r w:rsidRPr="00B36CF4">
        <w:t>The allocation of a spectrum licence covering the 2</w:t>
      </w:r>
      <w:r>
        <w:t xml:space="preserve"> </w:t>
      </w:r>
      <w:r w:rsidRPr="00B36CF4">
        <w:t>x</w:t>
      </w:r>
      <w:r>
        <w:t xml:space="preserve"> </w:t>
      </w:r>
      <w:r w:rsidRPr="00B36CF4">
        <w:t>1</w:t>
      </w:r>
      <w:r>
        <w:t> MHz</w:t>
      </w:r>
      <w:r w:rsidRPr="00B36CF4">
        <w:t xml:space="preserve"> that is </w:t>
      </w:r>
      <w:r>
        <w:t>below</w:t>
      </w:r>
      <w:r w:rsidRPr="00B36CF4">
        <w:t xml:space="preserve"> to the current 850</w:t>
      </w:r>
      <w:r>
        <w:t> MHz</w:t>
      </w:r>
      <w:r w:rsidRPr="00B36CF4">
        <w:t xml:space="preserve"> band removes a regulatory impediment that is potentially precluding the commercial agreement necessary to achieve the timely downshift of the 800</w:t>
      </w:r>
      <w:r>
        <w:t> MHz</w:t>
      </w:r>
      <w:r w:rsidRPr="00B36CF4">
        <w:t xml:space="preserve"> spectrum licences, which is necessary to enhance the usability of the lower lot of the 900</w:t>
      </w:r>
      <w:r>
        <w:t> MHz</w:t>
      </w:r>
      <w:r w:rsidRPr="00B36CF4">
        <w:t xml:space="preserve"> band.</w:t>
      </w:r>
      <w:r>
        <w:t xml:space="preserve"> This is detailed further in the </w:t>
      </w:r>
      <w:r w:rsidRPr="0046146A">
        <w:t>Options</w:t>
      </w:r>
      <w:r>
        <w:rPr>
          <w:i/>
        </w:rPr>
        <w:t xml:space="preserve"> </w:t>
      </w:r>
      <w:r>
        <w:t>section</w:t>
      </w:r>
      <w:r w:rsidR="0046146A">
        <w:t xml:space="preserve"> of this document</w:t>
      </w:r>
      <w:r>
        <w:t>.</w:t>
      </w:r>
    </w:p>
  </w:footnote>
  <w:footnote w:id="9">
    <w:p w14:paraId="533937DC" w14:textId="6A90C65B" w:rsidR="00DC5A6B" w:rsidRDefault="00DC5A6B" w:rsidP="007D38E3">
      <w:pPr>
        <w:pStyle w:val="FootnoteText"/>
        <w:spacing w:after="0" w:line="240" w:lineRule="auto"/>
      </w:pPr>
      <w:r>
        <w:rPr>
          <w:rStyle w:val="FootnoteReference"/>
        </w:rPr>
        <w:footnoteRef/>
      </w:r>
      <w:r>
        <w:t xml:space="preserve"> The other option canvassed by the ACMA during this process is referred to as the ‘conversion option’, which involves simply converting the 900 MHz apparatus licences into spectrum licences in their current configuration, which may enable licensees to trade into the efficient bandwidth configuration. This approach, as opposed to the more preferred options, is not guaranteed to result in the reconfiguration of the band, which is a key objective of the reform.</w:t>
      </w:r>
      <w:r>
        <w:rPr>
          <w:vertAlign w:val="superscript"/>
        </w:rPr>
        <w:t xml:space="preserve"> </w:t>
      </w:r>
    </w:p>
  </w:footnote>
  <w:footnote w:id="10">
    <w:p w14:paraId="07A3B3DC" w14:textId="0B0F3ADD" w:rsidR="00DC5A6B" w:rsidRDefault="00DC5A6B" w:rsidP="007D38E3">
      <w:pPr>
        <w:pStyle w:val="FootnoteText"/>
        <w:spacing w:after="0" w:line="240" w:lineRule="auto"/>
      </w:pPr>
      <w:r>
        <w:rPr>
          <w:rStyle w:val="FootnoteReference"/>
        </w:rPr>
        <w:footnoteRef/>
      </w:r>
      <w:r>
        <w:t xml:space="preserve"> </w:t>
      </w:r>
      <w:r w:rsidRPr="001D1826">
        <w:t>For example, a likely configuration would involve a spectrum licence for the lower block (block 1) being issued to Telstra, for the middle block (block 3) to Optus, and the upper block (block 5) to Vodafone.</w:t>
      </w:r>
    </w:p>
  </w:footnote>
  <w:footnote w:id="11">
    <w:p w14:paraId="51555824" w14:textId="6CFC26B5" w:rsidR="00DC5A6B" w:rsidRDefault="00DC5A6B" w:rsidP="006D2EA3">
      <w:pPr>
        <w:pStyle w:val="FootnoteText"/>
        <w:spacing w:line="240" w:lineRule="auto"/>
      </w:pPr>
      <w:r>
        <w:rPr>
          <w:rStyle w:val="FootnoteReference"/>
        </w:rPr>
        <w:footnoteRef/>
      </w:r>
      <w:r>
        <w:t xml:space="preserve"> A delay in auction timing would potentially reduce the time available for licensees to mitigate risks to consumer services.</w:t>
      </w:r>
    </w:p>
  </w:footnote>
  <w:footnote w:id="12">
    <w:p w14:paraId="1BA15F10" w14:textId="5119F611" w:rsidR="00DC5A6B" w:rsidRDefault="00DC5A6B" w:rsidP="006D2EA3">
      <w:pPr>
        <w:pStyle w:val="FootnoteText"/>
        <w:spacing w:line="240" w:lineRule="auto"/>
      </w:pPr>
      <w:r>
        <w:rPr>
          <w:rStyle w:val="FootnoteReference"/>
        </w:rPr>
        <w:footnoteRef/>
      </w:r>
      <w:r>
        <w:t xml:space="preserve"> The owner of the lower 900 MHz lot is a beneficiary of the downshift and would be able to use the 2 x 1 MHz in negotiations with 850 MHz spectrum licensees to facilitate the downshift.</w:t>
      </w:r>
    </w:p>
  </w:footnote>
  <w:footnote w:id="13">
    <w:p w14:paraId="2A8FFD16" w14:textId="3620B340" w:rsidR="00DC5A6B" w:rsidRDefault="00DC5A6B" w:rsidP="006D2EA3">
      <w:pPr>
        <w:pStyle w:val="FootnoteText"/>
        <w:spacing w:after="0" w:line="240" w:lineRule="auto"/>
      </w:pPr>
      <w:r>
        <w:rPr>
          <w:rStyle w:val="FootnoteReference"/>
        </w:rPr>
        <w:footnoteRef/>
      </w:r>
      <w:r>
        <w:t xml:space="preserve"> It is possible that, post-auction, an incumbent licensee may trade their 900 MHz holdings to a competitor, which may result in each licensee holding wider contiguous bandwidths.</w:t>
      </w:r>
    </w:p>
  </w:footnote>
  <w:footnote w:id="14">
    <w:p w14:paraId="1CCBBDA1" w14:textId="78D67041" w:rsidR="00DC5A6B" w:rsidRDefault="00DC5A6B" w:rsidP="006D2EA3">
      <w:pPr>
        <w:pStyle w:val="FootnoteText"/>
        <w:spacing w:after="0" w:line="240" w:lineRule="auto"/>
      </w:pPr>
      <w:r>
        <w:rPr>
          <w:rStyle w:val="FootnoteReference"/>
        </w:rPr>
        <w:footnoteRef/>
      </w:r>
      <w:r>
        <w:t xml:space="preserve"> See Chapter 4 of </w:t>
      </w:r>
      <w:hyperlink r:id="rId3" w:history="1">
        <w:r w:rsidRPr="00E86C59">
          <w:rPr>
            <w:rStyle w:val="Hyperlink"/>
            <w:i/>
          </w:rPr>
          <w:t>The ACMA's long term strategy for the 803–960</w:t>
        </w:r>
        <w:r>
          <w:rPr>
            <w:rStyle w:val="Hyperlink"/>
            <w:i/>
          </w:rPr>
          <w:t> MHz</w:t>
        </w:r>
        <w:r w:rsidRPr="00E86C59">
          <w:rPr>
            <w:rStyle w:val="Hyperlink"/>
            <w:i/>
          </w:rPr>
          <w:t xml:space="preserve"> band</w:t>
        </w:r>
      </w:hyperlink>
      <w:r>
        <w:t xml:space="preserve"> for details on why this is an important reform.</w:t>
      </w:r>
    </w:p>
  </w:footnote>
  <w:footnote w:id="15">
    <w:p w14:paraId="1E855C8C" w14:textId="45D2136E" w:rsidR="00DC5A6B" w:rsidRDefault="00DC5A6B" w:rsidP="00DC5A6B">
      <w:pPr>
        <w:pStyle w:val="FootnoteText"/>
        <w:spacing w:after="0" w:line="240" w:lineRule="auto"/>
      </w:pPr>
      <w:r>
        <w:rPr>
          <w:rStyle w:val="FootnoteReference"/>
        </w:rPr>
        <w:footnoteRef/>
      </w:r>
      <w:r>
        <w:t xml:space="preserve"> It is worth noting that this option may still result in the allocation of the 2 x 1 MHz (and thereby facilitate the downshift), but it is more complex as it means the 2 x 1 MHz must be allocated as an independent lot in the same process as the 900 MHz/850 MHz expansion band allocation or be allocated directly. The former opens the risk that a party other than those involved in the downshift may purchase the lot, which would make the negotiations necessary to facilitate the downshift more complex.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8ECFB" w14:textId="77777777" w:rsidR="00DC5A6B" w:rsidRPr="00A5474E" w:rsidRDefault="00DC5A6B" w:rsidP="00A5474E">
    <w:pPr>
      <w:pStyle w:val="Header"/>
    </w:pPr>
    <w:r>
      <w:rPr>
        <w:noProof/>
      </w:rPr>
      <w:drawing>
        <wp:inline distT="0" distB="0" distL="0" distR="0" wp14:anchorId="4B8B19D8" wp14:editId="326B5B52">
          <wp:extent cx="6388100" cy="520700"/>
          <wp:effectExtent l="0" t="0" r="0" b="12700"/>
          <wp:docPr id="7" name="Picture 7"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49603" w14:textId="77777777" w:rsidR="00DC5A6B" w:rsidRPr="00A5474E" w:rsidRDefault="00DC5A6B"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84D2D" w14:textId="77777777" w:rsidR="00DC5A6B" w:rsidRDefault="00DC5A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512D4" w14:textId="77777777" w:rsidR="00DC5A6B" w:rsidRDefault="00DC5A6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DC5A6B" w14:paraId="43C74C1D" w14:textId="77777777" w:rsidTr="00FE775A">
      <w:trPr>
        <w:trHeight w:hRule="exact" w:val="988"/>
      </w:trPr>
      <w:tc>
        <w:tcPr>
          <w:tcW w:w="7678" w:type="dxa"/>
          <w:shd w:val="clear" w:color="auto" w:fill="auto"/>
        </w:tcPr>
        <w:p w14:paraId="25C2F896" w14:textId="77777777" w:rsidR="00DC5A6B" w:rsidRDefault="00DC5A6B" w:rsidP="00971914">
          <w:pPr>
            <w:pStyle w:val="Header"/>
          </w:pPr>
        </w:p>
      </w:tc>
    </w:tr>
    <w:tr w:rsidR="00DC5A6B" w14:paraId="0A887FA1" w14:textId="77777777" w:rsidTr="00FE775A">
      <w:tc>
        <w:tcPr>
          <w:tcW w:w="7678" w:type="dxa"/>
          <w:shd w:val="clear" w:color="auto" w:fill="auto"/>
        </w:tcPr>
        <w:p w14:paraId="4FBFC229" w14:textId="77777777" w:rsidR="00DC5A6B" w:rsidRDefault="00DC5A6B" w:rsidP="00971914">
          <w:pPr>
            <w:pStyle w:val="GridTable31"/>
          </w:pPr>
          <w:r>
            <w:t xml:space="preserve">Contents </w:t>
          </w:r>
          <w:r w:rsidRPr="00915B1C">
            <w:rPr>
              <w:b w:val="0"/>
              <w:spacing w:val="0"/>
              <w:sz w:val="28"/>
              <w:szCs w:val="28"/>
            </w:rPr>
            <w:t>(Continued)</w:t>
          </w:r>
        </w:p>
      </w:tc>
    </w:tr>
    <w:tr w:rsidR="00DC5A6B" w14:paraId="3DB0326D" w14:textId="77777777" w:rsidTr="00FE775A">
      <w:trPr>
        <w:trHeight w:val="1220"/>
      </w:trPr>
      <w:tc>
        <w:tcPr>
          <w:tcW w:w="7678" w:type="dxa"/>
          <w:shd w:val="clear" w:color="auto" w:fill="auto"/>
        </w:tcPr>
        <w:p w14:paraId="31950A12" w14:textId="77777777" w:rsidR="00DC5A6B" w:rsidRDefault="00DC5A6B" w:rsidP="00971914"/>
      </w:tc>
    </w:tr>
  </w:tbl>
  <w:p w14:paraId="2B8B49EE" w14:textId="77777777" w:rsidR="00DC5A6B" w:rsidRDefault="00DC5A6B"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DC5A6B" w14:paraId="5A60A0D0" w14:textId="77777777" w:rsidTr="00FE775A">
      <w:trPr>
        <w:trHeight w:hRule="exact" w:val="988"/>
      </w:trPr>
      <w:tc>
        <w:tcPr>
          <w:tcW w:w="7678" w:type="dxa"/>
          <w:shd w:val="clear" w:color="auto" w:fill="auto"/>
        </w:tcPr>
        <w:p w14:paraId="26E5D672" w14:textId="77777777" w:rsidR="00DC5A6B" w:rsidRDefault="00DC5A6B" w:rsidP="00971914">
          <w:pPr>
            <w:pStyle w:val="Header"/>
          </w:pPr>
        </w:p>
      </w:tc>
    </w:tr>
    <w:tr w:rsidR="00DC5A6B" w14:paraId="327BE80F" w14:textId="77777777" w:rsidTr="00FE775A">
      <w:tc>
        <w:tcPr>
          <w:tcW w:w="7678" w:type="dxa"/>
          <w:shd w:val="clear" w:color="auto" w:fill="auto"/>
        </w:tcPr>
        <w:p w14:paraId="48063DC1" w14:textId="77777777" w:rsidR="00DC5A6B" w:rsidRDefault="00DC5A6B" w:rsidP="00971914">
          <w:pPr>
            <w:pStyle w:val="GridTable31"/>
          </w:pPr>
          <w:r>
            <w:t xml:space="preserve">Contents </w:t>
          </w:r>
          <w:r w:rsidRPr="00915B1C">
            <w:rPr>
              <w:b w:val="0"/>
              <w:spacing w:val="0"/>
              <w:sz w:val="28"/>
              <w:szCs w:val="28"/>
            </w:rPr>
            <w:t>(Continued)</w:t>
          </w:r>
        </w:p>
      </w:tc>
    </w:tr>
    <w:tr w:rsidR="00DC5A6B" w14:paraId="634B4082" w14:textId="77777777" w:rsidTr="00FE775A">
      <w:trPr>
        <w:trHeight w:val="1220"/>
      </w:trPr>
      <w:tc>
        <w:tcPr>
          <w:tcW w:w="7678" w:type="dxa"/>
          <w:shd w:val="clear" w:color="auto" w:fill="auto"/>
        </w:tcPr>
        <w:p w14:paraId="56826436" w14:textId="77777777" w:rsidR="00DC5A6B" w:rsidRDefault="00DC5A6B" w:rsidP="00971914"/>
      </w:tc>
    </w:tr>
  </w:tbl>
  <w:p w14:paraId="58F6B3B6" w14:textId="77777777" w:rsidR="00DC5A6B" w:rsidRPr="00A5474E" w:rsidRDefault="00DC5A6B"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2D362" w14:textId="77777777" w:rsidR="00DC5A6B" w:rsidRDefault="00DC5A6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CB889" w14:textId="77777777" w:rsidR="00DC5A6B" w:rsidRDefault="00DC5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75pt;height:6.75pt" o:bullet="t">
        <v:imagedata r:id="rId1" o:title=""/>
      </v:shape>
    </w:pict>
  </w:numPicBullet>
  <w:abstractNum w:abstractNumId="0" w15:restartNumberingAfterBreak="0">
    <w:nsid w:val="FFFFFF7C"/>
    <w:multiLevelType w:val="singleLevel"/>
    <w:tmpl w:val="E0D01E8A"/>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15:restartNumberingAfterBreak="0">
    <w:nsid w:val="FFFFFF83"/>
    <w:multiLevelType w:val="singleLevel"/>
    <w:tmpl w:val="BCA451D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666E01EE"/>
    <w:lvl w:ilvl="0">
      <w:start w:val="1"/>
      <w:numFmt w:val="decimal"/>
      <w:pStyle w:val="ListNumber"/>
      <w:lvlText w:val="%1."/>
      <w:lvlJc w:val="left"/>
      <w:pPr>
        <w:ind w:left="360" w:hanging="360"/>
      </w:pPr>
      <w:rPr>
        <w:rFonts w:hint="default"/>
        <w:caps/>
        <w:sz w:val="20"/>
      </w:rPr>
    </w:lvl>
  </w:abstractNum>
  <w:abstractNum w:abstractNumId="4" w15:restartNumberingAfterBreak="0">
    <w:nsid w:val="FFFFFF89"/>
    <w:multiLevelType w:val="singleLevel"/>
    <w:tmpl w:val="82FEE4D2"/>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026504F6"/>
    <w:multiLevelType w:val="hybridMultilevel"/>
    <w:tmpl w:val="FC1C44E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8362C77"/>
    <w:multiLevelType w:val="hybridMultilevel"/>
    <w:tmpl w:val="23942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FD2CFD"/>
    <w:multiLevelType w:val="hybridMultilevel"/>
    <w:tmpl w:val="81A880C4"/>
    <w:lvl w:ilvl="0" w:tplc="A2589BB2">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5940995"/>
    <w:multiLevelType w:val="hybridMultilevel"/>
    <w:tmpl w:val="7170614C"/>
    <w:lvl w:ilvl="0" w:tplc="F6FCC69A">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6144BE"/>
    <w:multiLevelType w:val="hybridMultilevel"/>
    <w:tmpl w:val="0C7C42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1D1869"/>
    <w:multiLevelType w:val="hybridMultilevel"/>
    <w:tmpl w:val="44CCDBB4"/>
    <w:lvl w:ilvl="0" w:tplc="B4DE576E">
      <w:start w:val="1"/>
      <w:numFmt w:val="decimal"/>
      <w:pStyle w:val="ACM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D9432D0"/>
    <w:multiLevelType w:val="multilevel"/>
    <w:tmpl w:val="3EB2C5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15:restartNumberingAfterBreak="0">
    <w:nsid w:val="319E324A"/>
    <w:multiLevelType w:val="hybridMultilevel"/>
    <w:tmpl w:val="1320305E"/>
    <w:lvl w:ilvl="0" w:tplc="2AC2B040">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A23747"/>
    <w:multiLevelType w:val="hybridMultilevel"/>
    <w:tmpl w:val="D0D051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53F024D"/>
    <w:multiLevelType w:val="singleLevel"/>
    <w:tmpl w:val="A770EF32"/>
    <w:lvl w:ilvl="0">
      <w:start w:val="1"/>
      <w:numFmt w:val="bullet"/>
      <w:pStyle w:val="dots"/>
      <w:lvlText w:val=""/>
      <w:lvlJc w:val="left"/>
      <w:pPr>
        <w:tabs>
          <w:tab w:val="num" w:pos="360"/>
        </w:tabs>
        <w:ind w:left="360" w:hanging="360"/>
      </w:pPr>
      <w:rPr>
        <w:rFonts w:ascii="Symbol" w:hAnsi="Symbol" w:hint="default"/>
      </w:rPr>
    </w:lvl>
  </w:abstractNum>
  <w:abstractNum w:abstractNumId="16" w15:restartNumberingAfterBreak="0">
    <w:nsid w:val="359D13CA"/>
    <w:multiLevelType w:val="hybridMultilevel"/>
    <w:tmpl w:val="6C00C094"/>
    <w:lvl w:ilvl="0" w:tplc="E43C77B4">
      <w:start w:val="1"/>
      <w:numFmt w:val="decimal"/>
      <w:pStyle w:val="Body"/>
      <w:lvlText w:val="%1."/>
      <w:lvlJc w:val="left"/>
      <w:pPr>
        <w:tabs>
          <w:tab w:val="num" w:pos="360"/>
        </w:tabs>
        <w:ind w:left="360" w:hanging="360"/>
      </w:pPr>
      <w:rPr>
        <w:rFonts w:hint="default"/>
      </w:rPr>
    </w:lvl>
    <w:lvl w:ilvl="1" w:tplc="2EDE6B5C">
      <w:start w:val="1"/>
      <w:numFmt w:val="lowerRoman"/>
      <w:lvlText w:val="%2."/>
      <w:lvlJc w:val="left"/>
      <w:pPr>
        <w:tabs>
          <w:tab w:val="num" w:pos="1014"/>
        </w:tabs>
        <w:ind w:left="1014" w:hanging="360"/>
      </w:pPr>
      <w:rPr>
        <w:rFonts w:hint="default"/>
      </w:rPr>
    </w:lvl>
    <w:lvl w:ilvl="2" w:tplc="0C090005" w:tentative="1">
      <w:start w:val="1"/>
      <w:numFmt w:val="bullet"/>
      <w:lvlText w:val=""/>
      <w:lvlJc w:val="left"/>
      <w:pPr>
        <w:tabs>
          <w:tab w:val="num" w:pos="1734"/>
        </w:tabs>
        <w:ind w:left="1734" w:hanging="360"/>
      </w:pPr>
      <w:rPr>
        <w:rFonts w:ascii="Wingdings" w:hAnsi="Wingdings" w:hint="default"/>
      </w:rPr>
    </w:lvl>
    <w:lvl w:ilvl="3" w:tplc="0C090001" w:tentative="1">
      <w:start w:val="1"/>
      <w:numFmt w:val="bullet"/>
      <w:lvlText w:val=""/>
      <w:lvlJc w:val="left"/>
      <w:pPr>
        <w:tabs>
          <w:tab w:val="num" w:pos="2454"/>
        </w:tabs>
        <w:ind w:left="2454" w:hanging="360"/>
      </w:pPr>
      <w:rPr>
        <w:rFonts w:ascii="Symbol" w:hAnsi="Symbol" w:hint="default"/>
      </w:rPr>
    </w:lvl>
    <w:lvl w:ilvl="4" w:tplc="0C090003" w:tentative="1">
      <w:start w:val="1"/>
      <w:numFmt w:val="bullet"/>
      <w:lvlText w:val="o"/>
      <w:lvlJc w:val="left"/>
      <w:pPr>
        <w:tabs>
          <w:tab w:val="num" w:pos="3174"/>
        </w:tabs>
        <w:ind w:left="3174" w:hanging="360"/>
      </w:pPr>
      <w:rPr>
        <w:rFonts w:ascii="Courier New" w:hAnsi="Courier New" w:cs="Courier New" w:hint="default"/>
      </w:rPr>
    </w:lvl>
    <w:lvl w:ilvl="5" w:tplc="0C090005" w:tentative="1">
      <w:start w:val="1"/>
      <w:numFmt w:val="bullet"/>
      <w:lvlText w:val=""/>
      <w:lvlJc w:val="left"/>
      <w:pPr>
        <w:tabs>
          <w:tab w:val="num" w:pos="3894"/>
        </w:tabs>
        <w:ind w:left="3894" w:hanging="360"/>
      </w:pPr>
      <w:rPr>
        <w:rFonts w:ascii="Wingdings" w:hAnsi="Wingdings" w:hint="default"/>
      </w:rPr>
    </w:lvl>
    <w:lvl w:ilvl="6" w:tplc="0C090001" w:tentative="1">
      <w:start w:val="1"/>
      <w:numFmt w:val="bullet"/>
      <w:lvlText w:val=""/>
      <w:lvlJc w:val="left"/>
      <w:pPr>
        <w:tabs>
          <w:tab w:val="num" w:pos="4614"/>
        </w:tabs>
        <w:ind w:left="4614" w:hanging="360"/>
      </w:pPr>
      <w:rPr>
        <w:rFonts w:ascii="Symbol" w:hAnsi="Symbol" w:hint="default"/>
      </w:rPr>
    </w:lvl>
    <w:lvl w:ilvl="7" w:tplc="0C090003" w:tentative="1">
      <w:start w:val="1"/>
      <w:numFmt w:val="bullet"/>
      <w:lvlText w:val="o"/>
      <w:lvlJc w:val="left"/>
      <w:pPr>
        <w:tabs>
          <w:tab w:val="num" w:pos="5334"/>
        </w:tabs>
        <w:ind w:left="5334" w:hanging="360"/>
      </w:pPr>
      <w:rPr>
        <w:rFonts w:ascii="Courier New" w:hAnsi="Courier New" w:cs="Courier New" w:hint="default"/>
      </w:rPr>
    </w:lvl>
    <w:lvl w:ilvl="8" w:tplc="0C090005" w:tentative="1">
      <w:start w:val="1"/>
      <w:numFmt w:val="bullet"/>
      <w:lvlText w:val=""/>
      <w:lvlJc w:val="left"/>
      <w:pPr>
        <w:tabs>
          <w:tab w:val="num" w:pos="6054"/>
        </w:tabs>
        <w:ind w:left="6054" w:hanging="360"/>
      </w:pPr>
      <w:rPr>
        <w:rFonts w:ascii="Wingdings" w:hAnsi="Wingdings" w:hint="default"/>
      </w:rPr>
    </w:lvl>
  </w:abstractNum>
  <w:abstractNum w:abstractNumId="17" w15:restartNumberingAfterBreak="0">
    <w:nsid w:val="37020905"/>
    <w:multiLevelType w:val="hybridMultilevel"/>
    <w:tmpl w:val="FF889C6C"/>
    <w:lvl w:ilvl="0" w:tplc="6BE0D378">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AFE54AB"/>
    <w:multiLevelType w:val="hybridMultilevel"/>
    <w:tmpl w:val="CBD0695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3BE241A"/>
    <w:multiLevelType w:val="hybridMultilevel"/>
    <w:tmpl w:val="8162E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3B3155"/>
    <w:multiLevelType w:val="multilevel"/>
    <w:tmpl w:val="D806E08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pStyle w:val="H4"/>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FCF73DD"/>
    <w:multiLevelType w:val="hybridMultilevel"/>
    <w:tmpl w:val="CE7E71B8"/>
    <w:lvl w:ilvl="0" w:tplc="F23C7720">
      <w:start w:val="1"/>
      <w:numFmt w:val="bullet"/>
      <w:pStyle w:val="Bullet1"/>
      <w:lvlText w:val=""/>
      <w:lvlPicBulletId w:val="0"/>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F623A8"/>
    <w:multiLevelType w:val="hybridMultilevel"/>
    <w:tmpl w:val="923A42B6"/>
    <w:lvl w:ilvl="0" w:tplc="F3A6D79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5AA21F0"/>
    <w:multiLevelType w:val="hybridMultilevel"/>
    <w:tmpl w:val="D5FA9A22"/>
    <w:lvl w:ilvl="0" w:tplc="9C98E124">
      <w:start w:val="1"/>
      <w:numFmt w:val="decimal"/>
      <w:pStyle w:val="ACMATableHeader"/>
      <w:lvlText w:val="Table %1:"/>
      <w:lvlJc w:val="left"/>
      <w:pPr>
        <w:tabs>
          <w:tab w:val="num" w:pos="964"/>
        </w:tabs>
        <w:ind w:left="964" w:hanging="96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0D23DE"/>
    <w:multiLevelType w:val="hybridMultilevel"/>
    <w:tmpl w:val="14845C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C46284F"/>
    <w:multiLevelType w:val="hybridMultilevel"/>
    <w:tmpl w:val="8B7C8562"/>
    <w:lvl w:ilvl="0" w:tplc="F6FCC69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27C02A8"/>
    <w:multiLevelType w:val="hybridMultilevel"/>
    <w:tmpl w:val="2A3A71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8172D4"/>
    <w:multiLevelType w:val="multilevel"/>
    <w:tmpl w:val="D5080FD4"/>
    <w:lvl w:ilvl="0">
      <w:start w:val="1"/>
      <w:numFmt w:val="decimal"/>
      <w:pStyle w:val="BulletList1"/>
      <w:lvlText w:val=""/>
      <w:lvlJc w:val="left"/>
      <w:pPr>
        <w:tabs>
          <w:tab w:val="num" w:pos="400"/>
        </w:tabs>
        <w:ind w:left="400" w:hanging="400"/>
      </w:pPr>
      <w:rPr>
        <w:rFonts w:ascii="Symbol" w:hAnsi="Symbol" w:cs="Symbol" w:hint="default"/>
        <w:color w:val="auto"/>
      </w:rPr>
    </w:lvl>
    <w:lvl w:ilvl="1">
      <w:start w:val="1"/>
      <w:numFmt w:val="lowerLetter"/>
      <w:pStyle w:val="BulletList2"/>
      <w:lvlText w:val="–"/>
      <w:lvlJc w:val="left"/>
      <w:pPr>
        <w:tabs>
          <w:tab w:val="num" w:pos="800"/>
        </w:tabs>
        <w:ind w:left="800" w:hanging="400"/>
      </w:pPr>
      <w:rPr>
        <w:rFonts w:ascii="Arial" w:hAnsi="Arial" w:cs="Arial"/>
        <w:color w:val="4F2683"/>
      </w:rPr>
    </w:lvl>
    <w:lvl w:ilvl="2">
      <w:start w:val="1"/>
      <w:numFmt w:val="lowerRoman"/>
      <w:pStyle w:val="BulletList3"/>
      <w:lvlText w:val="–"/>
      <w:lvlJc w:val="left"/>
      <w:pPr>
        <w:tabs>
          <w:tab w:val="num" w:pos="1200"/>
        </w:tabs>
        <w:ind w:left="1200" w:hanging="400"/>
      </w:pPr>
      <w:rPr>
        <w:rFonts w:ascii="Arial" w:hAnsi="Arial" w:cs="Arial"/>
        <w:color w:val="4F2683"/>
      </w:rPr>
    </w:lvl>
    <w:lvl w:ilvl="3">
      <w:start w:val="1"/>
      <w:numFmt w:val="decimal"/>
      <w:pStyle w:val="BulletList4"/>
      <w:lvlText w:val="·"/>
      <w:lvlJc w:val="left"/>
      <w:pPr>
        <w:tabs>
          <w:tab w:val="num" w:pos="1360"/>
        </w:tabs>
        <w:ind w:left="1360" w:hanging="340"/>
      </w:pPr>
      <w:rPr>
        <w:rFonts w:ascii="Symbol" w:hAnsi="Symbol" w:cs="Symbol" w:hint="default"/>
      </w:rPr>
    </w:lvl>
    <w:lvl w:ilvl="4">
      <w:start w:val="1"/>
      <w:numFmt w:val="lowerLetter"/>
      <w:pStyle w:val="BulletList5"/>
      <w:lvlText w:val="·"/>
      <w:lvlJc w:val="left"/>
      <w:pPr>
        <w:tabs>
          <w:tab w:val="num" w:pos="1700"/>
        </w:tabs>
        <w:ind w:left="1700" w:hanging="340"/>
      </w:pPr>
      <w:rPr>
        <w:rFonts w:ascii="Symbol" w:hAnsi="Symbol" w:cs="Symbol" w:hint="default"/>
      </w:rPr>
    </w:lvl>
    <w:lvl w:ilvl="5">
      <w:start w:val="1"/>
      <w:numFmt w:val="lowerRoman"/>
      <w:pStyle w:val="BulletList6"/>
      <w:lvlText w:val="·"/>
      <w:lvlJc w:val="left"/>
      <w:pPr>
        <w:tabs>
          <w:tab w:val="num" w:pos="2040"/>
        </w:tabs>
        <w:ind w:left="2040" w:hanging="340"/>
      </w:pPr>
      <w:rPr>
        <w:rFonts w:ascii="Symbol" w:hAnsi="Symbol" w:cs="Symbol" w:hint="default"/>
      </w:rPr>
    </w:lvl>
    <w:lvl w:ilvl="6">
      <w:start w:val="1"/>
      <w:numFmt w:val="decimal"/>
      <w:pStyle w:val="BulletList7"/>
      <w:lvlText w:val="·"/>
      <w:lvlJc w:val="left"/>
      <w:pPr>
        <w:tabs>
          <w:tab w:val="num" w:pos="2380"/>
        </w:tabs>
        <w:ind w:left="2380" w:hanging="340"/>
      </w:pPr>
      <w:rPr>
        <w:rFonts w:ascii="Symbol" w:hAnsi="Symbol" w:cs="Symbol" w:hint="default"/>
      </w:rPr>
    </w:lvl>
    <w:lvl w:ilvl="7">
      <w:start w:val="1"/>
      <w:numFmt w:val="lowerLetter"/>
      <w:pStyle w:val="BulletList8"/>
      <w:lvlText w:val="·"/>
      <w:lvlJc w:val="left"/>
      <w:pPr>
        <w:tabs>
          <w:tab w:val="num" w:pos="2720"/>
        </w:tabs>
        <w:ind w:left="2720" w:hanging="340"/>
      </w:pPr>
      <w:rPr>
        <w:rFonts w:ascii="Symbol" w:hAnsi="Symbol" w:cs="Symbol" w:hint="default"/>
      </w:rPr>
    </w:lvl>
    <w:lvl w:ilvl="8">
      <w:start w:val="1"/>
      <w:numFmt w:val="lowerRoman"/>
      <w:pStyle w:val="BulletList9"/>
      <w:lvlText w:val="·"/>
      <w:lvlJc w:val="left"/>
      <w:pPr>
        <w:tabs>
          <w:tab w:val="num" w:pos="3060"/>
        </w:tabs>
        <w:ind w:left="3060" w:hanging="340"/>
      </w:pPr>
      <w:rPr>
        <w:rFonts w:ascii="Symbol" w:hAnsi="Symbol" w:cs="Symbol" w:hint="default"/>
      </w:rPr>
    </w:lvl>
  </w:abstractNum>
  <w:num w:numId="1">
    <w:abstractNumId w:val="4"/>
  </w:num>
  <w:num w:numId="2">
    <w:abstractNumId w:val="2"/>
  </w:num>
  <w:num w:numId="3">
    <w:abstractNumId w:val="3"/>
  </w:num>
  <w:num w:numId="4">
    <w:abstractNumId w:val="1"/>
  </w:num>
  <w:num w:numId="5">
    <w:abstractNumId w:val="12"/>
  </w:num>
  <w:num w:numId="6">
    <w:abstractNumId w:val="23"/>
  </w:num>
  <w:num w:numId="7">
    <w:abstractNumId w:val="27"/>
  </w:num>
  <w:num w:numId="8">
    <w:abstractNumId w:val="29"/>
  </w:num>
  <w:num w:numId="9">
    <w:abstractNumId w:val="16"/>
  </w:num>
  <w:num w:numId="10">
    <w:abstractNumId w:val="15"/>
  </w:num>
  <w:num w:numId="11">
    <w:abstractNumId w:val="10"/>
  </w:num>
  <w:num w:numId="12">
    <w:abstractNumId w:val="30"/>
  </w:num>
  <w:num w:numId="13">
    <w:abstractNumId w:val="21"/>
  </w:num>
  <w:num w:numId="14">
    <w:abstractNumId w:val="20"/>
  </w:num>
  <w:num w:numId="15">
    <w:abstractNumId w:val="3"/>
    <w:lvlOverride w:ilvl="0">
      <w:startOverride w:val="1"/>
    </w:lvlOverride>
  </w:num>
  <w:num w:numId="16">
    <w:abstractNumId w:val="3"/>
    <w:lvlOverride w:ilvl="0">
      <w:startOverride w:val="1"/>
    </w:lvlOverride>
  </w:num>
  <w:num w:numId="17">
    <w:abstractNumId w:val="8"/>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6"/>
  </w:num>
  <w:num w:numId="23">
    <w:abstractNumId w:val="9"/>
  </w:num>
  <w:num w:numId="24">
    <w:abstractNumId w:val="0"/>
  </w:num>
  <w:num w:numId="25">
    <w:abstractNumId w:val="4"/>
  </w:num>
  <w:num w:numId="26">
    <w:abstractNumId w:val="28"/>
  </w:num>
  <w:num w:numId="27">
    <w:abstractNumId w:val="4"/>
  </w:num>
  <w:num w:numId="28">
    <w:abstractNumId w:val="4"/>
  </w:num>
  <w:num w:numId="29">
    <w:abstractNumId w:val="4"/>
  </w:num>
  <w:num w:numId="30">
    <w:abstractNumId w:val="28"/>
    <w:lvlOverride w:ilvl="0">
      <w:startOverride w:val="1"/>
    </w:lvlOverride>
  </w:num>
  <w:num w:numId="31">
    <w:abstractNumId w:val="4"/>
  </w:num>
  <w:num w:numId="32">
    <w:abstractNumId w:val="4"/>
  </w:num>
  <w:num w:numId="33">
    <w:abstractNumId w:val="4"/>
  </w:num>
  <w:num w:numId="34">
    <w:abstractNumId w:val="4"/>
  </w:num>
  <w:num w:numId="35">
    <w:abstractNumId w:val="4"/>
  </w:num>
  <w:num w:numId="36">
    <w:abstractNumId w:val="6"/>
  </w:num>
  <w:num w:numId="37">
    <w:abstractNumId w:val="25"/>
  </w:num>
  <w:num w:numId="38">
    <w:abstractNumId w:val="2"/>
  </w:num>
  <w:num w:numId="39">
    <w:abstractNumId w:val="5"/>
  </w:num>
  <w:num w:numId="40">
    <w:abstractNumId w:val="7"/>
  </w:num>
  <w:num w:numId="41">
    <w:abstractNumId w:val="22"/>
  </w:num>
  <w:num w:numId="42">
    <w:abstractNumId w:val="13"/>
  </w:num>
  <w:num w:numId="43">
    <w:abstractNumId w:val="18"/>
  </w:num>
  <w:num w:numId="44">
    <w:abstractNumId w:val="14"/>
  </w:num>
  <w:num w:numId="45">
    <w:abstractNumId w:val="4"/>
  </w:num>
  <w:num w:numId="46">
    <w:abstractNumId w:val="4"/>
  </w:num>
  <w:num w:numId="47">
    <w:abstractNumId w:val="4"/>
  </w:num>
  <w:num w:numId="48">
    <w:abstractNumId w:val="17"/>
  </w:num>
  <w:num w:numId="49">
    <w:abstractNumId w:val="2"/>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num>
  <w:num w:numId="52">
    <w:abstractNumId w:val="4"/>
  </w:num>
  <w:num w:numId="53">
    <w:abstractNumId w:val="19"/>
  </w:num>
  <w:num w:numId="54">
    <w:abstractNumId w:val="4"/>
  </w:num>
  <w:num w:numId="55">
    <w:abstractNumId w:val="4"/>
  </w:num>
  <w:num w:numId="56">
    <w:abstractNumId w:val="24"/>
  </w:num>
  <w:num w:numId="57">
    <w:abstractNumId w:val="3"/>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204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72C"/>
    <w:rsid w:val="000003DA"/>
    <w:rsid w:val="00002B6E"/>
    <w:rsid w:val="00006B6F"/>
    <w:rsid w:val="00006E01"/>
    <w:rsid w:val="00010667"/>
    <w:rsid w:val="00010A12"/>
    <w:rsid w:val="000129D5"/>
    <w:rsid w:val="0001306C"/>
    <w:rsid w:val="0001559E"/>
    <w:rsid w:val="00015AE7"/>
    <w:rsid w:val="00016E21"/>
    <w:rsid w:val="0001719C"/>
    <w:rsid w:val="00020521"/>
    <w:rsid w:val="000209D3"/>
    <w:rsid w:val="00020B4E"/>
    <w:rsid w:val="0002224E"/>
    <w:rsid w:val="00023E33"/>
    <w:rsid w:val="00026F91"/>
    <w:rsid w:val="00031309"/>
    <w:rsid w:val="00031702"/>
    <w:rsid w:val="00034F97"/>
    <w:rsid w:val="00035F6E"/>
    <w:rsid w:val="00036379"/>
    <w:rsid w:val="000379C9"/>
    <w:rsid w:val="00040E43"/>
    <w:rsid w:val="0004178E"/>
    <w:rsid w:val="0004764C"/>
    <w:rsid w:val="0005011A"/>
    <w:rsid w:val="00050307"/>
    <w:rsid w:val="0005045A"/>
    <w:rsid w:val="00051448"/>
    <w:rsid w:val="00051C1E"/>
    <w:rsid w:val="0005395F"/>
    <w:rsid w:val="000539F9"/>
    <w:rsid w:val="0005406D"/>
    <w:rsid w:val="00054C27"/>
    <w:rsid w:val="00055EC3"/>
    <w:rsid w:val="000561D5"/>
    <w:rsid w:val="000563CE"/>
    <w:rsid w:val="00056EAF"/>
    <w:rsid w:val="00056EBC"/>
    <w:rsid w:val="00057ED1"/>
    <w:rsid w:val="00061B55"/>
    <w:rsid w:val="00064D04"/>
    <w:rsid w:val="000659B6"/>
    <w:rsid w:val="0006613C"/>
    <w:rsid w:val="00066684"/>
    <w:rsid w:val="0006686F"/>
    <w:rsid w:val="0006722A"/>
    <w:rsid w:val="00070AEA"/>
    <w:rsid w:val="000719E4"/>
    <w:rsid w:val="000731CB"/>
    <w:rsid w:val="000732CF"/>
    <w:rsid w:val="00073809"/>
    <w:rsid w:val="00074D39"/>
    <w:rsid w:val="0007566F"/>
    <w:rsid w:val="00075B96"/>
    <w:rsid w:val="00077500"/>
    <w:rsid w:val="0008196A"/>
    <w:rsid w:val="00082A1F"/>
    <w:rsid w:val="000846D0"/>
    <w:rsid w:val="00085372"/>
    <w:rsid w:val="000856FC"/>
    <w:rsid w:val="00085F73"/>
    <w:rsid w:val="000864EF"/>
    <w:rsid w:val="000915ED"/>
    <w:rsid w:val="0009209D"/>
    <w:rsid w:val="00094FA2"/>
    <w:rsid w:val="0009508B"/>
    <w:rsid w:val="000953C3"/>
    <w:rsid w:val="00096637"/>
    <w:rsid w:val="000969BD"/>
    <w:rsid w:val="000969BF"/>
    <w:rsid w:val="00096C1E"/>
    <w:rsid w:val="000A0C22"/>
    <w:rsid w:val="000A11B4"/>
    <w:rsid w:val="000A14B0"/>
    <w:rsid w:val="000A1DC3"/>
    <w:rsid w:val="000A2D47"/>
    <w:rsid w:val="000A3C43"/>
    <w:rsid w:val="000A426B"/>
    <w:rsid w:val="000A4301"/>
    <w:rsid w:val="000A4A51"/>
    <w:rsid w:val="000A5D2B"/>
    <w:rsid w:val="000A789A"/>
    <w:rsid w:val="000B0296"/>
    <w:rsid w:val="000B4F29"/>
    <w:rsid w:val="000B54F0"/>
    <w:rsid w:val="000B5DE3"/>
    <w:rsid w:val="000B635C"/>
    <w:rsid w:val="000B64F4"/>
    <w:rsid w:val="000B7D26"/>
    <w:rsid w:val="000C0114"/>
    <w:rsid w:val="000C0A57"/>
    <w:rsid w:val="000C230C"/>
    <w:rsid w:val="000C24FE"/>
    <w:rsid w:val="000C4568"/>
    <w:rsid w:val="000C54D5"/>
    <w:rsid w:val="000C6AB4"/>
    <w:rsid w:val="000C73EE"/>
    <w:rsid w:val="000C76AE"/>
    <w:rsid w:val="000D080B"/>
    <w:rsid w:val="000D1F1A"/>
    <w:rsid w:val="000D22EE"/>
    <w:rsid w:val="000D4C03"/>
    <w:rsid w:val="000D6E53"/>
    <w:rsid w:val="000D71D9"/>
    <w:rsid w:val="000D76E0"/>
    <w:rsid w:val="000D7E8B"/>
    <w:rsid w:val="000E1306"/>
    <w:rsid w:val="000E1517"/>
    <w:rsid w:val="000E1B9A"/>
    <w:rsid w:val="000E4449"/>
    <w:rsid w:val="000E5387"/>
    <w:rsid w:val="000E5B4C"/>
    <w:rsid w:val="000E5DD8"/>
    <w:rsid w:val="000E6097"/>
    <w:rsid w:val="000E635C"/>
    <w:rsid w:val="000F08D5"/>
    <w:rsid w:val="000F0FEC"/>
    <w:rsid w:val="000F1B30"/>
    <w:rsid w:val="000F61C1"/>
    <w:rsid w:val="000F7916"/>
    <w:rsid w:val="00103829"/>
    <w:rsid w:val="0010414C"/>
    <w:rsid w:val="0011033D"/>
    <w:rsid w:val="00110684"/>
    <w:rsid w:val="00111826"/>
    <w:rsid w:val="00111FCE"/>
    <w:rsid w:val="001121DC"/>
    <w:rsid w:val="001127E3"/>
    <w:rsid w:val="00112E93"/>
    <w:rsid w:val="001134BE"/>
    <w:rsid w:val="0011363B"/>
    <w:rsid w:val="00113CBF"/>
    <w:rsid w:val="001149DB"/>
    <w:rsid w:val="00114E87"/>
    <w:rsid w:val="001165EA"/>
    <w:rsid w:val="00116D9A"/>
    <w:rsid w:val="001203AB"/>
    <w:rsid w:val="00120981"/>
    <w:rsid w:val="00122339"/>
    <w:rsid w:val="001229A5"/>
    <w:rsid w:val="001235FA"/>
    <w:rsid w:val="00124811"/>
    <w:rsid w:val="0012489B"/>
    <w:rsid w:val="00126587"/>
    <w:rsid w:val="00126AF5"/>
    <w:rsid w:val="00126DCF"/>
    <w:rsid w:val="00130017"/>
    <w:rsid w:val="00130F91"/>
    <w:rsid w:val="00132129"/>
    <w:rsid w:val="0013308E"/>
    <w:rsid w:val="001334B9"/>
    <w:rsid w:val="001342E8"/>
    <w:rsid w:val="001343AA"/>
    <w:rsid w:val="001349ED"/>
    <w:rsid w:val="00136253"/>
    <w:rsid w:val="00136A4C"/>
    <w:rsid w:val="00137424"/>
    <w:rsid w:val="00137E37"/>
    <w:rsid w:val="00140262"/>
    <w:rsid w:val="00140318"/>
    <w:rsid w:val="0014132C"/>
    <w:rsid w:val="0014193D"/>
    <w:rsid w:val="00141AD9"/>
    <w:rsid w:val="001430EF"/>
    <w:rsid w:val="00144702"/>
    <w:rsid w:val="00144FCC"/>
    <w:rsid w:val="0014634D"/>
    <w:rsid w:val="00146CE6"/>
    <w:rsid w:val="00150A04"/>
    <w:rsid w:val="00150A79"/>
    <w:rsid w:val="00150DDE"/>
    <w:rsid w:val="00151285"/>
    <w:rsid w:val="001513DF"/>
    <w:rsid w:val="00152903"/>
    <w:rsid w:val="00153FD5"/>
    <w:rsid w:val="0015585A"/>
    <w:rsid w:val="00155FBC"/>
    <w:rsid w:val="0015614F"/>
    <w:rsid w:val="00156B11"/>
    <w:rsid w:val="001577C2"/>
    <w:rsid w:val="001609C5"/>
    <w:rsid w:val="00161CAD"/>
    <w:rsid w:val="00161CC0"/>
    <w:rsid w:val="00163039"/>
    <w:rsid w:val="001633C4"/>
    <w:rsid w:val="0016499E"/>
    <w:rsid w:val="001653F2"/>
    <w:rsid w:val="001669BE"/>
    <w:rsid w:val="001679F3"/>
    <w:rsid w:val="00170264"/>
    <w:rsid w:val="00170639"/>
    <w:rsid w:val="00170FB5"/>
    <w:rsid w:val="00171591"/>
    <w:rsid w:val="001722E5"/>
    <w:rsid w:val="00172453"/>
    <w:rsid w:val="00173981"/>
    <w:rsid w:val="001741A8"/>
    <w:rsid w:val="001755BF"/>
    <w:rsid w:val="00175EBC"/>
    <w:rsid w:val="00176EE7"/>
    <w:rsid w:val="0017719D"/>
    <w:rsid w:val="00177E6C"/>
    <w:rsid w:val="00180D4B"/>
    <w:rsid w:val="00180DE6"/>
    <w:rsid w:val="00181DAA"/>
    <w:rsid w:val="00183147"/>
    <w:rsid w:val="00183FD7"/>
    <w:rsid w:val="001847EC"/>
    <w:rsid w:val="00184930"/>
    <w:rsid w:val="001851CC"/>
    <w:rsid w:val="00185CAB"/>
    <w:rsid w:val="0018673D"/>
    <w:rsid w:val="00187301"/>
    <w:rsid w:val="001875B7"/>
    <w:rsid w:val="00187A3B"/>
    <w:rsid w:val="00187CB3"/>
    <w:rsid w:val="0019050A"/>
    <w:rsid w:val="001910D4"/>
    <w:rsid w:val="00191647"/>
    <w:rsid w:val="001916A5"/>
    <w:rsid w:val="001928A1"/>
    <w:rsid w:val="001951C6"/>
    <w:rsid w:val="00195369"/>
    <w:rsid w:val="0019669D"/>
    <w:rsid w:val="00196916"/>
    <w:rsid w:val="001976E3"/>
    <w:rsid w:val="001A319F"/>
    <w:rsid w:val="001A44EC"/>
    <w:rsid w:val="001A466E"/>
    <w:rsid w:val="001A6398"/>
    <w:rsid w:val="001A7982"/>
    <w:rsid w:val="001B01B1"/>
    <w:rsid w:val="001B11CD"/>
    <w:rsid w:val="001B33B0"/>
    <w:rsid w:val="001B3A7D"/>
    <w:rsid w:val="001B42A1"/>
    <w:rsid w:val="001B53C8"/>
    <w:rsid w:val="001B58AA"/>
    <w:rsid w:val="001B74A8"/>
    <w:rsid w:val="001B7E48"/>
    <w:rsid w:val="001C00D4"/>
    <w:rsid w:val="001C17CE"/>
    <w:rsid w:val="001C19DB"/>
    <w:rsid w:val="001C3250"/>
    <w:rsid w:val="001C36CA"/>
    <w:rsid w:val="001C38B2"/>
    <w:rsid w:val="001C44D1"/>
    <w:rsid w:val="001C5CD5"/>
    <w:rsid w:val="001C6AEE"/>
    <w:rsid w:val="001C6E8C"/>
    <w:rsid w:val="001C7630"/>
    <w:rsid w:val="001D1826"/>
    <w:rsid w:val="001D422A"/>
    <w:rsid w:val="001D4340"/>
    <w:rsid w:val="001D55D7"/>
    <w:rsid w:val="001D5C86"/>
    <w:rsid w:val="001D6D15"/>
    <w:rsid w:val="001E000E"/>
    <w:rsid w:val="001E0255"/>
    <w:rsid w:val="001E1A71"/>
    <w:rsid w:val="001E2AF2"/>
    <w:rsid w:val="001E4334"/>
    <w:rsid w:val="001E6AE0"/>
    <w:rsid w:val="001E71FA"/>
    <w:rsid w:val="001E7314"/>
    <w:rsid w:val="001F059E"/>
    <w:rsid w:val="001F0CE8"/>
    <w:rsid w:val="001F1593"/>
    <w:rsid w:val="001F4027"/>
    <w:rsid w:val="001F6904"/>
    <w:rsid w:val="001F7558"/>
    <w:rsid w:val="002008FF"/>
    <w:rsid w:val="00200D8F"/>
    <w:rsid w:val="002034E1"/>
    <w:rsid w:val="00205B57"/>
    <w:rsid w:val="00205B7B"/>
    <w:rsid w:val="00206083"/>
    <w:rsid w:val="00206504"/>
    <w:rsid w:val="00210F6C"/>
    <w:rsid w:val="00211724"/>
    <w:rsid w:val="00212602"/>
    <w:rsid w:val="0021395E"/>
    <w:rsid w:val="002157E0"/>
    <w:rsid w:val="00216A57"/>
    <w:rsid w:val="002216A1"/>
    <w:rsid w:val="00221918"/>
    <w:rsid w:val="00221ED3"/>
    <w:rsid w:val="0022330B"/>
    <w:rsid w:val="0022334F"/>
    <w:rsid w:val="00223E08"/>
    <w:rsid w:val="00224027"/>
    <w:rsid w:val="002258C9"/>
    <w:rsid w:val="00226819"/>
    <w:rsid w:val="00227868"/>
    <w:rsid w:val="00227CFB"/>
    <w:rsid w:val="00232579"/>
    <w:rsid w:val="00233101"/>
    <w:rsid w:val="00233817"/>
    <w:rsid w:val="00234439"/>
    <w:rsid w:val="0023474D"/>
    <w:rsid w:val="00235B9F"/>
    <w:rsid w:val="002367FF"/>
    <w:rsid w:val="00240CE9"/>
    <w:rsid w:val="0024106C"/>
    <w:rsid w:val="00241E38"/>
    <w:rsid w:val="0024346B"/>
    <w:rsid w:val="002434BA"/>
    <w:rsid w:val="002450F4"/>
    <w:rsid w:val="00246089"/>
    <w:rsid w:val="00246093"/>
    <w:rsid w:val="00246702"/>
    <w:rsid w:val="00247C20"/>
    <w:rsid w:val="00247C59"/>
    <w:rsid w:val="00247F2E"/>
    <w:rsid w:val="00250ADC"/>
    <w:rsid w:val="00250B07"/>
    <w:rsid w:val="00251A95"/>
    <w:rsid w:val="00251B23"/>
    <w:rsid w:val="002526A1"/>
    <w:rsid w:val="0025528A"/>
    <w:rsid w:val="00256337"/>
    <w:rsid w:val="002563CD"/>
    <w:rsid w:val="00257553"/>
    <w:rsid w:val="00257931"/>
    <w:rsid w:val="00257CDA"/>
    <w:rsid w:val="00260AEE"/>
    <w:rsid w:val="00260FB2"/>
    <w:rsid w:val="002615A9"/>
    <w:rsid w:val="00261F43"/>
    <w:rsid w:val="00262128"/>
    <w:rsid w:val="00263C92"/>
    <w:rsid w:val="00264AF5"/>
    <w:rsid w:val="00264D00"/>
    <w:rsid w:val="00265B55"/>
    <w:rsid w:val="002667BF"/>
    <w:rsid w:val="0027089F"/>
    <w:rsid w:val="00270CC6"/>
    <w:rsid w:val="0027165D"/>
    <w:rsid w:val="00273048"/>
    <w:rsid w:val="00273CEB"/>
    <w:rsid w:val="00274762"/>
    <w:rsid w:val="002752AF"/>
    <w:rsid w:val="00281C89"/>
    <w:rsid w:val="0028282F"/>
    <w:rsid w:val="00285456"/>
    <w:rsid w:val="0028581A"/>
    <w:rsid w:val="00285CD0"/>
    <w:rsid w:val="00286A5C"/>
    <w:rsid w:val="00286A69"/>
    <w:rsid w:val="00287B3C"/>
    <w:rsid w:val="00290009"/>
    <w:rsid w:val="00290503"/>
    <w:rsid w:val="00290636"/>
    <w:rsid w:val="002908D8"/>
    <w:rsid w:val="0029165D"/>
    <w:rsid w:val="002918E3"/>
    <w:rsid w:val="00291DED"/>
    <w:rsid w:val="002925E1"/>
    <w:rsid w:val="00293F1F"/>
    <w:rsid w:val="00295481"/>
    <w:rsid w:val="0029593B"/>
    <w:rsid w:val="002973E8"/>
    <w:rsid w:val="00297B35"/>
    <w:rsid w:val="00297FC5"/>
    <w:rsid w:val="002A0417"/>
    <w:rsid w:val="002A16D8"/>
    <w:rsid w:val="002A1837"/>
    <w:rsid w:val="002A1BC8"/>
    <w:rsid w:val="002A2996"/>
    <w:rsid w:val="002A3EF2"/>
    <w:rsid w:val="002A4C91"/>
    <w:rsid w:val="002B058B"/>
    <w:rsid w:val="002B0DED"/>
    <w:rsid w:val="002B19A2"/>
    <w:rsid w:val="002B381A"/>
    <w:rsid w:val="002B4F3C"/>
    <w:rsid w:val="002B4FCC"/>
    <w:rsid w:val="002B7408"/>
    <w:rsid w:val="002B7550"/>
    <w:rsid w:val="002B7CFD"/>
    <w:rsid w:val="002C1314"/>
    <w:rsid w:val="002C210F"/>
    <w:rsid w:val="002C4349"/>
    <w:rsid w:val="002C4F5B"/>
    <w:rsid w:val="002C7588"/>
    <w:rsid w:val="002D1C86"/>
    <w:rsid w:val="002D324C"/>
    <w:rsid w:val="002D35CD"/>
    <w:rsid w:val="002D3600"/>
    <w:rsid w:val="002D4ED7"/>
    <w:rsid w:val="002D5700"/>
    <w:rsid w:val="002D61DE"/>
    <w:rsid w:val="002D764E"/>
    <w:rsid w:val="002E0C45"/>
    <w:rsid w:val="002E0D83"/>
    <w:rsid w:val="002E2633"/>
    <w:rsid w:val="002E3805"/>
    <w:rsid w:val="002E4899"/>
    <w:rsid w:val="002E4C8D"/>
    <w:rsid w:val="002E4DDC"/>
    <w:rsid w:val="002E5FBA"/>
    <w:rsid w:val="002E6661"/>
    <w:rsid w:val="002E7937"/>
    <w:rsid w:val="002F03D8"/>
    <w:rsid w:val="002F3119"/>
    <w:rsid w:val="002F7142"/>
    <w:rsid w:val="002F7E57"/>
    <w:rsid w:val="00301EB7"/>
    <w:rsid w:val="00302480"/>
    <w:rsid w:val="003071AB"/>
    <w:rsid w:val="00310359"/>
    <w:rsid w:val="0031243E"/>
    <w:rsid w:val="00312CD3"/>
    <w:rsid w:val="003155C4"/>
    <w:rsid w:val="003165E6"/>
    <w:rsid w:val="00317759"/>
    <w:rsid w:val="003221CF"/>
    <w:rsid w:val="00322ACB"/>
    <w:rsid w:val="003233ED"/>
    <w:rsid w:val="003234DA"/>
    <w:rsid w:val="00324D52"/>
    <w:rsid w:val="00324D9F"/>
    <w:rsid w:val="00327948"/>
    <w:rsid w:val="00327DC3"/>
    <w:rsid w:val="0033000F"/>
    <w:rsid w:val="00330958"/>
    <w:rsid w:val="00332011"/>
    <w:rsid w:val="00332518"/>
    <w:rsid w:val="00332528"/>
    <w:rsid w:val="00332925"/>
    <w:rsid w:val="00332AB7"/>
    <w:rsid w:val="003332ED"/>
    <w:rsid w:val="003335BC"/>
    <w:rsid w:val="003346DF"/>
    <w:rsid w:val="003365EA"/>
    <w:rsid w:val="003367E1"/>
    <w:rsid w:val="003368DC"/>
    <w:rsid w:val="003373B2"/>
    <w:rsid w:val="00337400"/>
    <w:rsid w:val="00341FBA"/>
    <w:rsid w:val="003427B6"/>
    <w:rsid w:val="00343522"/>
    <w:rsid w:val="0034390C"/>
    <w:rsid w:val="00345927"/>
    <w:rsid w:val="003468E3"/>
    <w:rsid w:val="003501EC"/>
    <w:rsid w:val="00350584"/>
    <w:rsid w:val="00350892"/>
    <w:rsid w:val="00351857"/>
    <w:rsid w:val="00353F58"/>
    <w:rsid w:val="003545E8"/>
    <w:rsid w:val="00354EC6"/>
    <w:rsid w:val="00356E82"/>
    <w:rsid w:val="003570D4"/>
    <w:rsid w:val="00357108"/>
    <w:rsid w:val="003572D7"/>
    <w:rsid w:val="00360153"/>
    <w:rsid w:val="00360B13"/>
    <w:rsid w:val="003610E1"/>
    <w:rsid w:val="003613DC"/>
    <w:rsid w:val="00361837"/>
    <w:rsid w:val="003627A5"/>
    <w:rsid w:val="003636AF"/>
    <w:rsid w:val="00364949"/>
    <w:rsid w:val="00364954"/>
    <w:rsid w:val="00366106"/>
    <w:rsid w:val="003668F1"/>
    <w:rsid w:val="00366DC4"/>
    <w:rsid w:val="0036701F"/>
    <w:rsid w:val="003671BE"/>
    <w:rsid w:val="00372485"/>
    <w:rsid w:val="00373200"/>
    <w:rsid w:val="00373272"/>
    <w:rsid w:val="0037384F"/>
    <w:rsid w:val="00374095"/>
    <w:rsid w:val="00374226"/>
    <w:rsid w:val="00374F2F"/>
    <w:rsid w:val="00375EF5"/>
    <w:rsid w:val="003767A5"/>
    <w:rsid w:val="0037789C"/>
    <w:rsid w:val="00377B47"/>
    <w:rsid w:val="003800AA"/>
    <w:rsid w:val="00380FA7"/>
    <w:rsid w:val="00383559"/>
    <w:rsid w:val="00385254"/>
    <w:rsid w:val="00386A52"/>
    <w:rsid w:val="00390DFC"/>
    <w:rsid w:val="00392BF8"/>
    <w:rsid w:val="00392F06"/>
    <w:rsid w:val="00392FA3"/>
    <w:rsid w:val="00394D84"/>
    <w:rsid w:val="003A04DB"/>
    <w:rsid w:val="003A1F65"/>
    <w:rsid w:val="003A5F5B"/>
    <w:rsid w:val="003A6685"/>
    <w:rsid w:val="003A77CB"/>
    <w:rsid w:val="003A789A"/>
    <w:rsid w:val="003B12EC"/>
    <w:rsid w:val="003B1C8E"/>
    <w:rsid w:val="003B1FA7"/>
    <w:rsid w:val="003B366F"/>
    <w:rsid w:val="003B4291"/>
    <w:rsid w:val="003B52CB"/>
    <w:rsid w:val="003B576D"/>
    <w:rsid w:val="003B59AE"/>
    <w:rsid w:val="003B798A"/>
    <w:rsid w:val="003C07ED"/>
    <w:rsid w:val="003C12B8"/>
    <w:rsid w:val="003C17BD"/>
    <w:rsid w:val="003C77E0"/>
    <w:rsid w:val="003D17D7"/>
    <w:rsid w:val="003D2231"/>
    <w:rsid w:val="003D2678"/>
    <w:rsid w:val="003D3347"/>
    <w:rsid w:val="003D61A1"/>
    <w:rsid w:val="003D71A3"/>
    <w:rsid w:val="003E0057"/>
    <w:rsid w:val="003E02BA"/>
    <w:rsid w:val="003E2B8A"/>
    <w:rsid w:val="003E3AC1"/>
    <w:rsid w:val="003E49B2"/>
    <w:rsid w:val="003F02EB"/>
    <w:rsid w:val="003F10EE"/>
    <w:rsid w:val="003F16F6"/>
    <w:rsid w:val="003F17DF"/>
    <w:rsid w:val="003F2F1F"/>
    <w:rsid w:val="003F33B1"/>
    <w:rsid w:val="003F4DC7"/>
    <w:rsid w:val="003F4FE9"/>
    <w:rsid w:val="003F5235"/>
    <w:rsid w:val="003F5D9E"/>
    <w:rsid w:val="003F7A4C"/>
    <w:rsid w:val="003F7D1B"/>
    <w:rsid w:val="00400FDE"/>
    <w:rsid w:val="0040178D"/>
    <w:rsid w:val="00401819"/>
    <w:rsid w:val="004027E4"/>
    <w:rsid w:val="004057D9"/>
    <w:rsid w:val="0041071D"/>
    <w:rsid w:val="00411DC2"/>
    <w:rsid w:val="00413DAC"/>
    <w:rsid w:val="00414252"/>
    <w:rsid w:val="00414704"/>
    <w:rsid w:val="00414AFC"/>
    <w:rsid w:val="004151A7"/>
    <w:rsid w:val="00415310"/>
    <w:rsid w:val="00415873"/>
    <w:rsid w:val="00415D5F"/>
    <w:rsid w:val="00417691"/>
    <w:rsid w:val="004213B1"/>
    <w:rsid w:val="00421709"/>
    <w:rsid w:val="0042310C"/>
    <w:rsid w:val="00423763"/>
    <w:rsid w:val="004241DA"/>
    <w:rsid w:val="0042686C"/>
    <w:rsid w:val="00426FEE"/>
    <w:rsid w:val="0042762F"/>
    <w:rsid w:val="00427B6A"/>
    <w:rsid w:val="00427DC7"/>
    <w:rsid w:val="00431613"/>
    <w:rsid w:val="00431792"/>
    <w:rsid w:val="00432219"/>
    <w:rsid w:val="0043297A"/>
    <w:rsid w:val="00432A7A"/>
    <w:rsid w:val="00432EB2"/>
    <w:rsid w:val="004357AD"/>
    <w:rsid w:val="00436100"/>
    <w:rsid w:val="0043714F"/>
    <w:rsid w:val="004438B5"/>
    <w:rsid w:val="0044400E"/>
    <w:rsid w:val="00445070"/>
    <w:rsid w:val="00447037"/>
    <w:rsid w:val="0045124D"/>
    <w:rsid w:val="00451864"/>
    <w:rsid w:val="00451BF7"/>
    <w:rsid w:val="00454596"/>
    <w:rsid w:val="0045605D"/>
    <w:rsid w:val="004579F4"/>
    <w:rsid w:val="00460219"/>
    <w:rsid w:val="0046135B"/>
    <w:rsid w:val="0046146A"/>
    <w:rsid w:val="00461D47"/>
    <w:rsid w:val="00463383"/>
    <w:rsid w:val="00471448"/>
    <w:rsid w:val="004718CC"/>
    <w:rsid w:val="00471C4B"/>
    <w:rsid w:val="00472407"/>
    <w:rsid w:val="00472861"/>
    <w:rsid w:val="004737CA"/>
    <w:rsid w:val="00474B38"/>
    <w:rsid w:val="00475EEC"/>
    <w:rsid w:val="00481695"/>
    <w:rsid w:val="00481944"/>
    <w:rsid w:val="00484366"/>
    <w:rsid w:val="00484CF8"/>
    <w:rsid w:val="00487485"/>
    <w:rsid w:val="00487AC8"/>
    <w:rsid w:val="00490054"/>
    <w:rsid w:val="00490DE2"/>
    <w:rsid w:val="00492FAC"/>
    <w:rsid w:val="00494B4F"/>
    <w:rsid w:val="00494D44"/>
    <w:rsid w:val="00495A3B"/>
    <w:rsid w:val="00495A96"/>
    <w:rsid w:val="00495BB3"/>
    <w:rsid w:val="00495D04"/>
    <w:rsid w:val="0049734B"/>
    <w:rsid w:val="004975F0"/>
    <w:rsid w:val="004A1268"/>
    <w:rsid w:val="004A1579"/>
    <w:rsid w:val="004A1B55"/>
    <w:rsid w:val="004A2BD0"/>
    <w:rsid w:val="004A2DC7"/>
    <w:rsid w:val="004A3A6C"/>
    <w:rsid w:val="004A56BB"/>
    <w:rsid w:val="004A5795"/>
    <w:rsid w:val="004A6118"/>
    <w:rsid w:val="004A631D"/>
    <w:rsid w:val="004A7591"/>
    <w:rsid w:val="004B103A"/>
    <w:rsid w:val="004B15D1"/>
    <w:rsid w:val="004B1751"/>
    <w:rsid w:val="004B1BDE"/>
    <w:rsid w:val="004B6E98"/>
    <w:rsid w:val="004C0253"/>
    <w:rsid w:val="004C14DA"/>
    <w:rsid w:val="004C37B1"/>
    <w:rsid w:val="004C59E7"/>
    <w:rsid w:val="004D46B9"/>
    <w:rsid w:val="004D56FF"/>
    <w:rsid w:val="004D60AE"/>
    <w:rsid w:val="004D67D0"/>
    <w:rsid w:val="004E0AB2"/>
    <w:rsid w:val="004E39D3"/>
    <w:rsid w:val="004E508A"/>
    <w:rsid w:val="004E616D"/>
    <w:rsid w:val="004F15AC"/>
    <w:rsid w:val="004F1BDE"/>
    <w:rsid w:val="004F29A8"/>
    <w:rsid w:val="004F2CEE"/>
    <w:rsid w:val="004F3238"/>
    <w:rsid w:val="004F3617"/>
    <w:rsid w:val="004F3E9F"/>
    <w:rsid w:val="004F44A2"/>
    <w:rsid w:val="004F4F15"/>
    <w:rsid w:val="004F556E"/>
    <w:rsid w:val="004F7F44"/>
    <w:rsid w:val="00500C6F"/>
    <w:rsid w:val="00500CFD"/>
    <w:rsid w:val="00501C95"/>
    <w:rsid w:val="005023CB"/>
    <w:rsid w:val="00502DDE"/>
    <w:rsid w:val="005033D1"/>
    <w:rsid w:val="005037B4"/>
    <w:rsid w:val="005044E8"/>
    <w:rsid w:val="0050466E"/>
    <w:rsid w:val="00506DCC"/>
    <w:rsid w:val="00506E0A"/>
    <w:rsid w:val="005079BF"/>
    <w:rsid w:val="005124E6"/>
    <w:rsid w:val="0051269A"/>
    <w:rsid w:val="0051316B"/>
    <w:rsid w:val="00516DAE"/>
    <w:rsid w:val="005219E7"/>
    <w:rsid w:val="005258DC"/>
    <w:rsid w:val="00530BC6"/>
    <w:rsid w:val="00531B9A"/>
    <w:rsid w:val="00531D15"/>
    <w:rsid w:val="00532607"/>
    <w:rsid w:val="005341EB"/>
    <w:rsid w:val="00535DC2"/>
    <w:rsid w:val="005360D5"/>
    <w:rsid w:val="00537604"/>
    <w:rsid w:val="00537BFF"/>
    <w:rsid w:val="00540C7B"/>
    <w:rsid w:val="00542377"/>
    <w:rsid w:val="005437B0"/>
    <w:rsid w:val="005468CF"/>
    <w:rsid w:val="0054697F"/>
    <w:rsid w:val="005476EB"/>
    <w:rsid w:val="00550153"/>
    <w:rsid w:val="00551782"/>
    <w:rsid w:val="005521E5"/>
    <w:rsid w:val="0055316F"/>
    <w:rsid w:val="00555923"/>
    <w:rsid w:val="005577F2"/>
    <w:rsid w:val="0056148C"/>
    <w:rsid w:val="005625AB"/>
    <w:rsid w:val="005629C1"/>
    <w:rsid w:val="0056308C"/>
    <w:rsid w:val="00563EF1"/>
    <w:rsid w:val="0056412F"/>
    <w:rsid w:val="005648EC"/>
    <w:rsid w:val="00565267"/>
    <w:rsid w:val="00565765"/>
    <w:rsid w:val="00566AB4"/>
    <w:rsid w:val="00566ECC"/>
    <w:rsid w:val="00567EAC"/>
    <w:rsid w:val="00571BDD"/>
    <w:rsid w:val="00572BA8"/>
    <w:rsid w:val="00573939"/>
    <w:rsid w:val="00573F49"/>
    <w:rsid w:val="005744AB"/>
    <w:rsid w:val="00575AC5"/>
    <w:rsid w:val="0057605D"/>
    <w:rsid w:val="00576E37"/>
    <w:rsid w:val="00581262"/>
    <w:rsid w:val="00581347"/>
    <w:rsid w:val="00581403"/>
    <w:rsid w:val="00581AC9"/>
    <w:rsid w:val="005837E3"/>
    <w:rsid w:val="005849F8"/>
    <w:rsid w:val="00585244"/>
    <w:rsid w:val="005865A6"/>
    <w:rsid w:val="0058751E"/>
    <w:rsid w:val="005908B1"/>
    <w:rsid w:val="005938DF"/>
    <w:rsid w:val="00594437"/>
    <w:rsid w:val="00594E9C"/>
    <w:rsid w:val="00596D2C"/>
    <w:rsid w:val="00597FB5"/>
    <w:rsid w:val="005A099B"/>
    <w:rsid w:val="005A2D9C"/>
    <w:rsid w:val="005A4A47"/>
    <w:rsid w:val="005A4CB1"/>
    <w:rsid w:val="005A5487"/>
    <w:rsid w:val="005A55FE"/>
    <w:rsid w:val="005A5A90"/>
    <w:rsid w:val="005A6076"/>
    <w:rsid w:val="005A6A11"/>
    <w:rsid w:val="005B1280"/>
    <w:rsid w:val="005B4E6C"/>
    <w:rsid w:val="005B5A7E"/>
    <w:rsid w:val="005C0D80"/>
    <w:rsid w:val="005C23C4"/>
    <w:rsid w:val="005C516E"/>
    <w:rsid w:val="005D1754"/>
    <w:rsid w:val="005D2502"/>
    <w:rsid w:val="005D2C52"/>
    <w:rsid w:val="005D40BB"/>
    <w:rsid w:val="005D47F3"/>
    <w:rsid w:val="005D49BF"/>
    <w:rsid w:val="005D5C5F"/>
    <w:rsid w:val="005D6F4E"/>
    <w:rsid w:val="005D7C73"/>
    <w:rsid w:val="005E0269"/>
    <w:rsid w:val="005E0503"/>
    <w:rsid w:val="005E3ACD"/>
    <w:rsid w:val="005E3C35"/>
    <w:rsid w:val="005E6FFF"/>
    <w:rsid w:val="005E7226"/>
    <w:rsid w:val="005E7A57"/>
    <w:rsid w:val="005F21A0"/>
    <w:rsid w:val="005F246B"/>
    <w:rsid w:val="005F24B0"/>
    <w:rsid w:val="005F2E81"/>
    <w:rsid w:val="005F3058"/>
    <w:rsid w:val="005F5585"/>
    <w:rsid w:val="005F56D1"/>
    <w:rsid w:val="005F5A0B"/>
    <w:rsid w:val="005F6EE0"/>
    <w:rsid w:val="0060134C"/>
    <w:rsid w:val="00601656"/>
    <w:rsid w:val="0060346F"/>
    <w:rsid w:val="00603F95"/>
    <w:rsid w:val="00604315"/>
    <w:rsid w:val="00604C71"/>
    <w:rsid w:val="00604E26"/>
    <w:rsid w:val="006052CF"/>
    <w:rsid w:val="0060549A"/>
    <w:rsid w:val="00605625"/>
    <w:rsid w:val="00607B8D"/>
    <w:rsid w:val="00611CF8"/>
    <w:rsid w:val="00611DD8"/>
    <w:rsid w:val="00611F5C"/>
    <w:rsid w:val="006128B6"/>
    <w:rsid w:val="0061626F"/>
    <w:rsid w:val="00616E09"/>
    <w:rsid w:val="00622A3B"/>
    <w:rsid w:val="00622BBC"/>
    <w:rsid w:val="00622EEA"/>
    <w:rsid w:val="0062396C"/>
    <w:rsid w:val="00623B4A"/>
    <w:rsid w:val="00623FF9"/>
    <w:rsid w:val="006246D9"/>
    <w:rsid w:val="00624DC0"/>
    <w:rsid w:val="00627284"/>
    <w:rsid w:val="00627D4E"/>
    <w:rsid w:val="00631C8E"/>
    <w:rsid w:val="006331D2"/>
    <w:rsid w:val="00633F43"/>
    <w:rsid w:val="00634478"/>
    <w:rsid w:val="00643E1A"/>
    <w:rsid w:val="00644373"/>
    <w:rsid w:val="00645915"/>
    <w:rsid w:val="006512E1"/>
    <w:rsid w:val="0065132B"/>
    <w:rsid w:val="0065164C"/>
    <w:rsid w:val="006519C3"/>
    <w:rsid w:val="00652B30"/>
    <w:rsid w:val="006539F6"/>
    <w:rsid w:val="006549FE"/>
    <w:rsid w:val="00656345"/>
    <w:rsid w:val="00656DC6"/>
    <w:rsid w:val="00657412"/>
    <w:rsid w:val="00660EC6"/>
    <w:rsid w:val="006618A9"/>
    <w:rsid w:val="00663778"/>
    <w:rsid w:val="00664110"/>
    <w:rsid w:val="00664D17"/>
    <w:rsid w:val="00665670"/>
    <w:rsid w:val="00666520"/>
    <w:rsid w:val="00667C5B"/>
    <w:rsid w:val="00667CC1"/>
    <w:rsid w:val="00670226"/>
    <w:rsid w:val="00674B30"/>
    <w:rsid w:val="00676F42"/>
    <w:rsid w:val="00680761"/>
    <w:rsid w:val="00680A53"/>
    <w:rsid w:val="00681824"/>
    <w:rsid w:val="00683A0F"/>
    <w:rsid w:val="00683B18"/>
    <w:rsid w:val="00683E4D"/>
    <w:rsid w:val="006859C4"/>
    <w:rsid w:val="00691071"/>
    <w:rsid w:val="00691758"/>
    <w:rsid w:val="0069247E"/>
    <w:rsid w:val="00692A23"/>
    <w:rsid w:val="00692CDE"/>
    <w:rsid w:val="00693073"/>
    <w:rsid w:val="00693234"/>
    <w:rsid w:val="006933C0"/>
    <w:rsid w:val="00694916"/>
    <w:rsid w:val="00695A83"/>
    <w:rsid w:val="006977FF"/>
    <w:rsid w:val="006A01FA"/>
    <w:rsid w:val="006A0E9E"/>
    <w:rsid w:val="006A1AD0"/>
    <w:rsid w:val="006A22E6"/>
    <w:rsid w:val="006A25C7"/>
    <w:rsid w:val="006A2C92"/>
    <w:rsid w:val="006A4AAD"/>
    <w:rsid w:val="006A6DA2"/>
    <w:rsid w:val="006A7AB2"/>
    <w:rsid w:val="006B2C19"/>
    <w:rsid w:val="006B303B"/>
    <w:rsid w:val="006B490A"/>
    <w:rsid w:val="006B508D"/>
    <w:rsid w:val="006B5717"/>
    <w:rsid w:val="006B582F"/>
    <w:rsid w:val="006B5DDA"/>
    <w:rsid w:val="006C01BC"/>
    <w:rsid w:val="006C0CEB"/>
    <w:rsid w:val="006C1548"/>
    <w:rsid w:val="006C1C79"/>
    <w:rsid w:val="006C2F8E"/>
    <w:rsid w:val="006C3B1E"/>
    <w:rsid w:val="006C47FD"/>
    <w:rsid w:val="006C4F80"/>
    <w:rsid w:val="006C5C19"/>
    <w:rsid w:val="006C621F"/>
    <w:rsid w:val="006C70A0"/>
    <w:rsid w:val="006C72BA"/>
    <w:rsid w:val="006C7B57"/>
    <w:rsid w:val="006D27CB"/>
    <w:rsid w:val="006D2EA3"/>
    <w:rsid w:val="006D2F08"/>
    <w:rsid w:val="006D4525"/>
    <w:rsid w:val="006D576C"/>
    <w:rsid w:val="006D5865"/>
    <w:rsid w:val="006D5E2E"/>
    <w:rsid w:val="006D6BBA"/>
    <w:rsid w:val="006E0667"/>
    <w:rsid w:val="006E2538"/>
    <w:rsid w:val="006E26DC"/>
    <w:rsid w:val="006E3592"/>
    <w:rsid w:val="006E4B1B"/>
    <w:rsid w:val="006E5445"/>
    <w:rsid w:val="006E5C3C"/>
    <w:rsid w:val="006E7D93"/>
    <w:rsid w:val="006F208A"/>
    <w:rsid w:val="006F3612"/>
    <w:rsid w:val="006F3E4C"/>
    <w:rsid w:val="007029A3"/>
    <w:rsid w:val="007032CE"/>
    <w:rsid w:val="007035A1"/>
    <w:rsid w:val="00706E4E"/>
    <w:rsid w:val="0070791C"/>
    <w:rsid w:val="00710BCB"/>
    <w:rsid w:val="007114CE"/>
    <w:rsid w:val="0071383C"/>
    <w:rsid w:val="007141A7"/>
    <w:rsid w:val="00715722"/>
    <w:rsid w:val="007159D7"/>
    <w:rsid w:val="00717A03"/>
    <w:rsid w:val="00721032"/>
    <w:rsid w:val="00721B55"/>
    <w:rsid w:val="00724E57"/>
    <w:rsid w:val="00725A84"/>
    <w:rsid w:val="00725F35"/>
    <w:rsid w:val="007268F8"/>
    <w:rsid w:val="00726CE4"/>
    <w:rsid w:val="00734143"/>
    <w:rsid w:val="00735D4C"/>
    <w:rsid w:val="00737E47"/>
    <w:rsid w:val="00740EAC"/>
    <w:rsid w:val="00741678"/>
    <w:rsid w:val="0074186F"/>
    <w:rsid w:val="00744956"/>
    <w:rsid w:val="00744E24"/>
    <w:rsid w:val="00744EE8"/>
    <w:rsid w:val="00745A5C"/>
    <w:rsid w:val="0074605F"/>
    <w:rsid w:val="00747E94"/>
    <w:rsid w:val="0075457D"/>
    <w:rsid w:val="00754C83"/>
    <w:rsid w:val="00756156"/>
    <w:rsid w:val="00756547"/>
    <w:rsid w:val="0076073F"/>
    <w:rsid w:val="00760A19"/>
    <w:rsid w:val="0076355F"/>
    <w:rsid w:val="00764606"/>
    <w:rsid w:val="00765470"/>
    <w:rsid w:val="00765DF8"/>
    <w:rsid w:val="00766749"/>
    <w:rsid w:val="00766C15"/>
    <w:rsid w:val="00767C1B"/>
    <w:rsid w:val="00770305"/>
    <w:rsid w:val="00770645"/>
    <w:rsid w:val="007714A9"/>
    <w:rsid w:val="00772706"/>
    <w:rsid w:val="0077296A"/>
    <w:rsid w:val="0077441D"/>
    <w:rsid w:val="007749E1"/>
    <w:rsid w:val="00774F88"/>
    <w:rsid w:val="00774FDB"/>
    <w:rsid w:val="00775725"/>
    <w:rsid w:val="00776CB4"/>
    <w:rsid w:val="00777BA2"/>
    <w:rsid w:val="0078006F"/>
    <w:rsid w:val="00781408"/>
    <w:rsid w:val="00781C97"/>
    <w:rsid w:val="007828BF"/>
    <w:rsid w:val="007829EB"/>
    <w:rsid w:val="00784CDD"/>
    <w:rsid w:val="00784F7F"/>
    <w:rsid w:val="00785B36"/>
    <w:rsid w:val="00786236"/>
    <w:rsid w:val="00786A56"/>
    <w:rsid w:val="007878BD"/>
    <w:rsid w:val="007912E0"/>
    <w:rsid w:val="00792B3B"/>
    <w:rsid w:val="00793F37"/>
    <w:rsid w:val="00794DBD"/>
    <w:rsid w:val="00795950"/>
    <w:rsid w:val="00796806"/>
    <w:rsid w:val="00796F25"/>
    <w:rsid w:val="007A2A49"/>
    <w:rsid w:val="007A2E98"/>
    <w:rsid w:val="007A3BA3"/>
    <w:rsid w:val="007A5C39"/>
    <w:rsid w:val="007A6C21"/>
    <w:rsid w:val="007A6CC0"/>
    <w:rsid w:val="007A7134"/>
    <w:rsid w:val="007A7AF3"/>
    <w:rsid w:val="007A7FEC"/>
    <w:rsid w:val="007B1499"/>
    <w:rsid w:val="007B1BBF"/>
    <w:rsid w:val="007B20D3"/>
    <w:rsid w:val="007B21A0"/>
    <w:rsid w:val="007B24D8"/>
    <w:rsid w:val="007B2937"/>
    <w:rsid w:val="007B2960"/>
    <w:rsid w:val="007B355D"/>
    <w:rsid w:val="007B3A67"/>
    <w:rsid w:val="007B48DC"/>
    <w:rsid w:val="007B7980"/>
    <w:rsid w:val="007C0D95"/>
    <w:rsid w:val="007C0DEF"/>
    <w:rsid w:val="007C1034"/>
    <w:rsid w:val="007C3C11"/>
    <w:rsid w:val="007C4C7B"/>
    <w:rsid w:val="007C5D5A"/>
    <w:rsid w:val="007C607F"/>
    <w:rsid w:val="007C79DD"/>
    <w:rsid w:val="007C7C99"/>
    <w:rsid w:val="007D1A97"/>
    <w:rsid w:val="007D2CD6"/>
    <w:rsid w:val="007D3063"/>
    <w:rsid w:val="007D38E3"/>
    <w:rsid w:val="007D3CEB"/>
    <w:rsid w:val="007D5D9C"/>
    <w:rsid w:val="007D7471"/>
    <w:rsid w:val="007D7F23"/>
    <w:rsid w:val="007E013E"/>
    <w:rsid w:val="007E047D"/>
    <w:rsid w:val="007E208E"/>
    <w:rsid w:val="007E24A2"/>
    <w:rsid w:val="007E578E"/>
    <w:rsid w:val="007E67EA"/>
    <w:rsid w:val="007E7683"/>
    <w:rsid w:val="007E7FFC"/>
    <w:rsid w:val="007F0FB9"/>
    <w:rsid w:val="007F101D"/>
    <w:rsid w:val="007F1DEE"/>
    <w:rsid w:val="007F2FB0"/>
    <w:rsid w:val="007F435C"/>
    <w:rsid w:val="007F49FA"/>
    <w:rsid w:val="007F5478"/>
    <w:rsid w:val="007F54C4"/>
    <w:rsid w:val="007F6E9A"/>
    <w:rsid w:val="007F77E8"/>
    <w:rsid w:val="00800B2B"/>
    <w:rsid w:val="00802D67"/>
    <w:rsid w:val="008044D4"/>
    <w:rsid w:val="008049DF"/>
    <w:rsid w:val="00810AB4"/>
    <w:rsid w:val="00810AD0"/>
    <w:rsid w:val="00810D2E"/>
    <w:rsid w:val="0081244E"/>
    <w:rsid w:val="00814621"/>
    <w:rsid w:val="00814BE8"/>
    <w:rsid w:val="008168E6"/>
    <w:rsid w:val="008176E9"/>
    <w:rsid w:val="00817832"/>
    <w:rsid w:val="00817B56"/>
    <w:rsid w:val="00821A88"/>
    <w:rsid w:val="00821B89"/>
    <w:rsid w:val="00822402"/>
    <w:rsid w:val="008225D3"/>
    <w:rsid w:val="00823181"/>
    <w:rsid w:val="008231A8"/>
    <w:rsid w:val="008233F8"/>
    <w:rsid w:val="0082495D"/>
    <w:rsid w:val="00826217"/>
    <w:rsid w:val="00826DAB"/>
    <w:rsid w:val="0082734F"/>
    <w:rsid w:val="00827968"/>
    <w:rsid w:val="00831AC3"/>
    <w:rsid w:val="00834470"/>
    <w:rsid w:val="00834899"/>
    <w:rsid w:val="008357F3"/>
    <w:rsid w:val="00835F34"/>
    <w:rsid w:val="00836BF7"/>
    <w:rsid w:val="00836F9B"/>
    <w:rsid w:val="00837ACE"/>
    <w:rsid w:val="008400CE"/>
    <w:rsid w:val="008400F3"/>
    <w:rsid w:val="00840108"/>
    <w:rsid w:val="008408FF"/>
    <w:rsid w:val="008409FA"/>
    <w:rsid w:val="008421F2"/>
    <w:rsid w:val="00851F3F"/>
    <w:rsid w:val="00852817"/>
    <w:rsid w:val="00854411"/>
    <w:rsid w:val="008569E7"/>
    <w:rsid w:val="00856EDC"/>
    <w:rsid w:val="00860A84"/>
    <w:rsid w:val="008623B5"/>
    <w:rsid w:val="00862581"/>
    <w:rsid w:val="00862E0E"/>
    <w:rsid w:val="00865A4F"/>
    <w:rsid w:val="0086639A"/>
    <w:rsid w:val="00866CEB"/>
    <w:rsid w:val="00867DFC"/>
    <w:rsid w:val="00870ABA"/>
    <w:rsid w:val="008710E1"/>
    <w:rsid w:val="008716E5"/>
    <w:rsid w:val="00873DAC"/>
    <w:rsid w:val="00877A64"/>
    <w:rsid w:val="00881527"/>
    <w:rsid w:val="00881CA9"/>
    <w:rsid w:val="00883628"/>
    <w:rsid w:val="00885544"/>
    <w:rsid w:val="008856C4"/>
    <w:rsid w:val="0088634E"/>
    <w:rsid w:val="00886CC7"/>
    <w:rsid w:val="008926CF"/>
    <w:rsid w:val="008926E6"/>
    <w:rsid w:val="00893AB8"/>
    <w:rsid w:val="00894BF2"/>
    <w:rsid w:val="008965B7"/>
    <w:rsid w:val="008A04C8"/>
    <w:rsid w:val="008A0549"/>
    <w:rsid w:val="008A075E"/>
    <w:rsid w:val="008A15A5"/>
    <w:rsid w:val="008A4895"/>
    <w:rsid w:val="008A6913"/>
    <w:rsid w:val="008B01F5"/>
    <w:rsid w:val="008B0CD8"/>
    <w:rsid w:val="008B1425"/>
    <w:rsid w:val="008B15D9"/>
    <w:rsid w:val="008B1C99"/>
    <w:rsid w:val="008B2B35"/>
    <w:rsid w:val="008B31AB"/>
    <w:rsid w:val="008B6536"/>
    <w:rsid w:val="008B66E4"/>
    <w:rsid w:val="008B70F3"/>
    <w:rsid w:val="008B73A1"/>
    <w:rsid w:val="008B76DF"/>
    <w:rsid w:val="008C0E9D"/>
    <w:rsid w:val="008C10F4"/>
    <w:rsid w:val="008C333B"/>
    <w:rsid w:val="008C478A"/>
    <w:rsid w:val="008C49E6"/>
    <w:rsid w:val="008C56CC"/>
    <w:rsid w:val="008C5E12"/>
    <w:rsid w:val="008C65F7"/>
    <w:rsid w:val="008C6F4E"/>
    <w:rsid w:val="008D035E"/>
    <w:rsid w:val="008D2749"/>
    <w:rsid w:val="008D30BC"/>
    <w:rsid w:val="008E1F40"/>
    <w:rsid w:val="008E4767"/>
    <w:rsid w:val="008E4D5F"/>
    <w:rsid w:val="008E50F3"/>
    <w:rsid w:val="008E6F43"/>
    <w:rsid w:val="008E7A8C"/>
    <w:rsid w:val="008F0067"/>
    <w:rsid w:val="008F08C8"/>
    <w:rsid w:val="008F1B62"/>
    <w:rsid w:val="008F2D60"/>
    <w:rsid w:val="008F2FFA"/>
    <w:rsid w:val="008F39EB"/>
    <w:rsid w:val="008F4B4E"/>
    <w:rsid w:val="008F606B"/>
    <w:rsid w:val="008F7667"/>
    <w:rsid w:val="00900B9A"/>
    <w:rsid w:val="00903285"/>
    <w:rsid w:val="009043D6"/>
    <w:rsid w:val="00905144"/>
    <w:rsid w:val="00905394"/>
    <w:rsid w:val="00905AEF"/>
    <w:rsid w:val="009066AD"/>
    <w:rsid w:val="00906F40"/>
    <w:rsid w:val="0090731E"/>
    <w:rsid w:val="0090743C"/>
    <w:rsid w:val="00907F86"/>
    <w:rsid w:val="00907FFE"/>
    <w:rsid w:val="00911323"/>
    <w:rsid w:val="009123E6"/>
    <w:rsid w:val="00912D88"/>
    <w:rsid w:val="00914387"/>
    <w:rsid w:val="00915162"/>
    <w:rsid w:val="00915B1C"/>
    <w:rsid w:val="00915FA2"/>
    <w:rsid w:val="009174F3"/>
    <w:rsid w:val="00917760"/>
    <w:rsid w:val="0091797D"/>
    <w:rsid w:val="00923993"/>
    <w:rsid w:val="00923CBA"/>
    <w:rsid w:val="0092570D"/>
    <w:rsid w:val="00926703"/>
    <w:rsid w:val="0092673A"/>
    <w:rsid w:val="00927691"/>
    <w:rsid w:val="00927A5F"/>
    <w:rsid w:val="00930C3F"/>
    <w:rsid w:val="00931C46"/>
    <w:rsid w:val="00933171"/>
    <w:rsid w:val="00933778"/>
    <w:rsid w:val="00933A81"/>
    <w:rsid w:val="0093457F"/>
    <w:rsid w:val="00935B63"/>
    <w:rsid w:val="00935BFF"/>
    <w:rsid w:val="00935D7C"/>
    <w:rsid w:val="00936D7A"/>
    <w:rsid w:val="00937F28"/>
    <w:rsid w:val="0094078F"/>
    <w:rsid w:val="00940FA3"/>
    <w:rsid w:val="0094144C"/>
    <w:rsid w:val="00941B80"/>
    <w:rsid w:val="00941FB0"/>
    <w:rsid w:val="009421D2"/>
    <w:rsid w:val="009426D4"/>
    <w:rsid w:val="00943B9E"/>
    <w:rsid w:val="0094475B"/>
    <w:rsid w:val="00947D37"/>
    <w:rsid w:val="00947E8B"/>
    <w:rsid w:val="00947F25"/>
    <w:rsid w:val="00950159"/>
    <w:rsid w:val="00950431"/>
    <w:rsid w:val="009512EF"/>
    <w:rsid w:val="0095490B"/>
    <w:rsid w:val="00954DDC"/>
    <w:rsid w:val="00955104"/>
    <w:rsid w:val="009558CE"/>
    <w:rsid w:val="0095703B"/>
    <w:rsid w:val="00960A33"/>
    <w:rsid w:val="00960ADB"/>
    <w:rsid w:val="00962FD4"/>
    <w:rsid w:val="0096416A"/>
    <w:rsid w:val="009642FE"/>
    <w:rsid w:val="009645C9"/>
    <w:rsid w:val="00964BF0"/>
    <w:rsid w:val="00966EBE"/>
    <w:rsid w:val="00971914"/>
    <w:rsid w:val="00972750"/>
    <w:rsid w:val="00973A63"/>
    <w:rsid w:val="00974363"/>
    <w:rsid w:val="00975284"/>
    <w:rsid w:val="00975991"/>
    <w:rsid w:val="009778BB"/>
    <w:rsid w:val="00980AEF"/>
    <w:rsid w:val="00980D00"/>
    <w:rsid w:val="00981178"/>
    <w:rsid w:val="00981898"/>
    <w:rsid w:val="00981B4D"/>
    <w:rsid w:val="00982687"/>
    <w:rsid w:val="00983890"/>
    <w:rsid w:val="00984E4D"/>
    <w:rsid w:val="00985E17"/>
    <w:rsid w:val="009867CC"/>
    <w:rsid w:val="00990778"/>
    <w:rsid w:val="0099577C"/>
    <w:rsid w:val="00997FA6"/>
    <w:rsid w:val="009A0105"/>
    <w:rsid w:val="009A0A01"/>
    <w:rsid w:val="009A293A"/>
    <w:rsid w:val="009A31A6"/>
    <w:rsid w:val="009A5CDE"/>
    <w:rsid w:val="009A5DEF"/>
    <w:rsid w:val="009A674F"/>
    <w:rsid w:val="009A6CFC"/>
    <w:rsid w:val="009B2601"/>
    <w:rsid w:val="009B2F69"/>
    <w:rsid w:val="009B33DC"/>
    <w:rsid w:val="009B4E9E"/>
    <w:rsid w:val="009B7ED6"/>
    <w:rsid w:val="009C1690"/>
    <w:rsid w:val="009C24EE"/>
    <w:rsid w:val="009C26EE"/>
    <w:rsid w:val="009C298A"/>
    <w:rsid w:val="009C2BE5"/>
    <w:rsid w:val="009C3064"/>
    <w:rsid w:val="009C4B10"/>
    <w:rsid w:val="009C5748"/>
    <w:rsid w:val="009C5F7A"/>
    <w:rsid w:val="009C6391"/>
    <w:rsid w:val="009C6881"/>
    <w:rsid w:val="009C6D23"/>
    <w:rsid w:val="009C6E37"/>
    <w:rsid w:val="009C759B"/>
    <w:rsid w:val="009C7759"/>
    <w:rsid w:val="009D043D"/>
    <w:rsid w:val="009D0484"/>
    <w:rsid w:val="009D07C8"/>
    <w:rsid w:val="009D21BB"/>
    <w:rsid w:val="009D4D26"/>
    <w:rsid w:val="009D5C7D"/>
    <w:rsid w:val="009D6C71"/>
    <w:rsid w:val="009D71D2"/>
    <w:rsid w:val="009E00F2"/>
    <w:rsid w:val="009E0631"/>
    <w:rsid w:val="009E164A"/>
    <w:rsid w:val="009E16D0"/>
    <w:rsid w:val="009E35C5"/>
    <w:rsid w:val="009E3694"/>
    <w:rsid w:val="009E38FD"/>
    <w:rsid w:val="009E39EC"/>
    <w:rsid w:val="009E3A02"/>
    <w:rsid w:val="009E541C"/>
    <w:rsid w:val="009E7B5E"/>
    <w:rsid w:val="009F0398"/>
    <w:rsid w:val="009F0DE2"/>
    <w:rsid w:val="009F13D6"/>
    <w:rsid w:val="009F21E2"/>
    <w:rsid w:val="009F365E"/>
    <w:rsid w:val="009F4A3A"/>
    <w:rsid w:val="009F4C6B"/>
    <w:rsid w:val="009F66F8"/>
    <w:rsid w:val="009F78A8"/>
    <w:rsid w:val="009F7ED1"/>
    <w:rsid w:val="00A00EDC"/>
    <w:rsid w:val="00A00F15"/>
    <w:rsid w:val="00A01AA0"/>
    <w:rsid w:val="00A02AD6"/>
    <w:rsid w:val="00A05660"/>
    <w:rsid w:val="00A06570"/>
    <w:rsid w:val="00A07096"/>
    <w:rsid w:val="00A07318"/>
    <w:rsid w:val="00A0783F"/>
    <w:rsid w:val="00A11370"/>
    <w:rsid w:val="00A16D5E"/>
    <w:rsid w:val="00A17520"/>
    <w:rsid w:val="00A17C35"/>
    <w:rsid w:val="00A207E7"/>
    <w:rsid w:val="00A21F69"/>
    <w:rsid w:val="00A224CE"/>
    <w:rsid w:val="00A22522"/>
    <w:rsid w:val="00A22A21"/>
    <w:rsid w:val="00A24AFD"/>
    <w:rsid w:val="00A24F5C"/>
    <w:rsid w:val="00A26529"/>
    <w:rsid w:val="00A32F96"/>
    <w:rsid w:val="00A3383B"/>
    <w:rsid w:val="00A33BC8"/>
    <w:rsid w:val="00A368FF"/>
    <w:rsid w:val="00A37936"/>
    <w:rsid w:val="00A40871"/>
    <w:rsid w:val="00A412AB"/>
    <w:rsid w:val="00A4193E"/>
    <w:rsid w:val="00A41BE8"/>
    <w:rsid w:val="00A422BA"/>
    <w:rsid w:val="00A4304E"/>
    <w:rsid w:val="00A43CC9"/>
    <w:rsid w:val="00A440E0"/>
    <w:rsid w:val="00A442EF"/>
    <w:rsid w:val="00A44595"/>
    <w:rsid w:val="00A460A2"/>
    <w:rsid w:val="00A46782"/>
    <w:rsid w:val="00A4685F"/>
    <w:rsid w:val="00A47FAE"/>
    <w:rsid w:val="00A50975"/>
    <w:rsid w:val="00A51D1A"/>
    <w:rsid w:val="00A51E9B"/>
    <w:rsid w:val="00A526EF"/>
    <w:rsid w:val="00A52892"/>
    <w:rsid w:val="00A538D5"/>
    <w:rsid w:val="00A5418D"/>
    <w:rsid w:val="00A5424D"/>
    <w:rsid w:val="00A5474E"/>
    <w:rsid w:val="00A54E35"/>
    <w:rsid w:val="00A60BDB"/>
    <w:rsid w:val="00A61BD1"/>
    <w:rsid w:val="00A62DDC"/>
    <w:rsid w:val="00A66344"/>
    <w:rsid w:val="00A70ADF"/>
    <w:rsid w:val="00A70C0B"/>
    <w:rsid w:val="00A70F75"/>
    <w:rsid w:val="00A71466"/>
    <w:rsid w:val="00A728A8"/>
    <w:rsid w:val="00A7490D"/>
    <w:rsid w:val="00A74B5E"/>
    <w:rsid w:val="00A74E32"/>
    <w:rsid w:val="00A8072C"/>
    <w:rsid w:val="00A80A31"/>
    <w:rsid w:val="00A80D3D"/>
    <w:rsid w:val="00A81BED"/>
    <w:rsid w:val="00A81EC4"/>
    <w:rsid w:val="00A82A58"/>
    <w:rsid w:val="00A85966"/>
    <w:rsid w:val="00A90B9D"/>
    <w:rsid w:val="00A95FA8"/>
    <w:rsid w:val="00A967FD"/>
    <w:rsid w:val="00A96B84"/>
    <w:rsid w:val="00A96D42"/>
    <w:rsid w:val="00AA08A9"/>
    <w:rsid w:val="00AA4118"/>
    <w:rsid w:val="00AA537A"/>
    <w:rsid w:val="00AA56D2"/>
    <w:rsid w:val="00AA5C32"/>
    <w:rsid w:val="00AA5FFF"/>
    <w:rsid w:val="00AA763F"/>
    <w:rsid w:val="00AA7E1D"/>
    <w:rsid w:val="00AB10B2"/>
    <w:rsid w:val="00AB156C"/>
    <w:rsid w:val="00AB2BA2"/>
    <w:rsid w:val="00AB32AA"/>
    <w:rsid w:val="00AB4C55"/>
    <w:rsid w:val="00AB63A2"/>
    <w:rsid w:val="00AB6814"/>
    <w:rsid w:val="00AC04BA"/>
    <w:rsid w:val="00AC0E39"/>
    <w:rsid w:val="00AC1ABA"/>
    <w:rsid w:val="00AC2F3C"/>
    <w:rsid w:val="00AC30ED"/>
    <w:rsid w:val="00AC3BA0"/>
    <w:rsid w:val="00AC442B"/>
    <w:rsid w:val="00AC73D0"/>
    <w:rsid w:val="00AD13A4"/>
    <w:rsid w:val="00AD3082"/>
    <w:rsid w:val="00AD4902"/>
    <w:rsid w:val="00AD4AD0"/>
    <w:rsid w:val="00AD5436"/>
    <w:rsid w:val="00AD60CD"/>
    <w:rsid w:val="00AD6C8C"/>
    <w:rsid w:val="00AD6DBF"/>
    <w:rsid w:val="00AD7577"/>
    <w:rsid w:val="00AE02A1"/>
    <w:rsid w:val="00AE091D"/>
    <w:rsid w:val="00AE3552"/>
    <w:rsid w:val="00AE3B60"/>
    <w:rsid w:val="00AE5141"/>
    <w:rsid w:val="00AE53A1"/>
    <w:rsid w:val="00AE543E"/>
    <w:rsid w:val="00AE65AC"/>
    <w:rsid w:val="00AF2484"/>
    <w:rsid w:val="00AF63E7"/>
    <w:rsid w:val="00AF6E17"/>
    <w:rsid w:val="00B0165D"/>
    <w:rsid w:val="00B01B60"/>
    <w:rsid w:val="00B01C7F"/>
    <w:rsid w:val="00B01D2C"/>
    <w:rsid w:val="00B031F3"/>
    <w:rsid w:val="00B0353E"/>
    <w:rsid w:val="00B052A4"/>
    <w:rsid w:val="00B07C0A"/>
    <w:rsid w:val="00B11E0F"/>
    <w:rsid w:val="00B125C2"/>
    <w:rsid w:val="00B125DE"/>
    <w:rsid w:val="00B13AA3"/>
    <w:rsid w:val="00B13FDD"/>
    <w:rsid w:val="00B1472C"/>
    <w:rsid w:val="00B151D7"/>
    <w:rsid w:val="00B16C0A"/>
    <w:rsid w:val="00B227A4"/>
    <w:rsid w:val="00B227C3"/>
    <w:rsid w:val="00B22EB2"/>
    <w:rsid w:val="00B235F0"/>
    <w:rsid w:val="00B24AE5"/>
    <w:rsid w:val="00B24FC3"/>
    <w:rsid w:val="00B25D11"/>
    <w:rsid w:val="00B269AB"/>
    <w:rsid w:val="00B27442"/>
    <w:rsid w:val="00B31167"/>
    <w:rsid w:val="00B329D8"/>
    <w:rsid w:val="00B32BB9"/>
    <w:rsid w:val="00B33849"/>
    <w:rsid w:val="00B33AE1"/>
    <w:rsid w:val="00B37698"/>
    <w:rsid w:val="00B37C38"/>
    <w:rsid w:val="00B41EB7"/>
    <w:rsid w:val="00B4288C"/>
    <w:rsid w:val="00B43262"/>
    <w:rsid w:val="00B44100"/>
    <w:rsid w:val="00B45D57"/>
    <w:rsid w:val="00B468A9"/>
    <w:rsid w:val="00B46CBA"/>
    <w:rsid w:val="00B46F94"/>
    <w:rsid w:val="00B4706E"/>
    <w:rsid w:val="00B506BF"/>
    <w:rsid w:val="00B525FC"/>
    <w:rsid w:val="00B530CC"/>
    <w:rsid w:val="00B565FE"/>
    <w:rsid w:val="00B56654"/>
    <w:rsid w:val="00B56825"/>
    <w:rsid w:val="00B56C8A"/>
    <w:rsid w:val="00B6003C"/>
    <w:rsid w:val="00B61F03"/>
    <w:rsid w:val="00B624AC"/>
    <w:rsid w:val="00B626E4"/>
    <w:rsid w:val="00B62A3C"/>
    <w:rsid w:val="00B643C8"/>
    <w:rsid w:val="00B6607E"/>
    <w:rsid w:val="00B66FD1"/>
    <w:rsid w:val="00B670ED"/>
    <w:rsid w:val="00B6734C"/>
    <w:rsid w:val="00B676B9"/>
    <w:rsid w:val="00B720CD"/>
    <w:rsid w:val="00B72282"/>
    <w:rsid w:val="00B728A0"/>
    <w:rsid w:val="00B72F4A"/>
    <w:rsid w:val="00B73148"/>
    <w:rsid w:val="00B735D2"/>
    <w:rsid w:val="00B740E9"/>
    <w:rsid w:val="00B742FA"/>
    <w:rsid w:val="00B75DD1"/>
    <w:rsid w:val="00B76642"/>
    <w:rsid w:val="00B81B43"/>
    <w:rsid w:val="00B8269E"/>
    <w:rsid w:val="00B83123"/>
    <w:rsid w:val="00B83C27"/>
    <w:rsid w:val="00B8410E"/>
    <w:rsid w:val="00B84BC3"/>
    <w:rsid w:val="00B84BDD"/>
    <w:rsid w:val="00B87DEC"/>
    <w:rsid w:val="00B903E5"/>
    <w:rsid w:val="00B90616"/>
    <w:rsid w:val="00B9156A"/>
    <w:rsid w:val="00B92812"/>
    <w:rsid w:val="00B952A3"/>
    <w:rsid w:val="00BA562F"/>
    <w:rsid w:val="00BA58B5"/>
    <w:rsid w:val="00BA601E"/>
    <w:rsid w:val="00BB002A"/>
    <w:rsid w:val="00BB00AF"/>
    <w:rsid w:val="00BB17B7"/>
    <w:rsid w:val="00BB3022"/>
    <w:rsid w:val="00BB45A1"/>
    <w:rsid w:val="00BB5457"/>
    <w:rsid w:val="00BB7686"/>
    <w:rsid w:val="00BC0639"/>
    <w:rsid w:val="00BC108B"/>
    <w:rsid w:val="00BC1D7D"/>
    <w:rsid w:val="00BC23F9"/>
    <w:rsid w:val="00BC3421"/>
    <w:rsid w:val="00BC3B2C"/>
    <w:rsid w:val="00BC4D1E"/>
    <w:rsid w:val="00BC53E4"/>
    <w:rsid w:val="00BC5A7C"/>
    <w:rsid w:val="00BC5D35"/>
    <w:rsid w:val="00BC60BE"/>
    <w:rsid w:val="00BC732C"/>
    <w:rsid w:val="00BC7596"/>
    <w:rsid w:val="00BC7617"/>
    <w:rsid w:val="00BD08B8"/>
    <w:rsid w:val="00BD0988"/>
    <w:rsid w:val="00BD1F02"/>
    <w:rsid w:val="00BD5689"/>
    <w:rsid w:val="00BE0388"/>
    <w:rsid w:val="00BE1B22"/>
    <w:rsid w:val="00BE2580"/>
    <w:rsid w:val="00BE266D"/>
    <w:rsid w:val="00BE3938"/>
    <w:rsid w:val="00BE4C11"/>
    <w:rsid w:val="00BE713E"/>
    <w:rsid w:val="00BE71C0"/>
    <w:rsid w:val="00BE73AB"/>
    <w:rsid w:val="00BE7A77"/>
    <w:rsid w:val="00BF13E1"/>
    <w:rsid w:val="00BF23E2"/>
    <w:rsid w:val="00BF3A38"/>
    <w:rsid w:val="00BF3D46"/>
    <w:rsid w:val="00BF5BA6"/>
    <w:rsid w:val="00BF610C"/>
    <w:rsid w:val="00BF6233"/>
    <w:rsid w:val="00BF6A61"/>
    <w:rsid w:val="00BF78DF"/>
    <w:rsid w:val="00C0060B"/>
    <w:rsid w:val="00C00B8E"/>
    <w:rsid w:val="00C00D25"/>
    <w:rsid w:val="00C0277D"/>
    <w:rsid w:val="00C028E4"/>
    <w:rsid w:val="00C040D1"/>
    <w:rsid w:val="00C041C4"/>
    <w:rsid w:val="00C0523D"/>
    <w:rsid w:val="00C053A1"/>
    <w:rsid w:val="00C064BB"/>
    <w:rsid w:val="00C12533"/>
    <w:rsid w:val="00C1397C"/>
    <w:rsid w:val="00C1498C"/>
    <w:rsid w:val="00C16198"/>
    <w:rsid w:val="00C16EB7"/>
    <w:rsid w:val="00C2083D"/>
    <w:rsid w:val="00C20859"/>
    <w:rsid w:val="00C20F1A"/>
    <w:rsid w:val="00C20FA4"/>
    <w:rsid w:val="00C228CE"/>
    <w:rsid w:val="00C22BEB"/>
    <w:rsid w:val="00C24404"/>
    <w:rsid w:val="00C24A53"/>
    <w:rsid w:val="00C25D27"/>
    <w:rsid w:val="00C27247"/>
    <w:rsid w:val="00C27A1E"/>
    <w:rsid w:val="00C34A05"/>
    <w:rsid w:val="00C34F41"/>
    <w:rsid w:val="00C35BBD"/>
    <w:rsid w:val="00C379FC"/>
    <w:rsid w:val="00C4032F"/>
    <w:rsid w:val="00C41ED1"/>
    <w:rsid w:val="00C431D5"/>
    <w:rsid w:val="00C44047"/>
    <w:rsid w:val="00C44542"/>
    <w:rsid w:val="00C45155"/>
    <w:rsid w:val="00C46DF5"/>
    <w:rsid w:val="00C51022"/>
    <w:rsid w:val="00C510CA"/>
    <w:rsid w:val="00C52D68"/>
    <w:rsid w:val="00C53810"/>
    <w:rsid w:val="00C53FD6"/>
    <w:rsid w:val="00C5498F"/>
    <w:rsid w:val="00C55235"/>
    <w:rsid w:val="00C55928"/>
    <w:rsid w:val="00C600B9"/>
    <w:rsid w:val="00C600DD"/>
    <w:rsid w:val="00C60778"/>
    <w:rsid w:val="00C60A2B"/>
    <w:rsid w:val="00C634DE"/>
    <w:rsid w:val="00C64CD0"/>
    <w:rsid w:val="00C652F2"/>
    <w:rsid w:val="00C6684F"/>
    <w:rsid w:val="00C67383"/>
    <w:rsid w:val="00C70E70"/>
    <w:rsid w:val="00C72001"/>
    <w:rsid w:val="00C72214"/>
    <w:rsid w:val="00C72EC4"/>
    <w:rsid w:val="00C73439"/>
    <w:rsid w:val="00C739A8"/>
    <w:rsid w:val="00C74356"/>
    <w:rsid w:val="00C75F8D"/>
    <w:rsid w:val="00C760C1"/>
    <w:rsid w:val="00C77380"/>
    <w:rsid w:val="00C808BB"/>
    <w:rsid w:val="00C80E2F"/>
    <w:rsid w:val="00C81456"/>
    <w:rsid w:val="00C86087"/>
    <w:rsid w:val="00C86AFF"/>
    <w:rsid w:val="00C8772A"/>
    <w:rsid w:val="00C87AB3"/>
    <w:rsid w:val="00C92367"/>
    <w:rsid w:val="00C936FA"/>
    <w:rsid w:val="00C940EA"/>
    <w:rsid w:val="00C94715"/>
    <w:rsid w:val="00C95564"/>
    <w:rsid w:val="00C95F8D"/>
    <w:rsid w:val="00C96C83"/>
    <w:rsid w:val="00C97736"/>
    <w:rsid w:val="00C9794E"/>
    <w:rsid w:val="00CA0294"/>
    <w:rsid w:val="00CA2593"/>
    <w:rsid w:val="00CA2E4D"/>
    <w:rsid w:val="00CA345A"/>
    <w:rsid w:val="00CA36D1"/>
    <w:rsid w:val="00CB05B9"/>
    <w:rsid w:val="00CB0C93"/>
    <w:rsid w:val="00CB14E0"/>
    <w:rsid w:val="00CB1B19"/>
    <w:rsid w:val="00CB1E82"/>
    <w:rsid w:val="00CB2864"/>
    <w:rsid w:val="00CB3A00"/>
    <w:rsid w:val="00CB4BA8"/>
    <w:rsid w:val="00CB4BF6"/>
    <w:rsid w:val="00CB52D7"/>
    <w:rsid w:val="00CB5434"/>
    <w:rsid w:val="00CB5855"/>
    <w:rsid w:val="00CB5F45"/>
    <w:rsid w:val="00CB6463"/>
    <w:rsid w:val="00CB763D"/>
    <w:rsid w:val="00CC02A3"/>
    <w:rsid w:val="00CC033B"/>
    <w:rsid w:val="00CC035D"/>
    <w:rsid w:val="00CC3FC3"/>
    <w:rsid w:val="00CC4826"/>
    <w:rsid w:val="00CC497C"/>
    <w:rsid w:val="00CC4B05"/>
    <w:rsid w:val="00CC6732"/>
    <w:rsid w:val="00CC78AB"/>
    <w:rsid w:val="00CD08E7"/>
    <w:rsid w:val="00CD1FAC"/>
    <w:rsid w:val="00CD22E1"/>
    <w:rsid w:val="00CD364F"/>
    <w:rsid w:val="00CD3F4F"/>
    <w:rsid w:val="00CD4B3C"/>
    <w:rsid w:val="00CE325D"/>
    <w:rsid w:val="00CE3C96"/>
    <w:rsid w:val="00CE4BCB"/>
    <w:rsid w:val="00CE51A8"/>
    <w:rsid w:val="00CE6C7B"/>
    <w:rsid w:val="00CE6D6B"/>
    <w:rsid w:val="00CE74FA"/>
    <w:rsid w:val="00CF13D3"/>
    <w:rsid w:val="00CF369B"/>
    <w:rsid w:val="00CF6458"/>
    <w:rsid w:val="00D00766"/>
    <w:rsid w:val="00D00ABE"/>
    <w:rsid w:val="00D00E28"/>
    <w:rsid w:val="00D0117B"/>
    <w:rsid w:val="00D022CD"/>
    <w:rsid w:val="00D0269E"/>
    <w:rsid w:val="00D03047"/>
    <w:rsid w:val="00D04C57"/>
    <w:rsid w:val="00D07051"/>
    <w:rsid w:val="00D07D48"/>
    <w:rsid w:val="00D1154E"/>
    <w:rsid w:val="00D12BA3"/>
    <w:rsid w:val="00D13CEA"/>
    <w:rsid w:val="00D1484C"/>
    <w:rsid w:val="00D14C1D"/>
    <w:rsid w:val="00D15088"/>
    <w:rsid w:val="00D15810"/>
    <w:rsid w:val="00D16B6C"/>
    <w:rsid w:val="00D16D4E"/>
    <w:rsid w:val="00D16FE3"/>
    <w:rsid w:val="00D202A2"/>
    <w:rsid w:val="00D2095A"/>
    <w:rsid w:val="00D20BEE"/>
    <w:rsid w:val="00D22742"/>
    <w:rsid w:val="00D246D7"/>
    <w:rsid w:val="00D248BC"/>
    <w:rsid w:val="00D2697A"/>
    <w:rsid w:val="00D2703C"/>
    <w:rsid w:val="00D27F41"/>
    <w:rsid w:val="00D31B90"/>
    <w:rsid w:val="00D320FE"/>
    <w:rsid w:val="00D3238C"/>
    <w:rsid w:val="00D33D86"/>
    <w:rsid w:val="00D34B38"/>
    <w:rsid w:val="00D36441"/>
    <w:rsid w:val="00D37CBC"/>
    <w:rsid w:val="00D4064E"/>
    <w:rsid w:val="00D40A36"/>
    <w:rsid w:val="00D44527"/>
    <w:rsid w:val="00D4498D"/>
    <w:rsid w:val="00D44E9B"/>
    <w:rsid w:val="00D460E8"/>
    <w:rsid w:val="00D47AEB"/>
    <w:rsid w:val="00D50614"/>
    <w:rsid w:val="00D50DB9"/>
    <w:rsid w:val="00D51302"/>
    <w:rsid w:val="00D517D2"/>
    <w:rsid w:val="00D51B5A"/>
    <w:rsid w:val="00D52C43"/>
    <w:rsid w:val="00D53829"/>
    <w:rsid w:val="00D538A0"/>
    <w:rsid w:val="00D540F8"/>
    <w:rsid w:val="00D55425"/>
    <w:rsid w:val="00D6107C"/>
    <w:rsid w:val="00D62DE7"/>
    <w:rsid w:val="00D63272"/>
    <w:rsid w:val="00D6328A"/>
    <w:rsid w:val="00D63DBA"/>
    <w:rsid w:val="00D64730"/>
    <w:rsid w:val="00D6507F"/>
    <w:rsid w:val="00D6544B"/>
    <w:rsid w:val="00D654A7"/>
    <w:rsid w:val="00D67259"/>
    <w:rsid w:val="00D719EB"/>
    <w:rsid w:val="00D730BC"/>
    <w:rsid w:val="00D73912"/>
    <w:rsid w:val="00D75BFB"/>
    <w:rsid w:val="00D77E4F"/>
    <w:rsid w:val="00D81321"/>
    <w:rsid w:val="00D84D40"/>
    <w:rsid w:val="00D85226"/>
    <w:rsid w:val="00D87A77"/>
    <w:rsid w:val="00D87B80"/>
    <w:rsid w:val="00D87B94"/>
    <w:rsid w:val="00D87E8A"/>
    <w:rsid w:val="00D903DF"/>
    <w:rsid w:val="00D92D49"/>
    <w:rsid w:val="00D92EC1"/>
    <w:rsid w:val="00D9694E"/>
    <w:rsid w:val="00D96DEA"/>
    <w:rsid w:val="00D9770B"/>
    <w:rsid w:val="00D97E87"/>
    <w:rsid w:val="00DA23DF"/>
    <w:rsid w:val="00DA28E2"/>
    <w:rsid w:val="00DA2A20"/>
    <w:rsid w:val="00DA2E20"/>
    <w:rsid w:val="00DA32C8"/>
    <w:rsid w:val="00DA4E41"/>
    <w:rsid w:val="00DA526C"/>
    <w:rsid w:val="00DA540E"/>
    <w:rsid w:val="00DA6310"/>
    <w:rsid w:val="00DA6547"/>
    <w:rsid w:val="00DA6A48"/>
    <w:rsid w:val="00DA7B8E"/>
    <w:rsid w:val="00DB0D1D"/>
    <w:rsid w:val="00DB117A"/>
    <w:rsid w:val="00DB5173"/>
    <w:rsid w:val="00DB6354"/>
    <w:rsid w:val="00DB7873"/>
    <w:rsid w:val="00DC065B"/>
    <w:rsid w:val="00DC0851"/>
    <w:rsid w:val="00DC1367"/>
    <w:rsid w:val="00DC187B"/>
    <w:rsid w:val="00DC4235"/>
    <w:rsid w:val="00DC5A6B"/>
    <w:rsid w:val="00DC65D4"/>
    <w:rsid w:val="00DC6C8F"/>
    <w:rsid w:val="00DC7EF9"/>
    <w:rsid w:val="00DD15C3"/>
    <w:rsid w:val="00DD2322"/>
    <w:rsid w:val="00DD73C2"/>
    <w:rsid w:val="00DE319B"/>
    <w:rsid w:val="00DE4830"/>
    <w:rsid w:val="00DE5516"/>
    <w:rsid w:val="00DE6625"/>
    <w:rsid w:val="00DF1977"/>
    <w:rsid w:val="00DF2084"/>
    <w:rsid w:val="00DF34FE"/>
    <w:rsid w:val="00DF3658"/>
    <w:rsid w:val="00DF3DA0"/>
    <w:rsid w:val="00DF4E26"/>
    <w:rsid w:val="00DF56AA"/>
    <w:rsid w:val="00DF56AF"/>
    <w:rsid w:val="00DF5F39"/>
    <w:rsid w:val="00DF71CA"/>
    <w:rsid w:val="00DF78E7"/>
    <w:rsid w:val="00DF7A8A"/>
    <w:rsid w:val="00DF7DBB"/>
    <w:rsid w:val="00E028CE"/>
    <w:rsid w:val="00E02F81"/>
    <w:rsid w:val="00E03C32"/>
    <w:rsid w:val="00E04227"/>
    <w:rsid w:val="00E06FD8"/>
    <w:rsid w:val="00E110E0"/>
    <w:rsid w:val="00E1283A"/>
    <w:rsid w:val="00E14E63"/>
    <w:rsid w:val="00E15371"/>
    <w:rsid w:val="00E156C6"/>
    <w:rsid w:val="00E16B05"/>
    <w:rsid w:val="00E21604"/>
    <w:rsid w:val="00E2230A"/>
    <w:rsid w:val="00E24104"/>
    <w:rsid w:val="00E24B61"/>
    <w:rsid w:val="00E254E6"/>
    <w:rsid w:val="00E27000"/>
    <w:rsid w:val="00E302D0"/>
    <w:rsid w:val="00E32B00"/>
    <w:rsid w:val="00E333FB"/>
    <w:rsid w:val="00E3366D"/>
    <w:rsid w:val="00E34BD0"/>
    <w:rsid w:val="00E35707"/>
    <w:rsid w:val="00E36AA1"/>
    <w:rsid w:val="00E4199D"/>
    <w:rsid w:val="00E41ECB"/>
    <w:rsid w:val="00E42CBD"/>
    <w:rsid w:val="00E446DC"/>
    <w:rsid w:val="00E46308"/>
    <w:rsid w:val="00E47CAD"/>
    <w:rsid w:val="00E503D4"/>
    <w:rsid w:val="00E53901"/>
    <w:rsid w:val="00E53CAE"/>
    <w:rsid w:val="00E54275"/>
    <w:rsid w:val="00E54FDB"/>
    <w:rsid w:val="00E55891"/>
    <w:rsid w:val="00E55DCB"/>
    <w:rsid w:val="00E5617D"/>
    <w:rsid w:val="00E563D7"/>
    <w:rsid w:val="00E57D10"/>
    <w:rsid w:val="00E603AF"/>
    <w:rsid w:val="00E60C73"/>
    <w:rsid w:val="00E61CDB"/>
    <w:rsid w:val="00E62C3B"/>
    <w:rsid w:val="00E640B8"/>
    <w:rsid w:val="00E64DB5"/>
    <w:rsid w:val="00E64EE6"/>
    <w:rsid w:val="00E650AE"/>
    <w:rsid w:val="00E663F4"/>
    <w:rsid w:val="00E666F2"/>
    <w:rsid w:val="00E66829"/>
    <w:rsid w:val="00E66DD4"/>
    <w:rsid w:val="00E67870"/>
    <w:rsid w:val="00E73337"/>
    <w:rsid w:val="00E73F89"/>
    <w:rsid w:val="00E748CC"/>
    <w:rsid w:val="00E75402"/>
    <w:rsid w:val="00E75415"/>
    <w:rsid w:val="00E75BA7"/>
    <w:rsid w:val="00E7682B"/>
    <w:rsid w:val="00E775B1"/>
    <w:rsid w:val="00E77F15"/>
    <w:rsid w:val="00E8152A"/>
    <w:rsid w:val="00E81A1C"/>
    <w:rsid w:val="00E82A12"/>
    <w:rsid w:val="00E84F87"/>
    <w:rsid w:val="00E86C59"/>
    <w:rsid w:val="00E9124E"/>
    <w:rsid w:val="00E91E94"/>
    <w:rsid w:val="00E93629"/>
    <w:rsid w:val="00E93B1F"/>
    <w:rsid w:val="00E93B5C"/>
    <w:rsid w:val="00E94C4D"/>
    <w:rsid w:val="00E94CEC"/>
    <w:rsid w:val="00E95555"/>
    <w:rsid w:val="00EA02F0"/>
    <w:rsid w:val="00EA04EF"/>
    <w:rsid w:val="00EA076E"/>
    <w:rsid w:val="00EA125C"/>
    <w:rsid w:val="00EA13A8"/>
    <w:rsid w:val="00EA375F"/>
    <w:rsid w:val="00EA43A0"/>
    <w:rsid w:val="00EA6AF6"/>
    <w:rsid w:val="00EA6F19"/>
    <w:rsid w:val="00EA7A4A"/>
    <w:rsid w:val="00EA7CB2"/>
    <w:rsid w:val="00EB1420"/>
    <w:rsid w:val="00EB1769"/>
    <w:rsid w:val="00EB1F87"/>
    <w:rsid w:val="00EB3151"/>
    <w:rsid w:val="00EB37B7"/>
    <w:rsid w:val="00EB6BE0"/>
    <w:rsid w:val="00EB7090"/>
    <w:rsid w:val="00EC1BBE"/>
    <w:rsid w:val="00EC3F66"/>
    <w:rsid w:val="00EC4957"/>
    <w:rsid w:val="00EC4A8C"/>
    <w:rsid w:val="00EC5CD7"/>
    <w:rsid w:val="00ED0A24"/>
    <w:rsid w:val="00ED1001"/>
    <w:rsid w:val="00ED1E78"/>
    <w:rsid w:val="00ED202B"/>
    <w:rsid w:val="00ED4111"/>
    <w:rsid w:val="00ED49B0"/>
    <w:rsid w:val="00ED4E8B"/>
    <w:rsid w:val="00ED7D71"/>
    <w:rsid w:val="00EE101C"/>
    <w:rsid w:val="00EE11D1"/>
    <w:rsid w:val="00EE5FB3"/>
    <w:rsid w:val="00EE7373"/>
    <w:rsid w:val="00EE7F79"/>
    <w:rsid w:val="00EF050B"/>
    <w:rsid w:val="00EF1296"/>
    <w:rsid w:val="00EF2A30"/>
    <w:rsid w:val="00EF435C"/>
    <w:rsid w:val="00EF50EF"/>
    <w:rsid w:val="00EF562E"/>
    <w:rsid w:val="00EF715A"/>
    <w:rsid w:val="00EF728C"/>
    <w:rsid w:val="00EF72A9"/>
    <w:rsid w:val="00EF73E4"/>
    <w:rsid w:val="00EF7B81"/>
    <w:rsid w:val="00F00348"/>
    <w:rsid w:val="00F00FDD"/>
    <w:rsid w:val="00F01248"/>
    <w:rsid w:val="00F01E7C"/>
    <w:rsid w:val="00F06E14"/>
    <w:rsid w:val="00F07D62"/>
    <w:rsid w:val="00F13820"/>
    <w:rsid w:val="00F1452A"/>
    <w:rsid w:val="00F15016"/>
    <w:rsid w:val="00F15CFC"/>
    <w:rsid w:val="00F1750D"/>
    <w:rsid w:val="00F17832"/>
    <w:rsid w:val="00F179D4"/>
    <w:rsid w:val="00F2164E"/>
    <w:rsid w:val="00F21F2F"/>
    <w:rsid w:val="00F22F99"/>
    <w:rsid w:val="00F240D8"/>
    <w:rsid w:val="00F24996"/>
    <w:rsid w:val="00F25667"/>
    <w:rsid w:val="00F26B8D"/>
    <w:rsid w:val="00F31298"/>
    <w:rsid w:val="00F31DA6"/>
    <w:rsid w:val="00F333B9"/>
    <w:rsid w:val="00F33C56"/>
    <w:rsid w:val="00F33FC6"/>
    <w:rsid w:val="00F347C7"/>
    <w:rsid w:val="00F34848"/>
    <w:rsid w:val="00F358DE"/>
    <w:rsid w:val="00F36D2B"/>
    <w:rsid w:val="00F37234"/>
    <w:rsid w:val="00F406D3"/>
    <w:rsid w:val="00F41097"/>
    <w:rsid w:val="00F4161B"/>
    <w:rsid w:val="00F42D46"/>
    <w:rsid w:val="00F4496C"/>
    <w:rsid w:val="00F44F3A"/>
    <w:rsid w:val="00F46358"/>
    <w:rsid w:val="00F46F85"/>
    <w:rsid w:val="00F47B4E"/>
    <w:rsid w:val="00F511A2"/>
    <w:rsid w:val="00F51F10"/>
    <w:rsid w:val="00F529A5"/>
    <w:rsid w:val="00F53F6A"/>
    <w:rsid w:val="00F54017"/>
    <w:rsid w:val="00F54DD3"/>
    <w:rsid w:val="00F55C90"/>
    <w:rsid w:val="00F56055"/>
    <w:rsid w:val="00F5704D"/>
    <w:rsid w:val="00F60930"/>
    <w:rsid w:val="00F60E57"/>
    <w:rsid w:val="00F60F00"/>
    <w:rsid w:val="00F614C0"/>
    <w:rsid w:val="00F62227"/>
    <w:rsid w:val="00F628FD"/>
    <w:rsid w:val="00F645D8"/>
    <w:rsid w:val="00F64EB9"/>
    <w:rsid w:val="00F67E55"/>
    <w:rsid w:val="00F71133"/>
    <w:rsid w:val="00F71800"/>
    <w:rsid w:val="00F722B1"/>
    <w:rsid w:val="00F73968"/>
    <w:rsid w:val="00F77E74"/>
    <w:rsid w:val="00F80EC9"/>
    <w:rsid w:val="00F83848"/>
    <w:rsid w:val="00F8490F"/>
    <w:rsid w:val="00F8573D"/>
    <w:rsid w:val="00F85A9F"/>
    <w:rsid w:val="00F9235B"/>
    <w:rsid w:val="00F92C6F"/>
    <w:rsid w:val="00F94039"/>
    <w:rsid w:val="00F94876"/>
    <w:rsid w:val="00F96FE1"/>
    <w:rsid w:val="00F975E9"/>
    <w:rsid w:val="00FA09C4"/>
    <w:rsid w:val="00FA1B7D"/>
    <w:rsid w:val="00FA6469"/>
    <w:rsid w:val="00FA6EC0"/>
    <w:rsid w:val="00FB014A"/>
    <w:rsid w:val="00FB331E"/>
    <w:rsid w:val="00FB3529"/>
    <w:rsid w:val="00FB3E40"/>
    <w:rsid w:val="00FB5420"/>
    <w:rsid w:val="00FB77E1"/>
    <w:rsid w:val="00FC07B9"/>
    <w:rsid w:val="00FC2657"/>
    <w:rsid w:val="00FC426A"/>
    <w:rsid w:val="00FC47CD"/>
    <w:rsid w:val="00FC493F"/>
    <w:rsid w:val="00FC4E21"/>
    <w:rsid w:val="00FC5F02"/>
    <w:rsid w:val="00FC5F6D"/>
    <w:rsid w:val="00FC605B"/>
    <w:rsid w:val="00FC6E69"/>
    <w:rsid w:val="00FC7362"/>
    <w:rsid w:val="00FC7EC7"/>
    <w:rsid w:val="00FD0107"/>
    <w:rsid w:val="00FD2AF7"/>
    <w:rsid w:val="00FD2C2F"/>
    <w:rsid w:val="00FD2CE8"/>
    <w:rsid w:val="00FD3B31"/>
    <w:rsid w:val="00FD4BAA"/>
    <w:rsid w:val="00FD51CD"/>
    <w:rsid w:val="00FE10C3"/>
    <w:rsid w:val="00FE162E"/>
    <w:rsid w:val="00FE1823"/>
    <w:rsid w:val="00FE1C65"/>
    <w:rsid w:val="00FE2369"/>
    <w:rsid w:val="00FE30E5"/>
    <w:rsid w:val="00FE3170"/>
    <w:rsid w:val="00FE429F"/>
    <w:rsid w:val="00FE487A"/>
    <w:rsid w:val="00FE6D7F"/>
    <w:rsid w:val="00FE775A"/>
    <w:rsid w:val="00FE7F31"/>
    <w:rsid w:val="00FF03E2"/>
    <w:rsid w:val="00FF0569"/>
    <w:rsid w:val="00FF206E"/>
    <w:rsid w:val="00FF3229"/>
    <w:rsid w:val="00FF3C69"/>
    <w:rsid w:val="00FF3F39"/>
    <w:rsid w:val="00FF452D"/>
    <w:rsid w:val="00FF6E0A"/>
    <w:rsid w:val="00FF765D"/>
    <w:rsid w:val="00FF7BDF"/>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red,#4d4d4f"/>
    </o:shapedefaults>
    <o:shapelayout v:ext="edit">
      <o:idmap v:ext="edit" data="1"/>
    </o:shapelayout>
  </w:shapeDefaults>
  <w:decimalSymbol w:val="."/>
  <w:listSeparator w:val=","/>
  <w14:docId w14:val="248D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qFormat="1"/>
    <w:lsdException w:name="Bibliography" w:semiHidden="1" w:unhideWhenUsed="1"/>
    <w:lsdException w:name="TOC Heading" w:semiHidden="1"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aliases w:val="RIS Heading 1"/>
    <w:basedOn w:val="Normal"/>
    <w:next w:val="Normal"/>
    <w:link w:val="Heading1Char"/>
    <w:qFormat/>
    <w:rsid w:val="00911323"/>
    <w:pPr>
      <w:keepNext/>
      <w:pageBreakBefore/>
      <w:widowControl w:val="0"/>
      <w:spacing w:after="360" w:line="550" w:lineRule="exact"/>
      <w:outlineLvl w:val="0"/>
    </w:pPr>
    <w:rPr>
      <w:rFonts w:cs="Arial"/>
      <w:bCs/>
      <w:color w:val="323232"/>
      <w:kern w:val="32"/>
      <w:sz w:val="53"/>
      <w:szCs w:val="32"/>
    </w:rPr>
  </w:style>
  <w:style w:type="paragraph" w:styleId="Heading2">
    <w:name w:val="heading 2"/>
    <w:aliases w:val="RIS Heading 2"/>
    <w:basedOn w:val="Normal"/>
    <w:next w:val="Normal"/>
    <w:link w:val="Heading2Char"/>
    <w:qFormat/>
    <w:rsid w:val="00911323"/>
    <w:pPr>
      <w:keepNext/>
      <w:spacing w:before="320" w:after="60"/>
      <w:outlineLvl w:val="1"/>
    </w:pPr>
    <w:rPr>
      <w:rFonts w:cs="Arial"/>
      <w:b/>
      <w:bCs/>
      <w:iCs/>
      <w:sz w:val="28"/>
      <w:szCs w:val="28"/>
    </w:rPr>
  </w:style>
  <w:style w:type="paragraph" w:styleId="Heading3">
    <w:name w:val="heading 3"/>
    <w:basedOn w:val="Normal"/>
    <w:next w:val="Normal"/>
    <w:link w:val="Heading3Char"/>
    <w:qFormat/>
    <w:rsid w:val="00911323"/>
    <w:pPr>
      <w:keepNext/>
      <w:spacing w:before="60" w:after="60"/>
      <w:outlineLvl w:val="2"/>
    </w:pPr>
    <w:rPr>
      <w:rFonts w:cs="Arial"/>
      <w:b/>
      <w:bCs/>
      <w:szCs w:val="26"/>
    </w:rPr>
  </w:style>
  <w:style w:type="paragraph" w:styleId="Heading4">
    <w:name w:val="heading 4"/>
    <w:basedOn w:val="Normal"/>
    <w:next w:val="Normal"/>
    <w:link w:val="Heading4Char"/>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link w:val="Heading6Char"/>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link w:val="Heading8Char"/>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link w:val="Heading9Char"/>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link w:val="CaptionChar"/>
    <w:qFormat/>
    <w:rsid w:val="00E8152A"/>
    <w:pPr>
      <w:numPr>
        <w:numId w:val="8"/>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link w:val="ListBulletChar"/>
    <w:qFormat/>
    <w:rsid w:val="00911323"/>
    <w:pPr>
      <w:numPr>
        <w:numId w:val="25"/>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NECG) Footnote Reference,(NECG) Footnote Reference1,(NECG) Footnote Reference2,o,Appel note de bas de p,Appel note de bas de p + 11 pt,Italic,Footnote,Appel note de bas de p1,Appel note de bas de p2,Appel note de bas de p3,Style 12"/>
    <w:basedOn w:val="DefaultParagraphFont"/>
    <w:rsid w:val="00566AB4"/>
    <w:rPr>
      <w:rFonts w:ascii="Arial" w:hAnsi="Arial"/>
      <w:vertAlign w:val="superscript"/>
    </w:rPr>
  </w:style>
  <w:style w:type="paragraph" w:styleId="FootnoteText">
    <w:name w:val="footnote text"/>
    <w:aliases w:val="ACMA Footnote Text,ABA Footnote Text,ALTS FOOTNOTE,(NECG) Footnote Text,Footnote text,AR Footnote Text,AR Footnote Text Char Char Char Char Char,Footnote Text Char1 Char Char,Footnote Text Char Char Char Char Char Char,footnote text,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6"/>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uiPriority w:val="20"/>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933171"/>
    <w:pPr>
      <w:numPr>
        <w:numId w:val="2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7"/>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FootnoteTextChar">
    <w:name w:val="Footnote Text Char"/>
    <w:aliases w:val="ACMA Footnote Text Char,ABA Footnote Text Char,ALTS FOOTNOTE Char,(NECG) Footnote Text Char,Footnote text Char,AR Footnote Text Char,AR Footnote Text Char Char Char Char Char Char,Footnote Text Char1 Char Char Char,footnote text Char"/>
    <w:basedOn w:val="DefaultParagraphFont"/>
    <w:link w:val="FootnoteText"/>
    <w:rsid w:val="00605625"/>
    <w:rPr>
      <w:rFonts w:ascii="Arial" w:hAnsi="Arial"/>
      <w:sz w:val="16"/>
      <w:szCs w:val="16"/>
    </w:rPr>
  </w:style>
  <w:style w:type="paragraph" w:styleId="ListParagraph">
    <w:name w:val="List Paragraph"/>
    <w:basedOn w:val="Normal"/>
    <w:link w:val="ListParagraphChar"/>
    <w:uiPriority w:val="34"/>
    <w:qFormat/>
    <w:rsid w:val="0060562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ParagraphChar">
    <w:name w:val="List Paragraph Char"/>
    <w:basedOn w:val="DefaultParagraphFont"/>
    <w:link w:val="ListParagraph"/>
    <w:uiPriority w:val="34"/>
    <w:rsid w:val="00605625"/>
    <w:rPr>
      <w:rFonts w:asciiTheme="minorHAnsi" w:eastAsiaTheme="minorHAnsi" w:hAnsiTheme="minorHAnsi" w:cstheme="minorBidi"/>
      <w:sz w:val="22"/>
      <w:szCs w:val="22"/>
      <w:lang w:eastAsia="en-US"/>
    </w:rPr>
  </w:style>
  <w:style w:type="table" w:styleId="PlainTable1">
    <w:name w:val="Plain Table 1"/>
    <w:basedOn w:val="TableNormal"/>
    <w:uiPriority w:val="41"/>
    <w:rsid w:val="00605625"/>
    <w:rPr>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ReportTitle">
    <w:name w:val="Report Title"/>
    <w:basedOn w:val="Normal"/>
    <w:rsid w:val="00605625"/>
    <w:pPr>
      <w:spacing w:after="0"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605625"/>
    <w:pPr>
      <w:spacing w:after="0" w:line="560" w:lineRule="exact"/>
    </w:pPr>
    <w:rPr>
      <w:color w:val="808285"/>
      <w:spacing w:val="-28"/>
      <w:sz w:val="53"/>
    </w:rPr>
  </w:style>
  <w:style w:type="paragraph" w:customStyle="1" w:styleId="ReportDate">
    <w:name w:val="Report Date"/>
    <w:basedOn w:val="ReportSubtitle"/>
    <w:rsid w:val="00605625"/>
    <w:pPr>
      <w:spacing w:line="240" w:lineRule="auto"/>
    </w:pPr>
    <w:rPr>
      <w:caps/>
      <w:spacing w:val="-10"/>
      <w:sz w:val="20"/>
    </w:rPr>
  </w:style>
  <w:style w:type="paragraph" w:customStyle="1" w:styleId="Bodysubheader0">
    <w:name w:val="Body sub header"/>
    <w:basedOn w:val="Normal"/>
    <w:next w:val="Normal"/>
    <w:rsid w:val="00605625"/>
    <w:pPr>
      <w:spacing w:after="0"/>
    </w:pPr>
    <w:rPr>
      <w:rFonts w:ascii="HelveticaNeueLT Std" w:hAnsi="HelveticaNeueLT Std"/>
      <w:b/>
      <w:i/>
    </w:rPr>
  </w:style>
  <w:style w:type="paragraph" w:customStyle="1" w:styleId="ExecSummaryHeading">
    <w:name w:val="Exec Summary Heading"/>
    <w:basedOn w:val="Normal"/>
    <w:rsid w:val="00605625"/>
    <w:pPr>
      <w:spacing w:after="1440" w:line="550" w:lineRule="exact"/>
    </w:pPr>
    <w:rPr>
      <w:rFonts w:ascii="HelveticaNeueLT Std Med" w:hAnsi="HelveticaNeueLT Std Med"/>
      <w:b/>
      <w:color w:val="4D4D4F"/>
      <w:spacing w:val="-18"/>
      <w:sz w:val="53"/>
    </w:rPr>
  </w:style>
  <w:style w:type="paragraph" w:styleId="TOC9">
    <w:name w:val="toc 9"/>
    <w:basedOn w:val="Normal"/>
    <w:next w:val="Normal"/>
    <w:uiPriority w:val="39"/>
    <w:rsid w:val="00605625"/>
    <w:pPr>
      <w:tabs>
        <w:tab w:val="right" w:pos="7660"/>
      </w:tabs>
      <w:spacing w:before="280" w:after="0" w:line="320" w:lineRule="exact"/>
    </w:pPr>
    <w:rPr>
      <w:rFonts w:ascii="HelveticaNeueLT Std Med" w:hAnsi="HelveticaNeueLT Std Med"/>
      <w:b/>
      <w:noProof/>
      <w:color w:val="808285"/>
      <w:sz w:val="28"/>
      <w:szCs w:val="28"/>
    </w:rPr>
  </w:style>
  <w:style w:type="paragraph" w:customStyle="1" w:styleId="ChapterHeading">
    <w:name w:val="Chapter Heading"/>
    <w:basedOn w:val="Normal"/>
    <w:rsid w:val="00605625"/>
    <w:pPr>
      <w:spacing w:after="0" w:line="560" w:lineRule="exact"/>
    </w:pPr>
    <w:rPr>
      <w:color w:val="808285"/>
      <w:spacing w:val="-28"/>
      <w:sz w:val="53"/>
    </w:rPr>
  </w:style>
  <w:style w:type="character" w:customStyle="1" w:styleId="ListBulletChar">
    <w:name w:val="List Bullet Char"/>
    <w:aliases w:val="List Bullet 1 Char"/>
    <w:basedOn w:val="DefaultParagraphFont"/>
    <w:link w:val="ListBullet"/>
    <w:rsid w:val="00605625"/>
    <w:rPr>
      <w:rFonts w:ascii="Arial" w:hAnsi="Arial"/>
      <w:sz w:val="20"/>
    </w:rPr>
  </w:style>
  <w:style w:type="paragraph" w:customStyle="1" w:styleId="Default">
    <w:name w:val="Default"/>
    <w:rsid w:val="00605625"/>
    <w:pPr>
      <w:autoSpaceDE w:val="0"/>
      <w:autoSpaceDN w:val="0"/>
      <w:adjustRightInd w:val="0"/>
    </w:pPr>
    <w:rPr>
      <w:rFonts w:ascii="Helvetica Neue LT Std" w:hAnsi="Helvetica Neue LT Std" w:cs="Helvetica Neue LT Std"/>
      <w:color w:val="000000"/>
      <w:lang w:eastAsia="en-US"/>
    </w:rPr>
  </w:style>
  <w:style w:type="paragraph" w:styleId="NormalWeb">
    <w:name w:val="Normal (Web)"/>
    <w:basedOn w:val="Normal"/>
    <w:uiPriority w:val="99"/>
    <w:semiHidden/>
    <w:rsid w:val="00605625"/>
    <w:pPr>
      <w:spacing w:after="0"/>
    </w:pPr>
    <w:rPr>
      <w:rFonts w:ascii="Times New Roman" w:hAnsi="Times New Roman"/>
      <w:sz w:val="24"/>
    </w:rPr>
  </w:style>
  <w:style w:type="character" w:customStyle="1" w:styleId="Heading2Char">
    <w:name w:val="Heading 2 Char"/>
    <w:aliases w:val="RIS Heading 2 Char"/>
    <w:basedOn w:val="DefaultParagraphFont"/>
    <w:link w:val="Heading2"/>
    <w:rsid w:val="00605625"/>
    <w:rPr>
      <w:rFonts w:ascii="Arial" w:hAnsi="Arial" w:cs="Arial"/>
      <w:b/>
      <w:bCs/>
      <w:iCs/>
      <w:sz w:val="28"/>
      <w:szCs w:val="28"/>
    </w:rPr>
  </w:style>
  <w:style w:type="paragraph" w:customStyle="1" w:styleId="Body">
    <w:name w:val="Body"/>
    <w:basedOn w:val="Normal"/>
    <w:rsid w:val="00605625"/>
    <w:pPr>
      <w:numPr>
        <w:numId w:val="9"/>
      </w:numPr>
      <w:spacing w:before="120" w:after="120" w:line="240" w:lineRule="auto"/>
    </w:pPr>
    <w:rPr>
      <w:rFonts w:ascii="Times New Roman" w:hAnsi="Times New Roman"/>
      <w:sz w:val="24"/>
      <w:szCs w:val="20"/>
    </w:rPr>
  </w:style>
  <w:style w:type="paragraph" w:styleId="BodyText">
    <w:name w:val="Body Text"/>
    <w:basedOn w:val="Normal"/>
    <w:link w:val="BodyTextChar"/>
    <w:rsid w:val="00605625"/>
    <w:pPr>
      <w:tabs>
        <w:tab w:val="num" w:pos="360"/>
      </w:tabs>
      <w:spacing w:after="120" w:line="240" w:lineRule="auto"/>
      <w:ind w:left="360" w:hanging="360"/>
    </w:pPr>
    <w:rPr>
      <w:rFonts w:ascii="Times New Roman" w:hAnsi="Times New Roman"/>
      <w:sz w:val="24"/>
      <w:szCs w:val="20"/>
    </w:rPr>
  </w:style>
  <w:style w:type="character" w:customStyle="1" w:styleId="BodyTextChar">
    <w:name w:val="Body Text Char"/>
    <w:basedOn w:val="DefaultParagraphFont"/>
    <w:link w:val="BodyText"/>
    <w:rsid w:val="00605625"/>
    <w:rPr>
      <w:szCs w:val="20"/>
    </w:rPr>
  </w:style>
  <w:style w:type="paragraph" w:customStyle="1" w:styleId="dots">
    <w:name w:val="dots"/>
    <w:basedOn w:val="Body"/>
    <w:rsid w:val="00605625"/>
    <w:pPr>
      <w:numPr>
        <w:numId w:val="10"/>
      </w:numPr>
      <w:tabs>
        <w:tab w:val="clear" w:pos="360"/>
        <w:tab w:val="num" w:pos="433"/>
      </w:tabs>
      <w:spacing w:before="0"/>
      <w:ind w:left="714" w:hanging="357"/>
    </w:pPr>
  </w:style>
  <w:style w:type="paragraph" w:styleId="PlainText">
    <w:name w:val="Plain Text"/>
    <w:basedOn w:val="Normal"/>
    <w:link w:val="PlainTextChar"/>
    <w:uiPriority w:val="99"/>
    <w:semiHidden/>
    <w:unhideWhenUsed/>
    <w:rsid w:val="00605625"/>
    <w:pPr>
      <w:spacing w:after="0" w:line="240" w:lineRule="auto"/>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semiHidden/>
    <w:rsid w:val="00605625"/>
    <w:rPr>
      <w:rFonts w:ascii="Consolas" w:eastAsiaTheme="minorHAnsi" w:hAnsi="Consolas" w:cstheme="minorBidi"/>
      <w:sz w:val="21"/>
      <w:szCs w:val="21"/>
      <w:lang w:eastAsia="en-US"/>
    </w:rPr>
  </w:style>
  <w:style w:type="paragraph" w:customStyle="1" w:styleId="ACMANumberedList">
    <w:name w:val="ACMA Numbered List"/>
    <w:link w:val="ACMANumberedListChar"/>
    <w:rsid w:val="00605625"/>
    <w:pPr>
      <w:numPr>
        <w:numId w:val="11"/>
      </w:numPr>
      <w:spacing w:before="20" w:after="20"/>
    </w:pPr>
    <w:rPr>
      <w:szCs w:val="20"/>
      <w:lang w:eastAsia="en-US"/>
    </w:rPr>
  </w:style>
  <w:style w:type="character" w:customStyle="1" w:styleId="ACMANumberedListChar">
    <w:name w:val="ACMA Numbered List Char"/>
    <w:basedOn w:val="DefaultParagraphFont"/>
    <w:link w:val="ACMANumberedList"/>
    <w:rsid w:val="00605625"/>
    <w:rPr>
      <w:szCs w:val="20"/>
      <w:lang w:eastAsia="en-US"/>
    </w:rPr>
  </w:style>
  <w:style w:type="paragraph" w:styleId="Revision">
    <w:name w:val="Revision"/>
    <w:hidden/>
    <w:uiPriority w:val="99"/>
    <w:semiHidden/>
    <w:rsid w:val="00605625"/>
    <w:rPr>
      <w:rFonts w:ascii="HelveticaNeueLT Std Lt" w:hAnsi="HelveticaNeueLT Std Lt"/>
      <w:sz w:val="20"/>
    </w:rPr>
  </w:style>
  <w:style w:type="paragraph" w:customStyle="1" w:styleId="ACMABodyText">
    <w:name w:val="ACMA Body Text"/>
    <w:link w:val="ACMABodyTextChar1"/>
    <w:rsid w:val="00605625"/>
    <w:pPr>
      <w:suppressAutoHyphens/>
      <w:spacing w:before="80" w:after="120" w:line="280" w:lineRule="atLeast"/>
    </w:pPr>
    <w:rPr>
      <w:snapToGrid w:val="0"/>
      <w:szCs w:val="20"/>
      <w:lang w:eastAsia="en-US"/>
    </w:rPr>
  </w:style>
  <w:style w:type="character" w:customStyle="1" w:styleId="ACMABodyTextChar1">
    <w:name w:val="ACMA Body Text Char1"/>
    <w:basedOn w:val="DefaultParagraphFont"/>
    <w:link w:val="ACMABodyText"/>
    <w:rsid w:val="00605625"/>
    <w:rPr>
      <w:snapToGrid w:val="0"/>
      <w:szCs w:val="20"/>
      <w:lang w:eastAsia="en-US"/>
    </w:rPr>
  </w:style>
  <w:style w:type="character" w:customStyle="1" w:styleId="ACMABodyTextChar">
    <w:name w:val="ACMA Body Text Char"/>
    <w:basedOn w:val="DefaultParagraphFont"/>
    <w:rsid w:val="00605625"/>
    <w:rPr>
      <w:snapToGrid w:val="0"/>
      <w:sz w:val="24"/>
      <w:lang w:val="en-AU" w:eastAsia="en-US" w:bidi="ar-SA"/>
    </w:rPr>
  </w:style>
  <w:style w:type="paragraph" w:customStyle="1" w:styleId="ACMAHeading3">
    <w:name w:val="ACMA Heading 3"/>
    <w:next w:val="ACMABodyText"/>
    <w:rsid w:val="00605625"/>
    <w:pPr>
      <w:keepNext/>
      <w:suppressAutoHyphens/>
      <w:spacing w:before="240"/>
      <w:outlineLvl w:val="3"/>
    </w:pPr>
    <w:rPr>
      <w:rFonts w:ascii="Arial" w:hAnsi="Arial"/>
      <w:b/>
      <w:szCs w:val="20"/>
      <w:lang w:val="en-US" w:eastAsia="en-US"/>
    </w:rPr>
  </w:style>
  <w:style w:type="character" w:customStyle="1" w:styleId="Heading3Char">
    <w:name w:val="Heading 3 Char"/>
    <w:basedOn w:val="DefaultParagraphFont"/>
    <w:link w:val="Heading3"/>
    <w:rsid w:val="00605625"/>
    <w:rPr>
      <w:rFonts w:ascii="Arial" w:hAnsi="Arial" w:cs="Arial"/>
      <w:b/>
      <w:bCs/>
      <w:sz w:val="20"/>
      <w:szCs w:val="26"/>
    </w:rPr>
  </w:style>
  <w:style w:type="character" w:customStyle="1" w:styleId="Heading1Char">
    <w:name w:val="Heading 1 Char"/>
    <w:aliases w:val="RIS Heading 1 Char"/>
    <w:basedOn w:val="DefaultParagraphFont"/>
    <w:link w:val="Heading1"/>
    <w:rsid w:val="00605625"/>
    <w:rPr>
      <w:rFonts w:ascii="Arial" w:hAnsi="Arial" w:cs="Arial"/>
      <w:bCs/>
      <w:color w:val="323232"/>
      <w:kern w:val="32"/>
      <w:sz w:val="53"/>
      <w:szCs w:val="32"/>
    </w:rPr>
  </w:style>
  <w:style w:type="paragraph" w:customStyle="1" w:styleId="BulletList2">
    <w:name w:val="Bullet List 2"/>
    <w:basedOn w:val="BulletList1"/>
    <w:uiPriority w:val="99"/>
    <w:rsid w:val="00605625"/>
    <w:pPr>
      <w:numPr>
        <w:ilvl w:val="1"/>
      </w:numPr>
      <w:tabs>
        <w:tab w:val="clear" w:pos="800"/>
        <w:tab w:val="num" w:pos="295"/>
        <w:tab w:val="num" w:pos="360"/>
        <w:tab w:val="num" w:pos="926"/>
      </w:tabs>
      <w:ind w:left="295" w:hanging="360"/>
    </w:pPr>
  </w:style>
  <w:style w:type="paragraph" w:customStyle="1" w:styleId="BulletList1">
    <w:name w:val="Bullet List 1"/>
    <w:basedOn w:val="Normal"/>
    <w:link w:val="BulletList1Char"/>
    <w:uiPriority w:val="99"/>
    <w:rsid w:val="00605625"/>
    <w:pPr>
      <w:numPr>
        <w:numId w:val="12"/>
      </w:numPr>
      <w:spacing w:before="120" w:after="120" w:line="287" w:lineRule="auto"/>
    </w:pPr>
    <w:rPr>
      <w:rFonts w:cs="Arial"/>
      <w:szCs w:val="20"/>
      <w:lang w:val="en-GB" w:eastAsia="en-GB"/>
    </w:rPr>
  </w:style>
  <w:style w:type="paragraph" w:customStyle="1" w:styleId="BulletList3">
    <w:name w:val="Bullet List 3"/>
    <w:basedOn w:val="BulletList2"/>
    <w:uiPriority w:val="99"/>
    <w:rsid w:val="00605625"/>
    <w:pPr>
      <w:numPr>
        <w:ilvl w:val="2"/>
      </w:numPr>
      <w:tabs>
        <w:tab w:val="clear" w:pos="1200"/>
        <w:tab w:val="num" w:pos="295"/>
        <w:tab w:val="num" w:pos="360"/>
      </w:tabs>
      <w:ind w:left="295" w:hanging="360"/>
    </w:pPr>
  </w:style>
  <w:style w:type="paragraph" w:customStyle="1" w:styleId="BulletList4">
    <w:name w:val="Bullet List 4"/>
    <w:basedOn w:val="BulletList3"/>
    <w:uiPriority w:val="99"/>
    <w:rsid w:val="00605625"/>
    <w:pPr>
      <w:numPr>
        <w:ilvl w:val="3"/>
      </w:numPr>
      <w:tabs>
        <w:tab w:val="clear" w:pos="1360"/>
        <w:tab w:val="num" w:pos="295"/>
        <w:tab w:val="num" w:pos="360"/>
      </w:tabs>
      <w:ind w:left="295" w:hanging="295"/>
    </w:pPr>
  </w:style>
  <w:style w:type="paragraph" w:customStyle="1" w:styleId="BulletList5">
    <w:name w:val="Bullet List 5"/>
    <w:basedOn w:val="BulletList4"/>
    <w:uiPriority w:val="99"/>
    <w:rsid w:val="00605625"/>
    <w:pPr>
      <w:numPr>
        <w:ilvl w:val="4"/>
      </w:numPr>
      <w:tabs>
        <w:tab w:val="clear" w:pos="1700"/>
        <w:tab w:val="num" w:pos="295"/>
        <w:tab w:val="num" w:pos="360"/>
      </w:tabs>
      <w:ind w:left="295" w:hanging="360"/>
    </w:pPr>
  </w:style>
  <w:style w:type="paragraph" w:customStyle="1" w:styleId="BulletList6">
    <w:name w:val="Bullet List 6"/>
    <w:basedOn w:val="BulletList5"/>
    <w:uiPriority w:val="99"/>
    <w:rsid w:val="00605625"/>
    <w:pPr>
      <w:numPr>
        <w:ilvl w:val="5"/>
      </w:numPr>
      <w:tabs>
        <w:tab w:val="clear" w:pos="2040"/>
        <w:tab w:val="num" w:pos="295"/>
        <w:tab w:val="num" w:pos="360"/>
      </w:tabs>
      <w:ind w:left="295" w:hanging="360"/>
    </w:pPr>
  </w:style>
  <w:style w:type="paragraph" w:customStyle="1" w:styleId="BulletList7">
    <w:name w:val="Bullet List 7"/>
    <w:basedOn w:val="BulletList6"/>
    <w:uiPriority w:val="99"/>
    <w:rsid w:val="00605625"/>
    <w:pPr>
      <w:numPr>
        <w:ilvl w:val="6"/>
      </w:numPr>
      <w:tabs>
        <w:tab w:val="clear" w:pos="2380"/>
        <w:tab w:val="num" w:pos="295"/>
        <w:tab w:val="num" w:pos="360"/>
      </w:tabs>
      <w:ind w:left="295" w:hanging="360"/>
    </w:pPr>
  </w:style>
  <w:style w:type="paragraph" w:customStyle="1" w:styleId="BulletList8">
    <w:name w:val="Bullet List 8"/>
    <w:basedOn w:val="BulletList7"/>
    <w:uiPriority w:val="99"/>
    <w:rsid w:val="00605625"/>
    <w:pPr>
      <w:numPr>
        <w:ilvl w:val="7"/>
      </w:numPr>
      <w:tabs>
        <w:tab w:val="clear" w:pos="2720"/>
        <w:tab w:val="num" w:pos="295"/>
        <w:tab w:val="num" w:pos="360"/>
      </w:tabs>
      <w:ind w:left="295" w:hanging="360"/>
    </w:pPr>
  </w:style>
  <w:style w:type="paragraph" w:customStyle="1" w:styleId="BulletList9">
    <w:name w:val="Bullet List 9"/>
    <w:basedOn w:val="BulletList8"/>
    <w:uiPriority w:val="99"/>
    <w:rsid w:val="00605625"/>
    <w:pPr>
      <w:numPr>
        <w:ilvl w:val="8"/>
      </w:numPr>
      <w:tabs>
        <w:tab w:val="clear" w:pos="3060"/>
        <w:tab w:val="num" w:pos="295"/>
        <w:tab w:val="num" w:pos="360"/>
      </w:tabs>
      <w:ind w:left="295" w:hanging="360"/>
    </w:pPr>
  </w:style>
  <w:style w:type="character" w:customStyle="1" w:styleId="BulletList1Char">
    <w:name w:val="Bullet List 1 Char"/>
    <w:basedOn w:val="DefaultParagraphFont"/>
    <w:link w:val="BulletList1"/>
    <w:uiPriority w:val="99"/>
    <w:rsid w:val="00605625"/>
    <w:rPr>
      <w:rFonts w:ascii="Arial" w:hAnsi="Arial" w:cs="Arial"/>
      <w:sz w:val="20"/>
      <w:szCs w:val="20"/>
      <w:lang w:val="en-GB" w:eastAsia="en-GB"/>
    </w:rPr>
  </w:style>
  <w:style w:type="paragraph" w:customStyle="1" w:styleId="Bullet1">
    <w:name w:val="Bullet 1"/>
    <w:basedOn w:val="BodyText"/>
    <w:rsid w:val="00605625"/>
    <w:pPr>
      <w:numPr>
        <w:numId w:val="13"/>
      </w:numPr>
      <w:tabs>
        <w:tab w:val="left" w:pos="2268"/>
        <w:tab w:val="left" w:pos="5669"/>
      </w:tabs>
      <w:suppressAutoHyphens/>
      <w:spacing w:before="120" w:line="230" w:lineRule="atLeast"/>
    </w:pPr>
    <w:rPr>
      <w:rFonts w:ascii="Verdana" w:eastAsia="PMingLiU" w:hAnsi="Verdana" w:cs="Calibri"/>
      <w:color w:val="262626"/>
      <w:spacing w:val="-2"/>
      <w:sz w:val="20"/>
      <w:szCs w:val="19"/>
      <w:lang w:val="en-US" w:eastAsia="en-US"/>
    </w:rPr>
  </w:style>
  <w:style w:type="paragraph" w:customStyle="1" w:styleId="Style1">
    <w:name w:val="Style1"/>
    <w:basedOn w:val="Heading3"/>
    <w:link w:val="Style1Char"/>
    <w:qFormat/>
    <w:rsid w:val="00605625"/>
    <w:pPr>
      <w:spacing w:before="120" w:after="120" w:line="240" w:lineRule="auto"/>
      <w:ind w:left="1080" w:hanging="720"/>
      <w:contextualSpacing/>
    </w:pPr>
    <w:rPr>
      <w:b w:val="0"/>
      <w:bCs w:val="0"/>
      <w:iCs/>
      <w:sz w:val="28"/>
    </w:rPr>
  </w:style>
  <w:style w:type="character" w:customStyle="1" w:styleId="Style1Char">
    <w:name w:val="Style1 Char"/>
    <w:basedOn w:val="Heading3Char"/>
    <w:link w:val="Style1"/>
    <w:rsid w:val="00605625"/>
    <w:rPr>
      <w:rFonts w:ascii="Arial" w:hAnsi="Arial" w:cs="Arial"/>
      <w:b w:val="0"/>
      <w:bCs w:val="0"/>
      <w:iCs/>
      <w:sz w:val="28"/>
      <w:szCs w:val="26"/>
    </w:rPr>
  </w:style>
  <w:style w:type="paragraph" w:customStyle="1" w:styleId="H4">
    <w:name w:val="H4"/>
    <w:basedOn w:val="Heading3"/>
    <w:next w:val="Normal"/>
    <w:qFormat/>
    <w:rsid w:val="00605625"/>
    <w:pPr>
      <w:numPr>
        <w:ilvl w:val="3"/>
        <w:numId w:val="14"/>
      </w:numPr>
      <w:spacing w:before="120" w:after="120" w:line="240" w:lineRule="auto"/>
      <w:contextualSpacing/>
    </w:pPr>
    <w:rPr>
      <w:b w:val="0"/>
      <w:bCs w:val="0"/>
      <w:iCs/>
      <w:sz w:val="24"/>
      <w:szCs w:val="24"/>
    </w:rPr>
  </w:style>
  <w:style w:type="paragraph" w:styleId="ListContinue2">
    <w:name w:val="List Continue 2"/>
    <w:basedOn w:val="Normal"/>
    <w:semiHidden/>
    <w:unhideWhenUsed/>
    <w:rsid w:val="00605625"/>
    <w:pPr>
      <w:spacing w:after="120"/>
      <w:ind w:left="566"/>
      <w:contextualSpacing/>
    </w:pPr>
  </w:style>
  <w:style w:type="character" w:customStyle="1" w:styleId="Heading4Char">
    <w:name w:val="Heading 4 Char"/>
    <w:basedOn w:val="DefaultParagraphFont"/>
    <w:link w:val="Heading4"/>
    <w:rsid w:val="00605625"/>
    <w:rPr>
      <w:b/>
      <w:bCs/>
      <w:sz w:val="28"/>
      <w:szCs w:val="28"/>
    </w:rPr>
  </w:style>
  <w:style w:type="character" w:customStyle="1" w:styleId="Heading5Char">
    <w:name w:val="Heading 5 Char"/>
    <w:basedOn w:val="DefaultParagraphFont"/>
    <w:link w:val="Heading5"/>
    <w:semiHidden/>
    <w:rsid w:val="00605625"/>
    <w:rPr>
      <w:rFonts w:ascii="Arial" w:hAnsi="Arial"/>
      <w:b/>
      <w:bCs/>
      <w:i/>
      <w:iCs/>
      <w:sz w:val="26"/>
      <w:szCs w:val="26"/>
    </w:rPr>
  </w:style>
  <w:style w:type="character" w:customStyle="1" w:styleId="Heading6Char">
    <w:name w:val="Heading 6 Char"/>
    <w:basedOn w:val="DefaultParagraphFont"/>
    <w:link w:val="Heading6"/>
    <w:semiHidden/>
    <w:rsid w:val="00605625"/>
    <w:rPr>
      <w:b/>
      <w:bCs/>
      <w:sz w:val="22"/>
      <w:szCs w:val="22"/>
    </w:rPr>
  </w:style>
  <w:style w:type="character" w:customStyle="1" w:styleId="Heading7Char">
    <w:name w:val="Heading 7 Char"/>
    <w:basedOn w:val="DefaultParagraphFont"/>
    <w:link w:val="Heading7"/>
    <w:semiHidden/>
    <w:rsid w:val="00605625"/>
  </w:style>
  <w:style w:type="character" w:customStyle="1" w:styleId="Heading8Char">
    <w:name w:val="Heading 8 Char"/>
    <w:basedOn w:val="DefaultParagraphFont"/>
    <w:link w:val="Heading8"/>
    <w:semiHidden/>
    <w:rsid w:val="00605625"/>
    <w:rPr>
      <w:i/>
      <w:iCs/>
    </w:rPr>
  </w:style>
  <w:style w:type="character" w:customStyle="1" w:styleId="Heading9Char">
    <w:name w:val="Heading 9 Char"/>
    <w:basedOn w:val="DefaultParagraphFont"/>
    <w:link w:val="Heading9"/>
    <w:semiHidden/>
    <w:rsid w:val="00605625"/>
    <w:rPr>
      <w:rFonts w:ascii="Arial" w:hAnsi="Arial" w:cs="Arial"/>
      <w:sz w:val="22"/>
      <w:szCs w:val="22"/>
    </w:rPr>
  </w:style>
  <w:style w:type="character" w:customStyle="1" w:styleId="UnresolvedMention1">
    <w:name w:val="Unresolved Mention1"/>
    <w:basedOn w:val="DefaultParagraphFont"/>
    <w:uiPriority w:val="99"/>
    <w:semiHidden/>
    <w:unhideWhenUsed/>
    <w:rsid w:val="00633F43"/>
    <w:rPr>
      <w:color w:val="808080"/>
      <w:shd w:val="clear" w:color="auto" w:fill="E6E6E6"/>
    </w:rPr>
  </w:style>
  <w:style w:type="character" w:styleId="IntenseEmphasis">
    <w:name w:val="Intense Emphasis"/>
    <w:basedOn w:val="DefaultParagraphFont"/>
    <w:uiPriority w:val="21"/>
    <w:qFormat/>
    <w:rsid w:val="007C4C7B"/>
    <w:rPr>
      <w:i/>
      <w:iCs/>
      <w:color w:val="4F81BD" w:themeColor="accent1"/>
    </w:rPr>
  </w:style>
  <w:style w:type="character" w:customStyle="1" w:styleId="CaptionChar">
    <w:name w:val="Caption Char"/>
    <w:aliases w:val="Caption table Char"/>
    <w:basedOn w:val="DefaultParagraphFont"/>
    <w:link w:val="Caption"/>
    <w:rsid w:val="007C4C7B"/>
    <w:rPr>
      <w:rFonts w:ascii="Arial" w:hAnsi="Arial"/>
      <w:b/>
      <w:bCs/>
      <w:color w:val="323232"/>
      <w:sz w:val="20"/>
      <w:szCs w:val="20"/>
    </w:rPr>
  </w:style>
  <w:style w:type="character" w:styleId="UnresolvedMention">
    <w:name w:val="Unresolved Mention"/>
    <w:basedOn w:val="DefaultParagraphFont"/>
    <w:uiPriority w:val="99"/>
    <w:semiHidden/>
    <w:unhideWhenUsed/>
    <w:rsid w:val="00CD4B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58586">
      <w:bodyDiv w:val="1"/>
      <w:marLeft w:val="0"/>
      <w:marRight w:val="0"/>
      <w:marTop w:val="0"/>
      <w:marBottom w:val="0"/>
      <w:divBdr>
        <w:top w:val="none" w:sz="0" w:space="0" w:color="auto"/>
        <w:left w:val="none" w:sz="0" w:space="0" w:color="auto"/>
        <w:bottom w:val="none" w:sz="0" w:space="0" w:color="auto"/>
        <w:right w:val="none" w:sz="0" w:space="0" w:color="auto"/>
      </w:divBdr>
    </w:div>
    <w:div w:id="291718547">
      <w:bodyDiv w:val="1"/>
      <w:marLeft w:val="0"/>
      <w:marRight w:val="0"/>
      <w:marTop w:val="0"/>
      <w:marBottom w:val="0"/>
      <w:divBdr>
        <w:top w:val="none" w:sz="0" w:space="0" w:color="auto"/>
        <w:left w:val="none" w:sz="0" w:space="0" w:color="auto"/>
        <w:bottom w:val="none" w:sz="0" w:space="0" w:color="auto"/>
        <w:right w:val="none" w:sz="0" w:space="0" w:color="auto"/>
      </w:divBdr>
    </w:div>
    <w:div w:id="466092722">
      <w:bodyDiv w:val="1"/>
      <w:marLeft w:val="0"/>
      <w:marRight w:val="0"/>
      <w:marTop w:val="0"/>
      <w:marBottom w:val="0"/>
      <w:divBdr>
        <w:top w:val="none" w:sz="0" w:space="0" w:color="auto"/>
        <w:left w:val="none" w:sz="0" w:space="0" w:color="auto"/>
        <w:bottom w:val="none" w:sz="0" w:space="0" w:color="auto"/>
        <w:right w:val="none" w:sz="0" w:space="0" w:color="auto"/>
      </w:divBdr>
      <w:divsChild>
        <w:div w:id="564996377">
          <w:marLeft w:val="1166"/>
          <w:marRight w:val="0"/>
          <w:marTop w:val="96"/>
          <w:marBottom w:val="0"/>
          <w:divBdr>
            <w:top w:val="none" w:sz="0" w:space="0" w:color="auto"/>
            <w:left w:val="none" w:sz="0" w:space="0" w:color="auto"/>
            <w:bottom w:val="none" w:sz="0" w:space="0" w:color="auto"/>
            <w:right w:val="none" w:sz="0" w:space="0" w:color="auto"/>
          </w:divBdr>
        </w:div>
        <w:div w:id="671228290">
          <w:marLeft w:val="1166"/>
          <w:marRight w:val="0"/>
          <w:marTop w:val="96"/>
          <w:marBottom w:val="0"/>
          <w:divBdr>
            <w:top w:val="none" w:sz="0" w:space="0" w:color="auto"/>
            <w:left w:val="none" w:sz="0" w:space="0" w:color="auto"/>
            <w:bottom w:val="none" w:sz="0" w:space="0" w:color="auto"/>
            <w:right w:val="none" w:sz="0" w:space="0" w:color="auto"/>
          </w:divBdr>
        </w:div>
        <w:div w:id="792750647">
          <w:marLeft w:val="1166"/>
          <w:marRight w:val="0"/>
          <w:marTop w:val="96"/>
          <w:marBottom w:val="0"/>
          <w:divBdr>
            <w:top w:val="none" w:sz="0" w:space="0" w:color="auto"/>
            <w:left w:val="none" w:sz="0" w:space="0" w:color="auto"/>
            <w:bottom w:val="none" w:sz="0" w:space="0" w:color="auto"/>
            <w:right w:val="none" w:sz="0" w:space="0" w:color="auto"/>
          </w:divBdr>
        </w:div>
        <w:div w:id="923149657">
          <w:marLeft w:val="1166"/>
          <w:marRight w:val="0"/>
          <w:marTop w:val="96"/>
          <w:marBottom w:val="0"/>
          <w:divBdr>
            <w:top w:val="none" w:sz="0" w:space="0" w:color="auto"/>
            <w:left w:val="none" w:sz="0" w:space="0" w:color="auto"/>
            <w:bottom w:val="none" w:sz="0" w:space="0" w:color="auto"/>
            <w:right w:val="none" w:sz="0" w:space="0" w:color="auto"/>
          </w:divBdr>
        </w:div>
        <w:div w:id="1099568227">
          <w:marLeft w:val="547"/>
          <w:marRight w:val="0"/>
          <w:marTop w:val="96"/>
          <w:marBottom w:val="0"/>
          <w:divBdr>
            <w:top w:val="none" w:sz="0" w:space="0" w:color="auto"/>
            <w:left w:val="none" w:sz="0" w:space="0" w:color="auto"/>
            <w:bottom w:val="none" w:sz="0" w:space="0" w:color="auto"/>
            <w:right w:val="none" w:sz="0" w:space="0" w:color="auto"/>
          </w:divBdr>
        </w:div>
        <w:div w:id="1289554988">
          <w:marLeft w:val="1800"/>
          <w:marRight w:val="0"/>
          <w:marTop w:val="96"/>
          <w:marBottom w:val="0"/>
          <w:divBdr>
            <w:top w:val="none" w:sz="0" w:space="0" w:color="auto"/>
            <w:left w:val="none" w:sz="0" w:space="0" w:color="auto"/>
            <w:bottom w:val="none" w:sz="0" w:space="0" w:color="auto"/>
            <w:right w:val="none" w:sz="0" w:space="0" w:color="auto"/>
          </w:divBdr>
        </w:div>
        <w:div w:id="1725256923">
          <w:marLeft w:val="1166"/>
          <w:marRight w:val="0"/>
          <w:marTop w:val="96"/>
          <w:marBottom w:val="0"/>
          <w:divBdr>
            <w:top w:val="none" w:sz="0" w:space="0" w:color="auto"/>
            <w:left w:val="none" w:sz="0" w:space="0" w:color="auto"/>
            <w:bottom w:val="none" w:sz="0" w:space="0" w:color="auto"/>
            <w:right w:val="none" w:sz="0" w:space="0" w:color="auto"/>
          </w:divBdr>
        </w:div>
        <w:div w:id="1742681088">
          <w:marLeft w:val="1800"/>
          <w:marRight w:val="0"/>
          <w:marTop w:val="96"/>
          <w:marBottom w:val="0"/>
          <w:divBdr>
            <w:top w:val="none" w:sz="0" w:space="0" w:color="auto"/>
            <w:left w:val="none" w:sz="0" w:space="0" w:color="auto"/>
            <w:bottom w:val="none" w:sz="0" w:space="0" w:color="auto"/>
            <w:right w:val="none" w:sz="0" w:space="0" w:color="auto"/>
          </w:divBdr>
        </w:div>
        <w:div w:id="1829133621">
          <w:marLeft w:val="547"/>
          <w:marRight w:val="0"/>
          <w:marTop w:val="96"/>
          <w:marBottom w:val="0"/>
          <w:divBdr>
            <w:top w:val="none" w:sz="0" w:space="0" w:color="auto"/>
            <w:left w:val="none" w:sz="0" w:space="0" w:color="auto"/>
            <w:bottom w:val="none" w:sz="0" w:space="0" w:color="auto"/>
            <w:right w:val="none" w:sz="0" w:space="0" w:color="auto"/>
          </w:divBdr>
        </w:div>
      </w:divsChild>
    </w:div>
    <w:div w:id="590313843">
      <w:bodyDiv w:val="1"/>
      <w:marLeft w:val="0"/>
      <w:marRight w:val="0"/>
      <w:marTop w:val="0"/>
      <w:marBottom w:val="0"/>
      <w:divBdr>
        <w:top w:val="none" w:sz="0" w:space="0" w:color="auto"/>
        <w:left w:val="none" w:sz="0" w:space="0" w:color="auto"/>
        <w:bottom w:val="none" w:sz="0" w:space="0" w:color="auto"/>
        <w:right w:val="none" w:sz="0" w:space="0" w:color="auto"/>
      </w:divBdr>
    </w:div>
    <w:div w:id="603071747">
      <w:bodyDiv w:val="1"/>
      <w:marLeft w:val="0"/>
      <w:marRight w:val="0"/>
      <w:marTop w:val="0"/>
      <w:marBottom w:val="0"/>
      <w:divBdr>
        <w:top w:val="none" w:sz="0" w:space="0" w:color="auto"/>
        <w:left w:val="none" w:sz="0" w:space="0" w:color="auto"/>
        <w:bottom w:val="none" w:sz="0" w:space="0" w:color="auto"/>
        <w:right w:val="none" w:sz="0" w:space="0" w:color="auto"/>
      </w:divBdr>
    </w:div>
    <w:div w:id="613368974">
      <w:bodyDiv w:val="1"/>
      <w:marLeft w:val="0"/>
      <w:marRight w:val="0"/>
      <w:marTop w:val="0"/>
      <w:marBottom w:val="0"/>
      <w:divBdr>
        <w:top w:val="none" w:sz="0" w:space="0" w:color="auto"/>
        <w:left w:val="none" w:sz="0" w:space="0" w:color="auto"/>
        <w:bottom w:val="none" w:sz="0" w:space="0" w:color="auto"/>
        <w:right w:val="none" w:sz="0" w:space="0" w:color="auto"/>
      </w:divBdr>
    </w:div>
    <w:div w:id="789324654">
      <w:bodyDiv w:val="1"/>
      <w:marLeft w:val="0"/>
      <w:marRight w:val="0"/>
      <w:marTop w:val="0"/>
      <w:marBottom w:val="0"/>
      <w:divBdr>
        <w:top w:val="none" w:sz="0" w:space="0" w:color="auto"/>
        <w:left w:val="none" w:sz="0" w:space="0" w:color="auto"/>
        <w:bottom w:val="none" w:sz="0" w:space="0" w:color="auto"/>
        <w:right w:val="none" w:sz="0" w:space="0" w:color="auto"/>
      </w:divBdr>
      <w:divsChild>
        <w:div w:id="108667189">
          <w:marLeft w:val="547"/>
          <w:marRight w:val="0"/>
          <w:marTop w:val="96"/>
          <w:marBottom w:val="0"/>
          <w:divBdr>
            <w:top w:val="none" w:sz="0" w:space="0" w:color="auto"/>
            <w:left w:val="none" w:sz="0" w:space="0" w:color="auto"/>
            <w:bottom w:val="none" w:sz="0" w:space="0" w:color="auto"/>
            <w:right w:val="none" w:sz="0" w:space="0" w:color="auto"/>
          </w:divBdr>
        </w:div>
        <w:div w:id="182524875">
          <w:marLeft w:val="1166"/>
          <w:marRight w:val="0"/>
          <w:marTop w:val="96"/>
          <w:marBottom w:val="0"/>
          <w:divBdr>
            <w:top w:val="none" w:sz="0" w:space="0" w:color="auto"/>
            <w:left w:val="none" w:sz="0" w:space="0" w:color="auto"/>
            <w:bottom w:val="none" w:sz="0" w:space="0" w:color="auto"/>
            <w:right w:val="none" w:sz="0" w:space="0" w:color="auto"/>
          </w:divBdr>
        </w:div>
        <w:div w:id="504711041">
          <w:marLeft w:val="547"/>
          <w:marRight w:val="0"/>
          <w:marTop w:val="96"/>
          <w:marBottom w:val="0"/>
          <w:divBdr>
            <w:top w:val="none" w:sz="0" w:space="0" w:color="auto"/>
            <w:left w:val="none" w:sz="0" w:space="0" w:color="auto"/>
            <w:bottom w:val="none" w:sz="0" w:space="0" w:color="auto"/>
            <w:right w:val="none" w:sz="0" w:space="0" w:color="auto"/>
          </w:divBdr>
        </w:div>
        <w:div w:id="1039861948">
          <w:marLeft w:val="1166"/>
          <w:marRight w:val="0"/>
          <w:marTop w:val="96"/>
          <w:marBottom w:val="0"/>
          <w:divBdr>
            <w:top w:val="none" w:sz="0" w:space="0" w:color="auto"/>
            <w:left w:val="none" w:sz="0" w:space="0" w:color="auto"/>
            <w:bottom w:val="none" w:sz="0" w:space="0" w:color="auto"/>
            <w:right w:val="none" w:sz="0" w:space="0" w:color="auto"/>
          </w:divBdr>
        </w:div>
        <w:div w:id="1050543180">
          <w:marLeft w:val="1166"/>
          <w:marRight w:val="0"/>
          <w:marTop w:val="96"/>
          <w:marBottom w:val="0"/>
          <w:divBdr>
            <w:top w:val="none" w:sz="0" w:space="0" w:color="auto"/>
            <w:left w:val="none" w:sz="0" w:space="0" w:color="auto"/>
            <w:bottom w:val="none" w:sz="0" w:space="0" w:color="auto"/>
            <w:right w:val="none" w:sz="0" w:space="0" w:color="auto"/>
          </w:divBdr>
        </w:div>
        <w:div w:id="1556157987">
          <w:marLeft w:val="1166"/>
          <w:marRight w:val="0"/>
          <w:marTop w:val="96"/>
          <w:marBottom w:val="0"/>
          <w:divBdr>
            <w:top w:val="none" w:sz="0" w:space="0" w:color="auto"/>
            <w:left w:val="none" w:sz="0" w:space="0" w:color="auto"/>
            <w:bottom w:val="none" w:sz="0" w:space="0" w:color="auto"/>
            <w:right w:val="none" w:sz="0" w:space="0" w:color="auto"/>
          </w:divBdr>
        </w:div>
        <w:div w:id="1558584306">
          <w:marLeft w:val="1166"/>
          <w:marRight w:val="0"/>
          <w:marTop w:val="96"/>
          <w:marBottom w:val="0"/>
          <w:divBdr>
            <w:top w:val="none" w:sz="0" w:space="0" w:color="auto"/>
            <w:left w:val="none" w:sz="0" w:space="0" w:color="auto"/>
            <w:bottom w:val="none" w:sz="0" w:space="0" w:color="auto"/>
            <w:right w:val="none" w:sz="0" w:space="0" w:color="auto"/>
          </w:divBdr>
        </w:div>
        <w:div w:id="1568565870">
          <w:marLeft w:val="547"/>
          <w:marRight w:val="0"/>
          <w:marTop w:val="96"/>
          <w:marBottom w:val="0"/>
          <w:divBdr>
            <w:top w:val="none" w:sz="0" w:space="0" w:color="auto"/>
            <w:left w:val="none" w:sz="0" w:space="0" w:color="auto"/>
            <w:bottom w:val="none" w:sz="0" w:space="0" w:color="auto"/>
            <w:right w:val="none" w:sz="0" w:space="0" w:color="auto"/>
          </w:divBdr>
        </w:div>
        <w:div w:id="1600480421">
          <w:marLeft w:val="547"/>
          <w:marRight w:val="0"/>
          <w:marTop w:val="96"/>
          <w:marBottom w:val="0"/>
          <w:divBdr>
            <w:top w:val="none" w:sz="0" w:space="0" w:color="auto"/>
            <w:left w:val="none" w:sz="0" w:space="0" w:color="auto"/>
            <w:bottom w:val="none" w:sz="0" w:space="0" w:color="auto"/>
            <w:right w:val="none" w:sz="0" w:space="0" w:color="auto"/>
          </w:divBdr>
        </w:div>
      </w:divsChild>
    </w:div>
    <w:div w:id="1079256895">
      <w:bodyDiv w:val="1"/>
      <w:marLeft w:val="0"/>
      <w:marRight w:val="0"/>
      <w:marTop w:val="0"/>
      <w:marBottom w:val="0"/>
      <w:divBdr>
        <w:top w:val="none" w:sz="0" w:space="0" w:color="auto"/>
        <w:left w:val="none" w:sz="0" w:space="0" w:color="auto"/>
        <w:bottom w:val="none" w:sz="0" w:space="0" w:color="auto"/>
        <w:right w:val="none" w:sz="0" w:space="0" w:color="auto"/>
      </w:divBdr>
    </w:div>
    <w:div w:id="1288968764">
      <w:bodyDiv w:val="1"/>
      <w:marLeft w:val="0"/>
      <w:marRight w:val="0"/>
      <w:marTop w:val="0"/>
      <w:marBottom w:val="0"/>
      <w:divBdr>
        <w:top w:val="none" w:sz="0" w:space="0" w:color="auto"/>
        <w:left w:val="none" w:sz="0" w:space="0" w:color="auto"/>
        <w:bottom w:val="none" w:sz="0" w:space="0" w:color="auto"/>
        <w:right w:val="none" w:sz="0" w:space="0" w:color="auto"/>
      </w:divBdr>
    </w:div>
    <w:div w:id="1317295771">
      <w:bodyDiv w:val="1"/>
      <w:marLeft w:val="0"/>
      <w:marRight w:val="0"/>
      <w:marTop w:val="0"/>
      <w:marBottom w:val="0"/>
      <w:divBdr>
        <w:top w:val="none" w:sz="0" w:space="0" w:color="auto"/>
        <w:left w:val="none" w:sz="0" w:space="0" w:color="auto"/>
        <w:bottom w:val="none" w:sz="0" w:space="0" w:color="auto"/>
        <w:right w:val="none" w:sz="0" w:space="0" w:color="auto"/>
      </w:divBdr>
    </w:div>
    <w:div w:id="1334918809">
      <w:bodyDiv w:val="1"/>
      <w:marLeft w:val="0"/>
      <w:marRight w:val="0"/>
      <w:marTop w:val="0"/>
      <w:marBottom w:val="0"/>
      <w:divBdr>
        <w:top w:val="none" w:sz="0" w:space="0" w:color="auto"/>
        <w:left w:val="none" w:sz="0" w:space="0" w:color="auto"/>
        <w:bottom w:val="none" w:sz="0" w:space="0" w:color="auto"/>
        <w:right w:val="none" w:sz="0" w:space="0" w:color="auto"/>
      </w:divBdr>
    </w:div>
    <w:div w:id="1584758405">
      <w:bodyDiv w:val="1"/>
      <w:marLeft w:val="0"/>
      <w:marRight w:val="0"/>
      <w:marTop w:val="0"/>
      <w:marBottom w:val="0"/>
      <w:divBdr>
        <w:top w:val="none" w:sz="0" w:space="0" w:color="auto"/>
        <w:left w:val="none" w:sz="0" w:space="0" w:color="auto"/>
        <w:bottom w:val="none" w:sz="0" w:space="0" w:color="auto"/>
        <w:right w:val="none" w:sz="0" w:space="0" w:color="auto"/>
      </w:divBdr>
      <w:divsChild>
        <w:div w:id="98794137">
          <w:marLeft w:val="1166"/>
          <w:marRight w:val="0"/>
          <w:marTop w:val="96"/>
          <w:marBottom w:val="0"/>
          <w:divBdr>
            <w:top w:val="none" w:sz="0" w:space="0" w:color="auto"/>
            <w:left w:val="none" w:sz="0" w:space="0" w:color="auto"/>
            <w:bottom w:val="none" w:sz="0" w:space="0" w:color="auto"/>
            <w:right w:val="none" w:sz="0" w:space="0" w:color="auto"/>
          </w:divBdr>
        </w:div>
        <w:div w:id="231429898">
          <w:marLeft w:val="1800"/>
          <w:marRight w:val="0"/>
          <w:marTop w:val="96"/>
          <w:marBottom w:val="0"/>
          <w:divBdr>
            <w:top w:val="none" w:sz="0" w:space="0" w:color="auto"/>
            <w:left w:val="none" w:sz="0" w:space="0" w:color="auto"/>
            <w:bottom w:val="none" w:sz="0" w:space="0" w:color="auto"/>
            <w:right w:val="none" w:sz="0" w:space="0" w:color="auto"/>
          </w:divBdr>
        </w:div>
        <w:div w:id="414088736">
          <w:marLeft w:val="1166"/>
          <w:marRight w:val="0"/>
          <w:marTop w:val="96"/>
          <w:marBottom w:val="0"/>
          <w:divBdr>
            <w:top w:val="none" w:sz="0" w:space="0" w:color="auto"/>
            <w:left w:val="none" w:sz="0" w:space="0" w:color="auto"/>
            <w:bottom w:val="none" w:sz="0" w:space="0" w:color="auto"/>
            <w:right w:val="none" w:sz="0" w:space="0" w:color="auto"/>
          </w:divBdr>
        </w:div>
        <w:div w:id="785853907">
          <w:marLeft w:val="547"/>
          <w:marRight w:val="0"/>
          <w:marTop w:val="96"/>
          <w:marBottom w:val="0"/>
          <w:divBdr>
            <w:top w:val="none" w:sz="0" w:space="0" w:color="auto"/>
            <w:left w:val="none" w:sz="0" w:space="0" w:color="auto"/>
            <w:bottom w:val="none" w:sz="0" w:space="0" w:color="auto"/>
            <w:right w:val="none" w:sz="0" w:space="0" w:color="auto"/>
          </w:divBdr>
        </w:div>
        <w:div w:id="860976399">
          <w:marLeft w:val="1800"/>
          <w:marRight w:val="0"/>
          <w:marTop w:val="96"/>
          <w:marBottom w:val="0"/>
          <w:divBdr>
            <w:top w:val="none" w:sz="0" w:space="0" w:color="auto"/>
            <w:left w:val="none" w:sz="0" w:space="0" w:color="auto"/>
            <w:bottom w:val="none" w:sz="0" w:space="0" w:color="auto"/>
            <w:right w:val="none" w:sz="0" w:space="0" w:color="auto"/>
          </w:divBdr>
        </w:div>
        <w:div w:id="1440300560">
          <w:marLeft w:val="1800"/>
          <w:marRight w:val="0"/>
          <w:marTop w:val="96"/>
          <w:marBottom w:val="0"/>
          <w:divBdr>
            <w:top w:val="none" w:sz="0" w:space="0" w:color="auto"/>
            <w:left w:val="none" w:sz="0" w:space="0" w:color="auto"/>
            <w:bottom w:val="none" w:sz="0" w:space="0" w:color="auto"/>
            <w:right w:val="none" w:sz="0" w:space="0" w:color="auto"/>
          </w:divBdr>
        </w:div>
        <w:div w:id="1821725289">
          <w:marLeft w:val="1166"/>
          <w:marRight w:val="0"/>
          <w:marTop w:val="96"/>
          <w:marBottom w:val="0"/>
          <w:divBdr>
            <w:top w:val="none" w:sz="0" w:space="0" w:color="auto"/>
            <w:left w:val="none" w:sz="0" w:space="0" w:color="auto"/>
            <w:bottom w:val="none" w:sz="0" w:space="0" w:color="auto"/>
            <w:right w:val="none" w:sz="0" w:space="0" w:color="auto"/>
          </w:divBdr>
        </w:div>
        <w:div w:id="2113236591">
          <w:marLeft w:val="1166"/>
          <w:marRight w:val="0"/>
          <w:marTop w:val="96"/>
          <w:marBottom w:val="0"/>
          <w:divBdr>
            <w:top w:val="none" w:sz="0" w:space="0" w:color="auto"/>
            <w:left w:val="none" w:sz="0" w:space="0" w:color="auto"/>
            <w:bottom w:val="none" w:sz="0" w:space="0" w:color="auto"/>
            <w:right w:val="none" w:sz="0" w:space="0" w:color="auto"/>
          </w:divBdr>
        </w:div>
      </w:divsChild>
    </w:div>
    <w:div w:id="1646083765">
      <w:bodyDiv w:val="1"/>
      <w:marLeft w:val="0"/>
      <w:marRight w:val="0"/>
      <w:marTop w:val="0"/>
      <w:marBottom w:val="0"/>
      <w:divBdr>
        <w:top w:val="none" w:sz="0" w:space="0" w:color="auto"/>
        <w:left w:val="none" w:sz="0" w:space="0" w:color="auto"/>
        <w:bottom w:val="none" w:sz="0" w:space="0" w:color="auto"/>
        <w:right w:val="none" w:sz="0" w:space="0" w:color="auto"/>
      </w:divBdr>
      <w:divsChild>
        <w:div w:id="266473436">
          <w:marLeft w:val="1166"/>
          <w:marRight w:val="0"/>
          <w:marTop w:val="96"/>
          <w:marBottom w:val="0"/>
          <w:divBdr>
            <w:top w:val="none" w:sz="0" w:space="0" w:color="auto"/>
            <w:left w:val="none" w:sz="0" w:space="0" w:color="auto"/>
            <w:bottom w:val="none" w:sz="0" w:space="0" w:color="auto"/>
            <w:right w:val="none" w:sz="0" w:space="0" w:color="auto"/>
          </w:divBdr>
        </w:div>
        <w:div w:id="530846403">
          <w:marLeft w:val="547"/>
          <w:marRight w:val="0"/>
          <w:marTop w:val="96"/>
          <w:marBottom w:val="0"/>
          <w:divBdr>
            <w:top w:val="none" w:sz="0" w:space="0" w:color="auto"/>
            <w:left w:val="none" w:sz="0" w:space="0" w:color="auto"/>
            <w:bottom w:val="none" w:sz="0" w:space="0" w:color="auto"/>
            <w:right w:val="none" w:sz="0" w:space="0" w:color="auto"/>
          </w:divBdr>
        </w:div>
        <w:div w:id="1099912417">
          <w:marLeft w:val="547"/>
          <w:marRight w:val="0"/>
          <w:marTop w:val="96"/>
          <w:marBottom w:val="0"/>
          <w:divBdr>
            <w:top w:val="none" w:sz="0" w:space="0" w:color="auto"/>
            <w:left w:val="none" w:sz="0" w:space="0" w:color="auto"/>
            <w:bottom w:val="none" w:sz="0" w:space="0" w:color="auto"/>
            <w:right w:val="none" w:sz="0" w:space="0" w:color="auto"/>
          </w:divBdr>
        </w:div>
        <w:div w:id="1924099160">
          <w:marLeft w:val="1166"/>
          <w:marRight w:val="0"/>
          <w:marTop w:val="96"/>
          <w:marBottom w:val="0"/>
          <w:divBdr>
            <w:top w:val="none" w:sz="0" w:space="0" w:color="auto"/>
            <w:left w:val="none" w:sz="0" w:space="0" w:color="auto"/>
            <w:bottom w:val="none" w:sz="0" w:space="0" w:color="auto"/>
            <w:right w:val="none" w:sz="0" w:space="0" w:color="auto"/>
          </w:divBdr>
        </w:div>
        <w:div w:id="1982224055">
          <w:marLeft w:val="547"/>
          <w:marRight w:val="0"/>
          <w:marTop w:val="96"/>
          <w:marBottom w:val="0"/>
          <w:divBdr>
            <w:top w:val="none" w:sz="0" w:space="0" w:color="auto"/>
            <w:left w:val="none" w:sz="0" w:space="0" w:color="auto"/>
            <w:bottom w:val="none" w:sz="0" w:space="0" w:color="auto"/>
            <w:right w:val="none" w:sz="0" w:space="0" w:color="auto"/>
          </w:divBdr>
        </w:div>
      </w:divsChild>
    </w:div>
    <w:div w:id="1647318936">
      <w:bodyDiv w:val="1"/>
      <w:marLeft w:val="0"/>
      <w:marRight w:val="0"/>
      <w:marTop w:val="0"/>
      <w:marBottom w:val="0"/>
      <w:divBdr>
        <w:top w:val="none" w:sz="0" w:space="0" w:color="auto"/>
        <w:left w:val="none" w:sz="0" w:space="0" w:color="auto"/>
        <w:bottom w:val="none" w:sz="0" w:space="0" w:color="auto"/>
        <w:right w:val="none" w:sz="0" w:space="0" w:color="auto"/>
      </w:divBdr>
      <w:divsChild>
        <w:div w:id="275137005">
          <w:marLeft w:val="547"/>
          <w:marRight w:val="0"/>
          <w:marTop w:val="96"/>
          <w:marBottom w:val="0"/>
          <w:divBdr>
            <w:top w:val="none" w:sz="0" w:space="0" w:color="auto"/>
            <w:left w:val="none" w:sz="0" w:space="0" w:color="auto"/>
            <w:bottom w:val="none" w:sz="0" w:space="0" w:color="auto"/>
            <w:right w:val="none" w:sz="0" w:space="0" w:color="auto"/>
          </w:divBdr>
        </w:div>
        <w:div w:id="483351107">
          <w:marLeft w:val="1166"/>
          <w:marRight w:val="0"/>
          <w:marTop w:val="96"/>
          <w:marBottom w:val="0"/>
          <w:divBdr>
            <w:top w:val="none" w:sz="0" w:space="0" w:color="auto"/>
            <w:left w:val="none" w:sz="0" w:space="0" w:color="auto"/>
            <w:bottom w:val="none" w:sz="0" w:space="0" w:color="auto"/>
            <w:right w:val="none" w:sz="0" w:space="0" w:color="auto"/>
          </w:divBdr>
        </w:div>
        <w:div w:id="551230577">
          <w:marLeft w:val="1166"/>
          <w:marRight w:val="0"/>
          <w:marTop w:val="96"/>
          <w:marBottom w:val="0"/>
          <w:divBdr>
            <w:top w:val="none" w:sz="0" w:space="0" w:color="auto"/>
            <w:left w:val="none" w:sz="0" w:space="0" w:color="auto"/>
            <w:bottom w:val="none" w:sz="0" w:space="0" w:color="auto"/>
            <w:right w:val="none" w:sz="0" w:space="0" w:color="auto"/>
          </w:divBdr>
        </w:div>
        <w:div w:id="773748357">
          <w:marLeft w:val="1166"/>
          <w:marRight w:val="0"/>
          <w:marTop w:val="96"/>
          <w:marBottom w:val="0"/>
          <w:divBdr>
            <w:top w:val="none" w:sz="0" w:space="0" w:color="auto"/>
            <w:left w:val="none" w:sz="0" w:space="0" w:color="auto"/>
            <w:bottom w:val="none" w:sz="0" w:space="0" w:color="auto"/>
            <w:right w:val="none" w:sz="0" w:space="0" w:color="auto"/>
          </w:divBdr>
        </w:div>
        <w:div w:id="846600434">
          <w:marLeft w:val="547"/>
          <w:marRight w:val="0"/>
          <w:marTop w:val="96"/>
          <w:marBottom w:val="0"/>
          <w:divBdr>
            <w:top w:val="none" w:sz="0" w:space="0" w:color="auto"/>
            <w:left w:val="none" w:sz="0" w:space="0" w:color="auto"/>
            <w:bottom w:val="none" w:sz="0" w:space="0" w:color="auto"/>
            <w:right w:val="none" w:sz="0" w:space="0" w:color="auto"/>
          </w:divBdr>
        </w:div>
        <w:div w:id="977613209">
          <w:marLeft w:val="547"/>
          <w:marRight w:val="0"/>
          <w:marTop w:val="96"/>
          <w:marBottom w:val="0"/>
          <w:divBdr>
            <w:top w:val="none" w:sz="0" w:space="0" w:color="auto"/>
            <w:left w:val="none" w:sz="0" w:space="0" w:color="auto"/>
            <w:bottom w:val="none" w:sz="0" w:space="0" w:color="auto"/>
            <w:right w:val="none" w:sz="0" w:space="0" w:color="auto"/>
          </w:divBdr>
        </w:div>
        <w:div w:id="1153181514">
          <w:marLeft w:val="547"/>
          <w:marRight w:val="0"/>
          <w:marTop w:val="96"/>
          <w:marBottom w:val="0"/>
          <w:divBdr>
            <w:top w:val="none" w:sz="0" w:space="0" w:color="auto"/>
            <w:left w:val="none" w:sz="0" w:space="0" w:color="auto"/>
            <w:bottom w:val="none" w:sz="0" w:space="0" w:color="auto"/>
            <w:right w:val="none" w:sz="0" w:space="0" w:color="auto"/>
          </w:divBdr>
        </w:div>
        <w:div w:id="1233156213">
          <w:marLeft w:val="1166"/>
          <w:marRight w:val="0"/>
          <w:marTop w:val="96"/>
          <w:marBottom w:val="0"/>
          <w:divBdr>
            <w:top w:val="none" w:sz="0" w:space="0" w:color="auto"/>
            <w:left w:val="none" w:sz="0" w:space="0" w:color="auto"/>
            <w:bottom w:val="none" w:sz="0" w:space="0" w:color="auto"/>
            <w:right w:val="none" w:sz="0" w:space="0" w:color="auto"/>
          </w:divBdr>
        </w:div>
        <w:div w:id="1555962885">
          <w:marLeft w:val="1166"/>
          <w:marRight w:val="0"/>
          <w:marTop w:val="96"/>
          <w:marBottom w:val="0"/>
          <w:divBdr>
            <w:top w:val="none" w:sz="0" w:space="0" w:color="auto"/>
            <w:left w:val="none" w:sz="0" w:space="0" w:color="auto"/>
            <w:bottom w:val="none" w:sz="0" w:space="0" w:color="auto"/>
            <w:right w:val="none" w:sz="0" w:space="0" w:color="auto"/>
          </w:divBdr>
        </w:div>
      </w:divsChild>
    </w:div>
    <w:div w:id="1787849516">
      <w:bodyDiv w:val="1"/>
      <w:marLeft w:val="0"/>
      <w:marRight w:val="0"/>
      <w:marTop w:val="0"/>
      <w:marBottom w:val="0"/>
      <w:divBdr>
        <w:top w:val="none" w:sz="0" w:space="0" w:color="auto"/>
        <w:left w:val="none" w:sz="0" w:space="0" w:color="auto"/>
        <w:bottom w:val="none" w:sz="0" w:space="0" w:color="auto"/>
        <w:right w:val="none" w:sz="0" w:space="0" w:color="auto"/>
      </w:divBdr>
      <w:divsChild>
        <w:div w:id="577986536">
          <w:marLeft w:val="547"/>
          <w:marRight w:val="0"/>
          <w:marTop w:val="96"/>
          <w:marBottom w:val="0"/>
          <w:divBdr>
            <w:top w:val="none" w:sz="0" w:space="0" w:color="auto"/>
            <w:left w:val="none" w:sz="0" w:space="0" w:color="auto"/>
            <w:bottom w:val="none" w:sz="0" w:space="0" w:color="auto"/>
            <w:right w:val="none" w:sz="0" w:space="0" w:color="auto"/>
          </w:divBdr>
        </w:div>
        <w:div w:id="747726869">
          <w:marLeft w:val="547"/>
          <w:marRight w:val="0"/>
          <w:marTop w:val="96"/>
          <w:marBottom w:val="0"/>
          <w:divBdr>
            <w:top w:val="none" w:sz="0" w:space="0" w:color="auto"/>
            <w:left w:val="none" w:sz="0" w:space="0" w:color="auto"/>
            <w:bottom w:val="none" w:sz="0" w:space="0" w:color="auto"/>
            <w:right w:val="none" w:sz="0" w:space="0" w:color="auto"/>
          </w:divBdr>
        </w:div>
        <w:div w:id="816264028">
          <w:marLeft w:val="1166"/>
          <w:marRight w:val="0"/>
          <w:marTop w:val="96"/>
          <w:marBottom w:val="0"/>
          <w:divBdr>
            <w:top w:val="none" w:sz="0" w:space="0" w:color="auto"/>
            <w:left w:val="none" w:sz="0" w:space="0" w:color="auto"/>
            <w:bottom w:val="none" w:sz="0" w:space="0" w:color="auto"/>
            <w:right w:val="none" w:sz="0" w:space="0" w:color="auto"/>
          </w:divBdr>
        </w:div>
        <w:div w:id="1212571996">
          <w:marLeft w:val="547"/>
          <w:marRight w:val="0"/>
          <w:marTop w:val="96"/>
          <w:marBottom w:val="0"/>
          <w:divBdr>
            <w:top w:val="none" w:sz="0" w:space="0" w:color="auto"/>
            <w:left w:val="none" w:sz="0" w:space="0" w:color="auto"/>
            <w:bottom w:val="none" w:sz="0" w:space="0" w:color="auto"/>
            <w:right w:val="none" w:sz="0" w:space="0" w:color="auto"/>
          </w:divBdr>
        </w:div>
        <w:div w:id="1363170737">
          <w:marLeft w:val="547"/>
          <w:marRight w:val="0"/>
          <w:marTop w:val="96"/>
          <w:marBottom w:val="0"/>
          <w:divBdr>
            <w:top w:val="none" w:sz="0" w:space="0" w:color="auto"/>
            <w:left w:val="none" w:sz="0" w:space="0" w:color="auto"/>
            <w:bottom w:val="none" w:sz="0" w:space="0" w:color="auto"/>
            <w:right w:val="none" w:sz="0" w:space="0" w:color="auto"/>
          </w:divBdr>
        </w:div>
        <w:div w:id="1784229116">
          <w:marLeft w:val="1166"/>
          <w:marRight w:val="0"/>
          <w:marTop w:val="96"/>
          <w:marBottom w:val="0"/>
          <w:divBdr>
            <w:top w:val="none" w:sz="0" w:space="0" w:color="auto"/>
            <w:left w:val="none" w:sz="0" w:space="0" w:color="auto"/>
            <w:bottom w:val="none" w:sz="0" w:space="0" w:color="auto"/>
            <w:right w:val="none" w:sz="0" w:space="0" w:color="auto"/>
          </w:divBdr>
        </w:div>
        <w:div w:id="1792943027">
          <w:marLeft w:val="547"/>
          <w:marRight w:val="0"/>
          <w:marTop w:val="96"/>
          <w:marBottom w:val="0"/>
          <w:divBdr>
            <w:top w:val="none" w:sz="0" w:space="0" w:color="auto"/>
            <w:left w:val="none" w:sz="0" w:space="0" w:color="auto"/>
            <w:bottom w:val="none" w:sz="0" w:space="0" w:color="auto"/>
            <w:right w:val="none" w:sz="0" w:space="0" w:color="auto"/>
          </w:divBdr>
        </w:div>
        <w:div w:id="2005038631">
          <w:marLeft w:val="1166"/>
          <w:marRight w:val="0"/>
          <w:marTop w:val="96"/>
          <w:marBottom w:val="0"/>
          <w:divBdr>
            <w:top w:val="none" w:sz="0" w:space="0" w:color="auto"/>
            <w:left w:val="none" w:sz="0" w:space="0" w:color="auto"/>
            <w:bottom w:val="none" w:sz="0" w:space="0" w:color="auto"/>
            <w:right w:val="none" w:sz="0" w:space="0" w:color="auto"/>
          </w:divBdr>
        </w:div>
      </w:divsChild>
    </w:div>
    <w:div w:id="1793818407">
      <w:bodyDiv w:val="1"/>
      <w:marLeft w:val="0"/>
      <w:marRight w:val="0"/>
      <w:marTop w:val="0"/>
      <w:marBottom w:val="0"/>
      <w:divBdr>
        <w:top w:val="none" w:sz="0" w:space="0" w:color="auto"/>
        <w:left w:val="none" w:sz="0" w:space="0" w:color="auto"/>
        <w:bottom w:val="none" w:sz="0" w:space="0" w:color="auto"/>
        <w:right w:val="none" w:sz="0" w:space="0" w:color="auto"/>
      </w:divBdr>
    </w:div>
    <w:div w:id="1885481964">
      <w:bodyDiv w:val="1"/>
      <w:marLeft w:val="0"/>
      <w:marRight w:val="0"/>
      <w:marTop w:val="0"/>
      <w:marBottom w:val="0"/>
      <w:divBdr>
        <w:top w:val="none" w:sz="0" w:space="0" w:color="auto"/>
        <w:left w:val="none" w:sz="0" w:space="0" w:color="auto"/>
        <w:bottom w:val="none" w:sz="0" w:space="0" w:color="auto"/>
        <w:right w:val="none" w:sz="0" w:space="0" w:color="auto"/>
      </w:divBdr>
      <w:divsChild>
        <w:div w:id="178858163">
          <w:marLeft w:val="1166"/>
          <w:marRight w:val="0"/>
          <w:marTop w:val="96"/>
          <w:marBottom w:val="0"/>
          <w:divBdr>
            <w:top w:val="none" w:sz="0" w:space="0" w:color="auto"/>
            <w:left w:val="none" w:sz="0" w:space="0" w:color="auto"/>
            <w:bottom w:val="none" w:sz="0" w:space="0" w:color="auto"/>
            <w:right w:val="none" w:sz="0" w:space="0" w:color="auto"/>
          </w:divBdr>
        </w:div>
        <w:div w:id="529343913">
          <w:marLeft w:val="1800"/>
          <w:marRight w:val="0"/>
          <w:marTop w:val="96"/>
          <w:marBottom w:val="0"/>
          <w:divBdr>
            <w:top w:val="none" w:sz="0" w:space="0" w:color="auto"/>
            <w:left w:val="none" w:sz="0" w:space="0" w:color="auto"/>
            <w:bottom w:val="none" w:sz="0" w:space="0" w:color="auto"/>
            <w:right w:val="none" w:sz="0" w:space="0" w:color="auto"/>
          </w:divBdr>
        </w:div>
        <w:div w:id="562179705">
          <w:marLeft w:val="1166"/>
          <w:marRight w:val="0"/>
          <w:marTop w:val="96"/>
          <w:marBottom w:val="0"/>
          <w:divBdr>
            <w:top w:val="none" w:sz="0" w:space="0" w:color="auto"/>
            <w:left w:val="none" w:sz="0" w:space="0" w:color="auto"/>
            <w:bottom w:val="none" w:sz="0" w:space="0" w:color="auto"/>
            <w:right w:val="none" w:sz="0" w:space="0" w:color="auto"/>
          </w:divBdr>
        </w:div>
        <w:div w:id="703755432">
          <w:marLeft w:val="547"/>
          <w:marRight w:val="0"/>
          <w:marTop w:val="96"/>
          <w:marBottom w:val="0"/>
          <w:divBdr>
            <w:top w:val="none" w:sz="0" w:space="0" w:color="auto"/>
            <w:left w:val="none" w:sz="0" w:space="0" w:color="auto"/>
            <w:bottom w:val="none" w:sz="0" w:space="0" w:color="auto"/>
            <w:right w:val="none" w:sz="0" w:space="0" w:color="auto"/>
          </w:divBdr>
        </w:div>
        <w:div w:id="921916018">
          <w:marLeft w:val="1800"/>
          <w:marRight w:val="0"/>
          <w:marTop w:val="96"/>
          <w:marBottom w:val="0"/>
          <w:divBdr>
            <w:top w:val="none" w:sz="0" w:space="0" w:color="auto"/>
            <w:left w:val="none" w:sz="0" w:space="0" w:color="auto"/>
            <w:bottom w:val="none" w:sz="0" w:space="0" w:color="auto"/>
            <w:right w:val="none" w:sz="0" w:space="0" w:color="auto"/>
          </w:divBdr>
        </w:div>
        <w:div w:id="1121875642">
          <w:marLeft w:val="547"/>
          <w:marRight w:val="0"/>
          <w:marTop w:val="96"/>
          <w:marBottom w:val="0"/>
          <w:divBdr>
            <w:top w:val="none" w:sz="0" w:space="0" w:color="auto"/>
            <w:left w:val="none" w:sz="0" w:space="0" w:color="auto"/>
            <w:bottom w:val="none" w:sz="0" w:space="0" w:color="auto"/>
            <w:right w:val="none" w:sz="0" w:space="0" w:color="auto"/>
          </w:divBdr>
        </w:div>
        <w:div w:id="1846356384">
          <w:marLeft w:val="547"/>
          <w:marRight w:val="0"/>
          <w:marTop w:val="96"/>
          <w:marBottom w:val="0"/>
          <w:divBdr>
            <w:top w:val="none" w:sz="0" w:space="0" w:color="auto"/>
            <w:left w:val="none" w:sz="0" w:space="0" w:color="auto"/>
            <w:bottom w:val="none" w:sz="0" w:space="0" w:color="auto"/>
            <w:right w:val="none" w:sz="0" w:space="0" w:color="auto"/>
          </w:divBdr>
        </w:div>
      </w:divsChild>
    </w:div>
    <w:div w:id="1934165038">
      <w:bodyDiv w:val="1"/>
      <w:marLeft w:val="0"/>
      <w:marRight w:val="0"/>
      <w:marTop w:val="0"/>
      <w:marBottom w:val="0"/>
      <w:divBdr>
        <w:top w:val="none" w:sz="0" w:space="0" w:color="auto"/>
        <w:left w:val="none" w:sz="0" w:space="0" w:color="auto"/>
        <w:bottom w:val="none" w:sz="0" w:space="0" w:color="auto"/>
        <w:right w:val="none" w:sz="0" w:space="0" w:color="auto"/>
      </w:divBdr>
    </w:div>
    <w:div w:id="198450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Industry/Spectrum/Spectrum-planning/About-spectrum-planning/australian-spectrum-management-principles-spectrum-planning-acma"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www.acma.gov.au/privacypolicy"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image" Target="media/image5.png"/><Relationship Id="rId33" Type="http://schemas.openxmlformats.org/officeDocument/2006/relationships/hyperlink" Target="https://www.acma.gov.au/theACMA/About/Corporate/Accountability/privacy-and-consultations" TargetMode="External"/><Relationship Id="rId38"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Industry/Spectrum/Spectrum-planning/About-spectrum-planning/australian-spectrum-management-principles-spectrum-planning-acm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Industry/Spectrum/Spectrum-projects/800-and-900-MHz-bands/~/link.aspx?_id=E2F6ECED7CB9499BA278A7CBC6D1A33F&amp;_z=z" TargetMode="External"/><Relationship Id="rId32" Type="http://schemas.openxmlformats.org/officeDocument/2006/relationships/hyperlink" Target="http://www.acma.gov.au/theACMA/Consultations/Consultations" TargetMode="Externa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theACMA/review-of-the-803-960-mhz-band" TargetMode="External"/><Relationship Id="rId36"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theACMA/review-of-the-803-960-mhz-ban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theACMA/draft-five-year-spectrum-outlook-2019-23" TargetMode="External"/><Relationship Id="rId30" Type="http://schemas.openxmlformats.org/officeDocument/2006/relationships/hyperlink" Target="https://www.acma.gov.au/Industry/Spectrum/Spectrum-projects/800-and-900-MHz-bands/~/link.aspx?_id=E2F6ECED7CB9499BA278A7CBC6D1A33F&amp;_z=z" TargetMode="External"/><Relationship Id="rId35"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media/Spectrum-Licensing-Policy/Information/Word-Document/The-ACMAs-long-term-strategy-for-the-803960-MHz-band_decision-paper-docx.docx?la=en" TargetMode="External"/><Relationship Id="rId2" Type="http://schemas.openxmlformats.org/officeDocument/2006/relationships/hyperlink" Target="https://www.acma.gov.au/Industry/Spectrum/Spectrum-projects/800-and-900-MHz-bands/reconfiguring-the-890-915-935-960-mhz-band" TargetMode="External"/><Relationship Id="rId1" Type="http://schemas.openxmlformats.org/officeDocument/2006/relationships/hyperlink" Target="https://www.acma.gov.au/Industry/Spectrum/Spectrum-projects/800-and-900-MHz-bands/~/link.aspx?_id=E2F6ECED7CB9499BA278A7CBC6D1A33F&amp;_z=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3E53D-DB52-409A-95B8-4362FDD9B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5814</Words>
  <Characters>33142</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2019-04-09T04:52:00Z</dcterms:created>
  <dcterms:modified xsi:type="dcterms:W3CDTF">2019-04-11T00:15:00Z</dcterms:modified>
  <cp:category/>
</cp:coreProperties>
</file>