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3B5" w:rsidRDefault="000B63B5"/>
    <w:p w:rsidR="001F1E48" w:rsidRDefault="001F1E48"/>
    <w:p w:rsidR="001F1E48" w:rsidRDefault="00740CD0" w:rsidP="00750D96">
      <w:r>
        <w:rPr>
          <w:noProof/>
          <w:lang w:eastAsia="en-AU"/>
        </w:rPr>
        <w:drawing>
          <wp:inline distT="0" distB="0" distL="0" distR="0" wp14:anchorId="79779288" wp14:editId="7B3D6084">
            <wp:extent cx="102870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778" cy="811261"/>
                    </a:xfrm>
                    <a:prstGeom prst="rect">
                      <a:avLst/>
                    </a:prstGeom>
                    <a:noFill/>
                  </pic:spPr>
                </pic:pic>
              </a:graphicData>
            </a:graphic>
          </wp:inline>
        </w:drawing>
      </w:r>
      <w:r>
        <w:rPr>
          <w:noProof/>
          <w:lang w:eastAsia="en-AU"/>
        </w:rPr>
        <w:drawing>
          <wp:inline distT="0" distB="0" distL="0" distR="0" wp14:anchorId="42312179" wp14:editId="71DE0468">
            <wp:extent cx="1047750" cy="809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9867" cy="811261"/>
                    </a:xfrm>
                    <a:prstGeom prst="rect">
                      <a:avLst/>
                    </a:prstGeom>
                    <a:noFill/>
                  </pic:spPr>
                </pic:pic>
              </a:graphicData>
            </a:graphic>
          </wp:inline>
        </w:drawing>
      </w:r>
    </w:p>
    <w:p w:rsidR="001F1E48" w:rsidRDefault="001F1E48"/>
    <w:p w:rsidR="001F1E48" w:rsidRDefault="001F1E48"/>
    <w:p w:rsidR="00C5562B" w:rsidRDefault="00C5562B">
      <w:pPr>
        <w:rPr>
          <w:sz w:val="40"/>
          <w:szCs w:val="40"/>
        </w:rPr>
      </w:pPr>
    </w:p>
    <w:p w:rsidR="00C5562B" w:rsidRDefault="00C5562B">
      <w:pPr>
        <w:rPr>
          <w:sz w:val="40"/>
          <w:szCs w:val="40"/>
        </w:rPr>
      </w:pPr>
    </w:p>
    <w:p w:rsidR="00B25E84" w:rsidRDefault="00B25E84" w:rsidP="00B25E84">
      <w:pPr>
        <w:rPr>
          <w:b/>
          <w:sz w:val="40"/>
          <w:szCs w:val="40"/>
        </w:rPr>
      </w:pPr>
    </w:p>
    <w:p w:rsidR="00B25E84" w:rsidRDefault="00B25E84" w:rsidP="00B25E84">
      <w:pPr>
        <w:rPr>
          <w:b/>
          <w:sz w:val="40"/>
          <w:szCs w:val="40"/>
        </w:rPr>
      </w:pPr>
    </w:p>
    <w:p w:rsidR="00B25E84" w:rsidRDefault="00B25E84" w:rsidP="00B25E84">
      <w:pPr>
        <w:rPr>
          <w:b/>
          <w:sz w:val="40"/>
          <w:szCs w:val="40"/>
        </w:rPr>
      </w:pPr>
    </w:p>
    <w:p w:rsidR="00B25E84" w:rsidRPr="00EC3112" w:rsidRDefault="00B25E84" w:rsidP="00B25E84">
      <w:pPr>
        <w:rPr>
          <w:b/>
          <w:sz w:val="40"/>
          <w:szCs w:val="40"/>
        </w:rPr>
      </w:pPr>
      <w:r w:rsidRPr="00EC3112">
        <w:rPr>
          <w:b/>
          <w:sz w:val="40"/>
          <w:szCs w:val="40"/>
        </w:rPr>
        <w:t>Response to the ACMA Options Paper</w:t>
      </w:r>
    </w:p>
    <w:p w:rsidR="00B25E84" w:rsidRDefault="00B25E84" w:rsidP="00B25E84">
      <w:pPr>
        <w:pStyle w:val="ACMAReportTitle"/>
        <w:spacing w:line="240" w:lineRule="auto"/>
        <w:jc w:val="center"/>
        <w:rPr>
          <w:rFonts w:cs="Arial"/>
        </w:rPr>
      </w:pPr>
    </w:p>
    <w:p w:rsidR="00B25E84" w:rsidRPr="00EC3112" w:rsidRDefault="00B25E84" w:rsidP="00B25E84">
      <w:pPr>
        <w:pStyle w:val="ACMAReportTitle"/>
        <w:spacing w:line="240" w:lineRule="auto"/>
        <w:jc w:val="center"/>
        <w:rPr>
          <w:rFonts w:asciiTheme="minorHAnsi" w:hAnsiTheme="minorHAnsi" w:cs="Arial"/>
          <w:sz w:val="52"/>
          <w:szCs w:val="52"/>
        </w:rPr>
      </w:pPr>
      <w:r w:rsidRPr="00EC3112">
        <w:rPr>
          <w:rFonts w:asciiTheme="minorHAnsi" w:hAnsiTheme="minorHAnsi" w:cs="Arial"/>
          <w:sz w:val="52"/>
          <w:szCs w:val="52"/>
        </w:rPr>
        <w:t xml:space="preserve">Reconfiguring the 900 MHz band </w:t>
      </w:r>
      <w:r w:rsidRPr="00EC3112">
        <w:rPr>
          <w:rFonts w:asciiTheme="minorHAnsi" w:hAnsiTheme="minorHAnsi" w:cs="Arial"/>
          <w:sz w:val="32"/>
          <w:szCs w:val="32"/>
        </w:rPr>
        <w:t>April 2019</w:t>
      </w:r>
    </w:p>
    <w:p w:rsidR="001A6C89" w:rsidRDefault="001A6C89" w:rsidP="001A6C89">
      <w:pPr>
        <w:rPr>
          <w:sz w:val="40"/>
          <w:szCs w:val="40"/>
        </w:rPr>
      </w:pPr>
    </w:p>
    <w:p w:rsidR="001A6C89" w:rsidRDefault="001A6C89" w:rsidP="001A6C89">
      <w:pPr>
        <w:rPr>
          <w:sz w:val="40"/>
          <w:szCs w:val="40"/>
        </w:rPr>
      </w:pPr>
    </w:p>
    <w:p w:rsidR="00C5562B" w:rsidRPr="00EC3112" w:rsidRDefault="00DA3736" w:rsidP="001A6C89">
      <w:pPr>
        <w:rPr>
          <w:b/>
          <w:sz w:val="40"/>
          <w:szCs w:val="40"/>
        </w:rPr>
      </w:pPr>
      <w:r w:rsidRPr="00EC3112">
        <w:rPr>
          <w:b/>
          <w:sz w:val="40"/>
          <w:szCs w:val="40"/>
        </w:rPr>
        <w:t>Submission from</w:t>
      </w:r>
    </w:p>
    <w:p w:rsidR="00D20591" w:rsidRPr="00EC3112" w:rsidRDefault="00D20591" w:rsidP="001A6C89">
      <w:pPr>
        <w:rPr>
          <w:b/>
          <w:sz w:val="40"/>
          <w:szCs w:val="40"/>
        </w:rPr>
      </w:pPr>
    </w:p>
    <w:p w:rsidR="001F1E48" w:rsidRDefault="00D20591" w:rsidP="001A6C89">
      <w:pPr>
        <w:rPr>
          <w:b/>
          <w:sz w:val="40"/>
          <w:szCs w:val="40"/>
        </w:rPr>
      </w:pPr>
      <w:r w:rsidRPr="00EC3112">
        <w:rPr>
          <w:b/>
          <w:sz w:val="40"/>
          <w:szCs w:val="40"/>
        </w:rPr>
        <w:t xml:space="preserve">University of Melbourne </w:t>
      </w:r>
      <w:r w:rsidR="00DA3736" w:rsidRPr="00EC3112">
        <w:rPr>
          <w:b/>
          <w:sz w:val="40"/>
          <w:szCs w:val="40"/>
        </w:rPr>
        <w:t>Centre for Disaster Management and Public Safety</w:t>
      </w:r>
      <w:r w:rsidR="00EC3112" w:rsidRPr="00EC3112">
        <w:rPr>
          <w:b/>
          <w:sz w:val="40"/>
          <w:szCs w:val="40"/>
        </w:rPr>
        <w:t xml:space="preserve"> (CDMPS)</w:t>
      </w:r>
    </w:p>
    <w:p w:rsidR="00B25E84" w:rsidRDefault="00B25E84" w:rsidP="001A6C89">
      <w:pPr>
        <w:rPr>
          <w:b/>
          <w:sz w:val="40"/>
          <w:szCs w:val="40"/>
        </w:rPr>
      </w:pPr>
    </w:p>
    <w:p w:rsidR="00B25E84" w:rsidRPr="00B25E84" w:rsidRDefault="00B25E84" w:rsidP="001A6C89">
      <w:pPr>
        <w:rPr>
          <w:b/>
          <w:sz w:val="28"/>
          <w:szCs w:val="28"/>
        </w:rPr>
      </w:pPr>
      <w:r w:rsidRPr="00B25E84">
        <w:rPr>
          <w:b/>
          <w:sz w:val="28"/>
          <w:szCs w:val="28"/>
        </w:rPr>
        <w:t>28 May 2017</w:t>
      </w:r>
    </w:p>
    <w:p w:rsidR="00C5562B" w:rsidRPr="00EC3112" w:rsidRDefault="00C5562B" w:rsidP="001A6C89">
      <w:pPr>
        <w:rPr>
          <w:b/>
          <w:sz w:val="40"/>
          <w:szCs w:val="40"/>
        </w:rPr>
      </w:pPr>
    </w:p>
    <w:p w:rsidR="001F1E48" w:rsidRDefault="001F1E48" w:rsidP="001A6C89">
      <w:pPr>
        <w:pStyle w:val="ACMAReportSubTitle"/>
        <w:spacing w:line="240" w:lineRule="auto"/>
        <w:jc w:val="center"/>
      </w:pPr>
    </w:p>
    <w:p w:rsidR="00DA3736" w:rsidRDefault="00DA3736" w:rsidP="001F1E48">
      <w:pPr>
        <w:jc w:val="both"/>
      </w:pPr>
    </w:p>
    <w:p w:rsidR="00DA3736" w:rsidRDefault="00DA3736">
      <w:r>
        <w:br w:type="page"/>
      </w:r>
    </w:p>
    <w:p w:rsidR="00DA3736" w:rsidRDefault="00EC3112" w:rsidP="001F1E48">
      <w:pPr>
        <w:jc w:val="both"/>
      </w:pPr>
      <w:r>
        <w:rPr>
          <w:noProof/>
          <w:lang w:eastAsia="en-AU"/>
        </w:rPr>
        <w:lastRenderedPageBreak/>
        <w:drawing>
          <wp:inline distT="0" distB="0" distL="0" distR="0" wp14:anchorId="61A51246" wp14:editId="14BAFE58">
            <wp:extent cx="1028700" cy="809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778" cy="811261"/>
                    </a:xfrm>
                    <a:prstGeom prst="rect">
                      <a:avLst/>
                    </a:prstGeom>
                    <a:noFill/>
                  </pic:spPr>
                </pic:pic>
              </a:graphicData>
            </a:graphic>
          </wp:inline>
        </w:drawing>
      </w:r>
      <w:r>
        <w:rPr>
          <w:noProof/>
          <w:lang w:eastAsia="en-AU"/>
        </w:rPr>
        <w:drawing>
          <wp:inline distT="0" distB="0" distL="0" distR="0" wp14:anchorId="0EEB706D" wp14:editId="7944C8A8">
            <wp:extent cx="1047750" cy="809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9867" cy="811261"/>
                    </a:xfrm>
                    <a:prstGeom prst="rect">
                      <a:avLst/>
                    </a:prstGeom>
                    <a:noFill/>
                  </pic:spPr>
                </pic:pic>
              </a:graphicData>
            </a:graphic>
          </wp:inline>
        </w:drawing>
      </w:r>
    </w:p>
    <w:p w:rsidR="00DA3736" w:rsidRDefault="00DA3736" w:rsidP="001F1E48">
      <w:pPr>
        <w:jc w:val="both"/>
      </w:pPr>
    </w:p>
    <w:p w:rsidR="00DA3736" w:rsidRPr="001624F0" w:rsidRDefault="00DA3736" w:rsidP="001624F0">
      <w:pPr>
        <w:jc w:val="both"/>
        <w:rPr>
          <w:b/>
        </w:rPr>
      </w:pPr>
      <w:r w:rsidRPr="001624F0">
        <w:rPr>
          <w:b/>
        </w:rPr>
        <w:t xml:space="preserve">Introduction </w:t>
      </w:r>
    </w:p>
    <w:p w:rsidR="00DA3736" w:rsidRDefault="00DA3736" w:rsidP="001624F0">
      <w:pPr>
        <w:jc w:val="both"/>
      </w:pPr>
    </w:p>
    <w:p w:rsidR="001624F0" w:rsidRDefault="00DA3736" w:rsidP="001624F0">
      <w:pPr>
        <w:jc w:val="both"/>
      </w:pPr>
      <w:r>
        <w:t>The University of Melbourne’s Centre for Disaster Manag</w:t>
      </w:r>
      <w:r w:rsidR="00EC3112">
        <w:t>ement and Public Safety (CDMPS)</w:t>
      </w:r>
      <w:r>
        <w:t xml:space="preserve"> welcomes the opportunity to respond to </w:t>
      </w:r>
      <w:r w:rsidR="00B25E84">
        <w:t>the Australian</w:t>
      </w:r>
      <w:r w:rsidR="001624F0">
        <w:t xml:space="preserve"> Communications and Media Authority (ACMA) Options Paper – </w:t>
      </w:r>
      <w:r w:rsidR="001624F0" w:rsidRPr="001624F0">
        <w:rPr>
          <w:i/>
        </w:rPr>
        <w:t>Reconfiguring the 900MHz band</w:t>
      </w:r>
      <w:r w:rsidR="001624F0">
        <w:t>.</w:t>
      </w:r>
    </w:p>
    <w:p w:rsidR="004E5965" w:rsidRDefault="004E5965" w:rsidP="001624F0">
      <w:pPr>
        <w:jc w:val="both"/>
      </w:pPr>
    </w:p>
    <w:p w:rsidR="004E5965" w:rsidRPr="002A1436" w:rsidRDefault="004E5965" w:rsidP="004E5965">
      <w:pPr>
        <w:jc w:val="both"/>
        <w:rPr>
          <w:b/>
        </w:rPr>
      </w:pPr>
      <w:r w:rsidRPr="002A1436">
        <w:rPr>
          <w:b/>
        </w:rPr>
        <w:t>The University of Melbourne Centre for Disaster Management and Public Safety (CDMPS)</w:t>
      </w:r>
    </w:p>
    <w:p w:rsidR="00EC3112" w:rsidRDefault="00EC3112" w:rsidP="004E5965">
      <w:pPr>
        <w:jc w:val="both"/>
      </w:pPr>
    </w:p>
    <w:p w:rsidR="004E5965" w:rsidRDefault="004E5965" w:rsidP="00750D96">
      <w:pPr>
        <w:jc w:val="left"/>
      </w:pPr>
      <w:r>
        <w:t>The CDMPS is a Centre established by the University of Melbourne in November 2013 to specifically focus on research associated with disaster management and public safety. Mission critical communications infrastructure essential to the management of major emergencies and disasters is a specific component of</w:t>
      </w:r>
      <w:r w:rsidR="00750D96">
        <w:t xml:space="preserve"> the Centre’s Research Agenda. (</w:t>
      </w:r>
      <w:hyperlink r:id="rId10" w:history="1">
        <w:r w:rsidR="00750D96">
          <w:rPr>
            <w:rStyle w:val="Hyperlink"/>
          </w:rPr>
          <w:t>https://unimelb.edu.au/cdmp</w:t>
        </w:r>
        <w:r w:rsidR="00750D96">
          <w:rPr>
            <w:rStyle w:val="Hyperlink"/>
          </w:rPr>
          <w:t>s</w:t>
        </w:r>
        <w:r w:rsidR="00750D96">
          <w:rPr>
            <w:rStyle w:val="Hyperlink"/>
          </w:rPr>
          <w:t>/home?referrer=301_redirect</w:t>
        </w:r>
      </w:hyperlink>
      <w:r>
        <w:t>).</w:t>
      </w:r>
    </w:p>
    <w:p w:rsidR="004E5965" w:rsidRDefault="004E5965" w:rsidP="001624F0">
      <w:pPr>
        <w:jc w:val="both"/>
      </w:pPr>
    </w:p>
    <w:p w:rsidR="004E5965" w:rsidRDefault="00DA3736" w:rsidP="004E5965">
      <w:pPr>
        <w:pStyle w:val="ACMASpaceaftertable"/>
        <w:spacing w:after="0"/>
        <w:rPr>
          <w:b/>
        </w:rPr>
      </w:pPr>
      <w:r w:rsidRPr="004E5965">
        <w:rPr>
          <w:rFonts w:asciiTheme="minorHAnsi" w:hAnsiTheme="minorHAnsi"/>
          <w:sz w:val="22"/>
          <w:szCs w:val="22"/>
        </w:rPr>
        <w:t>This Submission is consistent with the CDMP’s strategic intent to support multi-disciplinary collaboration between researchers, government, industry, agencies and the community in delivering exceptional public safety outcomes.</w:t>
      </w:r>
      <w:r>
        <w:t xml:space="preserve"> </w:t>
      </w:r>
      <w:r w:rsidR="001624F0">
        <w:br/>
      </w:r>
    </w:p>
    <w:p w:rsidR="001624F0" w:rsidRPr="001624F0" w:rsidRDefault="00DA3736" w:rsidP="004E5965">
      <w:pPr>
        <w:pStyle w:val="ACMASpaceaftertable"/>
        <w:rPr>
          <w:b/>
        </w:rPr>
      </w:pPr>
      <w:r w:rsidRPr="001624F0">
        <w:rPr>
          <w:b/>
        </w:rPr>
        <w:t>Purpose</w:t>
      </w:r>
    </w:p>
    <w:p w:rsidR="001624F0" w:rsidRDefault="00DA3736" w:rsidP="001624F0">
      <w:pPr>
        <w:jc w:val="both"/>
      </w:pPr>
      <w:r>
        <w:t xml:space="preserve"> The purpose of this Submission is to identify in the context of the </w:t>
      </w:r>
      <w:r w:rsidR="001624F0">
        <w:t>ACMA’s Option Paper:</w:t>
      </w:r>
    </w:p>
    <w:p w:rsidR="001624F0" w:rsidRDefault="001624F0" w:rsidP="001624F0">
      <w:pPr>
        <w:jc w:val="both"/>
      </w:pPr>
    </w:p>
    <w:p w:rsidR="001624F0" w:rsidRDefault="00DA3736" w:rsidP="001624F0">
      <w:pPr>
        <w:pStyle w:val="ListParagraph"/>
        <w:numPr>
          <w:ilvl w:val="0"/>
          <w:numId w:val="6"/>
        </w:numPr>
        <w:ind w:hanging="720"/>
        <w:jc w:val="both"/>
      </w:pPr>
      <w:r>
        <w:t xml:space="preserve">The need to recognise </w:t>
      </w:r>
      <w:r w:rsidR="00B25E84">
        <w:t xml:space="preserve">the existence and importance of </w:t>
      </w:r>
      <w:r>
        <w:t>Australia’s Public Safety Communica</w:t>
      </w:r>
      <w:r w:rsidR="001624F0">
        <w:t>tions Ecosystem (the ecosystem);</w:t>
      </w:r>
    </w:p>
    <w:p w:rsidR="001624F0" w:rsidRDefault="00DA3736" w:rsidP="001624F0">
      <w:pPr>
        <w:ind w:left="720" w:hanging="720"/>
        <w:jc w:val="both"/>
      </w:pPr>
      <w:r>
        <w:t xml:space="preserve">(b) </w:t>
      </w:r>
      <w:r w:rsidR="001624F0">
        <w:tab/>
      </w:r>
      <w:r>
        <w:t xml:space="preserve">The need to recognise the </w:t>
      </w:r>
      <w:r w:rsidR="00B25E84">
        <w:t xml:space="preserve">ACMA </w:t>
      </w:r>
      <w:r w:rsidR="001624F0">
        <w:t xml:space="preserve">Options </w:t>
      </w:r>
      <w:r>
        <w:t>Paper as one of a series of Government and Department Discussion Papers independently addressing matters that will impact and/or influence the policy, strategic and regulatory settings associated with the evol</w:t>
      </w:r>
      <w:r w:rsidR="004E5965">
        <w:t>ution of the e</w:t>
      </w:r>
      <w:r>
        <w:t xml:space="preserve">cosystem; </w:t>
      </w:r>
    </w:p>
    <w:p w:rsidR="001624F0" w:rsidRDefault="001624F0" w:rsidP="001624F0">
      <w:pPr>
        <w:jc w:val="both"/>
      </w:pPr>
    </w:p>
    <w:p w:rsidR="001F1E48" w:rsidRDefault="00DA3736" w:rsidP="001624F0">
      <w:pPr>
        <w:ind w:left="720" w:hanging="720"/>
        <w:jc w:val="both"/>
      </w:pPr>
      <w:r>
        <w:t xml:space="preserve">(c) </w:t>
      </w:r>
      <w:r w:rsidR="001624F0">
        <w:tab/>
      </w:r>
      <w:r>
        <w:t>T</w:t>
      </w:r>
      <w:r w:rsidR="001624F0">
        <w:t xml:space="preserve">he </w:t>
      </w:r>
      <w:r>
        <w:t>need to continue to raise the profile, unde</w:t>
      </w:r>
      <w:r w:rsidR="004E5965">
        <w:t>rstanding and awareness of the e</w:t>
      </w:r>
      <w:r>
        <w:t>cosystem in the public safety market and amongst its key stakeholders.</w:t>
      </w:r>
    </w:p>
    <w:p w:rsidR="00DA3736" w:rsidRDefault="00DA3736" w:rsidP="001624F0">
      <w:pPr>
        <w:jc w:val="both"/>
      </w:pPr>
    </w:p>
    <w:p w:rsidR="001624F0" w:rsidRPr="001624F0" w:rsidRDefault="00DA3736" w:rsidP="001624F0">
      <w:pPr>
        <w:jc w:val="both"/>
        <w:rPr>
          <w:b/>
        </w:rPr>
      </w:pPr>
      <w:r w:rsidRPr="001624F0">
        <w:rPr>
          <w:b/>
        </w:rPr>
        <w:t>Australia’s Public Safety Communications Ecosystem</w:t>
      </w:r>
    </w:p>
    <w:p w:rsidR="001624F0" w:rsidRDefault="001624F0" w:rsidP="001F1E48">
      <w:pPr>
        <w:jc w:val="both"/>
      </w:pPr>
    </w:p>
    <w:p w:rsidR="001624F0" w:rsidRDefault="00DA3736" w:rsidP="001F1E48">
      <w:pPr>
        <w:jc w:val="both"/>
      </w:pPr>
      <w:r>
        <w:t xml:space="preserve">For the </w:t>
      </w:r>
      <w:r w:rsidR="001624F0">
        <w:t>purpose of this Submission the e</w:t>
      </w:r>
      <w:r>
        <w:t xml:space="preserve">cosystem will be considered to comprise the following components: </w:t>
      </w:r>
    </w:p>
    <w:p w:rsidR="001624F0" w:rsidRDefault="001624F0" w:rsidP="001F1E48">
      <w:pPr>
        <w:jc w:val="both"/>
      </w:pPr>
    </w:p>
    <w:p w:rsidR="001624F0" w:rsidRDefault="00DA3736" w:rsidP="001F1E48">
      <w:pPr>
        <w:jc w:val="both"/>
      </w:pPr>
      <w:r>
        <w:t xml:space="preserve">• </w:t>
      </w:r>
      <w:r w:rsidR="00FC09B7">
        <w:t>Australian c</w:t>
      </w:r>
      <w:r>
        <w:t>itizen</w:t>
      </w:r>
      <w:r w:rsidR="00FC09B7">
        <w:t xml:space="preserve">s and their use of </w:t>
      </w:r>
      <w:r>
        <w:t xml:space="preserve">communication devices </w:t>
      </w:r>
    </w:p>
    <w:p w:rsidR="001624F0" w:rsidRDefault="00DA3736" w:rsidP="001F1E48">
      <w:pPr>
        <w:jc w:val="both"/>
      </w:pPr>
      <w:r>
        <w:t>• The Emergency Call Person</w:t>
      </w:r>
      <w:r w:rsidR="004E5965">
        <w:t xml:space="preserve"> </w:t>
      </w:r>
      <w:r w:rsidR="00FC09B7">
        <w:t xml:space="preserve">(ECP) </w:t>
      </w:r>
      <w:r w:rsidR="004E5965">
        <w:t>service</w:t>
      </w:r>
      <w:r>
        <w:t xml:space="preserve"> </w:t>
      </w:r>
    </w:p>
    <w:p w:rsidR="001624F0" w:rsidRDefault="00DA3736" w:rsidP="001F1E48">
      <w:pPr>
        <w:jc w:val="both"/>
      </w:pPr>
      <w:r>
        <w:t xml:space="preserve">• Public Safety Agency Answering Points </w:t>
      </w:r>
      <w:r w:rsidR="004E5965">
        <w:t>(Control Rooms)</w:t>
      </w:r>
    </w:p>
    <w:p w:rsidR="001624F0" w:rsidRDefault="00DA3736" w:rsidP="001F1E48">
      <w:pPr>
        <w:jc w:val="both"/>
      </w:pPr>
      <w:r>
        <w:t xml:space="preserve">• Public Safety Mission Critical Land Mobile Radio </w:t>
      </w:r>
      <w:r w:rsidR="00B25E84">
        <w:t xml:space="preserve">(LMR) </w:t>
      </w:r>
      <w:r>
        <w:t xml:space="preserve">Networks </w:t>
      </w:r>
    </w:p>
    <w:p w:rsidR="00FC09B7" w:rsidRDefault="00FC09B7" w:rsidP="001F1E48">
      <w:pPr>
        <w:pStyle w:val="ListParagraph"/>
        <w:numPr>
          <w:ilvl w:val="0"/>
          <w:numId w:val="7"/>
        </w:numPr>
        <w:ind w:left="142" w:hanging="142"/>
        <w:jc w:val="both"/>
      </w:pPr>
      <w:r>
        <w:t>Public Safety Mission Critical Long Term Evolution (LTE) Networks (under development)</w:t>
      </w:r>
    </w:p>
    <w:p w:rsidR="001624F0" w:rsidRDefault="00DA3736" w:rsidP="001F1E48">
      <w:pPr>
        <w:pStyle w:val="ListParagraph"/>
        <w:numPr>
          <w:ilvl w:val="0"/>
          <w:numId w:val="7"/>
        </w:numPr>
        <w:ind w:left="142" w:hanging="142"/>
        <w:jc w:val="both"/>
      </w:pPr>
      <w:r>
        <w:t xml:space="preserve"> The interfaces between each of these components that pro</w:t>
      </w:r>
      <w:r w:rsidR="004E5965">
        <w:t xml:space="preserve">vide </w:t>
      </w:r>
      <w:r>
        <w:t xml:space="preserve">the interoperability capability and capacity that </w:t>
      </w:r>
      <w:r w:rsidR="00750D96">
        <w:t>facilitate</w:t>
      </w:r>
      <w:r>
        <w:t xml:space="preserve"> the receipt and transfer of information between each of these components</w:t>
      </w:r>
      <w:r w:rsidR="00750D96">
        <w:t>.</w:t>
      </w:r>
      <w:r>
        <w:t xml:space="preserve"> </w:t>
      </w:r>
    </w:p>
    <w:p w:rsidR="001624F0" w:rsidRDefault="002C0971" w:rsidP="001F1E48">
      <w:pPr>
        <w:jc w:val="both"/>
      </w:pPr>
      <w:r>
        <w:rPr>
          <w:noProof/>
          <w:lang w:eastAsia="en-AU"/>
        </w:rPr>
        <w:lastRenderedPageBreak/>
        <w:drawing>
          <wp:inline distT="0" distB="0" distL="0" distR="0" wp14:anchorId="40264206" wp14:editId="16BFC08A">
            <wp:extent cx="619125" cy="4476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0377" cy="448580"/>
                    </a:xfrm>
                    <a:prstGeom prst="rect">
                      <a:avLst/>
                    </a:prstGeom>
                    <a:noFill/>
                  </pic:spPr>
                </pic:pic>
              </a:graphicData>
            </a:graphic>
          </wp:inline>
        </w:drawing>
      </w:r>
      <w:r>
        <w:rPr>
          <w:noProof/>
          <w:lang w:eastAsia="en-AU"/>
        </w:rPr>
        <w:drawing>
          <wp:inline distT="0" distB="0" distL="0" distR="0" wp14:anchorId="6D2527AC" wp14:editId="456FF0B6">
            <wp:extent cx="609600" cy="4476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0832" cy="448580"/>
                    </a:xfrm>
                    <a:prstGeom prst="rect">
                      <a:avLst/>
                    </a:prstGeom>
                    <a:noFill/>
                  </pic:spPr>
                </pic:pic>
              </a:graphicData>
            </a:graphic>
          </wp:inline>
        </w:drawing>
      </w:r>
    </w:p>
    <w:p w:rsidR="002C0971" w:rsidRDefault="002C0971" w:rsidP="001F1E48">
      <w:pPr>
        <w:jc w:val="both"/>
      </w:pPr>
    </w:p>
    <w:p w:rsidR="00FC09B7" w:rsidRDefault="001624F0" w:rsidP="001F1E48">
      <w:pPr>
        <w:jc w:val="both"/>
      </w:pPr>
      <w:r>
        <w:t>The e</w:t>
      </w:r>
      <w:r w:rsidR="00DA3736">
        <w:t xml:space="preserve">cosystem is progressively </w:t>
      </w:r>
      <w:r w:rsidR="003877E1">
        <w:t xml:space="preserve">transitioning </w:t>
      </w:r>
      <w:r w:rsidR="00DA3736">
        <w:t>from a complicated i.e. analogue – voice based environment, to a complex i.e. digital,</w:t>
      </w:r>
      <w:r w:rsidR="00FC09B7">
        <w:t xml:space="preserve"> data and IP based environment </w:t>
      </w:r>
      <w:r w:rsidR="00DA3736">
        <w:t xml:space="preserve">within </w:t>
      </w:r>
      <w:r w:rsidR="004E5965">
        <w:t xml:space="preserve">mainstream </w:t>
      </w:r>
      <w:r w:rsidR="00DA3736">
        <w:t xml:space="preserve">information </w:t>
      </w:r>
      <w:r w:rsidR="004E5965">
        <w:t xml:space="preserve">and </w:t>
      </w:r>
      <w:r w:rsidR="00DA3736">
        <w:t>communications and technolog</w:t>
      </w:r>
      <w:r w:rsidR="004E5965">
        <w:t>ies</w:t>
      </w:r>
      <w:r w:rsidR="00DA3736">
        <w:t>.</w:t>
      </w:r>
    </w:p>
    <w:p w:rsidR="00FC09B7" w:rsidRDefault="00FC09B7" w:rsidP="001F1E48">
      <w:pPr>
        <w:jc w:val="both"/>
      </w:pPr>
    </w:p>
    <w:p w:rsidR="004E5965" w:rsidRDefault="003877E1" w:rsidP="001F1E48">
      <w:pPr>
        <w:jc w:val="both"/>
      </w:pPr>
      <w:r>
        <w:t xml:space="preserve">The CDMPS has developed a </w:t>
      </w:r>
      <w:r w:rsidR="004E5965">
        <w:t>simplified illustration of the e</w:t>
      </w:r>
      <w:r w:rsidR="00DA3736">
        <w:t xml:space="preserve">cosystem shown in Figure No1. </w:t>
      </w:r>
    </w:p>
    <w:p w:rsidR="004E5965" w:rsidRDefault="004E5965" w:rsidP="001F1E48">
      <w:pPr>
        <w:jc w:val="both"/>
      </w:pPr>
    </w:p>
    <w:p w:rsidR="004E5965" w:rsidRDefault="004E5965" w:rsidP="001F1E48">
      <w:pPr>
        <w:jc w:val="both"/>
      </w:pPr>
    </w:p>
    <w:p w:rsidR="004E5965" w:rsidRDefault="004E5965" w:rsidP="001F1E48">
      <w:pPr>
        <w:jc w:val="both"/>
      </w:pPr>
      <w:r>
        <w:rPr>
          <w:noProof/>
          <w:lang w:eastAsia="en-AU"/>
        </w:rPr>
        <w:drawing>
          <wp:inline distT="0" distB="0" distL="0" distR="0" wp14:anchorId="2ED9C8E0" wp14:editId="73FC183B">
            <wp:extent cx="5734050" cy="3238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237065"/>
                    </a:xfrm>
                    <a:prstGeom prst="rect">
                      <a:avLst/>
                    </a:prstGeom>
                    <a:noFill/>
                  </pic:spPr>
                </pic:pic>
              </a:graphicData>
            </a:graphic>
          </wp:inline>
        </w:drawing>
      </w:r>
    </w:p>
    <w:p w:rsidR="004E5965" w:rsidRDefault="004E5965" w:rsidP="001F1E48">
      <w:pPr>
        <w:jc w:val="both"/>
      </w:pPr>
    </w:p>
    <w:p w:rsidR="004E5965" w:rsidRDefault="004E5965" w:rsidP="001F1E48">
      <w:pPr>
        <w:jc w:val="both"/>
      </w:pPr>
    </w:p>
    <w:p w:rsidR="001624F0" w:rsidRPr="004E5965" w:rsidRDefault="00DA3736" w:rsidP="00272099">
      <w:pPr>
        <w:rPr>
          <w:b/>
        </w:rPr>
      </w:pPr>
      <w:r w:rsidRPr="004E5965">
        <w:rPr>
          <w:b/>
        </w:rPr>
        <w:t>Figure No 1 – Simplified Illustration of the Public Safety Communications Ecosystem</w:t>
      </w:r>
    </w:p>
    <w:p w:rsidR="001624F0" w:rsidRPr="004E5965" w:rsidRDefault="001624F0" w:rsidP="001F1E48">
      <w:pPr>
        <w:jc w:val="both"/>
        <w:rPr>
          <w:b/>
        </w:rPr>
      </w:pPr>
    </w:p>
    <w:p w:rsidR="00750D96" w:rsidRDefault="00DA3736" w:rsidP="00F520DF">
      <w:pPr>
        <w:jc w:val="both"/>
      </w:pPr>
      <w:r>
        <w:t>Th</w:t>
      </w:r>
      <w:r w:rsidR="00B25E84">
        <w:t xml:space="preserve">e ecosystem </w:t>
      </w:r>
      <w:r>
        <w:t>tr</w:t>
      </w:r>
      <w:r w:rsidR="001624F0">
        <w:t>ans</w:t>
      </w:r>
      <w:r w:rsidR="003877E1">
        <w:t xml:space="preserve">ition </w:t>
      </w:r>
      <w:r w:rsidR="00B25E84">
        <w:t xml:space="preserve">is being </w:t>
      </w:r>
      <w:r w:rsidR="001624F0">
        <w:t xml:space="preserve">driven by </w:t>
      </w:r>
      <w:r>
        <w:t xml:space="preserve">stakeholders able to produce </w:t>
      </w:r>
      <w:r w:rsidR="00B25E84">
        <w:t>next g</w:t>
      </w:r>
      <w:r>
        <w:t xml:space="preserve">eneration public safety communications capabilities </w:t>
      </w:r>
      <w:r w:rsidR="00F520DF">
        <w:t>l</w:t>
      </w:r>
      <w:r>
        <w:t xml:space="preserve">everaging technologies developed to meet consumer/citizen expectations </w:t>
      </w:r>
      <w:r w:rsidR="00F520DF">
        <w:t xml:space="preserve">of being </w:t>
      </w:r>
      <w:r>
        <w:t>continuously connected anywhere anytime.</w:t>
      </w:r>
      <w:r w:rsidR="00F520DF">
        <w:t xml:space="preserve">  </w:t>
      </w:r>
    </w:p>
    <w:p w:rsidR="00750D96" w:rsidRDefault="00750D96" w:rsidP="00F520DF">
      <w:pPr>
        <w:jc w:val="both"/>
      </w:pPr>
    </w:p>
    <w:p w:rsidR="00F520DF" w:rsidRDefault="00F520DF" w:rsidP="00F520DF">
      <w:pPr>
        <w:jc w:val="both"/>
      </w:pPr>
      <w:r>
        <w:t>Th</w:t>
      </w:r>
      <w:r>
        <w:t xml:space="preserve">e transition will also </w:t>
      </w:r>
      <w:r>
        <w:t xml:space="preserve">recognise the extended response community </w:t>
      </w:r>
      <w:r>
        <w:t xml:space="preserve">e.g. utilities </w:t>
      </w:r>
      <w:r>
        <w:t>and the shared responsibility of stakeholders beyond police and emergency services like fire agencies and emergency medical responders</w:t>
      </w:r>
      <w:r>
        <w:t xml:space="preserve"> </w:t>
      </w:r>
      <w:r>
        <w:t>ensur</w:t>
      </w:r>
      <w:r>
        <w:t xml:space="preserve">ing </w:t>
      </w:r>
      <w:r>
        <w:t>a greater return on investment</w:t>
      </w:r>
      <w:r>
        <w:t>s</w:t>
      </w:r>
      <w:r>
        <w:t xml:space="preserve"> made </w:t>
      </w:r>
      <w:r>
        <w:t>in the</w:t>
      </w:r>
      <w:r>
        <w:t xml:space="preserve"> ecosystem.</w:t>
      </w:r>
    </w:p>
    <w:p w:rsidR="00F520DF" w:rsidRDefault="00F520DF" w:rsidP="001F1E48">
      <w:pPr>
        <w:jc w:val="both"/>
      </w:pPr>
    </w:p>
    <w:p w:rsidR="004E5965" w:rsidRDefault="00F520DF" w:rsidP="001F1E48">
      <w:pPr>
        <w:jc w:val="both"/>
      </w:pPr>
      <w:r>
        <w:t>Likewise t</w:t>
      </w:r>
      <w:r w:rsidR="00B0652A">
        <w:t xml:space="preserve">he </w:t>
      </w:r>
      <w:r w:rsidR="001624F0">
        <w:t>e</w:t>
      </w:r>
      <w:r w:rsidR="00DA3736">
        <w:t>cosystem must expand its services beyond the traditional emergency services sector and include a broader range of stakeholders, for example the owners and operators of critical infrastructure and their communications requirements as they pertain to public safety.</w:t>
      </w:r>
    </w:p>
    <w:p w:rsidR="003877E1" w:rsidRDefault="003877E1" w:rsidP="001F1E48">
      <w:pPr>
        <w:jc w:val="both"/>
      </w:pPr>
    </w:p>
    <w:p w:rsidR="003877E1" w:rsidRDefault="003877E1" w:rsidP="003877E1">
      <w:pPr>
        <w:jc w:val="both"/>
      </w:pPr>
      <w:r>
        <w:t xml:space="preserve">Emergency Management Australia (EMA) within the Department of Home Affairs is understood to be working towards a national program for the public safety communications ecosystem. </w:t>
      </w:r>
      <w:r w:rsidR="00B0652A">
        <w:t xml:space="preserve">CDMPS expects </w:t>
      </w:r>
      <w:r>
        <w:t xml:space="preserve">the provision of spectrum will be recognised as a critical resource enabler to the efficient </w:t>
      </w:r>
      <w:r w:rsidR="00B0652A">
        <w:t xml:space="preserve">and effective </w:t>
      </w:r>
      <w:r>
        <w:t>operation of the ecosystem</w:t>
      </w:r>
      <w:r w:rsidR="003C0CC6">
        <w:t>.</w:t>
      </w:r>
    </w:p>
    <w:p w:rsidR="003877E1" w:rsidRDefault="003877E1" w:rsidP="001F1E48">
      <w:pPr>
        <w:jc w:val="both"/>
      </w:pPr>
    </w:p>
    <w:p w:rsidR="001F1E48" w:rsidRDefault="001F1E48" w:rsidP="001F1E48">
      <w:pPr>
        <w:jc w:val="both"/>
      </w:pPr>
    </w:p>
    <w:p w:rsidR="00750D96" w:rsidRDefault="00750D96" w:rsidP="00355686">
      <w:pPr>
        <w:jc w:val="both"/>
        <w:rPr>
          <w:rFonts w:cstheme="minorHAnsi"/>
        </w:rPr>
      </w:pPr>
    </w:p>
    <w:p w:rsidR="00750D96" w:rsidRDefault="00750D96" w:rsidP="00355686">
      <w:pPr>
        <w:jc w:val="both"/>
        <w:rPr>
          <w:rFonts w:cstheme="minorHAnsi"/>
        </w:rPr>
      </w:pPr>
      <w:r>
        <w:rPr>
          <w:noProof/>
          <w:lang w:eastAsia="en-AU"/>
        </w:rPr>
        <w:lastRenderedPageBreak/>
        <w:drawing>
          <wp:inline distT="0" distB="0" distL="0" distR="0" wp14:anchorId="34AB5344" wp14:editId="2BA61E96">
            <wp:extent cx="619125" cy="447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0377" cy="448580"/>
                    </a:xfrm>
                    <a:prstGeom prst="rect">
                      <a:avLst/>
                    </a:prstGeom>
                    <a:noFill/>
                  </pic:spPr>
                </pic:pic>
              </a:graphicData>
            </a:graphic>
          </wp:inline>
        </w:drawing>
      </w:r>
      <w:r w:rsidRPr="00750D96">
        <w:rPr>
          <w:noProof/>
          <w:lang w:eastAsia="en-AU"/>
        </w:rPr>
        <w:t xml:space="preserve"> </w:t>
      </w:r>
      <w:r>
        <w:rPr>
          <w:noProof/>
          <w:lang w:eastAsia="en-AU"/>
        </w:rPr>
        <w:drawing>
          <wp:inline distT="0" distB="0" distL="0" distR="0" wp14:anchorId="57163FE1" wp14:editId="0B9D8E22">
            <wp:extent cx="609600" cy="4476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0832" cy="448580"/>
                    </a:xfrm>
                    <a:prstGeom prst="rect">
                      <a:avLst/>
                    </a:prstGeom>
                    <a:noFill/>
                  </pic:spPr>
                </pic:pic>
              </a:graphicData>
            </a:graphic>
          </wp:inline>
        </w:drawing>
      </w:r>
    </w:p>
    <w:p w:rsidR="00750D96" w:rsidRDefault="00750D96" w:rsidP="00355686">
      <w:pPr>
        <w:jc w:val="both"/>
        <w:rPr>
          <w:rFonts w:cstheme="minorHAnsi"/>
        </w:rPr>
      </w:pPr>
    </w:p>
    <w:p w:rsidR="00750D96" w:rsidRPr="001F1E48" w:rsidRDefault="00750D96" w:rsidP="00750D96">
      <w:pPr>
        <w:jc w:val="both"/>
        <w:rPr>
          <w:b/>
        </w:rPr>
      </w:pPr>
      <w:r w:rsidRPr="001F1E48">
        <w:rPr>
          <w:b/>
        </w:rPr>
        <w:t>Context</w:t>
      </w:r>
    </w:p>
    <w:p w:rsidR="00750D96" w:rsidRDefault="00750D96" w:rsidP="00355686">
      <w:pPr>
        <w:jc w:val="both"/>
        <w:rPr>
          <w:rFonts w:cstheme="minorHAnsi"/>
        </w:rPr>
      </w:pPr>
    </w:p>
    <w:p w:rsidR="00355686" w:rsidRDefault="003C0CC6" w:rsidP="00355686">
      <w:pPr>
        <w:jc w:val="both"/>
        <w:rPr>
          <w:rFonts w:cstheme="minorHAnsi"/>
        </w:rPr>
      </w:pPr>
      <w:r>
        <w:rPr>
          <w:rFonts w:cstheme="minorHAnsi"/>
        </w:rPr>
        <w:t>T</w:t>
      </w:r>
      <w:r w:rsidR="00355686">
        <w:rPr>
          <w:rFonts w:cstheme="minorHAnsi"/>
        </w:rPr>
        <w:t xml:space="preserve">he Council of Australian Governments (COAG) </w:t>
      </w:r>
      <w:r>
        <w:rPr>
          <w:rFonts w:cstheme="minorHAnsi"/>
        </w:rPr>
        <w:t xml:space="preserve">at its </w:t>
      </w:r>
      <w:r w:rsidR="00355686">
        <w:rPr>
          <w:rFonts w:cstheme="minorHAnsi"/>
        </w:rPr>
        <w:t xml:space="preserve">meeting on 12 December 2018 </w:t>
      </w:r>
      <w:r w:rsidR="00C51078">
        <w:rPr>
          <w:rFonts w:cstheme="minorHAnsi"/>
        </w:rPr>
        <w:t xml:space="preserve">considered </w:t>
      </w:r>
      <w:r w:rsidR="00B0652A">
        <w:rPr>
          <w:rFonts w:cstheme="minorHAnsi"/>
        </w:rPr>
        <w:t xml:space="preserve">an Agenda regarding </w:t>
      </w:r>
      <w:r w:rsidR="00C51078">
        <w:rPr>
          <w:rFonts w:cstheme="minorHAnsi"/>
        </w:rPr>
        <w:t>progress</w:t>
      </w:r>
      <w:r w:rsidR="00355686">
        <w:rPr>
          <w:rFonts w:cstheme="minorHAnsi"/>
        </w:rPr>
        <w:t xml:space="preserve"> </w:t>
      </w:r>
      <w:r w:rsidR="00C51078">
        <w:rPr>
          <w:rFonts w:cstheme="minorHAnsi"/>
        </w:rPr>
        <w:t xml:space="preserve">being made </w:t>
      </w:r>
      <w:r w:rsidR="00355686">
        <w:rPr>
          <w:rFonts w:cstheme="minorHAnsi"/>
        </w:rPr>
        <w:t xml:space="preserve">on priority </w:t>
      </w:r>
      <w:r w:rsidR="00355686" w:rsidRPr="003C0CC6">
        <w:rPr>
          <w:rFonts w:cstheme="minorHAnsi"/>
          <w:i/>
        </w:rPr>
        <w:t xml:space="preserve">economic, social </w:t>
      </w:r>
      <w:r w:rsidR="00355686" w:rsidRPr="00C51078">
        <w:rPr>
          <w:rFonts w:cstheme="minorHAnsi"/>
        </w:rPr>
        <w:t xml:space="preserve">and </w:t>
      </w:r>
      <w:r w:rsidR="00355686" w:rsidRPr="00355686">
        <w:rPr>
          <w:rFonts w:cstheme="minorHAnsi"/>
          <w:i/>
        </w:rPr>
        <w:t>national security</w:t>
      </w:r>
      <w:r w:rsidR="00355686">
        <w:rPr>
          <w:rFonts w:cstheme="minorHAnsi"/>
        </w:rPr>
        <w:t xml:space="preserve"> issues to improve the lives and </w:t>
      </w:r>
      <w:r w:rsidR="00355686" w:rsidRPr="00355686">
        <w:rPr>
          <w:rFonts w:cstheme="minorHAnsi"/>
          <w:i/>
        </w:rPr>
        <w:t>ensure the safety of all Australians</w:t>
      </w:r>
      <w:r w:rsidR="00355686">
        <w:rPr>
          <w:rFonts w:cstheme="minorHAnsi"/>
        </w:rPr>
        <w:t xml:space="preserve">. </w:t>
      </w:r>
    </w:p>
    <w:p w:rsidR="00272099" w:rsidRDefault="00272099" w:rsidP="00355686">
      <w:pPr>
        <w:jc w:val="both"/>
        <w:rPr>
          <w:rFonts w:cstheme="minorHAnsi"/>
        </w:rPr>
      </w:pPr>
    </w:p>
    <w:p w:rsidR="00272099" w:rsidRDefault="003C0CC6" w:rsidP="00272099">
      <w:pPr>
        <w:jc w:val="both"/>
      </w:pPr>
      <w:r>
        <w:rPr>
          <w:rFonts w:cstheme="minorHAnsi"/>
        </w:rPr>
        <w:t xml:space="preserve">As mentioned in the </w:t>
      </w:r>
      <w:r w:rsidR="00C51078">
        <w:rPr>
          <w:rFonts w:cstheme="minorHAnsi"/>
        </w:rPr>
        <w:t xml:space="preserve">ACMA </w:t>
      </w:r>
      <w:r>
        <w:rPr>
          <w:rFonts w:cstheme="minorHAnsi"/>
        </w:rPr>
        <w:t xml:space="preserve">Options Paper </w:t>
      </w:r>
      <w:r w:rsidR="00272099" w:rsidRPr="004A6118">
        <w:t>COAG</w:t>
      </w:r>
      <w:r w:rsidR="00272099">
        <w:t xml:space="preserve"> </w:t>
      </w:r>
      <w:r w:rsidR="00272099" w:rsidRPr="004A6118">
        <w:t>took a significant step towards achieving a federated national PSMB capability</w:t>
      </w:r>
      <w:r w:rsidR="00272099">
        <w:t xml:space="preserve"> with a</w:t>
      </w:r>
      <w:r w:rsidR="00272099" w:rsidRPr="004A6118">
        <w:t>ll jurisdictions agree</w:t>
      </w:r>
      <w:r w:rsidR="00272099">
        <w:t xml:space="preserve">ing to the adoption of </w:t>
      </w:r>
      <w:r w:rsidR="00272099" w:rsidRPr="004A6118">
        <w:t xml:space="preserve">a </w:t>
      </w:r>
      <w:r w:rsidR="00C51078">
        <w:t>“</w:t>
      </w:r>
      <w:r>
        <w:t>S</w:t>
      </w:r>
      <w:r w:rsidR="00272099" w:rsidRPr="004A6118">
        <w:t xml:space="preserve">trategic </w:t>
      </w:r>
      <w:r>
        <w:t>R</w:t>
      </w:r>
      <w:r w:rsidR="00272099" w:rsidRPr="004A6118">
        <w:t>oadmap</w:t>
      </w:r>
      <w:r w:rsidR="00C51078">
        <w:t>”</w:t>
      </w:r>
      <w:r w:rsidR="00272099" w:rsidRPr="004A6118">
        <w:t xml:space="preserve"> that sets out a plan to design, implement and operate PSMB and </w:t>
      </w:r>
      <w:r w:rsidR="00272099" w:rsidRPr="00272099">
        <w:rPr>
          <w:i/>
        </w:rPr>
        <w:t>to continue to work together to resolve the supporting spectrum</w:t>
      </w:r>
      <w:r w:rsidR="00272099">
        <w:rPr>
          <w:i/>
        </w:rPr>
        <w:t xml:space="preserve"> arrangements in parallel with Proof Of C</w:t>
      </w:r>
      <w:r w:rsidR="00272099" w:rsidRPr="00272099">
        <w:rPr>
          <w:i/>
        </w:rPr>
        <w:t xml:space="preserve">oncept </w:t>
      </w:r>
      <w:r w:rsidR="00272099">
        <w:rPr>
          <w:i/>
        </w:rPr>
        <w:t xml:space="preserve">(POC) </w:t>
      </w:r>
      <w:r w:rsidR="00272099" w:rsidRPr="00272099">
        <w:rPr>
          <w:i/>
        </w:rPr>
        <w:t>trials.</w:t>
      </w:r>
      <w:r w:rsidR="00272099" w:rsidRPr="004A6118">
        <w:t xml:space="preserve"> </w:t>
      </w:r>
    </w:p>
    <w:p w:rsidR="00272099" w:rsidRDefault="00272099" w:rsidP="00272099">
      <w:pPr>
        <w:jc w:val="both"/>
      </w:pPr>
    </w:p>
    <w:p w:rsidR="00B0652A" w:rsidRDefault="00D81E30" w:rsidP="00272099">
      <w:pPr>
        <w:jc w:val="both"/>
      </w:pPr>
      <w:r>
        <w:t>The COAG endorsed PSMB S</w:t>
      </w:r>
      <w:r w:rsidRPr="004A6118">
        <w:t xml:space="preserve">trategic </w:t>
      </w:r>
      <w:r>
        <w:t>R</w:t>
      </w:r>
      <w:r w:rsidRPr="004A6118">
        <w:t>oadmap</w:t>
      </w:r>
      <w:r>
        <w:t xml:space="preserve"> recognises t</w:t>
      </w:r>
      <w:r w:rsidR="003C0CC6">
        <w:t xml:space="preserve">he PSMB capability is </w:t>
      </w:r>
      <w:r w:rsidR="00D8473D">
        <w:t xml:space="preserve">a </w:t>
      </w:r>
      <w:r w:rsidR="003C0CC6" w:rsidRPr="003C0CC6">
        <w:rPr>
          <w:i/>
        </w:rPr>
        <w:t>game changer</w:t>
      </w:r>
      <w:r w:rsidR="003C0CC6">
        <w:t xml:space="preserve"> for </w:t>
      </w:r>
      <w:r>
        <w:t xml:space="preserve">the </w:t>
      </w:r>
      <w:r w:rsidR="003C0CC6">
        <w:t xml:space="preserve">public safety communications ecosystem </w:t>
      </w:r>
      <w:r>
        <w:t xml:space="preserve">enabling </w:t>
      </w:r>
      <w:r w:rsidR="003C0CC6">
        <w:t xml:space="preserve">the development of </w:t>
      </w:r>
      <w:r w:rsidR="00C51078">
        <w:t xml:space="preserve">both </w:t>
      </w:r>
      <w:r w:rsidR="003C0CC6">
        <w:t>a Framework</w:t>
      </w:r>
      <w:r>
        <w:t xml:space="preserve"> and </w:t>
      </w:r>
      <w:r w:rsidR="003C0CC6">
        <w:t xml:space="preserve">Timetable </w:t>
      </w:r>
      <w:r>
        <w:t xml:space="preserve">that can be used to monitor progress with PSMB </w:t>
      </w:r>
      <w:r w:rsidR="00D8473D">
        <w:t>and the evolution of other technologies</w:t>
      </w:r>
      <w:r w:rsidR="00267869">
        <w:t xml:space="preserve"> </w:t>
      </w:r>
      <w:r w:rsidR="00C51078">
        <w:t xml:space="preserve">in the ecosystem </w:t>
      </w:r>
      <w:r w:rsidR="00267869">
        <w:t>e.g.</w:t>
      </w:r>
      <w:r w:rsidR="00D8473D">
        <w:t xml:space="preserve"> the Public S</w:t>
      </w:r>
      <w:r w:rsidR="00267869">
        <w:t xml:space="preserve">afety Internet of Things </w:t>
      </w:r>
      <w:r w:rsidR="00C51078">
        <w:t xml:space="preserve">together with </w:t>
      </w:r>
      <w:r w:rsidR="00D8473D">
        <w:t>supporting legislation – regulation</w:t>
      </w:r>
      <w:r w:rsidR="00C51078">
        <w:t xml:space="preserve">.  </w:t>
      </w:r>
    </w:p>
    <w:p w:rsidR="00B0652A" w:rsidRDefault="00B0652A" w:rsidP="00272099">
      <w:pPr>
        <w:jc w:val="both"/>
      </w:pPr>
    </w:p>
    <w:p w:rsidR="003C0CC6" w:rsidRDefault="00C51078" w:rsidP="00272099">
      <w:pPr>
        <w:jc w:val="both"/>
      </w:pPr>
      <w:r>
        <w:t xml:space="preserve">Importantly it also allows </w:t>
      </w:r>
      <w:r w:rsidR="00D8473D">
        <w:t xml:space="preserve">alignment with global timetables </w:t>
      </w:r>
      <w:r>
        <w:t>for open</w:t>
      </w:r>
      <w:r w:rsidR="00267869">
        <w:t xml:space="preserve"> standards </w:t>
      </w:r>
      <w:r w:rsidR="00D8473D">
        <w:t>e.g. 3GPP</w:t>
      </w:r>
      <w:r>
        <w:t xml:space="preserve"> and the anticipated release of standards based products and services to the market and its component sectors</w:t>
      </w:r>
      <w:r w:rsidR="00267869">
        <w:t>.</w:t>
      </w:r>
      <w:r w:rsidR="003C0CC6">
        <w:t xml:space="preserve"> </w:t>
      </w:r>
    </w:p>
    <w:p w:rsidR="00C51078" w:rsidRDefault="00C51078" w:rsidP="00272099">
      <w:pPr>
        <w:jc w:val="both"/>
      </w:pPr>
    </w:p>
    <w:p w:rsidR="00C51078" w:rsidRDefault="00C51078" w:rsidP="00272099">
      <w:pPr>
        <w:jc w:val="both"/>
      </w:pPr>
      <w:r>
        <w:t xml:space="preserve">In making this decision it appears that COAG did not make the connection between other matters on the COAG Agenda i.e. </w:t>
      </w:r>
      <w:r w:rsidR="00F753CE">
        <w:t xml:space="preserve">COAG made the decision relating to PSMB under the heading of </w:t>
      </w:r>
      <w:r w:rsidR="00F753CE" w:rsidRPr="00F753CE">
        <w:rPr>
          <w:i/>
        </w:rPr>
        <w:t>“Crisis and Emergency Management”</w:t>
      </w:r>
      <w:r w:rsidR="00F753CE">
        <w:t xml:space="preserve"> </w:t>
      </w:r>
      <w:r w:rsidR="00B0652A">
        <w:t xml:space="preserve">whereas </w:t>
      </w:r>
      <w:r w:rsidR="00F753CE">
        <w:t>the PSMB capability also related to several other agenda items e.g.</w:t>
      </w:r>
    </w:p>
    <w:p w:rsidR="00F753CE" w:rsidRDefault="00F753CE" w:rsidP="00272099">
      <w:pPr>
        <w:jc w:val="both"/>
      </w:pPr>
    </w:p>
    <w:p w:rsidR="00F753CE" w:rsidRPr="00F753CE" w:rsidRDefault="00F753CE" w:rsidP="00F753CE">
      <w:pPr>
        <w:pStyle w:val="ListParagraph"/>
        <w:numPr>
          <w:ilvl w:val="0"/>
          <w:numId w:val="8"/>
        </w:numPr>
        <w:ind w:hanging="720"/>
        <w:jc w:val="both"/>
        <w:rPr>
          <w:i/>
        </w:rPr>
      </w:pPr>
      <w:r w:rsidRPr="00F753CE">
        <w:rPr>
          <w:i/>
        </w:rPr>
        <w:t>Better equipping our agencies to deal with the threat of terrorism and organised crime</w:t>
      </w:r>
    </w:p>
    <w:p w:rsidR="00F753CE" w:rsidRPr="00F753CE" w:rsidRDefault="00F753CE" w:rsidP="00F753CE">
      <w:pPr>
        <w:pStyle w:val="ListParagraph"/>
        <w:numPr>
          <w:ilvl w:val="0"/>
          <w:numId w:val="8"/>
        </w:numPr>
        <w:ind w:hanging="720"/>
        <w:jc w:val="both"/>
        <w:rPr>
          <w:i/>
        </w:rPr>
      </w:pPr>
      <w:r w:rsidRPr="00F753CE">
        <w:rPr>
          <w:i/>
        </w:rPr>
        <w:t>Enhancing cyber capability and resilience</w:t>
      </w:r>
    </w:p>
    <w:p w:rsidR="00F753CE" w:rsidRPr="00F753CE" w:rsidRDefault="00F753CE" w:rsidP="00F753CE">
      <w:pPr>
        <w:pStyle w:val="ListParagraph"/>
        <w:numPr>
          <w:ilvl w:val="0"/>
          <w:numId w:val="8"/>
        </w:numPr>
        <w:ind w:hanging="720"/>
        <w:jc w:val="both"/>
        <w:rPr>
          <w:i/>
        </w:rPr>
      </w:pPr>
      <w:r w:rsidRPr="00F753CE">
        <w:rPr>
          <w:i/>
        </w:rPr>
        <w:t>Increasing collaboration on national security</w:t>
      </w:r>
    </w:p>
    <w:p w:rsidR="00F753CE" w:rsidRPr="00F753CE" w:rsidRDefault="00F753CE" w:rsidP="00F753CE">
      <w:pPr>
        <w:pStyle w:val="ListParagraph"/>
        <w:numPr>
          <w:ilvl w:val="0"/>
          <w:numId w:val="8"/>
        </w:numPr>
        <w:ind w:hanging="720"/>
        <w:jc w:val="both"/>
        <w:rPr>
          <w:i/>
        </w:rPr>
      </w:pPr>
      <w:r w:rsidRPr="00F753CE">
        <w:rPr>
          <w:i/>
        </w:rPr>
        <w:t>Ensuring the wellbeing of Australia’s young people</w:t>
      </w:r>
    </w:p>
    <w:p w:rsidR="00F753CE" w:rsidRPr="00F753CE" w:rsidRDefault="00F753CE" w:rsidP="00F753CE">
      <w:pPr>
        <w:pStyle w:val="ListParagraph"/>
        <w:numPr>
          <w:ilvl w:val="0"/>
          <w:numId w:val="8"/>
        </w:numPr>
        <w:ind w:hanging="720"/>
        <w:jc w:val="both"/>
        <w:rPr>
          <w:i/>
        </w:rPr>
      </w:pPr>
      <w:r w:rsidRPr="00F753CE">
        <w:rPr>
          <w:i/>
        </w:rPr>
        <w:t>Reducing violence against women and their children</w:t>
      </w:r>
    </w:p>
    <w:p w:rsidR="00F753CE" w:rsidRPr="00F753CE" w:rsidRDefault="00F753CE" w:rsidP="00F753CE">
      <w:pPr>
        <w:pStyle w:val="ListParagraph"/>
        <w:numPr>
          <w:ilvl w:val="0"/>
          <w:numId w:val="8"/>
        </w:numPr>
        <w:ind w:hanging="720"/>
        <w:jc w:val="both"/>
        <w:rPr>
          <w:i/>
        </w:rPr>
      </w:pPr>
      <w:r w:rsidRPr="00F753CE">
        <w:rPr>
          <w:i/>
        </w:rPr>
        <w:t>Improving population planning and management</w:t>
      </w:r>
    </w:p>
    <w:p w:rsidR="003C0CC6" w:rsidRDefault="00F753CE" w:rsidP="00272099">
      <w:pPr>
        <w:jc w:val="both"/>
      </w:pPr>
      <w:r>
        <w:t xml:space="preserve">These items can be included in the development of the PSMB Framework to raise the level of understanding </w:t>
      </w:r>
      <w:r w:rsidR="00B0652A">
        <w:t xml:space="preserve">amongst key stakeholders </w:t>
      </w:r>
      <w:r>
        <w:t xml:space="preserve">of both PSMB capability </w:t>
      </w:r>
      <w:r w:rsidR="00B0652A">
        <w:t xml:space="preserve">and the </w:t>
      </w:r>
      <w:r>
        <w:t>importance of the ecosystem itself.</w:t>
      </w:r>
    </w:p>
    <w:p w:rsidR="003F4DFE" w:rsidRDefault="003F4DFE" w:rsidP="00272099">
      <w:pPr>
        <w:jc w:val="both"/>
      </w:pPr>
    </w:p>
    <w:p w:rsidR="003F4DFE" w:rsidRDefault="003F4DFE" w:rsidP="00272099">
      <w:pPr>
        <w:jc w:val="both"/>
      </w:pPr>
      <w:r>
        <w:t>In May 2019 the National Disaster Risk Reduction Framework (NDRRF) was released.  This Framework was a multi-sector collaboration led by the National Resilience Taskforce within the Department of Home Affairs.</w:t>
      </w:r>
    </w:p>
    <w:p w:rsidR="003F4DFE" w:rsidRDefault="003F4DFE" w:rsidP="00272099">
      <w:pPr>
        <w:jc w:val="both"/>
      </w:pPr>
    </w:p>
    <w:p w:rsidR="003F4DFE" w:rsidRDefault="003F4DFE" w:rsidP="00272099">
      <w:pPr>
        <w:jc w:val="both"/>
      </w:pPr>
      <w:r>
        <w:t>The NDRRF identified the following as components in disaster risk reduction</w:t>
      </w:r>
      <w:r w:rsidR="00B0652A">
        <w:t xml:space="preserve"> and provided a Five Year (2019-2023) for strategy implementation</w:t>
      </w:r>
      <w:r>
        <w:t>:</w:t>
      </w:r>
    </w:p>
    <w:p w:rsidR="003F4DFE" w:rsidRDefault="003F4DFE" w:rsidP="00272099">
      <w:pPr>
        <w:jc w:val="both"/>
      </w:pPr>
    </w:p>
    <w:p w:rsidR="003F4DFE" w:rsidRPr="003F4DFE" w:rsidRDefault="003F4DFE" w:rsidP="003F4DFE">
      <w:pPr>
        <w:pStyle w:val="ListParagraph"/>
        <w:numPr>
          <w:ilvl w:val="0"/>
          <w:numId w:val="9"/>
        </w:numPr>
        <w:jc w:val="both"/>
        <w:rPr>
          <w:i/>
        </w:rPr>
      </w:pPr>
      <w:r w:rsidRPr="003F4DFE">
        <w:rPr>
          <w:i/>
        </w:rPr>
        <w:t>Critical Infrastructure</w:t>
      </w:r>
    </w:p>
    <w:p w:rsidR="003F4DFE" w:rsidRPr="00076A7D" w:rsidRDefault="003F4DFE" w:rsidP="003F4DFE">
      <w:pPr>
        <w:pStyle w:val="ListParagraph"/>
        <w:numPr>
          <w:ilvl w:val="0"/>
          <w:numId w:val="9"/>
        </w:numPr>
        <w:jc w:val="both"/>
        <w:rPr>
          <w:i/>
          <w:u w:val="single"/>
        </w:rPr>
      </w:pPr>
      <w:r w:rsidRPr="00076A7D">
        <w:rPr>
          <w:i/>
          <w:u w:val="single"/>
        </w:rPr>
        <w:t>Telecommunications</w:t>
      </w:r>
    </w:p>
    <w:p w:rsidR="003F4DFE" w:rsidRPr="003F4DFE" w:rsidRDefault="003F4DFE" w:rsidP="003F4DFE">
      <w:pPr>
        <w:pStyle w:val="ListParagraph"/>
        <w:numPr>
          <w:ilvl w:val="0"/>
          <w:numId w:val="9"/>
        </w:numPr>
        <w:jc w:val="both"/>
        <w:rPr>
          <w:i/>
        </w:rPr>
      </w:pPr>
      <w:r w:rsidRPr="003F4DFE">
        <w:rPr>
          <w:i/>
        </w:rPr>
        <w:t>Standards</w:t>
      </w:r>
    </w:p>
    <w:p w:rsidR="00750D96" w:rsidRDefault="00750D96" w:rsidP="00750D96">
      <w:pPr>
        <w:pStyle w:val="ListParagraph"/>
        <w:ind w:hanging="720"/>
        <w:jc w:val="both"/>
        <w:rPr>
          <w:noProof/>
          <w:lang w:eastAsia="en-AU"/>
        </w:rPr>
      </w:pPr>
      <w:r>
        <w:rPr>
          <w:noProof/>
          <w:lang w:eastAsia="en-AU"/>
        </w:rPr>
        <w:lastRenderedPageBreak/>
        <w:drawing>
          <wp:inline distT="0" distB="0" distL="0" distR="0" wp14:anchorId="1B491867" wp14:editId="5E39DD37">
            <wp:extent cx="619125" cy="4476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0377" cy="448580"/>
                    </a:xfrm>
                    <a:prstGeom prst="rect">
                      <a:avLst/>
                    </a:prstGeom>
                    <a:noFill/>
                  </pic:spPr>
                </pic:pic>
              </a:graphicData>
            </a:graphic>
          </wp:inline>
        </w:drawing>
      </w:r>
      <w:r w:rsidRPr="00750D96">
        <w:rPr>
          <w:noProof/>
          <w:lang w:eastAsia="en-AU"/>
        </w:rPr>
        <w:t xml:space="preserve"> </w:t>
      </w:r>
      <w:r>
        <w:rPr>
          <w:noProof/>
          <w:lang w:eastAsia="en-AU"/>
        </w:rPr>
        <w:drawing>
          <wp:inline distT="0" distB="0" distL="0" distR="0" wp14:anchorId="48FB7A40" wp14:editId="728DD119">
            <wp:extent cx="609600" cy="4476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0832" cy="448580"/>
                    </a:xfrm>
                    <a:prstGeom prst="rect">
                      <a:avLst/>
                    </a:prstGeom>
                    <a:noFill/>
                  </pic:spPr>
                </pic:pic>
              </a:graphicData>
            </a:graphic>
          </wp:inline>
        </w:drawing>
      </w:r>
    </w:p>
    <w:p w:rsidR="00076A7D" w:rsidRPr="00750D96" w:rsidRDefault="00076A7D" w:rsidP="00750D96">
      <w:pPr>
        <w:pStyle w:val="ListParagraph"/>
        <w:ind w:hanging="720"/>
        <w:jc w:val="both"/>
      </w:pPr>
    </w:p>
    <w:p w:rsidR="003F4DFE" w:rsidRPr="003F4DFE" w:rsidRDefault="003F4DFE" w:rsidP="003F4DFE">
      <w:pPr>
        <w:pStyle w:val="ListParagraph"/>
        <w:numPr>
          <w:ilvl w:val="0"/>
          <w:numId w:val="9"/>
        </w:numPr>
        <w:jc w:val="both"/>
        <w:rPr>
          <w:i/>
        </w:rPr>
      </w:pPr>
      <w:r w:rsidRPr="003F4DFE">
        <w:rPr>
          <w:i/>
        </w:rPr>
        <w:t>Emergency Management</w:t>
      </w:r>
    </w:p>
    <w:p w:rsidR="003F4DFE" w:rsidRDefault="003F4DFE" w:rsidP="003F4DFE">
      <w:pPr>
        <w:pStyle w:val="ListParagraph"/>
        <w:numPr>
          <w:ilvl w:val="0"/>
          <w:numId w:val="9"/>
        </w:numPr>
        <w:jc w:val="both"/>
        <w:rPr>
          <w:i/>
        </w:rPr>
      </w:pPr>
      <w:r w:rsidRPr="003F4DFE">
        <w:rPr>
          <w:i/>
        </w:rPr>
        <w:t>Essential public services</w:t>
      </w:r>
    </w:p>
    <w:p w:rsidR="007271AF" w:rsidRDefault="007271AF" w:rsidP="007271AF">
      <w:pPr>
        <w:jc w:val="both"/>
      </w:pPr>
      <w:r>
        <w:t xml:space="preserve">The Critical Infrastructure Centre (CIC) within the Department of Home Affairs has </w:t>
      </w:r>
      <w:r w:rsidR="00B0652A">
        <w:t xml:space="preserve">previously </w:t>
      </w:r>
      <w:r>
        <w:t>identified the following as Australia’s Critical Infrastructure sectors:</w:t>
      </w:r>
    </w:p>
    <w:p w:rsidR="007271AF" w:rsidRDefault="007271AF" w:rsidP="007271AF">
      <w:pPr>
        <w:jc w:val="both"/>
      </w:pPr>
    </w:p>
    <w:p w:rsidR="007271AF" w:rsidRPr="007271AF" w:rsidRDefault="007271AF" w:rsidP="007271AF">
      <w:pPr>
        <w:pStyle w:val="ListParagraph"/>
        <w:numPr>
          <w:ilvl w:val="0"/>
          <w:numId w:val="10"/>
        </w:numPr>
        <w:jc w:val="both"/>
        <w:rPr>
          <w:i/>
        </w:rPr>
      </w:pPr>
      <w:r w:rsidRPr="007271AF">
        <w:rPr>
          <w:i/>
        </w:rPr>
        <w:t>Electricity</w:t>
      </w:r>
    </w:p>
    <w:p w:rsidR="007271AF" w:rsidRPr="007271AF" w:rsidRDefault="007271AF" w:rsidP="007271AF">
      <w:pPr>
        <w:pStyle w:val="ListParagraph"/>
        <w:numPr>
          <w:ilvl w:val="0"/>
          <w:numId w:val="10"/>
        </w:numPr>
        <w:jc w:val="both"/>
        <w:rPr>
          <w:i/>
        </w:rPr>
      </w:pPr>
      <w:r w:rsidRPr="007271AF">
        <w:rPr>
          <w:i/>
        </w:rPr>
        <w:t>Water</w:t>
      </w:r>
    </w:p>
    <w:p w:rsidR="007271AF" w:rsidRPr="007271AF" w:rsidRDefault="007271AF" w:rsidP="007271AF">
      <w:pPr>
        <w:pStyle w:val="ListParagraph"/>
        <w:numPr>
          <w:ilvl w:val="0"/>
          <w:numId w:val="10"/>
        </w:numPr>
        <w:jc w:val="both"/>
        <w:rPr>
          <w:i/>
        </w:rPr>
      </w:pPr>
      <w:r w:rsidRPr="007271AF">
        <w:rPr>
          <w:i/>
        </w:rPr>
        <w:t>Gas</w:t>
      </w:r>
    </w:p>
    <w:p w:rsidR="007271AF" w:rsidRPr="007271AF" w:rsidRDefault="007271AF" w:rsidP="007271AF">
      <w:pPr>
        <w:pStyle w:val="ListParagraph"/>
        <w:numPr>
          <w:ilvl w:val="0"/>
          <w:numId w:val="10"/>
        </w:numPr>
        <w:jc w:val="both"/>
        <w:rPr>
          <w:i/>
        </w:rPr>
      </w:pPr>
      <w:r w:rsidRPr="007271AF">
        <w:rPr>
          <w:i/>
        </w:rPr>
        <w:t>Marine</w:t>
      </w:r>
    </w:p>
    <w:p w:rsidR="007271AF" w:rsidRPr="00076A7D" w:rsidRDefault="007271AF" w:rsidP="007271AF">
      <w:pPr>
        <w:pStyle w:val="ListParagraph"/>
        <w:numPr>
          <w:ilvl w:val="0"/>
          <w:numId w:val="10"/>
        </w:numPr>
        <w:jc w:val="both"/>
        <w:rPr>
          <w:i/>
          <w:u w:val="single"/>
        </w:rPr>
      </w:pPr>
      <w:r w:rsidRPr="00076A7D">
        <w:rPr>
          <w:i/>
          <w:u w:val="single"/>
        </w:rPr>
        <w:t>Telecommunications</w:t>
      </w:r>
    </w:p>
    <w:p w:rsidR="007271AF" w:rsidRDefault="007271AF" w:rsidP="007271AF">
      <w:pPr>
        <w:jc w:val="both"/>
      </w:pPr>
      <w:r>
        <w:t>The CIC note</w:t>
      </w:r>
      <w:r w:rsidR="00B0652A">
        <w:t>d</w:t>
      </w:r>
      <w:r>
        <w:t xml:space="preserve"> the complexity of the </w:t>
      </w:r>
      <w:r w:rsidRPr="00076A7D">
        <w:rPr>
          <w:i/>
        </w:rPr>
        <w:t>telecommunications</w:t>
      </w:r>
      <w:r>
        <w:t xml:space="preserve"> sector and the need for special legislation in the form of the Telecommunications Sector Security Reform (TSSR).</w:t>
      </w:r>
    </w:p>
    <w:p w:rsidR="007271AF" w:rsidRDefault="007271AF" w:rsidP="007271AF">
      <w:pPr>
        <w:jc w:val="both"/>
      </w:pPr>
    </w:p>
    <w:p w:rsidR="007271AF" w:rsidRDefault="007271AF" w:rsidP="007271AF">
      <w:pPr>
        <w:jc w:val="both"/>
        <w:rPr>
          <w:rFonts w:cstheme="minorHAnsi"/>
        </w:rPr>
      </w:pPr>
      <w:r>
        <w:t xml:space="preserve">The above </w:t>
      </w:r>
      <w:r w:rsidR="00B0652A">
        <w:t xml:space="preserve">examples are </w:t>
      </w:r>
      <w:r>
        <w:t xml:space="preserve">intended to demonstrate the linkages that are emerging between government policy and strategy in which </w:t>
      </w:r>
      <w:r w:rsidRPr="00B0652A">
        <w:rPr>
          <w:i/>
        </w:rPr>
        <w:t>telecommunications</w:t>
      </w:r>
      <w:r>
        <w:t xml:space="preserve"> is a common element </w:t>
      </w:r>
      <w:r w:rsidR="00B0652A">
        <w:t xml:space="preserve">where </w:t>
      </w:r>
      <w:r>
        <w:t xml:space="preserve">the appropriate allocation and use of spectrum is of fundamental importance to a range of outcomes related to </w:t>
      </w:r>
      <w:r w:rsidR="00B43327">
        <w:t xml:space="preserve">the </w:t>
      </w:r>
      <w:r w:rsidR="00B43327" w:rsidRPr="00B0652A">
        <w:rPr>
          <w:i/>
        </w:rPr>
        <w:t>economic</w:t>
      </w:r>
      <w:r w:rsidR="00B43327" w:rsidRPr="003C0CC6">
        <w:rPr>
          <w:rFonts w:cstheme="minorHAnsi"/>
          <w:i/>
        </w:rPr>
        <w:t xml:space="preserve">, social </w:t>
      </w:r>
      <w:r w:rsidR="00B43327" w:rsidRPr="00C51078">
        <w:rPr>
          <w:rFonts w:cstheme="minorHAnsi"/>
        </w:rPr>
        <w:t xml:space="preserve">and </w:t>
      </w:r>
      <w:r w:rsidR="00B43327" w:rsidRPr="00355686">
        <w:rPr>
          <w:rFonts w:cstheme="minorHAnsi"/>
          <w:i/>
        </w:rPr>
        <w:t>national security</w:t>
      </w:r>
      <w:r w:rsidR="00B43327">
        <w:rPr>
          <w:rFonts w:cstheme="minorHAnsi"/>
        </w:rPr>
        <w:t xml:space="preserve"> issues that need to be addressed to improve the lives and </w:t>
      </w:r>
      <w:r w:rsidR="00B43327" w:rsidRPr="00355686">
        <w:rPr>
          <w:rFonts w:cstheme="minorHAnsi"/>
          <w:i/>
        </w:rPr>
        <w:t>ensure the safety of all Australians</w:t>
      </w:r>
      <w:r w:rsidR="00B43327">
        <w:rPr>
          <w:rFonts w:cstheme="minorHAnsi"/>
        </w:rPr>
        <w:t>.</w:t>
      </w:r>
    </w:p>
    <w:p w:rsidR="00A44D4C" w:rsidRDefault="00A44D4C" w:rsidP="007271AF">
      <w:pPr>
        <w:jc w:val="both"/>
        <w:rPr>
          <w:rFonts w:cstheme="minorHAnsi"/>
        </w:rPr>
      </w:pPr>
    </w:p>
    <w:p w:rsidR="00272099" w:rsidRDefault="00A44D4C" w:rsidP="00272099">
      <w:pPr>
        <w:jc w:val="both"/>
      </w:pPr>
      <w:r>
        <w:rPr>
          <w:rFonts w:cstheme="minorHAnsi"/>
        </w:rPr>
        <w:t xml:space="preserve">The PSMB capability is proposed to be delivered as a service by private sector participants in the </w:t>
      </w:r>
      <w:r w:rsidRPr="00B0652A">
        <w:rPr>
          <w:rFonts w:cstheme="minorHAnsi"/>
          <w:i/>
        </w:rPr>
        <w:t>telecommunications</w:t>
      </w:r>
      <w:r>
        <w:rPr>
          <w:rFonts w:cstheme="minorHAnsi"/>
        </w:rPr>
        <w:t xml:space="preserve"> sector (as is the </w:t>
      </w:r>
      <w:r w:rsidRPr="00B0652A">
        <w:rPr>
          <w:rFonts w:cstheme="minorHAnsi"/>
        </w:rPr>
        <w:t>N</w:t>
      </w:r>
      <w:r>
        <w:rPr>
          <w:rFonts w:cstheme="minorHAnsi"/>
        </w:rPr>
        <w:t>ext Ge</w:t>
      </w:r>
      <w:r w:rsidR="00076A7D">
        <w:rPr>
          <w:rFonts w:cstheme="minorHAnsi"/>
        </w:rPr>
        <w:t xml:space="preserve">neration Triple Zero service). </w:t>
      </w:r>
      <w:r>
        <w:rPr>
          <w:rFonts w:cstheme="minorHAnsi"/>
        </w:rPr>
        <w:t xml:space="preserve">Following the COAG decision </w:t>
      </w:r>
      <w:r w:rsidR="00272099" w:rsidRPr="004A6118">
        <w:t xml:space="preserve">the NSW Telco Authority on behalf of all jurisdictions </w:t>
      </w:r>
      <w:r w:rsidR="00272099">
        <w:t>issued a R</w:t>
      </w:r>
      <w:r w:rsidR="00272099" w:rsidRPr="004A6118">
        <w:t xml:space="preserve">equest </w:t>
      </w:r>
      <w:r w:rsidR="00272099">
        <w:t>For P</w:t>
      </w:r>
      <w:r w:rsidR="00272099" w:rsidRPr="004A6118">
        <w:t>roposal</w:t>
      </w:r>
      <w:r w:rsidR="00272099">
        <w:t xml:space="preserve"> (RFP)</w:t>
      </w:r>
      <w:r w:rsidR="00272099" w:rsidRPr="004A6118">
        <w:t xml:space="preserve"> from the </w:t>
      </w:r>
      <w:r w:rsidR="00272099" w:rsidRPr="00B0652A">
        <w:rPr>
          <w:i/>
        </w:rPr>
        <w:t>telecommunications</w:t>
      </w:r>
      <w:r w:rsidR="00272099" w:rsidRPr="004A6118">
        <w:t xml:space="preserve"> industry</w:t>
      </w:r>
      <w:r>
        <w:t xml:space="preserve"> to participate in </w:t>
      </w:r>
      <w:r w:rsidR="00B0652A">
        <w:t xml:space="preserve">a </w:t>
      </w:r>
      <w:r w:rsidR="00272099">
        <w:t xml:space="preserve">POC </w:t>
      </w:r>
      <w:r w:rsidR="00272099" w:rsidRPr="004A6118">
        <w:t>trial of a national PSMB capability</w:t>
      </w:r>
      <w:r w:rsidR="00272099">
        <w:t>.</w:t>
      </w:r>
      <w:r w:rsidR="00EE5DB8">
        <w:t xml:space="preserve">  The POC will test 3GPP </w:t>
      </w:r>
      <w:r w:rsidR="009A2325">
        <w:t xml:space="preserve">standards based services including Prioritisation, Pre-emption and Quality of Service (PPQoS) </w:t>
      </w:r>
      <w:r w:rsidR="00EE5DB8">
        <w:t xml:space="preserve">predicated upon access to </w:t>
      </w:r>
      <w:r w:rsidR="00EE5DB8" w:rsidRPr="009A2325">
        <w:rPr>
          <w:i/>
        </w:rPr>
        <w:t>dedicated spectrum</w:t>
      </w:r>
      <w:r>
        <w:t>.</w:t>
      </w:r>
    </w:p>
    <w:p w:rsidR="00272099" w:rsidRDefault="00272099" w:rsidP="00272099">
      <w:pPr>
        <w:jc w:val="both"/>
      </w:pPr>
    </w:p>
    <w:p w:rsidR="009A2325" w:rsidRDefault="00272099" w:rsidP="009A2325">
      <w:pPr>
        <w:jc w:val="both"/>
      </w:pPr>
      <w:r w:rsidRPr="004A6118">
        <w:t xml:space="preserve">The outcomes of these trials </w:t>
      </w:r>
      <w:r w:rsidRPr="009A2325">
        <w:rPr>
          <w:i/>
        </w:rPr>
        <w:t>may</w:t>
      </w:r>
      <w:r w:rsidRPr="004A6118">
        <w:t xml:space="preserve"> </w:t>
      </w:r>
      <w:r>
        <w:t xml:space="preserve">be considered as an input into the decision over </w:t>
      </w:r>
      <w:r w:rsidR="00076A7D">
        <w:t xml:space="preserve">allocation </w:t>
      </w:r>
      <w:r>
        <w:t xml:space="preserve">for the spectrum used </w:t>
      </w:r>
      <w:r w:rsidR="009A2325">
        <w:t xml:space="preserve">to </w:t>
      </w:r>
      <w:r w:rsidR="009A2325" w:rsidRPr="000C4FD9">
        <w:t>establish a PSMB capability</w:t>
      </w:r>
      <w:r w:rsidR="00B0652A">
        <w:t xml:space="preserve">.  </w:t>
      </w:r>
      <w:bookmarkStart w:id="0" w:name="_Hlk2859258"/>
      <w:r w:rsidR="00076A7D">
        <w:t>At this time t</w:t>
      </w:r>
      <w:bookmarkStart w:id="1" w:name="_GoBack"/>
      <w:bookmarkEnd w:id="1"/>
      <w:r w:rsidR="009A2325">
        <w:t xml:space="preserve">he Australian Government has agreed to set aside 2 x 5 MHz of spectrum in the 850 MHz expansion band for this capability in which Australia’s PSAs will become consumers of mobile broadband services provided by a Virtual Mobile Network Operator (VMNO). </w:t>
      </w:r>
    </w:p>
    <w:p w:rsidR="009A2325" w:rsidRDefault="009A2325" w:rsidP="009A2325">
      <w:pPr>
        <w:jc w:val="both"/>
      </w:pPr>
      <w:r w:rsidRPr="00EF435C">
        <w:t xml:space="preserve"> </w:t>
      </w:r>
    </w:p>
    <w:p w:rsidR="005F3554" w:rsidRDefault="009A2325" w:rsidP="005F3554">
      <w:pPr>
        <w:jc w:val="both"/>
      </w:pPr>
      <w:r>
        <w:t xml:space="preserve">As there </w:t>
      </w:r>
      <w:bookmarkEnd w:id="0"/>
      <w:r w:rsidR="005F3554" w:rsidRPr="000C4FD9">
        <w:t xml:space="preserve">are a number of economic models which would make adequate spectrum available for </w:t>
      </w:r>
      <w:r>
        <w:t xml:space="preserve">the </w:t>
      </w:r>
      <w:r w:rsidR="005F3554" w:rsidRPr="000C4FD9">
        <w:t>PSMB</w:t>
      </w:r>
      <w:r>
        <w:t xml:space="preserve"> capability t</w:t>
      </w:r>
      <w:r w:rsidR="005F3554" w:rsidRPr="000C4FD9">
        <w:t xml:space="preserve">he selection of a spectrum model </w:t>
      </w:r>
      <w:r>
        <w:t xml:space="preserve">which takes into account </w:t>
      </w:r>
      <w:r w:rsidRPr="008132A2">
        <w:t xml:space="preserve">the economic and broader social impacts </w:t>
      </w:r>
      <w:r w:rsidR="005F3554" w:rsidRPr="000C4FD9">
        <w:t>is necessary to provide certainty to suppliers and governments, allowing them to create accurate investme</w:t>
      </w:r>
      <w:r w:rsidR="005F3554">
        <w:t xml:space="preserve">nt proposals which form part of </w:t>
      </w:r>
      <w:r w:rsidR="005F3554" w:rsidRPr="000C4FD9">
        <w:t xml:space="preserve">any detailed </w:t>
      </w:r>
      <w:r>
        <w:t>PSMB Business C</w:t>
      </w:r>
      <w:r w:rsidR="005F3554" w:rsidRPr="000C4FD9">
        <w:t>ase</w:t>
      </w:r>
      <w:r>
        <w:t xml:space="preserve"> at both </w:t>
      </w:r>
      <w:r w:rsidR="00B42112">
        <w:t>Federal</w:t>
      </w:r>
      <w:r>
        <w:t xml:space="preserve"> and State/Territory </w:t>
      </w:r>
      <w:r w:rsidR="00B42112">
        <w:t>level</w:t>
      </w:r>
      <w:r w:rsidR="005F3554" w:rsidRPr="000C4FD9">
        <w:t>.</w:t>
      </w:r>
      <w:r w:rsidR="00B42112">
        <w:t xml:space="preserve">  </w:t>
      </w:r>
    </w:p>
    <w:p w:rsidR="00B42112" w:rsidRDefault="00B42112" w:rsidP="005F3554">
      <w:pPr>
        <w:jc w:val="both"/>
      </w:pPr>
    </w:p>
    <w:p w:rsidR="00B42112" w:rsidRDefault="00B42112" w:rsidP="00B42112">
      <w:pPr>
        <w:jc w:val="both"/>
        <w:rPr>
          <w:rFonts w:cs="Arial"/>
        </w:rPr>
      </w:pPr>
      <w:r>
        <w:rPr>
          <w:rFonts w:cs="Arial"/>
        </w:rPr>
        <w:t>The outcomes from the above discussion are as follows:</w:t>
      </w:r>
    </w:p>
    <w:p w:rsidR="00B42112" w:rsidRDefault="00B42112" w:rsidP="00B42112">
      <w:pPr>
        <w:jc w:val="both"/>
        <w:rPr>
          <w:rFonts w:cs="Arial"/>
        </w:rPr>
      </w:pPr>
    </w:p>
    <w:p w:rsidR="00B42112" w:rsidRPr="00B42112" w:rsidRDefault="00B42112" w:rsidP="002C0971">
      <w:pPr>
        <w:pStyle w:val="ListParagraph"/>
        <w:numPr>
          <w:ilvl w:val="0"/>
          <w:numId w:val="11"/>
        </w:numPr>
        <w:ind w:left="426" w:hanging="426"/>
        <w:jc w:val="both"/>
        <w:rPr>
          <w:rFonts w:cs="Arial"/>
        </w:rPr>
      </w:pPr>
      <w:r w:rsidRPr="00B42112">
        <w:rPr>
          <w:rFonts w:cs="Arial"/>
        </w:rPr>
        <w:t xml:space="preserve">The mission critical public safety communications ecosystem needs to be recognised as Critical Infrastructure by </w:t>
      </w:r>
      <w:r w:rsidR="002C0971">
        <w:rPr>
          <w:rFonts w:cs="Arial"/>
        </w:rPr>
        <w:t xml:space="preserve">Australian </w:t>
      </w:r>
      <w:r w:rsidRPr="00B42112">
        <w:rPr>
          <w:rFonts w:cs="Arial"/>
        </w:rPr>
        <w:t>Government</w:t>
      </w:r>
      <w:r w:rsidR="00B5739A">
        <w:rPr>
          <w:rFonts w:cs="Arial"/>
        </w:rPr>
        <w:t>(s)</w:t>
      </w:r>
      <w:r w:rsidRPr="00B42112">
        <w:rPr>
          <w:rFonts w:cs="Arial"/>
        </w:rPr>
        <w:t>.</w:t>
      </w:r>
    </w:p>
    <w:p w:rsidR="00B42112" w:rsidRDefault="00B42112" w:rsidP="00B42112">
      <w:pPr>
        <w:jc w:val="both"/>
        <w:rPr>
          <w:rFonts w:cs="Arial"/>
        </w:rPr>
      </w:pPr>
    </w:p>
    <w:p w:rsidR="00B42112" w:rsidRPr="00B42112" w:rsidRDefault="00B42112" w:rsidP="002C0971">
      <w:pPr>
        <w:pStyle w:val="ListParagraph"/>
        <w:numPr>
          <w:ilvl w:val="0"/>
          <w:numId w:val="11"/>
        </w:numPr>
        <w:ind w:left="426" w:hanging="426"/>
        <w:jc w:val="both"/>
        <w:rPr>
          <w:rFonts w:cs="Arial"/>
        </w:rPr>
      </w:pPr>
      <w:r w:rsidRPr="00B42112">
        <w:rPr>
          <w:rFonts w:cs="Arial"/>
        </w:rPr>
        <w:t xml:space="preserve">Spectrum allocation across the ecosystem needs to </w:t>
      </w:r>
      <w:r w:rsidR="00B5739A">
        <w:rPr>
          <w:rFonts w:cs="Arial"/>
        </w:rPr>
        <w:t xml:space="preserve">be based upon the </w:t>
      </w:r>
      <w:r w:rsidR="00276BC6">
        <w:rPr>
          <w:rFonts w:cs="Arial"/>
        </w:rPr>
        <w:t>needs</w:t>
      </w:r>
      <w:r w:rsidR="00B5739A">
        <w:rPr>
          <w:rFonts w:cs="Arial"/>
        </w:rPr>
        <w:t xml:space="preserve"> of </w:t>
      </w:r>
      <w:r w:rsidR="00276BC6">
        <w:rPr>
          <w:rFonts w:cs="Arial"/>
        </w:rPr>
        <w:t xml:space="preserve">Australia’s PSAs and </w:t>
      </w:r>
      <w:r w:rsidRPr="00B42112">
        <w:rPr>
          <w:rFonts w:cs="Arial"/>
        </w:rPr>
        <w:t>take into account both current and emerging technologies used in conjunction with</w:t>
      </w:r>
      <w:r w:rsidR="00276BC6">
        <w:rPr>
          <w:rFonts w:cs="Arial"/>
        </w:rPr>
        <w:t xml:space="preserve"> global </w:t>
      </w:r>
      <w:r w:rsidRPr="00B42112">
        <w:rPr>
          <w:rFonts w:cs="Arial"/>
        </w:rPr>
        <w:t>open standards</w:t>
      </w:r>
      <w:r w:rsidR="00276BC6">
        <w:rPr>
          <w:rFonts w:cs="Arial"/>
        </w:rPr>
        <w:t>.</w:t>
      </w:r>
      <w:r w:rsidRPr="00B42112">
        <w:rPr>
          <w:rFonts w:cs="Arial"/>
        </w:rPr>
        <w:t xml:space="preserve"> </w:t>
      </w:r>
    </w:p>
    <w:p w:rsidR="002C0971" w:rsidRPr="002C0971" w:rsidRDefault="002C0971" w:rsidP="002C0971">
      <w:pPr>
        <w:pStyle w:val="ListParagraph"/>
        <w:ind w:left="426" w:hanging="426"/>
        <w:jc w:val="both"/>
        <w:rPr>
          <w:rFonts w:cstheme="minorHAnsi"/>
        </w:rPr>
      </w:pPr>
      <w:r>
        <w:rPr>
          <w:noProof/>
          <w:lang w:eastAsia="en-AU"/>
        </w:rPr>
        <w:lastRenderedPageBreak/>
        <w:drawing>
          <wp:inline distT="0" distB="0" distL="0" distR="0" wp14:anchorId="50E9C0DE" wp14:editId="3298D74C">
            <wp:extent cx="619125" cy="4476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0377" cy="448580"/>
                    </a:xfrm>
                    <a:prstGeom prst="rect">
                      <a:avLst/>
                    </a:prstGeom>
                    <a:noFill/>
                  </pic:spPr>
                </pic:pic>
              </a:graphicData>
            </a:graphic>
          </wp:inline>
        </w:drawing>
      </w:r>
      <w:r w:rsidR="00717A15">
        <w:rPr>
          <w:noProof/>
          <w:lang w:eastAsia="en-AU"/>
        </w:rPr>
        <w:drawing>
          <wp:inline distT="0" distB="0" distL="0" distR="0" wp14:anchorId="398432AC" wp14:editId="1F98B951">
            <wp:extent cx="609600" cy="4476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0832" cy="448580"/>
                    </a:xfrm>
                    <a:prstGeom prst="rect">
                      <a:avLst/>
                    </a:prstGeom>
                    <a:noFill/>
                  </pic:spPr>
                </pic:pic>
              </a:graphicData>
            </a:graphic>
          </wp:inline>
        </w:drawing>
      </w:r>
    </w:p>
    <w:p w:rsidR="002C0971" w:rsidRPr="002C0971" w:rsidRDefault="002C0971" w:rsidP="002C0971">
      <w:pPr>
        <w:pStyle w:val="ListParagraph"/>
        <w:rPr>
          <w:rFonts w:cs="Arial"/>
        </w:rPr>
      </w:pPr>
    </w:p>
    <w:p w:rsidR="00B42112" w:rsidRPr="00B42112" w:rsidRDefault="00B42112" w:rsidP="002C0971">
      <w:pPr>
        <w:pStyle w:val="ListParagraph"/>
        <w:numPr>
          <w:ilvl w:val="0"/>
          <w:numId w:val="11"/>
        </w:numPr>
        <w:ind w:left="426" w:hanging="426"/>
        <w:jc w:val="both"/>
        <w:rPr>
          <w:rFonts w:cstheme="minorHAnsi"/>
        </w:rPr>
      </w:pPr>
      <w:r w:rsidRPr="00B42112">
        <w:rPr>
          <w:rFonts w:cs="Arial"/>
        </w:rPr>
        <w:t xml:space="preserve">The policy decision to </w:t>
      </w:r>
      <w:r w:rsidR="002C0971">
        <w:rPr>
          <w:rFonts w:cs="Arial"/>
        </w:rPr>
        <w:t xml:space="preserve">apply </w:t>
      </w:r>
      <w:r w:rsidRPr="00B42112">
        <w:rPr>
          <w:rFonts w:cs="Arial"/>
        </w:rPr>
        <w:t xml:space="preserve">Highest Value Use or Opportunity Cost Pricing to spectrum allocation </w:t>
      </w:r>
      <w:r w:rsidR="002C0971">
        <w:rPr>
          <w:rFonts w:cs="Arial"/>
        </w:rPr>
        <w:t xml:space="preserve">in the ecosystem </w:t>
      </w:r>
      <w:r w:rsidRPr="00B42112">
        <w:rPr>
          <w:rFonts w:cs="Arial"/>
        </w:rPr>
        <w:t xml:space="preserve">should be revisited to ensure outcomes are </w:t>
      </w:r>
      <w:r>
        <w:t xml:space="preserve">related to the </w:t>
      </w:r>
      <w:r w:rsidRPr="00B42112">
        <w:rPr>
          <w:i/>
        </w:rPr>
        <w:t>economic</w:t>
      </w:r>
      <w:r w:rsidRPr="00B42112">
        <w:rPr>
          <w:rFonts w:cstheme="minorHAnsi"/>
          <w:i/>
        </w:rPr>
        <w:t xml:space="preserve">, social </w:t>
      </w:r>
      <w:r w:rsidRPr="00B42112">
        <w:rPr>
          <w:rFonts w:cstheme="minorHAnsi"/>
        </w:rPr>
        <w:t xml:space="preserve">and </w:t>
      </w:r>
      <w:r w:rsidRPr="00B42112">
        <w:rPr>
          <w:rFonts w:cstheme="minorHAnsi"/>
          <w:i/>
        </w:rPr>
        <w:t>national security</w:t>
      </w:r>
      <w:r w:rsidRPr="00B42112">
        <w:rPr>
          <w:rFonts w:cstheme="minorHAnsi"/>
        </w:rPr>
        <w:t xml:space="preserve"> issues that need to be addressed to improve the lives and </w:t>
      </w:r>
      <w:r w:rsidRPr="00B42112">
        <w:rPr>
          <w:rFonts w:cstheme="minorHAnsi"/>
          <w:i/>
        </w:rPr>
        <w:t>ensure the safety of all Australians</w:t>
      </w:r>
      <w:r w:rsidRPr="00B42112">
        <w:rPr>
          <w:rFonts w:cstheme="minorHAnsi"/>
        </w:rPr>
        <w:t>.</w:t>
      </w:r>
    </w:p>
    <w:p w:rsidR="00D178B8" w:rsidRDefault="00AE2CAF" w:rsidP="00355686">
      <w:pPr>
        <w:jc w:val="both"/>
      </w:pPr>
      <w:r>
        <w:t xml:space="preserve">In the context of the above </w:t>
      </w:r>
      <w:r w:rsidR="00076A7D">
        <w:t xml:space="preserve">discussion </w:t>
      </w:r>
      <w:r>
        <w:t xml:space="preserve">this Submission provides </w:t>
      </w:r>
      <w:r w:rsidR="00276BC6">
        <w:t xml:space="preserve">the following </w:t>
      </w:r>
      <w:r>
        <w:t>responses to the ACMA’s Consultation Questions:</w:t>
      </w:r>
    </w:p>
    <w:p w:rsidR="001F1E48" w:rsidRDefault="001F1E48" w:rsidP="001F1E48">
      <w:pPr>
        <w:jc w:val="both"/>
      </w:pPr>
    </w:p>
    <w:p w:rsidR="001F1E48" w:rsidRPr="00276BC6" w:rsidRDefault="001F1E48" w:rsidP="001F1E48">
      <w:pPr>
        <w:pStyle w:val="ListBullet"/>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b/>
          <w:sz w:val="22"/>
          <w:szCs w:val="22"/>
        </w:rPr>
      </w:pPr>
      <w:r w:rsidRPr="00276BC6">
        <w:rPr>
          <w:rFonts w:asciiTheme="minorHAnsi" w:hAnsiTheme="minorHAnsi"/>
          <w:b/>
          <w:sz w:val="22"/>
          <w:szCs w:val="22"/>
        </w:rPr>
        <w:t>Consultation Questions:</w:t>
      </w:r>
    </w:p>
    <w:p w:rsidR="001F1E48" w:rsidRPr="00276BC6" w:rsidRDefault="001F1E48" w:rsidP="001F1E48">
      <w:pPr>
        <w:jc w:val="both"/>
      </w:pPr>
    </w:p>
    <w:p w:rsidR="001F1E48" w:rsidRPr="00276BC6" w:rsidRDefault="001F1E48" w:rsidP="001F1E48">
      <w:pPr>
        <w:pStyle w:val="ListNumber"/>
        <w:numPr>
          <w:ilvl w:val="0"/>
          <w:numId w:val="3"/>
        </w:numPr>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276BC6">
        <w:rPr>
          <w:rFonts w:asciiTheme="minorHAnsi" w:hAnsiTheme="minorHAnsi"/>
          <w:sz w:val="22"/>
          <w:szCs w:val="22"/>
        </w:rPr>
        <w:t>The ACMA identified a set of outcomes from this process that would indicate the success of the reform—are these appropriate? Are there any other additional outcomes that should be included in this analysis?</w:t>
      </w:r>
    </w:p>
    <w:p w:rsidR="00AE2CAF" w:rsidRPr="00276BC6" w:rsidRDefault="00AE2CAF" w:rsidP="00AE2CAF">
      <w:pPr>
        <w:pStyle w:val="ListNumber"/>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left="360" w:hanging="360"/>
        <w:rPr>
          <w:rFonts w:asciiTheme="minorHAnsi" w:hAnsiTheme="minorHAnsi"/>
          <w:sz w:val="22"/>
          <w:szCs w:val="22"/>
        </w:rPr>
      </w:pPr>
    </w:p>
    <w:p w:rsidR="002C0971" w:rsidRDefault="002C0971" w:rsidP="00967613">
      <w:pPr>
        <w:pStyle w:val="ListNumber"/>
        <w:numPr>
          <w:ilvl w:val="0"/>
          <w:numId w:val="0"/>
        </w:numPr>
        <w:ind w:left="360" w:hanging="360"/>
        <w:rPr>
          <w:rFonts w:asciiTheme="minorHAnsi" w:hAnsiTheme="minorHAnsi"/>
          <w:sz w:val="22"/>
          <w:szCs w:val="22"/>
        </w:rPr>
      </w:pPr>
    </w:p>
    <w:p w:rsidR="00967613" w:rsidRPr="00276BC6" w:rsidRDefault="00967613" w:rsidP="002C0971">
      <w:pPr>
        <w:pStyle w:val="ListNumber"/>
        <w:numPr>
          <w:ilvl w:val="0"/>
          <w:numId w:val="0"/>
        </w:numPr>
        <w:rPr>
          <w:rFonts w:asciiTheme="minorHAnsi" w:hAnsiTheme="minorHAnsi"/>
          <w:sz w:val="22"/>
          <w:szCs w:val="22"/>
        </w:rPr>
      </w:pPr>
      <w:r w:rsidRPr="002C0971">
        <w:rPr>
          <w:rFonts w:asciiTheme="minorHAnsi" w:hAnsiTheme="minorHAnsi"/>
          <w:sz w:val="22"/>
          <w:szCs w:val="22"/>
          <w:u w:val="single"/>
        </w:rPr>
        <w:t>Response:</w:t>
      </w:r>
      <w:r w:rsidR="002C0971">
        <w:rPr>
          <w:rFonts w:asciiTheme="minorHAnsi" w:hAnsiTheme="minorHAnsi"/>
          <w:sz w:val="22"/>
          <w:szCs w:val="22"/>
        </w:rPr>
        <w:t xml:space="preserve">   </w:t>
      </w:r>
      <w:r w:rsidRPr="00276BC6">
        <w:rPr>
          <w:rFonts w:asciiTheme="minorHAnsi" w:hAnsiTheme="minorHAnsi"/>
          <w:sz w:val="22"/>
          <w:szCs w:val="22"/>
        </w:rPr>
        <w:t>A specific question regarding the impact of the outcomes proposed by the ACMA on the successful delivery of a PSMB capability in the context of the public safety communications ecosystem could set a precedent for assessing the outcome of spectrum allocation with other compon</w:t>
      </w:r>
      <w:r w:rsidR="00276BC6" w:rsidRPr="00276BC6">
        <w:rPr>
          <w:rFonts w:asciiTheme="minorHAnsi" w:hAnsiTheme="minorHAnsi"/>
          <w:sz w:val="22"/>
          <w:szCs w:val="22"/>
        </w:rPr>
        <w:t>ents of the ecosystem e.g. the Public Safety Internet of T</w:t>
      </w:r>
      <w:r w:rsidRPr="00276BC6">
        <w:rPr>
          <w:rFonts w:asciiTheme="minorHAnsi" w:hAnsiTheme="minorHAnsi"/>
          <w:sz w:val="22"/>
          <w:szCs w:val="22"/>
        </w:rPr>
        <w:t xml:space="preserve">hings (PSIoTs) </w:t>
      </w:r>
      <w:r w:rsidR="00276BC6" w:rsidRPr="00276BC6">
        <w:rPr>
          <w:rFonts w:asciiTheme="minorHAnsi" w:hAnsiTheme="minorHAnsi"/>
          <w:sz w:val="22"/>
          <w:szCs w:val="22"/>
        </w:rPr>
        <w:t xml:space="preserve">in the context of Smart Cities and </w:t>
      </w:r>
      <w:r w:rsidRPr="00276BC6">
        <w:rPr>
          <w:rFonts w:asciiTheme="minorHAnsi" w:hAnsiTheme="minorHAnsi"/>
          <w:sz w:val="22"/>
          <w:szCs w:val="22"/>
        </w:rPr>
        <w:t xml:space="preserve">as technologies and the associated standards evolve and mature. </w:t>
      </w:r>
    </w:p>
    <w:p w:rsidR="001F1E48" w:rsidRPr="00276BC6" w:rsidRDefault="001F1E48" w:rsidP="00967613">
      <w:pPr>
        <w:jc w:val="both"/>
      </w:pPr>
    </w:p>
    <w:p w:rsidR="001F1E48" w:rsidRPr="00276BC6" w:rsidRDefault="001F1E48" w:rsidP="001F1E48">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276BC6">
        <w:rPr>
          <w:rFonts w:asciiTheme="minorHAnsi" w:hAnsiTheme="minorHAnsi"/>
          <w:sz w:val="22"/>
          <w:szCs w:val="22"/>
        </w:rPr>
        <w:t>Are the reform options presented in this paper appropriate, and are there any implementation issues or suggestions that haven’t been identified?</w:t>
      </w:r>
    </w:p>
    <w:p w:rsidR="00967613" w:rsidRPr="00276BC6" w:rsidRDefault="00967613" w:rsidP="00B91D2D">
      <w:pPr>
        <w:pStyle w:val="ListNumber"/>
        <w:numPr>
          <w:ilvl w:val="0"/>
          <w:numId w:val="0"/>
        </w:numPr>
        <w:rPr>
          <w:rFonts w:asciiTheme="minorHAnsi" w:hAnsiTheme="minorHAnsi"/>
          <w:sz w:val="22"/>
          <w:szCs w:val="22"/>
        </w:rPr>
      </w:pPr>
    </w:p>
    <w:p w:rsidR="001643A0" w:rsidRPr="00276BC6" w:rsidRDefault="00B91D2D" w:rsidP="002C0971">
      <w:pPr>
        <w:pStyle w:val="ListNumber"/>
        <w:numPr>
          <w:ilvl w:val="0"/>
          <w:numId w:val="0"/>
        </w:numPr>
        <w:rPr>
          <w:rFonts w:asciiTheme="minorHAnsi" w:hAnsiTheme="minorHAnsi" w:cs="Arial"/>
          <w:sz w:val="22"/>
          <w:szCs w:val="22"/>
        </w:rPr>
      </w:pPr>
      <w:r w:rsidRPr="002C0971">
        <w:rPr>
          <w:rFonts w:asciiTheme="minorHAnsi" w:hAnsiTheme="minorHAnsi"/>
          <w:sz w:val="22"/>
          <w:szCs w:val="22"/>
          <w:u w:val="single"/>
        </w:rPr>
        <w:t>Response:</w:t>
      </w:r>
      <w:r w:rsidRPr="00276BC6">
        <w:rPr>
          <w:rFonts w:asciiTheme="minorHAnsi" w:hAnsiTheme="minorHAnsi"/>
          <w:sz w:val="22"/>
          <w:szCs w:val="22"/>
        </w:rPr>
        <w:t xml:space="preserve"> </w:t>
      </w:r>
      <w:r w:rsidR="002C0971">
        <w:rPr>
          <w:rFonts w:asciiTheme="minorHAnsi" w:hAnsiTheme="minorHAnsi"/>
          <w:sz w:val="22"/>
          <w:szCs w:val="22"/>
        </w:rPr>
        <w:t xml:space="preserve"> </w:t>
      </w:r>
      <w:r w:rsidRPr="00276BC6">
        <w:rPr>
          <w:rFonts w:asciiTheme="minorHAnsi" w:hAnsiTheme="minorHAnsi" w:cs="Arial"/>
          <w:sz w:val="22"/>
          <w:szCs w:val="22"/>
        </w:rPr>
        <w:t xml:space="preserve">The ACMA’s preference for the “encumbered auction” </w:t>
      </w:r>
      <w:r w:rsidR="00967613" w:rsidRPr="00276BC6">
        <w:rPr>
          <w:rFonts w:asciiTheme="minorHAnsi" w:hAnsiTheme="minorHAnsi" w:cs="Arial"/>
          <w:sz w:val="22"/>
          <w:szCs w:val="22"/>
        </w:rPr>
        <w:t xml:space="preserve">because it </w:t>
      </w:r>
      <w:r w:rsidRPr="00276BC6">
        <w:rPr>
          <w:rFonts w:asciiTheme="minorHAnsi" w:hAnsiTheme="minorHAnsi" w:cs="Arial"/>
          <w:sz w:val="22"/>
          <w:szCs w:val="22"/>
        </w:rPr>
        <w:t xml:space="preserve">maintains the price based allocation of spectrum assumes the use of Highest Value </w:t>
      </w:r>
      <w:r w:rsidR="00CA6C13" w:rsidRPr="00276BC6">
        <w:rPr>
          <w:rFonts w:asciiTheme="minorHAnsi" w:hAnsiTheme="minorHAnsi" w:cs="Arial"/>
          <w:sz w:val="22"/>
          <w:szCs w:val="22"/>
        </w:rPr>
        <w:t xml:space="preserve">Use </w:t>
      </w:r>
      <w:r w:rsidRPr="00276BC6">
        <w:rPr>
          <w:rFonts w:asciiTheme="minorHAnsi" w:hAnsiTheme="minorHAnsi" w:cs="Arial"/>
          <w:sz w:val="22"/>
          <w:szCs w:val="22"/>
        </w:rPr>
        <w:t xml:space="preserve">or via Opportunity Cost Pricing </w:t>
      </w:r>
      <w:r w:rsidR="00967613" w:rsidRPr="00276BC6">
        <w:rPr>
          <w:rFonts w:asciiTheme="minorHAnsi" w:hAnsiTheme="minorHAnsi" w:cs="Arial"/>
          <w:sz w:val="22"/>
          <w:szCs w:val="22"/>
        </w:rPr>
        <w:t>being applied t</w:t>
      </w:r>
      <w:r w:rsidRPr="00276BC6">
        <w:rPr>
          <w:rFonts w:asciiTheme="minorHAnsi" w:hAnsiTheme="minorHAnsi" w:cs="Arial"/>
          <w:sz w:val="22"/>
          <w:szCs w:val="22"/>
        </w:rPr>
        <w:t>o spectrum allocation.</w:t>
      </w:r>
    </w:p>
    <w:p w:rsidR="00F8392D" w:rsidRPr="00276BC6" w:rsidRDefault="00B91D2D" w:rsidP="001643A0">
      <w:pPr>
        <w:jc w:val="both"/>
        <w:rPr>
          <w:rFonts w:cs="Arial"/>
        </w:rPr>
      </w:pPr>
      <w:r w:rsidRPr="00276BC6">
        <w:rPr>
          <w:rFonts w:cs="Arial"/>
        </w:rPr>
        <w:t xml:space="preserve">  </w:t>
      </w:r>
    </w:p>
    <w:p w:rsidR="001643A0" w:rsidRPr="0092458D" w:rsidRDefault="0092458D" w:rsidP="001643A0">
      <w:pPr>
        <w:jc w:val="both"/>
        <w:rPr>
          <w:rFonts w:cs="Arial"/>
        </w:rPr>
      </w:pPr>
      <w:r>
        <w:rPr>
          <w:rFonts w:cs="Arial"/>
        </w:rPr>
        <w:t xml:space="preserve">In the fuller understanding of the importance of the PSMB capability and COAGs decisions it is suggested that </w:t>
      </w:r>
      <w:r w:rsidRPr="00276BC6">
        <w:rPr>
          <w:rFonts w:cs="Arial"/>
        </w:rPr>
        <w:t xml:space="preserve">the use of Highest Value Use or via Opportunity Cost Pricing </w:t>
      </w:r>
      <w:r>
        <w:rPr>
          <w:rFonts w:cs="Arial"/>
        </w:rPr>
        <w:t xml:space="preserve">in relation to the allocation of spectrum associated with the </w:t>
      </w:r>
      <w:r w:rsidRPr="00B42112">
        <w:rPr>
          <w:rFonts w:cs="Arial"/>
        </w:rPr>
        <w:t xml:space="preserve">mission critical public safety communications ecosystem </w:t>
      </w:r>
      <w:r>
        <w:rPr>
          <w:rFonts w:cs="Arial"/>
        </w:rPr>
        <w:t>needs to be revisited in conjunction with the</w:t>
      </w:r>
      <w:r w:rsidRPr="00276BC6">
        <w:rPr>
          <w:rFonts w:cs="Arial"/>
          <w:i/>
        </w:rPr>
        <w:t xml:space="preserve"> </w:t>
      </w:r>
      <w:r w:rsidRPr="0092458D">
        <w:rPr>
          <w:rFonts w:cs="Arial"/>
        </w:rPr>
        <w:t>PSMB POC and the test</w:t>
      </w:r>
      <w:r w:rsidR="002C0971">
        <w:rPr>
          <w:rFonts w:cs="Arial"/>
        </w:rPr>
        <w:t xml:space="preserve">ing of </w:t>
      </w:r>
      <w:r w:rsidRPr="0092458D">
        <w:rPr>
          <w:rFonts w:cs="Arial"/>
        </w:rPr>
        <w:t xml:space="preserve">the integration of dedicated PSMB spectrum intrinsic to the </w:t>
      </w:r>
      <w:r w:rsidRPr="00276BC6">
        <w:rPr>
          <w:rFonts w:cs="Arial"/>
        </w:rPr>
        <w:t xml:space="preserve">proposed </w:t>
      </w:r>
      <w:r>
        <w:rPr>
          <w:rFonts w:cs="Arial"/>
        </w:rPr>
        <w:t>delivery model and associated Use Cases and Business Plans.</w:t>
      </w:r>
    </w:p>
    <w:p w:rsidR="005B0005" w:rsidRPr="00276BC6" w:rsidRDefault="00F8392D" w:rsidP="001643A0">
      <w:pPr>
        <w:jc w:val="both"/>
        <w:rPr>
          <w:rFonts w:cs="Arial"/>
        </w:rPr>
      </w:pPr>
      <w:r w:rsidRPr="00276BC6">
        <w:rPr>
          <w:rFonts w:cs="Arial"/>
        </w:rPr>
        <w:t xml:space="preserve">  </w:t>
      </w:r>
      <w:r w:rsidR="00B91D2D" w:rsidRPr="00276BC6">
        <w:rPr>
          <w:rFonts w:cs="Arial"/>
        </w:rPr>
        <w:t xml:space="preserve"> </w:t>
      </w:r>
    </w:p>
    <w:p w:rsidR="001F1E48" w:rsidRPr="00076A7D" w:rsidRDefault="001F1E48" w:rsidP="001F1E48">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076A7D">
        <w:rPr>
          <w:rFonts w:asciiTheme="minorHAnsi" w:hAnsiTheme="minorHAnsi"/>
          <w:sz w:val="22"/>
          <w:szCs w:val="22"/>
        </w:rPr>
        <w:t xml:space="preserve">Stakeholders raised concerns that the mid-2021 clearance date will result in consumer service discontinuity; does the proposed mid-2024 clearance date provide enough time to create an alternative pathway for the deployment of services at risk? </w:t>
      </w:r>
    </w:p>
    <w:p w:rsidR="00524204" w:rsidRDefault="00524204" w:rsidP="001F1E48">
      <w:pPr>
        <w:jc w:val="both"/>
      </w:pPr>
    </w:p>
    <w:p w:rsidR="0092458D" w:rsidRDefault="00F8392D" w:rsidP="001F1E48">
      <w:pPr>
        <w:jc w:val="both"/>
      </w:pPr>
      <w:r w:rsidRPr="002C0971">
        <w:rPr>
          <w:u w:val="single"/>
        </w:rPr>
        <w:t>Response:</w:t>
      </w:r>
      <w:r w:rsidR="002C0971">
        <w:t xml:space="preserve">  </w:t>
      </w:r>
      <w:r>
        <w:t xml:space="preserve">As stated in the Options Paper the “encumbered auction” option involves </w:t>
      </w:r>
      <w:r w:rsidR="001643A0">
        <w:t xml:space="preserve">extension of </w:t>
      </w:r>
      <w:r>
        <w:t xml:space="preserve">the full clearance of the 850 MHz expansion band licenses until 2014. </w:t>
      </w:r>
    </w:p>
    <w:p w:rsidR="0092458D" w:rsidRDefault="0092458D" w:rsidP="001F1E48">
      <w:pPr>
        <w:jc w:val="both"/>
      </w:pPr>
    </w:p>
    <w:p w:rsidR="001F1E48" w:rsidRDefault="005C6C10" w:rsidP="001F1E48">
      <w:pPr>
        <w:jc w:val="both"/>
      </w:pPr>
      <w:r>
        <w:t>Reference</w:t>
      </w:r>
      <w:r w:rsidR="00F8392D">
        <w:t xml:space="preserve"> to the PSMB Strategic Roadmap indicates that spectrum </w:t>
      </w:r>
      <w:r>
        <w:t xml:space="preserve">will be required by December 2022 </w:t>
      </w:r>
      <w:r w:rsidR="00F8392D">
        <w:t xml:space="preserve">to support the </w:t>
      </w:r>
      <w:r w:rsidR="00F8392D" w:rsidRPr="005C6C10">
        <w:rPr>
          <w:i/>
        </w:rPr>
        <w:t>“individual jurisdiction</w:t>
      </w:r>
      <w:r w:rsidRPr="005C6C10">
        <w:rPr>
          <w:i/>
        </w:rPr>
        <w:t xml:space="preserve"> procurement</w:t>
      </w:r>
      <w:r w:rsidR="00F8392D" w:rsidRPr="005C6C10">
        <w:rPr>
          <w:i/>
        </w:rPr>
        <w:t xml:space="preserve"> and </w:t>
      </w:r>
      <w:r w:rsidRPr="005C6C10">
        <w:rPr>
          <w:i/>
        </w:rPr>
        <w:t>implementation</w:t>
      </w:r>
      <w:r w:rsidR="00F8392D" w:rsidRPr="005C6C10">
        <w:rPr>
          <w:i/>
        </w:rPr>
        <w:t xml:space="preserve"> of enhancem</w:t>
      </w:r>
      <w:r w:rsidRPr="005C6C10">
        <w:rPr>
          <w:i/>
        </w:rPr>
        <w:t>ents such as hardened infrastructure and dedicated spectrum RAN”</w:t>
      </w:r>
      <w:r>
        <w:t>.</w:t>
      </w:r>
    </w:p>
    <w:p w:rsidR="0092458D" w:rsidRDefault="002C0971" w:rsidP="001F1E48">
      <w:pPr>
        <w:jc w:val="both"/>
      </w:pPr>
      <w:r>
        <w:rPr>
          <w:noProof/>
          <w:lang w:eastAsia="en-AU"/>
        </w:rPr>
        <w:lastRenderedPageBreak/>
        <w:drawing>
          <wp:inline distT="0" distB="0" distL="0" distR="0" wp14:anchorId="7B3DFF6B" wp14:editId="147C95E6">
            <wp:extent cx="619125" cy="4476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0377" cy="448580"/>
                    </a:xfrm>
                    <a:prstGeom prst="rect">
                      <a:avLst/>
                    </a:prstGeom>
                    <a:noFill/>
                  </pic:spPr>
                </pic:pic>
              </a:graphicData>
            </a:graphic>
          </wp:inline>
        </w:drawing>
      </w:r>
      <w:r w:rsidR="00717A15">
        <w:rPr>
          <w:noProof/>
          <w:lang w:eastAsia="en-AU"/>
        </w:rPr>
        <w:drawing>
          <wp:inline distT="0" distB="0" distL="0" distR="0" wp14:anchorId="398432AC" wp14:editId="1F98B951">
            <wp:extent cx="609600" cy="4476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0832" cy="448580"/>
                    </a:xfrm>
                    <a:prstGeom prst="rect">
                      <a:avLst/>
                    </a:prstGeom>
                    <a:noFill/>
                  </pic:spPr>
                </pic:pic>
              </a:graphicData>
            </a:graphic>
          </wp:inline>
        </w:drawing>
      </w:r>
    </w:p>
    <w:p w:rsidR="002C0971" w:rsidRDefault="002C0971" w:rsidP="001F1E48">
      <w:pPr>
        <w:jc w:val="both"/>
      </w:pPr>
    </w:p>
    <w:p w:rsidR="00076A7D" w:rsidRDefault="0092458D" w:rsidP="001F1E48">
      <w:pPr>
        <w:jc w:val="both"/>
      </w:pPr>
      <w:r>
        <w:t xml:space="preserve">If this assessment is correct then a 2 year delay to the delivery of a PSMB capability </w:t>
      </w:r>
      <w:r w:rsidR="00F520DF">
        <w:t xml:space="preserve">is </w:t>
      </w:r>
      <w:r w:rsidR="00750D96">
        <w:t>likely unacceptable</w:t>
      </w:r>
      <w:r>
        <w:t xml:space="preserve"> to key stakeholders associated with the </w:t>
      </w:r>
      <w:r w:rsidR="00F520DF">
        <w:t xml:space="preserve">provision of the </w:t>
      </w:r>
      <w:r>
        <w:t>PSMB capability</w:t>
      </w:r>
      <w:r w:rsidR="00750D96">
        <w:t xml:space="preserve">. </w:t>
      </w:r>
    </w:p>
    <w:p w:rsidR="00076A7D" w:rsidRDefault="00076A7D" w:rsidP="001F1E48">
      <w:pPr>
        <w:jc w:val="both"/>
      </w:pPr>
    </w:p>
    <w:p w:rsidR="0092458D" w:rsidRDefault="00750D96" w:rsidP="001F1E48">
      <w:pPr>
        <w:jc w:val="both"/>
      </w:pPr>
      <w:r>
        <w:t>T</w:t>
      </w:r>
      <w:r w:rsidR="00F520DF">
        <w:t xml:space="preserve">his new </w:t>
      </w:r>
      <w:r w:rsidR="00076A7D">
        <w:t xml:space="preserve">PSMB </w:t>
      </w:r>
      <w:r>
        <w:t xml:space="preserve">operational </w:t>
      </w:r>
      <w:r w:rsidR="00F520DF">
        <w:t xml:space="preserve">capability and delivery model will </w:t>
      </w:r>
      <w:r>
        <w:t>require a fundamental change to PSA Concepts of O</w:t>
      </w:r>
      <w:r>
        <w:t>perations</w:t>
      </w:r>
      <w:r>
        <w:t xml:space="preserve"> resulting from </w:t>
      </w:r>
      <w:r>
        <w:t xml:space="preserve">a shift from </w:t>
      </w:r>
      <w:r>
        <w:t xml:space="preserve">traditional </w:t>
      </w:r>
      <w:r>
        <w:t>radio voice command and cont</w:t>
      </w:r>
      <w:r>
        <w:t xml:space="preserve">rol to a new </w:t>
      </w:r>
      <w:r>
        <w:t>data driven command and control system</w:t>
      </w:r>
      <w:r w:rsidR="00076A7D">
        <w:t xml:space="preserve"> and hence the time required to achieve this change</w:t>
      </w:r>
      <w:r>
        <w:t>.</w:t>
      </w:r>
    </w:p>
    <w:p w:rsidR="00F520DF" w:rsidRDefault="00F520DF" w:rsidP="001F1E48">
      <w:pPr>
        <w:jc w:val="both"/>
      </w:pPr>
    </w:p>
    <w:p w:rsidR="001F1E48" w:rsidRPr="00717A15" w:rsidRDefault="001F1E48" w:rsidP="001F1E48">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717A15">
        <w:rPr>
          <w:rFonts w:asciiTheme="minorHAnsi" w:hAnsiTheme="minorHAnsi"/>
          <w:sz w:val="22"/>
          <w:szCs w:val="22"/>
        </w:rPr>
        <w:t xml:space="preserve">Can stakeholders provide up-to-date information on consumer migration to 4G compatible handsets, including estimates of the numbers of consumers yet to migrate, and information on the timing and speed of consumer migration? </w:t>
      </w:r>
    </w:p>
    <w:p w:rsidR="001F1E48" w:rsidRDefault="001F1E48" w:rsidP="001F1E48">
      <w:pPr>
        <w:jc w:val="both"/>
      </w:pPr>
    </w:p>
    <w:p w:rsidR="005C6C10" w:rsidRDefault="005C6C10" w:rsidP="001F1E48">
      <w:pPr>
        <w:jc w:val="both"/>
      </w:pPr>
      <w:r w:rsidRPr="00717A15">
        <w:rPr>
          <w:u w:val="single"/>
        </w:rPr>
        <w:t>Response:</w:t>
      </w:r>
      <w:r w:rsidR="002C0971">
        <w:t xml:space="preserve">  </w:t>
      </w:r>
      <w:r>
        <w:t xml:space="preserve">It would be expected that the PSMB Functional Working Group will </w:t>
      </w:r>
      <w:r w:rsidR="001643A0">
        <w:t xml:space="preserve">be able to </w:t>
      </w:r>
      <w:r>
        <w:t xml:space="preserve">provide this information </w:t>
      </w:r>
      <w:r w:rsidR="001643A0">
        <w:t xml:space="preserve">relative to </w:t>
      </w:r>
      <w:r w:rsidR="0092458D">
        <w:t xml:space="preserve">Australia’s </w:t>
      </w:r>
      <w:r w:rsidR="001643A0">
        <w:t>PSAs</w:t>
      </w:r>
      <w:r w:rsidR="0092458D">
        <w:t>.</w:t>
      </w:r>
    </w:p>
    <w:p w:rsidR="001F1E48" w:rsidRDefault="001F1E48" w:rsidP="001F1E48">
      <w:pPr>
        <w:jc w:val="both"/>
      </w:pPr>
    </w:p>
    <w:p w:rsidR="001F1E48" w:rsidRPr="0092458D" w:rsidRDefault="001F1E48" w:rsidP="001F1E48">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92458D">
        <w:rPr>
          <w:rFonts w:asciiTheme="minorHAnsi" w:hAnsiTheme="minorHAnsi"/>
          <w:sz w:val="22"/>
          <w:szCs w:val="22"/>
        </w:rPr>
        <w:t>The encumbered auction option includes an approach whereby incumbent apparatus licences and spectrum licences would potentially ‘overlap’. Do stakeholders have any concerns with this approach being employed in this context?</w:t>
      </w:r>
    </w:p>
    <w:p w:rsidR="001F1E48" w:rsidRDefault="001F1E48" w:rsidP="001F1E48">
      <w:pPr>
        <w:jc w:val="both"/>
      </w:pPr>
    </w:p>
    <w:p w:rsidR="005C6C10" w:rsidRDefault="005C6C10" w:rsidP="001F1E48">
      <w:pPr>
        <w:jc w:val="both"/>
      </w:pPr>
      <w:r w:rsidRPr="00717A15">
        <w:rPr>
          <w:u w:val="single"/>
        </w:rPr>
        <w:t>Response:</w:t>
      </w:r>
      <w:r w:rsidR="00717A15" w:rsidRPr="00717A15">
        <w:t xml:space="preserve">  </w:t>
      </w:r>
      <w:r w:rsidR="001643A0">
        <w:t xml:space="preserve">Refer to the response to Question 2.  COAG has accepted the PSMB Strategic Roadmap and the associated timetable for implementation therefore any option </w:t>
      </w:r>
      <w:r>
        <w:t xml:space="preserve">to delay the allocation of </w:t>
      </w:r>
      <w:r w:rsidR="001643A0">
        <w:t xml:space="preserve">dedicated </w:t>
      </w:r>
      <w:r>
        <w:t xml:space="preserve">spectrum for the </w:t>
      </w:r>
      <w:r w:rsidR="00967613">
        <w:t xml:space="preserve">POC and/or the </w:t>
      </w:r>
      <w:r>
        <w:t xml:space="preserve">PSMB </w:t>
      </w:r>
      <w:r w:rsidR="0092458D">
        <w:t xml:space="preserve">capability </w:t>
      </w:r>
      <w:r>
        <w:t>should be avoided or mitigated as much as possible.</w:t>
      </w:r>
    </w:p>
    <w:p w:rsidR="001F1E48" w:rsidRDefault="001F1E48" w:rsidP="001F1E48">
      <w:pPr>
        <w:jc w:val="both"/>
      </w:pPr>
    </w:p>
    <w:p w:rsidR="001F1E48" w:rsidRPr="0092458D" w:rsidRDefault="001F1E48" w:rsidP="001F1E48">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92458D">
        <w:rPr>
          <w:rFonts w:asciiTheme="minorHAnsi" w:hAnsiTheme="minorHAnsi"/>
          <w:sz w:val="22"/>
          <w:szCs w:val="22"/>
        </w:rPr>
        <w:t>Are there any issues associated with the hybrid option that raise any concerns for stakeholders?</w:t>
      </w:r>
    </w:p>
    <w:p w:rsidR="001F1E48" w:rsidRDefault="001F1E48" w:rsidP="001F1E48">
      <w:pPr>
        <w:jc w:val="both"/>
      </w:pPr>
    </w:p>
    <w:p w:rsidR="005C6C10" w:rsidRDefault="00B25E84" w:rsidP="001F1E48">
      <w:pPr>
        <w:jc w:val="both"/>
      </w:pPr>
      <w:r>
        <w:t>Response:</w:t>
      </w:r>
      <w:r w:rsidR="00717A15">
        <w:t xml:space="preserve">  </w:t>
      </w:r>
      <w:r w:rsidR="001643A0">
        <w:t xml:space="preserve">Refer to the responses to Questions 2 and 5.  </w:t>
      </w:r>
      <w:r w:rsidR="005C6C10">
        <w:t xml:space="preserve">Both </w:t>
      </w:r>
      <w:r w:rsidR="001643A0">
        <w:t xml:space="preserve">ACMA </w:t>
      </w:r>
      <w:r w:rsidR="005C6C10">
        <w:t xml:space="preserve">options should be assessed </w:t>
      </w:r>
      <w:r w:rsidR="001643A0">
        <w:t xml:space="preserve">to determine </w:t>
      </w:r>
      <w:r w:rsidR="005C6C10">
        <w:t>which better support</w:t>
      </w:r>
      <w:r w:rsidR="001643A0">
        <w:t>s</w:t>
      </w:r>
      <w:r w:rsidR="005C6C10">
        <w:t xml:space="preserve"> the </w:t>
      </w:r>
      <w:r w:rsidR="001643A0">
        <w:t xml:space="preserve">provision of the PSMB </w:t>
      </w:r>
      <w:r w:rsidR="00D20591">
        <w:t xml:space="preserve">capability for PSAs in accordance with </w:t>
      </w:r>
      <w:r w:rsidR="005C6C10">
        <w:t xml:space="preserve">implementation of the PSMB </w:t>
      </w:r>
      <w:r w:rsidR="00706C71">
        <w:t>Strategic</w:t>
      </w:r>
      <w:r w:rsidR="005C6C10">
        <w:t xml:space="preserve"> Roadmap. </w:t>
      </w:r>
    </w:p>
    <w:p w:rsidR="001F1E48" w:rsidRDefault="001F1E48" w:rsidP="001F1E48">
      <w:pPr>
        <w:jc w:val="both"/>
      </w:pPr>
    </w:p>
    <w:p w:rsidR="001F1E48" w:rsidRPr="00717A15" w:rsidRDefault="001F1E48" w:rsidP="001F1E48">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rFonts w:asciiTheme="minorHAnsi" w:hAnsiTheme="minorHAnsi"/>
          <w:sz w:val="22"/>
          <w:szCs w:val="22"/>
        </w:rPr>
      </w:pPr>
      <w:r w:rsidRPr="00717A15">
        <w:rPr>
          <w:rFonts w:asciiTheme="minorHAnsi" w:hAnsiTheme="minorHAnsi"/>
          <w:sz w:val="22"/>
          <w:szCs w:val="22"/>
        </w:rPr>
        <w:t xml:space="preserve">Are there any other mitigation techniques that will see the reconfiguration of the band into 5 MHz configuration whilst mitigating risks to consumer services? </w:t>
      </w:r>
    </w:p>
    <w:p w:rsidR="001F1E48" w:rsidRDefault="001F1E48" w:rsidP="001F1E48">
      <w:pPr>
        <w:jc w:val="both"/>
      </w:pPr>
    </w:p>
    <w:p w:rsidR="00B25E84" w:rsidRDefault="00B25E84" w:rsidP="001F1E48">
      <w:pPr>
        <w:jc w:val="both"/>
      </w:pPr>
      <w:r>
        <w:t>Response:</w:t>
      </w:r>
      <w:r w:rsidR="00717A15">
        <w:t xml:space="preserve">  </w:t>
      </w:r>
      <w:r>
        <w:t>No response.</w:t>
      </w:r>
    </w:p>
    <w:p w:rsidR="00717A15" w:rsidRDefault="00717A15" w:rsidP="001F1E48">
      <w:pPr>
        <w:jc w:val="both"/>
      </w:pPr>
    </w:p>
    <w:p w:rsidR="00717A15" w:rsidRDefault="00717A15" w:rsidP="001F1E48">
      <w:pPr>
        <w:jc w:val="both"/>
        <w:rPr>
          <w:b/>
        </w:rPr>
      </w:pPr>
      <w:r w:rsidRPr="00717A15">
        <w:rPr>
          <w:b/>
        </w:rPr>
        <w:t>Contact for Information Regarding this Submission</w:t>
      </w:r>
    </w:p>
    <w:p w:rsidR="00717A15" w:rsidRDefault="00717A15" w:rsidP="001F1E48">
      <w:pPr>
        <w:jc w:val="both"/>
        <w:rPr>
          <w:b/>
        </w:rPr>
      </w:pPr>
    </w:p>
    <w:p w:rsidR="00717A15" w:rsidRDefault="00717A15" w:rsidP="00717A15">
      <w:pPr>
        <w:jc w:val="left"/>
        <w:rPr>
          <w:rFonts w:eastAsiaTheme="minorEastAsia"/>
          <w:b/>
          <w:noProof/>
          <w:lang w:eastAsia="en-AU"/>
        </w:rPr>
      </w:pPr>
      <w:bookmarkStart w:id="2" w:name="_MailAutoSig"/>
      <w:r>
        <w:rPr>
          <w:rFonts w:eastAsiaTheme="minorEastAsia"/>
          <w:b/>
          <w:noProof/>
          <w:lang w:eastAsia="en-AU"/>
        </w:rPr>
        <w:t>Geoff Spring</w:t>
      </w:r>
    </w:p>
    <w:p w:rsidR="00717A15" w:rsidRDefault="00717A15" w:rsidP="00717A15">
      <w:pPr>
        <w:jc w:val="left"/>
        <w:rPr>
          <w:rFonts w:eastAsiaTheme="minorEastAsia"/>
          <w:b/>
          <w:noProof/>
          <w:lang w:eastAsia="en-AU"/>
        </w:rPr>
      </w:pPr>
      <w:r>
        <w:rPr>
          <w:rFonts w:eastAsiaTheme="minorEastAsia"/>
          <w:b/>
          <w:noProof/>
          <w:lang w:eastAsia="en-AU"/>
        </w:rPr>
        <w:t>Senior Industry Advisor</w:t>
      </w:r>
    </w:p>
    <w:p w:rsidR="00717A15" w:rsidRDefault="00717A15" w:rsidP="00717A15">
      <w:pPr>
        <w:jc w:val="left"/>
        <w:rPr>
          <w:rFonts w:eastAsiaTheme="minorEastAsia"/>
          <w:b/>
          <w:noProof/>
          <w:lang w:eastAsia="en-AU"/>
        </w:rPr>
      </w:pPr>
      <w:r>
        <w:rPr>
          <w:rFonts w:eastAsiaTheme="minorEastAsia"/>
          <w:b/>
          <w:noProof/>
          <w:lang w:eastAsia="en-AU"/>
        </w:rPr>
        <w:t>Center for Disaster Management &amp; Public Safety</w:t>
      </w:r>
    </w:p>
    <w:p w:rsidR="00717A15" w:rsidRDefault="00717A15" w:rsidP="00717A15">
      <w:pPr>
        <w:jc w:val="left"/>
        <w:rPr>
          <w:rFonts w:eastAsiaTheme="minorEastAsia"/>
          <w:b/>
          <w:noProof/>
          <w:lang w:eastAsia="en-AU"/>
        </w:rPr>
      </w:pPr>
      <w:r>
        <w:rPr>
          <w:rFonts w:eastAsiaTheme="minorEastAsia"/>
          <w:b/>
          <w:noProof/>
          <w:lang w:eastAsia="en-AU"/>
        </w:rPr>
        <w:t>172 Bouverie Street, Parkville</w:t>
      </w:r>
    </w:p>
    <w:p w:rsidR="00717A15" w:rsidRDefault="00717A15" w:rsidP="00717A15">
      <w:pPr>
        <w:jc w:val="left"/>
        <w:rPr>
          <w:rFonts w:eastAsiaTheme="minorEastAsia"/>
          <w:b/>
          <w:noProof/>
          <w:lang w:eastAsia="en-AU"/>
        </w:rPr>
      </w:pPr>
      <w:r>
        <w:rPr>
          <w:rFonts w:eastAsiaTheme="minorEastAsia"/>
          <w:b/>
          <w:noProof/>
          <w:lang w:eastAsia="en-AU"/>
        </w:rPr>
        <w:t>The University of Melbourne, Victoria 3010 Australia</w:t>
      </w:r>
    </w:p>
    <w:p w:rsidR="00717A15" w:rsidRDefault="00717A15" w:rsidP="00717A15">
      <w:pPr>
        <w:jc w:val="left"/>
        <w:rPr>
          <w:rFonts w:eastAsiaTheme="minorEastAsia"/>
          <w:b/>
          <w:noProof/>
          <w:lang w:eastAsia="en-AU"/>
        </w:rPr>
      </w:pPr>
      <w:r>
        <w:rPr>
          <w:rFonts w:eastAsiaTheme="minorEastAsia"/>
          <w:b/>
          <w:noProof/>
          <w:lang w:eastAsia="en-AU"/>
        </w:rPr>
        <w:t>Mob: 0411 130 184</w:t>
      </w:r>
    </w:p>
    <w:p w:rsidR="00717A15" w:rsidRDefault="00717A15" w:rsidP="00717A15">
      <w:pPr>
        <w:jc w:val="left"/>
        <w:rPr>
          <w:rFonts w:eastAsiaTheme="minorEastAsia"/>
          <w:b/>
          <w:noProof/>
          <w:lang w:eastAsia="en-AU"/>
        </w:rPr>
      </w:pPr>
      <w:r>
        <w:rPr>
          <w:rFonts w:eastAsiaTheme="minorEastAsia"/>
          <w:b/>
          <w:noProof/>
          <w:lang w:eastAsia="en-AU"/>
        </w:rPr>
        <w:t xml:space="preserve">E-Mail: geoff.spring@unimelb.edu.au </w:t>
      </w:r>
    </w:p>
    <w:p w:rsidR="00717A15" w:rsidRDefault="00717A15" w:rsidP="00717A15">
      <w:pPr>
        <w:jc w:val="left"/>
        <w:rPr>
          <w:rFonts w:eastAsiaTheme="minorEastAsia"/>
          <w:noProof/>
          <w:lang w:eastAsia="en-AU"/>
        </w:rPr>
      </w:pPr>
    </w:p>
    <w:p w:rsidR="00717A15" w:rsidRPr="00717A15" w:rsidRDefault="00717A15" w:rsidP="00717A15">
      <w:pPr>
        <w:jc w:val="left"/>
      </w:pPr>
      <w:r>
        <w:rPr>
          <w:rFonts w:eastAsiaTheme="minorEastAsia"/>
          <w:noProof/>
          <w:lang w:eastAsia="en-AU"/>
        </w:rPr>
        <w:drawing>
          <wp:inline distT="0" distB="0" distL="0" distR="0" wp14:anchorId="77D04B97" wp14:editId="0CF0C71C">
            <wp:extent cx="647700" cy="523875"/>
            <wp:effectExtent l="0" t="0" r="0" b="9525"/>
            <wp:docPr id="14" name="Picture 14" descr="http://nanomelbourne.com/assets/melbou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anomelbourne.com/assets/melbourn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7700" cy="523875"/>
                    </a:xfrm>
                    <a:prstGeom prst="rect">
                      <a:avLst/>
                    </a:prstGeom>
                    <a:noFill/>
                    <a:ln>
                      <a:noFill/>
                    </a:ln>
                  </pic:spPr>
                </pic:pic>
              </a:graphicData>
            </a:graphic>
          </wp:inline>
        </w:drawing>
      </w:r>
      <w:r>
        <w:rPr>
          <w:rFonts w:eastAsiaTheme="minorEastAsia"/>
          <w:noProof/>
          <w:lang w:eastAsia="en-AU"/>
        </w:rPr>
        <w:drawing>
          <wp:inline distT="0" distB="0" distL="0" distR="0" wp14:anchorId="0C133C31" wp14:editId="58F8CE0F">
            <wp:extent cx="495300" cy="5238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r="65102" b="54126"/>
                    <a:stretch>
                      <a:fillRect/>
                    </a:stretch>
                  </pic:blipFill>
                  <pic:spPr bwMode="auto">
                    <a:xfrm>
                      <a:off x="0" y="0"/>
                      <a:ext cx="495300" cy="523875"/>
                    </a:xfrm>
                    <a:prstGeom prst="rect">
                      <a:avLst/>
                    </a:prstGeom>
                    <a:noFill/>
                    <a:ln>
                      <a:noFill/>
                    </a:ln>
                  </pic:spPr>
                </pic:pic>
              </a:graphicData>
            </a:graphic>
          </wp:inline>
        </w:drawing>
      </w:r>
      <w:r>
        <w:rPr>
          <w:rFonts w:eastAsiaTheme="minorEastAsia"/>
          <w:noProof/>
          <w:lang w:eastAsia="en-AU"/>
        </w:rPr>
        <w:drawing>
          <wp:inline distT="0" distB="0" distL="0" distR="0" wp14:anchorId="5C06005F" wp14:editId="6D491E11">
            <wp:extent cx="1143000" cy="5048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0" cy="504825"/>
                    </a:xfrm>
                    <a:prstGeom prst="rect">
                      <a:avLst/>
                    </a:prstGeom>
                    <a:noFill/>
                    <a:ln>
                      <a:noFill/>
                    </a:ln>
                  </pic:spPr>
                </pic:pic>
              </a:graphicData>
            </a:graphic>
          </wp:inline>
        </w:drawing>
      </w:r>
      <w:bookmarkEnd w:id="2"/>
    </w:p>
    <w:sectPr w:rsidR="00717A15" w:rsidRPr="00717A15" w:rsidSect="00076A7D">
      <w:footerReference w:type="default" r:id="rId1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64D" w:rsidRDefault="00F6064D" w:rsidP="00B25E84">
      <w:r>
        <w:separator/>
      </w:r>
    </w:p>
  </w:endnote>
  <w:endnote w:type="continuationSeparator" w:id="0">
    <w:p w:rsidR="00F6064D" w:rsidRDefault="00F6064D" w:rsidP="00B25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NeueLT Std Lt">
    <w:altName w:val="Times New Roman"/>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42877"/>
      <w:docPartObj>
        <w:docPartGallery w:val="Page Numbers (Bottom of Page)"/>
        <w:docPartUnique/>
      </w:docPartObj>
    </w:sdtPr>
    <w:sdtEndPr>
      <w:rPr>
        <w:noProof/>
      </w:rPr>
    </w:sdtEndPr>
    <w:sdtContent>
      <w:p w:rsidR="00B25E84" w:rsidRDefault="00B25E84">
        <w:pPr>
          <w:pStyle w:val="Footer"/>
          <w:jc w:val="right"/>
        </w:pPr>
        <w:r>
          <w:fldChar w:fldCharType="begin"/>
        </w:r>
        <w:r>
          <w:instrText xml:space="preserve"> PAGE   \* MERGEFORMAT </w:instrText>
        </w:r>
        <w:r>
          <w:fldChar w:fldCharType="separate"/>
        </w:r>
        <w:r w:rsidR="00286954">
          <w:rPr>
            <w:noProof/>
          </w:rPr>
          <w:t>2</w:t>
        </w:r>
        <w:r>
          <w:rPr>
            <w:noProof/>
          </w:rPr>
          <w:fldChar w:fldCharType="end"/>
        </w:r>
      </w:p>
    </w:sdtContent>
  </w:sdt>
  <w:p w:rsidR="00B25E84" w:rsidRDefault="00B25E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64D" w:rsidRDefault="00F6064D" w:rsidP="00B25E84">
      <w:r>
        <w:separator/>
      </w:r>
    </w:p>
  </w:footnote>
  <w:footnote w:type="continuationSeparator" w:id="0">
    <w:p w:rsidR="00F6064D" w:rsidRDefault="00F6064D" w:rsidP="00B25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6B27946"/>
    <w:lvl w:ilvl="0">
      <w:start w:val="1"/>
      <w:numFmt w:val="decimal"/>
      <w:pStyle w:val="ListNumber"/>
      <w:lvlText w:val="%1."/>
      <w:lvlJc w:val="left"/>
      <w:pPr>
        <w:ind w:left="360" w:hanging="360"/>
      </w:pPr>
      <w:rPr>
        <w:rFonts w:hint="default"/>
        <w:caps/>
        <w:sz w:val="20"/>
      </w:rPr>
    </w:lvl>
  </w:abstractNum>
  <w:abstractNum w:abstractNumId="1">
    <w:nsid w:val="FFFFFF89"/>
    <w:multiLevelType w:val="singleLevel"/>
    <w:tmpl w:val="E0D632BC"/>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2">
    <w:nsid w:val="0D4B2836"/>
    <w:multiLevelType w:val="hybridMultilevel"/>
    <w:tmpl w:val="F2044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08388F"/>
    <w:multiLevelType w:val="hybridMultilevel"/>
    <w:tmpl w:val="14EE2D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C342979"/>
    <w:multiLevelType w:val="hybridMultilevel"/>
    <w:tmpl w:val="BBF8CFC0"/>
    <w:lvl w:ilvl="0" w:tplc="F6800DE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B1E5E41"/>
    <w:multiLevelType w:val="hybridMultilevel"/>
    <w:tmpl w:val="5312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538653F"/>
    <w:multiLevelType w:val="hybridMultilevel"/>
    <w:tmpl w:val="F38E51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BBF0182"/>
    <w:multiLevelType w:val="hybridMultilevel"/>
    <w:tmpl w:val="341444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F6554A6"/>
    <w:multiLevelType w:val="hybridMultilevel"/>
    <w:tmpl w:val="88140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BE542F1"/>
    <w:multiLevelType w:val="hybridMultilevel"/>
    <w:tmpl w:val="C70A77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num>
  <w:num w:numId="4">
    <w:abstractNumId w:val="9"/>
  </w:num>
  <w:num w:numId="5">
    <w:abstractNumId w:val="8"/>
  </w:num>
  <w:num w:numId="6">
    <w:abstractNumId w:val="4"/>
  </w:num>
  <w:num w:numId="7">
    <w:abstractNumId w:val="5"/>
  </w:num>
  <w:num w:numId="8">
    <w:abstractNumId w:val="6"/>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E48"/>
    <w:rsid w:val="00014316"/>
    <w:rsid w:val="00076A7D"/>
    <w:rsid w:val="000B63B5"/>
    <w:rsid w:val="001624F0"/>
    <w:rsid w:val="001643A0"/>
    <w:rsid w:val="001A6C89"/>
    <w:rsid w:val="001F1E48"/>
    <w:rsid w:val="00267869"/>
    <w:rsid w:val="00272099"/>
    <w:rsid w:val="00276BC6"/>
    <w:rsid w:val="00286954"/>
    <w:rsid w:val="002A1436"/>
    <w:rsid w:val="002C0971"/>
    <w:rsid w:val="00351B57"/>
    <w:rsid w:val="00355686"/>
    <w:rsid w:val="003877E1"/>
    <w:rsid w:val="003C0CC6"/>
    <w:rsid w:val="003F365F"/>
    <w:rsid w:val="003F4DFE"/>
    <w:rsid w:val="004E5965"/>
    <w:rsid w:val="00524204"/>
    <w:rsid w:val="005B0005"/>
    <w:rsid w:val="005C6C10"/>
    <w:rsid w:val="005F3554"/>
    <w:rsid w:val="006C4495"/>
    <w:rsid w:val="00706C71"/>
    <w:rsid w:val="00717A15"/>
    <w:rsid w:val="007271AF"/>
    <w:rsid w:val="00740CD0"/>
    <w:rsid w:val="00750D96"/>
    <w:rsid w:val="00892332"/>
    <w:rsid w:val="0092458D"/>
    <w:rsid w:val="00967613"/>
    <w:rsid w:val="009A2325"/>
    <w:rsid w:val="009E24B7"/>
    <w:rsid w:val="00A44D4C"/>
    <w:rsid w:val="00A6683A"/>
    <w:rsid w:val="00AE2CAF"/>
    <w:rsid w:val="00B0652A"/>
    <w:rsid w:val="00B25E84"/>
    <w:rsid w:val="00B34495"/>
    <w:rsid w:val="00B42112"/>
    <w:rsid w:val="00B43327"/>
    <w:rsid w:val="00B5739A"/>
    <w:rsid w:val="00B91D2D"/>
    <w:rsid w:val="00BE7A2D"/>
    <w:rsid w:val="00C06926"/>
    <w:rsid w:val="00C51078"/>
    <w:rsid w:val="00C5562B"/>
    <w:rsid w:val="00CA6C13"/>
    <w:rsid w:val="00D178B8"/>
    <w:rsid w:val="00D20591"/>
    <w:rsid w:val="00D81E30"/>
    <w:rsid w:val="00D8473D"/>
    <w:rsid w:val="00DA3736"/>
    <w:rsid w:val="00EC3112"/>
    <w:rsid w:val="00ED10A0"/>
    <w:rsid w:val="00EE5DB8"/>
    <w:rsid w:val="00F520DF"/>
    <w:rsid w:val="00F6064D"/>
    <w:rsid w:val="00F753CE"/>
    <w:rsid w:val="00F8392D"/>
    <w:rsid w:val="00F93F96"/>
    <w:rsid w:val="00FC09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ReportTitle">
    <w:name w:val="ACMA_ReportTitle"/>
    <w:basedOn w:val="Normal"/>
    <w:qFormat/>
    <w:rsid w:val="001F1E48"/>
    <w:pPr>
      <w:spacing w:line="560" w:lineRule="exact"/>
      <w:jc w:val="left"/>
    </w:pPr>
    <w:rPr>
      <w:rFonts w:ascii="Arial" w:eastAsia="Times New Roman" w:hAnsi="Arial" w:cs="Times New Roman"/>
      <w:b/>
      <w:spacing w:val="-28"/>
      <w:sz w:val="53"/>
      <w:szCs w:val="24"/>
      <w:lang w:eastAsia="en-AU"/>
    </w:rPr>
  </w:style>
  <w:style w:type="paragraph" w:customStyle="1" w:styleId="ACMAReportSubTitle">
    <w:name w:val="ACMA_ReportSubTitle"/>
    <w:basedOn w:val="Normal"/>
    <w:qFormat/>
    <w:rsid w:val="001F1E48"/>
    <w:pPr>
      <w:spacing w:after="200" w:line="560" w:lineRule="exact"/>
      <w:jc w:val="left"/>
    </w:pPr>
    <w:rPr>
      <w:rFonts w:ascii="Arial" w:eastAsia="Times New Roman" w:hAnsi="Arial" w:cs="Times New Roman"/>
      <w:color w:val="323232"/>
      <w:spacing w:val="-28"/>
      <w:sz w:val="53"/>
      <w:szCs w:val="24"/>
      <w:lang w:eastAsia="en-AU"/>
    </w:rPr>
  </w:style>
  <w:style w:type="paragraph" w:customStyle="1" w:styleId="ACMAReportDate">
    <w:name w:val="ACMA_ReportDate"/>
    <w:basedOn w:val="ACMAReportSubTitle"/>
    <w:qFormat/>
    <w:rsid w:val="001F1E48"/>
    <w:pPr>
      <w:spacing w:after="1200" w:line="240" w:lineRule="auto"/>
    </w:pPr>
    <w:rPr>
      <w:caps/>
      <w:spacing w:val="-10"/>
      <w:sz w:val="20"/>
    </w:rPr>
  </w:style>
  <w:style w:type="paragraph" w:styleId="ListBullet">
    <w:name w:val="List Bullet"/>
    <w:aliases w:val="List Bullet 1"/>
    <w:basedOn w:val="Normal"/>
    <w:link w:val="ListBulletChar"/>
    <w:qFormat/>
    <w:rsid w:val="001F1E48"/>
    <w:pPr>
      <w:numPr>
        <w:numId w:val="2"/>
      </w:numPr>
      <w:spacing w:after="80" w:line="240" w:lineRule="atLeast"/>
      <w:jc w:val="left"/>
    </w:pPr>
    <w:rPr>
      <w:rFonts w:ascii="Arial" w:eastAsia="Times New Roman" w:hAnsi="Arial" w:cs="Times New Roman"/>
      <w:sz w:val="20"/>
      <w:szCs w:val="24"/>
      <w:lang w:eastAsia="en-AU"/>
    </w:rPr>
  </w:style>
  <w:style w:type="paragraph" w:styleId="ListNumber">
    <w:name w:val="List Number"/>
    <w:basedOn w:val="Normal"/>
    <w:qFormat/>
    <w:rsid w:val="001F1E48"/>
    <w:pPr>
      <w:numPr>
        <w:numId w:val="1"/>
      </w:numPr>
      <w:spacing w:after="80" w:line="240" w:lineRule="atLeast"/>
      <w:jc w:val="left"/>
    </w:pPr>
    <w:rPr>
      <w:rFonts w:ascii="Arial" w:eastAsia="Times New Roman" w:hAnsi="Arial" w:cs="Times New Roman"/>
      <w:sz w:val="20"/>
      <w:szCs w:val="24"/>
      <w:lang w:eastAsia="en-AU"/>
    </w:rPr>
  </w:style>
  <w:style w:type="character" w:customStyle="1" w:styleId="ListBulletChar">
    <w:name w:val="List Bullet Char"/>
    <w:aliases w:val="List Bullet 1 Char"/>
    <w:basedOn w:val="DefaultParagraphFont"/>
    <w:link w:val="ListBullet"/>
    <w:rsid w:val="001F1E48"/>
    <w:rPr>
      <w:rFonts w:ascii="Arial" w:eastAsia="Times New Roman" w:hAnsi="Arial" w:cs="Times New Roman"/>
      <w:sz w:val="20"/>
      <w:szCs w:val="24"/>
      <w:lang w:eastAsia="en-AU"/>
    </w:rPr>
  </w:style>
  <w:style w:type="paragraph" w:customStyle="1" w:styleId="ACMASpaceaftertable">
    <w:name w:val="ACMA_Space after table"/>
    <w:basedOn w:val="Normal"/>
    <w:qFormat/>
    <w:rsid w:val="001F1E48"/>
    <w:pPr>
      <w:spacing w:after="240" w:line="240" w:lineRule="atLeast"/>
      <w:jc w:val="left"/>
    </w:pPr>
    <w:rPr>
      <w:rFonts w:ascii="Arial" w:eastAsia="Times New Roman" w:hAnsi="Arial" w:cs="Arial"/>
      <w:sz w:val="20"/>
      <w:szCs w:val="24"/>
      <w:lang w:eastAsia="en-AU"/>
    </w:rPr>
  </w:style>
  <w:style w:type="paragraph" w:styleId="ListParagraph">
    <w:name w:val="List Paragraph"/>
    <w:basedOn w:val="Normal"/>
    <w:uiPriority w:val="34"/>
    <w:qFormat/>
    <w:rsid w:val="00D178B8"/>
    <w:pPr>
      <w:spacing w:after="160" w:line="259" w:lineRule="auto"/>
      <w:ind w:left="720"/>
      <w:contextualSpacing/>
      <w:jc w:val="left"/>
    </w:pPr>
  </w:style>
  <w:style w:type="character" w:styleId="Hyperlink">
    <w:name w:val="Hyperlink"/>
    <w:basedOn w:val="DefaultParagraphFont"/>
    <w:uiPriority w:val="99"/>
    <w:unhideWhenUsed/>
    <w:rsid w:val="002A1436"/>
    <w:rPr>
      <w:color w:val="0000FF" w:themeColor="hyperlink"/>
      <w:u w:val="single"/>
    </w:rPr>
  </w:style>
  <w:style w:type="paragraph" w:styleId="NoSpacing">
    <w:name w:val="No Spacing"/>
    <w:uiPriority w:val="1"/>
    <w:qFormat/>
    <w:rsid w:val="001624F0"/>
  </w:style>
  <w:style w:type="paragraph" w:styleId="Header">
    <w:name w:val="header"/>
    <w:basedOn w:val="Normal"/>
    <w:link w:val="HeaderChar"/>
    <w:uiPriority w:val="99"/>
    <w:unhideWhenUsed/>
    <w:rsid w:val="00B25E84"/>
    <w:pPr>
      <w:tabs>
        <w:tab w:val="center" w:pos="4513"/>
        <w:tab w:val="right" w:pos="9026"/>
      </w:tabs>
    </w:pPr>
  </w:style>
  <w:style w:type="character" w:customStyle="1" w:styleId="HeaderChar">
    <w:name w:val="Header Char"/>
    <w:basedOn w:val="DefaultParagraphFont"/>
    <w:link w:val="Header"/>
    <w:uiPriority w:val="99"/>
    <w:rsid w:val="00B25E84"/>
  </w:style>
  <w:style w:type="paragraph" w:styleId="Footer">
    <w:name w:val="footer"/>
    <w:basedOn w:val="Normal"/>
    <w:link w:val="FooterChar"/>
    <w:uiPriority w:val="99"/>
    <w:unhideWhenUsed/>
    <w:rsid w:val="00B25E84"/>
    <w:pPr>
      <w:tabs>
        <w:tab w:val="center" w:pos="4513"/>
        <w:tab w:val="right" w:pos="9026"/>
      </w:tabs>
    </w:pPr>
  </w:style>
  <w:style w:type="character" w:customStyle="1" w:styleId="FooterChar">
    <w:name w:val="Footer Char"/>
    <w:basedOn w:val="DefaultParagraphFont"/>
    <w:link w:val="Footer"/>
    <w:uiPriority w:val="99"/>
    <w:rsid w:val="00B25E84"/>
  </w:style>
  <w:style w:type="paragraph" w:styleId="CommentText">
    <w:name w:val="annotation text"/>
    <w:basedOn w:val="Normal"/>
    <w:link w:val="CommentTextChar"/>
    <w:uiPriority w:val="99"/>
    <w:semiHidden/>
    <w:unhideWhenUsed/>
    <w:rsid w:val="00F520DF"/>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520DF"/>
    <w:rPr>
      <w:rFonts w:ascii="Calibri" w:eastAsia="Calibri" w:hAnsi="Calibri" w:cs="Times New Roman"/>
      <w:sz w:val="20"/>
      <w:szCs w:val="20"/>
    </w:rPr>
  </w:style>
  <w:style w:type="character" w:styleId="FollowedHyperlink">
    <w:name w:val="FollowedHyperlink"/>
    <w:basedOn w:val="DefaultParagraphFont"/>
    <w:uiPriority w:val="99"/>
    <w:semiHidden/>
    <w:unhideWhenUsed/>
    <w:rsid w:val="00750D9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qFormat="1"/>
    <w:lsdException w:name="List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MAReportTitle">
    <w:name w:val="ACMA_ReportTitle"/>
    <w:basedOn w:val="Normal"/>
    <w:qFormat/>
    <w:rsid w:val="001F1E48"/>
    <w:pPr>
      <w:spacing w:line="560" w:lineRule="exact"/>
      <w:jc w:val="left"/>
    </w:pPr>
    <w:rPr>
      <w:rFonts w:ascii="Arial" w:eastAsia="Times New Roman" w:hAnsi="Arial" w:cs="Times New Roman"/>
      <w:b/>
      <w:spacing w:val="-28"/>
      <w:sz w:val="53"/>
      <w:szCs w:val="24"/>
      <w:lang w:eastAsia="en-AU"/>
    </w:rPr>
  </w:style>
  <w:style w:type="paragraph" w:customStyle="1" w:styleId="ACMAReportSubTitle">
    <w:name w:val="ACMA_ReportSubTitle"/>
    <w:basedOn w:val="Normal"/>
    <w:qFormat/>
    <w:rsid w:val="001F1E48"/>
    <w:pPr>
      <w:spacing w:after="200" w:line="560" w:lineRule="exact"/>
      <w:jc w:val="left"/>
    </w:pPr>
    <w:rPr>
      <w:rFonts w:ascii="Arial" w:eastAsia="Times New Roman" w:hAnsi="Arial" w:cs="Times New Roman"/>
      <w:color w:val="323232"/>
      <w:spacing w:val="-28"/>
      <w:sz w:val="53"/>
      <w:szCs w:val="24"/>
      <w:lang w:eastAsia="en-AU"/>
    </w:rPr>
  </w:style>
  <w:style w:type="paragraph" w:customStyle="1" w:styleId="ACMAReportDate">
    <w:name w:val="ACMA_ReportDate"/>
    <w:basedOn w:val="ACMAReportSubTitle"/>
    <w:qFormat/>
    <w:rsid w:val="001F1E48"/>
    <w:pPr>
      <w:spacing w:after="1200" w:line="240" w:lineRule="auto"/>
    </w:pPr>
    <w:rPr>
      <w:caps/>
      <w:spacing w:val="-10"/>
      <w:sz w:val="20"/>
    </w:rPr>
  </w:style>
  <w:style w:type="paragraph" w:styleId="ListBullet">
    <w:name w:val="List Bullet"/>
    <w:aliases w:val="List Bullet 1"/>
    <w:basedOn w:val="Normal"/>
    <w:link w:val="ListBulletChar"/>
    <w:qFormat/>
    <w:rsid w:val="001F1E48"/>
    <w:pPr>
      <w:numPr>
        <w:numId w:val="2"/>
      </w:numPr>
      <w:spacing w:after="80" w:line="240" w:lineRule="atLeast"/>
      <w:jc w:val="left"/>
    </w:pPr>
    <w:rPr>
      <w:rFonts w:ascii="Arial" w:eastAsia="Times New Roman" w:hAnsi="Arial" w:cs="Times New Roman"/>
      <w:sz w:val="20"/>
      <w:szCs w:val="24"/>
      <w:lang w:eastAsia="en-AU"/>
    </w:rPr>
  </w:style>
  <w:style w:type="paragraph" w:styleId="ListNumber">
    <w:name w:val="List Number"/>
    <w:basedOn w:val="Normal"/>
    <w:qFormat/>
    <w:rsid w:val="001F1E48"/>
    <w:pPr>
      <w:numPr>
        <w:numId w:val="1"/>
      </w:numPr>
      <w:spacing w:after="80" w:line="240" w:lineRule="atLeast"/>
      <w:jc w:val="left"/>
    </w:pPr>
    <w:rPr>
      <w:rFonts w:ascii="Arial" w:eastAsia="Times New Roman" w:hAnsi="Arial" w:cs="Times New Roman"/>
      <w:sz w:val="20"/>
      <w:szCs w:val="24"/>
      <w:lang w:eastAsia="en-AU"/>
    </w:rPr>
  </w:style>
  <w:style w:type="character" w:customStyle="1" w:styleId="ListBulletChar">
    <w:name w:val="List Bullet Char"/>
    <w:aliases w:val="List Bullet 1 Char"/>
    <w:basedOn w:val="DefaultParagraphFont"/>
    <w:link w:val="ListBullet"/>
    <w:rsid w:val="001F1E48"/>
    <w:rPr>
      <w:rFonts w:ascii="Arial" w:eastAsia="Times New Roman" w:hAnsi="Arial" w:cs="Times New Roman"/>
      <w:sz w:val="20"/>
      <w:szCs w:val="24"/>
      <w:lang w:eastAsia="en-AU"/>
    </w:rPr>
  </w:style>
  <w:style w:type="paragraph" w:customStyle="1" w:styleId="ACMASpaceaftertable">
    <w:name w:val="ACMA_Space after table"/>
    <w:basedOn w:val="Normal"/>
    <w:qFormat/>
    <w:rsid w:val="001F1E48"/>
    <w:pPr>
      <w:spacing w:after="240" w:line="240" w:lineRule="atLeast"/>
      <w:jc w:val="left"/>
    </w:pPr>
    <w:rPr>
      <w:rFonts w:ascii="Arial" w:eastAsia="Times New Roman" w:hAnsi="Arial" w:cs="Arial"/>
      <w:sz w:val="20"/>
      <w:szCs w:val="24"/>
      <w:lang w:eastAsia="en-AU"/>
    </w:rPr>
  </w:style>
  <w:style w:type="paragraph" w:styleId="ListParagraph">
    <w:name w:val="List Paragraph"/>
    <w:basedOn w:val="Normal"/>
    <w:uiPriority w:val="34"/>
    <w:qFormat/>
    <w:rsid w:val="00D178B8"/>
    <w:pPr>
      <w:spacing w:after="160" w:line="259" w:lineRule="auto"/>
      <w:ind w:left="720"/>
      <w:contextualSpacing/>
      <w:jc w:val="left"/>
    </w:pPr>
  </w:style>
  <w:style w:type="character" w:styleId="Hyperlink">
    <w:name w:val="Hyperlink"/>
    <w:basedOn w:val="DefaultParagraphFont"/>
    <w:uiPriority w:val="99"/>
    <w:unhideWhenUsed/>
    <w:rsid w:val="002A1436"/>
    <w:rPr>
      <w:color w:val="0000FF" w:themeColor="hyperlink"/>
      <w:u w:val="single"/>
    </w:rPr>
  </w:style>
  <w:style w:type="paragraph" w:styleId="NoSpacing">
    <w:name w:val="No Spacing"/>
    <w:uiPriority w:val="1"/>
    <w:qFormat/>
    <w:rsid w:val="001624F0"/>
  </w:style>
  <w:style w:type="paragraph" w:styleId="Header">
    <w:name w:val="header"/>
    <w:basedOn w:val="Normal"/>
    <w:link w:val="HeaderChar"/>
    <w:uiPriority w:val="99"/>
    <w:unhideWhenUsed/>
    <w:rsid w:val="00B25E84"/>
    <w:pPr>
      <w:tabs>
        <w:tab w:val="center" w:pos="4513"/>
        <w:tab w:val="right" w:pos="9026"/>
      </w:tabs>
    </w:pPr>
  </w:style>
  <w:style w:type="character" w:customStyle="1" w:styleId="HeaderChar">
    <w:name w:val="Header Char"/>
    <w:basedOn w:val="DefaultParagraphFont"/>
    <w:link w:val="Header"/>
    <w:uiPriority w:val="99"/>
    <w:rsid w:val="00B25E84"/>
  </w:style>
  <w:style w:type="paragraph" w:styleId="Footer">
    <w:name w:val="footer"/>
    <w:basedOn w:val="Normal"/>
    <w:link w:val="FooterChar"/>
    <w:uiPriority w:val="99"/>
    <w:unhideWhenUsed/>
    <w:rsid w:val="00B25E84"/>
    <w:pPr>
      <w:tabs>
        <w:tab w:val="center" w:pos="4513"/>
        <w:tab w:val="right" w:pos="9026"/>
      </w:tabs>
    </w:pPr>
  </w:style>
  <w:style w:type="character" w:customStyle="1" w:styleId="FooterChar">
    <w:name w:val="Footer Char"/>
    <w:basedOn w:val="DefaultParagraphFont"/>
    <w:link w:val="Footer"/>
    <w:uiPriority w:val="99"/>
    <w:rsid w:val="00B25E84"/>
  </w:style>
  <w:style w:type="paragraph" w:styleId="CommentText">
    <w:name w:val="annotation text"/>
    <w:basedOn w:val="Normal"/>
    <w:link w:val="CommentTextChar"/>
    <w:uiPriority w:val="99"/>
    <w:semiHidden/>
    <w:unhideWhenUsed/>
    <w:rsid w:val="00F520DF"/>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F520DF"/>
    <w:rPr>
      <w:rFonts w:ascii="Calibri" w:eastAsia="Calibri" w:hAnsi="Calibri" w:cs="Times New Roman"/>
      <w:sz w:val="20"/>
      <w:szCs w:val="20"/>
    </w:rPr>
  </w:style>
  <w:style w:type="character" w:styleId="FollowedHyperlink">
    <w:name w:val="FollowedHyperlink"/>
    <w:basedOn w:val="DefaultParagraphFont"/>
    <w:uiPriority w:val="99"/>
    <w:semiHidden/>
    <w:unhideWhenUsed/>
    <w:rsid w:val="00750D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654121">
      <w:bodyDiv w:val="1"/>
      <w:marLeft w:val="0"/>
      <w:marRight w:val="0"/>
      <w:marTop w:val="0"/>
      <w:marBottom w:val="0"/>
      <w:divBdr>
        <w:top w:val="none" w:sz="0" w:space="0" w:color="auto"/>
        <w:left w:val="none" w:sz="0" w:space="0" w:color="auto"/>
        <w:bottom w:val="none" w:sz="0" w:space="0" w:color="auto"/>
        <w:right w:val="none" w:sz="0" w:space="0" w:color="auto"/>
      </w:divBdr>
    </w:div>
    <w:div w:id="149252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hyperlink" Target="https://unimelb.edu.au/cdmps/home?referrer=301_redirec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2105</Words>
  <Characters>12003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spring</dc:creator>
  <cp:lastModifiedBy>geoff spring</cp:lastModifiedBy>
  <cp:revision>2</cp:revision>
  <dcterms:created xsi:type="dcterms:W3CDTF">2019-05-28T06:28:00Z</dcterms:created>
  <dcterms:modified xsi:type="dcterms:W3CDTF">2019-05-28T06:28:00Z</dcterms:modified>
</cp:coreProperties>
</file>