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837FD" w14:textId="3D0BB953" w:rsidR="000361BE" w:rsidRDefault="000361BE" w:rsidP="00A51D1A">
      <w:pPr>
        <w:pStyle w:val="Reporttitle"/>
      </w:pPr>
      <w:r>
        <w:t xml:space="preserve">Reconfiguring the </w:t>
      </w:r>
      <w:r w:rsidR="001C1F5B">
        <w:t>900</w:t>
      </w:r>
      <w:r w:rsidR="004D3028">
        <w:t> MHz</w:t>
      </w:r>
      <w:r>
        <w:t xml:space="preserve"> band</w:t>
      </w:r>
      <w:r w:rsidR="001C1F5B">
        <w:t>/</w:t>
      </w:r>
    </w:p>
    <w:p w14:paraId="0848F0F4" w14:textId="4EF95F5A" w:rsidR="00F06E14" w:rsidRPr="00A51D1A" w:rsidRDefault="000361BE" w:rsidP="00A51D1A">
      <w:pPr>
        <w:pStyle w:val="Reporttitle"/>
      </w:pPr>
      <w:r>
        <w:t xml:space="preserve">Allocating the </w:t>
      </w:r>
      <w:r w:rsidR="001C1F5B">
        <w:t>850</w:t>
      </w:r>
      <w:r w:rsidR="004D3028">
        <w:t> MHz</w:t>
      </w:r>
      <w:r w:rsidR="001C1F5B">
        <w:t xml:space="preserve"> expansion band</w:t>
      </w:r>
    </w:p>
    <w:p w14:paraId="715086D9" w14:textId="77777777" w:rsidR="00F06E14" w:rsidRDefault="000361BE" w:rsidP="00F06E14">
      <w:pPr>
        <w:pStyle w:val="Reportsubtitle"/>
      </w:pPr>
      <w:r>
        <w:t>Decision paper</w:t>
      </w:r>
    </w:p>
    <w:p w14:paraId="3952143D" w14:textId="77777777" w:rsidR="00C97736" w:rsidRPr="000D76E0" w:rsidRDefault="001C1F5B" w:rsidP="00EC2B68">
      <w:pPr>
        <w:pStyle w:val="Reportdate"/>
        <w:spacing w:after="720"/>
        <w:rPr>
          <w:rFonts w:cs="Arial"/>
        </w:rPr>
        <w:sectPr w:rsidR="00C97736" w:rsidRPr="000D76E0" w:rsidSect="005E250B">
          <w:headerReference w:type="default" r:id="rId8"/>
          <w:footerReference w:type="default" r:id="rId9"/>
          <w:headerReference w:type="first" r:id="rId10"/>
          <w:pgSz w:w="11906" w:h="16838" w:code="9"/>
          <w:pgMar w:top="3924" w:right="992" w:bottom="1440" w:left="1134" w:header="709" w:footer="454" w:gutter="0"/>
          <w:cols w:space="708"/>
          <w:docGrid w:linePitch="360"/>
        </w:sectPr>
      </w:pPr>
      <w:r>
        <w:t>December</w:t>
      </w:r>
      <w:r w:rsidR="00BD4421">
        <w:t xml:space="preserve"> 2019</w:t>
      </w:r>
    </w:p>
    <w:p w14:paraId="1CDF4719" w14:textId="77777777" w:rsidR="0005011A" w:rsidRPr="00F44F3A" w:rsidRDefault="0005011A" w:rsidP="00FC07B9">
      <w:pPr>
        <w:pStyle w:val="ACMACorporateAddressHeader"/>
      </w:pPr>
      <w:r w:rsidRPr="00F44F3A">
        <w:lastRenderedPageBreak/>
        <w:t>Canberra</w:t>
      </w:r>
    </w:p>
    <w:p w14:paraId="3CB742E1"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5D8D7F70" w14:textId="77777777" w:rsidR="0005011A" w:rsidRPr="00FC07B9" w:rsidRDefault="0005011A" w:rsidP="00FC07B9">
      <w:pPr>
        <w:pStyle w:val="ACMACorporateAddresses"/>
      </w:pPr>
      <w:r w:rsidRPr="00FC07B9">
        <w:t>PO Box 78</w:t>
      </w:r>
      <w:r w:rsidRPr="00FC07B9">
        <w:br/>
        <w:t>Belconnen ACT 2616</w:t>
      </w:r>
    </w:p>
    <w:p w14:paraId="185ED364"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08E065CB" w14:textId="77777777" w:rsidR="0005011A" w:rsidRPr="00F44F3A" w:rsidRDefault="0005011A" w:rsidP="00FC07B9">
      <w:pPr>
        <w:pStyle w:val="ACMACorporateAddressHeader"/>
      </w:pPr>
      <w:r w:rsidRPr="00F44F3A">
        <w:t>Melbourne</w:t>
      </w:r>
    </w:p>
    <w:p w14:paraId="23ADD4A5"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5EC384BF"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0DC8862E"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60D050AD" w14:textId="77777777" w:rsidR="0005011A" w:rsidRPr="00F44F3A" w:rsidRDefault="0005011A" w:rsidP="00FC07B9">
      <w:pPr>
        <w:pStyle w:val="ACMACorporateAddressHeader"/>
      </w:pPr>
      <w:r w:rsidRPr="00F44F3A">
        <w:t>Sydney</w:t>
      </w:r>
    </w:p>
    <w:p w14:paraId="32B3DF01"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397F0141"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585FF6EC"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7490B38B" w14:textId="77777777" w:rsidR="00140318" w:rsidRPr="006D46E5" w:rsidRDefault="00140318" w:rsidP="00FC07B9">
      <w:pPr>
        <w:pStyle w:val="ACMACopyrightHeader"/>
      </w:pPr>
      <w:r w:rsidRPr="00140318">
        <w:t>Copyright notice</w:t>
      </w:r>
    </w:p>
    <w:p w14:paraId="6E44C657" w14:textId="77777777" w:rsidR="00140318" w:rsidRPr="006D46E5" w:rsidRDefault="00623FF9" w:rsidP="00623FF9">
      <w:pPr>
        <w:pStyle w:val="ACMACClogo"/>
      </w:pPr>
      <w:r>
        <w:rPr>
          <w:noProof/>
        </w:rPr>
        <w:drawing>
          <wp:inline distT="0" distB="0" distL="0" distR="0" wp14:anchorId="7848B8DF" wp14:editId="18E9398D">
            <wp:extent cx="838200" cy="295275"/>
            <wp:effectExtent l="0" t="0" r="0" b="0"/>
            <wp:docPr id="1018540986"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p>
    <w:p w14:paraId="5F79F8B5" w14:textId="77777777" w:rsidR="00AA2DE5" w:rsidRDefault="009F43D5" w:rsidP="00AA2DE5">
      <w:pPr>
        <w:pStyle w:val="ACMACorporateAddresses"/>
        <w:rPr>
          <w:rStyle w:val="Hyperlink"/>
        </w:rPr>
      </w:pPr>
      <w:hyperlink r:id="rId13" w:history="1">
        <w:r w:rsidR="00AA2DE5">
          <w:rPr>
            <w:rStyle w:val="Hyperlink"/>
          </w:rPr>
          <w:t>https://creativecommons.org/licenses/by/4.0/</w:t>
        </w:r>
      </w:hyperlink>
    </w:p>
    <w:p w14:paraId="65471064" w14:textId="77777777" w:rsidR="00AA2DE5" w:rsidRDefault="00AA2DE5" w:rsidP="00AA2DE5">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724CC7F5" w14:textId="77777777" w:rsidR="00AA2DE5" w:rsidRDefault="00AA2DE5" w:rsidP="00AA2DE5">
      <w:pPr>
        <w:pStyle w:val="ACMACorporateAddresses"/>
      </w:pPr>
      <w:r>
        <w:t>We request attribution as © Commonwealth of Australia (Australian Communications and Media Authority) 201</w:t>
      </w:r>
      <w:r w:rsidR="000245E5">
        <w:t>9</w:t>
      </w:r>
      <w:r>
        <w:t>.</w:t>
      </w:r>
    </w:p>
    <w:p w14:paraId="069FF6F9" w14:textId="77777777" w:rsidR="00AA2DE5" w:rsidRDefault="00AA2DE5" w:rsidP="00AA2DE5">
      <w:pPr>
        <w:pStyle w:val="ACMACorporateAddresses"/>
      </w:pPr>
      <w:r>
        <w:t>All other rights are reserved.</w:t>
      </w:r>
    </w:p>
    <w:p w14:paraId="41D25066"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3C633DC2" w14:textId="77777777" w:rsidR="00AA2DE5" w:rsidRDefault="00AA2DE5" w:rsidP="00AA2DE5">
      <w:pPr>
        <w:pStyle w:val="ACMACorporateAddresses"/>
      </w:pPr>
      <w:r>
        <w:t>Written enquiries may be sent to:</w:t>
      </w:r>
    </w:p>
    <w:p w14:paraId="46451A1C" w14:textId="77777777" w:rsidR="00AA2DE5" w:rsidRDefault="00AA2DE5" w:rsidP="00AA2DE5">
      <w:pPr>
        <w:pStyle w:val="ACMACorporateAddresses"/>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64078DD2" w14:textId="77777777" w:rsidR="00D16FE3" w:rsidRDefault="00D16FE3" w:rsidP="00D16FE3">
      <w:pPr>
        <w:pStyle w:val="ACMACorporateAddresses"/>
        <w:rPr>
          <w:rStyle w:val="Hyperlink"/>
        </w:rPr>
      </w:pPr>
    </w:p>
    <w:p w14:paraId="10D88F7A" w14:textId="77777777" w:rsidR="00D16FE3" w:rsidRPr="00D16FE3" w:rsidRDefault="00D16FE3" w:rsidP="00D16FE3">
      <w:pPr>
        <w:pStyle w:val="ACMACorporateAddresses"/>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429251B4" w14:textId="39D1375D" w:rsidR="008A1017" w:rsidRDefault="009B24A5">
      <w:pPr>
        <w:pStyle w:val="TOC1"/>
        <w:rPr>
          <w:rFonts w:asciiTheme="minorHAnsi" w:eastAsiaTheme="minorEastAsia" w:hAnsiTheme="minorHAnsi" w:cstheme="minorBidi"/>
          <w:b w:val="0"/>
          <w:spacing w:val="0"/>
          <w:sz w:val="22"/>
          <w:szCs w:val="22"/>
        </w:rPr>
      </w:pPr>
      <w:r>
        <w:rPr>
          <w:rFonts w:cs="Arial"/>
        </w:rPr>
        <w:lastRenderedPageBreak/>
        <w:fldChar w:fldCharType="begin"/>
      </w:r>
      <w:r>
        <w:rPr>
          <w:rFonts w:cs="Arial"/>
        </w:rPr>
        <w:instrText xml:space="preserve"> TOC \o "1-3" \t "Exec summary heading,1" </w:instrText>
      </w:r>
      <w:r>
        <w:rPr>
          <w:rFonts w:cs="Arial"/>
        </w:rPr>
        <w:fldChar w:fldCharType="separate"/>
      </w:r>
      <w:r w:rsidR="008A1017">
        <w:t>Executive summary</w:t>
      </w:r>
      <w:r w:rsidR="008A1017">
        <w:tab/>
      </w:r>
      <w:r w:rsidR="008A1017">
        <w:fldChar w:fldCharType="begin"/>
      </w:r>
      <w:r w:rsidR="008A1017">
        <w:instrText xml:space="preserve"> PAGEREF _Toc27405662 \h </w:instrText>
      </w:r>
      <w:r w:rsidR="008A1017">
        <w:fldChar w:fldCharType="separate"/>
      </w:r>
      <w:r w:rsidR="008A1017">
        <w:t>1</w:t>
      </w:r>
      <w:r w:rsidR="008A1017">
        <w:fldChar w:fldCharType="end"/>
      </w:r>
    </w:p>
    <w:p w14:paraId="02554002" w14:textId="7BCB7296" w:rsidR="008A1017" w:rsidRDefault="008A1017">
      <w:pPr>
        <w:pStyle w:val="TOC1"/>
        <w:rPr>
          <w:rFonts w:asciiTheme="minorHAnsi" w:eastAsiaTheme="minorEastAsia" w:hAnsiTheme="minorHAnsi" w:cstheme="minorBidi"/>
          <w:b w:val="0"/>
          <w:spacing w:val="0"/>
          <w:sz w:val="22"/>
          <w:szCs w:val="22"/>
        </w:rPr>
      </w:pPr>
      <w:r>
        <w:t>Reconfiguring the 900 MHz band</w:t>
      </w:r>
      <w:r>
        <w:tab/>
      </w:r>
      <w:r>
        <w:fldChar w:fldCharType="begin"/>
      </w:r>
      <w:r>
        <w:instrText xml:space="preserve"> PAGEREF _Toc27405663 \h </w:instrText>
      </w:r>
      <w:r>
        <w:fldChar w:fldCharType="separate"/>
      </w:r>
      <w:r>
        <w:t>3</w:t>
      </w:r>
      <w:r>
        <w:fldChar w:fldCharType="end"/>
      </w:r>
    </w:p>
    <w:p w14:paraId="1B85497F" w14:textId="138EE5CC" w:rsidR="008A1017" w:rsidRDefault="008A1017">
      <w:pPr>
        <w:pStyle w:val="TOC2"/>
        <w:rPr>
          <w:rFonts w:asciiTheme="minorHAnsi" w:eastAsiaTheme="minorEastAsia" w:hAnsiTheme="minorHAnsi" w:cstheme="minorBidi"/>
          <w:spacing w:val="0"/>
          <w:sz w:val="22"/>
          <w:szCs w:val="22"/>
        </w:rPr>
      </w:pPr>
      <w:r>
        <w:t>Background</w:t>
      </w:r>
      <w:r>
        <w:tab/>
      </w:r>
      <w:r>
        <w:fldChar w:fldCharType="begin"/>
      </w:r>
      <w:r>
        <w:instrText xml:space="preserve"> PAGEREF _Toc27405664 \h </w:instrText>
      </w:r>
      <w:r>
        <w:fldChar w:fldCharType="separate"/>
      </w:r>
      <w:r>
        <w:t>3</w:t>
      </w:r>
      <w:r>
        <w:fldChar w:fldCharType="end"/>
      </w:r>
    </w:p>
    <w:p w14:paraId="63614C87" w14:textId="1FD9AEC0" w:rsidR="008A1017" w:rsidRDefault="008A1017">
      <w:pPr>
        <w:pStyle w:val="TOC2"/>
        <w:rPr>
          <w:rFonts w:asciiTheme="minorHAnsi" w:eastAsiaTheme="minorEastAsia" w:hAnsiTheme="minorHAnsi" w:cstheme="minorBidi"/>
          <w:spacing w:val="0"/>
          <w:sz w:val="22"/>
          <w:szCs w:val="22"/>
        </w:rPr>
      </w:pPr>
      <w:r>
        <w:t>Objectives</w:t>
      </w:r>
      <w:r>
        <w:tab/>
      </w:r>
      <w:r>
        <w:fldChar w:fldCharType="begin"/>
      </w:r>
      <w:r>
        <w:instrText xml:space="preserve"> PAGEREF _Toc27405665 \h </w:instrText>
      </w:r>
      <w:r>
        <w:fldChar w:fldCharType="separate"/>
      </w:r>
      <w:r>
        <w:t>3</w:t>
      </w:r>
      <w:r>
        <w:fldChar w:fldCharType="end"/>
      </w:r>
    </w:p>
    <w:p w14:paraId="26C1BB26" w14:textId="145AA44F" w:rsidR="008A1017" w:rsidRDefault="008A1017">
      <w:pPr>
        <w:pStyle w:val="TOC2"/>
        <w:rPr>
          <w:rFonts w:asciiTheme="minorHAnsi" w:eastAsiaTheme="minorEastAsia" w:hAnsiTheme="minorHAnsi" w:cstheme="minorBidi"/>
          <w:spacing w:val="0"/>
          <w:sz w:val="22"/>
          <w:szCs w:val="22"/>
        </w:rPr>
      </w:pPr>
      <w:r w:rsidRPr="009B7084">
        <w:rPr>
          <w:lang w:val="en-GB"/>
        </w:rPr>
        <w:t>Options</w:t>
      </w:r>
      <w:r>
        <w:tab/>
      </w:r>
      <w:r>
        <w:tab/>
      </w:r>
      <w:r>
        <w:fldChar w:fldCharType="begin"/>
      </w:r>
      <w:r>
        <w:instrText xml:space="preserve"> PAGEREF _Toc27405666 \h </w:instrText>
      </w:r>
      <w:r>
        <w:fldChar w:fldCharType="separate"/>
      </w:r>
      <w:r>
        <w:t>4</w:t>
      </w:r>
      <w:r>
        <w:fldChar w:fldCharType="end"/>
      </w:r>
    </w:p>
    <w:p w14:paraId="71356E0E" w14:textId="3333982B" w:rsidR="008A1017" w:rsidRDefault="008A1017">
      <w:pPr>
        <w:pStyle w:val="TOC2"/>
        <w:rPr>
          <w:rFonts w:asciiTheme="minorHAnsi" w:eastAsiaTheme="minorEastAsia" w:hAnsiTheme="minorHAnsi" w:cstheme="minorBidi"/>
          <w:spacing w:val="0"/>
          <w:sz w:val="22"/>
          <w:szCs w:val="22"/>
        </w:rPr>
      </w:pPr>
      <w:r>
        <w:t>Consultation outcomes</w:t>
      </w:r>
      <w:r>
        <w:tab/>
      </w:r>
      <w:r>
        <w:fldChar w:fldCharType="begin"/>
      </w:r>
      <w:r>
        <w:instrText xml:space="preserve"> PAGEREF _Toc27405667 \h </w:instrText>
      </w:r>
      <w:r>
        <w:fldChar w:fldCharType="separate"/>
      </w:r>
      <w:r>
        <w:t>4</w:t>
      </w:r>
      <w:r>
        <w:fldChar w:fldCharType="end"/>
      </w:r>
    </w:p>
    <w:p w14:paraId="29CBF357" w14:textId="0E6FC8EE" w:rsidR="008A1017" w:rsidRDefault="008A1017">
      <w:pPr>
        <w:pStyle w:val="TOC3"/>
        <w:rPr>
          <w:rFonts w:asciiTheme="minorHAnsi" w:eastAsiaTheme="minorEastAsia" w:hAnsiTheme="minorHAnsi" w:cstheme="minorBidi"/>
        </w:rPr>
      </w:pPr>
      <w:r>
        <w:t>900 MHz reconfiguration</w:t>
      </w:r>
      <w:r>
        <w:tab/>
      </w:r>
      <w:r>
        <w:fldChar w:fldCharType="begin"/>
      </w:r>
      <w:r>
        <w:instrText xml:space="preserve"> PAGEREF _Toc27405668 \h </w:instrText>
      </w:r>
      <w:r>
        <w:fldChar w:fldCharType="separate"/>
      </w:r>
      <w:r>
        <w:t>4</w:t>
      </w:r>
      <w:r>
        <w:fldChar w:fldCharType="end"/>
      </w:r>
    </w:p>
    <w:p w14:paraId="10432BF2" w14:textId="0650CD92" w:rsidR="008A1017" w:rsidRDefault="008A1017">
      <w:pPr>
        <w:pStyle w:val="TOC3"/>
        <w:rPr>
          <w:rFonts w:asciiTheme="minorHAnsi" w:eastAsiaTheme="minorEastAsia" w:hAnsiTheme="minorHAnsi" w:cstheme="minorBidi"/>
        </w:rPr>
      </w:pPr>
      <w:r>
        <w:t>850 MHz downshift</w:t>
      </w:r>
      <w:r>
        <w:tab/>
      </w:r>
      <w:r>
        <w:fldChar w:fldCharType="begin"/>
      </w:r>
      <w:r>
        <w:instrText xml:space="preserve"> PAGEREF _Toc27405669 \h </w:instrText>
      </w:r>
      <w:r>
        <w:fldChar w:fldCharType="separate"/>
      </w:r>
      <w:r>
        <w:t>4</w:t>
      </w:r>
      <w:r>
        <w:fldChar w:fldCharType="end"/>
      </w:r>
    </w:p>
    <w:p w14:paraId="7BF9A67F" w14:textId="13B7DD88" w:rsidR="008A1017" w:rsidRDefault="008A1017">
      <w:pPr>
        <w:pStyle w:val="TOC3"/>
        <w:rPr>
          <w:rFonts w:asciiTheme="minorHAnsi" w:eastAsiaTheme="minorEastAsia" w:hAnsiTheme="minorHAnsi" w:cstheme="minorBidi"/>
        </w:rPr>
      </w:pPr>
      <w:r>
        <w:t>Public safety mobile broadband</w:t>
      </w:r>
      <w:r>
        <w:tab/>
      </w:r>
      <w:r>
        <w:fldChar w:fldCharType="begin"/>
      </w:r>
      <w:r>
        <w:instrText xml:space="preserve"> PAGEREF _Toc27405670 \h </w:instrText>
      </w:r>
      <w:r>
        <w:fldChar w:fldCharType="separate"/>
      </w:r>
      <w:r>
        <w:t>5</w:t>
      </w:r>
      <w:r>
        <w:fldChar w:fldCharType="end"/>
      </w:r>
    </w:p>
    <w:p w14:paraId="33755032" w14:textId="0EA4085B" w:rsidR="008A1017" w:rsidRDefault="008A1017">
      <w:pPr>
        <w:pStyle w:val="TOC2"/>
        <w:rPr>
          <w:rFonts w:asciiTheme="minorHAnsi" w:eastAsiaTheme="minorEastAsia" w:hAnsiTheme="minorHAnsi" w:cstheme="minorBidi"/>
          <w:spacing w:val="0"/>
          <w:sz w:val="22"/>
          <w:szCs w:val="22"/>
        </w:rPr>
      </w:pPr>
      <w:r>
        <w:t>ACMA decision on approach to reallocation of the 900 MHz band</w:t>
      </w:r>
      <w:r>
        <w:tab/>
      </w:r>
      <w:r>
        <w:fldChar w:fldCharType="begin"/>
      </w:r>
      <w:r>
        <w:instrText xml:space="preserve"> PAGEREF _Toc27405671 \h </w:instrText>
      </w:r>
      <w:r>
        <w:fldChar w:fldCharType="separate"/>
      </w:r>
      <w:r>
        <w:t>5</w:t>
      </w:r>
      <w:r>
        <w:fldChar w:fldCharType="end"/>
      </w:r>
    </w:p>
    <w:p w14:paraId="369263F5" w14:textId="1A7AAF74" w:rsidR="008A1017" w:rsidRDefault="008A1017">
      <w:pPr>
        <w:pStyle w:val="TOC2"/>
        <w:rPr>
          <w:rFonts w:asciiTheme="minorHAnsi" w:eastAsiaTheme="minorEastAsia" w:hAnsiTheme="minorHAnsi" w:cstheme="minorBidi"/>
          <w:spacing w:val="0"/>
          <w:sz w:val="22"/>
          <w:szCs w:val="22"/>
        </w:rPr>
      </w:pPr>
      <w:r>
        <w:t>Combined allocation with 850 MHz expansion band</w:t>
      </w:r>
      <w:r>
        <w:tab/>
      </w:r>
      <w:r>
        <w:fldChar w:fldCharType="begin"/>
      </w:r>
      <w:r>
        <w:instrText xml:space="preserve"> PAGEREF _Toc27405672 \h </w:instrText>
      </w:r>
      <w:r>
        <w:fldChar w:fldCharType="separate"/>
      </w:r>
      <w:r>
        <w:t>6</w:t>
      </w:r>
      <w:r>
        <w:fldChar w:fldCharType="end"/>
      </w:r>
    </w:p>
    <w:p w14:paraId="29118705" w14:textId="1776C7C7" w:rsidR="008A1017" w:rsidRDefault="008A1017">
      <w:pPr>
        <w:pStyle w:val="TOC2"/>
        <w:rPr>
          <w:rFonts w:asciiTheme="minorHAnsi" w:eastAsiaTheme="minorEastAsia" w:hAnsiTheme="minorHAnsi" w:cstheme="minorBidi"/>
          <w:spacing w:val="0"/>
          <w:sz w:val="22"/>
          <w:szCs w:val="22"/>
        </w:rPr>
      </w:pPr>
      <w:r>
        <w:t>Allocation format</w:t>
      </w:r>
      <w:r>
        <w:tab/>
      </w:r>
      <w:r>
        <w:fldChar w:fldCharType="begin"/>
      </w:r>
      <w:r>
        <w:instrText xml:space="preserve"> PAGEREF _Toc27405673 \h </w:instrText>
      </w:r>
      <w:r>
        <w:fldChar w:fldCharType="separate"/>
      </w:r>
      <w:r>
        <w:t>6</w:t>
      </w:r>
      <w:r>
        <w:fldChar w:fldCharType="end"/>
      </w:r>
    </w:p>
    <w:p w14:paraId="20759C91" w14:textId="6763BFBC" w:rsidR="008A1017" w:rsidRDefault="008A1017">
      <w:pPr>
        <w:pStyle w:val="TOC3"/>
        <w:rPr>
          <w:rFonts w:asciiTheme="minorHAnsi" w:eastAsiaTheme="minorEastAsia" w:hAnsiTheme="minorHAnsi" w:cstheme="minorBidi"/>
        </w:rPr>
      </w:pPr>
      <w:r>
        <w:t>Simultaneous multi-round ascending auction format</w:t>
      </w:r>
      <w:r>
        <w:tab/>
      </w:r>
      <w:r>
        <w:fldChar w:fldCharType="begin"/>
      </w:r>
      <w:r>
        <w:instrText xml:space="preserve"> PAGEREF _Toc27405674 \h </w:instrText>
      </w:r>
      <w:r>
        <w:fldChar w:fldCharType="separate"/>
      </w:r>
      <w:r>
        <w:t>7</w:t>
      </w:r>
      <w:r>
        <w:fldChar w:fldCharType="end"/>
      </w:r>
    </w:p>
    <w:p w14:paraId="5B0420AB" w14:textId="43F4AF52" w:rsidR="008A1017" w:rsidRDefault="008A1017">
      <w:pPr>
        <w:pStyle w:val="TOC3"/>
        <w:rPr>
          <w:rFonts w:asciiTheme="minorHAnsi" w:eastAsiaTheme="minorEastAsia" w:hAnsiTheme="minorHAnsi" w:cstheme="minorBidi"/>
        </w:rPr>
      </w:pPr>
      <w:r>
        <w:t>Enhanced SMRA format</w:t>
      </w:r>
      <w:r>
        <w:tab/>
      </w:r>
      <w:r>
        <w:fldChar w:fldCharType="begin"/>
      </w:r>
      <w:r>
        <w:instrText xml:space="preserve"> PAGEREF _Toc27405675 \h </w:instrText>
      </w:r>
      <w:r>
        <w:fldChar w:fldCharType="separate"/>
      </w:r>
      <w:r>
        <w:t>7</w:t>
      </w:r>
      <w:r>
        <w:fldChar w:fldCharType="end"/>
      </w:r>
    </w:p>
    <w:p w14:paraId="48663097" w14:textId="58B692F4" w:rsidR="008A1017" w:rsidRDefault="008A1017">
      <w:pPr>
        <w:pStyle w:val="TOC3"/>
        <w:rPr>
          <w:rFonts w:asciiTheme="minorHAnsi" w:eastAsiaTheme="minorEastAsia" w:hAnsiTheme="minorHAnsi" w:cstheme="minorBidi"/>
        </w:rPr>
      </w:pPr>
      <w:r>
        <w:t>Package-bidding formats including sealed-bids</w:t>
      </w:r>
      <w:r>
        <w:tab/>
      </w:r>
      <w:r>
        <w:fldChar w:fldCharType="begin"/>
      </w:r>
      <w:r>
        <w:instrText xml:space="preserve"> PAGEREF _Toc27405676 \h </w:instrText>
      </w:r>
      <w:r>
        <w:fldChar w:fldCharType="separate"/>
      </w:r>
      <w:r>
        <w:t>7</w:t>
      </w:r>
      <w:r>
        <w:fldChar w:fldCharType="end"/>
      </w:r>
    </w:p>
    <w:p w14:paraId="1362DCFC" w14:textId="1DF152EA" w:rsidR="008A1017" w:rsidRDefault="008A1017">
      <w:pPr>
        <w:pStyle w:val="TOC2"/>
        <w:rPr>
          <w:rFonts w:asciiTheme="minorHAnsi" w:eastAsiaTheme="minorEastAsia" w:hAnsiTheme="minorHAnsi" w:cstheme="minorBidi"/>
          <w:spacing w:val="0"/>
          <w:sz w:val="22"/>
          <w:szCs w:val="22"/>
        </w:rPr>
      </w:pPr>
      <w:r>
        <w:t>Allocation timeline</w:t>
      </w:r>
      <w:r>
        <w:tab/>
      </w:r>
      <w:r>
        <w:fldChar w:fldCharType="begin"/>
      </w:r>
      <w:r>
        <w:instrText xml:space="preserve"> PAGEREF _Toc27405677 \h </w:instrText>
      </w:r>
      <w:r>
        <w:fldChar w:fldCharType="separate"/>
      </w:r>
      <w:r>
        <w:t>8</w:t>
      </w:r>
      <w:r>
        <w:fldChar w:fldCharType="end"/>
      </w:r>
    </w:p>
    <w:p w14:paraId="52C47800" w14:textId="04BA566C" w:rsidR="008A1017" w:rsidRDefault="008A1017">
      <w:pPr>
        <w:pStyle w:val="TOC2"/>
        <w:rPr>
          <w:rFonts w:asciiTheme="minorHAnsi" w:eastAsiaTheme="minorEastAsia" w:hAnsiTheme="minorHAnsi" w:cstheme="minorBidi"/>
          <w:spacing w:val="0"/>
          <w:sz w:val="22"/>
          <w:szCs w:val="22"/>
        </w:rPr>
      </w:pPr>
      <w:r>
        <w:t>Downshift in the 850 MHz spectrum licences</w:t>
      </w:r>
      <w:r>
        <w:tab/>
      </w:r>
      <w:r>
        <w:fldChar w:fldCharType="begin"/>
      </w:r>
      <w:r>
        <w:instrText xml:space="preserve"> PAGEREF _Toc27405678 \h </w:instrText>
      </w:r>
      <w:r>
        <w:fldChar w:fldCharType="separate"/>
      </w:r>
      <w:r>
        <w:t>8</w:t>
      </w:r>
      <w:r>
        <w:fldChar w:fldCharType="end"/>
      </w:r>
    </w:p>
    <w:p w14:paraId="563C8AA4" w14:textId="0A96FBBB" w:rsidR="008A1017" w:rsidRDefault="008A1017">
      <w:pPr>
        <w:pStyle w:val="TOC2"/>
        <w:rPr>
          <w:rFonts w:asciiTheme="minorHAnsi" w:eastAsiaTheme="minorEastAsia" w:hAnsiTheme="minorHAnsi" w:cstheme="minorBidi"/>
          <w:spacing w:val="0"/>
          <w:sz w:val="22"/>
          <w:szCs w:val="22"/>
        </w:rPr>
      </w:pPr>
      <w:r>
        <w:t>Licence terms</w:t>
      </w:r>
      <w:r>
        <w:tab/>
      </w:r>
      <w:r>
        <w:fldChar w:fldCharType="begin"/>
      </w:r>
      <w:r>
        <w:instrText xml:space="preserve"> PAGEREF _Toc27405679 \h </w:instrText>
      </w:r>
      <w:r>
        <w:fldChar w:fldCharType="separate"/>
      </w:r>
      <w:r>
        <w:t>8</w:t>
      </w:r>
      <w:r>
        <w:fldChar w:fldCharType="end"/>
      </w:r>
    </w:p>
    <w:p w14:paraId="6B9F8BF8" w14:textId="4DB0D7FB" w:rsidR="008A1017" w:rsidRDefault="008A1017">
      <w:pPr>
        <w:pStyle w:val="TOC2"/>
        <w:rPr>
          <w:rFonts w:asciiTheme="minorHAnsi" w:eastAsiaTheme="minorEastAsia" w:hAnsiTheme="minorHAnsi" w:cstheme="minorBidi"/>
          <w:spacing w:val="0"/>
          <w:sz w:val="22"/>
          <w:szCs w:val="22"/>
        </w:rPr>
      </w:pPr>
      <w:r>
        <w:t>Next steps</w:t>
      </w:r>
      <w:r>
        <w:tab/>
      </w:r>
      <w:r>
        <w:fldChar w:fldCharType="begin"/>
      </w:r>
      <w:r>
        <w:instrText xml:space="preserve"> PAGEREF _Toc27405680 \h </w:instrText>
      </w:r>
      <w:r>
        <w:fldChar w:fldCharType="separate"/>
      </w:r>
      <w:r>
        <w:t>8</w:t>
      </w:r>
      <w:r>
        <w:fldChar w:fldCharType="end"/>
      </w:r>
    </w:p>
    <w:p w14:paraId="073F0E24" w14:textId="1AD04275" w:rsidR="004D56FF" w:rsidRPr="000D76E0" w:rsidRDefault="009B24A5">
      <w:pPr>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noProof/>
          <w:spacing w:val="-14"/>
          <w:sz w:val="28"/>
        </w:rPr>
        <w:fldChar w:fldCharType="end"/>
      </w:r>
    </w:p>
    <w:p w14:paraId="190E1DFF" w14:textId="77777777" w:rsidR="006D186E" w:rsidRPr="00337EA4" w:rsidRDefault="006D186E" w:rsidP="006D186E">
      <w:pPr>
        <w:pStyle w:val="Heading1"/>
      </w:pPr>
      <w:bookmarkStart w:id="0" w:name="_Toc487546754"/>
      <w:bookmarkStart w:id="1" w:name="_Toc490213575"/>
      <w:bookmarkStart w:id="2" w:name="_Toc492626738"/>
      <w:bookmarkStart w:id="3" w:name="_Toc496022142"/>
      <w:bookmarkStart w:id="4" w:name="_Toc27405662"/>
      <w:r>
        <w:lastRenderedPageBreak/>
        <w:t>Executive s</w:t>
      </w:r>
      <w:r w:rsidRPr="001B33B0">
        <w:t>ummary</w:t>
      </w:r>
      <w:bookmarkEnd w:id="0"/>
      <w:bookmarkEnd w:id="1"/>
      <w:bookmarkEnd w:id="2"/>
      <w:bookmarkEnd w:id="3"/>
      <w:bookmarkEnd w:id="4"/>
    </w:p>
    <w:p w14:paraId="09C96066" w14:textId="4F59034B" w:rsidR="00E66603" w:rsidRDefault="00127089" w:rsidP="00127089">
      <w:pPr>
        <w:pStyle w:val="Paragraphbeforelist"/>
        <w:spacing w:after="240"/>
      </w:pPr>
      <w:r w:rsidRPr="00D05460">
        <w:t xml:space="preserve">The </w:t>
      </w:r>
      <w:r>
        <w:t xml:space="preserve">Australian Communications and Media Authority (the </w:t>
      </w:r>
      <w:r w:rsidRPr="00D05460">
        <w:t>ACMA</w:t>
      </w:r>
      <w:r>
        <w:t>)</w:t>
      </w:r>
      <w:r w:rsidRPr="00D05460">
        <w:t xml:space="preserve"> has concluded its consideration of reform options to enable the reconfiguration of the 900</w:t>
      </w:r>
      <w:r w:rsidR="004D3028">
        <w:t> MHz</w:t>
      </w:r>
      <w:r w:rsidRPr="0033263E">
        <w:t xml:space="preserve"> band</w:t>
      </w:r>
      <w:r>
        <w:t xml:space="preserve"> (</w:t>
      </w:r>
      <w:r w:rsidRPr="001921A0">
        <w:t>890−915/935−960</w:t>
      </w:r>
      <w:r w:rsidR="004D3028">
        <w:t> MHz</w:t>
      </w:r>
      <w:r>
        <w:t>)</w:t>
      </w:r>
      <w:r w:rsidRPr="0033263E">
        <w:t xml:space="preserve">. </w:t>
      </w:r>
      <w:r>
        <w:t xml:space="preserve">Reconfiguration of the band will enable it to be </w:t>
      </w:r>
      <w:r w:rsidR="004D3028">
        <w:t xml:space="preserve">utilised </w:t>
      </w:r>
      <w:r>
        <w:t>for fourth generation (4</w:t>
      </w:r>
      <w:r w:rsidRPr="000404A0">
        <w:t>G</w:t>
      </w:r>
      <w:r>
        <w:t>)</w:t>
      </w:r>
      <w:r w:rsidRPr="000404A0">
        <w:t xml:space="preserve"> and </w:t>
      </w:r>
      <w:r>
        <w:t>fifth generation (</w:t>
      </w:r>
      <w:r w:rsidRPr="000404A0">
        <w:t>5G</w:t>
      </w:r>
      <w:r>
        <w:t>)</w:t>
      </w:r>
      <w:r w:rsidRPr="000404A0">
        <w:t xml:space="preserve"> </w:t>
      </w:r>
      <w:r>
        <w:t xml:space="preserve">mobile broadband </w:t>
      </w:r>
      <w:r w:rsidRPr="000404A0">
        <w:t xml:space="preserve">services. </w:t>
      </w:r>
    </w:p>
    <w:p w14:paraId="2F6A5FAF" w14:textId="719AFF0D" w:rsidR="00776942" w:rsidRDefault="00E66603" w:rsidP="00776942">
      <w:pPr>
        <w:pStyle w:val="Paragraphbeforelist"/>
        <w:spacing w:after="240"/>
        <w:rPr>
          <w:b/>
          <w:vanish/>
          <w:szCs w:val="20"/>
        </w:rPr>
      </w:pPr>
      <w:r>
        <w:rPr>
          <w:szCs w:val="20"/>
        </w:rPr>
        <w:t>The ACMA has also identified (and is progressively clearing) spectrum in the 850</w:t>
      </w:r>
      <w:r w:rsidR="004D3028">
        <w:rPr>
          <w:szCs w:val="20"/>
        </w:rPr>
        <w:t> MHz</w:t>
      </w:r>
      <w:r>
        <w:rPr>
          <w:szCs w:val="20"/>
        </w:rPr>
        <w:t xml:space="preserve"> band with a view to creating up to 2</w:t>
      </w:r>
      <w:r w:rsidR="00AC2D26">
        <w:rPr>
          <w:szCs w:val="20"/>
        </w:rPr>
        <w:t xml:space="preserve"> </w:t>
      </w:r>
      <w:r w:rsidR="009A54D6" w:rsidRPr="004D3028">
        <w:rPr>
          <w:szCs w:val="20"/>
        </w:rPr>
        <w:t>x</w:t>
      </w:r>
      <w:r w:rsidR="00AC2D26">
        <w:rPr>
          <w:szCs w:val="20"/>
        </w:rPr>
        <w:t xml:space="preserve"> </w:t>
      </w:r>
      <w:r>
        <w:rPr>
          <w:szCs w:val="20"/>
        </w:rPr>
        <w:t>15</w:t>
      </w:r>
      <w:r w:rsidR="004D3028">
        <w:rPr>
          <w:szCs w:val="20"/>
        </w:rPr>
        <w:t> MHz</w:t>
      </w:r>
      <w:r>
        <w:rPr>
          <w:szCs w:val="20"/>
        </w:rPr>
        <w:t xml:space="preserve"> of harmonised mobile broadband spectrum referred to as the 850</w:t>
      </w:r>
      <w:r w:rsidR="004D3028">
        <w:rPr>
          <w:szCs w:val="20"/>
        </w:rPr>
        <w:t> MHz</w:t>
      </w:r>
      <w:r>
        <w:rPr>
          <w:szCs w:val="20"/>
        </w:rPr>
        <w:t xml:space="preserve"> expansion band</w:t>
      </w:r>
      <w:r w:rsidR="004D3028">
        <w:rPr>
          <w:szCs w:val="20"/>
        </w:rPr>
        <w:t xml:space="preserve"> (809</w:t>
      </w:r>
      <w:r w:rsidR="004D3028" w:rsidRPr="001921A0">
        <w:t>−</w:t>
      </w:r>
      <w:r w:rsidR="004D3028">
        <w:rPr>
          <w:szCs w:val="20"/>
        </w:rPr>
        <w:t>824/854</w:t>
      </w:r>
      <w:r w:rsidR="004D3028" w:rsidRPr="001921A0">
        <w:t>−</w:t>
      </w:r>
      <w:r w:rsidR="004D3028">
        <w:rPr>
          <w:szCs w:val="20"/>
        </w:rPr>
        <w:t>869 MHz)</w:t>
      </w:r>
      <w:r>
        <w:rPr>
          <w:szCs w:val="20"/>
        </w:rPr>
        <w:t>. The current 850</w:t>
      </w:r>
      <w:r w:rsidR="004D3028">
        <w:rPr>
          <w:szCs w:val="20"/>
        </w:rPr>
        <w:t> MHz</w:t>
      </w:r>
      <w:r>
        <w:rPr>
          <w:szCs w:val="20"/>
        </w:rPr>
        <w:t xml:space="preserve"> band is licensed to V</w:t>
      </w:r>
      <w:r w:rsidR="00851C7D">
        <w:rPr>
          <w:szCs w:val="20"/>
        </w:rPr>
        <w:t xml:space="preserve">odafone </w:t>
      </w:r>
      <w:r>
        <w:rPr>
          <w:szCs w:val="20"/>
        </w:rPr>
        <w:t>H</w:t>
      </w:r>
      <w:r w:rsidR="00851C7D">
        <w:rPr>
          <w:szCs w:val="20"/>
        </w:rPr>
        <w:t xml:space="preserve">utchison </w:t>
      </w:r>
      <w:r>
        <w:rPr>
          <w:szCs w:val="20"/>
        </w:rPr>
        <w:t>A</w:t>
      </w:r>
      <w:r w:rsidR="00851C7D">
        <w:rPr>
          <w:szCs w:val="20"/>
        </w:rPr>
        <w:t>ustralia</w:t>
      </w:r>
      <w:r>
        <w:rPr>
          <w:szCs w:val="20"/>
        </w:rPr>
        <w:t xml:space="preserve"> (</w:t>
      </w:r>
      <w:r w:rsidR="00851C7D">
        <w:rPr>
          <w:szCs w:val="20"/>
        </w:rPr>
        <w:t xml:space="preserve">VHA, </w:t>
      </w:r>
      <w:r>
        <w:rPr>
          <w:szCs w:val="20"/>
        </w:rPr>
        <w:t xml:space="preserve">lower) and Telstra (upper) </w:t>
      </w:r>
      <w:r w:rsidR="00E03FAE">
        <w:rPr>
          <w:szCs w:val="20"/>
        </w:rPr>
        <w:t xml:space="preserve">who use it </w:t>
      </w:r>
      <w:r>
        <w:rPr>
          <w:szCs w:val="20"/>
        </w:rPr>
        <w:t xml:space="preserve">for 3G and 4G services. </w:t>
      </w:r>
      <w:r w:rsidR="00776942">
        <w:rPr>
          <w:szCs w:val="20"/>
        </w:rPr>
        <w:t>The ACMA intends to consult on a draft reallocation recommendation that would include the full 2</w:t>
      </w:r>
      <w:r w:rsidR="00E918F3">
        <w:rPr>
          <w:szCs w:val="20"/>
        </w:rPr>
        <w:t xml:space="preserve"> </w:t>
      </w:r>
      <w:r w:rsidR="00776942">
        <w:rPr>
          <w:szCs w:val="20"/>
        </w:rPr>
        <w:t>x</w:t>
      </w:r>
      <w:r w:rsidR="00E918F3">
        <w:rPr>
          <w:szCs w:val="20"/>
        </w:rPr>
        <w:t xml:space="preserve"> </w:t>
      </w:r>
      <w:r w:rsidR="00776942">
        <w:rPr>
          <w:szCs w:val="20"/>
        </w:rPr>
        <w:t xml:space="preserve">15 MHz in the 850 MHz expansion band. </w:t>
      </w:r>
      <w:r>
        <w:rPr>
          <w:szCs w:val="20"/>
        </w:rPr>
        <w:t xml:space="preserve">We are aware </w:t>
      </w:r>
      <w:r w:rsidR="00776942">
        <w:rPr>
          <w:szCs w:val="20"/>
        </w:rPr>
        <w:t xml:space="preserve">though </w:t>
      </w:r>
      <w:r>
        <w:rPr>
          <w:szCs w:val="20"/>
        </w:rPr>
        <w:t xml:space="preserve">that through Council of Australian Governments (COAG) public safety mobile </w:t>
      </w:r>
      <w:r w:rsidRPr="00000CC7">
        <w:t>broadband (PSMB) negotiations there is a request to set aside 2</w:t>
      </w:r>
      <w:r w:rsidR="00E918F3">
        <w:t xml:space="preserve"> </w:t>
      </w:r>
      <w:r w:rsidR="009A54D6" w:rsidRPr="00000CC7">
        <w:t>x</w:t>
      </w:r>
      <w:r w:rsidR="00E918F3">
        <w:t xml:space="preserve"> </w:t>
      </w:r>
      <w:r w:rsidRPr="00000CC7">
        <w:t>5</w:t>
      </w:r>
      <w:r w:rsidR="004D3028">
        <w:t> MHz</w:t>
      </w:r>
      <w:r w:rsidRPr="00000CC7">
        <w:t xml:space="preserve"> of spectrum from the 850</w:t>
      </w:r>
      <w:r w:rsidR="004D3028">
        <w:t> MHz</w:t>
      </w:r>
      <w:r w:rsidRPr="00000CC7">
        <w:t xml:space="preserve"> expansion band for a PSMB network.</w:t>
      </w:r>
      <w:r w:rsidR="00C77492">
        <w:t xml:space="preserve"> </w:t>
      </w:r>
    </w:p>
    <w:p w14:paraId="30EF49C9" w14:textId="62377BD9" w:rsidR="00784DC9" w:rsidRDefault="00784DC9" w:rsidP="00000CC7">
      <w:pPr>
        <w:pStyle w:val="Paragraphbeforelist"/>
        <w:spacing w:after="240"/>
      </w:pPr>
      <w:r w:rsidRPr="00000CC7">
        <w:t xml:space="preserve">The ACMA has consulted on reforming </w:t>
      </w:r>
      <w:r w:rsidR="00E03FAE">
        <w:t xml:space="preserve">the 900 MHz band </w:t>
      </w:r>
      <w:r w:rsidRPr="00000CC7">
        <w:t xml:space="preserve"> a number of times. The most recent consultation process, completed in May 2019, once again found little consensus on the optimal approach to reconfiguration. </w:t>
      </w:r>
      <w:r w:rsidR="00504F08" w:rsidRPr="00000CC7">
        <w:t xml:space="preserve">All incumbent operators </w:t>
      </w:r>
      <w:r w:rsidR="00E24CC9">
        <w:t xml:space="preserve">indicated </w:t>
      </w:r>
      <w:r w:rsidR="00E918F3">
        <w:t xml:space="preserve">their </w:t>
      </w:r>
      <w:r w:rsidR="00504F08" w:rsidRPr="00000CC7">
        <w:t xml:space="preserve">support </w:t>
      </w:r>
      <w:r w:rsidR="00E918F3">
        <w:t xml:space="preserve">of </w:t>
      </w:r>
      <w:r w:rsidR="00504F08" w:rsidRPr="00000CC7">
        <w:t xml:space="preserve">a move to spectrum licensing and an eventual reconfiguration of the band </w:t>
      </w:r>
      <w:r w:rsidR="00504F08" w:rsidRPr="009A7CBD">
        <w:t>into 2</w:t>
      </w:r>
      <w:r w:rsidR="00E918F3">
        <w:t xml:space="preserve"> </w:t>
      </w:r>
      <w:r w:rsidR="009A54D6">
        <w:t>x</w:t>
      </w:r>
      <w:r w:rsidR="00E918F3">
        <w:t xml:space="preserve"> </w:t>
      </w:r>
      <w:r w:rsidR="00504F08" w:rsidRPr="009A7CBD">
        <w:t>5</w:t>
      </w:r>
      <w:r w:rsidR="004D3028">
        <w:t> MHz</w:t>
      </w:r>
      <w:r w:rsidR="00504F08" w:rsidRPr="009A7CBD">
        <w:t xml:space="preserve">-based </w:t>
      </w:r>
      <w:r w:rsidR="00000CC7" w:rsidRPr="009A7CBD">
        <w:t>lots</w:t>
      </w:r>
      <w:r w:rsidR="00000CC7">
        <w:t xml:space="preserve"> but</w:t>
      </w:r>
      <w:r w:rsidR="00504F08">
        <w:t xml:space="preserve"> differed on the preferred method of achieving that outcome.  </w:t>
      </w:r>
    </w:p>
    <w:p w14:paraId="46C0093F" w14:textId="638C23DD" w:rsidR="00504F08" w:rsidRDefault="00504F08" w:rsidP="007D1ADB">
      <w:pPr>
        <w:pStyle w:val="Paragraphbeforelist"/>
        <w:spacing w:after="240"/>
      </w:pPr>
      <w:r>
        <w:t xml:space="preserve">A key issue raised in the consultation concerned the risk to continuity of service provision to consumers that could arise should an operator not be successful in gaining access to spectrum, depending on the </w:t>
      </w:r>
      <w:r w:rsidRPr="0051103C">
        <w:t xml:space="preserve">approach the ACMA takes to reconfiguration </w:t>
      </w:r>
      <w:r>
        <w:t xml:space="preserve">and reallocation </w:t>
      </w:r>
      <w:r w:rsidRPr="0051103C">
        <w:t>of the 900</w:t>
      </w:r>
      <w:r w:rsidR="004D3028">
        <w:t> MHz</w:t>
      </w:r>
      <w:r w:rsidRPr="0051103C">
        <w:t xml:space="preserve"> band.</w:t>
      </w:r>
      <w:r w:rsidR="00565833">
        <w:t xml:space="preserve"> </w:t>
      </w:r>
      <w:r w:rsidR="00CB372F" w:rsidRPr="000730E2">
        <w:t xml:space="preserve">Following </w:t>
      </w:r>
      <w:r w:rsidR="00CB372F">
        <w:t xml:space="preserve">the </w:t>
      </w:r>
      <w:r w:rsidR="00CB372F" w:rsidRPr="000730E2">
        <w:t>consultation</w:t>
      </w:r>
      <w:r w:rsidR="00CB372F">
        <w:t xml:space="preserve"> process</w:t>
      </w:r>
      <w:r w:rsidR="00CB372F" w:rsidRPr="000730E2">
        <w:t xml:space="preserve">, the ACMA continued to engage with stakeholders </w:t>
      </w:r>
      <w:r>
        <w:t>to seek additional information about the scope of this risk.</w:t>
      </w:r>
    </w:p>
    <w:p w14:paraId="1E337E47" w14:textId="0B9069BC" w:rsidR="004060B6" w:rsidRDefault="0070560F" w:rsidP="007D1ADB">
      <w:pPr>
        <w:pStyle w:val="Paragraphbeforelist"/>
        <w:spacing w:after="240"/>
      </w:pPr>
      <w:r>
        <w:t>The ACMA remains of the view that the best way to achieve reconfiguration of the 900</w:t>
      </w:r>
      <w:r w:rsidR="004D3028">
        <w:t> MHz</w:t>
      </w:r>
      <w:r>
        <w:t xml:space="preserve"> band is to undertake a band clearance and price-based allocation </w:t>
      </w:r>
      <w:r w:rsidR="00504F08">
        <w:t xml:space="preserve">in conjunction with an allocation </w:t>
      </w:r>
      <w:r w:rsidR="00000CC7">
        <w:t>of spectrum</w:t>
      </w:r>
      <w:r>
        <w:t xml:space="preserve"> in the 850</w:t>
      </w:r>
      <w:r w:rsidR="004D3028">
        <w:t> MHz</w:t>
      </w:r>
      <w:r>
        <w:t xml:space="preserve"> expansion band.</w:t>
      </w:r>
      <w:r w:rsidR="000D4C46">
        <w:t xml:space="preserve"> </w:t>
      </w:r>
    </w:p>
    <w:p w14:paraId="7E799E52" w14:textId="12472AE1" w:rsidR="001E302F" w:rsidRDefault="00D321EB" w:rsidP="001B044D">
      <w:pPr>
        <w:pStyle w:val="Paragraphbeforelist"/>
        <w:spacing w:after="240"/>
      </w:pPr>
      <w:r w:rsidRPr="00D321EB">
        <w:t xml:space="preserve">We acknowledge </w:t>
      </w:r>
      <w:r>
        <w:t xml:space="preserve">the </w:t>
      </w:r>
      <w:r w:rsidRPr="00D321EB">
        <w:t>concerns of incumbent licensees about service continuity.</w:t>
      </w:r>
      <w:r w:rsidR="004060B6" w:rsidRPr="004060B6">
        <w:t xml:space="preserve"> </w:t>
      </w:r>
      <w:r w:rsidR="00E66603">
        <w:t xml:space="preserve">In the circumstance where </w:t>
      </w:r>
      <w:r w:rsidR="00000CC7">
        <w:t xml:space="preserve">the </w:t>
      </w:r>
      <w:r w:rsidR="00651375">
        <w:t>g</w:t>
      </w:r>
      <w:r w:rsidR="00000CC7">
        <w:t>overnment</w:t>
      </w:r>
      <w:r w:rsidR="004060B6">
        <w:t xml:space="preserve"> wishes to mitigate risks to consumer services by providing certainty to incumbent licensees in the band, </w:t>
      </w:r>
      <w:r w:rsidR="005954A0">
        <w:t xml:space="preserve">it is open to the </w:t>
      </w:r>
      <w:r w:rsidR="00992235" w:rsidRPr="00992235">
        <w:t>Minister for Communications, Cyber Safety and the Arts</w:t>
      </w:r>
      <w:r w:rsidR="005954A0">
        <w:t xml:space="preserve"> to achieve </w:t>
      </w:r>
      <w:r w:rsidR="004060B6">
        <w:t>this objective through the use of allocation limits.</w:t>
      </w:r>
      <w:r w:rsidR="004925E4">
        <w:t xml:space="preserve"> </w:t>
      </w:r>
      <w:r w:rsidR="00240EB3" w:rsidRPr="002B67DD">
        <w:t xml:space="preserve">In </w:t>
      </w:r>
      <w:r w:rsidR="00E66603">
        <w:t>other</w:t>
      </w:r>
      <w:r w:rsidR="00240EB3" w:rsidRPr="002B67DD">
        <w:t xml:space="preserve"> context</w:t>
      </w:r>
      <w:r w:rsidR="00E66603">
        <w:t>s</w:t>
      </w:r>
      <w:r w:rsidR="00240EB3" w:rsidRPr="002B67DD">
        <w:t>, when seeking to directly allocate spectrum under s</w:t>
      </w:r>
      <w:r w:rsidR="00651375">
        <w:t xml:space="preserve">ection </w:t>
      </w:r>
      <w:r w:rsidR="00240EB3" w:rsidRPr="002B67DD">
        <w:t xml:space="preserve">60 of the </w:t>
      </w:r>
      <w:r w:rsidR="00240EB3" w:rsidRPr="00810C87">
        <w:rPr>
          <w:i/>
          <w:iCs/>
        </w:rPr>
        <w:t>Radiocommunications Act</w:t>
      </w:r>
      <w:r w:rsidR="004D3028">
        <w:rPr>
          <w:i/>
          <w:iCs/>
        </w:rPr>
        <w:t xml:space="preserve"> 1992 </w:t>
      </w:r>
      <w:r w:rsidR="004D3028">
        <w:t>(the Act)</w:t>
      </w:r>
      <w:r w:rsidR="00240EB3" w:rsidRPr="003A64B6">
        <w:t xml:space="preserve">, the Minister’s power to set spectrum </w:t>
      </w:r>
      <w:r w:rsidR="00240EB3">
        <w:t>allocation</w:t>
      </w:r>
      <w:r w:rsidR="00240EB3" w:rsidRPr="003A64B6">
        <w:t xml:space="preserve"> limits</w:t>
      </w:r>
      <w:r w:rsidR="00240EB3">
        <w:t xml:space="preserve"> has been considered</w:t>
      </w:r>
      <w:r w:rsidR="00240EB3" w:rsidRPr="003A64B6">
        <w:t>.</w:t>
      </w:r>
      <w:r w:rsidR="00240EB3" w:rsidRPr="00000CC7">
        <w:rPr>
          <w:vertAlign w:val="superscript"/>
        </w:rPr>
        <w:footnoteReference w:id="2"/>
      </w:r>
      <w:r w:rsidR="00240EB3" w:rsidRPr="002B67DD">
        <w:t xml:space="preserve"> Such an approach </w:t>
      </w:r>
      <w:r w:rsidR="00240EB3">
        <w:t xml:space="preserve">could be designed to achieve outcomes </w:t>
      </w:r>
      <w:r w:rsidR="00240EB3" w:rsidRPr="002B67DD">
        <w:t>referred to in other countries as ‘spectrum set-asides’.</w:t>
      </w:r>
    </w:p>
    <w:p w14:paraId="72C7C1F8" w14:textId="53658FBC" w:rsidR="00DB5739" w:rsidDel="0052076C" w:rsidRDefault="00784DC9" w:rsidP="00DB5739">
      <w:pPr>
        <w:pStyle w:val="Paragraphbeforelist"/>
        <w:spacing w:after="240"/>
      </w:pPr>
      <w:r>
        <w:t xml:space="preserve">This approach necessarily </w:t>
      </w:r>
      <w:r w:rsidR="00DB5739" w:rsidDel="0052076C">
        <w:t>require</w:t>
      </w:r>
      <w:r>
        <w:t>s</w:t>
      </w:r>
      <w:r w:rsidR="00DB5739" w:rsidDel="0052076C">
        <w:t xml:space="preserve"> a number of administrative actions and legislative instruments to be made by </w:t>
      </w:r>
      <w:r w:rsidR="004D3028">
        <w:t xml:space="preserve">the </w:t>
      </w:r>
      <w:r w:rsidR="00DB5739" w:rsidDel="0052076C">
        <w:t xml:space="preserve">ACMA and </w:t>
      </w:r>
      <w:r w:rsidR="00DB5739">
        <w:t xml:space="preserve">the Minister </w:t>
      </w:r>
      <w:r w:rsidR="00DB5739" w:rsidDel="0052076C">
        <w:t xml:space="preserve">in accordance with the </w:t>
      </w:r>
      <w:r w:rsidR="00DB5739" w:rsidRPr="00AA2867" w:rsidDel="0052076C">
        <w:t>Act</w:t>
      </w:r>
      <w:r w:rsidR="00DB5739" w:rsidDel="0052076C">
        <w:t xml:space="preserve">. It </w:t>
      </w:r>
      <w:r w:rsidR="00DB5739">
        <w:t>would</w:t>
      </w:r>
      <w:r w:rsidR="00DB5739" w:rsidDel="0052076C">
        <w:t xml:space="preserve"> also require appropriate consultation with relevant stakeholders. </w:t>
      </w:r>
      <w:r w:rsidR="00DB5739">
        <w:t>As such, the ACMA</w:t>
      </w:r>
      <w:r w:rsidR="00DB5739" w:rsidDel="0052076C">
        <w:t xml:space="preserve"> </w:t>
      </w:r>
      <w:r w:rsidR="00DB5739">
        <w:t xml:space="preserve">cannot </w:t>
      </w:r>
      <w:r w:rsidR="00DB5739" w:rsidDel="0052076C">
        <w:t>commit to the</w:t>
      </w:r>
      <w:r w:rsidR="00DB5739">
        <w:t xml:space="preserve"> Minister</w:t>
      </w:r>
      <w:r w:rsidR="00DB5739" w:rsidDel="0052076C">
        <w:t xml:space="preserve"> taking any particular action in any particular </w:t>
      </w:r>
      <w:r w:rsidR="00DB5739" w:rsidDel="0052076C">
        <w:lastRenderedPageBreak/>
        <w:t>manner</w:t>
      </w:r>
      <w:r w:rsidR="00DB5739">
        <w:t xml:space="preserve">, as both </w:t>
      </w:r>
      <w:r w:rsidR="004D3028">
        <w:t xml:space="preserve">the </w:t>
      </w:r>
      <w:r w:rsidR="00DB5739">
        <w:t>ACMA and the Minister</w:t>
      </w:r>
      <w:r w:rsidR="00DB5739" w:rsidDel="0052076C">
        <w:t xml:space="preserve"> will need to consider </w:t>
      </w:r>
      <w:r w:rsidR="004D3028">
        <w:t>each action</w:t>
      </w:r>
      <w:r w:rsidR="00DB5739" w:rsidDel="0052076C">
        <w:t xml:space="preserve"> on the basis of the facts, information and circumstances at the relevant time</w:t>
      </w:r>
      <w:r w:rsidR="00DB5739">
        <w:t>.</w:t>
      </w:r>
    </w:p>
    <w:p w14:paraId="6AF92DF4" w14:textId="54BED19C" w:rsidR="00C13F36" w:rsidRPr="00AA2867" w:rsidRDefault="00465223" w:rsidP="00C13F36">
      <w:pPr>
        <w:pStyle w:val="Paragraphbeforelist"/>
        <w:spacing w:after="240"/>
        <w:rPr>
          <w:b/>
        </w:rPr>
      </w:pPr>
      <w:r w:rsidRPr="00F81897">
        <w:t xml:space="preserve">While the details of the proposed approach to allocation limits </w:t>
      </w:r>
      <w:r w:rsidRPr="00F76928">
        <w:t>are a matter for the Minister, the ACMA will</w:t>
      </w:r>
      <w:r w:rsidRPr="007C0EA2">
        <w:t xml:space="preserve"> engage closely with the Department of Communications and the Arts </w:t>
      </w:r>
      <w:r>
        <w:t xml:space="preserve">(the Department) </w:t>
      </w:r>
      <w:r w:rsidRPr="007C0EA2">
        <w:t>on this matter.</w:t>
      </w:r>
      <w:r>
        <w:t xml:space="preserve"> </w:t>
      </w:r>
      <w:r w:rsidR="00784DC9">
        <w:t>In the event the Minister decides to use the allocation limits power</w:t>
      </w:r>
      <w:r w:rsidR="00000CC7">
        <w:t xml:space="preserve"> </w:t>
      </w:r>
      <w:r>
        <w:t>to address service continuity considerations</w:t>
      </w:r>
      <w:r w:rsidR="00784DC9">
        <w:t xml:space="preserve">, the </w:t>
      </w:r>
      <w:r w:rsidR="00C13F36" w:rsidRPr="003B7E67">
        <w:t xml:space="preserve">ACMA </w:t>
      </w:r>
      <w:r w:rsidR="00E03FAE">
        <w:t>will continue to work with stakeholders to discuss details about the implementation of the allocation.</w:t>
      </w:r>
    </w:p>
    <w:p w14:paraId="066B5EE6" w14:textId="16074EF2" w:rsidR="00916DEC" w:rsidRPr="00C35CCE" w:rsidRDefault="00916DEC" w:rsidP="00916DEC">
      <w:pPr>
        <w:pStyle w:val="Heading1"/>
      </w:pPr>
      <w:bookmarkStart w:id="5" w:name="_Toc27405663"/>
      <w:r>
        <w:lastRenderedPageBreak/>
        <w:t>Reconfiguring the 900</w:t>
      </w:r>
      <w:r w:rsidR="004D3028">
        <w:t> MHz</w:t>
      </w:r>
      <w:r>
        <w:t xml:space="preserve"> band</w:t>
      </w:r>
      <w:bookmarkEnd w:id="5"/>
      <w:r w:rsidRPr="00C35CCE">
        <w:t xml:space="preserve"> </w:t>
      </w:r>
    </w:p>
    <w:p w14:paraId="30BC1CEB" w14:textId="66C284AD" w:rsidR="00FC1078" w:rsidRPr="009E02B7" w:rsidRDefault="00FC1078" w:rsidP="00FC1078">
      <w:pPr>
        <w:pStyle w:val="Heading2"/>
      </w:pPr>
      <w:bookmarkStart w:id="6" w:name="_Toc27405664"/>
      <w:r>
        <w:t>Background</w:t>
      </w:r>
      <w:bookmarkEnd w:id="6"/>
    </w:p>
    <w:p w14:paraId="11FE8639" w14:textId="6CDEC344" w:rsidR="002F1BA9" w:rsidRDefault="00FC1078" w:rsidP="002F1BA9">
      <w:pPr>
        <w:pStyle w:val="Paragraphbeforelist"/>
        <w:spacing w:after="240"/>
        <w:rPr>
          <w:bCs/>
        </w:rPr>
      </w:pPr>
      <w:r w:rsidRPr="00D05460">
        <w:t>The ACMA has concluded its consideration of reform options to enable the reconfiguration of the 900</w:t>
      </w:r>
      <w:r w:rsidR="004D3028">
        <w:t> MHz</w:t>
      </w:r>
      <w:r w:rsidRPr="0033263E">
        <w:t xml:space="preserve"> band</w:t>
      </w:r>
      <w:r>
        <w:t xml:space="preserve"> (</w:t>
      </w:r>
      <w:r w:rsidRPr="001921A0">
        <w:t>890−915/935−960</w:t>
      </w:r>
      <w:r w:rsidR="004D3028">
        <w:t> MHz</w:t>
      </w:r>
      <w:r>
        <w:t>)</w:t>
      </w:r>
      <w:r w:rsidRPr="0033263E">
        <w:t xml:space="preserve">. </w:t>
      </w:r>
      <w:r w:rsidR="002F1BA9">
        <w:rPr>
          <w:bCs/>
        </w:rPr>
        <w:t>The 900</w:t>
      </w:r>
      <w:r w:rsidR="004D3028">
        <w:rPr>
          <w:bCs/>
        </w:rPr>
        <w:t> MHz</w:t>
      </w:r>
      <w:r w:rsidR="002F1BA9">
        <w:rPr>
          <w:bCs/>
        </w:rPr>
        <w:t xml:space="preserve"> band </w:t>
      </w:r>
      <w:r w:rsidR="00954F3A">
        <w:rPr>
          <w:bCs/>
        </w:rPr>
        <w:br/>
      </w:r>
      <w:r w:rsidR="002F1BA9">
        <w:rPr>
          <w:bCs/>
        </w:rPr>
        <w:t xml:space="preserve">is currently allocated to Telstra, Optus and VHA under apparatus licensing in a </w:t>
      </w:r>
      <w:r w:rsidR="00954F3A">
        <w:rPr>
          <w:bCs/>
        </w:rPr>
        <w:br/>
      </w:r>
      <w:r w:rsidR="002F1BA9">
        <w:rPr>
          <w:bCs/>
        </w:rPr>
        <w:t>2</w:t>
      </w:r>
      <w:r w:rsidR="00954F3A">
        <w:rPr>
          <w:bCs/>
        </w:rPr>
        <w:t xml:space="preserve"> </w:t>
      </w:r>
      <w:r w:rsidR="009C7250">
        <w:rPr>
          <w:bCs/>
        </w:rPr>
        <w:t>x</w:t>
      </w:r>
      <w:r w:rsidR="00954F3A">
        <w:rPr>
          <w:bCs/>
        </w:rPr>
        <w:t xml:space="preserve"> </w:t>
      </w:r>
      <w:r w:rsidR="002F1BA9" w:rsidRPr="00F45680">
        <w:rPr>
          <w:bCs/>
        </w:rPr>
        <w:t>8.4</w:t>
      </w:r>
      <w:r w:rsidR="004D3028">
        <w:rPr>
          <w:bCs/>
        </w:rPr>
        <w:t> MHz</w:t>
      </w:r>
      <w:r w:rsidR="002F1BA9" w:rsidRPr="00F45680">
        <w:rPr>
          <w:bCs/>
        </w:rPr>
        <w:t xml:space="preserve"> (</w:t>
      </w:r>
      <w:r w:rsidR="002F1BA9">
        <w:rPr>
          <w:bCs/>
        </w:rPr>
        <w:t xml:space="preserve">Telstra and </w:t>
      </w:r>
      <w:r w:rsidR="002F1BA9" w:rsidRPr="00F45680">
        <w:rPr>
          <w:bCs/>
        </w:rPr>
        <w:t>Optus) or 2</w:t>
      </w:r>
      <w:r w:rsidR="00954F3A">
        <w:rPr>
          <w:bCs/>
        </w:rPr>
        <w:t xml:space="preserve"> </w:t>
      </w:r>
      <w:r w:rsidR="002F1BA9">
        <w:rPr>
          <w:bCs/>
        </w:rPr>
        <w:t>x</w:t>
      </w:r>
      <w:r w:rsidR="00954F3A">
        <w:rPr>
          <w:bCs/>
        </w:rPr>
        <w:t xml:space="preserve"> </w:t>
      </w:r>
      <w:r w:rsidR="002F1BA9" w:rsidRPr="00F45680">
        <w:rPr>
          <w:bCs/>
        </w:rPr>
        <w:t>8.2</w:t>
      </w:r>
      <w:r w:rsidR="004D3028">
        <w:rPr>
          <w:bCs/>
        </w:rPr>
        <w:t> MHz</w:t>
      </w:r>
      <w:r w:rsidR="002F1BA9" w:rsidRPr="00F45680">
        <w:rPr>
          <w:bCs/>
        </w:rPr>
        <w:t xml:space="preserve"> (</w:t>
      </w:r>
      <w:r w:rsidR="002F1BA9">
        <w:rPr>
          <w:bCs/>
        </w:rPr>
        <w:t>VHA</w:t>
      </w:r>
      <w:r w:rsidR="002F1BA9" w:rsidRPr="00F45680">
        <w:rPr>
          <w:bCs/>
        </w:rPr>
        <w:t>)</w:t>
      </w:r>
      <w:r w:rsidR="002F1BA9">
        <w:rPr>
          <w:bCs/>
        </w:rPr>
        <w:t xml:space="preserve"> configuration. </w:t>
      </w:r>
    </w:p>
    <w:p w14:paraId="6AE5B17E" w14:textId="406C7B30" w:rsidR="0003373A" w:rsidRDefault="00FC1078" w:rsidP="00FC1078">
      <w:pPr>
        <w:pStyle w:val="Paragraphbeforelist"/>
        <w:spacing w:after="240"/>
      </w:pPr>
      <w:r>
        <w:t xml:space="preserve">Reconfiguration of the </w:t>
      </w:r>
      <w:r w:rsidR="00AE7706">
        <w:t>900</w:t>
      </w:r>
      <w:r w:rsidR="004D3028">
        <w:t> MHz</w:t>
      </w:r>
      <w:r w:rsidR="00AE7706">
        <w:t xml:space="preserve"> </w:t>
      </w:r>
      <w:r>
        <w:t xml:space="preserve">band will enable it to be </w:t>
      </w:r>
      <w:r w:rsidR="004D3028">
        <w:t>utilised</w:t>
      </w:r>
      <w:r>
        <w:t xml:space="preserve"> for 4</w:t>
      </w:r>
      <w:r w:rsidRPr="000404A0">
        <w:t xml:space="preserve">G and 5G </w:t>
      </w:r>
      <w:r>
        <w:t xml:space="preserve">mobile broadband </w:t>
      </w:r>
      <w:r w:rsidRPr="000404A0">
        <w:t xml:space="preserve">services. </w:t>
      </w:r>
      <w:r w:rsidR="0003373A" w:rsidRPr="0003373A">
        <w:t>The current configuration is not conducive to optimally efficient carriage of 4G or 5G services, which means that large parts of the band are either not being used efficiently, or in some cases, at all. Reconfiguration of the band into 5</w:t>
      </w:r>
      <w:r w:rsidR="004D3028">
        <w:t> MHz</w:t>
      </w:r>
      <w:r w:rsidR="0003373A" w:rsidRPr="0003373A">
        <w:t xml:space="preserve"> </w:t>
      </w:r>
      <w:r w:rsidR="004D3028">
        <w:t xml:space="preserve">paired </w:t>
      </w:r>
      <w:r w:rsidR="0003373A" w:rsidRPr="0003373A">
        <w:t>lots represents the most efficient configuration for the band.</w:t>
      </w:r>
    </w:p>
    <w:p w14:paraId="26B63AC8" w14:textId="5A595A58" w:rsidR="003403F1" w:rsidRDefault="00FC1078" w:rsidP="00FC1078">
      <w:pPr>
        <w:pStyle w:val="Paragraphbeforelist"/>
        <w:spacing w:after="240"/>
      </w:pPr>
      <w:r w:rsidRPr="000404A0">
        <w:t xml:space="preserve">In addition, we </w:t>
      </w:r>
      <w:r w:rsidR="00AE7706">
        <w:t xml:space="preserve">intend </w:t>
      </w:r>
      <w:r w:rsidR="00C77492">
        <w:t xml:space="preserve">to </w:t>
      </w:r>
      <w:r w:rsidR="00C77492" w:rsidRPr="000404A0">
        <w:t>release</w:t>
      </w:r>
      <w:r w:rsidRPr="000404A0">
        <w:t xml:space="preserve"> additional low</w:t>
      </w:r>
      <w:r w:rsidR="004D3028">
        <w:t>-</w:t>
      </w:r>
      <w:r w:rsidRPr="000404A0">
        <w:t>band spectrum in the 8</w:t>
      </w:r>
      <w:r w:rsidR="004D3028">
        <w:t>0</w:t>
      </w:r>
      <w:r w:rsidRPr="000404A0">
        <w:t>0</w:t>
      </w:r>
      <w:r w:rsidR="004D3028">
        <w:t> MHz</w:t>
      </w:r>
      <w:r w:rsidRPr="000404A0">
        <w:t xml:space="preserve"> band to facilitate an outcome </w:t>
      </w:r>
      <w:r>
        <w:t>for</w:t>
      </w:r>
      <w:r w:rsidRPr="000404A0">
        <w:t xml:space="preserve"> larger contiguous </w:t>
      </w:r>
      <w:r>
        <w:t xml:space="preserve">spectrum </w:t>
      </w:r>
      <w:r w:rsidRPr="000404A0">
        <w:t>holdings.</w:t>
      </w:r>
      <w:r w:rsidR="002F1BA9">
        <w:t xml:space="preserve"> Following a review in 2015, t</w:t>
      </w:r>
      <w:r w:rsidRPr="00B608C0">
        <w:t xml:space="preserve">he ACMA has identified (and is </w:t>
      </w:r>
      <w:r w:rsidRPr="00DB11F3">
        <w:t>progressively clearing) spectrum in the 8</w:t>
      </w:r>
      <w:r w:rsidR="004D3028">
        <w:t>0</w:t>
      </w:r>
      <w:r w:rsidRPr="00DB11F3">
        <w:t>0</w:t>
      </w:r>
      <w:r w:rsidR="004D3028">
        <w:t> MHz</w:t>
      </w:r>
      <w:r w:rsidRPr="00DB11F3">
        <w:t xml:space="preserve"> band with a view to creating up to 2</w:t>
      </w:r>
      <w:r w:rsidR="00954F3A">
        <w:t xml:space="preserve"> </w:t>
      </w:r>
      <w:r w:rsidR="009C7250">
        <w:t>x</w:t>
      </w:r>
      <w:r w:rsidR="00954F3A">
        <w:t xml:space="preserve"> </w:t>
      </w:r>
      <w:r w:rsidRPr="00A84010">
        <w:t>15</w:t>
      </w:r>
      <w:r w:rsidR="004D3028">
        <w:t> MHz</w:t>
      </w:r>
      <w:r w:rsidRPr="00A84010">
        <w:t xml:space="preserve"> of harmonised mobile broadband spectrum referred to as the 850</w:t>
      </w:r>
      <w:r w:rsidR="004D3028">
        <w:t> MHz</w:t>
      </w:r>
      <w:r w:rsidRPr="00A84010">
        <w:t xml:space="preserve"> expansion band</w:t>
      </w:r>
      <w:r w:rsidR="004D3028">
        <w:t xml:space="preserve"> </w:t>
      </w:r>
      <w:r w:rsidR="004D3028">
        <w:rPr>
          <w:szCs w:val="20"/>
        </w:rPr>
        <w:t>(809</w:t>
      </w:r>
      <w:r w:rsidR="004D3028" w:rsidRPr="001921A0">
        <w:t>−</w:t>
      </w:r>
      <w:r w:rsidR="004D3028">
        <w:rPr>
          <w:szCs w:val="20"/>
        </w:rPr>
        <w:t>824/854</w:t>
      </w:r>
      <w:r w:rsidR="004D3028" w:rsidRPr="001921A0">
        <w:t>−</w:t>
      </w:r>
      <w:r w:rsidR="004D3028">
        <w:rPr>
          <w:szCs w:val="20"/>
        </w:rPr>
        <w:t>869 MHz).</w:t>
      </w:r>
      <w:r w:rsidRPr="00A84010">
        <w:t xml:space="preserve"> The current 8</w:t>
      </w:r>
      <w:r w:rsidR="004D3028">
        <w:t>0</w:t>
      </w:r>
      <w:r w:rsidRPr="00A84010">
        <w:t>0</w:t>
      </w:r>
      <w:r w:rsidR="004D3028">
        <w:t> MHz</w:t>
      </w:r>
      <w:r w:rsidRPr="00A84010">
        <w:t xml:space="preserve"> band (825</w:t>
      </w:r>
      <w:r w:rsidR="00954F3A">
        <w:t>–</w:t>
      </w:r>
      <w:r w:rsidRPr="00A84010">
        <w:t>845/870</w:t>
      </w:r>
      <w:r w:rsidR="00954F3A">
        <w:t>–</w:t>
      </w:r>
      <w:r w:rsidRPr="00A84010">
        <w:t>890</w:t>
      </w:r>
      <w:r w:rsidR="004D3028">
        <w:t> MHz</w:t>
      </w:r>
      <w:r w:rsidRPr="00A84010">
        <w:t>) is licen</w:t>
      </w:r>
      <w:r>
        <w:t>s</w:t>
      </w:r>
      <w:r w:rsidRPr="00A84010">
        <w:t>ed to VHA (lower) and T</w:t>
      </w:r>
      <w:r w:rsidRPr="00842D43">
        <w:t xml:space="preserve">elstra (upper) for 3G and 4G services. </w:t>
      </w:r>
    </w:p>
    <w:p w14:paraId="1E1FB6B5" w14:textId="626D9962" w:rsidR="00FC1078" w:rsidRDefault="00776942" w:rsidP="00FC1078">
      <w:pPr>
        <w:pStyle w:val="Paragraphbeforelist"/>
        <w:spacing w:after="240"/>
      </w:pPr>
      <w:r>
        <w:rPr>
          <w:szCs w:val="20"/>
        </w:rPr>
        <w:t>The ACMA intends to consult on a draft reallocation recommendation that would include the full 2</w:t>
      </w:r>
      <w:r w:rsidR="00954F3A">
        <w:rPr>
          <w:szCs w:val="20"/>
        </w:rPr>
        <w:t xml:space="preserve"> </w:t>
      </w:r>
      <w:r>
        <w:rPr>
          <w:szCs w:val="20"/>
        </w:rPr>
        <w:t>x</w:t>
      </w:r>
      <w:r w:rsidR="00954F3A">
        <w:rPr>
          <w:szCs w:val="20"/>
        </w:rPr>
        <w:t xml:space="preserve"> </w:t>
      </w:r>
      <w:r>
        <w:rPr>
          <w:szCs w:val="20"/>
        </w:rPr>
        <w:t xml:space="preserve">15 MHz in the 850 MHz expansion band. </w:t>
      </w:r>
      <w:r w:rsidR="00FC1078" w:rsidRPr="00842D43">
        <w:t>We are aware</w:t>
      </w:r>
      <w:r w:rsidR="00954F3A">
        <w:t>,</w:t>
      </w:r>
      <w:r w:rsidR="00FC1078" w:rsidRPr="00842D43">
        <w:t xml:space="preserve"> </w:t>
      </w:r>
      <w:r>
        <w:t>though</w:t>
      </w:r>
      <w:r w:rsidR="00954F3A">
        <w:t>,</w:t>
      </w:r>
      <w:r>
        <w:t xml:space="preserve"> </w:t>
      </w:r>
      <w:r w:rsidR="00FC1078" w:rsidRPr="00842D43">
        <w:t>that through COAG PSMB negotiations, there is a request to set aside 2</w:t>
      </w:r>
      <w:r w:rsidR="00954F3A">
        <w:t xml:space="preserve"> </w:t>
      </w:r>
      <w:r w:rsidR="009C7250">
        <w:t>x</w:t>
      </w:r>
      <w:r w:rsidR="00954F3A">
        <w:t xml:space="preserve"> </w:t>
      </w:r>
      <w:r w:rsidR="00FC1078" w:rsidRPr="00842D43">
        <w:t>5</w:t>
      </w:r>
      <w:r w:rsidR="004D3028">
        <w:t> MHz</w:t>
      </w:r>
      <w:r w:rsidR="00FC1078" w:rsidRPr="00842D43">
        <w:t xml:space="preserve"> of spectrum from the 850</w:t>
      </w:r>
      <w:r w:rsidR="004D3028">
        <w:t> MHz</w:t>
      </w:r>
      <w:r w:rsidR="00FC1078" w:rsidRPr="00842D43">
        <w:t xml:space="preserve"> expansion band for a PSMB network.</w:t>
      </w:r>
      <w:r w:rsidR="00070532">
        <w:t xml:space="preserve"> </w:t>
      </w:r>
    </w:p>
    <w:p w14:paraId="0CDDF6FA" w14:textId="77777777" w:rsidR="00D72B30" w:rsidRPr="009E02B7" w:rsidRDefault="00D72B30" w:rsidP="00D72B30">
      <w:pPr>
        <w:pStyle w:val="Heading2"/>
      </w:pPr>
      <w:bookmarkStart w:id="7" w:name="_Toc27405665"/>
      <w:r>
        <w:t>Objectives</w:t>
      </w:r>
      <w:bookmarkEnd w:id="7"/>
    </w:p>
    <w:p w14:paraId="3A589752" w14:textId="77777777" w:rsidR="00D72B30" w:rsidRPr="000730E2" w:rsidRDefault="00D72B30" w:rsidP="00A163A9">
      <w:pPr>
        <w:pStyle w:val="Paragraphbeforelist"/>
      </w:pPr>
      <w:r w:rsidRPr="000730E2">
        <w:t>In the recent consultation process, the ACMA identified a set of reform objectives to inform any allocation option</w:t>
      </w:r>
      <w:r w:rsidRPr="00771076">
        <w:t xml:space="preserve">. </w:t>
      </w:r>
      <w:r w:rsidRPr="009E02B7">
        <w:t xml:space="preserve">To be </w:t>
      </w:r>
      <w:r w:rsidRPr="00E03FAE">
        <w:t>considered</w:t>
      </w:r>
      <w:r w:rsidRPr="009E02B7">
        <w:t xml:space="preserve"> an effective reform process, the reconfiguration of the band should:</w:t>
      </w:r>
    </w:p>
    <w:p w14:paraId="73B1F359" w14:textId="77777777" w:rsidR="00D72B30" w:rsidRPr="00DB11F3" w:rsidRDefault="00D72B30" w:rsidP="00A163A9">
      <w:pPr>
        <w:pStyle w:val="Bulletlevel1"/>
      </w:pPr>
      <w:r w:rsidRPr="00DB11F3">
        <w:t xml:space="preserve">result in the band being spectrum licensed </w:t>
      </w:r>
    </w:p>
    <w:p w14:paraId="0CD19BAA" w14:textId="14FC0F32" w:rsidR="00D72B30" w:rsidRPr="00842D43" w:rsidRDefault="00D72B30" w:rsidP="00A163A9">
      <w:pPr>
        <w:pStyle w:val="Bulletlevel1"/>
      </w:pPr>
      <w:r w:rsidRPr="000930E1">
        <w:t>facilitate the 1</w:t>
      </w:r>
      <w:r w:rsidR="004D3028">
        <w:t> MHz</w:t>
      </w:r>
      <w:r w:rsidRPr="00A84010">
        <w:t xml:space="preserve"> downshift in the 800</w:t>
      </w:r>
      <w:r w:rsidR="004D3028">
        <w:t> MHz</w:t>
      </w:r>
      <w:r w:rsidRPr="00A84010">
        <w:t xml:space="preserve"> spectrum licences by allocating the </w:t>
      </w:r>
      <w:r w:rsidR="00954F3A">
        <w:br/>
      </w:r>
      <w:r w:rsidRPr="00A84010">
        <w:t>2</w:t>
      </w:r>
      <w:r w:rsidR="00954F3A">
        <w:t xml:space="preserve"> </w:t>
      </w:r>
      <w:r>
        <w:t>x</w:t>
      </w:r>
      <w:r w:rsidR="00954F3A">
        <w:t xml:space="preserve"> </w:t>
      </w:r>
      <w:r w:rsidRPr="00842D43">
        <w:t>1</w:t>
      </w:r>
      <w:r w:rsidR="004D3028">
        <w:t> MHz</w:t>
      </w:r>
      <w:r w:rsidRPr="00842D43">
        <w:t xml:space="preserve"> that is below the 850</w:t>
      </w:r>
      <w:r w:rsidR="004D3028">
        <w:t> MHz</w:t>
      </w:r>
      <w:r w:rsidRPr="00842D43">
        <w:t xml:space="preserve"> spectrum licences (thereby removing a key regulatory impediment to achieving the downshift)</w:t>
      </w:r>
    </w:p>
    <w:p w14:paraId="604D85D3" w14:textId="3D16176D" w:rsidR="00D72B30" w:rsidRPr="00842D43" w:rsidRDefault="00D72B30" w:rsidP="00A163A9">
      <w:pPr>
        <w:pStyle w:val="Bulletlevel1"/>
      </w:pPr>
      <w:r w:rsidRPr="00842D43">
        <w:t>result in the band being configured in 5</w:t>
      </w:r>
      <w:r w:rsidR="004D3028">
        <w:t> MHz</w:t>
      </w:r>
      <w:r w:rsidRPr="00842D43">
        <w:t xml:space="preserve"> channels</w:t>
      </w:r>
    </w:p>
    <w:p w14:paraId="1913CAEB" w14:textId="77777777" w:rsidR="00D72B30" w:rsidRPr="004E6E2F" w:rsidRDefault="00D72B30" w:rsidP="00A163A9">
      <w:pPr>
        <w:pStyle w:val="Bulletlevel1"/>
      </w:pPr>
      <w:r w:rsidRPr="008D1640">
        <w:t>result i</w:t>
      </w:r>
      <w:r w:rsidRPr="000539B3">
        <w:t>n licensees being charged a market price, or a price informed by relevant market outcomes</w:t>
      </w:r>
    </w:p>
    <w:p w14:paraId="275C55FD" w14:textId="00A38899" w:rsidR="00D72B30" w:rsidRDefault="00D72B30" w:rsidP="00A163A9">
      <w:pPr>
        <w:pStyle w:val="Bulletlevel1"/>
      </w:pPr>
      <w:r w:rsidRPr="00F94039">
        <w:t xml:space="preserve">enable licensees to mitigate risks to </w:t>
      </w:r>
      <w:r>
        <w:t xml:space="preserve">the continuity of </w:t>
      </w:r>
      <w:r w:rsidRPr="00F94039">
        <w:t>consumer services</w:t>
      </w:r>
    </w:p>
    <w:p w14:paraId="1C5BA2BB" w14:textId="64B5930C" w:rsidR="00D72B30" w:rsidRPr="00DB11F3" w:rsidRDefault="00D72B30">
      <w:pPr>
        <w:pStyle w:val="Bulletlevel1last"/>
        <w:rPr>
          <w:bCs/>
          <w:szCs w:val="20"/>
        </w:rPr>
      </w:pPr>
      <w:r>
        <w:t xml:space="preserve">support a </w:t>
      </w:r>
      <w:r w:rsidRPr="00C81666">
        <w:t xml:space="preserve">move </w:t>
      </w:r>
      <w:r w:rsidRPr="00954F3A">
        <w:t>to</w:t>
      </w:r>
      <w:r w:rsidRPr="00C81666">
        <w:t xml:space="preserve"> larger contiguous bandwidths</w:t>
      </w:r>
      <w:r>
        <w:t>.</w:t>
      </w:r>
    </w:p>
    <w:p w14:paraId="027E8EEB" w14:textId="77777777" w:rsidR="00D72B30" w:rsidRDefault="00D72B30" w:rsidP="00D72B30">
      <w:pPr>
        <w:pStyle w:val="Heading2"/>
        <w:rPr>
          <w:lang w:val="en-GB"/>
        </w:rPr>
      </w:pPr>
      <w:bookmarkStart w:id="8" w:name="_Toc27405666"/>
      <w:r>
        <w:rPr>
          <w:lang w:val="en-GB"/>
        </w:rPr>
        <w:t>Options</w:t>
      </w:r>
      <w:bookmarkEnd w:id="8"/>
    </w:p>
    <w:p w14:paraId="4C3D7C93" w14:textId="54D807D4" w:rsidR="00D72B30" w:rsidRPr="00712D6D" w:rsidRDefault="004D3028" w:rsidP="00D72B30">
      <w:pPr>
        <w:pStyle w:val="Paragraphbeforelist"/>
        <w:spacing w:after="240"/>
      </w:pPr>
      <w:r>
        <w:t>Some i</w:t>
      </w:r>
      <w:r w:rsidR="00D72B30" w:rsidRPr="00712D6D">
        <w:t>ncumbents argue that services to consumers have the potential to be significantly disrupted depending on the approach the ACMA takes to reconfiguration of the 900</w:t>
      </w:r>
      <w:r>
        <w:t> MHz</w:t>
      </w:r>
      <w:r w:rsidR="00D72B30" w:rsidRPr="00712D6D">
        <w:t xml:space="preserve"> band. This is particularly the case, they argue, if they are not able to win their preferred spectrum through the ACMA’s </w:t>
      </w:r>
      <w:r>
        <w:t xml:space="preserve">allocation </w:t>
      </w:r>
      <w:r w:rsidR="00D72B30" w:rsidRPr="00712D6D">
        <w:t>processes. In that regard, we consulted on two options:</w:t>
      </w:r>
    </w:p>
    <w:p w14:paraId="6DE0FDE0" w14:textId="77777777" w:rsidR="00D72B30" w:rsidRPr="00A84010" w:rsidRDefault="00D72B30" w:rsidP="00A163A9">
      <w:pPr>
        <w:pStyle w:val="Bulletlevel1"/>
        <w:rPr>
          <w:lang w:val="en-GB"/>
        </w:rPr>
      </w:pPr>
      <w:r w:rsidRPr="00A84010">
        <w:rPr>
          <w:lang w:val="en-GB"/>
        </w:rPr>
        <w:lastRenderedPageBreak/>
        <w:t xml:space="preserve">The </w:t>
      </w:r>
      <w:r w:rsidRPr="00A84010">
        <w:rPr>
          <w:b/>
          <w:lang w:val="en-GB"/>
        </w:rPr>
        <w:t>encumbered auction option (option 1)</w:t>
      </w:r>
      <w:r w:rsidRPr="00A84010">
        <w:rPr>
          <w:lang w:val="en-GB"/>
        </w:rPr>
        <w:t xml:space="preserve"> features an extended ‘reallocation period’ to provide rights to incumbent licensees to use the band in its current configuration until 2024. This would give</w:t>
      </w:r>
      <w:r w:rsidRPr="00A84010" w:rsidDel="00B15493">
        <w:rPr>
          <w:lang w:val="en-GB"/>
        </w:rPr>
        <w:t xml:space="preserve"> </w:t>
      </w:r>
      <w:r w:rsidRPr="00A84010">
        <w:rPr>
          <w:lang w:val="en-GB"/>
        </w:rPr>
        <w:t>licensees additional time to take mitigation measures if they did not win spectrum (or did not win their preferred spectrum) in an allocation.</w:t>
      </w:r>
    </w:p>
    <w:p w14:paraId="6B786F7C" w14:textId="40961EE6" w:rsidR="00D72B30" w:rsidRPr="00A84010" w:rsidRDefault="00D72B30" w:rsidP="00D72B30">
      <w:pPr>
        <w:pStyle w:val="Bulletlevel1last"/>
        <w:rPr>
          <w:lang w:val="en-GB"/>
        </w:rPr>
      </w:pPr>
      <w:r w:rsidRPr="00A84010">
        <w:rPr>
          <w:lang w:val="en-GB"/>
        </w:rPr>
        <w:t xml:space="preserve">The </w:t>
      </w:r>
      <w:r w:rsidRPr="00A84010">
        <w:rPr>
          <w:b/>
          <w:lang w:val="en-GB"/>
        </w:rPr>
        <w:t>hybrid option (option 2)</w:t>
      </w:r>
      <w:r w:rsidRPr="00A84010">
        <w:rPr>
          <w:lang w:val="en-GB"/>
        </w:rPr>
        <w:t xml:space="preserve"> guarantees each incumbent one 2</w:t>
      </w:r>
      <w:r w:rsidR="008C1CB7">
        <w:rPr>
          <w:lang w:val="en-GB"/>
        </w:rPr>
        <w:t xml:space="preserve"> </w:t>
      </w:r>
      <w:r>
        <w:rPr>
          <w:lang w:val="en-GB"/>
        </w:rPr>
        <w:t>x</w:t>
      </w:r>
      <w:r w:rsidR="008C1CB7">
        <w:rPr>
          <w:lang w:val="en-GB"/>
        </w:rPr>
        <w:t xml:space="preserve"> </w:t>
      </w:r>
      <w:r w:rsidRPr="00A84010">
        <w:rPr>
          <w:lang w:val="en-GB"/>
        </w:rPr>
        <w:t>5</w:t>
      </w:r>
      <w:r w:rsidR="004D3028">
        <w:rPr>
          <w:lang w:val="en-GB"/>
        </w:rPr>
        <w:t> MHz</w:t>
      </w:r>
      <w:r w:rsidRPr="00A84010">
        <w:rPr>
          <w:lang w:val="en-GB"/>
        </w:rPr>
        <w:t xml:space="preserve"> lot in a set spectral position in the 900</w:t>
      </w:r>
      <w:r w:rsidR="004D3028">
        <w:rPr>
          <w:lang w:val="en-GB"/>
        </w:rPr>
        <w:t> MHz</w:t>
      </w:r>
      <w:r w:rsidRPr="00A84010">
        <w:rPr>
          <w:lang w:val="en-GB"/>
        </w:rPr>
        <w:t xml:space="preserve"> band by conversion to spectrum licensing. This option requires running conversion and allocation processes </w:t>
      </w:r>
      <w:r w:rsidR="004D3028">
        <w:rPr>
          <w:lang w:val="en-GB"/>
        </w:rPr>
        <w:t>simultaneously</w:t>
      </w:r>
      <w:r w:rsidRPr="00A84010">
        <w:rPr>
          <w:lang w:val="en-GB"/>
        </w:rPr>
        <w:t xml:space="preserve">. </w:t>
      </w:r>
    </w:p>
    <w:p w14:paraId="6BC6F744" w14:textId="77777777" w:rsidR="00160731" w:rsidRPr="00160731" w:rsidRDefault="00356A8C" w:rsidP="008F2793">
      <w:pPr>
        <w:pStyle w:val="Heading2"/>
        <w:rPr>
          <w:vanish/>
        </w:rPr>
      </w:pPr>
      <w:bookmarkStart w:id="9" w:name="_Toc27405667"/>
      <w:r w:rsidRPr="00356A8C">
        <w:t>Consultation outcomes</w:t>
      </w:r>
      <w:bookmarkEnd w:id="9"/>
    </w:p>
    <w:p w14:paraId="4B08E0F7" w14:textId="5C6EEE22" w:rsidR="00271873" w:rsidRDefault="002F3751" w:rsidP="00551E96">
      <w:pPr>
        <w:pStyle w:val="Heading3"/>
      </w:pPr>
      <w:bookmarkStart w:id="10" w:name="_Toc27405668"/>
      <w:r>
        <w:t>900</w:t>
      </w:r>
      <w:r w:rsidR="004D3028">
        <w:t> MHz</w:t>
      </w:r>
      <w:r>
        <w:t xml:space="preserve"> </w:t>
      </w:r>
      <w:r w:rsidRPr="00551E96">
        <w:t>reconfiguration</w:t>
      </w:r>
      <w:bookmarkEnd w:id="10"/>
    </w:p>
    <w:p w14:paraId="2EAB47E9" w14:textId="1ADA52A2" w:rsidR="00DE400B" w:rsidRDefault="00400954" w:rsidP="0015456D">
      <w:pPr>
        <w:pStyle w:val="ACMAInstructions"/>
        <w:spacing w:after="240"/>
        <w:rPr>
          <w:b w:val="0"/>
          <w:vanish w:val="0"/>
          <w:sz w:val="20"/>
          <w:szCs w:val="20"/>
        </w:rPr>
      </w:pPr>
      <w:r>
        <w:rPr>
          <w:b w:val="0"/>
          <w:vanish w:val="0"/>
          <w:sz w:val="20"/>
          <w:szCs w:val="20"/>
        </w:rPr>
        <w:t xml:space="preserve">The ACMA has consulted on </w:t>
      </w:r>
      <w:r w:rsidR="168AECB3">
        <w:rPr>
          <w:b w:val="0"/>
          <w:vanish w:val="0"/>
          <w:sz w:val="20"/>
          <w:szCs w:val="20"/>
        </w:rPr>
        <w:t xml:space="preserve">options to reform the </w:t>
      </w:r>
      <w:r>
        <w:rPr>
          <w:b w:val="0"/>
          <w:vanish w:val="0"/>
          <w:sz w:val="20"/>
          <w:szCs w:val="20"/>
        </w:rPr>
        <w:t xml:space="preserve">band </w:t>
      </w:r>
      <w:r w:rsidR="29EF11E6">
        <w:rPr>
          <w:b w:val="0"/>
          <w:vanish w:val="0"/>
          <w:sz w:val="20"/>
          <w:szCs w:val="20"/>
        </w:rPr>
        <w:t>m</w:t>
      </w:r>
      <w:r w:rsidR="5A4DCA71">
        <w:rPr>
          <w:b w:val="0"/>
          <w:vanish w:val="0"/>
          <w:sz w:val="20"/>
          <w:szCs w:val="20"/>
        </w:rPr>
        <w:t xml:space="preserve">ultiple times </w:t>
      </w:r>
      <w:r w:rsidR="4F5FF5C0">
        <w:rPr>
          <w:b w:val="0"/>
          <w:vanish w:val="0"/>
          <w:sz w:val="20"/>
          <w:szCs w:val="20"/>
        </w:rPr>
        <w:t xml:space="preserve">over </w:t>
      </w:r>
      <w:r w:rsidR="19C86965">
        <w:rPr>
          <w:b w:val="0"/>
          <w:vanish w:val="0"/>
          <w:sz w:val="20"/>
          <w:szCs w:val="20"/>
        </w:rPr>
        <w:t xml:space="preserve">a long </w:t>
      </w:r>
      <w:r w:rsidR="61802F37">
        <w:rPr>
          <w:b w:val="0"/>
          <w:vanish w:val="0"/>
          <w:sz w:val="20"/>
          <w:szCs w:val="20"/>
        </w:rPr>
        <w:t>pe</w:t>
      </w:r>
      <w:r w:rsidR="0EBDD5A7">
        <w:rPr>
          <w:b w:val="0"/>
          <w:vanish w:val="0"/>
          <w:sz w:val="20"/>
          <w:szCs w:val="20"/>
        </w:rPr>
        <w:t>riod.</w:t>
      </w:r>
      <w:r w:rsidR="00744473">
        <w:rPr>
          <w:b w:val="0"/>
          <w:vanish w:val="0"/>
          <w:sz w:val="20"/>
          <w:szCs w:val="20"/>
        </w:rPr>
        <w:t xml:space="preserve"> The most recent consultation process, completed in May 2019, once again</w:t>
      </w:r>
      <w:r w:rsidR="007F29F7">
        <w:rPr>
          <w:b w:val="0"/>
          <w:vanish w:val="0"/>
          <w:sz w:val="20"/>
          <w:szCs w:val="20"/>
        </w:rPr>
        <w:t xml:space="preserve"> found little consensus </w:t>
      </w:r>
      <w:r w:rsidR="44C5962A">
        <w:rPr>
          <w:b w:val="0"/>
          <w:vanish w:val="0"/>
          <w:sz w:val="20"/>
          <w:szCs w:val="20"/>
        </w:rPr>
        <w:t>amongst submitte</w:t>
      </w:r>
      <w:r w:rsidR="2D6D3D2E">
        <w:rPr>
          <w:b w:val="0"/>
          <w:vanish w:val="0"/>
          <w:sz w:val="20"/>
          <w:szCs w:val="20"/>
        </w:rPr>
        <w:t xml:space="preserve">rs </w:t>
      </w:r>
      <w:r w:rsidR="007F29F7">
        <w:rPr>
          <w:b w:val="0"/>
          <w:vanish w:val="0"/>
          <w:sz w:val="20"/>
          <w:szCs w:val="20"/>
        </w:rPr>
        <w:t xml:space="preserve">on the </w:t>
      </w:r>
      <w:r w:rsidR="00B25AB6">
        <w:rPr>
          <w:b w:val="0"/>
          <w:vanish w:val="0"/>
          <w:sz w:val="20"/>
          <w:szCs w:val="20"/>
        </w:rPr>
        <w:t>optimal approach to reconfiguration.</w:t>
      </w:r>
    </w:p>
    <w:p w14:paraId="7BF289DC" w14:textId="598069DA" w:rsidR="00BF4D9B" w:rsidRDefault="00B11435" w:rsidP="00BF4D9B">
      <w:pPr>
        <w:pStyle w:val="ACMAInstructions"/>
        <w:spacing w:after="240"/>
        <w:rPr>
          <w:b w:val="0"/>
          <w:vanish w:val="0"/>
          <w:sz w:val="20"/>
          <w:szCs w:val="20"/>
        </w:rPr>
      </w:pPr>
      <w:r w:rsidRPr="00B11435">
        <w:rPr>
          <w:b w:val="0"/>
          <w:vanish w:val="0"/>
          <w:sz w:val="20"/>
          <w:szCs w:val="20"/>
        </w:rPr>
        <w:t>Optus argued that</w:t>
      </w:r>
      <w:r w:rsidR="000448A2">
        <w:rPr>
          <w:b w:val="0"/>
          <w:vanish w:val="0"/>
          <w:sz w:val="20"/>
          <w:szCs w:val="20"/>
        </w:rPr>
        <w:t xml:space="preserve"> the licensees that had </w:t>
      </w:r>
      <w:r w:rsidR="00D73011">
        <w:rPr>
          <w:b w:val="0"/>
          <w:vanish w:val="0"/>
          <w:sz w:val="20"/>
          <w:szCs w:val="20"/>
        </w:rPr>
        <w:t xml:space="preserve">extensive deployed infrastructure in the band </w:t>
      </w:r>
      <w:r w:rsidR="00D553E4">
        <w:rPr>
          <w:b w:val="0"/>
          <w:vanish w:val="0"/>
          <w:sz w:val="20"/>
          <w:szCs w:val="20"/>
        </w:rPr>
        <w:t xml:space="preserve">should </w:t>
      </w:r>
      <w:r w:rsidR="000448A2" w:rsidRPr="000448A2">
        <w:rPr>
          <w:b w:val="0"/>
          <w:vanish w:val="0"/>
          <w:sz w:val="20"/>
          <w:szCs w:val="20"/>
        </w:rPr>
        <w:t>be administratively allocate</w:t>
      </w:r>
      <w:r w:rsidR="004A4C32">
        <w:rPr>
          <w:b w:val="0"/>
          <w:vanish w:val="0"/>
          <w:sz w:val="20"/>
          <w:szCs w:val="20"/>
        </w:rPr>
        <w:t xml:space="preserve">d </w:t>
      </w:r>
      <w:r w:rsidR="000448A2" w:rsidRPr="000448A2">
        <w:rPr>
          <w:b w:val="0"/>
          <w:vanish w:val="0"/>
          <w:sz w:val="20"/>
          <w:szCs w:val="20"/>
        </w:rPr>
        <w:t>specified blocks of 900</w:t>
      </w:r>
      <w:r w:rsidR="004D3028">
        <w:rPr>
          <w:b w:val="0"/>
          <w:vanish w:val="0"/>
          <w:sz w:val="20"/>
          <w:szCs w:val="20"/>
        </w:rPr>
        <w:t> MHz</w:t>
      </w:r>
      <w:r w:rsidR="004A4C32">
        <w:rPr>
          <w:b w:val="0"/>
          <w:vanish w:val="0"/>
          <w:sz w:val="20"/>
          <w:szCs w:val="20"/>
        </w:rPr>
        <w:t xml:space="preserve">, and </w:t>
      </w:r>
      <w:r w:rsidR="00EC6103">
        <w:rPr>
          <w:b w:val="0"/>
          <w:vanish w:val="0"/>
          <w:sz w:val="20"/>
          <w:szCs w:val="20"/>
        </w:rPr>
        <w:t xml:space="preserve">the </w:t>
      </w:r>
      <w:r w:rsidR="000448A2" w:rsidRPr="000448A2">
        <w:rPr>
          <w:b w:val="0"/>
          <w:vanish w:val="0"/>
          <w:sz w:val="20"/>
          <w:szCs w:val="20"/>
        </w:rPr>
        <w:t>remaining blocks across the 900</w:t>
      </w:r>
      <w:r w:rsidR="004D3028">
        <w:rPr>
          <w:b w:val="0"/>
          <w:vanish w:val="0"/>
          <w:sz w:val="20"/>
          <w:szCs w:val="20"/>
        </w:rPr>
        <w:t> MHz</w:t>
      </w:r>
      <w:r w:rsidR="000448A2" w:rsidRPr="000448A2">
        <w:rPr>
          <w:b w:val="0"/>
          <w:vanish w:val="0"/>
          <w:sz w:val="20"/>
          <w:szCs w:val="20"/>
        </w:rPr>
        <w:t xml:space="preserve"> and 850</w:t>
      </w:r>
      <w:r w:rsidR="004D3028">
        <w:rPr>
          <w:b w:val="0"/>
          <w:vanish w:val="0"/>
          <w:sz w:val="20"/>
          <w:szCs w:val="20"/>
        </w:rPr>
        <w:t> MHz</w:t>
      </w:r>
      <w:r w:rsidR="000448A2" w:rsidRPr="000448A2">
        <w:rPr>
          <w:b w:val="0"/>
          <w:vanish w:val="0"/>
          <w:sz w:val="20"/>
          <w:szCs w:val="20"/>
        </w:rPr>
        <w:t xml:space="preserve"> expansion bands</w:t>
      </w:r>
      <w:r w:rsidR="00EC6103">
        <w:rPr>
          <w:b w:val="0"/>
          <w:vanish w:val="0"/>
          <w:sz w:val="20"/>
          <w:szCs w:val="20"/>
        </w:rPr>
        <w:t xml:space="preserve"> </w:t>
      </w:r>
      <w:r w:rsidR="004D3028">
        <w:rPr>
          <w:b w:val="0"/>
          <w:vanish w:val="0"/>
          <w:sz w:val="20"/>
          <w:szCs w:val="20"/>
        </w:rPr>
        <w:t>sh</w:t>
      </w:r>
      <w:r w:rsidR="00EC6103">
        <w:rPr>
          <w:b w:val="0"/>
          <w:vanish w:val="0"/>
          <w:sz w:val="20"/>
          <w:szCs w:val="20"/>
        </w:rPr>
        <w:t>ould be auctioned</w:t>
      </w:r>
      <w:r w:rsidR="000448A2" w:rsidRPr="000448A2">
        <w:rPr>
          <w:b w:val="0"/>
          <w:vanish w:val="0"/>
          <w:sz w:val="20"/>
          <w:szCs w:val="20"/>
        </w:rPr>
        <w:t>.</w:t>
      </w:r>
      <w:r w:rsidR="00BF4D9B">
        <w:rPr>
          <w:b w:val="0"/>
          <w:vanish w:val="0"/>
          <w:sz w:val="20"/>
          <w:szCs w:val="20"/>
        </w:rPr>
        <w:t xml:space="preserve"> </w:t>
      </w:r>
      <w:r w:rsidR="00485C4D" w:rsidRPr="00B11435">
        <w:rPr>
          <w:b w:val="0"/>
          <w:vanish w:val="0"/>
          <w:sz w:val="20"/>
          <w:szCs w:val="20"/>
        </w:rPr>
        <w:t xml:space="preserve">Optus also </w:t>
      </w:r>
      <w:r w:rsidR="004D3028">
        <w:rPr>
          <w:b w:val="0"/>
          <w:vanish w:val="0"/>
          <w:sz w:val="20"/>
          <w:szCs w:val="20"/>
        </w:rPr>
        <w:t>proposed</w:t>
      </w:r>
      <w:r w:rsidR="00485C4D" w:rsidRPr="00B11435">
        <w:rPr>
          <w:b w:val="0"/>
          <w:vanish w:val="0"/>
          <w:sz w:val="20"/>
          <w:szCs w:val="20"/>
        </w:rPr>
        <w:t xml:space="preserve"> that if the ACMA considers that it needs to administratively allocate spectrum to all three </w:t>
      </w:r>
      <w:r w:rsidR="008C1CB7">
        <w:rPr>
          <w:b w:val="0"/>
          <w:vanish w:val="0"/>
          <w:sz w:val="20"/>
          <w:szCs w:val="20"/>
        </w:rPr>
        <w:t>m</w:t>
      </w:r>
      <w:r w:rsidR="00485C4D" w:rsidRPr="00B11435">
        <w:rPr>
          <w:b w:val="0"/>
          <w:vanish w:val="0"/>
          <w:sz w:val="20"/>
          <w:szCs w:val="20"/>
        </w:rPr>
        <w:t xml:space="preserve">obile </w:t>
      </w:r>
      <w:r w:rsidR="008C1CB7">
        <w:rPr>
          <w:b w:val="0"/>
          <w:vanish w:val="0"/>
          <w:sz w:val="20"/>
          <w:szCs w:val="20"/>
        </w:rPr>
        <w:t>n</w:t>
      </w:r>
      <w:r w:rsidR="00485C4D" w:rsidRPr="00B11435">
        <w:rPr>
          <w:b w:val="0"/>
          <w:vanish w:val="0"/>
          <w:sz w:val="20"/>
          <w:szCs w:val="20"/>
        </w:rPr>
        <w:t xml:space="preserve">etwork </w:t>
      </w:r>
      <w:r w:rsidR="008C1CB7">
        <w:rPr>
          <w:b w:val="0"/>
          <w:vanish w:val="0"/>
          <w:sz w:val="20"/>
          <w:szCs w:val="20"/>
        </w:rPr>
        <w:t>o</w:t>
      </w:r>
      <w:r w:rsidR="00485C4D" w:rsidRPr="00B11435">
        <w:rPr>
          <w:b w:val="0"/>
          <w:vanish w:val="0"/>
          <w:sz w:val="20"/>
          <w:szCs w:val="20"/>
        </w:rPr>
        <w:t xml:space="preserve">perators (MNOs), </w:t>
      </w:r>
      <w:r w:rsidR="00F770CC">
        <w:rPr>
          <w:b w:val="0"/>
          <w:vanish w:val="0"/>
          <w:sz w:val="20"/>
          <w:szCs w:val="20"/>
        </w:rPr>
        <w:t xml:space="preserve">a </w:t>
      </w:r>
      <w:r w:rsidR="008C1CB7">
        <w:rPr>
          <w:b w:val="0"/>
          <w:vanish w:val="0"/>
          <w:sz w:val="20"/>
          <w:szCs w:val="20"/>
        </w:rPr>
        <w:t>‘</w:t>
      </w:r>
      <w:r w:rsidR="00BF4D9B" w:rsidRPr="00BF4D9B">
        <w:rPr>
          <w:b w:val="0"/>
          <w:vanish w:val="0"/>
          <w:sz w:val="20"/>
          <w:szCs w:val="20"/>
        </w:rPr>
        <w:t>further option would be to allocate specified blocks of 900</w:t>
      </w:r>
      <w:r w:rsidR="004D3028">
        <w:rPr>
          <w:b w:val="0"/>
          <w:vanish w:val="0"/>
          <w:sz w:val="20"/>
          <w:szCs w:val="20"/>
        </w:rPr>
        <w:t> MHz</w:t>
      </w:r>
      <w:r w:rsidR="00BF4D9B" w:rsidRPr="00BF4D9B">
        <w:rPr>
          <w:b w:val="0"/>
          <w:vanish w:val="0"/>
          <w:sz w:val="20"/>
          <w:szCs w:val="20"/>
        </w:rPr>
        <w:t xml:space="preserve"> to</w:t>
      </w:r>
      <w:r w:rsidR="00F770CC">
        <w:rPr>
          <w:b w:val="0"/>
          <w:vanish w:val="0"/>
          <w:sz w:val="20"/>
          <w:szCs w:val="20"/>
        </w:rPr>
        <w:t xml:space="preserve"> </w:t>
      </w:r>
      <w:r w:rsidR="00BF4D9B" w:rsidRPr="00BF4D9B">
        <w:rPr>
          <w:b w:val="0"/>
          <w:vanish w:val="0"/>
          <w:sz w:val="20"/>
          <w:szCs w:val="20"/>
        </w:rPr>
        <w:t>the current two 900</w:t>
      </w:r>
      <w:r w:rsidR="004D3028">
        <w:rPr>
          <w:b w:val="0"/>
          <w:vanish w:val="0"/>
          <w:sz w:val="20"/>
          <w:szCs w:val="20"/>
        </w:rPr>
        <w:t> MHz</w:t>
      </w:r>
      <w:r w:rsidR="00BF4D9B" w:rsidRPr="00BF4D9B">
        <w:rPr>
          <w:b w:val="0"/>
          <w:vanish w:val="0"/>
          <w:sz w:val="20"/>
          <w:szCs w:val="20"/>
        </w:rPr>
        <w:t xml:space="preserve"> networks, and one block of 850</w:t>
      </w:r>
      <w:r w:rsidR="004D3028">
        <w:rPr>
          <w:b w:val="0"/>
          <w:vanish w:val="0"/>
          <w:sz w:val="20"/>
          <w:szCs w:val="20"/>
        </w:rPr>
        <w:t> MHz</w:t>
      </w:r>
      <w:r w:rsidR="00BF4D9B" w:rsidRPr="00BF4D9B">
        <w:rPr>
          <w:b w:val="0"/>
          <w:vanish w:val="0"/>
          <w:sz w:val="20"/>
          <w:szCs w:val="20"/>
        </w:rPr>
        <w:t xml:space="preserve"> expansion spectrum to</w:t>
      </w:r>
      <w:r w:rsidR="00F770CC">
        <w:rPr>
          <w:b w:val="0"/>
          <w:vanish w:val="0"/>
          <w:sz w:val="20"/>
          <w:szCs w:val="20"/>
        </w:rPr>
        <w:t xml:space="preserve"> </w:t>
      </w:r>
      <w:r w:rsidR="00BF4D9B" w:rsidRPr="00BF4D9B">
        <w:rPr>
          <w:b w:val="0"/>
          <w:vanish w:val="0"/>
          <w:sz w:val="20"/>
          <w:szCs w:val="20"/>
        </w:rPr>
        <w:t>the third licensee</w:t>
      </w:r>
      <w:r w:rsidR="008C1CB7">
        <w:rPr>
          <w:b w:val="0"/>
          <w:vanish w:val="0"/>
          <w:sz w:val="20"/>
          <w:szCs w:val="20"/>
        </w:rPr>
        <w:t>—</w:t>
      </w:r>
      <w:r w:rsidR="00BF4D9B" w:rsidRPr="00BF4D9B">
        <w:rPr>
          <w:b w:val="0"/>
          <w:vanish w:val="0"/>
          <w:sz w:val="20"/>
          <w:szCs w:val="20"/>
        </w:rPr>
        <w:t>reflecting the bands in which their respective 3G networks are</w:t>
      </w:r>
      <w:r w:rsidR="00F770CC">
        <w:rPr>
          <w:b w:val="0"/>
          <w:vanish w:val="0"/>
          <w:sz w:val="20"/>
          <w:szCs w:val="20"/>
        </w:rPr>
        <w:t xml:space="preserve"> </w:t>
      </w:r>
      <w:r w:rsidR="00BF4D9B" w:rsidRPr="00BF4D9B">
        <w:rPr>
          <w:b w:val="0"/>
          <w:vanish w:val="0"/>
          <w:sz w:val="20"/>
          <w:szCs w:val="20"/>
        </w:rPr>
        <w:t>deployed</w:t>
      </w:r>
      <w:r w:rsidR="008C1CB7">
        <w:rPr>
          <w:b w:val="0"/>
          <w:vanish w:val="0"/>
          <w:sz w:val="20"/>
          <w:szCs w:val="20"/>
        </w:rPr>
        <w:t>’</w:t>
      </w:r>
      <w:r w:rsidR="00BF4D9B" w:rsidRPr="00BF4D9B">
        <w:rPr>
          <w:b w:val="0"/>
          <w:vanish w:val="0"/>
          <w:sz w:val="20"/>
          <w:szCs w:val="20"/>
        </w:rPr>
        <w:t>.</w:t>
      </w:r>
    </w:p>
    <w:p w14:paraId="229FC36C" w14:textId="2E69AA69" w:rsidR="004045B2" w:rsidRDefault="00B11435" w:rsidP="00F4493E">
      <w:pPr>
        <w:pStyle w:val="ACMAInstructions"/>
        <w:spacing w:after="240"/>
        <w:rPr>
          <w:b w:val="0"/>
          <w:vanish w:val="0"/>
          <w:sz w:val="20"/>
          <w:szCs w:val="20"/>
        </w:rPr>
      </w:pPr>
      <w:r w:rsidRPr="00B11435">
        <w:rPr>
          <w:b w:val="0"/>
          <w:vanish w:val="0"/>
          <w:sz w:val="20"/>
          <w:szCs w:val="20"/>
        </w:rPr>
        <w:t xml:space="preserve">VHA </w:t>
      </w:r>
      <w:r w:rsidR="00EF5E2A">
        <w:rPr>
          <w:b w:val="0"/>
          <w:vanish w:val="0"/>
          <w:sz w:val="20"/>
          <w:szCs w:val="20"/>
        </w:rPr>
        <w:t>considers</w:t>
      </w:r>
      <w:r w:rsidRPr="00B11435">
        <w:rPr>
          <w:b w:val="0"/>
          <w:vanish w:val="0"/>
          <w:sz w:val="20"/>
          <w:szCs w:val="20"/>
        </w:rPr>
        <w:t xml:space="preserve"> that the three issues in the paper (900</w:t>
      </w:r>
      <w:r w:rsidR="004D3028">
        <w:rPr>
          <w:b w:val="0"/>
          <w:vanish w:val="0"/>
          <w:sz w:val="20"/>
          <w:szCs w:val="20"/>
        </w:rPr>
        <w:t> MHz</w:t>
      </w:r>
      <w:r w:rsidRPr="00B11435">
        <w:rPr>
          <w:b w:val="0"/>
          <w:vanish w:val="0"/>
          <w:sz w:val="20"/>
          <w:szCs w:val="20"/>
        </w:rPr>
        <w:t xml:space="preserve"> reconfiguration, 850</w:t>
      </w:r>
      <w:r w:rsidR="004D3028">
        <w:rPr>
          <w:b w:val="0"/>
          <w:vanish w:val="0"/>
          <w:sz w:val="20"/>
          <w:szCs w:val="20"/>
        </w:rPr>
        <w:t> MHz</w:t>
      </w:r>
      <w:r w:rsidRPr="00B11435">
        <w:rPr>
          <w:b w:val="0"/>
          <w:vanish w:val="0"/>
          <w:sz w:val="20"/>
          <w:szCs w:val="20"/>
        </w:rPr>
        <w:t xml:space="preserve"> expansion band allocation, 850</w:t>
      </w:r>
      <w:r w:rsidR="004D3028">
        <w:rPr>
          <w:b w:val="0"/>
          <w:vanish w:val="0"/>
          <w:sz w:val="20"/>
          <w:szCs w:val="20"/>
        </w:rPr>
        <w:t> MHz</w:t>
      </w:r>
      <w:r w:rsidRPr="00B11435">
        <w:rPr>
          <w:b w:val="0"/>
          <w:vanish w:val="0"/>
          <w:sz w:val="20"/>
          <w:szCs w:val="20"/>
        </w:rPr>
        <w:t xml:space="preserve"> spectrum licence downshift) should be considered and implemented separately, rather than in the single process suggested by the ACMA. VHA considers that the 900</w:t>
      </w:r>
      <w:r w:rsidR="004D3028">
        <w:rPr>
          <w:b w:val="0"/>
          <w:vanish w:val="0"/>
          <w:sz w:val="20"/>
          <w:szCs w:val="20"/>
        </w:rPr>
        <w:t> MHz</w:t>
      </w:r>
      <w:r w:rsidRPr="00B11435">
        <w:rPr>
          <w:b w:val="0"/>
          <w:vanish w:val="0"/>
          <w:sz w:val="20"/>
          <w:szCs w:val="20"/>
        </w:rPr>
        <w:t xml:space="preserve"> band should be converted to spectrum licences in its current configuration. The carriers would then participate in an ‘industry-led reconfiguration’.</w:t>
      </w:r>
    </w:p>
    <w:p w14:paraId="6618BB82" w14:textId="5C66BFF0" w:rsidR="00B11435" w:rsidRDefault="00B11435" w:rsidP="00F4493E">
      <w:pPr>
        <w:pStyle w:val="ACMAInstructions"/>
        <w:spacing w:after="240"/>
        <w:rPr>
          <w:b w:val="0"/>
          <w:vanish w:val="0"/>
          <w:sz w:val="20"/>
          <w:szCs w:val="20"/>
        </w:rPr>
      </w:pPr>
      <w:r w:rsidRPr="00B11435">
        <w:rPr>
          <w:b w:val="0"/>
          <w:vanish w:val="0"/>
          <w:sz w:val="20"/>
          <w:szCs w:val="20"/>
        </w:rPr>
        <w:t>Telstra’s proposal align</w:t>
      </w:r>
      <w:r w:rsidR="006F212E">
        <w:rPr>
          <w:b w:val="0"/>
          <w:vanish w:val="0"/>
          <w:sz w:val="20"/>
          <w:szCs w:val="20"/>
        </w:rPr>
        <w:t>ed</w:t>
      </w:r>
      <w:r w:rsidRPr="00B11435">
        <w:rPr>
          <w:b w:val="0"/>
          <w:vanish w:val="0"/>
          <w:sz w:val="20"/>
          <w:szCs w:val="20"/>
        </w:rPr>
        <w:t xml:space="preserve"> closely with the encumbered auction option proposed </w:t>
      </w:r>
      <w:r w:rsidR="765E447D" w:rsidRPr="00B11435">
        <w:rPr>
          <w:b w:val="0"/>
          <w:vanish w:val="0"/>
          <w:sz w:val="20"/>
          <w:szCs w:val="20"/>
        </w:rPr>
        <w:t xml:space="preserve">by the ACMA </w:t>
      </w:r>
      <w:r w:rsidRPr="00B11435">
        <w:rPr>
          <w:b w:val="0"/>
          <w:vanish w:val="0"/>
          <w:sz w:val="20"/>
          <w:szCs w:val="20"/>
        </w:rPr>
        <w:t xml:space="preserve">in the </w:t>
      </w:r>
      <w:hyperlink r:id="rId24" w:history="1">
        <w:r w:rsidR="00DA299F" w:rsidRPr="00DA299F">
          <w:rPr>
            <w:rStyle w:val="Hyperlink"/>
            <w:b w:val="0"/>
            <w:vanish w:val="0"/>
            <w:sz w:val="20"/>
            <w:szCs w:val="20"/>
          </w:rPr>
          <w:t xml:space="preserve">consultation </w:t>
        </w:r>
        <w:r w:rsidRPr="00DA299F">
          <w:rPr>
            <w:rStyle w:val="Hyperlink"/>
            <w:b w:val="0"/>
            <w:vanish w:val="0"/>
            <w:sz w:val="20"/>
            <w:szCs w:val="20"/>
          </w:rPr>
          <w:t>paper</w:t>
        </w:r>
      </w:hyperlink>
      <w:r w:rsidRPr="00B11435">
        <w:rPr>
          <w:b w:val="0"/>
          <w:vanish w:val="0"/>
          <w:sz w:val="20"/>
          <w:szCs w:val="20"/>
        </w:rPr>
        <w:t>. The Telstra submission suggests that spectrum licences in the 850</w:t>
      </w:r>
      <w:r w:rsidR="004D3028">
        <w:rPr>
          <w:b w:val="0"/>
          <w:vanish w:val="0"/>
          <w:sz w:val="20"/>
          <w:szCs w:val="20"/>
        </w:rPr>
        <w:t> MHz</w:t>
      </w:r>
      <w:r w:rsidRPr="00B11435">
        <w:rPr>
          <w:b w:val="0"/>
          <w:vanish w:val="0"/>
          <w:sz w:val="20"/>
          <w:szCs w:val="20"/>
        </w:rPr>
        <w:t xml:space="preserve"> expansion band and 900</w:t>
      </w:r>
      <w:r w:rsidR="004D3028">
        <w:rPr>
          <w:b w:val="0"/>
          <w:vanish w:val="0"/>
          <w:sz w:val="20"/>
          <w:szCs w:val="20"/>
        </w:rPr>
        <w:t> MHz</w:t>
      </w:r>
      <w:r w:rsidRPr="00B11435">
        <w:rPr>
          <w:b w:val="0"/>
          <w:vanish w:val="0"/>
          <w:sz w:val="20"/>
          <w:szCs w:val="20"/>
        </w:rPr>
        <w:t xml:space="preserve"> band should commence when the band is cleared (in 2024) rather than having encumbered spectrum licences prior to 2024. To increase the utility of the spectrum, Telstra suggests early access arrangements could be used for the two bands prior to band clearance. Telstra also argues that payment should occur at the mid-2024 licence start date.</w:t>
      </w:r>
    </w:p>
    <w:p w14:paraId="5DDE49AF" w14:textId="25C927D6" w:rsidR="002F3751" w:rsidRPr="00B11435" w:rsidRDefault="002F3751" w:rsidP="00551E96">
      <w:pPr>
        <w:pStyle w:val="Heading3"/>
      </w:pPr>
      <w:bookmarkStart w:id="11" w:name="_Toc27405669"/>
      <w:r>
        <w:t>850</w:t>
      </w:r>
      <w:r w:rsidR="004D3028">
        <w:t> MHz</w:t>
      </w:r>
      <w:r>
        <w:t xml:space="preserve"> </w:t>
      </w:r>
      <w:r w:rsidRPr="00551E96">
        <w:t>downshift</w:t>
      </w:r>
      <w:bookmarkEnd w:id="11"/>
    </w:p>
    <w:p w14:paraId="33BDA826" w14:textId="0DAAA27A" w:rsidR="00954AB6" w:rsidRPr="00954AB6" w:rsidRDefault="00954AB6" w:rsidP="00954AB6">
      <w:pPr>
        <w:pStyle w:val="ACMAInstructions"/>
        <w:rPr>
          <w:b w:val="0"/>
          <w:vanish w:val="0"/>
          <w:sz w:val="20"/>
          <w:szCs w:val="20"/>
        </w:rPr>
      </w:pPr>
      <w:r w:rsidRPr="00954AB6">
        <w:rPr>
          <w:b w:val="0"/>
          <w:vanish w:val="0"/>
          <w:sz w:val="20"/>
          <w:szCs w:val="20"/>
        </w:rPr>
        <w:t xml:space="preserve">There </w:t>
      </w:r>
      <w:r>
        <w:rPr>
          <w:b w:val="0"/>
          <w:vanish w:val="0"/>
          <w:sz w:val="20"/>
          <w:szCs w:val="20"/>
        </w:rPr>
        <w:t>wa</w:t>
      </w:r>
      <w:r w:rsidRPr="00954AB6">
        <w:rPr>
          <w:b w:val="0"/>
          <w:vanish w:val="0"/>
          <w:sz w:val="20"/>
          <w:szCs w:val="20"/>
        </w:rPr>
        <w:t>s also no consensus about the approach to allocating the 2</w:t>
      </w:r>
      <w:r w:rsidR="008C1CB7">
        <w:rPr>
          <w:b w:val="0"/>
          <w:vanish w:val="0"/>
          <w:sz w:val="20"/>
          <w:szCs w:val="20"/>
        </w:rPr>
        <w:t xml:space="preserve"> </w:t>
      </w:r>
      <w:r w:rsidRPr="00954AB6">
        <w:rPr>
          <w:b w:val="0"/>
          <w:vanish w:val="0"/>
          <w:sz w:val="20"/>
          <w:szCs w:val="20"/>
        </w:rPr>
        <w:t>x</w:t>
      </w:r>
      <w:r w:rsidR="008C1CB7">
        <w:rPr>
          <w:b w:val="0"/>
          <w:vanish w:val="0"/>
          <w:sz w:val="20"/>
          <w:szCs w:val="20"/>
        </w:rPr>
        <w:t xml:space="preserve"> </w:t>
      </w:r>
      <w:r w:rsidRPr="00954AB6">
        <w:rPr>
          <w:b w:val="0"/>
          <w:vanish w:val="0"/>
          <w:sz w:val="20"/>
          <w:szCs w:val="20"/>
        </w:rPr>
        <w:t>1</w:t>
      </w:r>
      <w:r w:rsidR="004D3028">
        <w:rPr>
          <w:b w:val="0"/>
          <w:vanish w:val="0"/>
          <w:sz w:val="20"/>
          <w:szCs w:val="20"/>
        </w:rPr>
        <w:t> MHz</w:t>
      </w:r>
      <w:r w:rsidRPr="00954AB6">
        <w:rPr>
          <w:b w:val="0"/>
          <w:vanish w:val="0"/>
          <w:sz w:val="20"/>
          <w:szCs w:val="20"/>
        </w:rPr>
        <w:t xml:space="preserve"> that is lower adjacent to the 850</w:t>
      </w:r>
      <w:r w:rsidR="004D3028">
        <w:rPr>
          <w:b w:val="0"/>
          <w:vanish w:val="0"/>
          <w:sz w:val="20"/>
          <w:szCs w:val="20"/>
        </w:rPr>
        <w:t> MHz</w:t>
      </w:r>
      <w:r w:rsidRPr="00954AB6">
        <w:rPr>
          <w:b w:val="0"/>
          <w:vanish w:val="0"/>
          <w:sz w:val="20"/>
          <w:szCs w:val="20"/>
        </w:rPr>
        <w:t xml:space="preserve"> spectrum licences, although each MNO agree</w:t>
      </w:r>
      <w:r w:rsidR="3E60C344" w:rsidRPr="006D4982">
        <w:rPr>
          <w:b w:val="0"/>
          <w:sz w:val="20"/>
          <w:szCs w:val="20"/>
        </w:rPr>
        <w:t>d</w:t>
      </w:r>
      <w:r w:rsidRPr="00954AB6">
        <w:rPr>
          <w:b w:val="0"/>
          <w:vanish w:val="0"/>
          <w:sz w:val="20"/>
          <w:szCs w:val="20"/>
        </w:rPr>
        <w:t xml:space="preserve"> that the downshift is an important reform. While Telstra agrees with the approach outlined in the consultation paper, it </w:t>
      </w:r>
      <w:r w:rsidR="5BD9077A" w:rsidRPr="00954AB6">
        <w:rPr>
          <w:b w:val="0"/>
          <w:vanish w:val="0"/>
          <w:sz w:val="20"/>
          <w:szCs w:val="20"/>
        </w:rPr>
        <w:t>made</w:t>
      </w:r>
      <w:r w:rsidRPr="00954AB6">
        <w:rPr>
          <w:b w:val="0"/>
          <w:vanish w:val="0"/>
          <w:sz w:val="20"/>
          <w:szCs w:val="20"/>
        </w:rPr>
        <w:t xml:space="preserve"> an additional suggestion: make a commitment to achieve the downshift a prerequisite for 850</w:t>
      </w:r>
      <w:r w:rsidR="004D3028">
        <w:rPr>
          <w:b w:val="0"/>
          <w:vanish w:val="0"/>
          <w:sz w:val="20"/>
          <w:szCs w:val="20"/>
        </w:rPr>
        <w:t> MHz</w:t>
      </w:r>
      <w:r w:rsidRPr="00954AB6">
        <w:rPr>
          <w:b w:val="0"/>
          <w:vanish w:val="0"/>
          <w:sz w:val="20"/>
          <w:szCs w:val="20"/>
        </w:rPr>
        <w:t xml:space="preserve"> licensees to participate in a 900</w:t>
      </w:r>
      <w:r w:rsidR="004D3028">
        <w:rPr>
          <w:b w:val="0"/>
          <w:vanish w:val="0"/>
          <w:sz w:val="20"/>
          <w:szCs w:val="20"/>
        </w:rPr>
        <w:t> MHz</w:t>
      </w:r>
      <w:r w:rsidRPr="00954AB6">
        <w:rPr>
          <w:b w:val="0"/>
          <w:vanish w:val="0"/>
          <w:sz w:val="20"/>
          <w:szCs w:val="20"/>
        </w:rPr>
        <w:t xml:space="preserve"> band allocation. </w:t>
      </w:r>
    </w:p>
    <w:p w14:paraId="0DE89106" w14:textId="24134453" w:rsidR="00954AB6" w:rsidRPr="00954AB6" w:rsidRDefault="00954AB6" w:rsidP="00954AB6">
      <w:pPr>
        <w:pStyle w:val="ACMAInstructions"/>
        <w:rPr>
          <w:b w:val="0"/>
          <w:vanish w:val="0"/>
          <w:sz w:val="20"/>
          <w:szCs w:val="20"/>
        </w:rPr>
      </w:pPr>
      <w:r w:rsidRPr="00954AB6">
        <w:rPr>
          <w:b w:val="0"/>
          <w:vanish w:val="0"/>
          <w:sz w:val="20"/>
          <w:szCs w:val="20"/>
        </w:rPr>
        <w:t xml:space="preserve">Optus </w:t>
      </w:r>
      <w:r w:rsidR="42FB58E3" w:rsidRPr="00954AB6">
        <w:rPr>
          <w:b w:val="0"/>
          <w:vanish w:val="0"/>
          <w:sz w:val="20"/>
          <w:szCs w:val="20"/>
        </w:rPr>
        <w:t xml:space="preserve">proposed that </w:t>
      </w:r>
      <w:r w:rsidRPr="00954AB6">
        <w:rPr>
          <w:b w:val="0"/>
          <w:vanish w:val="0"/>
          <w:sz w:val="20"/>
          <w:szCs w:val="20"/>
        </w:rPr>
        <w:t>the 2</w:t>
      </w:r>
      <w:r w:rsidR="008C1CB7">
        <w:rPr>
          <w:b w:val="0"/>
          <w:vanish w:val="0"/>
          <w:sz w:val="20"/>
          <w:szCs w:val="20"/>
        </w:rPr>
        <w:t xml:space="preserve"> </w:t>
      </w:r>
      <w:r w:rsidRPr="00954AB6">
        <w:rPr>
          <w:b w:val="0"/>
          <w:vanish w:val="0"/>
          <w:sz w:val="20"/>
          <w:szCs w:val="20"/>
        </w:rPr>
        <w:t>x</w:t>
      </w:r>
      <w:r w:rsidR="008C1CB7">
        <w:rPr>
          <w:b w:val="0"/>
          <w:vanish w:val="0"/>
          <w:sz w:val="20"/>
          <w:szCs w:val="20"/>
        </w:rPr>
        <w:t xml:space="preserve"> </w:t>
      </w:r>
      <w:r w:rsidRPr="00954AB6">
        <w:rPr>
          <w:b w:val="0"/>
          <w:vanish w:val="0"/>
          <w:sz w:val="20"/>
          <w:szCs w:val="20"/>
        </w:rPr>
        <w:t>1</w:t>
      </w:r>
      <w:r w:rsidR="004260F7">
        <w:rPr>
          <w:b w:val="0"/>
          <w:vanish w:val="0"/>
          <w:sz w:val="20"/>
          <w:szCs w:val="20"/>
        </w:rPr>
        <w:t> MHz</w:t>
      </w:r>
      <w:r w:rsidRPr="00954AB6">
        <w:rPr>
          <w:b w:val="0"/>
          <w:vanish w:val="0"/>
          <w:sz w:val="20"/>
          <w:szCs w:val="20"/>
        </w:rPr>
        <w:t xml:space="preserve"> lot be allocated directly to the licensee of the upper segment of the 850</w:t>
      </w:r>
      <w:r w:rsidR="004D3028">
        <w:rPr>
          <w:b w:val="0"/>
          <w:vanish w:val="0"/>
          <w:sz w:val="20"/>
          <w:szCs w:val="20"/>
        </w:rPr>
        <w:t> MHz</w:t>
      </w:r>
      <w:r w:rsidRPr="00954AB6">
        <w:rPr>
          <w:b w:val="0"/>
          <w:vanish w:val="0"/>
          <w:sz w:val="20"/>
          <w:szCs w:val="20"/>
        </w:rPr>
        <w:t xml:space="preserve"> band (i.e. Telstra). While this would result in the lot being allocated to a relevant party, it is not clear how it is proposed the lot be allocated. </w:t>
      </w:r>
    </w:p>
    <w:p w14:paraId="2E105724" w14:textId="2FC20F16" w:rsidR="00954AB6" w:rsidRPr="00954AB6" w:rsidRDefault="00954AB6" w:rsidP="00954AB6">
      <w:pPr>
        <w:pStyle w:val="ACMAInstructions"/>
        <w:rPr>
          <w:b w:val="0"/>
          <w:vanish w:val="0"/>
          <w:sz w:val="20"/>
          <w:szCs w:val="20"/>
        </w:rPr>
      </w:pPr>
      <w:r w:rsidRPr="00954AB6">
        <w:rPr>
          <w:b w:val="0"/>
          <w:vanish w:val="0"/>
          <w:sz w:val="20"/>
          <w:szCs w:val="20"/>
        </w:rPr>
        <w:t xml:space="preserve">VHA suggested that </w:t>
      </w:r>
      <w:r w:rsidR="00467DB3">
        <w:rPr>
          <w:b w:val="0"/>
          <w:vanish w:val="0"/>
          <w:sz w:val="20"/>
          <w:szCs w:val="20"/>
        </w:rPr>
        <w:t xml:space="preserve">the ACMA needed to engage </w:t>
      </w:r>
      <w:r w:rsidR="00834759">
        <w:rPr>
          <w:b w:val="0"/>
          <w:vanish w:val="0"/>
          <w:sz w:val="20"/>
          <w:szCs w:val="20"/>
        </w:rPr>
        <w:t xml:space="preserve">further with industry to find a workable solution </w:t>
      </w:r>
      <w:r w:rsidR="00FA0CCC">
        <w:rPr>
          <w:b w:val="0"/>
          <w:vanish w:val="0"/>
          <w:sz w:val="20"/>
          <w:szCs w:val="20"/>
        </w:rPr>
        <w:t xml:space="preserve">for the </w:t>
      </w:r>
      <w:r w:rsidRPr="00954AB6">
        <w:rPr>
          <w:b w:val="0"/>
          <w:vanish w:val="0"/>
          <w:sz w:val="20"/>
          <w:szCs w:val="20"/>
        </w:rPr>
        <w:t>downshift</w:t>
      </w:r>
      <w:r w:rsidR="009116C1">
        <w:rPr>
          <w:b w:val="0"/>
          <w:vanish w:val="0"/>
          <w:sz w:val="20"/>
          <w:szCs w:val="20"/>
        </w:rPr>
        <w:t>.</w:t>
      </w:r>
      <w:r w:rsidRPr="00954AB6">
        <w:rPr>
          <w:b w:val="0"/>
          <w:vanish w:val="0"/>
          <w:sz w:val="20"/>
          <w:szCs w:val="20"/>
        </w:rPr>
        <w:t xml:space="preserve"> It did note</w:t>
      </w:r>
      <w:r w:rsidR="00E9782C">
        <w:rPr>
          <w:b w:val="0"/>
          <w:vanish w:val="0"/>
          <w:sz w:val="20"/>
          <w:szCs w:val="20"/>
        </w:rPr>
        <w:t>,</w:t>
      </w:r>
      <w:r w:rsidRPr="00954AB6">
        <w:rPr>
          <w:b w:val="0"/>
          <w:vanish w:val="0"/>
          <w:sz w:val="20"/>
          <w:szCs w:val="20"/>
        </w:rPr>
        <w:t xml:space="preserve"> however</w:t>
      </w:r>
      <w:r w:rsidR="00E9782C">
        <w:rPr>
          <w:b w:val="0"/>
          <w:vanish w:val="0"/>
          <w:sz w:val="20"/>
          <w:szCs w:val="20"/>
        </w:rPr>
        <w:t>,</w:t>
      </w:r>
      <w:r w:rsidRPr="00954AB6">
        <w:rPr>
          <w:b w:val="0"/>
          <w:vanish w:val="0"/>
          <w:sz w:val="20"/>
          <w:szCs w:val="20"/>
        </w:rPr>
        <w:t xml:space="preserve"> that:</w:t>
      </w:r>
    </w:p>
    <w:p w14:paraId="43EBD040" w14:textId="61512EF8" w:rsidR="00954AB6" w:rsidRPr="00954AB6" w:rsidRDefault="00954AB6" w:rsidP="00D15FA2">
      <w:pPr>
        <w:pStyle w:val="ACMAInstructions"/>
        <w:ind w:left="568"/>
        <w:rPr>
          <w:b w:val="0"/>
          <w:vanish w:val="0"/>
          <w:sz w:val="20"/>
          <w:szCs w:val="20"/>
        </w:rPr>
      </w:pPr>
      <w:r w:rsidRPr="00954AB6">
        <w:rPr>
          <w:b w:val="0"/>
          <w:vanish w:val="0"/>
          <w:sz w:val="20"/>
          <w:szCs w:val="20"/>
        </w:rPr>
        <w:t>VHA would consider voluntarily executing a downshift prior to the 850</w:t>
      </w:r>
      <w:r w:rsidR="004D3028">
        <w:rPr>
          <w:b w:val="0"/>
          <w:vanish w:val="0"/>
          <w:sz w:val="20"/>
          <w:szCs w:val="20"/>
        </w:rPr>
        <w:t> MHz</w:t>
      </w:r>
      <w:r w:rsidRPr="00954AB6">
        <w:rPr>
          <w:b w:val="0"/>
          <w:vanish w:val="0"/>
          <w:sz w:val="20"/>
          <w:szCs w:val="20"/>
        </w:rPr>
        <w:t xml:space="preserve"> expansion auction if its continued access to its existing 900</w:t>
      </w:r>
      <w:r w:rsidR="004D3028">
        <w:rPr>
          <w:b w:val="0"/>
          <w:vanish w:val="0"/>
          <w:sz w:val="20"/>
          <w:szCs w:val="20"/>
        </w:rPr>
        <w:t> MHz</w:t>
      </w:r>
      <w:r w:rsidRPr="00954AB6">
        <w:rPr>
          <w:b w:val="0"/>
          <w:vanish w:val="0"/>
          <w:sz w:val="20"/>
          <w:szCs w:val="20"/>
        </w:rPr>
        <w:t xml:space="preserve"> holding is </w:t>
      </w:r>
      <w:r w:rsidRPr="00954AB6">
        <w:rPr>
          <w:b w:val="0"/>
          <w:vanish w:val="0"/>
          <w:sz w:val="20"/>
          <w:szCs w:val="20"/>
        </w:rPr>
        <w:lastRenderedPageBreak/>
        <w:t>guaranteed by spectrum licences on current payment terms until 2028 to coincide with the expiration of the 850</w:t>
      </w:r>
      <w:r w:rsidR="004D3028">
        <w:rPr>
          <w:b w:val="0"/>
          <w:vanish w:val="0"/>
          <w:sz w:val="20"/>
          <w:szCs w:val="20"/>
        </w:rPr>
        <w:t> MHz</w:t>
      </w:r>
      <w:r w:rsidRPr="00954AB6">
        <w:rPr>
          <w:b w:val="0"/>
          <w:vanish w:val="0"/>
          <w:sz w:val="20"/>
          <w:szCs w:val="20"/>
        </w:rPr>
        <w:t xml:space="preserve"> licence.</w:t>
      </w:r>
    </w:p>
    <w:p w14:paraId="48A10EBA" w14:textId="77777777" w:rsidR="00347764" w:rsidRDefault="00347764" w:rsidP="00551E96">
      <w:pPr>
        <w:pStyle w:val="Heading3"/>
      </w:pPr>
      <w:bookmarkStart w:id="12" w:name="_Toc27405670"/>
      <w:r>
        <w:t xml:space="preserve">Public safety </w:t>
      </w:r>
      <w:r w:rsidRPr="00551E96">
        <w:t>mobile</w:t>
      </w:r>
      <w:r>
        <w:t xml:space="preserve"> broadband</w:t>
      </w:r>
      <w:bookmarkEnd w:id="12"/>
    </w:p>
    <w:p w14:paraId="65BEC97D" w14:textId="46C5F3F7" w:rsidR="00B11435" w:rsidRDefault="00031858" w:rsidP="0015456D">
      <w:pPr>
        <w:pStyle w:val="ACMAInstructions"/>
        <w:spacing w:after="240"/>
        <w:rPr>
          <w:b w:val="0"/>
          <w:vanish w:val="0"/>
          <w:sz w:val="20"/>
          <w:szCs w:val="20"/>
        </w:rPr>
      </w:pPr>
      <w:r>
        <w:rPr>
          <w:b w:val="0"/>
          <w:vanish w:val="0"/>
          <w:sz w:val="20"/>
          <w:szCs w:val="20"/>
        </w:rPr>
        <w:t>Other submissions to the</w:t>
      </w:r>
      <w:r w:rsidR="003D31BB">
        <w:rPr>
          <w:b w:val="0"/>
          <w:vanish w:val="0"/>
          <w:sz w:val="20"/>
          <w:szCs w:val="20"/>
        </w:rPr>
        <w:t xml:space="preserve"> process commented primarily on issues relevant to the allocation of spectrum for </w:t>
      </w:r>
      <w:r w:rsidR="008C5910">
        <w:rPr>
          <w:b w:val="0"/>
          <w:vanish w:val="0"/>
          <w:sz w:val="20"/>
          <w:szCs w:val="20"/>
        </w:rPr>
        <w:t>PSMB</w:t>
      </w:r>
      <w:r w:rsidR="003D31BB">
        <w:rPr>
          <w:b w:val="0"/>
          <w:vanish w:val="0"/>
          <w:sz w:val="20"/>
          <w:szCs w:val="20"/>
        </w:rPr>
        <w:t>.</w:t>
      </w:r>
      <w:r w:rsidR="002944B8">
        <w:rPr>
          <w:b w:val="0"/>
          <w:vanish w:val="0"/>
          <w:sz w:val="20"/>
          <w:szCs w:val="20"/>
        </w:rPr>
        <w:t xml:space="preserve"> The allocation of spectrum for </w:t>
      </w:r>
      <w:r w:rsidR="008C5910">
        <w:rPr>
          <w:b w:val="0"/>
          <w:vanish w:val="0"/>
          <w:sz w:val="20"/>
          <w:szCs w:val="20"/>
        </w:rPr>
        <w:t>PSMB is being managed by the Department.</w:t>
      </w:r>
      <w:r w:rsidR="009659A5">
        <w:rPr>
          <w:b w:val="0"/>
          <w:vanish w:val="0"/>
          <w:sz w:val="20"/>
          <w:szCs w:val="20"/>
        </w:rPr>
        <w:t xml:space="preserve"> The </w:t>
      </w:r>
      <w:r w:rsidR="00476ED0">
        <w:rPr>
          <w:b w:val="0"/>
          <w:vanish w:val="0"/>
          <w:sz w:val="20"/>
          <w:szCs w:val="20"/>
        </w:rPr>
        <w:t>relevance of PSMB to this allocation is discussed further below.</w:t>
      </w:r>
    </w:p>
    <w:p w14:paraId="6344AB08" w14:textId="1729C1D4" w:rsidR="00356A8C" w:rsidRPr="00A03EBA" w:rsidRDefault="00A03EBA" w:rsidP="008F2793">
      <w:pPr>
        <w:pStyle w:val="Heading2"/>
        <w:rPr>
          <w:vanish/>
        </w:rPr>
      </w:pPr>
      <w:bookmarkStart w:id="13" w:name="_Toc27405671"/>
      <w:r>
        <w:t>ACMA decision on approach to reallocation of the 900</w:t>
      </w:r>
      <w:r w:rsidR="004D3028">
        <w:t> MHz</w:t>
      </w:r>
      <w:r>
        <w:t xml:space="preserve"> band</w:t>
      </w:r>
      <w:bookmarkEnd w:id="13"/>
    </w:p>
    <w:p w14:paraId="05F91A1F" w14:textId="0E161E43" w:rsidR="00AE7706" w:rsidRDefault="00AE7706" w:rsidP="00AE7706">
      <w:pPr>
        <w:pStyle w:val="ACMAInstructions"/>
        <w:spacing w:after="240"/>
        <w:rPr>
          <w:b w:val="0"/>
          <w:vanish w:val="0"/>
          <w:sz w:val="20"/>
          <w:szCs w:val="20"/>
        </w:rPr>
      </w:pPr>
      <w:r>
        <w:rPr>
          <w:b w:val="0"/>
          <w:vanish w:val="0"/>
          <w:sz w:val="20"/>
          <w:szCs w:val="20"/>
        </w:rPr>
        <w:t>The ACMA has now decided on the approach to reconfiguring the 900</w:t>
      </w:r>
      <w:r w:rsidR="004D3028">
        <w:rPr>
          <w:b w:val="0"/>
          <w:vanish w:val="0"/>
          <w:sz w:val="20"/>
          <w:szCs w:val="20"/>
        </w:rPr>
        <w:t> MHz</w:t>
      </w:r>
      <w:r>
        <w:rPr>
          <w:b w:val="0"/>
          <w:vanish w:val="0"/>
          <w:sz w:val="20"/>
          <w:szCs w:val="20"/>
        </w:rPr>
        <w:t xml:space="preserve"> band, with a view to providing industry with certainty of arrangements going forward. </w:t>
      </w:r>
    </w:p>
    <w:p w14:paraId="1029E4F8" w14:textId="6C1FCFFD" w:rsidR="00AE7706" w:rsidRDefault="009C3432" w:rsidP="00AE7706">
      <w:pPr>
        <w:pStyle w:val="ACMAInstructions"/>
        <w:spacing w:after="240"/>
        <w:rPr>
          <w:b w:val="0"/>
          <w:vanish w:val="0"/>
          <w:sz w:val="20"/>
          <w:szCs w:val="20"/>
        </w:rPr>
      </w:pPr>
      <w:r w:rsidRPr="009B75AA">
        <w:rPr>
          <w:b w:val="0"/>
          <w:vanish w:val="0"/>
          <w:sz w:val="20"/>
          <w:szCs w:val="20"/>
        </w:rPr>
        <w:t>The ACMA remains of the view that the best way to achieve reconfiguration of the 900</w:t>
      </w:r>
      <w:r w:rsidR="004D3028">
        <w:rPr>
          <w:b w:val="0"/>
          <w:vanish w:val="0"/>
          <w:sz w:val="20"/>
          <w:szCs w:val="20"/>
        </w:rPr>
        <w:t> MHz</w:t>
      </w:r>
      <w:r w:rsidRPr="009B75AA">
        <w:rPr>
          <w:b w:val="0"/>
          <w:vanish w:val="0"/>
          <w:sz w:val="20"/>
          <w:szCs w:val="20"/>
        </w:rPr>
        <w:t xml:space="preserve"> band is to undertake a band clearance and price-based allocation</w:t>
      </w:r>
      <w:r w:rsidR="00AE7706" w:rsidRPr="00AE7706">
        <w:rPr>
          <w:b w:val="0"/>
          <w:vanish w:val="0"/>
          <w:sz w:val="20"/>
          <w:szCs w:val="20"/>
        </w:rPr>
        <w:t xml:space="preserve"> </w:t>
      </w:r>
      <w:r w:rsidR="00AE7706">
        <w:rPr>
          <w:b w:val="0"/>
          <w:vanish w:val="0"/>
          <w:sz w:val="20"/>
          <w:szCs w:val="20"/>
        </w:rPr>
        <w:t>and offer it in combination with the 850</w:t>
      </w:r>
      <w:r w:rsidR="004D3028">
        <w:rPr>
          <w:b w:val="0"/>
          <w:vanish w:val="0"/>
          <w:sz w:val="20"/>
          <w:szCs w:val="20"/>
        </w:rPr>
        <w:t> MHz</w:t>
      </w:r>
      <w:r w:rsidR="00AE7706">
        <w:rPr>
          <w:b w:val="0"/>
          <w:vanish w:val="0"/>
          <w:sz w:val="20"/>
          <w:szCs w:val="20"/>
        </w:rPr>
        <w:t xml:space="preserve"> expansion band. </w:t>
      </w:r>
    </w:p>
    <w:p w14:paraId="648C6C45" w14:textId="227501DB" w:rsidR="00A76FB9" w:rsidRDefault="00133E97">
      <w:pPr>
        <w:pStyle w:val="ACMAInstructions"/>
        <w:spacing w:after="240"/>
        <w:rPr>
          <w:b w:val="0"/>
          <w:vanish w:val="0"/>
          <w:sz w:val="20"/>
          <w:szCs w:val="20"/>
        </w:rPr>
      </w:pPr>
      <w:r>
        <w:rPr>
          <w:b w:val="0"/>
          <w:vanish w:val="0"/>
          <w:sz w:val="20"/>
          <w:szCs w:val="20"/>
        </w:rPr>
        <w:t xml:space="preserve">We acknowledge </w:t>
      </w:r>
      <w:r w:rsidR="00887725">
        <w:rPr>
          <w:b w:val="0"/>
          <w:vanish w:val="0"/>
          <w:sz w:val="20"/>
          <w:szCs w:val="20"/>
        </w:rPr>
        <w:t>concerns of incumbent</w:t>
      </w:r>
      <w:r w:rsidR="008E1433">
        <w:rPr>
          <w:b w:val="0"/>
          <w:vanish w:val="0"/>
          <w:sz w:val="20"/>
          <w:szCs w:val="20"/>
        </w:rPr>
        <w:t xml:space="preserve"> licensees about </w:t>
      </w:r>
      <w:r w:rsidR="00C732E1">
        <w:rPr>
          <w:b w:val="0"/>
          <w:vanish w:val="0"/>
          <w:sz w:val="20"/>
          <w:szCs w:val="20"/>
        </w:rPr>
        <w:t>service continuity</w:t>
      </w:r>
      <w:r w:rsidR="00AE7706">
        <w:rPr>
          <w:b w:val="0"/>
          <w:vanish w:val="0"/>
          <w:sz w:val="20"/>
          <w:szCs w:val="20"/>
        </w:rPr>
        <w:t xml:space="preserve"> and note that should </w:t>
      </w:r>
      <w:r w:rsidR="009C3432" w:rsidRPr="009B75AA">
        <w:rPr>
          <w:b w:val="0"/>
          <w:vanish w:val="0"/>
          <w:sz w:val="20"/>
          <w:szCs w:val="20"/>
        </w:rPr>
        <w:t xml:space="preserve">the </w:t>
      </w:r>
      <w:r w:rsidR="00DB2500">
        <w:rPr>
          <w:b w:val="0"/>
          <w:vanish w:val="0"/>
          <w:sz w:val="20"/>
          <w:szCs w:val="20"/>
        </w:rPr>
        <w:t>g</w:t>
      </w:r>
      <w:r w:rsidR="009C3432" w:rsidRPr="009B75AA">
        <w:rPr>
          <w:b w:val="0"/>
          <w:vanish w:val="0"/>
          <w:sz w:val="20"/>
          <w:szCs w:val="20"/>
        </w:rPr>
        <w:t>overnment wish</w:t>
      </w:r>
      <w:r w:rsidR="00AE7706">
        <w:rPr>
          <w:b w:val="0"/>
          <w:vanish w:val="0"/>
          <w:sz w:val="20"/>
          <w:szCs w:val="20"/>
        </w:rPr>
        <w:t xml:space="preserve"> </w:t>
      </w:r>
      <w:r w:rsidR="009C3432" w:rsidRPr="009B75AA">
        <w:rPr>
          <w:b w:val="0"/>
          <w:vanish w:val="0"/>
          <w:sz w:val="20"/>
          <w:szCs w:val="20"/>
        </w:rPr>
        <w:t xml:space="preserve">to mitigate risks to </w:t>
      </w:r>
      <w:r w:rsidR="00AE7706">
        <w:rPr>
          <w:b w:val="0"/>
          <w:vanish w:val="0"/>
          <w:sz w:val="20"/>
          <w:szCs w:val="20"/>
        </w:rPr>
        <w:t xml:space="preserve">continuity of </w:t>
      </w:r>
      <w:r w:rsidR="009C3432" w:rsidRPr="009B75AA">
        <w:rPr>
          <w:b w:val="0"/>
          <w:vanish w:val="0"/>
          <w:sz w:val="20"/>
          <w:szCs w:val="20"/>
        </w:rPr>
        <w:t>consumer services by providing certainty to incumbent licensees in the band, th</w:t>
      </w:r>
      <w:r w:rsidR="000B1210" w:rsidRPr="009B75AA">
        <w:rPr>
          <w:b w:val="0"/>
          <w:vanish w:val="0"/>
          <w:sz w:val="20"/>
          <w:szCs w:val="20"/>
        </w:rPr>
        <w:t>is can b</w:t>
      </w:r>
      <w:r w:rsidR="009C3432" w:rsidRPr="009B75AA">
        <w:rPr>
          <w:b w:val="0"/>
          <w:vanish w:val="0"/>
          <w:sz w:val="20"/>
          <w:szCs w:val="20"/>
        </w:rPr>
        <w:t>e achieve</w:t>
      </w:r>
      <w:r w:rsidR="000B1210" w:rsidRPr="009B75AA">
        <w:rPr>
          <w:b w:val="0"/>
          <w:vanish w:val="0"/>
          <w:sz w:val="20"/>
          <w:szCs w:val="20"/>
        </w:rPr>
        <w:t>d</w:t>
      </w:r>
      <w:r w:rsidR="009C3432" w:rsidRPr="009B75AA">
        <w:rPr>
          <w:b w:val="0"/>
          <w:vanish w:val="0"/>
          <w:sz w:val="20"/>
          <w:szCs w:val="20"/>
        </w:rPr>
        <w:t xml:space="preserve"> through the use of allocation limits.</w:t>
      </w:r>
      <w:r w:rsidR="00125950" w:rsidRPr="009B75AA">
        <w:rPr>
          <w:b w:val="0"/>
          <w:vanish w:val="0"/>
          <w:sz w:val="20"/>
          <w:szCs w:val="20"/>
        </w:rPr>
        <w:t xml:space="preserve"> </w:t>
      </w:r>
      <w:r w:rsidR="00057CB3" w:rsidRPr="00057CB3">
        <w:rPr>
          <w:b w:val="0"/>
          <w:vanish w:val="0"/>
          <w:sz w:val="20"/>
          <w:szCs w:val="20"/>
        </w:rPr>
        <w:t>In the past when seeking to directly allocate spectrum under s</w:t>
      </w:r>
      <w:r w:rsidR="00DB2500">
        <w:rPr>
          <w:b w:val="0"/>
          <w:vanish w:val="0"/>
          <w:sz w:val="20"/>
          <w:szCs w:val="20"/>
        </w:rPr>
        <w:t xml:space="preserve">ection </w:t>
      </w:r>
      <w:r w:rsidR="00057CB3" w:rsidRPr="00057CB3">
        <w:rPr>
          <w:b w:val="0"/>
          <w:vanish w:val="0"/>
          <w:sz w:val="20"/>
          <w:szCs w:val="20"/>
        </w:rPr>
        <w:t xml:space="preserve">60 of the </w:t>
      </w:r>
      <w:r w:rsidR="00057CB3" w:rsidRPr="00A163A9">
        <w:rPr>
          <w:b w:val="0"/>
          <w:i/>
          <w:iCs/>
          <w:vanish w:val="0"/>
          <w:sz w:val="20"/>
          <w:szCs w:val="20"/>
        </w:rPr>
        <w:t>Radiocommunications Act 1992</w:t>
      </w:r>
      <w:r w:rsidR="00057CB3" w:rsidRPr="00057CB3">
        <w:rPr>
          <w:b w:val="0"/>
          <w:vanish w:val="0"/>
          <w:sz w:val="20"/>
          <w:szCs w:val="20"/>
        </w:rPr>
        <w:t>, the Minister’s power to set spectrum allocation limits has been considered.</w:t>
      </w:r>
      <w:r w:rsidR="00057CB3" w:rsidRPr="00000CC7">
        <w:rPr>
          <w:b w:val="0"/>
          <w:vanish w:val="0"/>
          <w:sz w:val="20"/>
          <w:szCs w:val="20"/>
          <w:vertAlign w:val="superscript"/>
        </w:rPr>
        <w:footnoteReference w:id="3"/>
      </w:r>
      <w:r w:rsidR="00057CB3" w:rsidRPr="00057CB3">
        <w:rPr>
          <w:b w:val="0"/>
          <w:vanish w:val="0"/>
          <w:sz w:val="20"/>
          <w:szCs w:val="20"/>
        </w:rPr>
        <w:t xml:space="preserve"> Such an approach is referred to in other countries as ‘spectrum set-asides’.</w:t>
      </w:r>
    </w:p>
    <w:p w14:paraId="088856F6" w14:textId="7DD4F0A4" w:rsidR="008C3536" w:rsidRDefault="00465223" w:rsidP="008C3536">
      <w:pPr>
        <w:pStyle w:val="Paragraphbeforelist"/>
        <w:spacing w:after="240"/>
      </w:pPr>
      <w:r>
        <w:rPr>
          <w:szCs w:val="20"/>
        </w:rPr>
        <w:t>In the event</w:t>
      </w:r>
      <w:r w:rsidR="008C3536" w:rsidRPr="00504F08">
        <w:rPr>
          <w:szCs w:val="20"/>
        </w:rPr>
        <w:t xml:space="preserve"> Minister decides to use</w:t>
      </w:r>
      <w:r w:rsidR="008C3536">
        <w:t xml:space="preserve"> allocation limits to </w:t>
      </w:r>
      <w:r w:rsidR="000C2668">
        <w:t xml:space="preserve">ensure </w:t>
      </w:r>
      <w:r w:rsidR="008C3536">
        <w:t>consumer service</w:t>
      </w:r>
      <w:r w:rsidR="000C2668">
        <w:t xml:space="preserve"> continuity</w:t>
      </w:r>
      <w:r w:rsidR="00DB2500">
        <w:t>,</w:t>
      </w:r>
      <w:r w:rsidR="008C3536">
        <w:t xml:space="preserve"> there is no reason to have an extended reallocation period as envisaged under the ‘encumbered auction’ option outlined in the </w:t>
      </w:r>
      <w:hyperlink r:id="rId25" w:history="1">
        <w:r w:rsidR="008C3536" w:rsidRPr="00A163A9">
          <w:rPr>
            <w:rStyle w:val="Hyperlink"/>
          </w:rPr>
          <w:t>Reconfiguring the 900</w:t>
        </w:r>
        <w:r w:rsidR="004D3028" w:rsidRPr="00A163A9">
          <w:rPr>
            <w:rStyle w:val="Hyperlink"/>
          </w:rPr>
          <w:t> MHz</w:t>
        </w:r>
        <w:r w:rsidR="008C3536" w:rsidRPr="00A163A9">
          <w:rPr>
            <w:rStyle w:val="Hyperlink"/>
          </w:rPr>
          <w:t xml:space="preserve"> band</w:t>
        </w:r>
        <w:r w:rsidR="00DB2500">
          <w:rPr>
            <w:rStyle w:val="Hyperlink"/>
          </w:rPr>
          <w:t xml:space="preserve"> op</w:t>
        </w:r>
        <w:r w:rsidR="008C3536" w:rsidRPr="00A163A9">
          <w:rPr>
            <w:rStyle w:val="Hyperlink"/>
          </w:rPr>
          <w:t>tions paper</w:t>
        </w:r>
      </w:hyperlink>
      <w:r w:rsidR="008C3536">
        <w:t>.</w:t>
      </w:r>
      <w:r w:rsidRPr="00465223">
        <w:rPr>
          <w:szCs w:val="20"/>
        </w:rPr>
        <w:t xml:space="preserve"> </w:t>
      </w:r>
      <w:r>
        <w:rPr>
          <w:szCs w:val="20"/>
        </w:rPr>
        <w:t xml:space="preserve">Should the Minister decide not to direct the use of allocation limits in these terms, then the </w:t>
      </w:r>
      <w:r w:rsidRPr="009B75AA">
        <w:rPr>
          <w:szCs w:val="20"/>
        </w:rPr>
        <w:t>‘</w:t>
      </w:r>
      <w:r>
        <w:rPr>
          <w:szCs w:val="20"/>
        </w:rPr>
        <w:t>encumbered auction</w:t>
      </w:r>
      <w:r w:rsidRPr="009B75AA">
        <w:rPr>
          <w:szCs w:val="20"/>
        </w:rPr>
        <w:t>’</w:t>
      </w:r>
      <w:r>
        <w:rPr>
          <w:szCs w:val="20"/>
        </w:rPr>
        <w:t xml:space="preserve"> option, which employed a lengthy transition window to the new configuration, would remain available to mitigate risks to consumer services.</w:t>
      </w:r>
    </w:p>
    <w:p w14:paraId="16204D4D" w14:textId="2FBA4221" w:rsidR="00563E8F" w:rsidRDefault="00563E8F" w:rsidP="00A163A9">
      <w:pPr>
        <w:pStyle w:val="Paragraphbeforelist"/>
      </w:pPr>
      <w:r>
        <w:t>The hybrid option</w:t>
      </w:r>
      <w:r w:rsidR="00AE7706">
        <w:t xml:space="preserve">, raised in the consultation paper, was intended to </w:t>
      </w:r>
      <w:r w:rsidR="00522FA3">
        <w:t>ensure</w:t>
      </w:r>
      <w:r>
        <w:t xml:space="preserve"> </w:t>
      </w:r>
      <w:r w:rsidR="00AE7706">
        <w:t xml:space="preserve">continuity of </w:t>
      </w:r>
      <w:r>
        <w:t xml:space="preserve">consumer services </w:t>
      </w:r>
      <w:r w:rsidR="00847FD0">
        <w:t>where each</w:t>
      </w:r>
      <w:r>
        <w:t xml:space="preserve"> incumbent licensee receive</w:t>
      </w:r>
      <w:r w:rsidR="00AE7706">
        <w:t>s</w:t>
      </w:r>
      <w:r>
        <w:t xml:space="preserve"> one converted </w:t>
      </w:r>
      <w:r w:rsidR="00DB2500">
        <w:br/>
      </w:r>
      <w:r>
        <w:t>2</w:t>
      </w:r>
      <w:r w:rsidR="00DB2500">
        <w:t xml:space="preserve"> </w:t>
      </w:r>
      <w:r>
        <w:t>x</w:t>
      </w:r>
      <w:r w:rsidR="00DB2500">
        <w:t xml:space="preserve"> </w:t>
      </w:r>
      <w:r>
        <w:t>5</w:t>
      </w:r>
      <w:r w:rsidR="004D3028">
        <w:t> MHz</w:t>
      </w:r>
      <w:r>
        <w:t xml:space="preserve"> lot, with the residual spectrum being auctioned. However, there are a number of drawbacks </w:t>
      </w:r>
      <w:r w:rsidR="00AE7706">
        <w:t xml:space="preserve">identified </w:t>
      </w:r>
      <w:r>
        <w:t>with this option:</w:t>
      </w:r>
    </w:p>
    <w:p w14:paraId="70423B3E" w14:textId="300A7136" w:rsidR="00563E8F" w:rsidRDefault="00563E8F" w:rsidP="00A163A9">
      <w:pPr>
        <w:pStyle w:val="Bulletlevel1"/>
      </w:pPr>
      <w:r>
        <w:t xml:space="preserve">the hybrid option </w:t>
      </w:r>
      <w:r w:rsidR="00F73DDF">
        <w:t>included conversion to spectrum licensing with</w:t>
      </w:r>
      <w:r>
        <w:t>in the 900</w:t>
      </w:r>
      <w:r w:rsidR="004D3028">
        <w:t> MHz</w:t>
      </w:r>
      <w:r>
        <w:t xml:space="preserve"> band (as opposed to either the 900</w:t>
      </w:r>
      <w:r w:rsidR="004D3028">
        <w:t> MHz</w:t>
      </w:r>
      <w:r>
        <w:t xml:space="preserve"> or the 850</w:t>
      </w:r>
      <w:r w:rsidR="004D3028">
        <w:t> MHz</w:t>
      </w:r>
      <w:r>
        <w:t xml:space="preserve"> expansion band). It is not possible to convert a</w:t>
      </w:r>
      <w:r w:rsidR="00585599">
        <w:t xml:space="preserve"> 900</w:t>
      </w:r>
      <w:r w:rsidR="004D3028">
        <w:t> MHz</w:t>
      </w:r>
      <w:r w:rsidR="00585599">
        <w:t xml:space="preserve"> </w:t>
      </w:r>
      <w:r>
        <w:t xml:space="preserve">apparatus licence into </w:t>
      </w:r>
      <w:r w:rsidR="00585599">
        <w:t xml:space="preserve">a spectrum licence in the </w:t>
      </w:r>
      <w:r>
        <w:t>850</w:t>
      </w:r>
      <w:r w:rsidR="004D3028">
        <w:t> MHz</w:t>
      </w:r>
      <w:r>
        <w:t xml:space="preserve"> expansion band prior to mid-2024 given that this band will be encumbered until that date. This would mean the band would be likely to retain the current level of fragmentation. </w:t>
      </w:r>
    </w:p>
    <w:p w14:paraId="37E7A32C" w14:textId="458073EF" w:rsidR="00563E8F" w:rsidRDefault="00563E8F" w:rsidP="00A163A9">
      <w:pPr>
        <w:pStyle w:val="Bulletlevel1"/>
      </w:pPr>
      <w:r>
        <w:t>the auction part of the hybrid option would be likely to be heavily constrained, with only blocks 2 and 4 (in the 900</w:t>
      </w:r>
      <w:r w:rsidR="004D3028">
        <w:t> MHz</w:t>
      </w:r>
      <w:r>
        <w:t xml:space="preserve"> band) put up for auction along with the 850</w:t>
      </w:r>
      <w:r w:rsidR="004D3028">
        <w:t> MHz</w:t>
      </w:r>
      <w:r>
        <w:t xml:space="preserve"> expansion band. Because of the synergies between lots (i.e. 2x10</w:t>
      </w:r>
      <w:r w:rsidR="004D3028">
        <w:t> MHz</w:t>
      </w:r>
      <w:r>
        <w:t xml:space="preserve"> is worth more than double 2x5</w:t>
      </w:r>
      <w:r w:rsidR="004D3028">
        <w:t> MHz</w:t>
      </w:r>
      <w:r>
        <w:t xml:space="preserve">), this would </w:t>
      </w:r>
      <w:r w:rsidR="00EC736D">
        <w:t>likely</w:t>
      </w:r>
      <w:r>
        <w:t xml:space="preserve"> preclude a new entrant purchasing 900</w:t>
      </w:r>
      <w:r w:rsidR="004D3028">
        <w:t> MHz</w:t>
      </w:r>
      <w:r>
        <w:t xml:space="preserve"> band spectrum within the band to aid market entry. </w:t>
      </w:r>
    </w:p>
    <w:p w14:paraId="4C6BAD52" w14:textId="0FE32A92" w:rsidR="00563E8F" w:rsidRDefault="00563E8F" w:rsidP="00A163A9">
      <w:pPr>
        <w:pStyle w:val="Bulletlevel1last"/>
      </w:pPr>
      <w:r>
        <w:lastRenderedPageBreak/>
        <w:t xml:space="preserve">the process </w:t>
      </w:r>
      <w:r w:rsidRPr="00F82E40">
        <w:t>for allocating the 2</w:t>
      </w:r>
      <w:r w:rsidR="009C7250">
        <w:t>x</w:t>
      </w:r>
      <w:r w:rsidRPr="00F82E40">
        <w:t>1</w:t>
      </w:r>
      <w:r w:rsidR="004D3028">
        <w:t> MHz</w:t>
      </w:r>
      <w:r w:rsidRPr="00F82E40">
        <w:t xml:space="preserve"> under </w:t>
      </w:r>
      <w:r>
        <w:t xml:space="preserve">the hybrid </w:t>
      </w:r>
      <w:r w:rsidRPr="00F82E40">
        <w:t xml:space="preserve">option </w:t>
      </w:r>
      <w:r>
        <w:t xml:space="preserve">is complex – allocation would need to occur </w:t>
      </w:r>
      <w:r w:rsidRPr="00F82E40">
        <w:t>via auction in the same process as the remaining 900</w:t>
      </w:r>
      <w:r w:rsidR="004D3028">
        <w:t> MHz</w:t>
      </w:r>
      <w:r w:rsidRPr="00F82E40">
        <w:t xml:space="preserve"> lots/850</w:t>
      </w:r>
      <w:r w:rsidR="004D3028">
        <w:t> MHz</w:t>
      </w:r>
      <w:r w:rsidRPr="00F82E40">
        <w:t xml:space="preserve"> expansion band (but as a separate lot)</w:t>
      </w:r>
      <w:r>
        <w:t>.</w:t>
      </w:r>
    </w:p>
    <w:p w14:paraId="59E4F090" w14:textId="6D20CBB8" w:rsidR="006F1B5E" w:rsidRPr="00E673D9" w:rsidRDefault="006F1B5E" w:rsidP="006F1B5E">
      <w:pPr>
        <w:pStyle w:val="ACMAInstructions"/>
        <w:spacing w:after="240"/>
        <w:rPr>
          <w:b w:val="0"/>
          <w:vanish w:val="0"/>
          <w:sz w:val="20"/>
          <w:szCs w:val="20"/>
        </w:rPr>
      </w:pPr>
      <w:r>
        <w:rPr>
          <w:b w:val="0"/>
          <w:vanish w:val="0"/>
          <w:sz w:val="20"/>
          <w:szCs w:val="20"/>
        </w:rPr>
        <w:t xml:space="preserve">Through the use of the Minister’s allocation limits powers, it is possible to provide certainty for incumbent licensees, but also reallocate the entire band. It provides for a key advantage </w:t>
      </w:r>
      <w:r w:rsidR="00F15BEC">
        <w:rPr>
          <w:b w:val="0"/>
          <w:vanish w:val="0"/>
          <w:sz w:val="20"/>
          <w:szCs w:val="20"/>
        </w:rPr>
        <w:t xml:space="preserve">(relative to the hybrid option) </w:t>
      </w:r>
      <w:r>
        <w:rPr>
          <w:b w:val="0"/>
          <w:vanish w:val="0"/>
          <w:sz w:val="20"/>
          <w:szCs w:val="20"/>
        </w:rPr>
        <w:t xml:space="preserve">in that the spectral position of the </w:t>
      </w:r>
      <w:r w:rsidR="00934AF9">
        <w:rPr>
          <w:b w:val="0"/>
          <w:vanish w:val="0"/>
          <w:sz w:val="20"/>
          <w:szCs w:val="20"/>
        </w:rPr>
        <w:t xml:space="preserve">‘set-aside’ </w:t>
      </w:r>
      <w:r>
        <w:rPr>
          <w:b w:val="0"/>
          <w:vanish w:val="0"/>
          <w:sz w:val="20"/>
          <w:szCs w:val="20"/>
        </w:rPr>
        <w:t>lots is not confined to the 900</w:t>
      </w:r>
      <w:r w:rsidR="004D3028">
        <w:rPr>
          <w:b w:val="0"/>
          <w:vanish w:val="0"/>
          <w:sz w:val="20"/>
          <w:szCs w:val="20"/>
        </w:rPr>
        <w:t> MHz</w:t>
      </w:r>
      <w:r>
        <w:rPr>
          <w:b w:val="0"/>
          <w:vanish w:val="0"/>
          <w:sz w:val="20"/>
          <w:szCs w:val="20"/>
        </w:rPr>
        <w:t xml:space="preserve"> band. In addition, this option facilitate</w:t>
      </w:r>
      <w:r w:rsidR="001B110B">
        <w:rPr>
          <w:b w:val="0"/>
          <w:vanish w:val="0"/>
          <w:sz w:val="20"/>
          <w:szCs w:val="20"/>
        </w:rPr>
        <w:t>s</w:t>
      </w:r>
      <w:r>
        <w:rPr>
          <w:b w:val="0"/>
          <w:vanish w:val="0"/>
          <w:sz w:val="20"/>
          <w:szCs w:val="20"/>
        </w:rPr>
        <w:t xml:space="preserve"> the use of </w:t>
      </w:r>
      <w:r w:rsidR="008C10A9">
        <w:rPr>
          <w:b w:val="0"/>
          <w:vanish w:val="0"/>
          <w:sz w:val="20"/>
          <w:szCs w:val="20"/>
        </w:rPr>
        <w:t>market-based allocation mechanisms</w:t>
      </w:r>
      <w:r w:rsidR="00000CC7">
        <w:rPr>
          <w:b w:val="0"/>
          <w:vanish w:val="0"/>
          <w:sz w:val="20"/>
          <w:szCs w:val="20"/>
        </w:rPr>
        <w:t xml:space="preserve"> and may also enhance the ability of </w:t>
      </w:r>
      <w:r w:rsidR="0084540F">
        <w:rPr>
          <w:b w:val="0"/>
          <w:vanish w:val="0"/>
          <w:sz w:val="20"/>
          <w:szCs w:val="20"/>
        </w:rPr>
        <w:t xml:space="preserve">potential </w:t>
      </w:r>
      <w:r w:rsidR="00000CC7">
        <w:rPr>
          <w:b w:val="0"/>
          <w:vanish w:val="0"/>
          <w:sz w:val="20"/>
          <w:szCs w:val="20"/>
        </w:rPr>
        <w:t>new entrants to participate in the allocation.</w:t>
      </w:r>
    </w:p>
    <w:p w14:paraId="0115E25E" w14:textId="44452076" w:rsidR="00A95100" w:rsidRDefault="00A95100" w:rsidP="00A95100">
      <w:pPr>
        <w:widowControl w:val="0"/>
      </w:pPr>
      <w:r>
        <w:t xml:space="preserve">In the event the Minister decides to ensure continuity of services via the use </w:t>
      </w:r>
      <w:r w:rsidR="0011372A">
        <w:t>o</w:t>
      </w:r>
      <w:r>
        <w:t>f allocation limits, the ACMA will continue to work with stakeholders to discuss details about the implementation</w:t>
      </w:r>
      <w:r w:rsidR="000E0506">
        <w:t xml:space="preserve"> of the allocation</w:t>
      </w:r>
      <w:r>
        <w:t xml:space="preserve">. </w:t>
      </w:r>
    </w:p>
    <w:p w14:paraId="3FF82BE3" w14:textId="6BEC728F" w:rsidR="00E85A49" w:rsidRPr="009B75AA" w:rsidRDefault="00346D9B" w:rsidP="00710A39">
      <w:pPr>
        <w:pStyle w:val="Heading2"/>
      </w:pPr>
      <w:bookmarkStart w:id="14" w:name="_Toc27405672"/>
      <w:r w:rsidRPr="00710A39">
        <w:t xml:space="preserve">Combined allocation </w:t>
      </w:r>
      <w:r w:rsidR="00E85A49" w:rsidRPr="00710A39">
        <w:t>with 850</w:t>
      </w:r>
      <w:r w:rsidR="004D3028">
        <w:t> MHz</w:t>
      </w:r>
      <w:r w:rsidR="00E85A49" w:rsidRPr="00710A39">
        <w:t xml:space="preserve"> expansion band</w:t>
      </w:r>
      <w:bookmarkEnd w:id="14"/>
      <w:r w:rsidRPr="00710A39">
        <w:t xml:space="preserve"> </w:t>
      </w:r>
    </w:p>
    <w:p w14:paraId="2EB8821A" w14:textId="6D874430" w:rsidR="00E85A49" w:rsidRDefault="00E30F98" w:rsidP="0015456D">
      <w:pPr>
        <w:pStyle w:val="ACMAInstructions"/>
        <w:spacing w:after="240"/>
        <w:rPr>
          <w:b w:val="0"/>
          <w:vanish w:val="0"/>
          <w:sz w:val="20"/>
          <w:szCs w:val="20"/>
        </w:rPr>
      </w:pPr>
      <w:r w:rsidRPr="00E30F98">
        <w:rPr>
          <w:b w:val="0"/>
          <w:vanish w:val="0"/>
          <w:sz w:val="20"/>
          <w:szCs w:val="20"/>
        </w:rPr>
        <w:t>The ACMA considers the 850</w:t>
      </w:r>
      <w:r w:rsidR="004D3028">
        <w:rPr>
          <w:b w:val="0"/>
          <w:vanish w:val="0"/>
          <w:sz w:val="20"/>
          <w:szCs w:val="20"/>
        </w:rPr>
        <w:t> MHz</w:t>
      </w:r>
      <w:r w:rsidRPr="00E30F98">
        <w:rPr>
          <w:b w:val="0"/>
          <w:vanish w:val="0"/>
          <w:sz w:val="20"/>
          <w:szCs w:val="20"/>
        </w:rPr>
        <w:t xml:space="preserve"> expansion band and 900</w:t>
      </w:r>
      <w:r w:rsidR="004D3028">
        <w:rPr>
          <w:b w:val="0"/>
          <w:vanish w:val="0"/>
          <w:sz w:val="20"/>
          <w:szCs w:val="20"/>
        </w:rPr>
        <w:t> MHz</w:t>
      </w:r>
      <w:r w:rsidRPr="00E30F98">
        <w:rPr>
          <w:b w:val="0"/>
          <w:vanish w:val="0"/>
          <w:sz w:val="20"/>
          <w:szCs w:val="20"/>
        </w:rPr>
        <w:t xml:space="preserve"> band spectrum are </w:t>
      </w:r>
      <w:r w:rsidR="000B1B45">
        <w:rPr>
          <w:b w:val="0"/>
          <w:vanish w:val="0"/>
          <w:sz w:val="20"/>
          <w:szCs w:val="20"/>
        </w:rPr>
        <w:t xml:space="preserve">at least partially </w:t>
      </w:r>
      <w:r w:rsidRPr="00E30F98">
        <w:rPr>
          <w:b w:val="0"/>
          <w:vanish w:val="0"/>
          <w:sz w:val="20"/>
          <w:szCs w:val="20"/>
        </w:rPr>
        <w:t>substitut</w:t>
      </w:r>
      <w:r w:rsidR="007919C0">
        <w:rPr>
          <w:b w:val="0"/>
          <w:vanish w:val="0"/>
          <w:sz w:val="20"/>
          <w:szCs w:val="20"/>
        </w:rPr>
        <w:t>able</w:t>
      </w:r>
      <w:r w:rsidRPr="00E30F98">
        <w:rPr>
          <w:b w:val="0"/>
          <w:vanish w:val="0"/>
          <w:sz w:val="20"/>
          <w:szCs w:val="20"/>
        </w:rPr>
        <w:t>. Therefore, a combined allocation will enhance the efficiency of allocation and use of the spectrum.</w:t>
      </w:r>
      <w:r w:rsidR="7F3A6F2E" w:rsidRPr="00E30F98">
        <w:rPr>
          <w:b w:val="0"/>
          <w:vanish w:val="0"/>
          <w:sz w:val="20"/>
          <w:szCs w:val="20"/>
        </w:rPr>
        <w:t xml:space="preserve"> </w:t>
      </w:r>
      <w:r w:rsidR="0078169D">
        <w:rPr>
          <w:b w:val="0"/>
          <w:vanish w:val="0"/>
          <w:sz w:val="20"/>
          <w:szCs w:val="20"/>
        </w:rPr>
        <w:t xml:space="preserve">A combined allocation </w:t>
      </w:r>
      <w:r w:rsidR="00E85A49" w:rsidRPr="00E85A49">
        <w:rPr>
          <w:b w:val="0"/>
          <w:vanish w:val="0"/>
          <w:sz w:val="20"/>
          <w:szCs w:val="20"/>
        </w:rPr>
        <w:t>enable</w:t>
      </w:r>
      <w:r w:rsidR="00EC736D">
        <w:rPr>
          <w:b w:val="0"/>
          <w:vanish w:val="0"/>
          <w:sz w:val="20"/>
          <w:szCs w:val="20"/>
        </w:rPr>
        <w:t>s</w:t>
      </w:r>
      <w:r w:rsidR="00E85A49" w:rsidRPr="00E85A49">
        <w:rPr>
          <w:b w:val="0"/>
          <w:vanish w:val="0"/>
          <w:sz w:val="20"/>
          <w:szCs w:val="20"/>
        </w:rPr>
        <w:t xml:space="preserve"> larger (and more efficient) contiguous holdings by individual carriers.</w:t>
      </w:r>
    </w:p>
    <w:p w14:paraId="7763E2BA" w14:textId="1CEEA123" w:rsidR="00B63901" w:rsidRDefault="00372954" w:rsidP="00372954">
      <w:r>
        <w:t xml:space="preserve">The ACMA intends consulting on a draft reallocation recommendation </w:t>
      </w:r>
      <w:r w:rsidR="00B63901">
        <w:t>relating to the 850</w:t>
      </w:r>
      <w:r w:rsidR="004D3028">
        <w:t> MHz</w:t>
      </w:r>
      <w:r w:rsidR="00B63901">
        <w:t xml:space="preserve"> </w:t>
      </w:r>
      <w:r w:rsidR="009D18C6">
        <w:t xml:space="preserve">expansion </w:t>
      </w:r>
      <w:r w:rsidR="00B63901">
        <w:t xml:space="preserve">band </w:t>
      </w:r>
      <w:r>
        <w:t xml:space="preserve">that </w:t>
      </w:r>
      <w:r w:rsidR="00B63901">
        <w:t>w</w:t>
      </w:r>
      <w:r w:rsidR="000539B3">
        <w:t>ill</w:t>
      </w:r>
      <w:r w:rsidR="00B63901">
        <w:t xml:space="preserve"> be consistent with previous ACMA decisions on the timing of clearance of existing apparatus licences from that band. In accordance with these decisions, final clearance of legacy apparatus-licensed services from the </w:t>
      </w:r>
      <w:r w:rsidR="00F36BBF">
        <w:t>850</w:t>
      </w:r>
      <w:r w:rsidR="004D3028">
        <w:t> MHz</w:t>
      </w:r>
      <w:r w:rsidR="00F36BBF">
        <w:t xml:space="preserve"> </w:t>
      </w:r>
      <w:r w:rsidR="00B63901">
        <w:t xml:space="preserve">expansion band will not be completed until </w:t>
      </w:r>
      <w:r w:rsidR="008A1017">
        <w:t>mid-</w:t>
      </w:r>
      <w:r w:rsidR="00B63901">
        <w:t>2024.</w:t>
      </w:r>
      <w:r w:rsidR="00651A1B">
        <w:t xml:space="preserve"> Prior to final clearance of these services, the successful 850</w:t>
      </w:r>
      <w:r w:rsidR="004D3028">
        <w:t> MHz</w:t>
      </w:r>
      <w:r w:rsidR="00651A1B">
        <w:t xml:space="preserve"> expansion band spectrum licensee(s) w</w:t>
      </w:r>
      <w:r w:rsidR="009B56B5">
        <w:t>ill</w:t>
      </w:r>
      <w:r w:rsidR="00651A1B">
        <w:t xml:space="preserve"> be required either to negotiate for earlier clearance or coordinate access with incumbent apparatus-licensed operators until that clearance process has concluded.</w:t>
      </w:r>
    </w:p>
    <w:p w14:paraId="668B586D" w14:textId="47F9D0EC" w:rsidR="00BC5C19" w:rsidRDefault="007766D2" w:rsidP="007766D2">
      <w:pPr>
        <w:pStyle w:val="ACMAInstructions"/>
        <w:spacing w:after="240"/>
        <w:rPr>
          <w:b w:val="0"/>
          <w:vanish w:val="0"/>
          <w:sz w:val="20"/>
          <w:szCs w:val="20"/>
        </w:rPr>
      </w:pPr>
      <w:r>
        <w:rPr>
          <w:b w:val="0"/>
          <w:vanish w:val="0"/>
          <w:sz w:val="20"/>
          <w:szCs w:val="20"/>
        </w:rPr>
        <w:t>T</w:t>
      </w:r>
      <w:r w:rsidRPr="0072648B">
        <w:rPr>
          <w:b w:val="0"/>
          <w:vanish w:val="0"/>
          <w:sz w:val="20"/>
          <w:szCs w:val="20"/>
        </w:rPr>
        <w:t>he ACMA is aware that through COAG PSMB negotiations, there is a request to set aside 2</w:t>
      </w:r>
      <w:r w:rsidR="00823A9C">
        <w:rPr>
          <w:b w:val="0"/>
          <w:vanish w:val="0"/>
          <w:sz w:val="20"/>
          <w:szCs w:val="20"/>
        </w:rPr>
        <w:t xml:space="preserve"> </w:t>
      </w:r>
      <w:r w:rsidR="009C7250">
        <w:rPr>
          <w:b w:val="0"/>
          <w:vanish w:val="0"/>
          <w:sz w:val="20"/>
          <w:szCs w:val="20"/>
        </w:rPr>
        <w:t>x</w:t>
      </w:r>
      <w:r w:rsidR="00823A9C">
        <w:rPr>
          <w:b w:val="0"/>
          <w:vanish w:val="0"/>
          <w:sz w:val="20"/>
          <w:szCs w:val="20"/>
        </w:rPr>
        <w:t xml:space="preserve"> </w:t>
      </w:r>
      <w:r w:rsidRPr="0072648B">
        <w:rPr>
          <w:b w:val="0"/>
          <w:vanish w:val="0"/>
          <w:sz w:val="20"/>
          <w:szCs w:val="20"/>
        </w:rPr>
        <w:t>5</w:t>
      </w:r>
      <w:r w:rsidR="004D3028">
        <w:rPr>
          <w:b w:val="0"/>
          <w:vanish w:val="0"/>
          <w:sz w:val="20"/>
          <w:szCs w:val="20"/>
        </w:rPr>
        <w:t> MHz</w:t>
      </w:r>
      <w:r w:rsidRPr="0072648B">
        <w:rPr>
          <w:b w:val="0"/>
          <w:vanish w:val="0"/>
          <w:sz w:val="20"/>
          <w:szCs w:val="20"/>
        </w:rPr>
        <w:t xml:space="preserve"> of spectrum for a PSMB network</w:t>
      </w:r>
      <w:r>
        <w:rPr>
          <w:b w:val="0"/>
          <w:vanish w:val="0"/>
          <w:sz w:val="20"/>
          <w:szCs w:val="20"/>
        </w:rPr>
        <w:t xml:space="preserve"> in the 850</w:t>
      </w:r>
      <w:r w:rsidR="004D3028">
        <w:rPr>
          <w:b w:val="0"/>
          <w:vanish w:val="0"/>
          <w:sz w:val="20"/>
          <w:szCs w:val="20"/>
        </w:rPr>
        <w:t> MHz</w:t>
      </w:r>
      <w:r>
        <w:rPr>
          <w:b w:val="0"/>
          <w:vanish w:val="0"/>
          <w:sz w:val="20"/>
          <w:szCs w:val="20"/>
        </w:rPr>
        <w:t xml:space="preserve"> expansion band. </w:t>
      </w:r>
      <w:r w:rsidR="00BC5C19">
        <w:rPr>
          <w:b w:val="0"/>
          <w:vanish w:val="0"/>
          <w:sz w:val="20"/>
          <w:szCs w:val="20"/>
        </w:rPr>
        <w:t xml:space="preserve">The ACMA intends to </w:t>
      </w:r>
      <w:r w:rsidR="00C0409F">
        <w:rPr>
          <w:b w:val="0"/>
          <w:vanish w:val="0"/>
          <w:sz w:val="20"/>
          <w:szCs w:val="20"/>
        </w:rPr>
        <w:t xml:space="preserve">consult on a draft </w:t>
      </w:r>
      <w:r w:rsidR="00775AE9">
        <w:rPr>
          <w:b w:val="0"/>
          <w:vanish w:val="0"/>
          <w:sz w:val="20"/>
          <w:szCs w:val="20"/>
        </w:rPr>
        <w:t>reallocation recommendation</w:t>
      </w:r>
      <w:r w:rsidR="00C0409F">
        <w:rPr>
          <w:b w:val="0"/>
          <w:vanish w:val="0"/>
          <w:sz w:val="20"/>
          <w:szCs w:val="20"/>
        </w:rPr>
        <w:t xml:space="preserve"> that would </w:t>
      </w:r>
      <w:r w:rsidR="00207CD8">
        <w:rPr>
          <w:b w:val="0"/>
          <w:vanish w:val="0"/>
          <w:sz w:val="20"/>
          <w:szCs w:val="20"/>
        </w:rPr>
        <w:t>include the full 2</w:t>
      </w:r>
      <w:r w:rsidR="00823A9C">
        <w:rPr>
          <w:b w:val="0"/>
          <w:vanish w:val="0"/>
          <w:sz w:val="20"/>
          <w:szCs w:val="20"/>
        </w:rPr>
        <w:t xml:space="preserve"> </w:t>
      </w:r>
      <w:r w:rsidR="00207CD8">
        <w:rPr>
          <w:b w:val="0"/>
          <w:vanish w:val="0"/>
          <w:sz w:val="20"/>
          <w:szCs w:val="20"/>
        </w:rPr>
        <w:t>x</w:t>
      </w:r>
      <w:r w:rsidR="00823A9C">
        <w:rPr>
          <w:b w:val="0"/>
          <w:vanish w:val="0"/>
          <w:sz w:val="20"/>
          <w:szCs w:val="20"/>
        </w:rPr>
        <w:t xml:space="preserve"> </w:t>
      </w:r>
      <w:r w:rsidR="00207CD8">
        <w:rPr>
          <w:b w:val="0"/>
          <w:vanish w:val="0"/>
          <w:sz w:val="20"/>
          <w:szCs w:val="20"/>
        </w:rPr>
        <w:t>15 MHz in the 850 MHz expansion band</w:t>
      </w:r>
      <w:r w:rsidR="00B538AC">
        <w:rPr>
          <w:b w:val="0"/>
          <w:vanish w:val="0"/>
          <w:sz w:val="20"/>
          <w:szCs w:val="20"/>
        </w:rPr>
        <w:t xml:space="preserve">. However, we expect </w:t>
      </w:r>
      <w:r w:rsidR="00957E7D">
        <w:rPr>
          <w:b w:val="0"/>
          <w:vanish w:val="0"/>
          <w:sz w:val="20"/>
          <w:szCs w:val="20"/>
        </w:rPr>
        <w:t>that consistent with the COAG</w:t>
      </w:r>
      <w:r w:rsidR="00FE64E8">
        <w:rPr>
          <w:b w:val="0"/>
          <w:vanish w:val="0"/>
          <w:sz w:val="20"/>
          <w:szCs w:val="20"/>
        </w:rPr>
        <w:t xml:space="preserve"> PSMB</w:t>
      </w:r>
      <w:r w:rsidR="001A5FB9">
        <w:rPr>
          <w:b w:val="0"/>
          <w:vanish w:val="0"/>
          <w:sz w:val="20"/>
          <w:szCs w:val="20"/>
        </w:rPr>
        <w:t xml:space="preserve"> request, 2</w:t>
      </w:r>
      <w:r w:rsidR="00823A9C">
        <w:rPr>
          <w:b w:val="0"/>
          <w:vanish w:val="0"/>
          <w:sz w:val="20"/>
          <w:szCs w:val="20"/>
        </w:rPr>
        <w:t xml:space="preserve"> </w:t>
      </w:r>
      <w:r w:rsidR="001A5FB9">
        <w:rPr>
          <w:b w:val="0"/>
          <w:vanish w:val="0"/>
          <w:sz w:val="20"/>
          <w:szCs w:val="20"/>
        </w:rPr>
        <w:t>x</w:t>
      </w:r>
      <w:r w:rsidR="00823A9C">
        <w:rPr>
          <w:b w:val="0"/>
          <w:vanish w:val="0"/>
          <w:sz w:val="20"/>
          <w:szCs w:val="20"/>
        </w:rPr>
        <w:t xml:space="preserve"> </w:t>
      </w:r>
      <w:r w:rsidR="001A5FB9">
        <w:rPr>
          <w:b w:val="0"/>
          <w:vanish w:val="0"/>
          <w:sz w:val="20"/>
          <w:szCs w:val="20"/>
        </w:rPr>
        <w:t xml:space="preserve">5 MHz of this spectrum will be </w:t>
      </w:r>
      <w:r w:rsidR="00F162C6">
        <w:rPr>
          <w:b w:val="0"/>
          <w:vanish w:val="0"/>
          <w:sz w:val="20"/>
          <w:szCs w:val="20"/>
        </w:rPr>
        <w:t xml:space="preserve">withheld </w:t>
      </w:r>
      <w:r w:rsidR="00E741FA">
        <w:rPr>
          <w:b w:val="0"/>
          <w:vanish w:val="0"/>
          <w:sz w:val="20"/>
          <w:szCs w:val="20"/>
        </w:rPr>
        <w:t>from the price-based allocation</w:t>
      </w:r>
      <w:r w:rsidR="00D91DF3">
        <w:rPr>
          <w:b w:val="0"/>
          <w:vanish w:val="0"/>
          <w:sz w:val="20"/>
          <w:szCs w:val="20"/>
        </w:rPr>
        <w:t>.</w:t>
      </w:r>
    </w:p>
    <w:p w14:paraId="240AAB2D" w14:textId="77777777" w:rsidR="006F7D15" w:rsidRPr="00710A39" w:rsidRDefault="006F7D15" w:rsidP="00710A39">
      <w:pPr>
        <w:pStyle w:val="Heading2"/>
      </w:pPr>
      <w:bookmarkStart w:id="15" w:name="_Toc27405673"/>
      <w:r w:rsidRPr="00710A39">
        <w:t>Allocation format</w:t>
      </w:r>
      <w:bookmarkEnd w:id="15"/>
    </w:p>
    <w:p w14:paraId="4855B4DD" w14:textId="5FF0DDC1" w:rsidR="00F07BD4" w:rsidRDefault="00135271" w:rsidP="00F07BD4">
      <w:r>
        <w:t>As part of this process</w:t>
      </w:r>
      <w:r w:rsidR="00AE780D">
        <w:t>,</w:t>
      </w:r>
      <w:r w:rsidR="00F07BD4">
        <w:t xml:space="preserve"> the </w:t>
      </w:r>
      <w:r w:rsidR="00F07BD4" w:rsidRPr="002301F0">
        <w:t xml:space="preserve">ACMA </w:t>
      </w:r>
      <w:r>
        <w:t xml:space="preserve">will </w:t>
      </w:r>
      <w:r w:rsidR="00F07BD4" w:rsidRPr="002301F0">
        <w:t xml:space="preserve">allocate </w:t>
      </w:r>
      <w:r w:rsidR="00F07BD4">
        <w:t xml:space="preserve">the </w:t>
      </w:r>
      <w:r w:rsidR="00F07BD4" w:rsidRPr="002301F0">
        <w:t xml:space="preserve">spectrum licences </w:t>
      </w:r>
      <w:r w:rsidR="00F07BD4">
        <w:t xml:space="preserve">in accordance with section 60 of the Act—that is, via </w:t>
      </w:r>
      <w:r w:rsidR="00F07BD4" w:rsidRPr="002301F0">
        <w:t xml:space="preserve">auction, </w:t>
      </w:r>
      <w:r w:rsidR="00F07BD4">
        <w:t xml:space="preserve">via </w:t>
      </w:r>
      <w:r w:rsidR="00F07BD4" w:rsidRPr="002301F0">
        <w:t>tender or for a predetermined or negotiated price.</w:t>
      </w:r>
      <w:r w:rsidR="00CA2BAE">
        <w:t xml:space="preserve"> Format is typically determined </w:t>
      </w:r>
      <w:r w:rsidR="00262434">
        <w:t>following a reallocation recommendation.</w:t>
      </w:r>
    </w:p>
    <w:p w14:paraId="1B08621F" w14:textId="77777777" w:rsidR="006B4EB3" w:rsidRDefault="00552539" w:rsidP="00F07BD4">
      <w:r>
        <w:t xml:space="preserve">At this stage the ACMA is considering a number of potential approaches </w:t>
      </w:r>
      <w:r w:rsidR="00B44970">
        <w:t xml:space="preserve">to allocating the bands, including </w:t>
      </w:r>
      <w:r w:rsidR="005567F0">
        <w:t>simultaneous multi-round ascending (SMRA) auction formats</w:t>
      </w:r>
      <w:r w:rsidR="00B44970">
        <w:t xml:space="preserve">, the </w:t>
      </w:r>
      <w:r w:rsidR="00491067">
        <w:t xml:space="preserve">‘enhanced’ SMRA auction format (ESMRA) used in the </w:t>
      </w:r>
      <w:r w:rsidR="000F5C7D">
        <w:t xml:space="preserve">3.6 GHz auction, or a </w:t>
      </w:r>
      <w:r w:rsidR="00247DC3">
        <w:t xml:space="preserve">combinatorial </w:t>
      </w:r>
      <w:r w:rsidR="000F5C7D">
        <w:t xml:space="preserve">sealed-bid </w:t>
      </w:r>
      <w:r w:rsidR="00247DC3">
        <w:t>approach.</w:t>
      </w:r>
    </w:p>
    <w:p w14:paraId="2BA8FEF4" w14:textId="77777777" w:rsidR="0096546F" w:rsidRPr="009B75AA" w:rsidRDefault="0096546F" w:rsidP="00710A39">
      <w:pPr>
        <w:pStyle w:val="Heading3"/>
      </w:pPr>
      <w:bookmarkStart w:id="16" w:name="_Toc8207136"/>
      <w:bookmarkStart w:id="17" w:name="_Toc496527419"/>
      <w:bookmarkStart w:id="18" w:name="_Toc496527244"/>
      <w:bookmarkStart w:id="19" w:name="_Toc496277732"/>
      <w:bookmarkStart w:id="20" w:name="_Toc496277333"/>
      <w:bookmarkStart w:id="21" w:name="_Toc27405674"/>
      <w:r w:rsidRPr="00710A39">
        <w:t>Simultaneous multi-round ascending auction format</w:t>
      </w:r>
      <w:bookmarkEnd w:id="16"/>
      <w:bookmarkEnd w:id="17"/>
      <w:bookmarkEnd w:id="18"/>
      <w:bookmarkEnd w:id="19"/>
      <w:bookmarkEnd w:id="20"/>
      <w:bookmarkEnd w:id="21"/>
    </w:p>
    <w:p w14:paraId="0D499941" w14:textId="5BF93E78" w:rsidR="0096546F" w:rsidRDefault="0096546F" w:rsidP="0096546F">
      <w:r>
        <w:t xml:space="preserve">In the standard SMRA auction format, all lots are open for bidding at the same time and all lots remain open while acceptable bids are placed on any lot. The SMRA format is an open ascending auction format and features </w:t>
      </w:r>
      <w:r w:rsidR="008A1017">
        <w:t xml:space="preserve">a </w:t>
      </w:r>
      <w:r w:rsidRPr="00D74AF0">
        <w:t xml:space="preserve">simple price discovery process. </w:t>
      </w:r>
      <w:r>
        <w:t xml:space="preserve">In past auctions, bidders have been able to </w:t>
      </w:r>
      <w:r w:rsidRPr="00D74AF0">
        <w:t>piece together desirable packages of items</w:t>
      </w:r>
      <w:r>
        <w:t xml:space="preserve"> across many rounds.</w:t>
      </w:r>
      <w:r w:rsidR="005807F6">
        <w:t xml:space="preserve"> </w:t>
      </w:r>
    </w:p>
    <w:p w14:paraId="5B891872" w14:textId="77777777" w:rsidR="00210738" w:rsidRPr="009B75AA" w:rsidRDefault="00210738" w:rsidP="00710A39">
      <w:pPr>
        <w:pStyle w:val="Heading3"/>
      </w:pPr>
      <w:bookmarkStart w:id="22" w:name="_Toc27405675"/>
      <w:r w:rsidRPr="00710A39">
        <w:lastRenderedPageBreak/>
        <w:t>Enhanced SMRA format</w:t>
      </w:r>
      <w:bookmarkEnd w:id="22"/>
    </w:p>
    <w:p w14:paraId="357BB258" w14:textId="43857B18" w:rsidR="00210738" w:rsidRDefault="00210738" w:rsidP="00210738">
      <w:pPr>
        <w:rPr>
          <w:rFonts w:cs="Arial"/>
        </w:rPr>
      </w:pPr>
      <w:r>
        <w:t>This ‘enhanced’ SMRA auction format</w:t>
      </w:r>
      <w:r w:rsidR="00823A9C">
        <w:t>,</w:t>
      </w:r>
      <w:r>
        <w:t xml:space="preserve"> or ESMRA</w:t>
      </w:r>
      <w:r w:rsidR="00823A9C">
        <w:t>,</w:t>
      </w:r>
      <w:r>
        <w:t xml:space="preserve"> is a generic lot clock auction format. The allocation stage offers frequency-generic lots for each </w:t>
      </w:r>
      <w:r w:rsidR="00FE56EE">
        <w:t>product</w:t>
      </w:r>
      <w:r>
        <w:t xml:space="preserve">. </w:t>
      </w:r>
      <w:r>
        <w:rPr>
          <w:rFonts w:cs="Arial"/>
        </w:rPr>
        <w:t xml:space="preserve">If demand exceeds supply for any product, the auction continues to the next round. The allocation stage concludes when there is no excess demand across all products. </w:t>
      </w:r>
    </w:p>
    <w:p w14:paraId="6575A725" w14:textId="77777777" w:rsidR="00210738" w:rsidRDefault="00210738" w:rsidP="00210738">
      <w:r>
        <w:t>The next stage—an assignment stage—determines the specific frequency ranges awarded to each winning bidder from the first stage.</w:t>
      </w:r>
      <w:r>
        <w:rPr>
          <w:rFonts w:cs="Arial"/>
        </w:rPr>
        <w:t xml:space="preserve"> While there is no requirement for a bidder to bid during the assignment stage, this stage gives bidders the opportunity to submit additional bids, at prices they choose, to express their preferences for particular frequency assignments for each product. </w:t>
      </w:r>
    </w:p>
    <w:p w14:paraId="6D9A13BA" w14:textId="77777777" w:rsidR="0096546F" w:rsidRPr="00710A39" w:rsidRDefault="0017302E" w:rsidP="00710A39">
      <w:pPr>
        <w:pStyle w:val="Heading3"/>
      </w:pPr>
      <w:bookmarkStart w:id="23" w:name="_Toc27405676"/>
      <w:r w:rsidRPr="00710A39">
        <w:t>Package</w:t>
      </w:r>
      <w:r w:rsidR="008B0267" w:rsidRPr="00710A39">
        <w:t>-bidding formats</w:t>
      </w:r>
      <w:r w:rsidR="004E6E2F" w:rsidRPr="00710A39">
        <w:t xml:space="preserve"> including </w:t>
      </w:r>
      <w:r w:rsidR="00A936BB" w:rsidRPr="00710A39">
        <w:t>sealed-bids</w:t>
      </w:r>
      <w:bookmarkEnd w:id="23"/>
    </w:p>
    <w:p w14:paraId="4AF3A5E1" w14:textId="4F9F516D" w:rsidR="006D0C18" w:rsidRDefault="008A066A" w:rsidP="00D93D93">
      <w:r>
        <w:t>There are a number of auction formats that enable bidders to place bids on packages of lots</w:t>
      </w:r>
      <w:r w:rsidR="00783478">
        <w:t xml:space="preserve">, including </w:t>
      </w:r>
      <w:r>
        <w:t xml:space="preserve">the </w:t>
      </w:r>
      <w:r w:rsidR="00823A9C">
        <w:t>c</w:t>
      </w:r>
      <w:r>
        <w:t xml:space="preserve">ombinatorial </w:t>
      </w:r>
      <w:r w:rsidR="00823A9C">
        <w:t>c</w:t>
      </w:r>
      <w:r>
        <w:t xml:space="preserve">lock auction (CCA) used by the ACMA in the digital dividend auction. </w:t>
      </w:r>
      <w:r w:rsidR="006D0C18">
        <w:t>There are</w:t>
      </w:r>
      <w:r w:rsidR="0007602B">
        <w:t xml:space="preserve"> also</w:t>
      </w:r>
      <w:r w:rsidR="006D0C18">
        <w:t xml:space="preserve"> other package bidding auction formats. For example, i</w:t>
      </w:r>
      <w:r w:rsidR="006D0C18" w:rsidRPr="001E136B">
        <w:t>n 2016 the</w:t>
      </w:r>
      <w:r w:rsidR="006D0C18">
        <w:t xml:space="preserve"> </w:t>
      </w:r>
      <w:r w:rsidR="006D0C18" w:rsidRPr="001E136B">
        <w:t xml:space="preserve">Danish Energy Agency conducted a </w:t>
      </w:r>
      <w:r w:rsidR="00685CA4">
        <w:t>c</w:t>
      </w:r>
      <w:r w:rsidR="006D0C18">
        <w:t xml:space="preserve">ombinatorial </w:t>
      </w:r>
      <w:r w:rsidR="00685CA4">
        <w:t>m</w:t>
      </w:r>
      <w:r w:rsidR="006D0C18">
        <w:t>ulti-</w:t>
      </w:r>
      <w:r w:rsidR="00685CA4">
        <w:t>r</w:t>
      </w:r>
      <w:r w:rsidR="006D0C18">
        <w:t xml:space="preserve">ound </w:t>
      </w:r>
      <w:r w:rsidR="00685CA4">
        <w:t>a</w:t>
      </w:r>
      <w:r w:rsidR="006D0C18">
        <w:t>uction</w:t>
      </w:r>
      <w:r w:rsidR="006D0C18" w:rsidRPr="001E136B">
        <w:t xml:space="preserve"> </w:t>
      </w:r>
      <w:r w:rsidR="006D0C18">
        <w:t>(CMRA) for the 1800</w:t>
      </w:r>
      <w:r w:rsidR="004D3028">
        <w:t> MHz</w:t>
      </w:r>
      <w:r w:rsidR="006D0C18" w:rsidRPr="001E136B">
        <w:t xml:space="preserve"> band</w:t>
      </w:r>
      <w:r w:rsidR="00B25670">
        <w:t>, an</w:t>
      </w:r>
      <w:r w:rsidR="006D0C18">
        <w:t xml:space="preserve"> auction format</w:t>
      </w:r>
      <w:r w:rsidR="00A269CF">
        <w:t xml:space="preserve"> that</w:t>
      </w:r>
      <w:r w:rsidR="006D0C18">
        <w:t xml:space="preserve"> </w:t>
      </w:r>
      <w:r w:rsidR="006D0C18" w:rsidRPr="00610C25">
        <w:t>combines an iterative 'pay-your-bid'</w:t>
      </w:r>
      <w:r w:rsidR="006D0C18">
        <w:t xml:space="preserve"> </w:t>
      </w:r>
      <w:r w:rsidR="006D0C18" w:rsidRPr="00610C25">
        <w:t>approach with package bidding</w:t>
      </w:r>
      <w:r w:rsidR="006D0C18">
        <w:t xml:space="preserve">. </w:t>
      </w:r>
    </w:p>
    <w:p w14:paraId="002F8461" w14:textId="77777777" w:rsidR="006D0C18" w:rsidRDefault="001D6F73" w:rsidP="006D0C18">
      <w:pPr>
        <w:tabs>
          <w:tab w:val="num" w:pos="720"/>
          <w:tab w:val="num" w:pos="1440"/>
        </w:tabs>
      </w:pPr>
      <w:r>
        <w:t>Another relevant option in this context is a sealed bid combinatorial auction format</w:t>
      </w:r>
      <w:r w:rsidR="006D0C18">
        <w:t>. This is a ‘s</w:t>
      </w:r>
      <w:r w:rsidR="006D0C18" w:rsidRPr="004B4332">
        <w:t>ingle shot</w:t>
      </w:r>
      <w:r w:rsidR="006D0C18">
        <w:t>’</w:t>
      </w:r>
      <w:r w:rsidR="006D0C18" w:rsidRPr="004B4332">
        <w:t xml:space="preserve"> </w:t>
      </w:r>
      <w:r w:rsidR="00E37648">
        <w:t>allocation</w:t>
      </w:r>
      <w:r w:rsidR="006D0C18">
        <w:t>, where b</w:t>
      </w:r>
      <w:r w:rsidR="006D0C18" w:rsidRPr="004B4332">
        <w:t xml:space="preserve">idders submit </w:t>
      </w:r>
      <w:r w:rsidR="006D0C18">
        <w:t xml:space="preserve">bids </w:t>
      </w:r>
      <w:r w:rsidR="006D0C18" w:rsidRPr="004B4332">
        <w:t>for all of the possible combinations of lots they are interested in</w:t>
      </w:r>
      <w:r w:rsidR="006D0C18">
        <w:t xml:space="preserve">. </w:t>
      </w:r>
      <w:r w:rsidR="006D0C18" w:rsidRPr="004B4332">
        <w:t xml:space="preserve">These bids </w:t>
      </w:r>
      <w:r w:rsidR="00E37648">
        <w:t xml:space="preserve">can be </w:t>
      </w:r>
      <w:r w:rsidR="006D0C18" w:rsidRPr="004B4332">
        <w:t>mutually exclusive (</w:t>
      </w:r>
      <w:r w:rsidR="006D0C18">
        <w:t>that is,</w:t>
      </w:r>
      <w:r w:rsidR="006D0C18" w:rsidRPr="004B4332">
        <w:t xml:space="preserve"> </w:t>
      </w:r>
      <w:r w:rsidR="006D0C18">
        <w:t xml:space="preserve">the </w:t>
      </w:r>
      <w:r w:rsidR="006D0C18" w:rsidRPr="004B4332">
        <w:t>auctioneer only selects one bid per bidder)</w:t>
      </w:r>
      <w:r w:rsidR="006D0C18">
        <w:t xml:space="preserve">. </w:t>
      </w:r>
      <w:r w:rsidR="006D0C18" w:rsidRPr="004B4332">
        <w:t xml:space="preserve">The auctioneer determines the combination of bids </w:t>
      </w:r>
      <w:r w:rsidR="006D0C18">
        <w:t>that</w:t>
      </w:r>
      <w:r w:rsidR="006D0C18" w:rsidRPr="004B4332">
        <w:t xml:space="preserve"> yields the highest value and then announces the successful bidders</w:t>
      </w:r>
      <w:r w:rsidR="006D0C18">
        <w:t xml:space="preserve">. </w:t>
      </w:r>
    </w:p>
    <w:p w14:paraId="39F63656" w14:textId="77777777" w:rsidR="006D0C18" w:rsidRDefault="006D0C18" w:rsidP="006D0C18">
      <w:pPr>
        <w:tabs>
          <w:tab w:val="num" w:pos="720"/>
          <w:tab w:val="num" w:pos="1440"/>
        </w:tabs>
      </w:pPr>
      <w:r>
        <w:t>The winning bidder</w:t>
      </w:r>
      <w:r w:rsidR="00740288">
        <w:t>s</w:t>
      </w:r>
      <w:r>
        <w:t xml:space="preserve"> </w:t>
      </w:r>
      <w:r w:rsidR="00740288">
        <w:t xml:space="preserve">are </w:t>
      </w:r>
      <w:r w:rsidR="0058572F">
        <w:t>those who</w:t>
      </w:r>
      <w:r w:rsidR="00B3711A">
        <w:t>se</w:t>
      </w:r>
      <w:r w:rsidR="0058572F">
        <w:t xml:space="preserve"> bids m</w:t>
      </w:r>
      <w:r w:rsidR="00380255">
        <w:t xml:space="preserve">ake up </w:t>
      </w:r>
      <w:r>
        <w:t xml:space="preserve">the highest </w:t>
      </w:r>
      <w:r w:rsidR="00E53958">
        <w:t xml:space="preserve">value </w:t>
      </w:r>
      <w:r w:rsidR="0016683B">
        <w:t xml:space="preserve">combination of </w:t>
      </w:r>
      <w:r>
        <w:t>bid</w:t>
      </w:r>
      <w:r w:rsidR="0016683B">
        <w:t>s</w:t>
      </w:r>
      <w:r>
        <w:t xml:space="preserve"> for </w:t>
      </w:r>
      <w:r w:rsidR="0016683B">
        <w:t xml:space="preserve">the </w:t>
      </w:r>
      <w:r>
        <w:t>lot</w:t>
      </w:r>
      <w:r w:rsidR="0016683B">
        <w:t>s on offer</w:t>
      </w:r>
      <w:r>
        <w:t>. However, pricing in such an auction format can be either first price—where the winning bidder pays their highest bid, or second price—where the winning bidder pays the highest value that other bidders were willing to pay for the spectrum.</w:t>
      </w:r>
      <w:r w:rsidR="00813461">
        <w:t xml:space="preserve"> </w:t>
      </w:r>
      <w:r w:rsidR="00805FB9">
        <w:t>Second-pric</w:t>
      </w:r>
      <w:r w:rsidR="001C47D7">
        <w:t xml:space="preserve">e pricing rules within a combinatorial </w:t>
      </w:r>
      <w:r w:rsidR="001F229A">
        <w:t>auction format can be complex and have been subject to criticism.</w:t>
      </w:r>
    </w:p>
    <w:p w14:paraId="358F4475" w14:textId="2E0391B9" w:rsidR="006D0C18" w:rsidRPr="004B4332" w:rsidRDefault="006D0C18" w:rsidP="006D0C18">
      <w:pPr>
        <w:tabs>
          <w:tab w:val="num" w:pos="720"/>
          <w:tab w:val="num" w:pos="1440"/>
        </w:tabs>
      </w:pPr>
      <w:r>
        <w:t xml:space="preserve">The sealed bid combinatorial auction format is likely to be only suitable in a relatively simple auction where the number of lots on offer is </w:t>
      </w:r>
      <w:r w:rsidR="00B75FCC">
        <w:t xml:space="preserve">reasonably </w:t>
      </w:r>
      <w:r>
        <w:t xml:space="preserve">low, </w:t>
      </w:r>
      <w:r w:rsidR="00645184">
        <w:t>as is the case in this 900</w:t>
      </w:r>
      <w:r w:rsidR="004D3028">
        <w:t> MHz</w:t>
      </w:r>
      <w:r w:rsidR="00645184">
        <w:t>/850</w:t>
      </w:r>
      <w:r w:rsidR="004D3028">
        <w:t> MHz</w:t>
      </w:r>
      <w:r w:rsidR="00645184">
        <w:t xml:space="preserve"> expansion band allocation, </w:t>
      </w:r>
      <w:r>
        <w:t xml:space="preserve">so that the number of possible combinations of lots requiring bids is feasibly low. </w:t>
      </w:r>
      <w:r w:rsidR="00401017">
        <w:t>I</w:t>
      </w:r>
      <w:r>
        <w:t>t is likely to be s</w:t>
      </w:r>
      <w:r w:rsidRPr="004B4332">
        <w:t>uitable in scenarios where the benefits of price discovery are limited</w:t>
      </w:r>
      <w:r>
        <w:t>, and there are large risks associated with open ascending auction formats.</w:t>
      </w:r>
      <w:r w:rsidR="00401017">
        <w:t xml:space="preserve"> In addition, it would be relatively simple to ensure an allocation is</w:t>
      </w:r>
      <w:r w:rsidR="000D56DC">
        <w:t xml:space="preserve"> consistent with the outcomes sought as part of this reform, in particular </w:t>
      </w:r>
      <w:r w:rsidR="00E16557">
        <w:t xml:space="preserve">that </w:t>
      </w:r>
      <w:r w:rsidR="008A1017">
        <w:t>consumer service continuity is assured</w:t>
      </w:r>
      <w:r w:rsidR="00465966">
        <w:t>.</w:t>
      </w:r>
    </w:p>
    <w:p w14:paraId="5441FBBE" w14:textId="77777777" w:rsidR="00DE400B" w:rsidRPr="009B75AA" w:rsidRDefault="00D44212" w:rsidP="00710A39">
      <w:pPr>
        <w:pStyle w:val="Heading2"/>
      </w:pPr>
      <w:bookmarkStart w:id="24" w:name="_Toc27405677"/>
      <w:r w:rsidRPr="00710A39">
        <w:t>Allocation timeline</w:t>
      </w:r>
      <w:bookmarkEnd w:id="24"/>
    </w:p>
    <w:p w14:paraId="02638D8E" w14:textId="6F63EA72" w:rsidR="00951CA1" w:rsidRPr="00951CA1" w:rsidRDefault="00C711AC" w:rsidP="00951CA1">
      <w:pPr>
        <w:pStyle w:val="ACMAInstructions"/>
        <w:spacing w:after="240"/>
        <w:rPr>
          <w:b w:val="0"/>
          <w:vanish w:val="0"/>
          <w:sz w:val="20"/>
          <w:szCs w:val="20"/>
        </w:rPr>
      </w:pPr>
      <w:r w:rsidRPr="00951CA1">
        <w:rPr>
          <w:b w:val="0"/>
          <w:vanish w:val="0"/>
          <w:sz w:val="20"/>
          <w:szCs w:val="20"/>
        </w:rPr>
        <w:t xml:space="preserve">As noted in the ACMA’s </w:t>
      </w:r>
      <w:hyperlink r:id="rId26" w:history="1">
        <w:r w:rsidR="00D05460" w:rsidRPr="00363E09">
          <w:rPr>
            <w:rStyle w:val="Hyperlink"/>
            <w:b w:val="0"/>
            <w:i/>
            <w:iCs/>
            <w:vanish w:val="0"/>
            <w:sz w:val="20"/>
            <w:szCs w:val="20"/>
          </w:rPr>
          <w:t>Five-year spectrum outlook 2019-23</w:t>
        </w:r>
      </w:hyperlink>
      <w:r w:rsidR="00B75FCC">
        <w:rPr>
          <w:b w:val="0"/>
          <w:vanish w:val="0"/>
          <w:sz w:val="20"/>
          <w:szCs w:val="20"/>
        </w:rPr>
        <w:t xml:space="preserve">, </w:t>
      </w:r>
      <w:r w:rsidRPr="00951CA1">
        <w:rPr>
          <w:b w:val="0"/>
          <w:vanish w:val="0"/>
          <w:sz w:val="20"/>
          <w:szCs w:val="20"/>
        </w:rPr>
        <w:t>timely access to spectrum is of increasing importance to an innovative and dynamic economy.</w:t>
      </w:r>
      <w:r w:rsidR="00951CA1">
        <w:rPr>
          <w:b w:val="0"/>
          <w:vanish w:val="0"/>
          <w:sz w:val="20"/>
          <w:szCs w:val="20"/>
        </w:rPr>
        <w:t xml:space="preserve"> </w:t>
      </w:r>
      <w:r w:rsidR="00DE400B" w:rsidRPr="00951CA1">
        <w:rPr>
          <w:b w:val="0"/>
          <w:vanish w:val="0"/>
          <w:sz w:val="20"/>
          <w:szCs w:val="20"/>
        </w:rPr>
        <w:t xml:space="preserve">When considering how best to meet increasing consumer demand for broadband services, the ACMA believes that reconfiguration to ensure the efficient use of existing mobile broadband spectrum allocations, achieved through efficient configuration and appropriate infrastructure and technology investment, should have the same high priority as identification of potential new mobile broadband spectrum allocations in response to changing highest value use. </w:t>
      </w:r>
    </w:p>
    <w:p w14:paraId="403A38C8" w14:textId="6725FCCA" w:rsidR="00F5512A" w:rsidRDefault="00951CA1" w:rsidP="00951CA1">
      <w:pPr>
        <w:pStyle w:val="ACMAInstructions"/>
        <w:spacing w:after="240"/>
        <w:rPr>
          <w:b w:val="0"/>
          <w:vanish w:val="0"/>
          <w:sz w:val="20"/>
          <w:szCs w:val="20"/>
        </w:rPr>
      </w:pPr>
      <w:r>
        <w:rPr>
          <w:b w:val="0"/>
          <w:vanish w:val="0"/>
          <w:sz w:val="20"/>
          <w:szCs w:val="20"/>
        </w:rPr>
        <w:t xml:space="preserve">Consistent with this, </w:t>
      </w:r>
      <w:r w:rsidR="0093324B">
        <w:rPr>
          <w:b w:val="0"/>
          <w:vanish w:val="0"/>
          <w:sz w:val="20"/>
          <w:szCs w:val="20"/>
        </w:rPr>
        <w:t xml:space="preserve">the ACMA has </w:t>
      </w:r>
      <w:r w:rsidR="00D14DD3">
        <w:rPr>
          <w:b w:val="0"/>
          <w:vanish w:val="0"/>
          <w:sz w:val="20"/>
          <w:szCs w:val="20"/>
        </w:rPr>
        <w:t xml:space="preserve">prioritised this allocation in the forward allocation work program such that it will be offered </w:t>
      </w:r>
      <w:r w:rsidR="00A45517">
        <w:rPr>
          <w:b w:val="0"/>
          <w:vanish w:val="0"/>
          <w:sz w:val="20"/>
          <w:szCs w:val="20"/>
        </w:rPr>
        <w:t>following the forthcoming 26 GHz auction</w:t>
      </w:r>
      <w:r w:rsidR="00A10A18">
        <w:rPr>
          <w:b w:val="0"/>
          <w:vanish w:val="0"/>
          <w:sz w:val="20"/>
          <w:szCs w:val="20"/>
        </w:rPr>
        <w:t>.</w:t>
      </w:r>
      <w:r w:rsidR="00F605E3">
        <w:rPr>
          <w:b w:val="0"/>
          <w:vanish w:val="0"/>
          <w:sz w:val="20"/>
          <w:szCs w:val="20"/>
        </w:rPr>
        <w:t xml:space="preserve"> </w:t>
      </w:r>
      <w:r w:rsidR="00F605E3">
        <w:rPr>
          <w:b w:val="0"/>
          <w:vanish w:val="0"/>
          <w:sz w:val="20"/>
          <w:szCs w:val="20"/>
        </w:rPr>
        <w:lastRenderedPageBreak/>
        <w:t>The ACMA will undertake consultation on draft reallocation recommendation</w:t>
      </w:r>
      <w:r w:rsidR="0084540F">
        <w:rPr>
          <w:b w:val="0"/>
          <w:vanish w:val="0"/>
          <w:sz w:val="20"/>
          <w:szCs w:val="20"/>
        </w:rPr>
        <w:t>s</w:t>
      </w:r>
      <w:r w:rsidR="00F605E3">
        <w:rPr>
          <w:b w:val="0"/>
          <w:vanish w:val="0"/>
          <w:sz w:val="20"/>
          <w:szCs w:val="20"/>
        </w:rPr>
        <w:t xml:space="preserve"> early</w:t>
      </w:r>
      <w:r w:rsidR="00E028F6">
        <w:rPr>
          <w:b w:val="0"/>
          <w:vanish w:val="0"/>
          <w:sz w:val="20"/>
          <w:szCs w:val="20"/>
        </w:rPr>
        <w:t xml:space="preserve"> in</w:t>
      </w:r>
      <w:r w:rsidR="00F605E3">
        <w:rPr>
          <w:b w:val="0"/>
          <w:vanish w:val="0"/>
          <w:sz w:val="20"/>
          <w:szCs w:val="20"/>
        </w:rPr>
        <w:t xml:space="preserve"> 2020</w:t>
      </w:r>
      <w:r w:rsidR="00885E20">
        <w:rPr>
          <w:b w:val="0"/>
          <w:vanish w:val="0"/>
          <w:sz w:val="20"/>
          <w:szCs w:val="20"/>
        </w:rPr>
        <w:t xml:space="preserve"> and is anticipating the allocation to take place in </w:t>
      </w:r>
      <w:r w:rsidR="00B75FCC">
        <w:rPr>
          <w:b w:val="0"/>
          <w:vanish w:val="0"/>
          <w:sz w:val="20"/>
          <w:szCs w:val="20"/>
        </w:rPr>
        <w:t xml:space="preserve">the last quarter of </w:t>
      </w:r>
      <w:r w:rsidR="00885E20">
        <w:rPr>
          <w:b w:val="0"/>
          <w:vanish w:val="0"/>
          <w:sz w:val="20"/>
          <w:szCs w:val="20"/>
        </w:rPr>
        <w:t>2021.</w:t>
      </w:r>
    </w:p>
    <w:p w14:paraId="14A13358" w14:textId="725BB34E" w:rsidR="00E45ADA" w:rsidRPr="009B75AA" w:rsidRDefault="00E45ADA" w:rsidP="00710A39">
      <w:pPr>
        <w:pStyle w:val="Heading2"/>
      </w:pPr>
      <w:bookmarkStart w:id="25" w:name="_Toc27405678"/>
      <w:r w:rsidRPr="00710A39">
        <w:t>Downshift in the 850</w:t>
      </w:r>
      <w:r w:rsidR="004D3028">
        <w:t> MHz</w:t>
      </w:r>
      <w:r w:rsidRPr="00710A39">
        <w:t xml:space="preserve"> spectrum licences</w:t>
      </w:r>
      <w:bookmarkEnd w:id="25"/>
    </w:p>
    <w:p w14:paraId="073B638E" w14:textId="40673318" w:rsidR="00610EDE" w:rsidRDefault="009D3F9C" w:rsidP="003A5FB9">
      <w:pPr>
        <w:widowControl w:val="0"/>
      </w:pPr>
      <w:r>
        <w:t xml:space="preserve">The </w:t>
      </w:r>
      <w:r w:rsidRPr="002908D8">
        <w:t>addition</w:t>
      </w:r>
      <w:r w:rsidR="003A5FB9" w:rsidRPr="002908D8">
        <w:t xml:space="preserve"> of a 1</w:t>
      </w:r>
      <w:r w:rsidR="004D3028">
        <w:t> MHz</w:t>
      </w:r>
      <w:r w:rsidR="003A5FB9" w:rsidRPr="002908D8">
        <w:t xml:space="preserve"> guard band between the 850</w:t>
      </w:r>
      <w:r w:rsidR="004D3028">
        <w:t> MHz</w:t>
      </w:r>
      <w:r w:rsidR="003A5FB9" w:rsidRPr="002908D8">
        <w:t xml:space="preserve"> band base-transmit segment and the 890–915/935–960</w:t>
      </w:r>
      <w:r w:rsidR="004D3028">
        <w:t> MHz</w:t>
      </w:r>
      <w:r w:rsidR="003A5FB9" w:rsidRPr="002908D8">
        <w:t xml:space="preserve"> base-receive segment will significantly increase the usability of the lower segment in the 900</w:t>
      </w:r>
      <w:r w:rsidR="004D3028">
        <w:t> MHz</w:t>
      </w:r>
      <w:r w:rsidR="003A5FB9" w:rsidRPr="002908D8">
        <w:t xml:space="preserve"> band. This can only be achieved via a downshift of the existing 850</w:t>
      </w:r>
      <w:r w:rsidR="004D3028">
        <w:t> MHz</w:t>
      </w:r>
      <w:r w:rsidR="003A5FB9" w:rsidRPr="002908D8">
        <w:t xml:space="preserve"> band spectrum licence</w:t>
      </w:r>
      <w:r w:rsidR="003A5FB9">
        <w:t xml:space="preserve">s. </w:t>
      </w:r>
    </w:p>
    <w:p w14:paraId="0C66F4FD" w14:textId="30C9A835" w:rsidR="003A5FB9" w:rsidRDefault="003A5FB9" w:rsidP="003A5FB9">
      <w:pPr>
        <w:widowControl w:val="0"/>
      </w:pPr>
      <w:r>
        <w:t xml:space="preserve">The </w:t>
      </w:r>
      <w:r w:rsidR="009D3F9C">
        <w:t>ACMA indicated</w:t>
      </w:r>
      <w:r>
        <w:t xml:space="preserve"> previously that this downshift would occur when the 850</w:t>
      </w:r>
      <w:r w:rsidR="004D3028">
        <w:t> MHz</w:t>
      </w:r>
      <w:r>
        <w:t xml:space="preserve"> licences expire in 2028 and will make recommendations to the </w:t>
      </w:r>
      <w:r w:rsidR="00847FD0">
        <w:t>M</w:t>
      </w:r>
      <w:r>
        <w:t>inister accordingly (in relation to band configurations that will support the downshift) at an appropriate time to operationalise this. However, the ACMA has also foreshadowed it will look at ways to expedite this process so the benefits can be realised sooner.</w:t>
      </w:r>
    </w:p>
    <w:p w14:paraId="462ADB4E" w14:textId="07B361E7" w:rsidR="00111627" w:rsidRDefault="003A5FB9" w:rsidP="003A5FB9">
      <w:pPr>
        <w:widowControl w:val="0"/>
      </w:pPr>
      <w:r w:rsidRPr="007D38E3">
        <w:t>The</w:t>
      </w:r>
      <w:r w:rsidRPr="00073809">
        <w:t xml:space="preserve"> </w:t>
      </w:r>
      <w:r w:rsidR="006F3DDB">
        <w:rPr>
          <w:i/>
          <w:u w:color="0000FF"/>
        </w:rPr>
        <w:fldChar w:fldCharType="begin"/>
      </w:r>
      <w:r w:rsidR="006F3DDB">
        <w:rPr>
          <w:i/>
          <w:u w:color="0000FF"/>
        </w:rPr>
        <w:instrText xml:space="preserve"> HYPERLINK "https://acma.govcms.gov.au/publications/2019-12/report/acmas-long-term-strategy-803-960-mhz-band-decision-paper" </w:instrText>
      </w:r>
      <w:bookmarkStart w:id="26" w:name="_GoBack"/>
      <w:bookmarkEnd w:id="26"/>
      <w:r w:rsidR="006F3DDB">
        <w:rPr>
          <w:i/>
          <w:u w:color="0000FF"/>
        </w:rPr>
      </w:r>
      <w:r w:rsidR="006F3DDB">
        <w:rPr>
          <w:i/>
          <w:u w:color="0000FF"/>
        </w:rPr>
        <w:fldChar w:fldCharType="separate"/>
      </w:r>
      <w:r w:rsidR="006F3DDB" w:rsidRPr="006F3DDB">
        <w:rPr>
          <w:rStyle w:val="Hyperlink"/>
          <w:i/>
        </w:rPr>
        <w:t>ACMA’s long-term strategy for the 803</w:t>
      </w:r>
      <w:r w:rsidR="006F3DDB" w:rsidRPr="006F3DDB">
        <w:rPr>
          <w:rStyle w:val="Hyperlink"/>
          <w:i/>
        </w:rPr>
        <w:t>–</w:t>
      </w:r>
      <w:r w:rsidR="006F3DDB" w:rsidRPr="006F3DDB">
        <w:rPr>
          <w:rStyle w:val="Hyperlink"/>
          <w:i/>
        </w:rPr>
        <w:t>960 MHz band</w:t>
      </w:r>
      <w:r w:rsidR="006F3DDB">
        <w:rPr>
          <w:i/>
          <w:u w:color="0000FF"/>
        </w:rPr>
        <w:fldChar w:fldCharType="end"/>
      </w:r>
      <w:r w:rsidRPr="002908D8">
        <w:t xml:space="preserve"> </w:t>
      </w:r>
      <w:r w:rsidR="004203F3">
        <w:t xml:space="preserve">decision paper </w:t>
      </w:r>
      <w:r w:rsidRPr="002908D8">
        <w:t>set up the process of clearing the two blocks of 1</w:t>
      </w:r>
      <w:r w:rsidR="004D3028">
        <w:t> MHz</w:t>
      </w:r>
      <w:r w:rsidRPr="002908D8">
        <w:t xml:space="preserve"> of spectrum into which the downshift would ultimately occur. </w:t>
      </w:r>
      <w:r w:rsidR="00976F52">
        <w:t>In order to allocate these two blocks of 1</w:t>
      </w:r>
      <w:r w:rsidR="004D3028">
        <w:t> MHz</w:t>
      </w:r>
      <w:r w:rsidR="00976F52">
        <w:t xml:space="preserve"> as a spectrum licence, </w:t>
      </w:r>
      <w:r w:rsidR="003A3CCE">
        <w:t>as part of this approach for reconfiguring the 900</w:t>
      </w:r>
      <w:r w:rsidR="004D3028">
        <w:t> MHz</w:t>
      </w:r>
      <w:r w:rsidR="003A3CCE">
        <w:t xml:space="preserve"> band</w:t>
      </w:r>
      <w:r w:rsidR="00F169E5">
        <w:t xml:space="preserve"> the ACMA will </w:t>
      </w:r>
      <w:r w:rsidR="00F169E5" w:rsidRPr="001235FA">
        <w:t>attach the 2</w:t>
      </w:r>
      <w:r w:rsidR="00EE0E7E">
        <w:t xml:space="preserve"> </w:t>
      </w:r>
      <w:r w:rsidR="009C7250">
        <w:t>x</w:t>
      </w:r>
      <w:r w:rsidR="00EE0E7E">
        <w:t xml:space="preserve"> </w:t>
      </w:r>
      <w:r w:rsidR="00F169E5" w:rsidRPr="001235FA">
        <w:t>1</w:t>
      </w:r>
      <w:r w:rsidR="004D3028">
        <w:t> MHz</w:t>
      </w:r>
      <w:r w:rsidR="00F169E5" w:rsidRPr="001235FA">
        <w:t xml:space="preserve"> </w:t>
      </w:r>
      <w:r w:rsidR="00F169E5">
        <w:t>to</w:t>
      </w:r>
      <w:r w:rsidR="00F169E5" w:rsidRPr="001235FA">
        <w:t xml:space="preserve"> the lower 2</w:t>
      </w:r>
      <w:r w:rsidR="00EE0E7E">
        <w:t xml:space="preserve"> </w:t>
      </w:r>
      <w:r w:rsidR="009C7250">
        <w:t>x</w:t>
      </w:r>
      <w:r w:rsidR="00EE0E7E">
        <w:t xml:space="preserve"> </w:t>
      </w:r>
      <w:r w:rsidR="00F169E5" w:rsidRPr="001235FA">
        <w:t>5</w:t>
      </w:r>
      <w:r w:rsidR="004D3028">
        <w:t> MHz</w:t>
      </w:r>
      <w:r w:rsidR="00F169E5" w:rsidRPr="001235FA">
        <w:t xml:space="preserve"> lot in the 900</w:t>
      </w:r>
      <w:r w:rsidR="004D3028">
        <w:t> MHz</w:t>
      </w:r>
      <w:r w:rsidR="00F169E5" w:rsidRPr="001235FA">
        <w:t xml:space="preserve"> band</w:t>
      </w:r>
      <w:r w:rsidR="00725CF2">
        <w:t>.</w:t>
      </w:r>
      <w:r w:rsidR="00BB4FCA">
        <w:t xml:space="preserve"> </w:t>
      </w:r>
      <w:r w:rsidR="009A7A8D">
        <w:t>The owner of the lower 900</w:t>
      </w:r>
      <w:r w:rsidR="004D3028">
        <w:t> MHz</w:t>
      </w:r>
      <w:r w:rsidR="009A7A8D">
        <w:t xml:space="preserve"> lot is a beneficiary of the downshift and would be able to </w:t>
      </w:r>
      <w:r w:rsidR="00D03D5B">
        <w:t xml:space="preserve">potentially </w:t>
      </w:r>
      <w:r w:rsidR="009A7A8D">
        <w:t>use the 2</w:t>
      </w:r>
      <w:r w:rsidR="00EE0E7E">
        <w:t xml:space="preserve"> </w:t>
      </w:r>
      <w:r w:rsidR="009C7250">
        <w:t>x</w:t>
      </w:r>
      <w:r w:rsidR="00EE0E7E">
        <w:t xml:space="preserve"> </w:t>
      </w:r>
      <w:r w:rsidR="009A7A8D">
        <w:t>1</w:t>
      </w:r>
      <w:r w:rsidR="004D3028">
        <w:t> MHz</w:t>
      </w:r>
      <w:r w:rsidR="009A7A8D">
        <w:t xml:space="preserve"> in negotiations with 850</w:t>
      </w:r>
      <w:r w:rsidR="004D3028">
        <w:t> MHz</w:t>
      </w:r>
      <w:r w:rsidR="009A7A8D">
        <w:t xml:space="preserve"> spectrum licensees to facilitate the downshift.</w:t>
      </w:r>
      <w:r w:rsidR="00CB27FD">
        <w:t xml:space="preserve"> </w:t>
      </w:r>
    </w:p>
    <w:p w14:paraId="64D13C70" w14:textId="76C48CFC" w:rsidR="00E04CBE" w:rsidRDefault="0057204C" w:rsidP="003A5FB9">
      <w:pPr>
        <w:widowControl w:val="0"/>
      </w:pPr>
      <w:r>
        <w:t>I</w:t>
      </w:r>
      <w:r w:rsidR="00A56FBB">
        <w:t xml:space="preserve">t would be necessary </w:t>
      </w:r>
      <w:r w:rsidR="00F7365F">
        <w:t>for the 2</w:t>
      </w:r>
      <w:r w:rsidR="00EE0E7E">
        <w:t xml:space="preserve"> </w:t>
      </w:r>
      <w:r w:rsidR="00F7365F">
        <w:t>x</w:t>
      </w:r>
      <w:r w:rsidR="00EE0E7E">
        <w:t xml:space="preserve"> </w:t>
      </w:r>
      <w:r w:rsidR="00F7365F">
        <w:t>1 MHz lot</w:t>
      </w:r>
      <w:r w:rsidR="00923F21">
        <w:t xml:space="preserve"> to </w:t>
      </w:r>
      <w:r w:rsidR="00723630">
        <w:t xml:space="preserve">expire in </w:t>
      </w:r>
      <w:r w:rsidR="00AC2C42">
        <w:t xml:space="preserve">2028 to align with the expiration of the </w:t>
      </w:r>
      <w:r w:rsidR="00A701E5">
        <w:t>850 MHz licences</w:t>
      </w:r>
      <w:r w:rsidR="007F1DD6">
        <w:t>.</w:t>
      </w:r>
      <w:r w:rsidR="00723630">
        <w:t xml:space="preserve"> </w:t>
      </w:r>
      <w:r w:rsidR="007F1DD6">
        <w:t xml:space="preserve">This </w:t>
      </w:r>
      <w:r w:rsidR="00723630">
        <w:t xml:space="preserve">would allow </w:t>
      </w:r>
      <w:r w:rsidR="003130CC">
        <w:t xml:space="preserve">the ACMA </w:t>
      </w:r>
      <w:r w:rsidR="00B91A44">
        <w:t xml:space="preserve">to </w:t>
      </w:r>
      <w:r w:rsidR="00D3554B">
        <w:t xml:space="preserve">facilitate </w:t>
      </w:r>
      <w:r w:rsidR="00B91A44">
        <w:t>the downshift</w:t>
      </w:r>
      <w:r w:rsidR="00D50B70">
        <w:t xml:space="preserve"> at this time in the even</w:t>
      </w:r>
      <w:r w:rsidR="005B0E8A">
        <w:t>t</w:t>
      </w:r>
      <w:r w:rsidR="0035521A">
        <w:t xml:space="preserve"> it is not achieved </w:t>
      </w:r>
      <w:r w:rsidR="005B0E8A">
        <w:t xml:space="preserve">at an earlier date. </w:t>
      </w:r>
    </w:p>
    <w:p w14:paraId="4A088D2C" w14:textId="77777777" w:rsidR="004F0FD8" w:rsidRPr="009B75AA" w:rsidRDefault="00296D6C" w:rsidP="00710A39">
      <w:pPr>
        <w:pStyle w:val="Heading2"/>
      </w:pPr>
      <w:bookmarkStart w:id="27" w:name="_Toc27405679"/>
      <w:r w:rsidRPr="00710A39">
        <w:t>Licence terms</w:t>
      </w:r>
      <w:bookmarkEnd w:id="27"/>
      <w:r w:rsidRPr="00710A39">
        <w:t xml:space="preserve"> </w:t>
      </w:r>
    </w:p>
    <w:p w14:paraId="451CADD2" w14:textId="77777777" w:rsidR="00104CB1" w:rsidRDefault="00CA730E" w:rsidP="004F0FD8">
      <w:pPr>
        <w:widowControl w:val="0"/>
      </w:pPr>
      <w:r>
        <w:t>Where possible, t</w:t>
      </w:r>
      <w:r w:rsidR="003E3DD7">
        <w:t xml:space="preserve">he ACMA </w:t>
      </w:r>
      <w:r w:rsidR="00104CB1">
        <w:t xml:space="preserve">typically </w:t>
      </w:r>
      <w:r>
        <w:t xml:space="preserve">allocates spectrum in </w:t>
      </w:r>
      <w:r w:rsidR="00D47FF3">
        <w:t xml:space="preserve">licence durations such that </w:t>
      </w:r>
      <w:r w:rsidR="00FA0C15">
        <w:t xml:space="preserve">expiry dates align with those of adjacent spectrum licenced bands, in order to </w:t>
      </w:r>
      <w:r w:rsidR="00E908E6">
        <w:t xml:space="preserve">potentially simplify future moves to </w:t>
      </w:r>
      <w:r w:rsidR="00FA0C15">
        <w:t>large</w:t>
      </w:r>
      <w:r w:rsidR="00E908E6">
        <w:t>r</w:t>
      </w:r>
      <w:r w:rsidR="00FA0C15">
        <w:t xml:space="preserve"> contiguous blocks.</w:t>
      </w:r>
    </w:p>
    <w:p w14:paraId="78452D26" w14:textId="6766245E" w:rsidR="001E6028" w:rsidRDefault="00BD1514" w:rsidP="004F0FD8">
      <w:pPr>
        <w:widowControl w:val="0"/>
        <w:rPr>
          <w:bCs/>
        </w:rPr>
      </w:pPr>
      <w:r>
        <w:rPr>
          <w:bCs/>
        </w:rPr>
        <w:t>However, a</w:t>
      </w:r>
      <w:r w:rsidR="003D107D" w:rsidRPr="003D107D">
        <w:rPr>
          <w:bCs/>
        </w:rPr>
        <w:t>ligning renewal cycles in this context would suggest a licence termination date of 2028, which is the end date of the 850</w:t>
      </w:r>
      <w:r w:rsidR="004D3028">
        <w:rPr>
          <w:bCs/>
        </w:rPr>
        <w:t> MHz</w:t>
      </w:r>
      <w:r w:rsidR="003D107D" w:rsidRPr="003D107D">
        <w:rPr>
          <w:bCs/>
        </w:rPr>
        <w:t xml:space="preserve"> spectrum licences. While there are clear benefit</w:t>
      </w:r>
      <w:r w:rsidR="00683AA3">
        <w:rPr>
          <w:bCs/>
        </w:rPr>
        <w:t>s</w:t>
      </w:r>
      <w:r w:rsidR="003D107D" w:rsidRPr="003D107D">
        <w:rPr>
          <w:bCs/>
        </w:rPr>
        <w:t xml:space="preserve"> of aligning renewal cycles, it is likely to have material costs in this context, as licence terms would be </w:t>
      </w:r>
      <w:r w:rsidR="00DF0BE6">
        <w:rPr>
          <w:bCs/>
        </w:rPr>
        <w:t xml:space="preserve">less than seven years. </w:t>
      </w:r>
    </w:p>
    <w:p w14:paraId="10E1FF2C" w14:textId="7BB56A30" w:rsidR="0075580D" w:rsidRDefault="0075580D" w:rsidP="0075580D">
      <w:pPr>
        <w:widowControl w:val="0"/>
      </w:pPr>
      <w:r>
        <w:rPr>
          <w:bCs/>
        </w:rPr>
        <w:t>At this stage</w:t>
      </w:r>
      <w:r w:rsidR="00E13C54">
        <w:rPr>
          <w:bCs/>
        </w:rPr>
        <w:t>,</w:t>
      </w:r>
      <w:r>
        <w:rPr>
          <w:bCs/>
        </w:rPr>
        <w:t xml:space="preserve"> the ACMA is intending to allocate this spectrum for a term of 15 years</w:t>
      </w:r>
      <w:r w:rsidR="00A55B3D">
        <w:rPr>
          <w:bCs/>
        </w:rPr>
        <w:t xml:space="preserve"> (except for the 2</w:t>
      </w:r>
      <w:r w:rsidR="00EE0E7E">
        <w:rPr>
          <w:bCs/>
        </w:rPr>
        <w:t xml:space="preserve"> </w:t>
      </w:r>
      <w:r w:rsidR="00A55B3D">
        <w:rPr>
          <w:bCs/>
        </w:rPr>
        <w:t>x</w:t>
      </w:r>
      <w:r w:rsidR="00EE0E7E">
        <w:rPr>
          <w:bCs/>
        </w:rPr>
        <w:t xml:space="preserve"> </w:t>
      </w:r>
      <w:r w:rsidR="00A55B3D">
        <w:rPr>
          <w:bCs/>
        </w:rPr>
        <w:t>1 MHz that is lower adjacent to the 850 MHz spectrum licences, as noted above)</w:t>
      </w:r>
      <w:r>
        <w:rPr>
          <w:bCs/>
        </w:rPr>
        <w:t>. However, t</w:t>
      </w:r>
      <w:r>
        <w:t xml:space="preserve">he tenure issue does not need to be resolved immediately but would be addressed after the re-allocation declaration. As such, the above observations are preliminary thoughts only. </w:t>
      </w:r>
    </w:p>
    <w:p w14:paraId="4906F1E8" w14:textId="77777777" w:rsidR="00951B55" w:rsidRPr="00710A39" w:rsidRDefault="001A5F41" w:rsidP="00710A39">
      <w:pPr>
        <w:pStyle w:val="Heading2"/>
      </w:pPr>
      <w:bookmarkStart w:id="28" w:name="_Toc27405680"/>
      <w:r w:rsidRPr="00710A39">
        <w:t>Next steps</w:t>
      </w:r>
      <w:bookmarkEnd w:id="28"/>
    </w:p>
    <w:p w14:paraId="34841C0A" w14:textId="6B1D9A95" w:rsidR="00DF681D" w:rsidRDefault="008A7847" w:rsidP="003A229D">
      <w:pPr>
        <w:widowControl w:val="0"/>
        <w:rPr>
          <w:lang w:eastAsia="en-US"/>
        </w:rPr>
      </w:pPr>
      <w:r>
        <w:t>To give effect to the decisions and preliminary views outlined above, the ACMA will</w:t>
      </w:r>
      <w:r w:rsidR="003A229D">
        <w:t xml:space="preserve"> </w:t>
      </w:r>
      <w:r w:rsidR="00B315C3">
        <w:t>c</w:t>
      </w:r>
      <w:r w:rsidR="004E339B">
        <w:t xml:space="preserve">ommence work </w:t>
      </w:r>
      <w:r w:rsidR="00DF681D">
        <w:t xml:space="preserve">on </w:t>
      </w:r>
      <w:r w:rsidR="00542DBE">
        <w:t>the reallocation of the 900</w:t>
      </w:r>
      <w:r w:rsidR="004D3028">
        <w:t> MHz</w:t>
      </w:r>
      <w:r w:rsidR="00542DBE">
        <w:t xml:space="preserve"> band and the 850</w:t>
      </w:r>
      <w:r w:rsidR="004D3028">
        <w:t> MHz</w:t>
      </w:r>
      <w:r w:rsidR="00542DBE">
        <w:t xml:space="preserve"> expansion band. </w:t>
      </w:r>
      <w:r w:rsidR="004E339B">
        <w:t xml:space="preserve">This will include </w:t>
      </w:r>
      <w:r w:rsidR="004E339B">
        <w:rPr>
          <w:lang w:eastAsia="en-US"/>
        </w:rPr>
        <w:t>consultation on a draft reallocation recommendation to the Minster in accordance with section 153G of the Act.</w:t>
      </w:r>
    </w:p>
    <w:p w14:paraId="4B3468C6" w14:textId="48204F29" w:rsidR="00DF681D" w:rsidRDefault="00551EDB" w:rsidP="00A163A9">
      <w:pPr>
        <w:keepNext/>
        <w:keepLines/>
        <w:widowControl w:val="0"/>
      </w:pPr>
      <w:r>
        <w:lastRenderedPageBreak/>
        <w:t>Following consultations with incumbent licence holders in the relevant bands, and subject to</w:t>
      </w:r>
      <w:r w:rsidR="00DF681D">
        <w:rPr>
          <w:lang w:eastAsia="en-US"/>
        </w:rPr>
        <w:t xml:space="preserve"> any additional information obtained, the ACMA may make a reallocation recommendation to the </w:t>
      </w:r>
      <w:r w:rsidR="000E0506">
        <w:rPr>
          <w:lang w:eastAsia="en-US"/>
        </w:rPr>
        <w:t>M</w:t>
      </w:r>
      <w:r w:rsidR="00DF681D">
        <w:rPr>
          <w:lang w:eastAsia="en-US"/>
        </w:rPr>
        <w:t xml:space="preserve">inister in accordance with section 153F of the Act. If the </w:t>
      </w:r>
      <w:r w:rsidR="00AE7706">
        <w:rPr>
          <w:lang w:eastAsia="en-US"/>
        </w:rPr>
        <w:t>M</w:t>
      </w:r>
      <w:r w:rsidR="00DF681D">
        <w:rPr>
          <w:lang w:eastAsia="en-US"/>
        </w:rPr>
        <w:t>inister decides to make a re-allocation declaration under section 153B of the Act, the ACMA will commence work to progress allocation of spectrum licences.</w:t>
      </w:r>
    </w:p>
    <w:p w14:paraId="58947D3B" w14:textId="6B71C215" w:rsidR="009D6B54" w:rsidRDefault="000E0506" w:rsidP="00A163A9">
      <w:pPr>
        <w:keepNext/>
        <w:keepLines/>
        <w:widowControl w:val="0"/>
      </w:pPr>
      <w:r>
        <w:t>T</w:t>
      </w:r>
      <w:r w:rsidR="009D6B54">
        <w:t>he ACMA will continue</w:t>
      </w:r>
      <w:r w:rsidR="00B9035C">
        <w:t xml:space="preserve"> to work with </w:t>
      </w:r>
      <w:r w:rsidR="001418E8">
        <w:t xml:space="preserve">stakeholders </w:t>
      </w:r>
      <w:r w:rsidR="000817D2">
        <w:t xml:space="preserve">to </w:t>
      </w:r>
      <w:r>
        <w:t>discuss</w:t>
      </w:r>
      <w:r w:rsidR="000817D2">
        <w:t xml:space="preserve"> details about the implementation</w:t>
      </w:r>
      <w:r>
        <w:t xml:space="preserve"> of the allocation.</w:t>
      </w:r>
    </w:p>
    <w:p w14:paraId="1C7965F2" w14:textId="77777777" w:rsidR="00FF3C69" w:rsidRDefault="00FF3C69" w:rsidP="00F34E78">
      <w:pPr>
        <w:widowControl w:val="0"/>
      </w:pPr>
    </w:p>
    <w:sectPr w:rsidR="00FF3C69" w:rsidSect="009D2BA8">
      <w:headerReference w:type="even" r:id="rId27"/>
      <w:headerReference w:type="default" r:id="rId28"/>
      <w:footerReference w:type="even" r:id="rId29"/>
      <w:footerReference w:type="default" r:id="rId30"/>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5E147" w14:textId="77777777" w:rsidR="00ED7844" w:rsidRDefault="00ED7844">
      <w:r>
        <w:separator/>
      </w:r>
    </w:p>
  </w:endnote>
  <w:endnote w:type="continuationSeparator" w:id="0">
    <w:p w14:paraId="6EEF4CAA" w14:textId="77777777" w:rsidR="00ED7844" w:rsidRDefault="00ED7844">
      <w:r>
        <w:continuationSeparator/>
      </w:r>
    </w:p>
  </w:endnote>
  <w:endnote w:type="continuationNotice" w:id="1">
    <w:p w14:paraId="23603B50" w14:textId="77777777" w:rsidR="00ED7844" w:rsidRDefault="00ED78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NeueLT Std Lt">
    <w:altName w:val="Arial"/>
    <w:panose1 w:val="020B0403020202020204"/>
    <w:charset w:val="00"/>
    <w:family w:val="swiss"/>
    <w:notTrueType/>
    <w:pitch w:val="variable"/>
    <w:sig w:usb0="800000AF" w:usb1="4000204A" w:usb2="00000000" w:usb3="00000000" w:csb0="00000001" w:csb1="00000000"/>
  </w:font>
  <w:font w:name="HelveticaNeueLT Std">
    <w:altName w:val="Arial"/>
    <w:panose1 w:val="020B060402020202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CA52D" w14:textId="77777777" w:rsidR="005E250B" w:rsidRDefault="005E250B" w:rsidP="005E250B">
    <w:pPr>
      <w:pStyle w:val="Footer"/>
      <w:jc w:val="right"/>
    </w:pPr>
    <w:r>
      <w:rPr>
        <w:noProof/>
      </w:rPr>
      <w:drawing>
        <wp:inline distT="0" distB="0" distL="0" distR="0" wp14:anchorId="56797E15" wp14:editId="0DE6BEF4">
          <wp:extent cx="1066800" cy="277368"/>
          <wp:effectExtent l="0" t="0" r="0" b="0"/>
          <wp:docPr id="435690378"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
                    <a:extLst>
                      <a:ext uri="{28A0092B-C50C-407E-A947-70E740481C1C}">
                        <a14:useLocalDpi xmlns:a14="http://schemas.microsoft.com/office/drawing/2010/main" val="0"/>
                      </a:ext>
                    </a:extLst>
                  </a:blip>
                  <a:stretch>
                    <a:fillRect/>
                  </a:stretch>
                </pic:blipFill>
                <pic:spPr>
                  <a:xfrm>
                    <a:off x="0" y="0"/>
                    <a:ext cx="1066800" cy="2773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49109" w14:textId="77777777" w:rsidR="00C053A1" w:rsidRDefault="00C053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DD6EA" w14:textId="77777777" w:rsidR="00C053A1" w:rsidRDefault="00C053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EB10A" w14:textId="77777777" w:rsidR="00971914" w:rsidRPr="00622A3B" w:rsidRDefault="00971914"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0C6AB4">
      <w:rPr>
        <w:noProof/>
        <w:color w:val="505050"/>
      </w:rPr>
      <w:t>iv</w:t>
    </w:r>
    <w:r w:rsidRPr="002E4DDC">
      <w:rPr>
        <w:color w:val="505050"/>
      </w:rPr>
      <w:fldChar w:fldCharType="end"/>
    </w:r>
  </w:p>
  <w:p w14:paraId="1F0AB1DD" w14:textId="77777777" w:rsidR="00C053A1" w:rsidRPr="00A5474E" w:rsidRDefault="00C053A1"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E7643" w14:textId="77777777" w:rsidR="00971914" w:rsidRPr="00622A3B" w:rsidRDefault="00971914"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0C6AB4">
      <w:rPr>
        <w:noProof/>
        <w:color w:val="505050"/>
      </w:rPr>
      <w:t>v</w:t>
    </w:r>
    <w:r w:rsidRPr="002E4DDC">
      <w:rPr>
        <w:color w:val="505050"/>
      </w:rPr>
      <w:fldChar w:fldCharType="end"/>
    </w:r>
  </w:p>
  <w:p w14:paraId="1A7BA2DD" w14:textId="77777777" w:rsidR="00C053A1" w:rsidRPr="00A5474E" w:rsidRDefault="00C053A1"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512B2" w14:textId="77777777" w:rsidR="00C053A1" w:rsidRPr="00622A3B" w:rsidRDefault="00C053A1"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4F058D">
      <w:rPr>
        <w:noProof/>
        <w:color w:val="505050"/>
      </w:rPr>
      <w:t>iii</w:t>
    </w:r>
    <w:r w:rsidRPr="002E4DDC">
      <w:rPr>
        <w:color w:val="505050"/>
      </w:rPr>
      <w:fldChar w:fldCharType="end"/>
    </w:r>
  </w:p>
  <w:p w14:paraId="5B9B01BE" w14:textId="77777777" w:rsidR="00C053A1" w:rsidRPr="00A5474E" w:rsidRDefault="00C053A1"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D966A" w14:textId="77777777" w:rsidR="00C053A1" w:rsidRPr="00622A3B" w:rsidRDefault="00C053A1"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sidR="004F058D">
      <w:rPr>
        <w:noProof/>
      </w:rPr>
      <w:t>8</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5E304523" w14:textId="77777777" w:rsidR="00C053A1" w:rsidRPr="00A5474E" w:rsidRDefault="00C053A1"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8A202" w14:textId="77777777" w:rsidR="00C053A1" w:rsidRPr="00622A3B" w:rsidRDefault="00C053A1"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4F058D">
      <w:rPr>
        <w:noProof/>
        <w:color w:val="505050"/>
      </w:rPr>
      <w:t>9</w:t>
    </w:r>
    <w:r w:rsidRPr="00575AC5">
      <w:rPr>
        <w:color w:val="505050"/>
      </w:rPr>
      <w:fldChar w:fldCharType="end"/>
    </w:r>
  </w:p>
  <w:p w14:paraId="78FC049C" w14:textId="77777777" w:rsidR="00C053A1" w:rsidRPr="00A5474E" w:rsidRDefault="00C053A1"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DCA49" w14:textId="77777777" w:rsidR="00ED7844" w:rsidRDefault="00ED7844">
      <w:r>
        <w:separator/>
      </w:r>
    </w:p>
  </w:footnote>
  <w:footnote w:type="continuationSeparator" w:id="0">
    <w:p w14:paraId="52326340" w14:textId="77777777" w:rsidR="00ED7844" w:rsidRDefault="00ED7844">
      <w:r>
        <w:continuationSeparator/>
      </w:r>
    </w:p>
  </w:footnote>
  <w:footnote w:type="continuationNotice" w:id="1">
    <w:p w14:paraId="61229D57" w14:textId="77777777" w:rsidR="00ED7844" w:rsidRDefault="00ED7844">
      <w:pPr>
        <w:spacing w:after="0" w:line="240" w:lineRule="auto"/>
      </w:pPr>
    </w:p>
  </w:footnote>
  <w:footnote w:id="2">
    <w:p w14:paraId="45A1B0EC" w14:textId="320008CF" w:rsidR="00240EB3" w:rsidRPr="00630869" w:rsidRDefault="00240EB3" w:rsidP="00240EB3">
      <w:pPr>
        <w:pStyle w:val="FootnoteText"/>
      </w:pPr>
      <w:r>
        <w:rPr>
          <w:rStyle w:val="FootnoteReference"/>
        </w:rPr>
        <w:footnoteRef/>
      </w:r>
      <w:r>
        <w:t xml:space="preserve"> See, for example, the </w:t>
      </w:r>
      <w:hyperlink r:id="rId1" w:history="1">
        <w:r w:rsidRPr="00A163A9">
          <w:rPr>
            <w:rStyle w:val="Hyperlink"/>
          </w:rPr>
          <w:t>Draft ministerial direction on unsold 700</w:t>
        </w:r>
        <w:r w:rsidR="004D3028" w:rsidRPr="00A163A9">
          <w:rPr>
            <w:rStyle w:val="Hyperlink"/>
          </w:rPr>
          <w:t> MHz</w:t>
        </w:r>
        <w:r w:rsidRPr="00A163A9">
          <w:rPr>
            <w:rStyle w:val="Hyperlink"/>
          </w:rPr>
          <w:t xml:space="preserve"> spectrum</w:t>
        </w:r>
      </w:hyperlink>
      <w:r>
        <w:rPr>
          <w:i/>
          <w:iCs/>
        </w:rPr>
        <w:t xml:space="preserve"> </w:t>
      </w:r>
    </w:p>
    <w:p w14:paraId="670D3AC1" w14:textId="77777777" w:rsidR="00240EB3" w:rsidRDefault="00240EB3" w:rsidP="00240EB3">
      <w:pPr>
        <w:pStyle w:val="FootnoteText"/>
      </w:pPr>
    </w:p>
  </w:footnote>
  <w:footnote w:id="3">
    <w:p w14:paraId="28ED954E" w14:textId="3D9C1595" w:rsidR="00057CB3" w:rsidRPr="00630869" w:rsidRDefault="00057CB3" w:rsidP="00057CB3">
      <w:pPr>
        <w:pStyle w:val="FootnoteText"/>
      </w:pPr>
      <w:r>
        <w:rPr>
          <w:rStyle w:val="FootnoteReference"/>
        </w:rPr>
        <w:footnoteRef/>
      </w:r>
      <w:r>
        <w:t xml:space="preserve"> See, for example, the </w:t>
      </w:r>
      <w:hyperlink r:id="rId2" w:history="1">
        <w:r w:rsidRPr="00630869">
          <w:rPr>
            <w:rStyle w:val="Hyperlink"/>
            <w:i/>
            <w:iCs/>
          </w:rPr>
          <w:t>Draft ministerial direction on unsold 700</w:t>
        </w:r>
        <w:r w:rsidR="004D3028">
          <w:rPr>
            <w:rStyle w:val="Hyperlink"/>
            <w:i/>
            <w:iCs/>
          </w:rPr>
          <w:t> MHz</w:t>
        </w:r>
        <w:r w:rsidRPr="00630869">
          <w:rPr>
            <w:rStyle w:val="Hyperlink"/>
            <w:i/>
            <w:iCs/>
          </w:rPr>
          <w:t xml:space="preserve"> spectrum</w:t>
        </w:r>
      </w:hyperlink>
      <w:r>
        <w:rPr>
          <w:i/>
          <w:iCs/>
        </w:rPr>
        <w:t xml:space="preserve"> </w:t>
      </w:r>
    </w:p>
    <w:p w14:paraId="3D859C90" w14:textId="77777777" w:rsidR="00057CB3" w:rsidRDefault="00057CB3" w:rsidP="00057CB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1BB7C" w14:textId="77777777" w:rsidR="00C053A1" w:rsidRPr="00A5474E" w:rsidRDefault="00C053A1" w:rsidP="00A5474E">
    <w:pPr>
      <w:pStyle w:val="Header"/>
    </w:pPr>
    <w:r>
      <w:rPr>
        <w:noProof/>
      </w:rPr>
      <w:drawing>
        <wp:inline distT="0" distB="0" distL="0" distR="0" wp14:anchorId="09267176" wp14:editId="22DB69E0">
          <wp:extent cx="6283432" cy="578076"/>
          <wp:effectExtent l="0" t="0" r="3175" b="0"/>
          <wp:docPr id="909725819"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
                    <a:extLst>
                      <a:ext uri="{28A0092B-C50C-407E-A947-70E740481C1C}">
                        <a14:useLocalDpi xmlns:a14="http://schemas.microsoft.com/office/drawing/2010/main" val="0"/>
                      </a:ext>
                    </a:extLst>
                  </a:blip>
                  <a:stretch>
                    <a:fillRect/>
                  </a:stretch>
                </pic:blipFill>
                <pic:spPr>
                  <a:xfrm>
                    <a:off x="0" y="0"/>
                    <a:ext cx="6283432" cy="57807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1752A" w14:textId="77777777" w:rsidR="00C053A1" w:rsidRPr="00A5474E" w:rsidRDefault="00C053A1"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C4128" w14:textId="77777777" w:rsidR="00C053A1" w:rsidRDefault="00C053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BAC28" w14:textId="77777777" w:rsidR="00C053A1" w:rsidRDefault="00C053A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971914" w14:paraId="5DF6AA75" w14:textId="77777777" w:rsidTr="0085740C">
      <w:trPr>
        <w:trHeight w:hRule="exact" w:val="988"/>
      </w:trPr>
      <w:tc>
        <w:tcPr>
          <w:tcW w:w="7678" w:type="dxa"/>
          <w:shd w:val="clear" w:color="auto" w:fill="auto"/>
        </w:tcPr>
        <w:p w14:paraId="5B86D06C" w14:textId="77777777" w:rsidR="00971914" w:rsidRDefault="00971914" w:rsidP="00971914">
          <w:pPr>
            <w:pStyle w:val="Header"/>
          </w:pPr>
        </w:p>
      </w:tc>
    </w:tr>
    <w:tr w:rsidR="00971914" w14:paraId="2F72BA6D" w14:textId="77777777" w:rsidTr="0085740C">
      <w:tc>
        <w:tcPr>
          <w:tcW w:w="7678" w:type="dxa"/>
          <w:shd w:val="clear" w:color="auto" w:fill="auto"/>
        </w:tcPr>
        <w:p w14:paraId="5AF62192" w14:textId="77777777" w:rsidR="00971914" w:rsidRDefault="00971914" w:rsidP="00971914">
          <w:pPr>
            <w:pStyle w:val="GridTable31"/>
          </w:pPr>
          <w:r>
            <w:t xml:space="preserve">Contents </w:t>
          </w:r>
          <w:r w:rsidRPr="00915B1C">
            <w:rPr>
              <w:b w:val="0"/>
              <w:spacing w:val="0"/>
              <w:sz w:val="28"/>
              <w:szCs w:val="28"/>
            </w:rPr>
            <w:t>(Continued)</w:t>
          </w:r>
        </w:p>
      </w:tc>
    </w:tr>
    <w:tr w:rsidR="00971914" w14:paraId="03E119D2" w14:textId="77777777" w:rsidTr="0085740C">
      <w:trPr>
        <w:trHeight w:val="1220"/>
      </w:trPr>
      <w:tc>
        <w:tcPr>
          <w:tcW w:w="7678" w:type="dxa"/>
          <w:shd w:val="clear" w:color="auto" w:fill="auto"/>
        </w:tcPr>
        <w:p w14:paraId="5F66C003" w14:textId="77777777" w:rsidR="00971914" w:rsidRDefault="00971914" w:rsidP="00971914"/>
      </w:tc>
    </w:tr>
  </w:tbl>
  <w:p w14:paraId="6DA841E3" w14:textId="77777777" w:rsidR="00971914" w:rsidRDefault="00971914"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971914" w14:paraId="3017326B" w14:textId="77777777" w:rsidTr="0085740C">
      <w:trPr>
        <w:trHeight w:hRule="exact" w:val="988"/>
      </w:trPr>
      <w:tc>
        <w:tcPr>
          <w:tcW w:w="7678" w:type="dxa"/>
          <w:shd w:val="clear" w:color="auto" w:fill="auto"/>
        </w:tcPr>
        <w:p w14:paraId="431C4F33" w14:textId="77777777" w:rsidR="00971914" w:rsidRDefault="00971914" w:rsidP="00971914">
          <w:pPr>
            <w:pStyle w:val="Header"/>
          </w:pPr>
        </w:p>
      </w:tc>
    </w:tr>
    <w:tr w:rsidR="00971914" w14:paraId="6A788025" w14:textId="77777777" w:rsidTr="0085740C">
      <w:tc>
        <w:tcPr>
          <w:tcW w:w="7678" w:type="dxa"/>
          <w:shd w:val="clear" w:color="auto" w:fill="auto"/>
        </w:tcPr>
        <w:p w14:paraId="04F5F303" w14:textId="77777777" w:rsidR="00971914" w:rsidRDefault="00971914" w:rsidP="00971914">
          <w:pPr>
            <w:pStyle w:val="GridTable31"/>
          </w:pPr>
          <w:r>
            <w:t xml:space="preserve">Contents </w:t>
          </w:r>
          <w:r w:rsidRPr="00915B1C">
            <w:rPr>
              <w:b w:val="0"/>
              <w:spacing w:val="0"/>
              <w:sz w:val="28"/>
              <w:szCs w:val="28"/>
            </w:rPr>
            <w:t>(Continued)</w:t>
          </w:r>
        </w:p>
      </w:tc>
    </w:tr>
    <w:tr w:rsidR="00971914" w14:paraId="3FAC359B" w14:textId="77777777" w:rsidTr="0085740C">
      <w:trPr>
        <w:trHeight w:val="1220"/>
      </w:trPr>
      <w:tc>
        <w:tcPr>
          <w:tcW w:w="7678" w:type="dxa"/>
          <w:shd w:val="clear" w:color="auto" w:fill="auto"/>
        </w:tcPr>
        <w:p w14:paraId="2BD90547" w14:textId="77777777" w:rsidR="00971914" w:rsidRDefault="00971914" w:rsidP="00971914"/>
      </w:tc>
    </w:tr>
  </w:tbl>
  <w:p w14:paraId="4C9159B8" w14:textId="77777777" w:rsidR="00C053A1" w:rsidRPr="00A5474E" w:rsidRDefault="00C053A1"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342B3" w14:textId="77777777" w:rsidR="00C053A1" w:rsidRDefault="00C053A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AF353" w14:textId="77777777" w:rsidR="00C053A1" w:rsidRDefault="00C053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B4B297F6"/>
    <w:lvl w:ilvl="0">
      <w:start w:val="1"/>
      <w:numFmt w:val="lowerRoman"/>
      <w:pStyle w:val="ListNumber3"/>
      <w:lvlText w:val="(%1)"/>
      <w:lvlJc w:val="left"/>
      <w:pPr>
        <w:ind w:left="1080" w:hanging="360"/>
      </w:pPr>
      <w:rPr>
        <w:rFonts w:hint="default"/>
      </w:rPr>
    </w:lvl>
  </w:abstractNum>
  <w:abstractNum w:abstractNumId="1"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2"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3" w15:restartNumberingAfterBreak="0">
    <w:nsid w:val="FFFFFF88"/>
    <w:multiLevelType w:val="singleLevel"/>
    <w:tmpl w:val="6EBA4AA8"/>
    <w:lvl w:ilvl="0">
      <w:start w:val="1"/>
      <w:numFmt w:val="decimal"/>
      <w:pStyle w:val="ListNumber"/>
      <w:lvlText w:val="%1."/>
      <w:lvlJc w:val="left"/>
      <w:pPr>
        <w:ind w:left="360" w:hanging="360"/>
      </w:pPr>
      <w:rPr>
        <w:rFonts w:hint="default"/>
        <w:b w:val="0"/>
        <w:bCs/>
        <w:caps/>
        <w:sz w:val="20"/>
      </w:rPr>
    </w:lvl>
  </w:abstractNum>
  <w:abstractNum w:abstractNumId="4" w15:restartNumberingAfterBreak="0">
    <w:nsid w:val="FFFFFF89"/>
    <w:multiLevelType w:val="singleLevel"/>
    <w:tmpl w:val="55003B36"/>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5"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66E1028"/>
    <w:multiLevelType w:val="hybridMultilevel"/>
    <w:tmpl w:val="9B963630"/>
    <w:lvl w:ilvl="0" w:tplc="D0281BF6">
      <w:start w:val="1"/>
      <w:numFmt w:val="decimal"/>
      <w:lvlText w:val="%1."/>
      <w:lvlJc w:val="left"/>
      <w:pPr>
        <w:ind w:left="360" w:hanging="360"/>
      </w:pPr>
      <w:rPr>
        <w:rFonts w:hint="default"/>
        <w:b w:val="0"/>
        <w:bCs w:val="0"/>
        <w:i w:val="0"/>
        <w:iCs w:val="0"/>
      </w:rPr>
    </w:lvl>
    <w:lvl w:ilvl="1" w:tplc="01464D12">
      <w:start w:val="1"/>
      <w:numFmt w:val="bullet"/>
      <w:lvlText w:val=""/>
      <w:lvlJc w:val="left"/>
      <w:pPr>
        <w:ind w:left="1080" w:hanging="360"/>
      </w:pPr>
      <w:rPr>
        <w:rFonts w:ascii="Symbol" w:hAnsi="Symbol" w:hint="default"/>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BE51963"/>
    <w:multiLevelType w:val="hybridMultilevel"/>
    <w:tmpl w:val="2B76B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9" w15:restartNumberingAfterBreak="0">
    <w:nsid w:val="31887C09"/>
    <w:multiLevelType w:val="hybridMultilevel"/>
    <w:tmpl w:val="948060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57A5738"/>
    <w:multiLevelType w:val="hybridMultilevel"/>
    <w:tmpl w:val="AC12BCBE"/>
    <w:lvl w:ilvl="0" w:tplc="F6FCC69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7020905"/>
    <w:multiLevelType w:val="hybridMultilevel"/>
    <w:tmpl w:val="BA841138"/>
    <w:lvl w:ilvl="0" w:tplc="FA94A91C">
      <w:start w:val="1"/>
      <w:numFmt w:val="decimal"/>
      <w:lvlText w:val="%1."/>
      <w:lvlJc w:val="left"/>
      <w:pPr>
        <w:ind w:left="360" w:hanging="360"/>
      </w:pPr>
      <w:rPr>
        <w:rFonts w:ascii="Arial" w:hAnsi="Arial" w:cs="Aria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40EC5ECA"/>
    <w:multiLevelType w:val="hybridMultilevel"/>
    <w:tmpl w:val="6734AC34"/>
    <w:lvl w:ilvl="0" w:tplc="D0281BF6">
      <w:start w:val="1"/>
      <w:numFmt w:val="decimal"/>
      <w:lvlText w:val="%1."/>
      <w:lvlJc w:val="left"/>
      <w:pPr>
        <w:ind w:left="360" w:hanging="360"/>
      </w:pPr>
      <w:rPr>
        <w:rFonts w:hint="default"/>
        <w:b w:val="0"/>
        <w:bCs w:val="0"/>
        <w:i w:val="0"/>
        <w:iCs w:val="0"/>
      </w:rPr>
    </w:lvl>
    <w:lvl w:ilvl="1" w:tplc="F6FCC69A">
      <w:start w:val="1"/>
      <w:numFmt w:val="bullet"/>
      <w:lvlText w:val=""/>
      <w:lvlJc w:val="left"/>
      <w:pPr>
        <w:ind w:left="1080" w:hanging="360"/>
      </w:pPr>
      <w:rPr>
        <w:rFonts w:ascii="Symbol" w:hAnsi="Symbol" w:hint="default"/>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42560D5D"/>
    <w:multiLevelType w:val="hybridMultilevel"/>
    <w:tmpl w:val="9FBEE9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80F273A"/>
    <w:multiLevelType w:val="hybridMultilevel"/>
    <w:tmpl w:val="2E44558A"/>
    <w:lvl w:ilvl="0" w:tplc="D0281BF6">
      <w:start w:val="1"/>
      <w:numFmt w:val="decimal"/>
      <w:lvlText w:val="%1."/>
      <w:lvlJc w:val="left"/>
      <w:pPr>
        <w:ind w:left="360" w:hanging="360"/>
      </w:pPr>
      <w:rPr>
        <w:rFonts w:hint="default"/>
        <w:b w:val="0"/>
        <w:bCs w:val="0"/>
        <w:i w:val="0"/>
        <w:iCs w:val="0"/>
      </w:rPr>
    </w:lvl>
    <w:lvl w:ilvl="1" w:tplc="0C090019">
      <w:start w:val="1"/>
      <w:numFmt w:val="lowerLetter"/>
      <w:lvlText w:val="%2."/>
      <w:lvlJc w:val="left"/>
      <w:pPr>
        <w:ind w:left="1080" w:hanging="360"/>
      </w:pPr>
      <w:rPr>
        <w:rFonts w:hint="default"/>
      </w:r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4EEC6825"/>
    <w:multiLevelType w:val="hybridMultilevel"/>
    <w:tmpl w:val="2174DB20"/>
    <w:lvl w:ilvl="0" w:tplc="F6FCC69A">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6"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617B3E"/>
    <w:multiLevelType w:val="multilevel"/>
    <w:tmpl w:val="971CB8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4"/>
  </w:num>
  <w:num w:numId="2">
    <w:abstractNumId w:val="2"/>
  </w:num>
  <w:num w:numId="3">
    <w:abstractNumId w:val="3"/>
  </w:num>
  <w:num w:numId="4">
    <w:abstractNumId w:val="1"/>
  </w:num>
  <w:num w:numId="5">
    <w:abstractNumId w:val="8"/>
  </w:num>
  <w:num w:numId="6">
    <w:abstractNumId w:val="18"/>
  </w:num>
  <w:num w:numId="7">
    <w:abstractNumId w:val="16"/>
  </w:num>
  <w:num w:numId="8">
    <w:abstractNumId w:val="17"/>
  </w:num>
  <w:num w:numId="9">
    <w:abstractNumId w:val="19"/>
  </w:num>
  <w:num w:numId="10">
    <w:abstractNumId w:val="5"/>
  </w:num>
  <w:num w:numId="11">
    <w:abstractNumId w:val="3"/>
    <w:lvlOverride w:ilvl="0">
      <w:startOverride w:val="1"/>
    </w:lvlOverride>
  </w:num>
  <w:num w:numId="12">
    <w:abstractNumId w:val="11"/>
  </w:num>
  <w:num w:numId="13">
    <w:abstractNumId w:val="9"/>
  </w:num>
  <w:num w:numId="14">
    <w:abstractNumId w:val="7"/>
  </w:num>
  <w:num w:numId="15">
    <w:abstractNumId w:val="13"/>
  </w:num>
  <w:num w:numId="16">
    <w:abstractNumId w:val="15"/>
  </w:num>
  <w:num w:numId="17">
    <w:abstractNumId w:val="4"/>
  </w:num>
  <w:num w:numId="18">
    <w:abstractNumId w:val="6"/>
  </w:num>
  <w:num w:numId="19">
    <w:abstractNumId w:val="14"/>
  </w:num>
  <w:num w:numId="20">
    <w:abstractNumId w:val="12"/>
  </w:num>
  <w:num w:numId="21">
    <w:abstractNumId w:val="0"/>
  </w:num>
  <w:num w:numId="22">
    <w:abstractNumId w:val="4"/>
  </w:num>
  <w:num w:numId="23">
    <w:abstractNumId w:val="10"/>
  </w:num>
  <w:num w:numId="24">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284"/>
  <w:evenAndOddHeaders/>
  <w:drawingGridHorizontalSpacing w:val="100"/>
  <w:displayHorizontalDrawingGridEvery w:val="2"/>
  <w:characterSpacingControl w:val="doNotCompress"/>
  <w:hdrShapeDefaults>
    <o:shapedefaults v:ext="edit" spidmax="4097">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F5B"/>
    <w:rsid w:val="00000CC7"/>
    <w:rsid w:val="000020B0"/>
    <w:rsid w:val="00002FAF"/>
    <w:rsid w:val="00004CCC"/>
    <w:rsid w:val="000105C9"/>
    <w:rsid w:val="00010667"/>
    <w:rsid w:val="000121A9"/>
    <w:rsid w:val="00012819"/>
    <w:rsid w:val="000129D5"/>
    <w:rsid w:val="00013D05"/>
    <w:rsid w:val="00015740"/>
    <w:rsid w:val="00015AE7"/>
    <w:rsid w:val="00016E21"/>
    <w:rsid w:val="0001719C"/>
    <w:rsid w:val="00017B51"/>
    <w:rsid w:val="0002069A"/>
    <w:rsid w:val="0002224E"/>
    <w:rsid w:val="00023157"/>
    <w:rsid w:val="000232A1"/>
    <w:rsid w:val="00023A0C"/>
    <w:rsid w:val="000245E5"/>
    <w:rsid w:val="00026F91"/>
    <w:rsid w:val="00027FE1"/>
    <w:rsid w:val="00031858"/>
    <w:rsid w:val="0003373A"/>
    <w:rsid w:val="000361BE"/>
    <w:rsid w:val="00036503"/>
    <w:rsid w:val="000404A0"/>
    <w:rsid w:val="00043C26"/>
    <w:rsid w:val="00043CDC"/>
    <w:rsid w:val="000448A2"/>
    <w:rsid w:val="0004764C"/>
    <w:rsid w:val="0005011A"/>
    <w:rsid w:val="0005045A"/>
    <w:rsid w:val="00050C60"/>
    <w:rsid w:val="00051C1E"/>
    <w:rsid w:val="00051CAB"/>
    <w:rsid w:val="00052115"/>
    <w:rsid w:val="000539B3"/>
    <w:rsid w:val="000539F9"/>
    <w:rsid w:val="00054C27"/>
    <w:rsid w:val="00055620"/>
    <w:rsid w:val="00055B7A"/>
    <w:rsid w:val="00055EC3"/>
    <w:rsid w:val="000563CE"/>
    <w:rsid w:val="00056616"/>
    <w:rsid w:val="00057CB3"/>
    <w:rsid w:val="00057EA4"/>
    <w:rsid w:val="00057F3B"/>
    <w:rsid w:val="00062FF1"/>
    <w:rsid w:val="000659B6"/>
    <w:rsid w:val="0006686F"/>
    <w:rsid w:val="0006722A"/>
    <w:rsid w:val="00070314"/>
    <w:rsid w:val="00070532"/>
    <w:rsid w:val="000730E2"/>
    <w:rsid w:val="000732CF"/>
    <w:rsid w:val="00075B96"/>
    <w:rsid w:val="0007602B"/>
    <w:rsid w:val="000817D2"/>
    <w:rsid w:val="0008196A"/>
    <w:rsid w:val="0008250F"/>
    <w:rsid w:val="00084FF6"/>
    <w:rsid w:val="000878FD"/>
    <w:rsid w:val="00087BCA"/>
    <w:rsid w:val="00090654"/>
    <w:rsid w:val="000910DF"/>
    <w:rsid w:val="000914BE"/>
    <w:rsid w:val="000915ED"/>
    <w:rsid w:val="0009209D"/>
    <w:rsid w:val="000930E1"/>
    <w:rsid w:val="0009463C"/>
    <w:rsid w:val="00095D88"/>
    <w:rsid w:val="000969BD"/>
    <w:rsid w:val="000969BF"/>
    <w:rsid w:val="00097942"/>
    <w:rsid w:val="000A0C22"/>
    <w:rsid w:val="000A1400"/>
    <w:rsid w:val="000A1910"/>
    <w:rsid w:val="000A3773"/>
    <w:rsid w:val="000A3C43"/>
    <w:rsid w:val="000A3FCE"/>
    <w:rsid w:val="000A4245"/>
    <w:rsid w:val="000A47E9"/>
    <w:rsid w:val="000A4A51"/>
    <w:rsid w:val="000A5D2B"/>
    <w:rsid w:val="000A699B"/>
    <w:rsid w:val="000A7110"/>
    <w:rsid w:val="000B1210"/>
    <w:rsid w:val="000B1B45"/>
    <w:rsid w:val="000B27D6"/>
    <w:rsid w:val="000B4664"/>
    <w:rsid w:val="000B5DE3"/>
    <w:rsid w:val="000B7238"/>
    <w:rsid w:val="000C0A57"/>
    <w:rsid w:val="000C0BEA"/>
    <w:rsid w:val="000C124C"/>
    <w:rsid w:val="000C230C"/>
    <w:rsid w:val="000C2668"/>
    <w:rsid w:val="000C2C41"/>
    <w:rsid w:val="000C6AB4"/>
    <w:rsid w:val="000C7C74"/>
    <w:rsid w:val="000D1D4B"/>
    <w:rsid w:val="000D38CF"/>
    <w:rsid w:val="000D3BCA"/>
    <w:rsid w:val="000D4C46"/>
    <w:rsid w:val="000D535A"/>
    <w:rsid w:val="000D56DC"/>
    <w:rsid w:val="000D71D9"/>
    <w:rsid w:val="000D76E0"/>
    <w:rsid w:val="000D7C37"/>
    <w:rsid w:val="000D7E8B"/>
    <w:rsid w:val="000E0506"/>
    <w:rsid w:val="000E0853"/>
    <w:rsid w:val="000E4449"/>
    <w:rsid w:val="000E559F"/>
    <w:rsid w:val="000E5620"/>
    <w:rsid w:val="000E6097"/>
    <w:rsid w:val="000E6721"/>
    <w:rsid w:val="000F1EFA"/>
    <w:rsid w:val="000F2C1F"/>
    <w:rsid w:val="000F2CEB"/>
    <w:rsid w:val="000F5143"/>
    <w:rsid w:val="000F5C7D"/>
    <w:rsid w:val="000F5FDC"/>
    <w:rsid w:val="000F641E"/>
    <w:rsid w:val="000F66E8"/>
    <w:rsid w:val="000F71C8"/>
    <w:rsid w:val="000F769B"/>
    <w:rsid w:val="001032BA"/>
    <w:rsid w:val="00103829"/>
    <w:rsid w:val="00103891"/>
    <w:rsid w:val="001039C7"/>
    <w:rsid w:val="00103DAA"/>
    <w:rsid w:val="00104CB1"/>
    <w:rsid w:val="00104EA5"/>
    <w:rsid w:val="00111627"/>
    <w:rsid w:val="00111FCE"/>
    <w:rsid w:val="0011372A"/>
    <w:rsid w:val="00114114"/>
    <w:rsid w:val="001145F8"/>
    <w:rsid w:val="00115AC6"/>
    <w:rsid w:val="001229A5"/>
    <w:rsid w:val="001235EA"/>
    <w:rsid w:val="00124664"/>
    <w:rsid w:val="0012489B"/>
    <w:rsid w:val="00125950"/>
    <w:rsid w:val="00126EEA"/>
    <w:rsid w:val="00127089"/>
    <w:rsid w:val="001279C8"/>
    <w:rsid w:val="00130017"/>
    <w:rsid w:val="00130F91"/>
    <w:rsid w:val="00133E97"/>
    <w:rsid w:val="001349ED"/>
    <w:rsid w:val="00135271"/>
    <w:rsid w:val="001359A1"/>
    <w:rsid w:val="0013667E"/>
    <w:rsid w:val="00136CE1"/>
    <w:rsid w:val="00137424"/>
    <w:rsid w:val="00140318"/>
    <w:rsid w:val="0014095B"/>
    <w:rsid w:val="001418E8"/>
    <w:rsid w:val="00141AD9"/>
    <w:rsid w:val="001442CF"/>
    <w:rsid w:val="0014626E"/>
    <w:rsid w:val="00146948"/>
    <w:rsid w:val="00146CE6"/>
    <w:rsid w:val="00147A0C"/>
    <w:rsid w:val="0015040B"/>
    <w:rsid w:val="00151BB7"/>
    <w:rsid w:val="00152903"/>
    <w:rsid w:val="00152AEB"/>
    <w:rsid w:val="0015376A"/>
    <w:rsid w:val="0015378D"/>
    <w:rsid w:val="00153FD5"/>
    <w:rsid w:val="0015456D"/>
    <w:rsid w:val="0015614F"/>
    <w:rsid w:val="001577C2"/>
    <w:rsid w:val="00160134"/>
    <w:rsid w:val="00160731"/>
    <w:rsid w:val="001621D9"/>
    <w:rsid w:val="001633C4"/>
    <w:rsid w:val="00165779"/>
    <w:rsid w:val="0016683B"/>
    <w:rsid w:val="001704D5"/>
    <w:rsid w:val="001713FF"/>
    <w:rsid w:val="00171591"/>
    <w:rsid w:val="00172647"/>
    <w:rsid w:val="0017302E"/>
    <w:rsid w:val="00173981"/>
    <w:rsid w:val="0017449A"/>
    <w:rsid w:val="00176D7C"/>
    <w:rsid w:val="0017719D"/>
    <w:rsid w:val="00180560"/>
    <w:rsid w:val="001839DE"/>
    <w:rsid w:val="00183FD7"/>
    <w:rsid w:val="00185639"/>
    <w:rsid w:val="00185CAB"/>
    <w:rsid w:val="00186B61"/>
    <w:rsid w:val="001875B7"/>
    <w:rsid w:val="00187CB3"/>
    <w:rsid w:val="0019050A"/>
    <w:rsid w:val="001910D4"/>
    <w:rsid w:val="001921A0"/>
    <w:rsid w:val="00192C4D"/>
    <w:rsid w:val="0019668E"/>
    <w:rsid w:val="0019695E"/>
    <w:rsid w:val="001976E3"/>
    <w:rsid w:val="001A0264"/>
    <w:rsid w:val="001A0F95"/>
    <w:rsid w:val="001A2C96"/>
    <w:rsid w:val="001A32E2"/>
    <w:rsid w:val="001A44EC"/>
    <w:rsid w:val="001A4E31"/>
    <w:rsid w:val="001A5F41"/>
    <w:rsid w:val="001A5FB9"/>
    <w:rsid w:val="001A60C7"/>
    <w:rsid w:val="001A6264"/>
    <w:rsid w:val="001B044D"/>
    <w:rsid w:val="001B110B"/>
    <w:rsid w:val="001B28D9"/>
    <w:rsid w:val="001B38B8"/>
    <w:rsid w:val="001B58AA"/>
    <w:rsid w:val="001B7E48"/>
    <w:rsid w:val="001C17CE"/>
    <w:rsid w:val="001C1E4F"/>
    <w:rsid w:val="001C1F5B"/>
    <w:rsid w:val="001C36CA"/>
    <w:rsid w:val="001C44D1"/>
    <w:rsid w:val="001C47D7"/>
    <w:rsid w:val="001C4E51"/>
    <w:rsid w:val="001C50A2"/>
    <w:rsid w:val="001C57F5"/>
    <w:rsid w:val="001C5CEB"/>
    <w:rsid w:val="001C6AEE"/>
    <w:rsid w:val="001C7630"/>
    <w:rsid w:val="001D4E21"/>
    <w:rsid w:val="001D634D"/>
    <w:rsid w:val="001D6D15"/>
    <w:rsid w:val="001D6F73"/>
    <w:rsid w:val="001D79B7"/>
    <w:rsid w:val="001E114D"/>
    <w:rsid w:val="001E21B2"/>
    <w:rsid w:val="001E2D28"/>
    <w:rsid w:val="001E302F"/>
    <w:rsid w:val="001E4E83"/>
    <w:rsid w:val="001E6028"/>
    <w:rsid w:val="001F229A"/>
    <w:rsid w:val="001F5920"/>
    <w:rsid w:val="001F6786"/>
    <w:rsid w:val="001F7558"/>
    <w:rsid w:val="001F78DE"/>
    <w:rsid w:val="001F7AF9"/>
    <w:rsid w:val="00203163"/>
    <w:rsid w:val="00203F54"/>
    <w:rsid w:val="00205B57"/>
    <w:rsid w:val="00205FBA"/>
    <w:rsid w:val="002072B7"/>
    <w:rsid w:val="0020762F"/>
    <w:rsid w:val="00207CD8"/>
    <w:rsid w:val="00210738"/>
    <w:rsid w:val="002107BD"/>
    <w:rsid w:val="002119D4"/>
    <w:rsid w:val="002122F0"/>
    <w:rsid w:val="002141ED"/>
    <w:rsid w:val="002157E0"/>
    <w:rsid w:val="00216A57"/>
    <w:rsid w:val="00217448"/>
    <w:rsid w:val="002212EA"/>
    <w:rsid w:val="00221866"/>
    <w:rsid w:val="0022334F"/>
    <w:rsid w:val="00223C1A"/>
    <w:rsid w:val="00224128"/>
    <w:rsid w:val="00226819"/>
    <w:rsid w:val="00226DB0"/>
    <w:rsid w:val="002272F5"/>
    <w:rsid w:val="002303D8"/>
    <w:rsid w:val="00230830"/>
    <w:rsid w:val="00231E5B"/>
    <w:rsid w:val="0023304F"/>
    <w:rsid w:val="00233101"/>
    <w:rsid w:val="00233817"/>
    <w:rsid w:val="00235374"/>
    <w:rsid w:val="00235C95"/>
    <w:rsid w:val="00236784"/>
    <w:rsid w:val="002367FF"/>
    <w:rsid w:val="00240CE9"/>
    <w:rsid w:val="00240EB3"/>
    <w:rsid w:val="00241230"/>
    <w:rsid w:val="00241DC5"/>
    <w:rsid w:val="002434BA"/>
    <w:rsid w:val="002450AF"/>
    <w:rsid w:val="0024512D"/>
    <w:rsid w:val="00246089"/>
    <w:rsid w:val="00246093"/>
    <w:rsid w:val="002461AE"/>
    <w:rsid w:val="00246702"/>
    <w:rsid w:val="00247C59"/>
    <w:rsid w:val="00247DC3"/>
    <w:rsid w:val="00247F2E"/>
    <w:rsid w:val="00250ADC"/>
    <w:rsid w:val="00250B07"/>
    <w:rsid w:val="00251C9B"/>
    <w:rsid w:val="00253869"/>
    <w:rsid w:val="00254E78"/>
    <w:rsid w:val="002572E6"/>
    <w:rsid w:val="00257553"/>
    <w:rsid w:val="00260FB2"/>
    <w:rsid w:val="00262128"/>
    <w:rsid w:val="0026227E"/>
    <w:rsid w:val="00262389"/>
    <w:rsid w:val="00262434"/>
    <w:rsid w:val="00263FA8"/>
    <w:rsid w:val="002673EC"/>
    <w:rsid w:val="00270571"/>
    <w:rsid w:val="0027165D"/>
    <w:rsid w:val="00271873"/>
    <w:rsid w:val="00272BBE"/>
    <w:rsid w:val="00273BED"/>
    <w:rsid w:val="00273CEB"/>
    <w:rsid w:val="00277487"/>
    <w:rsid w:val="002801EE"/>
    <w:rsid w:val="002808C0"/>
    <w:rsid w:val="002816E8"/>
    <w:rsid w:val="00281C89"/>
    <w:rsid w:val="0028282F"/>
    <w:rsid w:val="00284369"/>
    <w:rsid w:val="002847A2"/>
    <w:rsid w:val="00287AA8"/>
    <w:rsid w:val="00287BCB"/>
    <w:rsid w:val="0029129F"/>
    <w:rsid w:val="00291DBF"/>
    <w:rsid w:val="0029280A"/>
    <w:rsid w:val="00293CAF"/>
    <w:rsid w:val="002944B8"/>
    <w:rsid w:val="0029593B"/>
    <w:rsid w:val="00296B75"/>
    <w:rsid w:val="00296D6C"/>
    <w:rsid w:val="00297FC5"/>
    <w:rsid w:val="002A0417"/>
    <w:rsid w:val="002A16D8"/>
    <w:rsid w:val="002A1BC8"/>
    <w:rsid w:val="002A2729"/>
    <w:rsid w:val="002A2A2B"/>
    <w:rsid w:val="002A3EF2"/>
    <w:rsid w:val="002A5895"/>
    <w:rsid w:val="002A5D28"/>
    <w:rsid w:val="002B0691"/>
    <w:rsid w:val="002B0CD3"/>
    <w:rsid w:val="002B0DED"/>
    <w:rsid w:val="002B16F8"/>
    <w:rsid w:val="002B19A2"/>
    <w:rsid w:val="002B381A"/>
    <w:rsid w:val="002B415A"/>
    <w:rsid w:val="002B4936"/>
    <w:rsid w:val="002B4FCC"/>
    <w:rsid w:val="002B7408"/>
    <w:rsid w:val="002B7CFD"/>
    <w:rsid w:val="002C00BD"/>
    <w:rsid w:val="002C0140"/>
    <w:rsid w:val="002C210F"/>
    <w:rsid w:val="002C3757"/>
    <w:rsid w:val="002C435C"/>
    <w:rsid w:val="002C4E3C"/>
    <w:rsid w:val="002C6EEF"/>
    <w:rsid w:val="002D0D80"/>
    <w:rsid w:val="002D3600"/>
    <w:rsid w:val="002D69F8"/>
    <w:rsid w:val="002D6CA6"/>
    <w:rsid w:val="002E1813"/>
    <w:rsid w:val="002E2569"/>
    <w:rsid w:val="002E2809"/>
    <w:rsid w:val="002E4DDC"/>
    <w:rsid w:val="002E5FFD"/>
    <w:rsid w:val="002E648B"/>
    <w:rsid w:val="002F0413"/>
    <w:rsid w:val="002F1BA9"/>
    <w:rsid w:val="002F2723"/>
    <w:rsid w:val="002F2A8E"/>
    <w:rsid w:val="002F354A"/>
    <w:rsid w:val="002F3751"/>
    <w:rsid w:val="00300A1C"/>
    <w:rsid w:val="00300FA3"/>
    <w:rsid w:val="00301A46"/>
    <w:rsid w:val="00302480"/>
    <w:rsid w:val="00302758"/>
    <w:rsid w:val="00303F4B"/>
    <w:rsid w:val="003043A4"/>
    <w:rsid w:val="00312288"/>
    <w:rsid w:val="003130CC"/>
    <w:rsid w:val="00313C87"/>
    <w:rsid w:val="0031500F"/>
    <w:rsid w:val="003165E6"/>
    <w:rsid w:val="003201A2"/>
    <w:rsid w:val="003215B5"/>
    <w:rsid w:val="00321EE1"/>
    <w:rsid w:val="003221CF"/>
    <w:rsid w:val="00322406"/>
    <w:rsid w:val="003224F2"/>
    <w:rsid w:val="003233ED"/>
    <w:rsid w:val="00323CC3"/>
    <w:rsid w:val="00324D9F"/>
    <w:rsid w:val="00327948"/>
    <w:rsid w:val="0033000F"/>
    <w:rsid w:val="00332011"/>
    <w:rsid w:val="00332518"/>
    <w:rsid w:val="0033263E"/>
    <w:rsid w:val="00332925"/>
    <w:rsid w:val="00332E06"/>
    <w:rsid w:val="003332ED"/>
    <w:rsid w:val="003349A4"/>
    <w:rsid w:val="0033530C"/>
    <w:rsid w:val="0033570D"/>
    <w:rsid w:val="003368DC"/>
    <w:rsid w:val="00337E8A"/>
    <w:rsid w:val="0034023A"/>
    <w:rsid w:val="003403F1"/>
    <w:rsid w:val="00345246"/>
    <w:rsid w:val="00345927"/>
    <w:rsid w:val="00346D9B"/>
    <w:rsid w:val="00346FE9"/>
    <w:rsid w:val="00347764"/>
    <w:rsid w:val="00350584"/>
    <w:rsid w:val="0035091B"/>
    <w:rsid w:val="00351857"/>
    <w:rsid w:val="0035210B"/>
    <w:rsid w:val="003543C2"/>
    <w:rsid w:val="003545E8"/>
    <w:rsid w:val="0035521A"/>
    <w:rsid w:val="00355469"/>
    <w:rsid w:val="00356A8C"/>
    <w:rsid w:val="0035714B"/>
    <w:rsid w:val="00360E65"/>
    <w:rsid w:val="003610E1"/>
    <w:rsid w:val="003610F0"/>
    <w:rsid w:val="00363E09"/>
    <w:rsid w:val="003655F8"/>
    <w:rsid w:val="00365B87"/>
    <w:rsid w:val="003671BE"/>
    <w:rsid w:val="0037032D"/>
    <w:rsid w:val="00370879"/>
    <w:rsid w:val="00370BAD"/>
    <w:rsid w:val="00372485"/>
    <w:rsid w:val="00372928"/>
    <w:rsid w:val="00372954"/>
    <w:rsid w:val="00373200"/>
    <w:rsid w:val="00374820"/>
    <w:rsid w:val="00375287"/>
    <w:rsid w:val="00375804"/>
    <w:rsid w:val="00375EF5"/>
    <w:rsid w:val="003767A5"/>
    <w:rsid w:val="00380255"/>
    <w:rsid w:val="0038064C"/>
    <w:rsid w:val="00380E51"/>
    <w:rsid w:val="00381D15"/>
    <w:rsid w:val="0038240E"/>
    <w:rsid w:val="00383C53"/>
    <w:rsid w:val="00385254"/>
    <w:rsid w:val="00386851"/>
    <w:rsid w:val="00386926"/>
    <w:rsid w:val="003909CA"/>
    <w:rsid w:val="00390B69"/>
    <w:rsid w:val="00390F1E"/>
    <w:rsid w:val="00393A2D"/>
    <w:rsid w:val="00395537"/>
    <w:rsid w:val="003978AA"/>
    <w:rsid w:val="003A04DB"/>
    <w:rsid w:val="003A0606"/>
    <w:rsid w:val="003A0A26"/>
    <w:rsid w:val="003A165F"/>
    <w:rsid w:val="003A1769"/>
    <w:rsid w:val="003A1B85"/>
    <w:rsid w:val="003A229D"/>
    <w:rsid w:val="003A3C41"/>
    <w:rsid w:val="003A3CCE"/>
    <w:rsid w:val="003A5F5B"/>
    <w:rsid w:val="003A5FB9"/>
    <w:rsid w:val="003A789A"/>
    <w:rsid w:val="003B0B48"/>
    <w:rsid w:val="003B1049"/>
    <w:rsid w:val="003B12EC"/>
    <w:rsid w:val="003B239B"/>
    <w:rsid w:val="003B2C09"/>
    <w:rsid w:val="003B5498"/>
    <w:rsid w:val="003B7C98"/>
    <w:rsid w:val="003B7E67"/>
    <w:rsid w:val="003C302D"/>
    <w:rsid w:val="003C303A"/>
    <w:rsid w:val="003C34DF"/>
    <w:rsid w:val="003C678F"/>
    <w:rsid w:val="003C77E0"/>
    <w:rsid w:val="003D0BFC"/>
    <w:rsid w:val="003D107D"/>
    <w:rsid w:val="003D17D7"/>
    <w:rsid w:val="003D2678"/>
    <w:rsid w:val="003D2EC0"/>
    <w:rsid w:val="003D31BB"/>
    <w:rsid w:val="003D3505"/>
    <w:rsid w:val="003D6D3A"/>
    <w:rsid w:val="003D71A3"/>
    <w:rsid w:val="003E22D1"/>
    <w:rsid w:val="003E25C0"/>
    <w:rsid w:val="003E2B8A"/>
    <w:rsid w:val="003E2D4C"/>
    <w:rsid w:val="003E3DD7"/>
    <w:rsid w:val="003E4D94"/>
    <w:rsid w:val="003E5E00"/>
    <w:rsid w:val="003E6EF0"/>
    <w:rsid w:val="003F02BB"/>
    <w:rsid w:val="003F088C"/>
    <w:rsid w:val="003F10EE"/>
    <w:rsid w:val="003F16F6"/>
    <w:rsid w:val="003F4DC7"/>
    <w:rsid w:val="003F5235"/>
    <w:rsid w:val="003F7104"/>
    <w:rsid w:val="00400954"/>
    <w:rsid w:val="00401017"/>
    <w:rsid w:val="004027E4"/>
    <w:rsid w:val="0040306C"/>
    <w:rsid w:val="004045B2"/>
    <w:rsid w:val="004060B6"/>
    <w:rsid w:val="00407966"/>
    <w:rsid w:val="00410050"/>
    <w:rsid w:val="00410250"/>
    <w:rsid w:val="004106C0"/>
    <w:rsid w:val="0041071D"/>
    <w:rsid w:val="0041288A"/>
    <w:rsid w:val="00414AFC"/>
    <w:rsid w:val="004151A7"/>
    <w:rsid w:val="00415310"/>
    <w:rsid w:val="0041543D"/>
    <w:rsid w:val="0041615E"/>
    <w:rsid w:val="00420078"/>
    <w:rsid w:val="004203F3"/>
    <w:rsid w:val="00421709"/>
    <w:rsid w:val="00421A05"/>
    <w:rsid w:val="00423763"/>
    <w:rsid w:val="00424211"/>
    <w:rsid w:val="00424D37"/>
    <w:rsid w:val="0042584C"/>
    <w:rsid w:val="004260F7"/>
    <w:rsid w:val="0042762F"/>
    <w:rsid w:val="00427DC7"/>
    <w:rsid w:val="00431613"/>
    <w:rsid w:val="00431792"/>
    <w:rsid w:val="0043297A"/>
    <w:rsid w:val="00432EB2"/>
    <w:rsid w:val="00432FCD"/>
    <w:rsid w:val="004331C4"/>
    <w:rsid w:val="00434907"/>
    <w:rsid w:val="00434B64"/>
    <w:rsid w:val="00435564"/>
    <w:rsid w:val="0043714F"/>
    <w:rsid w:val="00440AE2"/>
    <w:rsid w:val="004438B5"/>
    <w:rsid w:val="00443B28"/>
    <w:rsid w:val="004466CF"/>
    <w:rsid w:val="00446A4E"/>
    <w:rsid w:val="00447037"/>
    <w:rsid w:val="00447433"/>
    <w:rsid w:val="00447A71"/>
    <w:rsid w:val="004502CA"/>
    <w:rsid w:val="0045124D"/>
    <w:rsid w:val="00451CBA"/>
    <w:rsid w:val="004526A7"/>
    <w:rsid w:val="00454596"/>
    <w:rsid w:val="0045605D"/>
    <w:rsid w:val="00460BDE"/>
    <w:rsid w:val="0046135B"/>
    <w:rsid w:val="00461D47"/>
    <w:rsid w:val="00462488"/>
    <w:rsid w:val="004644B2"/>
    <w:rsid w:val="00465223"/>
    <w:rsid w:val="00465966"/>
    <w:rsid w:val="004672B0"/>
    <w:rsid w:val="00467DB3"/>
    <w:rsid w:val="004718CC"/>
    <w:rsid w:val="00471D8A"/>
    <w:rsid w:val="00472D1A"/>
    <w:rsid w:val="0047423B"/>
    <w:rsid w:val="004742D1"/>
    <w:rsid w:val="00474D0A"/>
    <w:rsid w:val="00475169"/>
    <w:rsid w:val="00475175"/>
    <w:rsid w:val="0047583A"/>
    <w:rsid w:val="0047584D"/>
    <w:rsid w:val="00476ED0"/>
    <w:rsid w:val="00477B9A"/>
    <w:rsid w:val="00480CC3"/>
    <w:rsid w:val="00481695"/>
    <w:rsid w:val="00482BE9"/>
    <w:rsid w:val="00484BF1"/>
    <w:rsid w:val="00485C4D"/>
    <w:rsid w:val="0048638F"/>
    <w:rsid w:val="0048772F"/>
    <w:rsid w:val="00491067"/>
    <w:rsid w:val="004914C4"/>
    <w:rsid w:val="004922FF"/>
    <w:rsid w:val="00492492"/>
    <w:rsid w:val="004925E4"/>
    <w:rsid w:val="00495167"/>
    <w:rsid w:val="004952E9"/>
    <w:rsid w:val="00495A96"/>
    <w:rsid w:val="00495BB3"/>
    <w:rsid w:val="00496EBF"/>
    <w:rsid w:val="004A10AA"/>
    <w:rsid w:val="004A3770"/>
    <w:rsid w:val="004A382A"/>
    <w:rsid w:val="004A3877"/>
    <w:rsid w:val="004A4C32"/>
    <w:rsid w:val="004A53ED"/>
    <w:rsid w:val="004A56BB"/>
    <w:rsid w:val="004A6F7F"/>
    <w:rsid w:val="004A70D6"/>
    <w:rsid w:val="004B029E"/>
    <w:rsid w:val="004B1751"/>
    <w:rsid w:val="004B2774"/>
    <w:rsid w:val="004B3D0F"/>
    <w:rsid w:val="004B4F2F"/>
    <w:rsid w:val="004B537A"/>
    <w:rsid w:val="004B7761"/>
    <w:rsid w:val="004B7964"/>
    <w:rsid w:val="004C0253"/>
    <w:rsid w:val="004C0E25"/>
    <w:rsid w:val="004C4141"/>
    <w:rsid w:val="004D1230"/>
    <w:rsid w:val="004D3028"/>
    <w:rsid w:val="004D3455"/>
    <w:rsid w:val="004D37B9"/>
    <w:rsid w:val="004D5290"/>
    <w:rsid w:val="004D56FF"/>
    <w:rsid w:val="004D69DB"/>
    <w:rsid w:val="004D74AC"/>
    <w:rsid w:val="004D755E"/>
    <w:rsid w:val="004E0BA6"/>
    <w:rsid w:val="004E2A03"/>
    <w:rsid w:val="004E339B"/>
    <w:rsid w:val="004E3423"/>
    <w:rsid w:val="004E39D3"/>
    <w:rsid w:val="004E4988"/>
    <w:rsid w:val="004E508A"/>
    <w:rsid w:val="004E616D"/>
    <w:rsid w:val="004E6E2F"/>
    <w:rsid w:val="004E787C"/>
    <w:rsid w:val="004F058D"/>
    <w:rsid w:val="004F06AE"/>
    <w:rsid w:val="004F0FD8"/>
    <w:rsid w:val="004F1B77"/>
    <w:rsid w:val="004F1BDE"/>
    <w:rsid w:val="004F2CEE"/>
    <w:rsid w:val="004F556E"/>
    <w:rsid w:val="004F591C"/>
    <w:rsid w:val="004F7F44"/>
    <w:rsid w:val="0050164A"/>
    <w:rsid w:val="005037B4"/>
    <w:rsid w:val="0050462E"/>
    <w:rsid w:val="00504F08"/>
    <w:rsid w:val="005079BF"/>
    <w:rsid w:val="00510A22"/>
    <w:rsid w:val="00510B7E"/>
    <w:rsid w:val="0051269A"/>
    <w:rsid w:val="00517904"/>
    <w:rsid w:val="00520A77"/>
    <w:rsid w:val="005219E7"/>
    <w:rsid w:val="00521ED4"/>
    <w:rsid w:val="00522FA3"/>
    <w:rsid w:val="005235DE"/>
    <w:rsid w:val="00524D6D"/>
    <w:rsid w:val="005252FB"/>
    <w:rsid w:val="0052548A"/>
    <w:rsid w:val="00526BC6"/>
    <w:rsid w:val="00526BDB"/>
    <w:rsid w:val="00531B9A"/>
    <w:rsid w:val="00531D15"/>
    <w:rsid w:val="0053432A"/>
    <w:rsid w:val="00537604"/>
    <w:rsid w:val="00537C35"/>
    <w:rsid w:val="00541588"/>
    <w:rsid w:val="00542377"/>
    <w:rsid w:val="00542DBE"/>
    <w:rsid w:val="005467C4"/>
    <w:rsid w:val="00547666"/>
    <w:rsid w:val="005476EB"/>
    <w:rsid w:val="00550C5F"/>
    <w:rsid w:val="00551782"/>
    <w:rsid w:val="00551E96"/>
    <w:rsid w:val="00551EDB"/>
    <w:rsid w:val="00552539"/>
    <w:rsid w:val="00553956"/>
    <w:rsid w:val="00553E36"/>
    <w:rsid w:val="005540AF"/>
    <w:rsid w:val="005553DD"/>
    <w:rsid w:val="0055606B"/>
    <w:rsid w:val="005567F0"/>
    <w:rsid w:val="005600F2"/>
    <w:rsid w:val="00560935"/>
    <w:rsid w:val="00560A6B"/>
    <w:rsid w:val="00563A91"/>
    <w:rsid w:val="00563E8F"/>
    <w:rsid w:val="00563EF1"/>
    <w:rsid w:val="005641BD"/>
    <w:rsid w:val="0056487C"/>
    <w:rsid w:val="00565833"/>
    <w:rsid w:val="00565A83"/>
    <w:rsid w:val="00566AB4"/>
    <w:rsid w:val="00566C8F"/>
    <w:rsid w:val="00571372"/>
    <w:rsid w:val="00571A03"/>
    <w:rsid w:val="0057204C"/>
    <w:rsid w:val="0057207B"/>
    <w:rsid w:val="00575AC5"/>
    <w:rsid w:val="0057605D"/>
    <w:rsid w:val="005807F6"/>
    <w:rsid w:val="00580B2A"/>
    <w:rsid w:val="00581347"/>
    <w:rsid w:val="005813FB"/>
    <w:rsid w:val="00581AC9"/>
    <w:rsid w:val="00583D05"/>
    <w:rsid w:val="005849F8"/>
    <w:rsid w:val="00585599"/>
    <w:rsid w:val="0058572F"/>
    <w:rsid w:val="00590300"/>
    <w:rsid w:val="00592C3F"/>
    <w:rsid w:val="005938DF"/>
    <w:rsid w:val="00594C19"/>
    <w:rsid w:val="00594E9C"/>
    <w:rsid w:val="0059517A"/>
    <w:rsid w:val="005954A0"/>
    <w:rsid w:val="00597FD5"/>
    <w:rsid w:val="005A099B"/>
    <w:rsid w:val="005A2D9C"/>
    <w:rsid w:val="005A317F"/>
    <w:rsid w:val="005A36B4"/>
    <w:rsid w:val="005A55FE"/>
    <w:rsid w:val="005A6A11"/>
    <w:rsid w:val="005A7C16"/>
    <w:rsid w:val="005B090D"/>
    <w:rsid w:val="005B09C9"/>
    <w:rsid w:val="005B09D1"/>
    <w:rsid w:val="005B0E1B"/>
    <w:rsid w:val="005B0E8A"/>
    <w:rsid w:val="005B239C"/>
    <w:rsid w:val="005B2E9E"/>
    <w:rsid w:val="005B3C14"/>
    <w:rsid w:val="005B3F10"/>
    <w:rsid w:val="005B52B5"/>
    <w:rsid w:val="005B5A01"/>
    <w:rsid w:val="005B5E03"/>
    <w:rsid w:val="005C3624"/>
    <w:rsid w:val="005C362B"/>
    <w:rsid w:val="005C36AC"/>
    <w:rsid w:val="005C4181"/>
    <w:rsid w:val="005C6368"/>
    <w:rsid w:val="005C6F71"/>
    <w:rsid w:val="005C74BF"/>
    <w:rsid w:val="005D07F4"/>
    <w:rsid w:val="005D2502"/>
    <w:rsid w:val="005D26F1"/>
    <w:rsid w:val="005D2FAC"/>
    <w:rsid w:val="005D40BB"/>
    <w:rsid w:val="005D47F3"/>
    <w:rsid w:val="005D49BF"/>
    <w:rsid w:val="005D4AA5"/>
    <w:rsid w:val="005D4C82"/>
    <w:rsid w:val="005D6F4E"/>
    <w:rsid w:val="005D7857"/>
    <w:rsid w:val="005D7C73"/>
    <w:rsid w:val="005E250B"/>
    <w:rsid w:val="005E2579"/>
    <w:rsid w:val="005E3627"/>
    <w:rsid w:val="005E3ACD"/>
    <w:rsid w:val="005E495D"/>
    <w:rsid w:val="005E4E19"/>
    <w:rsid w:val="005E5382"/>
    <w:rsid w:val="005E7226"/>
    <w:rsid w:val="005E7885"/>
    <w:rsid w:val="005E7A57"/>
    <w:rsid w:val="005F044E"/>
    <w:rsid w:val="005F046B"/>
    <w:rsid w:val="005F24B0"/>
    <w:rsid w:val="005F3325"/>
    <w:rsid w:val="005F4130"/>
    <w:rsid w:val="005F5736"/>
    <w:rsid w:val="005F7960"/>
    <w:rsid w:val="00602A30"/>
    <w:rsid w:val="006041B4"/>
    <w:rsid w:val="00604315"/>
    <w:rsid w:val="00604E26"/>
    <w:rsid w:val="0060523F"/>
    <w:rsid w:val="006052CF"/>
    <w:rsid w:val="00605DDF"/>
    <w:rsid w:val="00606486"/>
    <w:rsid w:val="006067EC"/>
    <w:rsid w:val="00607B8D"/>
    <w:rsid w:val="00610EDE"/>
    <w:rsid w:val="006112F3"/>
    <w:rsid w:val="00611F5C"/>
    <w:rsid w:val="00616E09"/>
    <w:rsid w:val="00621DA8"/>
    <w:rsid w:val="00622A3B"/>
    <w:rsid w:val="00622EEA"/>
    <w:rsid w:val="00623757"/>
    <w:rsid w:val="0062396C"/>
    <w:rsid w:val="00623FF9"/>
    <w:rsid w:val="00624340"/>
    <w:rsid w:val="00626DBA"/>
    <w:rsid w:val="006272F5"/>
    <w:rsid w:val="00627D4E"/>
    <w:rsid w:val="00630686"/>
    <w:rsid w:val="006308E2"/>
    <w:rsid w:val="0063221D"/>
    <w:rsid w:val="00632B89"/>
    <w:rsid w:val="0063346D"/>
    <w:rsid w:val="00634478"/>
    <w:rsid w:val="00640342"/>
    <w:rsid w:val="00644373"/>
    <w:rsid w:val="00645184"/>
    <w:rsid w:val="00645915"/>
    <w:rsid w:val="00646E3A"/>
    <w:rsid w:val="006511A9"/>
    <w:rsid w:val="00651375"/>
    <w:rsid w:val="006519C3"/>
    <w:rsid w:val="00651A1B"/>
    <w:rsid w:val="00652B30"/>
    <w:rsid w:val="006540F4"/>
    <w:rsid w:val="0065590E"/>
    <w:rsid w:val="006560DF"/>
    <w:rsid w:val="00656345"/>
    <w:rsid w:val="00656DC6"/>
    <w:rsid w:val="0065733E"/>
    <w:rsid w:val="00660EC6"/>
    <w:rsid w:val="00661C8F"/>
    <w:rsid w:val="00664110"/>
    <w:rsid w:val="00664D17"/>
    <w:rsid w:val="00666520"/>
    <w:rsid w:val="00667C5B"/>
    <w:rsid w:val="00672507"/>
    <w:rsid w:val="0067270E"/>
    <w:rsid w:val="0067468C"/>
    <w:rsid w:val="006766A0"/>
    <w:rsid w:val="0068315E"/>
    <w:rsid w:val="00683AA3"/>
    <w:rsid w:val="00685CA4"/>
    <w:rsid w:val="0068621A"/>
    <w:rsid w:val="00686344"/>
    <w:rsid w:val="00690372"/>
    <w:rsid w:val="00691495"/>
    <w:rsid w:val="00691718"/>
    <w:rsid w:val="00691EB8"/>
    <w:rsid w:val="00692CDE"/>
    <w:rsid w:val="00693073"/>
    <w:rsid w:val="006955C2"/>
    <w:rsid w:val="006977FF"/>
    <w:rsid w:val="00697D89"/>
    <w:rsid w:val="006A01FA"/>
    <w:rsid w:val="006A0E9E"/>
    <w:rsid w:val="006A11D9"/>
    <w:rsid w:val="006A181B"/>
    <w:rsid w:val="006A25C7"/>
    <w:rsid w:val="006A2625"/>
    <w:rsid w:val="006A3291"/>
    <w:rsid w:val="006A4AAD"/>
    <w:rsid w:val="006A6362"/>
    <w:rsid w:val="006A6A5D"/>
    <w:rsid w:val="006A6DA2"/>
    <w:rsid w:val="006A7225"/>
    <w:rsid w:val="006A7AB2"/>
    <w:rsid w:val="006B0945"/>
    <w:rsid w:val="006B218E"/>
    <w:rsid w:val="006B46C3"/>
    <w:rsid w:val="006B4CDE"/>
    <w:rsid w:val="006B4EB3"/>
    <w:rsid w:val="006B5003"/>
    <w:rsid w:val="006B52DE"/>
    <w:rsid w:val="006B5549"/>
    <w:rsid w:val="006B5717"/>
    <w:rsid w:val="006B582F"/>
    <w:rsid w:val="006B5EB2"/>
    <w:rsid w:val="006B618B"/>
    <w:rsid w:val="006B6228"/>
    <w:rsid w:val="006B67E0"/>
    <w:rsid w:val="006C0CEB"/>
    <w:rsid w:val="006C1631"/>
    <w:rsid w:val="006C2BD4"/>
    <w:rsid w:val="006C3B1E"/>
    <w:rsid w:val="006C4516"/>
    <w:rsid w:val="006C4760"/>
    <w:rsid w:val="006C47FD"/>
    <w:rsid w:val="006C49AB"/>
    <w:rsid w:val="006C4AFA"/>
    <w:rsid w:val="006C5112"/>
    <w:rsid w:val="006C53E5"/>
    <w:rsid w:val="006C5ADA"/>
    <w:rsid w:val="006C5C19"/>
    <w:rsid w:val="006C5C85"/>
    <w:rsid w:val="006C6ED4"/>
    <w:rsid w:val="006C70A0"/>
    <w:rsid w:val="006C75A7"/>
    <w:rsid w:val="006D0C18"/>
    <w:rsid w:val="006D186E"/>
    <w:rsid w:val="006D27CB"/>
    <w:rsid w:val="006D2F08"/>
    <w:rsid w:val="006D38FF"/>
    <w:rsid w:val="006D3F2B"/>
    <w:rsid w:val="006D4982"/>
    <w:rsid w:val="006D4FDF"/>
    <w:rsid w:val="006D576C"/>
    <w:rsid w:val="006D5865"/>
    <w:rsid w:val="006E00AB"/>
    <w:rsid w:val="006E1DB4"/>
    <w:rsid w:val="006E1E2E"/>
    <w:rsid w:val="006E4B1B"/>
    <w:rsid w:val="006E5445"/>
    <w:rsid w:val="006E67E4"/>
    <w:rsid w:val="006E69C0"/>
    <w:rsid w:val="006E7128"/>
    <w:rsid w:val="006E74F7"/>
    <w:rsid w:val="006E7D93"/>
    <w:rsid w:val="006F1B5E"/>
    <w:rsid w:val="006F212E"/>
    <w:rsid w:val="006F2ECD"/>
    <w:rsid w:val="006F3DDB"/>
    <w:rsid w:val="006F4B0B"/>
    <w:rsid w:val="006F609A"/>
    <w:rsid w:val="006F7C80"/>
    <w:rsid w:val="006F7D15"/>
    <w:rsid w:val="0070059A"/>
    <w:rsid w:val="00700ADA"/>
    <w:rsid w:val="007029A3"/>
    <w:rsid w:val="0070560F"/>
    <w:rsid w:val="00705B84"/>
    <w:rsid w:val="00706E4E"/>
    <w:rsid w:val="0070714B"/>
    <w:rsid w:val="0070791C"/>
    <w:rsid w:val="00710A39"/>
    <w:rsid w:val="00711119"/>
    <w:rsid w:val="0071383C"/>
    <w:rsid w:val="007141A7"/>
    <w:rsid w:val="00714E16"/>
    <w:rsid w:val="00715722"/>
    <w:rsid w:val="007206B3"/>
    <w:rsid w:val="00721032"/>
    <w:rsid w:val="00721B55"/>
    <w:rsid w:val="00721CFC"/>
    <w:rsid w:val="0072242C"/>
    <w:rsid w:val="007230EC"/>
    <w:rsid w:val="00723597"/>
    <w:rsid w:val="00723630"/>
    <w:rsid w:val="0072586E"/>
    <w:rsid w:val="00725CF2"/>
    <w:rsid w:val="0072648B"/>
    <w:rsid w:val="00726CE4"/>
    <w:rsid w:val="00726F16"/>
    <w:rsid w:val="007300C0"/>
    <w:rsid w:val="0073021B"/>
    <w:rsid w:val="00734143"/>
    <w:rsid w:val="007368DB"/>
    <w:rsid w:val="00737E47"/>
    <w:rsid w:val="00740288"/>
    <w:rsid w:val="00740391"/>
    <w:rsid w:val="007405D5"/>
    <w:rsid w:val="00740EAC"/>
    <w:rsid w:val="007410A0"/>
    <w:rsid w:val="007415A1"/>
    <w:rsid w:val="00744473"/>
    <w:rsid w:val="00744956"/>
    <w:rsid w:val="00744A5A"/>
    <w:rsid w:val="00744EED"/>
    <w:rsid w:val="0074584D"/>
    <w:rsid w:val="00745A5C"/>
    <w:rsid w:val="0074605F"/>
    <w:rsid w:val="007464DD"/>
    <w:rsid w:val="00746AD3"/>
    <w:rsid w:val="00747E94"/>
    <w:rsid w:val="00753AA7"/>
    <w:rsid w:val="00754C83"/>
    <w:rsid w:val="00754DD8"/>
    <w:rsid w:val="0075580D"/>
    <w:rsid w:val="00755A19"/>
    <w:rsid w:val="007569B1"/>
    <w:rsid w:val="00757675"/>
    <w:rsid w:val="00760C4C"/>
    <w:rsid w:val="00761E5C"/>
    <w:rsid w:val="007634D2"/>
    <w:rsid w:val="00764ADC"/>
    <w:rsid w:val="007650C9"/>
    <w:rsid w:val="00765DF8"/>
    <w:rsid w:val="00766749"/>
    <w:rsid w:val="00767974"/>
    <w:rsid w:val="00767C1B"/>
    <w:rsid w:val="00771076"/>
    <w:rsid w:val="007714A9"/>
    <w:rsid w:val="00771C05"/>
    <w:rsid w:val="00774E29"/>
    <w:rsid w:val="00774F88"/>
    <w:rsid w:val="00774FDB"/>
    <w:rsid w:val="00775AE9"/>
    <w:rsid w:val="007766D2"/>
    <w:rsid w:val="00776942"/>
    <w:rsid w:val="00777BA2"/>
    <w:rsid w:val="00781408"/>
    <w:rsid w:val="0078169D"/>
    <w:rsid w:val="00783478"/>
    <w:rsid w:val="00784DC9"/>
    <w:rsid w:val="00784F7F"/>
    <w:rsid w:val="0078538B"/>
    <w:rsid w:val="007878BD"/>
    <w:rsid w:val="007919C0"/>
    <w:rsid w:val="00792A1E"/>
    <w:rsid w:val="00796318"/>
    <w:rsid w:val="0079656D"/>
    <w:rsid w:val="0079672D"/>
    <w:rsid w:val="00796F25"/>
    <w:rsid w:val="007A083C"/>
    <w:rsid w:val="007A15DF"/>
    <w:rsid w:val="007A2E98"/>
    <w:rsid w:val="007A3BA3"/>
    <w:rsid w:val="007A4D62"/>
    <w:rsid w:val="007A52A0"/>
    <w:rsid w:val="007A6CC0"/>
    <w:rsid w:val="007A6FC5"/>
    <w:rsid w:val="007A7FEC"/>
    <w:rsid w:val="007B1499"/>
    <w:rsid w:val="007B1BBF"/>
    <w:rsid w:val="007B26D1"/>
    <w:rsid w:val="007B2960"/>
    <w:rsid w:val="007B355D"/>
    <w:rsid w:val="007B514B"/>
    <w:rsid w:val="007B5DAB"/>
    <w:rsid w:val="007B7737"/>
    <w:rsid w:val="007B7980"/>
    <w:rsid w:val="007B7AF6"/>
    <w:rsid w:val="007B7EB7"/>
    <w:rsid w:val="007C0DEF"/>
    <w:rsid w:val="007C0EA2"/>
    <w:rsid w:val="007C10BB"/>
    <w:rsid w:val="007C138B"/>
    <w:rsid w:val="007C2D6F"/>
    <w:rsid w:val="007C5733"/>
    <w:rsid w:val="007C5D5A"/>
    <w:rsid w:val="007C607F"/>
    <w:rsid w:val="007C65A5"/>
    <w:rsid w:val="007C6E44"/>
    <w:rsid w:val="007C79DD"/>
    <w:rsid w:val="007C7D81"/>
    <w:rsid w:val="007C7F6F"/>
    <w:rsid w:val="007D08C4"/>
    <w:rsid w:val="007D162D"/>
    <w:rsid w:val="007D1A97"/>
    <w:rsid w:val="007D1ADB"/>
    <w:rsid w:val="007D2CD6"/>
    <w:rsid w:val="007D2CF4"/>
    <w:rsid w:val="007D3063"/>
    <w:rsid w:val="007D3CEB"/>
    <w:rsid w:val="007D45BF"/>
    <w:rsid w:val="007E0A1F"/>
    <w:rsid w:val="007E2A7B"/>
    <w:rsid w:val="007E2D47"/>
    <w:rsid w:val="007E59F6"/>
    <w:rsid w:val="007E7683"/>
    <w:rsid w:val="007F10CA"/>
    <w:rsid w:val="007F1DD6"/>
    <w:rsid w:val="007F29F7"/>
    <w:rsid w:val="007F3071"/>
    <w:rsid w:val="007F49FA"/>
    <w:rsid w:val="007F54C4"/>
    <w:rsid w:val="007F582F"/>
    <w:rsid w:val="007F6E9A"/>
    <w:rsid w:val="0080044E"/>
    <w:rsid w:val="00800CCD"/>
    <w:rsid w:val="00802C16"/>
    <w:rsid w:val="008044D4"/>
    <w:rsid w:val="00805FB9"/>
    <w:rsid w:val="00810AB4"/>
    <w:rsid w:val="00810C87"/>
    <w:rsid w:val="008122C6"/>
    <w:rsid w:val="00812908"/>
    <w:rsid w:val="00813461"/>
    <w:rsid w:val="0081517B"/>
    <w:rsid w:val="00815C82"/>
    <w:rsid w:val="0081723F"/>
    <w:rsid w:val="008177BE"/>
    <w:rsid w:val="00817B56"/>
    <w:rsid w:val="00820ED9"/>
    <w:rsid w:val="0082155F"/>
    <w:rsid w:val="00821A88"/>
    <w:rsid w:val="00823459"/>
    <w:rsid w:val="008238B3"/>
    <w:rsid w:val="00823A9C"/>
    <w:rsid w:val="0082472B"/>
    <w:rsid w:val="0082495D"/>
    <w:rsid w:val="008306FF"/>
    <w:rsid w:val="008314F6"/>
    <w:rsid w:val="00831AC3"/>
    <w:rsid w:val="00831E88"/>
    <w:rsid w:val="00834265"/>
    <w:rsid w:val="0083448D"/>
    <w:rsid w:val="00834759"/>
    <w:rsid w:val="00834E3E"/>
    <w:rsid w:val="0083692A"/>
    <w:rsid w:val="00836FCE"/>
    <w:rsid w:val="008408FF"/>
    <w:rsid w:val="00840B3E"/>
    <w:rsid w:val="00842D43"/>
    <w:rsid w:val="00842E5B"/>
    <w:rsid w:val="0084540F"/>
    <w:rsid w:val="008458A8"/>
    <w:rsid w:val="00846C31"/>
    <w:rsid w:val="00846C48"/>
    <w:rsid w:val="008475FC"/>
    <w:rsid w:val="00847EEA"/>
    <w:rsid w:val="00847FD0"/>
    <w:rsid w:val="00851C7D"/>
    <w:rsid w:val="00851F3F"/>
    <w:rsid w:val="008525BD"/>
    <w:rsid w:val="00852987"/>
    <w:rsid w:val="00852D5E"/>
    <w:rsid w:val="00854428"/>
    <w:rsid w:val="0085618F"/>
    <w:rsid w:val="00856EDC"/>
    <w:rsid w:val="0085740C"/>
    <w:rsid w:val="00857B76"/>
    <w:rsid w:val="008623B5"/>
    <w:rsid w:val="00863145"/>
    <w:rsid w:val="00870253"/>
    <w:rsid w:val="00870928"/>
    <w:rsid w:val="00870ABA"/>
    <w:rsid w:val="008710E1"/>
    <w:rsid w:val="008716E5"/>
    <w:rsid w:val="00871DAA"/>
    <w:rsid w:val="008724F6"/>
    <w:rsid w:val="00876B48"/>
    <w:rsid w:val="00881CA9"/>
    <w:rsid w:val="00883628"/>
    <w:rsid w:val="00883913"/>
    <w:rsid w:val="008841E0"/>
    <w:rsid w:val="00885544"/>
    <w:rsid w:val="008855DE"/>
    <w:rsid w:val="00885E20"/>
    <w:rsid w:val="0088634E"/>
    <w:rsid w:val="00887725"/>
    <w:rsid w:val="00887DFA"/>
    <w:rsid w:val="00890C1A"/>
    <w:rsid w:val="00892B23"/>
    <w:rsid w:val="00892E42"/>
    <w:rsid w:val="00893AB8"/>
    <w:rsid w:val="0089578C"/>
    <w:rsid w:val="00895FB5"/>
    <w:rsid w:val="00897188"/>
    <w:rsid w:val="0089769A"/>
    <w:rsid w:val="008A04C8"/>
    <w:rsid w:val="008A066A"/>
    <w:rsid w:val="008A1017"/>
    <w:rsid w:val="008A13B1"/>
    <w:rsid w:val="008A1A4C"/>
    <w:rsid w:val="008A2937"/>
    <w:rsid w:val="008A3879"/>
    <w:rsid w:val="008A4E62"/>
    <w:rsid w:val="008A6913"/>
    <w:rsid w:val="008A7847"/>
    <w:rsid w:val="008A7955"/>
    <w:rsid w:val="008B0267"/>
    <w:rsid w:val="008B1240"/>
    <w:rsid w:val="008B3305"/>
    <w:rsid w:val="008B4949"/>
    <w:rsid w:val="008B5CB5"/>
    <w:rsid w:val="008B675C"/>
    <w:rsid w:val="008B6BF1"/>
    <w:rsid w:val="008B70F3"/>
    <w:rsid w:val="008B71C4"/>
    <w:rsid w:val="008B76DF"/>
    <w:rsid w:val="008C00EC"/>
    <w:rsid w:val="008C0F57"/>
    <w:rsid w:val="008C10A9"/>
    <w:rsid w:val="008C10F4"/>
    <w:rsid w:val="008C1551"/>
    <w:rsid w:val="008C1CB7"/>
    <w:rsid w:val="008C292E"/>
    <w:rsid w:val="008C2B3E"/>
    <w:rsid w:val="008C2FD0"/>
    <w:rsid w:val="008C34D8"/>
    <w:rsid w:val="008C3536"/>
    <w:rsid w:val="008C40D0"/>
    <w:rsid w:val="008C5910"/>
    <w:rsid w:val="008C65F7"/>
    <w:rsid w:val="008C7AF2"/>
    <w:rsid w:val="008D1640"/>
    <w:rsid w:val="008D18CB"/>
    <w:rsid w:val="008D1E70"/>
    <w:rsid w:val="008D4768"/>
    <w:rsid w:val="008D51B6"/>
    <w:rsid w:val="008D5AD0"/>
    <w:rsid w:val="008D6468"/>
    <w:rsid w:val="008E1433"/>
    <w:rsid w:val="008E3755"/>
    <w:rsid w:val="008E4767"/>
    <w:rsid w:val="008E7A8C"/>
    <w:rsid w:val="008F0FC3"/>
    <w:rsid w:val="008F1540"/>
    <w:rsid w:val="008F2793"/>
    <w:rsid w:val="008F48A7"/>
    <w:rsid w:val="008F662A"/>
    <w:rsid w:val="008F7914"/>
    <w:rsid w:val="00900B63"/>
    <w:rsid w:val="00901D7C"/>
    <w:rsid w:val="0090203B"/>
    <w:rsid w:val="00903285"/>
    <w:rsid w:val="0090618E"/>
    <w:rsid w:val="00906F40"/>
    <w:rsid w:val="0090731E"/>
    <w:rsid w:val="009116C1"/>
    <w:rsid w:val="0091194F"/>
    <w:rsid w:val="0091209C"/>
    <w:rsid w:val="00912520"/>
    <w:rsid w:val="00914A22"/>
    <w:rsid w:val="00915B1C"/>
    <w:rsid w:val="00916DEC"/>
    <w:rsid w:val="009174F3"/>
    <w:rsid w:val="0091797D"/>
    <w:rsid w:val="00917FAB"/>
    <w:rsid w:val="00921B2A"/>
    <w:rsid w:val="00923800"/>
    <w:rsid w:val="00923CBA"/>
    <w:rsid w:val="00923F21"/>
    <w:rsid w:val="00926703"/>
    <w:rsid w:val="00927691"/>
    <w:rsid w:val="00927A5F"/>
    <w:rsid w:val="009304CF"/>
    <w:rsid w:val="00930510"/>
    <w:rsid w:val="00932B02"/>
    <w:rsid w:val="0093324B"/>
    <w:rsid w:val="00934AF9"/>
    <w:rsid w:val="00935B63"/>
    <w:rsid w:val="0094078F"/>
    <w:rsid w:val="00940FA3"/>
    <w:rsid w:val="0094176D"/>
    <w:rsid w:val="00941FB0"/>
    <w:rsid w:val="009426D4"/>
    <w:rsid w:val="009437BD"/>
    <w:rsid w:val="00946832"/>
    <w:rsid w:val="00947500"/>
    <w:rsid w:val="00947F25"/>
    <w:rsid w:val="00950159"/>
    <w:rsid w:val="009503F0"/>
    <w:rsid w:val="009509DA"/>
    <w:rsid w:val="00950ADD"/>
    <w:rsid w:val="009519A5"/>
    <w:rsid w:val="00951B55"/>
    <w:rsid w:val="00951CA1"/>
    <w:rsid w:val="00952E52"/>
    <w:rsid w:val="0095490B"/>
    <w:rsid w:val="00954AB6"/>
    <w:rsid w:val="00954F3A"/>
    <w:rsid w:val="00957E7D"/>
    <w:rsid w:val="00960A33"/>
    <w:rsid w:val="00963A28"/>
    <w:rsid w:val="0096546F"/>
    <w:rsid w:val="009659A5"/>
    <w:rsid w:val="009659D3"/>
    <w:rsid w:val="00966422"/>
    <w:rsid w:val="00967415"/>
    <w:rsid w:val="0097058C"/>
    <w:rsid w:val="0097085B"/>
    <w:rsid w:val="00971914"/>
    <w:rsid w:val="0097277E"/>
    <w:rsid w:val="00974363"/>
    <w:rsid w:val="00976F52"/>
    <w:rsid w:val="0097739A"/>
    <w:rsid w:val="009803F6"/>
    <w:rsid w:val="009807F6"/>
    <w:rsid w:val="00981898"/>
    <w:rsid w:val="00983301"/>
    <w:rsid w:val="00983C20"/>
    <w:rsid w:val="00984C80"/>
    <w:rsid w:val="00984E3E"/>
    <w:rsid w:val="00990701"/>
    <w:rsid w:val="00990FA9"/>
    <w:rsid w:val="00992235"/>
    <w:rsid w:val="00992DB6"/>
    <w:rsid w:val="009939FC"/>
    <w:rsid w:val="00993F94"/>
    <w:rsid w:val="00995453"/>
    <w:rsid w:val="0099577C"/>
    <w:rsid w:val="00995A36"/>
    <w:rsid w:val="009A04E0"/>
    <w:rsid w:val="009A1B8D"/>
    <w:rsid w:val="009A28E5"/>
    <w:rsid w:val="009A4536"/>
    <w:rsid w:val="009A4767"/>
    <w:rsid w:val="009A5034"/>
    <w:rsid w:val="009A5174"/>
    <w:rsid w:val="009A54D6"/>
    <w:rsid w:val="009A5CAE"/>
    <w:rsid w:val="009A7336"/>
    <w:rsid w:val="009A7A8D"/>
    <w:rsid w:val="009A7CBD"/>
    <w:rsid w:val="009B0E79"/>
    <w:rsid w:val="009B24A5"/>
    <w:rsid w:val="009B2601"/>
    <w:rsid w:val="009B4E9E"/>
    <w:rsid w:val="009B56B5"/>
    <w:rsid w:val="009B75AA"/>
    <w:rsid w:val="009C1690"/>
    <w:rsid w:val="009C19A4"/>
    <w:rsid w:val="009C3074"/>
    <w:rsid w:val="009C3432"/>
    <w:rsid w:val="009C34BA"/>
    <w:rsid w:val="009C44E1"/>
    <w:rsid w:val="009C524D"/>
    <w:rsid w:val="009C6881"/>
    <w:rsid w:val="009C6B3E"/>
    <w:rsid w:val="009C7250"/>
    <w:rsid w:val="009C7759"/>
    <w:rsid w:val="009C7926"/>
    <w:rsid w:val="009D043D"/>
    <w:rsid w:val="009D07C8"/>
    <w:rsid w:val="009D1581"/>
    <w:rsid w:val="009D18C6"/>
    <w:rsid w:val="009D2BA8"/>
    <w:rsid w:val="009D3F9C"/>
    <w:rsid w:val="009D50FC"/>
    <w:rsid w:val="009D588E"/>
    <w:rsid w:val="009D6802"/>
    <w:rsid w:val="009D6B54"/>
    <w:rsid w:val="009D6C71"/>
    <w:rsid w:val="009D7950"/>
    <w:rsid w:val="009D7956"/>
    <w:rsid w:val="009D7D89"/>
    <w:rsid w:val="009E0178"/>
    <w:rsid w:val="009E02B7"/>
    <w:rsid w:val="009E0631"/>
    <w:rsid w:val="009E16D0"/>
    <w:rsid w:val="009E1B31"/>
    <w:rsid w:val="009E2051"/>
    <w:rsid w:val="009E2FEA"/>
    <w:rsid w:val="009E3144"/>
    <w:rsid w:val="009E38FD"/>
    <w:rsid w:val="009E5171"/>
    <w:rsid w:val="009E55E5"/>
    <w:rsid w:val="009F13D6"/>
    <w:rsid w:val="009F15CD"/>
    <w:rsid w:val="009F1ECE"/>
    <w:rsid w:val="009F43D5"/>
    <w:rsid w:val="009F4C6B"/>
    <w:rsid w:val="009F61FF"/>
    <w:rsid w:val="009F78A8"/>
    <w:rsid w:val="00A02AD6"/>
    <w:rsid w:val="00A03EBA"/>
    <w:rsid w:val="00A05DD8"/>
    <w:rsid w:val="00A0620A"/>
    <w:rsid w:val="00A07096"/>
    <w:rsid w:val="00A07318"/>
    <w:rsid w:val="00A10A18"/>
    <w:rsid w:val="00A11370"/>
    <w:rsid w:val="00A163A9"/>
    <w:rsid w:val="00A16BFA"/>
    <w:rsid w:val="00A223BD"/>
    <w:rsid w:val="00A224CE"/>
    <w:rsid w:val="00A22522"/>
    <w:rsid w:val="00A2292A"/>
    <w:rsid w:val="00A24AFD"/>
    <w:rsid w:val="00A24F5C"/>
    <w:rsid w:val="00A268C9"/>
    <w:rsid w:val="00A269CF"/>
    <w:rsid w:val="00A26A04"/>
    <w:rsid w:val="00A31705"/>
    <w:rsid w:val="00A32F96"/>
    <w:rsid w:val="00A34F4E"/>
    <w:rsid w:val="00A40871"/>
    <w:rsid w:val="00A412AB"/>
    <w:rsid w:val="00A41932"/>
    <w:rsid w:val="00A4193E"/>
    <w:rsid w:val="00A41BC5"/>
    <w:rsid w:val="00A440E0"/>
    <w:rsid w:val="00A442EF"/>
    <w:rsid w:val="00A44E39"/>
    <w:rsid w:val="00A45517"/>
    <w:rsid w:val="00A50D6B"/>
    <w:rsid w:val="00A51D1A"/>
    <w:rsid w:val="00A5418D"/>
    <w:rsid w:val="00A545F6"/>
    <w:rsid w:val="00A5474E"/>
    <w:rsid w:val="00A55B3D"/>
    <w:rsid w:val="00A56E36"/>
    <w:rsid w:val="00A56FBB"/>
    <w:rsid w:val="00A616FE"/>
    <w:rsid w:val="00A61EF8"/>
    <w:rsid w:val="00A64234"/>
    <w:rsid w:val="00A6444A"/>
    <w:rsid w:val="00A65145"/>
    <w:rsid w:val="00A66330"/>
    <w:rsid w:val="00A671CE"/>
    <w:rsid w:val="00A701E5"/>
    <w:rsid w:val="00A70ADF"/>
    <w:rsid w:val="00A71466"/>
    <w:rsid w:val="00A73AE4"/>
    <w:rsid w:val="00A74B5E"/>
    <w:rsid w:val="00A75D80"/>
    <w:rsid w:val="00A76FB9"/>
    <w:rsid w:val="00A77479"/>
    <w:rsid w:val="00A80479"/>
    <w:rsid w:val="00A81149"/>
    <w:rsid w:val="00A81BED"/>
    <w:rsid w:val="00A81EC4"/>
    <w:rsid w:val="00A824E8"/>
    <w:rsid w:val="00A82906"/>
    <w:rsid w:val="00A83803"/>
    <w:rsid w:val="00A84010"/>
    <w:rsid w:val="00A84A42"/>
    <w:rsid w:val="00A855C2"/>
    <w:rsid w:val="00A916D5"/>
    <w:rsid w:val="00A91A2D"/>
    <w:rsid w:val="00A92C82"/>
    <w:rsid w:val="00A936BB"/>
    <w:rsid w:val="00A93DA0"/>
    <w:rsid w:val="00A95100"/>
    <w:rsid w:val="00A96439"/>
    <w:rsid w:val="00A96585"/>
    <w:rsid w:val="00A967FD"/>
    <w:rsid w:val="00A9765E"/>
    <w:rsid w:val="00AA2DE5"/>
    <w:rsid w:val="00AA4271"/>
    <w:rsid w:val="00AA46A1"/>
    <w:rsid w:val="00AA7287"/>
    <w:rsid w:val="00AA744E"/>
    <w:rsid w:val="00AB156C"/>
    <w:rsid w:val="00AB4596"/>
    <w:rsid w:val="00AB6814"/>
    <w:rsid w:val="00AC04BA"/>
    <w:rsid w:val="00AC0E39"/>
    <w:rsid w:val="00AC1175"/>
    <w:rsid w:val="00AC2C42"/>
    <w:rsid w:val="00AC2D26"/>
    <w:rsid w:val="00AC7F57"/>
    <w:rsid w:val="00AD3082"/>
    <w:rsid w:val="00AD32B4"/>
    <w:rsid w:val="00AD4068"/>
    <w:rsid w:val="00AD4AD0"/>
    <w:rsid w:val="00AD5436"/>
    <w:rsid w:val="00AD5736"/>
    <w:rsid w:val="00AD60CD"/>
    <w:rsid w:val="00AD6C8C"/>
    <w:rsid w:val="00AE091D"/>
    <w:rsid w:val="00AE3B60"/>
    <w:rsid w:val="00AE4636"/>
    <w:rsid w:val="00AE53A1"/>
    <w:rsid w:val="00AE668B"/>
    <w:rsid w:val="00AE67AE"/>
    <w:rsid w:val="00AE6C70"/>
    <w:rsid w:val="00AE7706"/>
    <w:rsid w:val="00AE780D"/>
    <w:rsid w:val="00AF03EA"/>
    <w:rsid w:val="00AF2484"/>
    <w:rsid w:val="00AF31DF"/>
    <w:rsid w:val="00AF3F60"/>
    <w:rsid w:val="00AF63E7"/>
    <w:rsid w:val="00AF6E17"/>
    <w:rsid w:val="00B0165D"/>
    <w:rsid w:val="00B01B60"/>
    <w:rsid w:val="00B02B2E"/>
    <w:rsid w:val="00B02FD1"/>
    <w:rsid w:val="00B031F3"/>
    <w:rsid w:val="00B03690"/>
    <w:rsid w:val="00B046FF"/>
    <w:rsid w:val="00B052A4"/>
    <w:rsid w:val="00B07362"/>
    <w:rsid w:val="00B11015"/>
    <w:rsid w:val="00B11160"/>
    <w:rsid w:val="00B11435"/>
    <w:rsid w:val="00B1187D"/>
    <w:rsid w:val="00B125DE"/>
    <w:rsid w:val="00B12DE3"/>
    <w:rsid w:val="00B132A3"/>
    <w:rsid w:val="00B13DB8"/>
    <w:rsid w:val="00B13FDD"/>
    <w:rsid w:val="00B2191C"/>
    <w:rsid w:val="00B21AA1"/>
    <w:rsid w:val="00B227DF"/>
    <w:rsid w:val="00B22C3F"/>
    <w:rsid w:val="00B22EB2"/>
    <w:rsid w:val="00B23767"/>
    <w:rsid w:val="00B24FF5"/>
    <w:rsid w:val="00B25670"/>
    <w:rsid w:val="00B25AB6"/>
    <w:rsid w:val="00B25E3A"/>
    <w:rsid w:val="00B27442"/>
    <w:rsid w:val="00B30D72"/>
    <w:rsid w:val="00B31167"/>
    <w:rsid w:val="00B315C3"/>
    <w:rsid w:val="00B329D8"/>
    <w:rsid w:val="00B32BB9"/>
    <w:rsid w:val="00B33AE1"/>
    <w:rsid w:val="00B33BA3"/>
    <w:rsid w:val="00B34752"/>
    <w:rsid w:val="00B35257"/>
    <w:rsid w:val="00B358D5"/>
    <w:rsid w:val="00B3711A"/>
    <w:rsid w:val="00B37C38"/>
    <w:rsid w:val="00B37F78"/>
    <w:rsid w:val="00B4288C"/>
    <w:rsid w:val="00B43262"/>
    <w:rsid w:val="00B44100"/>
    <w:rsid w:val="00B44970"/>
    <w:rsid w:val="00B46CBA"/>
    <w:rsid w:val="00B46F94"/>
    <w:rsid w:val="00B51043"/>
    <w:rsid w:val="00B5118B"/>
    <w:rsid w:val="00B51A5F"/>
    <w:rsid w:val="00B529AD"/>
    <w:rsid w:val="00B52F8F"/>
    <w:rsid w:val="00B538AC"/>
    <w:rsid w:val="00B538B0"/>
    <w:rsid w:val="00B53D37"/>
    <w:rsid w:val="00B56925"/>
    <w:rsid w:val="00B56DD1"/>
    <w:rsid w:val="00B579E8"/>
    <w:rsid w:val="00B579F7"/>
    <w:rsid w:val="00B6003C"/>
    <w:rsid w:val="00B608C0"/>
    <w:rsid w:val="00B60D95"/>
    <w:rsid w:val="00B61404"/>
    <w:rsid w:val="00B61F03"/>
    <w:rsid w:val="00B626E4"/>
    <w:rsid w:val="00B62B3E"/>
    <w:rsid w:val="00B62B9F"/>
    <w:rsid w:val="00B62DF3"/>
    <w:rsid w:val="00B63901"/>
    <w:rsid w:val="00B65627"/>
    <w:rsid w:val="00B713A6"/>
    <w:rsid w:val="00B72054"/>
    <w:rsid w:val="00B72D21"/>
    <w:rsid w:val="00B72F4A"/>
    <w:rsid w:val="00B74FAF"/>
    <w:rsid w:val="00B75FCC"/>
    <w:rsid w:val="00B76F3A"/>
    <w:rsid w:val="00B772C3"/>
    <w:rsid w:val="00B80CE1"/>
    <w:rsid w:val="00B83C27"/>
    <w:rsid w:val="00B84BC3"/>
    <w:rsid w:val="00B84BDD"/>
    <w:rsid w:val="00B851C0"/>
    <w:rsid w:val="00B853AB"/>
    <w:rsid w:val="00B85F28"/>
    <w:rsid w:val="00B86D2E"/>
    <w:rsid w:val="00B9035C"/>
    <w:rsid w:val="00B90B64"/>
    <w:rsid w:val="00B90BBE"/>
    <w:rsid w:val="00B90FC6"/>
    <w:rsid w:val="00B9110E"/>
    <w:rsid w:val="00B91A44"/>
    <w:rsid w:val="00B92812"/>
    <w:rsid w:val="00B930C3"/>
    <w:rsid w:val="00B93717"/>
    <w:rsid w:val="00B93ADC"/>
    <w:rsid w:val="00B942AA"/>
    <w:rsid w:val="00BA02D1"/>
    <w:rsid w:val="00BA3D8C"/>
    <w:rsid w:val="00BB32CA"/>
    <w:rsid w:val="00BB45A1"/>
    <w:rsid w:val="00BB4FCA"/>
    <w:rsid w:val="00BB7686"/>
    <w:rsid w:val="00BB7C70"/>
    <w:rsid w:val="00BC1537"/>
    <w:rsid w:val="00BC1767"/>
    <w:rsid w:val="00BC196D"/>
    <w:rsid w:val="00BC23F9"/>
    <w:rsid w:val="00BC25AD"/>
    <w:rsid w:val="00BC2B12"/>
    <w:rsid w:val="00BC3395"/>
    <w:rsid w:val="00BC3421"/>
    <w:rsid w:val="00BC3A25"/>
    <w:rsid w:val="00BC5C19"/>
    <w:rsid w:val="00BC6871"/>
    <w:rsid w:val="00BC68E5"/>
    <w:rsid w:val="00BC6FAC"/>
    <w:rsid w:val="00BC732C"/>
    <w:rsid w:val="00BD0020"/>
    <w:rsid w:val="00BD0233"/>
    <w:rsid w:val="00BD1514"/>
    <w:rsid w:val="00BD2889"/>
    <w:rsid w:val="00BD4421"/>
    <w:rsid w:val="00BD46CF"/>
    <w:rsid w:val="00BD476A"/>
    <w:rsid w:val="00BD6A95"/>
    <w:rsid w:val="00BE1909"/>
    <w:rsid w:val="00BE2580"/>
    <w:rsid w:val="00BE266D"/>
    <w:rsid w:val="00BE28D1"/>
    <w:rsid w:val="00BE2DF5"/>
    <w:rsid w:val="00BE3938"/>
    <w:rsid w:val="00BE4C11"/>
    <w:rsid w:val="00BE6805"/>
    <w:rsid w:val="00BE71C0"/>
    <w:rsid w:val="00BE75B5"/>
    <w:rsid w:val="00BF1664"/>
    <w:rsid w:val="00BF17C6"/>
    <w:rsid w:val="00BF4860"/>
    <w:rsid w:val="00BF4D9B"/>
    <w:rsid w:val="00BF610C"/>
    <w:rsid w:val="00C0060B"/>
    <w:rsid w:val="00C01A6C"/>
    <w:rsid w:val="00C02537"/>
    <w:rsid w:val="00C0277D"/>
    <w:rsid w:val="00C0409F"/>
    <w:rsid w:val="00C053A1"/>
    <w:rsid w:val="00C0767E"/>
    <w:rsid w:val="00C10057"/>
    <w:rsid w:val="00C13F36"/>
    <w:rsid w:val="00C1571B"/>
    <w:rsid w:val="00C16198"/>
    <w:rsid w:val="00C17240"/>
    <w:rsid w:val="00C2083D"/>
    <w:rsid w:val="00C24A53"/>
    <w:rsid w:val="00C2614E"/>
    <w:rsid w:val="00C27F64"/>
    <w:rsid w:val="00C302D5"/>
    <w:rsid w:val="00C305EC"/>
    <w:rsid w:val="00C30BA2"/>
    <w:rsid w:val="00C331B3"/>
    <w:rsid w:val="00C33346"/>
    <w:rsid w:val="00C34A05"/>
    <w:rsid w:val="00C35CCE"/>
    <w:rsid w:val="00C3794B"/>
    <w:rsid w:val="00C4032F"/>
    <w:rsid w:val="00C44047"/>
    <w:rsid w:val="00C45155"/>
    <w:rsid w:val="00C462EE"/>
    <w:rsid w:val="00C4674E"/>
    <w:rsid w:val="00C548A6"/>
    <w:rsid w:val="00C5498F"/>
    <w:rsid w:val="00C55235"/>
    <w:rsid w:val="00C57C89"/>
    <w:rsid w:val="00C6002F"/>
    <w:rsid w:val="00C603CE"/>
    <w:rsid w:val="00C6047A"/>
    <w:rsid w:val="00C623AC"/>
    <w:rsid w:val="00C6288F"/>
    <w:rsid w:val="00C64CD0"/>
    <w:rsid w:val="00C66500"/>
    <w:rsid w:val="00C6684F"/>
    <w:rsid w:val="00C70E70"/>
    <w:rsid w:val="00C711AC"/>
    <w:rsid w:val="00C71BC3"/>
    <w:rsid w:val="00C732E1"/>
    <w:rsid w:val="00C75F8D"/>
    <w:rsid w:val="00C77380"/>
    <w:rsid w:val="00C77492"/>
    <w:rsid w:val="00C815FC"/>
    <w:rsid w:val="00C82DF9"/>
    <w:rsid w:val="00C85A47"/>
    <w:rsid w:val="00C86FA3"/>
    <w:rsid w:val="00C87E8A"/>
    <w:rsid w:val="00C95550"/>
    <w:rsid w:val="00C97736"/>
    <w:rsid w:val="00C9791A"/>
    <w:rsid w:val="00C97A3D"/>
    <w:rsid w:val="00CA1B03"/>
    <w:rsid w:val="00CA2BAE"/>
    <w:rsid w:val="00CA345A"/>
    <w:rsid w:val="00CA40B3"/>
    <w:rsid w:val="00CA730E"/>
    <w:rsid w:val="00CA75DB"/>
    <w:rsid w:val="00CB061A"/>
    <w:rsid w:val="00CB1E82"/>
    <w:rsid w:val="00CB24BE"/>
    <w:rsid w:val="00CB264D"/>
    <w:rsid w:val="00CB27FD"/>
    <w:rsid w:val="00CB372F"/>
    <w:rsid w:val="00CB3BAB"/>
    <w:rsid w:val="00CB4BA8"/>
    <w:rsid w:val="00CB52D7"/>
    <w:rsid w:val="00CB5A0C"/>
    <w:rsid w:val="00CC245C"/>
    <w:rsid w:val="00CC413F"/>
    <w:rsid w:val="00CC430C"/>
    <w:rsid w:val="00CC5ABF"/>
    <w:rsid w:val="00CC6732"/>
    <w:rsid w:val="00CC6D9E"/>
    <w:rsid w:val="00CC7036"/>
    <w:rsid w:val="00CC7CFC"/>
    <w:rsid w:val="00CD1883"/>
    <w:rsid w:val="00CD3634"/>
    <w:rsid w:val="00CD4654"/>
    <w:rsid w:val="00CD5E27"/>
    <w:rsid w:val="00CD7306"/>
    <w:rsid w:val="00CE0978"/>
    <w:rsid w:val="00CE09C2"/>
    <w:rsid w:val="00CE3C96"/>
    <w:rsid w:val="00CE51A8"/>
    <w:rsid w:val="00CE5274"/>
    <w:rsid w:val="00CE5E03"/>
    <w:rsid w:val="00CF369B"/>
    <w:rsid w:val="00CF3A95"/>
    <w:rsid w:val="00CF608E"/>
    <w:rsid w:val="00D00E28"/>
    <w:rsid w:val="00D020FF"/>
    <w:rsid w:val="00D0269E"/>
    <w:rsid w:val="00D029A3"/>
    <w:rsid w:val="00D02D94"/>
    <w:rsid w:val="00D03291"/>
    <w:rsid w:val="00D03545"/>
    <w:rsid w:val="00D03D5B"/>
    <w:rsid w:val="00D05460"/>
    <w:rsid w:val="00D05A1A"/>
    <w:rsid w:val="00D05D6C"/>
    <w:rsid w:val="00D06466"/>
    <w:rsid w:val="00D075FF"/>
    <w:rsid w:val="00D115C0"/>
    <w:rsid w:val="00D12AC4"/>
    <w:rsid w:val="00D133A4"/>
    <w:rsid w:val="00D13672"/>
    <w:rsid w:val="00D14DD3"/>
    <w:rsid w:val="00D15810"/>
    <w:rsid w:val="00D1586E"/>
    <w:rsid w:val="00D15FA2"/>
    <w:rsid w:val="00D165EB"/>
    <w:rsid w:val="00D16D4E"/>
    <w:rsid w:val="00D16FE3"/>
    <w:rsid w:val="00D20F5C"/>
    <w:rsid w:val="00D20F74"/>
    <w:rsid w:val="00D26105"/>
    <w:rsid w:val="00D26586"/>
    <w:rsid w:val="00D27F41"/>
    <w:rsid w:val="00D321EB"/>
    <w:rsid w:val="00D33572"/>
    <w:rsid w:val="00D3554B"/>
    <w:rsid w:val="00D360D2"/>
    <w:rsid w:val="00D36441"/>
    <w:rsid w:val="00D36775"/>
    <w:rsid w:val="00D4064E"/>
    <w:rsid w:val="00D44212"/>
    <w:rsid w:val="00D447CA"/>
    <w:rsid w:val="00D44E9B"/>
    <w:rsid w:val="00D45FD2"/>
    <w:rsid w:val="00D47273"/>
    <w:rsid w:val="00D473F1"/>
    <w:rsid w:val="00D47AEB"/>
    <w:rsid w:val="00D47E8D"/>
    <w:rsid w:val="00D47FF3"/>
    <w:rsid w:val="00D50B70"/>
    <w:rsid w:val="00D50DB9"/>
    <w:rsid w:val="00D51302"/>
    <w:rsid w:val="00D5296A"/>
    <w:rsid w:val="00D52C43"/>
    <w:rsid w:val="00D553E4"/>
    <w:rsid w:val="00D55AFB"/>
    <w:rsid w:val="00D562F8"/>
    <w:rsid w:val="00D56A40"/>
    <w:rsid w:val="00D60418"/>
    <w:rsid w:val="00D61B11"/>
    <w:rsid w:val="00D62330"/>
    <w:rsid w:val="00D6491D"/>
    <w:rsid w:val="00D6507F"/>
    <w:rsid w:val="00D6563D"/>
    <w:rsid w:val="00D663BF"/>
    <w:rsid w:val="00D713BE"/>
    <w:rsid w:val="00D715DF"/>
    <w:rsid w:val="00D72B30"/>
    <w:rsid w:val="00D73011"/>
    <w:rsid w:val="00D730BC"/>
    <w:rsid w:val="00D73174"/>
    <w:rsid w:val="00D73912"/>
    <w:rsid w:val="00D7413D"/>
    <w:rsid w:val="00D7463D"/>
    <w:rsid w:val="00D74D00"/>
    <w:rsid w:val="00D75DC6"/>
    <w:rsid w:val="00D75FA4"/>
    <w:rsid w:val="00D80C58"/>
    <w:rsid w:val="00D8150C"/>
    <w:rsid w:val="00D8219B"/>
    <w:rsid w:val="00D82383"/>
    <w:rsid w:val="00D85226"/>
    <w:rsid w:val="00D85DB9"/>
    <w:rsid w:val="00D86590"/>
    <w:rsid w:val="00D87B94"/>
    <w:rsid w:val="00D90F2B"/>
    <w:rsid w:val="00D91DF3"/>
    <w:rsid w:val="00D9222C"/>
    <w:rsid w:val="00D92D49"/>
    <w:rsid w:val="00D92EC1"/>
    <w:rsid w:val="00D93D93"/>
    <w:rsid w:val="00D95F79"/>
    <w:rsid w:val="00D96DEA"/>
    <w:rsid w:val="00D97F82"/>
    <w:rsid w:val="00DA023E"/>
    <w:rsid w:val="00DA0717"/>
    <w:rsid w:val="00DA299F"/>
    <w:rsid w:val="00DA4574"/>
    <w:rsid w:val="00DA4E41"/>
    <w:rsid w:val="00DA5D77"/>
    <w:rsid w:val="00DA7179"/>
    <w:rsid w:val="00DB117A"/>
    <w:rsid w:val="00DB11F3"/>
    <w:rsid w:val="00DB1738"/>
    <w:rsid w:val="00DB2500"/>
    <w:rsid w:val="00DB2AA5"/>
    <w:rsid w:val="00DB4393"/>
    <w:rsid w:val="00DB4AAF"/>
    <w:rsid w:val="00DB5173"/>
    <w:rsid w:val="00DB52EA"/>
    <w:rsid w:val="00DB5739"/>
    <w:rsid w:val="00DB576F"/>
    <w:rsid w:val="00DB7873"/>
    <w:rsid w:val="00DC187B"/>
    <w:rsid w:val="00DC7DEF"/>
    <w:rsid w:val="00DD1A43"/>
    <w:rsid w:val="00DD4D67"/>
    <w:rsid w:val="00DD73C2"/>
    <w:rsid w:val="00DE0431"/>
    <w:rsid w:val="00DE071B"/>
    <w:rsid w:val="00DE19F6"/>
    <w:rsid w:val="00DE319B"/>
    <w:rsid w:val="00DE3F05"/>
    <w:rsid w:val="00DE400B"/>
    <w:rsid w:val="00DE6959"/>
    <w:rsid w:val="00DE7282"/>
    <w:rsid w:val="00DE775E"/>
    <w:rsid w:val="00DF0BE6"/>
    <w:rsid w:val="00DF1939"/>
    <w:rsid w:val="00DF34FE"/>
    <w:rsid w:val="00DF56AA"/>
    <w:rsid w:val="00DF56AF"/>
    <w:rsid w:val="00DF5ACE"/>
    <w:rsid w:val="00DF681D"/>
    <w:rsid w:val="00DF78E7"/>
    <w:rsid w:val="00DF79C6"/>
    <w:rsid w:val="00E028F6"/>
    <w:rsid w:val="00E02B62"/>
    <w:rsid w:val="00E03FAE"/>
    <w:rsid w:val="00E04CBE"/>
    <w:rsid w:val="00E061A7"/>
    <w:rsid w:val="00E10450"/>
    <w:rsid w:val="00E108D7"/>
    <w:rsid w:val="00E10BC7"/>
    <w:rsid w:val="00E110E0"/>
    <w:rsid w:val="00E123C1"/>
    <w:rsid w:val="00E1283A"/>
    <w:rsid w:val="00E13C54"/>
    <w:rsid w:val="00E15371"/>
    <w:rsid w:val="00E16557"/>
    <w:rsid w:val="00E23372"/>
    <w:rsid w:val="00E239E6"/>
    <w:rsid w:val="00E23D8C"/>
    <w:rsid w:val="00E24104"/>
    <w:rsid w:val="00E2441E"/>
    <w:rsid w:val="00E244F0"/>
    <w:rsid w:val="00E24CC9"/>
    <w:rsid w:val="00E266ED"/>
    <w:rsid w:val="00E2788C"/>
    <w:rsid w:val="00E302D0"/>
    <w:rsid w:val="00E30F98"/>
    <w:rsid w:val="00E314B8"/>
    <w:rsid w:val="00E33328"/>
    <w:rsid w:val="00E35707"/>
    <w:rsid w:val="00E36140"/>
    <w:rsid w:val="00E36AA1"/>
    <w:rsid w:val="00E37648"/>
    <w:rsid w:val="00E40C10"/>
    <w:rsid w:val="00E40DEC"/>
    <w:rsid w:val="00E41ECB"/>
    <w:rsid w:val="00E4229F"/>
    <w:rsid w:val="00E42676"/>
    <w:rsid w:val="00E444CB"/>
    <w:rsid w:val="00E45ADA"/>
    <w:rsid w:val="00E45C8C"/>
    <w:rsid w:val="00E47F52"/>
    <w:rsid w:val="00E5349E"/>
    <w:rsid w:val="00E53958"/>
    <w:rsid w:val="00E53FBD"/>
    <w:rsid w:val="00E54FDB"/>
    <w:rsid w:val="00E551AA"/>
    <w:rsid w:val="00E5617D"/>
    <w:rsid w:val="00E563D7"/>
    <w:rsid w:val="00E61B99"/>
    <w:rsid w:val="00E638B7"/>
    <w:rsid w:val="00E64C5B"/>
    <w:rsid w:val="00E65C08"/>
    <w:rsid w:val="00E65E69"/>
    <w:rsid w:val="00E663F4"/>
    <w:rsid w:val="00E66603"/>
    <w:rsid w:val="00E666F2"/>
    <w:rsid w:val="00E66DD4"/>
    <w:rsid w:val="00E673D9"/>
    <w:rsid w:val="00E72191"/>
    <w:rsid w:val="00E73820"/>
    <w:rsid w:val="00E741FA"/>
    <w:rsid w:val="00E748CC"/>
    <w:rsid w:val="00E75415"/>
    <w:rsid w:val="00E7542F"/>
    <w:rsid w:val="00E75997"/>
    <w:rsid w:val="00E75BAA"/>
    <w:rsid w:val="00E7724D"/>
    <w:rsid w:val="00E775B1"/>
    <w:rsid w:val="00E778EE"/>
    <w:rsid w:val="00E80B99"/>
    <w:rsid w:val="00E8152A"/>
    <w:rsid w:val="00E815DD"/>
    <w:rsid w:val="00E85A49"/>
    <w:rsid w:val="00E9053B"/>
    <w:rsid w:val="00E908E6"/>
    <w:rsid w:val="00E918F3"/>
    <w:rsid w:val="00E933D5"/>
    <w:rsid w:val="00E93629"/>
    <w:rsid w:val="00E93B5C"/>
    <w:rsid w:val="00E94914"/>
    <w:rsid w:val="00E94CEC"/>
    <w:rsid w:val="00E9709D"/>
    <w:rsid w:val="00E9782C"/>
    <w:rsid w:val="00EA04EF"/>
    <w:rsid w:val="00EA448D"/>
    <w:rsid w:val="00EA4B75"/>
    <w:rsid w:val="00EA6F19"/>
    <w:rsid w:val="00EA7EA2"/>
    <w:rsid w:val="00EB029D"/>
    <w:rsid w:val="00EB27B7"/>
    <w:rsid w:val="00EB315B"/>
    <w:rsid w:val="00EB7090"/>
    <w:rsid w:val="00EC1BBE"/>
    <w:rsid w:val="00EC2AB3"/>
    <w:rsid w:val="00EC2B68"/>
    <w:rsid w:val="00EC31EE"/>
    <w:rsid w:val="00EC3AEF"/>
    <w:rsid w:val="00EC478D"/>
    <w:rsid w:val="00EC4C5E"/>
    <w:rsid w:val="00EC5CD7"/>
    <w:rsid w:val="00EC6103"/>
    <w:rsid w:val="00EC6700"/>
    <w:rsid w:val="00EC736D"/>
    <w:rsid w:val="00ED0754"/>
    <w:rsid w:val="00ED31F4"/>
    <w:rsid w:val="00ED3AF9"/>
    <w:rsid w:val="00ED4D4B"/>
    <w:rsid w:val="00ED5CCC"/>
    <w:rsid w:val="00ED7844"/>
    <w:rsid w:val="00EE0E7E"/>
    <w:rsid w:val="00EE2ACE"/>
    <w:rsid w:val="00EE4135"/>
    <w:rsid w:val="00EE537B"/>
    <w:rsid w:val="00EE5FB3"/>
    <w:rsid w:val="00EE5FE5"/>
    <w:rsid w:val="00EE65F9"/>
    <w:rsid w:val="00EE7F79"/>
    <w:rsid w:val="00EF5E2A"/>
    <w:rsid w:val="00EF70FA"/>
    <w:rsid w:val="00EF715A"/>
    <w:rsid w:val="00F01BC3"/>
    <w:rsid w:val="00F03D10"/>
    <w:rsid w:val="00F06A6A"/>
    <w:rsid w:val="00F06E14"/>
    <w:rsid w:val="00F07BD4"/>
    <w:rsid w:val="00F151DF"/>
    <w:rsid w:val="00F15BEC"/>
    <w:rsid w:val="00F162C6"/>
    <w:rsid w:val="00F169E5"/>
    <w:rsid w:val="00F179D4"/>
    <w:rsid w:val="00F30655"/>
    <w:rsid w:val="00F31102"/>
    <w:rsid w:val="00F319B8"/>
    <w:rsid w:val="00F32D6A"/>
    <w:rsid w:val="00F33524"/>
    <w:rsid w:val="00F33C56"/>
    <w:rsid w:val="00F33D07"/>
    <w:rsid w:val="00F347C7"/>
    <w:rsid w:val="00F34848"/>
    <w:rsid w:val="00F34E78"/>
    <w:rsid w:val="00F36BBF"/>
    <w:rsid w:val="00F40565"/>
    <w:rsid w:val="00F42D46"/>
    <w:rsid w:val="00F4493E"/>
    <w:rsid w:val="00F4496C"/>
    <w:rsid w:val="00F44CF1"/>
    <w:rsid w:val="00F44F3A"/>
    <w:rsid w:val="00F45680"/>
    <w:rsid w:val="00F45DD5"/>
    <w:rsid w:val="00F46395"/>
    <w:rsid w:val="00F51F10"/>
    <w:rsid w:val="00F529A5"/>
    <w:rsid w:val="00F5512A"/>
    <w:rsid w:val="00F56DDD"/>
    <w:rsid w:val="00F57AA3"/>
    <w:rsid w:val="00F605E3"/>
    <w:rsid w:val="00F60792"/>
    <w:rsid w:val="00F60F00"/>
    <w:rsid w:val="00F614C0"/>
    <w:rsid w:val="00F61C77"/>
    <w:rsid w:val="00F6683E"/>
    <w:rsid w:val="00F675C5"/>
    <w:rsid w:val="00F67F52"/>
    <w:rsid w:val="00F70231"/>
    <w:rsid w:val="00F71D93"/>
    <w:rsid w:val="00F72936"/>
    <w:rsid w:val="00F7324E"/>
    <w:rsid w:val="00F7365F"/>
    <w:rsid w:val="00F73DDF"/>
    <w:rsid w:val="00F76928"/>
    <w:rsid w:val="00F77007"/>
    <w:rsid w:val="00F770CC"/>
    <w:rsid w:val="00F777DB"/>
    <w:rsid w:val="00F81897"/>
    <w:rsid w:val="00F82E40"/>
    <w:rsid w:val="00F83848"/>
    <w:rsid w:val="00F83C0F"/>
    <w:rsid w:val="00F86F78"/>
    <w:rsid w:val="00F90BA9"/>
    <w:rsid w:val="00F93471"/>
    <w:rsid w:val="00F95AA7"/>
    <w:rsid w:val="00F9751D"/>
    <w:rsid w:val="00F975E9"/>
    <w:rsid w:val="00FA0C15"/>
    <w:rsid w:val="00FA0CCC"/>
    <w:rsid w:val="00FA1494"/>
    <w:rsid w:val="00FA1B7D"/>
    <w:rsid w:val="00FA4CFF"/>
    <w:rsid w:val="00FA567A"/>
    <w:rsid w:val="00FA6B09"/>
    <w:rsid w:val="00FB0BB4"/>
    <w:rsid w:val="00FB6461"/>
    <w:rsid w:val="00FB6798"/>
    <w:rsid w:val="00FC07B9"/>
    <w:rsid w:val="00FC0FA0"/>
    <w:rsid w:val="00FC1078"/>
    <w:rsid w:val="00FC4E21"/>
    <w:rsid w:val="00FC519B"/>
    <w:rsid w:val="00FC5AA5"/>
    <w:rsid w:val="00FC5D6F"/>
    <w:rsid w:val="00FC5F6D"/>
    <w:rsid w:val="00FD0107"/>
    <w:rsid w:val="00FD19B2"/>
    <w:rsid w:val="00FD2C2F"/>
    <w:rsid w:val="00FD2F97"/>
    <w:rsid w:val="00FD374C"/>
    <w:rsid w:val="00FD3B31"/>
    <w:rsid w:val="00FD489C"/>
    <w:rsid w:val="00FE1823"/>
    <w:rsid w:val="00FE1DC6"/>
    <w:rsid w:val="00FE2409"/>
    <w:rsid w:val="00FE487A"/>
    <w:rsid w:val="00FE56EE"/>
    <w:rsid w:val="00FE64E8"/>
    <w:rsid w:val="00FF0569"/>
    <w:rsid w:val="00FF206E"/>
    <w:rsid w:val="00FF2461"/>
    <w:rsid w:val="00FF2D18"/>
    <w:rsid w:val="00FF3C69"/>
    <w:rsid w:val="00FF4590"/>
    <w:rsid w:val="00FF6E0A"/>
    <w:rsid w:val="0762E852"/>
    <w:rsid w:val="0E7156D4"/>
    <w:rsid w:val="0EBDD5A7"/>
    <w:rsid w:val="0F4EA69F"/>
    <w:rsid w:val="1179343C"/>
    <w:rsid w:val="11CE8330"/>
    <w:rsid w:val="13A693AC"/>
    <w:rsid w:val="168AECB3"/>
    <w:rsid w:val="16E4177B"/>
    <w:rsid w:val="19C86965"/>
    <w:rsid w:val="1C2CB678"/>
    <w:rsid w:val="1C979634"/>
    <w:rsid w:val="1EDF816B"/>
    <w:rsid w:val="2007ADD3"/>
    <w:rsid w:val="205F0A99"/>
    <w:rsid w:val="22456094"/>
    <w:rsid w:val="245F1AA2"/>
    <w:rsid w:val="24783B89"/>
    <w:rsid w:val="265E3B51"/>
    <w:rsid w:val="29EF11E6"/>
    <w:rsid w:val="2D4D7E74"/>
    <w:rsid w:val="2D6D3D2E"/>
    <w:rsid w:val="2E174B06"/>
    <w:rsid w:val="2EC7141C"/>
    <w:rsid w:val="2F724B2C"/>
    <w:rsid w:val="31DEE4CB"/>
    <w:rsid w:val="321B24E6"/>
    <w:rsid w:val="322BCBCB"/>
    <w:rsid w:val="365B3BD6"/>
    <w:rsid w:val="39F74FC0"/>
    <w:rsid w:val="3BF24C9F"/>
    <w:rsid w:val="3C29FCFF"/>
    <w:rsid w:val="3E60C344"/>
    <w:rsid w:val="4064387C"/>
    <w:rsid w:val="42FB58E3"/>
    <w:rsid w:val="43FD8B90"/>
    <w:rsid w:val="44C5962A"/>
    <w:rsid w:val="4C7A7540"/>
    <w:rsid w:val="4DC526AD"/>
    <w:rsid w:val="4E7D59D7"/>
    <w:rsid w:val="4ECF3839"/>
    <w:rsid w:val="4F5FF5C0"/>
    <w:rsid w:val="5415CA03"/>
    <w:rsid w:val="560F86DF"/>
    <w:rsid w:val="562A740A"/>
    <w:rsid w:val="5A4DCA71"/>
    <w:rsid w:val="5BD9077A"/>
    <w:rsid w:val="5DFDD60A"/>
    <w:rsid w:val="60483F9E"/>
    <w:rsid w:val="61802F37"/>
    <w:rsid w:val="63DED365"/>
    <w:rsid w:val="6426A333"/>
    <w:rsid w:val="6589FA2C"/>
    <w:rsid w:val="66C23A9F"/>
    <w:rsid w:val="67FCDBAC"/>
    <w:rsid w:val="694C5A54"/>
    <w:rsid w:val="6C543492"/>
    <w:rsid w:val="73698F0C"/>
    <w:rsid w:val="765E447D"/>
    <w:rsid w:val="7F3A6F2E"/>
  </w:rsids>
  <m:mathPr>
    <m:mathFont m:val="Cambria Math"/>
    <m:brkBin m:val="before"/>
    <m:brkBinSub m:val="--"/>
    <m:smallFrac/>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red,#4d4d4f"/>
    </o:shapedefaults>
    <o:shapelayout v:ext="edit">
      <o:idmap v:ext="edit" data="1"/>
    </o:shapelayout>
  </w:shapeDefaults>
  <w:decimalSymbol w:val="."/>
  <w:listSeparator w:val=","/>
  <w14:docId w14:val="267AA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uiPriority="2" w:qFormat="1"/>
    <w:lsdException w:name="heading 4" w:uiPriority="2"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iPriority="99"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semiHidden/>
    <w:qFormat/>
    <w:rsid w:val="007C6E44"/>
    <w:pPr>
      <w:spacing w:after="240" w:line="240" w:lineRule="atLeast"/>
    </w:pPr>
    <w:rPr>
      <w:rFonts w:ascii="Arial" w:hAnsi="Arial"/>
      <w:sz w:val="20"/>
    </w:rPr>
  </w:style>
  <w:style w:type="paragraph" w:styleId="Heading1">
    <w:name w:val="heading 1"/>
    <w:basedOn w:val="Normal"/>
    <w:next w:val="Normal"/>
    <w:link w:val="Heading1Char"/>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uiPriority w:val="2"/>
    <w:qFormat/>
    <w:rsid w:val="00C55235"/>
    <w:pPr>
      <w:keepNext/>
      <w:spacing w:before="60" w:after="60"/>
      <w:outlineLvl w:val="2"/>
    </w:pPr>
    <w:rPr>
      <w:rFonts w:cs="Arial"/>
      <w:b/>
      <w:bCs/>
      <w:szCs w:val="26"/>
    </w:rPr>
  </w:style>
  <w:style w:type="paragraph" w:styleId="Heading4">
    <w:name w:val="heading 4"/>
    <w:basedOn w:val="BodySubHeader"/>
    <w:next w:val="Normal"/>
    <w:uiPriority w:val="2"/>
    <w:qFormat/>
    <w:rsid w:val="0085618F"/>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semiHidden/>
    <w:qFormat/>
    <w:rsid w:val="00E8152A"/>
    <w:pPr>
      <w:numPr>
        <w:numId w:val="9"/>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aliases w:val="List Bullet 1"/>
    <w:basedOn w:val="Normal"/>
    <w:link w:val="ListBulletChar"/>
    <w:uiPriority w:val="99"/>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C35CCE"/>
    <w:rPr>
      <w:color w:val="0000FF"/>
      <w:u w:val="single" w:color="0000FF"/>
    </w:rPr>
  </w:style>
  <w:style w:type="character" w:styleId="FootnoteReference">
    <w:name w:val="footnote reference"/>
    <w:aliases w:val="(NECG) Footnote Reference,(NECG) Footnote Reference1,(NECG) Footnote Reference2,o,Appel note de bas de p,Appel note de bas de p + 11 pt,Italic,Footnote,Appel note de bas de p1,Appel note de bas de p2,Appel note de bas de p3,Style 12"/>
    <w:basedOn w:val="DefaultParagraphFont"/>
    <w:uiPriority w:val="99"/>
    <w:qFormat/>
    <w:rsid w:val="00566AB4"/>
    <w:rPr>
      <w:rFonts w:ascii="Arial" w:hAnsi="Arial"/>
      <w:vertAlign w:val="superscript"/>
    </w:rPr>
  </w:style>
  <w:style w:type="paragraph" w:styleId="FootnoteText">
    <w:name w:val="footnote text"/>
    <w:aliases w:val="Footnote text,ACMA Footnote Text,ABA Footnote Text,ALTS FOOTNOTE,(NECG) Footnote Text,AR Footnote Text,AR Footnote Text Char Char Char Char Char,Footnote Text Char1 Char Char,Footnote Text Char Char Char Char Char Char,footnote text,f,fn"/>
    <w:basedOn w:val="Normal"/>
    <w:link w:val="FootnoteTextChar"/>
    <w:qFormat/>
    <w:rsid w:val="007C6E44"/>
    <w:pPr>
      <w:spacing w:after="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semiHidden/>
    <w:rsid w:val="00EE7F79"/>
    <w:rPr>
      <w:sz w:val="16"/>
      <w:szCs w:val="16"/>
    </w:rPr>
  </w:style>
  <w:style w:type="paragraph" w:styleId="CommentText">
    <w:name w:val="annotation text"/>
    <w:basedOn w:val="Normal"/>
    <w:link w:val="CommentTextChar"/>
    <w:semiHidden/>
    <w:rsid w:val="00EE7F79"/>
    <w:pPr>
      <w:spacing w:line="240" w:lineRule="auto"/>
    </w:pPr>
    <w:rPr>
      <w:szCs w:val="20"/>
    </w:rPr>
  </w:style>
  <w:style w:type="character" w:customStyle="1" w:styleId="CommentTextChar">
    <w:name w:val="Comment Text Char"/>
    <w:basedOn w:val="DefaultParagraphFont"/>
    <w:link w:val="CommentText"/>
    <w:semiHidden/>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qFormat/>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rsid w:val="006C1631"/>
    <w:rPr>
      <w:rFonts w:ascii="Arial" w:hAnsi="Arial" w:cs="Arial"/>
      <w:bCs/>
      <w:color w:val="323232"/>
      <w:kern w:val="32"/>
      <w:sz w:val="53"/>
      <w:szCs w:val="32"/>
    </w:rPr>
  </w:style>
  <w:style w:type="character" w:customStyle="1" w:styleId="Heading2Char">
    <w:name w:val="Heading 2 Char"/>
    <w:basedOn w:val="DefaultParagraphFont"/>
    <w:link w:val="Heading2"/>
    <w:rsid w:val="00800CCD"/>
    <w:rPr>
      <w:rFonts w:ascii="Arial" w:hAnsi="Arial" w:cs="Arial"/>
      <w:b/>
      <w:bCs/>
      <w:iCs/>
      <w:sz w:val="28"/>
      <w:szCs w:val="28"/>
    </w:rPr>
  </w:style>
  <w:style w:type="character" w:customStyle="1" w:styleId="UnresolvedMention1">
    <w:name w:val="Unresolved Mention1"/>
    <w:basedOn w:val="DefaultParagraphFont"/>
    <w:uiPriority w:val="99"/>
    <w:semiHidden/>
    <w:unhideWhenUsed/>
    <w:rsid w:val="006B52DE"/>
    <w:rPr>
      <w:color w:val="605E5C"/>
      <w:shd w:val="clear" w:color="auto" w:fill="E1DFDD"/>
    </w:rPr>
  </w:style>
  <w:style w:type="character" w:customStyle="1" w:styleId="Heading3Char">
    <w:name w:val="Heading 3 Char"/>
    <w:basedOn w:val="DefaultParagraphFont"/>
    <w:link w:val="Heading3"/>
    <w:uiPriority w:val="2"/>
    <w:rsid w:val="00800CCD"/>
    <w:rPr>
      <w:rFonts w:ascii="Arial" w:hAnsi="Arial" w:cs="Arial"/>
      <w:b/>
      <w:bCs/>
      <w:sz w:val="20"/>
      <w:szCs w:val="26"/>
    </w:rPr>
  </w:style>
  <w:style w:type="paragraph" w:customStyle="1" w:styleId="Paragraph">
    <w:name w:val="Paragraph"/>
    <w:basedOn w:val="Normal"/>
    <w:uiPriority w:val="3"/>
    <w:qFormat/>
    <w:rsid w:val="00A824E8"/>
    <w:rPr>
      <w:rFonts w:cs="Arial"/>
    </w:rPr>
  </w:style>
  <w:style w:type="paragraph" w:customStyle="1" w:styleId="Bulletlevel2">
    <w:name w:val="Bullet level 2"/>
    <w:basedOn w:val="ListBullet2"/>
    <w:uiPriority w:val="7"/>
    <w:qFormat/>
    <w:rsid w:val="00A824E8"/>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4A70D6"/>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63346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1469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146948"/>
    <w:rPr>
      <w:rFonts w:ascii="Segoe UI" w:hAnsi="Segoe UI" w:cs="Segoe UI"/>
      <w:sz w:val="18"/>
      <w:szCs w:val="18"/>
    </w:rPr>
  </w:style>
  <w:style w:type="character" w:customStyle="1" w:styleId="FootnoteTextChar">
    <w:name w:val="Footnote Text Char"/>
    <w:aliases w:val="Footnote text Char,ACMA Footnote Text Char,ABA Footnote Text Char,ALTS FOOTNOTE Char,(NECG) Footnote Text Char,AR Footnote Text Char,AR Footnote Text Char Char Char Char Char Char,Footnote Text Char1 Char Char Char,footnote text Char"/>
    <w:basedOn w:val="DefaultParagraphFont"/>
    <w:link w:val="FootnoteText"/>
    <w:rsid w:val="00DE400B"/>
    <w:rPr>
      <w:rFonts w:ascii="Arial" w:hAnsi="Arial"/>
      <w:sz w:val="16"/>
      <w:szCs w:val="16"/>
    </w:rPr>
  </w:style>
  <w:style w:type="paragraph" w:customStyle="1" w:styleId="Bodysubheader0">
    <w:name w:val="Body sub header"/>
    <w:basedOn w:val="Normal"/>
    <w:next w:val="Normal"/>
    <w:rsid w:val="00DE400B"/>
    <w:pPr>
      <w:spacing w:after="0"/>
    </w:pPr>
    <w:rPr>
      <w:rFonts w:ascii="HelveticaNeueLT Std" w:hAnsi="HelveticaNeueLT Std"/>
      <w:b/>
      <w:i/>
    </w:rPr>
  </w:style>
  <w:style w:type="character" w:customStyle="1" w:styleId="ListBulletChar">
    <w:name w:val="List Bullet Char"/>
    <w:aliases w:val="List Bullet 1 Char"/>
    <w:basedOn w:val="DefaultParagraphFont"/>
    <w:link w:val="ListBullet"/>
    <w:uiPriority w:val="99"/>
    <w:rsid w:val="00DE400B"/>
    <w:rPr>
      <w:rFonts w:ascii="Arial" w:hAnsi="Arial"/>
      <w:sz w:val="20"/>
    </w:rPr>
  </w:style>
  <w:style w:type="paragraph" w:styleId="ListNumber3">
    <w:name w:val="List Number 3"/>
    <w:basedOn w:val="Normal"/>
    <w:uiPriority w:val="99"/>
    <w:unhideWhenUsed/>
    <w:rsid w:val="00B25E3A"/>
    <w:pPr>
      <w:numPr>
        <w:numId w:val="21"/>
      </w:numPr>
      <w:tabs>
        <w:tab w:val="left" w:pos="510"/>
      </w:tabs>
      <w:spacing w:after="0" w:line="240" w:lineRule="auto"/>
      <w:contextualSpacing/>
    </w:pPr>
    <w:rPr>
      <w:rFonts w:ascii="Times New Roman" w:eastAsia="Calibri" w:hAnsi="Times New Roman"/>
      <w:color w:val="000000"/>
      <w:sz w:val="24"/>
    </w:rPr>
  </w:style>
  <w:style w:type="paragraph" w:styleId="ListParagraph">
    <w:name w:val="List Paragraph"/>
    <w:basedOn w:val="Normal"/>
    <w:semiHidden/>
    <w:rsid w:val="009D6B54"/>
    <w:pPr>
      <w:ind w:left="720"/>
      <w:contextualSpacing/>
    </w:pPr>
  </w:style>
  <w:style w:type="character" w:styleId="UnresolvedMention">
    <w:name w:val="Unresolved Mention"/>
    <w:basedOn w:val="DefaultParagraphFont"/>
    <w:uiPriority w:val="99"/>
    <w:semiHidden/>
    <w:unhideWhenUsed/>
    <w:rsid w:val="008631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59603">
      <w:bodyDiv w:val="1"/>
      <w:marLeft w:val="0"/>
      <w:marRight w:val="0"/>
      <w:marTop w:val="0"/>
      <w:marBottom w:val="0"/>
      <w:divBdr>
        <w:top w:val="none" w:sz="0" w:space="0" w:color="auto"/>
        <w:left w:val="none" w:sz="0" w:space="0" w:color="auto"/>
        <w:bottom w:val="none" w:sz="0" w:space="0" w:color="auto"/>
        <w:right w:val="none" w:sz="0" w:space="0" w:color="auto"/>
      </w:divBdr>
    </w:div>
    <w:div w:id="196897858">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1397584733">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576015668">
      <w:bodyDiv w:val="1"/>
      <w:marLeft w:val="0"/>
      <w:marRight w:val="0"/>
      <w:marTop w:val="0"/>
      <w:marBottom w:val="0"/>
      <w:divBdr>
        <w:top w:val="none" w:sz="0" w:space="0" w:color="auto"/>
        <w:left w:val="none" w:sz="0" w:space="0" w:color="auto"/>
        <w:bottom w:val="none" w:sz="0" w:space="0" w:color="auto"/>
        <w:right w:val="none" w:sz="0" w:space="0" w:color="auto"/>
      </w:divBdr>
    </w:div>
    <w:div w:id="1734692974">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cma.gov.au/publications/2019-09/publication/five-year-spectrum-outlook-2019-23"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consultations/2019-08/reconfiguring-900-mhz-band-consultation-112019"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acma.gov.au/consultations/2019-08/reconfiguring-900-mhz-band-consultation-112019"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eader" Target="header7.xml"/><Relationship Id="rId30" Type="http://schemas.openxmlformats.org/officeDocument/2006/relationships/footer" Target="footer8.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communications.gov.au/have-your-say/draft-ministerial-direction-unsold-700-mhz-spectrum" TargetMode="External"/><Relationship Id="rId1" Type="http://schemas.openxmlformats.org/officeDocument/2006/relationships/hyperlink" Target="https://www.communications.gov.au/have-your-say/draft-ministerial-direction-unsold-700-mhz-spectru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3ECE5-337A-4CD1-AFCA-1100CAA0D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3961</Words>
  <Characters>22580</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26489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2019-12-18T05:44:00Z</dcterms:created>
  <dcterms:modified xsi:type="dcterms:W3CDTF">2019-12-18T05:44:00Z</dcterms:modified>
  <cp:category/>
</cp:coreProperties>
</file>