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DD3648" w14:textId="28365D19" w:rsidR="000D5DB0" w:rsidRPr="0071589C" w:rsidRDefault="000D5DB0" w:rsidP="000D5DB0">
      <w:pPr>
        <w:pStyle w:val="Reporttitle"/>
      </w:pPr>
      <w:bookmarkStart w:id="0" w:name="_Hlk71281631"/>
      <w:r w:rsidRPr="00C60F78">
        <w:rPr>
          <w:b w:val="0"/>
          <w:color w:val="323232"/>
        </w:rPr>
        <w:t xml:space="preserve">Automatic sunsetting of </w:t>
      </w:r>
      <w:r w:rsidRPr="00C60F78">
        <w:rPr>
          <w:b w:val="0"/>
          <w:color w:val="323232"/>
        </w:rPr>
        <w:br/>
        <w:t>legislative instruments</w:t>
      </w:r>
      <w:r w:rsidR="006D6E9D">
        <w:rPr>
          <w:b w:val="0"/>
          <w:color w:val="323232"/>
        </w:rPr>
        <w:t>:</w:t>
      </w:r>
      <w:r>
        <w:br/>
        <w:t xml:space="preserve">Proposal to </w:t>
      </w:r>
      <w:bookmarkStart w:id="1" w:name="_Hlk70953663"/>
      <w:bookmarkStart w:id="2" w:name="_Hlk70953032"/>
      <w:r>
        <w:t>remake</w:t>
      </w:r>
      <w:r w:rsidR="00D90CDC">
        <w:t xml:space="preserve"> the</w:t>
      </w:r>
      <w:r>
        <w:t xml:space="preserve"> </w:t>
      </w:r>
      <w:bookmarkEnd w:id="1"/>
      <w:bookmarkEnd w:id="2"/>
      <w:r w:rsidR="00944D8B" w:rsidRPr="00944D8B">
        <w:t>Telecommunications (Payphone Performance Benchmarks) Record</w:t>
      </w:r>
      <w:r w:rsidR="002C3DFA">
        <w:noBreakHyphen/>
      </w:r>
      <w:r w:rsidR="00944D8B" w:rsidRPr="00944D8B">
        <w:t>Keeping Rules 2012</w:t>
      </w:r>
    </w:p>
    <w:p w14:paraId="3C78460B" w14:textId="77777777" w:rsidR="000D5DB0" w:rsidRPr="0071589C" w:rsidRDefault="000D5DB0" w:rsidP="006D1027">
      <w:pPr>
        <w:pStyle w:val="Reportsubtitle"/>
      </w:pPr>
      <w:r w:rsidRPr="0071589C">
        <w:t>Consultation paper</w:t>
      </w:r>
    </w:p>
    <w:p w14:paraId="6843F075" w14:textId="723ED4B0" w:rsidR="00C97736" w:rsidRPr="000D76E0" w:rsidRDefault="006D6E9D"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rsidRPr="000D1A85">
        <w:t xml:space="preserve">DECEMBER </w:t>
      </w:r>
      <w:r w:rsidR="000D5DB0" w:rsidRPr="000D1A85">
        <w:t>2021</w:t>
      </w:r>
    </w:p>
    <w:bookmarkEnd w:id="0"/>
    <w:p w14:paraId="116CA8F9" w14:textId="77777777" w:rsidR="0005011A" w:rsidRPr="00F44F3A" w:rsidRDefault="0005011A" w:rsidP="00FC07B9">
      <w:pPr>
        <w:pStyle w:val="ACMACorporateAddressHeader"/>
      </w:pPr>
      <w:r w:rsidRPr="00F44F3A">
        <w:lastRenderedPageBreak/>
        <w:t>Canberra</w:t>
      </w:r>
    </w:p>
    <w:p w14:paraId="109B2496"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2AD756F3" w14:textId="77777777" w:rsidR="0005011A" w:rsidRPr="00FC07B9" w:rsidRDefault="0005011A" w:rsidP="00FC07B9">
      <w:pPr>
        <w:pStyle w:val="ACMACorporateAddresses"/>
      </w:pPr>
      <w:r w:rsidRPr="00FC07B9">
        <w:t>PO Box 78</w:t>
      </w:r>
      <w:r w:rsidRPr="00FC07B9">
        <w:br/>
        <w:t>Belconnen ACT 2616</w:t>
      </w:r>
    </w:p>
    <w:p w14:paraId="222F748E"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19741FB" w14:textId="77777777" w:rsidR="0005011A" w:rsidRPr="00F44F3A" w:rsidRDefault="0005011A" w:rsidP="00FC07B9">
      <w:pPr>
        <w:pStyle w:val="ACMACorporateAddressHeader"/>
      </w:pPr>
      <w:r w:rsidRPr="00F44F3A">
        <w:t>Melbourne</w:t>
      </w:r>
    </w:p>
    <w:p w14:paraId="72CAFE37"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7087817C"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197F557B"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44FF04A8" w14:textId="77777777" w:rsidR="0005011A" w:rsidRPr="00F44F3A" w:rsidRDefault="0005011A" w:rsidP="00FC07B9">
      <w:pPr>
        <w:pStyle w:val="ACMACorporateAddressHeader"/>
      </w:pPr>
      <w:r w:rsidRPr="00F44F3A">
        <w:t>Sydney</w:t>
      </w:r>
    </w:p>
    <w:p w14:paraId="06628AFC"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0D7A92E2"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2619775"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64FC358C" w14:textId="77777777" w:rsidR="00140318" w:rsidRPr="006D46E5" w:rsidRDefault="00140318" w:rsidP="00FC07B9">
      <w:pPr>
        <w:pStyle w:val="ACMACopyrightHeader"/>
      </w:pPr>
      <w:r w:rsidRPr="00140318">
        <w:t>Copyright notice</w:t>
      </w:r>
    </w:p>
    <w:p w14:paraId="3A9F3817" w14:textId="77777777" w:rsidR="00140318" w:rsidRPr="006D46E5" w:rsidRDefault="00623FF9" w:rsidP="00623FF9">
      <w:pPr>
        <w:pStyle w:val="ACMACClogo"/>
      </w:pPr>
      <w:r w:rsidRPr="00623FF9">
        <w:rPr>
          <w:noProof/>
        </w:rPr>
        <w:drawing>
          <wp:inline distT="0" distB="0" distL="0" distR="0" wp14:anchorId="0CB7512C" wp14:editId="6FB1ADE5">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0937AA58" w14:textId="77777777" w:rsidR="00AA2DE5" w:rsidRDefault="00DF2EE0" w:rsidP="00AA2DE5">
      <w:pPr>
        <w:pStyle w:val="ACMACorporateAddresses"/>
        <w:rPr>
          <w:rStyle w:val="Hyperlink"/>
        </w:rPr>
      </w:pPr>
      <w:hyperlink r:id="rId13" w:history="1">
        <w:r w:rsidR="00AA2DE5">
          <w:rPr>
            <w:rStyle w:val="Hyperlink"/>
          </w:rPr>
          <w:t>https://creativecommons.org/licenses/by/4.0/</w:t>
        </w:r>
      </w:hyperlink>
    </w:p>
    <w:p w14:paraId="378E993B"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4994D2A" w14:textId="675B698C" w:rsidR="00AA2DE5" w:rsidRDefault="00AA2DE5" w:rsidP="00AA2DE5">
      <w:pPr>
        <w:pStyle w:val="ACMACorporateAddresses"/>
      </w:pPr>
      <w:r>
        <w:t>We request attribution as © Commonwealth of Australia (Australian Communications and Media Authority) 20</w:t>
      </w:r>
      <w:r w:rsidR="00C41F21">
        <w:t>2</w:t>
      </w:r>
      <w:r w:rsidR="00C60F78">
        <w:t>1</w:t>
      </w:r>
      <w:r>
        <w:t>.</w:t>
      </w:r>
    </w:p>
    <w:p w14:paraId="38323134" w14:textId="77777777" w:rsidR="00AA2DE5" w:rsidRDefault="00AA2DE5" w:rsidP="00AA2DE5">
      <w:pPr>
        <w:pStyle w:val="ACMACorporateAddresses"/>
      </w:pPr>
      <w:r>
        <w:t>All other rights are reserved.</w:t>
      </w:r>
    </w:p>
    <w:p w14:paraId="789675EC"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F36DD5D" w14:textId="77777777" w:rsidR="00AA2DE5" w:rsidRDefault="00AA2DE5" w:rsidP="00AA2DE5">
      <w:pPr>
        <w:pStyle w:val="ACMACorporateAddresses"/>
      </w:pPr>
      <w:r>
        <w:t>Written enquiries may be sent to:</w:t>
      </w:r>
    </w:p>
    <w:p w14:paraId="36D711BA"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73CFD759" w14:textId="77777777" w:rsidR="00D16FE3" w:rsidRDefault="00D16FE3" w:rsidP="00D16FE3">
      <w:pPr>
        <w:pStyle w:val="ACMACorporateAddresses"/>
        <w:rPr>
          <w:rStyle w:val="Hyperlink"/>
        </w:rPr>
      </w:pPr>
    </w:p>
    <w:p w14:paraId="078555D1"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1E75CE5B" w14:textId="4A6DE0BB" w:rsidR="005909B9" w:rsidRDefault="002C4B9B">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"1-2" \h \z \t "Exec summary heading,1" </w:instrText>
      </w:r>
      <w:r>
        <w:rPr>
          <w:rFonts w:cs="Arial"/>
        </w:rPr>
        <w:fldChar w:fldCharType="separate"/>
      </w:r>
      <w:hyperlink w:anchor="_Toc90549670" w:history="1">
        <w:r w:rsidR="005909B9" w:rsidRPr="002D77A6">
          <w:rPr>
            <w:rStyle w:val="Hyperlink"/>
          </w:rPr>
          <w:t>Executive summary</w:t>
        </w:r>
        <w:r w:rsidR="005909B9">
          <w:rPr>
            <w:webHidden/>
          </w:rPr>
          <w:tab/>
        </w:r>
        <w:r w:rsidR="005909B9">
          <w:rPr>
            <w:webHidden/>
          </w:rPr>
          <w:fldChar w:fldCharType="begin"/>
        </w:r>
        <w:r w:rsidR="005909B9">
          <w:rPr>
            <w:webHidden/>
          </w:rPr>
          <w:instrText xml:space="preserve"> PAGEREF _Toc90549670 \h </w:instrText>
        </w:r>
        <w:r w:rsidR="005909B9">
          <w:rPr>
            <w:webHidden/>
          </w:rPr>
        </w:r>
        <w:r w:rsidR="005909B9">
          <w:rPr>
            <w:webHidden/>
          </w:rPr>
          <w:fldChar w:fldCharType="separate"/>
        </w:r>
        <w:r w:rsidR="005909B9">
          <w:rPr>
            <w:webHidden/>
          </w:rPr>
          <w:t>1</w:t>
        </w:r>
        <w:r w:rsidR="005909B9">
          <w:rPr>
            <w:webHidden/>
          </w:rPr>
          <w:fldChar w:fldCharType="end"/>
        </w:r>
      </w:hyperlink>
    </w:p>
    <w:p w14:paraId="287A481C" w14:textId="43DBE8D9" w:rsidR="005909B9" w:rsidRDefault="00DF2EE0">
      <w:pPr>
        <w:pStyle w:val="TOC1"/>
        <w:rPr>
          <w:rFonts w:asciiTheme="minorHAnsi" w:eastAsiaTheme="minorEastAsia" w:hAnsiTheme="minorHAnsi" w:cstheme="minorBidi"/>
          <w:b w:val="0"/>
          <w:spacing w:val="0"/>
          <w:sz w:val="22"/>
          <w:szCs w:val="22"/>
        </w:rPr>
      </w:pPr>
      <w:hyperlink w:anchor="_Toc90549671" w:history="1">
        <w:r w:rsidR="005909B9" w:rsidRPr="002D77A6">
          <w:rPr>
            <w:rStyle w:val="Hyperlink"/>
          </w:rPr>
          <w:t>Background</w:t>
        </w:r>
        <w:r w:rsidR="005909B9">
          <w:rPr>
            <w:webHidden/>
          </w:rPr>
          <w:tab/>
        </w:r>
        <w:r w:rsidR="005909B9">
          <w:rPr>
            <w:webHidden/>
          </w:rPr>
          <w:fldChar w:fldCharType="begin"/>
        </w:r>
        <w:r w:rsidR="005909B9">
          <w:rPr>
            <w:webHidden/>
          </w:rPr>
          <w:instrText xml:space="preserve"> PAGEREF _Toc90549671 \h </w:instrText>
        </w:r>
        <w:r w:rsidR="005909B9">
          <w:rPr>
            <w:webHidden/>
          </w:rPr>
        </w:r>
        <w:r w:rsidR="005909B9">
          <w:rPr>
            <w:webHidden/>
          </w:rPr>
          <w:fldChar w:fldCharType="separate"/>
        </w:r>
        <w:r w:rsidR="005909B9">
          <w:rPr>
            <w:webHidden/>
          </w:rPr>
          <w:t>2</w:t>
        </w:r>
        <w:r w:rsidR="005909B9">
          <w:rPr>
            <w:webHidden/>
          </w:rPr>
          <w:fldChar w:fldCharType="end"/>
        </w:r>
      </w:hyperlink>
    </w:p>
    <w:p w14:paraId="762D25D9" w14:textId="5E5F4077" w:rsidR="005909B9" w:rsidRDefault="00DF2EE0">
      <w:pPr>
        <w:pStyle w:val="TOC1"/>
        <w:rPr>
          <w:rFonts w:asciiTheme="minorHAnsi" w:eastAsiaTheme="minorEastAsia" w:hAnsiTheme="minorHAnsi" w:cstheme="minorBidi"/>
          <w:b w:val="0"/>
          <w:spacing w:val="0"/>
          <w:sz w:val="22"/>
          <w:szCs w:val="22"/>
        </w:rPr>
      </w:pPr>
      <w:hyperlink w:anchor="_Toc90549672" w:history="1">
        <w:r w:rsidR="005909B9" w:rsidRPr="002D77A6">
          <w:rPr>
            <w:rStyle w:val="Hyperlink"/>
          </w:rPr>
          <w:t>Brief details of the record-keeping rules</w:t>
        </w:r>
        <w:r w:rsidR="005909B9">
          <w:rPr>
            <w:webHidden/>
          </w:rPr>
          <w:tab/>
        </w:r>
        <w:r w:rsidR="005909B9">
          <w:rPr>
            <w:webHidden/>
          </w:rPr>
          <w:fldChar w:fldCharType="begin"/>
        </w:r>
        <w:r w:rsidR="005909B9">
          <w:rPr>
            <w:webHidden/>
          </w:rPr>
          <w:instrText xml:space="preserve"> PAGEREF _Toc90549672 \h </w:instrText>
        </w:r>
        <w:r w:rsidR="005909B9">
          <w:rPr>
            <w:webHidden/>
          </w:rPr>
        </w:r>
        <w:r w:rsidR="005909B9">
          <w:rPr>
            <w:webHidden/>
          </w:rPr>
          <w:fldChar w:fldCharType="separate"/>
        </w:r>
        <w:r w:rsidR="005909B9">
          <w:rPr>
            <w:webHidden/>
          </w:rPr>
          <w:t>3</w:t>
        </w:r>
        <w:r w:rsidR="005909B9">
          <w:rPr>
            <w:webHidden/>
          </w:rPr>
          <w:fldChar w:fldCharType="end"/>
        </w:r>
      </w:hyperlink>
    </w:p>
    <w:p w14:paraId="3D11E134" w14:textId="77912D4B" w:rsidR="005909B9" w:rsidRDefault="00DF2EE0">
      <w:pPr>
        <w:pStyle w:val="TOC1"/>
        <w:rPr>
          <w:rFonts w:asciiTheme="minorHAnsi" w:eastAsiaTheme="minorEastAsia" w:hAnsiTheme="minorHAnsi" w:cstheme="minorBidi"/>
          <w:b w:val="0"/>
          <w:spacing w:val="0"/>
          <w:sz w:val="22"/>
          <w:szCs w:val="22"/>
        </w:rPr>
      </w:pPr>
      <w:hyperlink w:anchor="_Toc90549673" w:history="1">
        <w:r w:rsidR="005909B9" w:rsidRPr="002D77A6">
          <w:rPr>
            <w:rStyle w:val="Hyperlink"/>
          </w:rPr>
          <w:t>Proposed changes to the legislative instrument</w:t>
        </w:r>
        <w:r w:rsidR="005909B9">
          <w:rPr>
            <w:webHidden/>
          </w:rPr>
          <w:tab/>
        </w:r>
        <w:r w:rsidR="005909B9">
          <w:rPr>
            <w:webHidden/>
          </w:rPr>
          <w:fldChar w:fldCharType="begin"/>
        </w:r>
        <w:r w:rsidR="005909B9">
          <w:rPr>
            <w:webHidden/>
          </w:rPr>
          <w:instrText xml:space="preserve"> PAGEREF _Toc90549673 \h </w:instrText>
        </w:r>
        <w:r w:rsidR="005909B9">
          <w:rPr>
            <w:webHidden/>
          </w:rPr>
        </w:r>
        <w:r w:rsidR="005909B9">
          <w:rPr>
            <w:webHidden/>
          </w:rPr>
          <w:fldChar w:fldCharType="separate"/>
        </w:r>
        <w:r w:rsidR="005909B9">
          <w:rPr>
            <w:webHidden/>
          </w:rPr>
          <w:t>4</w:t>
        </w:r>
        <w:r w:rsidR="005909B9">
          <w:rPr>
            <w:webHidden/>
          </w:rPr>
          <w:fldChar w:fldCharType="end"/>
        </w:r>
      </w:hyperlink>
    </w:p>
    <w:p w14:paraId="71F96CF7" w14:textId="4EDA4D1C" w:rsidR="005909B9" w:rsidRDefault="00DF2EE0">
      <w:pPr>
        <w:pStyle w:val="TOC1"/>
        <w:rPr>
          <w:rFonts w:asciiTheme="minorHAnsi" w:eastAsiaTheme="minorEastAsia" w:hAnsiTheme="minorHAnsi" w:cstheme="minorBidi"/>
          <w:b w:val="0"/>
          <w:spacing w:val="0"/>
          <w:sz w:val="22"/>
          <w:szCs w:val="22"/>
        </w:rPr>
      </w:pPr>
      <w:hyperlink w:anchor="_Toc90549674" w:history="1">
        <w:r w:rsidR="005909B9" w:rsidRPr="002D77A6">
          <w:rPr>
            <w:rStyle w:val="Hyperlink"/>
          </w:rPr>
          <w:t>Issues for comment</w:t>
        </w:r>
        <w:r w:rsidR="005909B9">
          <w:rPr>
            <w:webHidden/>
          </w:rPr>
          <w:tab/>
        </w:r>
        <w:r w:rsidR="005909B9">
          <w:rPr>
            <w:webHidden/>
          </w:rPr>
          <w:fldChar w:fldCharType="begin"/>
        </w:r>
        <w:r w:rsidR="005909B9">
          <w:rPr>
            <w:webHidden/>
          </w:rPr>
          <w:instrText xml:space="preserve"> PAGEREF _Toc90549674 \h </w:instrText>
        </w:r>
        <w:r w:rsidR="005909B9">
          <w:rPr>
            <w:webHidden/>
          </w:rPr>
        </w:r>
        <w:r w:rsidR="005909B9">
          <w:rPr>
            <w:webHidden/>
          </w:rPr>
          <w:fldChar w:fldCharType="separate"/>
        </w:r>
        <w:r w:rsidR="005909B9">
          <w:rPr>
            <w:webHidden/>
          </w:rPr>
          <w:t>5</w:t>
        </w:r>
        <w:r w:rsidR="005909B9">
          <w:rPr>
            <w:webHidden/>
          </w:rPr>
          <w:fldChar w:fldCharType="end"/>
        </w:r>
      </w:hyperlink>
    </w:p>
    <w:p w14:paraId="08D64136" w14:textId="184DBF93" w:rsidR="005909B9" w:rsidRDefault="00DF2EE0">
      <w:pPr>
        <w:pStyle w:val="TOC1"/>
        <w:rPr>
          <w:rFonts w:asciiTheme="minorHAnsi" w:eastAsiaTheme="minorEastAsia" w:hAnsiTheme="minorHAnsi" w:cstheme="minorBidi"/>
          <w:b w:val="0"/>
          <w:spacing w:val="0"/>
          <w:sz w:val="22"/>
          <w:szCs w:val="22"/>
        </w:rPr>
      </w:pPr>
      <w:hyperlink w:anchor="_Toc90549675" w:history="1">
        <w:r w:rsidR="005909B9" w:rsidRPr="002D77A6">
          <w:rPr>
            <w:rStyle w:val="Hyperlink"/>
          </w:rPr>
          <w:t>Invitation to comment</w:t>
        </w:r>
        <w:r w:rsidR="005909B9">
          <w:rPr>
            <w:webHidden/>
          </w:rPr>
          <w:tab/>
        </w:r>
        <w:r w:rsidR="005909B9">
          <w:rPr>
            <w:webHidden/>
          </w:rPr>
          <w:fldChar w:fldCharType="begin"/>
        </w:r>
        <w:r w:rsidR="005909B9">
          <w:rPr>
            <w:webHidden/>
          </w:rPr>
          <w:instrText xml:space="preserve"> PAGEREF _Toc90549675 \h </w:instrText>
        </w:r>
        <w:r w:rsidR="005909B9">
          <w:rPr>
            <w:webHidden/>
          </w:rPr>
        </w:r>
        <w:r w:rsidR="005909B9">
          <w:rPr>
            <w:webHidden/>
          </w:rPr>
          <w:fldChar w:fldCharType="separate"/>
        </w:r>
        <w:r w:rsidR="005909B9">
          <w:rPr>
            <w:webHidden/>
          </w:rPr>
          <w:t>6</w:t>
        </w:r>
        <w:r w:rsidR="005909B9">
          <w:rPr>
            <w:webHidden/>
          </w:rPr>
          <w:fldChar w:fldCharType="end"/>
        </w:r>
      </w:hyperlink>
    </w:p>
    <w:p w14:paraId="1E90634D" w14:textId="2BF8BC76" w:rsidR="005909B9" w:rsidRDefault="00DF2EE0">
      <w:pPr>
        <w:pStyle w:val="TOC2"/>
        <w:rPr>
          <w:rFonts w:asciiTheme="minorHAnsi" w:eastAsiaTheme="minorEastAsia" w:hAnsiTheme="minorHAnsi" w:cstheme="minorBidi"/>
          <w:spacing w:val="0"/>
          <w:sz w:val="22"/>
          <w:szCs w:val="22"/>
        </w:rPr>
      </w:pPr>
      <w:hyperlink w:anchor="_Toc90549676" w:history="1">
        <w:r w:rsidR="005909B9" w:rsidRPr="002D77A6">
          <w:rPr>
            <w:rStyle w:val="Hyperlink"/>
          </w:rPr>
          <w:t>Making a submission</w:t>
        </w:r>
        <w:r w:rsidR="005909B9">
          <w:rPr>
            <w:webHidden/>
          </w:rPr>
          <w:tab/>
        </w:r>
        <w:r w:rsidR="005909B9">
          <w:rPr>
            <w:webHidden/>
          </w:rPr>
          <w:fldChar w:fldCharType="begin"/>
        </w:r>
        <w:r w:rsidR="005909B9">
          <w:rPr>
            <w:webHidden/>
          </w:rPr>
          <w:instrText xml:space="preserve"> PAGEREF _Toc90549676 \h </w:instrText>
        </w:r>
        <w:r w:rsidR="005909B9">
          <w:rPr>
            <w:webHidden/>
          </w:rPr>
        </w:r>
        <w:r w:rsidR="005909B9">
          <w:rPr>
            <w:webHidden/>
          </w:rPr>
          <w:fldChar w:fldCharType="separate"/>
        </w:r>
        <w:r w:rsidR="005909B9">
          <w:rPr>
            <w:webHidden/>
          </w:rPr>
          <w:t>6</w:t>
        </w:r>
        <w:r w:rsidR="005909B9">
          <w:rPr>
            <w:webHidden/>
          </w:rPr>
          <w:fldChar w:fldCharType="end"/>
        </w:r>
      </w:hyperlink>
    </w:p>
    <w:p w14:paraId="702D8773" w14:textId="75EBF80F" w:rsidR="004D56FF" w:rsidRPr="000D76E0" w:rsidRDefault="002C4B9B">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1DF8C07A" w14:textId="77777777" w:rsidR="000D5DB0" w:rsidRDefault="000D5DB0" w:rsidP="000D5DB0">
      <w:pPr>
        <w:pStyle w:val="Heading1"/>
      </w:pPr>
      <w:bookmarkStart w:id="3" w:name="_Toc90549670"/>
      <w:bookmarkStart w:id="4" w:name="_Hlk71281652"/>
      <w:r>
        <w:lastRenderedPageBreak/>
        <w:t>Executive summary</w:t>
      </w:r>
      <w:bookmarkEnd w:id="3"/>
      <w:r>
        <w:t xml:space="preserve"> </w:t>
      </w:r>
    </w:p>
    <w:p w14:paraId="03CBC94A" w14:textId="63025510" w:rsidR="009D15FE" w:rsidRPr="004F4BF5" w:rsidRDefault="009D15FE" w:rsidP="009D15FE">
      <w:pPr>
        <w:shd w:val="clear" w:color="auto" w:fill="FFFFFF"/>
        <w:spacing w:after="200" w:line="240" w:lineRule="auto"/>
        <w:rPr>
          <w:rFonts w:cs="Arial"/>
        </w:rPr>
      </w:pPr>
      <w:r w:rsidRPr="009D15FE">
        <w:rPr>
          <w:rFonts w:cs="Arial"/>
        </w:rPr>
        <w:t>The U</w:t>
      </w:r>
      <w:r w:rsidRPr="004F4BF5">
        <w:rPr>
          <w:rFonts w:cs="Arial"/>
        </w:rPr>
        <w:t xml:space="preserve">niversal </w:t>
      </w:r>
      <w:r w:rsidRPr="009D15FE">
        <w:rPr>
          <w:rFonts w:cs="Arial"/>
        </w:rPr>
        <w:t>S</w:t>
      </w:r>
      <w:r w:rsidRPr="004F4BF5">
        <w:rPr>
          <w:rFonts w:cs="Arial"/>
        </w:rPr>
        <w:t>ervice Obligation (USO)</w:t>
      </w:r>
      <w:r w:rsidRPr="009D15FE">
        <w:rPr>
          <w:rFonts w:cs="Arial"/>
        </w:rPr>
        <w:t xml:space="preserve"> ensure</w:t>
      </w:r>
      <w:r w:rsidR="009B6299">
        <w:rPr>
          <w:rFonts w:cs="Arial"/>
        </w:rPr>
        <w:t>s</w:t>
      </w:r>
      <w:r w:rsidRPr="009D15FE">
        <w:rPr>
          <w:rFonts w:cs="Arial"/>
        </w:rPr>
        <w:t xml:space="preserve"> that standard telephone services and payphones are reasonably accessible to all people in Australia on an equitable basis, wherever they reside or </w:t>
      </w:r>
      <w:r w:rsidR="009B6299" w:rsidRPr="009D15FE">
        <w:rPr>
          <w:rFonts w:cs="Arial"/>
        </w:rPr>
        <w:t>carry-on</w:t>
      </w:r>
      <w:r w:rsidRPr="009D15FE">
        <w:rPr>
          <w:rFonts w:cs="Arial"/>
        </w:rPr>
        <w:t xml:space="preserve"> business. This includes the obligation to supply, install and maintain payphones in Australia.</w:t>
      </w:r>
      <w:r w:rsidRPr="004F4BF5">
        <w:rPr>
          <w:rFonts w:cs="Arial"/>
        </w:rPr>
        <w:t xml:space="preserve"> </w:t>
      </w:r>
      <w:r w:rsidRPr="009D15FE">
        <w:rPr>
          <w:rFonts w:cs="Arial"/>
        </w:rPr>
        <w:t>Telstra is currently the sole P</w:t>
      </w:r>
      <w:r w:rsidRPr="004F4BF5">
        <w:rPr>
          <w:rFonts w:cs="Arial"/>
        </w:rPr>
        <w:t xml:space="preserve">rimary </w:t>
      </w:r>
      <w:r w:rsidRPr="009D15FE">
        <w:rPr>
          <w:rFonts w:cs="Arial"/>
        </w:rPr>
        <w:t>U</w:t>
      </w:r>
      <w:r w:rsidRPr="004F4BF5">
        <w:rPr>
          <w:rFonts w:cs="Arial"/>
        </w:rPr>
        <w:t xml:space="preserve">niversal </w:t>
      </w:r>
      <w:r w:rsidRPr="009D15FE">
        <w:rPr>
          <w:rFonts w:cs="Arial"/>
        </w:rPr>
        <w:t>S</w:t>
      </w:r>
      <w:r w:rsidRPr="004F4BF5">
        <w:rPr>
          <w:rFonts w:cs="Arial"/>
        </w:rPr>
        <w:t xml:space="preserve">ervice </w:t>
      </w:r>
      <w:r w:rsidRPr="009D15FE">
        <w:rPr>
          <w:rFonts w:cs="Arial"/>
        </w:rPr>
        <w:t>P</w:t>
      </w:r>
      <w:r w:rsidRPr="004F4BF5">
        <w:rPr>
          <w:rFonts w:cs="Arial"/>
        </w:rPr>
        <w:t>rovider (PUSP)</w:t>
      </w:r>
      <w:r w:rsidRPr="009D15FE">
        <w:rPr>
          <w:rFonts w:cs="Arial"/>
        </w:rPr>
        <w:t xml:space="preserve"> </w:t>
      </w:r>
      <w:r w:rsidR="009B6299">
        <w:rPr>
          <w:rFonts w:cs="Arial"/>
        </w:rPr>
        <w:t xml:space="preserve">for </w:t>
      </w:r>
      <w:r w:rsidRPr="009D15FE">
        <w:rPr>
          <w:rFonts w:cs="Arial"/>
        </w:rPr>
        <w:t>payphones under the USO</w:t>
      </w:r>
      <w:r w:rsidRPr="004F4BF5">
        <w:rPr>
          <w:rFonts w:cs="Arial"/>
        </w:rPr>
        <w:t>.</w:t>
      </w:r>
    </w:p>
    <w:p w14:paraId="64668FB1" w14:textId="77B2BD2A" w:rsidR="007B0ADF" w:rsidRPr="007B0ADF" w:rsidRDefault="00B41ACC" w:rsidP="007B0ADF">
      <w:pPr>
        <w:shd w:val="clear" w:color="auto" w:fill="FFFFFF"/>
        <w:spacing w:after="200" w:line="240" w:lineRule="auto"/>
        <w:rPr>
          <w:rFonts w:cs="Arial"/>
        </w:rPr>
      </w:pPr>
      <w:r w:rsidRPr="007B0ADF">
        <w:rPr>
          <w:rFonts w:cs="Arial"/>
        </w:rPr>
        <w:t xml:space="preserve">The USO is regulated by a range of instruments made by the </w:t>
      </w:r>
      <w:r w:rsidR="009711F7">
        <w:rPr>
          <w:rFonts w:cs="Arial"/>
        </w:rPr>
        <w:t>m</w:t>
      </w:r>
      <w:r w:rsidRPr="007B0ADF">
        <w:rPr>
          <w:rFonts w:cs="Arial"/>
        </w:rPr>
        <w:t xml:space="preserve">inister </w:t>
      </w:r>
      <w:r w:rsidR="00536035" w:rsidRPr="007B0ADF">
        <w:rPr>
          <w:rFonts w:cs="Arial"/>
        </w:rPr>
        <w:t>and</w:t>
      </w:r>
      <w:r w:rsidRPr="007B0ADF">
        <w:rPr>
          <w:rFonts w:cs="Arial"/>
        </w:rPr>
        <w:t xml:space="preserve"> the ACMA</w:t>
      </w:r>
      <w:r w:rsidR="00F042A3" w:rsidRPr="007B0ADF">
        <w:rPr>
          <w:rFonts w:cs="Arial"/>
        </w:rPr>
        <w:t>. Relevant</w:t>
      </w:r>
      <w:r w:rsidR="00415E78" w:rsidRPr="007B0ADF">
        <w:rPr>
          <w:rFonts w:cs="Arial"/>
        </w:rPr>
        <w:t xml:space="preserve"> to this consultation </w:t>
      </w:r>
      <w:r w:rsidR="007B0ADF">
        <w:rPr>
          <w:rFonts w:cs="Arial"/>
        </w:rPr>
        <w:t>is</w:t>
      </w:r>
      <w:r w:rsidR="00415E78" w:rsidRPr="007B0ADF">
        <w:rPr>
          <w:rFonts w:cs="Arial"/>
        </w:rPr>
        <w:t xml:space="preserve"> the </w:t>
      </w:r>
      <w:hyperlink r:id="rId24" w:history="1">
        <w:r w:rsidR="007B0ADF" w:rsidRPr="000E6B0A">
          <w:rPr>
            <w:rFonts w:cs="Arial"/>
          </w:rPr>
          <w:t>Telecommunications Universal Service Obligation (Payphone Performance Benchmarks) Instrument (No. 1) 2011</w:t>
        </w:r>
      </w:hyperlink>
      <w:r w:rsidR="007B0ADF" w:rsidRPr="007B0ADF">
        <w:rPr>
          <w:rFonts w:cs="Arial"/>
        </w:rPr>
        <w:t xml:space="preserve"> (</w:t>
      </w:r>
      <w:r w:rsidR="00041F51">
        <w:rPr>
          <w:rFonts w:cs="Arial"/>
        </w:rPr>
        <w:t xml:space="preserve">the </w:t>
      </w:r>
      <w:r w:rsidR="000E6B0A">
        <w:rPr>
          <w:rFonts w:cs="Arial"/>
        </w:rPr>
        <w:t xml:space="preserve">Performance </w:t>
      </w:r>
      <w:r w:rsidR="007B0ADF" w:rsidRPr="007B0ADF">
        <w:rPr>
          <w:rFonts w:cs="Arial"/>
        </w:rPr>
        <w:t>Benchmarks)</w:t>
      </w:r>
      <w:r w:rsidR="00536035" w:rsidRPr="004F4BF5">
        <w:rPr>
          <w:rFonts w:cs="Arial"/>
        </w:rPr>
        <w:t>.</w:t>
      </w:r>
    </w:p>
    <w:p w14:paraId="05CCEDC5" w14:textId="65A20891" w:rsidR="008126BF" w:rsidRDefault="00F43018" w:rsidP="000E6B0A">
      <w:pPr>
        <w:pStyle w:val="Paragraphbeforelist"/>
      </w:pPr>
      <w:r w:rsidRPr="00F43018">
        <w:t>In the</w:t>
      </w:r>
      <w:r w:rsidR="000E6B0A">
        <w:t xml:space="preserve"> Performance</w:t>
      </w:r>
      <w:r w:rsidRPr="00F43018">
        <w:t xml:space="preserve"> Benchmarks, the </w:t>
      </w:r>
      <w:r w:rsidR="009711F7">
        <w:t>m</w:t>
      </w:r>
      <w:r w:rsidRPr="00F43018">
        <w:t>inister determined standards relating to</w:t>
      </w:r>
      <w:r w:rsidR="008126BF">
        <w:t>:</w:t>
      </w:r>
    </w:p>
    <w:p w14:paraId="4F6084A9" w14:textId="3ECB8A74" w:rsidR="00F40413" w:rsidRPr="00F40413" w:rsidRDefault="00F43018" w:rsidP="000E6B0A">
      <w:pPr>
        <w:pStyle w:val="Bulletlevel1"/>
      </w:pPr>
      <w:r w:rsidRPr="00F40413">
        <w:t>the rectification of faults or service difficulties with payphones and payphone carriage services</w:t>
      </w:r>
    </w:p>
    <w:p w14:paraId="364D64E5" w14:textId="77777777" w:rsidR="00F40413" w:rsidRPr="00F40413" w:rsidRDefault="00F43018" w:rsidP="000E6B0A">
      <w:pPr>
        <w:pStyle w:val="Bulletlevel1"/>
        <w:spacing w:after="240"/>
      </w:pPr>
      <w:r w:rsidRPr="00F40413">
        <w:t xml:space="preserve">minimum performance benchmarks for compliance by the PUSP with those standards. </w:t>
      </w:r>
    </w:p>
    <w:p w14:paraId="39E1B291" w14:textId="44CE3829" w:rsidR="00F43018" w:rsidRPr="00F43018" w:rsidRDefault="002E4CFF" w:rsidP="007B0ADF">
      <w:pPr>
        <w:shd w:val="clear" w:color="auto" w:fill="FFFFFF"/>
        <w:spacing w:after="200" w:line="240" w:lineRule="auto"/>
        <w:rPr>
          <w:rFonts w:cs="Arial"/>
        </w:rPr>
      </w:pPr>
      <w:r w:rsidRPr="007B0ADF">
        <w:rPr>
          <w:rFonts w:cs="Arial"/>
        </w:rPr>
        <w:t>A</w:t>
      </w:r>
      <w:r w:rsidR="00F43018" w:rsidRPr="00F43018">
        <w:rPr>
          <w:rFonts w:cs="Arial"/>
        </w:rPr>
        <w:t xml:space="preserve"> PUSP must meet or exceed the minimum performance benchmarks. </w:t>
      </w:r>
    </w:p>
    <w:p w14:paraId="71ACE93E" w14:textId="6787F335" w:rsidR="00334979" w:rsidRDefault="006E09BE" w:rsidP="004F4BF5">
      <w:pPr>
        <w:pStyle w:val="Paragraph"/>
      </w:pPr>
      <w:r>
        <w:t>T</w:t>
      </w:r>
      <w:r w:rsidR="00F43018" w:rsidRPr="00F43018">
        <w:t xml:space="preserve">he ACMA has the power to take enforcement action where a PUSP has failed to meet the minimum performance benchmarks. </w:t>
      </w:r>
      <w:r w:rsidR="00672001">
        <w:t>T</w:t>
      </w:r>
      <w:r w:rsidR="00F43018" w:rsidRPr="00F43018">
        <w:t>o monitor performance and</w:t>
      </w:r>
      <w:r w:rsidR="00F40413">
        <w:t>,</w:t>
      </w:r>
      <w:r w:rsidR="00F43018" w:rsidRPr="00F43018">
        <w:t xml:space="preserve"> if necessary</w:t>
      </w:r>
      <w:r w:rsidR="00F40413">
        <w:t>,</w:t>
      </w:r>
      <w:r w:rsidR="00F43018" w:rsidRPr="00F43018">
        <w:t xml:space="preserve"> take enforcement action, </w:t>
      </w:r>
      <w:r w:rsidR="00041F51">
        <w:t xml:space="preserve">we </w:t>
      </w:r>
      <w:r w:rsidR="00F43018" w:rsidRPr="00F43018">
        <w:t xml:space="preserve">require reliable records to be kept and reported upon by a PUSP. </w:t>
      </w:r>
      <w:r w:rsidR="00B04459">
        <w:t xml:space="preserve">These requirements are currently specified in </w:t>
      </w:r>
      <w:r w:rsidR="00B04459" w:rsidRPr="006D1027">
        <w:t xml:space="preserve">the </w:t>
      </w:r>
      <w:r w:rsidR="00B04459" w:rsidRPr="000E6B0A">
        <w:rPr>
          <w:iCs/>
          <w:color w:val="000000" w:themeColor="text1"/>
          <w:szCs w:val="22"/>
        </w:rPr>
        <w:t>Telecommunications (Payphone Performance Benchmarks) Record-Keeping Rules 2012</w:t>
      </w:r>
      <w:r w:rsidR="00B04459">
        <w:rPr>
          <w:i/>
          <w:color w:val="000000" w:themeColor="text1"/>
          <w:szCs w:val="22"/>
        </w:rPr>
        <w:t xml:space="preserve"> </w:t>
      </w:r>
      <w:r w:rsidR="00334979">
        <w:rPr>
          <w:iCs/>
          <w:color w:val="000000" w:themeColor="text1"/>
          <w:szCs w:val="22"/>
        </w:rPr>
        <w:t xml:space="preserve">(the RKRs) </w:t>
      </w:r>
      <w:r w:rsidR="00B04459">
        <w:rPr>
          <w:iCs/>
          <w:color w:val="000000"/>
        </w:rPr>
        <w:t xml:space="preserve">made under section 529 of the </w:t>
      </w:r>
      <w:r w:rsidR="00B04459" w:rsidRPr="000E6B0A">
        <w:rPr>
          <w:i/>
          <w:color w:val="000000"/>
        </w:rPr>
        <w:t>Telecommunications Act</w:t>
      </w:r>
      <w:r w:rsidR="009711F7" w:rsidRPr="000E6B0A">
        <w:rPr>
          <w:i/>
          <w:color w:val="000000"/>
        </w:rPr>
        <w:t xml:space="preserve"> 1997</w:t>
      </w:r>
      <w:r w:rsidR="009711F7">
        <w:rPr>
          <w:iCs/>
          <w:color w:val="000000"/>
        </w:rPr>
        <w:t>.</w:t>
      </w:r>
      <w:r w:rsidR="00334979">
        <w:rPr>
          <w:rStyle w:val="FootnoteReference"/>
          <w:iCs/>
          <w:color w:val="000000"/>
        </w:rPr>
        <w:footnoteReference w:id="1"/>
      </w:r>
      <w:r w:rsidR="00334979">
        <w:t xml:space="preserve"> </w:t>
      </w:r>
    </w:p>
    <w:p w14:paraId="2B84BFA0" w14:textId="245BD2A6" w:rsidR="004F4BF5" w:rsidRPr="00334979" w:rsidRDefault="004F4BF5" w:rsidP="004F4BF5">
      <w:pPr>
        <w:pStyle w:val="Paragraph"/>
      </w:pPr>
      <w:r>
        <w:t xml:space="preserve">We are </w:t>
      </w:r>
      <w:r w:rsidRPr="006D1027">
        <w:t>consulting on the proposed remaking of the</w:t>
      </w:r>
      <w:r>
        <w:t>se rules</w:t>
      </w:r>
      <w:r>
        <w:rPr>
          <w:i/>
          <w:color w:val="000000" w:themeColor="text1"/>
          <w:szCs w:val="22"/>
        </w:rPr>
        <w:t>.</w:t>
      </w:r>
    </w:p>
    <w:p w14:paraId="7C1E2DBA" w14:textId="77777777" w:rsidR="00536035" w:rsidRPr="00C96651" w:rsidRDefault="00536035" w:rsidP="00124E5C">
      <w:pPr>
        <w:pStyle w:val="Paragraph"/>
      </w:pPr>
    </w:p>
    <w:p w14:paraId="72E1B634" w14:textId="77777777" w:rsidR="000D5DB0" w:rsidRDefault="000D5DB0" w:rsidP="000D5DB0">
      <w:pPr>
        <w:pStyle w:val="Heading1"/>
      </w:pPr>
      <w:bookmarkStart w:id="5" w:name="_Toc90549671"/>
      <w:bookmarkStart w:id="6" w:name="_Toc298924672"/>
      <w:bookmarkStart w:id="7" w:name="_Toc300909555"/>
      <w:bookmarkStart w:id="8" w:name="_Toc348105636"/>
      <w:bookmarkEnd w:id="4"/>
      <w:r w:rsidRPr="00D1534E">
        <w:lastRenderedPageBreak/>
        <w:t>Background</w:t>
      </w:r>
      <w:bookmarkEnd w:id="5"/>
      <w:r w:rsidRPr="009174F3">
        <w:t xml:space="preserve"> </w:t>
      </w:r>
    </w:p>
    <w:p w14:paraId="5817EF50" w14:textId="696A953E" w:rsidR="000D5DB0" w:rsidRPr="00D1534E" w:rsidRDefault="000D5DB0" w:rsidP="00BA39E6">
      <w:pPr>
        <w:pStyle w:val="Paragraph"/>
      </w:pPr>
      <w:r w:rsidRPr="00D1534E">
        <w:t xml:space="preserve">Under Part 4 of Chapter 3 of the </w:t>
      </w:r>
      <w:r w:rsidRPr="00D1534E">
        <w:rPr>
          <w:i/>
        </w:rPr>
        <w:t>Legislation Act 2003</w:t>
      </w:r>
      <w:r w:rsidRPr="00D1534E">
        <w:t>, most legislative instruments ‘sunset’ (that is, they are automatically repealed) on</w:t>
      </w:r>
      <w:r w:rsidR="006E09BE">
        <w:t xml:space="preserve"> the</w:t>
      </w:r>
      <w:r w:rsidRPr="00D1534E">
        <w:t xml:space="preserve"> 1 April or 1 October that first occurs 10 years after they are registered. This is an automatic process applying to most legislative instruments regardless of their </w:t>
      </w:r>
      <w:r w:rsidR="0059302D" w:rsidRPr="00D1534E">
        <w:t>content</w:t>
      </w:r>
      <w:r w:rsidRPr="00D1534E">
        <w:t>.</w:t>
      </w:r>
    </w:p>
    <w:p w14:paraId="2944A4CF" w14:textId="4D6E5CCF" w:rsidR="000D5DB0" w:rsidRDefault="000D5DB0" w:rsidP="000D5DB0">
      <w:pPr>
        <w:pStyle w:val="Paragraph"/>
      </w:pPr>
      <w:r w:rsidRPr="00D1534E">
        <w:t>Among the legislative instruments made by the ACMA, which are due to sunset in the near future</w:t>
      </w:r>
      <w:r w:rsidRPr="00322C1D">
        <w:t>, is the following instrument, due to sunset on the following date:</w:t>
      </w:r>
    </w:p>
    <w:tbl>
      <w:tblPr>
        <w:tblStyle w:val="ACMAtablestyle"/>
        <w:tblW w:w="0" w:type="auto"/>
        <w:tblCellMar>
          <w:top w:w="85" w:type="dxa"/>
          <w:left w:w="85" w:type="dxa"/>
          <w:bottom w:w="85" w:type="dxa"/>
          <w:right w:w="85" w:type="dxa"/>
        </w:tblCellMar>
        <w:tblLook w:val="04A0" w:firstRow="1" w:lastRow="0" w:firstColumn="1" w:lastColumn="0" w:noHBand="0" w:noVBand="1"/>
        <w:tblCaption w:val="Name of instrument/s and sunset date/s"/>
      </w:tblPr>
      <w:tblGrid>
        <w:gridCol w:w="5628"/>
        <w:gridCol w:w="2033"/>
      </w:tblGrid>
      <w:tr w:rsidR="00865474" w:rsidRPr="00996AA4" w14:paraId="7F9F96CF" w14:textId="77777777" w:rsidTr="002D5962">
        <w:trPr>
          <w:cnfStyle w:val="100000000000" w:firstRow="1" w:lastRow="0" w:firstColumn="0" w:lastColumn="0" w:oddVBand="0" w:evenVBand="0" w:oddHBand="0" w:evenHBand="0" w:firstRowFirstColumn="0" w:firstRowLastColumn="0" w:lastRowFirstColumn="0" w:lastRowLastColumn="0"/>
        </w:trPr>
        <w:tc>
          <w:tcPr>
            <w:tcW w:w="5628" w:type="dxa"/>
          </w:tcPr>
          <w:p w14:paraId="68729A5F" w14:textId="30294651" w:rsidR="00865474" w:rsidRPr="00865474" w:rsidRDefault="00865474" w:rsidP="00865474">
            <w:pPr>
              <w:spacing w:after="0" w:line="260" w:lineRule="atLeast"/>
              <w:rPr>
                <w:b/>
                <w:bCs/>
                <w:szCs w:val="20"/>
              </w:rPr>
            </w:pPr>
            <w:r w:rsidRPr="00865474">
              <w:rPr>
                <w:b/>
                <w:bCs/>
              </w:rPr>
              <w:t>Name of instrument</w:t>
            </w:r>
          </w:p>
        </w:tc>
        <w:tc>
          <w:tcPr>
            <w:tcW w:w="2033" w:type="dxa"/>
          </w:tcPr>
          <w:p w14:paraId="0F991AA3" w14:textId="3A7B6F76" w:rsidR="00865474" w:rsidRPr="00865474" w:rsidRDefault="00865474" w:rsidP="00865474">
            <w:pPr>
              <w:spacing w:after="0" w:line="260" w:lineRule="atLeast"/>
              <w:rPr>
                <w:b/>
                <w:bCs/>
              </w:rPr>
            </w:pPr>
            <w:r w:rsidRPr="00865474">
              <w:rPr>
                <w:b/>
                <w:bCs/>
              </w:rPr>
              <w:t>Sunset date</w:t>
            </w:r>
          </w:p>
        </w:tc>
      </w:tr>
      <w:tr w:rsidR="000D5DB0" w:rsidRPr="00996AA4" w14:paraId="6F567795" w14:textId="77777777" w:rsidTr="002D5962">
        <w:trPr>
          <w:cnfStyle w:val="000000100000" w:firstRow="0" w:lastRow="0" w:firstColumn="0" w:lastColumn="0" w:oddVBand="0" w:evenVBand="0" w:oddHBand="1" w:evenHBand="0" w:firstRowFirstColumn="0" w:firstRowLastColumn="0" w:lastRowFirstColumn="0" w:lastRowLastColumn="0"/>
        </w:trPr>
        <w:tc>
          <w:tcPr>
            <w:tcW w:w="5628" w:type="dxa"/>
          </w:tcPr>
          <w:p w14:paraId="658B1E38" w14:textId="348A1592" w:rsidR="000D5DB0" w:rsidRPr="000E6B0A" w:rsidRDefault="00076FC7" w:rsidP="009109AA">
            <w:pPr>
              <w:spacing w:after="0" w:line="260" w:lineRule="atLeast"/>
              <w:rPr>
                <w:iCs/>
              </w:rPr>
            </w:pPr>
            <w:r w:rsidRPr="000E6B0A">
              <w:rPr>
                <w:iCs/>
                <w:color w:val="000000" w:themeColor="text1"/>
                <w:szCs w:val="22"/>
              </w:rPr>
              <w:t>Telecommunications (Payphone Performance Benchmarks) Record-Keeping Rules 2012</w:t>
            </w:r>
            <w:r w:rsidR="000D5DB0" w:rsidRPr="000E6B0A">
              <w:rPr>
                <w:iCs/>
                <w:color w:val="000000"/>
                <w:szCs w:val="20"/>
              </w:rPr>
              <w:t xml:space="preserve"> </w:t>
            </w:r>
          </w:p>
        </w:tc>
        <w:tc>
          <w:tcPr>
            <w:tcW w:w="2033" w:type="dxa"/>
          </w:tcPr>
          <w:p w14:paraId="2513454E" w14:textId="38118268" w:rsidR="000D5DB0" w:rsidRPr="00996AA4" w:rsidRDefault="00A83FC2" w:rsidP="00A46E59">
            <w:pPr>
              <w:spacing w:after="0" w:line="260" w:lineRule="atLeast"/>
            </w:pPr>
            <w:r>
              <w:t>1 April 2022</w:t>
            </w:r>
          </w:p>
        </w:tc>
      </w:tr>
    </w:tbl>
    <w:p w14:paraId="63367C73" w14:textId="77777777" w:rsidR="000D5DB0" w:rsidRDefault="000D5DB0" w:rsidP="00124E5C">
      <w:pPr>
        <w:pStyle w:val="Paragraph"/>
        <w:spacing w:after="120"/>
      </w:pPr>
    </w:p>
    <w:p w14:paraId="3C512237" w14:textId="484856E7" w:rsidR="000D5DB0" w:rsidRPr="00996AA4" w:rsidRDefault="00BA39E6" w:rsidP="000D5DB0">
      <w:pPr>
        <w:pStyle w:val="Paragraph"/>
      </w:pPr>
      <w:r>
        <w:t>We have</w:t>
      </w:r>
      <w:r w:rsidR="000D5DB0" w:rsidRPr="00996AA4">
        <w:t xml:space="preserve"> formed the preliminary view that this instrument is operating effectively and efficiently and, as such, continues to form a necessary and useful part of the legislative framework. Accordingly, </w:t>
      </w:r>
      <w:r>
        <w:t>we</w:t>
      </w:r>
      <w:r w:rsidR="000D5DB0" w:rsidRPr="00996AA4">
        <w:t xml:space="preserve"> propose to remake it in a new instrument </w:t>
      </w:r>
      <w:r>
        <w:t>before</w:t>
      </w:r>
      <w:r w:rsidR="000D5DB0" w:rsidRPr="00996AA4">
        <w:t xml:space="preserve"> the sunset date referred to above, without any significant changes, so that its ongoing effect is preserved.</w:t>
      </w:r>
    </w:p>
    <w:p w14:paraId="346EE70E" w14:textId="0A660E4D" w:rsidR="000D5DB0" w:rsidRPr="00124E5C" w:rsidRDefault="00BA39E6" w:rsidP="00664214">
      <w:pPr>
        <w:pStyle w:val="Paragraph"/>
        <w:spacing w:after="80"/>
        <w:rPr>
          <w:bCs/>
        </w:rPr>
      </w:pPr>
      <w:r>
        <w:t xml:space="preserve">We </w:t>
      </w:r>
      <w:r w:rsidR="000D5DB0" w:rsidRPr="00996AA4">
        <w:t xml:space="preserve">propose to remake the instrument </w:t>
      </w:r>
      <w:r w:rsidR="00076FC7">
        <w:t>as is</w:t>
      </w:r>
      <w:r w:rsidR="00A1314B">
        <w:t xml:space="preserve">, however, </w:t>
      </w:r>
      <w:r w:rsidR="000D5DB0" w:rsidRPr="00996AA4">
        <w:t>minor technical</w:t>
      </w:r>
      <w:r w:rsidR="000D5DB0">
        <w:t xml:space="preserve"> </w:t>
      </w:r>
      <w:r w:rsidR="000D5DB0" w:rsidRPr="00996AA4">
        <w:t>changes</w:t>
      </w:r>
      <w:r w:rsidR="000D5DB0">
        <w:t xml:space="preserve"> </w:t>
      </w:r>
      <w:r w:rsidR="00A1314B">
        <w:t xml:space="preserve">may arise through the drafting process. These changes </w:t>
      </w:r>
      <w:r w:rsidR="000D3870">
        <w:t>are not expected to change the operation of the instrument</w:t>
      </w:r>
      <w:r w:rsidR="000D5DB0" w:rsidRPr="009109AA">
        <w:rPr>
          <w:bCs/>
        </w:rPr>
        <w:t>.</w:t>
      </w:r>
    </w:p>
    <w:p w14:paraId="7CC03589" w14:textId="1AA5B0AE" w:rsidR="000D5DB0" w:rsidRDefault="000D5DB0" w:rsidP="000D5DB0">
      <w:pPr>
        <w:pStyle w:val="Heading1"/>
      </w:pPr>
      <w:bookmarkStart w:id="9" w:name="_Toc90549672"/>
      <w:bookmarkEnd w:id="6"/>
      <w:bookmarkEnd w:id="7"/>
      <w:bookmarkEnd w:id="8"/>
      <w:r w:rsidRPr="00D92030">
        <w:lastRenderedPageBreak/>
        <w:t xml:space="preserve">Brief details of </w:t>
      </w:r>
      <w:r w:rsidRPr="00996AA4">
        <w:t xml:space="preserve">the </w:t>
      </w:r>
      <w:r w:rsidR="009711F7">
        <w:t>r</w:t>
      </w:r>
      <w:r w:rsidR="0059302D">
        <w:t>ecor</w:t>
      </w:r>
      <w:r w:rsidR="00C66A60">
        <w:t>d-</w:t>
      </w:r>
      <w:r w:rsidR="009711F7">
        <w:t>k</w:t>
      </w:r>
      <w:r w:rsidR="00C66A60">
        <w:t xml:space="preserve">eeping </w:t>
      </w:r>
      <w:r w:rsidR="009711F7">
        <w:t>r</w:t>
      </w:r>
      <w:r w:rsidR="00C66A60">
        <w:t>ules</w:t>
      </w:r>
      <w:bookmarkEnd w:id="9"/>
    </w:p>
    <w:p w14:paraId="02F7DF43" w14:textId="342C29B3" w:rsidR="00574689" w:rsidRPr="00FB590C" w:rsidRDefault="0092266F" w:rsidP="00B933FF">
      <w:pPr>
        <w:pStyle w:val="Paragraphbeforelist"/>
        <w:spacing w:after="240"/>
        <w:rPr>
          <w:bCs/>
        </w:rPr>
      </w:pPr>
      <w:r w:rsidRPr="00FB590C">
        <w:rPr>
          <w:bCs/>
        </w:rPr>
        <w:t xml:space="preserve">The </w:t>
      </w:r>
      <w:r w:rsidR="009711F7" w:rsidRPr="00853E28">
        <w:rPr>
          <w:iCs/>
          <w:color w:val="000000" w:themeColor="text1"/>
          <w:szCs w:val="22"/>
        </w:rPr>
        <w:t>Telecommunications (Payphone Performance Benchmarks) Record-Keeping Rules 2012</w:t>
      </w:r>
      <w:r w:rsidR="009711F7">
        <w:rPr>
          <w:i/>
          <w:color w:val="000000" w:themeColor="text1"/>
          <w:szCs w:val="22"/>
        </w:rPr>
        <w:t xml:space="preserve"> </w:t>
      </w:r>
      <w:r w:rsidR="009711F7">
        <w:rPr>
          <w:iCs/>
          <w:color w:val="000000" w:themeColor="text1"/>
          <w:szCs w:val="22"/>
        </w:rPr>
        <w:t>(the RKRs)</w:t>
      </w:r>
      <w:r w:rsidR="00334979">
        <w:rPr>
          <w:bCs/>
        </w:rPr>
        <w:t xml:space="preserve"> </w:t>
      </w:r>
      <w:r w:rsidRPr="00FB590C">
        <w:rPr>
          <w:bCs/>
        </w:rPr>
        <w:t>were made by the ACMA under section 5</w:t>
      </w:r>
      <w:r w:rsidR="00C66A60" w:rsidRPr="00FB590C">
        <w:rPr>
          <w:bCs/>
        </w:rPr>
        <w:t xml:space="preserve">29 </w:t>
      </w:r>
      <w:r w:rsidRPr="00FB590C">
        <w:rPr>
          <w:bCs/>
        </w:rPr>
        <w:t xml:space="preserve">of the </w:t>
      </w:r>
      <w:r w:rsidRPr="000E6B0A">
        <w:rPr>
          <w:bCs/>
          <w:i/>
          <w:iCs/>
        </w:rPr>
        <w:t>Telecommunications Act</w:t>
      </w:r>
      <w:r w:rsidR="009711F7" w:rsidRPr="000E6B0A">
        <w:rPr>
          <w:bCs/>
          <w:i/>
          <w:iCs/>
        </w:rPr>
        <w:t xml:space="preserve"> 1997</w:t>
      </w:r>
      <w:r w:rsidRPr="00FB590C">
        <w:rPr>
          <w:bCs/>
        </w:rPr>
        <w:t xml:space="preserve"> on </w:t>
      </w:r>
      <w:r w:rsidR="00A84CBE" w:rsidRPr="00FB590C">
        <w:rPr>
          <w:bCs/>
        </w:rPr>
        <w:t>1</w:t>
      </w:r>
      <w:r w:rsidR="00BD3FC0" w:rsidRPr="00FB590C">
        <w:rPr>
          <w:bCs/>
        </w:rPr>
        <w:t>9</w:t>
      </w:r>
      <w:r w:rsidR="00A84CBE" w:rsidRPr="00FB590C">
        <w:rPr>
          <w:bCs/>
        </w:rPr>
        <w:t xml:space="preserve"> </w:t>
      </w:r>
      <w:r w:rsidR="00BD3FC0" w:rsidRPr="00FB590C">
        <w:rPr>
          <w:bCs/>
        </w:rPr>
        <w:t>January</w:t>
      </w:r>
      <w:r w:rsidRPr="00FB590C">
        <w:rPr>
          <w:bCs/>
        </w:rPr>
        <w:t xml:space="preserve"> 201</w:t>
      </w:r>
      <w:r w:rsidR="00BD3FC0" w:rsidRPr="00FB590C">
        <w:rPr>
          <w:bCs/>
        </w:rPr>
        <w:t>2</w:t>
      </w:r>
      <w:r w:rsidR="00597E98" w:rsidRPr="00FB590C">
        <w:rPr>
          <w:bCs/>
        </w:rPr>
        <w:t>.</w:t>
      </w:r>
      <w:r w:rsidRPr="00FB590C">
        <w:rPr>
          <w:bCs/>
        </w:rPr>
        <w:tab/>
      </w:r>
    </w:p>
    <w:p w14:paraId="05BC5CC6" w14:textId="24921702" w:rsidR="00C34146" w:rsidRPr="00FB590C" w:rsidRDefault="00C34146" w:rsidP="00B933FF">
      <w:pPr>
        <w:pStyle w:val="Paragraphbeforelist"/>
        <w:spacing w:after="240"/>
        <w:rPr>
          <w:bCs/>
        </w:rPr>
      </w:pPr>
      <w:r w:rsidRPr="00FB590C">
        <w:rPr>
          <w:bCs/>
        </w:rPr>
        <w:t xml:space="preserve">Section </w:t>
      </w:r>
      <w:r w:rsidR="00C707DE" w:rsidRPr="00FB590C">
        <w:rPr>
          <w:bCs/>
        </w:rPr>
        <w:t>529</w:t>
      </w:r>
      <w:r w:rsidRPr="00FB590C">
        <w:rPr>
          <w:bCs/>
        </w:rPr>
        <w:t xml:space="preserve"> of the </w:t>
      </w:r>
      <w:r w:rsidR="00041F51">
        <w:rPr>
          <w:bCs/>
        </w:rPr>
        <w:t xml:space="preserve">Telecommunications </w:t>
      </w:r>
      <w:r w:rsidRPr="00FB590C">
        <w:rPr>
          <w:bCs/>
        </w:rPr>
        <w:t xml:space="preserve">Act </w:t>
      </w:r>
      <w:r w:rsidR="00F22F24" w:rsidRPr="00FB590C">
        <w:rPr>
          <w:bCs/>
        </w:rPr>
        <w:t>enables</w:t>
      </w:r>
      <w:r w:rsidRPr="00FB590C">
        <w:rPr>
          <w:bCs/>
        </w:rPr>
        <w:t xml:space="preserve"> the ACMA to </w:t>
      </w:r>
      <w:r w:rsidR="00AE51DE" w:rsidRPr="00FB590C">
        <w:rPr>
          <w:bCs/>
        </w:rPr>
        <w:t>make</w:t>
      </w:r>
      <w:r w:rsidR="003F6E31" w:rsidRPr="00FB590C">
        <w:rPr>
          <w:bCs/>
        </w:rPr>
        <w:t xml:space="preserve"> record-keeping</w:t>
      </w:r>
      <w:r w:rsidR="00AE51DE" w:rsidRPr="00FB590C">
        <w:rPr>
          <w:bCs/>
        </w:rPr>
        <w:t xml:space="preserve"> rules requiring one or more carriers or carriage service providers</w:t>
      </w:r>
      <w:r w:rsidR="003F6E31" w:rsidRPr="00FB590C">
        <w:rPr>
          <w:bCs/>
        </w:rPr>
        <w:t xml:space="preserve"> to keep and retain records.</w:t>
      </w:r>
      <w:r w:rsidR="003855A9" w:rsidRPr="00FB590C">
        <w:rPr>
          <w:bCs/>
        </w:rPr>
        <w:t xml:space="preserve"> The rule may also require </w:t>
      </w:r>
      <w:r w:rsidR="002C5B1C" w:rsidRPr="00FB590C">
        <w:rPr>
          <w:bCs/>
        </w:rPr>
        <w:t>those providers to prepare reports based on those records and give those reports to the ACMA.</w:t>
      </w:r>
      <w:r w:rsidRPr="00FB590C">
        <w:rPr>
          <w:bCs/>
        </w:rPr>
        <w:t xml:space="preserve"> </w:t>
      </w:r>
    </w:p>
    <w:p w14:paraId="7E487D6A" w14:textId="2E88223F" w:rsidR="00BF34F5" w:rsidRPr="00BF34F5" w:rsidRDefault="00BF34F5" w:rsidP="000D1A85">
      <w:pPr>
        <w:pStyle w:val="Paragraphbeforelist"/>
        <w:spacing w:after="240"/>
      </w:pPr>
      <w:r w:rsidRPr="00FB590C">
        <w:rPr>
          <w:bCs/>
        </w:rPr>
        <w:t xml:space="preserve">The </w:t>
      </w:r>
      <w:r w:rsidR="007D6D39" w:rsidRPr="00FB590C">
        <w:rPr>
          <w:bCs/>
        </w:rPr>
        <w:t>RKRs</w:t>
      </w:r>
      <w:r w:rsidRPr="00FB590C">
        <w:rPr>
          <w:bCs/>
        </w:rPr>
        <w:t xml:space="preserve"> ensur</w:t>
      </w:r>
      <w:r w:rsidR="00D57F55" w:rsidRPr="00FB590C">
        <w:rPr>
          <w:bCs/>
        </w:rPr>
        <w:t>e</w:t>
      </w:r>
      <w:r w:rsidRPr="00FB590C">
        <w:rPr>
          <w:bCs/>
        </w:rPr>
        <w:t xml:space="preserve"> that a </w:t>
      </w:r>
      <w:r w:rsidR="00334979">
        <w:rPr>
          <w:bCs/>
        </w:rPr>
        <w:t>PUSP</w:t>
      </w:r>
      <w:r w:rsidR="00C54F8C" w:rsidRPr="00FB590C">
        <w:rPr>
          <w:bCs/>
        </w:rPr>
        <w:t>, currently Telstra,</w:t>
      </w:r>
      <w:r w:rsidRPr="00FB590C">
        <w:rPr>
          <w:bCs/>
        </w:rPr>
        <w:t xml:space="preserve"> keeps the necessary records, and provides </w:t>
      </w:r>
      <w:r w:rsidRPr="00041F51">
        <w:t xml:space="preserve">the ACMA </w:t>
      </w:r>
      <w:r w:rsidRPr="00FB590C">
        <w:rPr>
          <w:bCs/>
        </w:rPr>
        <w:t xml:space="preserve">with the necessary information to enable </w:t>
      </w:r>
      <w:r w:rsidR="00041F51">
        <w:rPr>
          <w:bCs/>
        </w:rPr>
        <w:t>us</w:t>
      </w:r>
      <w:r w:rsidRPr="00FB590C">
        <w:rPr>
          <w:bCs/>
        </w:rPr>
        <w:t xml:space="preserve"> to effectively</w:t>
      </w:r>
      <w:r w:rsidR="006E09BE">
        <w:rPr>
          <w:bCs/>
        </w:rPr>
        <w:t xml:space="preserve"> </w:t>
      </w:r>
      <w:r w:rsidRPr="00BF34F5">
        <w:t xml:space="preserve">monitor and enforce compliance with the </w:t>
      </w:r>
      <w:r w:rsidR="00041F51">
        <w:t>targets</w:t>
      </w:r>
      <w:r w:rsidRPr="00BF34F5">
        <w:t xml:space="preserve"> relating to payphones set by the Minister under section 12EE of the </w:t>
      </w:r>
      <w:r w:rsidRPr="000E6B0A">
        <w:rPr>
          <w:i/>
          <w:iCs/>
        </w:rPr>
        <w:t>Telecommunications (Consumer Protection and Service Standards) Act 1999</w:t>
      </w:r>
      <w:r w:rsidR="00041F51" w:rsidRPr="000E6B0A">
        <w:t xml:space="preserve"> (the</w:t>
      </w:r>
      <w:r w:rsidR="00041F51">
        <w:rPr>
          <w:i/>
          <w:iCs/>
        </w:rPr>
        <w:t xml:space="preserve"> </w:t>
      </w:r>
      <w:r w:rsidR="00041F51" w:rsidRPr="00BF34F5">
        <w:t>TCPSS Act</w:t>
      </w:r>
      <w:r w:rsidR="00041F51">
        <w:t>)</w:t>
      </w:r>
      <w:r w:rsidR="006E09BE">
        <w:t>.</w:t>
      </w:r>
    </w:p>
    <w:p w14:paraId="4944FDE0" w14:textId="0994A8B5" w:rsidR="00D57F55" w:rsidRPr="00D57F55" w:rsidRDefault="00DA3CBB" w:rsidP="000E6B0A">
      <w:pPr>
        <w:pStyle w:val="Paragraphbeforelist"/>
      </w:pPr>
      <w:r>
        <w:t>Broadly, t</w:t>
      </w:r>
      <w:r w:rsidR="00D57F55" w:rsidRPr="00D57F55">
        <w:t xml:space="preserve">he </w:t>
      </w:r>
      <w:r w:rsidR="00FB590C" w:rsidRPr="00FB590C">
        <w:t>RKRs</w:t>
      </w:r>
      <w:r w:rsidR="00D57F55" w:rsidRPr="00D57F55">
        <w:t xml:space="preserve"> require a PUSP to:</w:t>
      </w:r>
    </w:p>
    <w:p w14:paraId="76CC4F31" w14:textId="623C1092" w:rsidR="00D57F55" w:rsidRPr="00D57F55" w:rsidRDefault="00D57F55" w:rsidP="000E6B0A">
      <w:pPr>
        <w:pStyle w:val="Bulletlevel1"/>
      </w:pPr>
      <w:r w:rsidRPr="00D57F55">
        <w:t>keep and retain records in relation to compliance with the </w:t>
      </w:r>
      <w:r w:rsidR="000E6B0A">
        <w:t xml:space="preserve">Performance </w:t>
      </w:r>
      <w:r w:rsidR="00DB199A">
        <w:t>Benchmarks</w:t>
      </w:r>
    </w:p>
    <w:p w14:paraId="485A7B1C" w14:textId="10AA347B" w:rsidR="00BF34F5" w:rsidRDefault="00D57F55" w:rsidP="000D1A85">
      <w:pPr>
        <w:pStyle w:val="Bulletlevel1"/>
        <w:spacing w:after="240"/>
      </w:pPr>
      <w:r w:rsidRPr="00D57F55">
        <w:t xml:space="preserve">prepare and give to the ACMA, reports in the form specified in the </w:t>
      </w:r>
      <w:r w:rsidR="00FB590C" w:rsidRPr="00FB590C">
        <w:t>RKRs</w:t>
      </w:r>
      <w:r w:rsidRPr="00D57F55">
        <w:t xml:space="preserve"> </w:t>
      </w:r>
      <w:r w:rsidR="00CD5481">
        <w:t>that</w:t>
      </w:r>
      <w:r w:rsidRPr="00D57F55">
        <w:t xml:space="preserve"> consist of information contained in those record</w:t>
      </w:r>
      <w:r w:rsidRPr="00FB590C">
        <w:t>s.</w:t>
      </w:r>
    </w:p>
    <w:p w14:paraId="6ECC32AA" w14:textId="28B04B74" w:rsidR="005223F0" w:rsidRPr="0090426B" w:rsidRDefault="005223F0" w:rsidP="0090426B">
      <w:pPr>
        <w:pStyle w:val="Paragraphbeforelist"/>
        <w:spacing w:after="240"/>
        <w:rPr>
          <w:bCs/>
        </w:rPr>
      </w:pPr>
      <w:r w:rsidRPr="0090426B">
        <w:rPr>
          <w:bCs/>
        </w:rPr>
        <w:t>RKR data is also used by the Department of Infrastructure, Transport, Regional Development and Communications (</w:t>
      </w:r>
      <w:r w:rsidR="00195253" w:rsidRPr="0090426B">
        <w:rPr>
          <w:bCs/>
        </w:rPr>
        <w:t xml:space="preserve">the </w:t>
      </w:r>
      <w:r w:rsidRPr="0090426B">
        <w:rPr>
          <w:bCs/>
        </w:rPr>
        <w:t xml:space="preserve">Department) as </w:t>
      </w:r>
      <w:r w:rsidR="00195253" w:rsidRPr="0090426B">
        <w:rPr>
          <w:bCs/>
        </w:rPr>
        <w:t>a key</w:t>
      </w:r>
      <w:r w:rsidR="00D34EFE" w:rsidRPr="0090426B">
        <w:rPr>
          <w:bCs/>
        </w:rPr>
        <w:t xml:space="preserve"> </w:t>
      </w:r>
      <w:r w:rsidRPr="0090426B">
        <w:rPr>
          <w:bCs/>
        </w:rPr>
        <w:t xml:space="preserve">mechanism to monitor Telstra’s performance under the Telstra USO Performance Agreement. </w:t>
      </w:r>
    </w:p>
    <w:p w14:paraId="33F7F029" w14:textId="77777777" w:rsidR="000D5DB0" w:rsidRPr="008226EC" w:rsidRDefault="000D5DB0" w:rsidP="000D5DB0">
      <w:pPr>
        <w:pStyle w:val="Heading1"/>
      </w:pPr>
      <w:bookmarkStart w:id="10" w:name="_Toc90549673"/>
      <w:bookmarkStart w:id="11" w:name="_Toc381177300"/>
      <w:bookmarkStart w:id="12" w:name="_Toc26869190"/>
      <w:r w:rsidRPr="00383378">
        <w:lastRenderedPageBreak/>
        <w:t>Proposed changes to the legislative instrument</w:t>
      </w:r>
      <w:bookmarkEnd w:id="10"/>
    </w:p>
    <w:p w14:paraId="5AFD3C37" w14:textId="08A170AC" w:rsidR="000D5DB0" w:rsidRPr="00362799" w:rsidRDefault="00BA39E6" w:rsidP="00B933FF">
      <w:pPr>
        <w:pStyle w:val="Paragraphbeforelist"/>
        <w:spacing w:after="240"/>
      </w:pPr>
      <w:bookmarkStart w:id="13" w:name="_Hlk90648077"/>
      <w:r>
        <w:rPr>
          <w:bCs/>
        </w:rPr>
        <w:t xml:space="preserve">We </w:t>
      </w:r>
      <w:r w:rsidR="000D5DB0" w:rsidRPr="00362799">
        <w:rPr>
          <w:bCs/>
        </w:rPr>
        <w:t xml:space="preserve">consider that the </w:t>
      </w:r>
      <w:r w:rsidR="00FB590C">
        <w:rPr>
          <w:bCs/>
        </w:rPr>
        <w:t>RKRs</w:t>
      </w:r>
      <w:r w:rsidR="000D5DB0" w:rsidRPr="00362799">
        <w:rPr>
          <w:bCs/>
        </w:rPr>
        <w:t xml:space="preserve"> have served their purpose </w:t>
      </w:r>
      <w:r w:rsidR="000D5DB0">
        <w:rPr>
          <w:bCs/>
        </w:rPr>
        <w:t>satisfactorily</w:t>
      </w:r>
      <w:r w:rsidR="000C57C3">
        <w:rPr>
          <w:bCs/>
        </w:rPr>
        <w:t xml:space="preserve"> as they enable the ACMA to monitor the PUSP’s compliance with the Performance Benchmarks. Accordingly, we consider that they</w:t>
      </w:r>
      <w:r w:rsidR="000D5DB0" w:rsidRPr="00362799">
        <w:rPr>
          <w:bCs/>
        </w:rPr>
        <w:t xml:space="preserve"> should be remade</w:t>
      </w:r>
      <w:r w:rsidR="002918E3">
        <w:rPr>
          <w:bCs/>
        </w:rPr>
        <w:t xml:space="preserve"> </w:t>
      </w:r>
      <w:r w:rsidR="008071F7" w:rsidRPr="00664214">
        <w:rPr>
          <w:bCs/>
        </w:rPr>
        <w:t>with</w:t>
      </w:r>
      <w:r w:rsidR="000D5DB0" w:rsidRPr="00664214">
        <w:rPr>
          <w:bCs/>
        </w:rPr>
        <w:t xml:space="preserve"> </w:t>
      </w:r>
      <w:r w:rsidR="002918E3">
        <w:rPr>
          <w:bCs/>
        </w:rPr>
        <w:t xml:space="preserve">only </w:t>
      </w:r>
      <w:r w:rsidR="000D5DB0" w:rsidRPr="00664214">
        <w:rPr>
          <w:bCs/>
        </w:rPr>
        <w:t>minor and technical amendment</w:t>
      </w:r>
      <w:r w:rsidR="00083CF5">
        <w:rPr>
          <w:bCs/>
        </w:rPr>
        <w:t>s.</w:t>
      </w:r>
      <w:r w:rsidR="000D5DB0" w:rsidRPr="00664214">
        <w:rPr>
          <w:bCs/>
        </w:rPr>
        <w:t xml:space="preserve"> </w:t>
      </w:r>
      <w:r w:rsidR="008A4E95">
        <w:rPr>
          <w:bCs/>
        </w:rPr>
        <w:t>These amendments will not alter the operation of the RKRs.</w:t>
      </w:r>
    </w:p>
    <w:bookmarkEnd w:id="13"/>
    <w:p w14:paraId="5E700C7D" w14:textId="73EFE001" w:rsidR="000D5DB0" w:rsidRPr="00362799" w:rsidRDefault="000D5DB0" w:rsidP="000E6B0A">
      <w:pPr>
        <w:pStyle w:val="Paragraphbeforelist"/>
      </w:pPr>
      <w:r w:rsidRPr="00362799">
        <w:t xml:space="preserve">Examples of minor and technical amendments </w:t>
      </w:r>
      <w:r w:rsidR="008A4E95">
        <w:t xml:space="preserve">that may </w:t>
      </w:r>
      <w:r>
        <w:t xml:space="preserve">be made to the </w:t>
      </w:r>
      <w:r w:rsidR="008A4E95">
        <w:t>RKRs</w:t>
      </w:r>
      <w:r>
        <w:t xml:space="preserve"> </w:t>
      </w:r>
      <w:r w:rsidRPr="00362799">
        <w:t>include:</w:t>
      </w:r>
    </w:p>
    <w:p w14:paraId="61857A89" w14:textId="77777777" w:rsidR="006C63F9" w:rsidRDefault="000D5DB0" w:rsidP="000E6B0A">
      <w:pPr>
        <w:pStyle w:val="Bulletlevel1"/>
      </w:pPr>
      <w:r w:rsidRPr="00362799">
        <w:t>insert</w:t>
      </w:r>
      <w:r w:rsidR="006C63F9">
        <w:t>ing</w:t>
      </w:r>
      <w:r w:rsidRPr="00362799">
        <w:t xml:space="preserve"> new standard clauses dealing with</w:t>
      </w:r>
      <w:r w:rsidR="006C63F9">
        <w:t>:</w:t>
      </w:r>
      <w:r w:rsidRPr="00362799">
        <w:t xml:space="preserve"> </w:t>
      </w:r>
    </w:p>
    <w:p w14:paraId="34A46074" w14:textId="204FD161" w:rsidR="006C63F9" w:rsidRPr="00CD5481" w:rsidRDefault="000D5DB0" w:rsidP="000E6B0A">
      <w:pPr>
        <w:pStyle w:val="Bulletlevel2"/>
      </w:pPr>
      <w:r w:rsidRPr="00362799">
        <w:t>the</w:t>
      </w:r>
      <w:r w:rsidRPr="00CD5481">
        <w:t xml:space="preserve"> </w:t>
      </w:r>
      <w:r w:rsidR="002918E3" w:rsidRPr="00CD5481">
        <w:t xml:space="preserve">authority </w:t>
      </w:r>
      <w:r w:rsidRPr="00CD5481">
        <w:t xml:space="preserve">to make the instrument </w:t>
      </w:r>
    </w:p>
    <w:p w14:paraId="218BC8E5" w14:textId="58571865" w:rsidR="006C63F9" w:rsidRPr="00CD5481" w:rsidRDefault="0001098F" w:rsidP="000E6B0A">
      <w:pPr>
        <w:pStyle w:val="Bulletlevel2"/>
      </w:pPr>
      <w:r w:rsidRPr="00CD5481">
        <w:t xml:space="preserve">repeal </w:t>
      </w:r>
      <w:r w:rsidR="000D5DB0" w:rsidRPr="00CD5481">
        <w:t xml:space="preserve">of the existing instrument </w:t>
      </w:r>
    </w:p>
    <w:p w14:paraId="5472AA71" w14:textId="3120454A" w:rsidR="006C63F9" w:rsidRPr="00CD5481" w:rsidRDefault="000D5DB0" w:rsidP="000E6B0A">
      <w:pPr>
        <w:pStyle w:val="Bulletlevel2"/>
      </w:pPr>
      <w:r w:rsidRPr="00CD5481">
        <w:t xml:space="preserve">the meaning of expressions used in the instrument </w:t>
      </w:r>
    </w:p>
    <w:p w14:paraId="5E75C130" w14:textId="3E0EF390" w:rsidR="006C63F9" w:rsidRDefault="000D5DB0" w:rsidP="000E6B0A">
      <w:pPr>
        <w:pStyle w:val="Bulletlevel2"/>
      </w:pPr>
      <w:r w:rsidRPr="00CD5481">
        <w:t xml:space="preserve">references to </w:t>
      </w:r>
      <w:r w:rsidRPr="00362799">
        <w:t>other</w:t>
      </w:r>
      <w:r>
        <w:t xml:space="preserve"> legislative</w:t>
      </w:r>
      <w:r w:rsidRPr="00362799">
        <w:t xml:space="preserve"> instruments </w:t>
      </w:r>
    </w:p>
    <w:p w14:paraId="7AC1DC0E" w14:textId="42593A48" w:rsidR="000D5DB0" w:rsidRPr="00CD5481" w:rsidRDefault="006C63F9" w:rsidP="000E6B0A">
      <w:pPr>
        <w:pStyle w:val="Bulletlevel1"/>
      </w:pPr>
      <w:r w:rsidRPr="00362799">
        <w:t>mak</w:t>
      </w:r>
      <w:r>
        <w:t>ing</w:t>
      </w:r>
      <w:r w:rsidRPr="00362799">
        <w:t xml:space="preserve"> </w:t>
      </w:r>
      <w:r w:rsidR="000D5DB0" w:rsidRPr="00362799">
        <w:t>st</w:t>
      </w:r>
      <w:r w:rsidR="000D5DB0" w:rsidRPr="00CD5481">
        <w:t xml:space="preserve">ylistic, typographical or grammatical amendments </w:t>
      </w:r>
    </w:p>
    <w:p w14:paraId="741DA19D" w14:textId="18002BB3" w:rsidR="009E55B0" w:rsidRPr="00CD5481" w:rsidRDefault="009E55B0" w:rsidP="000E6B0A">
      <w:pPr>
        <w:pStyle w:val="Bulletlevel1"/>
      </w:pPr>
      <w:r w:rsidRPr="00CD5481">
        <w:t>updating a reference to another legislative instrument</w:t>
      </w:r>
    </w:p>
    <w:p w14:paraId="50119A7A" w14:textId="539CE98D" w:rsidR="000D5DB0" w:rsidRDefault="000D5DB0" w:rsidP="00CD5481">
      <w:pPr>
        <w:pStyle w:val="Bulletlevel1"/>
        <w:spacing w:after="240"/>
      </w:pPr>
      <w:r w:rsidRPr="00CD5481">
        <w:t>omit</w:t>
      </w:r>
      <w:r w:rsidR="006C63F9" w:rsidRPr="00CD5481">
        <w:t>ting</w:t>
      </w:r>
      <w:r w:rsidRPr="00CD5481">
        <w:t xml:space="preserve"> red</w:t>
      </w:r>
      <w:r w:rsidRPr="00B8190C">
        <w:t>undant words and subheadings</w:t>
      </w:r>
      <w:r w:rsidR="00655DDA" w:rsidRPr="00B8190C">
        <w:t>.</w:t>
      </w:r>
      <w:r w:rsidRPr="00B8190C">
        <w:t xml:space="preserve"> </w:t>
      </w:r>
    </w:p>
    <w:p w14:paraId="5B3053FC" w14:textId="0BE8A947" w:rsidR="0071796B" w:rsidRPr="0071796B" w:rsidRDefault="00D54A31" w:rsidP="00B933FF">
      <w:pPr>
        <w:pStyle w:val="Paragraphbeforelist"/>
        <w:spacing w:after="240"/>
        <w:rPr>
          <w:bCs/>
        </w:rPr>
      </w:pPr>
      <w:r w:rsidRPr="0071796B">
        <w:rPr>
          <w:bCs/>
        </w:rPr>
        <w:t xml:space="preserve">The </w:t>
      </w:r>
      <w:r w:rsidR="00081649" w:rsidRPr="0071796B">
        <w:rPr>
          <w:bCs/>
        </w:rPr>
        <w:t>D</w:t>
      </w:r>
      <w:r w:rsidR="00081649" w:rsidRPr="000D1A85">
        <w:rPr>
          <w:bCs/>
        </w:rPr>
        <w:t xml:space="preserve">epartment </w:t>
      </w:r>
      <w:r w:rsidR="00924F14" w:rsidRPr="000D1A85">
        <w:rPr>
          <w:bCs/>
        </w:rPr>
        <w:t xml:space="preserve">is </w:t>
      </w:r>
      <w:r w:rsidR="0090426B" w:rsidRPr="000D1A85">
        <w:rPr>
          <w:bCs/>
        </w:rPr>
        <w:t xml:space="preserve">also </w:t>
      </w:r>
      <w:r w:rsidR="00924F14" w:rsidRPr="000D1A85">
        <w:rPr>
          <w:bCs/>
        </w:rPr>
        <w:t>undertakin</w:t>
      </w:r>
      <w:r w:rsidR="00FB590C" w:rsidRPr="000D1A85">
        <w:rPr>
          <w:bCs/>
        </w:rPr>
        <w:t xml:space="preserve">g </w:t>
      </w:r>
      <w:r w:rsidR="00216D18" w:rsidRPr="000D1A85">
        <w:rPr>
          <w:bCs/>
        </w:rPr>
        <w:t>cons</w:t>
      </w:r>
      <w:r w:rsidR="00216D18" w:rsidRPr="0071796B">
        <w:rPr>
          <w:bCs/>
        </w:rPr>
        <w:t xml:space="preserve">ultation on the </w:t>
      </w:r>
      <w:r w:rsidR="001C4846" w:rsidRPr="0071796B">
        <w:rPr>
          <w:bCs/>
        </w:rPr>
        <w:t>sunsetting and remaking</w:t>
      </w:r>
      <w:r w:rsidR="00216D18" w:rsidRPr="0071796B">
        <w:rPr>
          <w:bCs/>
        </w:rPr>
        <w:t xml:space="preserve"> of</w:t>
      </w:r>
      <w:r w:rsidR="00924F14" w:rsidRPr="0071796B">
        <w:rPr>
          <w:bCs/>
        </w:rPr>
        <w:t xml:space="preserve"> </w:t>
      </w:r>
      <w:r w:rsidR="00FB590C" w:rsidRPr="00FB590C">
        <w:rPr>
          <w:bCs/>
        </w:rPr>
        <w:t>the</w:t>
      </w:r>
      <w:r w:rsidR="000E6B0A">
        <w:rPr>
          <w:bCs/>
        </w:rPr>
        <w:t xml:space="preserve"> </w:t>
      </w:r>
      <w:r w:rsidR="000E6B0A">
        <w:t>Performance</w:t>
      </w:r>
      <w:r w:rsidR="00FB590C" w:rsidRPr="00FB590C">
        <w:rPr>
          <w:bCs/>
        </w:rPr>
        <w:t xml:space="preserve"> Benchmarks</w:t>
      </w:r>
      <w:r w:rsidR="00FB590C">
        <w:rPr>
          <w:bCs/>
        </w:rPr>
        <w:t xml:space="preserve">, which the RKRs are </w:t>
      </w:r>
      <w:r w:rsidR="00DB199A">
        <w:rPr>
          <w:bCs/>
        </w:rPr>
        <w:t>used to monitor</w:t>
      </w:r>
      <w:r w:rsidR="00FB590C">
        <w:rPr>
          <w:bCs/>
        </w:rPr>
        <w:t>.</w:t>
      </w:r>
      <w:r w:rsidR="0038457A" w:rsidRPr="0071796B">
        <w:rPr>
          <w:bCs/>
        </w:rPr>
        <w:t xml:space="preserve"> </w:t>
      </w:r>
    </w:p>
    <w:p w14:paraId="45B8B784" w14:textId="11A2453D" w:rsidR="00D54A31" w:rsidRPr="0071796B" w:rsidRDefault="0038457A" w:rsidP="00B933FF">
      <w:pPr>
        <w:pStyle w:val="Paragraphbeforelist"/>
        <w:spacing w:after="240"/>
        <w:rPr>
          <w:bCs/>
        </w:rPr>
      </w:pPr>
      <w:r w:rsidRPr="0071796B">
        <w:rPr>
          <w:bCs/>
        </w:rPr>
        <w:t xml:space="preserve">Any changes to </w:t>
      </w:r>
      <w:r w:rsidR="00FB590C">
        <w:rPr>
          <w:bCs/>
        </w:rPr>
        <w:t>the</w:t>
      </w:r>
      <w:r w:rsidR="000E6B0A">
        <w:rPr>
          <w:bCs/>
        </w:rPr>
        <w:t xml:space="preserve"> </w:t>
      </w:r>
      <w:r w:rsidR="000E6B0A">
        <w:t>Performance</w:t>
      </w:r>
      <w:r w:rsidR="00FB590C">
        <w:rPr>
          <w:bCs/>
        </w:rPr>
        <w:t xml:space="preserve"> Benchmarks</w:t>
      </w:r>
      <w:r w:rsidR="00DB199A">
        <w:rPr>
          <w:bCs/>
        </w:rPr>
        <w:t>,</w:t>
      </w:r>
      <w:r w:rsidRPr="0071796B">
        <w:rPr>
          <w:bCs/>
        </w:rPr>
        <w:t xml:space="preserve"> relevant to the operation of the RKRs</w:t>
      </w:r>
      <w:r w:rsidR="00DB199A">
        <w:rPr>
          <w:bCs/>
        </w:rPr>
        <w:t>,</w:t>
      </w:r>
      <w:r w:rsidRPr="0071796B">
        <w:rPr>
          <w:bCs/>
        </w:rPr>
        <w:t xml:space="preserve"> will </w:t>
      </w:r>
      <w:r w:rsidR="00601785" w:rsidRPr="0071796B">
        <w:rPr>
          <w:bCs/>
        </w:rPr>
        <w:t xml:space="preserve">be </w:t>
      </w:r>
      <w:r w:rsidR="00DB199A">
        <w:rPr>
          <w:bCs/>
        </w:rPr>
        <w:t>reflected</w:t>
      </w:r>
      <w:r w:rsidR="00104C6B">
        <w:rPr>
          <w:bCs/>
        </w:rPr>
        <w:t xml:space="preserve"> in an amendment to them</w:t>
      </w:r>
      <w:r w:rsidR="00601785" w:rsidRPr="0071796B">
        <w:rPr>
          <w:bCs/>
        </w:rPr>
        <w:t xml:space="preserve"> as soon as possible after the </w:t>
      </w:r>
      <w:r w:rsidR="001C4846" w:rsidRPr="0071796B">
        <w:rPr>
          <w:bCs/>
        </w:rPr>
        <w:t xml:space="preserve">finalisation </w:t>
      </w:r>
      <w:r w:rsidR="0071796B" w:rsidRPr="0071796B">
        <w:rPr>
          <w:bCs/>
        </w:rPr>
        <w:t xml:space="preserve">of </w:t>
      </w:r>
      <w:r w:rsidR="00104C6B">
        <w:rPr>
          <w:bCs/>
        </w:rPr>
        <w:t>the Department’s</w:t>
      </w:r>
      <w:r w:rsidR="0071796B" w:rsidRPr="0071796B">
        <w:rPr>
          <w:bCs/>
        </w:rPr>
        <w:t xml:space="preserve"> process.</w:t>
      </w:r>
    </w:p>
    <w:p w14:paraId="6256F06B" w14:textId="77777777" w:rsidR="000D5DB0" w:rsidRDefault="000D5DB0" w:rsidP="000D5DB0">
      <w:pPr>
        <w:pStyle w:val="Heading1"/>
      </w:pPr>
      <w:bookmarkStart w:id="14" w:name="_Toc90549674"/>
      <w:bookmarkEnd w:id="11"/>
      <w:bookmarkEnd w:id="12"/>
      <w:r>
        <w:lastRenderedPageBreak/>
        <w:t>Issues for comment</w:t>
      </w:r>
      <w:bookmarkEnd w:id="14"/>
    </w:p>
    <w:p w14:paraId="3C522DFC" w14:textId="77777777" w:rsidR="000D5DB0" w:rsidRPr="000E6B0A" w:rsidRDefault="000D5DB0" w:rsidP="000E6B0A">
      <w:pPr>
        <w:pStyle w:val="Paragraph"/>
        <w:spacing w:after="0"/>
      </w:pPr>
      <w:r w:rsidRPr="000E6B0A">
        <w:rPr>
          <w:b/>
          <w:bCs/>
        </w:rPr>
        <w:t>Question 1</w:t>
      </w:r>
    </w:p>
    <w:p w14:paraId="37BAF2B7" w14:textId="520ABE92" w:rsidR="000D5DB0" w:rsidRPr="00C02F26" w:rsidRDefault="000D5DB0" w:rsidP="00B933FF">
      <w:pPr>
        <w:pStyle w:val="Paragraph"/>
      </w:pPr>
      <w:r>
        <w:t xml:space="preserve">Are the </w:t>
      </w:r>
      <w:r w:rsidR="0087482A">
        <w:t>RKRs</w:t>
      </w:r>
      <w:r>
        <w:t xml:space="preserve"> </w:t>
      </w:r>
      <w:r w:rsidRPr="00690DCD">
        <w:t>operating effectively and efficiently</w:t>
      </w:r>
      <w:r>
        <w:rPr>
          <w:bCs/>
        </w:rPr>
        <w:t>?</w:t>
      </w:r>
    </w:p>
    <w:p w14:paraId="134F099A" w14:textId="07689E9B" w:rsidR="000D5DB0" w:rsidRPr="000E6B0A" w:rsidRDefault="000D5DB0" w:rsidP="000E6B0A">
      <w:pPr>
        <w:pStyle w:val="Paragraph"/>
        <w:spacing w:after="0"/>
      </w:pPr>
      <w:r w:rsidRPr="000E6B0A">
        <w:rPr>
          <w:b/>
          <w:bCs/>
        </w:rPr>
        <w:t xml:space="preserve">Question </w:t>
      </w:r>
      <w:r w:rsidR="0087482A" w:rsidRPr="000E6B0A">
        <w:rPr>
          <w:b/>
          <w:bCs/>
        </w:rPr>
        <w:t>2</w:t>
      </w:r>
    </w:p>
    <w:p w14:paraId="7D1FECB7" w14:textId="3365DA17" w:rsidR="00D1534E" w:rsidRPr="00D1534E" w:rsidRDefault="000D5DB0" w:rsidP="00B933FF">
      <w:pPr>
        <w:pStyle w:val="Paragraph"/>
      </w:pPr>
      <w:r>
        <w:rPr>
          <w:bCs/>
        </w:rPr>
        <w:t xml:space="preserve">Are there any other changes that should be made to the </w:t>
      </w:r>
      <w:r w:rsidR="0087482A">
        <w:rPr>
          <w:bCs/>
        </w:rPr>
        <w:t>RKRs</w:t>
      </w:r>
      <w:r>
        <w:rPr>
          <w:bCs/>
        </w:rPr>
        <w:t>?</w:t>
      </w:r>
    </w:p>
    <w:p w14:paraId="4EB4C370" w14:textId="77777777" w:rsidR="000D5DB0" w:rsidRDefault="000D5DB0" w:rsidP="000D5DB0">
      <w:pPr>
        <w:pStyle w:val="Heading1"/>
      </w:pPr>
      <w:bookmarkStart w:id="15" w:name="_Toc90549675"/>
      <w:r>
        <w:lastRenderedPageBreak/>
        <w:t>Invitation to comment</w:t>
      </w:r>
      <w:bookmarkEnd w:id="15"/>
    </w:p>
    <w:p w14:paraId="07BA8525" w14:textId="77777777" w:rsidR="000D5DB0" w:rsidRDefault="000D5DB0" w:rsidP="000D5DB0">
      <w:pPr>
        <w:pStyle w:val="Heading2"/>
      </w:pPr>
      <w:bookmarkStart w:id="16" w:name="_Toc433122131"/>
      <w:bookmarkStart w:id="17" w:name="_Toc348105637"/>
      <w:bookmarkStart w:id="18" w:name="_Toc300909556"/>
      <w:bookmarkStart w:id="19" w:name="_Toc298924673"/>
      <w:bookmarkStart w:id="20" w:name="_Toc90549676"/>
      <w:bookmarkStart w:id="21" w:name="_Toc348105638"/>
      <w:bookmarkStart w:id="22" w:name="_Toc300909557"/>
      <w:bookmarkStart w:id="23" w:name="_Toc298924674"/>
      <w:bookmarkStart w:id="24" w:name="_Toc274296357"/>
      <w:r>
        <w:t>Making a submission</w:t>
      </w:r>
      <w:bookmarkEnd w:id="16"/>
      <w:bookmarkEnd w:id="17"/>
      <w:bookmarkEnd w:id="18"/>
      <w:bookmarkEnd w:id="19"/>
      <w:bookmarkEnd w:id="20"/>
    </w:p>
    <w:p w14:paraId="19928DAC" w14:textId="407AB25F" w:rsidR="000D5DB0" w:rsidRDefault="000D5DB0" w:rsidP="000D5DB0">
      <w:r w:rsidRPr="00690DCD">
        <w:t xml:space="preserve">Comments are sought </w:t>
      </w:r>
      <w:r w:rsidR="00682691">
        <w:t>on</w:t>
      </w:r>
      <w:r w:rsidRPr="00690DCD">
        <w:t xml:space="preserve"> the ACMA’s proposal to </w:t>
      </w:r>
      <w:r w:rsidRPr="00DF7AA1">
        <w:t>remake th</w:t>
      </w:r>
      <w:r w:rsidRPr="00383378">
        <w:t xml:space="preserve">e </w:t>
      </w:r>
      <w:r w:rsidR="0087482A" w:rsidRPr="000E6B0A">
        <w:rPr>
          <w:iCs/>
          <w:color w:val="000000" w:themeColor="text1"/>
          <w:szCs w:val="22"/>
        </w:rPr>
        <w:t>Telecommunications (Payphone Performance Benchmarks) Record-Keeping Rules 2012</w:t>
      </w:r>
      <w:r w:rsidRPr="00383378">
        <w:t>, without any s</w:t>
      </w:r>
      <w:r w:rsidRPr="00DF7AA1">
        <w:t xml:space="preserve">ignificant changes, on the basis that </w:t>
      </w:r>
      <w:r w:rsidR="009E55B0">
        <w:t xml:space="preserve">they are </w:t>
      </w:r>
      <w:r w:rsidRPr="00690DCD">
        <w:t>operating effectively and efficiently.</w:t>
      </w:r>
      <w:r>
        <w:t xml:space="preserve"> </w:t>
      </w:r>
    </w:p>
    <w:p w14:paraId="2651BFED" w14:textId="27B10E83" w:rsidR="000D5DB0" w:rsidRDefault="00DF2EE0" w:rsidP="000D5DB0">
      <w:pPr>
        <w:pStyle w:val="Bulletlevel1"/>
      </w:pPr>
      <w:hyperlink r:id="rId25" w:history="1">
        <w:r w:rsidR="000D5DB0">
          <w:rPr>
            <w:rStyle w:val="Hyperlink"/>
          </w:rPr>
          <w:t>Online submissions</w:t>
        </w:r>
      </w:hyperlink>
      <w:r w:rsidR="000D5DB0">
        <w:t xml:space="preserve"> can be made by </w:t>
      </w:r>
      <w:r w:rsidR="000D5DB0" w:rsidRPr="0070133D">
        <w:t>uploading</w:t>
      </w:r>
      <w:r w:rsidR="000D5DB0">
        <w:t xml:space="preserve"> a document. Submissions in PDF, Microsoft Word or Rich Text Format are preferred.</w:t>
      </w:r>
      <w:r w:rsidR="009E55B0">
        <w:t xml:space="preserve"> </w:t>
      </w:r>
    </w:p>
    <w:p w14:paraId="293CA2AB" w14:textId="77777777" w:rsidR="000D5DB0" w:rsidRPr="00A510D0" w:rsidRDefault="000D5DB0" w:rsidP="000D5DB0">
      <w:pPr>
        <w:pStyle w:val="Bulletlevel1"/>
      </w:pPr>
      <w:r w:rsidRPr="00A510D0">
        <w:t xml:space="preserve">Submissions by post can be sent to: </w:t>
      </w:r>
    </w:p>
    <w:p w14:paraId="2CEA1D7C" w14:textId="55AD1AEE" w:rsidR="000D5DB0" w:rsidRPr="00A510D0" w:rsidRDefault="008C18C0" w:rsidP="000D5DB0">
      <w:pPr>
        <w:spacing w:after="0"/>
        <w:ind w:left="295"/>
        <w:rPr>
          <w:szCs w:val="20"/>
        </w:rPr>
      </w:pPr>
      <w:r>
        <w:rPr>
          <w:szCs w:val="20"/>
        </w:rPr>
        <w:t>Telecommunications</w:t>
      </w:r>
      <w:r w:rsidR="000D3870">
        <w:rPr>
          <w:szCs w:val="20"/>
        </w:rPr>
        <w:t xml:space="preserve"> </w:t>
      </w:r>
      <w:r>
        <w:rPr>
          <w:szCs w:val="20"/>
        </w:rPr>
        <w:t>Performance and Regulation</w:t>
      </w:r>
    </w:p>
    <w:p w14:paraId="2C79EE5F" w14:textId="77777777" w:rsidR="000D5DB0" w:rsidRPr="00A510D0" w:rsidRDefault="000D5DB0" w:rsidP="000D5DB0">
      <w:pPr>
        <w:spacing w:after="0"/>
        <w:ind w:left="295"/>
        <w:rPr>
          <w:szCs w:val="20"/>
        </w:rPr>
      </w:pPr>
      <w:r w:rsidRPr="00A510D0">
        <w:rPr>
          <w:szCs w:val="20"/>
        </w:rPr>
        <w:t>Australian Communications and Media Authority</w:t>
      </w:r>
    </w:p>
    <w:p w14:paraId="5CBA818F" w14:textId="77777777" w:rsidR="000D5DB0" w:rsidRPr="00A510D0" w:rsidRDefault="000D5DB0" w:rsidP="000D5DB0">
      <w:pPr>
        <w:spacing w:after="0"/>
        <w:ind w:left="295"/>
        <w:rPr>
          <w:szCs w:val="20"/>
        </w:rPr>
      </w:pPr>
      <w:r w:rsidRPr="00A510D0">
        <w:rPr>
          <w:szCs w:val="20"/>
        </w:rPr>
        <w:t>PO Box 78</w:t>
      </w:r>
    </w:p>
    <w:p w14:paraId="7A093CFD" w14:textId="77777777" w:rsidR="000D5DB0" w:rsidRPr="00A510D0" w:rsidRDefault="000D5DB0" w:rsidP="000D5DB0">
      <w:pPr>
        <w:ind w:left="295"/>
        <w:rPr>
          <w:szCs w:val="20"/>
        </w:rPr>
      </w:pPr>
      <w:r w:rsidRPr="00A510D0">
        <w:rPr>
          <w:szCs w:val="20"/>
        </w:rPr>
        <w:t>Belconnen ACT 2616</w:t>
      </w:r>
    </w:p>
    <w:p w14:paraId="4F75A148" w14:textId="484ACFEE" w:rsidR="000D5DB0" w:rsidRPr="00A510D0" w:rsidRDefault="000D5DB0" w:rsidP="000D5DB0">
      <w:r w:rsidRPr="00A510D0">
        <w:t>The closing date for submissio</w:t>
      </w:r>
      <w:r w:rsidRPr="005C6221">
        <w:t xml:space="preserve">ns is COB, </w:t>
      </w:r>
      <w:r w:rsidR="002D5962">
        <w:rPr>
          <w:b/>
          <w:bCs/>
        </w:rPr>
        <w:t>Monday 31 January 2022.</w:t>
      </w:r>
    </w:p>
    <w:p w14:paraId="6EB92C3B" w14:textId="7202FF41" w:rsidR="000D5DB0" w:rsidRPr="005358CD" w:rsidRDefault="000D5DB0" w:rsidP="005358CD">
      <w:pPr>
        <w:autoSpaceDE w:val="0"/>
        <w:autoSpaceDN w:val="0"/>
        <w:spacing w:line="240" w:lineRule="auto"/>
        <w:rPr>
          <w:rFonts w:ascii="Calibri" w:hAnsi="Calibri"/>
        </w:rPr>
      </w:pPr>
      <w:r w:rsidRPr="00A510D0">
        <w:t xml:space="preserve">Consultation enquiries can be emailed </w:t>
      </w:r>
      <w:r w:rsidRPr="00A510D0">
        <w:rPr>
          <w:szCs w:val="20"/>
        </w:rPr>
        <w:t xml:space="preserve">to </w:t>
      </w:r>
      <w:hyperlink r:id="rId26" w:history="1">
        <w:r w:rsidR="005358CD" w:rsidRPr="005358CD">
          <w:rPr>
            <w:rStyle w:val="Hyperlink"/>
          </w:rPr>
          <w:t xml:space="preserve">haveyoursay@acma.gov.au </w:t>
        </w:r>
      </w:hyperlink>
    </w:p>
    <w:p w14:paraId="50E2D4E9" w14:textId="77777777" w:rsidR="000D5DB0" w:rsidRDefault="000D5DB0" w:rsidP="000D5DB0">
      <w:pPr>
        <w:pStyle w:val="Heading4"/>
      </w:pPr>
      <w:bookmarkStart w:id="25" w:name="_Toc348105639"/>
      <w:bookmarkStart w:id="26" w:name="_Toc300909558"/>
      <w:bookmarkEnd w:id="21"/>
      <w:bookmarkEnd w:id="22"/>
      <w:r>
        <w:t xml:space="preserve">Publication of </w:t>
      </w:r>
      <w:r w:rsidRPr="005B2F0D">
        <w:t>submissions</w:t>
      </w:r>
      <w:bookmarkEnd w:id="23"/>
      <w:bookmarkEnd w:id="24"/>
      <w:bookmarkEnd w:id="25"/>
      <w:bookmarkEnd w:id="26"/>
    </w:p>
    <w:p w14:paraId="290EC3B1" w14:textId="77777777" w:rsidR="000D5DB0" w:rsidRDefault="000D5DB0" w:rsidP="000D5DB0">
      <w:bookmarkStart w:id="27" w:name="_Toc348105640"/>
      <w:bookmarkStart w:id="28" w:name="_Toc300909559"/>
      <w:bookmarkStart w:id="29" w:name="_Toc265246234"/>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367616FF" w14:textId="77777777" w:rsidR="000D5DB0" w:rsidRDefault="000D5DB0" w:rsidP="000D5DB0">
      <w:r>
        <w:t>Confidential information will not be published or otherwise released unless required or authorised by law.</w:t>
      </w:r>
    </w:p>
    <w:p w14:paraId="6B5D093A" w14:textId="77777777" w:rsidR="000D5DB0" w:rsidRDefault="000D5DB0" w:rsidP="000D5DB0">
      <w:pPr>
        <w:pStyle w:val="Heading4"/>
      </w:pPr>
      <w:r>
        <w:t>Privacy</w:t>
      </w:r>
    </w:p>
    <w:p w14:paraId="6B37F90B" w14:textId="77777777" w:rsidR="000D5DB0" w:rsidRDefault="000D5DB0" w:rsidP="000D5DB0">
      <w:pPr>
        <w:pStyle w:val="Paragraph"/>
      </w:pPr>
      <w:r>
        <w:t xml:space="preserve">View information about our policy on the </w:t>
      </w:r>
      <w:hyperlink r:id="rId27" w:history="1">
        <w:r>
          <w:rPr>
            <w:rStyle w:val="Hyperlink"/>
          </w:rPr>
          <w:t>p</w:t>
        </w:r>
        <w:r w:rsidRPr="00E21056">
          <w:rPr>
            <w:rStyle w:val="Hyperlink"/>
          </w:rPr>
          <w:t>ublication of submissions</w:t>
        </w:r>
      </w:hyperlink>
      <w:r>
        <w:t>, including collection of personal information during consultation and how we handle that information.</w:t>
      </w:r>
    </w:p>
    <w:bookmarkEnd w:id="27"/>
    <w:bookmarkEnd w:id="28"/>
    <w:bookmarkEnd w:id="29"/>
    <w:p w14:paraId="28BD9985" w14:textId="197048C1" w:rsidR="00FF3C69" w:rsidRPr="00C96651" w:rsidRDefault="000D5DB0" w:rsidP="00C96651">
      <w:pPr>
        <w:pStyle w:val="Paragraph"/>
      </w:pPr>
      <w:r>
        <w:t xml:space="preserve">Information on the </w:t>
      </w:r>
      <w:r>
        <w:rPr>
          <w:i/>
        </w:rPr>
        <w:t xml:space="preserve">Privacy Act 1988, </w:t>
      </w:r>
      <w:r>
        <w:t xml:space="preserve">how to access or correct personal information, how to make a privacy complaint and how we will deal with the complaint, is available in our </w:t>
      </w:r>
      <w:hyperlink r:id="rId28" w:history="1">
        <w:r w:rsidRPr="00E21056">
          <w:rPr>
            <w:rStyle w:val="Hyperlink"/>
          </w:rPr>
          <w:t>privacy policy</w:t>
        </w:r>
      </w:hyperlink>
      <w:r>
        <w:t xml:space="preserve">. </w:t>
      </w:r>
    </w:p>
    <w:sectPr w:rsidR="00FF3C69" w:rsidRPr="00C96651" w:rsidSect="00C77380">
      <w:headerReference w:type="even" r:id="rId29"/>
      <w:headerReference w:type="default" r:id="rId30"/>
      <w:footerReference w:type="even" r:id="rId31"/>
      <w:footerReference w:type="default" r:id="rId32"/>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D53308" w14:textId="77777777" w:rsidR="00B35CBE" w:rsidRDefault="00B35CBE">
      <w:r>
        <w:separator/>
      </w:r>
    </w:p>
  </w:endnote>
  <w:endnote w:type="continuationSeparator" w:id="0">
    <w:p w14:paraId="39EDBF0F" w14:textId="77777777" w:rsidR="00B35CBE" w:rsidRDefault="00B35C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F1F87" w14:textId="77777777" w:rsidR="0096529A" w:rsidRDefault="0096529A" w:rsidP="005E250B">
    <w:pPr>
      <w:pStyle w:val="Footer"/>
      <w:jc w:val="right"/>
    </w:pPr>
    <w:r w:rsidRPr="005E250B">
      <w:rPr>
        <w:noProof/>
        <w:vertAlign w:val="subscript"/>
      </w:rPr>
      <w:drawing>
        <wp:inline distT="0" distB="0" distL="0" distR="0" wp14:anchorId="25FE02AC" wp14:editId="1CB9366F">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EF4B5" w14:textId="77777777" w:rsidR="0096529A" w:rsidRDefault="0096529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C3C54" w14:textId="77777777" w:rsidR="0096529A" w:rsidRDefault="0096529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56280" w14:textId="77777777" w:rsidR="0096529A" w:rsidRPr="00622A3B" w:rsidRDefault="0096529A"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3D0084AB" w14:textId="77777777" w:rsidR="0096529A" w:rsidRPr="00A5474E" w:rsidRDefault="0096529A"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B717A" w14:textId="77777777" w:rsidR="0096529A" w:rsidRPr="00622A3B" w:rsidRDefault="0096529A"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4DAD4F01" w14:textId="77777777" w:rsidR="0096529A" w:rsidRPr="00A5474E" w:rsidRDefault="0096529A"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CA499" w14:textId="77777777" w:rsidR="0096529A" w:rsidRPr="00622A3B" w:rsidRDefault="0096529A"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6BE35593" w14:textId="77777777" w:rsidR="0096529A" w:rsidRPr="00A5474E" w:rsidRDefault="0096529A"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B09B0" w14:textId="77777777" w:rsidR="0096529A" w:rsidRPr="00622A3B" w:rsidRDefault="0096529A"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E4F9B06" w14:textId="77777777" w:rsidR="0096529A" w:rsidRPr="00A5474E" w:rsidRDefault="0096529A"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2F2FB" w14:textId="77777777" w:rsidR="0096529A" w:rsidRPr="00622A3B" w:rsidRDefault="0096529A"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463029E0" w14:textId="77777777" w:rsidR="0096529A" w:rsidRPr="00A5474E" w:rsidRDefault="0096529A"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313D8D" w14:textId="77777777" w:rsidR="00B35CBE" w:rsidRDefault="00B35CBE">
      <w:r>
        <w:separator/>
      </w:r>
    </w:p>
  </w:footnote>
  <w:footnote w:type="continuationSeparator" w:id="0">
    <w:p w14:paraId="7B53B0EE" w14:textId="77777777" w:rsidR="00B35CBE" w:rsidRDefault="00B35CBE">
      <w:r>
        <w:continuationSeparator/>
      </w:r>
    </w:p>
  </w:footnote>
  <w:footnote w:id="1">
    <w:p w14:paraId="7F54F514" w14:textId="77777777" w:rsidR="00334979" w:rsidRPr="00ED4214" w:rsidRDefault="00334979" w:rsidP="000E6B0A">
      <w:pPr>
        <w:pStyle w:val="FootnoteText"/>
      </w:pPr>
      <w:r>
        <w:rPr>
          <w:rStyle w:val="FootnoteReference"/>
        </w:rPr>
        <w:footnoteRef/>
      </w:r>
      <w:r>
        <w:t xml:space="preserve"> </w:t>
      </w:r>
      <w:r w:rsidRPr="00334979">
        <w:t xml:space="preserve">Section 529 allows the ACMA to make rules for and in relation to requiring one or more specified carriers or one or more specified carriage service providers (CSPs) to keep and retain records and require those providers to prepare reports consisting of information contained in those records, and to give any or all of the reports to the ACMA. </w:t>
      </w:r>
    </w:p>
    <w:p w14:paraId="1538AB2E" w14:textId="794AEBEF" w:rsidR="00334979" w:rsidRDefault="00334979">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870B8" w14:textId="77777777" w:rsidR="0096529A" w:rsidRPr="00A5474E" w:rsidRDefault="0096529A" w:rsidP="00A5474E">
    <w:pPr>
      <w:pStyle w:val="Header"/>
    </w:pPr>
    <w:r>
      <w:rPr>
        <w:noProof/>
      </w:rPr>
      <w:drawing>
        <wp:inline distT="0" distB="0" distL="0" distR="0" wp14:anchorId="48E9B3C7" wp14:editId="48A2BB73">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0A939" w14:textId="77777777" w:rsidR="0096529A" w:rsidRPr="00A5474E" w:rsidRDefault="0096529A"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FF19A" w14:textId="77777777" w:rsidR="0096529A" w:rsidRDefault="0096529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4D921" w14:textId="77777777" w:rsidR="0096529A" w:rsidRDefault="0096529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6529A" w14:paraId="778F4CA8" w14:textId="77777777" w:rsidTr="00845F8B">
      <w:trPr>
        <w:trHeight w:hRule="exact" w:val="988"/>
      </w:trPr>
      <w:tc>
        <w:tcPr>
          <w:tcW w:w="7678" w:type="dxa"/>
          <w:shd w:val="clear" w:color="auto" w:fill="auto"/>
        </w:tcPr>
        <w:p w14:paraId="7B0E8849" w14:textId="77777777" w:rsidR="0096529A" w:rsidRDefault="0096529A" w:rsidP="00971914">
          <w:pPr>
            <w:pStyle w:val="Header"/>
          </w:pPr>
        </w:p>
      </w:tc>
    </w:tr>
    <w:tr w:rsidR="0096529A" w14:paraId="7EA5F28B" w14:textId="77777777" w:rsidTr="00845F8B">
      <w:tc>
        <w:tcPr>
          <w:tcW w:w="7678" w:type="dxa"/>
          <w:shd w:val="clear" w:color="auto" w:fill="auto"/>
        </w:tcPr>
        <w:p w14:paraId="4F7CB7D9" w14:textId="77777777" w:rsidR="0096529A" w:rsidRDefault="0096529A" w:rsidP="00971914">
          <w:pPr>
            <w:pStyle w:val="GridTable31"/>
          </w:pPr>
          <w:r>
            <w:t xml:space="preserve">Contents </w:t>
          </w:r>
          <w:r w:rsidRPr="00915B1C">
            <w:rPr>
              <w:b w:val="0"/>
              <w:spacing w:val="0"/>
              <w:sz w:val="28"/>
              <w:szCs w:val="28"/>
            </w:rPr>
            <w:t>(Continued)</w:t>
          </w:r>
        </w:p>
      </w:tc>
    </w:tr>
    <w:tr w:rsidR="0096529A" w14:paraId="7E65C4C4" w14:textId="77777777" w:rsidTr="00845F8B">
      <w:trPr>
        <w:trHeight w:val="1220"/>
      </w:trPr>
      <w:tc>
        <w:tcPr>
          <w:tcW w:w="7678" w:type="dxa"/>
          <w:shd w:val="clear" w:color="auto" w:fill="auto"/>
        </w:tcPr>
        <w:p w14:paraId="3F56C238" w14:textId="77777777" w:rsidR="0096529A" w:rsidRDefault="0096529A" w:rsidP="00971914"/>
      </w:tc>
    </w:tr>
  </w:tbl>
  <w:p w14:paraId="213A9F06" w14:textId="77777777" w:rsidR="0096529A" w:rsidRDefault="0096529A"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6529A" w14:paraId="79F4BFD7" w14:textId="77777777" w:rsidTr="00845F8B">
      <w:trPr>
        <w:trHeight w:hRule="exact" w:val="988"/>
      </w:trPr>
      <w:tc>
        <w:tcPr>
          <w:tcW w:w="7678" w:type="dxa"/>
          <w:shd w:val="clear" w:color="auto" w:fill="auto"/>
        </w:tcPr>
        <w:p w14:paraId="72E5EE52" w14:textId="77777777" w:rsidR="0096529A" w:rsidRDefault="0096529A" w:rsidP="00971914">
          <w:pPr>
            <w:pStyle w:val="Header"/>
          </w:pPr>
        </w:p>
      </w:tc>
    </w:tr>
    <w:tr w:rsidR="0096529A" w14:paraId="20B5DD78" w14:textId="77777777" w:rsidTr="00845F8B">
      <w:tc>
        <w:tcPr>
          <w:tcW w:w="7678" w:type="dxa"/>
          <w:shd w:val="clear" w:color="auto" w:fill="auto"/>
        </w:tcPr>
        <w:p w14:paraId="3D708548" w14:textId="77777777" w:rsidR="0096529A" w:rsidRDefault="0096529A" w:rsidP="00971914">
          <w:pPr>
            <w:pStyle w:val="GridTable31"/>
          </w:pPr>
          <w:r>
            <w:t xml:space="preserve">Contents </w:t>
          </w:r>
          <w:r w:rsidRPr="00915B1C">
            <w:rPr>
              <w:b w:val="0"/>
              <w:spacing w:val="0"/>
              <w:sz w:val="28"/>
              <w:szCs w:val="28"/>
            </w:rPr>
            <w:t>(Continued)</w:t>
          </w:r>
        </w:p>
      </w:tc>
    </w:tr>
    <w:tr w:rsidR="0096529A" w14:paraId="5D754A6B" w14:textId="77777777" w:rsidTr="00845F8B">
      <w:trPr>
        <w:trHeight w:val="1220"/>
      </w:trPr>
      <w:tc>
        <w:tcPr>
          <w:tcW w:w="7678" w:type="dxa"/>
          <w:shd w:val="clear" w:color="auto" w:fill="auto"/>
        </w:tcPr>
        <w:p w14:paraId="7BFE14EA" w14:textId="77777777" w:rsidR="0096529A" w:rsidRDefault="0096529A" w:rsidP="00971914"/>
      </w:tc>
    </w:tr>
  </w:tbl>
  <w:p w14:paraId="77B4DCFC" w14:textId="77777777" w:rsidR="0096529A" w:rsidRPr="00A5474E" w:rsidRDefault="0096529A"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5CD34" w14:textId="77777777" w:rsidR="0096529A" w:rsidRDefault="0096529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38C716" w14:textId="77777777" w:rsidR="0096529A" w:rsidRDefault="009652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4F08DB"/>
    <w:multiLevelType w:val="hybridMultilevel"/>
    <w:tmpl w:val="D3C824D2"/>
    <w:lvl w:ilvl="0" w:tplc="B49A086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742707B"/>
    <w:multiLevelType w:val="hybridMultilevel"/>
    <w:tmpl w:val="C026F3FC"/>
    <w:lvl w:ilvl="0" w:tplc="604CD0C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81C1BE1"/>
    <w:multiLevelType w:val="multilevel"/>
    <w:tmpl w:val="7FF20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DE637C5"/>
    <w:multiLevelType w:val="hybridMultilevel"/>
    <w:tmpl w:val="83F247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1E666D3A"/>
    <w:multiLevelType w:val="hybridMultilevel"/>
    <w:tmpl w:val="39EA3008"/>
    <w:lvl w:ilvl="0" w:tplc="B49A086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0080B1D"/>
    <w:multiLevelType w:val="hybridMultilevel"/>
    <w:tmpl w:val="2F16D7E8"/>
    <w:lvl w:ilvl="0" w:tplc="B49A086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9F02330"/>
    <w:multiLevelType w:val="hybridMultilevel"/>
    <w:tmpl w:val="2294CCB8"/>
    <w:lvl w:ilvl="0" w:tplc="604CD0C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4"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5" w15:restartNumberingAfterBreak="0">
    <w:nsid w:val="3A9815E7"/>
    <w:multiLevelType w:val="hybridMultilevel"/>
    <w:tmpl w:val="D1BE056E"/>
    <w:lvl w:ilvl="0" w:tplc="B49A0866">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3B0F0189"/>
    <w:multiLevelType w:val="hybridMultilevel"/>
    <w:tmpl w:val="335E19F0"/>
    <w:lvl w:ilvl="0" w:tplc="604CD0CE">
      <w:start w:val="1"/>
      <w:numFmt w:val="bullet"/>
      <w:lvlText w:val=""/>
      <w:lvlJc w:val="left"/>
      <w:pPr>
        <w:ind w:left="1015" w:hanging="360"/>
      </w:pPr>
      <w:rPr>
        <w:rFonts w:ascii="Symbol" w:hAnsi="Symbol"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17" w15:restartNumberingAfterBreak="0">
    <w:nsid w:val="3C276058"/>
    <w:multiLevelType w:val="hybridMultilevel"/>
    <w:tmpl w:val="CF9621FC"/>
    <w:lvl w:ilvl="0" w:tplc="604CD0CE">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18" w15:restartNumberingAfterBreak="0">
    <w:nsid w:val="478D2A47"/>
    <w:multiLevelType w:val="hybridMultilevel"/>
    <w:tmpl w:val="D94265A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0055BE4"/>
    <w:multiLevelType w:val="hybridMultilevel"/>
    <w:tmpl w:val="0752102A"/>
    <w:lvl w:ilvl="0" w:tplc="604CD0CE">
      <w:start w:val="1"/>
      <w:numFmt w:val="bullet"/>
      <w:lvlText w:val=""/>
      <w:lvlJc w:val="left"/>
      <w:pPr>
        <w:ind w:left="1015" w:hanging="360"/>
      </w:pPr>
      <w:rPr>
        <w:rFonts w:ascii="Symbol" w:hAnsi="Symbol"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2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8461C3B"/>
    <w:multiLevelType w:val="hybridMultilevel"/>
    <w:tmpl w:val="4E184D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5DC5750"/>
    <w:multiLevelType w:val="hybridMultilevel"/>
    <w:tmpl w:val="BCBAC9F2"/>
    <w:lvl w:ilvl="0" w:tplc="604CD0C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13"/>
  </w:num>
  <w:num w:numId="6">
    <w:abstractNumId w:val="22"/>
  </w:num>
  <w:num w:numId="7">
    <w:abstractNumId w:val="19"/>
  </w:num>
  <w:num w:numId="8">
    <w:abstractNumId w:val="21"/>
  </w:num>
  <w:num w:numId="9">
    <w:abstractNumId w:val="24"/>
  </w:num>
  <w:num w:numId="10">
    <w:abstractNumId w:val="5"/>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14"/>
  </w:num>
  <w:num w:numId="17">
    <w:abstractNumId w:val="25"/>
  </w:num>
  <w:num w:numId="18">
    <w:abstractNumId w:val="18"/>
  </w:num>
  <w:num w:numId="19">
    <w:abstractNumId w:val="17"/>
  </w:num>
  <w:num w:numId="20">
    <w:abstractNumId w:val="3"/>
  </w:num>
  <w:num w:numId="21">
    <w:abstractNumId w:val="3"/>
  </w:num>
  <w:num w:numId="22">
    <w:abstractNumId w:val="3"/>
  </w:num>
  <w:num w:numId="23">
    <w:abstractNumId w:val="1"/>
  </w:num>
  <w:num w:numId="24">
    <w:abstractNumId w:val="1"/>
  </w:num>
  <w:num w:numId="25">
    <w:abstractNumId w:val="3"/>
  </w:num>
  <w:num w:numId="26">
    <w:abstractNumId w:val="3"/>
  </w:num>
  <w:num w:numId="27">
    <w:abstractNumId w:val="1"/>
  </w:num>
  <w:num w:numId="28">
    <w:abstractNumId w:val="1"/>
  </w:num>
  <w:num w:numId="29">
    <w:abstractNumId w:val="3"/>
  </w:num>
  <w:num w:numId="30">
    <w:abstractNumId w:val="3"/>
  </w:num>
  <w:num w:numId="31">
    <w:abstractNumId w:val="1"/>
  </w:num>
  <w:num w:numId="32">
    <w:abstractNumId w:val="1"/>
  </w:num>
  <w:num w:numId="33">
    <w:abstractNumId w:val="3"/>
  </w:num>
  <w:num w:numId="34">
    <w:abstractNumId w:val="3"/>
  </w:num>
  <w:num w:numId="35">
    <w:abstractNumId w:val="3"/>
  </w:num>
  <w:num w:numId="36">
    <w:abstractNumId w:val="3"/>
  </w:num>
  <w:num w:numId="37">
    <w:abstractNumId w:val="20"/>
  </w:num>
  <w:num w:numId="38">
    <w:abstractNumId w:val="12"/>
  </w:num>
  <w:num w:numId="39">
    <w:abstractNumId w:val="16"/>
  </w:num>
  <w:num w:numId="40">
    <w:abstractNumId w:val="8"/>
  </w:num>
  <w:num w:numId="41">
    <w:abstractNumId w:val="23"/>
  </w:num>
  <w:num w:numId="42">
    <w:abstractNumId w:val="15"/>
  </w:num>
  <w:num w:numId="43">
    <w:abstractNumId w:val="11"/>
  </w:num>
  <w:num w:numId="44">
    <w:abstractNumId w:val="6"/>
  </w:num>
  <w:num w:numId="45">
    <w:abstractNumId w:val="10"/>
  </w:num>
  <w:num w:numId="46">
    <w:abstractNumId w:val="9"/>
  </w:num>
  <w:num w:numId="47">
    <w:abstractNumId w:val="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5DB0"/>
    <w:rsid w:val="00010667"/>
    <w:rsid w:val="0001098F"/>
    <w:rsid w:val="000129D5"/>
    <w:rsid w:val="00014CB7"/>
    <w:rsid w:val="00015AE7"/>
    <w:rsid w:val="00016E21"/>
    <w:rsid w:val="0001719C"/>
    <w:rsid w:val="0002224E"/>
    <w:rsid w:val="000245E5"/>
    <w:rsid w:val="00025D5E"/>
    <w:rsid w:val="0002684A"/>
    <w:rsid w:val="00026F91"/>
    <w:rsid w:val="00032423"/>
    <w:rsid w:val="00032621"/>
    <w:rsid w:val="00041F51"/>
    <w:rsid w:val="0004764C"/>
    <w:rsid w:val="0005011A"/>
    <w:rsid w:val="0005045A"/>
    <w:rsid w:val="00051C1E"/>
    <w:rsid w:val="000539F9"/>
    <w:rsid w:val="00054C27"/>
    <w:rsid w:val="00055EC3"/>
    <w:rsid w:val="000563CE"/>
    <w:rsid w:val="000659B6"/>
    <w:rsid w:val="0006686F"/>
    <w:rsid w:val="0006722A"/>
    <w:rsid w:val="000732CF"/>
    <w:rsid w:val="00073D2E"/>
    <w:rsid w:val="00075B96"/>
    <w:rsid w:val="00076FC7"/>
    <w:rsid w:val="00081649"/>
    <w:rsid w:val="0008196A"/>
    <w:rsid w:val="00083CF5"/>
    <w:rsid w:val="000860A0"/>
    <w:rsid w:val="000915ED"/>
    <w:rsid w:val="0009209D"/>
    <w:rsid w:val="0009463C"/>
    <w:rsid w:val="000969BD"/>
    <w:rsid w:val="000969BF"/>
    <w:rsid w:val="000A0C22"/>
    <w:rsid w:val="000A1400"/>
    <w:rsid w:val="000A3C43"/>
    <w:rsid w:val="000A4A51"/>
    <w:rsid w:val="000A5D2B"/>
    <w:rsid w:val="000B4664"/>
    <w:rsid w:val="000B5DE3"/>
    <w:rsid w:val="000C0A57"/>
    <w:rsid w:val="000C230C"/>
    <w:rsid w:val="000C57C3"/>
    <w:rsid w:val="000C6AB4"/>
    <w:rsid w:val="000D1A85"/>
    <w:rsid w:val="000D3870"/>
    <w:rsid w:val="000D5DB0"/>
    <w:rsid w:val="000D71D9"/>
    <w:rsid w:val="000D76E0"/>
    <w:rsid w:val="000D7E8B"/>
    <w:rsid w:val="000E4449"/>
    <w:rsid w:val="000E6097"/>
    <w:rsid w:val="000E6B0A"/>
    <w:rsid w:val="00103829"/>
    <w:rsid w:val="00104C6B"/>
    <w:rsid w:val="001109A1"/>
    <w:rsid w:val="00111FCE"/>
    <w:rsid w:val="001229A5"/>
    <w:rsid w:val="0012489B"/>
    <w:rsid w:val="00124E5C"/>
    <w:rsid w:val="00130017"/>
    <w:rsid w:val="00130F91"/>
    <w:rsid w:val="00132E5E"/>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16AD"/>
    <w:rsid w:val="00195253"/>
    <w:rsid w:val="00196CDD"/>
    <w:rsid w:val="001976E3"/>
    <w:rsid w:val="001A44EC"/>
    <w:rsid w:val="001A65B7"/>
    <w:rsid w:val="001B39C4"/>
    <w:rsid w:val="001B58AA"/>
    <w:rsid w:val="001B7E48"/>
    <w:rsid w:val="001C17CE"/>
    <w:rsid w:val="001C36CA"/>
    <w:rsid w:val="001C44D1"/>
    <w:rsid w:val="001C4846"/>
    <w:rsid w:val="001C6AEE"/>
    <w:rsid w:val="001C7630"/>
    <w:rsid w:val="001D3E4A"/>
    <w:rsid w:val="001D6D15"/>
    <w:rsid w:val="001E242E"/>
    <w:rsid w:val="001E7600"/>
    <w:rsid w:val="001F50F7"/>
    <w:rsid w:val="001F7558"/>
    <w:rsid w:val="00201D12"/>
    <w:rsid w:val="00201EE2"/>
    <w:rsid w:val="00204EC3"/>
    <w:rsid w:val="00205B57"/>
    <w:rsid w:val="00210504"/>
    <w:rsid w:val="00212F95"/>
    <w:rsid w:val="0021426C"/>
    <w:rsid w:val="002157E0"/>
    <w:rsid w:val="00215B50"/>
    <w:rsid w:val="00216A57"/>
    <w:rsid w:val="00216D18"/>
    <w:rsid w:val="00217448"/>
    <w:rsid w:val="00222292"/>
    <w:rsid w:val="0022334F"/>
    <w:rsid w:val="00226819"/>
    <w:rsid w:val="00233101"/>
    <w:rsid w:val="00233817"/>
    <w:rsid w:val="002367FF"/>
    <w:rsid w:val="00240CE9"/>
    <w:rsid w:val="002434BA"/>
    <w:rsid w:val="00246089"/>
    <w:rsid w:val="00246093"/>
    <w:rsid w:val="00246702"/>
    <w:rsid w:val="00247659"/>
    <w:rsid w:val="00247C59"/>
    <w:rsid w:val="00247F2E"/>
    <w:rsid w:val="00250ADC"/>
    <w:rsid w:val="00250B07"/>
    <w:rsid w:val="00253831"/>
    <w:rsid w:val="00254570"/>
    <w:rsid w:val="00257553"/>
    <w:rsid w:val="00260FB2"/>
    <w:rsid w:val="00262128"/>
    <w:rsid w:val="0027165D"/>
    <w:rsid w:val="00273CEB"/>
    <w:rsid w:val="00281C89"/>
    <w:rsid w:val="0028282F"/>
    <w:rsid w:val="002918E3"/>
    <w:rsid w:val="0029593B"/>
    <w:rsid w:val="00297FC5"/>
    <w:rsid w:val="002A0417"/>
    <w:rsid w:val="002A16D8"/>
    <w:rsid w:val="002A1BC8"/>
    <w:rsid w:val="002A3EF2"/>
    <w:rsid w:val="002A5244"/>
    <w:rsid w:val="002B0DED"/>
    <w:rsid w:val="002B19A2"/>
    <w:rsid w:val="002B381A"/>
    <w:rsid w:val="002B4FCC"/>
    <w:rsid w:val="002B7408"/>
    <w:rsid w:val="002B7CFD"/>
    <w:rsid w:val="002C0530"/>
    <w:rsid w:val="002C210F"/>
    <w:rsid w:val="002C3DFA"/>
    <w:rsid w:val="002C4B9B"/>
    <w:rsid w:val="002C5B1C"/>
    <w:rsid w:val="002C5F46"/>
    <w:rsid w:val="002D3600"/>
    <w:rsid w:val="002D5962"/>
    <w:rsid w:val="002D7D93"/>
    <w:rsid w:val="002E1D79"/>
    <w:rsid w:val="002E4CFF"/>
    <w:rsid w:val="002E4DDC"/>
    <w:rsid w:val="00302480"/>
    <w:rsid w:val="00302758"/>
    <w:rsid w:val="0030694C"/>
    <w:rsid w:val="003111DD"/>
    <w:rsid w:val="00314A01"/>
    <w:rsid w:val="003165E6"/>
    <w:rsid w:val="00316715"/>
    <w:rsid w:val="003215B5"/>
    <w:rsid w:val="003221CF"/>
    <w:rsid w:val="003227E0"/>
    <w:rsid w:val="003233ED"/>
    <w:rsid w:val="00324D9F"/>
    <w:rsid w:val="00327948"/>
    <w:rsid w:val="0033000F"/>
    <w:rsid w:val="00332011"/>
    <w:rsid w:val="00332518"/>
    <w:rsid w:val="00332925"/>
    <w:rsid w:val="00332E3F"/>
    <w:rsid w:val="003332ED"/>
    <w:rsid w:val="00334979"/>
    <w:rsid w:val="003368DC"/>
    <w:rsid w:val="00340DEA"/>
    <w:rsid w:val="00343D87"/>
    <w:rsid w:val="00345927"/>
    <w:rsid w:val="00350584"/>
    <w:rsid w:val="00351857"/>
    <w:rsid w:val="003545E8"/>
    <w:rsid w:val="003610E1"/>
    <w:rsid w:val="00366442"/>
    <w:rsid w:val="003671BE"/>
    <w:rsid w:val="00372485"/>
    <w:rsid w:val="00373200"/>
    <w:rsid w:val="00375EF5"/>
    <w:rsid w:val="003767A5"/>
    <w:rsid w:val="00381D15"/>
    <w:rsid w:val="00383378"/>
    <w:rsid w:val="0038457A"/>
    <w:rsid w:val="00385254"/>
    <w:rsid w:val="003853B4"/>
    <w:rsid w:val="003855A9"/>
    <w:rsid w:val="003933E8"/>
    <w:rsid w:val="00394031"/>
    <w:rsid w:val="00396DC2"/>
    <w:rsid w:val="003A04DB"/>
    <w:rsid w:val="003A5F5B"/>
    <w:rsid w:val="003A789A"/>
    <w:rsid w:val="003B12EC"/>
    <w:rsid w:val="003B2A1B"/>
    <w:rsid w:val="003B3C54"/>
    <w:rsid w:val="003B4DA9"/>
    <w:rsid w:val="003C03B8"/>
    <w:rsid w:val="003C77E0"/>
    <w:rsid w:val="003D17D7"/>
    <w:rsid w:val="003D2678"/>
    <w:rsid w:val="003D71A3"/>
    <w:rsid w:val="003E2B8A"/>
    <w:rsid w:val="003F10EE"/>
    <w:rsid w:val="003F16F6"/>
    <w:rsid w:val="003F4DC7"/>
    <w:rsid w:val="003F5235"/>
    <w:rsid w:val="003F6AB1"/>
    <w:rsid w:val="003F6E31"/>
    <w:rsid w:val="00400D67"/>
    <w:rsid w:val="004027E4"/>
    <w:rsid w:val="0041071D"/>
    <w:rsid w:val="00412ED5"/>
    <w:rsid w:val="00414AFC"/>
    <w:rsid w:val="004151A7"/>
    <w:rsid w:val="00415310"/>
    <w:rsid w:val="00415E78"/>
    <w:rsid w:val="00417993"/>
    <w:rsid w:val="00421709"/>
    <w:rsid w:val="00423763"/>
    <w:rsid w:val="0042762F"/>
    <w:rsid w:val="00427DC7"/>
    <w:rsid w:val="00431613"/>
    <w:rsid w:val="00431792"/>
    <w:rsid w:val="0043297A"/>
    <w:rsid w:val="00432EB2"/>
    <w:rsid w:val="00436B28"/>
    <w:rsid w:val="0043714F"/>
    <w:rsid w:val="004438B5"/>
    <w:rsid w:val="00447037"/>
    <w:rsid w:val="0045124D"/>
    <w:rsid w:val="00454596"/>
    <w:rsid w:val="0045605D"/>
    <w:rsid w:val="0046135B"/>
    <w:rsid w:val="00461D47"/>
    <w:rsid w:val="004718CC"/>
    <w:rsid w:val="00481695"/>
    <w:rsid w:val="00493DF6"/>
    <w:rsid w:val="00495A96"/>
    <w:rsid w:val="00495BB3"/>
    <w:rsid w:val="00495E93"/>
    <w:rsid w:val="004969D5"/>
    <w:rsid w:val="004A02C8"/>
    <w:rsid w:val="004A56BB"/>
    <w:rsid w:val="004A70D6"/>
    <w:rsid w:val="004B1751"/>
    <w:rsid w:val="004B5CCF"/>
    <w:rsid w:val="004B7B14"/>
    <w:rsid w:val="004C0253"/>
    <w:rsid w:val="004D5621"/>
    <w:rsid w:val="004D56FF"/>
    <w:rsid w:val="004E39D3"/>
    <w:rsid w:val="004E508A"/>
    <w:rsid w:val="004E616D"/>
    <w:rsid w:val="004F1BDE"/>
    <w:rsid w:val="004F2CEE"/>
    <w:rsid w:val="004F4BF5"/>
    <w:rsid w:val="004F556E"/>
    <w:rsid w:val="004F591C"/>
    <w:rsid w:val="004F7F44"/>
    <w:rsid w:val="005037B4"/>
    <w:rsid w:val="005079BF"/>
    <w:rsid w:val="0051269A"/>
    <w:rsid w:val="00512BD4"/>
    <w:rsid w:val="005219E7"/>
    <w:rsid w:val="005223F0"/>
    <w:rsid w:val="00527723"/>
    <w:rsid w:val="00531B9A"/>
    <w:rsid w:val="00531D15"/>
    <w:rsid w:val="005358CD"/>
    <w:rsid w:val="00536035"/>
    <w:rsid w:val="00537604"/>
    <w:rsid w:val="00542377"/>
    <w:rsid w:val="005476EB"/>
    <w:rsid w:val="00551782"/>
    <w:rsid w:val="00552F5B"/>
    <w:rsid w:val="00563EF1"/>
    <w:rsid w:val="00566AB4"/>
    <w:rsid w:val="0056735B"/>
    <w:rsid w:val="00573812"/>
    <w:rsid w:val="00574689"/>
    <w:rsid w:val="00574EC9"/>
    <w:rsid w:val="00575AC5"/>
    <w:rsid w:val="0057605D"/>
    <w:rsid w:val="00581347"/>
    <w:rsid w:val="00581AC9"/>
    <w:rsid w:val="005849F8"/>
    <w:rsid w:val="005909B9"/>
    <w:rsid w:val="005920A9"/>
    <w:rsid w:val="00592861"/>
    <w:rsid w:val="0059302D"/>
    <w:rsid w:val="005938DF"/>
    <w:rsid w:val="00594E9C"/>
    <w:rsid w:val="00597E98"/>
    <w:rsid w:val="005A099B"/>
    <w:rsid w:val="005A2D9C"/>
    <w:rsid w:val="005A55FE"/>
    <w:rsid w:val="005A6A11"/>
    <w:rsid w:val="005A7368"/>
    <w:rsid w:val="005B2F0D"/>
    <w:rsid w:val="005B3772"/>
    <w:rsid w:val="005C34EF"/>
    <w:rsid w:val="005C6221"/>
    <w:rsid w:val="005D226B"/>
    <w:rsid w:val="005D2502"/>
    <w:rsid w:val="005D40BB"/>
    <w:rsid w:val="005D47F3"/>
    <w:rsid w:val="005D49BF"/>
    <w:rsid w:val="005D4AA5"/>
    <w:rsid w:val="005D6F4E"/>
    <w:rsid w:val="005D7C73"/>
    <w:rsid w:val="005E0A65"/>
    <w:rsid w:val="005E250B"/>
    <w:rsid w:val="005E3ACD"/>
    <w:rsid w:val="005E7226"/>
    <w:rsid w:val="005E7A57"/>
    <w:rsid w:val="005F24B0"/>
    <w:rsid w:val="00601785"/>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4373"/>
    <w:rsid w:val="00645915"/>
    <w:rsid w:val="00646CC4"/>
    <w:rsid w:val="006519C3"/>
    <w:rsid w:val="00652B30"/>
    <w:rsid w:val="0065307A"/>
    <w:rsid w:val="00655DDA"/>
    <w:rsid w:val="00656345"/>
    <w:rsid w:val="00656DC6"/>
    <w:rsid w:val="00660EC6"/>
    <w:rsid w:val="0066258C"/>
    <w:rsid w:val="00664110"/>
    <w:rsid w:val="00664214"/>
    <w:rsid w:val="00664D17"/>
    <w:rsid w:val="00666520"/>
    <w:rsid w:val="00667C5B"/>
    <w:rsid w:val="00672001"/>
    <w:rsid w:val="00682691"/>
    <w:rsid w:val="00690DCD"/>
    <w:rsid w:val="00691EB8"/>
    <w:rsid w:val="00692CDE"/>
    <w:rsid w:val="00693073"/>
    <w:rsid w:val="006977FF"/>
    <w:rsid w:val="006A01FA"/>
    <w:rsid w:val="006A0E9E"/>
    <w:rsid w:val="006A25C7"/>
    <w:rsid w:val="006A4AAD"/>
    <w:rsid w:val="006A4CCA"/>
    <w:rsid w:val="006A6DA2"/>
    <w:rsid w:val="006A78FF"/>
    <w:rsid w:val="006A7AB2"/>
    <w:rsid w:val="006B52DE"/>
    <w:rsid w:val="006B5717"/>
    <w:rsid w:val="006B582F"/>
    <w:rsid w:val="006B5EB2"/>
    <w:rsid w:val="006C0CEB"/>
    <w:rsid w:val="006C1631"/>
    <w:rsid w:val="006C3B1E"/>
    <w:rsid w:val="006C47FD"/>
    <w:rsid w:val="006C5C19"/>
    <w:rsid w:val="006C63F9"/>
    <w:rsid w:val="006C70A0"/>
    <w:rsid w:val="006D1027"/>
    <w:rsid w:val="006D1F85"/>
    <w:rsid w:val="006D27CB"/>
    <w:rsid w:val="006D2F08"/>
    <w:rsid w:val="006D576C"/>
    <w:rsid w:val="006D5865"/>
    <w:rsid w:val="006D6E9D"/>
    <w:rsid w:val="006E09BE"/>
    <w:rsid w:val="006E4B1B"/>
    <w:rsid w:val="006E5445"/>
    <w:rsid w:val="006E7D93"/>
    <w:rsid w:val="006F1A1C"/>
    <w:rsid w:val="0070133D"/>
    <w:rsid w:val="007029A3"/>
    <w:rsid w:val="00706E4E"/>
    <w:rsid w:val="0070791C"/>
    <w:rsid w:val="0071383C"/>
    <w:rsid w:val="007141A7"/>
    <w:rsid w:val="00715722"/>
    <w:rsid w:val="00715BAF"/>
    <w:rsid w:val="0071796B"/>
    <w:rsid w:val="00721032"/>
    <w:rsid w:val="00721B55"/>
    <w:rsid w:val="007253B5"/>
    <w:rsid w:val="00726CE4"/>
    <w:rsid w:val="00734143"/>
    <w:rsid w:val="0073547D"/>
    <w:rsid w:val="00737E47"/>
    <w:rsid w:val="00740EAC"/>
    <w:rsid w:val="00744956"/>
    <w:rsid w:val="00745A5C"/>
    <w:rsid w:val="0074605F"/>
    <w:rsid w:val="00747E94"/>
    <w:rsid w:val="00754C83"/>
    <w:rsid w:val="00761E5C"/>
    <w:rsid w:val="00765DF8"/>
    <w:rsid w:val="00766749"/>
    <w:rsid w:val="00767C1B"/>
    <w:rsid w:val="00770B3F"/>
    <w:rsid w:val="007714A9"/>
    <w:rsid w:val="0077204F"/>
    <w:rsid w:val="00774F88"/>
    <w:rsid w:val="00774FDB"/>
    <w:rsid w:val="00777BA2"/>
    <w:rsid w:val="00781408"/>
    <w:rsid w:val="00784F7F"/>
    <w:rsid w:val="007878BD"/>
    <w:rsid w:val="00796F25"/>
    <w:rsid w:val="007A2E98"/>
    <w:rsid w:val="007A3BA3"/>
    <w:rsid w:val="007A6CC0"/>
    <w:rsid w:val="007A7FEC"/>
    <w:rsid w:val="007B0ADF"/>
    <w:rsid w:val="007B1087"/>
    <w:rsid w:val="007B1499"/>
    <w:rsid w:val="007B1BBF"/>
    <w:rsid w:val="007B23C4"/>
    <w:rsid w:val="007B2960"/>
    <w:rsid w:val="007B355D"/>
    <w:rsid w:val="007B7980"/>
    <w:rsid w:val="007C0DEF"/>
    <w:rsid w:val="007C1D3E"/>
    <w:rsid w:val="007C5D5A"/>
    <w:rsid w:val="007C607F"/>
    <w:rsid w:val="007C79DD"/>
    <w:rsid w:val="007D1A97"/>
    <w:rsid w:val="007D2CD6"/>
    <w:rsid w:val="007D3063"/>
    <w:rsid w:val="007D3CEB"/>
    <w:rsid w:val="007D6D39"/>
    <w:rsid w:val="007E6A9A"/>
    <w:rsid w:val="007E7683"/>
    <w:rsid w:val="007F49FA"/>
    <w:rsid w:val="007F54C4"/>
    <w:rsid w:val="007F6E9A"/>
    <w:rsid w:val="00800CCD"/>
    <w:rsid w:val="008044D4"/>
    <w:rsid w:val="008071F7"/>
    <w:rsid w:val="00810AB4"/>
    <w:rsid w:val="008126BF"/>
    <w:rsid w:val="00812F3A"/>
    <w:rsid w:val="00817B56"/>
    <w:rsid w:val="00821A88"/>
    <w:rsid w:val="00822AD3"/>
    <w:rsid w:val="0082322E"/>
    <w:rsid w:val="0082495D"/>
    <w:rsid w:val="00825158"/>
    <w:rsid w:val="0082784C"/>
    <w:rsid w:val="00831AC3"/>
    <w:rsid w:val="00836FCE"/>
    <w:rsid w:val="00837E37"/>
    <w:rsid w:val="008408FF"/>
    <w:rsid w:val="00845F19"/>
    <w:rsid w:val="00845F8B"/>
    <w:rsid w:val="00850B68"/>
    <w:rsid w:val="00851F3F"/>
    <w:rsid w:val="00856EDC"/>
    <w:rsid w:val="008623B5"/>
    <w:rsid w:val="00864F29"/>
    <w:rsid w:val="00865474"/>
    <w:rsid w:val="00870ABA"/>
    <w:rsid w:val="008710E1"/>
    <w:rsid w:val="008716E5"/>
    <w:rsid w:val="0087482A"/>
    <w:rsid w:val="008751ED"/>
    <w:rsid w:val="00881CA9"/>
    <w:rsid w:val="00883628"/>
    <w:rsid w:val="00885544"/>
    <w:rsid w:val="0088634E"/>
    <w:rsid w:val="00891114"/>
    <w:rsid w:val="00893AB8"/>
    <w:rsid w:val="00893E06"/>
    <w:rsid w:val="008A04C8"/>
    <w:rsid w:val="008A16AC"/>
    <w:rsid w:val="008A4E95"/>
    <w:rsid w:val="008A6913"/>
    <w:rsid w:val="008B2B36"/>
    <w:rsid w:val="008B70F3"/>
    <w:rsid w:val="008B71C4"/>
    <w:rsid w:val="008B76DF"/>
    <w:rsid w:val="008C10F4"/>
    <w:rsid w:val="008C18C0"/>
    <w:rsid w:val="008C65F7"/>
    <w:rsid w:val="008E4767"/>
    <w:rsid w:val="008E7A8C"/>
    <w:rsid w:val="0090203B"/>
    <w:rsid w:val="009020CB"/>
    <w:rsid w:val="00903285"/>
    <w:rsid w:val="0090426B"/>
    <w:rsid w:val="00906F40"/>
    <w:rsid w:val="0090731E"/>
    <w:rsid w:val="009109AA"/>
    <w:rsid w:val="00911729"/>
    <w:rsid w:val="00914426"/>
    <w:rsid w:val="00915B1C"/>
    <w:rsid w:val="00915ED1"/>
    <w:rsid w:val="009174F3"/>
    <w:rsid w:val="0091797D"/>
    <w:rsid w:val="0092266F"/>
    <w:rsid w:val="00923CBA"/>
    <w:rsid w:val="00924F14"/>
    <w:rsid w:val="00926703"/>
    <w:rsid w:val="00927691"/>
    <w:rsid w:val="00927A5F"/>
    <w:rsid w:val="00930510"/>
    <w:rsid w:val="00935B63"/>
    <w:rsid w:val="00936E95"/>
    <w:rsid w:val="0094078F"/>
    <w:rsid w:val="00940FA3"/>
    <w:rsid w:val="00941FB0"/>
    <w:rsid w:val="009426D4"/>
    <w:rsid w:val="009448A0"/>
    <w:rsid w:val="00944D8B"/>
    <w:rsid w:val="00947F25"/>
    <w:rsid w:val="00950159"/>
    <w:rsid w:val="0095168E"/>
    <w:rsid w:val="0095490B"/>
    <w:rsid w:val="00960A33"/>
    <w:rsid w:val="0096529A"/>
    <w:rsid w:val="00965AEB"/>
    <w:rsid w:val="009711F7"/>
    <w:rsid w:val="00971914"/>
    <w:rsid w:val="00974363"/>
    <w:rsid w:val="00981898"/>
    <w:rsid w:val="00987C05"/>
    <w:rsid w:val="0099577C"/>
    <w:rsid w:val="009A021C"/>
    <w:rsid w:val="009A25CC"/>
    <w:rsid w:val="009B24A5"/>
    <w:rsid w:val="009B2601"/>
    <w:rsid w:val="009B4E9E"/>
    <w:rsid w:val="009B6299"/>
    <w:rsid w:val="009C1690"/>
    <w:rsid w:val="009C428A"/>
    <w:rsid w:val="009C6881"/>
    <w:rsid w:val="009C7759"/>
    <w:rsid w:val="009D043D"/>
    <w:rsid w:val="009D07C8"/>
    <w:rsid w:val="009D15FE"/>
    <w:rsid w:val="009D4C85"/>
    <w:rsid w:val="009D6C71"/>
    <w:rsid w:val="009D7F7C"/>
    <w:rsid w:val="009E0631"/>
    <w:rsid w:val="009E16D0"/>
    <w:rsid w:val="009E2021"/>
    <w:rsid w:val="009E2051"/>
    <w:rsid w:val="009E38FD"/>
    <w:rsid w:val="009E55B0"/>
    <w:rsid w:val="009E7C16"/>
    <w:rsid w:val="009F13D6"/>
    <w:rsid w:val="009F4C6B"/>
    <w:rsid w:val="009F78A8"/>
    <w:rsid w:val="00A00D13"/>
    <w:rsid w:val="00A02AD6"/>
    <w:rsid w:val="00A07096"/>
    <w:rsid w:val="00A07318"/>
    <w:rsid w:val="00A11370"/>
    <w:rsid w:val="00A1314B"/>
    <w:rsid w:val="00A224CE"/>
    <w:rsid w:val="00A22522"/>
    <w:rsid w:val="00A24AFD"/>
    <w:rsid w:val="00A24F5C"/>
    <w:rsid w:val="00A32F96"/>
    <w:rsid w:val="00A40871"/>
    <w:rsid w:val="00A412AB"/>
    <w:rsid w:val="00A4193E"/>
    <w:rsid w:val="00A440E0"/>
    <w:rsid w:val="00A442EF"/>
    <w:rsid w:val="00A46E59"/>
    <w:rsid w:val="00A51D1A"/>
    <w:rsid w:val="00A5418D"/>
    <w:rsid w:val="00A5474E"/>
    <w:rsid w:val="00A64234"/>
    <w:rsid w:val="00A70ADF"/>
    <w:rsid w:val="00A71466"/>
    <w:rsid w:val="00A74B5E"/>
    <w:rsid w:val="00A81BED"/>
    <w:rsid w:val="00A81EC4"/>
    <w:rsid w:val="00A824E8"/>
    <w:rsid w:val="00A83FC2"/>
    <w:rsid w:val="00A84CBE"/>
    <w:rsid w:val="00A96137"/>
    <w:rsid w:val="00A967FD"/>
    <w:rsid w:val="00AA2DE5"/>
    <w:rsid w:val="00AB1267"/>
    <w:rsid w:val="00AB156C"/>
    <w:rsid w:val="00AB6814"/>
    <w:rsid w:val="00AC04BA"/>
    <w:rsid w:val="00AC0E39"/>
    <w:rsid w:val="00AD3082"/>
    <w:rsid w:val="00AD32B4"/>
    <w:rsid w:val="00AD4AD0"/>
    <w:rsid w:val="00AD5436"/>
    <w:rsid w:val="00AD60CD"/>
    <w:rsid w:val="00AD6C8C"/>
    <w:rsid w:val="00AE091D"/>
    <w:rsid w:val="00AE1222"/>
    <w:rsid w:val="00AE3B60"/>
    <w:rsid w:val="00AE51DE"/>
    <w:rsid w:val="00AE53A1"/>
    <w:rsid w:val="00AE5D98"/>
    <w:rsid w:val="00AF2484"/>
    <w:rsid w:val="00AF63E7"/>
    <w:rsid w:val="00AF6E17"/>
    <w:rsid w:val="00B0165D"/>
    <w:rsid w:val="00B01B60"/>
    <w:rsid w:val="00B031F3"/>
    <w:rsid w:val="00B04459"/>
    <w:rsid w:val="00B052A4"/>
    <w:rsid w:val="00B1165E"/>
    <w:rsid w:val="00B125DE"/>
    <w:rsid w:val="00B13FDD"/>
    <w:rsid w:val="00B22EB2"/>
    <w:rsid w:val="00B27442"/>
    <w:rsid w:val="00B302F8"/>
    <w:rsid w:val="00B31167"/>
    <w:rsid w:val="00B329D8"/>
    <w:rsid w:val="00B32BB9"/>
    <w:rsid w:val="00B33AE1"/>
    <w:rsid w:val="00B35CBE"/>
    <w:rsid w:val="00B37C38"/>
    <w:rsid w:val="00B4119D"/>
    <w:rsid w:val="00B41ACC"/>
    <w:rsid w:val="00B4288C"/>
    <w:rsid w:val="00B43262"/>
    <w:rsid w:val="00B44100"/>
    <w:rsid w:val="00B46CBA"/>
    <w:rsid w:val="00B46F94"/>
    <w:rsid w:val="00B56FA7"/>
    <w:rsid w:val="00B6003C"/>
    <w:rsid w:val="00B61F03"/>
    <w:rsid w:val="00B626E4"/>
    <w:rsid w:val="00B66A92"/>
    <w:rsid w:val="00B70431"/>
    <w:rsid w:val="00B72F4A"/>
    <w:rsid w:val="00B8190C"/>
    <w:rsid w:val="00B83C27"/>
    <w:rsid w:val="00B84BC3"/>
    <w:rsid w:val="00B84BDD"/>
    <w:rsid w:val="00B92812"/>
    <w:rsid w:val="00B933FF"/>
    <w:rsid w:val="00BA1CEC"/>
    <w:rsid w:val="00BA39E6"/>
    <w:rsid w:val="00BA46E0"/>
    <w:rsid w:val="00BA5409"/>
    <w:rsid w:val="00BB45A1"/>
    <w:rsid w:val="00BB6335"/>
    <w:rsid w:val="00BB7686"/>
    <w:rsid w:val="00BB7802"/>
    <w:rsid w:val="00BC23F9"/>
    <w:rsid w:val="00BC3421"/>
    <w:rsid w:val="00BC732C"/>
    <w:rsid w:val="00BD3FC0"/>
    <w:rsid w:val="00BD4421"/>
    <w:rsid w:val="00BE2580"/>
    <w:rsid w:val="00BE266D"/>
    <w:rsid w:val="00BE3178"/>
    <w:rsid w:val="00BE3938"/>
    <w:rsid w:val="00BE4C11"/>
    <w:rsid w:val="00BE71C0"/>
    <w:rsid w:val="00BF0A36"/>
    <w:rsid w:val="00BF34F5"/>
    <w:rsid w:val="00BF373D"/>
    <w:rsid w:val="00BF610C"/>
    <w:rsid w:val="00BF69E7"/>
    <w:rsid w:val="00C0060B"/>
    <w:rsid w:val="00C01A6C"/>
    <w:rsid w:val="00C0277D"/>
    <w:rsid w:val="00C02F26"/>
    <w:rsid w:val="00C03B4D"/>
    <w:rsid w:val="00C053A1"/>
    <w:rsid w:val="00C149A5"/>
    <w:rsid w:val="00C16198"/>
    <w:rsid w:val="00C2083D"/>
    <w:rsid w:val="00C24A53"/>
    <w:rsid w:val="00C34146"/>
    <w:rsid w:val="00C34728"/>
    <w:rsid w:val="00C34A05"/>
    <w:rsid w:val="00C35CCE"/>
    <w:rsid w:val="00C4032F"/>
    <w:rsid w:val="00C41F21"/>
    <w:rsid w:val="00C44047"/>
    <w:rsid w:val="00C44126"/>
    <w:rsid w:val="00C45155"/>
    <w:rsid w:val="00C5498F"/>
    <w:rsid w:val="00C54F8C"/>
    <w:rsid w:val="00C55235"/>
    <w:rsid w:val="00C60F78"/>
    <w:rsid w:val="00C61578"/>
    <w:rsid w:val="00C64CD0"/>
    <w:rsid w:val="00C652D6"/>
    <w:rsid w:val="00C65F61"/>
    <w:rsid w:val="00C6684F"/>
    <w:rsid w:val="00C66A60"/>
    <w:rsid w:val="00C707DE"/>
    <w:rsid w:val="00C70E70"/>
    <w:rsid w:val="00C74331"/>
    <w:rsid w:val="00C75C50"/>
    <w:rsid w:val="00C75F8D"/>
    <w:rsid w:val="00C77380"/>
    <w:rsid w:val="00C80038"/>
    <w:rsid w:val="00C822D1"/>
    <w:rsid w:val="00C87E8A"/>
    <w:rsid w:val="00C9126E"/>
    <w:rsid w:val="00C913D6"/>
    <w:rsid w:val="00C96651"/>
    <w:rsid w:val="00C97736"/>
    <w:rsid w:val="00CA345A"/>
    <w:rsid w:val="00CB18B9"/>
    <w:rsid w:val="00CB1E82"/>
    <w:rsid w:val="00CB2AF0"/>
    <w:rsid w:val="00CB4BA8"/>
    <w:rsid w:val="00CB52D7"/>
    <w:rsid w:val="00CC6732"/>
    <w:rsid w:val="00CD5481"/>
    <w:rsid w:val="00CD6ACF"/>
    <w:rsid w:val="00CE3C96"/>
    <w:rsid w:val="00CE4603"/>
    <w:rsid w:val="00CE51A8"/>
    <w:rsid w:val="00CF0BFE"/>
    <w:rsid w:val="00CF369B"/>
    <w:rsid w:val="00CF7281"/>
    <w:rsid w:val="00D00E28"/>
    <w:rsid w:val="00D0269E"/>
    <w:rsid w:val="00D05D6C"/>
    <w:rsid w:val="00D1534E"/>
    <w:rsid w:val="00D15810"/>
    <w:rsid w:val="00D16D4E"/>
    <w:rsid w:val="00D16FE3"/>
    <w:rsid w:val="00D23BA2"/>
    <w:rsid w:val="00D26DB1"/>
    <w:rsid w:val="00D27F41"/>
    <w:rsid w:val="00D34EFE"/>
    <w:rsid w:val="00D36441"/>
    <w:rsid w:val="00D37BC4"/>
    <w:rsid w:val="00D4064E"/>
    <w:rsid w:val="00D44E9B"/>
    <w:rsid w:val="00D47AEB"/>
    <w:rsid w:val="00D50DB9"/>
    <w:rsid w:val="00D51302"/>
    <w:rsid w:val="00D52C43"/>
    <w:rsid w:val="00D54A31"/>
    <w:rsid w:val="00D57F55"/>
    <w:rsid w:val="00D61243"/>
    <w:rsid w:val="00D6311A"/>
    <w:rsid w:val="00D6507F"/>
    <w:rsid w:val="00D730BC"/>
    <w:rsid w:val="00D73912"/>
    <w:rsid w:val="00D84D46"/>
    <w:rsid w:val="00D85226"/>
    <w:rsid w:val="00D87B94"/>
    <w:rsid w:val="00D90CDC"/>
    <w:rsid w:val="00D92D49"/>
    <w:rsid w:val="00D92EC1"/>
    <w:rsid w:val="00D96DEA"/>
    <w:rsid w:val="00DA3CBB"/>
    <w:rsid w:val="00DA4E41"/>
    <w:rsid w:val="00DB0E0F"/>
    <w:rsid w:val="00DB117A"/>
    <w:rsid w:val="00DB199A"/>
    <w:rsid w:val="00DB33DF"/>
    <w:rsid w:val="00DB5173"/>
    <w:rsid w:val="00DB7873"/>
    <w:rsid w:val="00DC187B"/>
    <w:rsid w:val="00DD1A43"/>
    <w:rsid w:val="00DD73C2"/>
    <w:rsid w:val="00DE319B"/>
    <w:rsid w:val="00DE62E5"/>
    <w:rsid w:val="00DF2EE0"/>
    <w:rsid w:val="00DF34FE"/>
    <w:rsid w:val="00DF56AA"/>
    <w:rsid w:val="00DF56AF"/>
    <w:rsid w:val="00DF78E7"/>
    <w:rsid w:val="00E051F2"/>
    <w:rsid w:val="00E110E0"/>
    <w:rsid w:val="00E15371"/>
    <w:rsid w:val="00E21056"/>
    <w:rsid w:val="00E24104"/>
    <w:rsid w:val="00E302D0"/>
    <w:rsid w:val="00E31CD2"/>
    <w:rsid w:val="00E34031"/>
    <w:rsid w:val="00E35707"/>
    <w:rsid w:val="00E36AA1"/>
    <w:rsid w:val="00E40C84"/>
    <w:rsid w:val="00E40DED"/>
    <w:rsid w:val="00E41ECB"/>
    <w:rsid w:val="00E42676"/>
    <w:rsid w:val="00E42AEB"/>
    <w:rsid w:val="00E45CDE"/>
    <w:rsid w:val="00E53651"/>
    <w:rsid w:val="00E54FDB"/>
    <w:rsid w:val="00E5617D"/>
    <w:rsid w:val="00E563D7"/>
    <w:rsid w:val="00E663F4"/>
    <w:rsid w:val="00E666F2"/>
    <w:rsid w:val="00E66DD4"/>
    <w:rsid w:val="00E71872"/>
    <w:rsid w:val="00E748CC"/>
    <w:rsid w:val="00E75415"/>
    <w:rsid w:val="00E775B1"/>
    <w:rsid w:val="00E810A7"/>
    <w:rsid w:val="00E8152A"/>
    <w:rsid w:val="00E93629"/>
    <w:rsid w:val="00E93B5C"/>
    <w:rsid w:val="00E94CEC"/>
    <w:rsid w:val="00E94DAB"/>
    <w:rsid w:val="00E958F3"/>
    <w:rsid w:val="00EA04EF"/>
    <w:rsid w:val="00EA6C79"/>
    <w:rsid w:val="00EA6F19"/>
    <w:rsid w:val="00EB7090"/>
    <w:rsid w:val="00EC1BBE"/>
    <w:rsid w:val="00EC2B68"/>
    <w:rsid w:val="00EC3AEF"/>
    <w:rsid w:val="00EC5CD7"/>
    <w:rsid w:val="00EC64EB"/>
    <w:rsid w:val="00ED1C5A"/>
    <w:rsid w:val="00ED4214"/>
    <w:rsid w:val="00ED6215"/>
    <w:rsid w:val="00EE5FB3"/>
    <w:rsid w:val="00EE7F79"/>
    <w:rsid w:val="00EF1697"/>
    <w:rsid w:val="00EF715A"/>
    <w:rsid w:val="00F042A3"/>
    <w:rsid w:val="00F05E08"/>
    <w:rsid w:val="00F06E14"/>
    <w:rsid w:val="00F137E9"/>
    <w:rsid w:val="00F179D4"/>
    <w:rsid w:val="00F20527"/>
    <w:rsid w:val="00F22A23"/>
    <w:rsid w:val="00F22F24"/>
    <w:rsid w:val="00F31709"/>
    <w:rsid w:val="00F318EB"/>
    <w:rsid w:val="00F32ACB"/>
    <w:rsid w:val="00F33C56"/>
    <w:rsid w:val="00F347C7"/>
    <w:rsid w:val="00F34848"/>
    <w:rsid w:val="00F35E09"/>
    <w:rsid w:val="00F40413"/>
    <w:rsid w:val="00F42D46"/>
    <w:rsid w:val="00F43018"/>
    <w:rsid w:val="00F4496C"/>
    <w:rsid w:val="00F44F3A"/>
    <w:rsid w:val="00F51F10"/>
    <w:rsid w:val="00F529A5"/>
    <w:rsid w:val="00F5310D"/>
    <w:rsid w:val="00F60F00"/>
    <w:rsid w:val="00F614C0"/>
    <w:rsid w:val="00F701F4"/>
    <w:rsid w:val="00F8344D"/>
    <w:rsid w:val="00F83848"/>
    <w:rsid w:val="00F975E9"/>
    <w:rsid w:val="00FA1B7D"/>
    <w:rsid w:val="00FB590C"/>
    <w:rsid w:val="00FC07B9"/>
    <w:rsid w:val="00FC4E21"/>
    <w:rsid w:val="00FC5F6D"/>
    <w:rsid w:val="00FD0107"/>
    <w:rsid w:val="00FD2C2F"/>
    <w:rsid w:val="00FD3B31"/>
    <w:rsid w:val="00FD5366"/>
    <w:rsid w:val="00FE1823"/>
    <w:rsid w:val="00FE487A"/>
    <w:rsid w:val="00FE739F"/>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colormru v:ext="edit" colors="red,#4d4d4f"/>
    </o:shapedefaults>
    <o:shapelayout v:ext="edit">
      <o:idmap v:ext="edit" data="1"/>
    </o:shapelayout>
  </w:shapeDefaults>
  <w:decimalSymbol w:val="."/>
  <w:listSeparator w:val=","/>
  <w14:docId w14:val="7BEB77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uiPriority="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D1534E"/>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1"/>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2">
    <w:name w:val="List Bullet 2"/>
    <w:basedOn w:val="Normal"/>
    <w:semiHidden/>
    <w:qFormat/>
    <w:rsid w:val="001C6AEE"/>
    <w:pPr>
      <w:numPr>
        <w:numId w:val="3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aliases w:val="Footnote text,ACMA Footnote Text"/>
    <w:basedOn w:val="Normal"/>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F05E08"/>
    <w:pPr>
      <w:spacing w:after="80"/>
      <w:contextualSpacing w:val="0"/>
    </w:pPr>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1"/>
    <w:rsid w:val="00D1534E"/>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F05E08"/>
    <w:pPr>
      <w:ind w:left="590" w:hanging="295"/>
    </w:pPr>
    <w:rPr>
      <w:rFonts w:cs="Arial"/>
    </w:rPr>
  </w:style>
  <w:style w:type="paragraph" w:customStyle="1" w:styleId="Bulletlevel1last">
    <w:name w:val="Bullet level 1 last"/>
    <w:basedOn w:val="Normal"/>
    <w:uiPriority w:val="6"/>
    <w:qFormat/>
    <w:rsid w:val="00F05E08"/>
    <w:pPr>
      <w:tabs>
        <w:tab w:val="num" w:pos="295"/>
      </w:tabs>
      <w:ind w:left="295" w:hanging="295"/>
    </w:pPr>
    <w:rPr>
      <w:rFonts w:cs="Arial"/>
    </w:rPr>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F05E08"/>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D1534E"/>
    <w:pPr>
      <w:tabs>
        <w:tab w:val="left" w:pos="720"/>
      </w:tabs>
      <w:spacing w:after="0" w:line="240" w:lineRule="auto"/>
      <w:jc w:val="center"/>
    </w:pPr>
    <w:rPr>
      <w:rFonts w:cs="Arial"/>
      <w:b/>
      <w:bCs/>
      <w:color w:val="FF0000"/>
      <w:sz w:val="32"/>
      <w:lang w:eastAsia="en-US"/>
    </w:rPr>
  </w:style>
  <w:style w:type="paragraph" w:customStyle="1" w:styleId="TableHeading0">
    <w:name w:val="Table Heading"/>
    <w:basedOn w:val="Normal"/>
    <w:semiHidden/>
    <w:qFormat/>
    <w:rsid w:val="00D1534E"/>
    <w:pPr>
      <w:spacing w:after="0"/>
    </w:pPr>
    <w:rPr>
      <w:b/>
    </w:rPr>
  </w:style>
  <w:style w:type="paragraph" w:styleId="ListParagraph">
    <w:name w:val="List Paragraph"/>
    <w:basedOn w:val="Normal"/>
    <w:uiPriority w:val="34"/>
    <w:qFormat/>
    <w:rsid w:val="000D5DB0"/>
    <w:pPr>
      <w:spacing w:before="80" w:after="120" w:line="280" w:lineRule="atLeast"/>
      <w:ind w:left="720"/>
      <w:contextualSpacing/>
    </w:pPr>
    <w:rPr>
      <w:rFonts w:ascii="Times New Roman" w:hAnsi="Times New Roman"/>
      <w:sz w:val="24"/>
      <w:lang w:eastAsia="en-US"/>
    </w:rPr>
  </w:style>
  <w:style w:type="paragraph" w:styleId="ListBullet">
    <w:name w:val="List Bullet"/>
    <w:basedOn w:val="Normal"/>
    <w:unhideWhenUsed/>
    <w:qFormat/>
    <w:rsid w:val="00C60F78"/>
    <w:pPr>
      <w:numPr>
        <w:numId w:val="30"/>
      </w:numPr>
      <w:contextualSpacing/>
    </w:pPr>
  </w:style>
  <w:style w:type="paragraph" w:styleId="Revision">
    <w:name w:val="Revision"/>
    <w:hidden/>
    <w:semiHidden/>
    <w:rsid w:val="0002684A"/>
    <w:rPr>
      <w:rFonts w:ascii="Arial" w:hAnsi="Arial"/>
      <w:sz w:val="20"/>
    </w:rPr>
  </w:style>
  <w:style w:type="paragraph" w:customStyle="1" w:styleId="acmanumberedlist">
    <w:name w:val="acmanumberedlist"/>
    <w:basedOn w:val="Normal"/>
    <w:rsid w:val="00ED4214"/>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5387">
      <w:bodyDiv w:val="1"/>
      <w:marLeft w:val="0"/>
      <w:marRight w:val="0"/>
      <w:marTop w:val="0"/>
      <w:marBottom w:val="0"/>
      <w:divBdr>
        <w:top w:val="none" w:sz="0" w:space="0" w:color="auto"/>
        <w:left w:val="none" w:sz="0" w:space="0" w:color="auto"/>
        <w:bottom w:val="none" w:sz="0" w:space="0" w:color="auto"/>
        <w:right w:val="none" w:sz="0" w:space="0" w:color="auto"/>
      </w:divBdr>
    </w:div>
    <w:div w:id="161552464">
      <w:bodyDiv w:val="1"/>
      <w:marLeft w:val="0"/>
      <w:marRight w:val="0"/>
      <w:marTop w:val="0"/>
      <w:marBottom w:val="0"/>
      <w:divBdr>
        <w:top w:val="none" w:sz="0" w:space="0" w:color="auto"/>
        <w:left w:val="none" w:sz="0" w:space="0" w:color="auto"/>
        <w:bottom w:val="none" w:sz="0" w:space="0" w:color="auto"/>
        <w:right w:val="none" w:sz="0" w:space="0" w:color="auto"/>
      </w:divBdr>
    </w:div>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753358117">
      <w:bodyDiv w:val="1"/>
      <w:marLeft w:val="0"/>
      <w:marRight w:val="0"/>
      <w:marTop w:val="0"/>
      <w:marBottom w:val="0"/>
      <w:divBdr>
        <w:top w:val="none" w:sz="0" w:space="0" w:color="auto"/>
        <w:left w:val="none" w:sz="0" w:space="0" w:color="auto"/>
        <w:bottom w:val="none" w:sz="0" w:space="0" w:color="auto"/>
        <w:right w:val="none" w:sz="0" w:space="0" w:color="auto"/>
      </w:divBdr>
    </w:div>
    <w:div w:id="864751345">
      <w:bodyDiv w:val="1"/>
      <w:marLeft w:val="0"/>
      <w:marRight w:val="0"/>
      <w:marTop w:val="0"/>
      <w:marBottom w:val="0"/>
      <w:divBdr>
        <w:top w:val="none" w:sz="0" w:space="0" w:color="auto"/>
        <w:left w:val="none" w:sz="0" w:space="0" w:color="auto"/>
        <w:bottom w:val="none" w:sz="0" w:space="0" w:color="auto"/>
        <w:right w:val="none" w:sz="0" w:space="0" w:color="auto"/>
      </w:divBdr>
    </w:div>
    <w:div w:id="1020857318">
      <w:bodyDiv w:val="1"/>
      <w:marLeft w:val="0"/>
      <w:marRight w:val="0"/>
      <w:marTop w:val="0"/>
      <w:marBottom w:val="0"/>
      <w:divBdr>
        <w:top w:val="none" w:sz="0" w:space="0" w:color="auto"/>
        <w:left w:val="none" w:sz="0" w:space="0" w:color="auto"/>
        <w:bottom w:val="none" w:sz="0" w:space="0" w:color="auto"/>
        <w:right w:val="none" w:sz="0" w:space="0" w:color="auto"/>
      </w:divBdr>
    </w:div>
    <w:div w:id="1076439042">
      <w:bodyDiv w:val="1"/>
      <w:marLeft w:val="0"/>
      <w:marRight w:val="0"/>
      <w:marTop w:val="0"/>
      <w:marBottom w:val="0"/>
      <w:divBdr>
        <w:top w:val="none" w:sz="0" w:space="0" w:color="auto"/>
        <w:left w:val="none" w:sz="0" w:space="0" w:color="auto"/>
        <w:bottom w:val="none" w:sz="0" w:space="0" w:color="auto"/>
        <w:right w:val="none" w:sz="0" w:space="0" w:color="auto"/>
      </w:divBdr>
    </w:div>
    <w:div w:id="1102535378">
      <w:bodyDiv w:val="1"/>
      <w:marLeft w:val="0"/>
      <w:marRight w:val="0"/>
      <w:marTop w:val="0"/>
      <w:marBottom w:val="0"/>
      <w:divBdr>
        <w:top w:val="none" w:sz="0" w:space="0" w:color="auto"/>
        <w:left w:val="none" w:sz="0" w:space="0" w:color="auto"/>
        <w:bottom w:val="none" w:sz="0" w:space="0" w:color="auto"/>
        <w:right w:val="none" w:sz="0" w:space="0" w:color="auto"/>
      </w:divBdr>
    </w:div>
    <w:div w:id="117148593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78673367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mailto:haveyoursay@acma.gov.au"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have-your-say"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Details/F2011L02710" TargetMode="External"/><Relationship Id="rId32"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privacy-policy"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footer" Target="foot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publication-submissions" TargetMode="External"/><Relationship Id="rId30" Type="http://schemas.openxmlformats.org/officeDocument/2006/relationships/header" Target="header8.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B5F365-6C44-4D17-98EC-A8F413561C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1385</Words>
  <Characters>7898</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9265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2021-12-20T23:45:00Z</dcterms:created>
  <dcterms:modified xsi:type="dcterms:W3CDTF">2021-12-20T23:46:00Z</dcterms:modified>
  <cp:category/>
</cp:coreProperties>
</file>