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3DBE394" w14:textId="77777777" w:rsidR="003465BB" w:rsidRPr="00B24949" w:rsidRDefault="003465BB" w:rsidP="00B312A5">
      <w:pPr>
        <w:pStyle w:val="Heading1"/>
        <w:rPr>
          <w:sz w:val="24"/>
          <w:szCs w:val="24"/>
        </w:rPr>
      </w:pPr>
      <w:r w:rsidRPr="00B24949">
        <w:rPr>
          <w:sz w:val="24"/>
          <w:szCs w:val="24"/>
        </w:rPr>
        <w:t>NOTICE</w:t>
      </w:r>
    </w:p>
    <w:p w14:paraId="05B68BF2" w14:textId="1F9DDD67" w:rsidR="003465BB" w:rsidRPr="00B312A5" w:rsidRDefault="00FD0927" w:rsidP="000E4E10">
      <w:pPr>
        <w:spacing w:after="120"/>
        <w:rPr>
          <w:rFonts w:ascii="Arial" w:hAnsi="Arial" w:cs="Arial"/>
          <w:b/>
          <w:szCs w:val="24"/>
        </w:rPr>
      </w:pPr>
      <w:r>
        <w:rPr>
          <w:rFonts w:ascii="Arial" w:hAnsi="Arial" w:cs="Arial"/>
          <w:b/>
          <w:szCs w:val="24"/>
        </w:rPr>
        <w:t>14</w:t>
      </w:r>
      <w:r w:rsidRPr="000E4E10">
        <w:rPr>
          <w:rFonts w:ascii="Arial" w:hAnsi="Arial" w:cs="Arial"/>
          <w:b/>
          <w:szCs w:val="24"/>
        </w:rPr>
        <w:t xml:space="preserve"> </w:t>
      </w:r>
      <w:r w:rsidR="005B05D4" w:rsidRPr="000E4E10">
        <w:rPr>
          <w:rFonts w:ascii="Arial" w:hAnsi="Arial" w:cs="Arial"/>
          <w:b/>
          <w:szCs w:val="24"/>
        </w:rPr>
        <w:t>May</w:t>
      </w:r>
      <w:r w:rsidR="003465BB" w:rsidRPr="000E4E10">
        <w:rPr>
          <w:rFonts w:ascii="Arial" w:hAnsi="Arial" w:cs="Arial"/>
          <w:b/>
          <w:szCs w:val="24"/>
        </w:rPr>
        <w:t xml:space="preserve"> 2020</w:t>
      </w:r>
    </w:p>
    <w:p w14:paraId="47237AF6" w14:textId="77777777" w:rsidR="003465BB" w:rsidRDefault="003465BB" w:rsidP="00B312A5">
      <w:pPr>
        <w:spacing w:after="0" w:line="276" w:lineRule="auto"/>
        <w:rPr>
          <w:rFonts w:ascii="Arial" w:hAnsi="Arial" w:cs="Arial"/>
          <w:szCs w:val="24"/>
        </w:rPr>
      </w:pPr>
      <w:r>
        <w:rPr>
          <w:rFonts w:ascii="Arial" w:hAnsi="Arial" w:cs="Arial"/>
          <w:i/>
          <w:szCs w:val="24"/>
        </w:rPr>
        <w:t>Notice under section 153G of the Radiocommunications Act 1992</w:t>
      </w:r>
    </w:p>
    <w:p w14:paraId="3731041D" w14:textId="503837B1" w:rsidR="003465BB" w:rsidRDefault="003465BB" w:rsidP="000E4E10">
      <w:pPr>
        <w:spacing w:after="120" w:line="276" w:lineRule="auto"/>
        <w:rPr>
          <w:rFonts w:ascii="Arial" w:hAnsi="Arial" w:cs="Arial"/>
          <w:szCs w:val="24"/>
        </w:rPr>
      </w:pPr>
      <w:r>
        <w:rPr>
          <w:rFonts w:ascii="Arial" w:hAnsi="Arial" w:cs="Arial"/>
          <w:b/>
          <w:szCs w:val="24"/>
        </w:rPr>
        <w:t>Draft recommendation regarding the re-allocation of the 850 MHz and 900 MHz frequency bands</w:t>
      </w:r>
    </w:p>
    <w:p w14:paraId="6E7790B8" w14:textId="63F3343D" w:rsidR="003465BB" w:rsidRDefault="003465BB" w:rsidP="00796257">
      <w:pPr>
        <w:spacing w:before="120" w:after="0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The Australian Communications and Media Authority (ACMA) has prepared a draft recommendation to the Minister for Communications, Cyber Safety and the Arts that he make </w:t>
      </w:r>
      <w:r w:rsidR="00CF19A3">
        <w:rPr>
          <w:rFonts w:ascii="Arial" w:hAnsi="Arial" w:cs="Arial"/>
          <w:szCs w:val="24"/>
        </w:rPr>
        <w:t xml:space="preserve">one or more </w:t>
      </w:r>
      <w:r>
        <w:rPr>
          <w:rFonts w:ascii="Arial" w:hAnsi="Arial" w:cs="Arial"/>
          <w:szCs w:val="24"/>
        </w:rPr>
        <w:t>spectrum re-allocation declaration</w:t>
      </w:r>
      <w:r w:rsidR="00CF19A3">
        <w:rPr>
          <w:rFonts w:ascii="Arial" w:hAnsi="Arial" w:cs="Arial"/>
          <w:szCs w:val="24"/>
        </w:rPr>
        <w:t>s</w:t>
      </w:r>
      <w:r>
        <w:rPr>
          <w:rFonts w:ascii="Arial" w:hAnsi="Arial" w:cs="Arial"/>
          <w:szCs w:val="24"/>
        </w:rPr>
        <w:t xml:space="preserve"> under subsection 153B(1) of the </w:t>
      </w:r>
      <w:r>
        <w:rPr>
          <w:rFonts w:ascii="Arial" w:hAnsi="Arial" w:cs="Arial"/>
          <w:i/>
          <w:szCs w:val="24"/>
        </w:rPr>
        <w:t>Radiocommunications Act 1992</w:t>
      </w:r>
      <w:r>
        <w:rPr>
          <w:rFonts w:ascii="Arial" w:hAnsi="Arial" w:cs="Arial"/>
          <w:szCs w:val="24"/>
        </w:rPr>
        <w:t xml:space="preserve">. </w:t>
      </w:r>
    </w:p>
    <w:p w14:paraId="7BF7C7EB" w14:textId="77777777" w:rsidR="003465BB" w:rsidRDefault="003465BB" w:rsidP="00796257">
      <w:pPr>
        <w:spacing w:before="120"/>
        <w:rPr>
          <w:rFonts w:ascii="Arial" w:hAnsi="Arial" w:cs="Arial"/>
          <w:szCs w:val="24"/>
        </w:rPr>
      </w:pPr>
      <w:r w:rsidRPr="00B1233B">
        <w:rPr>
          <w:rFonts w:ascii="Arial" w:hAnsi="Arial" w:cs="Arial"/>
          <w:szCs w:val="24"/>
        </w:rPr>
        <w:t>In this notice, the range of numbers that identifies a frequency band includes the higher but not the lower number.</w:t>
      </w:r>
    </w:p>
    <w:p w14:paraId="24D389A8" w14:textId="77777777" w:rsidR="00DF2C8B" w:rsidRPr="00B312A5" w:rsidRDefault="00DF2C8B" w:rsidP="00DF2C8B">
      <w:pPr>
        <w:pStyle w:val="Heading2"/>
      </w:pPr>
      <w:r w:rsidRPr="00B312A5">
        <w:t>Terms of the draft recommendation</w:t>
      </w:r>
    </w:p>
    <w:p w14:paraId="6254B504" w14:textId="77777777" w:rsidR="00DF2C8B" w:rsidRDefault="00DF2C8B" w:rsidP="00DF2C8B">
      <w:pPr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The terms of the draft recommendation are that spectrum in the following parts of the spectrum:</w:t>
      </w:r>
    </w:p>
    <w:p w14:paraId="66B14320" w14:textId="77777777" w:rsidR="00DF2C8B" w:rsidRDefault="00DF2C8B" w:rsidP="00DF2C8B">
      <w:pPr>
        <w:pStyle w:val="ListParagraph"/>
        <w:numPr>
          <w:ilvl w:val="0"/>
          <w:numId w:val="3"/>
        </w:numPr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809—825 MHz</w:t>
      </w:r>
    </w:p>
    <w:p w14:paraId="39691950" w14:textId="77777777" w:rsidR="00DF2C8B" w:rsidRDefault="00DF2C8B" w:rsidP="00DF2C8B">
      <w:pPr>
        <w:pStyle w:val="ListParagraph"/>
        <w:numPr>
          <w:ilvl w:val="0"/>
          <w:numId w:val="3"/>
        </w:numPr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854—870 MHz</w:t>
      </w:r>
    </w:p>
    <w:p w14:paraId="0FFCE11D" w14:textId="77777777" w:rsidR="00DF2C8B" w:rsidRDefault="00DF2C8B" w:rsidP="00DF2C8B">
      <w:pPr>
        <w:pStyle w:val="ListParagraph"/>
        <w:numPr>
          <w:ilvl w:val="0"/>
          <w:numId w:val="3"/>
        </w:numPr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890—915 MHz</w:t>
      </w:r>
    </w:p>
    <w:p w14:paraId="7354E136" w14:textId="77777777" w:rsidR="00DF2C8B" w:rsidRDefault="00DF2C8B" w:rsidP="00DF2C8B">
      <w:pPr>
        <w:pStyle w:val="ListParagraph"/>
        <w:numPr>
          <w:ilvl w:val="0"/>
          <w:numId w:val="3"/>
        </w:numPr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935—960 MHz</w:t>
      </w:r>
    </w:p>
    <w:p w14:paraId="1A50BFFE" w14:textId="765D7E3C" w:rsidR="00DF2C8B" w:rsidRDefault="00DF2C8B" w:rsidP="00DF2C8B">
      <w:pPr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should be re-allocated by issuing spectrum licences. The ACMA proposes to recommend that the Minister’s declaration</w:t>
      </w:r>
      <w:r w:rsidR="00CF19A3">
        <w:rPr>
          <w:rFonts w:ascii="Arial" w:hAnsi="Arial" w:cs="Arial"/>
          <w:szCs w:val="24"/>
        </w:rPr>
        <w:t>(s)</w:t>
      </w:r>
      <w:r>
        <w:rPr>
          <w:rFonts w:ascii="Arial" w:hAnsi="Arial" w:cs="Arial"/>
          <w:szCs w:val="24"/>
        </w:rPr>
        <w:t xml:space="preserve"> apply to these parts of the spectrum in relation to the whole of Australia, excluding the </w:t>
      </w:r>
      <w:r w:rsidRPr="00936C45">
        <w:rPr>
          <w:rFonts w:ascii="Arial" w:hAnsi="Arial" w:cs="Arial"/>
          <w:szCs w:val="24"/>
        </w:rPr>
        <w:t>mid-west Radio Quiet Zone</w:t>
      </w:r>
      <w:r>
        <w:rPr>
          <w:rFonts w:ascii="Arial" w:hAnsi="Arial" w:cs="Arial"/>
          <w:szCs w:val="24"/>
        </w:rPr>
        <w:t xml:space="preserve"> (the </w:t>
      </w:r>
      <w:r w:rsidR="00332450">
        <w:rPr>
          <w:rFonts w:ascii="Arial" w:hAnsi="Arial" w:cs="Arial"/>
          <w:szCs w:val="24"/>
        </w:rPr>
        <w:t>‘</w:t>
      </w:r>
      <w:r>
        <w:rPr>
          <w:rFonts w:ascii="Arial" w:hAnsi="Arial" w:cs="Arial"/>
          <w:szCs w:val="24"/>
        </w:rPr>
        <w:t>Australia-wide area</w:t>
      </w:r>
      <w:r w:rsidR="00332450">
        <w:rPr>
          <w:rFonts w:ascii="Arial" w:hAnsi="Arial" w:cs="Arial"/>
          <w:szCs w:val="24"/>
        </w:rPr>
        <w:t>’</w:t>
      </w:r>
      <w:r>
        <w:rPr>
          <w:rFonts w:ascii="Arial" w:hAnsi="Arial" w:cs="Arial"/>
          <w:szCs w:val="24"/>
        </w:rPr>
        <w:t>). The Australia</w:t>
      </w:r>
      <w:r w:rsidR="00607719">
        <w:rPr>
          <w:rFonts w:ascii="Arial" w:hAnsi="Arial" w:cs="Arial"/>
          <w:szCs w:val="24"/>
        </w:rPr>
        <w:noBreakHyphen/>
      </w:r>
      <w:r>
        <w:rPr>
          <w:rFonts w:ascii="Arial" w:hAnsi="Arial" w:cs="Arial"/>
          <w:szCs w:val="24"/>
        </w:rPr>
        <w:t>wide area is defined by the hierarchical cell identification scheme (HCIS) identifiers set out in Table 1.</w:t>
      </w:r>
    </w:p>
    <w:p w14:paraId="0ADC6C38" w14:textId="77777777" w:rsidR="003465BB" w:rsidRDefault="003465BB" w:rsidP="000E4E10">
      <w:pPr>
        <w:spacing w:after="0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The terms of the draft recommendation also propose that:</w:t>
      </w:r>
    </w:p>
    <w:p w14:paraId="282951A7" w14:textId="4B53041D" w:rsidR="007A7A2B" w:rsidRDefault="003465BB" w:rsidP="003465BB">
      <w:pPr>
        <w:pStyle w:val="ListParagraph"/>
        <w:numPr>
          <w:ilvl w:val="0"/>
          <w:numId w:val="3"/>
        </w:numPr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a re-allocation period ending on 30 June 2024 be specified</w:t>
      </w:r>
      <w:r w:rsidR="007A7A2B">
        <w:rPr>
          <w:rFonts w:ascii="Arial" w:hAnsi="Arial" w:cs="Arial"/>
          <w:szCs w:val="24"/>
        </w:rPr>
        <w:t xml:space="preserve"> for </w:t>
      </w:r>
      <w:r w:rsidR="00DF2C8B">
        <w:rPr>
          <w:rFonts w:ascii="Arial" w:hAnsi="Arial" w:cs="Arial"/>
          <w:szCs w:val="24"/>
        </w:rPr>
        <w:t xml:space="preserve">the frequency ranges 809-825 MHz and 854-870 </w:t>
      </w:r>
      <w:proofErr w:type="gramStart"/>
      <w:r w:rsidR="00DF2C8B">
        <w:rPr>
          <w:rFonts w:ascii="Arial" w:hAnsi="Arial" w:cs="Arial"/>
          <w:szCs w:val="24"/>
        </w:rPr>
        <w:t>MHz;</w:t>
      </w:r>
      <w:proofErr w:type="gramEnd"/>
    </w:p>
    <w:p w14:paraId="4530602F" w14:textId="796439FC" w:rsidR="003465BB" w:rsidRDefault="007A7A2B" w:rsidP="003465BB">
      <w:pPr>
        <w:pStyle w:val="ListParagraph"/>
        <w:numPr>
          <w:ilvl w:val="0"/>
          <w:numId w:val="3"/>
        </w:numPr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a re-allocation period ending on 31 December 2023 be specified for the </w:t>
      </w:r>
      <w:r w:rsidR="00DF2C8B">
        <w:rPr>
          <w:rFonts w:ascii="Arial" w:hAnsi="Arial" w:cs="Arial"/>
          <w:szCs w:val="24"/>
        </w:rPr>
        <w:t>frequency ranges 890-915 MHz and 935-960 MHz</w:t>
      </w:r>
      <w:r>
        <w:rPr>
          <w:rFonts w:ascii="Arial" w:hAnsi="Arial" w:cs="Arial"/>
          <w:szCs w:val="24"/>
        </w:rPr>
        <w:t>;</w:t>
      </w:r>
      <w:r w:rsidR="003465BB">
        <w:rPr>
          <w:rFonts w:ascii="Arial" w:hAnsi="Arial" w:cs="Arial"/>
          <w:szCs w:val="24"/>
        </w:rPr>
        <w:t xml:space="preserve"> and</w:t>
      </w:r>
    </w:p>
    <w:p w14:paraId="6BE6BB9F" w14:textId="66FC8E36" w:rsidR="003465BB" w:rsidRDefault="003465BB" w:rsidP="003465BB">
      <w:pPr>
        <w:pStyle w:val="ListParagraph"/>
        <w:numPr>
          <w:ilvl w:val="0"/>
          <w:numId w:val="3"/>
        </w:numPr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a re-allocation deadline be set for</w:t>
      </w:r>
      <w:r w:rsidR="004B1482">
        <w:rPr>
          <w:rFonts w:ascii="Arial" w:hAnsi="Arial" w:cs="Arial"/>
          <w:szCs w:val="24"/>
        </w:rPr>
        <w:t xml:space="preserve"> </w:t>
      </w:r>
      <w:r w:rsidR="00471348">
        <w:rPr>
          <w:rFonts w:ascii="Arial" w:hAnsi="Arial" w:cs="Arial"/>
          <w:szCs w:val="24"/>
        </w:rPr>
        <w:t>12</w:t>
      </w:r>
      <w:r w:rsidR="001E3415">
        <w:t> </w:t>
      </w:r>
      <w:r w:rsidR="00471348">
        <w:rPr>
          <w:rFonts w:ascii="Arial" w:hAnsi="Arial" w:cs="Arial"/>
          <w:szCs w:val="24"/>
        </w:rPr>
        <w:t xml:space="preserve">months before the end of the re-allocation period ending first in time, being </w:t>
      </w:r>
      <w:r w:rsidR="001E3415">
        <w:rPr>
          <w:rFonts w:ascii="Arial" w:hAnsi="Arial" w:cs="Arial"/>
          <w:szCs w:val="24"/>
        </w:rPr>
        <w:t>31 </w:t>
      </w:r>
      <w:r w:rsidR="004B1482">
        <w:rPr>
          <w:rFonts w:ascii="Arial" w:hAnsi="Arial" w:cs="Arial"/>
          <w:szCs w:val="24"/>
        </w:rPr>
        <w:t>December 2022</w:t>
      </w:r>
      <w:r w:rsidR="00630D03">
        <w:rPr>
          <w:rFonts w:ascii="Arial" w:hAnsi="Arial" w:cs="Arial"/>
          <w:szCs w:val="24"/>
        </w:rPr>
        <w:t xml:space="preserve">, </w:t>
      </w:r>
      <w:r w:rsidR="00D31133">
        <w:rPr>
          <w:rFonts w:ascii="Arial" w:hAnsi="Arial" w:cs="Arial"/>
          <w:szCs w:val="24"/>
        </w:rPr>
        <w:t>for all parts of the spectrum subject to re</w:t>
      </w:r>
      <w:r w:rsidR="001F7197">
        <w:rPr>
          <w:rFonts w:ascii="Arial" w:hAnsi="Arial" w:cs="Arial"/>
          <w:szCs w:val="24"/>
        </w:rPr>
        <w:noBreakHyphen/>
      </w:r>
      <w:r w:rsidR="00D31133">
        <w:rPr>
          <w:rFonts w:ascii="Arial" w:hAnsi="Arial" w:cs="Arial"/>
          <w:szCs w:val="24"/>
        </w:rPr>
        <w:t>allocation</w:t>
      </w:r>
      <w:r>
        <w:rPr>
          <w:rFonts w:ascii="Arial" w:hAnsi="Arial" w:cs="Arial"/>
          <w:szCs w:val="24"/>
        </w:rPr>
        <w:t>.</w:t>
      </w:r>
    </w:p>
    <w:p w14:paraId="0DB8A6B8" w14:textId="77777777" w:rsidR="003465BB" w:rsidRDefault="003465BB" w:rsidP="00B312A5">
      <w:pPr>
        <w:pStyle w:val="Heading2"/>
      </w:pPr>
      <w:r>
        <w:t>Invitation to comment</w:t>
      </w:r>
    </w:p>
    <w:p w14:paraId="7FE0A04E" w14:textId="7706DE33" w:rsidR="003465BB" w:rsidRDefault="003465BB" w:rsidP="00B312A5">
      <w:pPr>
        <w:rPr>
          <w:rFonts w:ascii="Arial" w:hAnsi="Arial" w:cs="Arial"/>
        </w:rPr>
      </w:pPr>
      <w:r w:rsidRPr="00B312A5">
        <w:rPr>
          <w:rFonts w:ascii="Arial" w:hAnsi="Arial" w:cs="Arial"/>
        </w:rPr>
        <w:t xml:space="preserve">The ACMA invites </w:t>
      </w:r>
      <w:r>
        <w:rPr>
          <w:rFonts w:ascii="Arial" w:hAnsi="Arial" w:cs="Arial"/>
        </w:rPr>
        <w:t xml:space="preserve">potentially-affected apparatus licensees to give the ACMA written comments about the proposed terms of the draft recommendation, as set out in this </w:t>
      </w:r>
      <w:r w:rsidRPr="00036EB8">
        <w:rPr>
          <w:rFonts w:ascii="Arial" w:hAnsi="Arial" w:cs="Arial"/>
        </w:rPr>
        <w:t xml:space="preserve">notice, by </w:t>
      </w:r>
      <w:r w:rsidRPr="002E5CFE">
        <w:rPr>
          <w:rFonts w:ascii="Arial" w:hAnsi="Arial" w:cs="Arial"/>
          <w:b/>
          <w:bCs/>
        </w:rPr>
        <w:t>close of business</w:t>
      </w:r>
      <w:r w:rsidRPr="002E5CFE">
        <w:rPr>
          <w:rFonts w:ascii="Arial" w:hAnsi="Arial" w:cs="Arial"/>
        </w:rPr>
        <w:t xml:space="preserve"> </w:t>
      </w:r>
      <w:r w:rsidR="00D31133">
        <w:rPr>
          <w:rFonts w:ascii="Arial" w:hAnsi="Arial" w:cs="Arial"/>
          <w:b/>
          <w:bCs/>
        </w:rPr>
        <w:t>Wednesday 8 July</w:t>
      </w:r>
      <w:r w:rsidRPr="002E5CFE">
        <w:rPr>
          <w:rFonts w:ascii="Arial" w:hAnsi="Arial" w:cs="Arial"/>
          <w:b/>
        </w:rPr>
        <w:t xml:space="preserve"> 2020</w:t>
      </w:r>
      <w:r w:rsidRPr="007A7A2B">
        <w:rPr>
          <w:rFonts w:ascii="Arial" w:hAnsi="Arial" w:cs="Arial"/>
        </w:rPr>
        <w:t xml:space="preserve">. </w:t>
      </w:r>
    </w:p>
    <w:p w14:paraId="6772CAC4" w14:textId="77777777" w:rsidR="003465BB" w:rsidRDefault="003465BB" w:rsidP="00B312A5">
      <w:pPr>
        <w:rPr>
          <w:rFonts w:ascii="Arial" w:hAnsi="Arial" w:cs="Arial"/>
        </w:rPr>
      </w:pPr>
      <w:r>
        <w:rPr>
          <w:rFonts w:ascii="Arial" w:hAnsi="Arial" w:cs="Arial"/>
        </w:rPr>
        <w:t xml:space="preserve">The ACMA’s consultation paper on the draft recommendation is available on the ACMA website at acma.gov.au. </w:t>
      </w:r>
    </w:p>
    <w:p w14:paraId="39D9B9EA" w14:textId="77777777" w:rsidR="003465BB" w:rsidRDefault="003465BB" w:rsidP="00B312A5">
      <w:pPr>
        <w:rPr>
          <w:rFonts w:ascii="Arial" w:hAnsi="Arial" w:cs="Arial"/>
        </w:rPr>
      </w:pPr>
      <w:r>
        <w:rPr>
          <w:rFonts w:ascii="Arial" w:hAnsi="Arial" w:cs="Arial"/>
        </w:rPr>
        <w:t>Comments should be sent to:</w:t>
      </w:r>
    </w:p>
    <w:p w14:paraId="70BE1162" w14:textId="77777777" w:rsidR="003465BB" w:rsidRDefault="003465BB" w:rsidP="0096015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>By post</w:t>
      </w:r>
      <w:r>
        <w:rPr>
          <w:rFonts w:ascii="Arial" w:hAnsi="Arial" w:cs="Arial"/>
        </w:rPr>
        <w:tab/>
        <w:t>The Manager</w:t>
      </w:r>
    </w:p>
    <w:p w14:paraId="46ADD277" w14:textId="77777777" w:rsidR="003465BB" w:rsidRDefault="003465BB" w:rsidP="0096015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Major Spectrum Allocations Section</w:t>
      </w:r>
    </w:p>
    <w:p w14:paraId="156FEE6F" w14:textId="77777777" w:rsidR="003465BB" w:rsidRDefault="003465BB" w:rsidP="0096015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Spectrum Allocations Branch</w:t>
      </w:r>
    </w:p>
    <w:p w14:paraId="021ACB94" w14:textId="77777777" w:rsidR="003465BB" w:rsidRDefault="003465BB" w:rsidP="0096015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Australian Communications and Media Authority</w:t>
      </w:r>
    </w:p>
    <w:p w14:paraId="5900A988" w14:textId="77777777" w:rsidR="003465BB" w:rsidRDefault="003465BB" w:rsidP="0096015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PO Box 78</w:t>
      </w:r>
    </w:p>
    <w:p w14:paraId="0974AC2A" w14:textId="77777777" w:rsidR="003465BB" w:rsidRDefault="003465BB" w:rsidP="0096015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Belconnen  ACT  2616</w:t>
      </w:r>
    </w:p>
    <w:p w14:paraId="5BFD84FF" w14:textId="00B124AF" w:rsidR="003465BB" w:rsidRDefault="003465BB" w:rsidP="00960155">
      <w:pPr>
        <w:spacing w:after="0"/>
        <w:rPr>
          <w:rFonts w:ascii="Arial" w:hAnsi="Arial" w:cs="Arial"/>
        </w:rPr>
      </w:pPr>
    </w:p>
    <w:p w14:paraId="27E41E41" w14:textId="038070D1" w:rsidR="003465BB" w:rsidRDefault="003465BB" w:rsidP="00624AA8">
      <w:pPr>
        <w:spacing w:after="0"/>
        <w:ind w:left="1440" w:hanging="1440"/>
      </w:pPr>
      <w:r>
        <w:rPr>
          <w:rFonts w:ascii="Arial" w:hAnsi="Arial" w:cs="Arial"/>
        </w:rPr>
        <w:t>Online</w:t>
      </w:r>
      <w:r>
        <w:rPr>
          <w:rFonts w:ascii="Arial" w:hAnsi="Arial" w:cs="Arial"/>
        </w:rPr>
        <w:tab/>
      </w:r>
      <w:r w:rsidR="00BC4240">
        <w:rPr>
          <w:rFonts w:ascii="Arial" w:hAnsi="Arial" w:cs="Arial"/>
        </w:rPr>
        <w:t>B</w:t>
      </w:r>
      <w:r>
        <w:rPr>
          <w:rFonts w:ascii="Arial" w:hAnsi="Arial" w:cs="Arial"/>
        </w:rPr>
        <w:t>y uploading a document on the consultation web page. Submissions in PDF, Microsoft Word or Rich Text Format are preferred.</w:t>
      </w:r>
      <w:r>
        <w:br w:type="page"/>
      </w:r>
    </w:p>
    <w:p w14:paraId="75696180" w14:textId="77777777" w:rsidR="003465BB" w:rsidRDefault="003465BB" w:rsidP="00E06C50">
      <w:pPr>
        <w:pStyle w:val="Heading2"/>
      </w:pPr>
      <w:r>
        <w:lastRenderedPageBreak/>
        <w:t>Table 1:</w:t>
      </w:r>
      <w:r>
        <w:tab/>
        <w:t>HCIS identifiers for the Australia-wide area</w:t>
      </w:r>
    </w:p>
    <w:p w14:paraId="66CE6D0D" w14:textId="77777777" w:rsidR="003465BB" w:rsidRPr="00876681" w:rsidRDefault="003465BB" w:rsidP="00876681">
      <w:pPr>
        <w:rPr>
          <w:rFonts w:ascii="Arial" w:hAnsi="Arial" w:cs="Arial"/>
        </w:rPr>
      </w:pPr>
      <w:r w:rsidRPr="00876681">
        <w:rPr>
          <w:rFonts w:ascii="Arial" w:hAnsi="Arial" w:cs="Arial"/>
        </w:rPr>
        <w:t xml:space="preserve">The Australian Spectrum Map Grid (ASMG) is used to define geographical areas over which spectrum licences are issued. The Hierarchical Cell Identification Scheme (HCIS) is a naming convention developed by the ACMA that applies unique ‘names’ to each of the cells that make up the ASMG. The ASMG and HCIS are described in detail in </w:t>
      </w:r>
      <w:hyperlink r:id="rId8" w:history="1">
        <w:r w:rsidRPr="007556FC">
          <w:rPr>
            <w:rStyle w:val="Hyperlink"/>
            <w:rFonts w:ascii="Arial" w:hAnsi="Arial" w:cs="Arial"/>
          </w:rPr>
          <w:t>The Australian spectrum map grid 2012</w:t>
        </w:r>
      </w:hyperlink>
      <w:r w:rsidRPr="00876681">
        <w:rPr>
          <w:rFonts w:ascii="Arial" w:hAnsi="Arial" w:cs="Arial"/>
        </w:rPr>
        <w:t>.</w:t>
      </w:r>
    </w:p>
    <w:p w14:paraId="183A67D0" w14:textId="54C3185C" w:rsidR="003465BB" w:rsidRDefault="003465BB" w:rsidP="00876681">
      <w:pPr>
        <w:rPr>
          <w:rFonts w:ascii="Arial" w:hAnsi="Arial" w:cs="Arial"/>
        </w:rPr>
      </w:pPr>
      <w:r w:rsidRPr="00876681">
        <w:rPr>
          <w:rFonts w:ascii="Arial" w:hAnsi="Arial" w:cs="Arial"/>
        </w:rPr>
        <w:t xml:space="preserve">The HCIS identifiers in the table below can be converted into a Placemark file (viewable in Google Earth) through the facility at: </w:t>
      </w:r>
      <w:hyperlink r:id="rId9" w:history="1">
        <w:r w:rsidR="007A37F2">
          <w:rPr>
            <w:rStyle w:val="Hyperlink"/>
            <w:rFonts w:ascii="Arial" w:hAnsi="Arial" w:cs="Arial"/>
          </w:rPr>
          <w:t>acma.gov.au/convert-</w:t>
        </w:r>
        <w:proofErr w:type="spellStart"/>
        <w:r w:rsidR="007A37F2">
          <w:rPr>
            <w:rStyle w:val="Hyperlink"/>
            <w:rFonts w:ascii="Arial" w:hAnsi="Arial" w:cs="Arial"/>
          </w:rPr>
          <w:t>hcis</w:t>
        </w:r>
        <w:proofErr w:type="spellEnd"/>
        <w:r w:rsidR="007A37F2">
          <w:rPr>
            <w:rStyle w:val="Hyperlink"/>
            <w:rFonts w:ascii="Arial" w:hAnsi="Arial" w:cs="Arial"/>
          </w:rPr>
          <w:t>-area-description-placemark</w:t>
        </w:r>
      </w:hyperlink>
      <w:r w:rsidRPr="00876681">
        <w:rPr>
          <w:rFonts w:ascii="Arial" w:hAnsi="Arial" w:cs="Arial"/>
        </w:rPr>
        <w:t>.</w:t>
      </w:r>
    </w:p>
    <w:p w14:paraId="13AD531C" w14:textId="5FF2258A" w:rsidR="003465BB" w:rsidRDefault="003465BB" w:rsidP="00876681">
      <w:pPr>
        <w:rPr>
          <w:rFonts w:ascii="Arial" w:hAnsi="Arial" w:cs="Arial"/>
        </w:rPr>
      </w:pPr>
      <w:r w:rsidRPr="00936C45">
        <w:rPr>
          <w:rFonts w:ascii="Arial" w:hAnsi="Arial" w:cs="Arial"/>
        </w:rPr>
        <w:t>This identifiers do not include the mid-west Radio Quiet Zone, an area approximately 300</w:t>
      </w:r>
      <w:r w:rsidR="00871C14">
        <w:rPr>
          <w:rFonts w:ascii="Arial" w:hAnsi="Arial" w:cs="Arial"/>
        </w:rPr>
        <w:t> </w:t>
      </w:r>
      <w:r w:rsidRPr="00936C45">
        <w:rPr>
          <w:rFonts w:ascii="Arial" w:hAnsi="Arial" w:cs="Arial"/>
        </w:rPr>
        <w:t>kilometres north-east of Geraldton, Western Australia, where the ACMA endeavours to maintain low levels of radiofrequency emissions to facilitate the development and use of radioastronomy technologies at the Murchison Radio-astronomy Observatory.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96"/>
        <w:gridCol w:w="6373"/>
      </w:tblGrid>
      <w:tr w:rsidR="003465BB" w14:paraId="27B7667B" w14:textId="77777777" w:rsidTr="00876681">
        <w:tc>
          <w:tcPr>
            <w:tcW w:w="1696" w:type="dxa"/>
            <w:shd w:val="clear" w:color="auto" w:fill="404040" w:themeFill="text1" w:themeFillTint="BF"/>
            <w:vAlign w:val="center"/>
          </w:tcPr>
          <w:p w14:paraId="7B5A03A7" w14:textId="77777777" w:rsidR="003465BB" w:rsidRPr="00876681" w:rsidRDefault="003465BB" w:rsidP="00876681">
            <w:pPr>
              <w:pStyle w:val="TableHeading"/>
              <w:spacing w:before="120" w:after="120" w:line="240" w:lineRule="auto"/>
            </w:pPr>
            <w:r>
              <w:t>Specified area</w:t>
            </w:r>
          </w:p>
        </w:tc>
        <w:tc>
          <w:tcPr>
            <w:tcW w:w="6373" w:type="dxa"/>
            <w:shd w:val="clear" w:color="auto" w:fill="404040" w:themeFill="text1" w:themeFillTint="BF"/>
            <w:vAlign w:val="center"/>
          </w:tcPr>
          <w:p w14:paraId="474B1D7F" w14:textId="77777777" w:rsidR="003465BB" w:rsidRPr="00876681" w:rsidRDefault="003465BB" w:rsidP="00876681">
            <w:pPr>
              <w:pStyle w:val="TableHeading"/>
              <w:spacing w:before="120" w:after="120" w:line="240" w:lineRule="auto"/>
            </w:pPr>
            <w:r w:rsidRPr="00C63393">
              <w:t>HCIS</w:t>
            </w:r>
            <w:r>
              <w:t xml:space="preserve"> identifiers</w:t>
            </w:r>
          </w:p>
        </w:tc>
      </w:tr>
      <w:tr w:rsidR="003465BB" w14:paraId="0680D652" w14:textId="77777777" w:rsidTr="00876681">
        <w:tc>
          <w:tcPr>
            <w:tcW w:w="1696" w:type="dxa"/>
          </w:tcPr>
          <w:p w14:paraId="41E35240" w14:textId="77777777" w:rsidR="003465BB" w:rsidRDefault="003465BB" w:rsidP="0087668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Australia-wide area</w:t>
            </w:r>
          </w:p>
        </w:tc>
        <w:tc>
          <w:tcPr>
            <w:tcW w:w="6373" w:type="dxa"/>
          </w:tcPr>
          <w:p w14:paraId="48D74BB9" w14:textId="1B07D79D" w:rsidR="003465BB" w:rsidRDefault="00036EB8" w:rsidP="00876681">
            <w:pPr>
              <w:rPr>
                <w:rFonts w:ascii="Arial" w:hAnsi="Arial" w:cs="Arial"/>
              </w:rPr>
            </w:pPr>
            <w:r w:rsidRPr="00036EB8">
              <w:rPr>
                <w:rFonts w:ascii="Arial" w:hAnsi="Arial" w:cs="Arial"/>
              </w:rPr>
              <w:t>BR, BS, BU, BV, CR, CS, CT, CU, CV, DQ, DR, DS, DT, DU, DV, EP, EQ, ER, ES, ET, EU, FP, FQ, FR, FS, FT, FU, GP, GQ, GR, GS, GT, GU, HO, HP, HQ, HR, HS, HT, HU, IO, IP, IQ, IR, IS, IT, IU, IV, IW, JO, JP, JQ, JR, JS, JT, JU, JV, JW, KQ, KR, KS, KT, KU, KV, KW, LR, LS, LT, LU, LV, LW, LX, LY, MS, MT, MU, MV, MW, NT, NU, AR8, AR9, AS2, AS3, AS5, AS6, AS8, AS9, AT1, AT2, AT3, AT5, AT6, AT8, AT9, AU2, AU3, AU6, AU9, AV9, AW3, BT1, BT2, BT3, BW1, BW2, BW3, BW5, BW6, CW1, CW2, CW3, CW4, DW1, DW2, DW3, EV1, EV2, EV3, EV4, EV5, EV6, EV7, FV1, FV2, FV3, FV4, FV5, GO3, GO4, GO5, GO6, GO7, GO8, GO9, GV1, GV2, GV3, GV6, HV1, HV2, HV3, HV4, HV5, HV6, HV8, HV9, HW3, HW6, JX1, JX2, JX3, JX5, JX6, KO1, KO4, KO5, KO7, KO8, KP1, KP2, KP4, KP5, KP6, KP7, KP8, KP9, KX1, KX2, KX3, KX4, KX5, KX6, KX8, KX9, KY2, KY3, KY6, LP4, LP7, LQ1, LQ2, LQ4, LQ5, LQ7, LQ8, LZ1, LZ2, LZ3, MR1, MR4, MR5, MR7, MR8, MR9, MX1, MX2, MX3, MX4, MX7, MY1, MY4, MY7, MZ1, NS4, NS7, NS8, NS9, NV1, NV2, NV3, NV4, NV5, NV7, BT4A, BT4B, BT4C, BT4E, BT4F, BT4G, BT4I, BT4J, BT4K, BT4M, BT4N, BT4O, BT6C, BT6D, BT6G, BT6H, BT6K, BT6L, BT6O, BT6P, BT7A, BT7B, BT7C, BT7E, BT7F, BT7G, BT7I, BT7J, BT7K, BT7L, BT7M, BT7N, BT7O, BT7P, BT8I, BT8J, BT8K, BT8L, BT8M, BT8N, BT8O, BT8P, BT9C, BT9D, BT9G, BT9H, BT9I, BT9J, BT9K, BT9L, BT9M, BT9N, BT9O, BT9P, NW1A, NW1B, NW1C, NW1D, NW1E, NW1F, NW1G, NW1H, NW1I, NW1J, NW1K, NW1L, BT4D1, BT4D2, BT4D4, BT4D5, BT4D7, BT4D8, BT4H1, BT4H2, BT4H4, BT4H5, BT4H7, BT4H8, BT4L1, BT4L2, BT4L4, BT4L5, BT4L7, BT4L8, BT4P1, BT4P2, BT4P4, BT4P5, BT4P7, BT4P8, BT6B3, BT6B6, BT6B9, BT6F3, BT6F6, BT6F9, BT6J3, BT6J6, BT6J9, BT6N3, BT6N6, BT6N9, BT7D1, BT7D2, BT7D4, BT7D5, BT7D7, BT7D8, BT7H1, BT7H2, BT7H4, BT7H5, BT7H7, BT7H8, BT7H9, BT8E7, BT8E8, BT8E9, BT8F7, BT8F8, BT8F9, BT8G7, BT8G8, BT8G9, BT8H7, BT8H8, BT8H9, BT9B3, BT9B6, BT9B9, BT9E7, BT9E8, BT9E9, BT9F3, BT9F6, BT9F7, BT9F8, BT9F9, NW1M1, NW1M2, NW1M3, NW1M4, NW1M5, NW1M7, NW1M8, NW1N1, NW1N2, NW1N3, NW1O1, NW1O2, NW1O3, NW1P1, NW1P2, NW1P3</w:t>
            </w:r>
          </w:p>
        </w:tc>
      </w:tr>
    </w:tbl>
    <w:p w14:paraId="17AAC0AA" w14:textId="77777777" w:rsidR="003465BB" w:rsidRDefault="003465BB" w:rsidP="00E06C50">
      <w:pPr>
        <w:pStyle w:val="Heading3"/>
      </w:pPr>
    </w:p>
    <w:p w14:paraId="0CADE811" w14:textId="77777777" w:rsidR="003465BB" w:rsidRDefault="003465BB" w:rsidP="00E06C50">
      <w:pPr>
        <w:pStyle w:val="Heading3"/>
      </w:pPr>
      <w:r>
        <w:t>Indicative pictorial representation of the Australia-wide area</w:t>
      </w:r>
    </w:p>
    <w:p w14:paraId="06AC9165" w14:textId="16E7603A" w:rsidR="003465BB" w:rsidRDefault="00A561C1">
      <w:r>
        <w:rPr>
          <w:noProof/>
        </w:rPr>
        <w:drawing>
          <wp:inline distT="0" distB="0" distL="0" distR="0" wp14:anchorId="106B066B" wp14:editId="5FB5D1F7">
            <wp:extent cx="5580380" cy="5450205"/>
            <wp:effectExtent l="0" t="0" r="1270" b="0"/>
            <wp:docPr id="2" name="Picture 2" descr="Indicative pictorial representation of the Australia-wide are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5450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F21A4A" w14:textId="658CE613" w:rsidR="00E06C50" w:rsidRPr="003465BB" w:rsidRDefault="00E06C50" w:rsidP="003465BB"/>
    <w:sectPr w:rsidR="00E06C50" w:rsidRPr="003465BB" w:rsidSect="00796257">
      <w:headerReference w:type="default" r:id="rId11"/>
      <w:footerReference w:type="default" r:id="rId12"/>
      <w:headerReference w:type="first" r:id="rId13"/>
      <w:footerReference w:type="first" r:id="rId14"/>
      <w:pgSz w:w="11906" w:h="16838"/>
      <w:pgMar w:top="1418" w:right="1274" w:bottom="851" w:left="1276" w:header="737" w:footer="11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02151A3" w14:textId="77777777" w:rsidR="00B312A5" w:rsidRDefault="00B312A5" w:rsidP="00EA15C1">
      <w:pPr>
        <w:spacing w:after="0" w:line="240" w:lineRule="auto"/>
      </w:pPr>
      <w:r>
        <w:separator/>
      </w:r>
    </w:p>
  </w:endnote>
  <w:endnote w:type="continuationSeparator" w:id="0">
    <w:p w14:paraId="3F1CB129" w14:textId="77777777" w:rsidR="00B312A5" w:rsidRDefault="00B312A5" w:rsidP="00EA15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rinda">
    <w:altName w:val="Vrinda"/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Bold">
    <w:panose1 w:val="020B0704020202020204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TableGrid"/>
      <w:tblW w:w="941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7839"/>
      <w:gridCol w:w="261"/>
      <w:gridCol w:w="1316"/>
    </w:tblGrid>
    <w:tr w:rsidR="00FD3A09" w:rsidRPr="00FD3A09" w14:paraId="3D240B02" w14:textId="77777777" w:rsidTr="00FD3A09">
      <w:tc>
        <w:tcPr>
          <w:tcW w:w="7839" w:type="dxa"/>
          <w:shd w:val="clear" w:color="auto" w:fill="auto"/>
        </w:tcPr>
        <w:p w14:paraId="486068DA" w14:textId="77777777" w:rsidR="00FD3A09" w:rsidRPr="00FD3A09" w:rsidRDefault="00FD3A09" w:rsidP="00FD3A09">
          <w:pPr>
            <w:pStyle w:val="spacer"/>
            <w:rPr>
              <w:rFonts w:cs="Arial"/>
              <w:sz w:val="2"/>
            </w:rPr>
          </w:pPr>
        </w:p>
      </w:tc>
      <w:tc>
        <w:tcPr>
          <w:tcW w:w="261" w:type="dxa"/>
          <w:shd w:val="clear" w:color="auto" w:fill="auto"/>
        </w:tcPr>
        <w:p w14:paraId="35A35487" w14:textId="77777777" w:rsidR="00FD3A09" w:rsidRPr="00FD3A09" w:rsidRDefault="00FD3A09" w:rsidP="00FD3A09">
          <w:pPr>
            <w:pStyle w:val="Footer"/>
            <w:rPr>
              <w:rFonts w:ascii="Arial" w:hAnsi="Arial" w:cs="Arial"/>
              <w:sz w:val="20"/>
            </w:rPr>
          </w:pPr>
        </w:p>
      </w:tc>
      <w:tc>
        <w:tcPr>
          <w:tcW w:w="1316" w:type="dxa"/>
          <w:tcBorders>
            <w:top w:val="single" w:sz="4" w:space="0" w:color="4D4D4F"/>
          </w:tcBorders>
          <w:shd w:val="clear" w:color="auto" w:fill="auto"/>
          <w:tcMar>
            <w:top w:w="76" w:type="dxa"/>
          </w:tcMar>
        </w:tcPr>
        <w:p w14:paraId="55EE9702" w14:textId="77777777" w:rsidR="00FD3A09" w:rsidRPr="00FD3A09" w:rsidRDefault="00FD3A09" w:rsidP="00D336AE">
          <w:pPr>
            <w:pStyle w:val="Footer"/>
            <w:jc w:val="right"/>
            <w:rPr>
              <w:rFonts w:ascii="Arial" w:hAnsi="Arial" w:cs="Arial"/>
              <w:sz w:val="20"/>
            </w:rPr>
          </w:pPr>
          <w:r w:rsidRPr="00FD3A09">
            <w:rPr>
              <w:rFonts w:ascii="Arial" w:hAnsi="Arial" w:cs="Arial"/>
              <w:sz w:val="20"/>
            </w:rPr>
            <w:t xml:space="preserve">Page </w:t>
          </w:r>
          <w:r w:rsidRPr="00FD3A09">
            <w:rPr>
              <w:rFonts w:ascii="Arial" w:hAnsi="Arial" w:cs="Arial"/>
              <w:sz w:val="20"/>
            </w:rPr>
            <w:fldChar w:fldCharType="begin"/>
          </w:r>
          <w:r w:rsidRPr="00FD3A09">
            <w:rPr>
              <w:rFonts w:ascii="Arial" w:hAnsi="Arial" w:cs="Arial"/>
              <w:sz w:val="20"/>
            </w:rPr>
            <w:instrText xml:space="preserve"> PAGE  \* Arabic  \* MERGEFORMAT </w:instrText>
          </w:r>
          <w:r w:rsidRPr="00FD3A09">
            <w:rPr>
              <w:rFonts w:ascii="Arial" w:hAnsi="Arial" w:cs="Arial"/>
              <w:sz w:val="20"/>
            </w:rPr>
            <w:fldChar w:fldCharType="separate"/>
          </w:r>
          <w:r w:rsidRPr="00FD3A09">
            <w:rPr>
              <w:rFonts w:ascii="Arial" w:hAnsi="Arial" w:cs="Arial"/>
              <w:noProof/>
              <w:sz w:val="20"/>
            </w:rPr>
            <w:t>1</w:t>
          </w:r>
          <w:r w:rsidRPr="00FD3A09">
            <w:rPr>
              <w:rFonts w:ascii="Arial" w:hAnsi="Arial" w:cs="Arial"/>
              <w:noProof/>
              <w:sz w:val="20"/>
            </w:rPr>
            <w:fldChar w:fldCharType="end"/>
          </w:r>
          <w:r w:rsidRPr="00FD3A09">
            <w:rPr>
              <w:rFonts w:ascii="Arial" w:hAnsi="Arial" w:cs="Arial"/>
              <w:sz w:val="20"/>
            </w:rPr>
            <w:t xml:space="preserve"> of </w:t>
          </w:r>
          <w:r w:rsidRPr="00FD3A09">
            <w:rPr>
              <w:rFonts w:ascii="Arial" w:hAnsi="Arial" w:cs="Arial"/>
              <w:sz w:val="20"/>
            </w:rPr>
            <w:fldChar w:fldCharType="begin"/>
          </w:r>
          <w:r w:rsidRPr="00FD3A09">
            <w:rPr>
              <w:rFonts w:ascii="Arial" w:hAnsi="Arial" w:cs="Arial"/>
              <w:sz w:val="20"/>
            </w:rPr>
            <w:instrText xml:space="preserve"> NUMPAGES  \* Arabic  \* MERGEFORMAT </w:instrText>
          </w:r>
          <w:r w:rsidRPr="00FD3A09">
            <w:rPr>
              <w:rFonts w:ascii="Arial" w:hAnsi="Arial" w:cs="Arial"/>
              <w:sz w:val="20"/>
            </w:rPr>
            <w:fldChar w:fldCharType="separate"/>
          </w:r>
          <w:r w:rsidRPr="00FD3A09">
            <w:rPr>
              <w:rFonts w:ascii="Arial" w:hAnsi="Arial" w:cs="Arial"/>
              <w:noProof/>
              <w:sz w:val="20"/>
            </w:rPr>
            <w:t>1</w:t>
          </w:r>
          <w:r w:rsidRPr="00FD3A09">
            <w:rPr>
              <w:rFonts w:ascii="Arial" w:hAnsi="Arial" w:cs="Arial"/>
              <w:noProof/>
              <w:sz w:val="20"/>
            </w:rPr>
            <w:fldChar w:fldCharType="end"/>
          </w:r>
        </w:p>
      </w:tc>
    </w:tr>
  </w:tbl>
  <w:p w14:paraId="2AC7190E" w14:textId="77777777" w:rsidR="004E34DE" w:rsidRPr="00FD3A09" w:rsidRDefault="004E34DE" w:rsidP="00FD3A09">
    <w:pPr>
      <w:tabs>
        <w:tab w:val="left" w:pos="7371"/>
      </w:tabs>
      <w:rPr>
        <w:rFonts w:ascii="Arial" w:hAnsi="Arial" w:cs="Arial"/>
        <w:sz w:val="14"/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TableGrid"/>
      <w:tblW w:w="9781" w:type="dxa"/>
      <w:tblInd w:w="-56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7839"/>
      <w:gridCol w:w="261"/>
      <w:gridCol w:w="1681"/>
    </w:tblGrid>
    <w:tr w:rsidR="00D336AE" w:rsidRPr="00FD3A09" w14:paraId="5B271303" w14:textId="77777777" w:rsidTr="00D336AE">
      <w:tc>
        <w:tcPr>
          <w:tcW w:w="7839" w:type="dxa"/>
          <w:shd w:val="clear" w:color="auto" w:fill="auto"/>
        </w:tcPr>
        <w:p w14:paraId="6CBAD274" w14:textId="77777777" w:rsidR="00D336AE" w:rsidRPr="00FD3A09" w:rsidRDefault="00D336AE" w:rsidP="00D336AE">
          <w:pPr>
            <w:pStyle w:val="spacer"/>
            <w:ind w:left="-851" w:firstLine="142"/>
            <w:rPr>
              <w:rFonts w:cs="Arial"/>
              <w:sz w:val="2"/>
            </w:rPr>
          </w:pPr>
        </w:p>
      </w:tc>
      <w:tc>
        <w:tcPr>
          <w:tcW w:w="261" w:type="dxa"/>
          <w:shd w:val="clear" w:color="auto" w:fill="auto"/>
        </w:tcPr>
        <w:p w14:paraId="562892DE" w14:textId="77777777" w:rsidR="00D336AE" w:rsidRPr="00FD3A09" w:rsidRDefault="00D336AE" w:rsidP="00D336AE">
          <w:pPr>
            <w:pStyle w:val="Footer"/>
            <w:rPr>
              <w:rFonts w:ascii="Arial" w:hAnsi="Arial" w:cs="Arial"/>
              <w:sz w:val="20"/>
            </w:rPr>
          </w:pPr>
        </w:p>
      </w:tc>
      <w:tc>
        <w:tcPr>
          <w:tcW w:w="1681" w:type="dxa"/>
          <w:tcBorders>
            <w:top w:val="single" w:sz="4" w:space="0" w:color="4D4D4F"/>
          </w:tcBorders>
          <w:shd w:val="clear" w:color="auto" w:fill="auto"/>
          <w:tcMar>
            <w:top w:w="76" w:type="dxa"/>
          </w:tcMar>
        </w:tcPr>
        <w:p w14:paraId="6D9729AF" w14:textId="77777777" w:rsidR="00D336AE" w:rsidRPr="00FD3A09" w:rsidRDefault="00D336AE" w:rsidP="00D336AE">
          <w:pPr>
            <w:pStyle w:val="Footer"/>
            <w:jc w:val="right"/>
            <w:rPr>
              <w:rFonts w:ascii="Arial" w:hAnsi="Arial" w:cs="Arial"/>
              <w:sz w:val="20"/>
            </w:rPr>
          </w:pPr>
          <w:r w:rsidRPr="00FD3A09">
            <w:rPr>
              <w:rFonts w:ascii="Arial" w:hAnsi="Arial" w:cs="Arial"/>
              <w:sz w:val="20"/>
            </w:rPr>
            <w:t xml:space="preserve">Page </w:t>
          </w:r>
          <w:r w:rsidRPr="00FD3A09">
            <w:rPr>
              <w:rFonts w:ascii="Arial" w:hAnsi="Arial" w:cs="Arial"/>
              <w:sz w:val="20"/>
            </w:rPr>
            <w:fldChar w:fldCharType="begin"/>
          </w:r>
          <w:r w:rsidRPr="00FD3A09">
            <w:rPr>
              <w:rFonts w:ascii="Arial" w:hAnsi="Arial" w:cs="Arial"/>
              <w:sz w:val="20"/>
            </w:rPr>
            <w:instrText xml:space="preserve"> PAGE  \* Arabic  \* MERGEFORMAT </w:instrText>
          </w:r>
          <w:r w:rsidRPr="00FD3A09">
            <w:rPr>
              <w:rFonts w:ascii="Arial" w:hAnsi="Arial" w:cs="Arial"/>
              <w:sz w:val="20"/>
            </w:rPr>
            <w:fldChar w:fldCharType="separate"/>
          </w:r>
          <w:r>
            <w:rPr>
              <w:rFonts w:ascii="Arial" w:hAnsi="Arial" w:cs="Arial"/>
              <w:sz w:val="20"/>
            </w:rPr>
            <w:t>2</w:t>
          </w:r>
          <w:r w:rsidRPr="00FD3A09">
            <w:rPr>
              <w:rFonts w:ascii="Arial" w:hAnsi="Arial" w:cs="Arial"/>
              <w:noProof/>
              <w:sz w:val="20"/>
            </w:rPr>
            <w:fldChar w:fldCharType="end"/>
          </w:r>
          <w:r w:rsidRPr="00FD3A09">
            <w:rPr>
              <w:rFonts w:ascii="Arial" w:hAnsi="Arial" w:cs="Arial"/>
              <w:sz w:val="20"/>
            </w:rPr>
            <w:t xml:space="preserve"> of </w:t>
          </w:r>
          <w:r w:rsidRPr="00FD3A09">
            <w:rPr>
              <w:rFonts w:ascii="Arial" w:hAnsi="Arial" w:cs="Arial"/>
              <w:sz w:val="20"/>
            </w:rPr>
            <w:fldChar w:fldCharType="begin"/>
          </w:r>
          <w:r w:rsidRPr="00FD3A09">
            <w:rPr>
              <w:rFonts w:ascii="Arial" w:hAnsi="Arial" w:cs="Arial"/>
              <w:sz w:val="20"/>
            </w:rPr>
            <w:instrText xml:space="preserve"> NUMPAGES  \* Arabic  \* MERGEFORMAT </w:instrText>
          </w:r>
          <w:r w:rsidRPr="00FD3A09">
            <w:rPr>
              <w:rFonts w:ascii="Arial" w:hAnsi="Arial" w:cs="Arial"/>
              <w:sz w:val="20"/>
            </w:rPr>
            <w:fldChar w:fldCharType="separate"/>
          </w:r>
          <w:r>
            <w:rPr>
              <w:rFonts w:ascii="Arial" w:hAnsi="Arial" w:cs="Arial"/>
              <w:sz w:val="20"/>
            </w:rPr>
            <w:t>2</w:t>
          </w:r>
          <w:r w:rsidRPr="00FD3A09">
            <w:rPr>
              <w:rFonts w:ascii="Arial" w:hAnsi="Arial" w:cs="Arial"/>
              <w:noProof/>
              <w:sz w:val="20"/>
            </w:rPr>
            <w:fldChar w:fldCharType="end"/>
          </w:r>
        </w:p>
      </w:tc>
    </w:tr>
  </w:tbl>
  <w:p w14:paraId="05113E6C" w14:textId="77777777" w:rsidR="00D336AE" w:rsidRPr="00D336AE" w:rsidRDefault="00D336AE" w:rsidP="00D336A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FEEEC21" w14:textId="77777777" w:rsidR="00B312A5" w:rsidRDefault="00B312A5" w:rsidP="00EA15C1">
      <w:pPr>
        <w:spacing w:after="0" w:line="240" w:lineRule="auto"/>
      </w:pPr>
      <w:r>
        <w:separator/>
      </w:r>
    </w:p>
  </w:footnote>
  <w:footnote w:type="continuationSeparator" w:id="0">
    <w:p w14:paraId="61506DE6" w14:textId="77777777" w:rsidR="00B312A5" w:rsidRDefault="00B312A5" w:rsidP="00EA15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B7359F1" w14:textId="6DD02CEA" w:rsidR="00EA15C1" w:rsidRDefault="00EA15C1" w:rsidP="00EA15C1">
    <w:pPr>
      <w:pStyle w:val="Header"/>
      <w:ind w:left="284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F2D04FB" w14:textId="77777777" w:rsidR="0049305D" w:rsidRDefault="00266CEF">
    <w:pPr>
      <w:pStyle w:val="Header"/>
    </w:pPr>
    <w:r>
      <w:rPr>
        <w:noProof/>
      </w:rPr>
      <w:drawing>
        <wp:inline distT="0" distB="0" distL="0" distR="0" wp14:anchorId="03D43376" wp14:editId="7EC6D961">
          <wp:extent cx="5638800" cy="459253"/>
          <wp:effectExtent l="0" t="0" r="0" b="0"/>
          <wp:docPr id="1" name="Picture 1" title="Australian Communications and Media Authority logo and Government cres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iscussion-paper-header-block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52754" cy="46853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C0252F"/>
    <w:multiLevelType w:val="hybridMultilevel"/>
    <w:tmpl w:val="39D04A10"/>
    <w:lvl w:ilvl="0" w:tplc="CA0266EE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F5A5080"/>
    <w:multiLevelType w:val="hybridMultilevel"/>
    <w:tmpl w:val="BE2AF6CE"/>
    <w:lvl w:ilvl="0" w:tplc="D05E2434">
      <w:start w:val="1"/>
      <w:numFmt w:val="bullet"/>
      <w:pStyle w:val="ACMABulletLevel1"/>
      <w:lvlText w:val="●"/>
      <w:lvlJc w:val="left"/>
      <w:pPr>
        <w:tabs>
          <w:tab w:val="num" w:pos="-31680"/>
        </w:tabs>
        <w:ind w:left="357" w:hanging="357"/>
      </w:pPr>
      <w:rPr>
        <w:rFonts w:ascii="Arial" w:hAnsi="Arial" w:cs="Arial" w:hint="default"/>
        <w:sz w:val="20"/>
        <w:szCs w:val="20"/>
      </w:rPr>
    </w:lvl>
    <w:lvl w:ilvl="1" w:tplc="04090003">
      <w:start w:val="1"/>
      <w:numFmt w:val="bullet"/>
      <w:lvlText w:val="o"/>
      <w:lvlJc w:val="left"/>
      <w:pPr>
        <w:tabs>
          <w:tab w:val="num" w:pos="1728"/>
        </w:tabs>
        <w:ind w:left="1728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448"/>
        </w:tabs>
        <w:ind w:left="244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168"/>
        </w:tabs>
        <w:ind w:left="316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888"/>
        </w:tabs>
        <w:ind w:left="3888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08"/>
        </w:tabs>
        <w:ind w:left="460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28"/>
        </w:tabs>
        <w:ind w:left="532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048"/>
        </w:tabs>
        <w:ind w:left="6048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768"/>
        </w:tabs>
        <w:ind w:left="6768" w:hanging="360"/>
      </w:pPr>
      <w:rPr>
        <w:rFonts w:ascii="Wingdings" w:hAnsi="Wingdings" w:hint="default"/>
      </w:rPr>
    </w:lvl>
  </w:abstractNum>
  <w:abstractNum w:abstractNumId="2" w15:restartNumberingAfterBreak="0">
    <w:nsid w:val="69437F52"/>
    <w:multiLevelType w:val="hybridMultilevel"/>
    <w:tmpl w:val="73E6ADF2"/>
    <w:lvl w:ilvl="0" w:tplc="FE9EAA6A">
      <w:start w:val="1"/>
      <w:numFmt w:val="bullet"/>
      <w:lvlText w:val="&gt;"/>
      <w:lvlJc w:val="left"/>
      <w:pPr>
        <w:ind w:left="720" w:hanging="360"/>
      </w:pPr>
      <w:rPr>
        <w:rFonts w:ascii="Vrinda" w:hAnsi="Vrinda" w:hint="default"/>
        <w:b w:val="0"/>
        <w:sz w:val="20"/>
        <w:szCs w:val="20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675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12A5"/>
    <w:rsid w:val="00036EB8"/>
    <w:rsid w:val="00037655"/>
    <w:rsid w:val="000A5A50"/>
    <w:rsid w:val="000E4E10"/>
    <w:rsid w:val="00155DFF"/>
    <w:rsid w:val="001C3D47"/>
    <w:rsid w:val="001E3415"/>
    <w:rsid w:val="001F6232"/>
    <w:rsid w:val="001F7197"/>
    <w:rsid w:val="00266CEF"/>
    <w:rsid w:val="00273D82"/>
    <w:rsid w:val="00287559"/>
    <w:rsid w:val="002921CD"/>
    <w:rsid w:val="0029540C"/>
    <w:rsid w:val="002E5CFE"/>
    <w:rsid w:val="00306E80"/>
    <w:rsid w:val="00332450"/>
    <w:rsid w:val="003465BB"/>
    <w:rsid w:val="00364E29"/>
    <w:rsid w:val="003B2D9F"/>
    <w:rsid w:val="003C526D"/>
    <w:rsid w:val="004108F6"/>
    <w:rsid w:val="00471348"/>
    <w:rsid w:val="00483C65"/>
    <w:rsid w:val="0049305D"/>
    <w:rsid w:val="004B1482"/>
    <w:rsid w:val="004E34DE"/>
    <w:rsid w:val="005B05D4"/>
    <w:rsid w:val="005C1DC4"/>
    <w:rsid w:val="005C52DD"/>
    <w:rsid w:val="00607719"/>
    <w:rsid w:val="00624884"/>
    <w:rsid w:val="00624AA8"/>
    <w:rsid w:val="00630D03"/>
    <w:rsid w:val="0064176F"/>
    <w:rsid w:val="006B0596"/>
    <w:rsid w:val="00753307"/>
    <w:rsid w:val="007556FC"/>
    <w:rsid w:val="007847F8"/>
    <w:rsid w:val="00796257"/>
    <w:rsid w:val="007A37F2"/>
    <w:rsid w:val="007A7A2B"/>
    <w:rsid w:val="007C0955"/>
    <w:rsid w:val="007C6F04"/>
    <w:rsid w:val="0084433D"/>
    <w:rsid w:val="00871C14"/>
    <w:rsid w:val="00873CF2"/>
    <w:rsid w:val="00876681"/>
    <w:rsid w:val="0088719B"/>
    <w:rsid w:val="00893FB9"/>
    <w:rsid w:val="00916CF9"/>
    <w:rsid w:val="00936C45"/>
    <w:rsid w:val="00960155"/>
    <w:rsid w:val="00970321"/>
    <w:rsid w:val="00A1236C"/>
    <w:rsid w:val="00A4497B"/>
    <w:rsid w:val="00A561C1"/>
    <w:rsid w:val="00A62AD3"/>
    <w:rsid w:val="00AC50A0"/>
    <w:rsid w:val="00AE169E"/>
    <w:rsid w:val="00AF0020"/>
    <w:rsid w:val="00AF17D9"/>
    <w:rsid w:val="00AF4BB7"/>
    <w:rsid w:val="00B1233B"/>
    <w:rsid w:val="00B24890"/>
    <w:rsid w:val="00B24949"/>
    <w:rsid w:val="00B312A5"/>
    <w:rsid w:val="00B54DC5"/>
    <w:rsid w:val="00B6059B"/>
    <w:rsid w:val="00BB00D1"/>
    <w:rsid w:val="00BC4240"/>
    <w:rsid w:val="00C14260"/>
    <w:rsid w:val="00C27B7E"/>
    <w:rsid w:val="00C70032"/>
    <w:rsid w:val="00CD1944"/>
    <w:rsid w:val="00CE53D7"/>
    <w:rsid w:val="00CF19A3"/>
    <w:rsid w:val="00D03810"/>
    <w:rsid w:val="00D07942"/>
    <w:rsid w:val="00D31133"/>
    <w:rsid w:val="00D336AE"/>
    <w:rsid w:val="00DF2C8B"/>
    <w:rsid w:val="00E06C50"/>
    <w:rsid w:val="00EA15C1"/>
    <w:rsid w:val="00F321FC"/>
    <w:rsid w:val="00F661AF"/>
    <w:rsid w:val="00F8177D"/>
    <w:rsid w:val="00F84AD0"/>
    <w:rsid w:val="00FD0927"/>
    <w:rsid w:val="00FD3A09"/>
    <w:rsid w:val="00FD48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7585"/>
    <o:shapelayout v:ext="edit">
      <o:idmap v:ext="edit" data="1"/>
    </o:shapelayout>
  </w:shapeDefaults>
  <w:decimalSymbol w:val="."/>
  <w:listSeparator w:val=","/>
  <w14:docId w14:val="4A59A055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B312A5"/>
    <w:pPr>
      <w:spacing w:after="240"/>
      <w:jc w:val="center"/>
      <w:outlineLvl w:val="0"/>
    </w:pPr>
    <w:rPr>
      <w:rFonts w:ascii="Arial" w:hAnsi="Arial" w:cs="Arial"/>
      <w:sz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B312A5"/>
    <w:pPr>
      <w:spacing w:after="0" w:line="240" w:lineRule="auto"/>
      <w:jc w:val="left"/>
      <w:outlineLvl w:val="1"/>
    </w:pPr>
    <w:rPr>
      <w:b/>
      <w:sz w:val="22"/>
    </w:rPr>
  </w:style>
  <w:style w:type="paragraph" w:styleId="Heading3">
    <w:name w:val="heading 3"/>
    <w:basedOn w:val="Normal"/>
    <w:next w:val="Normal"/>
    <w:link w:val="Heading3Char"/>
    <w:qFormat/>
    <w:rsid w:val="00AE169E"/>
    <w:pPr>
      <w:keepNext/>
      <w:spacing w:before="60" w:after="60" w:line="240" w:lineRule="atLeast"/>
      <w:outlineLvl w:val="2"/>
    </w:pPr>
    <w:rPr>
      <w:rFonts w:ascii="Arial" w:eastAsia="Times New Roman" w:hAnsi="Arial" w:cs="Arial"/>
      <w:b/>
      <w:bCs/>
      <w:sz w:val="20"/>
      <w:szCs w:val="26"/>
      <w:lang w:eastAsia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A15C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A15C1"/>
  </w:style>
  <w:style w:type="paragraph" w:styleId="Footer">
    <w:name w:val="footer"/>
    <w:basedOn w:val="Normal"/>
    <w:link w:val="FooterChar"/>
    <w:unhideWhenUsed/>
    <w:rsid w:val="00EA15C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A15C1"/>
  </w:style>
  <w:style w:type="table" w:styleId="TableGrid">
    <w:name w:val="Table Grid"/>
    <w:basedOn w:val="TableNormal"/>
    <w:rsid w:val="00EA15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ignOffName">
    <w:name w:val="SignOff Name"/>
    <w:basedOn w:val="Normal"/>
    <w:rsid w:val="00EA15C1"/>
    <w:pPr>
      <w:keepNext/>
      <w:spacing w:after="0" w:line="240" w:lineRule="atLeast"/>
    </w:pPr>
    <w:rPr>
      <w:rFonts w:ascii="Arial" w:eastAsia="Times New Roman" w:hAnsi="Arial" w:cs="Times New Roman"/>
      <w:b/>
      <w:color w:val="4D4D4F"/>
      <w:sz w:val="21"/>
      <w:szCs w:val="21"/>
      <w:lang w:eastAsia="en-AU"/>
    </w:rPr>
  </w:style>
  <w:style w:type="paragraph" w:customStyle="1" w:styleId="SignOffDetails">
    <w:name w:val="SignOff Details"/>
    <w:basedOn w:val="SignOffName"/>
    <w:rsid w:val="00EA15C1"/>
    <w:rPr>
      <w:b w:val="0"/>
      <w:sz w:val="17"/>
      <w:szCs w:val="17"/>
    </w:rPr>
  </w:style>
  <w:style w:type="paragraph" w:customStyle="1" w:styleId="spacer">
    <w:name w:val="spacer"/>
    <w:basedOn w:val="Normal"/>
    <w:semiHidden/>
    <w:rsid w:val="00FD3A09"/>
    <w:pPr>
      <w:spacing w:after="0" w:line="240" w:lineRule="auto"/>
    </w:pPr>
    <w:rPr>
      <w:rFonts w:ascii="Arial" w:eastAsia="Times New Roman" w:hAnsi="Arial" w:cs="Times New Roman"/>
      <w:color w:val="4D4D4F"/>
      <w:sz w:val="4"/>
      <w:szCs w:val="24"/>
      <w:lang w:eastAsia="en-AU"/>
    </w:rPr>
  </w:style>
  <w:style w:type="character" w:customStyle="1" w:styleId="Heading3Char">
    <w:name w:val="Heading 3 Char"/>
    <w:basedOn w:val="DefaultParagraphFont"/>
    <w:link w:val="Heading3"/>
    <w:rsid w:val="00AE169E"/>
    <w:rPr>
      <w:rFonts w:ascii="Arial" w:eastAsia="Times New Roman" w:hAnsi="Arial" w:cs="Arial"/>
      <w:b/>
      <w:bCs/>
      <w:sz w:val="20"/>
      <w:szCs w:val="26"/>
      <w:lang w:eastAsia="en-AU"/>
    </w:rPr>
  </w:style>
  <w:style w:type="character" w:styleId="Hyperlink">
    <w:name w:val="Hyperlink"/>
    <w:basedOn w:val="DefaultParagraphFont"/>
    <w:qFormat/>
    <w:rsid w:val="00AE169E"/>
    <w:rPr>
      <w:color w:val="0000FF"/>
      <w:u w:val="single" w:color="0000FF"/>
    </w:rPr>
  </w:style>
  <w:style w:type="paragraph" w:customStyle="1" w:styleId="ACMABulletLevel1">
    <w:name w:val="ACMA Bullet Level 1"/>
    <w:rsid w:val="00AE169E"/>
    <w:pPr>
      <w:numPr>
        <w:numId w:val="1"/>
      </w:numPr>
      <w:spacing w:after="120" w:line="240" w:lineRule="auto"/>
    </w:pPr>
    <w:rPr>
      <w:rFonts w:ascii="Times New Roman" w:eastAsia="Times New Roman" w:hAnsi="Times New Roman" w:cs="Times New Roman"/>
      <w:sz w:val="24"/>
      <w:szCs w:val="20"/>
    </w:rPr>
  </w:style>
  <w:style w:type="character" w:styleId="CommentReference">
    <w:name w:val="annotation reference"/>
    <w:basedOn w:val="DefaultParagraphFont"/>
    <w:uiPriority w:val="99"/>
    <w:unhideWhenUsed/>
    <w:rsid w:val="00AE169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E169E"/>
    <w:pPr>
      <w:spacing w:after="240" w:line="240" w:lineRule="auto"/>
    </w:pPr>
    <w:rPr>
      <w:rFonts w:ascii="Arial" w:hAnsi="Arial" w:cs="Arial"/>
      <w:sz w:val="20"/>
      <w:szCs w:val="20"/>
      <w:lang w:eastAsia="en-AU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E169E"/>
    <w:rPr>
      <w:rFonts w:ascii="Arial" w:hAnsi="Arial" w:cs="Arial"/>
      <w:sz w:val="20"/>
      <w:szCs w:val="20"/>
      <w:lang w:eastAsia="en-AU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E169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E169E"/>
    <w:rPr>
      <w:rFonts w:ascii="Segoe UI" w:hAnsi="Segoe UI" w:cs="Segoe UI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B312A5"/>
    <w:rPr>
      <w:rFonts w:ascii="Arial" w:hAnsi="Arial" w:cs="Arial"/>
      <w:sz w:val="32"/>
    </w:rPr>
  </w:style>
  <w:style w:type="character" w:customStyle="1" w:styleId="Heading2Char">
    <w:name w:val="Heading 2 Char"/>
    <w:basedOn w:val="DefaultParagraphFont"/>
    <w:link w:val="Heading2"/>
    <w:uiPriority w:val="9"/>
    <w:rsid w:val="00B312A5"/>
    <w:rPr>
      <w:rFonts w:ascii="Arial" w:hAnsi="Arial" w:cs="Arial"/>
      <w:b/>
    </w:rPr>
  </w:style>
  <w:style w:type="paragraph" w:styleId="ListParagraph">
    <w:name w:val="List Paragraph"/>
    <w:basedOn w:val="Normal"/>
    <w:uiPriority w:val="34"/>
    <w:qFormat/>
    <w:rsid w:val="00B312A5"/>
    <w:pPr>
      <w:ind w:left="720"/>
      <w:contextualSpacing/>
    </w:p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C50A0"/>
    <w:pPr>
      <w:spacing w:after="160"/>
    </w:pPr>
    <w:rPr>
      <w:rFonts w:asciiTheme="minorHAnsi" w:hAnsiTheme="minorHAnsi" w:cstheme="minorBidi"/>
      <w:b/>
      <w:bCs/>
      <w:lang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C50A0"/>
    <w:rPr>
      <w:rFonts w:ascii="Arial" w:hAnsi="Arial" w:cs="Arial"/>
      <w:b/>
      <w:bCs/>
      <w:sz w:val="20"/>
      <w:szCs w:val="20"/>
      <w:lang w:eastAsia="en-AU"/>
    </w:rPr>
  </w:style>
  <w:style w:type="character" w:styleId="UnresolvedMention">
    <w:name w:val="Unresolved Mention"/>
    <w:basedOn w:val="DefaultParagraphFont"/>
    <w:uiPriority w:val="99"/>
    <w:semiHidden/>
    <w:unhideWhenUsed/>
    <w:rsid w:val="00876681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876681"/>
    <w:rPr>
      <w:color w:val="954F72" w:themeColor="followedHyperlink"/>
      <w:u w:val="single"/>
    </w:rPr>
  </w:style>
  <w:style w:type="paragraph" w:customStyle="1" w:styleId="TableHeading">
    <w:name w:val="Table Heading"/>
    <w:basedOn w:val="Normal"/>
    <w:qFormat/>
    <w:rsid w:val="00876681"/>
    <w:pPr>
      <w:spacing w:after="0" w:line="240" w:lineRule="atLeast"/>
    </w:pPr>
    <w:rPr>
      <w:rFonts w:ascii="Arial Bold" w:eastAsia="Times New Roman" w:hAnsi="Arial Bold" w:cs="Times New Roman"/>
      <w:b/>
      <w:color w:val="FFFFFF" w:themeColor="background1"/>
      <w:sz w:val="20"/>
      <w:szCs w:val="24"/>
      <w:lang w:eastAsia="en-AU"/>
    </w:rPr>
  </w:style>
  <w:style w:type="paragraph" w:styleId="Revision">
    <w:name w:val="Revision"/>
    <w:hidden/>
    <w:uiPriority w:val="99"/>
    <w:semiHidden/>
    <w:rsid w:val="00364E29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acma.gov.au/sites/default/files/2019-08/australian-spectrum-map-grid-2012%20pdf.pdf" TargetMode="Externa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hyperlink" Target="https://www.acma.gov.au/convert-hcis-area-description-placemark" TargetMode="External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8859731-8D8B-4353-8575-86C668A855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828</Words>
  <Characters>4722</Characters>
  <Application>Microsoft Office Word</Application>
  <DocSecurity>0</DocSecurity>
  <Lines>39</Lines>
  <Paragraphs>11</Paragraphs>
  <ScaleCrop>false</ScaleCrop>
  <Company/>
  <LinksUpToDate>false</LinksUpToDate>
  <CharactersWithSpaces>5539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2020-05-13T23:36:00Z</dcterms:created>
  <dcterms:modified xsi:type="dcterms:W3CDTF">2020-05-13T23:36:00Z</dcterms:modified>
</cp:coreProperties>
</file>