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5FA459" w14:textId="63671C1C" w:rsidR="00F06E14" w:rsidRPr="00A51D1A" w:rsidRDefault="00AD0786" w:rsidP="00A51D1A">
      <w:pPr>
        <w:pStyle w:val="Reporttitle"/>
      </w:pPr>
      <w:r>
        <w:t xml:space="preserve">Draft spectrum </w:t>
      </w:r>
      <w:r w:rsidR="00DA3182">
        <w:t>re</w:t>
      </w:r>
      <w:r w:rsidR="00CF0FFA">
        <w:t>-</w:t>
      </w:r>
      <w:r w:rsidR="00DA3182">
        <w:t>allocation</w:t>
      </w:r>
      <w:r>
        <w:t xml:space="preserve"> recommendation for the</w:t>
      </w:r>
      <w:r w:rsidR="00866BBD">
        <w:t xml:space="preserve"> </w:t>
      </w:r>
      <w:r w:rsidR="007F04FC">
        <w:t>850/</w:t>
      </w:r>
      <w:r w:rsidR="00656F59">
        <w:t>900 MHz band</w:t>
      </w:r>
    </w:p>
    <w:p w14:paraId="7630C7FD" w14:textId="789FEA88" w:rsidR="00F06E14" w:rsidRDefault="00770B3F" w:rsidP="00F06E14">
      <w:pPr>
        <w:pStyle w:val="Reportsubtitle"/>
      </w:pPr>
      <w:r>
        <w:t xml:space="preserve">Consultation </w:t>
      </w:r>
      <w:r w:rsidR="00AD0786">
        <w:t>paper</w:t>
      </w:r>
      <w:r w:rsidR="006C1956">
        <w:t xml:space="preserve"> </w:t>
      </w:r>
    </w:p>
    <w:p w14:paraId="4875370F" w14:textId="326DC4C0" w:rsidR="00C97736" w:rsidRPr="000D76E0" w:rsidRDefault="000C6C7D" w:rsidP="00EC2B68">
      <w:pPr>
        <w:pStyle w:val="Reportdate"/>
        <w:spacing w:after="720"/>
        <w:rPr>
          <w:rFonts w:cs="Arial"/>
        </w:rPr>
        <w:sectPr w:rsidR="00C97736" w:rsidRPr="000D76E0" w:rsidSect="0021426C">
          <w:headerReference w:type="default" r:id="rId8"/>
          <w:footerReference w:type="default" r:id="rId9"/>
          <w:headerReference w:type="first" r:id="rId10"/>
          <w:pgSz w:w="11906" w:h="16838" w:code="9"/>
          <w:pgMar w:top="3924" w:right="992" w:bottom="1440" w:left="1134" w:header="709" w:footer="454" w:gutter="0"/>
          <w:cols w:space="708"/>
          <w:docGrid w:linePitch="360"/>
        </w:sectPr>
      </w:pPr>
      <w:r>
        <w:t xml:space="preserve">MAY </w:t>
      </w:r>
      <w:r w:rsidR="00BD4421">
        <w:t>20</w:t>
      </w:r>
      <w:r w:rsidR="008E0428">
        <w:t>20</w:t>
      </w:r>
    </w:p>
    <w:p w14:paraId="53CE27EB" w14:textId="77777777" w:rsidR="0005011A" w:rsidRPr="00F44F3A" w:rsidRDefault="0005011A" w:rsidP="00FC07B9">
      <w:pPr>
        <w:pStyle w:val="ACMACorporateAddressHeader"/>
      </w:pPr>
      <w:r w:rsidRPr="00F44F3A">
        <w:lastRenderedPageBreak/>
        <w:t>Canberra</w:t>
      </w:r>
    </w:p>
    <w:p w14:paraId="26DE4AAC" w14:textId="77777777" w:rsidR="0005011A" w:rsidRPr="00FC07B9" w:rsidRDefault="0005011A" w:rsidP="00FC07B9">
      <w:pPr>
        <w:pStyle w:val="ACMACorporateAddresses"/>
      </w:pPr>
      <w:r w:rsidRPr="00FC07B9">
        <w:t xml:space="preserve">Red Building </w:t>
      </w:r>
      <w:r w:rsidRPr="00FC07B9">
        <w:br/>
        <w:t>Benjamin Offices</w:t>
      </w:r>
      <w:r w:rsidRPr="00FC07B9">
        <w:br/>
        <w:t xml:space="preserve">Chan Street </w:t>
      </w:r>
      <w:r w:rsidRPr="00FC07B9">
        <w:br/>
        <w:t>Belconnen ACT</w:t>
      </w:r>
    </w:p>
    <w:p w14:paraId="38E37C54" w14:textId="77777777" w:rsidR="0005011A" w:rsidRPr="00FC07B9" w:rsidRDefault="0005011A" w:rsidP="00FC07B9">
      <w:pPr>
        <w:pStyle w:val="ACMACorporateAddresses"/>
      </w:pPr>
      <w:r w:rsidRPr="00FC07B9">
        <w:t>PO Box 78</w:t>
      </w:r>
      <w:r w:rsidRPr="00FC07B9">
        <w:br/>
        <w:t>Belconnen ACT 2616</w:t>
      </w:r>
    </w:p>
    <w:p w14:paraId="0A25862D" w14:textId="77777777" w:rsidR="00FE1823" w:rsidRPr="00FC07B9" w:rsidRDefault="0005011A" w:rsidP="00FC07B9">
      <w:pPr>
        <w:pStyle w:val="ACMACorporateAddresses"/>
      </w:pPr>
      <w:r w:rsidRPr="00FC07B9">
        <w:t>T</w:t>
      </w:r>
      <w:r w:rsidR="00537604" w:rsidRPr="00FC07B9">
        <w:tab/>
      </w:r>
      <w:r w:rsidRPr="00FC07B9">
        <w:t>+61 2 6219 5555</w:t>
      </w:r>
      <w:r w:rsidRPr="00FC07B9">
        <w:br/>
        <w:t>F</w:t>
      </w:r>
      <w:r w:rsidR="00537604" w:rsidRPr="00FC07B9">
        <w:tab/>
      </w:r>
      <w:r w:rsidRPr="00FC07B9">
        <w:t>+61 2 6219 5353</w:t>
      </w:r>
    </w:p>
    <w:p w14:paraId="5C990FCA" w14:textId="77777777" w:rsidR="0005011A" w:rsidRPr="00F44F3A" w:rsidRDefault="0005011A" w:rsidP="00FC07B9">
      <w:pPr>
        <w:pStyle w:val="ACMACorporateAddressHeader"/>
      </w:pPr>
      <w:r w:rsidRPr="00F44F3A">
        <w:t>Melbourne</w:t>
      </w:r>
    </w:p>
    <w:p w14:paraId="76FF8EFF" w14:textId="77777777" w:rsidR="0005011A" w:rsidRPr="00F44F3A" w:rsidRDefault="0005011A" w:rsidP="00FC07B9">
      <w:pPr>
        <w:pStyle w:val="ACMACorporateAddresses"/>
      </w:pPr>
      <w:r w:rsidRPr="00F44F3A">
        <w:t xml:space="preserve">Level 32 </w:t>
      </w:r>
      <w:r w:rsidRPr="00F44F3A">
        <w:br/>
        <w:t>Melbourne Central Tower</w:t>
      </w:r>
      <w:r w:rsidRPr="00F44F3A">
        <w:br/>
        <w:t xml:space="preserve">360 Elizabeth Street </w:t>
      </w:r>
      <w:r w:rsidR="008C10F4" w:rsidRPr="00F44F3A">
        <w:br/>
      </w:r>
      <w:r w:rsidRPr="00F44F3A">
        <w:t>Melbourne VIC</w:t>
      </w:r>
    </w:p>
    <w:p w14:paraId="451DCBF1" w14:textId="77777777" w:rsidR="0005011A" w:rsidRPr="00F44F3A" w:rsidRDefault="0005011A" w:rsidP="00FC07B9">
      <w:pPr>
        <w:pStyle w:val="ACMACorporateAddresses"/>
      </w:pPr>
      <w:r w:rsidRPr="00F44F3A">
        <w:t>PO Box 13112</w:t>
      </w:r>
      <w:r w:rsidRPr="00F44F3A">
        <w:br/>
        <w:t xml:space="preserve">Law Courts </w:t>
      </w:r>
      <w:r w:rsidRPr="00F44F3A">
        <w:br/>
        <w:t>Melbourne VIC 8010</w:t>
      </w:r>
    </w:p>
    <w:p w14:paraId="2325A768" w14:textId="77777777" w:rsidR="0005011A" w:rsidRPr="00F44F3A" w:rsidRDefault="0005011A" w:rsidP="00FC07B9">
      <w:pPr>
        <w:pStyle w:val="ACMACorporateAddresses"/>
      </w:pPr>
      <w:r w:rsidRPr="00F44F3A">
        <w:t>T</w:t>
      </w:r>
      <w:r w:rsidR="00140318" w:rsidRPr="00F44F3A">
        <w:tab/>
      </w:r>
      <w:r w:rsidRPr="00F44F3A">
        <w:t>+61 3 9963 6800</w:t>
      </w:r>
      <w:r w:rsidRPr="00F44F3A">
        <w:br/>
        <w:t>F</w:t>
      </w:r>
      <w:r w:rsidR="00140318" w:rsidRPr="00F44F3A">
        <w:tab/>
      </w:r>
      <w:r w:rsidRPr="00F44F3A">
        <w:t>+61 3 9963 6899</w:t>
      </w:r>
    </w:p>
    <w:p w14:paraId="769405DD" w14:textId="77777777" w:rsidR="0005011A" w:rsidRPr="00F44F3A" w:rsidRDefault="0005011A" w:rsidP="00FC07B9">
      <w:pPr>
        <w:pStyle w:val="ACMACorporateAddressHeader"/>
      </w:pPr>
      <w:r w:rsidRPr="00F44F3A">
        <w:t>Sydney</w:t>
      </w:r>
    </w:p>
    <w:p w14:paraId="27B1DB42" w14:textId="77777777" w:rsidR="0005011A" w:rsidRPr="00F44F3A" w:rsidRDefault="0005011A" w:rsidP="00FC07B9">
      <w:pPr>
        <w:pStyle w:val="ACMACorporateAddresses"/>
      </w:pPr>
      <w:r w:rsidRPr="00F44F3A">
        <w:t xml:space="preserve">Level 5 </w:t>
      </w:r>
      <w:r w:rsidRPr="00F44F3A">
        <w:br/>
        <w:t>The Bay Centre</w:t>
      </w:r>
      <w:r w:rsidRPr="00F44F3A">
        <w:br/>
        <w:t xml:space="preserve">65 Pirrama Road </w:t>
      </w:r>
      <w:r w:rsidRPr="00F44F3A">
        <w:br/>
        <w:t>Pyrmont NSW</w:t>
      </w:r>
    </w:p>
    <w:p w14:paraId="6D354313" w14:textId="77777777" w:rsidR="0005011A" w:rsidRPr="00F44F3A" w:rsidRDefault="0005011A" w:rsidP="00FC07B9">
      <w:pPr>
        <w:pStyle w:val="ACMACorporateAddresses"/>
      </w:pPr>
      <w:r w:rsidRPr="00F44F3A">
        <w:t>PO Box Q500</w:t>
      </w:r>
      <w:r w:rsidRPr="00F44F3A">
        <w:br/>
        <w:t xml:space="preserve">Queen Victoria Building </w:t>
      </w:r>
      <w:r w:rsidRPr="00F44F3A">
        <w:br/>
        <w:t>NSW 1230</w:t>
      </w:r>
    </w:p>
    <w:p w14:paraId="2F5B1069" w14:textId="77777777" w:rsidR="0005011A" w:rsidRPr="00F44F3A" w:rsidRDefault="0005011A" w:rsidP="00FC07B9">
      <w:pPr>
        <w:pStyle w:val="ACMACorporateAddresses"/>
      </w:pPr>
      <w:r w:rsidRPr="00F44F3A">
        <w:t>T</w:t>
      </w:r>
      <w:r w:rsidR="00140318" w:rsidRPr="00F44F3A">
        <w:tab/>
      </w:r>
      <w:r w:rsidRPr="00F44F3A">
        <w:t>+61 2 9334 7700</w:t>
      </w:r>
      <w:r w:rsidR="00140318" w:rsidRPr="00F44F3A">
        <w:t xml:space="preserve"> or</w:t>
      </w:r>
      <w:r w:rsidRPr="00F44F3A">
        <w:t xml:space="preserve"> 1800 226 667</w:t>
      </w:r>
      <w:r w:rsidRPr="00F44F3A">
        <w:br/>
        <w:t>F</w:t>
      </w:r>
      <w:r w:rsidR="00140318" w:rsidRPr="00F44F3A">
        <w:tab/>
      </w:r>
      <w:r w:rsidRPr="00F44F3A">
        <w:t>+61 2 9334 7799</w:t>
      </w:r>
    </w:p>
    <w:p w14:paraId="5391642F" w14:textId="77777777" w:rsidR="00140318" w:rsidRPr="006D46E5" w:rsidRDefault="00140318" w:rsidP="00FC07B9">
      <w:pPr>
        <w:pStyle w:val="ACMACopyrightHeader"/>
      </w:pPr>
      <w:r w:rsidRPr="00140318">
        <w:t>Copyright notice</w:t>
      </w:r>
    </w:p>
    <w:p w14:paraId="0BBD4953" w14:textId="77777777" w:rsidR="00140318" w:rsidRPr="006D46E5" w:rsidRDefault="00623FF9" w:rsidP="00623FF9">
      <w:pPr>
        <w:pStyle w:val="ACMACClogo"/>
      </w:pPr>
      <w:r w:rsidRPr="00623FF9">
        <w:rPr>
          <w:noProof/>
        </w:rPr>
        <w:drawing>
          <wp:inline distT="0" distB="0" distL="0" distR="0" wp14:anchorId="6E5B1EE7" wp14:editId="38BD6D45">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77B2BE5B" w14:textId="77777777" w:rsidR="00AA2DE5" w:rsidRDefault="000A122F" w:rsidP="00AA2DE5">
      <w:pPr>
        <w:pStyle w:val="ACMACorporateAddresses"/>
        <w:rPr>
          <w:rStyle w:val="Hyperlink"/>
        </w:rPr>
      </w:pPr>
      <w:hyperlink r:id="rId13" w:history="1">
        <w:r w:rsidR="00AA2DE5">
          <w:rPr>
            <w:rStyle w:val="Hyperlink"/>
          </w:rPr>
          <w:t>https://creativecommons.org/licenses/by/4.0/</w:t>
        </w:r>
      </w:hyperlink>
    </w:p>
    <w:p w14:paraId="1F3D94A8" w14:textId="77777777" w:rsidR="00AA2DE5" w:rsidRDefault="00AA2DE5" w:rsidP="00AA2DE5">
      <w:pPr>
        <w:pStyle w:val="ACMACorporateAddresses"/>
      </w:pPr>
      <w:proofErr w:type="gramStart"/>
      <w:r>
        <w:t>With the exception of</w:t>
      </w:r>
      <w:proofErr w:type="gramEnd"/>
      <w:r>
        <w:t xml:space="preserve"> coats of arms, logos, emblems, images, other third-party material or devices protected by a trademark, this content is made available under the terms of the Creative Commons Attribution 4.0 International (CC BY 4.0) licence. </w:t>
      </w:r>
    </w:p>
    <w:p w14:paraId="187CC494" w14:textId="77777777" w:rsidR="00AA2DE5" w:rsidRDefault="00AA2DE5" w:rsidP="00AA2DE5">
      <w:pPr>
        <w:pStyle w:val="ACMACorporateAddresses"/>
      </w:pPr>
      <w:r>
        <w:t>We request attribution as © Commonwealth of Australia (Australian Communications and Media Authority) 20</w:t>
      </w:r>
      <w:r w:rsidR="00C41F21">
        <w:t>20</w:t>
      </w:r>
      <w:r>
        <w:t>.</w:t>
      </w:r>
    </w:p>
    <w:p w14:paraId="058E298D" w14:textId="77777777" w:rsidR="00AA2DE5" w:rsidRDefault="00AA2DE5" w:rsidP="00AA2DE5">
      <w:pPr>
        <w:pStyle w:val="ACMACorporateAddresses"/>
      </w:pPr>
      <w:r>
        <w:t>All other rights are reserved.</w:t>
      </w:r>
    </w:p>
    <w:p w14:paraId="39DCBA26" w14:textId="77777777" w:rsidR="00AA2DE5" w:rsidRDefault="00AA2DE5" w:rsidP="00AA2DE5">
      <w:pPr>
        <w:pStyle w:val="ACMACorporateAddresses"/>
      </w:pPr>
      <w:r>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63DE18EC" w14:textId="77777777" w:rsidR="00AA2DE5" w:rsidRDefault="00AA2DE5" w:rsidP="00AA2DE5">
      <w:pPr>
        <w:pStyle w:val="ACMACorporateAddresses"/>
      </w:pPr>
      <w:r>
        <w:t>Written enquiries may be sent to:</w:t>
      </w:r>
    </w:p>
    <w:p w14:paraId="5A6EFCC2" w14:textId="77777777" w:rsidR="00AA2DE5" w:rsidRDefault="00AA2DE5" w:rsidP="00AA2DE5">
      <w:pPr>
        <w:pStyle w:val="ACMACorporateAddresses"/>
        <w:rPr>
          <w:rStyle w:val="Hyperlink"/>
        </w:rPr>
      </w:pPr>
      <w:r>
        <w:t xml:space="preserve">Manager, Editorial </w:t>
      </w:r>
      <w:r w:rsidR="000245E5">
        <w:t>Services</w:t>
      </w:r>
      <w:r>
        <w:br/>
        <w:t>PO Box 13112</w:t>
      </w:r>
      <w:r>
        <w:br/>
        <w:t>Law Courts</w:t>
      </w:r>
      <w:r>
        <w:br/>
        <w:t>Melbourne VIC 8010</w:t>
      </w:r>
      <w:r>
        <w:br/>
        <w:t xml:space="preserve">Email: </w:t>
      </w:r>
      <w:hyperlink r:id="rId14" w:history="1">
        <w:r>
          <w:rPr>
            <w:rStyle w:val="Hyperlink"/>
          </w:rPr>
          <w:t>info@acma.gov.au</w:t>
        </w:r>
      </w:hyperlink>
    </w:p>
    <w:p w14:paraId="6EE3954F" w14:textId="77777777" w:rsidR="00D16FE3" w:rsidRDefault="00D16FE3" w:rsidP="00D16FE3">
      <w:pPr>
        <w:pStyle w:val="ACMACorporateAddresses"/>
        <w:rPr>
          <w:rStyle w:val="Hyperlink"/>
        </w:rPr>
      </w:pPr>
    </w:p>
    <w:p w14:paraId="2BE3FB0D" w14:textId="77777777" w:rsidR="00D16FE3" w:rsidRPr="00D16FE3" w:rsidRDefault="00D16FE3" w:rsidP="00D16FE3">
      <w:pPr>
        <w:pStyle w:val="ACMACorporateAddresses"/>
        <w:sectPr w:rsidR="00D16FE3" w:rsidRPr="00D16FE3">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03C01A75" w14:textId="7FABB911" w:rsidR="0090074D" w:rsidRDefault="00C65F61">
      <w:pPr>
        <w:pStyle w:val="TOC1"/>
        <w:rPr>
          <w:rFonts w:asciiTheme="minorHAnsi" w:eastAsiaTheme="minorEastAsia" w:hAnsiTheme="minorHAnsi" w:cstheme="minorBidi"/>
          <w:b w:val="0"/>
          <w:spacing w:val="0"/>
          <w:sz w:val="22"/>
          <w:szCs w:val="22"/>
        </w:rPr>
      </w:pPr>
      <w:r>
        <w:rPr>
          <w:rFonts w:cs="Arial"/>
          <w:b w:val="0"/>
        </w:rPr>
        <w:lastRenderedPageBreak/>
        <w:fldChar w:fldCharType="begin"/>
      </w:r>
      <w:r>
        <w:rPr>
          <w:rFonts w:cs="Arial"/>
          <w:b w:val="0"/>
        </w:rPr>
        <w:instrText xml:space="preserve"> TOC \o "1-2" \t "Exec summary heading,1" </w:instrText>
      </w:r>
      <w:r>
        <w:rPr>
          <w:rFonts w:cs="Arial"/>
          <w:b w:val="0"/>
        </w:rPr>
        <w:fldChar w:fldCharType="separate"/>
      </w:r>
      <w:r w:rsidR="0090074D">
        <w:t>Executive summary</w:t>
      </w:r>
      <w:r w:rsidR="0090074D">
        <w:tab/>
      </w:r>
      <w:r w:rsidR="0090074D">
        <w:fldChar w:fldCharType="begin"/>
      </w:r>
      <w:r w:rsidR="0090074D">
        <w:instrText xml:space="preserve"> PAGEREF _Toc40175632 \h </w:instrText>
      </w:r>
      <w:r w:rsidR="0090074D">
        <w:fldChar w:fldCharType="separate"/>
      </w:r>
      <w:r w:rsidR="0090074D">
        <w:t>1</w:t>
      </w:r>
      <w:r w:rsidR="0090074D">
        <w:fldChar w:fldCharType="end"/>
      </w:r>
    </w:p>
    <w:p w14:paraId="7BC3AFED" w14:textId="2F9AF000" w:rsidR="0090074D" w:rsidRDefault="0090074D">
      <w:pPr>
        <w:pStyle w:val="TOC2"/>
        <w:rPr>
          <w:rFonts w:asciiTheme="minorHAnsi" w:eastAsiaTheme="minorEastAsia" w:hAnsiTheme="minorHAnsi" w:cstheme="minorBidi"/>
          <w:spacing w:val="0"/>
          <w:sz w:val="22"/>
          <w:szCs w:val="22"/>
        </w:rPr>
      </w:pPr>
      <w:r>
        <w:t>Additional matters</w:t>
      </w:r>
      <w:r>
        <w:tab/>
      </w:r>
      <w:r>
        <w:fldChar w:fldCharType="begin"/>
      </w:r>
      <w:r>
        <w:instrText xml:space="preserve"> PAGEREF _Toc40175633 \h </w:instrText>
      </w:r>
      <w:r>
        <w:fldChar w:fldCharType="separate"/>
      </w:r>
      <w:r>
        <w:t>2</w:t>
      </w:r>
      <w:r>
        <w:fldChar w:fldCharType="end"/>
      </w:r>
    </w:p>
    <w:p w14:paraId="1D41047F" w14:textId="2DFD10E7" w:rsidR="0090074D" w:rsidRDefault="0090074D">
      <w:pPr>
        <w:pStyle w:val="TOC1"/>
        <w:rPr>
          <w:rFonts w:asciiTheme="minorHAnsi" w:eastAsiaTheme="minorEastAsia" w:hAnsiTheme="minorHAnsi" w:cstheme="minorBidi"/>
          <w:b w:val="0"/>
          <w:spacing w:val="0"/>
          <w:sz w:val="22"/>
          <w:szCs w:val="22"/>
        </w:rPr>
      </w:pPr>
      <w:r>
        <w:t>Introduction</w:t>
      </w:r>
      <w:r>
        <w:tab/>
      </w:r>
      <w:r>
        <w:fldChar w:fldCharType="begin"/>
      </w:r>
      <w:r>
        <w:instrText xml:space="preserve"> PAGEREF _Toc40175634 \h </w:instrText>
      </w:r>
      <w:r>
        <w:fldChar w:fldCharType="separate"/>
      </w:r>
      <w:r>
        <w:t>4</w:t>
      </w:r>
      <w:r>
        <w:fldChar w:fldCharType="end"/>
      </w:r>
    </w:p>
    <w:p w14:paraId="6256371B" w14:textId="19E66D52" w:rsidR="0090074D" w:rsidRDefault="0090074D">
      <w:pPr>
        <w:pStyle w:val="TOC2"/>
        <w:rPr>
          <w:rFonts w:asciiTheme="minorHAnsi" w:eastAsiaTheme="minorEastAsia" w:hAnsiTheme="minorHAnsi" w:cstheme="minorBidi"/>
          <w:spacing w:val="0"/>
          <w:sz w:val="22"/>
          <w:szCs w:val="22"/>
        </w:rPr>
      </w:pPr>
      <w:r>
        <w:t>Combined allocation</w:t>
      </w:r>
      <w:r>
        <w:tab/>
      </w:r>
      <w:r>
        <w:fldChar w:fldCharType="begin"/>
      </w:r>
      <w:r>
        <w:instrText xml:space="preserve"> PAGEREF _Toc40175635 \h </w:instrText>
      </w:r>
      <w:r>
        <w:fldChar w:fldCharType="separate"/>
      </w:r>
      <w:r>
        <w:t>5</w:t>
      </w:r>
      <w:r>
        <w:fldChar w:fldCharType="end"/>
      </w:r>
    </w:p>
    <w:p w14:paraId="208CDEC7" w14:textId="3A04F2DC" w:rsidR="0090074D" w:rsidRDefault="0090074D">
      <w:pPr>
        <w:pStyle w:val="TOC2"/>
        <w:rPr>
          <w:rFonts w:asciiTheme="minorHAnsi" w:eastAsiaTheme="minorEastAsia" w:hAnsiTheme="minorHAnsi" w:cstheme="minorBidi"/>
          <w:spacing w:val="0"/>
          <w:sz w:val="22"/>
          <w:szCs w:val="22"/>
        </w:rPr>
      </w:pPr>
      <w:r>
        <w:t>Public safety mobile broadband</w:t>
      </w:r>
      <w:r>
        <w:tab/>
      </w:r>
      <w:r>
        <w:fldChar w:fldCharType="begin"/>
      </w:r>
      <w:r>
        <w:instrText xml:space="preserve"> PAGEREF _Toc40175636 \h </w:instrText>
      </w:r>
      <w:r>
        <w:fldChar w:fldCharType="separate"/>
      </w:r>
      <w:r>
        <w:t>6</w:t>
      </w:r>
      <w:r>
        <w:fldChar w:fldCharType="end"/>
      </w:r>
    </w:p>
    <w:p w14:paraId="574B3535" w14:textId="39E797BF" w:rsidR="0090074D" w:rsidRDefault="0090074D">
      <w:pPr>
        <w:pStyle w:val="TOC2"/>
        <w:rPr>
          <w:rFonts w:asciiTheme="minorHAnsi" w:eastAsiaTheme="minorEastAsia" w:hAnsiTheme="minorHAnsi" w:cstheme="minorBidi"/>
          <w:spacing w:val="0"/>
          <w:sz w:val="22"/>
          <w:szCs w:val="22"/>
        </w:rPr>
      </w:pPr>
      <w:r>
        <w:t>Draft recommendation</w:t>
      </w:r>
      <w:r>
        <w:tab/>
      </w:r>
      <w:r>
        <w:fldChar w:fldCharType="begin"/>
      </w:r>
      <w:r>
        <w:instrText xml:space="preserve"> PAGEREF _Toc40175637 \h </w:instrText>
      </w:r>
      <w:r>
        <w:fldChar w:fldCharType="separate"/>
      </w:r>
      <w:r>
        <w:t>6</w:t>
      </w:r>
      <w:r>
        <w:fldChar w:fldCharType="end"/>
      </w:r>
    </w:p>
    <w:p w14:paraId="7B4525F1" w14:textId="1BC82926" w:rsidR="0090074D" w:rsidRDefault="0090074D">
      <w:pPr>
        <w:pStyle w:val="TOC2"/>
        <w:rPr>
          <w:rFonts w:asciiTheme="minorHAnsi" w:eastAsiaTheme="minorEastAsia" w:hAnsiTheme="minorHAnsi" w:cstheme="minorBidi"/>
          <w:spacing w:val="0"/>
          <w:sz w:val="22"/>
          <w:szCs w:val="22"/>
        </w:rPr>
      </w:pPr>
      <w:r>
        <w:t>Background</w:t>
      </w:r>
      <w:r>
        <w:tab/>
      </w:r>
      <w:r>
        <w:fldChar w:fldCharType="begin"/>
      </w:r>
      <w:r>
        <w:instrText xml:space="preserve"> PAGEREF _Toc40175638 \h </w:instrText>
      </w:r>
      <w:r>
        <w:fldChar w:fldCharType="separate"/>
      </w:r>
      <w:r>
        <w:t>7</w:t>
      </w:r>
      <w:r>
        <w:fldChar w:fldCharType="end"/>
      </w:r>
    </w:p>
    <w:p w14:paraId="26CD79C6" w14:textId="4A84FE0A" w:rsidR="0090074D" w:rsidRDefault="0090074D">
      <w:pPr>
        <w:pStyle w:val="TOC2"/>
        <w:rPr>
          <w:rFonts w:asciiTheme="minorHAnsi" w:eastAsiaTheme="minorEastAsia" w:hAnsiTheme="minorHAnsi" w:cstheme="minorBidi"/>
          <w:spacing w:val="0"/>
          <w:sz w:val="22"/>
          <w:szCs w:val="22"/>
        </w:rPr>
      </w:pPr>
      <w:r>
        <w:t>Future use</w:t>
      </w:r>
      <w:r>
        <w:tab/>
      </w:r>
      <w:r>
        <w:fldChar w:fldCharType="begin"/>
      </w:r>
      <w:r>
        <w:instrText xml:space="preserve"> PAGEREF _Toc40175639 \h </w:instrText>
      </w:r>
      <w:r>
        <w:fldChar w:fldCharType="separate"/>
      </w:r>
      <w:r>
        <w:t>8</w:t>
      </w:r>
      <w:r>
        <w:fldChar w:fldCharType="end"/>
      </w:r>
    </w:p>
    <w:p w14:paraId="33C57813" w14:textId="503D3C08" w:rsidR="0090074D" w:rsidRDefault="0090074D">
      <w:pPr>
        <w:pStyle w:val="TOC2"/>
        <w:rPr>
          <w:rFonts w:asciiTheme="minorHAnsi" w:eastAsiaTheme="minorEastAsia" w:hAnsiTheme="minorHAnsi" w:cstheme="minorBidi"/>
          <w:spacing w:val="0"/>
          <w:sz w:val="22"/>
          <w:szCs w:val="22"/>
        </w:rPr>
      </w:pPr>
      <w:r>
        <w:t>Legislative context and policy environment</w:t>
      </w:r>
      <w:r>
        <w:tab/>
      </w:r>
      <w:r>
        <w:fldChar w:fldCharType="begin"/>
      </w:r>
      <w:r>
        <w:instrText xml:space="preserve"> PAGEREF _Toc40175640 \h </w:instrText>
      </w:r>
      <w:r>
        <w:fldChar w:fldCharType="separate"/>
      </w:r>
      <w:r>
        <w:t>9</w:t>
      </w:r>
      <w:r>
        <w:fldChar w:fldCharType="end"/>
      </w:r>
    </w:p>
    <w:p w14:paraId="399C2DE5" w14:textId="6BA9CD01" w:rsidR="0090074D" w:rsidRDefault="0090074D">
      <w:pPr>
        <w:pStyle w:val="TOC2"/>
        <w:rPr>
          <w:rFonts w:asciiTheme="minorHAnsi" w:eastAsiaTheme="minorEastAsia" w:hAnsiTheme="minorHAnsi" w:cstheme="minorBidi"/>
          <w:spacing w:val="0"/>
          <w:sz w:val="22"/>
          <w:szCs w:val="22"/>
        </w:rPr>
      </w:pPr>
      <w:r>
        <w:t>Re</w:t>
      </w:r>
      <w:r>
        <w:noBreakHyphen/>
        <w:t>allocation process</w:t>
      </w:r>
      <w:r>
        <w:tab/>
      </w:r>
      <w:r>
        <w:fldChar w:fldCharType="begin"/>
      </w:r>
      <w:r>
        <w:instrText xml:space="preserve"> PAGEREF _Toc40175641 \h </w:instrText>
      </w:r>
      <w:r>
        <w:fldChar w:fldCharType="separate"/>
      </w:r>
      <w:r>
        <w:t>11</w:t>
      </w:r>
      <w:r>
        <w:fldChar w:fldCharType="end"/>
      </w:r>
    </w:p>
    <w:p w14:paraId="37997E7D" w14:textId="3F92B977" w:rsidR="0090074D" w:rsidRDefault="0090074D">
      <w:pPr>
        <w:pStyle w:val="TOC2"/>
        <w:rPr>
          <w:rFonts w:asciiTheme="minorHAnsi" w:eastAsiaTheme="minorEastAsia" w:hAnsiTheme="minorHAnsi" w:cstheme="minorBidi"/>
          <w:spacing w:val="0"/>
          <w:sz w:val="22"/>
          <w:szCs w:val="22"/>
        </w:rPr>
      </w:pPr>
      <w:r>
        <w:t>Proposal—terms of the draft recommendation</w:t>
      </w:r>
      <w:r>
        <w:tab/>
      </w:r>
      <w:r>
        <w:fldChar w:fldCharType="begin"/>
      </w:r>
      <w:r>
        <w:instrText xml:space="preserve"> PAGEREF _Toc40175642 \h </w:instrText>
      </w:r>
      <w:r>
        <w:fldChar w:fldCharType="separate"/>
      </w:r>
      <w:r>
        <w:t>12</w:t>
      </w:r>
      <w:r>
        <w:fldChar w:fldCharType="end"/>
      </w:r>
    </w:p>
    <w:p w14:paraId="16964227" w14:textId="128375F0" w:rsidR="0090074D" w:rsidRDefault="0090074D">
      <w:pPr>
        <w:pStyle w:val="TOC1"/>
        <w:rPr>
          <w:rFonts w:asciiTheme="minorHAnsi" w:eastAsiaTheme="minorEastAsia" w:hAnsiTheme="minorHAnsi" w:cstheme="minorBidi"/>
          <w:b w:val="0"/>
          <w:spacing w:val="0"/>
          <w:sz w:val="22"/>
          <w:szCs w:val="22"/>
        </w:rPr>
      </w:pPr>
      <w:r>
        <w:t>Licence type</w:t>
      </w:r>
      <w:r>
        <w:tab/>
      </w:r>
      <w:r>
        <w:fldChar w:fldCharType="begin"/>
      </w:r>
      <w:r>
        <w:instrText xml:space="preserve"> PAGEREF _Toc40175643 \h </w:instrText>
      </w:r>
      <w:r>
        <w:fldChar w:fldCharType="separate"/>
      </w:r>
      <w:r>
        <w:t>14</w:t>
      </w:r>
      <w:r>
        <w:fldChar w:fldCharType="end"/>
      </w:r>
    </w:p>
    <w:p w14:paraId="1D748340" w14:textId="0205026E" w:rsidR="0090074D" w:rsidRDefault="0090074D">
      <w:pPr>
        <w:pStyle w:val="TOC2"/>
        <w:rPr>
          <w:rFonts w:asciiTheme="minorHAnsi" w:eastAsiaTheme="minorEastAsia" w:hAnsiTheme="minorHAnsi" w:cstheme="minorBidi"/>
          <w:spacing w:val="0"/>
          <w:sz w:val="22"/>
          <w:szCs w:val="22"/>
        </w:rPr>
      </w:pPr>
      <w:r>
        <w:t>Preferred licence type for the 850/900 MHz band</w:t>
      </w:r>
      <w:r>
        <w:tab/>
      </w:r>
      <w:r>
        <w:fldChar w:fldCharType="begin"/>
      </w:r>
      <w:r>
        <w:instrText xml:space="preserve"> PAGEREF _Toc40175644 \h </w:instrText>
      </w:r>
      <w:r>
        <w:fldChar w:fldCharType="separate"/>
      </w:r>
      <w:r>
        <w:t>15</w:t>
      </w:r>
      <w:r>
        <w:fldChar w:fldCharType="end"/>
      </w:r>
    </w:p>
    <w:p w14:paraId="19DBE0C1" w14:textId="5E099F28" w:rsidR="0090074D" w:rsidRDefault="0090074D">
      <w:pPr>
        <w:pStyle w:val="TOC1"/>
        <w:rPr>
          <w:rFonts w:asciiTheme="minorHAnsi" w:eastAsiaTheme="minorEastAsia" w:hAnsiTheme="minorHAnsi" w:cstheme="minorBidi"/>
          <w:b w:val="0"/>
          <w:spacing w:val="0"/>
          <w:sz w:val="22"/>
          <w:szCs w:val="22"/>
        </w:rPr>
      </w:pPr>
      <w:r>
        <w:t>Specified parts of the spectrum</w:t>
      </w:r>
      <w:r>
        <w:tab/>
      </w:r>
      <w:r>
        <w:fldChar w:fldCharType="begin"/>
      </w:r>
      <w:r>
        <w:instrText xml:space="preserve"> PAGEREF _Toc40175645 \h </w:instrText>
      </w:r>
      <w:r>
        <w:fldChar w:fldCharType="separate"/>
      </w:r>
      <w:r>
        <w:t>16</w:t>
      </w:r>
      <w:r>
        <w:fldChar w:fldCharType="end"/>
      </w:r>
    </w:p>
    <w:p w14:paraId="234A0FED" w14:textId="6FCD575E" w:rsidR="0090074D" w:rsidRDefault="0090074D">
      <w:pPr>
        <w:pStyle w:val="TOC2"/>
        <w:rPr>
          <w:rFonts w:asciiTheme="minorHAnsi" w:eastAsiaTheme="minorEastAsia" w:hAnsiTheme="minorHAnsi" w:cstheme="minorBidi"/>
          <w:spacing w:val="0"/>
          <w:sz w:val="22"/>
          <w:szCs w:val="22"/>
        </w:rPr>
      </w:pPr>
      <w:r>
        <w:t>Frequency boundaries</w:t>
      </w:r>
      <w:r>
        <w:tab/>
      </w:r>
      <w:r>
        <w:fldChar w:fldCharType="begin"/>
      </w:r>
      <w:r>
        <w:instrText xml:space="preserve"> PAGEREF _Toc40175646 \h </w:instrText>
      </w:r>
      <w:r>
        <w:fldChar w:fldCharType="separate"/>
      </w:r>
      <w:r>
        <w:t>16</w:t>
      </w:r>
      <w:r>
        <w:fldChar w:fldCharType="end"/>
      </w:r>
    </w:p>
    <w:p w14:paraId="6B51B955" w14:textId="49DA32BF" w:rsidR="0090074D" w:rsidRDefault="0090074D">
      <w:pPr>
        <w:pStyle w:val="TOC2"/>
        <w:rPr>
          <w:rFonts w:asciiTheme="minorHAnsi" w:eastAsiaTheme="minorEastAsia" w:hAnsiTheme="minorHAnsi" w:cstheme="minorBidi"/>
          <w:spacing w:val="0"/>
          <w:sz w:val="22"/>
          <w:szCs w:val="22"/>
        </w:rPr>
      </w:pPr>
      <w:r>
        <w:t>Geographic areas</w:t>
      </w:r>
      <w:r>
        <w:tab/>
      </w:r>
      <w:r>
        <w:fldChar w:fldCharType="begin"/>
      </w:r>
      <w:r>
        <w:instrText xml:space="preserve"> PAGEREF _Toc40175647 \h </w:instrText>
      </w:r>
      <w:r>
        <w:fldChar w:fldCharType="separate"/>
      </w:r>
      <w:r>
        <w:t>16</w:t>
      </w:r>
      <w:r>
        <w:fldChar w:fldCharType="end"/>
      </w:r>
    </w:p>
    <w:p w14:paraId="393FE199" w14:textId="353FD8D4" w:rsidR="0090074D" w:rsidRDefault="0090074D">
      <w:pPr>
        <w:pStyle w:val="TOC2"/>
        <w:rPr>
          <w:rFonts w:asciiTheme="minorHAnsi" w:eastAsiaTheme="minorEastAsia" w:hAnsiTheme="minorHAnsi" w:cstheme="minorBidi"/>
          <w:spacing w:val="0"/>
          <w:sz w:val="22"/>
          <w:szCs w:val="22"/>
        </w:rPr>
      </w:pPr>
      <w:r>
        <w:t>Mid-west Radio Quiet Zone</w:t>
      </w:r>
      <w:r>
        <w:tab/>
      </w:r>
      <w:r>
        <w:fldChar w:fldCharType="begin"/>
      </w:r>
      <w:r>
        <w:instrText xml:space="preserve"> PAGEREF _Toc40175648 \h </w:instrText>
      </w:r>
      <w:r>
        <w:fldChar w:fldCharType="separate"/>
      </w:r>
      <w:r>
        <w:t>17</w:t>
      </w:r>
      <w:r>
        <w:fldChar w:fldCharType="end"/>
      </w:r>
    </w:p>
    <w:p w14:paraId="62BE7DD3" w14:textId="240B17DF" w:rsidR="0090074D" w:rsidRDefault="0090074D">
      <w:pPr>
        <w:pStyle w:val="TOC1"/>
        <w:rPr>
          <w:rFonts w:asciiTheme="minorHAnsi" w:eastAsiaTheme="minorEastAsia" w:hAnsiTheme="minorHAnsi" w:cstheme="minorBidi"/>
          <w:b w:val="0"/>
          <w:spacing w:val="0"/>
          <w:sz w:val="22"/>
          <w:szCs w:val="22"/>
        </w:rPr>
      </w:pPr>
      <w:r>
        <w:t>Re</w:t>
      </w:r>
      <w:r>
        <w:noBreakHyphen/>
        <w:t>allocation period and deadline</w:t>
      </w:r>
      <w:r>
        <w:tab/>
      </w:r>
      <w:r>
        <w:fldChar w:fldCharType="begin"/>
      </w:r>
      <w:r>
        <w:instrText xml:space="preserve"> PAGEREF _Toc40175649 \h </w:instrText>
      </w:r>
      <w:r>
        <w:fldChar w:fldCharType="separate"/>
      </w:r>
      <w:r>
        <w:t>19</w:t>
      </w:r>
      <w:r>
        <w:fldChar w:fldCharType="end"/>
      </w:r>
    </w:p>
    <w:p w14:paraId="40EE004A" w14:textId="20CA45BD" w:rsidR="0090074D" w:rsidRDefault="0090074D">
      <w:pPr>
        <w:pStyle w:val="TOC2"/>
        <w:rPr>
          <w:rFonts w:asciiTheme="minorHAnsi" w:eastAsiaTheme="minorEastAsia" w:hAnsiTheme="minorHAnsi" w:cstheme="minorBidi"/>
          <w:spacing w:val="0"/>
          <w:sz w:val="22"/>
          <w:szCs w:val="22"/>
        </w:rPr>
      </w:pPr>
      <w:r>
        <w:t>Existing services in the 850 MHz expansion band and the 2 x 1 MHz downshift frequencies</w:t>
      </w:r>
      <w:r>
        <w:tab/>
      </w:r>
      <w:r>
        <w:fldChar w:fldCharType="begin"/>
      </w:r>
      <w:r>
        <w:instrText xml:space="preserve"> PAGEREF _Toc40175650 \h </w:instrText>
      </w:r>
      <w:r>
        <w:fldChar w:fldCharType="separate"/>
      </w:r>
      <w:r>
        <w:t>19</w:t>
      </w:r>
      <w:r>
        <w:fldChar w:fldCharType="end"/>
      </w:r>
    </w:p>
    <w:p w14:paraId="058DDB4C" w14:textId="22F12C9B" w:rsidR="0090074D" w:rsidRDefault="0090074D">
      <w:pPr>
        <w:pStyle w:val="TOC2"/>
        <w:rPr>
          <w:rFonts w:asciiTheme="minorHAnsi" w:eastAsiaTheme="minorEastAsia" w:hAnsiTheme="minorHAnsi" w:cstheme="minorBidi"/>
          <w:spacing w:val="0"/>
          <w:sz w:val="22"/>
          <w:szCs w:val="22"/>
        </w:rPr>
      </w:pPr>
      <w:r>
        <w:t>Existing services in the 900 MHz band</w:t>
      </w:r>
      <w:r>
        <w:tab/>
      </w:r>
      <w:r>
        <w:fldChar w:fldCharType="begin"/>
      </w:r>
      <w:r>
        <w:instrText xml:space="preserve"> PAGEREF _Toc40175651 \h </w:instrText>
      </w:r>
      <w:r>
        <w:fldChar w:fldCharType="separate"/>
      </w:r>
      <w:r>
        <w:t>19</w:t>
      </w:r>
      <w:r>
        <w:fldChar w:fldCharType="end"/>
      </w:r>
    </w:p>
    <w:p w14:paraId="2E229FDE" w14:textId="1CD742EA" w:rsidR="0090074D" w:rsidRDefault="0090074D">
      <w:pPr>
        <w:pStyle w:val="TOC2"/>
        <w:rPr>
          <w:rFonts w:asciiTheme="minorHAnsi" w:eastAsiaTheme="minorEastAsia" w:hAnsiTheme="minorHAnsi" w:cstheme="minorBidi"/>
          <w:spacing w:val="0"/>
          <w:sz w:val="22"/>
          <w:szCs w:val="22"/>
        </w:rPr>
      </w:pPr>
      <w:r>
        <w:t>Re</w:t>
      </w:r>
      <w:r>
        <w:noBreakHyphen/>
        <w:t>allocation period</w:t>
      </w:r>
      <w:r>
        <w:tab/>
      </w:r>
      <w:r>
        <w:fldChar w:fldCharType="begin"/>
      </w:r>
      <w:r>
        <w:instrText xml:space="preserve"> PAGEREF _Toc40175652 \h </w:instrText>
      </w:r>
      <w:r>
        <w:fldChar w:fldCharType="separate"/>
      </w:r>
      <w:r>
        <w:t>20</w:t>
      </w:r>
      <w:r>
        <w:fldChar w:fldCharType="end"/>
      </w:r>
    </w:p>
    <w:p w14:paraId="015BD667" w14:textId="57BA3633" w:rsidR="0090074D" w:rsidRDefault="0090074D">
      <w:pPr>
        <w:pStyle w:val="TOC2"/>
        <w:rPr>
          <w:rFonts w:asciiTheme="minorHAnsi" w:eastAsiaTheme="minorEastAsia" w:hAnsiTheme="minorHAnsi" w:cstheme="minorBidi"/>
          <w:spacing w:val="0"/>
          <w:sz w:val="22"/>
          <w:szCs w:val="22"/>
        </w:rPr>
      </w:pPr>
      <w:r>
        <w:t>Re</w:t>
      </w:r>
      <w:r>
        <w:noBreakHyphen/>
        <w:t>allocation deadline</w:t>
      </w:r>
      <w:r>
        <w:tab/>
      </w:r>
      <w:r>
        <w:fldChar w:fldCharType="begin"/>
      </w:r>
      <w:r>
        <w:instrText xml:space="preserve"> PAGEREF _Toc40175653 \h </w:instrText>
      </w:r>
      <w:r>
        <w:fldChar w:fldCharType="separate"/>
      </w:r>
      <w:r>
        <w:t>20</w:t>
      </w:r>
      <w:r>
        <w:fldChar w:fldCharType="end"/>
      </w:r>
    </w:p>
    <w:p w14:paraId="3B3CDD39" w14:textId="0E9CA97D" w:rsidR="0090074D" w:rsidRDefault="0090074D">
      <w:pPr>
        <w:pStyle w:val="TOC1"/>
        <w:rPr>
          <w:rFonts w:asciiTheme="minorHAnsi" w:eastAsiaTheme="minorEastAsia" w:hAnsiTheme="minorHAnsi" w:cstheme="minorBidi"/>
          <w:b w:val="0"/>
          <w:spacing w:val="0"/>
          <w:sz w:val="22"/>
          <w:szCs w:val="22"/>
        </w:rPr>
      </w:pPr>
      <w:r>
        <w:t>Other matters</w:t>
      </w:r>
      <w:r>
        <w:tab/>
      </w:r>
      <w:r>
        <w:fldChar w:fldCharType="begin"/>
      </w:r>
      <w:r>
        <w:instrText xml:space="preserve"> PAGEREF _Toc40175654 \h </w:instrText>
      </w:r>
      <w:r>
        <w:fldChar w:fldCharType="separate"/>
      </w:r>
      <w:r>
        <w:t>22</w:t>
      </w:r>
      <w:r>
        <w:fldChar w:fldCharType="end"/>
      </w:r>
    </w:p>
    <w:p w14:paraId="28FFA934" w14:textId="2BBD080D" w:rsidR="0090074D" w:rsidRDefault="0090074D">
      <w:pPr>
        <w:pStyle w:val="TOC2"/>
        <w:rPr>
          <w:rFonts w:asciiTheme="minorHAnsi" w:eastAsiaTheme="minorEastAsia" w:hAnsiTheme="minorHAnsi" w:cstheme="minorBidi"/>
          <w:spacing w:val="0"/>
          <w:sz w:val="22"/>
          <w:szCs w:val="22"/>
        </w:rPr>
      </w:pPr>
      <w:r>
        <w:t>Frequency bandwidth configuration</w:t>
      </w:r>
      <w:r>
        <w:tab/>
      </w:r>
      <w:r>
        <w:fldChar w:fldCharType="begin"/>
      </w:r>
      <w:r>
        <w:instrText xml:space="preserve"> PAGEREF _Toc40175655 \h </w:instrText>
      </w:r>
      <w:r>
        <w:fldChar w:fldCharType="separate"/>
      </w:r>
      <w:r>
        <w:t>22</w:t>
      </w:r>
      <w:r>
        <w:fldChar w:fldCharType="end"/>
      </w:r>
    </w:p>
    <w:p w14:paraId="730AF87E" w14:textId="321B9790" w:rsidR="0090074D" w:rsidRDefault="0090074D">
      <w:pPr>
        <w:pStyle w:val="TOC2"/>
        <w:rPr>
          <w:rFonts w:asciiTheme="minorHAnsi" w:eastAsiaTheme="minorEastAsia" w:hAnsiTheme="minorHAnsi" w:cstheme="minorBidi"/>
          <w:spacing w:val="0"/>
          <w:sz w:val="22"/>
          <w:szCs w:val="22"/>
        </w:rPr>
      </w:pPr>
      <w:r>
        <w:t>Geographic lot configuration</w:t>
      </w:r>
      <w:r>
        <w:tab/>
      </w:r>
      <w:r>
        <w:fldChar w:fldCharType="begin"/>
      </w:r>
      <w:r>
        <w:instrText xml:space="preserve"> PAGEREF _Toc40175656 \h </w:instrText>
      </w:r>
      <w:r>
        <w:fldChar w:fldCharType="separate"/>
      </w:r>
      <w:r>
        <w:t>24</w:t>
      </w:r>
      <w:r>
        <w:fldChar w:fldCharType="end"/>
      </w:r>
    </w:p>
    <w:p w14:paraId="06EBFA5B" w14:textId="6B496A6D" w:rsidR="0090074D" w:rsidRDefault="0090074D">
      <w:pPr>
        <w:pStyle w:val="TOC2"/>
        <w:rPr>
          <w:rFonts w:asciiTheme="minorHAnsi" w:eastAsiaTheme="minorEastAsia" w:hAnsiTheme="minorHAnsi" w:cstheme="minorBidi"/>
          <w:spacing w:val="0"/>
          <w:sz w:val="22"/>
          <w:szCs w:val="22"/>
        </w:rPr>
      </w:pPr>
      <w:r>
        <w:t>Licence term</w:t>
      </w:r>
      <w:r>
        <w:tab/>
      </w:r>
      <w:r>
        <w:fldChar w:fldCharType="begin"/>
      </w:r>
      <w:r>
        <w:instrText xml:space="preserve"> PAGEREF _Toc40175657 \h </w:instrText>
      </w:r>
      <w:r>
        <w:fldChar w:fldCharType="separate"/>
      </w:r>
      <w:r>
        <w:t>27</w:t>
      </w:r>
      <w:r>
        <w:fldChar w:fldCharType="end"/>
      </w:r>
    </w:p>
    <w:p w14:paraId="25F01CD9" w14:textId="735B794D" w:rsidR="0090074D" w:rsidRDefault="0090074D">
      <w:pPr>
        <w:pStyle w:val="TOC2"/>
        <w:rPr>
          <w:rFonts w:asciiTheme="minorHAnsi" w:eastAsiaTheme="minorEastAsia" w:hAnsiTheme="minorHAnsi" w:cstheme="minorBidi"/>
          <w:spacing w:val="0"/>
          <w:sz w:val="22"/>
          <w:szCs w:val="22"/>
        </w:rPr>
      </w:pPr>
      <w:r>
        <w:t>Allocation methodology</w:t>
      </w:r>
      <w:r>
        <w:tab/>
      </w:r>
      <w:r>
        <w:fldChar w:fldCharType="begin"/>
      </w:r>
      <w:r>
        <w:instrText xml:space="preserve"> PAGEREF _Toc40175658 \h </w:instrText>
      </w:r>
      <w:r>
        <w:fldChar w:fldCharType="separate"/>
      </w:r>
      <w:r>
        <w:t>29</w:t>
      </w:r>
      <w:r>
        <w:fldChar w:fldCharType="end"/>
      </w:r>
    </w:p>
    <w:p w14:paraId="078F759F" w14:textId="745C54A5" w:rsidR="0090074D" w:rsidRDefault="0090074D">
      <w:pPr>
        <w:pStyle w:val="TOC1"/>
        <w:rPr>
          <w:rFonts w:asciiTheme="minorHAnsi" w:eastAsiaTheme="minorEastAsia" w:hAnsiTheme="minorHAnsi" w:cstheme="minorBidi"/>
          <w:b w:val="0"/>
          <w:spacing w:val="0"/>
          <w:sz w:val="22"/>
          <w:szCs w:val="22"/>
        </w:rPr>
      </w:pPr>
      <w:r>
        <w:lastRenderedPageBreak/>
        <w:t>Next steps</w:t>
      </w:r>
      <w:r>
        <w:tab/>
      </w:r>
      <w:r>
        <w:fldChar w:fldCharType="begin"/>
      </w:r>
      <w:r>
        <w:instrText xml:space="preserve"> PAGEREF _Toc40175659 \h </w:instrText>
      </w:r>
      <w:r>
        <w:fldChar w:fldCharType="separate"/>
      </w:r>
      <w:r>
        <w:t>37</w:t>
      </w:r>
      <w:r>
        <w:fldChar w:fldCharType="end"/>
      </w:r>
    </w:p>
    <w:p w14:paraId="259FFE80" w14:textId="0A1D1DCB" w:rsidR="0090074D" w:rsidRDefault="0090074D">
      <w:pPr>
        <w:pStyle w:val="TOC1"/>
        <w:rPr>
          <w:rFonts w:asciiTheme="minorHAnsi" w:eastAsiaTheme="minorEastAsia" w:hAnsiTheme="minorHAnsi" w:cstheme="minorBidi"/>
          <w:b w:val="0"/>
          <w:spacing w:val="0"/>
          <w:sz w:val="22"/>
          <w:szCs w:val="22"/>
        </w:rPr>
      </w:pPr>
      <w:r>
        <w:t>Invitation to comment</w:t>
      </w:r>
      <w:r>
        <w:tab/>
      </w:r>
      <w:r>
        <w:fldChar w:fldCharType="begin"/>
      </w:r>
      <w:r>
        <w:instrText xml:space="preserve"> PAGEREF _Toc40175660 \h </w:instrText>
      </w:r>
      <w:r>
        <w:fldChar w:fldCharType="separate"/>
      </w:r>
      <w:r>
        <w:t>39</w:t>
      </w:r>
      <w:r>
        <w:fldChar w:fldCharType="end"/>
      </w:r>
    </w:p>
    <w:p w14:paraId="05F32EA6" w14:textId="5D555297" w:rsidR="0090074D" w:rsidRDefault="0090074D">
      <w:pPr>
        <w:pStyle w:val="TOC2"/>
        <w:rPr>
          <w:rFonts w:asciiTheme="minorHAnsi" w:eastAsiaTheme="minorEastAsia" w:hAnsiTheme="minorHAnsi" w:cstheme="minorBidi"/>
          <w:spacing w:val="0"/>
          <w:sz w:val="22"/>
          <w:szCs w:val="22"/>
        </w:rPr>
      </w:pPr>
      <w:r>
        <w:t>Making a submission</w:t>
      </w:r>
      <w:r>
        <w:tab/>
      </w:r>
      <w:r>
        <w:fldChar w:fldCharType="begin"/>
      </w:r>
      <w:r>
        <w:instrText xml:space="preserve"> PAGEREF _Toc40175661 \h </w:instrText>
      </w:r>
      <w:r>
        <w:fldChar w:fldCharType="separate"/>
      </w:r>
      <w:r>
        <w:t>39</w:t>
      </w:r>
      <w:r>
        <w:fldChar w:fldCharType="end"/>
      </w:r>
    </w:p>
    <w:p w14:paraId="5D5147FB" w14:textId="3A4FCF53" w:rsidR="0090074D" w:rsidRDefault="0090074D">
      <w:pPr>
        <w:pStyle w:val="TOC1"/>
        <w:rPr>
          <w:rFonts w:asciiTheme="minorHAnsi" w:eastAsiaTheme="minorEastAsia" w:hAnsiTheme="minorHAnsi" w:cstheme="minorBidi"/>
          <w:b w:val="0"/>
          <w:spacing w:val="0"/>
          <w:sz w:val="22"/>
          <w:szCs w:val="22"/>
        </w:rPr>
      </w:pPr>
      <w:r>
        <w:t>Appendix A—Spectrum re</w:t>
      </w:r>
      <w:r>
        <w:noBreakHyphen/>
        <w:t>allocation process</w:t>
      </w:r>
      <w:r>
        <w:tab/>
      </w:r>
      <w:r>
        <w:fldChar w:fldCharType="begin"/>
      </w:r>
      <w:r>
        <w:instrText xml:space="preserve"> PAGEREF _Toc40175662 \h </w:instrText>
      </w:r>
      <w:r>
        <w:fldChar w:fldCharType="separate"/>
      </w:r>
      <w:r>
        <w:t>40</w:t>
      </w:r>
      <w:r>
        <w:fldChar w:fldCharType="end"/>
      </w:r>
    </w:p>
    <w:p w14:paraId="1243526F" w14:textId="442CDCB2" w:rsidR="0090074D" w:rsidRDefault="0090074D">
      <w:pPr>
        <w:pStyle w:val="TOC2"/>
        <w:rPr>
          <w:rFonts w:asciiTheme="minorHAnsi" w:eastAsiaTheme="minorEastAsia" w:hAnsiTheme="minorHAnsi" w:cstheme="minorBidi"/>
          <w:spacing w:val="0"/>
          <w:sz w:val="22"/>
          <w:szCs w:val="22"/>
        </w:rPr>
      </w:pPr>
      <w:r>
        <w:t>Main steps in the re</w:t>
      </w:r>
      <w:r>
        <w:noBreakHyphen/>
        <w:t>allocation process</w:t>
      </w:r>
      <w:r>
        <w:tab/>
      </w:r>
      <w:r>
        <w:fldChar w:fldCharType="begin"/>
      </w:r>
      <w:r>
        <w:instrText xml:space="preserve"> PAGEREF _Toc40175663 \h </w:instrText>
      </w:r>
      <w:r>
        <w:fldChar w:fldCharType="separate"/>
      </w:r>
      <w:r>
        <w:t>40</w:t>
      </w:r>
      <w:r>
        <w:fldChar w:fldCharType="end"/>
      </w:r>
    </w:p>
    <w:p w14:paraId="3BBE3588" w14:textId="38E9D411" w:rsidR="0090074D" w:rsidRDefault="0090074D">
      <w:pPr>
        <w:pStyle w:val="TOC1"/>
        <w:rPr>
          <w:rFonts w:asciiTheme="minorHAnsi" w:eastAsiaTheme="minorEastAsia" w:hAnsiTheme="minorHAnsi" w:cstheme="minorBidi"/>
          <w:b w:val="0"/>
          <w:spacing w:val="0"/>
          <w:sz w:val="22"/>
          <w:szCs w:val="22"/>
        </w:rPr>
      </w:pPr>
      <w:r>
        <w:t>Appendix B—Process to date</w:t>
      </w:r>
      <w:r>
        <w:tab/>
      </w:r>
      <w:r>
        <w:fldChar w:fldCharType="begin"/>
      </w:r>
      <w:r>
        <w:instrText xml:space="preserve"> PAGEREF _Toc40175664 \h </w:instrText>
      </w:r>
      <w:r>
        <w:fldChar w:fldCharType="separate"/>
      </w:r>
      <w:r>
        <w:t>43</w:t>
      </w:r>
      <w:r>
        <w:fldChar w:fldCharType="end"/>
      </w:r>
    </w:p>
    <w:p w14:paraId="04D238B7" w14:textId="0B1867A5" w:rsidR="004D56FF" w:rsidRPr="000D76E0" w:rsidRDefault="00C65F61">
      <w:pPr>
        <w:rPr>
          <w:rFonts w:cs="Arial"/>
        </w:rPr>
        <w:sectPr w:rsidR="004D56FF" w:rsidRPr="000D76E0" w:rsidSect="001065D6">
          <w:headerReference w:type="even" r:id="rId19"/>
          <w:headerReference w:type="default" r:id="rId20"/>
          <w:footerReference w:type="even" r:id="rId21"/>
          <w:footerReference w:type="default" r:id="rId22"/>
          <w:footerReference w:type="first" r:id="rId23"/>
          <w:pgSz w:w="11906" w:h="16838" w:code="9"/>
          <w:pgMar w:top="3403" w:right="3101" w:bottom="1135" w:left="1134" w:header="709" w:footer="119" w:gutter="0"/>
          <w:cols w:space="708"/>
          <w:titlePg/>
          <w:docGrid w:linePitch="360"/>
        </w:sectPr>
      </w:pPr>
      <w:r>
        <w:rPr>
          <w:rFonts w:cs="Arial"/>
          <w:b/>
          <w:noProof/>
          <w:spacing w:val="-14"/>
          <w:sz w:val="28"/>
        </w:rPr>
        <w:fldChar w:fldCharType="end"/>
      </w:r>
    </w:p>
    <w:p w14:paraId="0FD683F3" w14:textId="77777777" w:rsidR="009D6C71" w:rsidRPr="009174F3" w:rsidRDefault="009D6C71" w:rsidP="009174F3">
      <w:pPr>
        <w:pStyle w:val="Execsummaryheading"/>
      </w:pPr>
      <w:bookmarkStart w:id="0" w:name="_Toc40175632"/>
      <w:r w:rsidRPr="009174F3">
        <w:lastRenderedPageBreak/>
        <w:t>Executive summary</w:t>
      </w:r>
      <w:bookmarkEnd w:id="0"/>
    </w:p>
    <w:p w14:paraId="26EEABF5" w14:textId="47AA7B0C" w:rsidR="00B048E3" w:rsidRDefault="00C03DC7" w:rsidP="003B6140">
      <w:pPr>
        <w:pStyle w:val="Paragraphbeforelist"/>
      </w:pPr>
      <w:r>
        <w:t>S</w:t>
      </w:r>
      <w:r w:rsidR="00B048E3" w:rsidRPr="00821C9F">
        <w:t xml:space="preserve">ubmissions </w:t>
      </w:r>
      <w:r>
        <w:t xml:space="preserve">are invited </w:t>
      </w:r>
      <w:r w:rsidR="00B048E3" w:rsidRPr="00821C9F">
        <w:t xml:space="preserve">on a draft recommendation to the </w:t>
      </w:r>
      <w:r w:rsidR="008653F9">
        <w:t>Minister</w:t>
      </w:r>
      <w:r w:rsidR="001D1038">
        <w:t xml:space="preserve"> for Communications, Cyber Safety and the Arts</w:t>
      </w:r>
      <w:r w:rsidR="00B048E3" w:rsidRPr="00821C9F">
        <w:t xml:space="preserve"> (the </w:t>
      </w:r>
      <w:r w:rsidR="008653F9" w:rsidRPr="00D9412C">
        <w:t>Minister</w:t>
      </w:r>
      <w:r w:rsidR="00B048E3" w:rsidRPr="00821C9F">
        <w:t xml:space="preserve">) to make </w:t>
      </w:r>
      <w:r w:rsidR="00B90390">
        <w:t xml:space="preserve">one or more </w:t>
      </w:r>
      <w:r w:rsidR="00B048E3" w:rsidRPr="00821C9F">
        <w:t>declaration</w:t>
      </w:r>
      <w:r w:rsidR="00B90390">
        <w:t>s</w:t>
      </w:r>
      <w:r w:rsidR="00B048E3" w:rsidRPr="00821C9F">
        <w:t xml:space="preserve"> re</w:t>
      </w:r>
      <w:r w:rsidR="00C5061F">
        <w:t>-</w:t>
      </w:r>
      <w:r w:rsidR="00B048E3" w:rsidRPr="00821C9F">
        <w:t xml:space="preserve">allocating spectrum </w:t>
      </w:r>
      <w:r w:rsidR="003239F3">
        <w:t>by</w:t>
      </w:r>
      <w:r w:rsidR="003239F3" w:rsidRPr="00821C9F">
        <w:t xml:space="preserve"> </w:t>
      </w:r>
      <w:r w:rsidR="00B048E3" w:rsidRPr="00821C9F">
        <w:t>spectrum licensing in the</w:t>
      </w:r>
      <w:r>
        <w:t xml:space="preserve"> </w:t>
      </w:r>
      <w:r w:rsidR="00711A5F">
        <w:t>following</w:t>
      </w:r>
      <w:r w:rsidR="00711A5F" w:rsidRPr="00821C9F">
        <w:t xml:space="preserve"> frequency ranges</w:t>
      </w:r>
      <w:r w:rsidR="00711A5F">
        <w:t>, covering the majority of Australia</w:t>
      </w:r>
      <w:r w:rsidR="00711A5F" w:rsidRPr="00821C9F">
        <w:t>:</w:t>
      </w:r>
    </w:p>
    <w:p w14:paraId="6722DC70" w14:textId="27AF157F" w:rsidR="00C03DC7" w:rsidRDefault="00C03DC7" w:rsidP="0049254E">
      <w:pPr>
        <w:pStyle w:val="Bulletlevel1"/>
      </w:pPr>
      <w:bookmarkStart w:id="1" w:name="_Hlk32840412"/>
      <w:r>
        <w:t>809</w:t>
      </w:r>
      <w:r w:rsidR="00DB5501">
        <w:t>–</w:t>
      </w:r>
      <w:r>
        <w:t>825 MHz</w:t>
      </w:r>
    </w:p>
    <w:p w14:paraId="047F7A47" w14:textId="02D86216" w:rsidR="00C03DC7" w:rsidRDefault="00C03DC7" w:rsidP="0049254E">
      <w:pPr>
        <w:pStyle w:val="Bulletlevel1"/>
      </w:pPr>
      <w:r>
        <w:t>854</w:t>
      </w:r>
      <w:r w:rsidR="00DB5501">
        <w:t>–</w:t>
      </w:r>
      <w:r>
        <w:t xml:space="preserve">870 MHz </w:t>
      </w:r>
    </w:p>
    <w:p w14:paraId="0637626F" w14:textId="42379B44" w:rsidR="00C03DC7" w:rsidRDefault="00C03DC7" w:rsidP="0049254E">
      <w:pPr>
        <w:pStyle w:val="Bulletlevel1"/>
      </w:pPr>
      <w:r>
        <w:t>890</w:t>
      </w:r>
      <w:r w:rsidR="00DB5501">
        <w:t>–</w:t>
      </w:r>
      <w:r>
        <w:t>915 MHz</w:t>
      </w:r>
    </w:p>
    <w:p w14:paraId="14B0904A" w14:textId="6A4C5F29" w:rsidR="00C03DC7" w:rsidRDefault="00C03DC7" w:rsidP="00BF65C4">
      <w:pPr>
        <w:pStyle w:val="Bulletlevel1last"/>
      </w:pPr>
      <w:r>
        <w:t>935</w:t>
      </w:r>
      <w:r w:rsidR="00DB5501">
        <w:t>–</w:t>
      </w:r>
      <w:r>
        <w:t xml:space="preserve">960 </w:t>
      </w:r>
      <w:proofErr w:type="spellStart"/>
      <w:r>
        <w:t>MHz.</w:t>
      </w:r>
      <w:bookmarkEnd w:id="1"/>
      <w:proofErr w:type="spellEnd"/>
    </w:p>
    <w:p w14:paraId="3DA8385A" w14:textId="7EEF58E1" w:rsidR="0049254E" w:rsidRDefault="0049254E" w:rsidP="000B643A">
      <w:pPr>
        <w:pStyle w:val="Paragraph"/>
      </w:pPr>
      <w:r>
        <w:t xml:space="preserve">This spectrum </w:t>
      </w:r>
      <w:r w:rsidR="00711A5F">
        <w:t>is collectively</w:t>
      </w:r>
      <w:r>
        <w:t xml:space="preserve"> referred to as the 850/900 MHz band in this paper.</w:t>
      </w:r>
    </w:p>
    <w:p w14:paraId="1850FC4E" w14:textId="01AAF81D" w:rsidR="00FE14D9" w:rsidRDefault="00D625B1" w:rsidP="000B643A">
      <w:pPr>
        <w:pStyle w:val="Paragraph"/>
      </w:pPr>
      <w:r>
        <w:t>T</w:t>
      </w:r>
      <w:r w:rsidR="000272E1">
        <w:t xml:space="preserve">he </w:t>
      </w:r>
      <w:r w:rsidR="00037548">
        <w:t xml:space="preserve">Australian Communications and Media Authority (the </w:t>
      </w:r>
      <w:r w:rsidR="000272E1">
        <w:t>ACMA</w:t>
      </w:r>
      <w:r w:rsidR="00037548">
        <w:t>)</w:t>
      </w:r>
      <w:r w:rsidR="000272E1">
        <w:t xml:space="preserve"> </w:t>
      </w:r>
      <w:r w:rsidR="00591DD4">
        <w:t xml:space="preserve">has </w:t>
      </w:r>
      <w:r w:rsidR="000E552B">
        <w:t>considered</w:t>
      </w:r>
      <w:r w:rsidR="000272E1">
        <w:t xml:space="preserve"> options to reconfigure the 900 MHz band (</w:t>
      </w:r>
      <w:r w:rsidR="000E552B">
        <w:t xml:space="preserve">frequency ranges </w:t>
      </w:r>
      <w:r w:rsidR="000272E1">
        <w:t>890</w:t>
      </w:r>
      <w:r w:rsidR="00DB5501">
        <w:t>–</w:t>
      </w:r>
      <w:r w:rsidR="000272E1">
        <w:t>915</w:t>
      </w:r>
      <w:r w:rsidR="000E552B">
        <w:t xml:space="preserve"> MHz and </w:t>
      </w:r>
      <w:r w:rsidR="000272E1">
        <w:t>935</w:t>
      </w:r>
      <w:r w:rsidR="00DB5501">
        <w:t>–</w:t>
      </w:r>
      <w:r w:rsidR="000272E1">
        <w:t>960 MHz)</w:t>
      </w:r>
      <w:r w:rsidR="000E552B">
        <w:t xml:space="preserve"> to</w:t>
      </w:r>
      <w:r w:rsidR="000E552B" w:rsidRPr="000E552B">
        <w:t xml:space="preserve"> enable it to be utilised for fourth generation (4G) and fifth generation (5G) mobile broadband services.</w:t>
      </w:r>
    </w:p>
    <w:p w14:paraId="4E332C5B" w14:textId="5FBD22DE" w:rsidR="000E552B" w:rsidRDefault="00DB5501" w:rsidP="000B643A">
      <w:pPr>
        <w:pStyle w:val="Paragraph"/>
      </w:pPr>
      <w:r>
        <w:t>We have</w:t>
      </w:r>
      <w:r w:rsidR="00FE14D9" w:rsidRPr="00FE14D9">
        <w:t xml:space="preserve"> identified (and </w:t>
      </w:r>
      <w:r>
        <w:t>are</w:t>
      </w:r>
      <w:r w:rsidRPr="00FE14D9">
        <w:t xml:space="preserve"> </w:t>
      </w:r>
      <w:r w:rsidR="00FE14D9" w:rsidRPr="00FE14D9">
        <w:t>progressively clearing) spectrum in</w:t>
      </w:r>
      <w:r w:rsidR="00CC25FC">
        <w:t xml:space="preserve"> the</w:t>
      </w:r>
      <w:r w:rsidR="00FE14D9" w:rsidRPr="00FE14D9">
        <w:t xml:space="preserve"> </w:t>
      </w:r>
      <w:r w:rsidR="00CC25FC" w:rsidRPr="00FE14D9">
        <w:t>850 MHz expansion band (</w:t>
      </w:r>
      <w:r w:rsidR="00CC25FC">
        <w:t xml:space="preserve">frequency ranges </w:t>
      </w:r>
      <w:r w:rsidR="00CC25FC" w:rsidRPr="00FE14D9">
        <w:t>809</w:t>
      </w:r>
      <w:r>
        <w:t>–</w:t>
      </w:r>
      <w:r w:rsidR="00CC25FC" w:rsidRPr="00FE14D9">
        <w:t>824</w:t>
      </w:r>
      <w:r w:rsidR="00CC25FC">
        <w:t xml:space="preserve"> MHz and </w:t>
      </w:r>
      <w:r w:rsidR="00CC25FC" w:rsidRPr="00FE14D9">
        <w:t>854</w:t>
      </w:r>
      <w:r>
        <w:t>–</w:t>
      </w:r>
      <w:r w:rsidR="00CC25FC" w:rsidRPr="00FE14D9">
        <w:t>869 MHz)</w:t>
      </w:r>
      <w:r w:rsidR="00CC25FC" w:rsidRPr="00003E60">
        <w:t xml:space="preserve"> </w:t>
      </w:r>
      <w:r w:rsidR="00FE14D9" w:rsidRPr="00FE14D9">
        <w:t>with a view to creating up to 2 x 15 MHz of harmonised mobile broadband spectrum</w:t>
      </w:r>
      <w:r w:rsidR="00CC25FC">
        <w:t>.</w:t>
      </w:r>
      <w:r w:rsidR="00FE14D9" w:rsidRPr="00FE14D9">
        <w:t xml:space="preserve"> </w:t>
      </w:r>
      <w:r w:rsidR="00003E60">
        <w:t>A</w:t>
      </w:r>
      <w:r w:rsidR="00003E60" w:rsidRPr="00003E60">
        <w:t xml:space="preserve"> further 2</w:t>
      </w:r>
      <w:r w:rsidR="00B214DB">
        <w:t> </w:t>
      </w:r>
      <w:r w:rsidR="003D7C09">
        <w:t>x</w:t>
      </w:r>
      <w:r w:rsidR="00B214DB">
        <w:t> </w:t>
      </w:r>
      <w:r w:rsidR="003D7C09">
        <w:t>1</w:t>
      </w:r>
      <w:r w:rsidR="00B214DB">
        <w:t> </w:t>
      </w:r>
      <w:r w:rsidR="00003E60" w:rsidRPr="00003E60">
        <w:t>MHz of spectrum (824</w:t>
      </w:r>
      <w:r>
        <w:t>–</w:t>
      </w:r>
      <w:r w:rsidR="00003E60" w:rsidRPr="00003E60">
        <w:t>825 MHz and 869</w:t>
      </w:r>
      <w:r>
        <w:t>–</w:t>
      </w:r>
      <w:r w:rsidR="00003E60" w:rsidRPr="00003E60">
        <w:t xml:space="preserve">870 MHz) </w:t>
      </w:r>
      <w:r w:rsidR="00003E60">
        <w:t>is also being cleared</w:t>
      </w:r>
      <w:r w:rsidR="00003E60" w:rsidRPr="00003E60">
        <w:t>.</w:t>
      </w:r>
    </w:p>
    <w:p w14:paraId="4EE083C1" w14:textId="78FC2B21" w:rsidR="00FE14D9" w:rsidRDefault="000A3A63" w:rsidP="00C5549B">
      <w:pPr>
        <w:pStyle w:val="Paragraphbeforelist"/>
      </w:pPr>
      <w:r>
        <w:t>As indicated in</w:t>
      </w:r>
      <w:r w:rsidR="00591DD4">
        <w:t xml:space="preserve"> the </w:t>
      </w:r>
      <w:hyperlink r:id="rId24" w:history="1">
        <w:r w:rsidR="00D625B1" w:rsidRPr="00535B80">
          <w:rPr>
            <w:rStyle w:val="Hyperlink"/>
            <w:i/>
          </w:rPr>
          <w:t>Reconfiguring the 900 MHz band/Allocating the 850 MHz expansion band</w:t>
        </w:r>
      </w:hyperlink>
      <w:r w:rsidR="00D625B1" w:rsidRPr="00535B80">
        <w:rPr>
          <w:i/>
        </w:rPr>
        <w:t xml:space="preserve"> </w:t>
      </w:r>
      <w:r w:rsidR="00591DD4" w:rsidRPr="00535B80">
        <w:rPr>
          <w:iCs/>
        </w:rPr>
        <w:t>decision paper</w:t>
      </w:r>
      <w:r w:rsidR="00591DD4" w:rsidRPr="007147A9">
        <w:rPr>
          <w:i/>
        </w:rPr>
        <w:t xml:space="preserve"> </w:t>
      </w:r>
      <w:r>
        <w:rPr>
          <w:iCs/>
        </w:rPr>
        <w:t xml:space="preserve">released in December 2019, </w:t>
      </w:r>
      <w:r w:rsidR="007E46C6">
        <w:t>we are</w:t>
      </w:r>
      <w:r>
        <w:t xml:space="preserve"> </w:t>
      </w:r>
      <w:r w:rsidR="00591DD4" w:rsidRPr="00591DD4">
        <w:t xml:space="preserve">of the </w:t>
      </w:r>
      <w:r w:rsidR="00591DD4" w:rsidRPr="00C5549B">
        <w:t>view</w:t>
      </w:r>
      <w:r w:rsidR="00FE14D9">
        <w:t xml:space="preserve"> that:</w:t>
      </w:r>
    </w:p>
    <w:p w14:paraId="5C0C7CAF" w14:textId="0A9CD7E3" w:rsidR="00FE14D9" w:rsidRDefault="00591DD4" w:rsidP="003B6140">
      <w:pPr>
        <w:pStyle w:val="Bulletlevel1"/>
      </w:pPr>
      <w:r w:rsidRPr="00591DD4">
        <w:t xml:space="preserve">the best way to achieve reconfiguration of the 900 MHz band is to </w:t>
      </w:r>
      <w:r w:rsidR="0086176D">
        <w:t>re</w:t>
      </w:r>
      <w:r w:rsidR="00C5061F">
        <w:t>-</w:t>
      </w:r>
      <w:r w:rsidR="0086176D">
        <w:t xml:space="preserve">allocate the spectrum and </w:t>
      </w:r>
      <w:r w:rsidRPr="00591DD4">
        <w:t>undertake a price-based allocation</w:t>
      </w:r>
      <w:r w:rsidR="000A3A63">
        <w:t xml:space="preserve"> of spectrum licences</w:t>
      </w:r>
      <w:r w:rsidRPr="00591DD4">
        <w:t xml:space="preserve"> in co</w:t>
      </w:r>
      <w:r w:rsidRPr="00C5549B">
        <w:t>njunc</w:t>
      </w:r>
      <w:r w:rsidRPr="00591DD4">
        <w:t>tion with an allocation of spectrum in the 850 MHz expansion band</w:t>
      </w:r>
      <w:r w:rsidR="00037548">
        <w:t xml:space="preserve"> </w:t>
      </w:r>
    </w:p>
    <w:p w14:paraId="509BC440" w14:textId="723F5B7D" w:rsidR="0049254E" w:rsidRDefault="00003E60" w:rsidP="00FE14D9">
      <w:pPr>
        <w:pStyle w:val="Bulletlevel1last"/>
      </w:pPr>
      <w:bookmarkStart w:id="2" w:name="_Hlk33617377"/>
      <w:r>
        <w:t>the</w:t>
      </w:r>
      <w:r w:rsidR="0049254E">
        <w:t xml:space="preserve"> further 2 </w:t>
      </w:r>
      <w:r w:rsidR="00BB7462">
        <w:t>x</w:t>
      </w:r>
      <w:r w:rsidR="00DB5501">
        <w:t xml:space="preserve"> </w:t>
      </w:r>
      <w:r w:rsidR="00BB7462">
        <w:t xml:space="preserve">1 </w:t>
      </w:r>
      <w:r w:rsidR="0049254E">
        <w:t>MHz of spectrum</w:t>
      </w:r>
      <w:r w:rsidR="00B214DB">
        <w:t xml:space="preserve"> (824</w:t>
      </w:r>
      <w:r w:rsidR="00DB5501">
        <w:t>–</w:t>
      </w:r>
      <w:r w:rsidR="00B214DB">
        <w:t>825 MHz and 869</w:t>
      </w:r>
      <w:r w:rsidR="00DB5501">
        <w:t>–</w:t>
      </w:r>
      <w:r w:rsidR="00B214DB">
        <w:t>870 MHz)</w:t>
      </w:r>
      <w:r w:rsidR="0049254E">
        <w:t xml:space="preserve"> </w:t>
      </w:r>
      <w:r w:rsidR="000E552B">
        <w:t>should also be re</w:t>
      </w:r>
      <w:r w:rsidR="00C5061F">
        <w:t>-</w:t>
      </w:r>
      <w:r w:rsidR="000E552B">
        <w:t>allocated</w:t>
      </w:r>
      <w:r w:rsidR="000A3A63">
        <w:t xml:space="preserve"> by </w:t>
      </w:r>
      <w:r w:rsidR="00C05597">
        <w:t xml:space="preserve">issuing </w:t>
      </w:r>
      <w:r w:rsidR="000A3A63">
        <w:t xml:space="preserve">spectrum </w:t>
      </w:r>
      <w:r w:rsidR="00C05597">
        <w:t>licences</w:t>
      </w:r>
      <w:r w:rsidR="00C7311E">
        <w:t xml:space="preserve"> </w:t>
      </w:r>
      <w:r w:rsidR="0049254E" w:rsidRPr="0049254E">
        <w:t xml:space="preserve">to accommodate a future </w:t>
      </w:r>
      <w:r w:rsidR="007B29E6">
        <w:t>down</w:t>
      </w:r>
      <w:r w:rsidR="0049254E" w:rsidRPr="0049254E">
        <w:t xml:space="preserve">shift of the spectrum licences in the </w:t>
      </w:r>
      <w:r w:rsidR="009F0638" w:rsidRPr="0049254E">
        <w:t xml:space="preserve">adjacent </w:t>
      </w:r>
      <w:r w:rsidR="007C355B" w:rsidRPr="0049254E">
        <w:t>8</w:t>
      </w:r>
      <w:r w:rsidR="007C355B">
        <w:t>5</w:t>
      </w:r>
      <w:r w:rsidR="007C355B" w:rsidRPr="0049254E">
        <w:t>0</w:t>
      </w:r>
      <w:r w:rsidR="00C7311E">
        <w:t> </w:t>
      </w:r>
      <w:r w:rsidR="0049254E" w:rsidRPr="0049254E">
        <w:t>MHz band</w:t>
      </w:r>
      <w:r w:rsidR="009F0638">
        <w:t>.</w:t>
      </w:r>
      <w:r w:rsidR="00BB7462">
        <w:t xml:space="preserve"> </w:t>
      </w:r>
      <w:r w:rsidR="009F0638">
        <w:t xml:space="preserve">This would </w:t>
      </w:r>
      <w:bookmarkEnd w:id="2"/>
      <w:r w:rsidR="007B29E6" w:rsidRPr="007B29E6">
        <w:t xml:space="preserve">increase the usability of the lower segment </w:t>
      </w:r>
      <w:r w:rsidR="003239F3">
        <w:t>of</w:t>
      </w:r>
      <w:r w:rsidR="003239F3" w:rsidRPr="007B29E6">
        <w:t xml:space="preserve"> </w:t>
      </w:r>
      <w:r w:rsidR="007B29E6" w:rsidRPr="007B29E6">
        <w:t>the 900 MHz band</w:t>
      </w:r>
      <w:r w:rsidR="0049254E" w:rsidRPr="0049254E">
        <w:t>.</w:t>
      </w:r>
    </w:p>
    <w:p w14:paraId="3DE24E91" w14:textId="01B63B03" w:rsidR="00F3757A" w:rsidRPr="00951E99" w:rsidRDefault="00FE14D9" w:rsidP="000B643A">
      <w:pPr>
        <w:pStyle w:val="Paragraph"/>
      </w:pPr>
      <w:r w:rsidRPr="00FE14D9">
        <w:t xml:space="preserve">Before </w:t>
      </w:r>
      <w:r w:rsidR="007C355B">
        <w:t xml:space="preserve">making </w:t>
      </w:r>
      <w:r w:rsidRPr="00FE14D9">
        <w:t xml:space="preserve">a recommendation to the </w:t>
      </w:r>
      <w:r w:rsidR="008653F9">
        <w:t>Minister</w:t>
      </w:r>
      <w:r w:rsidRPr="00FE14D9">
        <w:t xml:space="preserve"> to re</w:t>
      </w:r>
      <w:r w:rsidR="00C5061F">
        <w:t>-</w:t>
      </w:r>
      <w:r w:rsidRPr="00FE14D9">
        <w:t xml:space="preserve">allocate spectrum, </w:t>
      </w:r>
      <w:r w:rsidR="00DB5501">
        <w:t>we</w:t>
      </w:r>
      <w:r w:rsidRPr="00FE14D9">
        <w:t xml:space="preserve"> must—under Part 3.6 of the </w:t>
      </w:r>
      <w:r w:rsidRPr="00177B4E">
        <w:rPr>
          <w:i/>
        </w:rPr>
        <w:t>Radiocommunications Act 1992</w:t>
      </w:r>
      <w:r w:rsidRPr="00FE14D9">
        <w:t xml:space="preserve"> (</w:t>
      </w:r>
      <w:r w:rsidR="00D33D1A">
        <w:t>the Act</w:t>
      </w:r>
      <w:r w:rsidRPr="00FE14D9">
        <w:t xml:space="preserve">)—consult with stakeholders on the recommendation </w:t>
      </w:r>
      <w:r w:rsidR="00BC0815">
        <w:t>we</w:t>
      </w:r>
      <w:r w:rsidRPr="00FE14D9">
        <w:t xml:space="preserve"> should make. </w:t>
      </w:r>
      <w:proofErr w:type="gramStart"/>
      <w:r w:rsidRPr="00FE14D9">
        <w:t>In particular, under</w:t>
      </w:r>
      <w:proofErr w:type="gramEnd"/>
      <w:r w:rsidRPr="00FE14D9">
        <w:t xml:space="preserve"> section 153G of </w:t>
      </w:r>
      <w:r w:rsidR="00D33D1A">
        <w:t>the Act</w:t>
      </w:r>
      <w:r w:rsidRPr="00FE14D9">
        <w:t xml:space="preserve">, </w:t>
      </w:r>
      <w:r w:rsidR="00DB5501">
        <w:t>we</w:t>
      </w:r>
      <w:r w:rsidRPr="00FE14D9">
        <w:t xml:space="preserve"> must invite comments on the terms of the draft recommendation from </w:t>
      </w:r>
      <w:r w:rsidR="00DB5501">
        <w:t>potentially affected</w:t>
      </w:r>
      <w:r w:rsidRPr="00FE14D9">
        <w:t xml:space="preserve"> apparatus licensees. </w:t>
      </w:r>
      <w:r w:rsidR="007147A9">
        <w:t>The</w:t>
      </w:r>
      <w:r w:rsidR="00F3757A" w:rsidRPr="00951E99">
        <w:t xml:space="preserve"> </w:t>
      </w:r>
      <w:r w:rsidR="0085181F">
        <w:t xml:space="preserve">section 153G </w:t>
      </w:r>
      <w:r w:rsidR="00F3757A" w:rsidRPr="00951E99">
        <w:t>notice inviting comments</w:t>
      </w:r>
      <w:r w:rsidR="00DB5501">
        <w:t xml:space="preserve"> accompanies this paper on </w:t>
      </w:r>
      <w:r w:rsidR="008F6E7C">
        <w:t>our</w:t>
      </w:r>
      <w:r w:rsidR="00DB5501">
        <w:t xml:space="preserve"> website</w:t>
      </w:r>
      <w:r w:rsidR="00F3757A" w:rsidRPr="00951E99">
        <w:t xml:space="preserve">. </w:t>
      </w:r>
    </w:p>
    <w:p w14:paraId="3E8970FE" w14:textId="5154CDFF" w:rsidR="00A85096" w:rsidRDefault="00127AAC" w:rsidP="00692D05">
      <w:pPr>
        <w:pStyle w:val="Paragraph"/>
      </w:pPr>
      <w:r w:rsidRPr="00DB0542">
        <w:t xml:space="preserve">To help interested parties prepare their comments, this </w:t>
      </w:r>
      <w:r w:rsidR="007B0185">
        <w:t xml:space="preserve">consultation </w:t>
      </w:r>
      <w:r w:rsidRPr="00DB0542">
        <w:t xml:space="preserve">paper outlines </w:t>
      </w:r>
      <w:r w:rsidR="00DB5501">
        <w:t>our</w:t>
      </w:r>
      <w:r w:rsidRPr="00DB0542">
        <w:t xml:space="preserve"> proposed terms for each element of the draft recommendation</w:t>
      </w:r>
      <w:r w:rsidR="00D60DD4">
        <w:t xml:space="preserve"> </w:t>
      </w:r>
      <w:r w:rsidRPr="00DB0542">
        <w:t>and the background to each element.</w:t>
      </w:r>
    </w:p>
    <w:p w14:paraId="6CF3B715" w14:textId="120E1CA7" w:rsidR="007E2580" w:rsidRDefault="00927D7E" w:rsidP="00A9249F">
      <w:pPr>
        <w:pStyle w:val="Paragraph"/>
      </w:pPr>
      <w:r>
        <w:t>The proposed terms are</w:t>
      </w:r>
      <w:r w:rsidR="00B97917">
        <w:t xml:space="preserve"> </w:t>
      </w:r>
      <w:r w:rsidR="00B97917" w:rsidRPr="007E2580">
        <w:t>summarised</w:t>
      </w:r>
      <w:r w:rsidR="00B97917">
        <w:t xml:space="preserve"> in </w:t>
      </w:r>
      <w:r w:rsidR="00F94A9A">
        <w:t>Table 1</w:t>
      </w:r>
      <w:r w:rsidR="00B97917">
        <w:t>.</w:t>
      </w:r>
    </w:p>
    <w:p w14:paraId="7AB2C1E3" w14:textId="104C62B4" w:rsidR="00B97917" w:rsidRDefault="00B97917" w:rsidP="00A9249F">
      <w:pPr>
        <w:pStyle w:val="ACMATableHeader"/>
        <w:keepNext/>
        <w:keepLines/>
      </w:pPr>
      <w:r>
        <w:lastRenderedPageBreak/>
        <w:t xml:space="preserve">Terms of the </w:t>
      </w:r>
      <w:r w:rsidR="000F0A00" w:rsidRPr="00C5549B">
        <w:t>draft</w:t>
      </w:r>
      <w:r>
        <w:t xml:space="preserve"> recommendation </w:t>
      </w:r>
    </w:p>
    <w:tbl>
      <w:tblPr>
        <w:tblStyle w:val="ACMAtablestyle"/>
        <w:tblW w:w="0" w:type="auto"/>
        <w:tblLook w:val="04A0" w:firstRow="1" w:lastRow="0" w:firstColumn="1" w:lastColumn="0" w:noHBand="0" w:noVBand="1"/>
        <w:tblCaption w:val="Terms of the draft recommendation"/>
        <w:tblDescription w:val="This table shows the terms of the draft recommendation. The recommended licence type is spectrum licences. The parts of the spectrum are: 809-825 MHz, 854-870 MHz, 890-915 MHz, and 935-960 MHz. The reallocation period proposed to end in 30 June 2024, with a deadline to be 12 months before the end of the reallocation period."/>
      </w:tblPr>
      <w:tblGrid>
        <w:gridCol w:w="3114"/>
        <w:gridCol w:w="4536"/>
      </w:tblGrid>
      <w:tr w:rsidR="000B00C6" w14:paraId="3BDDB7AD" w14:textId="77777777" w:rsidTr="00363C73">
        <w:trPr>
          <w:cnfStyle w:val="100000000000" w:firstRow="1" w:lastRow="0" w:firstColumn="0" w:lastColumn="0" w:oddVBand="0" w:evenVBand="0" w:oddHBand="0" w:evenHBand="0" w:firstRowFirstColumn="0" w:firstRowLastColumn="0" w:lastRowFirstColumn="0" w:lastRowLastColumn="0"/>
          <w:trHeight w:val="199"/>
          <w:tblHeader w:val="0"/>
        </w:trPr>
        <w:tc>
          <w:tcPr>
            <w:tcW w:w="3114" w:type="dxa"/>
            <w:tcBorders>
              <w:top w:val="none" w:sz="0" w:space="0" w:color="auto"/>
              <w:left w:val="none" w:sz="0" w:space="0" w:color="auto"/>
              <w:bottom w:val="none" w:sz="0" w:space="0" w:color="auto"/>
              <w:right w:val="none" w:sz="0" w:space="0" w:color="auto"/>
            </w:tcBorders>
          </w:tcPr>
          <w:p w14:paraId="7671D877" w14:textId="7AB3B149" w:rsidR="000B00C6" w:rsidRDefault="000B00C6" w:rsidP="00A9249F">
            <w:pPr>
              <w:pStyle w:val="Tableheaderrow"/>
              <w:keepNext/>
              <w:keepLines/>
            </w:pPr>
            <w:r>
              <w:t xml:space="preserve">Relevant term </w:t>
            </w:r>
          </w:p>
        </w:tc>
        <w:tc>
          <w:tcPr>
            <w:tcW w:w="4536" w:type="dxa"/>
            <w:tcBorders>
              <w:top w:val="none" w:sz="0" w:space="0" w:color="auto"/>
              <w:left w:val="none" w:sz="0" w:space="0" w:color="auto"/>
              <w:bottom w:val="none" w:sz="0" w:space="0" w:color="auto"/>
              <w:right w:val="none" w:sz="0" w:space="0" w:color="auto"/>
            </w:tcBorders>
          </w:tcPr>
          <w:p w14:paraId="088A474B" w14:textId="77777777" w:rsidR="000B00C6" w:rsidRDefault="000B00C6" w:rsidP="00A9249F">
            <w:pPr>
              <w:pStyle w:val="Tableheaderrow"/>
              <w:keepNext/>
              <w:keepLines/>
            </w:pPr>
            <w:r>
              <w:t>The ACMA’s proposed recommendation</w:t>
            </w:r>
          </w:p>
        </w:tc>
      </w:tr>
      <w:tr w:rsidR="000B00C6" w14:paraId="6F8C8343" w14:textId="77777777" w:rsidTr="00363C73">
        <w:trPr>
          <w:cnfStyle w:val="000000100000" w:firstRow="0" w:lastRow="0" w:firstColumn="0" w:lastColumn="0" w:oddVBand="0" w:evenVBand="0" w:oddHBand="1" w:evenHBand="0" w:firstRowFirstColumn="0" w:firstRowLastColumn="0" w:lastRowFirstColumn="0" w:lastRowLastColumn="0"/>
        </w:trPr>
        <w:tc>
          <w:tcPr>
            <w:tcW w:w="3114" w:type="dxa"/>
          </w:tcPr>
          <w:p w14:paraId="43DC40DD" w14:textId="77777777" w:rsidR="000B00C6" w:rsidRDefault="000B00C6" w:rsidP="00A9249F">
            <w:pPr>
              <w:pStyle w:val="TableBody"/>
              <w:keepNext/>
              <w:keepLines/>
            </w:pPr>
            <w:r>
              <w:t>Licence type</w:t>
            </w:r>
          </w:p>
        </w:tc>
        <w:tc>
          <w:tcPr>
            <w:tcW w:w="4536" w:type="dxa"/>
          </w:tcPr>
          <w:p w14:paraId="73B13007" w14:textId="77777777" w:rsidR="000B00C6" w:rsidRDefault="000B00C6" w:rsidP="00A9249F">
            <w:pPr>
              <w:pStyle w:val="TableBody"/>
              <w:keepNext/>
              <w:keepLines/>
            </w:pPr>
            <w:r>
              <w:t>Spectrum licences</w:t>
            </w:r>
          </w:p>
        </w:tc>
      </w:tr>
      <w:tr w:rsidR="00483618" w14:paraId="5EAF5F01" w14:textId="77777777" w:rsidTr="003F5857">
        <w:trPr>
          <w:cnfStyle w:val="000000010000" w:firstRow="0" w:lastRow="0" w:firstColumn="0" w:lastColumn="0" w:oddVBand="0" w:evenVBand="0" w:oddHBand="0" w:evenHBand="1" w:firstRowFirstColumn="0" w:firstRowLastColumn="0" w:lastRowFirstColumn="0" w:lastRowLastColumn="0"/>
        </w:trPr>
        <w:tc>
          <w:tcPr>
            <w:tcW w:w="3114" w:type="dxa"/>
          </w:tcPr>
          <w:p w14:paraId="11A68EE8" w14:textId="77777777" w:rsidR="00483618" w:rsidRDefault="00483618" w:rsidP="00A9249F">
            <w:pPr>
              <w:pStyle w:val="TableBody"/>
              <w:keepNext/>
              <w:keepLines/>
            </w:pPr>
            <w:r>
              <w:t>Parts of the spectrum</w:t>
            </w:r>
          </w:p>
        </w:tc>
        <w:tc>
          <w:tcPr>
            <w:tcW w:w="4536" w:type="dxa"/>
          </w:tcPr>
          <w:p w14:paraId="5D063DC7" w14:textId="33C3A418" w:rsidR="0049254E" w:rsidRDefault="00483618" w:rsidP="00A9249F">
            <w:pPr>
              <w:pStyle w:val="TableBody"/>
              <w:keepNext/>
              <w:keepLines/>
            </w:pPr>
            <w:r>
              <w:t>809</w:t>
            </w:r>
            <w:r w:rsidR="00DB5501">
              <w:t>–</w:t>
            </w:r>
            <w:r>
              <w:t>82</w:t>
            </w:r>
            <w:r w:rsidR="0049254E">
              <w:t>5</w:t>
            </w:r>
            <w:r>
              <w:t xml:space="preserve"> MHz</w:t>
            </w:r>
          </w:p>
          <w:p w14:paraId="3DC51912" w14:textId="737AFB51" w:rsidR="00483618" w:rsidRDefault="00483618" w:rsidP="00A9249F">
            <w:pPr>
              <w:pStyle w:val="TableBody"/>
              <w:keepNext/>
              <w:keepLines/>
            </w:pPr>
            <w:r>
              <w:t>854</w:t>
            </w:r>
            <w:r w:rsidR="00DB5501">
              <w:t>–</w:t>
            </w:r>
            <w:r>
              <w:t>8</w:t>
            </w:r>
            <w:r w:rsidR="0049254E">
              <w:t>70</w:t>
            </w:r>
            <w:r>
              <w:t xml:space="preserve"> MHz</w:t>
            </w:r>
          </w:p>
          <w:p w14:paraId="78BDCDB5" w14:textId="67B33A8D" w:rsidR="0049254E" w:rsidRDefault="00483618" w:rsidP="00A9249F">
            <w:pPr>
              <w:pStyle w:val="TableBody"/>
              <w:keepNext/>
              <w:keepLines/>
            </w:pPr>
            <w:r>
              <w:t>890</w:t>
            </w:r>
            <w:r w:rsidR="00DB5501">
              <w:t>–</w:t>
            </w:r>
            <w:r>
              <w:t>915 MHz</w:t>
            </w:r>
          </w:p>
          <w:p w14:paraId="2AE5D8B1" w14:textId="7D5E85BE" w:rsidR="0049254E" w:rsidRDefault="00483618" w:rsidP="00A9249F">
            <w:pPr>
              <w:pStyle w:val="TableBody"/>
              <w:keepNext/>
              <w:keepLines/>
              <w:spacing w:after="120"/>
            </w:pPr>
            <w:r>
              <w:t>935</w:t>
            </w:r>
            <w:r w:rsidR="00DB5501">
              <w:t>–</w:t>
            </w:r>
            <w:r>
              <w:t>960 MHz</w:t>
            </w:r>
          </w:p>
          <w:p w14:paraId="69FB09AF" w14:textId="59715EFF" w:rsidR="00483618" w:rsidRDefault="0049254E" w:rsidP="00A9249F">
            <w:pPr>
              <w:pStyle w:val="TableBody"/>
              <w:keepNext/>
              <w:keepLines/>
            </w:pPr>
            <w:r>
              <w:t>covering all of Australia</w:t>
            </w:r>
            <w:r w:rsidR="00F43EBF">
              <w:t xml:space="preserve"> excluding the mid-west Radio Quiet Zone</w:t>
            </w:r>
            <w:r w:rsidR="00441D70">
              <w:t xml:space="preserve"> (RQZ).</w:t>
            </w:r>
          </w:p>
        </w:tc>
      </w:tr>
      <w:tr w:rsidR="000B00C6" w14:paraId="28CE5BF9" w14:textId="77777777" w:rsidTr="00363C73">
        <w:trPr>
          <w:cnfStyle w:val="000000100000" w:firstRow="0" w:lastRow="0" w:firstColumn="0" w:lastColumn="0" w:oddVBand="0" w:evenVBand="0" w:oddHBand="1" w:evenHBand="0" w:firstRowFirstColumn="0" w:firstRowLastColumn="0" w:lastRowFirstColumn="0" w:lastRowLastColumn="0"/>
        </w:trPr>
        <w:tc>
          <w:tcPr>
            <w:tcW w:w="3114" w:type="dxa"/>
          </w:tcPr>
          <w:p w14:paraId="18F9B8F9" w14:textId="165EBB26" w:rsidR="000B00C6" w:rsidRDefault="00DA3182" w:rsidP="00A9249F">
            <w:pPr>
              <w:pStyle w:val="TableBody"/>
              <w:keepNext/>
              <w:keepLines/>
            </w:pPr>
            <w:r>
              <w:t>Re</w:t>
            </w:r>
            <w:r>
              <w:noBreakHyphen/>
              <w:t>allocation</w:t>
            </w:r>
            <w:r w:rsidR="000B00C6">
              <w:t xml:space="preserve"> period</w:t>
            </w:r>
          </w:p>
        </w:tc>
        <w:tc>
          <w:tcPr>
            <w:tcW w:w="4536" w:type="dxa"/>
          </w:tcPr>
          <w:p w14:paraId="0FD10E59" w14:textId="5C01D0AF" w:rsidR="00B74BCB" w:rsidRDefault="00B74BCB" w:rsidP="00A9249F">
            <w:pPr>
              <w:pStyle w:val="TableBody"/>
              <w:keepNext/>
              <w:keepLines/>
              <w:spacing w:after="120"/>
            </w:pPr>
            <w:r>
              <w:t>For the frequency ranges 809</w:t>
            </w:r>
            <w:r w:rsidR="000A7578">
              <w:t>–</w:t>
            </w:r>
            <w:r>
              <w:t>825 MHz and 854</w:t>
            </w:r>
            <w:r w:rsidR="000A7578">
              <w:t>–</w:t>
            </w:r>
            <w:r>
              <w:t xml:space="preserve">870 MHz, the period ending </w:t>
            </w:r>
            <w:r w:rsidDel="00503E10">
              <w:t>30</w:t>
            </w:r>
            <w:r w:rsidR="00503E10">
              <w:t> June </w:t>
            </w:r>
            <w:r>
              <w:t>2024.</w:t>
            </w:r>
          </w:p>
          <w:p w14:paraId="3F39D5DD" w14:textId="448101E3" w:rsidR="00FC63F9" w:rsidRPr="00826325" w:rsidRDefault="00B74BCB" w:rsidP="00A9249F">
            <w:pPr>
              <w:pStyle w:val="TableBody"/>
              <w:keepNext/>
              <w:keepLines/>
              <w:rPr>
                <w:highlight w:val="yellow"/>
              </w:rPr>
            </w:pPr>
            <w:r>
              <w:t>For the frequency ranges 890</w:t>
            </w:r>
            <w:r w:rsidR="000A7578">
              <w:t>–</w:t>
            </w:r>
            <w:r>
              <w:t>915 MHz and 9</w:t>
            </w:r>
            <w:r w:rsidR="0077595C">
              <w:t>3</w:t>
            </w:r>
            <w:r>
              <w:t>5</w:t>
            </w:r>
            <w:r w:rsidR="000A7578">
              <w:t>–</w:t>
            </w:r>
            <w:r>
              <w:t xml:space="preserve">960 MHz, the period ending </w:t>
            </w:r>
            <w:r w:rsidR="00593F21" w:rsidDel="00503E10">
              <w:t>31</w:t>
            </w:r>
            <w:r w:rsidR="00503E10">
              <w:t> </w:t>
            </w:r>
            <w:r w:rsidR="00593F21" w:rsidDel="00503E10">
              <w:t>December</w:t>
            </w:r>
            <w:r w:rsidR="00503E10">
              <w:t> </w:t>
            </w:r>
            <w:r w:rsidR="00593F21">
              <w:t>2023</w:t>
            </w:r>
            <w:r>
              <w:t>.</w:t>
            </w:r>
          </w:p>
        </w:tc>
      </w:tr>
      <w:tr w:rsidR="000B00C6" w14:paraId="4A89E0EE" w14:textId="77777777" w:rsidTr="00363C73">
        <w:trPr>
          <w:cnfStyle w:val="000000010000" w:firstRow="0" w:lastRow="0" w:firstColumn="0" w:lastColumn="0" w:oddVBand="0" w:evenVBand="0" w:oddHBand="0" w:evenHBand="1" w:firstRowFirstColumn="0" w:firstRowLastColumn="0" w:lastRowFirstColumn="0" w:lastRowLastColumn="0"/>
        </w:trPr>
        <w:tc>
          <w:tcPr>
            <w:tcW w:w="3114" w:type="dxa"/>
          </w:tcPr>
          <w:p w14:paraId="0FAB2D63" w14:textId="2FDE0F38" w:rsidR="000B00C6" w:rsidRDefault="00DA3182" w:rsidP="00A9249F">
            <w:pPr>
              <w:pStyle w:val="TableBody"/>
              <w:keepNext/>
              <w:keepLines/>
            </w:pPr>
            <w:r>
              <w:t>Re</w:t>
            </w:r>
            <w:r>
              <w:noBreakHyphen/>
              <w:t>allocation</w:t>
            </w:r>
            <w:r w:rsidR="000B00C6">
              <w:t xml:space="preserve"> deadline</w:t>
            </w:r>
          </w:p>
        </w:tc>
        <w:tc>
          <w:tcPr>
            <w:tcW w:w="4536" w:type="dxa"/>
          </w:tcPr>
          <w:p w14:paraId="34F8DED8" w14:textId="4F1BD8E0" w:rsidR="000B00C6" w:rsidRDefault="00C00D1B" w:rsidP="00A9249F">
            <w:pPr>
              <w:pStyle w:val="TableBody"/>
              <w:keepNext/>
              <w:keepLines/>
            </w:pPr>
            <w:r>
              <w:t xml:space="preserve">31 December 2022 (12 months before the end of the </w:t>
            </w:r>
            <w:r w:rsidR="00DA3182">
              <w:t>re</w:t>
            </w:r>
            <w:r w:rsidR="00DA3182">
              <w:noBreakHyphen/>
              <w:t>allocation</w:t>
            </w:r>
            <w:r>
              <w:t xml:space="preserve"> period </w:t>
            </w:r>
            <w:r w:rsidRPr="00076A84">
              <w:t>that ends first in time</w:t>
            </w:r>
            <w:r>
              <w:t>)</w:t>
            </w:r>
          </w:p>
        </w:tc>
      </w:tr>
    </w:tbl>
    <w:p w14:paraId="2E4FD804" w14:textId="4FD5B05E" w:rsidR="00C04FDD" w:rsidRPr="00E37625" w:rsidRDefault="00C04FDD" w:rsidP="003B6140">
      <w:pPr>
        <w:pStyle w:val="Heading2"/>
      </w:pPr>
      <w:bookmarkStart w:id="3" w:name="_Toc40175633"/>
      <w:r w:rsidRPr="00E37625">
        <w:t>Additional matters</w:t>
      </w:r>
      <w:bookmarkEnd w:id="3"/>
    </w:p>
    <w:p w14:paraId="08A0B3F6" w14:textId="355EA1AB" w:rsidR="00116919" w:rsidRDefault="00B97917" w:rsidP="000B643A">
      <w:pPr>
        <w:pStyle w:val="Paragraph"/>
      </w:pPr>
      <w:r w:rsidRPr="000B643A">
        <w:t xml:space="preserve">If </w:t>
      </w:r>
      <w:r w:rsidR="007E46C6">
        <w:t>we make</w:t>
      </w:r>
      <w:r w:rsidRPr="000B643A">
        <w:t xml:space="preserve"> a recommendation on these proposed terms and the </w:t>
      </w:r>
      <w:r w:rsidR="008653F9">
        <w:t>Minister</w:t>
      </w:r>
      <w:r w:rsidR="000F0A00" w:rsidRPr="000B643A">
        <w:t xml:space="preserve"> </w:t>
      </w:r>
      <w:r w:rsidRPr="000B643A">
        <w:t xml:space="preserve">accepts </w:t>
      </w:r>
      <w:r w:rsidR="00DB5501">
        <w:t>our</w:t>
      </w:r>
      <w:r w:rsidRPr="000B643A">
        <w:t xml:space="preserve"> recommendation </w:t>
      </w:r>
      <w:r w:rsidR="000F0A00" w:rsidRPr="000B643A">
        <w:t>and</w:t>
      </w:r>
      <w:r w:rsidRPr="000B643A">
        <w:t xml:space="preserve"> make</w:t>
      </w:r>
      <w:r w:rsidR="000F0A00" w:rsidRPr="000B643A">
        <w:t>s</w:t>
      </w:r>
      <w:r w:rsidRPr="000B643A">
        <w:t xml:space="preserve"> </w:t>
      </w:r>
      <w:r w:rsidR="000C6C7D">
        <w:t>one or more</w:t>
      </w:r>
      <w:r w:rsidR="000C6C7D" w:rsidRPr="000B643A">
        <w:t xml:space="preserve"> </w:t>
      </w:r>
      <w:r w:rsidR="00DA3182">
        <w:t>re</w:t>
      </w:r>
      <w:r w:rsidR="00DA3182">
        <w:noBreakHyphen/>
        <w:t>allocation</w:t>
      </w:r>
      <w:r w:rsidRPr="000B643A">
        <w:t xml:space="preserve"> </w:t>
      </w:r>
      <w:r w:rsidR="00FB104C">
        <w:t>declarations</w:t>
      </w:r>
      <w:r w:rsidR="000F0A00" w:rsidRPr="000B643A">
        <w:t xml:space="preserve"> </w:t>
      </w:r>
      <w:r w:rsidRPr="000B643A">
        <w:t>for the 850/900</w:t>
      </w:r>
      <w:r w:rsidR="003F6DFB">
        <w:t> </w:t>
      </w:r>
      <w:r w:rsidRPr="000B643A">
        <w:t xml:space="preserve">MHz band, </w:t>
      </w:r>
      <w:r w:rsidR="00BD3A2F">
        <w:t xml:space="preserve">then </w:t>
      </w:r>
      <w:r w:rsidR="00DB5501">
        <w:t>we</w:t>
      </w:r>
      <w:r w:rsidRPr="000B643A">
        <w:t xml:space="preserve"> propose to conduct a price-based allocation of the spectrum.</w:t>
      </w:r>
      <w:r w:rsidR="00483618" w:rsidRPr="000B643A">
        <w:t xml:space="preserve"> </w:t>
      </w:r>
    </w:p>
    <w:p w14:paraId="034212FE" w14:textId="0D123DAB" w:rsidR="002C6B79" w:rsidRPr="000B643A" w:rsidRDefault="00554A3E" w:rsidP="003B6140">
      <w:pPr>
        <w:pStyle w:val="Paragraphbeforelist"/>
      </w:pPr>
      <w:r w:rsidRPr="000B643A">
        <w:t xml:space="preserve">In the interests of facilitating an efficient </w:t>
      </w:r>
      <w:r w:rsidR="00DA3182">
        <w:t>re</w:t>
      </w:r>
      <w:r w:rsidR="00DA3182">
        <w:noBreakHyphen/>
        <w:t>allocation</w:t>
      </w:r>
      <w:r w:rsidRPr="000B643A">
        <w:t xml:space="preserve"> process, this paper also provides information </w:t>
      </w:r>
      <w:r w:rsidR="00462472" w:rsidRPr="000B643A">
        <w:t xml:space="preserve">and invites comments </w:t>
      </w:r>
      <w:r w:rsidRPr="000B643A">
        <w:t xml:space="preserve">on </w:t>
      </w:r>
      <w:r w:rsidR="00462472">
        <w:t xml:space="preserve">other </w:t>
      </w:r>
      <w:r w:rsidRPr="000B643A">
        <w:t xml:space="preserve">matters relevant to such an allocation. </w:t>
      </w:r>
      <w:r w:rsidR="001B54B8" w:rsidRPr="000B643A">
        <w:t>These matters include</w:t>
      </w:r>
      <w:r w:rsidR="00087073" w:rsidRPr="000B643A">
        <w:t>:</w:t>
      </w:r>
    </w:p>
    <w:p w14:paraId="69473558" w14:textId="355B4BF0" w:rsidR="00622F3E" w:rsidRDefault="00622F3E" w:rsidP="00622F3E">
      <w:pPr>
        <w:pStyle w:val="Bulletlevel1"/>
      </w:pPr>
      <w:r>
        <w:t>lot configuration</w:t>
      </w:r>
    </w:p>
    <w:p w14:paraId="268D05C9" w14:textId="0A7D1127" w:rsidR="001B54B8" w:rsidRDefault="001B54B8" w:rsidP="00E37625">
      <w:pPr>
        <w:pStyle w:val="Bulletlevel1"/>
      </w:pPr>
      <w:r>
        <w:t xml:space="preserve">the licence </w:t>
      </w:r>
      <w:proofErr w:type="gramStart"/>
      <w:r>
        <w:t>term</w:t>
      </w:r>
      <w:proofErr w:type="gramEnd"/>
    </w:p>
    <w:p w14:paraId="0D35EBD3" w14:textId="79708289" w:rsidR="001B54B8" w:rsidRDefault="001B54B8" w:rsidP="00B11BCA">
      <w:pPr>
        <w:pStyle w:val="Bulletlevel1"/>
        <w:spacing w:after="240"/>
      </w:pPr>
      <w:r>
        <w:t>allocation methodology</w:t>
      </w:r>
      <w:r w:rsidR="00622F3E">
        <w:t>.</w:t>
      </w:r>
    </w:p>
    <w:p w14:paraId="3FA5023E" w14:textId="67EA722A" w:rsidR="00D4050C" w:rsidRPr="000B643A" w:rsidRDefault="00EE061F" w:rsidP="00116919">
      <w:pPr>
        <w:pStyle w:val="Paragraph"/>
      </w:pPr>
      <w:r>
        <w:t>V</w:t>
      </w:r>
      <w:r w:rsidR="00554A3E" w:rsidRPr="000B643A">
        <w:t xml:space="preserve">iews on these matters would only be relevant if </w:t>
      </w:r>
      <w:r>
        <w:t>we</w:t>
      </w:r>
      <w:r w:rsidR="00554A3E" w:rsidRPr="000B643A">
        <w:t xml:space="preserve"> make the proposed recommendation and the </w:t>
      </w:r>
      <w:r w:rsidR="008653F9">
        <w:t>Minister</w:t>
      </w:r>
      <w:r w:rsidR="00554A3E" w:rsidRPr="000B643A">
        <w:t xml:space="preserve"> accepts </w:t>
      </w:r>
      <w:r>
        <w:t>our</w:t>
      </w:r>
      <w:r w:rsidR="00554A3E" w:rsidRPr="000B643A">
        <w:t xml:space="preserve"> recommendation. If </w:t>
      </w:r>
      <w:r w:rsidR="000C6C7D">
        <w:t>one or more</w:t>
      </w:r>
      <w:r w:rsidR="000C6C7D" w:rsidRPr="000B643A">
        <w:t xml:space="preserve"> </w:t>
      </w:r>
      <w:r w:rsidR="00DA3182">
        <w:t>re</w:t>
      </w:r>
      <w:r w:rsidR="00DA3182">
        <w:noBreakHyphen/>
        <w:t>allocation</w:t>
      </w:r>
      <w:r w:rsidR="00554A3E" w:rsidRPr="000B643A">
        <w:t xml:space="preserve"> declaration</w:t>
      </w:r>
      <w:r w:rsidR="000C6C7D">
        <w:t>s</w:t>
      </w:r>
      <w:r w:rsidR="00554A3E" w:rsidRPr="000B643A">
        <w:t xml:space="preserve"> </w:t>
      </w:r>
      <w:r w:rsidR="000C6C7D">
        <w:t>are</w:t>
      </w:r>
      <w:r w:rsidR="000C6C7D" w:rsidRPr="000B643A">
        <w:t xml:space="preserve"> </w:t>
      </w:r>
      <w:r w:rsidR="00554A3E" w:rsidRPr="000B643A">
        <w:t xml:space="preserve">made, stakeholders will have additional opportunities to comment on these matters as part of the consultation process on the allocation instruments. </w:t>
      </w:r>
    </w:p>
    <w:p w14:paraId="22CB45D0" w14:textId="77777777" w:rsidR="00622F3E" w:rsidRDefault="00622F3E" w:rsidP="003B6140">
      <w:pPr>
        <w:pStyle w:val="Heading3"/>
      </w:pPr>
      <w:r>
        <w:t>Lot configuration</w:t>
      </w:r>
    </w:p>
    <w:p w14:paraId="6B41FD73" w14:textId="4AE02CE5" w:rsidR="00622F3E" w:rsidRDefault="00675C53" w:rsidP="00622F3E">
      <w:pPr>
        <w:pStyle w:val="Paragraph"/>
      </w:pPr>
      <w:r>
        <w:t>We remain of the view to</w:t>
      </w:r>
      <w:r w:rsidR="00377EF4">
        <w:t xml:space="preserve"> </w:t>
      </w:r>
      <w:r w:rsidR="00622F3E">
        <w:t xml:space="preserve">allocate the spectrum in 5 MHz paired lots. </w:t>
      </w:r>
      <w:r w:rsidR="00462472">
        <w:t>T</w:t>
      </w:r>
      <w:r w:rsidR="00622F3E">
        <w:t>he</w:t>
      </w:r>
      <w:r w:rsidR="002134BC">
        <w:t xml:space="preserve"> proposed</w:t>
      </w:r>
      <w:r w:rsidR="00622F3E">
        <w:t xml:space="preserve"> lower lot in the 900 MHz band</w:t>
      </w:r>
      <w:r w:rsidR="00752918">
        <w:t xml:space="preserve"> (890</w:t>
      </w:r>
      <w:r w:rsidR="00EE061F">
        <w:t>–</w:t>
      </w:r>
      <w:r w:rsidR="00752918">
        <w:t>895</w:t>
      </w:r>
      <w:r w:rsidR="00377EF4">
        <w:t> </w:t>
      </w:r>
      <w:r w:rsidR="00752918">
        <w:t>MHz paired with 935</w:t>
      </w:r>
      <w:r w:rsidR="00EE061F">
        <w:t>–</w:t>
      </w:r>
      <w:r w:rsidR="00752918">
        <w:t>940 MHz)</w:t>
      </w:r>
      <w:r w:rsidR="00622F3E">
        <w:t xml:space="preserve"> </w:t>
      </w:r>
      <w:r w:rsidR="00BD3A2F">
        <w:t xml:space="preserve">would </w:t>
      </w:r>
      <w:r w:rsidR="0086176D">
        <w:t xml:space="preserve">also </w:t>
      </w:r>
      <w:r w:rsidR="00381DC1">
        <w:t xml:space="preserve">be allocated with </w:t>
      </w:r>
      <w:r w:rsidR="00D372E7">
        <w:t xml:space="preserve">an </w:t>
      </w:r>
      <w:r w:rsidR="00622F3E">
        <w:t xml:space="preserve">additional 2 x 1 MHz </w:t>
      </w:r>
      <w:r w:rsidR="00DF6C39">
        <w:t xml:space="preserve">lot </w:t>
      </w:r>
      <w:r w:rsidR="00130B22">
        <w:t>of spectrum</w:t>
      </w:r>
      <w:r w:rsidR="00D1571F">
        <w:t xml:space="preserve"> (824</w:t>
      </w:r>
      <w:r w:rsidR="00EE061F">
        <w:t>–</w:t>
      </w:r>
      <w:r w:rsidR="00D1571F">
        <w:t>825 MHz paired with 869</w:t>
      </w:r>
      <w:r w:rsidR="00EE061F">
        <w:t>–</w:t>
      </w:r>
      <w:r w:rsidR="00D1571F">
        <w:t>870 MHz)</w:t>
      </w:r>
      <w:r w:rsidR="00B11BCA">
        <w:t xml:space="preserve">. </w:t>
      </w:r>
      <w:r w:rsidR="00EE061F">
        <w:t>We</w:t>
      </w:r>
      <w:r w:rsidR="00622F3E">
        <w:t xml:space="preserve"> propose that </w:t>
      </w:r>
      <w:r w:rsidR="00A85096">
        <w:t xml:space="preserve">each </w:t>
      </w:r>
      <w:r w:rsidR="00622F3E">
        <w:t>lot</w:t>
      </w:r>
      <w:r w:rsidR="00A85096">
        <w:t xml:space="preserve"> </w:t>
      </w:r>
      <w:r w:rsidR="00622F3E">
        <w:t xml:space="preserve">offered </w:t>
      </w:r>
      <w:r w:rsidR="00772805">
        <w:t xml:space="preserve">should </w:t>
      </w:r>
      <w:r w:rsidR="00622F3E">
        <w:t>cover the whole of Australia</w:t>
      </w:r>
      <w:r w:rsidR="00EE061F">
        <w:t>,</w:t>
      </w:r>
      <w:r w:rsidR="00711A5F">
        <w:t xml:space="preserve"> excluding the </w:t>
      </w:r>
      <w:r w:rsidR="00441D70">
        <w:t>RQZ.</w:t>
      </w:r>
    </w:p>
    <w:p w14:paraId="1F83713B" w14:textId="5496DC02" w:rsidR="00622F3E" w:rsidRDefault="00EE061F" w:rsidP="00622F3E">
      <w:pPr>
        <w:pStyle w:val="Paragraph"/>
      </w:pPr>
      <w:r>
        <w:t xml:space="preserve">We </w:t>
      </w:r>
      <w:r w:rsidR="00EC6184">
        <w:t xml:space="preserve">remain of the view that </w:t>
      </w:r>
      <w:r w:rsidR="00622F3E">
        <w:t>the</w:t>
      </w:r>
      <w:r w:rsidR="00622F3E" w:rsidRPr="00201C2E">
        <w:t xml:space="preserve"> current configuration is not conducive to optimally efficient carriage of 4G or 5G services, </w:t>
      </w:r>
      <w:r w:rsidR="00622F3E">
        <w:t>and r</w:t>
      </w:r>
      <w:r w:rsidR="00622F3E" w:rsidRPr="00201C2E">
        <w:t>econfiguration of the band into 5 MHz paired lots represents the most efficient configuration for the band.</w:t>
      </w:r>
      <w:r w:rsidR="00622F3E" w:rsidRPr="00C51BBB">
        <w:t xml:space="preserve"> </w:t>
      </w:r>
      <w:r w:rsidR="00622F3E">
        <w:t>5 MHz paired lots w</w:t>
      </w:r>
      <w:r w:rsidR="00622F3E" w:rsidRPr="00C51BBB">
        <w:t xml:space="preserve">ould provide flexibility for bidders to obtain </w:t>
      </w:r>
      <w:r w:rsidR="00BD3A2F">
        <w:t>small quantities of spectrum</w:t>
      </w:r>
      <w:r w:rsidR="00622F3E" w:rsidRPr="00C51BBB">
        <w:t xml:space="preserve"> and would enable consolidation into larger holdings if desired.</w:t>
      </w:r>
      <w:r w:rsidR="00622F3E">
        <w:t xml:space="preserve"> The addition of the </w:t>
      </w:r>
      <w:r w:rsidR="00B11BCA">
        <w:t>2 x 1 </w:t>
      </w:r>
      <w:r w:rsidR="00622F3E">
        <w:t xml:space="preserve">MHz </w:t>
      </w:r>
      <w:r w:rsidR="00130B22">
        <w:t xml:space="preserve">of spectrum </w:t>
      </w:r>
      <w:r w:rsidR="00A85096">
        <w:t xml:space="preserve">attached </w:t>
      </w:r>
      <w:r w:rsidR="00622F3E">
        <w:t>to the lower 900 MHz lot w</w:t>
      </w:r>
      <w:r w:rsidR="00F94A9A">
        <w:t xml:space="preserve">ill </w:t>
      </w:r>
      <w:r w:rsidR="00622F3E">
        <w:t xml:space="preserve">potentially assist </w:t>
      </w:r>
      <w:r w:rsidR="00622F3E" w:rsidRPr="00C51BBB">
        <w:t xml:space="preserve">negotiations </w:t>
      </w:r>
      <w:r w:rsidR="00885181">
        <w:t xml:space="preserve">between the licensee of the lower </w:t>
      </w:r>
      <w:r w:rsidR="00A3278A">
        <w:t xml:space="preserve">900 MHz </w:t>
      </w:r>
      <w:r w:rsidR="00885181">
        <w:t>lot and</w:t>
      </w:r>
      <w:r w:rsidR="00885181" w:rsidRPr="00C51BBB">
        <w:t xml:space="preserve"> </w:t>
      </w:r>
      <w:r w:rsidR="00D45D8C">
        <w:t xml:space="preserve">adjacent </w:t>
      </w:r>
      <w:r w:rsidR="00622F3E" w:rsidRPr="00C51BBB">
        <w:t>850 MHz</w:t>
      </w:r>
      <w:r w:rsidR="00D45D8C">
        <w:t xml:space="preserve"> band</w:t>
      </w:r>
      <w:r w:rsidR="00622F3E" w:rsidRPr="00C51BBB">
        <w:t xml:space="preserve"> spectrum licensees</w:t>
      </w:r>
      <w:r w:rsidR="00D35E73">
        <w:t xml:space="preserve"> (frequency ranges 825</w:t>
      </w:r>
      <w:r>
        <w:t>–</w:t>
      </w:r>
      <w:r w:rsidR="00D35E73">
        <w:t>845 MHz and 870</w:t>
      </w:r>
      <w:r>
        <w:t>–</w:t>
      </w:r>
      <w:r w:rsidR="00D35E73">
        <w:t>890 MHz)</w:t>
      </w:r>
      <w:r w:rsidR="004A0CB0">
        <w:t xml:space="preserve"> to </w:t>
      </w:r>
      <w:r w:rsidR="00E2421E">
        <w:t xml:space="preserve">achieve </w:t>
      </w:r>
      <w:r w:rsidR="00130B22">
        <w:t>a timely</w:t>
      </w:r>
      <w:r w:rsidR="00130B22" w:rsidRPr="00C51BBB">
        <w:t xml:space="preserve"> </w:t>
      </w:r>
      <w:r w:rsidR="00622F3E" w:rsidRPr="00C51BBB">
        <w:t>downshift</w:t>
      </w:r>
      <w:r w:rsidR="00E2421E" w:rsidRPr="00733510">
        <w:t xml:space="preserve"> of the 850 MHz</w:t>
      </w:r>
      <w:r w:rsidR="00AD7FBF" w:rsidRPr="00733510">
        <w:t xml:space="preserve"> spectrum licences </w:t>
      </w:r>
      <w:r w:rsidR="00AD5734">
        <w:t>and</w:t>
      </w:r>
      <w:r w:rsidR="00FB2886">
        <w:t xml:space="preserve"> therefore</w:t>
      </w:r>
      <w:r w:rsidR="00AD5734" w:rsidRPr="00733510">
        <w:t xml:space="preserve"> </w:t>
      </w:r>
      <w:r w:rsidR="00AD7FBF">
        <w:t>in</w:t>
      </w:r>
      <w:r w:rsidR="00AD7FBF" w:rsidRPr="00733510">
        <w:t xml:space="preserve">crease the usability of the lower </w:t>
      </w:r>
      <w:r w:rsidR="00AD7FBF" w:rsidRPr="00733510">
        <w:lastRenderedPageBreak/>
        <w:t>segment in the 900 MHZ band</w:t>
      </w:r>
      <w:r w:rsidR="00622F3E">
        <w:t>.</w:t>
      </w:r>
      <w:r w:rsidR="004A0CB0">
        <w:t xml:space="preserve"> This is discussed in greater detail in the </w:t>
      </w:r>
      <w:r w:rsidR="005352CF">
        <w:rPr>
          <w:i/>
          <w:iCs/>
        </w:rPr>
        <w:t xml:space="preserve">Future use </w:t>
      </w:r>
      <w:r w:rsidR="004A0CB0">
        <w:t>section</w:t>
      </w:r>
      <w:r w:rsidR="005352CF">
        <w:t xml:space="preserve"> of this paper. </w:t>
      </w:r>
      <w:r w:rsidR="004A0CB0">
        <w:t xml:space="preserve"> </w:t>
      </w:r>
    </w:p>
    <w:p w14:paraId="08BBE3D9" w14:textId="77D5973A" w:rsidR="00D4050C" w:rsidRDefault="00D4050C" w:rsidP="003B6140">
      <w:pPr>
        <w:pStyle w:val="Heading3"/>
      </w:pPr>
      <w:r>
        <w:t>Licence term</w:t>
      </w:r>
    </w:p>
    <w:p w14:paraId="38E69339" w14:textId="4AF3F90C" w:rsidR="00B03A9B" w:rsidRDefault="00EE061F" w:rsidP="000B643A">
      <w:pPr>
        <w:pStyle w:val="Paragraph"/>
      </w:pPr>
      <w:r>
        <w:t>Our</w:t>
      </w:r>
      <w:r w:rsidR="00C51BBB" w:rsidRPr="00C51BBB">
        <w:t xml:space="preserve"> preferred view is to allocate spectrum licences in the 850/900</w:t>
      </w:r>
      <w:r w:rsidR="00130B22">
        <w:t> </w:t>
      </w:r>
      <w:r w:rsidR="00C51BBB" w:rsidRPr="00C51BBB">
        <w:t xml:space="preserve">MHz band for </w:t>
      </w:r>
      <w:r w:rsidR="00C51BBB">
        <w:t>a</w:t>
      </w:r>
      <w:r w:rsidR="00C51BBB" w:rsidRPr="00C51BBB">
        <w:t xml:space="preserve"> term of 15 years</w:t>
      </w:r>
      <w:r w:rsidR="00C51BBB">
        <w:t xml:space="preserve"> (the maximum term permitted under </w:t>
      </w:r>
      <w:r w:rsidR="00D33D1A">
        <w:t>the Act</w:t>
      </w:r>
      <w:r w:rsidR="00C51BBB">
        <w:t>)</w:t>
      </w:r>
      <w:r w:rsidR="00C51BBB" w:rsidRPr="00C51BBB">
        <w:t xml:space="preserve">, </w:t>
      </w:r>
      <w:r w:rsidR="00711A5F" w:rsidRPr="00C51BBB">
        <w:t xml:space="preserve">with the exception </w:t>
      </w:r>
      <w:r w:rsidR="00711A5F">
        <w:t>of the</w:t>
      </w:r>
      <w:r w:rsidR="00711A5F" w:rsidRPr="00C51BBB">
        <w:t xml:space="preserve"> 2 x 1 MHz </w:t>
      </w:r>
      <w:r w:rsidR="00105712">
        <w:t xml:space="preserve">lot </w:t>
      </w:r>
      <w:r w:rsidR="00711A5F">
        <w:t>of spectrum proposed to be allocated with the</w:t>
      </w:r>
      <w:r w:rsidR="00711A5F" w:rsidRPr="00130B22">
        <w:t xml:space="preserve"> lower </w:t>
      </w:r>
      <w:r w:rsidRPr="00130B22">
        <w:t>900</w:t>
      </w:r>
      <w:r>
        <w:t> </w:t>
      </w:r>
      <w:r w:rsidR="00711A5F" w:rsidRPr="00130B22">
        <w:t>MHz lot</w:t>
      </w:r>
      <w:r w:rsidR="003239F3">
        <w:t>. That spectrum</w:t>
      </w:r>
      <w:r w:rsidR="00C51BBB" w:rsidRPr="00C51BBB" w:rsidDel="003239F3">
        <w:t xml:space="preserve"> </w:t>
      </w:r>
      <w:r w:rsidR="00130B22">
        <w:t>is proposed to</w:t>
      </w:r>
      <w:r w:rsidR="00130B22" w:rsidRPr="00C51BBB">
        <w:t xml:space="preserve"> </w:t>
      </w:r>
      <w:r w:rsidR="00C51BBB" w:rsidRPr="00C51BBB">
        <w:t xml:space="preserve">be </w:t>
      </w:r>
      <w:r w:rsidR="00C51BBB">
        <w:t>allocated</w:t>
      </w:r>
      <w:r w:rsidR="00C51BBB" w:rsidRPr="00C51BBB">
        <w:t xml:space="preserve"> for a term of approximately seven years</w:t>
      </w:r>
      <w:r>
        <w:t>—</w:t>
      </w:r>
      <w:r w:rsidR="00A85096">
        <w:t>ending on 17 June</w:t>
      </w:r>
      <w:r w:rsidR="00441D70">
        <w:t xml:space="preserve"> 2028</w:t>
      </w:r>
      <w:r>
        <w:t>—</w:t>
      </w:r>
      <w:r w:rsidR="007707F5">
        <w:t xml:space="preserve">to provide a common expiry date with the adjacent </w:t>
      </w:r>
      <w:r>
        <w:t>850 </w:t>
      </w:r>
      <w:r w:rsidR="007707F5">
        <w:t>MHz band spectrum licences.</w:t>
      </w:r>
      <w:r w:rsidR="002B1C50">
        <w:t xml:space="preserve"> </w:t>
      </w:r>
      <w:r w:rsidR="00C51BBB" w:rsidRPr="00C51BBB">
        <w:t xml:space="preserve">This would allow </w:t>
      </w:r>
      <w:r>
        <w:t>us</w:t>
      </w:r>
      <w:r w:rsidR="00C51BBB" w:rsidRPr="00C51BBB">
        <w:t xml:space="preserve"> to facilitate the downshift </w:t>
      </w:r>
      <w:r w:rsidR="00130B22">
        <w:t xml:space="preserve">of </w:t>
      </w:r>
      <w:r w:rsidRPr="00130B22">
        <w:t>850</w:t>
      </w:r>
      <w:r>
        <w:t> </w:t>
      </w:r>
      <w:r w:rsidR="00130B22" w:rsidRPr="00130B22">
        <w:t>MHz spectrum</w:t>
      </w:r>
      <w:r w:rsidR="00130B22">
        <w:t xml:space="preserve"> </w:t>
      </w:r>
      <w:r w:rsidR="007707F5" w:rsidRPr="00130B22">
        <w:t>licen</w:t>
      </w:r>
      <w:r w:rsidR="007707F5">
        <w:t>c</w:t>
      </w:r>
      <w:r w:rsidR="007707F5" w:rsidRPr="00130B22">
        <w:t>e</w:t>
      </w:r>
      <w:r w:rsidR="007707F5">
        <w:t>s</w:t>
      </w:r>
      <w:r w:rsidR="007707F5" w:rsidRPr="00130B22">
        <w:t xml:space="preserve"> </w:t>
      </w:r>
      <w:r w:rsidR="00C51BBB" w:rsidRPr="00C51BBB">
        <w:t xml:space="preserve">at </w:t>
      </w:r>
      <w:r w:rsidR="007707F5">
        <w:t xml:space="preserve">expiry if </w:t>
      </w:r>
      <w:r w:rsidR="000D365A">
        <w:t xml:space="preserve">it </w:t>
      </w:r>
      <w:r w:rsidR="00C51BBB" w:rsidRPr="00C51BBB">
        <w:t>is not achieved earlier.</w:t>
      </w:r>
    </w:p>
    <w:p w14:paraId="042F8E79" w14:textId="049AF9EE" w:rsidR="0006375A" w:rsidRDefault="00ED6A21" w:rsidP="000B643A">
      <w:pPr>
        <w:pStyle w:val="Paragraph"/>
      </w:pPr>
      <w:r>
        <w:t xml:space="preserve">We </w:t>
      </w:r>
      <w:r w:rsidR="00B62DBA">
        <w:t xml:space="preserve">further </w:t>
      </w:r>
      <w:r>
        <w:t>propose</w:t>
      </w:r>
      <w:r w:rsidR="0006375A">
        <w:t xml:space="preserve"> that </w:t>
      </w:r>
      <w:r w:rsidR="0006375A" w:rsidRPr="00985CDB">
        <w:t xml:space="preserve">spectrum licences in the 850 MHz expansion band commence at the end of the </w:t>
      </w:r>
      <w:r w:rsidR="00DA3182">
        <w:t>re</w:t>
      </w:r>
      <w:r w:rsidR="00DA3182">
        <w:noBreakHyphen/>
        <w:t>allocation</w:t>
      </w:r>
      <w:r w:rsidR="0006375A" w:rsidRPr="00985CDB">
        <w:t xml:space="preserve"> period, on 1 July 2024; and spectrum licences in the 900 MHz band and downshift frequencies commence as soon as possible after the allocation process is complete.</w:t>
      </w:r>
    </w:p>
    <w:p w14:paraId="3AE14962" w14:textId="1305BB3D" w:rsidR="00D4050C" w:rsidRDefault="00D4050C" w:rsidP="003B6140">
      <w:pPr>
        <w:pStyle w:val="Heading3"/>
      </w:pPr>
      <w:r>
        <w:t>Allocation methodology</w:t>
      </w:r>
    </w:p>
    <w:p w14:paraId="5DECC4E9" w14:textId="1BCAE904" w:rsidR="00D4050C" w:rsidRDefault="00EE061F" w:rsidP="00952B1E">
      <w:pPr>
        <w:pStyle w:val="Paragraph"/>
      </w:pPr>
      <w:r>
        <w:t>We are</w:t>
      </w:r>
      <w:r w:rsidR="00D4050C">
        <w:t xml:space="preserve"> considering a </w:t>
      </w:r>
      <w:r w:rsidR="00FE14D9">
        <w:t xml:space="preserve">range </w:t>
      </w:r>
      <w:r w:rsidR="00D4050C">
        <w:t xml:space="preserve">of methodologies for the allocation of spectrum in the 850/900 MHz band. </w:t>
      </w:r>
      <w:r>
        <w:t xml:space="preserve">Our </w:t>
      </w:r>
      <w:r w:rsidR="002915F4">
        <w:t xml:space="preserve">preferred option is </w:t>
      </w:r>
      <w:r w:rsidR="0086176D">
        <w:t xml:space="preserve">a </w:t>
      </w:r>
      <w:r w:rsidR="002915F4">
        <w:t>sealed bid combinatorial auction format</w:t>
      </w:r>
      <w:r w:rsidR="00952B1E">
        <w:t xml:space="preserve"> using a pay-your-bid pricing (first-price) rule</w:t>
      </w:r>
      <w:r w:rsidR="002915F4">
        <w:t>.</w:t>
      </w:r>
    </w:p>
    <w:p w14:paraId="3DAD70BE" w14:textId="7328ABEE" w:rsidR="00A527DB" w:rsidRDefault="00A527DB" w:rsidP="003B6140">
      <w:pPr>
        <w:pStyle w:val="Heading3"/>
      </w:pPr>
      <w:r>
        <w:t xml:space="preserve">Spectrum for </w:t>
      </w:r>
      <w:r w:rsidRPr="00A527DB">
        <w:t>deploying a public safety mobile broadband network</w:t>
      </w:r>
    </w:p>
    <w:p w14:paraId="77037B37" w14:textId="77105E7F" w:rsidR="00525A2A" w:rsidRPr="000B643A" w:rsidRDefault="003B6140" w:rsidP="00525A2A">
      <w:pPr>
        <w:pStyle w:val="Paragraph"/>
      </w:pPr>
      <w:r>
        <w:t>We n</w:t>
      </w:r>
      <w:r w:rsidR="00EE061F">
        <w:t>ote that s</w:t>
      </w:r>
      <w:r w:rsidR="00525A2A" w:rsidRPr="000B643A">
        <w:t xml:space="preserve">ubject to </w:t>
      </w:r>
      <w:r w:rsidR="00525A2A" w:rsidRPr="00A527DB">
        <w:t xml:space="preserve">Council of Australian Governments </w:t>
      </w:r>
      <w:r w:rsidR="00525A2A" w:rsidRPr="000B643A">
        <w:t xml:space="preserve">discussions and further decisions on the matter, </w:t>
      </w:r>
      <w:r w:rsidR="00525A2A">
        <w:t xml:space="preserve">the Minister may decide that </w:t>
      </w:r>
      <w:r w:rsidR="00525A2A" w:rsidRPr="000B643A">
        <w:t>2</w:t>
      </w:r>
      <w:r w:rsidR="00651651">
        <w:t> </w:t>
      </w:r>
      <w:r w:rsidR="00525A2A" w:rsidRPr="000B643A">
        <w:t>x</w:t>
      </w:r>
      <w:r w:rsidR="00651651">
        <w:t> </w:t>
      </w:r>
      <w:r w:rsidR="00525A2A" w:rsidRPr="000B643A">
        <w:t xml:space="preserve">5 MHz of spectrum in the 850 MHz expansion band be </w:t>
      </w:r>
      <w:r w:rsidR="00525A2A">
        <w:t xml:space="preserve">held back from the </w:t>
      </w:r>
      <w:r w:rsidR="00DA3182">
        <w:t>re</w:t>
      </w:r>
      <w:r w:rsidR="00DA3182">
        <w:noBreakHyphen/>
        <w:t>allocation</w:t>
      </w:r>
      <w:r w:rsidR="00525A2A">
        <w:t xml:space="preserve"> process </w:t>
      </w:r>
      <w:r w:rsidR="00525A2A" w:rsidRPr="000B643A">
        <w:t>for the purposes of deploying a public safety mobile broadband network.</w:t>
      </w:r>
    </w:p>
    <w:p w14:paraId="79D3CFF5" w14:textId="77777777" w:rsidR="00116919" w:rsidRDefault="00116919" w:rsidP="000B643A">
      <w:pPr>
        <w:pStyle w:val="Paragraph"/>
      </w:pPr>
    </w:p>
    <w:p w14:paraId="5D558B97" w14:textId="0B8DB263" w:rsidR="00715722" w:rsidRDefault="00C64100" w:rsidP="00BF65C4">
      <w:pPr>
        <w:pStyle w:val="Heading1"/>
      </w:pPr>
      <w:bookmarkStart w:id="4" w:name="_Toc40175634"/>
      <w:r>
        <w:lastRenderedPageBreak/>
        <w:t>Introduction</w:t>
      </w:r>
      <w:bookmarkEnd w:id="4"/>
    </w:p>
    <w:p w14:paraId="51E3F1D5" w14:textId="7B552FD8" w:rsidR="00A2164A" w:rsidRDefault="00A2164A" w:rsidP="00A2164A">
      <w:r w:rsidRPr="006826DB">
        <w:t xml:space="preserve">The </w:t>
      </w:r>
      <w:r w:rsidR="00377EF4">
        <w:t xml:space="preserve">wider </w:t>
      </w:r>
      <w:r w:rsidRPr="006826DB">
        <w:t>800 MHz</w:t>
      </w:r>
      <w:r w:rsidR="00DC7302">
        <w:t xml:space="preserve"> (frequency range 803</w:t>
      </w:r>
      <w:r w:rsidR="00EE061F">
        <w:t>–</w:t>
      </w:r>
      <w:r w:rsidR="00DC7302">
        <w:t>890 MHz)</w:t>
      </w:r>
      <w:r w:rsidRPr="006826DB">
        <w:t xml:space="preserve"> and 900 MHz</w:t>
      </w:r>
      <w:r w:rsidR="00DC7302">
        <w:t xml:space="preserve"> (</w:t>
      </w:r>
      <w:r w:rsidR="00067BAE">
        <w:t xml:space="preserve">frequency range </w:t>
      </w:r>
      <w:r w:rsidR="00DC7302">
        <w:t>890</w:t>
      </w:r>
      <w:r w:rsidR="00EE061F">
        <w:t>–</w:t>
      </w:r>
      <w:r w:rsidR="00DC7302">
        <w:t>960 MHz)</w:t>
      </w:r>
      <w:r w:rsidRPr="006826DB">
        <w:t xml:space="preserve"> bands</w:t>
      </w:r>
      <w:r w:rsidR="00DC7302">
        <w:t xml:space="preserve"> </w:t>
      </w:r>
      <w:r w:rsidRPr="006826DB">
        <w:t xml:space="preserve">accommodate a range of services and technologies. </w:t>
      </w:r>
      <w:r w:rsidR="00A84293">
        <w:t>T</w:t>
      </w:r>
      <w:r w:rsidRPr="006826DB">
        <w:t xml:space="preserve">hey are </w:t>
      </w:r>
      <w:r w:rsidR="001F09F8">
        <w:t xml:space="preserve">very attractive </w:t>
      </w:r>
      <w:r w:rsidRPr="006826DB">
        <w:t xml:space="preserve">for </w:t>
      </w:r>
      <w:proofErr w:type="gramStart"/>
      <w:r>
        <w:t xml:space="preserve">a </w:t>
      </w:r>
      <w:r w:rsidR="005258D7">
        <w:t xml:space="preserve">number </w:t>
      </w:r>
      <w:r>
        <w:t>of</w:t>
      </w:r>
      <w:proofErr w:type="gramEnd"/>
      <w:r>
        <w:t xml:space="preserve"> services, including </w:t>
      </w:r>
      <w:r w:rsidR="00752918">
        <w:t>mobile broadband services</w:t>
      </w:r>
      <w:r w:rsidR="00B12186">
        <w:t xml:space="preserve">, because </w:t>
      </w:r>
      <w:r>
        <w:t xml:space="preserve">the propagation characteristics of these frequencies </w:t>
      </w:r>
      <w:r w:rsidR="001F09F8">
        <w:t>facilitate relatively wide coverage areas. Th</w:t>
      </w:r>
      <w:r w:rsidR="00E3079B">
        <w:t>e</w:t>
      </w:r>
      <w:r w:rsidR="001F09F8">
        <w:t>s</w:t>
      </w:r>
      <w:r w:rsidR="00E3079B">
        <w:t>e characteristics</w:t>
      </w:r>
      <w:r w:rsidR="001F09F8">
        <w:t xml:space="preserve"> allow a balance </w:t>
      </w:r>
      <w:r>
        <w:t>between cell sizes (which is relevant to capital expenditure on networks) and the amount of capacity that can be delivered to consumers within a given geographic area</w:t>
      </w:r>
      <w:r w:rsidRPr="006826DB">
        <w:t xml:space="preserve">. </w:t>
      </w:r>
      <w:r w:rsidR="002134BC">
        <w:t>The bands</w:t>
      </w:r>
      <w:r>
        <w:t xml:space="preserve"> are part of </w:t>
      </w:r>
      <w:proofErr w:type="gramStart"/>
      <w:r>
        <w:t>a number of</w:t>
      </w:r>
      <w:proofErr w:type="gramEnd"/>
      <w:r>
        <w:t xml:space="preserve"> sub-</w:t>
      </w:r>
      <w:r w:rsidR="00067BAE">
        <w:t>1</w:t>
      </w:r>
      <w:r w:rsidR="00075424">
        <w:t> </w:t>
      </w:r>
      <w:r>
        <w:t xml:space="preserve">GHz bands that are </w:t>
      </w:r>
      <w:r w:rsidR="00B12186">
        <w:t xml:space="preserve">internationally </w:t>
      </w:r>
      <w:r w:rsidRPr="006826DB">
        <w:t xml:space="preserve">harmonised for </w:t>
      </w:r>
      <w:r w:rsidR="001F09F8">
        <w:t>mobile broadband services.</w:t>
      </w:r>
      <w:r w:rsidR="00752918">
        <w:rPr>
          <w:rStyle w:val="FootnoteReference"/>
        </w:rPr>
        <w:footnoteReference w:id="2"/>
      </w:r>
      <w:r w:rsidR="001F09F8">
        <w:t xml:space="preserve"> </w:t>
      </w:r>
    </w:p>
    <w:p w14:paraId="545B4214" w14:textId="0770F166" w:rsidR="00A2164A" w:rsidRDefault="00E3079B" w:rsidP="004D62D0">
      <w:pPr>
        <w:pStyle w:val="Paragraph"/>
      </w:pPr>
      <w:r>
        <w:t>I</w:t>
      </w:r>
      <w:r w:rsidR="007C1D93">
        <w:t xml:space="preserve">n November 2015, </w:t>
      </w:r>
      <w:r w:rsidR="007E46C6">
        <w:t>we</w:t>
      </w:r>
      <w:r w:rsidR="00A2164A">
        <w:t xml:space="preserve"> released </w:t>
      </w:r>
      <w:hyperlink r:id="rId25" w:history="1">
        <w:r w:rsidR="00A2164A">
          <w:rPr>
            <w:rStyle w:val="Hyperlink"/>
            <w:i/>
          </w:rPr>
          <w:t>The ACMA’s long-term strategy for the 803-960 MHz band</w:t>
        </w:r>
      </w:hyperlink>
      <w:r w:rsidR="00A2164A">
        <w:t xml:space="preserve"> (the </w:t>
      </w:r>
      <w:r w:rsidR="00A2164A" w:rsidRPr="00C5549B">
        <w:t>long</w:t>
      </w:r>
      <w:r w:rsidR="0024400B">
        <w:t>-</w:t>
      </w:r>
      <w:r w:rsidR="00A2164A" w:rsidRPr="00C5549B">
        <w:t>term strategy),</w:t>
      </w:r>
      <w:r w:rsidR="00A2164A">
        <w:t xml:space="preserve"> which outlined a plan </w:t>
      </w:r>
      <w:r w:rsidR="00485298">
        <w:t>to</w:t>
      </w:r>
      <w:r w:rsidR="002134BC">
        <w:t xml:space="preserve"> clear the 850 MHz expansion band, and</w:t>
      </w:r>
      <w:r w:rsidR="00485298">
        <w:t xml:space="preserve"> </w:t>
      </w:r>
      <w:r w:rsidR="00B311AC">
        <w:t>flagged for fu</w:t>
      </w:r>
      <w:r w:rsidR="006E0F8E">
        <w:t xml:space="preserve">ture consideration the </w:t>
      </w:r>
      <w:r w:rsidR="00485298">
        <w:t>reconfigur</w:t>
      </w:r>
      <w:r w:rsidR="006E0F8E">
        <w:t>ation of</w:t>
      </w:r>
      <w:r w:rsidR="00485298">
        <w:t xml:space="preserve"> the 900</w:t>
      </w:r>
      <w:r w:rsidR="002E32FF">
        <w:t> </w:t>
      </w:r>
      <w:r w:rsidR="00485298">
        <w:t xml:space="preserve">MHz band to facilitate deployment of mobile broadband services. </w:t>
      </w:r>
      <w:r w:rsidR="00752918">
        <w:t xml:space="preserve">The </w:t>
      </w:r>
      <w:r w:rsidR="00B12186">
        <w:t>long</w:t>
      </w:r>
      <w:r w:rsidR="0024400B">
        <w:t>-</w:t>
      </w:r>
      <w:r w:rsidR="00B12186">
        <w:t xml:space="preserve">term strategy proposed that the </w:t>
      </w:r>
      <w:r w:rsidR="00752918">
        <w:t>frequency ranges 824</w:t>
      </w:r>
      <w:r w:rsidR="00EE061F">
        <w:t>–</w:t>
      </w:r>
      <w:r w:rsidR="00752918">
        <w:t>825</w:t>
      </w:r>
      <w:r w:rsidR="00DB7F3B">
        <w:t> </w:t>
      </w:r>
      <w:r w:rsidR="00752918">
        <w:t>MHz and 869</w:t>
      </w:r>
      <w:r w:rsidR="00EE061F">
        <w:t>–</w:t>
      </w:r>
      <w:r w:rsidR="00752918">
        <w:t>870</w:t>
      </w:r>
      <w:r w:rsidR="003E30D1">
        <w:t> </w:t>
      </w:r>
      <w:r w:rsidR="00752918">
        <w:t xml:space="preserve">MHz </w:t>
      </w:r>
      <w:r w:rsidR="004D62D0">
        <w:t>(</w:t>
      </w:r>
      <w:r w:rsidR="00D372E7">
        <w:t>2 </w:t>
      </w:r>
      <w:r w:rsidR="004D62D0">
        <w:t>x</w:t>
      </w:r>
      <w:r w:rsidR="00D372E7">
        <w:t> </w:t>
      </w:r>
      <w:r w:rsidR="004D62D0">
        <w:t>1</w:t>
      </w:r>
      <w:r w:rsidR="00F90FE0">
        <w:t> </w:t>
      </w:r>
      <w:r w:rsidR="004D62D0">
        <w:t xml:space="preserve">MHz) </w:t>
      </w:r>
      <w:r w:rsidR="00DC0D76">
        <w:t xml:space="preserve">would also be cleared, </w:t>
      </w:r>
      <w:r w:rsidR="007707F5">
        <w:t xml:space="preserve">to facilitate a future downshift of </w:t>
      </w:r>
      <w:r w:rsidR="00DC0D76">
        <w:t>the 8</w:t>
      </w:r>
      <w:r w:rsidR="007707F5">
        <w:t>5</w:t>
      </w:r>
      <w:r w:rsidR="00DC0D76">
        <w:t>0</w:t>
      </w:r>
      <w:r w:rsidR="003E30D1">
        <w:t> </w:t>
      </w:r>
      <w:r w:rsidR="00DC0D76">
        <w:t>MHz spectrum</w:t>
      </w:r>
      <w:r w:rsidR="00F4747B">
        <w:t>-</w:t>
      </w:r>
      <w:r w:rsidR="00DC0D76">
        <w:t>licensed band</w:t>
      </w:r>
      <w:r w:rsidR="00F4747B">
        <w:t xml:space="preserve"> to maximise the usability of spectrum in the 900</w:t>
      </w:r>
      <w:r w:rsidR="003E30D1">
        <w:t> </w:t>
      </w:r>
      <w:r w:rsidR="00F4747B">
        <w:t>MHz band</w:t>
      </w:r>
      <w:r w:rsidR="00067BAE">
        <w:t xml:space="preserve"> </w:t>
      </w:r>
      <w:r w:rsidR="000B5695">
        <w:t>(the downshift).</w:t>
      </w:r>
      <w:r w:rsidR="00DB7F3B">
        <w:t xml:space="preserve"> </w:t>
      </w:r>
      <w:r w:rsidR="000B5695">
        <w:t>The downshift would</w:t>
      </w:r>
      <w:r w:rsidR="003E30D1">
        <w:t xml:space="preserve"> align the 850 MHz </w:t>
      </w:r>
      <w:r w:rsidR="000D36EC">
        <w:t xml:space="preserve">spectrum-licensed </w:t>
      </w:r>
      <w:r w:rsidR="003E30D1">
        <w:t>band</w:t>
      </w:r>
      <w:r w:rsidR="000B5695">
        <w:t xml:space="preserve"> (</w:t>
      </w:r>
      <w:r w:rsidR="00067BAE">
        <w:t xml:space="preserve">frequency ranges </w:t>
      </w:r>
      <w:r w:rsidR="000B5695">
        <w:t>825</w:t>
      </w:r>
      <w:r w:rsidR="00EE061F">
        <w:t>–</w:t>
      </w:r>
      <w:r w:rsidR="000B5695">
        <w:t>845 MHz and 8</w:t>
      </w:r>
      <w:r w:rsidR="00C02BD4">
        <w:t>7</w:t>
      </w:r>
      <w:r w:rsidR="000B5695">
        <w:t>0</w:t>
      </w:r>
      <w:r w:rsidR="00EE061F">
        <w:t>–</w:t>
      </w:r>
      <w:r w:rsidR="000B5695">
        <w:t>8</w:t>
      </w:r>
      <w:r w:rsidR="00C02BD4">
        <w:t>9</w:t>
      </w:r>
      <w:r w:rsidR="000B5695">
        <w:t>0 MHz)</w:t>
      </w:r>
      <w:r w:rsidR="003E30D1">
        <w:t xml:space="preserve"> with internationally harmonised </w:t>
      </w:r>
      <w:r w:rsidR="003E30D1" w:rsidRPr="00AE6F93">
        <w:t>LTE</w:t>
      </w:r>
      <w:r w:rsidR="003E30D1">
        <w:t xml:space="preserve"> bands</w:t>
      </w:r>
      <w:r w:rsidR="00F4747B">
        <w:t>.</w:t>
      </w:r>
      <w:r w:rsidR="003F35BB">
        <w:t xml:space="preserve"> </w:t>
      </w:r>
    </w:p>
    <w:p w14:paraId="6A1DF020" w14:textId="5FCFA264" w:rsidR="000F6EA3" w:rsidRDefault="00491FFF" w:rsidP="004758FB">
      <w:pPr>
        <w:pStyle w:val="Paragraph"/>
      </w:pPr>
      <w:r>
        <w:t xml:space="preserve">In December 2019, </w:t>
      </w:r>
      <w:r w:rsidR="007E46C6">
        <w:t>we</w:t>
      </w:r>
      <w:r>
        <w:t xml:space="preserve"> released </w:t>
      </w:r>
      <w:bookmarkStart w:id="5" w:name="_Hlk33518729"/>
      <w:r>
        <w:t xml:space="preserve">the </w:t>
      </w:r>
      <w:hyperlink r:id="rId26" w:history="1">
        <w:r w:rsidR="000F6EA3" w:rsidRPr="00535B80">
          <w:rPr>
            <w:rStyle w:val="Hyperlink"/>
            <w:i/>
          </w:rPr>
          <w:t>Reconfiguring the 900 MHz band/Allocating the 850 MHz expansion band</w:t>
        </w:r>
      </w:hyperlink>
      <w:r w:rsidR="000F6EA3" w:rsidRPr="00535B80">
        <w:rPr>
          <w:i/>
        </w:rPr>
        <w:t xml:space="preserve"> </w:t>
      </w:r>
      <w:r w:rsidRPr="00535B80">
        <w:t>decision paper</w:t>
      </w:r>
      <w:bookmarkEnd w:id="5"/>
      <w:r w:rsidR="003F35BB">
        <w:t xml:space="preserve"> (</w:t>
      </w:r>
      <w:r w:rsidR="003F35BB" w:rsidRPr="00AE6F93">
        <w:t>the decision paper)</w:t>
      </w:r>
      <w:r w:rsidRPr="00AE6F93">
        <w:t>,</w:t>
      </w:r>
      <w:r>
        <w:t xml:space="preserve"> </w:t>
      </w:r>
      <w:r w:rsidR="00062620">
        <w:t>concluding</w:t>
      </w:r>
      <w:r w:rsidRPr="00D05460">
        <w:t xml:space="preserve"> its consideration of reform options to enable the reconfiguration of the 900</w:t>
      </w:r>
      <w:r>
        <w:t> MHz</w:t>
      </w:r>
      <w:r w:rsidRPr="0033263E">
        <w:t xml:space="preserve"> band. </w:t>
      </w:r>
      <w:r>
        <w:t>Reconfiguration of the 900 MHz band will enable it to be utilised for 4</w:t>
      </w:r>
      <w:r w:rsidRPr="000404A0">
        <w:t xml:space="preserve">G and 5G </w:t>
      </w:r>
      <w:r>
        <w:t xml:space="preserve">mobile broadband </w:t>
      </w:r>
      <w:r w:rsidRPr="000404A0">
        <w:t xml:space="preserve">services. </w:t>
      </w:r>
      <w:r w:rsidRPr="0003373A">
        <w:t xml:space="preserve">The current configuration is not conducive to optimally efficient carriage of 4G or 5G services, which means that large parts of the band are either not being used efficiently, or in some cases, </w:t>
      </w:r>
      <w:r w:rsidR="00085FCD">
        <w:t xml:space="preserve">not used </w:t>
      </w:r>
      <w:r w:rsidRPr="0003373A">
        <w:t>at all.</w:t>
      </w:r>
      <w:r w:rsidR="00DB4A01">
        <w:t xml:space="preserve"> </w:t>
      </w:r>
    </w:p>
    <w:bookmarkStart w:id="6" w:name="_Ref33187689"/>
    <w:p w14:paraId="1E3AEB20" w14:textId="6832A81D" w:rsidR="009F67DC" w:rsidRDefault="008E0D13" w:rsidP="00197222">
      <w:pPr>
        <w:pStyle w:val="Paragraphbeforelist"/>
      </w:pPr>
      <w:r>
        <w:fldChar w:fldCharType="begin"/>
      </w:r>
      <w:r>
        <w:instrText xml:space="preserve"> REF _Ref34902730 \r \h </w:instrText>
      </w:r>
      <w:r>
        <w:fldChar w:fldCharType="separate"/>
      </w:r>
      <w:r>
        <w:t>Figure 1</w:t>
      </w:r>
      <w:r>
        <w:fldChar w:fldCharType="end"/>
      </w:r>
      <w:r w:rsidR="009F67DC">
        <w:t xml:space="preserve"> identifies</w:t>
      </w:r>
      <w:r w:rsidR="00197222">
        <w:t xml:space="preserve"> the spectrum proposed for </w:t>
      </w:r>
      <w:r w:rsidR="00DA3182">
        <w:t>re</w:t>
      </w:r>
      <w:r w:rsidR="00DA3182">
        <w:noBreakHyphen/>
        <w:t>allocation</w:t>
      </w:r>
      <w:r w:rsidR="000F6EA3">
        <w:t>:</w:t>
      </w:r>
    </w:p>
    <w:p w14:paraId="34FA5C99" w14:textId="51806691" w:rsidR="009F67DC" w:rsidRPr="009F67DC" w:rsidRDefault="008F04FE" w:rsidP="009F67DC">
      <w:pPr>
        <w:pStyle w:val="Bulletlevel1"/>
      </w:pPr>
      <w:r>
        <w:t>t</w:t>
      </w:r>
      <w:r w:rsidR="009F67DC" w:rsidRPr="009F67DC">
        <w:t>he 850 MHz expansion band</w:t>
      </w:r>
      <w:r w:rsidR="00DC7302">
        <w:t xml:space="preserve"> (frequency ranges 809</w:t>
      </w:r>
      <w:r w:rsidR="00EE061F">
        <w:t>–</w:t>
      </w:r>
      <w:r w:rsidR="00DC7302">
        <w:t>824 MHz</w:t>
      </w:r>
      <w:r w:rsidR="00B050E7">
        <w:t xml:space="preserve"> and 854</w:t>
      </w:r>
      <w:r w:rsidR="00EE061F">
        <w:t>–</w:t>
      </w:r>
      <w:r w:rsidR="00B050E7">
        <w:t>869 MHz</w:t>
      </w:r>
      <w:r w:rsidR="00DC7302">
        <w:t>)</w:t>
      </w:r>
      <w:r w:rsidR="009F67DC" w:rsidRPr="009F67DC">
        <w:t>, in yellow</w:t>
      </w:r>
    </w:p>
    <w:p w14:paraId="7459EF2F" w14:textId="7AD21E9D" w:rsidR="008F04FE" w:rsidRPr="009F67DC" w:rsidRDefault="008F04FE" w:rsidP="00197222">
      <w:pPr>
        <w:pStyle w:val="Bulletlevel1"/>
      </w:pPr>
      <w:r>
        <w:t>t</w:t>
      </w:r>
      <w:r w:rsidR="009F67DC" w:rsidRPr="009F67DC">
        <w:t xml:space="preserve">he </w:t>
      </w:r>
      <w:r w:rsidR="00522468">
        <w:t xml:space="preserve">2 x 1 MHz </w:t>
      </w:r>
      <w:r w:rsidR="009F67DC" w:rsidRPr="009F67DC">
        <w:t xml:space="preserve">spectrum for </w:t>
      </w:r>
      <w:r w:rsidR="0010483B">
        <w:t xml:space="preserve">facilitating a future </w:t>
      </w:r>
      <w:r w:rsidR="009F67DC" w:rsidRPr="009F67DC">
        <w:t>downshift</w:t>
      </w:r>
      <w:r w:rsidR="003239F3">
        <w:t xml:space="preserve"> of adjacent spectrum licences</w:t>
      </w:r>
      <w:r w:rsidR="00DC7302">
        <w:t xml:space="preserve"> (frequency ranges 824</w:t>
      </w:r>
      <w:r w:rsidR="00EE061F">
        <w:t>–</w:t>
      </w:r>
      <w:r w:rsidR="00DC7302">
        <w:t>825 MHz and 869</w:t>
      </w:r>
      <w:r w:rsidR="00EE061F">
        <w:t>–</w:t>
      </w:r>
      <w:r w:rsidR="00DC7302">
        <w:t>870 MHz)</w:t>
      </w:r>
      <w:r w:rsidR="009F67DC" w:rsidRPr="009F67DC">
        <w:t>, in pink</w:t>
      </w:r>
      <w:r w:rsidR="00854515">
        <w:rPr>
          <w:rStyle w:val="FootnoteReference"/>
        </w:rPr>
        <w:footnoteReference w:id="3"/>
      </w:r>
    </w:p>
    <w:p w14:paraId="772AF753" w14:textId="5533E6F1" w:rsidR="007B2084" w:rsidRDefault="008F04FE" w:rsidP="00A71A72">
      <w:pPr>
        <w:pStyle w:val="Bulletlevel1last"/>
      </w:pPr>
      <w:r>
        <w:t>t</w:t>
      </w:r>
      <w:r w:rsidR="009F67DC" w:rsidRPr="009F67DC">
        <w:t>he 900 MHz band</w:t>
      </w:r>
      <w:r w:rsidR="00DC7302">
        <w:t xml:space="preserve"> (frequency ranges 890</w:t>
      </w:r>
      <w:r w:rsidR="00EE061F">
        <w:t>–</w:t>
      </w:r>
      <w:r w:rsidR="00B050E7">
        <w:t>915 MHz and 935</w:t>
      </w:r>
      <w:r w:rsidR="00EE061F">
        <w:t>–</w:t>
      </w:r>
      <w:r w:rsidR="00DC7302">
        <w:t>960 MHz)</w:t>
      </w:r>
      <w:r w:rsidR="009F67DC" w:rsidRPr="009F67DC">
        <w:t>, in green</w:t>
      </w:r>
      <w:r w:rsidR="004D62D0">
        <w:t>.</w:t>
      </w:r>
    </w:p>
    <w:p w14:paraId="03BF3440" w14:textId="0C046182" w:rsidR="009F67DC" w:rsidRPr="008F04FE" w:rsidRDefault="00197222" w:rsidP="00BD0CF0">
      <w:pPr>
        <w:pStyle w:val="ACMAFigureHeader"/>
        <w:keepNext/>
        <w:keepLines/>
      </w:pPr>
      <w:bookmarkStart w:id="7" w:name="_Ref34902730"/>
      <w:bookmarkEnd w:id="6"/>
      <w:r w:rsidRPr="00C5549B">
        <w:lastRenderedPageBreak/>
        <w:t>Spectrum</w:t>
      </w:r>
      <w:r>
        <w:t xml:space="preserve"> proposed for </w:t>
      </w:r>
      <w:bookmarkEnd w:id="7"/>
      <w:r w:rsidR="00DA3182">
        <w:t>re</w:t>
      </w:r>
      <w:r w:rsidR="00DA3182">
        <w:noBreakHyphen/>
        <w:t>allocation</w:t>
      </w:r>
    </w:p>
    <w:p w14:paraId="5944267B" w14:textId="4A2DEDC7" w:rsidR="009F67DC" w:rsidRDefault="00014875" w:rsidP="00BD0CF0">
      <w:pPr>
        <w:pStyle w:val="Paragraph"/>
        <w:keepNext/>
        <w:keepLines/>
        <w:spacing w:after="0"/>
      </w:pPr>
      <w:r>
        <w:rPr>
          <w:noProof/>
        </w:rPr>
        <w:drawing>
          <wp:inline distT="0" distB="0" distL="0" distR="0" wp14:anchorId="5F07CF19" wp14:editId="7A82BA07">
            <wp:extent cx="4963158" cy="1429230"/>
            <wp:effectExtent l="0" t="0" r="0" b="0"/>
            <wp:docPr id="5" name="Picture 5" descr="Diagram of the spectrum proposed for re-allocation, including the 850 MHz expansion band, the 900 MHz band and the downshift frequenc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21844" cy="1446130"/>
                    </a:xfrm>
                    <a:prstGeom prst="rect">
                      <a:avLst/>
                    </a:prstGeom>
                  </pic:spPr>
                </pic:pic>
              </a:graphicData>
            </a:graphic>
          </wp:inline>
        </w:drawing>
      </w:r>
    </w:p>
    <w:p w14:paraId="43B71386" w14:textId="139E222A" w:rsidR="007D6E4C" w:rsidRDefault="0024400B" w:rsidP="00BD0CF0">
      <w:pPr>
        <w:pStyle w:val="Tableorfigurenote"/>
        <w:keepNext/>
        <w:keepLines/>
      </w:pPr>
      <w:r>
        <w:t xml:space="preserve">Note: </w:t>
      </w:r>
      <w:r w:rsidR="007D6E4C">
        <w:t>Not to scale</w:t>
      </w:r>
    </w:p>
    <w:p w14:paraId="053ACAD4" w14:textId="7B825EB2" w:rsidR="00692D05" w:rsidRDefault="00692D05" w:rsidP="00BD0CF0">
      <w:pPr>
        <w:pStyle w:val="Heading2"/>
      </w:pPr>
      <w:bookmarkStart w:id="8" w:name="_Toc40175635"/>
      <w:r>
        <w:t>Combined allocation</w:t>
      </w:r>
      <w:bookmarkEnd w:id="8"/>
    </w:p>
    <w:p w14:paraId="2A39F674" w14:textId="34915A02" w:rsidR="00A11ABE" w:rsidRDefault="00A11ABE" w:rsidP="00BD0CF0">
      <w:pPr>
        <w:pStyle w:val="Paragraphbeforelist"/>
      </w:pPr>
      <w:r>
        <w:t xml:space="preserve">Due to the impending availability of the 850 MHz expansion band, its partial substitutability with the 900 MHz band, and international </w:t>
      </w:r>
      <w:r w:rsidR="00662FBE">
        <w:t xml:space="preserve">harmonisation </w:t>
      </w:r>
      <w:r>
        <w:t xml:space="preserve">of the band, </w:t>
      </w:r>
      <w:r w:rsidR="00EE061F">
        <w:t>we have</w:t>
      </w:r>
      <w:r>
        <w:t xml:space="preserve"> identified a unique opportunity to allocate the 850 MHz expansion band in the same allocation process as the 900 MHz band. </w:t>
      </w:r>
    </w:p>
    <w:p w14:paraId="6329F570" w14:textId="6464A08C" w:rsidR="004D62D0" w:rsidRDefault="007E46C6" w:rsidP="00EB0672">
      <w:pPr>
        <w:pStyle w:val="Paragraphbeforelist"/>
      </w:pPr>
      <w:r>
        <w:t>We</w:t>
      </w:r>
      <w:r w:rsidR="00742F23">
        <w:t xml:space="preserve"> </w:t>
      </w:r>
      <w:r>
        <w:t xml:space="preserve">consider </w:t>
      </w:r>
      <w:r w:rsidR="00742F23">
        <w:t>the</w:t>
      </w:r>
      <w:r w:rsidR="004D62D0">
        <w:t xml:space="preserve"> overall public benefit derived from the allocation and use of the 850/900 MHz </w:t>
      </w:r>
      <w:r w:rsidR="00EC3B8D">
        <w:t xml:space="preserve">band </w:t>
      </w:r>
      <w:r w:rsidR="004D62D0">
        <w:t>will be maximised by:</w:t>
      </w:r>
    </w:p>
    <w:p w14:paraId="05A84C86" w14:textId="3A67540D" w:rsidR="000F6EA3" w:rsidRDefault="00C5061F" w:rsidP="000F6EA3">
      <w:pPr>
        <w:pStyle w:val="ListBullet"/>
      </w:pPr>
      <w:r>
        <w:t>r</w:t>
      </w:r>
      <w:r w:rsidR="00A71A72">
        <w:t>e</w:t>
      </w:r>
      <w:r>
        <w:t>-</w:t>
      </w:r>
      <w:r w:rsidR="007B40D6">
        <w:t>a</w:t>
      </w:r>
      <w:r w:rsidR="00990D65">
        <w:t xml:space="preserve">llocating the 850 MHz expansion band, the 900 MHz band, and the downshift </w:t>
      </w:r>
      <w:r w:rsidR="00B940A3">
        <w:t>frequencies</w:t>
      </w:r>
      <w:r w:rsidR="002D2250">
        <w:t xml:space="preserve"> by issuing spectrum licences, in order</w:t>
      </w:r>
      <w:r w:rsidR="00C748CA">
        <w:t xml:space="preserve"> </w:t>
      </w:r>
      <w:r w:rsidR="000F6EA3">
        <w:t>to increase the amount of spectrum that can</w:t>
      </w:r>
      <w:r w:rsidR="00FE7BA9">
        <w:t xml:space="preserve"> be</w:t>
      </w:r>
      <w:r w:rsidR="000F6EA3">
        <w:t xml:space="preserve"> used to deliver mobile broadband services</w:t>
      </w:r>
    </w:p>
    <w:p w14:paraId="4AA1DAB4" w14:textId="1D670CA0" w:rsidR="000F6EA3" w:rsidRDefault="00C748CA" w:rsidP="004D62D0">
      <w:pPr>
        <w:pStyle w:val="ListBullet"/>
      </w:pPr>
      <w:r>
        <w:t xml:space="preserve">allocating </w:t>
      </w:r>
      <w:r w:rsidR="000F6EA3">
        <w:t xml:space="preserve">all 850/900 MHz band spectrum </w:t>
      </w:r>
      <w:r>
        <w:t>together</w:t>
      </w:r>
      <w:r w:rsidR="004D62D0">
        <w:t xml:space="preserve">, </w:t>
      </w:r>
      <w:r w:rsidR="000D36EC" w:rsidRPr="000D36EC">
        <w:t>as spectrum in the two bands is at least partially substitutable</w:t>
      </w:r>
      <w:r w:rsidR="00C5549B">
        <w:t>,</w:t>
      </w:r>
      <w:r w:rsidR="000D36EC" w:rsidRPr="000D36EC">
        <w:t xml:space="preserve"> and a combined allocation will enhance the efficiency of allocation and use of the spectrum by allowing for larger contiguous holdings </w:t>
      </w:r>
      <w:r w:rsidR="00C65347">
        <w:t>to be obtained</w:t>
      </w:r>
      <w:r w:rsidR="00C65347" w:rsidRPr="000D36EC">
        <w:t xml:space="preserve"> </w:t>
      </w:r>
      <w:r w:rsidR="000D36EC" w:rsidRPr="000D36EC">
        <w:t>in each band</w:t>
      </w:r>
    </w:p>
    <w:p w14:paraId="2122C9C2" w14:textId="38884FCF" w:rsidR="004758FB" w:rsidRDefault="000F6EA3" w:rsidP="002B1C50">
      <w:pPr>
        <w:pStyle w:val="Bulletlevel1last"/>
      </w:pPr>
      <w:r>
        <w:t>r</w:t>
      </w:r>
      <w:r w:rsidR="007B40D6">
        <w:t>emov</w:t>
      </w:r>
      <w:r>
        <w:t>ing</w:t>
      </w:r>
      <w:r w:rsidR="007B40D6">
        <w:t xml:space="preserve"> </w:t>
      </w:r>
      <w:r w:rsidR="0089357C">
        <w:t xml:space="preserve">the </w:t>
      </w:r>
      <w:r w:rsidR="007B40D6">
        <w:t>regulatory impediment to the introduction of</w:t>
      </w:r>
      <w:r w:rsidR="00032A52">
        <w:t xml:space="preserve"> a guard band between the 8</w:t>
      </w:r>
      <w:r w:rsidR="004758FB">
        <w:t>5</w:t>
      </w:r>
      <w:r w:rsidR="00032A52">
        <w:t xml:space="preserve">0 MHz </w:t>
      </w:r>
      <w:r w:rsidR="00A71A72">
        <w:t>spectrum</w:t>
      </w:r>
      <w:r w:rsidR="00522468">
        <w:t>-</w:t>
      </w:r>
      <w:r w:rsidR="00A71A72">
        <w:t xml:space="preserve">licensed band </w:t>
      </w:r>
      <w:r w:rsidR="00032A52">
        <w:t xml:space="preserve">and </w:t>
      </w:r>
      <w:r w:rsidR="00A71A72">
        <w:t xml:space="preserve">the proposed </w:t>
      </w:r>
      <w:r w:rsidR="00032A52">
        <w:t>900 MHz spectrum-licensed band</w:t>
      </w:r>
      <w:r w:rsidR="007B40D6">
        <w:t xml:space="preserve">. This </w:t>
      </w:r>
      <w:r w:rsidR="004758FB">
        <w:t xml:space="preserve">would </w:t>
      </w:r>
      <w:r w:rsidR="007B40D6">
        <w:t>occur</w:t>
      </w:r>
      <w:r w:rsidR="00032A52">
        <w:t xml:space="preserve"> after licences in the 8</w:t>
      </w:r>
      <w:r w:rsidR="004758FB">
        <w:t>5</w:t>
      </w:r>
      <w:r w:rsidR="00032A52">
        <w:t xml:space="preserve">0 MHz </w:t>
      </w:r>
      <w:r w:rsidR="00D82EE0">
        <w:t xml:space="preserve">spectrum-licensed </w:t>
      </w:r>
      <w:r w:rsidR="00032A52">
        <w:t>band have shifted down (</w:t>
      </w:r>
      <w:r w:rsidR="00C5549B">
        <w:t xml:space="preserve">see </w:t>
      </w:r>
      <w:r w:rsidR="008E0D13">
        <w:fldChar w:fldCharType="begin"/>
      </w:r>
      <w:r w:rsidR="008E0D13">
        <w:instrText xml:space="preserve"> REF _Ref34902775 \r \h </w:instrText>
      </w:r>
      <w:r w:rsidR="008E0D13">
        <w:fldChar w:fldCharType="separate"/>
      </w:r>
      <w:r w:rsidR="008E0D13">
        <w:t>Figure 2</w:t>
      </w:r>
      <w:r w:rsidR="008E0D13">
        <w:fldChar w:fldCharType="end"/>
      </w:r>
      <w:r w:rsidR="00032A52">
        <w:t xml:space="preserve">). </w:t>
      </w:r>
      <w:r w:rsidR="004C1099">
        <w:t>The addition of the 1 MHz guard band between the upper 8</w:t>
      </w:r>
      <w:r w:rsidR="004758FB">
        <w:t>5</w:t>
      </w:r>
      <w:r w:rsidR="004C1099">
        <w:t xml:space="preserve">0 MHz spectrum licences and the </w:t>
      </w:r>
      <w:r w:rsidR="005A0BCC">
        <w:t xml:space="preserve">proposed </w:t>
      </w:r>
      <w:r w:rsidR="004C1099">
        <w:t xml:space="preserve">lower </w:t>
      </w:r>
      <w:r w:rsidR="00C5549B">
        <w:t>900 </w:t>
      </w:r>
      <w:r w:rsidR="004C1099">
        <w:t xml:space="preserve">MHz </w:t>
      </w:r>
      <w:r w:rsidR="00EC3B8D">
        <w:t xml:space="preserve">spectrum </w:t>
      </w:r>
      <w:r w:rsidR="004C1099">
        <w:t xml:space="preserve">licences will </w:t>
      </w:r>
      <w:r w:rsidR="00522468">
        <w:t>reduce</w:t>
      </w:r>
      <w:r>
        <w:t xml:space="preserve"> int</w:t>
      </w:r>
      <w:r w:rsidR="00EE52F5">
        <w:t>er</w:t>
      </w:r>
      <w:r>
        <w:t xml:space="preserve">-band interference and </w:t>
      </w:r>
      <w:r w:rsidR="004C1099">
        <w:t xml:space="preserve">increase </w:t>
      </w:r>
      <w:r w:rsidR="00032A52">
        <w:t xml:space="preserve">the </w:t>
      </w:r>
      <w:r w:rsidR="005A0BCC">
        <w:t xml:space="preserve">usability </w:t>
      </w:r>
      <w:r>
        <w:t xml:space="preserve">of the </w:t>
      </w:r>
      <w:r w:rsidR="005A0BCC">
        <w:t xml:space="preserve">lower segment of the </w:t>
      </w:r>
      <w:r>
        <w:t>900 MHz band</w:t>
      </w:r>
      <w:r w:rsidR="00032A52">
        <w:t>.</w:t>
      </w:r>
    </w:p>
    <w:p w14:paraId="63CD6D6E" w14:textId="0BDFB175" w:rsidR="00990D65" w:rsidRDefault="00F97441" w:rsidP="00BD0CF0">
      <w:pPr>
        <w:pStyle w:val="ACMAFigureHeader"/>
      </w:pPr>
      <w:bookmarkStart w:id="9" w:name="_Ref34902775"/>
      <w:r>
        <w:t xml:space="preserve">Planned </w:t>
      </w:r>
      <w:r w:rsidR="00990D65">
        <w:t>post-</w:t>
      </w:r>
      <w:r w:rsidR="00990D65" w:rsidRPr="00AB0E6F">
        <w:t>downshift</w:t>
      </w:r>
      <w:r w:rsidR="00990D65">
        <w:t xml:space="preserve"> arrangements in the frequencies between 809 MHz and 960 </w:t>
      </w:r>
      <w:r w:rsidR="00990D65" w:rsidRPr="00D77F52">
        <w:t>MHz</w:t>
      </w:r>
      <w:bookmarkEnd w:id="9"/>
    </w:p>
    <w:p w14:paraId="5AEC0D25" w14:textId="23B21B40" w:rsidR="00990D65" w:rsidRDefault="001C6ECE" w:rsidP="00990D65">
      <w:pPr>
        <w:pStyle w:val="Bulletlevel1last"/>
        <w:numPr>
          <w:ilvl w:val="0"/>
          <w:numId w:val="0"/>
        </w:numPr>
      </w:pPr>
      <w:r>
        <w:rPr>
          <w:noProof/>
        </w:rPr>
        <w:drawing>
          <wp:inline distT="0" distB="0" distL="0" distR="0" wp14:anchorId="02CC1C6D" wp14:editId="6EF89EF7">
            <wp:extent cx="5195167" cy="1621331"/>
            <wp:effectExtent l="0" t="0" r="5715" b="0"/>
            <wp:docPr id="8" name="Picture 8" descr="Diagram of frequency ranges from 809 to 960 MHz after the downshift of 850 MHz (825-845 MHz and 870-890 MHz) spectrum licences is 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98038" cy="1622227"/>
                    </a:xfrm>
                    <a:prstGeom prst="rect">
                      <a:avLst/>
                    </a:prstGeom>
                  </pic:spPr>
                </pic:pic>
              </a:graphicData>
            </a:graphic>
          </wp:inline>
        </w:drawing>
      </w:r>
    </w:p>
    <w:p w14:paraId="210BF4AA" w14:textId="45947741" w:rsidR="002B1C50" w:rsidRDefault="002B1C50" w:rsidP="00BD0CF0">
      <w:pPr>
        <w:pStyle w:val="Tableorfigurenotemultiple"/>
      </w:pPr>
      <w:r>
        <w:t>Note</w:t>
      </w:r>
      <w:r w:rsidR="0024400B">
        <w:t xml:space="preserve"> 1</w:t>
      </w:r>
      <w:r>
        <w:t xml:space="preserve">: </w:t>
      </w:r>
      <w:r w:rsidR="00FE5F22">
        <w:tab/>
      </w:r>
      <w:r>
        <w:t xml:space="preserve">Figure 2 assumes the Minister for Communications, Cyber Safety and the Arts accepts </w:t>
      </w:r>
      <w:r w:rsidR="007E46C6">
        <w:t>our</w:t>
      </w:r>
      <w:r>
        <w:t xml:space="preserve"> recommendation, and declares </w:t>
      </w:r>
      <w:proofErr w:type="gramStart"/>
      <w:r w:rsidR="00EC3B8D">
        <w:t>all of</w:t>
      </w:r>
      <w:proofErr w:type="gramEnd"/>
      <w:r w:rsidR="00EC3B8D">
        <w:t xml:space="preserve"> </w:t>
      </w:r>
      <w:r>
        <w:t xml:space="preserve">the spectrum in the 850/900 MHz band for </w:t>
      </w:r>
      <w:r w:rsidR="00DA3182">
        <w:t>re</w:t>
      </w:r>
      <w:r w:rsidR="00DA3182">
        <w:noBreakHyphen/>
        <w:t>allocation</w:t>
      </w:r>
      <w:r>
        <w:t>.</w:t>
      </w:r>
    </w:p>
    <w:p w14:paraId="1B49C97E" w14:textId="06B9DD89" w:rsidR="00FE5F22" w:rsidRDefault="00FE5F22" w:rsidP="00BD0CF0">
      <w:pPr>
        <w:pStyle w:val="Tableorfigurenotemultiple"/>
      </w:pPr>
      <w:r>
        <w:t>The frequency range 844</w:t>
      </w:r>
      <w:r w:rsidR="00C5549B">
        <w:t>–</w:t>
      </w:r>
      <w:r>
        <w:t xml:space="preserve">845 MHz is subject to further planning decisions by the </w:t>
      </w:r>
      <w:r w:rsidR="00E866C1">
        <w:t>Australian Communications and Media Authority</w:t>
      </w:r>
      <w:r>
        <w:t xml:space="preserve"> after the downshift is completed.</w:t>
      </w:r>
    </w:p>
    <w:p w14:paraId="24AE0153" w14:textId="7C2A353A" w:rsidR="00C65347" w:rsidRDefault="0024400B" w:rsidP="00BD0CF0">
      <w:pPr>
        <w:pStyle w:val="Tableorfigurenotemultiple"/>
      </w:pPr>
      <w:r>
        <w:t xml:space="preserve">Note 2: </w:t>
      </w:r>
      <w:r w:rsidR="00C65347">
        <w:t>Not to scale</w:t>
      </w:r>
    </w:p>
    <w:p w14:paraId="28BE2522" w14:textId="2C8613DC" w:rsidR="00310850" w:rsidRDefault="00310850" w:rsidP="00BD0CF0">
      <w:pPr>
        <w:pStyle w:val="Heading2"/>
      </w:pPr>
      <w:bookmarkStart w:id="10" w:name="_Toc40175636"/>
      <w:r>
        <w:lastRenderedPageBreak/>
        <w:t xml:space="preserve">Public safety mobile </w:t>
      </w:r>
      <w:r w:rsidR="00A424BE">
        <w:t>broadband</w:t>
      </w:r>
      <w:bookmarkEnd w:id="10"/>
      <w:r w:rsidR="00A424BE">
        <w:t xml:space="preserve"> </w:t>
      </w:r>
    </w:p>
    <w:p w14:paraId="0E6C5FCE" w14:textId="52D9016F" w:rsidR="00310850" w:rsidRPr="00E162C1" w:rsidRDefault="00C5549B" w:rsidP="00310850">
      <w:pPr>
        <w:pStyle w:val="Paragraph"/>
      </w:pPr>
      <w:r>
        <w:t>T</w:t>
      </w:r>
      <w:r w:rsidR="00310850" w:rsidRPr="000B643A">
        <w:t>hrough Council of Australian Governments (COAG)</w:t>
      </w:r>
      <w:r w:rsidR="00173895">
        <w:t xml:space="preserve"> public safety mobile broadband</w:t>
      </w:r>
      <w:r w:rsidR="00310850" w:rsidRPr="000B643A">
        <w:t xml:space="preserve"> </w:t>
      </w:r>
      <w:r w:rsidR="00173895">
        <w:t>(</w:t>
      </w:r>
      <w:r w:rsidR="00310850" w:rsidRPr="000B643A">
        <w:t>PSMB</w:t>
      </w:r>
      <w:r w:rsidR="00173895">
        <w:t>)</w:t>
      </w:r>
      <w:r w:rsidR="00310850" w:rsidRPr="000B643A">
        <w:t xml:space="preserve"> </w:t>
      </w:r>
      <w:r w:rsidR="00285D6D">
        <w:t>discussions,</w:t>
      </w:r>
      <w:r w:rsidR="00310850" w:rsidRPr="000B643A">
        <w:t xml:space="preserve"> there is a request to </w:t>
      </w:r>
      <w:r w:rsidR="00310850">
        <w:t>withhold</w:t>
      </w:r>
      <w:r w:rsidR="00310850" w:rsidRPr="000B643A">
        <w:t xml:space="preserve"> 2 x 5</w:t>
      </w:r>
      <w:r w:rsidR="00310850">
        <w:t> </w:t>
      </w:r>
      <w:r w:rsidR="00310850" w:rsidRPr="000B643A">
        <w:t xml:space="preserve">MHz of spectrum </w:t>
      </w:r>
      <w:r w:rsidR="00310850">
        <w:t>in</w:t>
      </w:r>
      <w:r w:rsidR="00310850" w:rsidRPr="000B643A">
        <w:t xml:space="preserve"> the 850 MHz expansion band</w:t>
      </w:r>
      <w:r w:rsidR="00310850">
        <w:t xml:space="preserve"> from allocation</w:t>
      </w:r>
      <w:r w:rsidR="00173895">
        <w:t>,</w:t>
      </w:r>
      <w:r w:rsidR="00310850" w:rsidRPr="000B643A">
        <w:t xml:space="preserve"> for a PSMB network. </w:t>
      </w:r>
      <w:r w:rsidR="00CB49E5">
        <w:t>Consistent with these negotiations</w:t>
      </w:r>
      <w:r w:rsidR="00310850">
        <w:t>, i</w:t>
      </w:r>
      <w:r w:rsidR="00310850" w:rsidRPr="000B643A">
        <w:t xml:space="preserve">t is </w:t>
      </w:r>
      <w:r w:rsidR="00C558CA">
        <w:t>possible</w:t>
      </w:r>
      <w:r w:rsidR="00310850" w:rsidRPr="000B643A">
        <w:t xml:space="preserve"> that </w:t>
      </w:r>
      <w:r w:rsidRPr="000B643A">
        <w:t>2</w:t>
      </w:r>
      <w:r>
        <w:t> </w:t>
      </w:r>
      <w:r w:rsidR="00310850" w:rsidRPr="000B643A">
        <w:t xml:space="preserve">x 5 MHz of </w:t>
      </w:r>
      <w:r w:rsidR="00310850">
        <w:t xml:space="preserve">the 850 MHz expansion band </w:t>
      </w:r>
      <w:r w:rsidR="00C558CA">
        <w:t>may</w:t>
      </w:r>
      <w:r w:rsidR="00310850" w:rsidRPr="000B643A">
        <w:t xml:space="preserve"> </w:t>
      </w:r>
      <w:r w:rsidR="00310850">
        <w:t xml:space="preserve">not be included in </w:t>
      </w:r>
      <w:r w:rsidR="00C558CA">
        <w:t>any</w:t>
      </w:r>
      <w:r w:rsidR="00310850">
        <w:t xml:space="preserve"> </w:t>
      </w:r>
      <w:r w:rsidR="00DA3182">
        <w:t>re</w:t>
      </w:r>
      <w:r w:rsidR="00DA3182">
        <w:noBreakHyphen/>
        <w:t>allocation</w:t>
      </w:r>
      <w:r w:rsidR="00310850">
        <w:t xml:space="preserve"> declaration</w:t>
      </w:r>
      <w:r w:rsidR="00310850" w:rsidRPr="000B643A">
        <w:t>.</w:t>
      </w:r>
    </w:p>
    <w:p w14:paraId="35A2B996" w14:textId="22DA0559" w:rsidR="001E0956" w:rsidRDefault="001E0956" w:rsidP="00A41B3E">
      <w:pPr>
        <w:pStyle w:val="Heading2"/>
      </w:pPr>
      <w:bookmarkStart w:id="11" w:name="_Toc40175637"/>
      <w:r>
        <w:t>Draft recommendation</w:t>
      </w:r>
      <w:bookmarkEnd w:id="11"/>
    </w:p>
    <w:p w14:paraId="1F39BFF9" w14:textId="47F0496C" w:rsidR="00D41D24" w:rsidRDefault="007E46C6" w:rsidP="000B643A">
      <w:pPr>
        <w:pStyle w:val="Paragraph"/>
      </w:pPr>
      <w:r>
        <w:t>We have</w:t>
      </w:r>
      <w:r w:rsidR="00C51BBB" w:rsidRPr="00C51BBB">
        <w:t xml:space="preserve"> prepared a draft recommendation to the </w:t>
      </w:r>
      <w:r w:rsidR="008653F9">
        <w:t>Minister</w:t>
      </w:r>
      <w:r w:rsidR="00DF5DE2">
        <w:t xml:space="preserve"> for Communications, Cyber Safety and the Arts (the Minister)</w:t>
      </w:r>
      <w:r w:rsidR="002B1C50">
        <w:t xml:space="preserve"> </w:t>
      </w:r>
      <w:r w:rsidR="00C51BBB" w:rsidRPr="00C51BBB">
        <w:t xml:space="preserve">recommending </w:t>
      </w:r>
      <w:r w:rsidR="007E700D">
        <w:t>that the Minister</w:t>
      </w:r>
      <w:r w:rsidR="007E700D" w:rsidRPr="00C51BBB">
        <w:t xml:space="preserve"> </w:t>
      </w:r>
      <w:r w:rsidR="00C51BBB" w:rsidRPr="00C51BBB">
        <w:t>make</w:t>
      </w:r>
      <w:r w:rsidR="00D9412C">
        <w:t>s</w:t>
      </w:r>
      <w:r w:rsidR="00C51BBB" w:rsidRPr="00C51BBB">
        <w:t xml:space="preserve"> </w:t>
      </w:r>
      <w:r w:rsidR="00B90390">
        <w:t xml:space="preserve">one or more </w:t>
      </w:r>
      <w:r w:rsidR="00C51BBB" w:rsidRPr="00C51BBB">
        <w:t xml:space="preserve">spectrum </w:t>
      </w:r>
      <w:r w:rsidR="00DA3182">
        <w:t>re</w:t>
      </w:r>
      <w:r w:rsidR="00DA3182">
        <w:noBreakHyphen/>
        <w:t>allocation</w:t>
      </w:r>
      <w:r w:rsidR="00C51BBB" w:rsidRPr="00C51BBB">
        <w:t xml:space="preserve"> declaration</w:t>
      </w:r>
      <w:r w:rsidR="002B030E">
        <w:t>s</w:t>
      </w:r>
      <w:r w:rsidR="00C51BBB" w:rsidRPr="00C51BBB">
        <w:t xml:space="preserve"> for the </w:t>
      </w:r>
      <w:r w:rsidR="00DA3182">
        <w:t>re</w:t>
      </w:r>
      <w:r w:rsidR="00DA3182">
        <w:noBreakHyphen/>
        <w:t>allocation</w:t>
      </w:r>
      <w:r w:rsidR="00C51BBB" w:rsidRPr="00C51BBB">
        <w:t xml:space="preserve"> of the </w:t>
      </w:r>
      <w:r w:rsidR="00C51BBB">
        <w:t>850/900 MHz</w:t>
      </w:r>
      <w:r w:rsidR="00C51BBB" w:rsidRPr="00C51BBB">
        <w:t xml:space="preserve"> band by</w:t>
      </w:r>
      <w:r w:rsidR="00B40D59">
        <w:t xml:space="preserve"> issuing</w:t>
      </w:r>
      <w:r w:rsidR="00C51BBB" w:rsidRPr="00C51BBB">
        <w:t xml:space="preserve"> spectrum </w:t>
      </w:r>
      <w:r w:rsidR="00B40D59">
        <w:t xml:space="preserve">licences </w:t>
      </w:r>
      <w:r w:rsidR="00D41D24">
        <w:t>across all of Australia</w:t>
      </w:r>
      <w:r w:rsidR="000276B0">
        <w:t xml:space="preserve">, excluding the mid-west </w:t>
      </w:r>
      <w:r w:rsidR="00B661C4">
        <w:t>Radio Quiet Zone (RQZ)</w:t>
      </w:r>
      <w:r w:rsidR="00C51BBB">
        <w:t>.</w:t>
      </w:r>
    </w:p>
    <w:p w14:paraId="12EDB08E" w14:textId="4B0E90DF" w:rsidR="00D41D24" w:rsidRDefault="00D41D24" w:rsidP="000B643A">
      <w:pPr>
        <w:pStyle w:val="Paragraph"/>
      </w:pPr>
      <w:r>
        <w:t>‘Australia’</w:t>
      </w:r>
      <w:r w:rsidR="00C5549B">
        <w:t xml:space="preserve"> (</w:t>
      </w:r>
      <w:r w:rsidR="00DB74A3">
        <w:t>excluding the mid-west RQZ</w:t>
      </w:r>
      <w:r w:rsidR="00C5549B">
        <w:t>)</w:t>
      </w:r>
      <w:r>
        <w:t xml:space="preserve"> is</w:t>
      </w:r>
      <w:r w:rsidRPr="00D41D24">
        <w:t xml:space="preserve"> described by the hierarchical cell identification scheme (HCIS) identifiers listed </w:t>
      </w:r>
      <w:r w:rsidRPr="008B098E">
        <w:t xml:space="preserve">in </w:t>
      </w:r>
      <w:r w:rsidR="008B098E" w:rsidRPr="008B098E">
        <w:t xml:space="preserve">the </w:t>
      </w:r>
      <w:r w:rsidR="00C5549B">
        <w:t xml:space="preserve">section 153G </w:t>
      </w:r>
      <w:r w:rsidR="008B098E" w:rsidRPr="00C5549B">
        <w:t>notice</w:t>
      </w:r>
      <w:r w:rsidRPr="008B098E">
        <w:t>.</w:t>
      </w:r>
      <w:r w:rsidRPr="00D41D24">
        <w:t xml:space="preserve"> </w:t>
      </w:r>
      <w:r w:rsidR="008E0D13">
        <w:fldChar w:fldCharType="begin"/>
      </w:r>
      <w:r w:rsidR="008E0D13">
        <w:instrText xml:space="preserve"> REF _Ref34902810 \r \h </w:instrText>
      </w:r>
      <w:r w:rsidR="008E0D13">
        <w:fldChar w:fldCharType="separate"/>
      </w:r>
      <w:r w:rsidR="008E0D13">
        <w:t>Figure 3</w:t>
      </w:r>
      <w:r w:rsidR="008E0D13">
        <w:fldChar w:fldCharType="end"/>
      </w:r>
      <w:r w:rsidR="00F97441" w:rsidRPr="00D41D24">
        <w:t xml:space="preserve"> </w:t>
      </w:r>
      <w:r w:rsidRPr="00D41D24">
        <w:t>provides an illustrative map of the area described by the HCIS identifiers</w:t>
      </w:r>
      <w:r>
        <w:t xml:space="preserve"> (highlighted in purple)</w:t>
      </w:r>
      <w:r w:rsidRPr="00D41D24">
        <w:t>.</w:t>
      </w:r>
    </w:p>
    <w:p w14:paraId="1475F985" w14:textId="65156629" w:rsidR="00D41D24" w:rsidRDefault="00D41D24" w:rsidP="00BD0CF0">
      <w:pPr>
        <w:pStyle w:val="ACMAFigureHeader"/>
      </w:pPr>
      <w:bookmarkStart w:id="12" w:name="_Ref34902810"/>
      <w:r>
        <w:t>Indicative map of the geographic area of Australia</w:t>
      </w:r>
      <w:bookmarkEnd w:id="12"/>
      <w:r w:rsidR="00C02BD4">
        <w:t>, excluding the mid</w:t>
      </w:r>
      <w:r w:rsidR="00E91EED">
        <w:noBreakHyphen/>
      </w:r>
      <w:r w:rsidR="00C02BD4">
        <w:t xml:space="preserve">west </w:t>
      </w:r>
      <w:r w:rsidR="000276B0">
        <w:t>RQZ</w:t>
      </w:r>
    </w:p>
    <w:p w14:paraId="0CF2222F" w14:textId="202D75BA" w:rsidR="00D41D24" w:rsidRDefault="00111094" w:rsidP="00BD0CF0">
      <w:pPr>
        <w:pStyle w:val="Paragraph"/>
        <w:spacing w:after="0"/>
      </w:pPr>
      <w:r>
        <w:rPr>
          <w:noProof/>
        </w:rPr>
        <w:drawing>
          <wp:inline distT="0" distB="0" distL="0" distR="0" wp14:anchorId="3B680C36" wp14:editId="539E3E80">
            <wp:extent cx="4871085" cy="4757420"/>
            <wp:effectExtent l="0" t="0" r="5715" b="5080"/>
            <wp:docPr id="18" name="Picture 18" descr="Indicative map of the geographic area of Australia proposed to be recommended for reallocation. The map covers all of Australia but excises an area for the mid-west RQ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71085" cy="4757420"/>
                    </a:xfrm>
                    <a:prstGeom prst="rect">
                      <a:avLst/>
                    </a:prstGeom>
                  </pic:spPr>
                </pic:pic>
              </a:graphicData>
            </a:graphic>
          </wp:inline>
        </w:drawing>
      </w:r>
    </w:p>
    <w:p w14:paraId="47F4315D" w14:textId="77777777" w:rsidR="00C5549B" w:rsidRDefault="00C5549B" w:rsidP="000B643A">
      <w:pPr>
        <w:pStyle w:val="Paragraph"/>
      </w:pPr>
    </w:p>
    <w:p w14:paraId="30911168" w14:textId="55601ECD" w:rsidR="009E25BB" w:rsidRPr="00F96CD6" w:rsidRDefault="00375B77" w:rsidP="000B643A">
      <w:pPr>
        <w:pStyle w:val="Paragraph"/>
        <w:rPr>
          <w:szCs w:val="20"/>
        </w:rPr>
      </w:pPr>
      <w:r w:rsidRPr="00375B77">
        <w:lastRenderedPageBreak/>
        <w:t xml:space="preserve">In preparing a final recommendation to the </w:t>
      </w:r>
      <w:r w:rsidR="008653F9">
        <w:t>Minister</w:t>
      </w:r>
      <w:r w:rsidRPr="00375B77">
        <w:t xml:space="preserve"> under section 153F of the </w:t>
      </w:r>
      <w:r w:rsidR="00915D5E">
        <w:rPr>
          <w:i/>
          <w:iCs/>
        </w:rPr>
        <w:t>Radiocommunications Act 1992</w:t>
      </w:r>
      <w:r w:rsidR="00305272">
        <w:t xml:space="preserve"> (</w:t>
      </w:r>
      <w:r w:rsidR="00D33D1A">
        <w:t>the Act</w:t>
      </w:r>
      <w:r w:rsidR="00305272">
        <w:t>)</w:t>
      </w:r>
      <w:r w:rsidRPr="00375B77">
        <w:t xml:space="preserve">, </w:t>
      </w:r>
      <w:r w:rsidR="000B3308">
        <w:t>the Australian Communications and Media Authority (</w:t>
      </w:r>
      <w:r w:rsidR="00A5219E">
        <w:t xml:space="preserve">the </w:t>
      </w:r>
      <w:r w:rsidR="000B3308">
        <w:t>ACMA)</w:t>
      </w:r>
      <w:r w:rsidR="00D64F63">
        <w:t xml:space="preserve"> must </w:t>
      </w:r>
      <w:r w:rsidR="00A90973">
        <w:t xml:space="preserve">have regard to </w:t>
      </w:r>
      <w:r w:rsidR="00D64F63">
        <w:t xml:space="preserve">comments received from </w:t>
      </w:r>
      <w:r w:rsidR="00B86F07">
        <w:t>potentially affected</w:t>
      </w:r>
      <w:r w:rsidR="00D64F63">
        <w:t xml:space="preserve"> apparatus licensees</w:t>
      </w:r>
      <w:r w:rsidR="00443A41">
        <w:t>.</w:t>
      </w:r>
      <w:r w:rsidR="00A41B3E">
        <w:t xml:space="preserve"> </w:t>
      </w:r>
      <w:r w:rsidR="009E25BB">
        <w:t xml:space="preserve">If </w:t>
      </w:r>
      <w:r w:rsidR="0085181F">
        <w:t>we</w:t>
      </w:r>
      <w:r w:rsidR="009E25BB">
        <w:t xml:space="preserve"> make the proposed final recommendation to the </w:t>
      </w:r>
      <w:r w:rsidR="008653F9">
        <w:t>Minister</w:t>
      </w:r>
      <w:r w:rsidR="009E25BB">
        <w:t xml:space="preserve">, and the </w:t>
      </w:r>
      <w:r w:rsidR="008653F9">
        <w:t>Minister</w:t>
      </w:r>
      <w:r w:rsidR="009E25BB">
        <w:t xml:space="preserve"> makes </w:t>
      </w:r>
      <w:r w:rsidR="000276B0">
        <w:t>one or more</w:t>
      </w:r>
      <w:r w:rsidR="009E25BB">
        <w:t xml:space="preserve"> spectrum </w:t>
      </w:r>
      <w:r w:rsidR="00DA3182">
        <w:t>re</w:t>
      </w:r>
      <w:r w:rsidR="00DA3182">
        <w:noBreakHyphen/>
        <w:t>allocation</w:t>
      </w:r>
      <w:r w:rsidR="009E25BB">
        <w:t xml:space="preserve"> declaration</w:t>
      </w:r>
      <w:r w:rsidR="000276B0">
        <w:t>s</w:t>
      </w:r>
      <w:r w:rsidR="009E25BB">
        <w:t xml:space="preserve"> for the 850/900 MHz band, </w:t>
      </w:r>
      <w:r w:rsidR="00A450D8">
        <w:t xml:space="preserve">then </w:t>
      </w:r>
      <w:r w:rsidR="0085181F">
        <w:t>we</w:t>
      </w:r>
      <w:r w:rsidR="009E25BB">
        <w:t xml:space="preserve"> will allocate spectrum in the band through a price-based mechanism, in accordance with procedures to be determined under section 60 of </w:t>
      </w:r>
      <w:r w:rsidR="00D33D1A">
        <w:t>the Act</w:t>
      </w:r>
      <w:r w:rsidR="00D41D24">
        <w:t>.</w:t>
      </w:r>
      <w:r w:rsidR="005A7F0E" w:rsidRPr="003644C9">
        <w:rPr>
          <w:szCs w:val="20"/>
        </w:rPr>
        <w:t xml:space="preserve"> </w:t>
      </w:r>
    </w:p>
    <w:p w14:paraId="4C23B136" w14:textId="4B7F4E2F" w:rsidR="00442886" w:rsidRDefault="00443A41" w:rsidP="000B643A">
      <w:pPr>
        <w:pStyle w:val="Paragraph"/>
      </w:pPr>
      <w:r w:rsidRPr="00443A41">
        <w:t xml:space="preserve">This paper provides context and information about current and proposed arrangements in the </w:t>
      </w:r>
      <w:r>
        <w:t xml:space="preserve">850/900 MHz </w:t>
      </w:r>
      <w:r w:rsidRPr="00443A41">
        <w:t xml:space="preserve">band to assist </w:t>
      </w:r>
      <w:r w:rsidR="007147A9">
        <w:t>potentially affected</w:t>
      </w:r>
      <w:r w:rsidRPr="00443A41">
        <w:t xml:space="preserve"> apparatus licensees and other interested stakeholders in commenting on the terms of the draft </w:t>
      </w:r>
      <w:r w:rsidR="00DA3182">
        <w:t>re</w:t>
      </w:r>
      <w:r w:rsidR="00DA3182">
        <w:noBreakHyphen/>
        <w:t>allocation</w:t>
      </w:r>
      <w:r w:rsidRPr="00443A41">
        <w:t xml:space="preserve"> recommendation. </w:t>
      </w:r>
      <w:r w:rsidR="0085181F">
        <w:t>We are</w:t>
      </w:r>
      <w:r w:rsidR="00D41D24">
        <w:t xml:space="preserve"> also seeking</w:t>
      </w:r>
      <w:r w:rsidR="00442886">
        <w:t xml:space="preserve"> submissions on other matters relevant to a price-based allocation </w:t>
      </w:r>
      <w:r>
        <w:t xml:space="preserve">of </w:t>
      </w:r>
      <w:r w:rsidR="00442886">
        <w:t xml:space="preserve">the 850/900 MHz band, should the </w:t>
      </w:r>
      <w:r w:rsidR="008653F9">
        <w:t>Minister</w:t>
      </w:r>
      <w:r w:rsidR="00442886">
        <w:t xml:space="preserve"> </w:t>
      </w:r>
      <w:r w:rsidR="00C558CA">
        <w:t xml:space="preserve">act on </w:t>
      </w:r>
      <w:r w:rsidR="007E46C6">
        <w:t>our</w:t>
      </w:r>
      <w:r>
        <w:t xml:space="preserve"> proposed </w:t>
      </w:r>
      <w:r w:rsidR="00DA3182">
        <w:t>re</w:t>
      </w:r>
      <w:r w:rsidR="00DA3182">
        <w:noBreakHyphen/>
        <w:t>allocation</w:t>
      </w:r>
      <w:r>
        <w:t xml:space="preserve"> recommendation</w:t>
      </w:r>
      <w:r w:rsidR="00442886">
        <w:t xml:space="preserve">. </w:t>
      </w:r>
      <w:r w:rsidRPr="00443A41">
        <w:t xml:space="preserve">These matters include the allocation methodology that </w:t>
      </w:r>
      <w:r w:rsidR="00BD0CF0">
        <w:t xml:space="preserve">we </w:t>
      </w:r>
      <w:r w:rsidRPr="00443A41">
        <w:t>may use</w:t>
      </w:r>
      <w:r w:rsidR="00D41D24">
        <w:t xml:space="preserve">, the licence terms and </w:t>
      </w:r>
      <w:r w:rsidR="0064293E">
        <w:t>how</w:t>
      </w:r>
      <w:r w:rsidRPr="00443A41">
        <w:t xml:space="preserve"> spectrum should be configured for allocation.</w:t>
      </w:r>
    </w:p>
    <w:p w14:paraId="5D106366" w14:textId="34E42C63" w:rsidR="0004108A" w:rsidRDefault="0085181F" w:rsidP="000B643A">
      <w:pPr>
        <w:pStyle w:val="Paragraph"/>
      </w:pPr>
      <w:r>
        <w:t>We</w:t>
      </w:r>
      <w:r w:rsidR="0004108A">
        <w:t xml:space="preserve"> welcome views and comments from interested parties on all matters included in this paper.</w:t>
      </w:r>
    </w:p>
    <w:p w14:paraId="6F6BE289" w14:textId="165EEBEB" w:rsidR="00072C98" w:rsidRDefault="00E85A8D" w:rsidP="00072C98">
      <w:pPr>
        <w:pStyle w:val="Heading2"/>
      </w:pPr>
      <w:bookmarkStart w:id="13" w:name="_Toc40175638"/>
      <w:r>
        <w:t>Background</w:t>
      </w:r>
      <w:bookmarkEnd w:id="13"/>
    </w:p>
    <w:p w14:paraId="1C8C8422" w14:textId="7E319746" w:rsidR="00E162C1" w:rsidRDefault="005E3638" w:rsidP="00E162C1">
      <w:r w:rsidRPr="00521516">
        <w:t xml:space="preserve">The 850/900 MHz band is </w:t>
      </w:r>
      <w:r w:rsidR="00652766">
        <w:t>one</w:t>
      </w:r>
      <w:r w:rsidR="00652766" w:rsidRPr="00521516">
        <w:t xml:space="preserve"> </w:t>
      </w:r>
      <w:r w:rsidRPr="00521516">
        <w:t xml:space="preserve">of a number of sub-1 GHz bands that are </w:t>
      </w:r>
      <w:r w:rsidR="003E6052">
        <w:t xml:space="preserve">internationally </w:t>
      </w:r>
      <w:r w:rsidRPr="00521516">
        <w:t xml:space="preserve">harmonised </w:t>
      </w:r>
      <w:r w:rsidR="00DB7F3B">
        <w:t>for the deployment of mobile broadband services</w:t>
      </w:r>
      <w:r w:rsidRPr="00521516">
        <w:t>.</w:t>
      </w:r>
      <w:r w:rsidR="00A450D8" w:rsidDel="00A450D8">
        <w:rPr>
          <w:rStyle w:val="FootnoteReference"/>
        </w:rPr>
        <w:t xml:space="preserve"> </w:t>
      </w:r>
      <w:r w:rsidR="000B0D3F" w:rsidRPr="00496C3C">
        <w:t>The wider 8</w:t>
      </w:r>
      <w:r w:rsidR="00C65347">
        <w:t>0</w:t>
      </w:r>
      <w:r w:rsidR="000B0D3F" w:rsidRPr="00496C3C">
        <w:t xml:space="preserve">0 MHz band and 900 MHz band have been standardised for the provision of </w:t>
      </w:r>
      <w:r w:rsidR="00D27BBF">
        <w:t>mobile broadband services</w:t>
      </w:r>
      <w:r w:rsidR="000B0D3F" w:rsidRPr="00496C3C">
        <w:t xml:space="preserve"> in the </w:t>
      </w:r>
      <w:r w:rsidR="000B0D3F" w:rsidRPr="0024400B">
        <w:t>United States</w:t>
      </w:r>
      <w:r w:rsidR="000B0D3F" w:rsidRPr="00496C3C">
        <w:t xml:space="preserve"> and Europe</w:t>
      </w:r>
      <w:r w:rsidR="000413CA" w:rsidRPr="00496C3C">
        <w:t>,</w:t>
      </w:r>
      <w:r w:rsidR="000B0D3F" w:rsidRPr="00496C3C">
        <w:t xml:space="preserve"> respectively</w:t>
      </w:r>
      <w:r w:rsidR="003F15AC" w:rsidRPr="00496C3C">
        <w:t xml:space="preserve">. </w:t>
      </w:r>
    </w:p>
    <w:p w14:paraId="5A19EA24" w14:textId="5D476CFE" w:rsidR="00E162C1" w:rsidRDefault="0085181F">
      <w:pPr>
        <w:pStyle w:val="Paragraph"/>
      </w:pPr>
      <w:r>
        <w:t>We have</w:t>
      </w:r>
      <w:r w:rsidR="0029326B" w:rsidRPr="003E64A5">
        <w:t xml:space="preserve"> </w:t>
      </w:r>
      <w:r w:rsidR="00A450D8">
        <w:t xml:space="preserve">undertaken consultation on options for </w:t>
      </w:r>
      <w:r w:rsidR="0029326B" w:rsidRPr="003E64A5">
        <w:t xml:space="preserve">the </w:t>
      </w:r>
      <w:r w:rsidR="00864002">
        <w:t xml:space="preserve">reconfiguration of the </w:t>
      </w:r>
      <w:r w:rsidR="0029326B">
        <w:t>850/</w:t>
      </w:r>
      <w:r w:rsidR="0029326B" w:rsidRPr="003E64A5">
        <w:t xml:space="preserve">900 MHz band </w:t>
      </w:r>
      <w:r w:rsidR="0029326B">
        <w:t>since 2011</w:t>
      </w:r>
      <w:r w:rsidR="0029326B" w:rsidRPr="00C82F72">
        <w:t>.</w:t>
      </w:r>
      <w:r w:rsidR="0029326B">
        <w:t xml:space="preserve"> Outcomes of these consultation processes are </w:t>
      </w:r>
      <w:r w:rsidR="00773A71">
        <w:t>outlined</w:t>
      </w:r>
      <w:r w:rsidR="0029326B">
        <w:t xml:space="preserve"> in Appendix </w:t>
      </w:r>
      <w:r>
        <w:t>B</w:t>
      </w:r>
      <w:r w:rsidR="0029326B">
        <w:t>.</w:t>
      </w:r>
    </w:p>
    <w:p w14:paraId="14707CA2" w14:textId="4EC56D79" w:rsidR="008D6C45" w:rsidRDefault="008D6C45" w:rsidP="0085181F">
      <w:pPr>
        <w:pStyle w:val="Heading3"/>
      </w:pPr>
      <w:r>
        <w:t>Current use</w:t>
      </w:r>
    </w:p>
    <w:p w14:paraId="4F0C42E3" w14:textId="243759ED" w:rsidR="00F521C3" w:rsidRDefault="005C34B4" w:rsidP="0025444F">
      <w:pPr>
        <w:pStyle w:val="Paragraph"/>
      </w:pPr>
      <w:r w:rsidRPr="005C34B4">
        <w:t>The 900 MHz band is currently apparatus licensed as three frequency division duplex (FDD) pairs. Each pair consists of either 2 x 8.4 MHz or 2 x 8.2 MHz</w:t>
      </w:r>
      <w:r w:rsidR="00F521C3">
        <w:t xml:space="preserve"> (</w:t>
      </w:r>
      <w:r w:rsidR="0085181F">
        <w:t xml:space="preserve">see </w:t>
      </w:r>
      <w:r w:rsidR="008E0D13">
        <w:fldChar w:fldCharType="begin"/>
      </w:r>
      <w:r w:rsidR="008E0D13">
        <w:instrText xml:space="preserve"> REF _Ref34902929 \r \h </w:instrText>
      </w:r>
      <w:r w:rsidR="008E0D13">
        <w:fldChar w:fldCharType="separate"/>
      </w:r>
      <w:r w:rsidR="008E0D13">
        <w:t>Figure 4</w:t>
      </w:r>
      <w:r w:rsidR="008E0D13">
        <w:fldChar w:fldCharType="end"/>
      </w:r>
      <w:r w:rsidR="00F521C3">
        <w:t>).</w:t>
      </w:r>
    </w:p>
    <w:p w14:paraId="5526A096" w14:textId="182D388C" w:rsidR="00F521C3" w:rsidRDefault="00F521C3" w:rsidP="0085181F">
      <w:pPr>
        <w:pStyle w:val="ACMAFigureHeader"/>
      </w:pPr>
      <w:bookmarkStart w:id="14" w:name="_Ref34902929"/>
      <w:bookmarkStart w:id="15" w:name="_Ref37173007"/>
      <w:r>
        <w:t xml:space="preserve">Current 900 MHz band </w:t>
      </w:r>
      <w:r w:rsidR="00864002">
        <w:t xml:space="preserve">allocation and </w:t>
      </w:r>
      <w:r>
        <w:t>configuratio</w:t>
      </w:r>
      <w:r w:rsidRPr="0024400B">
        <w:t>n</w:t>
      </w:r>
      <w:bookmarkEnd w:id="14"/>
      <w:bookmarkEnd w:id="15"/>
    </w:p>
    <w:p w14:paraId="1639EF84" w14:textId="6A9F8B9B" w:rsidR="00F521C3" w:rsidRDefault="002D44AF" w:rsidP="00EB0672">
      <w:pPr>
        <w:pStyle w:val="Paragraph"/>
        <w:spacing w:after="0"/>
      </w:pPr>
      <w:r>
        <w:rPr>
          <w:noProof/>
        </w:rPr>
        <w:drawing>
          <wp:inline distT="0" distB="0" distL="0" distR="0" wp14:anchorId="1DC0AC8F" wp14:editId="0A797859">
            <wp:extent cx="4775200" cy="645533"/>
            <wp:effectExtent l="0" t="0" r="6350" b="2540"/>
            <wp:docPr id="19" name="Picture 19" descr="Diagram of the current 900 MHz band allocation and configuration showing the FDD pair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812297" cy="650548"/>
                    </a:xfrm>
                    <a:prstGeom prst="rect">
                      <a:avLst/>
                    </a:prstGeom>
                  </pic:spPr>
                </pic:pic>
              </a:graphicData>
            </a:graphic>
          </wp:inline>
        </w:drawing>
      </w:r>
      <w:r w:rsidR="00D60292">
        <w:t xml:space="preserve"> </w:t>
      </w:r>
    </w:p>
    <w:p w14:paraId="67E7A0BE" w14:textId="19DF1865" w:rsidR="00EA001E" w:rsidRDefault="0024400B" w:rsidP="00EB0672">
      <w:pPr>
        <w:pStyle w:val="Tableorfigurenote"/>
      </w:pPr>
      <w:r>
        <w:t xml:space="preserve">Note: </w:t>
      </w:r>
      <w:r w:rsidR="00EA001E">
        <w:t>Not to scale</w:t>
      </w:r>
    </w:p>
    <w:p w14:paraId="1C596F7A" w14:textId="50A90B9F" w:rsidR="00A450D8" w:rsidRDefault="00EA001E" w:rsidP="009F67DC">
      <w:pPr>
        <w:pStyle w:val="Paragraph"/>
      </w:pPr>
      <w:r>
        <w:t>T</w:t>
      </w:r>
      <w:r w:rsidR="00BF1615">
        <w:t>his band was</w:t>
      </w:r>
      <w:r>
        <w:t xml:space="preserve"> originally</w:t>
      </w:r>
      <w:r w:rsidR="005C34B4" w:rsidRPr="005C34B4">
        <w:t xml:space="preserve"> used for 2G mobile telecommunications services</w:t>
      </w:r>
      <w:r w:rsidR="00056A49">
        <w:t xml:space="preserve"> </w:t>
      </w:r>
      <w:r w:rsidR="003E6052">
        <w:t xml:space="preserve">but </w:t>
      </w:r>
      <w:r w:rsidR="00BF1615">
        <w:t>was later re-farmed</w:t>
      </w:r>
      <w:r w:rsidR="00DB7F3B">
        <w:t xml:space="preserve"> for the delivery of 3G services.</w:t>
      </w:r>
      <w:r w:rsidR="00C327BD">
        <w:t xml:space="preserve"> </w:t>
      </w:r>
    </w:p>
    <w:p w14:paraId="1A82EC8D" w14:textId="06DA2686" w:rsidR="00652766" w:rsidRDefault="00A450D8" w:rsidP="000E75A7">
      <w:pPr>
        <w:pStyle w:val="Paragraph"/>
      </w:pPr>
      <w:r>
        <w:t xml:space="preserve">The 850 MHz </w:t>
      </w:r>
      <w:r w:rsidR="00FE2F25">
        <w:t xml:space="preserve">expansion </w:t>
      </w:r>
      <w:r>
        <w:t xml:space="preserve">band is currently apparatus licensed for </w:t>
      </w:r>
      <w:r w:rsidR="00D27BBF">
        <w:t xml:space="preserve">land mobile services, fixed point-to-point </w:t>
      </w:r>
      <w:r w:rsidR="003058E1">
        <w:t xml:space="preserve">services </w:t>
      </w:r>
      <w:r w:rsidR="00D27BBF">
        <w:t>and fixed point-to-multipoint services</w:t>
      </w:r>
      <w:r>
        <w:t>.</w:t>
      </w:r>
      <w:r w:rsidR="004F6F01">
        <w:rPr>
          <w:rStyle w:val="FootnoteReference"/>
        </w:rPr>
        <w:footnoteReference w:id="4"/>
      </w:r>
      <w:r w:rsidR="00D27BBF" w:rsidDel="004F6F01">
        <w:t xml:space="preserve"> </w:t>
      </w:r>
      <w:r w:rsidR="00C327BD">
        <w:t xml:space="preserve">In accordance with the </w:t>
      </w:r>
      <w:hyperlink r:id="rId31" w:history="1">
        <w:r w:rsidR="00C327BD" w:rsidRPr="00670204">
          <w:rPr>
            <w:rStyle w:val="Hyperlink"/>
          </w:rPr>
          <w:t>long</w:t>
        </w:r>
        <w:r w:rsidR="0085181F">
          <w:rPr>
            <w:rStyle w:val="Hyperlink"/>
          </w:rPr>
          <w:t>-</w:t>
        </w:r>
        <w:r w:rsidR="00C327BD" w:rsidRPr="00670204">
          <w:rPr>
            <w:rStyle w:val="Hyperlink"/>
          </w:rPr>
          <w:t>term strategy</w:t>
        </w:r>
      </w:hyperlink>
      <w:r w:rsidR="00D61EF2">
        <w:t xml:space="preserve"> and</w:t>
      </w:r>
      <w:r w:rsidR="00D61EF2" w:rsidRPr="00D61EF2">
        <w:t xml:space="preserve"> </w:t>
      </w:r>
      <w:r w:rsidR="00D61EF2">
        <w:t xml:space="preserve">the </w:t>
      </w:r>
      <w:r w:rsidR="00D61EF2" w:rsidRPr="00D61EF2">
        <w:t xml:space="preserve">milestones described in </w:t>
      </w:r>
      <w:hyperlink r:id="rId32" w:history="1">
        <w:r w:rsidR="00593DF7">
          <w:rPr>
            <w:rStyle w:val="Hyperlink"/>
          </w:rPr>
          <w:t>Radiocommunications Assignment and Licensing Instruction (RALI) MS40</w:t>
        </w:r>
      </w:hyperlink>
      <w:r w:rsidR="00C327BD">
        <w:t xml:space="preserve">, </w:t>
      </w:r>
      <w:r w:rsidR="007E46C6">
        <w:t>we are</w:t>
      </w:r>
      <w:r w:rsidR="00831C76">
        <w:t xml:space="preserve"> progressively clear</w:t>
      </w:r>
      <w:r w:rsidR="00F7661E">
        <w:t>ing</w:t>
      </w:r>
      <w:r w:rsidR="00831C76">
        <w:t xml:space="preserve"> </w:t>
      </w:r>
      <w:r w:rsidR="00831C76" w:rsidRPr="00831C76">
        <w:t>apparatus-licensed services</w:t>
      </w:r>
      <w:r w:rsidR="00F7661E">
        <w:t xml:space="preserve"> </w:t>
      </w:r>
      <w:r w:rsidR="00B22164">
        <w:t xml:space="preserve">from </w:t>
      </w:r>
      <w:r w:rsidR="00F7661E">
        <w:t xml:space="preserve">the </w:t>
      </w:r>
      <w:r w:rsidR="00B22164">
        <w:t>850</w:t>
      </w:r>
      <w:r w:rsidR="00C96ACB">
        <w:t> </w:t>
      </w:r>
      <w:r w:rsidR="00B22164">
        <w:t xml:space="preserve">MHz expansion </w:t>
      </w:r>
      <w:r w:rsidR="000E1AE2">
        <w:t>band</w:t>
      </w:r>
      <w:r w:rsidR="00D61EF2">
        <w:t>.</w:t>
      </w:r>
      <w:r w:rsidR="00D61EF2">
        <w:rPr>
          <w:rStyle w:val="FootnoteReference"/>
        </w:rPr>
        <w:footnoteReference w:id="5"/>
      </w:r>
      <w:r w:rsidR="00542AAB">
        <w:t xml:space="preserve"> </w:t>
      </w:r>
      <w:r w:rsidR="008C2E93" w:rsidRPr="007D38E3">
        <w:t>The</w:t>
      </w:r>
      <w:r w:rsidR="008C2E93" w:rsidRPr="00073809">
        <w:t xml:space="preserve"> </w:t>
      </w:r>
      <w:r w:rsidR="008C2E93">
        <w:t>long</w:t>
      </w:r>
      <w:r w:rsidR="0024400B">
        <w:t>-</w:t>
      </w:r>
      <w:r w:rsidR="008C2E93">
        <w:t xml:space="preserve">term </w:t>
      </w:r>
      <w:r w:rsidR="008C2E93">
        <w:lastRenderedPageBreak/>
        <w:t xml:space="preserve">strategy also </w:t>
      </w:r>
      <w:r w:rsidR="008C2E93" w:rsidRPr="002908D8">
        <w:t xml:space="preserve">set up the process of clearing the </w:t>
      </w:r>
      <w:r w:rsidR="00C327BD">
        <w:t xml:space="preserve">2 x </w:t>
      </w:r>
      <w:r w:rsidR="008C2E93" w:rsidRPr="002908D8">
        <w:t>1</w:t>
      </w:r>
      <w:r w:rsidR="008C2E93">
        <w:t> MHz</w:t>
      </w:r>
      <w:r w:rsidR="008C2E93" w:rsidRPr="002908D8">
        <w:t xml:space="preserve"> </w:t>
      </w:r>
      <w:r w:rsidR="00C327BD">
        <w:t xml:space="preserve">blocks </w:t>
      </w:r>
      <w:r w:rsidR="008C2E93" w:rsidRPr="002908D8">
        <w:t>of spectrum into which the downshift</w:t>
      </w:r>
      <w:r w:rsidR="008C2E93">
        <w:t xml:space="preserve"> of 8</w:t>
      </w:r>
      <w:r w:rsidR="00D61EF2">
        <w:t>5</w:t>
      </w:r>
      <w:r w:rsidR="008C2E93">
        <w:t>0 MHz spectrum licences</w:t>
      </w:r>
      <w:r w:rsidR="008C2E93" w:rsidRPr="002908D8">
        <w:t xml:space="preserve"> </w:t>
      </w:r>
      <w:r w:rsidR="008C2E93">
        <w:t>will</w:t>
      </w:r>
      <w:r w:rsidR="008C2E93" w:rsidRPr="002908D8">
        <w:t xml:space="preserve"> ultimately occur. </w:t>
      </w:r>
      <w:r w:rsidR="00E53872">
        <w:t xml:space="preserve">Under the </w:t>
      </w:r>
      <w:r w:rsidR="0085181F">
        <w:t>long-term</w:t>
      </w:r>
      <w:r w:rsidR="00E53872">
        <w:t xml:space="preserve"> strategy, t</w:t>
      </w:r>
      <w:r w:rsidR="00EF3CDA">
        <w:t xml:space="preserve">he clearance of spectrum </w:t>
      </w:r>
      <w:r w:rsidR="00E53872">
        <w:t xml:space="preserve">in the 850 MHz expansion band and the downshift frequencies </w:t>
      </w:r>
      <w:r w:rsidR="00E37403">
        <w:t xml:space="preserve">is </w:t>
      </w:r>
      <w:r w:rsidR="006A78CA">
        <w:t>likely to be completed</w:t>
      </w:r>
      <w:r w:rsidR="00EF3CDA">
        <w:t xml:space="preserve"> </w:t>
      </w:r>
      <w:r w:rsidR="003E6052">
        <w:t xml:space="preserve">by </w:t>
      </w:r>
      <w:r w:rsidR="00EF3CDA">
        <w:t>30 June 2024.</w:t>
      </w:r>
      <w:r w:rsidR="00B22164" w:rsidRPr="00B22164">
        <w:t xml:space="preserve"> </w:t>
      </w:r>
    </w:p>
    <w:p w14:paraId="7D674ACE" w14:textId="6B8D466A" w:rsidR="00EF3CDA" w:rsidRDefault="00EF3CDA" w:rsidP="001B3CDD">
      <w:pPr>
        <w:pStyle w:val="Heading2"/>
      </w:pPr>
      <w:bookmarkStart w:id="16" w:name="_Toc40175639"/>
      <w:r>
        <w:t>Future use</w:t>
      </w:r>
      <w:bookmarkEnd w:id="16"/>
    </w:p>
    <w:p w14:paraId="2182A015" w14:textId="7A049CBF" w:rsidR="00C96ACB" w:rsidRDefault="0085181F" w:rsidP="00EF3CDA">
      <w:pPr>
        <w:pStyle w:val="Paragraph"/>
      </w:pPr>
      <w:r>
        <w:t xml:space="preserve">We </w:t>
      </w:r>
      <w:r w:rsidR="001B3CDD">
        <w:t>consider</w:t>
      </w:r>
      <w:r w:rsidR="00D61EF2">
        <w:t xml:space="preserve"> </w:t>
      </w:r>
      <w:r w:rsidR="000E1AE2">
        <w:t xml:space="preserve">the best way </w:t>
      </w:r>
      <w:r w:rsidR="00A450D8">
        <w:t xml:space="preserve">to </w:t>
      </w:r>
      <w:r w:rsidR="00C327BD">
        <w:t xml:space="preserve">facilitate the spectrum moving to </w:t>
      </w:r>
      <w:r w:rsidR="00484FA7">
        <w:t>its highest</w:t>
      </w:r>
      <w:r>
        <w:t>-</w:t>
      </w:r>
      <w:r w:rsidR="00484FA7">
        <w:t xml:space="preserve">value </w:t>
      </w:r>
      <w:r w:rsidR="00C327BD">
        <w:t xml:space="preserve">use </w:t>
      </w:r>
      <w:r>
        <w:t>is</w:t>
      </w:r>
      <w:r w:rsidR="000E1AE2">
        <w:t xml:space="preserve"> to </w:t>
      </w:r>
      <w:r w:rsidR="00A450D8">
        <w:t xml:space="preserve">introduce spectrum licensing and </w:t>
      </w:r>
      <w:r w:rsidR="000E1AE2">
        <w:t xml:space="preserve">undertake a </w:t>
      </w:r>
      <w:r w:rsidR="00C327BD">
        <w:t xml:space="preserve">combined </w:t>
      </w:r>
      <w:r w:rsidR="000E1AE2">
        <w:t xml:space="preserve">price-based allocation </w:t>
      </w:r>
      <w:r w:rsidR="0089357C">
        <w:t>of spectrum in</w:t>
      </w:r>
      <w:r w:rsidR="000E1AE2">
        <w:t xml:space="preserve"> the 850 MHz expansion band and the 900 MHz band.</w:t>
      </w:r>
      <w:r w:rsidR="0025444F">
        <w:t xml:space="preserve"> </w:t>
      </w:r>
      <w:r>
        <w:t>T</w:t>
      </w:r>
      <w:r w:rsidR="000F2720">
        <w:t>his will support the efficient delivery of mobile broadband services.</w:t>
      </w:r>
    </w:p>
    <w:p w14:paraId="0CD0D31B" w14:textId="1DFE42D3" w:rsidR="00C327BD" w:rsidRDefault="00A33FAC" w:rsidP="00353423">
      <w:pPr>
        <w:pStyle w:val="Paragraph"/>
      </w:pPr>
      <w:r>
        <w:t>We</w:t>
      </w:r>
      <w:r w:rsidR="00F26E3C">
        <w:t xml:space="preserve"> intend </w:t>
      </w:r>
      <w:r w:rsidR="008E5A57">
        <w:t>2 x 1 MHz</w:t>
      </w:r>
      <w:r w:rsidR="0089357C">
        <w:t xml:space="preserve"> be allocated</w:t>
      </w:r>
      <w:r w:rsidR="000E1AE2">
        <w:t xml:space="preserve"> </w:t>
      </w:r>
      <w:r w:rsidR="00F26E3C">
        <w:t>to</w:t>
      </w:r>
      <w:r w:rsidR="008E5A57">
        <w:t xml:space="preserve"> </w:t>
      </w:r>
      <w:r w:rsidR="0005161A">
        <w:t>facilitate</w:t>
      </w:r>
      <w:r w:rsidR="008E5A57">
        <w:t xml:space="preserve"> the boundaries of the spectrum-licensed frequencies in the 8</w:t>
      </w:r>
      <w:r w:rsidR="0005161A">
        <w:t>5</w:t>
      </w:r>
      <w:r w:rsidR="008E5A57">
        <w:t xml:space="preserve">0 MHz band </w:t>
      </w:r>
      <w:r w:rsidR="003E6052">
        <w:t xml:space="preserve">shifting </w:t>
      </w:r>
      <w:r w:rsidR="008E5A57">
        <w:t xml:space="preserve">down by 1 MHz </w:t>
      </w:r>
      <w:r>
        <w:t xml:space="preserve">before </w:t>
      </w:r>
      <w:r w:rsidR="00D27BBF">
        <w:t>the expiry of existing licences in the band</w:t>
      </w:r>
      <w:r w:rsidR="0034026A">
        <w:t xml:space="preserve"> (</w:t>
      </w:r>
      <w:r w:rsidR="0004011C">
        <w:t xml:space="preserve">on </w:t>
      </w:r>
      <w:r w:rsidR="0034026A">
        <w:t>17 June 2028)</w:t>
      </w:r>
      <w:r w:rsidR="008E5A57">
        <w:t xml:space="preserve">. </w:t>
      </w:r>
      <w:r w:rsidR="00AB65A6">
        <w:t xml:space="preserve">After </w:t>
      </w:r>
      <w:r w:rsidR="00894EB4">
        <w:t>the downshift</w:t>
      </w:r>
      <w:r w:rsidR="00AB65A6">
        <w:t xml:space="preserve"> is completed</w:t>
      </w:r>
      <w:r w:rsidR="0005161A">
        <w:t xml:space="preserve">, </w:t>
      </w:r>
      <w:r w:rsidR="008E5A57">
        <w:t>the 8</w:t>
      </w:r>
      <w:r w:rsidR="0005161A">
        <w:t>5</w:t>
      </w:r>
      <w:r w:rsidR="008E5A57">
        <w:t>0 MHz spectrum licen</w:t>
      </w:r>
      <w:r w:rsidR="0005161A">
        <w:t xml:space="preserve">ces would </w:t>
      </w:r>
      <w:r w:rsidR="008E5A57">
        <w:t>occupy the frequency ranges 824</w:t>
      </w:r>
      <w:r>
        <w:t>–</w:t>
      </w:r>
      <w:r w:rsidR="008E5A57">
        <w:t>844 MHz and 869</w:t>
      </w:r>
      <w:r>
        <w:t>–</w:t>
      </w:r>
      <w:r w:rsidR="008E5A57">
        <w:t>889</w:t>
      </w:r>
      <w:r w:rsidR="00CC2090">
        <w:t> </w:t>
      </w:r>
      <w:proofErr w:type="spellStart"/>
      <w:r w:rsidR="008E5A57">
        <w:t>MHz</w:t>
      </w:r>
      <w:r w:rsidR="00C96ACB">
        <w:t>.</w:t>
      </w:r>
      <w:proofErr w:type="spellEnd"/>
      <w:r w:rsidR="00353423">
        <w:t xml:space="preserve"> </w:t>
      </w:r>
    </w:p>
    <w:p w14:paraId="7B35CF2D" w14:textId="3CF5034A" w:rsidR="00C327BD" w:rsidRDefault="0005161A" w:rsidP="00353423">
      <w:pPr>
        <w:pStyle w:val="Paragraph"/>
      </w:pPr>
      <w:r>
        <w:t xml:space="preserve">Through the 850/900 MHz band allocation process, </w:t>
      </w:r>
      <w:r w:rsidR="00A33FAC">
        <w:t>we</w:t>
      </w:r>
      <w:r>
        <w:t xml:space="preserve"> intend to enable the </w:t>
      </w:r>
      <w:r w:rsidR="00484FA7">
        <w:t>post</w:t>
      </w:r>
      <w:r w:rsidR="00CD3D29">
        <w:noBreakHyphen/>
      </w:r>
      <w:r w:rsidR="00484FA7">
        <w:t xml:space="preserve">allocation </w:t>
      </w:r>
      <w:r>
        <w:t>configuration shown in Figure 5.</w:t>
      </w:r>
      <w:r w:rsidR="00353423">
        <w:t xml:space="preserve"> The current arrangements</w:t>
      </w:r>
      <w:r w:rsidR="00A33FAC">
        <w:t>—</w:t>
      </w:r>
      <w:r w:rsidR="00353423">
        <w:t>in green</w:t>
      </w:r>
      <w:r w:rsidR="00A33FAC">
        <w:t>—</w:t>
      </w:r>
      <w:r>
        <w:t xml:space="preserve">show </w:t>
      </w:r>
      <w:r w:rsidR="00353423">
        <w:t xml:space="preserve">that the </w:t>
      </w:r>
      <w:r w:rsidR="003E6052">
        <w:t xml:space="preserve">900 MHz </w:t>
      </w:r>
      <w:r w:rsidR="00353423">
        <w:t xml:space="preserve">Block 1 licensee is required to </w:t>
      </w:r>
      <w:r>
        <w:t xml:space="preserve">use part of its licensed frequency as </w:t>
      </w:r>
      <w:r w:rsidR="003E6052">
        <w:t xml:space="preserve">a </w:t>
      </w:r>
      <w:r w:rsidR="00353423">
        <w:t>guard band. The post-allocation arrangements</w:t>
      </w:r>
      <w:r w:rsidR="00A33FAC">
        <w:t>—</w:t>
      </w:r>
      <w:r w:rsidR="00353423">
        <w:t>in pink</w:t>
      </w:r>
      <w:r w:rsidR="00A33FAC">
        <w:t>—</w:t>
      </w:r>
      <w:r w:rsidR="00353423">
        <w:t>will also require the licensee of Block 1</w:t>
      </w:r>
      <w:r w:rsidR="00F9753B">
        <w:t xml:space="preserve"> to</w:t>
      </w:r>
      <w:r w:rsidR="00353423">
        <w:t xml:space="preserve"> </w:t>
      </w:r>
      <w:r>
        <w:t xml:space="preserve">use part of its licensed frequency as </w:t>
      </w:r>
      <w:r w:rsidR="00353423">
        <w:t xml:space="preserve">a guard band. The </w:t>
      </w:r>
      <w:r w:rsidR="003E6052">
        <w:t xml:space="preserve">final </w:t>
      </w:r>
      <w:r w:rsidR="00353423">
        <w:t>intended outcome after the downshift of spectrum licences</w:t>
      </w:r>
      <w:r w:rsidR="00A33FAC">
        <w:t>—</w:t>
      </w:r>
      <w:r w:rsidR="00353423">
        <w:t>in orange</w:t>
      </w:r>
      <w:r w:rsidR="00A33FAC">
        <w:t>—</w:t>
      </w:r>
      <w:r w:rsidR="00353423">
        <w:t xml:space="preserve">is that the </w:t>
      </w:r>
      <w:r w:rsidR="00C327BD">
        <w:t xml:space="preserve">guard band would be outside </w:t>
      </w:r>
      <w:r w:rsidR="00353423">
        <w:t>Block 1</w:t>
      </w:r>
      <w:r>
        <w:t xml:space="preserve">. This would </w:t>
      </w:r>
      <w:r w:rsidR="00C327BD">
        <w:t xml:space="preserve">allow the licensee </w:t>
      </w:r>
      <w:r w:rsidR="00353423">
        <w:t xml:space="preserve">to utilise the full 5 MHz of </w:t>
      </w:r>
      <w:r>
        <w:t>its licence</w:t>
      </w:r>
      <w:r w:rsidR="00353423">
        <w:t xml:space="preserve">. </w:t>
      </w:r>
    </w:p>
    <w:p w14:paraId="17C384BF" w14:textId="704549D8" w:rsidR="00353423" w:rsidRDefault="00353423" w:rsidP="00A33FAC">
      <w:pPr>
        <w:pStyle w:val="ACMAFigureHeader"/>
      </w:pPr>
      <w:bookmarkStart w:id="17" w:name="_Ref34988007"/>
      <w:bookmarkStart w:id="18" w:name="_Ref37313902"/>
      <w:r>
        <w:t xml:space="preserve">Current, post-allocation and post-downshift arrangements for the </w:t>
      </w:r>
      <w:r w:rsidR="00F101D0">
        <w:t xml:space="preserve">upper segment of the 850 MHz spectrum-licensed band and </w:t>
      </w:r>
      <w:r w:rsidR="00D27BBF">
        <w:t>lower</w:t>
      </w:r>
      <w:r>
        <w:t xml:space="preserve"> segment of the </w:t>
      </w:r>
      <w:r w:rsidR="00F101D0">
        <w:t>90</w:t>
      </w:r>
      <w:r w:rsidR="003E6052">
        <w:t>0</w:t>
      </w:r>
      <w:r>
        <w:t> MHz band</w:t>
      </w:r>
      <w:bookmarkEnd w:id="17"/>
      <w:bookmarkEnd w:id="18"/>
    </w:p>
    <w:p w14:paraId="18DFE662" w14:textId="3A672700" w:rsidR="00426C77" w:rsidRDefault="00426C77" w:rsidP="001B3CDD">
      <w:pPr>
        <w:pStyle w:val="Tableorfigurenote"/>
        <w:spacing w:after="0"/>
        <w:rPr>
          <w:noProof/>
        </w:rPr>
      </w:pPr>
      <w:r>
        <w:rPr>
          <w:noProof/>
        </w:rPr>
        <w:drawing>
          <wp:inline distT="0" distB="0" distL="0" distR="0" wp14:anchorId="22500E95" wp14:editId="18761AE1">
            <wp:extent cx="4729480" cy="3060506"/>
            <wp:effectExtent l="0" t="0" r="0" b="6985"/>
            <wp:docPr id="13" name="Picture 13" descr="Diagram of the lower segment of the 900 MHz band (between 890-915 MHz) currently, as compared with the post-allocation outcome and the post-downshift outc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34409" cy="3063695"/>
                    </a:xfrm>
                    <a:prstGeom prst="rect">
                      <a:avLst/>
                    </a:prstGeom>
                  </pic:spPr>
                </pic:pic>
              </a:graphicData>
            </a:graphic>
          </wp:inline>
        </w:drawing>
      </w:r>
    </w:p>
    <w:p w14:paraId="1C80ADDA" w14:textId="2D2ECB3F" w:rsidR="00353423" w:rsidRDefault="0024400B" w:rsidP="00353423">
      <w:pPr>
        <w:pStyle w:val="Tableorfigurenote"/>
      </w:pPr>
      <w:r>
        <w:t xml:space="preserve">Note: </w:t>
      </w:r>
      <w:r w:rsidR="00353423">
        <w:t>Not to scale</w:t>
      </w:r>
    </w:p>
    <w:p w14:paraId="305A0AEB" w14:textId="7A98B416" w:rsidR="00E625F7" w:rsidRDefault="00A33FAC" w:rsidP="001B3CDD">
      <w:pPr>
        <w:pStyle w:val="Paragraph"/>
        <w:keepNext/>
        <w:keepLines/>
      </w:pPr>
      <w:r>
        <w:lastRenderedPageBreak/>
        <w:t>We</w:t>
      </w:r>
      <w:r w:rsidR="00C618D4">
        <w:t xml:space="preserve"> propose the </w:t>
      </w:r>
      <w:r w:rsidR="00353423">
        <w:t xml:space="preserve">2 x 1 MHz </w:t>
      </w:r>
      <w:r w:rsidR="0098465A">
        <w:t xml:space="preserve">segment </w:t>
      </w:r>
      <w:r w:rsidR="0005161A">
        <w:t xml:space="preserve">be </w:t>
      </w:r>
      <w:r w:rsidR="00246CC5">
        <w:t xml:space="preserve">allocated </w:t>
      </w:r>
      <w:r w:rsidR="00353423">
        <w:t xml:space="preserve">with the lower frequency </w:t>
      </w:r>
      <w:r w:rsidR="0098465A">
        <w:t xml:space="preserve">segment </w:t>
      </w:r>
      <w:r w:rsidR="00353423">
        <w:t>in the 900 MHz band (</w:t>
      </w:r>
      <w:r w:rsidR="00B17635" w:rsidRPr="00CC0741">
        <w:t xml:space="preserve">Figure 5, </w:t>
      </w:r>
      <w:r w:rsidR="00353423" w:rsidRPr="00CC0741">
        <w:t>Block 1 in pink</w:t>
      </w:r>
      <w:r w:rsidR="00353423">
        <w:t xml:space="preserve">). </w:t>
      </w:r>
      <w:r>
        <w:t>We</w:t>
      </w:r>
      <w:r w:rsidR="00786408">
        <w:t xml:space="preserve"> consider that the attachment of the 2 x 1 MHz of ‘downshift’ spectrum to the lower lot of the 900 MHz band</w:t>
      </w:r>
      <w:r w:rsidR="00885181">
        <w:t xml:space="preserve"> may</w:t>
      </w:r>
      <w:r w:rsidR="00786408" w:rsidDel="00885181">
        <w:t xml:space="preserve"> </w:t>
      </w:r>
      <w:r w:rsidR="00786408">
        <w:t xml:space="preserve">facilitate negotiations between </w:t>
      </w:r>
      <w:r w:rsidR="00A424BE">
        <w:t xml:space="preserve">the </w:t>
      </w:r>
      <w:r w:rsidR="00ED5C02">
        <w:t xml:space="preserve">‘Block 1’ licensee and licensees in the adjacent 850 MHz </w:t>
      </w:r>
      <w:r w:rsidR="00B84602">
        <w:t xml:space="preserve">spectrum-licensed </w:t>
      </w:r>
      <w:r w:rsidR="00ED5C02">
        <w:t>band</w:t>
      </w:r>
      <w:r w:rsidR="00A424BE">
        <w:t xml:space="preserve"> </w:t>
      </w:r>
      <w:r w:rsidR="00786408">
        <w:t xml:space="preserve">to achieve the downshift </w:t>
      </w:r>
      <w:r w:rsidR="00885181">
        <w:t xml:space="preserve">of the 850 MHz </w:t>
      </w:r>
      <w:r w:rsidR="00CB20D6">
        <w:t xml:space="preserve">spectrum-licensed </w:t>
      </w:r>
      <w:r w:rsidR="00885181">
        <w:t xml:space="preserve">band </w:t>
      </w:r>
      <w:r w:rsidR="00786408">
        <w:t xml:space="preserve">as early as possible. </w:t>
      </w:r>
      <w:r w:rsidR="00A428DF">
        <w:t>The licensee of the lower lot of the 900 MHz band would be the beneficiary of the downshift</w:t>
      </w:r>
      <w:r w:rsidR="00885181">
        <w:t xml:space="preserve"> </w:t>
      </w:r>
      <w:r w:rsidR="006D4A44">
        <w:t>(</w:t>
      </w:r>
      <w:r w:rsidR="00BE5E41" w:rsidRPr="00CC0741">
        <w:fldChar w:fldCharType="begin"/>
      </w:r>
      <w:r w:rsidR="00BE5E41" w:rsidRPr="00CC0741">
        <w:instrText xml:space="preserve"> REF _Ref34988007 \r \h </w:instrText>
      </w:r>
      <w:r w:rsidR="007E2580" w:rsidRPr="00CC0741">
        <w:instrText xml:space="preserve"> \* MERGEFORMAT </w:instrText>
      </w:r>
      <w:r w:rsidR="00BE5E41" w:rsidRPr="00CC0741">
        <w:fldChar w:fldCharType="separate"/>
      </w:r>
      <w:r w:rsidR="00BE5E41" w:rsidRPr="00CC0741">
        <w:t>Figure 5</w:t>
      </w:r>
      <w:r w:rsidR="00BE5E41" w:rsidRPr="00CC0741">
        <w:fldChar w:fldCharType="end"/>
      </w:r>
      <w:r w:rsidR="00BE5E41" w:rsidRPr="00CC0741">
        <w:t>, in orange</w:t>
      </w:r>
      <w:r w:rsidR="006D4A44">
        <w:t>)</w:t>
      </w:r>
      <w:r>
        <w:t>,</w:t>
      </w:r>
      <w:r w:rsidR="006D4A44">
        <w:t xml:space="preserve"> as that licensee would </w:t>
      </w:r>
      <w:r w:rsidR="00B84602">
        <w:t>hold, post</w:t>
      </w:r>
      <w:r>
        <w:t>-</w:t>
      </w:r>
      <w:r w:rsidR="00B84602">
        <w:t>downshift,</w:t>
      </w:r>
      <w:r w:rsidR="006D4A44">
        <w:t xml:space="preserve"> a 5 MHz </w:t>
      </w:r>
      <w:r w:rsidR="00B84602">
        <w:t>lot</w:t>
      </w:r>
      <w:r w:rsidR="006D4A44">
        <w:t xml:space="preserve"> </w:t>
      </w:r>
      <w:r>
        <w:t xml:space="preserve">that </w:t>
      </w:r>
      <w:r w:rsidR="007477AB">
        <w:t>will</w:t>
      </w:r>
      <w:r w:rsidR="00B84602">
        <w:t xml:space="preserve"> not require</w:t>
      </w:r>
      <w:r w:rsidR="006D4A44">
        <w:t xml:space="preserve"> an internal guard band</w:t>
      </w:r>
      <w:r w:rsidR="00A428DF">
        <w:t>.</w:t>
      </w:r>
    </w:p>
    <w:p w14:paraId="7BC6A67A" w14:textId="24067117" w:rsidR="00063C92" w:rsidRDefault="00353423" w:rsidP="009A6D6E">
      <w:pPr>
        <w:pStyle w:val="Paragraph"/>
      </w:pPr>
      <w:r>
        <w:t>T</w:t>
      </w:r>
      <w:r w:rsidRPr="000367CC">
        <w:t>he addition of a</w:t>
      </w:r>
      <w:r w:rsidR="00625733">
        <w:t>n unlicensed</w:t>
      </w:r>
      <w:r w:rsidRPr="000367CC">
        <w:t xml:space="preserve"> 1 MHz guard band between the</w:t>
      </w:r>
      <w:r>
        <w:t xml:space="preserve"> </w:t>
      </w:r>
      <w:r w:rsidRPr="000367CC">
        <w:t>8</w:t>
      </w:r>
      <w:r w:rsidR="00786408">
        <w:t>5</w:t>
      </w:r>
      <w:r w:rsidR="0089357C" w:rsidDel="00786408">
        <w:t>0</w:t>
      </w:r>
      <w:r w:rsidRPr="000367CC">
        <w:t xml:space="preserve"> MHz band </w:t>
      </w:r>
      <w:r>
        <w:t xml:space="preserve">spectrum-licensed band </w:t>
      </w:r>
      <w:r w:rsidRPr="000367CC">
        <w:t xml:space="preserve">and the </w:t>
      </w:r>
      <w:r w:rsidR="00786408">
        <w:t xml:space="preserve">lower segment of the </w:t>
      </w:r>
      <w:r>
        <w:t>90</w:t>
      </w:r>
      <w:r w:rsidRPr="000367CC">
        <w:t xml:space="preserve">0 MHz </w:t>
      </w:r>
      <w:r w:rsidR="00786408">
        <w:t xml:space="preserve">band </w:t>
      </w:r>
      <w:r w:rsidRPr="000367CC">
        <w:t>will significantly increase the usability of th</w:t>
      </w:r>
      <w:r w:rsidR="00786408">
        <w:t xml:space="preserve">at part of the </w:t>
      </w:r>
      <w:r w:rsidRPr="000367CC">
        <w:t>900 MHz band</w:t>
      </w:r>
      <w:r>
        <w:t xml:space="preserve"> </w:t>
      </w:r>
      <w:r w:rsidRPr="00CC0741">
        <w:t>(</w:t>
      </w:r>
      <w:r w:rsidR="003830CF" w:rsidRPr="00CC0741">
        <w:fldChar w:fldCharType="begin"/>
      </w:r>
      <w:r w:rsidR="003830CF" w:rsidRPr="00CC0741">
        <w:instrText xml:space="preserve"> REF _Ref34988007 \r \h </w:instrText>
      </w:r>
      <w:r w:rsidR="007E2580" w:rsidRPr="00CC0741">
        <w:instrText xml:space="preserve"> \* MERGEFORMAT </w:instrText>
      </w:r>
      <w:r w:rsidR="003830CF" w:rsidRPr="00CC0741">
        <w:fldChar w:fldCharType="separate"/>
      </w:r>
      <w:r w:rsidR="003830CF" w:rsidRPr="00CC0741">
        <w:t>Figure 5</w:t>
      </w:r>
      <w:r w:rsidR="003830CF" w:rsidRPr="00CC0741">
        <w:fldChar w:fldCharType="end"/>
      </w:r>
      <w:r w:rsidRPr="00CC0741">
        <w:t>, in orange</w:t>
      </w:r>
      <w:r>
        <w:t>)</w:t>
      </w:r>
      <w:r w:rsidRPr="000367CC">
        <w:t xml:space="preserve">. </w:t>
      </w:r>
    </w:p>
    <w:p w14:paraId="05FAEE49" w14:textId="50D30F60" w:rsidR="00105160" w:rsidRDefault="00012AB7" w:rsidP="00985F22">
      <w:pPr>
        <w:pStyle w:val="Heading2"/>
      </w:pPr>
      <w:bookmarkStart w:id="19" w:name="_Toc40175640"/>
      <w:r>
        <w:t xml:space="preserve">Legislative </w:t>
      </w:r>
      <w:r w:rsidR="00EA6AE1">
        <w:t>context</w:t>
      </w:r>
      <w:r w:rsidR="00EE02F0">
        <w:t xml:space="preserve"> </w:t>
      </w:r>
      <w:r>
        <w:t>and policy environment</w:t>
      </w:r>
      <w:bookmarkEnd w:id="19"/>
    </w:p>
    <w:p w14:paraId="4E0389DE" w14:textId="5EE909E3" w:rsidR="00CE5B5C" w:rsidRPr="00CE5B5C" w:rsidRDefault="00C4209F" w:rsidP="00CE5B5C">
      <w:pPr>
        <w:pStyle w:val="Paragraph"/>
      </w:pPr>
      <w:r>
        <w:t>One of our key priorities is to m</w:t>
      </w:r>
      <w:r w:rsidR="00CE5B5C" w:rsidRPr="00CE5B5C">
        <w:t>anag</w:t>
      </w:r>
      <w:r>
        <w:t>e</w:t>
      </w:r>
      <w:r w:rsidR="00CE5B5C" w:rsidRPr="00CE5B5C">
        <w:t xml:space="preserve"> spectrum efficiently and effectively for the benefit of all Australians.</w:t>
      </w:r>
      <w:r w:rsidR="00CE5B5C">
        <w:rPr>
          <w:rStyle w:val="FootnoteReference"/>
        </w:rPr>
        <w:footnoteReference w:id="6"/>
      </w:r>
      <w:r w:rsidR="00CE5B5C" w:rsidRPr="00CE5B5C">
        <w:t xml:space="preserve"> </w:t>
      </w:r>
      <w:r w:rsidR="00A33FAC">
        <w:t>We</w:t>
      </w:r>
      <w:r w:rsidR="00CE5B5C" w:rsidRPr="00CE5B5C">
        <w:t xml:space="preserve"> draw on a range of legislative and administrative tools in executing these functions.</w:t>
      </w:r>
    </w:p>
    <w:p w14:paraId="19E1D5AD" w14:textId="4FEB317D" w:rsidR="00012AB7" w:rsidRDefault="003C2DE6" w:rsidP="00351DE5">
      <w:pPr>
        <w:pStyle w:val="Heading3"/>
      </w:pPr>
      <w:r>
        <w:t xml:space="preserve">Guiding </w:t>
      </w:r>
      <w:r w:rsidRPr="00351DE5">
        <w:t>legislation</w:t>
      </w:r>
    </w:p>
    <w:p w14:paraId="1E6AAC6D" w14:textId="3B988C01" w:rsidR="002105F1" w:rsidRDefault="002105F1" w:rsidP="0089357C">
      <w:pPr>
        <w:pStyle w:val="Paragraphbeforelist"/>
      </w:pPr>
      <w:r>
        <w:t xml:space="preserve">Section 9 of the </w:t>
      </w:r>
      <w:r w:rsidRPr="006D3FB0">
        <w:rPr>
          <w:i/>
        </w:rPr>
        <w:t>Australian Communications and Media Authority Act 2005</w:t>
      </w:r>
      <w:r>
        <w:t xml:space="preserve"> (ACMA Act) sets out </w:t>
      </w:r>
      <w:r w:rsidR="00B852C1">
        <w:t>our</w:t>
      </w:r>
      <w:r>
        <w:t xml:space="preserve"> spectrum management functions, including to:</w:t>
      </w:r>
    </w:p>
    <w:p w14:paraId="7D659FF8" w14:textId="305D0DCD" w:rsidR="002105F1" w:rsidRDefault="002105F1" w:rsidP="002105F1">
      <w:pPr>
        <w:pStyle w:val="Bulletlevel1"/>
      </w:pPr>
      <w:r>
        <w:t xml:space="preserve">manage the radiofrequency spectrum in accordance with </w:t>
      </w:r>
      <w:r w:rsidR="00D86FA0">
        <w:t xml:space="preserve">the </w:t>
      </w:r>
      <w:r w:rsidR="00D86FA0">
        <w:rPr>
          <w:i/>
          <w:iCs/>
        </w:rPr>
        <w:t>Radiocommunications Act 1992</w:t>
      </w:r>
      <w:r w:rsidR="00D86FA0">
        <w:t>.</w:t>
      </w:r>
    </w:p>
    <w:p w14:paraId="3EB6ED26" w14:textId="19FA6057" w:rsidR="002105F1" w:rsidRDefault="002105F1" w:rsidP="00951E99">
      <w:pPr>
        <w:pStyle w:val="Bulletlevel1last"/>
      </w:pPr>
      <w:r>
        <w:t>advise and assist the radiocommunications community.</w:t>
      </w:r>
    </w:p>
    <w:p w14:paraId="0AB48E9E" w14:textId="560D7A81" w:rsidR="002105F1" w:rsidRPr="00951E99" w:rsidRDefault="002105F1" w:rsidP="001B3CDD">
      <w:pPr>
        <w:pStyle w:val="Paragraphbeforelist"/>
      </w:pPr>
      <w:r w:rsidRPr="00951E99">
        <w:t xml:space="preserve">Consistent with the spectrum management functions set out in the ACMA Act, the </w:t>
      </w:r>
      <w:r w:rsidRPr="00023D4B">
        <w:t xml:space="preserve">object of </w:t>
      </w:r>
      <w:r w:rsidR="00D33D1A">
        <w:t>the Act</w:t>
      </w:r>
      <w:r w:rsidRPr="00023D4B">
        <w:t xml:space="preserve"> is to provide for</w:t>
      </w:r>
      <w:r w:rsidRPr="00951E99">
        <w:t xml:space="preserve"> management of the radiofrequency spectrum in order to (among other </w:t>
      </w:r>
      <w:r w:rsidR="00662ED1">
        <w:t>objectives</w:t>
      </w:r>
      <w:r w:rsidRPr="00951E99">
        <w:t>):</w:t>
      </w:r>
    </w:p>
    <w:p w14:paraId="4BD005A2" w14:textId="261D8716" w:rsidR="002105F1" w:rsidRDefault="002105F1" w:rsidP="002105F1">
      <w:pPr>
        <w:pStyle w:val="Bulletlevel1"/>
      </w:pPr>
      <w:r>
        <w:t>maximise, by ensuring the efficient allocation and use of the spectrum, the overall public benefit derived from using the radiofrequency spectrum</w:t>
      </w:r>
    </w:p>
    <w:p w14:paraId="723E6E98" w14:textId="1FD641F1" w:rsidR="00B20908" w:rsidRDefault="00B20908" w:rsidP="00A600D8">
      <w:pPr>
        <w:pStyle w:val="Bulletlevel1"/>
      </w:pPr>
      <w:r>
        <w:t xml:space="preserve">make adequate provision of the spectrum for use by agencies involved in the defence or national security of Australia, law enforcement or the provision of emergency </w:t>
      </w:r>
      <w:proofErr w:type="gramStart"/>
      <w:r>
        <w:t>services;</w:t>
      </w:r>
      <w:proofErr w:type="gramEnd"/>
      <w:r>
        <w:t xml:space="preserve"> and for use by other public or community services</w:t>
      </w:r>
    </w:p>
    <w:p w14:paraId="06750793" w14:textId="2C271431" w:rsidR="002105F1" w:rsidRDefault="002105F1" w:rsidP="002105F1">
      <w:pPr>
        <w:pStyle w:val="Bulletlevel1"/>
      </w:pPr>
      <w:r>
        <w:t>provide a responsive and flexible approach to meeting the needs of users of the spectrum</w:t>
      </w:r>
    </w:p>
    <w:p w14:paraId="52B03F35" w14:textId="31A9C434" w:rsidR="002105F1" w:rsidRDefault="002105F1" w:rsidP="002105F1">
      <w:pPr>
        <w:pStyle w:val="Bulletlevel1"/>
      </w:pPr>
      <w:r>
        <w:t>encourage the use of efficient radiocommunication technologies so that a wide range of services of an adequate quality can be provided</w:t>
      </w:r>
    </w:p>
    <w:p w14:paraId="4E75C5EB" w14:textId="32FF33D7" w:rsidR="002105F1" w:rsidRDefault="002105F1" w:rsidP="00951E99">
      <w:pPr>
        <w:pStyle w:val="Bulletlevel1last"/>
      </w:pPr>
      <w:r>
        <w:t>support the communications policy objectives of the Commonwealth Government.</w:t>
      </w:r>
    </w:p>
    <w:p w14:paraId="0CD663D3" w14:textId="47C33A82" w:rsidR="002105F1" w:rsidRDefault="002105F1" w:rsidP="000B643A">
      <w:pPr>
        <w:pStyle w:val="Paragraph"/>
      </w:pPr>
      <w:r>
        <w:t>The draft recommendation set out in this paper is informed by</w:t>
      </w:r>
      <w:r w:rsidR="00443A41">
        <w:t xml:space="preserve"> and is consistent with</w:t>
      </w:r>
      <w:r>
        <w:t xml:space="preserve"> </w:t>
      </w:r>
      <w:r w:rsidR="00834018">
        <w:t xml:space="preserve">the object of </w:t>
      </w:r>
      <w:r w:rsidR="00D33D1A">
        <w:t>the Act</w:t>
      </w:r>
      <w:r>
        <w:t>.</w:t>
      </w:r>
    </w:p>
    <w:p w14:paraId="55FCBB54" w14:textId="500751F6" w:rsidR="006717C1" w:rsidRDefault="006717C1" w:rsidP="006717C1">
      <w:pPr>
        <w:pStyle w:val="Heading3"/>
      </w:pPr>
      <w:r>
        <w:t>Principles for spectrum management</w:t>
      </w:r>
    </w:p>
    <w:p w14:paraId="2B00F7B2" w14:textId="5BF55D02" w:rsidR="0069464E" w:rsidRDefault="0069464E" w:rsidP="0089357C">
      <w:pPr>
        <w:pStyle w:val="Paragraphbeforelist"/>
      </w:pPr>
      <w:r>
        <w:t>The draft recommendation also promotes the principles</w:t>
      </w:r>
      <w:r w:rsidR="00662ED1">
        <w:t xml:space="preserve"> for spectrum management</w:t>
      </w:r>
      <w:r w:rsidR="00A33FAC">
        <w:t>, including</w:t>
      </w:r>
      <w:r>
        <w:t>:</w:t>
      </w:r>
    </w:p>
    <w:p w14:paraId="5F2B2FF8" w14:textId="1C5FF07C" w:rsidR="0069464E" w:rsidRDefault="0069464E" w:rsidP="0069464E">
      <w:pPr>
        <w:pStyle w:val="Bulletlevel1"/>
      </w:pPr>
      <w:r>
        <w:t>principle 1—allocate spectrum to the highest value use or uses</w:t>
      </w:r>
    </w:p>
    <w:p w14:paraId="16DC21CD" w14:textId="47BF86AF" w:rsidR="0069464E" w:rsidRDefault="0069464E" w:rsidP="0069464E">
      <w:pPr>
        <w:pStyle w:val="Bulletlevel1"/>
      </w:pPr>
      <w:r>
        <w:t>principle 2—enable and encourage spectrum to move to its highest value use or uses</w:t>
      </w:r>
    </w:p>
    <w:p w14:paraId="16096DBF" w14:textId="7C549B52" w:rsidR="0069464E" w:rsidRDefault="0069464E" w:rsidP="0069464E">
      <w:pPr>
        <w:pStyle w:val="Bulletlevel1"/>
      </w:pPr>
      <w:r>
        <w:t>principle 3—use the least cost and least restrictive approach to achieving policy objectives</w:t>
      </w:r>
    </w:p>
    <w:p w14:paraId="02C3FBAD" w14:textId="17CD6BA1" w:rsidR="0069464E" w:rsidRDefault="0069464E" w:rsidP="0069464E">
      <w:pPr>
        <w:pStyle w:val="Bulletlevel1"/>
      </w:pPr>
      <w:r>
        <w:lastRenderedPageBreak/>
        <w:t>principle 4—to the extent possible, promote both certainty and flexibility</w:t>
      </w:r>
    </w:p>
    <w:p w14:paraId="339AD3AC" w14:textId="3519DF03" w:rsidR="0069464E" w:rsidRDefault="0069464E" w:rsidP="00951E99">
      <w:pPr>
        <w:pStyle w:val="Bulletlevel1last"/>
      </w:pPr>
      <w:r>
        <w:t>principle 5—balance the cost of interference and the benefits of greater spectrum utilisation.</w:t>
      </w:r>
    </w:p>
    <w:p w14:paraId="3D1B1BAF" w14:textId="41C6CA12" w:rsidR="008908EE" w:rsidRDefault="0069464E" w:rsidP="008908EE">
      <w:pPr>
        <w:pStyle w:val="Paragraph"/>
      </w:pPr>
      <w:r>
        <w:t xml:space="preserve">In arriving at regulatory decisions, </w:t>
      </w:r>
      <w:r w:rsidR="00A33FAC">
        <w:t>we</w:t>
      </w:r>
      <w:r>
        <w:t xml:space="preserve"> consider a range of factors identified in </w:t>
      </w:r>
      <w:r w:rsidR="00A33FAC">
        <w:t xml:space="preserve">our </w:t>
      </w:r>
      <w:r>
        <w:t>spectrum management decision framework (</w:t>
      </w:r>
      <w:r w:rsidR="00D30C17">
        <w:fldChar w:fldCharType="begin"/>
      </w:r>
      <w:r w:rsidR="00D30C17">
        <w:instrText xml:space="preserve"> REF _Ref32997815 \r \h </w:instrText>
      </w:r>
      <w:r w:rsidR="008908EE">
        <w:instrText xml:space="preserve"> \* MERGEFORMAT </w:instrText>
      </w:r>
      <w:r w:rsidR="00D30C17">
        <w:fldChar w:fldCharType="separate"/>
      </w:r>
      <w:r w:rsidR="00EB7106">
        <w:t>Figure 6</w:t>
      </w:r>
      <w:r w:rsidR="00D30C17">
        <w:fldChar w:fldCharType="end"/>
      </w:r>
      <w:r>
        <w:t>).</w:t>
      </w:r>
    </w:p>
    <w:p w14:paraId="58BA5E30" w14:textId="690D3D02" w:rsidR="00E9395E" w:rsidRDefault="00E9395E" w:rsidP="00D12395">
      <w:pPr>
        <w:pStyle w:val="Figureheading"/>
      </w:pPr>
      <w:bookmarkStart w:id="20" w:name="_Ref30602528"/>
      <w:bookmarkStart w:id="21" w:name="_Ref32997815"/>
      <w:r>
        <w:t>The ACMA’s spectrum management decision framework</w:t>
      </w:r>
      <w:bookmarkEnd w:id="20"/>
      <w:bookmarkEnd w:id="21"/>
    </w:p>
    <w:p w14:paraId="14E32407" w14:textId="1118D085" w:rsidR="00024E98" w:rsidRDefault="00E9395E" w:rsidP="00023D4B">
      <w:pPr>
        <w:spacing w:after="0"/>
      </w:pPr>
      <w:r>
        <w:rPr>
          <w:noProof/>
        </w:rPr>
        <w:drawing>
          <wp:inline distT="0" distB="0" distL="0" distR="0" wp14:anchorId="29490962" wp14:editId="0A7FAC9A">
            <wp:extent cx="5924390" cy="3493054"/>
            <wp:effectExtent l="0" t="0" r="635" b="0"/>
            <wp:docPr id="2" name="Picture 2" descr="A diagram of the ACMA's spectrum management decision framework.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a:extLst>
                        <a:ext uri="{28A0092B-C50C-407E-A947-70E740481C1C}">
                          <a14:useLocalDpi xmlns:a14="http://schemas.microsoft.com/office/drawing/2010/main" val="0"/>
                        </a:ext>
                      </a:extLst>
                    </a:blip>
                    <a:srcRect/>
                    <a:stretch/>
                  </pic:blipFill>
                  <pic:spPr bwMode="auto">
                    <a:xfrm>
                      <a:off x="0" y="0"/>
                      <a:ext cx="5929228" cy="3495906"/>
                    </a:xfrm>
                    <a:prstGeom prst="rect">
                      <a:avLst/>
                    </a:prstGeom>
                    <a:noFill/>
                    <a:ln>
                      <a:noFill/>
                    </a:ln>
                    <a:extLst>
                      <a:ext uri="{53640926-AAD7-44D8-BBD7-CCE9431645EC}">
                        <a14:shadowObscured xmlns:a14="http://schemas.microsoft.com/office/drawing/2010/main"/>
                      </a:ext>
                    </a:extLst>
                  </pic:spPr>
                </pic:pic>
              </a:graphicData>
            </a:graphic>
          </wp:inline>
        </w:drawing>
      </w:r>
    </w:p>
    <w:p w14:paraId="4978487D" w14:textId="77777777" w:rsidR="00A33FAC" w:rsidRDefault="00A33FAC" w:rsidP="00A3278A">
      <w:pPr>
        <w:pStyle w:val="Heading3"/>
      </w:pPr>
    </w:p>
    <w:p w14:paraId="271090E0" w14:textId="6B9B8CDF" w:rsidR="00A3278A" w:rsidRPr="00A3278A" w:rsidRDefault="00A3278A" w:rsidP="00A3278A">
      <w:pPr>
        <w:pStyle w:val="Heading3"/>
      </w:pPr>
      <w:r w:rsidRPr="00397975">
        <w:t>Government communications policy objectives</w:t>
      </w:r>
    </w:p>
    <w:p w14:paraId="4192A470" w14:textId="1D385053" w:rsidR="00A3278A" w:rsidRPr="00397975" w:rsidRDefault="00CB49E5" w:rsidP="00A3278A">
      <w:pPr>
        <w:pStyle w:val="Paragraphbeforelist"/>
      </w:pPr>
      <w:r>
        <w:t xml:space="preserve">The object of </w:t>
      </w:r>
      <w:r w:rsidR="00D33D1A">
        <w:t>the Act</w:t>
      </w:r>
      <w:r>
        <w:t xml:space="preserve"> is to provide for management of the radiofrequency spectrum in order to, among other things, support the communications policy objectives of the </w:t>
      </w:r>
      <w:r w:rsidR="00D9412C">
        <w:t xml:space="preserve">Australian </w:t>
      </w:r>
      <w:r>
        <w:t xml:space="preserve">Government. The </w:t>
      </w:r>
      <w:r w:rsidR="000F2B54">
        <w:t>g</w:t>
      </w:r>
      <w:r w:rsidR="00A63032">
        <w:t>overnment</w:t>
      </w:r>
      <w:r w:rsidR="00CC1B61">
        <w:t xml:space="preserve"> </w:t>
      </w:r>
      <w:r>
        <w:t>has set the following objectives for the allocation of the 850/900 MHz band</w:t>
      </w:r>
      <w:r w:rsidR="00A3278A" w:rsidRPr="00B06F50">
        <w:t>:</w:t>
      </w:r>
      <w:r w:rsidR="00CC1B61">
        <w:rPr>
          <w:rStyle w:val="FootnoteReference"/>
        </w:rPr>
        <w:footnoteReference w:id="7"/>
      </w:r>
    </w:p>
    <w:p w14:paraId="31BB25F8" w14:textId="18E7892D" w:rsidR="00A3278A" w:rsidRPr="00397975" w:rsidRDefault="00A33FAC" w:rsidP="00A3278A">
      <w:pPr>
        <w:pStyle w:val="Bulletlevel1"/>
      </w:pPr>
      <w:r>
        <w:t>s</w:t>
      </w:r>
      <w:r w:rsidR="00A3278A" w:rsidRPr="00397975">
        <w:t>upporting the deployment of 5G technologies</w:t>
      </w:r>
    </w:p>
    <w:p w14:paraId="73AC674B" w14:textId="08E68ED8" w:rsidR="00A3278A" w:rsidRPr="00397975" w:rsidRDefault="00A33FAC" w:rsidP="00A3278A">
      <w:pPr>
        <w:pStyle w:val="Bulletlevel1"/>
      </w:pPr>
      <w:r>
        <w:t>p</w:t>
      </w:r>
      <w:r w:rsidR="00A3278A" w:rsidRPr="00397975">
        <w:t>romoting competitive market outcomes for the long</w:t>
      </w:r>
      <w:r>
        <w:t>-</w:t>
      </w:r>
      <w:r w:rsidR="00A3278A" w:rsidRPr="00397975">
        <w:t>term benefit of consumers</w:t>
      </w:r>
    </w:p>
    <w:p w14:paraId="7DD2876C" w14:textId="1002B7FB" w:rsidR="00A3278A" w:rsidRPr="00397975" w:rsidRDefault="00A33FAC" w:rsidP="00A3278A">
      <w:pPr>
        <w:pStyle w:val="Bulletlevel1"/>
      </w:pPr>
      <w:r>
        <w:t>e</w:t>
      </w:r>
      <w:r w:rsidR="00A3278A" w:rsidRPr="00397975">
        <w:t>ncouraging investment in infrastructure, including in regional Australia</w:t>
      </w:r>
    </w:p>
    <w:p w14:paraId="10A2375E" w14:textId="5358E4E9" w:rsidR="00A3278A" w:rsidRPr="00397975" w:rsidRDefault="00A33FAC" w:rsidP="00A3278A">
      <w:pPr>
        <w:pStyle w:val="Bulletlevel1"/>
      </w:pPr>
      <w:r>
        <w:t>s</w:t>
      </w:r>
      <w:r w:rsidR="00A3278A" w:rsidRPr="00397975">
        <w:t>upporting continuity of services</w:t>
      </w:r>
    </w:p>
    <w:p w14:paraId="6EBA2AB8" w14:textId="1452987D" w:rsidR="007B2084" w:rsidRPr="00B8703B" w:rsidRDefault="00A33FAC" w:rsidP="007B2084">
      <w:pPr>
        <w:pStyle w:val="ListBulletLast"/>
      </w:pPr>
      <w:r>
        <w:t>s</w:t>
      </w:r>
      <w:r w:rsidR="007B2084" w:rsidRPr="00593DF7">
        <w:t>upporting a national PSMB capability</w:t>
      </w:r>
      <w:r w:rsidR="004D4B0E" w:rsidRPr="00B8703B">
        <w:t>.</w:t>
      </w:r>
    </w:p>
    <w:p w14:paraId="17A59C6B" w14:textId="75C5D23B" w:rsidR="00FD4EB7" w:rsidRPr="00926ECA" w:rsidRDefault="00AB7817" w:rsidP="00FD4EB7">
      <w:pPr>
        <w:pStyle w:val="Paragraph"/>
      </w:pPr>
      <w:r>
        <w:t>In terms of</w:t>
      </w:r>
      <w:r w:rsidR="00FD4EB7" w:rsidRPr="00926ECA">
        <w:t xml:space="preserve"> </w:t>
      </w:r>
      <w:r w:rsidR="00ED15FF" w:rsidRPr="00926ECA">
        <w:t>supporting continuity of services</w:t>
      </w:r>
      <w:r w:rsidR="00FD4EB7" w:rsidRPr="00926ECA">
        <w:t xml:space="preserve">, during the replanning process for the 850/900 MHz band, </w:t>
      </w:r>
      <w:r>
        <w:t>we</w:t>
      </w:r>
      <w:r w:rsidR="00FD4EB7" w:rsidRPr="00926ECA">
        <w:t xml:space="preserve"> acknowledged the concerns of incumbent </w:t>
      </w:r>
      <w:r w:rsidR="008A35AE">
        <w:t>apparatus</w:t>
      </w:r>
      <w:r w:rsidR="00FD4EB7" w:rsidRPr="00926ECA">
        <w:t xml:space="preserve"> licensees about service continuity for existing 3G services that rely on the 900 MHz band. The Minister </w:t>
      </w:r>
      <w:r w:rsidR="00800B4D">
        <w:t>has</w:t>
      </w:r>
      <w:r w:rsidR="00FD4EB7" w:rsidRPr="00926ECA">
        <w:t xml:space="preserve"> also noted the concerns regarding service continuity, stating that it is ‘important that our spectrum policy setting</w:t>
      </w:r>
      <w:r w:rsidR="00FD5E19" w:rsidRPr="00926ECA">
        <w:t>s</w:t>
      </w:r>
      <w:r w:rsidR="00FD4EB7" w:rsidRPr="00926ECA">
        <w:t xml:space="preserve"> do not trigger a disruption in service to existing 3G customers’.</w:t>
      </w:r>
      <w:r w:rsidR="00FD4EB7" w:rsidRPr="00926ECA">
        <w:rPr>
          <w:vertAlign w:val="superscript"/>
        </w:rPr>
        <w:footnoteReference w:id="8"/>
      </w:r>
      <w:r w:rsidR="00FD4EB7" w:rsidRPr="00926ECA">
        <w:t xml:space="preserve"> </w:t>
      </w:r>
      <w:r w:rsidR="00800B4D" w:rsidRPr="00800B4D">
        <w:t xml:space="preserve">The Minister stated that </w:t>
      </w:r>
      <w:r w:rsidR="00800B4D">
        <w:t>‘</w:t>
      </w:r>
      <w:r w:rsidR="00800B4D" w:rsidRPr="00800B4D">
        <w:t xml:space="preserve">The Government will consult with </w:t>
      </w:r>
      <w:r w:rsidR="00800B4D" w:rsidRPr="00800B4D">
        <w:lastRenderedPageBreak/>
        <w:t>stakeholders, including incumbents and the Australian Competition and Consumer Commission, on the potential use of allocation limits to achieve the Government’s objective</w:t>
      </w:r>
      <w:r w:rsidR="00800B4D">
        <w:t>s’</w:t>
      </w:r>
      <w:r w:rsidR="00800B4D" w:rsidRPr="00800B4D">
        <w:t xml:space="preserve">.  </w:t>
      </w:r>
    </w:p>
    <w:p w14:paraId="476E7E73" w14:textId="7E5DBFAB" w:rsidR="00FD4EB7" w:rsidRPr="00926ECA" w:rsidRDefault="00FD4EB7" w:rsidP="00FD4EB7">
      <w:pPr>
        <w:pStyle w:val="Paragraph"/>
      </w:pPr>
      <w:r w:rsidRPr="00926ECA">
        <w:t xml:space="preserve">It was noted in the </w:t>
      </w:r>
      <w:r w:rsidR="007B1E90">
        <w:t xml:space="preserve">decision paper </w:t>
      </w:r>
      <w:r w:rsidRPr="00926ECA">
        <w:t xml:space="preserve">that mitigating risks to service continuity by providing incumbent 900 MHz licensees with certainty </w:t>
      </w:r>
      <w:r w:rsidR="009E7FCB">
        <w:t>may</w:t>
      </w:r>
      <w:r w:rsidR="009E7FCB" w:rsidRPr="00926ECA">
        <w:t xml:space="preserve"> </w:t>
      </w:r>
      <w:r w:rsidRPr="00926ECA">
        <w:t xml:space="preserve">be achieved </w:t>
      </w:r>
      <w:proofErr w:type="gramStart"/>
      <w:r w:rsidRPr="00926ECA">
        <w:t>through the use of</w:t>
      </w:r>
      <w:proofErr w:type="gramEnd"/>
      <w:r w:rsidRPr="00926ECA">
        <w:t xml:space="preserve"> allocation limits. In the past, when seeking to directly allocate spectrum under section 60 of </w:t>
      </w:r>
      <w:r w:rsidR="00D33D1A">
        <w:t>the Act</w:t>
      </w:r>
      <w:r w:rsidRPr="00AB7817">
        <w:t>,</w:t>
      </w:r>
      <w:r w:rsidRPr="00926ECA">
        <w:t xml:space="preserve"> the Minister’s power to set spectrum allocation limits has been considered.</w:t>
      </w:r>
      <w:r w:rsidRPr="00926ECA">
        <w:rPr>
          <w:vertAlign w:val="superscript"/>
        </w:rPr>
        <w:footnoteReference w:id="9"/>
      </w:r>
      <w:r w:rsidRPr="00926ECA">
        <w:t xml:space="preserve"> </w:t>
      </w:r>
      <w:r w:rsidR="00AB7817">
        <w:t>This</w:t>
      </w:r>
      <w:r w:rsidRPr="00926ECA">
        <w:t xml:space="preserve"> approach is referred to in other countries as ‘spectrum set-asides’.</w:t>
      </w:r>
      <w:r w:rsidR="00B72F13" w:rsidRPr="00B72F13">
        <w:t xml:space="preserve"> </w:t>
      </w:r>
      <w:r w:rsidR="00B72F13">
        <w:t xml:space="preserve">As noted in the </w:t>
      </w:r>
      <w:r w:rsidR="00B72F13" w:rsidRPr="00A836A2">
        <w:t>decision paper</w:t>
      </w:r>
      <w:r w:rsidR="00B72F13">
        <w:t xml:space="preserve">, </w:t>
      </w:r>
      <w:r w:rsidR="00AB7817">
        <w:t>we</w:t>
      </w:r>
      <w:r w:rsidR="00B72F13" w:rsidDel="0052076C">
        <w:t xml:space="preserve"> </w:t>
      </w:r>
      <w:r w:rsidR="00B72F13">
        <w:t xml:space="preserve">cannot </w:t>
      </w:r>
      <w:r w:rsidR="00B72F13" w:rsidDel="0052076C">
        <w:t>commit to the</w:t>
      </w:r>
      <w:r w:rsidR="00B72F13">
        <w:t xml:space="preserve"> Minister</w:t>
      </w:r>
      <w:r w:rsidR="00B72F13" w:rsidDel="0052076C">
        <w:t xml:space="preserve"> taking any particular action in any particular manner</w:t>
      </w:r>
      <w:r w:rsidR="00B72F13">
        <w:t>, as both the ACMA and the Minister</w:t>
      </w:r>
      <w:r w:rsidR="00B72F13" w:rsidDel="0052076C">
        <w:t xml:space="preserve"> will need to consider </w:t>
      </w:r>
      <w:r w:rsidR="00B72F13">
        <w:t>each action</w:t>
      </w:r>
      <w:r w:rsidR="00B72F13" w:rsidDel="0052076C">
        <w:t xml:space="preserve"> on the basis of the facts, information and circumstances at the relevant time</w:t>
      </w:r>
      <w:r w:rsidR="00B72F13">
        <w:t>.</w:t>
      </w:r>
    </w:p>
    <w:p w14:paraId="00044A5F" w14:textId="5AD1B46B" w:rsidR="00E9395E" w:rsidRDefault="00DA3182" w:rsidP="007B1E90">
      <w:pPr>
        <w:pStyle w:val="Heading2"/>
      </w:pPr>
      <w:bookmarkStart w:id="22" w:name="_Toc40175641"/>
      <w:r>
        <w:t>Re</w:t>
      </w:r>
      <w:r>
        <w:noBreakHyphen/>
        <w:t>allocation</w:t>
      </w:r>
      <w:r w:rsidR="00E9395E">
        <w:t xml:space="preserve"> process</w:t>
      </w:r>
      <w:bookmarkEnd w:id="22"/>
    </w:p>
    <w:p w14:paraId="7FC385E8" w14:textId="1F3DBE68" w:rsidR="002F613D" w:rsidRPr="006468A3" w:rsidRDefault="002F613D" w:rsidP="000B643A">
      <w:pPr>
        <w:pStyle w:val="Paragraph"/>
      </w:pPr>
      <w:r w:rsidRPr="006468A3">
        <w:t xml:space="preserve">Part 3.6 of </w:t>
      </w:r>
      <w:r w:rsidR="00D33D1A">
        <w:t>the Act</w:t>
      </w:r>
      <w:r w:rsidRPr="006468A3">
        <w:t xml:space="preserve"> sets out the process for the </w:t>
      </w:r>
      <w:r w:rsidR="00DA3182">
        <w:t>re</w:t>
      </w:r>
      <w:r w:rsidR="00DA3182">
        <w:noBreakHyphen/>
        <w:t>allocation</w:t>
      </w:r>
      <w:r w:rsidRPr="006468A3">
        <w:t xml:space="preserve"> of encumbered spectrum. </w:t>
      </w:r>
      <w:r>
        <w:t>The main steps of the process</w:t>
      </w:r>
      <w:r w:rsidR="00AB7817">
        <w:t>,</w:t>
      </w:r>
      <w:r>
        <w:t xml:space="preserve"> including allocation</w:t>
      </w:r>
      <w:r w:rsidR="00AB7817">
        <w:t>,</w:t>
      </w:r>
      <w:r>
        <w:t xml:space="preserve"> are detailed in</w:t>
      </w:r>
      <w:r w:rsidRPr="006468A3">
        <w:t xml:space="preserve"> </w:t>
      </w:r>
      <w:r w:rsidR="008B098E">
        <w:t>Appendix </w:t>
      </w:r>
      <w:r w:rsidR="00AB7817">
        <w:t>A</w:t>
      </w:r>
      <w:r w:rsidRPr="006468A3">
        <w:t>.</w:t>
      </w:r>
    </w:p>
    <w:p w14:paraId="0AF5120A" w14:textId="28EB2F94" w:rsidR="002F613D" w:rsidRPr="006468A3" w:rsidRDefault="002F613D" w:rsidP="000B643A">
      <w:pPr>
        <w:pStyle w:val="Paragraph"/>
      </w:pPr>
      <w:r>
        <w:t xml:space="preserve">Under </w:t>
      </w:r>
      <w:r w:rsidR="00D33D1A">
        <w:t>the Act</w:t>
      </w:r>
      <w:r>
        <w:t xml:space="preserve">, the </w:t>
      </w:r>
      <w:r w:rsidR="008653F9">
        <w:t>Minister</w:t>
      </w:r>
      <w:r>
        <w:t xml:space="preserve"> may make encumbered spectrum available for </w:t>
      </w:r>
      <w:r w:rsidR="00DA3182">
        <w:t>re</w:t>
      </w:r>
      <w:r w:rsidR="00DA3182">
        <w:noBreakHyphen/>
        <w:t>allocation</w:t>
      </w:r>
      <w:r>
        <w:t xml:space="preserve"> by</w:t>
      </w:r>
      <w:r w:rsidR="007B1E90">
        <w:t xml:space="preserve"> declaring parts of the spectrum for </w:t>
      </w:r>
      <w:r w:rsidR="00DA3182">
        <w:t>re</w:t>
      </w:r>
      <w:r w:rsidR="00DA3182">
        <w:noBreakHyphen/>
        <w:t>allocation</w:t>
      </w:r>
      <w:r w:rsidR="007B1E90">
        <w:t xml:space="preserve"> by issuing spectrum </w:t>
      </w:r>
      <w:r w:rsidR="00A90973">
        <w:t xml:space="preserve">or apparatus </w:t>
      </w:r>
      <w:r w:rsidR="007B1E90">
        <w:t>licences.</w:t>
      </w:r>
      <w:r>
        <w:t xml:space="preserve"> </w:t>
      </w:r>
      <w:r w:rsidRPr="006468A3">
        <w:t xml:space="preserve">Under section 153E of </w:t>
      </w:r>
      <w:r w:rsidR="00D33D1A">
        <w:t>the Act</w:t>
      </w:r>
      <w:r w:rsidRPr="006468A3">
        <w:t xml:space="preserve">, the </w:t>
      </w:r>
      <w:r w:rsidR="008653F9">
        <w:t>Minister</w:t>
      </w:r>
      <w:r w:rsidRPr="006468A3">
        <w:t xml:space="preserve"> must not make a spectrum </w:t>
      </w:r>
      <w:r w:rsidR="00DA3182">
        <w:t>re</w:t>
      </w:r>
      <w:r w:rsidR="00DA3182">
        <w:noBreakHyphen/>
        <w:t>allocation</w:t>
      </w:r>
      <w:r w:rsidRPr="006468A3">
        <w:t xml:space="preserve"> declaration for a particular part or parts of the spectrum unless, during the previous 180 days, the ACMA has given the </w:t>
      </w:r>
      <w:r w:rsidR="008653F9">
        <w:t>Minister</w:t>
      </w:r>
      <w:r w:rsidRPr="006468A3">
        <w:t xml:space="preserve"> a recommendation under section 153F of </w:t>
      </w:r>
      <w:r w:rsidR="00D33D1A">
        <w:t>the Act</w:t>
      </w:r>
      <w:r w:rsidRPr="006468A3">
        <w:t xml:space="preserve"> </w:t>
      </w:r>
      <w:r>
        <w:t>in relation to</w:t>
      </w:r>
      <w:r w:rsidRPr="006468A3">
        <w:t xml:space="preserve"> that part</w:t>
      </w:r>
      <w:r>
        <w:t>,</w:t>
      </w:r>
      <w:r w:rsidRPr="006468A3">
        <w:t xml:space="preserve"> or </w:t>
      </w:r>
      <w:r>
        <w:t>those</w:t>
      </w:r>
      <w:r w:rsidRPr="006468A3">
        <w:t xml:space="preserve"> parts</w:t>
      </w:r>
      <w:r>
        <w:t>,</w:t>
      </w:r>
      <w:r w:rsidRPr="006468A3">
        <w:t xml:space="preserve"> of the spectrum.</w:t>
      </w:r>
    </w:p>
    <w:p w14:paraId="76C1CDBD" w14:textId="7BF6CEE4" w:rsidR="002F613D" w:rsidRPr="006468A3" w:rsidRDefault="002F613D" w:rsidP="000B643A">
      <w:pPr>
        <w:pStyle w:val="Paragraph"/>
      </w:pPr>
      <w:r w:rsidRPr="00A836A2">
        <w:t xml:space="preserve">Before the ACMA may make a recommendation to the </w:t>
      </w:r>
      <w:r w:rsidR="008653F9" w:rsidRPr="00A836A2">
        <w:t>Minister</w:t>
      </w:r>
      <w:r w:rsidRPr="00A836A2">
        <w:t xml:space="preserve"> under section 153F</w:t>
      </w:r>
      <w:r w:rsidR="00E8175C" w:rsidRPr="00A836A2">
        <w:t xml:space="preserve"> of </w:t>
      </w:r>
      <w:r w:rsidR="00D33D1A">
        <w:t>the Act</w:t>
      </w:r>
      <w:r w:rsidRPr="00A836A2">
        <w:t xml:space="preserve">, </w:t>
      </w:r>
      <w:r w:rsidR="00D639DD">
        <w:t>we</w:t>
      </w:r>
      <w:r w:rsidR="00D639DD" w:rsidRPr="00A836A2">
        <w:t xml:space="preserve"> </w:t>
      </w:r>
      <w:r w:rsidRPr="00A836A2">
        <w:t>must, under subsection 153G(1)</w:t>
      </w:r>
      <w:r w:rsidR="00E8175C" w:rsidRPr="00A836A2">
        <w:t xml:space="preserve"> of </w:t>
      </w:r>
      <w:r w:rsidR="00D33D1A">
        <w:t>the Act</w:t>
      </w:r>
      <w:r w:rsidRPr="00A836A2">
        <w:t xml:space="preserve">, prepare a written notice stating that it has prepared a draft version of the recommendation and set out the terms of the draft recommendation. The ACMA must, as far as practicable, make reasonable efforts to give each </w:t>
      </w:r>
      <w:r w:rsidR="00A02F8A" w:rsidRPr="00A836A2">
        <w:t>potentially</w:t>
      </w:r>
      <w:r w:rsidR="00A836A2">
        <w:t xml:space="preserve"> </w:t>
      </w:r>
      <w:r w:rsidR="00A02F8A" w:rsidRPr="00A836A2">
        <w:t>affected</w:t>
      </w:r>
      <w:r w:rsidRPr="00A836A2">
        <w:t xml:space="preserve"> apparatus licensee a copy of the notice, and must also publish a copy </w:t>
      </w:r>
      <w:r w:rsidR="00E8175C" w:rsidRPr="00A836A2">
        <w:t xml:space="preserve">of the notice </w:t>
      </w:r>
      <w:r w:rsidRPr="00A836A2">
        <w:t xml:space="preserve">on </w:t>
      </w:r>
      <w:r w:rsidR="00F91753">
        <w:t>the ACMA’s</w:t>
      </w:r>
      <w:r w:rsidR="00D639DD" w:rsidRPr="00A836A2">
        <w:t xml:space="preserve"> </w:t>
      </w:r>
      <w:r w:rsidRPr="00A836A2">
        <w:t xml:space="preserve">website. The notice must invite </w:t>
      </w:r>
      <w:r w:rsidR="00A02F8A" w:rsidRPr="00A836A2">
        <w:t>potentially</w:t>
      </w:r>
      <w:r w:rsidR="00A836A2">
        <w:t xml:space="preserve"> </w:t>
      </w:r>
      <w:r w:rsidR="00A02F8A" w:rsidRPr="00A836A2">
        <w:t>affected</w:t>
      </w:r>
      <w:r w:rsidRPr="00A836A2">
        <w:t xml:space="preserve"> apparatus licensees to give written comments to the ACMA about the draft version of the recommendation within a specified period being at least 28</w:t>
      </w:r>
      <w:r w:rsidR="001C3191">
        <w:t> </w:t>
      </w:r>
      <w:r w:rsidRPr="00A836A2">
        <w:t xml:space="preserve">days from the date the notice was given. The ACMA must have regard to any comments received in preparing </w:t>
      </w:r>
      <w:r w:rsidR="00D639DD">
        <w:t>the ACMA’s</w:t>
      </w:r>
      <w:r w:rsidR="00D639DD" w:rsidRPr="00A836A2">
        <w:t xml:space="preserve"> </w:t>
      </w:r>
      <w:r w:rsidRPr="00A836A2">
        <w:t xml:space="preserve">final recommendation to the </w:t>
      </w:r>
      <w:r w:rsidR="008653F9" w:rsidRPr="00A836A2">
        <w:t>Minister</w:t>
      </w:r>
      <w:r w:rsidRPr="00A836A2">
        <w:t>.</w:t>
      </w:r>
    </w:p>
    <w:p w14:paraId="03FED023" w14:textId="39C0B273" w:rsidR="002F613D" w:rsidRPr="006468A3" w:rsidRDefault="00AB7817" w:rsidP="00AB0E6F">
      <w:pPr>
        <w:pStyle w:val="Paragraphbeforelist"/>
      </w:pPr>
      <w:r>
        <w:t>The</w:t>
      </w:r>
      <w:r w:rsidR="002F613D" w:rsidRPr="006468A3">
        <w:t xml:space="preserve"> recommendation to the </w:t>
      </w:r>
      <w:r w:rsidR="008653F9">
        <w:t>Minister</w:t>
      </w:r>
      <w:r w:rsidR="002F613D" w:rsidRPr="006468A3">
        <w:t xml:space="preserve"> under section 153F</w:t>
      </w:r>
      <w:r w:rsidR="00E8175C">
        <w:t xml:space="preserve"> of </w:t>
      </w:r>
      <w:r w:rsidR="00D33D1A">
        <w:t>the Act</w:t>
      </w:r>
      <w:r w:rsidR="002F613D" w:rsidRPr="006468A3">
        <w:t xml:space="preserve"> must include:</w:t>
      </w:r>
    </w:p>
    <w:p w14:paraId="1A6B0C33" w14:textId="5290287B" w:rsidR="00657FFD" w:rsidRPr="006468A3" w:rsidRDefault="00657FFD" w:rsidP="00657FFD">
      <w:pPr>
        <w:pStyle w:val="ListBullet"/>
        <w:numPr>
          <w:ilvl w:val="0"/>
          <w:numId w:val="13"/>
        </w:numPr>
        <w:ind w:left="295" w:hanging="295"/>
        <w:rPr>
          <w:rFonts w:cs="Arial"/>
        </w:rPr>
      </w:pPr>
      <w:r w:rsidRPr="002D7ED9">
        <w:rPr>
          <w:rFonts w:cs="Arial"/>
        </w:rPr>
        <w:t>the identification of the specified parts of the spectrum</w:t>
      </w:r>
      <w:r>
        <w:rPr>
          <w:rFonts w:cs="Arial"/>
        </w:rPr>
        <w:t xml:space="preserve"> to be re</w:t>
      </w:r>
      <w:r w:rsidR="00C5061F">
        <w:rPr>
          <w:rFonts w:cs="Arial"/>
        </w:rPr>
        <w:t>-</w:t>
      </w:r>
      <w:r>
        <w:rPr>
          <w:rFonts w:cs="Arial"/>
        </w:rPr>
        <w:t>allocated</w:t>
      </w:r>
      <w:r w:rsidRPr="002D7ED9">
        <w:rPr>
          <w:rFonts w:cs="Arial"/>
        </w:rPr>
        <w:t xml:space="preserve"> (subsection 153</w:t>
      </w:r>
      <w:proofErr w:type="gramStart"/>
      <w:r w:rsidRPr="002D7ED9">
        <w:rPr>
          <w:rFonts w:cs="Arial"/>
        </w:rPr>
        <w:t>F(</w:t>
      </w:r>
      <w:proofErr w:type="gramEnd"/>
      <w:r w:rsidRPr="002D7ED9">
        <w:rPr>
          <w:rFonts w:cs="Arial"/>
        </w:rPr>
        <w:t>1)</w:t>
      </w:r>
      <w:r>
        <w:rPr>
          <w:rFonts w:cs="Arial"/>
        </w:rPr>
        <w:t xml:space="preserve"> of </w:t>
      </w:r>
      <w:r w:rsidR="00D33D1A">
        <w:rPr>
          <w:rFonts w:cs="Arial"/>
        </w:rPr>
        <w:t>the Act</w:t>
      </w:r>
      <w:r w:rsidRPr="002D7ED9">
        <w:rPr>
          <w:rFonts w:cs="Arial"/>
        </w:rPr>
        <w:t>)</w:t>
      </w:r>
      <w:r w:rsidR="006B735F">
        <w:rPr>
          <w:rFonts w:cs="Arial"/>
        </w:rPr>
        <w:t xml:space="preserve"> </w:t>
      </w:r>
    </w:p>
    <w:p w14:paraId="17BFB38E" w14:textId="32475D77" w:rsidR="00657FFD" w:rsidRPr="006468A3" w:rsidRDefault="00657FFD" w:rsidP="00657FFD">
      <w:pPr>
        <w:pStyle w:val="ListBulletLast"/>
        <w:numPr>
          <w:ilvl w:val="0"/>
          <w:numId w:val="13"/>
        </w:numPr>
        <w:ind w:left="295" w:hanging="295"/>
      </w:pPr>
      <w:r w:rsidRPr="002D7ED9">
        <w:t xml:space="preserve">a suggested </w:t>
      </w:r>
      <w:r w:rsidR="00DA3182">
        <w:t>re</w:t>
      </w:r>
      <w:r w:rsidR="00DA3182">
        <w:noBreakHyphen/>
        <w:t>allocation</w:t>
      </w:r>
      <w:r w:rsidRPr="002D7ED9">
        <w:t xml:space="preserve"> period</w:t>
      </w:r>
      <w:r>
        <w:t>, at the end of which incumbent apparatus licences would be cancelled</w:t>
      </w:r>
      <w:r w:rsidRPr="002D7ED9">
        <w:t xml:space="preserve"> (subsection 153</w:t>
      </w:r>
      <w:proofErr w:type="gramStart"/>
      <w:r w:rsidRPr="002D7ED9">
        <w:t>F(</w:t>
      </w:r>
      <w:proofErr w:type="gramEnd"/>
      <w:r w:rsidRPr="002D7ED9">
        <w:t>2)</w:t>
      </w:r>
      <w:r>
        <w:t xml:space="preserve"> of </w:t>
      </w:r>
      <w:r w:rsidR="00D33D1A">
        <w:t>the Act</w:t>
      </w:r>
      <w:r w:rsidRPr="002D7ED9">
        <w:t>).</w:t>
      </w:r>
      <w:r w:rsidRPr="006468A3">
        <w:t xml:space="preserve"> </w:t>
      </w:r>
    </w:p>
    <w:p w14:paraId="1890BA7A" w14:textId="0F4AA2F0" w:rsidR="002F613D" w:rsidRPr="006468A3" w:rsidRDefault="002F613D" w:rsidP="000B643A">
      <w:pPr>
        <w:pStyle w:val="Paragraph"/>
      </w:pPr>
      <w:r w:rsidRPr="006468A3">
        <w:t xml:space="preserve">The </w:t>
      </w:r>
      <w:r w:rsidR="00DA3182">
        <w:t>re</w:t>
      </w:r>
      <w:r w:rsidR="00DA3182">
        <w:noBreakHyphen/>
        <w:t>allocation</w:t>
      </w:r>
      <w:r>
        <w:t xml:space="preserve"> </w:t>
      </w:r>
      <w:r w:rsidRPr="006468A3">
        <w:t xml:space="preserve">period must begin within 28 days of the spectrum </w:t>
      </w:r>
      <w:r w:rsidR="00DA3182">
        <w:t>re</w:t>
      </w:r>
      <w:r w:rsidR="00DA3182">
        <w:noBreakHyphen/>
        <w:t>allocation</w:t>
      </w:r>
      <w:r w:rsidRPr="006468A3">
        <w:t xml:space="preserve"> declaration being made by the </w:t>
      </w:r>
      <w:r w:rsidR="008653F9">
        <w:t>Minister</w:t>
      </w:r>
      <w:r w:rsidRPr="006468A3">
        <w:t xml:space="preserve"> and must run for at least two years. During this time, incumbent apparatus licensees may continue to operate </w:t>
      </w:r>
      <w:r>
        <w:t xml:space="preserve">radiocommunications </w:t>
      </w:r>
      <w:r w:rsidRPr="006468A3">
        <w:t xml:space="preserve">devices in accordance with their apparatus licences. At the end of the </w:t>
      </w:r>
      <w:r w:rsidR="00DA3182">
        <w:t>re</w:t>
      </w:r>
      <w:r w:rsidR="00DA3182">
        <w:noBreakHyphen/>
        <w:t>allocation</w:t>
      </w:r>
      <w:r w:rsidRPr="006468A3">
        <w:t xml:space="preserve"> period, incumbent licensees’ apparatus licences are cancelled (section 153H of </w:t>
      </w:r>
      <w:r w:rsidR="00D33D1A">
        <w:t>the Act</w:t>
      </w:r>
      <w:r w:rsidRPr="006468A3">
        <w:t>).</w:t>
      </w:r>
    </w:p>
    <w:p w14:paraId="034E9D29" w14:textId="31961927" w:rsidR="002F613D" w:rsidRPr="006468A3" w:rsidRDefault="002F613D" w:rsidP="00E51DF4">
      <w:pPr>
        <w:pStyle w:val="Paragraphbeforelist"/>
        <w:keepNext/>
        <w:keepLines/>
      </w:pPr>
      <w:r w:rsidRPr="006468A3">
        <w:lastRenderedPageBreak/>
        <w:t xml:space="preserve">A </w:t>
      </w:r>
      <w:r w:rsidR="00DA3182">
        <w:t>re</w:t>
      </w:r>
      <w:r w:rsidR="00DA3182">
        <w:noBreakHyphen/>
        <w:t>allocation</w:t>
      </w:r>
      <w:r w:rsidRPr="006468A3">
        <w:t xml:space="preserve"> declaration made by the </w:t>
      </w:r>
      <w:r w:rsidR="008653F9">
        <w:t>Minister</w:t>
      </w:r>
      <w:r w:rsidRPr="006468A3">
        <w:t xml:space="preserve"> under section 153B of </w:t>
      </w:r>
      <w:r w:rsidR="00D33D1A">
        <w:t>the Act</w:t>
      </w:r>
      <w:r w:rsidRPr="006468A3">
        <w:t xml:space="preserve"> must specify:</w:t>
      </w:r>
    </w:p>
    <w:p w14:paraId="2EB22AA3" w14:textId="6A3F037A" w:rsidR="00D63A40" w:rsidRDefault="00D63A40" w:rsidP="00E51DF4">
      <w:pPr>
        <w:pStyle w:val="ListBullet"/>
        <w:keepNext/>
        <w:keepLines/>
        <w:numPr>
          <w:ilvl w:val="0"/>
          <w:numId w:val="14"/>
        </w:numPr>
        <w:ind w:left="295" w:hanging="295"/>
        <w:rPr>
          <w:rFonts w:cs="Arial"/>
        </w:rPr>
      </w:pPr>
      <w:r>
        <w:rPr>
          <w:rFonts w:cs="Arial"/>
        </w:rPr>
        <w:t xml:space="preserve">for each part of the spectrum </w:t>
      </w:r>
      <w:r w:rsidR="00115C9C">
        <w:rPr>
          <w:rFonts w:cs="Arial"/>
        </w:rPr>
        <w:t>specified in</w:t>
      </w:r>
      <w:r>
        <w:rPr>
          <w:rFonts w:cs="Arial"/>
        </w:rPr>
        <w:t xml:space="preserve"> the </w:t>
      </w:r>
      <w:r w:rsidR="00DA3182">
        <w:rPr>
          <w:rFonts w:cs="Arial"/>
        </w:rPr>
        <w:t>re</w:t>
      </w:r>
      <w:r w:rsidR="00DA3182">
        <w:rPr>
          <w:rFonts w:cs="Arial"/>
        </w:rPr>
        <w:noBreakHyphen/>
        <w:t>allocation</w:t>
      </w:r>
      <w:r>
        <w:rPr>
          <w:rFonts w:cs="Arial"/>
        </w:rPr>
        <w:t xml:space="preserve"> declaration, the geographic areas to which the declaration applies</w:t>
      </w:r>
    </w:p>
    <w:p w14:paraId="766CD999" w14:textId="46FE3370" w:rsidR="002F613D" w:rsidRPr="006468A3" w:rsidRDefault="002F613D" w:rsidP="00F33D8A">
      <w:pPr>
        <w:pStyle w:val="ListBullet"/>
        <w:numPr>
          <w:ilvl w:val="0"/>
          <w:numId w:val="14"/>
        </w:numPr>
        <w:ind w:left="295" w:hanging="295"/>
        <w:rPr>
          <w:rFonts w:cs="Arial"/>
        </w:rPr>
      </w:pPr>
      <w:r w:rsidRPr="001A21B6">
        <w:rPr>
          <w:rFonts w:cs="Arial"/>
        </w:rPr>
        <w:t xml:space="preserve">for each part of the spectrum </w:t>
      </w:r>
      <w:r w:rsidR="00115C9C">
        <w:rPr>
          <w:rFonts w:cs="Arial"/>
        </w:rPr>
        <w:t>specified in</w:t>
      </w:r>
      <w:r w:rsidRPr="001A21B6">
        <w:rPr>
          <w:rFonts w:cs="Arial"/>
        </w:rPr>
        <w:t xml:space="preserve"> the </w:t>
      </w:r>
      <w:r w:rsidR="00DA3182">
        <w:rPr>
          <w:rFonts w:cs="Arial"/>
        </w:rPr>
        <w:t>re</w:t>
      </w:r>
      <w:r w:rsidR="00DA3182">
        <w:rPr>
          <w:rFonts w:cs="Arial"/>
        </w:rPr>
        <w:noBreakHyphen/>
        <w:t>allocation</w:t>
      </w:r>
      <w:r w:rsidRPr="001A21B6">
        <w:rPr>
          <w:rFonts w:cs="Arial"/>
        </w:rPr>
        <w:t xml:space="preserve"> declaration, whether the part should be re</w:t>
      </w:r>
      <w:r w:rsidR="00C5061F">
        <w:rPr>
          <w:rFonts w:cs="Arial"/>
        </w:rPr>
        <w:t>-</w:t>
      </w:r>
      <w:r w:rsidRPr="001A21B6">
        <w:rPr>
          <w:rFonts w:cs="Arial"/>
        </w:rPr>
        <w:t>allocated by issuing spectrum or apparatus licences</w:t>
      </w:r>
    </w:p>
    <w:p w14:paraId="48E4ADA8" w14:textId="534A5967" w:rsidR="002F613D" w:rsidRPr="006468A3" w:rsidRDefault="002F613D" w:rsidP="00F33D8A">
      <w:pPr>
        <w:pStyle w:val="ListBulletLast"/>
        <w:numPr>
          <w:ilvl w:val="0"/>
          <w:numId w:val="14"/>
        </w:numPr>
        <w:ind w:left="295" w:hanging="295"/>
      </w:pPr>
      <w:r w:rsidRPr="006468A3">
        <w:t xml:space="preserve">the </w:t>
      </w:r>
      <w:r w:rsidR="00DA3182">
        <w:t>re</w:t>
      </w:r>
      <w:r w:rsidR="00DA3182">
        <w:noBreakHyphen/>
        <w:t>allocation</w:t>
      </w:r>
      <w:r w:rsidRPr="006468A3">
        <w:t xml:space="preserve"> deadline</w:t>
      </w:r>
      <w:r>
        <w:t xml:space="preserve"> that applies to the declaration</w:t>
      </w:r>
      <w:r w:rsidRPr="006468A3">
        <w:t>.</w:t>
      </w:r>
    </w:p>
    <w:p w14:paraId="58BDB13A" w14:textId="18EC5EF1" w:rsidR="002F613D" w:rsidRPr="006468A3" w:rsidRDefault="002F613D" w:rsidP="000B643A">
      <w:pPr>
        <w:pStyle w:val="Paragraph"/>
      </w:pPr>
      <w:r w:rsidRPr="006468A3">
        <w:t xml:space="preserve">The </w:t>
      </w:r>
      <w:r w:rsidR="00DA3182">
        <w:t>re</w:t>
      </w:r>
      <w:r w:rsidR="00DA3182">
        <w:noBreakHyphen/>
        <w:t>allocation</w:t>
      </w:r>
      <w:r w:rsidRPr="006468A3">
        <w:t xml:space="preserve"> deadline sets the date by which </w:t>
      </w:r>
      <w:r w:rsidR="009361B8">
        <w:t>we</w:t>
      </w:r>
      <w:r w:rsidRPr="006468A3">
        <w:t xml:space="preserve"> must have allocated at least one licence </w:t>
      </w:r>
      <w:r w:rsidR="00D63A40">
        <w:t>within</w:t>
      </w:r>
      <w:r w:rsidR="00D63A40" w:rsidRPr="006468A3">
        <w:t xml:space="preserve"> </w:t>
      </w:r>
      <w:r w:rsidRPr="006468A3">
        <w:t>the re</w:t>
      </w:r>
      <w:r w:rsidR="00C5061F">
        <w:t>-</w:t>
      </w:r>
      <w:r w:rsidRPr="006468A3">
        <w:t xml:space="preserve">allocated spectrum. </w:t>
      </w:r>
      <w:r>
        <w:t xml:space="preserve">If no licence </w:t>
      </w:r>
      <w:r w:rsidR="00940478">
        <w:t>is</w:t>
      </w:r>
      <w:r>
        <w:t xml:space="preserve"> allocated before that date, the </w:t>
      </w:r>
      <w:r w:rsidR="00DA3182">
        <w:t>re</w:t>
      </w:r>
      <w:r w:rsidR="00DA3182">
        <w:noBreakHyphen/>
        <w:t>allocation</w:t>
      </w:r>
      <w:r>
        <w:t xml:space="preserve"> declaration is taken to be automatically revoked (see section 153K</w:t>
      </w:r>
      <w:r w:rsidR="00E8175C">
        <w:t xml:space="preserve"> of </w:t>
      </w:r>
      <w:r w:rsidR="00D33D1A">
        <w:t>the Act</w:t>
      </w:r>
      <w:r>
        <w:t xml:space="preserve">). </w:t>
      </w:r>
      <w:r w:rsidRPr="006468A3">
        <w:t xml:space="preserve">The </w:t>
      </w:r>
      <w:r w:rsidR="00DA3182">
        <w:t>re</w:t>
      </w:r>
      <w:r w:rsidR="00DA3182">
        <w:noBreakHyphen/>
        <w:t>allocation</w:t>
      </w:r>
      <w:r w:rsidRPr="006468A3">
        <w:t xml:space="preserve"> deadline must be at least 12 months before the end of the </w:t>
      </w:r>
      <w:r w:rsidR="00DA3182">
        <w:t>re</w:t>
      </w:r>
      <w:r w:rsidR="00DA3182">
        <w:noBreakHyphen/>
        <w:t>allocation</w:t>
      </w:r>
      <w:r w:rsidRPr="006468A3">
        <w:t xml:space="preserve"> period.</w:t>
      </w:r>
    </w:p>
    <w:p w14:paraId="0044F510" w14:textId="04A2DF75" w:rsidR="002F613D" w:rsidRDefault="00C669CD" w:rsidP="000B643A">
      <w:pPr>
        <w:pStyle w:val="Paragraph"/>
      </w:pPr>
      <w:r>
        <w:t>We</w:t>
      </w:r>
      <w:r w:rsidR="002F613D" w:rsidRPr="006468A3">
        <w:t xml:space="preserve"> </w:t>
      </w:r>
      <w:r w:rsidR="00140E74">
        <w:t>intend to</w:t>
      </w:r>
      <w:r w:rsidR="00140E74" w:rsidRPr="006468A3">
        <w:t xml:space="preserve"> </w:t>
      </w:r>
      <w:r w:rsidR="002F613D" w:rsidRPr="006468A3">
        <w:t xml:space="preserve">include proposals on these matters in </w:t>
      </w:r>
      <w:r>
        <w:t>our</w:t>
      </w:r>
      <w:r w:rsidRPr="006468A3">
        <w:t xml:space="preserve"> </w:t>
      </w:r>
      <w:r w:rsidR="002F613D" w:rsidRPr="006468A3">
        <w:t xml:space="preserve">recommendation to the </w:t>
      </w:r>
      <w:r w:rsidR="008653F9">
        <w:t>Minister</w:t>
      </w:r>
      <w:r w:rsidR="002F613D" w:rsidRPr="006468A3">
        <w:t>.</w:t>
      </w:r>
    </w:p>
    <w:p w14:paraId="598F3066" w14:textId="77634100" w:rsidR="00E9395E" w:rsidRDefault="00443A41" w:rsidP="009B2F00">
      <w:pPr>
        <w:pStyle w:val="Heading2"/>
      </w:pPr>
      <w:bookmarkStart w:id="23" w:name="_Toc40175642"/>
      <w:r>
        <w:t>Proposal</w:t>
      </w:r>
      <w:r w:rsidR="00C669CD">
        <w:t>—</w:t>
      </w:r>
      <w:r>
        <w:t>term</w:t>
      </w:r>
      <w:r w:rsidR="002F613D">
        <w:t>s</w:t>
      </w:r>
      <w:r>
        <w:t xml:space="preserve"> of the draft recommendation</w:t>
      </w:r>
      <w:bookmarkEnd w:id="23"/>
    </w:p>
    <w:p w14:paraId="368D45E9" w14:textId="3ABA2096" w:rsidR="00443A41" w:rsidRPr="000B643A" w:rsidRDefault="00C669CD" w:rsidP="000B643A">
      <w:pPr>
        <w:pStyle w:val="Paragraph"/>
      </w:pPr>
      <w:r>
        <w:t>We have</w:t>
      </w:r>
      <w:r w:rsidR="00443A41" w:rsidRPr="000B643A">
        <w:t xml:space="preserve"> prepared a draft recommendation that the </w:t>
      </w:r>
      <w:r w:rsidR="008653F9">
        <w:t>Minister</w:t>
      </w:r>
      <w:r w:rsidR="00443A41" w:rsidRPr="000B643A">
        <w:t xml:space="preserve"> make </w:t>
      </w:r>
      <w:r w:rsidR="00B90390">
        <w:t>one or more</w:t>
      </w:r>
      <w:r w:rsidR="00B90390" w:rsidRPr="000B643A">
        <w:t xml:space="preserve"> </w:t>
      </w:r>
      <w:r w:rsidR="00443A41" w:rsidRPr="000B643A">
        <w:t xml:space="preserve">spectrum </w:t>
      </w:r>
      <w:r w:rsidR="00DA3182">
        <w:t>re</w:t>
      </w:r>
      <w:r w:rsidR="00DA3182">
        <w:noBreakHyphen/>
        <w:t>allocation</w:t>
      </w:r>
      <w:r w:rsidR="00443A41" w:rsidRPr="000B643A">
        <w:t xml:space="preserve"> declaration</w:t>
      </w:r>
      <w:r w:rsidR="00B90390">
        <w:t>s</w:t>
      </w:r>
      <w:r w:rsidR="00443A41" w:rsidRPr="000B643A">
        <w:t xml:space="preserve"> for spectrum in the 850/900 MHz band covering all of Australia</w:t>
      </w:r>
      <w:r w:rsidR="00784901">
        <w:t xml:space="preserve">, excluding the mid-west </w:t>
      </w:r>
      <w:r w:rsidR="003D796D">
        <w:t>RQZ</w:t>
      </w:r>
      <w:r w:rsidR="00443A41" w:rsidRPr="000B643A">
        <w:t>.</w:t>
      </w:r>
    </w:p>
    <w:p w14:paraId="7EE5399C" w14:textId="7271FAB1" w:rsidR="00C86909" w:rsidRPr="000B643A" w:rsidRDefault="00E51DF4" w:rsidP="000B643A">
      <w:pPr>
        <w:pStyle w:val="Paragraph"/>
      </w:pPr>
      <w:r>
        <w:t>We consider that t</w:t>
      </w:r>
      <w:r w:rsidR="00C86909" w:rsidRPr="000B643A">
        <w:t xml:space="preserve">he arrangements proposed in the draft recommendation meet the object of </w:t>
      </w:r>
      <w:r w:rsidR="00D33D1A">
        <w:t>the Act</w:t>
      </w:r>
      <w:r w:rsidR="00C669CD">
        <w:t xml:space="preserve">, </w:t>
      </w:r>
      <w:r w:rsidR="00C640B9">
        <w:t>including</w:t>
      </w:r>
      <w:r w:rsidR="00C618D4" w:rsidRPr="00397975">
        <w:t xml:space="preserve"> further</w:t>
      </w:r>
      <w:r w:rsidR="00C640B9">
        <w:t>ing</w:t>
      </w:r>
      <w:r w:rsidR="00C618D4" w:rsidRPr="00397975">
        <w:t xml:space="preserve"> the </w:t>
      </w:r>
      <w:r w:rsidR="00C640B9">
        <w:t>Government’s</w:t>
      </w:r>
      <w:r w:rsidR="00C618D4" w:rsidRPr="00397975">
        <w:t xml:space="preserve"> communications policy objectives</w:t>
      </w:r>
      <w:r w:rsidR="001A7B60" w:rsidRPr="00397975">
        <w:t xml:space="preserve"> for the 850/900 MHz band</w:t>
      </w:r>
      <w:r w:rsidR="00C86909" w:rsidRPr="000B643A">
        <w:t xml:space="preserve">. A summary of the terms </w:t>
      </w:r>
      <w:r w:rsidR="00A02CA3" w:rsidRPr="000B643A">
        <w:t xml:space="preserve">of the draft recommendation </w:t>
      </w:r>
      <w:r w:rsidR="00514465" w:rsidRPr="000B643A">
        <w:t>is</w:t>
      </w:r>
      <w:r w:rsidR="00A02CA3" w:rsidRPr="000B643A">
        <w:t xml:space="preserve"> at </w:t>
      </w:r>
      <w:r w:rsidR="00B41E2C" w:rsidRPr="000B643A">
        <w:fldChar w:fldCharType="begin"/>
      </w:r>
      <w:r w:rsidR="00B41E2C" w:rsidRPr="000B643A">
        <w:instrText xml:space="preserve"> REF  _Ref31719252 \h \n \r \w </w:instrText>
      </w:r>
      <w:r w:rsidR="000B643A">
        <w:instrText xml:space="preserve"> \* MERGEFORMAT </w:instrText>
      </w:r>
      <w:r w:rsidR="00B41E2C" w:rsidRPr="000B643A">
        <w:fldChar w:fldCharType="separate"/>
      </w:r>
      <w:r w:rsidR="002F613D" w:rsidRPr="000B643A">
        <w:t>Table 2</w:t>
      </w:r>
      <w:r w:rsidR="00B41E2C" w:rsidRPr="000B643A">
        <w:fldChar w:fldCharType="end"/>
      </w:r>
      <w:r w:rsidR="00A02CA3" w:rsidRPr="000B643A">
        <w:t xml:space="preserve">. </w:t>
      </w:r>
    </w:p>
    <w:p w14:paraId="53CFAE0F" w14:textId="77777777" w:rsidR="00626CD3" w:rsidRDefault="00B41E2C" w:rsidP="00692D05">
      <w:pPr>
        <w:pStyle w:val="ACMATableHeader"/>
      </w:pPr>
      <w:bookmarkStart w:id="24" w:name="_Ref31719252"/>
      <w:r>
        <w:t>T</w:t>
      </w:r>
      <w:r w:rsidR="007620A4">
        <w:t>erms of the draft recommendation</w:t>
      </w:r>
      <w:bookmarkEnd w:id="24"/>
    </w:p>
    <w:tbl>
      <w:tblPr>
        <w:tblStyle w:val="ACMAtablestyle"/>
        <w:tblW w:w="7650" w:type="dxa"/>
        <w:tblLook w:val="04A0" w:firstRow="1" w:lastRow="0" w:firstColumn="1" w:lastColumn="0" w:noHBand="0" w:noVBand="1"/>
        <w:tblCaption w:val="Terms of the draft recommendation"/>
        <w:tblDescription w:val="This table shows the terms of the draft recommendation. The recommended licence type is spectrum licences. The parts of the spectrum are: 809-825 MHz, 854-870 MHz, 890-915 MHz, and 935-960 MHz. The reallocation period proposed to end in 30 June 2024, with a deadline to be 12 months before the end of the reallocation period."/>
      </w:tblPr>
      <w:tblGrid>
        <w:gridCol w:w="3114"/>
        <w:gridCol w:w="4536"/>
      </w:tblGrid>
      <w:tr w:rsidR="00626CD3" w14:paraId="29FE3DE8" w14:textId="77777777" w:rsidTr="00D00116">
        <w:trPr>
          <w:cnfStyle w:val="100000000000" w:firstRow="1" w:lastRow="0" w:firstColumn="0" w:lastColumn="0" w:oddVBand="0" w:evenVBand="0" w:oddHBand="0" w:evenHBand="0" w:firstRowFirstColumn="0" w:firstRowLastColumn="0" w:lastRowFirstColumn="0" w:lastRowLastColumn="0"/>
          <w:trHeight w:val="199"/>
          <w:tblHeader w:val="0"/>
        </w:trPr>
        <w:tc>
          <w:tcPr>
            <w:tcW w:w="3114" w:type="dxa"/>
            <w:tcBorders>
              <w:top w:val="none" w:sz="0" w:space="0" w:color="auto"/>
              <w:left w:val="none" w:sz="0" w:space="0" w:color="auto"/>
              <w:bottom w:val="none" w:sz="0" w:space="0" w:color="auto"/>
              <w:right w:val="none" w:sz="0" w:space="0" w:color="auto"/>
            </w:tcBorders>
          </w:tcPr>
          <w:p w14:paraId="61555A4D" w14:textId="77777777" w:rsidR="00626CD3" w:rsidRDefault="00626CD3" w:rsidP="00B5059A">
            <w:pPr>
              <w:pStyle w:val="Tableheaderrow"/>
            </w:pPr>
            <w:r>
              <w:t xml:space="preserve">Relevant term </w:t>
            </w:r>
          </w:p>
        </w:tc>
        <w:tc>
          <w:tcPr>
            <w:tcW w:w="4536" w:type="dxa"/>
            <w:tcBorders>
              <w:top w:val="none" w:sz="0" w:space="0" w:color="auto"/>
              <w:left w:val="none" w:sz="0" w:space="0" w:color="auto"/>
              <w:bottom w:val="none" w:sz="0" w:space="0" w:color="auto"/>
              <w:right w:val="none" w:sz="0" w:space="0" w:color="auto"/>
            </w:tcBorders>
          </w:tcPr>
          <w:p w14:paraId="2276288C" w14:textId="77777777" w:rsidR="00626CD3" w:rsidRDefault="00626CD3" w:rsidP="00B5059A">
            <w:pPr>
              <w:pStyle w:val="Tableheaderrow"/>
            </w:pPr>
            <w:r>
              <w:t>The ACMA’s proposed recommendation</w:t>
            </w:r>
          </w:p>
        </w:tc>
      </w:tr>
      <w:tr w:rsidR="00F03D43" w14:paraId="60951FC2" w14:textId="77777777" w:rsidTr="00D00116">
        <w:trPr>
          <w:cnfStyle w:val="000000100000" w:firstRow="0" w:lastRow="0" w:firstColumn="0" w:lastColumn="0" w:oddVBand="0" w:evenVBand="0" w:oddHBand="1" w:evenHBand="0" w:firstRowFirstColumn="0" w:firstRowLastColumn="0" w:lastRowFirstColumn="0" w:lastRowLastColumn="0"/>
        </w:trPr>
        <w:tc>
          <w:tcPr>
            <w:tcW w:w="3114" w:type="dxa"/>
          </w:tcPr>
          <w:p w14:paraId="1999A5DB" w14:textId="77777777" w:rsidR="00F03D43" w:rsidRDefault="00F03D43" w:rsidP="00F03D43">
            <w:pPr>
              <w:pStyle w:val="TableBody"/>
            </w:pPr>
            <w:r>
              <w:t>Licence type</w:t>
            </w:r>
          </w:p>
        </w:tc>
        <w:tc>
          <w:tcPr>
            <w:tcW w:w="4536" w:type="dxa"/>
          </w:tcPr>
          <w:p w14:paraId="367C7B5B" w14:textId="66338CFE" w:rsidR="00F03D43" w:rsidRDefault="00F03D43" w:rsidP="00F03D43">
            <w:pPr>
              <w:pStyle w:val="TableBody"/>
            </w:pPr>
            <w:r>
              <w:t>Spectrum licences</w:t>
            </w:r>
          </w:p>
        </w:tc>
      </w:tr>
      <w:tr w:rsidR="00F03D43" w14:paraId="016B98B0" w14:textId="77777777" w:rsidTr="00D00116">
        <w:trPr>
          <w:cnfStyle w:val="000000010000" w:firstRow="0" w:lastRow="0" w:firstColumn="0" w:lastColumn="0" w:oddVBand="0" w:evenVBand="0" w:oddHBand="0" w:evenHBand="1" w:firstRowFirstColumn="0" w:firstRowLastColumn="0" w:lastRowFirstColumn="0" w:lastRowLastColumn="0"/>
        </w:trPr>
        <w:tc>
          <w:tcPr>
            <w:tcW w:w="3114" w:type="dxa"/>
          </w:tcPr>
          <w:p w14:paraId="53F03D2D" w14:textId="77777777" w:rsidR="00F03D43" w:rsidRDefault="00F03D43" w:rsidP="00F03D43">
            <w:pPr>
              <w:pStyle w:val="TableBody"/>
            </w:pPr>
            <w:r>
              <w:t>Parts of the spectrum</w:t>
            </w:r>
          </w:p>
        </w:tc>
        <w:tc>
          <w:tcPr>
            <w:tcW w:w="4536" w:type="dxa"/>
          </w:tcPr>
          <w:p w14:paraId="5F06DF24" w14:textId="457FC2DF" w:rsidR="00F03D43" w:rsidRDefault="00F03D43" w:rsidP="00F03D43">
            <w:pPr>
              <w:pStyle w:val="TableBody"/>
            </w:pPr>
            <w:r>
              <w:t>809</w:t>
            </w:r>
            <w:r w:rsidR="00C669CD">
              <w:t>–</w:t>
            </w:r>
            <w:r>
              <w:t>825 MHz</w:t>
            </w:r>
          </w:p>
          <w:p w14:paraId="25AB5E18" w14:textId="5163D04F" w:rsidR="00F03D43" w:rsidRDefault="00F03D43" w:rsidP="00F03D43">
            <w:pPr>
              <w:pStyle w:val="TableBody"/>
            </w:pPr>
            <w:r>
              <w:t>854</w:t>
            </w:r>
            <w:r w:rsidR="00C669CD">
              <w:t>–</w:t>
            </w:r>
            <w:r>
              <w:t>870 MHz</w:t>
            </w:r>
          </w:p>
          <w:p w14:paraId="3A45756B" w14:textId="65C8B88F" w:rsidR="00F03D43" w:rsidRDefault="00F03D43" w:rsidP="00F03D43">
            <w:pPr>
              <w:pStyle w:val="TableBody"/>
            </w:pPr>
            <w:r>
              <w:t>890</w:t>
            </w:r>
            <w:r w:rsidR="00C669CD">
              <w:t>–</w:t>
            </w:r>
            <w:r>
              <w:t>915 MHz</w:t>
            </w:r>
          </w:p>
          <w:p w14:paraId="0ECBE96F" w14:textId="155F5002" w:rsidR="00F03D43" w:rsidRDefault="00F03D43" w:rsidP="00FC15DD">
            <w:pPr>
              <w:pStyle w:val="TableBody"/>
              <w:spacing w:after="120"/>
            </w:pPr>
            <w:r>
              <w:t>935</w:t>
            </w:r>
            <w:r w:rsidR="00C669CD">
              <w:t>–</w:t>
            </w:r>
            <w:r>
              <w:t>960 MHz</w:t>
            </w:r>
          </w:p>
          <w:p w14:paraId="3F502A17" w14:textId="122D8A5E" w:rsidR="00F03D43" w:rsidRDefault="00F03D43" w:rsidP="00F03D43">
            <w:pPr>
              <w:pStyle w:val="TableBody"/>
            </w:pPr>
            <w:r>
              <w:t xml:space="preserve">covering all of Australia excluding the mid-west </w:t>
            </w:r>
            <w:r w:rsidR="003D796D">
              <w:t>RQZ</w:t>
            </w:r>
            <w:r>
              <w:t>.</w:t>
            </w:r>
          </w:p>
        </w:tc>
      </w:tr>
      <w:tr w:rsidR="00F03D43" w14:paraId="3D4FFA77" w14:textId="77777777" w:rsidTr="00D00116">
        <w:trPr>
          <w:cnfStyle w:val="000000100000" w:firstRow="0" w:lastRow="0" w:firstColumn="0" w:lastColumn="0" w:oddVBand="0" w:evenVBand="0" w:oddHBand="1" w:evenHBand="0" w:firstRowFirstColumn="0" w:firstRowLastColumn="0" w:lastRowFirstColumn="0" w:lastRowLastColumn="0"/>
        </w:trPr>
        <w:tc>
          <w:tcPr>
            <w:tcW w:w="3114" w:type="dxa"/>
          </w:tcPr>
          <w:p w14:paraId="17CD53BC" w14:textId="17FCB727" w:rsidR="00F03D43" w:rsidRDefault="00DA3182" w:rsidP="00F03D43">
            <w:pPr>
              <w:pStyle w:val="TableBody"/>
            </w:pPr>
            <w:r>
              <w:t>Re</w:t>
            </w:r>
            <w:r>
              <w:noBreakHyphen/>
              <w:t>allocation</w:t>
            </w:r>
            <w:r w:rsidR="00F03D43">
              <w:t xml:space="preserve"> period</w:t>
            </w:r>
          </w:p>
        </w:tc>
        <w:tc>
          <w:tcPr>
            <w:tcW w:w="4536" w:type="dxa"/>
          </w:tcPr>
          <w:p w14:paraId="2CF6B210" w14:textId="4A2DB5B7" w:rsidR="00593F21" w:rsidRDefault="00593F21" w:rsidP="00FC15DD">
            <w:pPr>
              <w:pStyle w:val="TableBody"/>
              <w:spacing w:after="120"/>
            </w:pPr>
            <w:r>
              <w:t>For the frequency ranges 809</w:t>
            </w:r>
            <w:r w:rsidR="00B7698D">
              <w:t>–</w:t>
            </w:r>
            <w:r>
              <w:t>825 MHz and 854</w:t>
            </w:r>
            <w:r w:rsidR="00B7698D">
              <w:t>–</w:t>
            </w:r>
            <w:r>
              <w:t>870 MHz, the period ending 30 June 2024.</w:t>
            </w:r>
          </w:p>
          <w:p w14:paraId="3B1204D4" w14:textId="1097F8B9" w:rsidR="00F03D43" w:rsidRPr="00826325" w:rsidRDefault="00593F21" w:rsidP="00F03D43">
            <w:pPr>
              <w:pStyle w:val="TableBody"/>
              <w:rPr>
                <w:highlight w:val="yellow"/>
              </w:rPr>
            </w:pPr>
            <w:r>
              <w:t>For the frequency ranges 890</w:t>
            </w:r>
            <w:r w:rsidR="00A114FD">
              <w:t>–</w:t>
            </w:r>
            <w:r>
              <w:t>915 MHz and 9</w:t>
            </w:r>
            <w:r w:rsidR="00B7698D">
              <w:t>3</w:t>
            </w:r>
            <w:r>
              <w:t>5</w:t>
            </w:r>
            <w:r w:rsidR="00A114FD">
              <w:t>–</w:t>
            </w:r>
            <w:r>
              <w:t xml:space="preserve">960 MHz, the period ending </w:t>
            </w:r>
            <w:r w:rsidR="00B90390">
              <w:t>31 </w:t>
            </w:r>
            <w:r>
              <w:t>December</w:t>
            </w:r>
            <w:r w:rsidR="001E4F59">
              <w:t> </w:t>
            </w:r>
            <w:r>
              <w:t>2023.</w:t>
            </w:r>
          </w:p>
        </w:tc>
      </w:tr>
      <w:tr w:rsidR="00F03D43" w14:paraId="3D4E82EF" w14:textId="77777777" w:rsidTr="00D00116">
        <w:trPr>
          <w:cnfStyle w:val="000000010000" w:firstRow="0" w:lastRow="0" w:firstColumn="0" w:lastColumn="0" w:oddVBand="0" w:evenVBand="0" w:oddHBand="0" w:evenHBand="1" w:firstRowFirstColumn="0" w:firstRowLastColumn="0" w:lastRowFirstColumn="0" w:lastRowLastColumn="0"/>
        </w:trPr>
        <w:tc>
          <w:tcPr>
            <w:tcW w:w="3114" w:type="dxa"/>
          </w:tcPr>
          <w:p w14:paraId="4048874A" w14:textId="2546BFE1" w:rsidR="00F03D43" w:rsidRDefault="00DA3182" w:rsidP="00F03D43">
            <w:pPr>
              <w:pStyle w:val="TableBody"/>
            </w:pPr>
            <w:r>
              <w:t>Re</w:t>
            </w:r>
            <w:r>
              <w:noBreakHyphen/>
              <w:t>allocation</w:t>
            </w:r>
            <w:r w:rsidR="00F03D43">
              <w:t xml:space="preserve"> deadline</w:t>
            </w:r>
          </w:p>
        </w:tc>
        <w:tc>
          <w:tcPr>
            <w:tcW w:w="4536" w:type="dxa"/>
          </w:tcPr>
          <w:p w14:paraId="397AF67A" w14:textId="62E69D2C" w:rsidR="00F03D43" w:rsidRDefault="007E5A2D" w:rsidP="00F03D43">
            <w:pPr>
              <w:pStyle w:val="TableBody"/>
            </w:pPr>
            <w:r>
              <w:t xml:space="preserve">31 December 2022 (12 months before the end of the </w:t>
            </w:r>
            <w:r w:rsidR="00DA3182">
              <w:t>re</w:t>
            </w:r>
            <w:r w:rsidR="00DA3182">
              <w:noBreakHyphen/>
              <w:t>allocation</w:t>
            </w:r>
            <w:r>
              <w:t xml:space="preserve"> period that ends first in time)</w:t>
            </w:r>
            <w:r w:rsidR="005749AB">
              <w:t>.</w:t>
            </w:r>
          </w:p>
        </w:tc>
      </w:tr>
    </w:tbl>
    <w:p w14:paraId="6B8781DE" w14:textId="6BDE2635" w:rsidR="00FA5ED4" w:rsidRDefault="00FA5ED4" w:rsidP="00A152F4">
      <w:pPr>
        <w:pStyle w:val="Paragraph"/>
        <w:spacing w:before="240"/>
      </w:pPr>
      <w:r>
        <w:t xml:space="preserve">This paper has been prepared to assist </w:t>
      </w:r>
      <w:r w:rsidR="009D714D">
        <w:t>potentially affected</w:t>
      </w:r>
      <w:r>
        <w:t xml:space="preserve"> apparatus licensees and other interested parties to provide </w:t>
      </w:r>
      <w:r w:rsidR="00FC15DD">
        <w:t>comments</w:t>
      </w:r>
      <w:r w:rsidR="00C669CD">
        <w:t xml:space="preserve"> </w:t>
      </w:r>
      <w:r>
        <w:t>on the terms of the draft recommendation.</w:t>
      </w:r>
    </w:p>
    <w:p w14:paraId="76962483" w14:textId="766BCEEA" w:rsidR="00C669CD" w:rsidRDefault="00C669CD" w:rsidP="00FC15DD">
      <w:pPr>
        <w:pStyle w:val="Paragraphbeforelist"/>
        <w:keepNext/>
        <w:keepLines/>
      </w:pPr>
      <w:r>
        <w:lastRenderedPageBreak/>
        <w:t>This paper:</w:t>
      </w:r>
    </w:p>
    <w:p w14:paraId="07155C0D" w14:textId="7364625B" w:rsidR="00B666EA" w:rsidRPr="000B643A" w:rsidRDefault="00B666EA" w:rsidP="00FC15DD">
      <w:pPr>
        <w:pStyle w:val="Numberlistlevel1"/>
        <w:keepNext/>
        <w:keepLines/>
      </w:pPr>
      <w:r w:rsidRPr="000B643A">
        <w:t xml:space="preserve">briefly discusses the features of </w:t>
      </w:r>
      <w:r w:rsidR="009315EF">
        <w:t xml:space="preserve">class, </w:t>
      </w:r>
      <w:r w:rsidRPr="000B643A">
        <w:t xml:space="preserve">apparatus and spectrum licensing, and why </w:t>
      </w:r>
      <w:r w:rsidR="00C669CD">
        <w:t>we</w:t>
      </w:r>
      <w:r w:rsidRPr="000B643A">
        <w:t xml:space="preserve"> consider spectrum licensing to be the most suitable long-term licensing arrangement in the </w:t>
      </w:r>
      <w:r w:rsidR="00E25064">
        <w:t>850/900 M</w:t>
      </w:r>
      <w:r w:rsidRPr="000B643A">
        <w:t>Hz band.</w:t>
      </w:r>
    </w:p>
    <w:p w14:paraId="25DDB477" w14:textId="7E39E578" w:rsidR="00795C00" w:rsidRPr="000B643A" w:rsidRDefault="00E25064" w:rsidP="00FC15DD">
      <w:pPr>
        <w:pStyle w:val="Numberlistlevel1"/>
        <w:keepNext/>
        <w:keepLines/>
      </w:pPr>
      <w:r>
        <w:t xml:space="preserve">outlines </w:t>
      </w:r>
      <w:r w:rsidR="00C669CD">
        <w:t>our</w:t>
      </w:r>
      <w:r>
        <w:t xml:space="preserve"> considerations</w:t>
      </w:r>
      <w:r w:rsidR="00795C00" w:rsidRPr="000B643A">
        <w:t xml:space="preserve"> in developing </w:t>
      </w:r>
      <w:r w:rsidR="00C669CD">
        <w:t>our</w:t>
      </w:r>
      <w:r w:rsidR="00C669CD" w:rsidRPr="000B643A">
        <w:t xml:space="preserve"> </w:t>
      </w:r>
      <w:r w:rsidR="00795C00" w:rsidRPr="000B643A">
        <w:t>recommendation on parts of the spectrum to be re</w:t>
      </w:r>
      <w:r w:rsidR="00C5061F">
        <w:t>-</w:t>
      </w:r>
      <w:r w:rsidR="00795C00" w:rsidRPr="000B643A">
        <w:t>allocated by issuing spectrum licen</w:t>
      </w:r>
      <w:r w:rsidR="000D365A">
        <w:t>c</w:t>
      </w:r>
      <w:r w:rsidR="00795C00" w:rsidRPr="000B643A">
        <w:t>es.</w:t>
      </w:r>
    </w:p>
    <w:p w14:paraId="3B876F78" w14:textId="53940FA3" w:rsidR="00E25064" w:rsidRDefault="00B666EA" w:rsidP="00FC15DD">
      <w:pPr>
        <w:pStyle w:val="Numberlistlevel1"/>
      </w:pPr>
      <w:r w:rsidRPr="000B643A">
        <w:t xml:space="preserve">includes further detail on matters relevant to the proposed </w:t>
      </w:r>
      <w:r w:rsidR="00DA3182">
        <w:t>re</w:t>
      </w:r>
      <w:r w:rsidR="00DA3182">
        <w:noBreakHyphen/>
        <w:t>allocation</w:t>
      </w:r>
      <w:r w:rsidRPr="000B643A">
        <w:t xml:space="preserve"> period and </w:t>
      </w:r>
      <w:r w:rsidR="00DA3182">
        <w:t>re</w:t>
      </w:r>
      <w:r w:rsidR="00DA3182">
        <w:noBreakHyphen/>
        <w:t>allocation</w:t>
      </w:r>
      <w:r w:rsidRPr="000B643A">
        <w:t xml:space="preserve"> deadline. </w:t>
      </w:r>
    </w:p>
    <w:p w14:paraId="5653972E" w14:textId="7CC0E8E2" w:rsidR="002F613D" w:rsidRPr="000B643A" w:rsidRDefault="00FB2513" w:rsidP="00FC15DD">
      <w:pPr>
        <w:pStyle w:val="Numberlistlast"/>
      </w:pPr>
      <w:r w:rsidRPr="000B643A">
        <w:t xml:space="preserve">discusses other matters relevant to the price-based allocation of spectrum licences. </w:t>
      </w:r>
    </w:p>
    <w:p w14:paraId="5F66399F" w14:textId="22257DDA" w:rsidR="00FB2513" w:rsidRDefault="00B666EA" w:rsidP="000B643A">
      <w:pPr>
        <w:pStyle w:val="Paragraph"/>
      </w:pPr>
      <w:r w:rsidRPr="000B643A">
        <w:t xml:space="preserve">Subject to this consultation, and to the </w:t>
      </w:r>
      <w:r w:rsidR="008653F9">
        <w:t>Minister</w:t>
      </w:r>
      <w:r w:rsidRPr="000B643A">
        <w:t xml:space="preserve"> </w:t>
      </w:r>
      <w:r w:rsidR="000A0EF3">
        <w:t xml:space="preserve">deciding to make one or more </w:t>
      </w:r>
      <w:r w:rsidR="00DA3182">
        <w:t>re</w:t>
      </w:r>
      <w:r w:rsidR="00DA3182">
        <w:noBreakHyphen/>
        <w:t>allocation</w:t>
      </w:r>
      <w:r w:rsidR="000A0EF3">
        <w:t xml:space="preserve"> declarations in accordance with</w:t>
      </w:r>
      <w:r w:rsidR="000A0EF3" w:rsidRPr="000B643A">
        <w:t xml:space="preserve"> </w:t>
      </w:r>
      <w:r w:rsidR="00FC59E5">
        <w:t>our</w:t>
      </w:r>
      <w:r w:rsidRPr="000B643A">
        <w:t xml:space="preserve"> proposed recommendation, </w:t>
      </w:r>
      <w:r w:rsidR="00077496">
        <w:t>we</w:t>
      </w:r>
      <w:r w:rsidRPr="000B643A">
        <w:t xml:space="preserve"> propose an allocation </w:t>
      </w:r>
      <w:r w:rsidR="00077496">
        <w:t>to</w:t>
      </w:r>
      <w:r w:rsidR="00077496" w:rsidRPr="000B643A">
        <w:t xml:space="preserve"> </w:t>
      </w:r>
      <w:r w:rsidRPr="000B643A">
        <w:t xml:space="preserve">be conducted in </w:t>
      </w:r>
      <w:r w:rsidR="00BF6899">
        <w:t>Q4</w:t>
      </w:r>
      <w:r w:rsidRPr="000B643A">
        <w:t xml:space="preserve"> 2021</w:t>
      </w:r>
      <w:r w:rsidR="000413CA" w:rsidRPr="000B643A">
        <w:t xml:space="preserve">. </w:t>
      </w:r>
      <w:r w:rsidR="00077496">
        <w:t>I</w:t>
      </w:r>
      <w:r w:rsidRPr="000B643A">
        <w:t xml:space="preserve">t </w:t>
      </w:r>
      <w:r w:rsidR="00FC15DD">
        <w:t xml:space="preserve">may be </w:t>
      </w:r>
      <w:r w:rsidR="00077496">
        <w:t>advantageous</w:t>
      </w:r>
      <w:r w:rsidR="00077496" w:rsidRPr="000B643A">
        <w:t xml:space="preserve"> </w:t>
      </w:r>
      <w:r w:rsidR="00077496">
        <w:t>for</w:t>
      </w:r>
      <w:r w:rsidR="00077496" w:rsidRPr="000B643A">
        <w:t xml:space="preserve"> </w:t>
      </w:r>
      <w:r w:rsidRPr="000B643A">
        <w:t xml:space="preserve">stakeholders to </w:t>
      </w:r>
      <w:r w:rsidR="00E25064">
        <w:t>comment on</w:t>
      </w:r>
      <w:r w:rsidR="00E25064" w:rsidRPr="000B643A">
        <w:t xml:space="preserve"> </w:t>
      </w:r>
      <w:r w:rsidRPr="000B643A">
        <w:t>potential allocation issues at this early stage of the process.</w:t>
      </w:r>
    </w:p>
    <w:p w14:paraId="7B08DBA1" w14:textId="77777777" w:rsidR="00B16A6B" w:rsidRPr="000B643A" w:rsidRDefault="00B16A6B" w:rsidP="000B643A">
      <w:pPr>
        <w:pStyle w:val="Paragraph"/>
      </w:pPr>
    </w:p>
    <w:p w14:paraId="54638530" w14:textId="366699FB" w:rsidR="00E9395E" w:rsidRDefault="00565CE8" w:rsidP="00565CE8">
      <w:pPr>
        <w:pStyle w:val="Heading1"/>
      </w:pPr>
      <w:bookmarkStart w:id="25" w:name="_Toc40175643"/>
      <w:r>
        <w:lastRenderedPageBreak/>
        <w:t>Licence type</w:t>
      </w:r>
      <w:bookmarkEnd w:id="25"/>
    </w:p>
    <w:p w14:paraId="41EF7186" w14:textId="3AD1E24C" w:rsidR="004D011B" w:rsidRDefault="003E64A5" w:rsidP="000B643A">
      <w:pPr>
        <w:pStyle w:val="Paragraph"/>
      </w:pPr>
      <w:r>
        <w:t xml:space="preserve">Under </w:t>
      </w:r>
      <w:r w:rsidR="00271FA3">
        <w:t>sub</w:t>
      </w:r>
      <w:r>
        <w:t>section 153</w:t>
      </w:r>
      <w:proofErr w:type="gramStart"/>
      <w:r>
        <w:t>B</w:t>
      </w:r>
      <w:r w:rsidR="00271FA3">
        <w:t>(</w:t>
      </w:r>
      <w:proofErr w:type="gramEnd"/>
      <w:r w:rsidR="00271FA3">
        <w:t>6)</w:t>
      </w:r>
      <w:r>
        <w:t xml:space="preserve"> of </w:t>
      </w:r>
      <w:r w:rsidR="00D33D1A">
        <w:t>the Act</w:t>
      </w:r>
      <w:r>
        <w:t xml:space="preserve">, the </w:t>
      </w:r>
      <w:r w:rsidR="008653F9">
        <w:t>Minister</w:t>
      </w:r>
      <w:r w:rsidR="00345553">
        <w:t>’s declaration</w:t>
      </w:r>
      <w:r>
        <w:t xml:space="preserve"> </w:t>
      </w:r>
      <w:r w:rsidR="00271FA3">
        <w:t>must</w:t>
      </w:r>
      <w:r>
        <w:t xml:space="preserve"> </w:t>
      </w:r>
      <w:r w:rsidR="00345553">
        <w:t>specify whether</w:t>
      </w:r>
      <w:r w:rsidR="00345553" w:rsidDel="00E30CFF">
        <w:t xml:space="preserve"> </w:t>
      </w:r>
      <w:r>
        <w:t>spectrum is to be re</w:t>
      </w:r>
      <w:r w:rsidR="00C5061F">
        <w:t>-</w:t>
      </w:r>
      <w:r>
        <w:t xml:space="preserve">allocated by issuing spectrum or apparatus licences. Under either option, incumbent apparatus licensees would have their licences cancelled at the end of the </w:t>
      </w:r>
      <w:r w:rsidR="00DA3182">
        <w:t>re</w:t>
      </w:r>
      <w:r w:rsidR="00DA3182">
        <w:noBreakHyphen/>
        <w:t>allocation</w:t>
      </w:r>
      <w:r>
        <w:t xml:space="preserve"> period (see section 153H</w:t>
      </w:r>
      <w:r w:rsidR="0005124B">
        <w:t xml:space="preserve"> of </w:t>
      </w:r>
      <w:r w:rsidR="00D33D1A">
        <w:t>the Act</w:t>
      </w:r>
      <w:r>
        <w:t xml:space="preserve">). </w:t>
      </w:r>
    </w:p>
    <w:p w14:paraId="303B8520" w14:textId="4B00BB12" w:rsidR="003E64A5" w:rsidRDefault="003E64A5" w:rsidP="000B643A">
      <w:pPr>
        <w:pStyle w:val="Paragraph"/>
      </w:pPr>
      <w:r>
        <w:t>Under subsection 153</w:t>
      </w:r>
      <w:proofErr w:type="gramStart"/>
      <w:r>
        <w:t>F(</w:t>
      </w:r>
      <w:proofErr w:type="gramEnd"/>
      <w:r>
        <w:t>3)</w:t>
      </w:r>
      <w:r w:rsidR="0005124B">
        <w:t xml:space="preserve"> of </w:t>
      </w:r>
      <w:r w:rsidR="00D33D1A">
        <w:t>the Act</w:t>
      </w:r>
      <w:r>
        <w:t xml:space="preserve">, when the ACMA gives the </w:t>
      </w:r>
      <w:r w:rsidR="008653F9">
        <w:t>Minister</w:t>
      </w:r>
      <w:r>
        <w:t xml:space="preserve"> a recommendation to make a spectrum </w:t>
      </w:r>
      <w:r w:rsidR="00DA3182">
        <w:t>re</w:t>
      </w:r>
      <w:r w:rsidR="00DA3182">
        <w:noBreakHyphen/>
        <w:t>allocation</w:t>
      </w:r>
      <w:r>
        <w:t xml:space="preserve"> declaration, the ACMA may include a recommendation about any matters </w:t>
      </w:r>
      <w:r w:rsidR="003F0F85">
        <w:t>we consider</w:t>
      </w:r>
      <w:r>
        <w:t xml:space="preserve"> appropriate. While </w:t>
      </w:r>
      <w:r w:rsidR="00077496">
        <w:t>we are</w:t>
      </w:r>
      <w:r>
        <w:t xml:space="preserve"> not required to make a recommendation to the </w:t>
      </w:r>
      <w:r w:rsidR="008653F9">
        <w:t>Minister</w:t>
      </w:r>
      <w:r>
        <w:t xml:space="preserve"> about licence type, </w:t>
      </w:r>
      <w:r w:rsidR="00077496">
        <w:t xml:space="preserve">we </w:t>
      </w:r>
      <w:r>
        <w:t xml:space="preserve">intend to recommend that the 850/900 MHz band </w:t>
      </w:r>
      <w:r w:rsidR="00345553">
        <w:t xml:space="preserve">should </w:t>
      </w:r>
      <w:r>
        <w:t>be re</w:t>
      </w:r>
      <w:r w:rsidR="00C5061F">
        <w:t>-</w:t>
      </w:r>
      <w:r>
        <w:t xml:space="preserve">allocated by issuing spectrum licences. </w:t>
      </w:r>
    </w:p>
    <w:p w14:paraId="766EED2B" w14:textId="33CBABA6" w:rsidR="003E64A5" w:rsidRDefault="003E64A5" w:rsidP="00A600D8">
      <w:pPr>
        <w:pStyle w:val="Paragraphbeforelist"/>
      </w:pPr>
      <w:r>
        <w:t xml:space="preserve">Under </w:t>
      </w:r>
      <w:r w:rsidR="00D33D1A">
        <w:t>the Act</w:t>
      </w:r>
      <w:r>
        <w:t xml:space="preserve">, it is unlawful to operate a radiocommunications device in Australia unless it is authorised by a radiocommunications licence. </w:t>
      </w:r>
      <w:r w:rsidR="00B55B18">
        <w:t>We</w:t>
      </w:r>
      <w:r>
        <w:t xml:space="preserve"> can issue three types of licences to authorise the use of spectrum: </w:t>
      </w:r>
    </w:p>
    <w:p w14:paraId="188D94F1" w14:textId="760FE5AF" w:rsidR="003E64A5" w:rsidRDefault="003E64A5" w:rsidP="00882115">
      <w:pPr>
        <w:pStyle w:val="Bulletlevel1"/>
      </w:pPr>
      <w:r>
        <w:t>class licences</w:t>
      </w:r>
    </w:p>
    <w:p w14:paraId="0A97A105" w14:textId="5AEB6156" w:rsidR="003E64A5" w:rsidRDefault="003E64A5" w:rsidP="00882115">
      <w:pPr>
        <w:pStyle w:val="Bulletlevel1"/>
      </w:pPr>
      <w:r>
        <w:t>apparatus licences</w:t>
      </w:r>
    </w:p>
    <w:p w14:paraId="77EC3855" w14:textId="1301F656" w:rsidR="00D82B06" w:rsidRDefault="003E64A5" w:rsidP="00882115">
      <w:pPr>
        <w:pStyle w:val="Bulletlevel1last"/>
      </w:pPr>
      <w:r>
        <w:t>spectrum licences.</w:t>
      </w:r>
    </w:p>
    <w:p w14:paraId="599744FC" w14:textId="34BD29F5" w:rsidR="00871869" w:rsidRPr="00871869" w:rsidRDefault="00871869" w:rsidP="00A600D8">
      <w:pPr>
        <w:pStyle w:val="Paragraphbeforelist"/>
      </w:pPr>
      <w:r w:rsidRPr="00871869">
        <w:t xml:space="preserve">The appropriate licence type for a </w:t>
      </w:r>
      <w:proofErr w:type="gramStart"/>
      <w:r w:rsidRPr="00871869">
        <w:t>particular part</w:t>
      </w:r>
      <w:proofErr w:type="gramEnd"/>
      <w:r w:rsidRPr="00871869">
        <w:t xml:space="preserve"> of the spectrum will be determined by a range of factors including:</w:t>
      </w:r>
    </w:p>
    <w:p w14:paraId="1B3E6CAA" w14:textId="748DE95D" w:rsidR="00871869" w:rsidRPr="00871869" w:rsidRDefault="00871869" w:rsidP="00871869">
      <w:pPr>
        <w:pStyle w:val="Bulletlevel1"/>
      </w:pPr>
      <w:r w:rsidRPr="00871869">
        <w:t>the potential uses of that part of the spectrum</w:t>
      </w:r>
    </w:p>
    <w:p w14:paraId="44DB6590" w14:textId="13483B43" w:rsidR="00871869" w:rsidRPr="00871869" w:rsidRDefault="00871869" w:rsidP="00871869">
      <w:pPr>
        <w:pStyle w:val="Bulletlevel1"/>
      </w:pPr>
      <w:r w:rsidRPr="00871869">
        <w:t>the likely number of possible users</w:t>
      </w:r>
    </w:p>
    <w:p w14:paraId="2FD41ACF" w14:textId="51BBF454" w:rsidR="00871869" w:rsidRPr="00871869" w:rsidRDefault="00871869" w:rsidP="00871869">
      <w:pPr>
        <w:pStyle w:val="Bulletlevel1"/>
      </w:pPr>
      <w:r w:rsidRPr="00871869">
        <w:t>whether potential users are likely to seek access to one site or across a defined access area</w:t>
      </w:r>
    </w:p>
    <w:p w14:paraId="49E790A2" w14:textId="72E61B6A" w:rsidR="00351DE5" w:rsidRDefault="00871869" w:rsidP="00951E99">
      <w:pPr>
        <w:pStyle w:val="Bulletlevel1last"/>
      </w:pPr>
      <w:r w:rsidRPr="00871869">
        <w:t xml:space="preserve">whether all likely future </w:t>
      </w:r>
      <w:proofErr w:type="gramStart"/>
      <w:r w:rsidRPr="00871869">
        <w:t>high-value</w:t>
      </w:r>
      <w:proofErr w:type="gramEnd"/>
      <w:r w:rsidRPr="00871869">
        <w:t xml:space="preserve"> uses can be accommodated in a single technical framework.</w:t>
      </w:r>
    </w:p>
    <w:p w14:paraId="5FBA4491" w14:textId="57FF7221" w:rsidR="008938E3" w:rsidRPr="00951E99" w:rsidRDefault="008938E3" w:rsidP="00951E99">
      <w:pPr>
        <w:pStyle w:val="Paragraph"/>
      </w:pPr>
      <w:r w:rsidRPr="00951E99">
        <w:t xml:space="preserve">Class licences provide broad spectrum access arrangements that are open to all users and generally operate on the basis that users are not provided with protection from interference. They are made by legislative instrument, authorising anyone who complies with the requirements of that instrument to operate a </w:t>
      </w:r>
      <w:proofErr w:type="gramStart"/>
      <w:r w:rsidRPr="00951E99">
        <w:t>particular radiocommunications</w:t>
      </w:r>
      <w:proofErr w:type="gramEnd"/>
      <w:r w:rsidRPr="00951E99">
        <w:t xml:space="preserve"> device without the need to apply to the ACMA or be issued an individual licence. These requirements may relate to the type of radiocommunications device that can be used, the technical parameters that apply and for what purposes it may be operated.</w:t>
      </w:r>
    </w:p>
    <w:p w14:paraId="07E5690A" w14:textId="7ECE7E95" w:rsidR="008938E3" w:rsidRDefault="008938E3" w:rsidP="008938E3">
      <w:pPr>
        <w:pStyle w:val="Paragraph"/>
      </w:pPr>
      <w:r>
        <w:t xml:space="preserve">Apparatus licences are a type of individual </w:t>
      </w:r>
      <w:r w:rsidR="00705FA8">
        <w:t xml:space="preserve">authorisation </w:t>
      </w:r>
      <w:r>
        <w:t xml:space="preserve">that may be issued to a person to authorise the operation of a radiocommunications device. </w:t>
      </w:r>
      <w:r w:rsidR="00385D25">
        <w:t xml:space="preserve">Apparatus licences are the most common kind of licence </w:t>
      </w:r>
      <w:r w:rsidR="00B55B18">
        <w:t xml:space="preserve">we </w:t>
      </w:r>
      <w:r w:rsidR="00385D25">
        <w:t>issue.</w:t>
      </w:r>
      <w:r w:rsidR="00385D25" w:rsidRPr="00F65BD5">
        <w:t xml:space="preserve"> </w:t>
      </w:r>
      <w:r>
        <w:t xml:space="preserve">Most commonly, they authorise the licensee to use a specified device in a specified frequency range, generally at a specified location and </w:t>
      </w:r>
      <w:r w:rsidR="00F954F0">
        <w:t xml:space="preserve">to provide </w:t>
      </w:r>
      <w:r>
        <w:t xml:space="preserve">a </w:t>
      </w:r>
      <w:proofErr w:type="gramStart"/>
      <w:r>
        <w:t>particular type of service</w:t>
      </w:r>
      <w:proofErr w:type="gramEnd"/>
      <w:r>
        <w:t xml:space="preserve">. </w:t>
      </w:r>
      <w:r w:rsidR="00B55B18">
        <w:t>However,</w:t>
      </w:r>
      <w:r w:rsidR="009315EF">
        <w:t xml:space="preserve"> they may also authorise operation of </w:t>
      </w:r>
      <w:proofErr w:type="gramStart"/>
      <w:r w:rsidR="009315EF">
        <w:t>a number of</w:t>
      </w:r>
      <w:proofErr w:type="gramEnd"/>
      <w:r w:rsidR="009315EF">
        <w:t xml:space="preserve"> devices in an area under a single licence. </w:t>
      </w:r>
      <w:r w:rsidR="00F65BD5">
        <w:t>Apparatus licen</w:t>
      </w:r>
      <w:r w:rsidR="003C5836">
        <w:t>ces are generally issued</w:t>
      </w:r>
      <w:r w:rsidR="00F65BD5">
        <w:t xml:space="preserve"> </w:t>
      </w:r>
      <w:r w:rsidR="00F954F0">
        <w:t xml:space="preserve">in response to an application made in the approved </w:t>
      </w:r>
      <w:proofErr w:type="gramStart"/>
      <w:r w:rsidR="00F954F0">
        <w:t>form, and</w:t>
      </w:r>
      <w:proofErr w:type="gramEnd"/>
      <w:r w:rsidR="00B55B18">
        <w:t xml:space="preserve"> are</w:t>
      </w:r>
      <w:r w:rsidR="00F954F0">
        <w:t xml:space="preserve"> assessed on a case-by-case basis</w:t>
      </w:r>
      <w:r w:rsidR="00F65BD5">
        <w:t>.</w:t>
      </w:r>
      <w:r w:rsidR="00D241AC">
        <w:t xml:space="preserve"> They may be issued for terms of up to five years and </w:t>
      </w:r>
      <w:r w:rsidR="00F954F0">
        <w:t xml:space="preserve">most may be transferred subject to </w:t>
      </w:r>
      <w:r w:rsidR="00B55B18">
        <w:t>our</w:t>
      </w:r>
      <w:r w:rsidR="00F954F0">
        <w:t xml:space="preserve"> approval</w:t>
      </w:r>
      <w:r w:rsidR="00D241AC">
        <w:t xml:space="preserve">. </w:t>
      </w:r>
    </w:p>
    <w:p w14:paraId="5800FADC" w14:textId="52DB2199" w:rsidR="008610D2" w:rsidRDefault="008610D2" w:rsidP="008938E3">
      <w:pPr>
        <w:pStyle w:val="Paragraph"/>
      </w:pPr>
      <w:r>
        <w:t xml:space="preserve">Spectrum licences authorise the use of a specified frequency range </w:t>
      </w:r>
      <w:r w:rsidR="009315EF">
        <w:t xml:space="preserve">anywhere </w:t>
      </w:r>
      <w:r>
        <w:t xml:space="preserve">within </w:t>
      </w:r>
      <w:r w:rsidR="003C5836">
        <w:t>a specified</w:t>
      </w:r>
      <w:r>
        <w:t xml:space="preserve"> geographic </w:t>
      </w:r>
      <w:r w:rsidR="003C5836">
        <w:t>area.</w:t>
      </w:r>
      <w:r>
        <w:t xml:space="preserve"> While the technical framework for the spectrum band may be optimised for a particular use, licensees are free to operate radiocommunications devices in this spectrum space for any service that satisfies the conditions of the </w:t>
      </w:r>
      <w:r>
        <w:lastRenderedPageBreak/>
        <w:t>licence and technical framework for the band. Spectrum</w:t>
      </w:r>
      <w:r w:rsidR="00B55B18">
        <w:t>-</w:t>
      </w:r>
      <w:r>
        <w:t>licensing arrangements provide a technology-</w:t>
      </w:r>
      <w:r w:rsidR="009315EF">
        <w:t xml:space="preserve">flexible </w:t>
      </w:r>
      <w:r>
        <w:t xml:space="preserve">path to upgrading </w:t>
      </w:r>
      <w:r w:rsidR="009315EF">
        <w:t xml:space="preserve">services </w:t>
      </w:r>
      <w:r>
        <w:t>in response to evolving standards</w:t>
      </w:r>
      <w:r w:rsidR="00E30CFF">
        <w:t>.</w:t>
      </w:r>
      <w:r w:rsidDel="00FE3794">
        <w:t xml:space="preserve"> </w:t>
      </w:r>
      <w:r w:rsidR="00D241AC">
        <w:t xml:space="preserve">The maximum term of a spectrum licence is 15 years, and they are tradeable in full or in part. </w:t>
      </w:r>
    </w:p>
    <w:p w14:paraId="0B4CDBAE" w14:textId="701A7C04" w:rsidR="00D241AC" w:rsidRPr="00D27BBF" w:rsidRDefault="00D241AC" w:rsidP="00A13B21">
      <w:pPr>
        <w:pStyle w:val="Heading2"/>
      </w:pPr>
      <w:bookmarkStart w:id="26" w:name="_Toc40175644"/>
      <w:r w:rsidRPr="00D27BBF">
        <w:t>Preferred licence type for the 850/900 MHz band</w:t>
      </w:r>
      <w:bookmarkEnd w:id="26"/>
    </w:p>
    <w:p w14:paraId="7C035F60" w14:textId="709D5782" w:rsidR="00D241AC" w:rsidRDefault="00D241AC" w:rsidP="008938E3">
      <w:pPr>
        <w:pStyle w:val="Paragraph"/>
      </w:pPr>
      <w:r>
        <w:t>In Australia, m</w:t>
      </w:r>
      <w:r w:rsidR="00AA66FD">
        <w:t>obile broadband</w:t>
      </w:r>
      <w:r w:rsidR="008610D2">
        <w:t xml:space="preserve"> services </w:t>
      </w:r>
      <w:r>
        <w:t xml:space="preserve">have tended to be </w:t>
      </w:r>
      <w:r w:rsidR="008610D2">
        <w:t xml:space="preserve">deployed under spectrum </w:t>
      </w:r>
      <w:r w:rsidR="00464E35">
        <w:t xml:space="preserve">licences </w:t>
      </w:r>
      <w:r w:rsidR="00E30CFF">
        <w:t xml:space="preserve">because they provide significant </w:t>
      </w:r>
      <w:r w:rsidR="00A13B21">
        <w:t xml:space="preserve">flexibility </w:t>
      </w:r>
      <w:r w:rsidR="00CB7124">
        <w:t xml:space="preserve">and certainty </w:t>
      </w:r>
      <w:r w:rsidR="00A13B21">
        <w:t>for planning and operating communication net</w:t>
      </w:r>
      <w:r w:rsidR="00CB7124">
        <w:t>works</w:t>
      </w:r>
      <w:r w:rsidR="008610D2">
        <w:t xml:space="preserve">. </w:t>
      </w:r>
    </w:p>
    <w:p w14:paraId="6C170988" w14:textId="7B7A16EB" w:rsidR="00D241AC" w:rsidRDefault="00D241AC" w:rsidP="00D241AC">
      <w:pPr>
        <w:pStyle w:val="Paragraph"/>
      </w:pPr>
      <w:r>
        <w:t>Spectrum</w:t>
      </w:r>
      <w:r w:rsidR="00B55B18">
        <w:t>-</w:t>
      </w:r>
      <w:r>
        <w:t>licensing arrangements provide longer tenure than apparatus licences.</w:t>
      </w:r>
      <w:r w:rsidR="00464E35">
        <w:t xml:space="preserve"> </w:t>
      </w:r>
      <w:r w:rsidR="00464E35" w:rsidRPr="00593DF7">
        <w:t xml:space="preserve">The deployment of mobile networks, including 4G and 5G networks, </w:t>
      </w:r>
      <w:r w:rsidR="00E30CFF" w:rsidRPr="00593DF7">
        <w:t xml:space="preserve">can be expected to </w:t>
      </w:r>
      <w:r w:rsidR="00464E35" w:rsidRPr="00593DF7">
        <w:t>require significant infrastructure investment.</w:t>
      </w:r>
      <w:r w:rsidRPr="00B8703B">
        <w:t xml:space="preserve"> </w:t>
      </w:r>
      <w:r w:rsidR="00B55B18">
        <w:t>We</w:t>
      </w:r>
      <w:r w:rsidR="007B123E">
        <w:t xml:space="preserve"> consider that spectrum licensing arrangements would be better suited than apparatus licensing</w:t>
      </w:r>
      <w:r w:rsidR="00664C09">
        <w:t>. Longer</w:t>
      </w:r>
      <w:r w:rsidR="00427F1E">
        <w:t xml:space="preserve"> </w:t>
      </w:r>
      <w:r w:rsidR="00664C09">
        <w:t xml:space="preserve">term spectrum licence arrangements will </w:t>
      </w:r>
      <w:r w:rsidR="00FE3794" w:rsidRPr="00FE3794">
        <w:t>provid</w:t>
      </w:r>
      <w:r w:rsidR="00664C09">
        <w:t>e</w:t>
      </w:r>
      <w:r w:rsidR="00FE3794" w:rsidRPr="00FE3794">
        <w:t xml:space="preserve"> industry with long-term certainty to encourage operators to invest in </w:t>
      </w:r>
      <w:r w:rsidR="004D011B">
        <w:t xml:space="preserve">and deploy </w:t>
      </w:r>
      <w:r w:rsidR="00FE3794" w:rsidRPr="00FE3794">
        <w:t>telecommunications infrastructure across Australia, including in regional areas, to deliver mobile broadband services</w:t>
      </w:r>
      <w:r w:rsidR="00FE3794" w:rsidRPr="00B8703B">
        <w:t>.</w:t>
      </w:r>
      <w:r w:rsidR="007B123E" w:rsidRPr="003726F4">
        <w:t xml:space="preserve"> </w:t>
      </w:r>
      <w:r w:rsidR="007B123E" w:rsidRPr="00593DF7">
        <w:t xml:space="preserve">The introduction of spectrum licensing in the 850/900 MHz band would therefore </w:t>
      </w:r>
      <w:r w:rsidR="00C640B9">
        <w:t>promote</w:t>
      </w:r>
      <w:r w:rsidR="00C640B9" w:rsidRPr="00593DF7">
        <w:t xml:space="preserve"> </w:t>
      </w:r>
      <w:r w:rsidR="007B123E" w:rsidRPr="00593DF7">
        <w:t xml:space="preserve">the </w:t>
      </w:r>
      <w:r w:rsidR="00C640B9">
        <w:t>G</w:t>
      </w:r>
      <w:r w:rsidR="007B123E" w:rsidRPr="00593DF7">
        <w:t xml:space="preserve">overnment’s </w:t>
      </w:r>
      <w:r w:rsidR="00A335F4" w:rsidRPr="00593DF7">
        <w:t xml:space="preserve">communications </w:t>
      </w:r>
      <w:r w:rsidR="007B123E" w:rsidRPr="00593DF7">
        <w:t>policy objectives for the band.</w:t>
      </w:r>
      <w:r>
        <w:t xml:space="preserve"> </w:t>
      </w:r>
    </w:p>
    <w:p w14:paraId="4AD59021" w14:textId="1F6C224C" w:rsidR="00D241AC" w:rsidRDefault="00B55B18" w:rsidP="00D241AC">
      <w:pPr>
        <w:pStyle w:val="Paragraph"/>
      </w:pPr>
      <w:bookmarkStart w:id="27" w:name="_Hlk34860627"/>
      <w:r>
        <w:t>We</w:t>
      </w:r>
      <w:r w:rsidR="00191B04">
        <w:t xml:space="preserve"> also consider that the trading </w:t>
      </w:r>
      <w:r w:rsidR="00D241AC">
        <w:t xml:space="preserve">flexibility </w:t>
      </w:r>
      <w:r w:rsidR="00191B04">
        <w:t xml:space="preserve">inherent in spectrum licensing is particularly desirable in the 850/900 MHz band because it </w:t>
      </w:r>
      <w:r w:rsidR="00D241AC">
        <w:t xml:space="preserve">facilitates market-driven optimisation of </w:t>
      </w:r>
      <w:r w:rsidR="00191B04">
        <w:t xml:space="preserve">the </w:t>
      </w:r>
      <w:r w:rsidR="00D241AC">
        <w:t>bands</w:t>
      </w:r>
      <w:r w:rsidR="00464E35">
        <w:t xml:space="preserve"> (</w:t>
      </w:r>
      <w:r w:rsidR="00191B04">
        <w:t>that is</w:t>
      </w:r>
      <w:r w:rsidR="00464E35">
        <w:t>,</w:t>
      </w:r>
      <w:r w:rsidR="00191B04">
        <w:t xml:space="preserve"> the 1 MHz downshift</w:t>
      </w:r>
      <w:r w:rsidR="00464E35">
        <w:t>)</w:t>
      </w:r>
      <w:r>
        <w:t>,</w:t>
      </w:r>
      <w:r w:rsidR="00191B04">
        <w:t xml:space="preserve"> </w:t>
      </w:r>
      <w:r w:rsidR="00664C09">
        <w:t xml:space="preserve">potentially </w:t>
      </w:r>
      <w:r w:rsidR="00191B04">
        <w:t xml:space="preserve">without the need for further regulatory intervention. </w:t>
      </w:r>
    </w:p>
    <w:bookmarkEnd w:id="27"/>
    <w:p w14:paraId="0988C388" w14:textId="416B6DFE" w:rsidR="00F65BD5" w:rsidRDefault="00D241AC" w:rsidP="00B10C5D">
      <w:pPr>
        <w:pStyle w:val="Paragraph"/>
      </w:pPr>
      <w:r>
        <w:t xml:space="preserve">In </w:t>
      </w:r>
      <w:r w:rsidR="008610D2">
        <w:t>p</w:t>
      </w:r>
      <w:r w:rsidR="00F65BD5">
        <w:t xml:space="preserve">revious consultation </w:t>
      </w:r>
      <w:r>
        <w:t xml:space="preserve">processes, </w:t>
      </w:r>
      <w:r w:rsidR="00F65BD5">
        <w:t xml:space="preserve">incumbent licensees </w:t>
      </w:r>
      <w:r>
        <w:t>supported the introduction of spectrum licensing in the 900 MHz band.</w:t>
      </w:r>
      <w:r w:rsidR="00191B04">
        <w:t xml:space="preserve"> They further supported </w:t>
      </w:r>
      <w:r w:rsidR="00271FA3">
        <w:t xml:space="preserve">a combined </w:t>
      </w:r>
      <w:r w:rsidR="00191B04">
        <w:t>allocation of the 850 MHz expansion band with the 900 MHz band.</w:t>
      </w:r>
      <w:r>
        <w:t xml:space="preserve"> </w:t>
      </w:r>
    </w:p>
    <w:p w14:paraId="0044C5B8" w14:textId="6782B069" w:rsidR="002B7155" w:rsidRDefault="00B55B18" w:rsidP="00852A07">
      <w:pPr>
        <w:pStyle w:val="Paragraph"/>
      </w:pPr>
      <w:r>
        <w:t>We</w:t>
      </w:r>
      <w:r w:rsidR="008610D2" w:rsidDel="00D81BD7">
        <w:t xml:space="preserve"> </w:t>
      </w:r>
      <w:r w:rsidR="008610D2">
        <w:t xml:space="preserve">therefore </w:t>
      </w:r>
      <w:r w:rsidR="008610D2" w:rsidDel="00D81BD7">
        <w:t>consider that spectrum licensing is the most appropriate licence type for the allocation of spectrum in the 850/900 MHz band.</w:t>
      </w:r>
      <w:r w:rsidR="008610D2" w:rsidRPr="00F65BD5">
        <w:rPr>
          <w:rStyle w:val="CommentReference"/>
          <w:rFonts w:cs="Times New Roman"/>
        </w:rPr>
        <w:t xml:space="preserve"> </w:t>
      </w:r>
    </w:p>
    <w:p w14:paraId="491AAAC5" w14:textId="0EAA1C9E" w:rsidR="00734BF2" w:rsidRPr="00345553" w:rsidRDefault="00734BF2" w:rsidP="00427F1E">
      <w:pPr>
        <w:pStyle w:val="Heading3"/>
        <w:pBdr>
          <w:top w:val="single" w:sz="4" w:space="1" w:color="auto"/>
          <w:left w:val="single" w:sz="4" w:space="4" w:color="auto"/>
          <w:bottom w:val="single" w:sz="4" w:space="1" w:color="auto"/>
          <w:right w:val="single" w:sz="4" w:space="4" w:color="auto"/>
        </w:pBdr>
        <w:shd w:val="clear" w:color="auto" w:fill="F2F2F2" w:themeFill="background1" w:themeFillShade="F2"/>
        <w:rPr>
          <w:bCs w:val="0"/>
        </w:rPr>
      </w:pPr>
      <w:r w:rsidRPr="001243C9">
        <w:rPr>
          <w:bCs w:val="0"/>
        </w:rPr>
        <w:t>Licence type for the 850/900 MHz band</w:t>
      </w:r>
    </w:p>
    <w:p w14:paraId="1F16126C" w14:textId="4DD38A63" w:rsidR="00734BF2" w:rsidRPr="0089357C" w:rsidRDefault="00734BF2" w:rsidP="00427F1E">
      <w:pPr>
        <w:pStyle w:val="Recommendation"/>
        <w:shd w:val="clear" w:color="auto" w:fill="F2F2F2" w:themeFill="background1" w:themeFillShade="F2"/>
      </w:pPr>
      <w:r w:rsidRPr="006E3939">
        <w:t xml:space="preserve">The ACMA proposes to recommend that </w:t>
      </w:r>
      <w:r w:rsidRPr="00041887">
        <w:t xml:space="preserve">the 850/900 MHz band </w:t>
      </w:r>
      <w:r w:rsidR="0040450C" w:rsidRPr="00041887">
        <w:t xml:space="preserve">be </w:t>
      </w:r>
      <w:r w:rsidR="00926303" w:rsidRPr="00A71A72">
        <w:t>re</w:t>
      </w:r>
      <w:r w:rsidR="00C5061F">
        <w:t>-</w:t>
      </w:r>
      <w:r w:rsidR="00926303" w:rsidRPr="00A71A72">
        <w:t>allocated by issuing spectrum licences</w:t>
      </w:r>
      <w:r w:rsidR="00934FDE" w:rsidRPr="00742F23">
        <w:t xml:space="preserve"> (as described in the </w:t>
      </w:r>
      <w:r w:rsidR="00B55B18">
        <w:t xml:space="preserve">section 153G </w:t>
      </w:r>
      <w:r w:rsidR="00934FDE" w:rsidRPr="00742F23">
        <w:t>notice</w:t>
      </w:r>
      <w:r w:rsidR="00934FDE" w:rsidRPr="0089357C">
        <w:t>)</w:t>
      </w:r>
      <w:r w:rsidR="0040450C" w:rsidRPr="0089357C">
        <w:t>.</w:t>
      </w:r>
    </w:p>
    <w:p w14:paraId="7C75D29B" w14:textId="10DCC2AB" w:rsidR="00734BF2" w:rsidRDefault="00664572" w:rsidP="00664572">
      <w:pPr>
        <w:pStyle w:val="Heading1"/>
      </w:pPr>
      <w:bookmarkStart w:id="28" w:name="_Toc40175645"/>
      <w:r>
        <w:lastRenderedPageBreak/>
        <w:t>Specified parts of the spectrum</w:t>
      </w:r>
      <w:bookmarkEnd w:id="28"/>
    </w:p>
    <w:p w14:paraId="1907358D" w14:textId="5803BFD8" w:rsidR="008E45A3" w:rsidRDefault="008E45A3" w:rsidP="000B643A">
      <w:pPr>
        <w:pStyle w:val="Paragraph"/>
      </w:pPr>
      <w:r>
        <w:t xml:space="preserve">The ACMA may give the </w:t>
      </w:r>
      <w:r w:rsidR="008653F9">
        <w:t>Minister</w:t>
      </w:r>
      <w:r w:rsidR="00BC6FB1">
        <w:t xml:space="preserve"> </w:t>
      </w:r>
      <w:r>
        <w:t xml:space="preserve">a recommendation to make a spectrum </w:t>
      </w:r>
      <w:r w:rsidR="00DA3182">
        <w:t>re</w:t>
      </w:r>
      <w:r w:rsidR="00DA3182">
        <w:noBreakHyphen/>
        <w:t>allocation</w:t>
      </w:r>
      <w:r>
        <w:t xml:space="preserve"> declaration for one or more specified parts of the spectrum. Parts of the spectrum may be defined by their frequency range and geographical boundaries.</w:t>
      </w:r>
      <w:r w:rsidR="006D1FD9">
        <w:t xml:space="preserve"> </w:t>
      </w:r>
    </w:p>
    <w:p w14:paraId="0B007A07" w14:textId="10C437A2" w:rsidR="00191B04" w:rsidRDefault="008E45A3" w:rsidP="000B643A">
      <w:pPr>
        <w:pStyle w:val="Paragraph"/>
      </w:pPr>
      <w:r>
        <w:t xml:space="preserve">In determining an appropriate recommendation, </w:t>
      </w:r>
      <w:r w:rsidR="00D059EE">
        <w:t>we</w:t>
      </w:r>
      <w:r>
        <w:t xml:space="preserve"> consider </w:t>
      </w:r>
      <w:r w:rsidR="007949F6">
        <w:t xml:space="preserve">a range of </w:t>
      </w:r>
      <w:r>
        <w:t xml:space="preserve">factors. For example, international trends and anticipated future spectrum uses help provide a platform to establish if there is demand for the spectrum. Matters such as the technology to be deployed and current use of a band may influence the amount of spectrum that should be considered for </w:t>
      </w:r>
      <w:r w:rsidR="00DA3182">
        <w:t>re</w:t>
      </w:r>
      <w:r w:rsidR="00DA3182">
        <w:noBreakHyphen/>
        <w:t>allocation</w:t>
      </w:r>
      <w:r>
        <w:t>.</w:t>
      </w:r>
      <w:r w:rsidR="001F5BF7">
        <w:t xml:space="preserve"> </w:t>
      </w:r>
    </w:p>
    <w:p w14:paraId="0024D0BF" w14:textId="54717BB1" w:rsidR="00970428" w:rsidRDefault="008E45A3" w:rsidP="000B643A">
      <w:pPr>
        <w:pStyle w:val="Paragraph"/>
      </w:pPr>
      <w:r>
        <w:t xml:space="preserve">These matters are not </w:t>
      </w:r>
      <w:proofErr w:type="gramStart"/>
      <w:r w:rsidR="00943B12">
        <w:t>exhaustive</w:t>
      </w:r>
      <w:proofErr w:type="gramEnd"/>
      <w:r w:rsidR="00943B12">
        <w:t xml:space="preserve"> </w:t>
      </w:r>
      <w:r>
        <w:t xml:space="preserve">and </w:t>
      </w:r>
      <w:r w:rsidR="00D059EE">
        <w:t>we</w:t>
      </w:r>
      <w:r w:rsidR="000365FF">
        <w:t xml:space="preserve"> </w:t>
      </w:r>
      <w:r>
        <w:t>may take other issues into consideration when determining an appropriate recommendation.</w:t>
      </w:r>
    </w:p>
    <w:p w14:paraId="3E649BB6" w14:textId="2C56238E" w:rsidR="008E45A3" w:rsidRPr="00462001" w:rsidRDefault="00002129" w:rsidP="008E45A3">
      <w:pPr>
        <w:pStyle w:val="Heading2"/>
      </w:pPr>
      <w:bookmarkStart w:id="29" w:name="_Toc40175646"/>
      <w:r w:rsidRPr="00462001">
        <w:t>F</w:t>
      </w:r>
      <w:r w:rsidR="008E45A3" w:rsidRPr="00462001">
        <w:t>requency boundaries</w:t>
      </w:r>
      <w:bookmarkEnd w:id="29"/>
    </w:p>
    <w:p w14:paraId="78643FFD" w14:textId="20724301" w:rsidR="002063F6" w:rsidRDefault="002063F6" w:rsidP="002063F6">
      <w:pPr>
        <w:pStyle w:val="Paragraph"/>
      </w:pPr>
      <w:r w:rsidRPr="00462001">
        <w:t xml:space="preserve">In Australia, a number of sub-1 GHz frequencies have been spectrum licensed </w:t>
      </w:r>
      <w:r w:rsidR="007949F6" w:rsidRPr="00462001">
        <w:t>with technical frameworks that are</w:t>
      </w:r>
      <w:r w:rsidRPr="00462001">
        <w:t xml:space="preserve"> optimised for mobile broadband services</w:t>
      </w:r>
      <w:r w:rsidR="007949F6" w:rsidRPr="00462001">
        <w:t xml:space="preserve">: </w:t>
      </w:r>
      <w:r w:rsidRPr="00462001">
        <w:t xml:space="preserve">the </w:t>
      </w:r>
      <w:r w:rsidR="007949F6" w:rsidRPr="00462001">
        <w:t xml:space="preserve">700 MHz band </w:t>
      </w:r>
      <w:r w:rsidRPr="00462001">
        <w:t>(</w:t>
      </w:r>
      <w:r w:rsidR="007949F6" w:rsidRPr="00462001">
        <w:t>703</w:t>
      </w:r>
      <w:r w:rsidR="00462001">
        <w:t>–</w:t>
      </w:r>
      <w:r w:rsidR="007949F6" w:rsidRPr="00462001">
        <w:t>748 MHz and 758</w:t>
      </w:r>
      <w:r w:rsidR="00462001">
        <w:t>–</w:t>
      </w:r>
      <w:r w:rsidR="007949F6" w:rsidRPr="00462001">
        <w:t>803 MHz</w:t>
      </w:r>
      <w:r w:rsidRPr="00462001">
        <w:t>) and the 850 MHz spectrum</w:t>
      </w:r>
      <w:r w:rsidR="00764F9F">
        <w:noBreakHyphen/>
      </w:r>
      <w:r w:rsidRPr="00462001">
        <w:t>licensed band (825</w:t>
      </w:r>
      <w:r w:rsidR="00462001">
        <w:t>–</w:t>
      </w:r>
      <w:r w:rsidRPr="00462001">
        <w:t>845 MHz and 870</w:t>
      </w:r>
      <w:r w:rsidR="00462001">
        <w:t>–</w:t>
      </w:r>
      <w:r w:rsidRPr="00462001">
        <w:t>890 MHz). The 850/900 MHz band is the only remaining internationally harmonised sub-1 GHz wireless broadband</w:t>
      </w:r>
      <w:r w:rsidRPr="00864002">
        <w:t xml:space="preserve"> band yet to be </w:t>
      </w:r>
      <w:r>
        <w:t xml:space="preserve">spectrum licensed and </w:t>
      </w:r>
      <w:r w:rsidRPr="00864002">
        <w:t>optimised for mobile broadband services in Australia.</w:t>
      </w:r>
      <w:r>
        <w:t xml:space="preserve"> </w:t>
      </w:r>
    </w:p>
    <w:p w14:paraId="7630A4F5" w14:textId="632A28D8" w:rsidR="00045E08" w:rsidRDefault="002063F6" w:rsidP="00045E08">
      <w:pPr>
        <w:pStyle w:val="Paragraph"/>
      </w:pPr>
      <w:r>
        <w:t>Re</w:t>
      </w:r>
      <w:r w:rsidR="004E5F83">
        <w:noBreakHyphen/>
      </w:r>
      <w:r>
        <w:t xml:space="preserve">allocating the 850/900 MHz band would </w:t>
      </w:r>
      <w:r w:rsidR="00776290">
        <w:t xml:space="preserve">enable </w:t>
      </w:r>
      <w:r>
        <w:t xml:space="preserve">contiguity between the 850 MHz expansion band and the adjacent 850 MHz </w:t>
      </w:r>
      <w:r w:rsidR="00A41C4D">
        <w:t>spectrum</w:t>
      </w:r>
      <w:r w:rsidR="00764F9F">
        <w:noBreakHyphen/>
      </w:r>
      <w:r w:rsidR="00A41C4D">
        <w:t xml:space="preserve">licensed </w:t>
      </w:r>
      <w:r>
        <w:t>band.</w:t>
      </w:r>
      <w:r w:rsidR="007E0D0D" w:rsidDel="007E0D0D">
        <w:t xml:space="preserve"> </w:t>
      </w:r>
      <w:r w:rsidR="00F9212A">
        <w:t>We consider</w:t>
      </w:r>
      <w:r w:rsidR="00045E08">
        <w:t xml:space="preserve"> it </w:t>
      </w:r>
      <w:r w:rsidR="00690B93">
        <w:t xml:space="preserve">is </w:t>
      </w:r>
      <w:r w:rsidR="00045E08">
        <w:t xml:space="preserve">important to </w:t>
      </w:r>
      <w:r w:rsidR="00002129">
        <w:t>remove</w:t>
      </w:r>
      <w:r w:rsidR="00045E08">
        <w:t xml:space="preserve"> regulatory impediments to achieving the downshift</w:t>
      </w:r>
      <w:r w:rsidR="000E75A7">
        <w:t xml:space="preserve"> of 8</w:t>
      </w:r>
      <w:r w:rsidR="004D5A96">
        <w:t>5</w:t>
      </w:r>
      <w:r w:rsidR="000E75A7">
        <w:t>0 MHz spectrum licences</w:t>
      </w:r>
      <w:r w:rsidR="00002129">
        <w:t>. As the</w:t>
      </w:r>
      <w:r w:rsidR="00402AD2">
        <w:t xml:space="preserve"> downshift frequencies are currently apparatus licensed, </w:t>
      </w:r>
      <w:r w:rsidR="00462001">
        <w:t>we</w:t>
      </w:r>
      <w:r w:rsidR="00427F1E">
        <w:t xml:space="preserve"> have</w:t>
      </w:r>
      <w:r w:rsidR="00045E08">
        <w:t xml:space="preserve"> include</w:t>
      </w:r>
      <w:r w:rsidR="00427F1E">
        <w:t>d</w:t>
      </w:r>
      <w:r w:rsidR="00045E08">
        <w:t xml:space="preserve"> the </w:t>
      </w:r>
      <w:r w:rsidR="00E5281E">
        <w:t xml:space="preserve">downshift </w:t>
      </w:r>
      <w:r w:rsidR="00B940A3">
        <w:t xml:space="preserve">frequencies </w:t>
      </w:r>
      <w:r w:rsidR="00045E08">
        <w:t xml:space="preserve">in the </w:t>
      </w:r>
      <w:r w:rsidR="00943B12">
        <w:t xml:space="preserve">draft </w:t>
      </w:r>
      <w:r w:rsidR="00DA3182">
        <w:t>re</w:t>
      </w:r>
      <w:r w:rsidR="00DA3182">
        <w:noBreakHyphen/>
        <w:t>allocation</w:t>
      </w:r>
      <w:r w:rsidR="00045E08">
        <w:t xml:space="preserve"> recommendation</w:t>
      </w:r>
      <w:r w:rsidR="0017172D">
        <w:t xml:space="preserve"> to </w:t>
      </w:r>
      <w:r w:rsidR="00103FE3">
        <w:t>facilitate the downshift</w:t>
      </w:r>
      <w:r w:rsidR="00045E08">
        <w:t>.</w:t>
      </w:r>
    </w:p>
    <w:p w14:paraId="588858D1" w14:textId="5E063B54" w:rsidR="00776290" w:rsidRDefault="00462001" w:rsidP="00045E08">
      <w:pPr>
        <w:pStyle w:val="Paragraph"/>
      </w:pPr>
      <w:r>
        <w:t>We</w:t>
      </w:r>
      <w:r w:rsidR="00776290">
        <w:t xml:space="preserve"> </w:t>
      </w:r>
      <w:r w:rsidR="00427F1E">
        <w:t xml:space="preserve">therefore </w:t>
      </w:r>
      <w:r w:rsidR="00776290">
        <w:t xml:space="preserve">consider that the whole 850/900 MHz band should be subject to </w:t>
      </w:r>
      <w:r w:rsidR="00DA3182">
        <w:t>re</w:t>
      </w:r>
      <w:r w:rsidR="00DA3182">
        <w:noBreakHyphen/>
        <w:t>allocation</w:t>
      </w:r>
      <w:r w:rsidR="00943B12">
        <w:t xml:space="preserve"> by issuing </w:t>
      </w:r>
      <w:r w:rsidR="00776290">
        <w:t>spectrum licen</w:t>
      </w:r>
      <w:r w:rsidR="00943B12">
        <w:t>ces</w:t>
      </w:r>
      <w:r w:rsidR="00776290">
        <w:t xml:space="preserve">. </w:t>
      </w:r>
    </w:p>
    <w:p w14:paraId="3C71BE44" w14:textId="018E94E1" w:rsidR="000B74AA" w:rsidRPr="006C13CE" w:rsidRDefault="00CC0810" w:rsidP="00427F1E">
      <w:pPr>
        <w:pStyle w:val="Recommendation"/>
        <w:shd w:val="clear" w:color="auto" w:fill="F2F2F2" w:themeFill="background1" w:themeFillShade="F2"/>
      </w:pPr>
      <w:r w:rsidRPr="006C13CE">
        <w:rPr>
          <w:b/>
        </w:rPr>
        <w:t>Frequency boundaries in the 850/900 MHz band</w:t>
      </w:r>
      <w:r w:rsidRPr="006C13CE">
        <w:rPr>
          <w:b/>
        </w:rPr>
        <w:tab/>
      </w:r>
    </w:p>
    <w:p w14:paraId="69392347" w14:textId="2BE9F20B" w:rsidR="001B4C34" w:rsidRPr="00CC25FC" w:rsidRDefault="00CC0810" w:rsidP="00427F1E">
      <w:pPr>
        <w:pStyle w:val="Recommendation"/>
        <w:shd w:val="clear" w:color="auto" w:fill="F2F2F2" w:themeFill="background1" w:themeFillShade="F2"/>
      </w:pPr>
      <w:r w:rsidRPr="006E3939">
        <w:t xml:space="preserve">The ACMA proposes to recommend that the </w:t>
      </w:r>
      <w:r w:rsidR="008653F9" w:rsidRPr="002237AB">
        <w:t>Minister</w:t>
      </w:r>
      <w:r w:rsidRPr="00A47BA0">
        <w:t xml:space="preserve"> declare for </w:t>
      </w:r>
      <w:r w:rsidR="00DA3182">
        <w:t>re</w:t>
      </w:r>
      <w:r w:rsidR="00DA3182">
        <w:noBreakHyphen/>
        <w:t>allocation</w:t>
      </w:r>
      <w:r w:rsidRPr="007951CB">
        <w:t xml:space="preserve"> the </w:t>
      </w:r>
      <w:r w:rsidR="001B4C34" w:rsidRPr="00CC25FC">
        <w:t>following frequency ranges:</w:t>
      </w:r>
    </w:p>
    <w:p w14:paraId="222410F1" w14:textId="38E74729" w:rsidR="001B4C34" w:rsidRPr="00041887" w:rsidRDefault="001B4C34" w:rsidP="00427F1E">
      <w:pPr>
        <w:pStyle w:val="Recommendation"/>
        <w:shd w:val="clear" w:color="auto" w:fill="F2F2F2" w:themeFill="background1" w:themeFillShade="F2"/>
      </w:pPr>
      <w:r w:rsidRPr="00377EF4">
        <w:t>&gt;</w:t>
      </w:r>
      <w:r w:rsidRPr="00377EF4">
        <w:tab/>
        <w:t>809</w:t>
      </w:r>
      <w:r w:rsidR="00462001">
        <w:t>–</w:t>
      </w:r>
      <w:r w:rsidRPr="00377EF4">
        <w:t>825 M</w:t>
      </w:r>
      <w:r w:rsidRPr="00041887">
        <w:t>Hz</w:t>
      </w:r>
    </w:p>
    <w:p w14:paraId="5CAAAD3D" w14:textId="1BA1B4AE" w:rsidR="001B4C34" w:rsidRPr="00742F23" w:rsidRDefault="001B4C34" w:rsidP="00427F1E">
      <w:pPr>
        <w:pStyle w:val="Recommendation"/>
        <w:shd w:val="clear" w:color="auto" w:fill="F2F2F2" w:themeFill="background1" w:themeFillShade="F2"/>
      </w:pPr>
      <w:r w:rsidRPr="00A71A72">
        <w:t>&gt;</w:t>
      </w:r>
      <w:r w:rsidRPr="00A71A72">
        <w:tab/>
        <w:t>854</w:t>
      </w:r>
      <w:r w:rsidR="00462001">
        <w:t>–</w:t>
      </w:r>
      <w:r w:rsidRPr="00A71A72">
        <w:t xml:space="preserve">870 MHz </w:t>
      </w:r>
    </w:p>
    <w:p w14:paraId="1AC4E623" w14:textId="259D4750" w:rsidR="001B4C34" w:rsidRPr="00AA66FD" w:rsidRDefault="001B4C34" w:rsidP="00427F1E">
      <w:pPr>
        <w:pStyle w:val="Recommendation"/>
        <w:shd w:val="clear" w:color="auto" w:fill="F2F2F2" w:themeFill="background1" w:themeFillShade="F2"/>
      </w:pPr>
      <w:r w:rsidRPr="00AA66FD">
        <w:t>&gt;</w:t>
      </w:r>
      <w:r w:rsidRPr="00AA66FD">
        <w:tab/>
        <w:t>890</w:t>
      </w:r>
      <w:r w:rsidR="00462001">
        <w:t>–</w:t>
      </w:r>
      <w:r w:rsidRPr="00AA66FD">
        <w:t>915 MHz</w:t>
      </w:r>
    </w:p>
    <w:p w14:paraId="4211AC0D" w14:textId="1DC58236" w:rsidR="007F1765" w:rsidRPr="0076509E" w:rsidRDefault="001B4C34" w:rsidP="00427F1E">
      <w:pPr>
        <w:pStyle w:val="Recommendation"/>
        <w:shd w:val="clear" w:color="auto" w:fill="F2F2F2" w:themeFill="background1" w:themeFillShade="F2"/>
      </w:pPr>
      <w:r w:rsidRPr="0076509E">
        <w:t>&gt;</w:t>
      </w:r>
      <w:r w:rsidRPr="0076509E">
        <w:tab/>
        <w:t>935</w:t>
      </w:r>
      <w:r w:rsidR="00462001">
        <w:t>–</w:t>
      </w:r>
      <w:r w:rsidRPr="0076509E">
        <w:t xml:space="preserve">960 </w:t>
      </w:r>
      <w:proofErr w:type="spellStart"/>
      <w:r w:rsidRPr="0076509E">
        <w:t>MHz.</w:t>
      </w:r>
      <w:proofErr w:type="spellEnd"/>
    </w:p>
    <w:p w14:paraId="42972BA2" w14:textId="60CACF5A" w:rsidR="000B74AA" w:rsidRDefault="00D42D2A" w:rsidP="00814546">
      <w:pPr>
        <w:pStyle w:val="Heading2"/>
      </w:pPr>
      <w:bookmarkStart w:id="30" w:name="_Toc40175647"/>
      <w:r>
        <w:t>Geographic</w:t>
      </w:r>
      <w:r w:rsidR="00814546" w:rsidRPr="00431CD0">
        <w:t xml:space="preserve"> areas</w:t>
      </w:r>
      <w:bookmarkEnd w:id="30"/>
    </w:p>
    <w:p w14:paraId="13B92691" w14:textId="2F8872D8" w:rsidR="00CB7124" w:rsidRDefault="00FD277E" w:rsidP="00CB7124">
      <w:pPr>
        <w:pStyle w:val="Paragraph"/>
      </w:pPr>
      <w:r>
        <w:t>A range of factors</w:t>
      </w:r>
      <w:r w:rsidR="00BC6FB1">
        <w:t xml:space="preserve"> </w:t>
      </w:r>
      <w:r w:rsidR="00690B93">
        <w:t xml:space="preserve">are relevant </w:t>
      </w:r>
      <w:r w:rsidR="0076509E">
        <w:t>in deciding the geographic area</w:t>
      </w:r>
      <w:r w:rsidR="00A41C4D">
        <w:t>(</w:t>
      </w:r>
      <w:r w:rsidR="0076509E">
        <w:t>s</w:t>
      </w:r>
      <w:r w:rsidR="00A41C4D">
        <w:t>)</w:t>
      </w:r>
      <w:r w:rsidR="0076509E">
        <w:t xml:space="preserve"> that should be re</w:t>
      </w:r>
      <w:r w:rsidR="00D83394">
        <w:noBreakHyphen/>
      </w:r>
      <w:r w:rsidR="0076509E">
        <w:t xml:space="preserve">allocated, </w:t>
      </w:r>
      <w:r w:rsidR="00690B93">
        <w:t xml:space="preserve">including </w:t>
      </w:r>
      <w:r w:rsidR="00C04E17">
        <w:t xml:space="preserve">the expected use of the spectrum and technical characteristics of the band. </w:t>
      </w:r>
    </w:p>
    <w:p w14:paraId="43354DC1" w14:textId="5265794C" w:rsidR="00CB7124" w:rsidRDefault="00462001" w:rsidP="00CB7124">
      <w:pPr>
        <w:pStyle w:val="Paragraph"/>
      </w:pPr>
      <w:r>
        <w:t>We</w:t>
      </w:r>
      <w:r w:rsidR="00CB7124" w:rsidRPr="00BC6FB1">
        <w:t xml:space="preserve"> </w:t>
      </w:r>
      <w:r w:rsidR="00297763">
        <w:t>expect</w:t>
      </w:r>
      <w:r w:rsidR="00297763" w:rsidRPr="00BC6FB1">
        <w:t xml:space="preserve"> </w:t>
      </w:r>
      <w:r w:rsidR="00CB7124" w:rsidRPr="00BC6FB1">
        <w:t xml:space="preserve">that </w:t>
      </w:r>
      <w:r w:rsidR="00CB7124">
        <w:t xml:space="preserve">there is likely to be demand for 4G and 5G services throughout Australia. </w:t>
      </w:r>
      <w:bookmarkStart w:id="31" w:name="_Hlk34862231"/>
      <w:r w:rsidR="00CB7124">
        <w:t xml:space="preserve">Consumers have an expectation that they will be able to </w:t>
      </w:r>
      <w:r w:rsidR="00E43D7E">
        <w:t>access</w:t>
      </w:r>
      <w:r w:rsidR="00CB7124">
        <w:t xml:space="preserve"> mobile </w:t>
      </w:r>
      <w:r w:rsidR="00E43D7E">
        <w:t xml:space="preserve">services </w:t>
      </w:r>
      <w:r w:rsidR="00CB7124">
        <w:t xml:space="preserve">wherever they travel in Australia, and sub-1 GHz spectrum is </w:t>
      </w:r>
      <w:r w:rsidR="008B5DE6">
        <w:t>well-suited to</w:t>
      </w:r>
      <w:r w:rsidR="00CB7124">
        <w:t xml:space="preserve"> providing that wide</w:t>
      </w:r>
      <w:r w:rsidR="009A37D8">
        <w:t>-</w:t>
      </w:r>
      <w:r w:rsidR="00CB7124">
        <w:t>area coverage</w:t>
      </w:r>
      <w:bookmarkEnd w:id="31"/>
      <w:r w:rsidR="00CB7124">
        <w:t xml:space="preserve">. </w:t>
      </w:r>
      <w:bookmarkStart w:id="32" w:name="_Hlk34862208"/>
      <w:r w:rsidR="00C9744E">
        <w:t xml:space="preserve">A </w:t>
      </w:r>
      <w:r w:rsidR="000767B9">
        <w:t>geographic area</w:t>
      </w:r>
      <w:r w:rsidR="00C9744E">
        <w:t xml:space="preserve"> to be</w:t>
      </w:r>
      <w:r w:rsidR="000767B9">
        <w:t xml:space="preserve"> proposed for </w:t>
      </w:r>
      <w:r w:rsidR="00DA3182">
        <w:t>re</w:t>
      </w:r>
      <w:r w:rsidR="00DA3182">
        <w:noBreakHyphen/>
        <w:t>allocation</w:t>
      </w:r>
      <w:r w:rsidR="000767B9">
        <w:t xml:space="preserve"> should not impede a roll out of Australia</w:t>
      </w:r>
      <w:r w:rsidR="009A37D8">
        <w:t>-</w:t>
      </w:r>
      <w:r w:rsidR="000767B9">
        <w:t>wide services</w:t>
      </w:r>
      <w:r w:rsidR="00775FEA">
        <w:t xml:space="preserve">, </w:t>
      </w:r>
      <w:r w:rsidR="0044460B" w:rsidRPr="003726F4">
        <w:t xml:space="preserve">particularly </w:t>
      </w:r>
      <w:r w:rsidR="00775FEA" w:rsidRPr="00593DF7">
        <w:t xml:space="preserve">given the </w:t>
      </w:r>
      <w:r w:rsidR="0044460B" w:rsidRPr="00593DF7">
        <w:lastRenderedPageBreak/>
        <w:t xml:space="preserve">government’s </w:t>
      </w:r>
      <w:r w:rsidR="009C22CA" w:rsidRPr="00593DF7">
        <w:t xml:space="preserve">communications </w:t>
      </w:r>
      <w:r w:rsidR="0044460B" w:rsidRPr="00593DF7">
        <w:t xml:space="preserve">policy </w:t>
      </w:r>
      <w:r w:rsidR="00775FEA" w:rsidRPr="00593DF7">
        <w:t xml:space="preserve">objective </w:t>
      </w:r>
      <w:r w:rsidR="0044460B" w:rsidRPr="00593DF7">
        <w:t xml:space="preserve">of </w:t>
      </w:r>
      <w:r w:rsidR="00775FEA" w:rsidRPr="00593DF7">
        <w:t>encouraging investment in infrastructure, including in regional Australia</w:t>
      </w:r>
      <w:r w:rsidR="000767B9" w:rsidRPr="00593DF7">
        <w:t>.</w:t>
      </w:r>
      <w:r w:rsidR="000767B9">
        <w:t xml:space="preserve"> </w:t>
      </w:r>
      <w:bookmarkEnd w:id="32"/>
    </w:p>
    <w:p w14:paraId="5CA79D66" w14:textId="61BA8ABC" w:rsidR="008F5E05" w:rsidRDefault="008F5E05" w:rsidP="008F5E05">
      <w:pPr>
        <w:pStyle w:val="Paragraph"/>
      </w:pPr>
      <w:r>
        <w:t xml:space="preserve">The propagation characteristics of </w:t>
      </w:r>
      <w:r w:rsidRPr="00914CE5">
        <w:t xml:space="preserve">the </w:t>
      </w:r>
      <w:r>
        <w:t>850/900 MHz</w:t>
      </w:r>
      <w:r w:rsidRPr="00914CE5">
        <w:t xml:space="preserve"> band make it suitable for </w:t>
      </w:r>
      <w:r w:rsidR="0044460B">
        <w:t xml:space="preserve">provision of </w:t>
      </w:r>
      <w:r>
        <w:t xml:space="preserve">wide area </w:t>
      </w:r>
      <w:r w:rsidRPr="00914CE5">
        <w:t xml:space="preserve">mobile </w:t>
      </w:r>
      <w:r>
        <w:t xml:space="preserve">broadband </w:t>
      </w:r>
      <w:r w:rsidRPr="00914CE5">
        <w:t>services</w:t>
      </w:r>
      <w:r>
        <w:t>. This is reflected in the fact that the current 900 MHz band apparatus licences authorise deployments throughout Australia. In addition, the</w:t>
      </w:r>
      <w:r w:rsidR="00103FE3">
        <w:t xml:space="preserve"> </w:t>
      </w:r>
      <w:r>
        <w:t xml:space="preserve">adjacent 850 MHz band </w:t>
      </w:r>
      <w:r w:rsidR="00EE0C8E">
        <w:t>is</w:t>
      </w:r>
      <w:r>
        <w:t xml:space="preserve"> spectrum licensed on an Australia-wide basis and </w:t>
      </w:r>
      <w:r w:rsidR="00EE0C8E">
        <w:t>is</w:t>
      </w:r>
      <w:r w:rsidR="00077320">
        <w:t xml:space="preserve"> </w:t>
      </w:r>
      <w:r>
        <w:t xml:space="preserve">used to provide mobile broadband services. </w:t>
      </w:r>
    </w:p>
    <w:p w14:paraId="24F0B434" w14:textId="68BFCA4B" w:rsidR="00C04E17" w:rsidRDefault="00297763" w:rsidP="004214D2">
      <w:pPr>
        <w:pStyle w:val="Paragraph"/>
      </w:pPr>
      <w:r>
        <w:t>We</w:t>
      </w:r>
      <w:r w:rsidR="00CB7124">
        <w:t xml:space="preserve"> also note that </w:t>
      </w:r>
      <w:r w:rsidR="001243C9">
        <w:t>for</w:t>
      </w:r>
      <w:r w:rsidR="00CB7124">
        <w:t xml:space="preserve"> the </w:t>
      </w:r>
      <w:bookmarkStart w:id="33" w:name="_Hlk34862398"/>
      <w:r w:rsidR="00CB7124">
        <w:t xml:space="preserve">future downshift of the 850 MHz band spectrum licences to occur, it is necessary </w:t>
      </w:r>
      <w:r w:rsidR="00077320">
        <w:t>to align the geographic areas of the</w:t>
      </w:r>
      <w:r w:rsidR="00CB7124">
        <w:t xml:space="preserve"> 850/900 MHz bands </w:t>
      </w:r>
      <w:r w:rsidR="00EE0C8E">
        <w:t xml:space="preserve">with </w:t>
      </w:r>
      <w:r w:rsidR="001243C9">
        <w:t>that of</w:t>
      </w:r>
      <w:r w:rsidR="00CB7124">
        <w:t xml:space="preserve"> the</w:t>
      </w:r>
      <w:r w:rsidR="001243C9">
        <w:t xml:space="preserve"> </w:t>
      </w:r>
      <w:r w:rsidR="00AD1516">
        <w:t xml:space="preserve">adjacent </w:t>
      </w:r>
      <w:r w:rsidR="00CB7124">
        <w:t>850 MHz</w:t>
      </w:r>
      <w:r w:rsidR="001243C9">
        <w:t xml:space="preserve"> spectrum-licensed</w:t>
      </w:r>
      <w:r w:rsidR="00CB7124">
        <w:t xml:space="preserve"> band. </w:t>
      </w:r>
      <w:bookmarkEnd w:id="33"/>
    </w:p>
    <w:p w14:paraId="736025C6" w14:textId="4D9FFCAE" w:rsidR="00480DCA" w:rsidRDefault="00297763" w:rsidP="004214D2">
      <w:pPr>
        <w:pStyle w:val="Paragraph"/>
      </w:pPr>
      <w:r>
        <w:t>We</w:t>
      </w:r>
      <w:r w:rsidR="00D9628D">
        <w:t xml:space="preserve"> </w:t>
      </w:r>
      <w:r w:rsidR="00480DCA">
        <w:t>consider that the highest value use of the spectrum would be best achieved by re</w:t>
      </w:r>
      <w:r w:rsidR="00D83394">
        <w:noBreakHyphen/>
      </w:r>
      <w:r w:rsidR="00480DCA">
        <w:t>allocating the 850/900 MHz band across the whole of Australia.</w:t>
      </w:r>
    </w:p>
    <w:p w14:paraId="45646777" w14:textId="7EE08433" w:rsidR="00914CE5" w:rsidRDefault="00914CE5" w:rsidP="00427F1E">
      <w:pPr>
        <w:pStyle w:val="Heading2"/>
      </w:pPr>
      <w:bookmarkStart w:id="34" w:name="_Toc40175648"/>
      <w:r>
        <w:t>Mid</w:t>
      </w:r>
      <w:r w:rsidR="00CB550B">
        <w:t>-</w:t>
      </w:r>
      <w:r w:rsidR="00297763">
        <w:t>w</w:t>
      </w:r>
      <w:r>
        <w:t>est Radio Quiet Zone</w:t>
      </w:r>
      <w:bookmarkEnd w:id="34"/>
    </w:p>
    <w:p w14:paraId="37915020" w14:textId="4659DBF7" w:rsidR="00914CE5" w:rsidRDefault="00914CE5" w:rsidP="00914CE5">
      <w:pPr>
        <w:pStyle w:val="Paragraph"/>
      </w:pPr>
      <w:r>
        <w:t xml:space="preserve">The ACMA maintains the </w:t>
      </w:r>
      <w:r w:rsidR="008B44D5">
        <w:t>m</w:t>
      </w:r>
      <w:r w:rsidR="00CB550B">
        <w:t>id-</w:t>
      </w:r>
      <w:r w:rsidR="008B44D5">
        <w:t>w</w:t>
      </w:r>
      <w:r w:rsidR="00CB550B">
        <w:t xml:space="preserve">est </w:t>
      </w:r>
      <w:r w:rsidR="00AA658F">
        <w:t>RQZ</w:t>
      </w:r>
      <w:r>
        <w:t xml:space="preserve"> in remote Western Australia to provide conditions suitable for radioastronomy research. </w:t>
      </w:r>
      <w:r w:rsidR="00CB550B">
        <w:t xml:space="preserve">The </w:t>
      </w:r>
      <w:r w:rsidR="00471BD1">
        <w:t>mid-west</w:t>
      </w:r>
      <w:r w:rsidR="00CB550B">
        <w:t xml:space="preserve"> RQZ is located near </w:t>
      </w:r>
      <w:proofErr w:type="spellStart"/>
      <w:r w:rsidR="00CB550B">
        <w:t>Boolardy</w:t>
      </w:r>
      <w:proofErr w:type="spellEnd"/>
      <w:r w:rsidR="00CB550B">
        <w:t xml:space="preserve"> Station, around </w:t>
      </w:r>
      <w:r w:rsidR="009A3CF7" w:rsidRPr="009A3CF7">
        <w:t xml:space="preserve">300 km </w:t>
      </w:r>
      <w:r w:rsidR="009A37D8">
        <w:t>n</w:t>
      </w:r>
      <w:r w:rsidR="009A3CF7" w:rsidRPr="009A3CF7">
        <w:t>orth</w:t>
      </w:r>
      <w:r w:rsidR="009A37D8">
        <w:t>-e</w:t>
      </w:r>
      <w:r w:rsidR="000767B9">
        <w:t xml:space="preserve">ast </w:t>
      </w:r>
      <w:r w:rsidR="00CB550B">
        <w:t xml:space="preserve">of </w:t>
      </w:r>
      <w:r w:rsidR="009A3CF7" w:rsidRPr="009A3CF7">
        <w:t>Geraldton</w:t>
      </w:r>
      <w:r w:rsidR="00297763">
        <w:t>,</w:t>
      </w:r>
      <w:r w:rsidR="00CB550B">
        <w:t xml:space="preserve"> in a sparsely populated area of Australia (</w:t>
      </w:r>
      <w:r w:rsidR="003830CF" w:rsidRPr="003830CF">
        <w:fldChar w:fldCharType="begin"/>
      </w:r>
      <w:r w:rsidR="003830CF" w:rsidRPr="003830CF">
        <w:instrText xml:space="preserve"> REF _Ref34988086 \r \h </w:instrText>
      </w:r>
      <w:r w:rsidR="003830CF">
        <w:instrText xml:space="preserve"> \* MERGEFORMAT </w:instrText>
      </w:r>
      <w:r w:rsidR="003830CF" w:rsidRPr="003830CF">
        <w:fldChar w:fldCharType="separate"/>
      </w:r>
      <w:r w:rsidR="003830CF" w:rsidRPr="003830CF">
        <w:t>Figure 7</w:t>
      </w:r>
      <w:r w:rsidR="003830CF" w:rsidRPr="003830CF">
        <w:fldChar w:fldCharType="end"/>
      </w:r>
      <w:r w:rsidR="00CB550B">
        <w:t xml:space="preserve">). </w:t>
      </w:r>
      <w:r>
        <w:t xml:space="preserve">In this area, all radio emissions are minimised in order to enable the use of highly sensitive radio telescopes, which operate over a very wide range of frequencies. </w:t>
      </w:r>
    </w:p>
    <w:p w14:paraId="7A91E8BB" w14:textId="00586588" w:rsidR="007A205C" w:rsidRDefault="007A205C" w:rsidP="00427F1E">
      <w:pPr>
        <w:pStyle w:val="ACMAFigureHeader"/>
      </w:pPr>
      <w:bookmarkStart w:id="35" w:name="_Ref34988086"/>
      <w:r>
        <w:t xml:space="preserve">Mid-west </w:t>
      </w:r>
      <w:bookmarkEnd w:id="35"/>
      <w:r w:rsidR="009A37D8">
        <w:t>RQZ</w:t>
      </w:r>
    </w:p>
    <w:p w14:paraId="4A9A4778" w14:textId="0F8FAF00" w:rsidR="007A205C" w:rsidRDefault="009221BA" w:rsidP="007A205C">
      <w:pPr>
        <w:pStyle w:val="Paragraph"/>
      </w:pPr>
      <w:r>
        <w:rPr>
          <w:noProof/>
        </w:rPr>
        <w:drawing>
          <wp:inline distT="0" distB="0" distL="0" distR="0" wp14:anchorId="36F7453A" wp14:editId="61AAD2F5">
            <wp:extent cx="4865370" cy="2934335"/>
            <wp:effectExtent l="0" t="0" r="0" b="0"/>
            <wp:docPr id="6" name="Picture 6" descr="This is a close-up picture of the mid-west Radio Quiet Zone. It shows that the Radio Quiet Zone is excised from the larger Australian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865370" cy="2934335"/>
                    </a:xfrm>
                    <a:prstGeom prst="rect">
                      <a:avLst/>
                    </a:prstGeom>
                    <a:noFill/>
                    <a:ln>
                      <a:noFill/>
                    </a:ln>
                  </pic:spPr>
                </pic:pic>
              </a:graphicData>
            </a:graphic>
          </wp:inline>
        </w:drawing>
      </w:r>
    </w:p>
    <w:p w14:paraId="3AFFBFBE" w14:textId="5A3BBADE" w:rsidR="00914CE5" w:rsidRDefault="00914CE5" w:rsidP="00914CE5">
      <w:pPr>
        <w:pStyle w:val="Paragraph"/>
      </w:pPr>
      <w:bookmarkStart w:id="36" w:name="_Hlk38962748"/>
      <w:r>
        <w:t>The</w:t>
      </w:r>
      <w:r w:rsidR="00181EDF">
        <w:t xml:space="preserve"> mid-west</w:t>
      </w:r>
      <w:r>
        <w:t xml:space="preserve"> RQZ serves an important public interest </w:t>
      </w:r>
      <w:r w:rsidR="0016497F">
        <w:t xml:space="preserve">that </w:t>
      </w:r>
      <w:r>
        <w:t xml:space="preserve">requires </w:t>
      </w:r>
      <w:proofErr w:type="gramStart"/>
      <w:r>
        <w:t>particular attention</w:t>
      </w:r>
      <w:proofErr w:type="gramEnd"/>
      <w:r>
        <w:t xml:space="preserve"> to ensure it is protected</w:t>
      </w:r>
      <w:r w:rsidR="00077320">
        <w:t xml:space="preserve"> from interference</w:t>
      </w:r>
      <w:r>
        <w:t xml:space="preserve">. Currently, this protection is set out in the </w:t>
      </w:r>
      <w:hyperlink r:id="rId36" w:history="1">
        <w:r w:rsidR="002375A8" w:rsidRPr="00427F1E">
          <w:rPr>
            <w:rStyle w:val="Hyperlink"/>
            <w:i/>
            <w:iCs/>
          </w:rPr>
          <w:t>Radiocommunications (Mid-West Radio Quiet Zone) Band Plan 2011</w:t>
        </w:r>
      </w:hyperlink>
      <w:r w:rsidR="00297763" w:rsidRPr="0016497F">
        <w:rPr>
          <w:rStyle w:val="Hyperlink"/>
        </w:rPr>
        <w:t>,</w:t>
      </w:r>
      <w:r w:rsidR="002375A8">
        <w:t xml:space="preserve"> as well as</w:t>
      </w:r>
      <w:r>
        <w:t xml:space="preserve"> the ACMA’s Radiocommunications Assignment and Licensing Instruction (RALI) </w:t>
      </w:r>
      <w:hyperlink r:id="rId37" w:history="1">
        <w:r w:rsidRPr="00077320">
          <w:rPr>
            <w:rStyle w:val="Hyperlink"/>
          </w:rPr>
          <w:t>MS32</w:t>
        </w:r>
      </w:hyperlink>
      <w:r>
        <w:t xml:space="preserve"> and </w:t>
      </w:r>
      <w:hyperlink r:id="rId38" w:history="1">
        <w:r w:rsidRPr="00077320">
          <w:rPr>
            <w:rStyle w:val="Hyperlink"/>
          </w:rPr>
          <w:t>Embargo 41</w:t>
        </w:r>
      </w:hyperlink>
      <w:r>
        <w:t xml:space="preserve"> documents. These </w:t>
      </w:r>
      <w:r w:rsidR="005B0ADC">
        <w:t>policies</w:t>
      </w:r>
      <w:r>
        <w:t xml:space="preserve"> place an </w:t>
      </w:r>
      <w:r w:rsidR="001D08D6">
        <w:t>‘</w:t>
      </w:r>
      <w:r>
        <w:t>embargo</w:t>
      </w:r>
      <w:r w:rsidR="001D08D6">
        <w:t>’</w:t>
      </w:r>
      <w:r>
        <w:t xml:space="preserve"> on the ACMA </w:t>
      </w:r>
      <w:r w:rsidR="005B0ADC">
        <w:t xml:space="preserve">issuing </w:t>
      </w:r>
      <w:r>
        <w:t>new licen</w:t>
      </w:r>
      <w:r w:rsidR="000D365A">
        <w:t>c</w:t>
      </w:r>
      <w:r>
        <w:t xml:space="preserve">es for all frequencies from </w:t>
      </w:r>
      <w:r w:rsidR="00EA1ACC">
        <w:t>7</w:t>
      </w:r>
      <w:r>
        <w:t xml:space="preserve">0 MHz to 25.25 GHz within the inner ‘restricted’ zone of the RQZ, up to a </w:t>
      </w:r>
      <w:r w:rsidR="00E1662A">
        <w:t>70</w:t>
      </w:r>
      <w:r w:rsidR="00077320">
        <w:t xml:space="preserve">km </w:t>
      </w:r>
      <w:r>
        <w:t>radius from the RQZ centre. The outer ‘coordination’ zone of the RQZ requires new operators of radio emitting devices in this area to coordinate with the CSIRO to ensure that their signal strength is below prescribed power thresholds when measured at the RQZ centre.</w:t>
      </w:r>
    </w:p>
    <w:p w14:paraId="7767E5C4" w14:textId="5277E4A2" w:rsidR="00CB550B" w:rsidRDefault="001B1E09" w:rsidP="00914CE5">
      <w:pPr>
        <w:pStyle w:val="Paragraph"/>
      </w:pPr>
      <w:r>
        <w:lastRenderedPageBreak/>
        <w:t>We</w:t>
      </w:r>
      <w:r w:rsidR="0018069E">
        <w:t xml:space="preserve"> propose to exclude the </w:t>
      </w:r>
      <w:r w:rsidR="00EA1A32">
        <w:t xml:space="preserve">inner ‘restricted’ zone of the </w:t>
      </w:r>
      <w:r w:rsidR="009E354C">
        <w:t>mid-west</w:t>
      </w:r>
      <w:r w:rsidR="0018069E">
        <w:t xml:space="preserve"> </w:t>
      </w:r>
      <w:r w:rsidR="00CB550B">
        <w:t xml:space="preserve">RQZ </w:t>
      </w:r>
      <w:r w:rsidR="0018069E">
        <w:t xml:space="preserve">from any </w:t>
      </w:r>
      <w:r w:rsidR="00DA3182">
        <w:t>re</w:t>
      </w:r>
      <w:r w:rsidR="00DA3182">
        <w:noBreakHyphen/>
        <w:t>allocation</w:t>
      </w:r>
      <w:r w:rsidR="0018069E">
        <w:t xml:space="preserve"> recommendation to provide continued protection to the site</w:t>
      </w:r>
      <w:r w:rsidR="0018069E" w:rsidDel="007A205C">
        <w:t>.</w:t>
      </w:r>
    </w:p>
    <w:p w14:paraId="78D33894" w14:textId="77777777" w:rsidR="00FD277E" w:rsidRDefault="00FD277E" w:rsidP="00427F1E">
      <w:pPr>
        <w:pStyle w:val="ACMAFigureHeader"/>
      </w:pPr>
      <w:bookmarkStart w:id="37" w:name="_Ref36457132"/>
      <w:bookmarkEnd w:id="36"/>
      <w:r>
        <w:t>Indicative map of the geographic area of Australia</w:t>
      </w:r>
      <w:bookmarkEnd w:id="37"/>
    </w:p>
    <w:p w14:paraId="49A21F1F" w14:textId="76C92CEF" w:rsidR="00FD277E" w:rsidRPr="00D11B56" w:rsidRDefault="00D632ED" w:rsidP="00D11B56">
      <w:pPr>
        <w:pStyle w:val="Paragraph"/>
      </w:pPr>
      <w:r>
        <w:rPr>
          <w:noProof/>
        </w:rPr>
        <w:drawing>
          <wp:inline distT="0" distB="0" distL="0" distR="0" wp14:anchorId="318913D7" wp14:editId="7582E113">
            <wp:extent cx="4871085" cy="4757420"/>
            <wp:effectExtent l="0" t="0" r="5715" b="5080"/>
            <wp:docPr id="17" name="Picture 17" descr="Indicative map of the geographic area of Australia proposed to be recommended for reallocation. The map covers all of Australia but excises an area for the mid-west radio quiet z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71085" cy="4757420"/>
                    </a:xfrm>
                    <a:prstGeom prst="rect">
                      <a:avLst/>
                    </a:prstGeom>
                  </pic:spPr>
                </pic:pic>
              </a:graphicData>
            </a:graphic>
          </wp:inline>
        </w:drawing>
      </w:r>
    </w:p>
    <w:p w14:paraId="47CBFB98" w14:textId="0DCDC7C4" w:rsidR="00A156C0" w:rsidRPr="0016497F" w:rsidRDefault="00A156C0" w:rsidP="00427F1E">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spacing w:after="60"/>
        <w:rPr>
          <w:b/>
          <w:bCs/>
        </w:rPr>
      </w:pPr>
      <w:r w:rsidRPr="0016497F">
        <w:rPr>
          <w:b/>
          <w:bCs/>
        </w:rPr>
        <w:t>Geographic areas for spectrum licensing in the 850/900 MHz band</w:t>
      </w:r>
    </w:p>
    <w:p w14:paraId="3C397C2F" w14:textId="06FDF88D" w:rsidR="00914CE5" w:rsidRPr="00CC25FC" w:rsidRDefault="00D97720" w:rsidP="0016497F">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pPr>
      <w:r w:rsidRPr="006E3939">
        <w:t xml:space="preserve">The ACMA proposes to recommend that the 850/900 MHz band </w:t>
      </w:r>
      <w:r>
        <w:t>be</w:t>
      </w:r>
      <w:r w:rsidRPr="006E3939">
        <w:t xml:space="preserve"> re</w:t>
      </w:r>
      <w:r w:rsidR="00C5061F">
        <w:t>-</w:t>
      </w:r>
      <w:r w:rsidRPr="006E3939">
        <w:t>allocated across all of Australia</w:t>
      </w:r>
      <w:r>
        <w:t xml:space="preserve">, excluding the </w:t>
      </w:r>
      <w:r w:rsidRPr="002237AB">
        <w:t xml:space="preserve">mid-west </w:t>
      </w:r>
      <w:r>
        <w:t>RQZ</w:t>
      </w:r>
      <w:r w:rsidRPr="002237AB">
        <w:t xml:space="preserve"> (</w:t>
      </w:r>
      <w:r>
        <w:t xml:space="preserve">‘the </w:t>
      </w:r>
      <w:r w:rsidRPr="000A5209">
        <w:t>Australia</w:t>
      </w:r>
      <w:r>
        <w:t>-wide area’</w:t>
      </w:r>
      <w:r w:rsidRPr="002237AB">
        <w:t>)</w:t>
      </w:r>
      <w:r>
        <w:t xml:space="preserve"> </w:t>
      </w:r>
      <w:r w:rsidRPr="003830CF">
        <w:t>(</w:t>
      </w:r>
      <w:r w:rsidR="00535C9B">
        <w:rPr>
          <w:b/>
          <w:lang w:val="en-US"/>
        </w:rPr>
        <w:fldChar w:fldCharType="begin"/>
      </w:r>
      <w:r w:rsidR="00535C9B">
        <w:instrText xml:space="preserve"> REF _Ref36457132 \r \h </w:instrText>
      </w:r>
      <w:r w:rsidR="001B1E09">
        <w:rPr>
          <w:b/>
          <w:lang w:val="en-US"/>
        </w:rPr>
        <w:instrText xml:space="preserve"> \* MERGEFORMAT </w:instrText>
      </w:r>
      <w:r w:rsidR="00535C9B">
        <w:rPr>
          <w:b/>
          <w:lang w:val="en-US"/>
        </w:rPr>
      </w:r>
      <w:r w:rsidR="00535C9B">
        <w:rPr>
          <w:b/>
          <w:lang w:val="en-US"/>
        </w:rPr>
        <w:fldChar w:fldCharType="separate"/>
      </w:r>
      <w:r w:rsidR="00535C9B">
        <w:t>Figure</w:t>
      </w:r>
      <w:r w:rsidR="00E91EED">
        <w:t> </w:t>
      </w:r>
      <w:r w:rsidR="00535C9B">
        <w:t>8</w:t>
      </w:r>
      <w:r w:rsidR="00535C9B">
        <w:rPr>
          <w:b/>
          <w:lang w:val="en-US"/>
        </w:rPr>
        <w:fldChar w:fldCharType="end"/>
      </w:r>
      <w:r w:rsidR="00914CE5" w:rsidRPr="002237AB">
        <w:t>)</w:t>
      </w:r>
      <w:r w:rsidR="00542F5F" w:rsidRPr="007951CB">
        <w:t>.</w:t>
      </w:r>
      <w:r w:rsidR="00914CE5" w:rsidRPr="007951CB">
        <w:t xml:space="preserve"> </w:t>
      </w:r>
    </w:p>
    <w:p w14:paraId="045DF51D" w14:textId="5AC184C4" w:rsidR="00D97720" w:rsidRPr="00041887" w:rsidRDefault="00D97720" w:rsidP="0016497F">
      <w:pPr>
        <w:pStyle w:val="Paragraph"/>
        <w:pBdr>
          <w:top w:val="single" w:sz="4" w:space="1" w:color="auto"/>
          <w:left w:val="single" w:sz="4" w:space="4" w:color="auto"/>
          <w:bottom w:val="single" w:sz="4" w:space="1" w:color="auto"/>
          <w:right w:val="single" w:sz="4" w:space="4" w:color="auto"/>
        </w:pBdr>
        <w:shd w:val="clear" w:color="auto" w:fill="F2F2F2" w:themeFill="background1" w:themeFillShade="F2"/>
      </w:pPr>
      <w:r w:rsidRPr="00CC25FC">
        <w:t xml:space="preserve">HCIS identifiers for </w:t>
      </w:r>
      <w:r>
        <w:t xml:space="preserve">the </w:t>
      </w:r>
      <w:r w:rsidRPr="00CC25FC">
        <w:t>Au</w:t>
      </w:r>
      <w:r w:rsidRPr="00377EF4">
        <w:t>stralia</w:t>
      </w:r>
      <w:r>
        <w:t>-wide area</w:t>
      </w:r>
      <w:r w:rsidRPr="00377EF4">
        <w:t xml:space="preserve"> can be fo</w:t>
      </w:r>
      <w:r w:rsidRPr="00041887">
        <w:t xml:space="preserve">und in the </w:t>
      </w:r>
      <w:r w:rsidR="009E11D9">
        <w:t>s</w:t>
      </w:r>
      <w:r w:rsidR="000A5209">
        <w:t xml:space="preserve">ection 153G </w:t>
      </w:r>
      <w:r w:rsidRPr="00041887">
        <w:t>notice</w:t>
      </w:r>
      <w:r w:rsidR="00427F1E">
        <w:t>.</w:t>
      </w:r>
    </w:p>
    <w:p w14:paraId="32216FD5" w14:textId="58E103F0" w:rsidR="00A156C0" w:rsidRDefault="00A156C0" w:rsidP="001734B1">
      <w:pPr>
        <w:pStyle w:val="Paragraph"/>
      </w:pPr>
    </w:p>
    <w:p w14:paraId="4B60EBD9" w14:textId="4D06EE64" w:rsidR="00860E1C" w:rsidRPr="00860E1C" w:rsidRDefault="00860E1C" w:rsidP="00177B4E">
      <w:pPr>
        <w:tabs>
          <w:tab w:val="left" w:pos="4353"/>
        </w:tabs>
      </w:pPr>
    </w:p>
    <w:p w14:paraId="246F85A9" w14:textId="6636D0AE" w:rsidR="00944618" w:rsidRDefault="00DA3182" w:rsidP="00944618">
      <w:pPr>
        <w:pStyle w:val="Heading1"/>
      </w:pPr>
      <w:bookmarkStart w:id="38" w:name="_Toc40175649"/>
      <w:r>
        <w:lastRenderedPageBreak/>
        <w:t>Re</w:t>
      </w:r>
      <w:r>
        <w:noBreakHyphen/>
        <w:t>allocation</w:t>
      </w:r>
      <w:r w:rsidR="00E70A27">
        <w:t xml:space="preserve"> period and deadline</w:t>
      </w:r>
      <w:bookmarkEnd w:id="38"/>
    </w:p>
    <w:p w14:paraId="53CD9FBE" w14:textId="2DB0BBF2" w:rsidR="00887A4A" w:rsidRDefault="009C7210" w:rsidP="00887A4A">
      <w:pPr>
        <w:pStyle w:val="Paragraph"/>
      </w:pPr>
      <w:r>
        <w:t xml:space="preserve">When the ACMA gives the </w:t>
      </w:r>
      <w:r w:rsidR="008653F9">
        <w:t>Minister</w:t>
      </w:r>
      <w:r>
        <w:t xml:space="preserve"> a recommendation to make a spectrum </w:t>
      </w:r>
      <w:r w:rsidR="00DA3182">
        <w:t>re</w:t>
      </w:r>
      <w:r w:rsidR="00DA3182">
        <w:noBreakHyphen/>
        <w:t>allocation</w:t>
      </w:r>
      <w:r>
        <w:t xml:space="preserve"> declaration</w:t>
      </w:r>
      <w:r w:rsidR="001B4C34" w:rsidRPr="001B4C34">
        <w:t xml:space="preserve">, </w:t>
      </w:r>
      <w:r w:rsidR="00EF4D04">
        <w:t>we</w:t>
      </w:r>
      <w:r w:rsidR="00EF4D04" w:rsidRPr="001B4C34">
        <w:t xml:space="preserve"> </w:t>
      </w:r>
      <w:r w:rsidR="001B4C34" w:rsidRPr="001B4C34">
        <w:t xml:space="preserve">must specify the period that, in </w:t>
      </w:r>
      <w:r w:rsidR="000A5209">
        <w:t>our</w:t>
      </w:r>
      <w:r w:rsidR="000A5209" w:rsidRPr="001B4C34">
        <w:t xml:space="preserve"> </w:t>
      </w:r>
      <w:r w:rsidR="001B4C34" w:rsidRPr="001B4C34">
        <w:t xml:space="preserve">opinion, the declaration should identify as the </w:t>
      </w:r>
      <w:r w:rsidR="00DA3182">
        <w:t>re</w:t>
      </w:r>
      <w:r w:rsidR="00DA3182">
        <w:noBreakHyphen/>
        <w:t>allocation</w:t>
      </w:r>
      <w:r w:rsidR="001B4C34" w:rsidRPr="001B4C34">
        <w:t xml:space="preserve"> period.</w:t>
      </w:r>
      <w:r>
        <w:t xml:space="preserve"> </w:t>
      </w:r>
      <w:r w:rsidR="00AA147C">
        <w:t>Under subsection 153</w:t>
      </w:r>
      <w:proofErr w:type="gramStart"/>
      <w:r w:rsidR="00AA147C">
        <w:t>B(</w:t>
      </w:r>
      <w:proofErr w:type="gramEnd"/>
      <w:r w:rsidR="00AA147C">
        <w:t>4)</w:t>
      </w:r>
      <w:r w:rsidR="003058E1">
        <w:t xml:space="preserve"> of </w:t>
      </w:r>
      <w:r w:rsidR="00D33D1A">
        <w:t>the Act</w:t>
      </w:r>
      <w:r w:rsidR="00AA147C">
        <w:t>, t</w:t>
      </w:r>
      <w:r>
        <w:t xml:space="preserve">he </w:t>
      </w:r>
      <w:r w:rsidR="00DA3182">
        <w:t>re</w:t>
      </w:r>
      <w:r w:rsidR="00DA3182">
        <w:noBreakHyphen/>
        <w:t>allocation</w:t>
      </w:r>
      <w:r>
        <w:t xml:space="preserve"> period must begin within 28 days of the declaration being made, and run for at least two years. </w:t>
      </w:r>
    </w:p>
    <w:p w14:paraId="43056247" w14:textId="204191EA" w:rsidR="00887A4A" w:rsidRDefault="00887A4A" w:rsidP="00887A4A">
      <w:pPr>
        <w:pStyle w:val="Paragraph"/>
      </w:pPr>
      <w:r>
        <w:t xml:space="preserve">The </w:t>
      </w:r>
      <w:r w:rsidR="00DA3182">
        <w:t>re</w:t>
      </w:r>
      <w:r w:rsidR="00DA3182">
        <w:noBreakHyphen/>
        <w:t>allocation</w:t>
      </w:r>
      <w:r>
        <w:t xml:space="preserve"> period sets the timeframe during which the </w:t>
      </w:r>
      <w:r w:rsidR="00DA3182">
        <w:t>re</w:t>
      </w:r>
      <w:r w:rsidR="00DA3182">
        <w:noBreakHyphen/>
        <w:t>allocation</w:t>
      </w:r>
      <w:r>
        <w:t xml:space="preserve"> process is to be </w:t>
      </w:r>
      <w:r w:rsidR="00D81182">
        <w:t>conducted</w:t>
      </w:r>
      <w:r>
        <w:t xml:space="preserve">. During this time, incumbent apparatus licensees may continue to operate radiocommunications devices under their licences. Under section 153H of </w:t>
      </w:r>
      <w:r w:rsidR="00D33D1A">
        <w:t>the Act</w:t>
      </w:r>
      <w:r>
        <w:t xml:space="preserve">, at the end of the </w:t>
      </w:r>
      <w:r w:rsidR="00DA3182">
        <w:t>re</w:t>
      </w:r>
      <w:r w:rsidR="00DA3182">
        <w:noBreakHyphen/>
        <w:t>allocation</w:t>
      </w:r>
      <w:r>
        <w:t xml:space="preserve"> period</w:t>
      </w:r>
      <w:r w:rsidR="008A0EF2">
        <w:t>,</w:t>
      </w:r>
      <w:r>
        <w:t xml:space="preserve"> any apparatus licensees still in the re</w:t>
      </w:r>
      <w:r w:rsidR="00D83394">
        <w:noBreakHyphen/>
      </w:r>
      <w:r>
        <w:t>allocated spectrum will have their apparatus licences cancelled.</w:t>
      </w:r>
    </w:p>
    <w:p w14:paraId="17150674" w14:textId="53DEF848" w:rsidR="00956AA1" w:rsidRPr="006920BB" w:rsidRDefault="001B4C34" w:rsidP="000B643A">
      <w:pPr>
        <w:pStyle w:val="Paragraph"/>
      </w:pPr>
      <w:r w:rsidRPr="001B4C34">
        <w:t xml:space="preserve">If the </w:t>
      </w:r>
      <w:r w:rsidR="008653F9">
        <w:t>Minister</w:t>
      </w:r>
      <w:r w:rsidRPr="001B4C34">
        <w:t xml:space="preserve"> makes a spectrum </w:t>
      </w:r>
      <w:r w:rsidR="00DA3182">
        <w:t>re</w:t>
      </w:r>
      <w:r w:rsidR="00DA3182">
        <w:noBreakHyphen/>
        <w:t>allocation</w:t>
      </w:r>
      <w:r w:rsidRPr="001B4C34">
        <w:t xml:space="preserve"> declaration, </w:t>
      </w:r>
      <w:r w:rsidR="000A5209">
        <w:t>they</w:t>
      </w:r>
      <w:r w:rsidRPr="001B4C34">
        <w:t xml:space="preserve"> must specify the </w:t>
      </w:r>
      <w:r w:rsidR="00DA3182">
        <w:t>re</w:t>
      </w:r>
      <w:r w:rsidR="00DA3182">
        <w:noBreakHyphen/>
        <w:t>allocation</w:t>
      </w:r>
      <w:r w:rsidRPr="001B4C34">
        <w:t xml:space="preserve"> period</w:t>
      </w:r>
      <w:r w:rsidR="000A5209">
        <w:t xml:space="preserve"> and </w:t>
      </w:r>
      <w:r w:rsidR="004B2C9D">
        <w:t xml:space="preserve">a </w:t>
      </w:r>
      <w:r w:rsidR="00DA3182">
        <w:t>re</w:t>
      </w:r>
      <w:r w:rsidR="00DA3182">
        <w:noBreakHyphen/>
        <w:t>allocation</w:t>
      </w:r>
      <w:r w:rsidR="00B72691">
        <w:t xml:space="preserve"> </w:t>
      </w:r>
      <w:r w:rsidR="000A5209">
        <w:t>deadline</w:t>
      </w:r>
      <w:r w:rsidRPr="001B4C34">
        <w:t xml:space="preserve">. </w:t>
      </w:r>
      <w:r w:rsidR="00005C06">
        <w:t xml:space="preserve">The ACMA must allocate at least one licence for the spectrum subject to </w:t>
      </w:r>
      <w:r w:rsidR="00DA3182">
        <w:t>re</w:t>
      </w:r>
      <w:r w:rsidR="00DA3182">
        <w:noBreakHyphen/>
        <w:t>allocation</w:t>
      </w:r>
      <w:r w:rsidR="00005C06">
        <w:t xml:space="preserve"> before the </w:t>
      </w:r>
      <w:r w:rsidR="00DA3182">
        <w:t>re</w:t>
      </w:r>
      <w:r w:rsidR="00DA3182">
        <w:noBreakHyphen/>
        <w:t>allocation</w:t>
      </w:r>
      <w:r w:rsidR="00005C06">
        <w:t xml:space="preserve"> deadline, or the </w:t>
      </w:r>
      <w:r w:rsidR="008653F9">
        <w:t>Minister</w:t>
      </w:r>
      <w:r w:rsidR="00005C06">
        <w:t xml:space="preserve">’s declaration is taken to be revoked. The </w:t>
      </w:r>
      <w:r w:rsidR="00DA3182">
        <w:t>re</w:t>
      </w:r>
      <w:r w:rsidR="00DA3182">
        <w:noBreakHyphen/>
        <w:t>allocation</w:t>
      </w:r>
      <w:r w:rsidR="00005C06">
        <w:t xml:space="preserve"> deadline must be </w:t>
      </w:r>
      <w:r w:rsidR="00005C06" w:rsidRPr="006920BB">
        <w:t xml:space="preserve">at least </w:t>
      </w:r>
      <w:r w:rsidR="008A0EF2" w:rsidRPr="006920BB">
        <w:t>12</w:t>
      </w:r>
      <w:r w:rsidR="008A0EF2">
        <w:t> </w:t>
      </w:r>
      <w:r w:rsidR="00005C06" w:rsidRPr="006920BB">
        <w:t xml:space="preserve">months before the end of the </w:t>
      </w:r>
      <w:r w:rsidR="00DA3182">
        <w:t>re</w:t>
      </w:r>
      <w:r w:rsidR="00DA3182">
        <w:noBreakHyphen/>
        <w:t>allocation</w:t>
      </w:r>
      <w:r w:rsidR="00005C06" w:rsidRPr="006920BB">
        <w:t xml:space="preserve"> period.</w:t>
      </w:r>
      <w:r w:rsidR="00956AA1" w:rsidRPr="006920BB">
        <w:t xml:space="preserve"> </w:t>
      </w:r>
      <w:r w:rsidR="006920BB" w:rsidRPr="006920BB">
        <w:t xml:space="preserve">More detail about the </w:t>
      </w:r>
      <w:r w:rsidR="00DA3182">
        <w:t>re</w:t>
      </w:r>
      <w:r w:rsidR="00DA3182">
        <w:noBreakHyphen/>
        <w:t>allocation</w:t>
      </w:r>
      <w:r w:rsidR="006920BB" w:rsidRPr="006920BB">
        <w:t xml:space="preserve"> process is at Appendix </w:t>
      </w:r>
      <w:r w:rsidR="000A5209">
        <w:t>A</w:t>
      </w:r>
      <w:r w:rsidR="006920BB" w:rsidRPr="006920BB">
        <w:t>.</w:t>
      </w:r>
    </w:p>
    <w:p w14:paraId="3C1003BB" w14:textId="009A4B60" w:rsidR="00F44877" w:rsidRDefault="001B4C34" w:rsidP="000B643A">
      <w:pPr>
        <w:pStyle w:val="Paragraph"/>
      </w:pPr>
      <w:r w:rsidRPr="001B4C34">
        <w:t>Under subsection 153</w:t>
      </w:r>
      <w:proofErr w:type="gramStart"/>
      <w:r w:rsidRPr="001B4C34">
        <w:t>F(</w:t>
      </w:r>
      <w:proofErr w:type="gramEnd"/>
      <w:r w:rsidRPr="001B4C34">
        <w:t xml:space="preserve">3) of </w:t>
      </w:r>
      <w:r w:rsidR="00D33D1A">
        <w:t>the Act</w:t>
      </w:r>
      <w:r w:rsidRPr="001B4C34">
        <w:t xml:space="preserve">, when the ACMA gives the </w:t>
      </w:r>
      <w:r w:rsidR="008653F9">
        <w:t>Minister</w:t>
      </w:r>
      <w:r w:rsidRPr="001B4C34">
        <w:t xml:space="preserve"> a recommendation to make a spectrum </w:t>
      </w:r>
      <w:r w:rsidR="00DA3182">
        <w:t>re</w:t>
      </w:r>
      <w:r w:rsidR="00DA3182">
        <w:noBreakHyphen/>
        <w:t>allocation</w:t>
      </w:r>
      <w:r w:rsidRPr="001B4C34">
        <w:t xml:space="preserve"> declaration, </w:t>
      </w:r>
      <w:r w:rsidR="000A5209">
        <w:t>we</w:t>
      </w:r>
      <w:r w:rsidRPr="001B4C34">
        <w:t xml:space="preserve"> can include a recommendation about any matters </w:t>
      </w:r>
      <w:r w:rsidR="008A0EF2">
        <w:t>we</w:t>
      </w:r>
      <w:r w:rsidR="008A0EF2" w:rsidRPr="001B4C34">
        <w:t xml:space="preserve"> </w:t>
      </w:r>
      <w:r w:rsidRPr="001B4C34">
        <w:t xml:space="preserve">consider appropriate. </w:t>
      </w:r>
      <w:r w:rsidR="000A5209">
        <w:t>We will</w:t>
      </w:r>
      <w:r w:rsidRPr="001B4C34">
        <w:t xml:space="preserve"> propose to include </w:t>
      </w:r>
      <w:r w:rsidR="000A5209">
        <w:t xml:space="preserve">a suggested </w:t>
      </w:r>
      <w:r w:rsidR="00DA3182">
        <w:t>re</w:t>
      </w:r>
      <w:r w:rsidR="00DA3182">
        <w:noBreakHyphen/>
        <w:t>allocation</w:t>
      </w:r>
      <w:r w:rsidR="000A5209">
        <w:t xml:space="preserve"> deadline </w:t>
      </w:r>
      <w:r w:rsidRPr="001B4C34">
        <w:t xml:space="preserve">in </w:t>
      </w:r>
      <w:r w:rsidR="000A5209">
        <w:t>our</w:t>
      </w:r>
      <w:r w:rsidR="000A5209" w:rsidRPr="001B4C34">
        <w:t xml:space="preserve"> </w:t>
      </w:r>
      <w:r w:rsidRPr="001B4C34">
        <w:t xml:space="preserve">recommendation to the </w:t>
      </w:r>
      <w:r w:rsidR="008653F9">
        <w:t>Minister</w:t>
      </w:r>
      <w:r w:rsidR="000A5209">
        <w:t xml:space="preserve">. </w:t>
      </w:r>
    </w:p>
    <w:p w14:paraId="71FD61C9" w14:textId="7CA73376" w:rsidR="00274DF4" w:rsidRDefault="00C37FA1" w:rsidP="00A600D8">
      <w:pPr>
        <w:pStyle w:val="Paragraphbeforelist"/>
      </w:pPr>
      <w:r>
        <w:t xml:space="preserve">Before recommending a </w:t>
      </w:r>
      <w:r w:rsidR="00DA3182">
        <w:t>re</w:t>
      </w:r>
      <w:r w:rsidR="00DA3182">
        <w:noBreakHyphen/>
        <w:t>allocation</w:t>
      </w:r>
      <w:r>
        <w:t xml:space="preserve"> period, </w:t>
      </w:r>
      <w:r w:rsidR="000A5209">
        <w:t>we</w:t>
      </w:r>
      <w:r>
        <w:t xml:space="preserve"> </w:t>
      </w:r>
      <w:r w:rsidR="00885AC5">
        <w:t>consider</w:t>
      </w:r>
      <w:r>
        <w:t>:</w:t>
      </w:r>
    </w:p>
    <w:p w14:paraId="2D991690" w14:textId="79F4BF08" w:rsidR="00C37FA1" w:rsidRDefault="00C37FA1" w:rsidP="00C37FA1">
      <w:pPr>
        <w:pStyle w:val="Bulletlevel1"/>
      </w:pPr>
      <w:r>
        <w:t>how long it may reasonably take for incumbent licensees to relocate from the band</w:t>
      </w:r>
    </w:p>
    <w:p w14:paraId="3D518F11" w14:textId="338A4F95" w:rsidR="00C37FA1" w:rsidRDefault="00C37FA1" w:rsidP="00951E99">
      <w:pPr>
        <w:pStyle w:val="Bulletlevel1last"/>
      </w:pPr>
      <w:r>
        <w:t xml:space="preserve">the likely use or uses of the spectrum and when the potential purchasers of the spectrum licences </w:t>
      </w:r>
      <w:r w:rsidR="00681403">
        <w:t>will</w:t>
      </w:r>
      <w:r w:rsidR="00D81182">
        <w:t xml:space="preserve"> be </w:t>
      </w:r>
      <w:proofErr w:type="gramStart"/>
      <w:r w:rsidR="00D81182">
        <w:t>in a position</w:t>
      </w:r>
      <w:proofErr w:type="gramEnd"/>
      <w:r w:rsidR="00D81182">
        <w:t xml:space="preserve"> to utilise the spectrum</w:t>
      </w:r>
      <w:r>
        <w:t>.</w:t>
      </w:r>
    </w:p>
    <w:p w14:paraId="68E09250" w14:textId="2C741950" w:rsidR="00C37FA1" w:rsidRDefault="00535EC4" w:rsidP="00427F1E">
      <w:pPr>
        <w:pStyle w:val="Heading2"/>
      </w:pPr>
      <w:bookmarkStart w:id="39" w:name="_Toc40175650"/>
      <w:r w:rsidRPr="00951E99">
        <w:t>Existing services</w:t>
      </w:r>
      <w:r w:rsidR="000F5891" w:rsidRPr="00951E99">
        <w:t xml:space="preserve"> in the 850 MHz </w:t>
      </w:r>
      <w:r w:rsidR="00783D32">
        <w:t xml:space="preserve">expansion </w:t>
      </w:r>
      <w:r w:rsidR="000F5891" w:rsidRPr="00951E99">
        <w:t>band</w:t>
      </w:r>
      <w:r w:rsidR="003040D4">
        <w:t xml:space="preserve"> and the 2 x 1 MHz downshift frequencies</w:t>
      </w:r>
      <w:bookmarkEnd w:id="39"/>
    </w:p>
    <w:p w14:paraId="4CE4EB71" w14:textId="1195E3AC" w:rsidR="006D29DA" w:rsidRDefault="006D29DA" w:rsidP="00427F1E">
      <w:pPr>
        <w:pStyle w:val="Paragraph"/>
      </w:pPr>
      <w:r>
        <w:t>Existing services</w:t>
      </w:r>
      <w:r w:rsidRPr="008B098E">
        <w:t xml:space="preserve"> </w:t>
      </w:r>
      <w:r>
        <w:t xml:space="preserve">in the </w:t>
      </w:r>
      <w:r w:rsidRPr="008B098E">
        <w:t>850 MHz expansion band and the 2 x 1 MHz downshift frequencies include fixed point-to-point services, point-to-multipoint services and land mobile services.</w:t>
      </w:r>
      <w:r w:rsidRPr="008B098E">
        <w:rPr>
          <w:rStyle w:val="FootnoteReference"/>
        </w:rPr>
        <w:footnoteReference w:id="10"/>
      </w:r>
      <w:r w:rsidRPr="008B098E">
        <w:t xml:space="preserve"> </w:t>
      </w:r>
      <w:r w:rsidR="00D66FA6">
        <w:t>The long</w:t>
      </w:r>
      <w:r w:rsidR="008A0EF2">
        <w:t>-</w:t>
      </w:r>
      <w:r w:rsidR="00D66FA6">
        <w:t xml:space="preserve">term strategy </w:t>
      </w:r>
      <w:r w:rsidR="004867B9">
        <w:t xml:space="preserve">provides </w:t>
      </w:r>
      <w:r w:rsidR="00D81182">
        <w:t xml:space="preserve">for </w:t>
      </w:r>
      <w:r w:rsidR="00F25386">
        <w:t xml:space="preserve">band clearance </w:t>
      </w:r>
      <w:r w:rsidR="00D81182">
        <w:t xml:space="preserve">to </w:t>
      </w:r>
      <w:r w:rsidR="00F25386">
        <w:t>be completed</w:t>
      </w:r>
      <w:r w:rsidR="00D66FA6">
        <w:t xml:space="preserve"> </w:t>
      </w:r>
      <w:r w:rsidR="00A232DF">
        <w:t xml:space="preserve">by </w:t>
      </w:r>
      <w:r w:rsidR="00D66FA6">
        <w:t>30 June 2024</w:t>
      </w:r>
      <w:r w:rsidR="004867B9">
        <w:t xml:space="preserve">, </w:t>
      </w:r>
      <w:r w:rsidR="004A3672">
        <w:t xml:space="preserve">in accordance with the arrangements </w:t>
      </w:r>
      <w:r w:rsidR="004867B9">
        <w:t>in RALI MS40</w:t>
      </w:r>
      <w:r w:rsidR="00650328">
        <w:t>.</w:t>
      </w:r>
      <w:r w:rsidR="00A232DF">
        <w:t xml:space="preserve"> </w:t>
      </w:r>
    </w:p>
    <w:p w14:paraId="6F637362" w14:textId="6331E128" w:rsidR="00C16B4C" w:rsidRPr="00A52988" w:rsidRDefault="00CF369D" w:rsidP="00427F1E">
      <w:pPr>
        <w:pStyle w:val="Heading2"/>
      </w:pPr>
      <w:bookmarkStart w:id="40" w:name="_Toc40175651"/>
      <w:r w:rsidRPr="00A52988">
        <w:t>Existing services in</w:t>
      </w:r>
      <w:r w:rsidR="000F5891" w:rsidRPr="00A52988">
        <w:t xml:space="preserve"> the 900 MHz band</w:t>
      </w:r>
      <w:bookmarkEnd w:id="40"/>
    </w:p>
    <w:p w14:paraId="4D083539" w14:textId="3E4BEBDE" w:rsidR="00514927" w:rsidRDefault="0018326B" w:rsidP="00427F1E">
      <w:pPr>
        <w:pStyle w:val="Paragraph"/>
      </w:pPr>
      <w:r w:rsidRPr="00A52988">
        <w:t xml:space="preserve">The 900 MHz band is currently apparatus licensed to Telstra, Optus and </w:t>
      </w:r>
      <w:r w:rsidR="00E5281E">
        <w:t>VHA</w:t>
      </w:r>
      <w:r w:rsidRPr="00A52988">
        <w:t xml:space="preserve"> in 8.</w:t>
      </w:r>
      <w:r w:rsidR="00027D61">
        <w:t xml:space="preserve">4 </w:t>
      </w:r>
      <w:r w:rsidRPr="00A52988">
        <w:t>and 8.2 MHz blocks</w:t>
      </w:r>
      <w:r w:rsidR="009B2705">
        <w:t xml:space="preserve"> (see </w:t>
      </w:r>
      <w:r w:rsidR="009B2705">
        <w:fldChar w:fldCharType="begin"/>
      </w:r>
      <w:r w:rsidR="009B2705">
        <w:instrText xml:space="preserve"> REF _Ref37173007 \r \h </w:instrText>
      </w:r>
      <w:r w:rsidR="009B2705">
        <w:fldChar w:fldCharType="separate"/>
      </w:r>
      <w:r w:rsidR="009B2705">
        <w:t>Figure 4</w:t>
      </w:r>
      <w:r w:rsidR="009B2705">
        <w:fldChar w:fldCharType="end"/>
      </w:r>
      <w:r w:rsidR="009B2705">
        <w:t>)</w:t>
      </w:r>
      <w:r w:rsidRPr="00A52988">
        <w:t xml:space="preserve">. </w:t>
      </w:r>
      <w:r w:rsidR="00A232DF">
        <w:t>The</w:t>
      </w:r>
      <w:r w:rsidR="00AD708D">
        <w:t>se</w:t>
      </w:r>
      <w:r w:rsidR="00A232DF">
        <w:t xml:space="preserve"> licences </w:t>
      </w:r>
      <w:r w:rsidR="004E53B6">
        <w:t>are currently</w:t>
      </w:r>
      <w:r w:rsidR="00AD708D">
        <w:t xml:space="preserve"> used to </w:t>
      </w:r>
      <w:r w:rsidR="00A232DF">
        <w:t>provide</w:t>
      </w:r>
      <w:r w:rsidR="000A1562">
        <w:t xml:space="preserve"> </w:t>
      </w:r>
      <w:r w:rsidR="00EB7E3C">
        <w:t xml:space="preserve">3G </w:t>
      </w:r>
      <w:r w:rsidR="000A1562">
        <w:t>mobile broadband services</w:t>
      </w:r>
      <w:r w:rsidR="00A232DF">
        <w:t xml:space="preserve">. </w:t>
      </w:r>
      <w:r w:rsidR="00123A98">
        <w:t xml:space="preserve">These licences </w:t>
      </w:r>
      <w:r w:rsidR="00BD2AFC">
        <w:t xml:space="preserve">may be </w:t>
      </w:r>
      <w:r w:rsidR="00123A98">
        <w:t>renewed for one year at a time</w:t>
      </w:r>
      <w:r w:rsidR="002F2381">
        <w:t>.</w:t>
      </w:r>
      <w:r w:rsidR="00123A98">
        <w:rPr>
          <w:rStyle w:val="FootnoteReference"/>
        </w:rPr>
        <w:footnoteReference w:id="11"/>
      </w:r>
      <w:r w:rsidR="002F2381">
        <w:t xml:space="preserve"> </w:t>
      </w:r>
    </w:p>
    <w:p w14:paraId="6979694B" w14:textId="0C491CE1" w:rsidR="00D019B1" w:rsidRDefault="00DA3182" w:rsidP="00177B4E">
      <w:pPr>
        <w:pStyle w:val="Heading2"/>
      </w:pPr>
      <w:bookmarkStart w:id="41" w:name="_Toc8207129"/>
      <w:bookmarkStart w:id="42" w:name="_Toc40175652"/>
      <w:bookmarkStart w:id="43" w:name="_Toc408846607"/>
      <w:bookmarkStart w:id="44" w:name="_Toc409015477"/>
      <w:bookmarkStart w:id="45" w:name="_Toc409528641"/>
      <w:bookmarkStart w:id="46" w:name="_Toc409016970"/>
      <w:bookmarkStart w:id="47" w:name="_Toc496277326"/>
      <w:bookmarkStart w:id="48" w:name="_Toc496277725"/>
      <w:bookmarkStart w:id="49" w:name="_Toc496527236"/>
      <w:bookmarkStart w:id="50" w:name="_Toc496527411"/>
      <w:r>
        <w:lastRenderedPageBreak/>
        <w:t>Re</w:t>
      </w:r>
      <w:r>
        <w:noBreakHyphen/>
        <w:t>allocation</w:t>
      </w:r>
      <w:r w:rsidR="00D019B1" w:rsidRPr="00A153AF">
        <w:t xml:space="preserve"> </w:t>
      </w:r>
      <w:r w:rsidR="00D019B1">
        <w:t>period</w:t>
      </w:r>
      <w:bookmarkEnd w:id="41"/>
      <w:bookmarkEnd w:id="42"/>
    </w:p>
    <w:p w14:paraId="6A6FBEFA" w14:textId="07783700" w:rsidR="002B2385" w:rsidRPr="002B2385" w:rsidRDefault="00A13E38" w:rsidP="00177B4E">
      <w:pPr>
        <w:pStyle w:val="Heading3"/>
      </w:pPr>
      <w:r>
        <w:t xml:space="preserve">The 850 MHz expansion </w:t>
      </w:r>
      <w:r w:rsidR="00B30757">
        <w:t>band</w:t>
      </w:r>
      <w:r w:rsidR="00B30757" w:rsidRPr="00BF3EA9">
        <w:t xml:space="preserve"> and the downshift frequencies</w:t>
      </w:r>
    </w:p>
    <w:bookmarkEnd w:id="43"/>
    <w:bookmarkEnd w:id="44"/>
    <w:bookmarkEnd w:id="45"/>
    <w:bookmarkEnd w:id="46"/>
    <w:bookmarkEnd w:id="47"/>
    <w:bookmarkEnd w:id="48"/>
    <w:bookmarkEnd w:id="49"/>
    <w:bookmarkEnd w:id="50"/>
    <w:p w14:paraId="30CA466D" w14:textId="19B28DB6" w:rsidR="0054091B" w:rsidRDefault="00BD2AFC" w:rsidP="00514927">
      <w:pPr>
        <w:pStyle w:val="Paragraph"/>
      </w:pPr>
      <w:r>
        <w:t xml:space="preserve">Given that a clearance </w:t>
      </w:r>
      <w:r w:rsidR="00131F72">
        <w:t xml:space="preserve">process </w:t>
      </w:r>
      <w:r>
        <w:t xml:space="preserve">is underway in the </w:t>
      </w:r>
      <w:r w:rsidR="00414F39">
        <w:t>wider 800 MHz</w:t>
      </w:r>
      <w:r>
        <w:t xml:space="preserve"> band </w:t>
      </w:r>
      <w:r w:rsidR="004A3672">
        <w:t xml:space="preserve">and will continue until mid-2024, </w:t>
      </w:r>
      <w:r w:rsidR="00EB76D4">
        <w:t>we</w:t>
      </w:r>
      <w:r w:rsidR="001D25C3" w:rsidRPr="000B643A">
        <w:t xml:space="preserve"> </w:t>
      </w:r>
      <w:r>
        <w:t xml:space="preserve">do not </w:t>
      </w:r>
      <w:r w:rsidR="001D25C3" w:rsidRPr="000B643A">
        <w:t>consider</w:t>
      </w:r>
      <w:r>
        <w:t xml:space="preserve"> that </w:t>
      </w:r>
      <w:r w:rsidR="004E53B6">
        <w:t xml:space="preserve">the </w:t>
      </w:r>
      <w:r w:rsidR="004A3672">
        <w:t xml:space="preserve">minimum </w:t>
      </w:r>
      <w:r w:rsidR="001D25C3" w:rsidRPr="000B643A">
        <w:t>two</w:t>
      </w:r>
      <w:r w:rsidR="003A0B99">
        <w:t>-</w:t>
      </w:r>
      <w:r w:rsidR="001D25C3" w:rsidRPr="000B643A">
        <w:t>year</w:t>
      </w:r>
      <w:r>
        <w:t xml:space="preserve"> </w:t>
      </w:r>
      <w:r w:rsidR="00DA3182">
        <w:t>re</w:t>
      </w:r>
      <w:r w:rsidR="00DA3182">
        <w:noBreakHyphen/>
        <w:t>allocation</w:t>
      </w:r>
      <w:r>
        <w:t xml:space="preserve"> period is appropriate</w:t>
      </w:r>
      <w:r w:rsidR="00A47D7D">
        <w:t xml:space="preserve"> </w:t>
      </w:r>
      <w:r w:rsidR="00131F72">
        <w:t xml:space="preserve">for </w:t>
      </w:r>
      <w:r w:rsidR="00A47D7D">
        <w:t>the 850 MHz expansion band</w:t>
      </w:r>
      <w:r w:rsidR="00414F39">
        <w:t xml:space="preserve"> and the downshift frequencies</w:t>
      </w:r>
      <w:r>
        <w:t xml:space="preserve">. </w:t>
      </w:r>
    </w:p>
    <w:p w14:paraId="1CDE3F36" w14:textId="10A073E1" w:rsidR="00481346" w:rsidRDefault="00EB76D4" w:rsidP="00514927">
      <w:pPr>
        <w:pStyle w:val="Paragraph"/>
      </w:pPr>
      <w:r>
        <w:t>We</w:t>
      </w:r>
      <w:r w:rsidR="008E1EAB" w:rsidDel="002548EF">
        <w:t xml:space="preserve"> </w:t>
      </w:r>
      <w:r w:rsidR="002548EF">
        <w:t>consider</w:t>
      </w:r>
      <w:r w:rsidR="008E1EAB">
        <w:t xml:space="preserve"> that incumbent</w:t>
      </w:r>
      <w:r w:rsidR="00131F72">
        <w:t xml:space="preserve"> apparatus</w:t>
      </w:r>
      <w:r w:rsidR="008E1EAB">
        <w:t xml:space="preserve"> licensees </w:t>
      </w:r>
      <w:r w:rsidR="0005160E">
        <w:t xml:space="preserve">in the 850 MHz expansion band </w:t>
      </w:r>
      <w:r w:rsidR="00414F39">
        <w:t xml:space="preserve">and the downshift frequencies </w:t>
      </w:r>
      <w:r w:rsidR="008E1EAB">
        <w:t>have made plans based on the expectation that their licences would not be cancelled before the end of the current clearance process</w:t>
      </w:r>
      <w:r w:rsidR="002548EF">
        <w:t xml:space="preserve"> set out in the RALI MS40</w:t>
      </w:r>
      <w:r w:rsidR="008E1EAB">
        <w:t xml:space="preserve">. </w:t>
      </w:r>
    </w:p>
    <w:p w14:paraId="2262C08B" w14:textId="09FF096C" w:rsidR="00A22AC7" w:rsidRDefault="00514927" w:rsidP="00514927">
      <w:pPr>
        <w:pStyle w:val="Paragraph"/>
      </w:pPr>
      <w:r>
        <w:t xml:space="preserve">If the Minister makes a </w:t>
      </w:r>
      <w:r w:rsidR="00DA3182">
        <w:t>re</w:t>
      </w:r>
      <w:r w:rsidR="00DA3182">
        <w:noBreakHyphen/>
        <w:t>allocation</w:t>
      </w:r>
      <w:r>
        <w:t xml:space="preserve"> declaration for the 850 MHz expansion band and the 2 x 1 MHz downshift frequencies, then any apparatus licensees remaining in the band would have their licences automatically cancelled at the end of the </w:t>
      </w:r>
      <w:r w:rsidR="00DA3182">
        <w:t>re</w:t>
      </w:r>
      <w:r w:rsidR="00DA3182">
        <w:noBreakHyphen/>
        <w:t>allocation</w:t>
      </w:r>
      <w:r>
        <w:t xml:space="preserve"> period. </w:t>
      </w:r>
    </w:p>
    <w:p w14:paraId="32484E1F" w14:textId="3CCAF2EE" w:rsidR="002B7926" w:rsidRDefault="00EB76D4" w:rsidP="00514927">
      <w:pPr>
        <w:pStyle w:val="Paragraph"/>
      </w:pPr>
      <w:r>
        <w:t>We</w:t>
      </w:r>
      <w:r w:rsidR="002B7926">
        <w:t xml:space="preserve"> </w:t>
      </w:r>
      <w:r w:rsidR="00427F1E">
        <w:t xml:space="preserve">therefore </w:t>
      </w:r>
      <w:r w:rsidR="002B7926">
        <w:t>consider the</w:t>
      </w:r>
      <w:r w:rsidR="00131F72">
        <w:t xml:space="preserve"> end of the</w:t>
      </w:r>
      <w:r w:rsidR="002B7926">
        <w:t xml:space="preserve"> </w:t>
      </w:r>
      <w:r w:rsidR="00DA3182">
        <w:t>re</w:t>
      </w:r>
      <w:r w:rsidR="00DA3182">
        <w:noBreakHyphen/>
        <w:t>allocation</w:t>
      </w:r>
      <w:r w:rsidR="002B7926">
        <w:t xml:space="preserve"> period </w:t>
      </w:r>
      <w:r w:rsidR="00D134D1">
        <w:t>for</w:t>
      </w:r>
      <w:r w:rsidR="002B7926">
        <w:t xml:space="preserve"> the 850 MHz expansion band </w:t>
      </w:r>
      <w:r w:rsidR="00414F39">
        <w:t xml:space="preserve">and the downshift frequencies </w:t>
      </w:r>
      <w:r w:rsidR="002B7926">
        <w:t>should align with the</w:t>
      </w:r>
      <w:r w:rsidR="00004F2F">
        <w:t xml:space="preserve"> </w:t>
      </w:r>
      <w:r w:rsidR="002548EF">
        <w:t>predicted</w:t>
      </w:r>
      <w:r w:rsidR="00004F2F">
        <w:t xml:space="preserve"> </w:t>
      </w:r>
      <w:r w:rsidR="00131F72">
        <w:t>end of the clearance process. That is</w:t>
      </w:r>
      <w:r w:rsidR="002B7926">
        <w:t xml:space="preserve">, </w:t>
      </w:r>
      <w:r w:rsidR="00486E89">
        <w:t xml:space="preserve">the </w:t>
      </w:r>
      <w:r w:rsidR="00DA3182">
        <w:t>re</w:t>
      </w:r>
      <w:r w:rsidR="00DA3182">
        <w:noBreakHyphen/>
        <w:t>allocation</w:t>
      </w:r>
      <w:r w:rsidR="00486E89">
        <w:t xml:space="preserve"> period should </w:t>
      </w:r>
      <w:r w:rsidR="002B7926">
        <w:t>end on 30 June 2024.</w:t>
      </w:r>
    </w:p>
    <w:p w14:paraId="6C0A45EF" w14:textId="163EE523" w:rsidR="00C95DE6" w:rsidRPr="000B643A" w:rsidRDefault="00C95DE6" w:rsidP="00177B4E">
      <w:pPr>
        <w:pStyle w:val="Heading3"/>
      </w:pPr>
      <w:r>
        <w:t>The 900 MHz band</w:t>
      </w:r>
      <w:r w:rsidR="00F40456">
        <w:t xml:space="preserve"> </w:t>
      </w:r>
    </w:p>
    <w:p w14:paraId="6AEDB688" w14:textId="4BFF20E8" w:rsidR="00A47D7D" w:rsidRDefault="003A0B99" w:rsidP="00F919F1">
      <w:pPr>
        <w:pStyle w:val="Paragraph"/>
      </w:pPr>
      <w:bookmarkStart w:id="51" w:name="_Hlk37227543"/>
      <w:bookmarkStart w:id="52" w:name="_Hlk34908940"/>
      <w:r w:rsidRPr="000B643A">
        <w:t xml:space="preserve">Based on previous stakeholder consultation, </w:t>
      </w:r>
      <w:r w:rsidR="00C767F7">
        <w:t>we</w:t>
      </w:r>
      <w:r w:rsidRPr="000B643A">
        <w:t xml:space="preserve"> anticipate that incumbent licensees in the 900 MHz band </w:t>
      </w:r>
      <w:r>
        <w:t>may</w:t>
      </w:r>
      <w:r w:rsidRPr="000B643A">
        <w:t xml:space="preserve"> be potential participants in </w:t>
      </w:r>
      <w:r>
        <w:t>any future</w:t>
      </w:r>
      <w:r w:rsidRPr="000B643A">
        <w:t xml:space="preserve"> spectrum licence allocation</w:t>
      </w:r>
      <w:r>
        <w:t xml:space="preserve"> process.</w:t>
      </w:r>
      <w:r w:rsidR="00926ECA">
        <w:t xml:space="preserve"> </w:t>
      </w:r>
      <w:r w:rsidR="00937597">
        <w:t>However</w:t>
      </w:r>
      <w:r w:rsidR="008A0EF2">
        <w:t>,</w:t>
      </w:r>
      <w:r w:rsidR="00937597">
        <w:t xml:space="preserve"> as shown in </w:t>
      </w:r>
      <w:r w:rsidR="00F74F38">
        <w:fldChar w:fldCharType="begin"/>
      </w:r>
      <w:r w:rsidR="00F74F38">
        <w:instrText xml:space="preserve"> REF _Ref37313902 \r \h </w:instrText>
      </w:r>
      <w:r w:rsidR="00F74F38">
        <w:fldChar w:fldCharType="separate"/>
      </w:r>
      <w:r w:rsidR="00F74F38">
        <w:t>Figure 5</w:t>
      </w:r>
      <w:r w:rsidR="00F74F38">
        <w:fldChar w:fldCharType="end"/>
      </w:r>
      <w:r w:rsidR="00937597">
        <w:t xml:space="preserve">, proposed lots do not align exactly with current arrangements. </w:t>
      </w:r>
      <w:r w:rsidR="00D6175D">
        <w:t>I</w:t>
      </w:r>
      <w:r w:rsidR="00937597">
        <w:t>f</w:t>
      </w:r>
      <w:r w:rsidR="00926ECA">
        <w:t xml:space="preserve"> some</w:t>
      </w:r>
      <w:r w:rsidR="00C767F7">
        <w:t>,</w:t>
      </w:r>
      <w:r w:rsidR="00926ECA">
        <w:t xml:space="preserve"> or </w:t>
      </w:r>
      <w:r w:rsidR="00E670E6">
        <w:t>all</w:t>
      </w:r>
      <w:r w:rsidR="00926ECA">
        <w:t xml:space="preserve"> the incumbent licensees were successful in acquiring spectrum licence</w:t>
      </w:r>
      <w:r w:rsidR="00937597">
        <w:t xml:space="preserve">s, then they would need time </w:t>
      </w:r>
      <w:r w:rsidR="00571A58">
        <w:t>to</w:t>
      </w:r>
      <w:r w:rsidR="00027D61">
        <w:t xml:space="preserve"> transition to the</w:t>
      </w:r>
      <w:r w:rsidR="00481346">
        <w:t xml:space="preserve"> </w:t>
      </w:r>
      <w:r w:rsidR="00937597">
        <w:t xml:space="preserve">new arrangements. However, this time is not expected to be </w:t>
      </w:r>
      <w:proofErr w:type="gramStart"/>
      <w:r w:rsidR="00937597">
        <w:t>as long as</w:t>
      </w:r>
      <w:proofErr w:type="gramEnd"/>
      <w:r w:rsidR="00937597">
        <w:t xml:space="preserve"> the time for incumbents to relocate from the 850 MHz band. </w:t>
      </w:r>
      <w:bookmarkEnd w:id="51"/>
      <w:r w:rsidR="00892A5A">
        <w:t>A</w:t>
      </w:r>
      <w:r w:rsidR="00937597">
        <w:t xml:space="preserve"> shorter </w:t>
      </w:r>
      <w:r w:rsidR="00DA3182">
        <w:t>re</w:t>
      </w:r>
      <w:r w:rsidR="00DA3182">
        <w:noBreakHyphen/>
        <w:t>allocation</w:t>
      </w:r>
      <w:r w:rsidR="00937597">
        <w:t xml:space="preserve"> period may </w:t>
      </w:r>
      <w:r w:rsidR="00892A5A">
        <w:t xml:space="preserve">therefore </w:t>
      </w:r>
      <w:r w:rsidR="00937597">
        <w:t xml:space="preserve">be appropriate in the 900 MHz band. </w:t>
      </w:r>
    </w:p>
    <w:p w14:paraId="2F5FB698" w14:textId="70D3932D" w:rsidR="00C12123" w:rsidRDefault="00C12123" w:rsidP="00406C6E">
      <w:pPr>
        <w:pStyle w:val="Paragraph"/>
      </w:pPr>
      <w:bookmarkStart w:id="53" w:name="_Toc408846608"/>
      <w:bookmarkStart w:id="54" w:name="_Toc409015478"/>
      <w:bookmarkStart w:id="55" w:name="_Toc409528642"/>
      <w:bookmarkStart w:id="56" w:name="_Toc409016971"/>
      <w:bookmarkStart w:id="57" w:name="_Toc496277327"/>
      <w:bookmarkStart w:id="58" w:name="_Toc496277726"/>
      <w:bookmarkStart w:id="59" w:name="_Toc496527237"/>
      <w:bookmarkStart w:id="60" w:name="_Toc496527412"/>
      <w:bookmarkStart w:id="61" w:name="_Toc8207130"/>
      <w:bookmarkEnd w:id="52"/>
      <w:r>
        <w:t xml:space="preserve">We therefore consider that the </w:t>
      </w:r>
      <w:r w:rsidR="00DA3182">
        <w:t>re</w:t>
      </w:r>
      <w:r w:rsidR="00DA3182">
        <w:noBreakHyphen/>
        <w:t>allocation</w:t>
      </w:r>
      <w:r>
        <w:t xml:space="preserve"> period for the 900 MHz band should end on 31 December 2023.</w:t>
      </w:r>
    </w:p>
    <w:p w14:paraId="316065DA" w14:textId="5313C767" w:rsidR="00D019B1" w:rsidRPr="00726FD6" w:rsidRDefault="00DA3182" w:rsidP="00177B4E">
      <w:pPr>
        <w:pStyle w:val="Heading2"/>
      </w:pPr>
      <w:bookmarkStart w:id="62" w:name="_Toc40175653"/>
      <w:r>
        <w:t>Re</w:t>
      </w:r>
      <w:r>
        <w:noBreakHyphen/>
        <w:t>allocation</w:t>
      </w:r>
      <w:r w:rsidR="00D019B1" w:rsidRPr="00A153AF">
        <w:t xml:space="preserve"> deadline</w:t>
      </w:r>
      <w:bookmarkEnd w:id="53"/>
      <w:bookmarkEnd w:id="54"/>
      <w:bookmarkEnd w:id="55"/>
      <w:bookmarkEnd w:id="56"/>
      <w:bookmarkEnd w:id="57"/>
      <w:bookmarkEnd w:id="58"/>
      <w:bookmarkEnd w:id="59"/>
      <w:bookmarkEnd w:id="60"/>
      <w:bookmarkEnd w:id="61"/>
      <w:bookmarkEnd w:id="62"/>
    </w:p>
    <w:p w14:paraId="1CDA94EF" w14:textId="419F634B" w:rsidR="002548EF" w:rsidRDefault="002548EF" w:rsidP="00F919F1">
      <w:pPr>
        <w:pStyle w:val="Paragraph"/>
      </w:pPr>
      <w:r w:rsidRPr="002548EF">
        <w:t xml:space="preserve">The </w:t>
      </w:r>
      <w:r w:rsidR="00DA3182">
        <w:t>re</w:t>
      </w:r>
      <w:r w:rsidR="00DA3182">
        <w:noBreakHyphen/>
        <w:t>allocation</w:t>
      </w:r>
      <w:r w:rsidRPr="002548EF">
        <w:t xml:space="preserve"> deadline sets the date by which the ACMA must have allocated at least one licence in the spectrum subject to a </w:t>
      </w:r>
      <w:r w:rsidR="00DA3182">
        <w:t>re</w:t>
      </w:r>
      <w:r w:rsidR="00DA3182">
        <w:noBreakHyphen/>
        <w:t>allocation</w:t>
      </w:r>
      <w:r w:rsidRPr="002548EF">
        <w:t xml:space="preserve"> declaration. If no licence is allocated by this date, the </w:t>
      </w:r>
      <w:r w:rsidR="00DA3182">
        <w:t>re</w:t>
      </w:r>
      <w:r w:rsidR="00DA3182">
        <w:noBreakHyphen/>
        <w:t>allocation</w:t>
      </w:r>
      <w:r w:rsidRPr="002548EF">
        <w:t xml:space="preserve"> declaration is automatically revoked. The </w:t>
      </w:r>
      <w:r w:rsidR="00DA3182">
        <w:t>re</w:t>
      </w:r>
      <w:r w:rsidR="00DA3182">
        <w:noBreakHyphen/>
        <w:t>allocation</w:t>
      </w:r>
      <w:r w:rsidRPr="002548EF">
        <w:t xml:space="preserve"> deadline must be at least 12 months before the end of the </w:t>
      </w:r>
      <w:r w:rsidR="00DA3182">
        <w:t>re</w:t>
      </w:r>
      <w:r w:rsidR="00DA3182">
        <w:noBreakHyphen/>
        <w:t>allocation</w:t>
      </w:r>
      <w:r w:rsidRPr="002548EF">
        <w:t xml:space="preserve"> period specified in the relocation declaration. </w:t>
      </w:r>
    </w:p>
    <w:p w14:paraId="3D05E4DF" w14:textId="1295C14E" w:rsidR="00E670E6" w:rsidRDefault="00C767F7" w:rsidP="006051E5">
      <w:pPr>
        <w:pStyle w:val="Paragraph"/>
      </w:pPr>
      <w:r>
        <w:t>We</w:t>
      </w:r>
      <w:r w:rsidR="00556370" w:rsidRPr="00F919F1">
        <w:t xml:space="preserve"> intend to recommend the </w:t>
      </w:r>
      <w:r w:rsidR="00DA3182">
        <w:t>re</w:t>
      </w:r>
      <w:r w:rsidR="00DA3182">
        <w:noBreakHyphen/>
        <w:t>allocation</w:t>
      </w:r>
      <w:r w:rsidR="00556370" w:rsidRPr="00F919F1">
        <w:t xml:space="preserve"> deadline</w:t>
      </w:r>
      <w:r>
        <w:t xml:space="preserve"> to</w:t>
      </w:r>
      <w:r w:rsidR="00556370" w:rsidRPr="00F919F1">
        <w:t xml:space="preserve"> be</w:t>
      </w:r>
      <w:r w:rsidR="002548EF" w:rsidRPr="002548EF">
        <w:t xml:space="preserve"> set for the 850</w:t>
      </w:r>
      <w:r w:rsidR="002548EF">
        <w:t> </w:t>
      </w:r>
      <w:r w:rsidR="002548EF" w:rsidRPr="002548EF">
        <w:t>MHz expansion band</w:t>
      </w:r>
      <w:r>
        <w:t xml:space="preserve">, </w:t>
      </w:r>
      <w:r w:rsidR="002548EF" w:rsidRPr="002548EF">
        <w:t>2 x 1 MHz downshift frequencies and the 900 MHz band at</w:t>
      </w:r>
      <w:r w:rsidR="00556370" w:rsidRPr="00F919F1">
        <w:t xml:space="preserve"> 12 months before the end of the </w:t>
      </w:r>
      <w:r w:rsidR="00DA3182">
        <w:t>re</w:t>
      </w:r>
      <w:r w:rsidR="00DA3182">
        <w:noBreakHyphen/>
        <w:t>allocation</w:t>
      </w:r>
      <w:r w:rsidR="00556370" w:rsidRPr="00F919F1">
        <w:t xml:space="preserve"> period</w:t>
      </w:r>
      <w:r w:rsidR="009779E3">
        <w:t xml:space="preserve"> </w:t>
      </w:r>
      <w:r w:rsidR="00CF6353">
        <w:t xml:space="preserve">that ends first in time, </w:t>
      </w:r>
      <w:r w:rsidR="00B250E0">
        <w:t>being</w:t>
      </w:r>
      <w:r w:rsidR="00CF6353">
        <w:t xml:space="preserve"> </w:t>
      </w:r>
      <w:r w:rsidR="003D7B24">
        <w:t>31 December 2023</w:t>
      </w:r>
      <w:r w:rsidR="00BA0D82">
        <w:t>.</w:t>
      </w:r>
      <w:r w:rsidR="0085585E" w:rsidRPr="00F919F1">
        <w:t xml:space="preserve"> </w:t>
      </w:r>
      <w:r w:rsidR="00CF6353">
        <w:t xml:space="preserve">This would make the </w:t>
      </w:r>
      <w:r w:rsidR="00DA3182">
        <w:t>re</w:t>
      </w:r>
      <w:r w:rsidR="00DA3182">
        <w:noBreakHyphen/>
        <w:t>allocation</w:t>
      </w:r>
      <w:r w:rsidR="00CF6353">
        <w:t xml:space="preserve"> deadline </w:t>
      </w:r>
      <w:r w:rsidR="003D7B24" w:rsidDel="00665F62">
        <w:t>31</w:t>
      </w:r>
      <w:r w:rsidR="00665F62">
        <w:t> </w:t>
      </w:r>
      <w:r w:rsidR="003D7B24" w:rsidDel="00665F62">
        <w:t>December</w:t>
      </w:r>
      <w:r w:rsidR="00665F62">
        <w:t> </w:t>
      </w:r>
      <w:r w:rsidR="00CF6353">
        <w:t>2022.</w:t>
      </w:r>
      <w:r w:rsidR="00A002C1">
        <w:t xml:space="preserve"> </w:t>
      </w:r>
      <w:r w:rsidR="0085585E" w:rsidRPr="00F919F1">
        <w:t xml:space="preserve">This </w:t>
      </w:r>
      <w:r>
        <w:t>provides us with</w:t>
      </w:r>
      <w:r w:rsidR="0085585E" w:rsidRPr="00F919F1">
        <w:t xml:space="preserve"> the longest possible time to allocate spectrum licences in the</w:t>
      </w:r>
      <w:r w:rsidR="00F5466A">
        <w:t> </w:t>
      </w:r>
      <w:r w:rsidR="0085585E" w:rsidRPr="00F919F1">
        <w:t>850/900</w:t>
      </w:r>
      <w:r w:rsidR="00F5466A">
        <w:t> </w:t>
      </w:r>
      <w:r w:rsidR="0085585E" w:rsidRPr="00F919F1">
        <w:t>MHz band</w:t>
      </w:r>
      <w:r w:rsidR="006D5871" w:rsidRPr="00F919F1">
        <w:t xml:space="preserve"> but does not preclude an allocation before the deadline</w:t>
      </w:r>
      <w:r w:rsidR="008A0EF2">
        <w:t>,</w:t>
      </w:r>
      <w:r w:rsidR="00567CF2">
        <w:t xml:space="preserve"> as is currently planned (see </w:t>
      </w:r>
      <w:r w:rsidR="00567CF2">
        <w:fldChar w:fldCharType="begin"/>
      </w:r>
      <w:r w:rsidR="00567CF2">
        <w:instrText xml:space="preserve"> REF _Ref4150533 \r \h </w:instrText>
      </w:r>
      <w:r w:rsidR="00567CF2">
        <w:fldChar w:fldCharType="separate"/>
      </w:r>
      <w:r w:rsidR="00567CF2">
        <w:t>Table 5</w:t>
      </w:r>
      <w:r w:rsidR="00567CF2">
        <w:fldChar w:fldCharType="end"/>
      </w:r>
      <w:r w:rsidR="00567CF2">
        <w:t>)</w:t>
      </w:r>
      <w:r w:rsidR="0085585E" w:rsidRPr="00F919F1">
        <w:t xml:space="preserve">. </w:t>
      </w:r>
      <w:r>
        <w:t xml:space="preserve">We </w:t>
      </w:r>
      <w:r w:rsidR="0085585E" w:rsidRPr="00F919F1">
        <w:t xml:space="preserve">note that in accordance with the current </w:t>
      </w:r>
      <w:hyperlink r:id="rId39" w:history="1">
        <w:r w:rsidR="00E670E6" w:rsidRPr="002F7106">
          <w:rPr>
            <w:rStyle w:val="Hyperlink"/>
            <w:i/>
            <w:iCs/>
          </w:rPr>
          <w:t>Five-year spectrum outlook</w:t>
        </w:r>
      </w:hyperlink>
      <w:r w:rsidR="00F32BBF" w:rsidRPr="002F7106">
        <w:rPr>
          <w:rStyle w:val="Hyperlink"/>
          <w:i/>
          <w:iCs/>
        </w:rPr>
        <w:t xml:space="preserve"> 2019–23</w:t>
      </w:r>
      <w:r w:rsidR="0085585E" w:rsidRPr="00F919F1">
        <w:t xml:space="preserve">, subject to the </w:t>
      </w:r>
      <w:r w:rsidR="008653F9" w:rsidRPr="00F919F1">
        <w:t>Minister</w:t>
      </w:r>
      <w:r w:rsidR="0085585E" w:rsidRPr="00F919F1">
        <w:t xml:space="preserve"> making a </w:t>
      </w:r>
      <w:r w:rsidR="00DA3182">
        <w:t>re</w:t>
      </w:r>
      <w:r w:rsidR="00DA3182">
        <w:noBreakHyphen/>
        <w:t>allocation</w:t>
      </w:r>
      <w:r w:rsidR="0085585E" w:rsidRPr="00F919F1">
        <w:t xml:space="preserve"> declaration, the allocation will occur in Q4 2021.</w:t>
      </w:r>
    </w:p>
    <w:p w14:paraId="3649BB3C" w14:textId="45A0B0FB" w:rsidR="00F32BBF" w:rsidRDefault="00F32BBF" w:rsidP="006051E5">
      <w:pPr>
        <w:pStyle w:val="Paragraph"/>
      </w:pPr>
    </w:p>
    <w:p w14:paraId="40B27243" w14:textId="77777777" w:rsidR="00F32BBF" w:rsidRPr="00F919F1" w:rsidRDefault="00F32BBF" w:rsidP="006051E5">
      <w:pPr>
        <w:pStyle w:val="Paragraph"/>
      </w:pPr>
    </w:p>
    <w:p w14:paraId="3C2DFE85" w14:textId="36922B55" w:rsidR="006F0C91" w:rsidRPr="006C13CE" w:rsidRDefault="00DA3182" w:rsidP="002F7106">
      <w:pPr>
        <w:pStyle w:val="Recommendation"/>
        <w:shd w:val="clear" w:color="auto" w:fill="F2F2F2" w:themeFill="background1" w:themeFillShade="F2"/>
      </w:pPr>
      <w:r>
        <w:rPr>
          <w:b/>
        </w:rPr>
        <w:lastRenderedPageBreak/>
        <w:t>Re</w:t>
      </w:r>
      <w:r>
        <w:rPr>
          <w:b/>
        </w:rPr>
        <w:noBreakHyphen/>
        <w:t>allocation</w:t>
      </w:r>
      <w:r w:rsidR="006F0C91" w:rsidRPr="006C13CE">
        <w:rPr>
          <w:b/>
        </w:rPr>
        <w:t xml:space="preserve"> period and deadline</w:t>
      </w:r>
    </w:p>
    <w:p w14:paraId="79CDD6D0" w14:textId="728278C3" w:rsidR="00567CF2" w:rsidRDefault="006F0C91" w:rsidP="002F7106">
      <w:pPr>
        <w:pStyle w:val="Recommendation"/>
        <w:shd w:val="clear" w:color="auto" w:fill="F2F2F2" w:themeFill="background1" w:themeFillShade="F2"/>
        <w:spacing w:after="240"/>
      </w:pPr>
      <w:r w:rsidRPr="006E3939">
        <w:t xml:space="preserve">The ACMA proposes to recommend </w:t>
      </w:r>
      <w:r w:rsidR="00C02C49" w:rsidRPr="006E3939">
        <w:t xml:space="preserve">a </w:t>
      </w:r>
      <w:r w:rsidR="00DA3182">
        <w:t>re</w:t>
      </w:r>
      <w:r w:rsidR="00DA3182">
        <w:noBreakHyphen/>
        <w:t>allocation</w:t>
      </w:r>
      <w:r w:rsidR="00C02C49" w:rsidRPr="002237AB">
        <w:t xml:space="preserve"> period </w:t>
      </w:r>
      <w:r w:rsidR="0085585E" w:rsidRPr="002237AB">
        <w:t>ending on 30 June 2024</w:t>
      </w:r>
      <w:r w:rsidR="00F44021">
        <w:t xml:space="preserve"> for the 850 MHz expansion band</w:t>
      </w:r>
      <w:r w:rsidR="00567CF2">
        <w:t xml:space="preserve"> and downshift frequencies</w:t>
      </w:r>
      <w:r w:rsidR="00F44021">
        <w:t xml:space="preserve">, and a </w:t>
      </w:r>
      <w:r w:rsidR="00DA3182">
        <w:t>re</w:t>
      </w:r>
      <w:r w:rsidR="00DA3182">
        <w:noBreakHyphen/>
        <w:t>allocation</w:t>
      </w:r>
      <w:r w:rsidR="00F44021">
        <w:t xml:space="preserve"> period ending </w:t>
      </w:r>
      <w:r w:rsidR="006F78C0">
        <w:t xml:space="preserve">on </w:t>
      </w:r>
      <w:r w:rsidR="00EA79D8">
        <w:t>31 December</w:t>
      </w:r>
      <w:r w:rsidR="00F44021">
        <w:t xml:space="preserve"> 2023 for the 900 MHz band.</w:t>
      </w:r>
      <w:r w:rsidR="00C02C49" w:rsidRPr="007951CB">
        <w:t xml:space="preserve"> </w:t>
      </w:r>
    </w:p>
    <w:p w14:paraId="3C228B0B" w14:textId="64D66483" w:rsidR="002548EF" w:rsidRPr="00C02F26" w:rsidRDefault="002548EF" w:rsidP="002F7106">
      <w:pPr>
        <w:pStyle w:val="Recommendation"/>
        <w:shd w:val="clear" w:color="auto" w:fill="F2F2F2" w:themeFill="background1" w:themeFillShade="F2"/>
      </w:pPr>
      <w:r>
        <w:t xml:space="preserve">The ACMA proposes to recommend </w:t>
      </w:r>
      <w:r w:rsidRPr="00CC25FC">
        <w:t xml:space="preserve">a </w:t>
      </w:r>
      <w:r w:rsidR="00DA3182">
        <w:t>re</w:t>
      </w:r>
      <w:r w:rsidR="00DA3182">
        <w:noBreakHyphen/>
        <w:t>allocation</w:t>
      </w:r>
      <w:r w:rsidRPr="00377EF4">
        <w:t xml:space="preserve"> deadline </w:t>
      </w:r>
      <w:r>
        <w:t>for the 850 MHz expansion band</w:t>
      </w:r>
      <w:r w:rsidR="00C72276">
        <w:t>,</w:t>
      </w:r>
      <w:r>
        <w:t xml:space="preserve"> </w:t>
      </w:r>
      <w:r w:rsidR="00C72276">
        <w:t>the</w:t>
      </w:r>
      <w:r w:rsidR="0054578A">
        <w:t xml:space="preserve"> </w:t>
      </w:r>
      <w:r>
        <w:t>downshift frequencies</w:t>
      </w:r>
      <w:r w:rsidR="008A0EF2">
        <w:t>,</w:t>
      </w:r>
      <w:r>
        <w:t xml:space="preserve"> and the 900 MHz band </w:t>
      </w:r>
      <w:r w:rsidRPr="00377EF4">
        <w:t xml:space="preserve">of 12 months before the end of the </w:t>
      </w:r>
      <w:r w:rsidR="00DA3182">
        <w:t>re</w:t>
      </w:r>
      <w:r w:rsidR="00DA3182">
        <w:noBreakHyphen/>
        <w:t>allocation</w:t>
      </w:r>
      <w:r w:rsidRPr="00041887">
        <w:t xml:space="preserve"> </w:t>
      </w:r>
      <w:r w:rsidRPr="00535B80">
        <w:t xml:space="preserve">period that </w:t>
      </w:r>
      <w:r w:rsidRPr="00F169BC">
        <w:t>ends first in time (12 months before 31 December 2023), namely, 31 December 2022.</w:t>
      </w:r>
    </w:p>
    <w:p w14:paraId="0E1D9558" w14:textId="2AACEA5C" w:rsidR="00E70A27" w:rsidRDefault="00E70A27" w:rsidP="00E70A27">
      <w:pPr>
        <w:pStyle w:val="Heading1"/>
      </w:pPr>
      <w:bookmarkStart w:id="63" w:name="_Toc40175654"/>
      <w:r>
        <w:lastRenderedPageBreak/>
        <w:t>Other matters</w:t>
      </w:r>
      <w:bookmarkEnd w:id="63"/>
    </w:p>
    <w:p w14:paraId="46A79B72" w14:textId="5AE0A743" w:rsidR="00523C5F" w:rsidRDefault="00523C5F" w:rsidP="000B643A">
      <w:pPr>
        <w:pStyle w:val="Paragraph"/>
      </w:pPr>
      <w:r>
        <w:t xml:space="preserve">If the </w:t>
      </w:r>
      <w:r w:rsidR="008653F9">
        <w:t>Minister</w:t>
      </w:r>
      <w:r>
        <w:t xml:space="preserve"> declares the 850/900 MHz band</w:t>
      </w:r>
      <w:r w:rsidR="00EE5158">
        <w:t xml:space="preserve"> </w:t>
      </w:r>
      <w:r>
        <w:t xml:space="preserve">for </w:t>
      </w:r>
      <w:r w:rsidR="00DA3182">
        <w:t>re</w:t>
      </w:r>
      <w:r w:rsidR="00DA3182">
        <w:noBreakHyphen/>
        <w:t>allocation</w:t>
      </w:r>
      <w:r>
        <w:t xml:space="preserve"> </w:t>
      </w:r>
      <w:r w:rsidR="007B1D23">
        <w:t xml:space="preserve">Australia-wide </w:t>
      </w:r>
      <w:r>
        <w:t xml:space="preserve">in line with </w:t>
      </w:r>
      <w:r w:rsidR="005F1A20">
        <w:t>our</w:t>
      </w:r>
      <w:r>
        <w:t xml:space="preserve"> proposed recommendation</w:t>
      </w:r>
      <w:r w:rsidR="00B45085">
        <w:t xml:space="preserve">, </w:t>
      </w:r>
      <w:r w:rsidR="0009710B">
        <w:t xml:space="preserve">then </w:t>
      </w:r>
      <w:r w:rsidR="00E670E6">
        <w:t xml:space="preserve">we </w:t>
      </w:r>
      <w:r w:rsidR="0009710B">
        <w:t xml:space="preserve">will </w:t>
      </w:r>
      <w:r w:rsidR="00B45085">
        <w:t>conduct a price-based allocation of the re</w:t>
      </w:r>
      <w:r w:rsidR="00C5061F">
        <w:t>-</w:t>
      </w:r>
      <w:r w:rsidR="00B45085">
        <w:t>allocated spectrum</w:t>
      </w:r>
      <w:r w:rsidR="00EE5158">
        <w:t>.</w:t>
      </w:r>
    </w:p>
    <w:p w14:paraId="0A755E69" w14:textId="1175A30D" w:rsidR="001005FC" w:rsidRDefault="00E670E6" w:rsidP="00A600D8">
      <w:pPr>
        <w:pStyle w:val="Paragraphbeforelist"/>
      </w:pPr>
      <w:r>
        <w:t>We</w:t>
      </w:r>
      <w:r w:rsidR="001005FC">
        <w:t xml:space="preserve"> ha</w:t>
      </w:r>
      <w:r>
        <w:t>ve</w:t>
      </w:r>
      <w:r w:rsidR="001005FC">
        <w:t xml:space="preserve"> </w:t>
      </w:r>
      <w:proofErr w:type="gramStart"/>
      <w:r w:rsidR="001005FC">
        <w:t>given preliminary consideration to</w:t>
      </w:r>
      <w:proofErr w:type="gramEnd"/>
      <w:r w:rsidR="001005FC">
        <w:t xml:space="preserve"> matters relevant to a price-based allocation of the spectrum in the 850</w:t>
      </w:r>
      <w:r w:rsidR="00FF3B66">
        <w:t>/900 MHz band, including:</w:t>
      </w:r>
    </w:p>
    <w:p w14:paraId="6D4A31DC" w14:textId="77777777" w:rsidR="000614B7" w:rsidRDefault="000614B7" w:rsidP="000614B7">
      <w:pPr>
        <w:pStyle w:val="Bulletlevel1"/>
      </w:pPr>
      <w:r>
        <w:t>how the spectrum would be packaged for allocation (the lot configuration)</w:t>
      </w:r>
    </w:p>
    <w:p w14:paraId="0843F27D" w14:textId="0406E9CC" w:rsidR="009C360E" w:rsidRDefault="009C360E" w:rsidP="009C360E">
      <w:pPr>
        <w:pStyle w:val="Bulletlevel1"/>
      </w:pPr>
      <w:r>
        <w:t>the spectrum licence term</w:t>
      </w:r>
    </w:p>
    <w:p w14:paraId="1843E604" w14:textId="4A30D599" w:rsidR="009C360E" w:rsidRDefault="009C360E" w:rsidP="000614B7">
      <w:pPr>
        <w:pStyle w:val="Bulletlevel1last"/>
      </w:pPr>
      <w:r>
        <w:t>how the spectrum would be allocated (the allocation methodology)</w:t>
      </w:r>
      <w:r w:rsidR="000614B7">
        <w:t>.</w:t>
      </w:r>
    </w:p>
    <w:p w14:paraId="02433D1E" w14:textId="62C563B3" w:rsidR="001B76B3" w:rsidRDefault="001B76B3" w:rsidP="000B643A">
      <w:pPr>
        <w:pStyle w:val="Paragraph"/>
      </w:pPr>
      <w:r w:rsidRPr="000B643A">
        <w:t>Subject</w:t>
      </w:r>
      <w:r w:rsidRPr="00951E99">
        <w:t xml:space="preserve"> to this consultation, and to the </w:t>
      </w:r>
      <w:r w:rsidR="008653F9">
        <w:t>Minister</w:t>
      </w:r>
      <w:r w:rsidRPr="00951E99">
        <w:t xml:space="preserve"> accepting </w:t>
      </w:r>
      <w:r w:rsidR="00E670E6">
        <w:t>our</w:t>
      </w:r>
      <w:r w:rsidRPr="00951E99">
        <w:t xml:space="preserve"> final recommendation, </w:t>
      </w:r>
      <w:r w:rsidR="00E670E6">
        <w:t>we</w:t>
      </w:r>
      <w:r w:rsidRPr="00951E99">
        <w:t xml:space="preserve"> would seek to ensure that the allocation of spectrum licences in the 850/900 MHz band is undertaken in a timely manner. Therefore, </w:t>
      </w:r>
      <w:r w:rsidR="00E670E6">
        <w:t>we are</w:t>
      </w:r>
      <w:r w:rsidRPr="00951E99">
        <w:t xml:space="preserve"> taking this opportunity to invite early comments on these matters.</w:t>
      </w:r>
    </w:p>
    <w:p w14:paraId="28B44254" w14:textId="2A8D087E" w:rsidR="00B5059A" w:rsidRDefault="009F1AF8">
      <w:pPr>
        <w:pStyle w:val="Paragraph"/>
      </w:pPr>
      <w:r>
        <w:t>Spectrum needs to be divided into lots</w:t>
      </w:r>
      <w:r w:rsidR="00E6632F">
        <w:t xml:space="preserve"> </w:t>
      </w:r>
      <w:r>
        <w:t xml:space="preserve">before it can be offered to the market. </w:t>
      </w:r>
      <w:r w:rsidR="00757775" w:rsidRPr="00757775">
        <w:t>There are two dimensions to lot configuration—</w:t>
      </w:r>
      <w:r w:rsidR="00F4321A">
        <w:t xml:space="preserve">frequency </w:t>
      </w:r>
      <w:r w:rsidR="00757775" w:rsidRPr="00757775">
        <w:t xml:space="preserve">bandwidth and geography. In deciding lot configuration for any allocation, </w:t>
      </w:r>
      <w:r w:rsidR="00E670E6">
        <w:t>we</w:t>
      </w:r>
      <w:r w:rsidR="00757775" w:rsidRPr="00757775">
        <w:t xml:space="preserve"> consider a range of factors, including the level of demand and the technical characteristics of the spectrum.</w:t>
      </w:r>
    </w:p>
    <w:p w14:paraId="0E0C70C3" w14:textId="0CC677FB" w:rsidR="00757775" w:rsidRDefault="009F1CEE" w:rsidP="000B643A">
      <w:pPr>
        <w:pStyle w:val="Paragraph"/>
      </w:pPr>
      <w:r>
        <w:t>Our objective</w:t>
      </w:r>
      <w:r w:rsidR="00757775" w:rsidRPr="00757775">
        <w:t xml:space="preserve"> is to configure the spectrum to promote its efficient allocation and use. In </w:t>
      </w:r>
      <w:r w:rsidR="00CA57FE">
        <w:t>facilitating this objective</w:t>
      </w:r>
      <w:r w:rsidR="00757775" w:rsidRPr="00757775">
        <w:t xml:space="preserve">, </w:t>
      </w:r>
      <w:r w:rsidR="00E670E6">
        <w:t>we must</w:t>
      </w:r>
      <w:r w:rsidR="00757775" w:rsidRPr="00757775">
        <w:t xml:space="preserve"> ensure that the lot configuration does not unduly limit or dictate market </w:t>
      </w:r>
      <w:proofErr w:type="gramStart"/>
      <w:r w:rsidR="00757775" w:rsidRPr="00757775">
        <w:t>outcomes</w:t>
      </w:r>
      <w:r w:rsidR="00A22B5D">
        <w:t>,</w:t>
      </w:r>
      <w:r w:rsidR="00757775" w:rsidRPr="00757775">
        <w:t xml:space="preserve"> or</w:t>
      </w:r>
      <w:proofErr w:type="gramEnd"/>
      <w:r w:rsidR="00757775" w:rsidRPr="00757775">
        <w:t xml:space="preserve"> hinder competition between auction participants.</w:t>
      </w:r>
    </w:p>
    <w:p w14:paraId="285A0E52" w14:textId="51C51237" w:rsidR="00F4321A" w:rsidRDefault="00F4321A" w:rsidP="00177B4E">
      <w:pPr>
        <w:pStyle w:val="Heading2"/>
      </w:pPr>
      <w:bookmarkStart w:id="64" w:name="_Toc40175655"/>
      <w:r>
        <w:t xml:space="preserve">Frequency </w:t>
      </w:r>
      <w:r w:rsidR="009841FF">
        <w:t>bandwidth</w:t>
      </w:r>
      <w:r>
        <w:t xml:space="preserve"> configuration</w:t>
      </w:r>
      <w:bookmarkEnd w:id="64"/>
    </w:p>
    <w:p w14:paraId="612BD97C" w14:textId="2C1AF8AA" w:rsidR="00757775" w:rsidRDefault="00757775" w:rsidP="00177B4E">
      <w:pPr>
        <w:pStyle w:val="Heading3"/>
      </w:pPr>
      <w:r>
        <w:t>Spectrum demand</w:t>
      </w:r>
    </w:p>
    <w:p w14:paraId="0325E35E" w14:textId="0156EC0C" w:rsidR="00FA15B2" w:rsidRDefault="00F32BBF" w:rsidP="00EA110B">
      <w:pPr>
        <w:pStyle w:val="Paragraph"/>
      </w:pPr>
      <w:r>
        <w:t>We</w:t>
      </w:r>
      <w:r w:rsidR="006D5871">
        <w:t xml:space="preserve"> consider that spectrum in the 850/900 MHz band would be principally used for the delivery of wide-area </w:t>
      </w:r>
      <w:r w:rsidR="00EB7E3C">
        <w:t>services</w:t>
      </w:r>
      <w:r w:rsidR="002C5D15">
        <w:t xml:space="preserve"> such as mobile broadband</w:t>
      </w:r>
      <w:r w:rsidR="006D5871">
        <w:t xml:space="preserve">. </w:t>
      </w:r>
      <w:r w:rsidR="00FA15B2">
        <w:t xml:space="preserve">Mobile network operators currently hold </w:t>
      </w:r>
      <w:r w:rsidR="00315709">
        <w:t xml:space="preserve">spectrum </w:t>
      </w:r>
      <w:r w:rsidR="00FA15B2">
        <w:t xml:space="preserve">licences in the adjacent 850 MHz band. </w:t>
      </w:r>
      <w:r w:rsidR="0075263C">
        <w:t>The 850/900 MHz band may be attractive to adjacent licensees due to the opportunity to acquire larger, contiguous spectrum holdings in the sub-1 GHz space.</w:t>
      </w:r>
      <w:r w:rsidR="00FA15B2" w:rsidRPr="00FA15B2">
        <w:t xml:space="preserve"> </w:t>
      </w:r>
    </w:p>
    <w:p w14:paraId="701E3F15" w14:textId="649B08D8" w:rsidR="00FA15B2" w:rsidRDefault="00F32BBF" w:rsidP="00EA110B">
      <w:pPr>
        <w:pStyle w:val="Paragraph"/>
      </w:pPr>
      <w:r>
        <w:t>We</w:t>
      </w:r>
      <w:r w:rsidR="006D5871">
        <w:t xml:space="preserve"> </w:t>
      </w:r>
      <w:r w:rsidR="00FA15B2">
        <w:t xml:space="preserve">therefore </w:t>
      </w:r>
      <w:r w:rsidR="006D5871">
        <w:t>consider that demand may come from</w:t>
      </w:r>
      <w:r w:rsidR="00F942BA">
        <w:t xml:space="preserve"> existing mobile network operators and/or</w:t>
      </w:r>
      <w:r w:rsidR="006D5871">
        <w:t xml:space="preserve"> new market entrants to the telecommunications industry</w:t>
      </w:r>
      <w:r w:rsidR="00BD1B86">
        <w:t xml:space="preserve"> for the deployment of mobile broadband networks. </w:t>
      </w:r>
    </w:p>
    <w:p w14:paraId="28681F24" w14:textId="10589D2D" w:rsidR="00024043" w:rsidRDefault="00A84E16" w:rsidP="00177B4E">
      <w:pPr>
        <w:pStyle w:val="Heading3"/>
      </w:pPr>
      <w:r>
        <w:t xml:space="preserve">Bandwidth </w:t>
      </w:r>
      <w:r w:rsidR="00BF7FC7">
        <w:t>configuration options</w:t>
      </w:r>
    </w:p>
    <w:p w14:paraId="21D98240" w14:textId="503A4A7D" w:rsidR="007E7CFA" w:rsidRDefault="007D3F25" w:rsidP="000B643A">
      <w:pPr>
        <w:pStyle w:val="Paragraph"/>
      </w:pPr>
      <w:r>
        <w:t xml:space="preserve">If the </w:t>
      </w:r>
      <w:r w:rsidR="008653F9">
        <w:t>Minister</w:t>
      </w:r>
      <w:r>
        <w:t xml:space="preserve"> accepts </w:t>
      </w:r>
      <w:r w:rsidR="002F0312">
        <w:t>our</w:t>
      </w:r>
      <w:r>
        <w:t xml:space="preserve"> proposed recommendation to re</w:t>
      </w:r>
      <w:r w:rsidR="00C5061F">
        <w:t>-</w:t>
      </w:r>
      <w:r>
        <w:t xml:space="preserve">allocate the 850/900 MHz band for spectrum licensing, there would </w:t>
      </w:r>
      <w:r w:rsidR="002F0312">
        <w:t xml:space="preserve">then </w:t>
      </w:r>
      <w:r>
        <w:t xml:space="preserve">be </w:t>
      </w:r>
      <w:r w:rsidR="00A1253C">
        <w:t>8</w:t>
      </w:r>
      <w:r w:rsidR="007E359E">
        <w:t>2</w:t>
      </w:r>
      <w:r>
        <w:t xml:space="preserve"> MHz of spectrum on offer </w:t>
      </w:r>
      <w:r w:rsidR="00BD1B86">
        <w:t xml:space="preserve">throughout </w:t>
      </w:r>
      <w:r w:rsidR="008253A9">
        <w:t>Australia</w:t>
      </w:r>
      <w:r w:rsidR="00EE5158">
        <w:t>.</w:t>
      </w:r>
      <w:r w:rsidR="00F919F1">
        <w:t xml:space="preserve"> </w:t>
      </w:r>
      <w:r w:rsidR="007B1D23">
        <w:t>Should the Minister decide to set aside</w:t>
      </w:r>
      <w:r w:rsidR="007C5FF8">
        <w:t xml:space="preserve"> 2 x 5 MHz of</w:t>
      </w:r>
      <w:r w:rsidR="007B1D23">
        <w:t xml:space="preserve"> spectrum for a PSMB network in accordance with the negotiations underway through COAG, </w:t>
      </w:r>
      <w:r w:rsidR="00F32A3E">
        <w:t xml:space="preserve">there would be 72 MHz of spectrum on offer throughout Australia. </w:t>
      </w:r>
    </w:p>
    <w:p w14:paraId="0A00D69A" w14:textId="09FFDA67" w:rsidR="00101D40" w:rsidRDefault="002F0312" w:rsidP="000B643A">
      <w:pPr>
        <w:pStyle w:val="Paragraph"/>
      </w:pPr>
      <w:r>
        <w:t>We</w:t>
      </w:r>
      <w:r w:rsidR="00C40C96">
        <w:t xml:space="preserve"> consider that the highest value use for the 850/900 MHz band will be for the deployment of mobile broadband services. </w:t>
      </w:r>
      <w:r w:rsidR="006548BA">
        <w:t>Therefore, this</w:t>
      </w:r>
      <w:r w:rsidR="00F919F1">
        <w:t xml:space="preserve"> spectrum will be optimised for mobile broadband use.</w:t>
      </w:r>
      <w:r w:rsidR="00EE5158">
        <w:t xml:space="preserve"> </w:t>
      </w:r>
    </w:p>
    <w:p w14:paraId="46A452F0" w14:textId="43F58F3C" w:rsidR="00825D1F" w:rsidRDefault="002C5D15" w:rsidP="001872BA">
      <w:pPr>
        <w:pStyle w:val="Paragraph"/>
      </w:pPr>
      <w:r>
        <w:t xml:space="preserve">Based on current standards, </w:t>
      </w:r>
      <w:r w:rsidR="002F0312">
        <w:t>we</w:t>
      </w:r>
      <w:r w:rsidR="001872BA">
        <w:t xml:space="preserve"> consider that t</w:t>
      </w:r>
      <w:r w:rsidR="001872BA" w:rsidRPr="001872BA">
        <w:t xml:space="preserve">o achieve the optimal configuration for </w:t>
      </w:r>
      <w:r w:rsidR="00C237FF">
        <w:t xml:space="preserve">mobile </w:t>
      </w:r>
      <w:r w:rsidR="00EB7E3C">
        <w:t>broadband</w:t>
      </w:r>
      <w:r w:rsidR="00F919F1" w:rsidRPr="001872BA">
        <w:t xml:space="preserve"> </w:t>
      </w:r>
      <w:r w:rsidR="001872BA" w:rsidRPr="001872BA">
        <w:t>services</w:t>
      </w:r>
      <w:r w:rsidR="002F0312">
        <w:t>,</w:t>
      </w:r>
      <w:r>
        <w:t xml:space="preserve"> </w:t>
      </w:r>
      <w:r w:rsidR="001872BA">
        <w:t xml:space="preserve">the </w:t>
      </w:r>
      <w:r w:rsidR="001872BA" w:rsidRPr="001872BA">
        <w:t>band</w:t>
      </w:r>
      <w:r w:rsidR="00B71888">
        <w:t xml:space="preserve"> </w:t>
      </w:r>
      <w:r w:rsidR="00EB7E3C">
        <w:t xml:space="preserve">should be </w:t>
      </w:r>
      <w:r w:rsidR="00B71888">
        <w:t xml:space="preserve">configured </w:t>
      </w:r>
      <w:r>
        <w:t>consistently</w:t>
      </w:r>
      <w:r w:rsidR="00E342FD">
        <w:t xml:space="preserve"> with </w:t>
      </w:r>
      <w:r w:rsidR="001872BA" w:rsidRPr="001872BA">
        <w:lastRenderedPageBreak/>
        <w:t>5</w:t>
      </w:r>
      <w:r w:rsidR="0063467A">
        <w:t> </w:t>
      </w:r>
      <w:r w:rsidR="001872BA" w:rsidRPr="001872BA">
        <w:t>MHz</w:t>
      </w:r>
      <w:r w:rsidR="000C64C7">
        <w:noBreakHyphen/>
      </w:r>
      <w:r w:rsidR="00E342FD">
        <w:t>based</w:t>
      </w:r>
      <w:r w:rsidR="001872BA" w:rsidRPr="001872BA">
        <w:t xml:space="preserve"> </w:t>
      </w:r>
      <w:r w:rsidR="001B6BDF" w:rsidRPr="001B6BDF">
        <w:t>frequency division duplex (FDD)</w:t>
      </w:r>
      <w:r w:rsidR="001872BA" w:rsidRPr="001872BA">
        <w:t xml:space="preserve"> blocks</w:t>
      </w:r>
      <w:r w:rsidR="001B6BDF">
        <w:t>.</w:t>
      </w:r>
      <w:r w:rsidR="00FF146D">
        <w:rPr>
          <w:rStyle w:val="FootnoteReference"/>
        </w:rPr>
        <w:footnoteReference w:id="12"/>
      </w:r>
      <w:r w:rsidR="001872BA" w:rsidRPr="00BB4ED9">
        <w:t xml:space="preserve"> </w:t>
      </w:r>
      <w:r w:rsidR="00444600">
        <w:t>A</w:t>
      </w:r>
      <w:r w:rsidR="00601A12">
        <w:t xml:space="preserve">vailable channel sizes </w:t>
      </w:r>
      <w:r w:rsidR="00444600">
        <w:t xml:space="preserve">for the deployment of internationally harmonised 4G networks </w:t>
      </w:r>
      <w:r w:rsidR="00601A12">
        <w:t>include 1.4 MHz, 3 MHz</w:t>
      </w:r>
      <w:r w:rsidR="00572AF3">
        <w:t>,</w:t>
      </w:r>
      <w:r w:rsidR="00601A12">
        <w:t xml:space="preserve"> 5 MHz and multiples of 5 MHz thereafter. W</w:t>
      </w:r>
      <w:r w:rsidR="00601A12" w:rsidRPr="00BB4ED9">
        <w:t>hile some mobile technology standards provide for channels smaller than 5 MHz, efficiency suffers</w:t>
      </w:r>
      <w:r w:rsidR="002F0312">
        <w:t>,</w:t>
      </w:r>
      <w:r w:rsidR="00601A12" w:rsidRPr="00BB4ED9">
        <w:t xml:space="preserve"> and the level of throughput adds little to the overall capacity of a network.</w:t>
      </w:r>
      <w:r w:rsidR="00FF146D" w:rsidDel="00FF146D">
        <w:rPr>
          <w:rStyle w:val="FootnoteReference"/>
        </w:rPr>
        <w:t xml:space="preserve"> </w:t>
      </w:r>
      <w:r w:rsidR="00601A12" w:rsidRPr="00BB4ED9">
        <w:t xml:space="preserve"> </w:t>
      </w:r>
    </w:p>
    <w:p w14:paraId="40AA86A2" w14:textId="04B032CB" w:rsidR="001872BA" w:rsidRDefault="00E23A2E" w:rsidP="00006D48">
      <w:pPr>
        <w:pStyle w:val="Paragraph"/>
      </w:pPr>
      <w:r>
        <w:t>Subject to any allocation limits, p</w:t>
      </w:r>
      <w:r w:rsidR="00E67B68">
        <w:t xml:space="preserve">articipants in the allocation process </w:t>
      </w:r>
      <w:r w:rsidR="00560634">
        <w:t xml:space="preserve">are likely to </w:t>
      </w:r>
      <w:r>
        <w:t xml:space="preserve">seek to acquire </w:t>
      </w:r>
      <w:r w:rsidR="00E67B68">
        <w:t>multiple contiguous 5 MHz lots</w:t>
      </w:r>
      <w:r w:rsidR="002F0312">
        <w:t>.</w:t>
      </w:r>
      <w:r w:rsidR="00E67B68">
        <w:t xml:space="preserve"> </w:t>
      </w:r>
      <w:r w:rsidR="002F0312" w:rsidRPr="00A22B5D">
        <w:t>They</w:t>
      </w:r>
      <w:r w:rsidR="00E67B68" w:rsidRPr="00A22B5D">
        <w:t xml:space="preserve"> may </w:t>
      </w:r>
      <w:r w:rsidR="002F0312" w:rsidRPr="00A22B5D">
        <w:t xml:space="preserve">also </w:t>
      </w:r>
      <w:r w:rsidR="00690548" w:rsidRPr="00A22B5D">
        <w:t xml:space="preserve">seek to </w:t>
      </w:r>
      <w:r w:rsidR="00E67B68" w:rsidRPr="00A22B5D">
        <w:t xml:space="preserve">acquire further </w:t>
      </w:r>
      <w:r w:rsidR="00444600" w:rsidRPr="00A22B5D">
        <w:t xml:space="preserve">spectrum </w:t>
      </w:r>
      <w:r w:rsidR="00E67B68" w:rsidRPr="00A22B5D">
        <w:t xml:space="preserve">after allocation </w:t>
      </w:r>
      <w:r w:rsidR="00444600" w:rsidRPr="00A22B5D">
        <w:t>through trad</w:t>
      </w:r>
      <w:r w:rsidRPr="00A22B5D">
        <w:t>ing</w:t>
      </w:r>
      <w:r w:rsidR="00A22B5D" w:rsidRPr="00F169BC">
        <w:t>,</w:t>
      </w:r>
      <w:r w:rsidR="00560634" w:rsidRPr="00A22B5D">
        <w:t xml:space="preserve"> as the efficiency of network deployment increases the wider the channel deployed.</w:t>
      </w:r>
      <w:r w:rsidR="00560634">
        <w:t xml:space="preserve"> This is referred to as aggregation benefits, or complementarities. </w:t>
      </w:r>
    </w:p>
    <w:p w14:paraId="207EBC0E" w14:textId="40DF2860" w:rsidR="00560634" w:rsidRDefault="002F0312" w:rsidP="00006D48">
      <w:pPr>
        <w:pStyle w:val="Paragraph"/>
      </w:pPr>
      <w:r>
        <w:t xml:space="preserve">As a result </w:t>
      </w:r>
      <w:r w:rsidR="00560634">
        <w:t>of these aggregation benefits, it may be possible to configure the lots as multiples of 5 MHz, for example in 2 x 10 MHz or 2 x 15 MHz</w:t>
      </w:r>
      <w:r w:rsidR="00347D64">
        <w:t xml:space="preserve"> lots</w:t>
      </w:r>
      <w:r w:rsidR="00560634">
        <w:t>.</w:t>
      </w:r>
      <w:r>
        <w:t xml:space="preserve"> T</w:t>
      </w:r>
      <w:r w:rsidR="00C43F62">
        <w:t xml:space="preserve">his configuration would result in three </w:t>
      </w:r>
      <w:r w:rsidR="003A66D0">
        <w:t>or four</w:t>
      </w:r>
      <w:r w:rsidR="00C43F62">
        <w:t xml:space="preserve"> lots of spectrum available at auction</w:t>
      </w:r>
      <w:r w:rsidR="00572AF3">
        <w:t>.</w:t>
      </w:r>
      <w:r w:rsidR="00560634">
        <w:t xml:space="preserve"> However, </w:t>
      </w:r>
      <w:r>
        <w:t>we</w:t>
      </w:r>
      <w:r w:rsidR="00560634">
        <w:t xml:space="preserve"> consider that </w:t>
      </w:r>
      <w:r w:rsidR="00C43F62">
        <w:t>this configuration may</w:t>
      </w:r>
      <w:r w:rsidR="00572AF3">
        <w:t xml:space="preserve"> preclude a</w:t>
      </w:r>
      <w:r w:rsidR="002746D0">
        <w:t xml:space="preserve"> more efficient</w:t>
      </w:r>
      <w:r w:rsidR="00572AF3">
        <w:t xml:space="preserve"> outcome</w:t>
      </w:r>
      <w:r w:rsidR="00C43F62">
        <w:t>,</w:t>
      </w:r>
      <w:r w:rsidR="00CA4183">
        <w:t xml:space="preserve"> including an outcome that </w:t>
      </w:r>
      <w:r w:rsidR="00C43F62">
        <w:t xml:space="preserve">may </w:t>
      </w:r>
      <w:r w:rsidR="00CA4183">
        <w:t xml:space="preserve">include four </w:t>
      </w:r>
      <w:r w:rsidR="00C237FF">
        <w:t xml:space="preserve">or more </w:t>
      </w:r>
      <w:r w:rsidR="00CA4183">
        <w:t>winning bidders</w:t>
      </w:r>
      <w:r w:rsidR="00572AF3">
        <w:t>.</w:t>
      </w:r>
      <w:r w:rsidR="006F7D5F">
        <w:t xml:space="preserve"> Further, </w:t>
      </w:r>
      <w:r>
        <w:t>we</w:t>
      </w:r>
      <w:r w:rsidR="006F7D5F">
        <w:t xml:space="preserve"> consider that larger lots may preclude a </w:t>
      </w:r>
      <w:r w:rsidR="00AA3A15">
        <w:t xml:space="preserve">potential </w:t>
      </w:r>
      <w:r w:rsidR="006F7D5F">
        <w:t xml:space="preserve">bidder from </w:t>
      </w:r>
      <w:r w:rsidR="00AA3A15">
        <w:t xml:space="preserve">participating in the auction </w:t>
      </w:r>
      <w:r w:rsidR="00C70B7B">
        <w:t>if it is seeking smaller spectrum holdings</w:t>
      </w:r>
      <w:r w:rsidR="006F7D5F">
        <w:t>.</w:t>
      </w:r>
    </w:p>
    <w:p w14:paraId="2A2FD4B0" w14:textId="1C951006" w:rsidR="00EA110B" w:rsidRDefault="002F0312" w:rsidP="00006D48">
      <w:pPr>
        <w:pStyle w:val="Paragraph"/>
      </w:pPr>
      <w:r>
        <w:t>We</w:t>
      </w:r>
      <w:r w:rsidR="00EA110B">
        <w:t xml:space="preserve"> consider that the </w:t>
      </w:r>
      <w:r w:rsidR="00812519" w:rsidRPr="00EA110B">
        <w:t xml:space="preserve">2 x 1 MHz </w:t>
      </w:r>
      <w:r w:rsidR="000C42AA">
        <w:t>lot of</w:t>
      </w:r>
      <w:r w:rsidR="007273B0">
        <w:t xml:space="preserve"> </w:t>
      </w:r>
      <w:r w:rsidR="00812519" w:rsidRPr="00EA110B">
        <w:t xml:space="preserve">downshift </w:t>
      </w:r>
      <w:r w:rsidR="00B940A3">
        <w:t xml:space="preserve">frequencies </w:t>
      </w:r>
      <w:r w:rsidR="002722F5">
        <w:t>(</w:t>
      </w:r>
      <w:r w:rsidR="00127DFE">
        <w:t>L</w:t>
      </w:r>
      <w:r w:rsidR="002722F5">
        <w:t xml:space="preserve">ot 4 in </w:t>
      </w:r>
      <w:r w:rsidR="002722F5">
        <w:fldChar w:fldCharType="begin"/>
      </w:r>
      <w:r w:rsidR="002722F5">
        <w:instrText xml:space="preserve"> REF _Ref35594176 \r \h </w:instrText>
      </w:r>
      <w:r w:rsidR="002722F5">
        <w:fldChar w:fldCharType="separate"/>
      </w:r>
      <w:r w:rsidR="002722F5">
        <w:t>Table 3</w:t>
      </w:r>
      <w:r w:rsidR="002722F5">
        <w:fldChar w:fldCharType="end"/>
      </w:r>
      <w:r w:rsidR="00E60E19">
        <w:t>)</w:t>
      </w:r>
      <w:r w:rsidR="00B940A3">
        <w:t xml:space="preserve"> </w:t>
      </w:r>
      <w:r w:rsidR="00812519">
        <w:t xml:space="preserve">should be </w:t>
      </w:r>
      <w:r w:rsidR="002548EF">
        <w:t>allocated with</w:t>
      </w:r>
      <w:r w:rsidR="00812519" w:rsidRPr="00EA110B">
        <w:t xml:space="preserve"> </w:t>
      </w:r>
      <w:r w:rsidR="00812519">
        <w:t xml:space="preserve">the </w:t>
      </w:r>
      <w:r w:rsidR="00EA110B">
        <w:t xml:space="preserve">lower lot in the </w:t>
      </w:r>
      <w:r w:rsidR="00EA110B" w:rsidRPr="00EA110B">
        <w:t>900 MHz band (</w:t>
      </w:r>
      <w:r w:rsidR="00127DFE">
        <w:t>L</w:t>
      </w:r>
      <w:r w:rsidR="00EA110B" w:rsidRPr="00EA110B">
        <w:t xml:space="preserve">ot </w:t>
      </w:r>
      <w:r w:rsidR="002722F5">
        <w:t>5</w:t>
      </w:r>
      <w:r w:rsidR="00647801">
        <w:t xml:space="preserve"> in </w:t>
      </w:r>
      <w:r w:rsidR="00647801">
        <w:fldChar w:fldCharType="begin"/>
      </w:r>
      <w:r w:rsidR="00647801">
        <w:instrText xml:space="preserve"> REF _Ref35594176 \r \h </w:instrText>
      </w:r>
      <w:r w:rsidR="00647801">
        <w:fldChar w:fldCharType="separate"/>
      </w:r>
      <w:r w:rsidR="00647801">
        <w:t>Table 3</w:t>
      </w:r>
      <w:r w:rsidR="00647801">
        <w:fldChar w:fldCharType="end"/>
      </w:r>
      <w:r w:rsidR="00EA110B" w:rsidRPr="00EA110B">
        <w:t xml:space="preserve">) in order to facilitate </w:t>
      </w:r>
      <w:r w:rsidR="00EA66CC">
        <w:t>the</w:t>
      </w:r>
      <w:r w:rsidR="00D46930">
        <w:t xml:space="preserve"> future</w:t>
      </w:r>
      <w:r w:rsidR="00EA110B" w:rsidRPr="00EA110B">
        <w:t xml:space="preserve"> downshift of 850 MHz spectrum licences.</w:t>
      </w:r>
      <w:r w:rsidR="00812519">
        <w:t xml:space="preserve"> </w:t>
      </w:r>
    </w:p>
    <w:p w14:paraId="269D9882" w14:textId="51EF0821" w:rsidR="00E23D36" w:rsidRDefault="00E23D36" w:rsidP="00177B4E">
      <w:pPr>
        <w:pStyle w:val="Heading3"/>
      </w:pPr>
      <w:bookmarkStart w:id="65" w:name="_Hlk37748407"/>
      <w:r>
        <w:t xml:space="preserve">Proposed </w:t>
      </w:r>
      <w:r w:rsidR="00D620C0">
        <w:t xml:space="preserve">bandwidth </w:t>
      </w:r>
      <w:r>
        <w:t>lot configuration</w:t>
      </w:r>
    </w:p>
    <w:p w14:paraId="2096E7C0" w14:textId="3EBD3688" w:rsidR="00C931B8" w:rsidRDefault="00C931B8" w:rsidP="00CA57FE">
      <w:pPr>
        <w:pStyle w:val="Paragraph"/>
      </w:pPr>
      <w:r>
        <w:t xml:space="preserve">In previous consultation on the </w:t>
      </w:r>
      <w:r w:rsidR="002F0312">
        <w:t>long-term</w:t>
      </w:r>
      <w:r>
        <w:t xml:space="preserve"> strategy and the </w:t>
      </w:r>
      <w:r w:rsidRPr="00535B80">
        <w:t>decision paper</w:t>
      </w:r>
      <w:r>
        <w:t>,</w:t>
      </w:r>
      <w:r w:rsidR="002F0312">
        <w:t xml:space="preserve"> we </w:t>
      </w:r>
      <w:r>
        <w:t xml:space="preserve">proposed spectrum in the 900 MHz band be configured into 5 MHz paired lots. </w:t>
      </w:r>
      <w:r w:rsidR="002F0312">
        <w:t>We</w:t>
      </w:r>
      <w:r>
        <w:t xml:space="preserve"> further suggested that spectrum in the 850 MHz expansion band should also be configured into 5 MHz paired lots in accordance with the latest 3GPP standards.</w:t>
      </w:r>
    </w:p>
    <w:p w14:paraId="4EF7210C" w14:textId="670C5093" w:rsidR="00CF1E25" w:rsidRDefault="00C40C96" w:rsidP="00CF1E25">
      <w:pPr>
        <w:pStyle w:val="Paragraph"/>
      </w:pPr>
      <w:r>
        <w:t>Based on</w:t>
      </w:r>
      <w:r w:rsidR="00A85E3F">
        <w:t xml:space="preserve"> the results of</w:t>
      </w:r>
      <w:r>
        <w:t xml:space="preserve"> previous consultation</w:t>
      </w:r>
      <w:r w:rsidR="00347EA9">
        <w:t>s</w:t>
      </w:r>
      <w:r>
        <w:t xml:space="preserve"> and the considerations outlined above, </w:t>
      </w:r>
      <w:r w:rsidR="002F0312">
        <w:t>we</w:t>
      </w:r>
      <w:r w:rsidR="00F4321A">
        <w:t xml:space="preserve"> remain of the </w:t>
      </w:r>
      <w:r>
        <w:t xml:space="preserve">view that spectrum across the 850/900 MHz band </w:t>
      </w:r>
      <w:r w:rsidR="00690548">
        <w:t xml:space="preserve">should be offered as </w:t>
      </w:r>
      <w:r>
        <w:t xml:space="preserve">paired 5 MHz lots. </w:t>
      </w:r>
      <w:r w:rsidR="00196050">
        <w:t xml:space="preserve">The downshift frequencies </w:t>
      </w:r>
      <w:r w:rsidR="00E60E19">
        <w:t>should be allocated with</w:t>
      </w:r>
      <w:r w:rsidR="00196050">
        <w:t xml:space="preserve"> the lot on the lower end of the 900 MHz band</w:t>
      </w:r>
      <w:r w:rsidR="00E60E19">
        <w:t xml:space="preserve"> (</w:t>
      </w:r>
      <w:r w:rsidR="00127DFE">
        <w:t>L</w:t>
      </w:r>
      <w:r w:rsidR="00E60E19">
        <w:t>ot 5)</w:t>
      </w:r>
      <w:r w:rsidR="00196050">
        <w:t>.</w:t>
      </w:r>
      <w:r>
        <w:t xml:space="preserve"> </w:t>
      </w:r>
      <w:r w:rsidR="00B80F78">
        <w:fldChar w:fldCharType="begin"/>
      </w:r>
      <w:r w:rsidR="00B80F78">
        <w:instrText xml:space="preserve"> REF _Ref35594176 \r \h </w:instrText>
      </w:r>
      <w:r w:rsidR="00B80F78">
        <w:fldChar w:fldCharType="separate"/>
      </w:r>
      <w:r w:rsidR="00B80F78">
        <w:t>Table 3</w:t>
      </w:r>
      <w:r w:rsidR="00B80F78">
        <w:fldChar w:fldCharType="end"/>
      </w:r>
      <w:r w:rsidR="00B80F78">
        <w:t xml:space="preserve"> </w:t>
      </w:r>
      <w:r w:rsidR="00CF1E25">
        <w:t xml:space="preserve">outlines the proposed frequency lot configuration for the 850/900 MHz band. </w:t>
      </w:r>
    </w:p>
    <w:p w14:paraId="6742C25D" w14:textId="6A6E4EC0" w:rsidR="00CF1E25" w:rsidRDefault="00D46930" w:rsidP="00C40C96">
      <w:pPr>
        <w:pStyle w:val="Paragraph"/>
      </w:pPr>
      <w:r w:rsidRPr="00103C13">
        <w:t xml:space="preserve">On balance, </w:t>
      </w:r>
      <w:r w:rsidR="00800938">
        <w:t>we</w:t>
      </w:r>
      <w:r w:rsidRPr="00103C13">
        <w:t xml:space="preserve"> consider t</w:t>
      </w:r>
      <w:r w:rsidR="00AC6333" w:rsidRPr="00103C13">
        <w:t xml:space="preserve">his </w:t>
      </w:r>
      <w:r w:rsidRPr="00103C13">
        <w:t>to be</w:t>
      </w:r>
      <w:r w:rsidR="00AC6333" w:rsidRPr="00103C13">
        <w:t xml:space="preserve"> the most effective configuration as it </w:t>
      </w:r>
      <w:r w:rsidR="00690548" w:rsidRPr="00103C13">
        <w:t xml:space="preserve">would </w:t>
      </w:r>
      <w:r w:rsidR="00AC6333" w:rsidRPr="00103C13">
        <w:t>facilitate</w:t>
      </w:r>
      <w:r w:rsidR="008256ED" w:rsidRPr="00103C13">
        <w:t xml:space="preserve"> </w:t>
      </w:r>
      <w:r w:rsidR="00AC6333" w:rsidRPr="00103C13">
        <w:t xml:space="preserve">the efficient deployment of </w:t>
      </w:r>
      <w:r w:rsidR="00F4321A">
        <w:t xml:space="preserve">both </w:t>
      </w:r>
      <w:r w:rsidR="00AC6333" w:rsidRPr="00103C13">
        <w:t xml:space="preserve">4G </w:t>
      </w:r>
      <w:r w:rsidR="00E23A2E" w:rsidRPr="00103C13">
        <w:t xml:space="preserve">and 5G </w:t>
      </w:r>
      <w:r w:rsidR="00AC6333" w:rsidRPr="00103C13">
        <w:t>networks.</w:t>
      </w:r>
      <w:r w:rsidR="00CF1E25">
        <w:t xml:space="preserve"> </w:t>
      </w:r>
    </w:p>
    <w:p w14:paraId="6EDFC8CE" w14:textId="5021FD24" w:rsidR="000C2A57" w:rsidRDefault="00B41E2C" w:rsidP="00105B74">
      <w:pPr>
        <w:pStyle w:val="ACMATableHeader"/>
        <w:keepNext/>
      </w:pPr>
      <w:bookmarkStart w:id="66" w:name="_Ref35594176"/>
      <w:bookmarkStart w:id="67" w:name="_Ref31719175"/>
      <w:bookmarkEnd w:id="65"/>
      <w:r>
        <w:lastRenderedPageBreak/>
        <w:t xml:space="preserve">Proposed frequency </w:t>
      </w:r>
      <w:r w:rsidR="00FA1D9B">
        <w:t xml:space="preserve">bandwidth </w:t>
      </w:r>
      <w:r>
        <w:t>configuration</w:t>
      </w:r>
      <w:bookmarkEnd w:id="66"/>
    </w:p>
    <w:tbl>
      <w:tblPr>
        <w:tblStyle w:val="ACMAtablestyle"/>
        <w:tblW w:w="7725" w:type="dxa"/>
        <w:tblInd w:w="10"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393"/>
        <w:gridCol w:w="1984"/>
        <w:gridCol w:w="1560"/>
        <w:gridCol w:w="2788"/>
      </w:tblGrid>
      <w:tr w:rsidR="00AE723C" w:rsidRPr="00CB1CCD" w14:paraId="2E60E448" w14:textId="7FEB2484" w:rsidTr="00105B74">
        <w:trPr>
          <w:cnfStyle w:val="100000000000" w:firstRow="1" w:lastRow="0" w:firstColumn="0" w:lastColumn="0" w:oddVBand="0" w:evenVBand="0" w:oddHBand="0" w:evenHBand="0" w:firstRowFirstColumn="0" w:firstRowLastColumn="0" w:lastRowFirstColumn="0" w:lastRowLastColumn="0"/>
          <w:trHeight w:val="199"/>
          <w:tblHeader w:val="0"/>
        </w:trPr>
        <w:tc>
          <w:tcPr>
            <w:tcW w:w="0" w:type="dxa"/>
            <w:tcBorders>
              <w:top w:val="none" w:sz="0" w:space="0" w:color="auto"/>
              <w:left w:val="none" w:sz="0" w:space="0" w:color="auto"/>
              <w:bottom w:val="none" w:sz="0" w:space="0" w:color="auto"/>
              <w:right w:val="none" w:sz="0" w:space="0" w:color="auto"/>
            </w:tcBorders>
          </w:tcPr>
          <w:p w14:paraId="2CCB58B1" w14:textId="44895B35" w:rsidR="00AE723C" w:rsidRPr="00CB1CCD" w:rsidRDefault="00AE723C" w:rsidP="00E23A2E">
            <w:pPr>
              <w:pStyle w:val="Tableheaderrow"/>
              <w:keepNext/>
            </w:pPr>
            <w:r>
              <w:t>Lot number</w:t>
            </w:r>
          </w:p>
        </w:tc>
        <w:tc>
          <w:tcPr>
            <w:tcW w:w="1984" w:type="dxa"/>
            <w:tcBorders>
              <w:top w:val="none" w:sz="0" w:space="0" w:color="auto"/>
              <w:left w:val="none" w:sz="0" w:space="0" w:color="auto"/>
              <w:bottom w:val="none" w:sz="0" w:space="0" w:color="auto"/>
              <w:right w:val="none" w:sz="0" w:space="0" w:color="auto"/>
            </w:tcBorders>
          </w:tcPr>
          <w:p w14:paraId="1016549F" w14:textId="22FC3726" w:rsidR="00AE723C" w:rsidRPr="00CB1CCD" w:rsidRDefault="00AE723C" w:rsidP="00E23A2E">
            <w:pPr>
              <w:pStyle w:val="Tableheaderrow"/>
              <w:keepNext/>
            </w:pPr>
            <w:r w:rsidRPr="00CB1CCD">
              <w:t>Frequency range</w:t>
            </w:r>
            <w:r>
              <w:t xml:space="preserve"> (MHz)</w:t>
            </w:r>
          </w:p>
        </w:tc>
        <w:tc>
          <w:tcPr>
            <w:tcW w:w="1560" w:type="dxa"/>
            <w:tcBorders>
              <w:top w:val="none" w:sz="0" w:space="0" w:color="auto"/>
              <w:left w:val="none" w:sz="0" w:space="0" w:color="auto"/>
              <w:bottom w:val="none" w:sz="0" w:space="0" w:color="auto"/>
              <w:right w:val="none" w:sz="0" w:space="0" w:color="auto"/>
            </w:tcBorders>
          </w:tcPr>
          <w:p w14:paraId="43B914D4" w14:textId="647CDD10" w:rsidR="00AE723C" w:rsidRPr="00CB1CCD" w:rsidRDefault="00AE723C" w:rsidP="00E23A2E">
            <w:pPr>
              <w:pStyle w:val="Tableheaderrow"/>
              <w:keepNext/>
            </w:pPr>
            <w:r>
              <w:t>Channel size (MHz)</w:t>
            </w:r>
          </w:p>
        </w:tc>
        <w:tc>
          <w:tcPr>
            <w:tcW w:w="2788" w:type="dxa"/>
            <w:tcBorders>
              <w:top w:val="none" w:sz="0" w:space="0" w:color="auto"/>
              <w:left w:val="none" w:sz="0" w:space="0" w:color="auto"/>
              <w:bottom w:val="none" w:sz="0" w:space="0" w:color="auto"/>
              <w:right w:val="none" w:sz="0" w:space="0" w:color="auto"/>
            </w:tcBorders>
          </w:tcPr>
          <w:p w14:paraId="7AE4E299" w14:textId="1950A12A" w:rsidR="00AE723C" w:rsidRPr="00CB1CCD" w:rsidRDefault="00AE723C" w:rsidP="00E23A2E">
            <w:pPr>
              <w:pStyle w:val="Tableheaderrow"/>
              <w:keepNext/>
            </w:pPr>
            <w:r>
              <w:t>Band</w:t>
            </w:r>
          </w:p>
        </w:tc>
      </w:tr>
      <w:tr w:rsidR="00AE723C" w:rsidRPr="00CB1CCD" w14:paraId="47839C94" w14:textId="67890394" w:rsidTr="00105B74">
        <w:trPr>
          <w:cnfStyle w:val="000000100000" w:firstRow="0" w:lastRow="0" w:firstColumn="0" w:lastColumn="0" w:oddVBand="0" w:evenVBand="0" w:oddHBand="1" w:evenHBand="0" w:firstRowFirstColumn="0" w:firstRowLastColumn="0" w:lastRowFirstColumn="0" w:lastRowLastColumn="0"/>
        </w:trPr>
        <w:tc>
          <w:tcPr>
            <w:tcW w:w="0" w:type="dxa"/>
            <w:vMerge w:val="restart"/>
            <w:tcBorders>
              <w:top w:val="single" w:sz="4" w:space="0" w:color="auto"/>
              <w:bottom w:val="single" w:sz="4" w:space="0" w:color="auto"/>
            </w:tcBorders>
            <w:shd w:val="clear" w:color="auto" w:fill="FFFFFF" w:themeFill="background1"/>
          </w:tcPr>
          <w:p w14:paraId="56225AC6" w14:textId="2388114F" w:rsidR="00AE723C" w:rsidRPr="00CB1CCD" w:rsidRDefault="00AE723C" w:rsidP="00E23A2E">
            <w:pPr>
              <w:pStyle w:val="TableBody"/>
              <w:keepNext/>
            </w:pPr>
            <w:r>
              <w:t>1*</w:t>
            </w:r>
          </w:p>
        </w:tc>
        <w:tc>
          <w:tcPr>
            <w:tcW w:w="1984" w:type="dxa"/>
            <w:tcBorders>
              <w:top w:val="single" w:sz="4" w:space="0" w:color="auto"/>
              <w:bottom w:val="single" w:sz="4" w:space="0" w:color="auto"/>
            </w:tcBorders>
            <w:shd w:val="clear" w:color="auto" w:fill="FFFFFF" w:themeFill="background1"/>
          </w:tcPr>
          <w:p w14:paraId="7F0135BE" w14:textId="24D00FBE" w:rsidR="00AE723C" w:rsidRPr="00CB1CCD" w:rsidRDefault="00AE723C" w:rsidP="00E23A2E">
            <w:pPr>
              <w:pStyle w:val="TableBody"/>
              <w:keepNext/>
            </w:pPr>
            <w:r>
              <w:t>809</w:t>
            </w:r>
            <w:r w:rsidR="002F0312">
              <w:t>–</w:t>
            </w:r>
            <w:r>
              <w:t>814</w:t>
            </w:r>
          </w:p>
        </w:tc>
        <w:tc>
          <w:tcPr>
            <w:tcW w:w="1560" w:type="dxa"/>
            <w:tcBorders>
              <w:top w:val="single" w:sz="4" w:space="0" w:color="auto"/>
              <w:bottom w:val="single" w:sz="4" w:space="0" w:color="auto"/>
            </w:tcBorders>
            <w:shd w:val="clear" w:color="auto" w:fill="FFFFFF" w:themeFill="background1"/>
          </w:tcPr>
          <w:p w14:paraId="6C77B5BA" w14:textId="68487BFC" w:rsidR="00AE723C" w:rsidRPr="00CB1CCD" w:rsidRDefault="00AE723C" w:rsidP="00E23A2E">
            <w:pPr>
              <w:pStyle w:val="TableBody"/>
              <w:keepNext/>
            </w:pPr>
            <w:r>
              <w:t>5</w:t>
            </w:r>
          </w:p>
        </w:tc>
        <w:tc>
          <w:tcPr>
            <w:tcW w:w="2788" w:type="dxa"/>
            <w:vMerge w:val="restart"/>
            <w:tcBorders>
              <w:top w:val="single" w:sz="4" w:space="0" w:color="auto"/>
            </w:tcBorders>
            <w:shd w:val="clear" w:color="auto" w:fill="FFFFFF" w:themeFill="background1"/>
          </w:tcPr>
          <w:p w14:paraId="0E5B372F" w14:textId="2A167361" w:rsidR="00AE723C" w:rsidRDefault="00AE723C" w:rsidP="00E23A2E">
            <w:pPr>
              <w:pStyle w:val="TableBody"/>
              <w:keepNext/>
            </w:pPr>
            <w:r>
              <w:t xml:space="preserve">850 MHz </w:t>
            </w:r>
            <w:r w:rsidR="003F4CC2">
              <w:t xml:space="preserve">expansion </w:t>
            </w:r>
          </w:p>
        </w:tc>
      </w:tr>
      <w:tr w:rsidR="00AE723C" w:rsidRPr="00CB1CCD" w14:paraId="14576DE3" w14:textId="0565AF24" w:rsidTr="00105B74">
        <w:trPr>
          <w:cnfStyle w:val="000000010000" w:firstRow="0" w:lastRow="0" w:firstColumn="0" w:lastColumn="0" w:oddVBand="0" w:evenVBand="0" w:oddHBand="0" w:evenHBand="1" w:firstRowFirstColumn="0" w:firstRowLastColumn="0" w:lastRowFirstColumn="0" w:lastRowLastColumn="0"/>
        </w:trPr>
        <w:tc>
          <w:tcPr>
            <w:tcW w:w="0" w:type="dxa"/>
            <w:vMerge/>
            <w:tcBorders>
              <w:top w:val="single" w:sz="4" w:space="0" w:color="auto"/>
              <w:bottom w:val="single" w:sz="12" w:space="0" w:color="auto"/>
            </w:tcBorders>
            <w:shd w:val="clear" w:color="auto" w:fill="FFFFFF" w:themeFill="background1"/>
          </w:tcPr>
          <w:p w14:paraId="1F1AA4EC" w14:textId="77777777" w:rsidR="00AE723C" w:rsidRPr="00CB1CCD" w:rsidRDefault="00AE723C" w:rsidP="00E23A2E">
            <w:pPr>
              <w:pStyle w:val="TableBody"/>
              <w:keepNext/>
            </w:pPr>
          </w:p>
        </w:tc>
        <w:tc>
          <w:tcPr>
            <w:tcW w:w="1984" w:type="dxa"/>
            <w:tcBorders>
              <w:top w:val="single" w:sz="4" w:space="0" w:color="auto"/>
              <w:bottom w:val="single" w:sz="12" w:space="0" w:color="auto"/>
            </w:tcBorders>
            <w:shd w:val="clear" w:color="auto" w:fill="FFFFFF" w:themeFill="background1"/>
          </w:tcPr>
          <w:p w14:paraId="5C35AC54" w14:textId="5CF8A664" w:rsidR="00AE723C" w:rsidRPr="00CB1CCD" w:rsidRDefault="00AE723C" w:rsidP="00E23A2E">
            <w:pPr>
              <w:pStyle w:val="TableBody"/>
              <w:keepNext/>
            </w:pPr>
            <w:r>
              <w:t>854</w:t>
            </w:r>
            <w:r w:rsidR="002F0312">
              <w:t>–</w:t>
            </w:r>
            <w:r>
              <w:t>859</w:t>
            </w:r>
          </w:p>
        </w:tc>
        <w:tc>
          <w:tcPr>
            <w:tcW w:w="1560" w:type="dxa"/>
            <w:tcBorders>
              <w:top w:val="single" w:sz="4" w:space="0" w:color="auto"/>
              <w:bottom w:val="single" w:sz="12" w:space="0" w:color="auto"/>
            </w:tcBorders>
            <w:shd w:val="clear" w:color="auto" w:fill="FFFFFF" w:themeFill="background1"/>
          </w:tcPr>
          <w:p w14:paraId="1220EE02" w14:textId="33565FD3" w:rsidR="00AE723C" w:rsidRPr="00CB1CCD" w:rsidRDefault="00AE723C" w:rsidP="00E23A2E">
            <w:pPr>
              <w:pStyle w:val="TableBody"/>
              <w:keepNext/>
            </w:pPr>
            <w:r>
              <w:t>5</w:t>
            </w:r>
          </w:p>
        </w:tc>
        <w:tc>
          <w:tcPr>
            <w:tcW w:w="2788" w:type="dxa"/>
            <w:vMerge/>
            <w:tcBorders>
              <w:bottom w:val="single" w:sz="12" w:space="0" w:color="auto"/>
            </w:tcBorders>
            <w:shd w:val="clear" w:color="auto" w:fill="FFFFFF" w:themeFill="background1"/>
          </w:tcPr>
          <w:p w14:paraId="28FC9946" w14:textId="7E53A2A2" w:rsidR="00AE723C" w:rsidRDefault="00AE723C" w:rsidP="00E23A2E">
            <w:pPr>
              <w:pStyle w:val="TableBody"/>
              <w:keepNext/>
            </w:pPr>
          </w:p>
        </w:tc>
      </w:tr>
      <w:tr w:rsidR="00AE723C" w:rsidRPr="00CB1CCD" w14:paraId="4D1318EF" w14:textId="727113F9" w:rsidTr="00105B74">
        <w:trPr>
          <w:cnfStyle w:val="000000100000" w:firstRow="0" w:lastRow="0" w:firstColumn="0" w:lastColumn="0" w:oddVBand="0" w:evenVBand="0" w:oddHBand="1" w:evenHBand="0" w:firstRowFirstColumn="0" w:firstRowLastColumn="0" w:lastRowFirstColumn="0" w:lastRowLastColumn="0"/>
        </w:trPr>
        <w:tc>
          <w:tcPr>
            <w:tcW w:w="0" w:type="dxa"/>
            <w:vMerge w:val="restart"/>
            <w:tcBorders>
              <w:top w:val="single" w:sz="12" w:space="0" w:color="auto"/>
              <w:bottom w:val="single" w:sz="4" w:space="0" w:color="auto"/>
            </w:tcBorders>
            <w:shd w:val="clear" w:color="auto" w:fill="F2F2F2"/>
          </w:tcPr>
          <w:p w14:paraId="791F68EA" w14:textId="6B097C05" w:rsidR="00AE723C" w:rsidRPr="00CB1CCD" w:rsidRDefault="00AE723C" w:rsidP="00E23A2E">
            <w:pPr>
              <w:pStyle w:val="TableBody"/>
              <w:keepNext/>
            </w:pPr>
            <w:r>
              <w:t>2</w:t>
            </w:r>
            <w:r w:rsidR="00801536">
              <w:t>*</w:t>
            </w:r>
          </w:p>
        </w:tc>
        <w:tc>
          <w:tcPr>
            <w:tcW w:w="1984" w:type="dxa"/>
            <w:tcBorders>
              <w:top w:val="single" w:sz="12" w:space="0" w:color="auto"/>
              <w:bottom w:val="single" w:sz="4" w:space="0" w:color="auto"/>
            </w:tcBorders>
            <w:shd w:val="clear" w:color="auto" w:fill="F2F2F2"/>
          </w:tcPr>
          <w:p w14:paraId="4508D5D7" w14:textId="4A143746" w:rsidR="00AE723C" w:rsidRPr="00CB1CCD" w:rsidRDefault="00AE723C" w:rsidP="00E23A2E">
            <w:pPr>
              <w:pStyle w:val="TableBody"/>
              <w:keepNext/>
            </w:pPr>
            <w:r>
              <w:t>814</w:t>
            </w:r>
            <w:r w:rsidR="002F0312">
              <w:t>–</w:t>
            </w:r>
            <w:r>
              <w:t>819</w:t>
            </w:r>
          </w:p>
        </w:tc>
        <w:tc>
          <w:tcPr>
            <w:tcW w:w="1560" w:type="dxa"/>
            <w:tcBorders>
              <w:top w:val="single" w:sz="12" w:space="0" w:color="auto"/>
              <w:bottom w:val="single" w:sz="4" w:space="0" w:color="auto"/>
            </w:tcBorders>
            <w:shd w:val="clear" w:color="auto" w:fill="F2F2F2"/>
          </w:tcPr>
          <w:p w14:paraId="7F006441" w14:textId="63AA96C5" w:rsidR="00AE723C" w:rsidRPr="00CB1CCD" w:rsidRDefault="00AE723C" w:rsidP="00E23A2E">
            <w:pPr>
              <w:pStyle w:val="TableBody"/>
              <w:keepNext/>
            </w:pPr>
            <w:r>
              <w:t>5</w:t>
            </w:r>
          </w:p>
        </w:tc>
        <w:tc>
          <w:tcPr>
            <w:tcW w:w="2788" w:type="dxa"/>
            <w:vMerge w:val="restart"/>
            <w:tcBorders>
              <w:top w:val="single" w:sz="12" w:space="0" w:color="auto"/>
            </w:tcBorders>
            <w:shd w:val="clear" w:color="auto" w:fill="F2F2F2"/>
          </w:tcPr>
          <w:p w14:paraId="77181976" w14:textId="3A551818" w:rsidR="00AE723C" w:rsidRDefault="00AE723C" w:rsidP="00E23A2E">
            <w:pPr>
              <w:pStyle w:val="TableBody"/>
              <w:keepNext/>
            </w:pPr>
            <w:r>
              <w:t>850 MHz</w:t>
            </w:r>
            <w:r w:rsidR="003F4CC2">
              <w:t xml:space="preserve"> expansion </w:t>
            </w:r>
          </w:p>
        </w:tc>
      </w:tr>
      <w:tr w:rsidR="00AE723C" w14:paraId="6FFF3D87" w14:textId="304DF822" w:rsidTr="00105B74">
        <w:trPr>
          <w:cnfStyle w:val="000000010000" w:firstRow="0" w:lastRow="0" w:firstColumn="0" w:lastColumn="0" w:oddVBand="0" w:evenVBand="0" w:oddHBand="0" w:evenHBand="1" w:firstRowFirstColumn="0" w:firstRowLastColumn="0" w:lastRowFirstColumn="0" w:lastRowLastColumn="0"/>
        </w:trPr>
        <w:tc>
          <w:tcPr>
            <w:tcW w:w="0" w:type="dxa"/>
            <w:vMerge/>
            <w:tcBorders>
              <w:top w:val="single" w:sz="4" w:space="0" w:color="auto"/>
              <w:bottom w:val="single" w:sz="12" w:space="0" w:color="auto"/>
            </w:tcBorders>
            <w:shd w:val="clear" w:color="auto" w:fill="F2F2F2"/>
          </w:tcPr>
          <w:p w14:paraId="70B06475" w14:textId="77777777" w:rsidR="00AE723C" w:rsidRPr="00CB1CCD" w:rsidRDefault="00AE723C" w:rsidP="00E23A2E">
            <w:pPr>
              <w:pStyle w:val="TableBody"/>
              <w:keepNext/>
            </w:pPr>
          </w:p>
        </w:tc>
        <w:tc>
          <w:tcPr>
            <w:tcW w:w="1984" w:type="dxa"/>
            <w:tcBorders>
              <w:top w:val="single" w:sz="4" w:space="0" w:color="auto"/>
              <w:bottom w:val="single" w:sz="12" w:space="0" w:color="auto"/>
            </w:tcBorders>
            <w:shd w:val="clear" w:color="auto" w:fill="F2F2F2"/>
          </w:tcPr>
          <w:p w14:paraId="3A0AE254" w14:textId="04995652" w:rsidR="00AE723C" w:rsidRPr="00CB1CCD" w:rsidRDefault="00AE723C" w:rsidP="00E23A2E">
            <w:pPr>
              <w:pStyle w:val="TableBody"/>
              <w:keepNext/>
            </w:pPr>
            <w:r>
              <w:t>859</w:t>
            </w:r>
            <w:r w:rsidR="002F0312">
              <w:t>–</w:t>
            </w:r>
            <w:r>
              <w:t>864</w:t>
            </w:r>
          </w:p>
        </w:tc>
        <w:tc>
          <w:tcPr>
            <w:tcW w:w="1560" w:type="dxa"/>
            <w:tcBorders>
              <w:top w:val="single" w:sz="4" w:space="0" w:color="auto"/>
              <w:bottom w:val="single" w:sz="12" w:space="0" w:color="auto"/>
            </w:tcBorders>
            <w:shd w:val="clear" w:color="auto" w:fill="F2F2F2"/>
          </w:tcPr>
          <w:p w14:paraId="4E9973E0" w14:textId="06169C57" w:rsidR="00AE723C" w:rsidRDefault="00AE723C" w:rsidP="00E23A2E">
            <w:pPr>
              <w:pStyle w:val="TableBody"/>
              <w:keepNext/>
            </w:pPr>
            <w:r>
              <w:t>5</w:t>
            </w:r>
          </w:p>
        </w:tc>
        <w:tc>
          <w:tcPr>
            <w:tcW w:w="2788" w:type="dxa"/>
            <w:vMerge/>
            <w:tcBorders>
              <w:bottom w:val="single" w:sz="12" w:space="0" w:color="auto"/>
            </w:tcBorders>
            <w:shd w:val="clear" w:color="auto" w:fill="F2F2F2"/>
          </w:tcPr>
          <w:p w14:paraId="3A34FECD" w14:textId="699316C9" w:rsidR="00AE723C" w:rsidRDefault="00AE723C" w:rsidP="00E23A2E">
            <w:pPr>
              <w:pStyle w:val="TableBody"/>
              <w:keepNext/>
            </w:pPr>
          </w:p>
        </w:tc>
      </w:tr>
      <w:tr w:rsidR="00AE723C" w14:paraId="1E65E136" w14:textId="264017BD" w:rsidTr="00105B74">
        <w:trPr>
          <w:cnfStyle w:val="000000100000" w:firstRow="0" w:lastRow="0" w:firstColumn="0" w:lastColumn="0" w:oddVBand="0" w:evenVBand="0" w:oddHBand="1" w:evenHBand="0" w:firstRowFirstColumn="0" w:firstRowLastColumn="0" w:lastRowFirstColumn="0" w:lastRowLastColumn="0"/>
        </w:trPr>
        <w:tc>
          <w:tcPr>
            <w:tcW w:w="0" w:type="dxa"/>
            <w:vMerge w:val="restart"/>
            <w:tcBorders>
              <w:top w:val="single" w:sz="12" w:space="0" w:color="auto"/>
              <w:bottom w:val="single" w:sz="4" w:space="0" w:color="auto"/>
            </w:tcBorders>
            <w:shd w:val="clear" w:color="auto" w:fill="FFFFFF" w:themeFill="background1"/>
          </w:tcPr>
          <w:p w14:paraId="2DE84620" w14:textId="360CBF45" w:rsidR="00AE723C" w:rsidRPr="00CB1CCD" w:rsidRDefault="00AE723C" w:rsidP="00E23A2E">
            <w:pPr>
              <w:pStyle w:val="TableBody"/>
              <w:keepNext/>
            </w:pPr>
            <w:r>
              <w:t>3*</w:t>
            </w:r>
          </w:p>
        </w:tc>
        <w:tc>
          <w:tcPr>
            <w:tcW w:w="1984" w:type="dxa"/>
            <w:tcBorders>
              <w:top w:val="single" w:sz="12" w:space="0" w:color="auto"/>
              <w:bottom w:val="single" w:sz="4" w:space="0" w:color="auto"/>
            </w:tcBorders>
            <w:shd w:val="clear" w:color="auto" w:fill="FFFFFF" w:themeFill="background1"/>
          </w:tcPr>
          <w:p w14:paraId="42D70A9F" w14:textId="09912BC2" w:rsidR="00AE723C" w:rsidRPr="00CB1CCD" w:rsidRDefault="00AE723C" w:rsidP="00E23A2E">
            <w:pPr>
              <w:pStyle w:val="TableBody"/>
              <w:keepNext/>
            </w:pPr>
            <w:r>
              <w:t>819</w:t>
            </w:r>
            <w:r w:rsidR="002F0312">
              <w:t>–</w:t>
            </w:r>
            <w:r>
              <w:t>824</w:t>
            </w:r>
          </w:p>
        </w:tc>
        <w:tc>
          <w:tcPr>
            <w:tcW w:w="1560" w:type="dxa"/>
            <w:tcBorders>
              <w:top w:val="single" w:sz="12" w:space="0" w:color="auto"/>
              <w:bottom w:val="single" w:sz="4" w:space="0" w:color="auto"/>
            </w:tcBorders>
            <w:shd w:val="clear" w:color="auto" w:fill="FFFFFF" w:themeFill="background1"/>
          </w:tcPr>
          <w:p w14:paraId="4EBF5D2A" w14:textId="2887164F" w:rsidR="00AE723C" w:rsidRDefault="00AE723C" w:rsidP="00E23A2E">
            <w:pPr>
              <w:pStyle w:val="TableBody"/>
              <w:keepNext/>
            </w:pPr>
            <w:r>
              <w:t>5</w:t>
            </w:r>
          </w:p>
        </w:tc>
        <w:tc>
          <w:tcPr>
            <w:tcW w:w="2788" w:type="dxa"/>
            <w:vMerge w:val="restart"/>
            <w:tcBorders>
              <w:top w:val="single" w:sz="12" w:space="0" w:color="auto"/>
            </w:tcBorders>
            <w:shd w:val="clear" w:color="auto" w:fill="FFFFFF" w:themeFill="background1"/>
          </w:tcPr>
          <w:p w14:paraId="03DB779E" w14:textId="6D8A31F9" w:rsidR="00AE723C" w:rsidRDefault="00AE723C" w:rsidP="00E23A2E">
            <w:pPr>
              <w:pStyle w:val="TableBody"/>
              <w:keepNext/>
            </w:pPr>
            <w:r>
              <w:t>850 MHz</w:t>
            </w:r>
            <w:r w:rsidR="003F4CC2">
              <w:t xml:space="preserve"> expansion </w:t>
            </w:r>
          </w:p>
        </w:tc>
      </w:tr>
      <w:tr w:rsidR="00AE723C" w14:paraId="27E70CA4" w14:textId="5EA0761D" w:rsidTr="00105B74">
        <w:trPr>
          <w:cnfStyle w:val="000000010000" w:firstRow="0" w:lastRow="0" w:firstColumn="0" w:lastColumn="0" w:oddVBand="0" w:evenVBand="0" w:oddHBand="0" w:evenHBand="1" w:firstRowFirstColumn="0" w:firstRowLastColumn="0" w:lastRowFirstColumn="0" w:lastRowLastColumn="0"/>
        </w:trPr>
        <w:tc>
          <w:tcPr>
            <w:tcW w:w="0" w:type="dxa"/>
            <w:vMerge/>
            <w:tcBorders>
              <w:top w:val="single" w:sz="4" w:space="0" w:color="auto"/>
              <w:bottom w:val="single" w:sz="12" w:space="0" w:color="auto"/>
            </w:tcBorders>
            <w:shd w:val="clear" w:color="auto" w:fill="FFFFFF" w:themeFill="background1"/>
          </w:tcPr>
          <w:p w14:paraId="457D9CFF" w14:textId="77777777" w:rsidR="00AE723C" w:rsidRPr="00CB1CCD" w:rsidRDefault="00AE723C" w:rsidP="00E23A2E">
            <w:pPr>
              <w:pStyle w:val="TableBody"/>
              <w:keepNext/>
            </w:pPr>
          </w:p>
        </w:tc>
        <w:tc>
          <w:tcPr>
            <w:tcW w:w="1984" w:type="dxa"/>
            <w:tcBorders>
              <w:top w:val="single" w:sz="4" w:space="0" w:color="auto"/>
              <w:bottom w:val="single" w:sz="12" w:space="0" w:color="auto"/>
            </w:tcBorders>
            <w:shd w:val="clear" w:color="auto" w:fill="FFFFFF" w:themeFill="background1"/>
          </w:tcPr>
          <w:p w14:paraId="7EFCCE4E" w14:textId="21486C26" w:rsidR="00AE723C" w:rsidRPr="00CB1CCD" w:rsidRDefault="00AE723C" w:rsidP="00E23A2E">
            <w:pPr>
              <w:pStyle w:val="TableBody"/>
              <w:keepNext/>
            </w:pPr>
            <w:r>
              <w:t>864</w:t>
            </w:r>
            <w:r w:rsidR="002F0312">
              <w:t>–</w:t>
            </w:r>
            <w:r>
              <w:t>869</w:t>
            </w:r>
          </w:p>
        </w:tc>
        <w:tc>
          <w:tcPr>
            <w:tcW w:w="1560" w:type="dxa"/>
            <w:tcBorders>
              <w:top w:val="single" w:sz="4" w:space="0" w:color="auto"/>
              <w:bottom w:val="single" w:sz="12" w:space="0" w:color="auto"/>
            </w:tcBorders>
            <w:shd w:val="clear" w:color="auto" w:fill="FFFFFF" w:themeFill="background1"/>
          </w:tcPr>
          <w:p w14:paraId="43838736" w14:textId="55976EDA" w:rsidR="00AE723C" w:rsidRDefault="00AE723C" w:rsidP="00E23A2E">
            <w:pPr>
              <w:pStyle w:val="TableBody"/>
              <w:keepNext/>
            </w:pPr>
            <w:r>
              <w:t>5</w:t>
            </w:r>
          </w:p>
        </w:tc>
        <w:tc>
          <w:tcPr>
            <w:tcW w:w="2788" w:type="dxa"/>
            <w:vMerge/>
            <w:tcBorders>
              <w:bottom w:val="single" w:sz="12" w:space="0" w:color="auto"/>
            </w:tcBorders>
            <w:shd w:val="clear" w:color="auto" w:fill="FFFFFF" w:themeFill="background1"/>
          </w:tcPr>
          <w:p w14:paraId="4CE013F8" w14:textId="5C3F15B6" w:rsidR="00AE723C" w:rsidRDefault="00AE723C" w:rsidP="00E23A2E">
            <w:pPr>
              <w:pStyle w:val="TableBody"/>
              <w:keepNext/>
            </w:pPr>
          </w:p>
        </w:tc>
      </w:tr>
      <w:tr w:rsidR="006E3939" w14:paraId="7C5134EB" w14:textId="00C79736" w:rsidTr="00105B74">
        <w:trPr>
          <w:cnfStyle w:val="000000100000" w:firstRow="0" w:lastRow="0" w:firstColumn="0" w:lastColumn="0" w:oddVBand="0" w:evenVBand="0" w:oddHBand="1" w:evenHBand="0" w:firstRowFirstColumn="0" w:firstRowLastColumn="0" w:lastRowFirstColumn="0" w:lastRowLastColumn="0"/>
          <w:trHeight w:val="178"/>
        </w:trPr>
        <w:tc>
          <w:tcPr>
            <w:tcW w:w="0" w:type="dxa"/>
            <w:vMerge w:val="restart"/>
            <w:tcBorders>
              <w:top w:val="single" w:sz="12" w:space="0" w:color="auto"/>
              <w:bottom w:val="single" w:sz="4" w:space="0" w:color="auto"/>
            </w:tcBorders>
            <w:shd w:val="clear" w:color="auto" w:fill="F2F2F2"/>
          </w:tcPr>
          <w:p w14:paraId="65DCCA3D" w14:textId="3A544466" w:rsidR="006E3939" w:rsidRPr="00CB1CCD" w:rsidRDefault="006E3939" w:rsidP="00E23A2E">
            <w:pPr>
              <w:pStyle w:val="TableBody"/>
              <w:keepNext/>
            </w:pPr>
            <w:r>
              <w:t>4**</w:t>
            </w:r>
          </w:p>
        </w:tc>
        <w:tc>
          <w:tcPr>
            <w:tcW w:w="1984" w:type="dxa"/>
            <w:tcBorders>
              <w:top w:val="single" w:sz="12" w:space="0" w:color="auto"/>
              <w:bottom w:val="single" w:sz="4" w:space="0" w:color="auto"/>
            </w:tcBorders>
            <w:shd w:val="clear" w:color="auto" w:fill="F2F2F2"/>
          </w:tcPr>
          <w:p w14:paraId="62477E1E" w14:textId="7269A9E5" w:rsidR="006E3939" w:rsidRPr="00CB1CCD" w:rsidRDefault="006E3939" w:rsidP="00E23A2E">
            <w:pPr>
              <w:pStyle w:val="TableBody"/>
              <w:keepNext/>
            </w:pPr>
            <w:r>
              <w:t>824</w:t>
            </w:r>
            <w:r w:rsidR="002F0312">
              <w:t>–</w:t>
            </w:r>
            <w:r>
              <w:t>825</w:t>
            </w:r>
          </w:p>
        </w:tc>
        <w:tc>
          <w:tcPr>
            <w:tcW w:w="1560" w:type="dxa"/>
            <w:tcBorders>
              <w:top w:val="single" w:sz="12" w:space="0" w:color="auto"/>
              <w:bottom w:val="single" w:sz="4" w:space="0" w:color="auto"/>
            </w:tcBorders>
            <w:shd w:val="clear" w:color="auto" w:fill="F2F2F2"/>
          </w:tcPr>
          <w:p w14:paraId="6BBE3DAE" w14:textId="6A579B17" w:rsidR="006E3939" w:rsidRDefault="006E3939" w:rsidP="00E23A2E">
            <w:pPr>
              <w:pStyle w:val="TableBody"/>
              <w:keepNext/>
            </w:pPr>
            <w:r>
              <w:t>1</w:t>
            </w:r>
          </w:p>
        </w:tc>
        <w:tc>
          <w:tcPr>
            <w:tcW w:w="2788" w:type="dxa"/>
            <w:vMerge w:val="restart"/>
            <w:tcBorders>
              <w:top w:val="single" w:sz="12" w:space="0" w:color="auto"/>
            </w:tcBorders>
            <w:shd w:val="clear" w:color="auto" w:fill="F2F2F2"/>
          </w:tcPr>
          <w:p w14:paraId="0400AECA" w14:textId="5C6D3CA4" w:rsidR="006E3939" w:rsidRDefault="006E3939" w:rsidP="00E23A2E">
            <w:pPr>
              <w:pStyle w:val="TableBody"/>
              <w:keepNext/>
            </w:pPr>
            <w:r>
              <w:t>Downshift</w:t>
            </w:r>
            <w:r w:rsidR="00AA3A15">
              <w:t xml:space="preserve"> frequencies</w:t>
            </w:r>
          </w:p>
        </w:tc>
      </w:tr>
      <w:tr w:rsidR="006E3939" w14:paraId="5AF3E094" w14:textId="72089FBB" w:rsidTr="00105B74">
        <w:trPr>
          <w:cnfStyle w:val="000000010000" w:firstRow="0" w:lastRow="0" w:firstColumn="0" w:lastColumn="0" w:oddVBand="0" w:evenVBand="0" w:oddHBand="0" w:evenHBand="1" w:firstRowFirstColumn="0" w:firstRowLastColumn="0" w:lastRowFirstColumn="0" w:lastRowLastColumn="0"/>
          <w:trHeight w:val="93"/>
        </w:trPr>
        <w:tc>
          <w:tcPr>
            <w:tcW w:w="1393" w:type="dxa"/>
            <w:vMerge/>
            <w:tcBorders>
              <w:top w:val="single" w:sz="4" w:space="0" w:color="auto"/>
              <w:bottom w:val="single" w:sz="12" w:space="0" w:color="auto"/>
            </w:tcBorders>
            <w:shd w:val="clear" w:color="auto" w:fill="F2F2F2"/>
          </w:tcPr>
          <w:p w14:paraId="52680D30" w14:textId="77777777" w:rsidR="006E3939" w:rsidRDefault="006E3939" w:rsidP="00E23A2E">
            <w:pPr>
              <w:pStyle w:val="TableBody"/>
              <w:keepNext/>
            </w:pPr>
          </w:p>
        </w:tc>
        <w:tc>
          <w:tcPr>
            <w:tcW w:w="1984" w:type="dxa"/>
            <w:tcBorders>
              <w:top w:val="single" w:sz="4" w:space="0" w:color="auto"/>
              <w:bottom w:val="single" w:sz="12" w:space="0" w:color="auto"/>
            </w:tcBorders>
            <w:shd w:val="clear" w:color="auto" w:fill="F2F2F2"/>
          </w:tcPr>
          <w:p w14:paraId="7CCEC0FA" w14:textId="5AA7A9F4" w:rsidR="006E3939" w:rsidRDefault="006E3939" w:rsidP="00E23A2E">
            <w:pPr>
              <w:pStyle w:val="TableBody"/>
              <w:keepNext/>
            </w:pPr>
            <w:r>
              <w:t>869</w:t>
            </w:r>
            <w:r w:rsidR="002F0312">
              <w:t>–</w:t>
            </w:r>
            <w:r>
              <w:t>870</w:t>
            </w:r>
          </w:p>
        </w:tc>
        <w:tc>
          <w:tcPr>
            <w:tcW w:w="1560" w:type="dxa"/>
            <w:tcBorders>
              <w:top w:val="single" w:sz="4" w:space="0" w:color="auto"/>
              <w:bottom w:val="single" w:sz="12" w:space="0" w:color="auto"/>
            </w:tcBorders>
            <w:shd w:val="clear" w:color="auto" w:fill="F2F2F2"/>
          </w:tcPr>
          <w:p w14:paraId="22CE2F28" w14:textId="0B2F2F50" w:rsidR="006E3939" w:rsidRDefault="006E3939" w:rsidP="00E23A2E">
            <w:pPr>
              <w:pStyle w:val="TableBody"/>
              <w:keepNext/>
            </w:pPr>
            <w:r>
              <w:t>1</w:t>
            </w:r>
          </w:p>
        </w:tc>
        <w:tc>
          <w:tcPr>
            <w:tcW w:w="2788" w:type="dxa"/>
            <w:vMerge/>
            <w:tcBorders>
              <w:bottom w:val="single" w:sz="12" w:space="0" w:color="auto"/>
            </w:tcBorders>
            <w:shd w:val="clear" w:color="auto" w:fill="F2F2F2"/>
          </w:tcPr>
          <w:p w14:paraId="4FE4B4AE" w14:textId="77777777" w:rsidR="006E3939" w:rsidRDefault="006E3939" w:rsidP="00E23A2E">
            <w:pPr>
              <w:pStyle w:val="TableBody"/>
              <w:keepNext/>
            </w:pPr>
          </w:p>
        </w:tc>
      </w:tr>
      <w:tr w:rsidR="006E3939" w14:paraId="0712EFF5" w14:textId="66CCCDB5" w:rsidTr="00105B74">
        <w:trPr>
          <w:cnfStyle w:val="000000100000" w:firstRow="0" w:lastRow="0" w:firstColumn="0" w:lastColumn="0" w:oddVBand="0" w:evenVBand="0" w:oddHBand="1" w:evenHBand="0" w:firstRowFirstColumn="0" w:firstRowLastColumn="0" w:lastRowFirstColumn="0" w:lastRowLastColumn="0"/>
          <w:trHeight w:val="92"/>
        </w:trPr>
        <w:tc>
          <w:tcPr>
            <w:tcW w:w="1393" w:type="dxa"/>
            <w:vMerge w:val="restart"/>
            <w:tcBorders>
              <w:top w:val="single" w:sz="12" w:space="0" w:color="auto"/>
              <w:bottom w:val="single" w:sz="4" w:space="0" w:color="auto"/>
            </w:tcBorders>
            <w:shd w:val="clear" w:color="auto" w:fill="F2F2F2"/>
          </w:tcPr>
          <w:p w14:paraId="0A11FEDA" w14:textId="3111ECFA" w:rsidR="006E3939" w:rsidRDefault="00D22FE8" w:rsidP="00E23A2E">
            <w:pPr>
              <w:pStyle w:val="TableBody"/>
              <w:keepNext/>
            </w:pPr>
            <w:r>
              <w:t>5</w:t>
            </w:r>
            <w:r w:rsidR="00644112">
              <w:t>**</w:t>
            </w:r>
          </w:p>
        </w:tc>
        <w:tc>
          <w:tcPr>
            <w:tcW w:w="1984" w:type="dxa"/>
            <w:tcBorders>
              <w:top w:val="single" w:sz="12" w:space="0" w:color="auto"/>
              <w:bottom w:val="single" w:sz="4" w:space="0" w:color="auto"/>
            </w:tcBorders>
            <w:shd w:val="clear" w:color="auto" w:fill="F2F2F2"/>
          </w:tcPr>
          <w:p w14:paraId="6F6AB275" w14:textId="6D2FE7E7" w:rsidR="006E3939" w:rsidRDefault="006E3939" w:rsidP="00E23A2E">
            <w:pPr>
              <w:pStyle w:val="TableBody"/>
              <w:keepNext/>
            </w:pPr>
            <w:r>
              <w:t>890</w:t>
            </w:r>
            <w:r w:rsidR="002F0312">
              <w:t>–</w:t>
            </w:r>
            <w:r>
              <w:t>895</w:t>
            </w:r>
          </w:p>
        </w:tc>
        <w:tc>
          <w:tcPr>
            <w:tcW w:w="1560" w:type="dxa"/>
            <w:tcBorders>
              <w:top w:val="single" w:sz="12" w:space="0" w:color="auto"/>
              <w:bottom w:val="single" w:sz="4" w:space="0" w:color="auto"/>
            </w:tcBorders>
            <w:shd w:val="clear" w:color="auto" w:fill="F2F2F2"/>
          </w:tcPr>
          <w:p w14:paraId="6B4D145C" w14:textId="75417868" w:rsidR="006E3939" w:rsidRDefault="006E3939" w:rsidP="00E23A2E">
            <w:pPr>
              <w:pStyle w:val="TableBody"/>
              <w:keepNext/>
            </w:pPr>
            <w:r>
              <w:t>5</w:t>
            </w:r>
          </w:p>
        </w:tc>
        <w:tc>
          <w:tcPr>
            <w:tcW w:w="2788" w:type="dxa"/>
            <w:vMerge w:val="restart"/>
            <w:tcBorders>
              <w:top w:val="single" w:sz="12" w:space="0" w:color="auto"/>
              <w:bottom w:val="single" w:sz="4" w:space="0" w:color="auto"/>
            </w:tcBorders>
            <w:shd w:val="clear" w:color="auto" w:fill="F2F2F2"/>
          </w:tcPr>
          <w:p w14:paraId="59FC8DF1" w14:textId="3E950363" w:rsidR="006E3939" w:rsidRDefault="006E3939" w:rsidP="00E23A2E">
            <w:pPr>
              <w:pStyle w:val="TableBody"/>
              <w:keepNext/>
            </w:pPr>
            <w:r>
              <w:t xml:space="preserve">900 MHz </w:t>
            </w:r>
          </w:p>
        </w:tc>
      </w:tr>
      <w:tr w:rsidR="006E3939" w14:paraId="4E118B1F" w14:textId="18B89295" w:rsidTr="00105B74">
        <w:trPr>
          <w:cnfStyle w:val="000000010000" w:firstRow="0" w:lastRow="0" w:firstColumn="0" w:lastColumn="0" w:oddVBand="0" w:evenVBand="0" w:oddHBand="0" w:evenHBand="1" w:firstRowFirstColumn="0" w:firstRowLastColumn="0" w:lastRowFirstColumn="0" w:lastRowLastColumn="0"/>
          <w:trHeight w:val="176"/>
        </w:trPr>
        <w:tc>
          <w:tcPr>
            <w:tcW w:w="1393" w:type="dxa"/>
            <w:vMerge/>
            <w:tcBorders>
              <w:top w:val="single" w:sz="4" w:space="0" w:color="auto"/>
              <w:bottom w:val="single" w:sz="12" w:space="0" w:color="auto"/>
            </w:tcBorders>
            <w:shd w:val="clear" w:color="auto" w:fill="F2F2F2"/>
          </w:tcPr>
          <w:p w14:paraId="58FB7FCE" w14:textId="77777777" w:rsidR="006E3939" w:rsidRDefault="006E3939" w:rsidP="00E23A2E">
            <w:pPr>
              <w:pStyle w:val="TableBody"/>
              <w:keepNext/>
            </w:pPr>
          </w:p>
        </w:tc>
        <w:tc>
          <w:tcPr>
            <w:tcW w:w="1984" w:type="dxa"/>
            <w:tcBorders>
              <w:top w:val="single" w:sz="4" w:space="0" w:color="auto"/>
              <w:bottom w:val="single" w:sz="12" w:space="0" w:color="auto"/>
            </w:tcBorders>
            <w:shd w:val="clear" w:color="auto" w:fill="F2F2F2"/>
          </w:tcPr>
          <w:p w14:paraId="4362ED35" w14:textId="61E08932" w:rsidR="006E3939" w:rsidRDefault="006E3939" w:rsidP="00E23A2E">
            <w:pPr>
              <w:pStyle w:val="TableBody"/>
              <w:keepNext/>
            </w:pPr>
            <w:r>
              <w:t>935</w:t>
            </w:r>
            <w:r w:rsidR="002F0312">
              <w:t>–</w:t>
            </w:r>
            <w:r>
              <w:t>940</w:t>
            </w:r>
          </w:p>
        </w:tc>
        <w:tc>
          <w:tcPr>
            <w:tcW w:w="1560" w:type="dxa"/>
            <w:tcBorders>
              <w:top w:val="single" w:sz="4" w:space="0" w:color="auto"/>
              <w:bottom w:val="single" w:sz="12" w:space="0" w:color="auto"/>
            </w:tcBorders>
            <w:shd w:val="clear" w:color="auto" w:fill="F2F2F2"/>
          </w:tcPr>
          <w:p w14:paraId="4532EF42" w14:textId="430BD04A" w:rsidR="006E3939" w:rsidRDefault="006E3939" w:rsidP="00E23A2E">
            <w:pPr>
              <w:pStyle w:val="TableBody"/>
              <w:keepNext/>
            </w:pPr>
            <w:r>
              <w:t>5</w:t>
            </w:r>
          </w:p>
        </w:tc>
        <w:tc>
          <w:tcPr>
            <w:tcW w:w="2788" w:type="dxa"/>
            <w:vMerge/>
            <w:tcBorders>
              <w:top w:val="single" w:sz="4" w:space="0" w:color="auto"/>
              <w:bottom w:val="single" w:sz="12" w:space="0" w:color="auto"/>
            </w:tcBorders>
            <w:shd w:val="clear" w:color="auto" w:fill="F2F2F2"/>
          </w:tcPr>
          <w:p w14:paraId="7BDC1679" w14:textId="77777777" w:rsidR="006E3939" w:rsidRDefault="006E3939" w:rsidP="00E23A2E">
            <w:pPr>
              <w:pStyle w:val="TableBody"/>
              <w:keepNext/>
            </w:pPr>
          </w:p>
        </w:tc>
      </w:tr>
      <w:tr w:rsidR="006E3939" w14:paraId="10CFB049" w14:textId="4C5EE8AD" w:rsidTr="00105B74">
        <w:trPr>
          <w:cnfStyle w:val="000000100000" w:firstRow="0" w:lastRow="0" w:firstColumn="0" w:lastColumn="0" w:oddVBand="0" w:evenVBand="0" w:oddHBand="1" w:evenHBand="0" w:firstRowFirstColumn="0" w:firstRowLastColumn="0" w:lastRowFirstColumn="0" w:lastRowLastColumn="0"/>
          <w:trHeight w:val="93"/>
        </w:trPr>
        <w:tc>
          <w:tcPr>
            <w:tcW w:w="0" w:type="dxa"/>
            <w:vMerge w:val="restart"/>
            <w:tcBorders>
              <w:top w:val="single" w:sz="12" w:space="0" w:color="auto"/>
              <w:bottom w:val="single" w:sz="4" w:space="0" w:color="auto"/>
            </w:tcBorders>
            <w:shd w:val="clear" w:color="auto" w:fill="FFFFFF" w:themeFill="background1"/>
          </w:tcPr>
          <w:p w14:paraId="1212FD6E" w14:textId="676B5C06" w:rsidR="006E3939" w:rsidRPr="00CB1CCD" w:rsidRDefault="00D22FE8" w:rsidP="00E23A2E">
            <w:pPr>
              <w:pStyle w:val="TableBody"/>
              <w:keepNext/>
            </w:pPr>
            <w:r>
              <w:t>6</w:t>
            </w:r>
          </w:p>
        </w:tc>
        <w:tc>
          <w:tcPr>
            <w:tcW w:w="1984" w:type="dxa"/>
            <w:tcBorders>
              <w:top w:val="single" w:sz="12" w:space="0" w:color="auto"/>
              <w:bottom w:val="single" w:sz="4" w:space="0" w:color="auto"/>
            </w:tcBorders>
            <w:shd w:val="clear" w:color="auto" w:fill="FFFFFF" w:themeFill="background1"/>
          </w:tcPr>
          <w:p w14:paraId="7D911E47" w14:textId="7DFC1BCD" w:rsidR="006E3939" w:rsidRDefault="006E3939" w:rsidP="00E23A2E">
            <w:pPr>
              <w:pStyle w:val="TableBody"/>
              <w:keepNext/>
            </w:pPr>
            <w:r>
              <w:t>895</w:t>
            </w:r>
            <w:r w:rsidR="002F0312">
              <w:t>–</w:t>
            </w:r>
            <w:r>
              <w:t>900</w:t>
            </w:r>
          </w:p>
        </w:tc>
        <w:tc>
          <w:tcPr>
            <w:tcW w:w="1560" w:type="dxa"/>
            <w:tcBorders>
              <w:top w:val="single" w:sz="12" w:space="0" w:color="auto"/>
              <w:bottom w:val="single" w:sz="4" w:space="0" w:color="auto"/>
            </w:tcBorders>
            <w:shd w:val="clear" w:color="auto" w:fill="FFFFFF" w:themeFill="background1"/>
          </w:tcPr>
          <w:p w14:paraId="43438846" w14:textId="31F6A07A" w:rsidR="006E3939" w:rsidRDefault="006E3939" w:rsidP="00E23A2E">
            <w:pPr>
              <w:pStyle w:val="TableBody"/>
              <w:keepNext/>
            </w:pPr>
            <w:r>
              <w:t>5</w:t>
            </w:r>
          </w:p>
        </w:tc>
        <w:tc>
          <w:tcPr>
            <w:tcW w:w="2788" w:type="dxa"/>
            <w:vMerge w:val="restart"/>
            <w:tcBorders>
              <w:top w:val="single" w:sz="12" w:space="0" w:color="auto"/>
            </w:tcBorders>
            <w:shd w:val="clear" w:color="auto" w:fill="FFFFFF" w:themeFill="background1"/>
          </w:tcPr>
          <w:p w14:paraId="7011241D" w14:textId="75AFBA96" w:rsidR="006E3939" w:rsidRDefault="006E3939" w:rsidP="00E23A2E">
            <w:pPr>
              <w:pStyle w:val="TableBody"/>
              <w:keepNext/>
            </w:pPr>
            <w:r>
              <w:t>900 MHz</w:t>
            </w:r>
          </w:p>
        </w:tc>
      </w:tr>
      <w:tr w:rsidR="006E3939" w14:paraId="0275DDCB" w14:textId="644D9F07" w:rsidTr="00105B74">
        <w:trPr>
          <w:cnfStyle w:val="000000010000" w:firstRow="0" w:lastRow="0" w:firstColumn="0" w:lastColumn="0" w:oddVBand="0" w:evenVBand="0" w:oddHBand="0" w:evenHBand="1" w:firstRowFirstColumn="0" w:firstRowLastColumn="0" w:lastRowFirstColumn="0" w:lastRowLastColumn="0"/>
          <w:trHeight w:val="92"/>
        </w:trPr>
        <w:tc>
          <w:tcPr>
            <w:tcW w:w="0" w:type="dxa"/>
            <w:vMerge/>
            <w:tcBorders>
              <w:top w:val="single" w:sz="4" w:space="0" w:color="auto"/>
              <w:bottom w:val="single" w:sz="12" w:space="0" w:color="auto"/>
            </w:tcBorders>
            <w:shd w:val="clear" w:color="auto" w:fill="FFFFFF" w:themeFill="background1"/>
          </w:tcPr>
          <w:p w14:paraId="1A72D970" w14:textId="77777777" w:rsidR="006E3939" w:rsidRPr="00CB1CCD" w:rsidRDefault="006E3939" w:rsidP="00E23A2E">
            <w:pPr>
              <w:pStyle w:val="TableBody"/>
              <w:keepNext/>
            </w:pPr>
          </w:p>
        </w:tc>
        <w:tc>
          <w:tcPr>
            <w:tcW w:w="1984" w:type="dxa"/>
            <w:tcBorders>
              <w:top w:val="single" w:sz="4" w:space="0" w:color="auto"/>
              <w:bottom w:val="single" w:sz="12" w:space="0" w:color="auto"/>
            </w:tcBorders>
            <w:shd w:val="clear" w:color="auto" w:fill="FFFFFF" w:themeFill="background1"/>
          </w:tcPr>
          <w:p w14:paraId="430C5343" w14:textId="4BC3831B" w:rsidR="006E3939" w:rsidRDefault="006E3939" w:rsidP="00E23A2E">
            <w:pPr>
              <w:pStyle w:val="TableBody"/>
              <w:keepNext/>
            </w:pPr>
            <w:r>
              <w:t>940</w:t>
            </w:r>
            <w:r w:rsidR="002F0312">
              <w:t>–</w:t>
            </w:r>
            <w:r>
              <w:t>945</w:t>
            </w:r>
          </w:p>
        </w:tc>
        <w:tc>
          <w:tcPr>
            <w:tcW w:w="1560" w:type="dxa"/>
            <w:tcBorders>
              <w:top w:val="single" w:sz="4" w:space="0" w:color="auto"/>
              <w:bottom w:val="single" w:sz="12" w:space="0" w:color="auto"/>
            </w:tcBorders>
            <w:shd w:val="clear" w:color="auto" w:fill="FFFFFF" w:themeFill="background1"/>
          </w:tcPr>
          <w:p w14:paraId="4AE3064F" w14:textId="38BA01BD" w:rsidR="006E3939" w:rsidRDefault="006E3939" w:rsidP="00E23A2E">
            <w:pPr>
              <w:pStyle w:val="TableBody"/>
              <w:keepNext/>
            </w:pPr>
            <w:r>
              <w:t>5</w:t>
            </w:r>
          </w:p>
        </w:tc>
        <w:tc>
          <w:tcPr>
            <w:tcW w:w="2788" w:type="dxa"/>
            <w:vMerge/>
            <w:tcBorders>
              <w:bottom w:val="single" w:sz="12" w:space="0" w:color="auto"/>
            </w:tcBorders>
            <w:shd w:val="clear" w:color="auto" w:fill="FFFFFF" w:themeFill="background1"/>
          </w:tcPr>
          <w:p w14:paraId="10DAB7EC" w14:textId="77777777" w:rsidR="006E3939" w:rsidRDefault="006E3939" w:rsidP="00E23A2E">
            <w:pPr>
              <w:pStyle w:val="TableBody"/>
              <w:keepNext/>
            </w:pPr>
          </w:p>
        </w:tc>
      </w:tr>
      <w:tr w:rsidR="006E3939" w14:paraId="455BF73B" w14:textId="70D2DE48" w:rsidTr="00105B74">
        <w:trPr>
          <w:cnfStyle w:val="000000100000" w:firstRow="0" w:lastRow="0" w:firstColumn="0" w:lastColumn="0" w:oddVBand="0" w:evenVBand="0" w:oddHBand="1" w:evenHBand="0" w:firstRowFirstColumn="0" w:firstRowLastColumn="0" w:lastRowFirstColumn="0" w:lastRowLastColumn="0"/>
        </w:trPr>
        <w:tc>
          <w:tcPr>
            <w:tcW w:w="0" w:type="dxa"/>
            <w:vMerge w:val="restart"/>
            <w:tcBorders>
              <w:top w:val="single" w:sz="12" w:space="0" w:color="auto"/>
              <w:bottom w:val="single" w:sz="4" w:space="0" w:color="auto"/>
            </w:tcBorders>
            <w:shd w:val="clear" w:color="auto" w:fill="F2F2F2"/>
          </w:tcPr>
          <w:p w14:paraId="0AAAA59B" w14:textId="1CB63F6D" w:rsidR="006E3939" w:rsidRPr="00CB1CCD" w:rsidRDefault="00D22FE8" w:rsidP="00E23A2E">
            <w:pPr>
              <w:pStyle w:val="TableBody"/>
              <w:keepNext/>
            </w:pPr>
            <w:r>
              <w:t>7</w:t>
            </w:r>
          </w:p>
        </w:tc>
        <w:tc>
          <w:tcPr>
            <w:tcW w:w="1984" w:type="dxa"/>
            <w:tcBorders>
              <w:top w:val="single" w:sz="12" w:space="0" w:color="auto"/>
              <w:bottom w:val="single" w:sz="4" w:space="0" w:color="auto"/>
            </w:tcBorders>
            <w:shd w:val="clear" w:color="auto" w:fill="F2F2F2"/>
          </w:tcPr>
          <w:p w14:paraId="4F9FF0EB" w14:textId="2689718F" w:rsidR="006E3939" w:rsidRDefault="006E3939" w:rsidP="00E23A2E">
            <w:pPr>
              <w:pStyle w:val="TableBody"/>
              <w:keepNext/>
            </w:pPr>
            <w:r>
              <w:t>900</w:t>
            </w:r>
            <w:r w:rsidR="002F0312">
              <w:t>–</w:t>
            </w:r>
            <w:r>
              <w:t>905</w:t>
            </w:r>
          </w:p>
        </w:tc>
        <w:tc>
          <w:tcPr>
            <w:tcW w:w="1560" w:type="dxa"/>
            <w:tcBorders>
              <w:top w:val="single" w:sz="12" w:space="0" w:color="auto"/>
              <w:bottom w:val="single" w:sz="4" w:space="0" w:color="auto"/>
            </w:tcBorders>
            <w:shd w:val="clear" w:color="auto" w:fill="F2F2F2"/>
          </w:tcPr>
          <w:p w14:paraId="45EA3765" w14:textId="336B19AF" w:rsidR="006E3939" w:rsidRDefault="006E3939" w:rsidP="00E23A2E">
            <w:pPr>
              <w:pStyle w:val="TableBody"/>
              <w:keepNext/>
            </w:pPr>
            <w:r>
              <w:t>5</w:t>
            </w:r>
          </w:p>
        </w:tc>
        <w:tc>
          <w:tcPr>
            <w:tcW w:w="2788" w:type="dxa"/>
            <w:vMerge w:val="restart"/>
            <w:tcBorders>
              <w:top w:val="single" w:sz="12" w:space="0" w:color="auto"/>
            </w:tcBorders>
            <w:shd w:val="clear" w:color="auto" w:fill="F2F2F2"/>
          </w:tcPr>
          <w:p w14:paraId="64A6698A" w14:textId="71961396" w:rsidR="006E3939" w:rsidRDefault="006E3939" w:rsidP="00E23A2E">
            <w:pPr>
              <w:pStyle w:val="TableBody"/>
              <w:keepNext/>
            </w:pPr>
            <w:r>
              <w:t>900 MHz</w:t>
            </w:r>
          </w:p>
        </w:tc>
      </w:tr>
      <w:tr w:rsidR="006E3939" w14:paraId="1B809F20" w14:textId="14E8CAF3" w:rsidTr="00105B74">
        <w:trPr>
          <w:cnfStyle w:val="000000010000" w:firstRow="0" w:lastRow="0" w:firstColumn="0" w:lastColumn="0" w:oddVBand="0" w:evenVBand="0" w:oddHBand="0" w:evenHBand="1" w:firstRowFirstColumn="0" w:firstRowLastColumn="0" w:lastRowFirstColumn="0" w:lastRowLastColumn="0"/>
        </w:trPr>
        <w:tc>
          <w:tcPr>
            <w:tcW w:w="0" w:type="dxa"/>
            <w:vMerge/>
            <w:tcBorders>
              <w:top w:val="single" w:sz="4" w:space="0" w:color="auto"/>
              <w:bottom w:val="single" w:sz="12" w:space="0" w:color="auto"/>
            </w:tcBorders>
            <w:shd w:val="clear" w:color="auto" w:fill="F2F2F2"/>
          </w:tcPr>
          <w:p w14:paraId="74286E98" w14:textId="77777777" w:rsidR="006E3939" w:rsidRPr="00CB1CCD" w:rsidRDefault="006E3939" w:rsidP="00E23A2E">
            <w:pPr>
              <w:pStyle w:val="TableBody"/>
              <w:keepNext/>
            </w:pPr>
          </w:p>
        </w:tc>
        <w:tc>
          <w:tcPr>
            <w:tcW w:w="1984" w:type="dxa"/>
            <w:tcBorders>
              <w:top w:val="single" w:sz="4" w:space="0" w:color="auto"/>
              <w:bottom w:val="single" w:sz="12" w:space="0" w:color="auto"/>
            </w:tcBorders>
            <w:shd w:val="clear" w:color="auto" w:fill="F2F2F2"/>
          </w:tcPr>
          <w:p w14:paraId="4E27A718" w14:textId="01D6511F" w:rsidR="006E3939" w:rsidRDefault="006E3939" w:rsidP="00E23A2E">
            <w:pPr>
              <w:pStyle w:val="TableBody"/>
              <w:keepNext/>
            </w:pPr>
            <w:r>
              <w:t>945</w:t>
            </w:r>
            <w:r w:rsidR="002F0312">
              <w:t>–</w:t>
            </w:r>
            <w:r>
              <w:t>950</w:t>
            </w:r>
          </w:p>
        </w:tc>
        <w:tc>
          <w:tcPr>
            <w:tcW w:w="1560" w:type="dxa"/>
            <w:tcBorders>
              <w:top w:val="single" w:sz="4" w:space="0" w:color="auto"/>
              <w:bottom w:val="single" w:sz="12" w:space="0" w:color="auto"/>
            </w:tcBorders>
            <w:shd w:val="clear" w:color="auto" w:fill="F2F2F2"/>
          </w:tcPr>
          <w:p w14:paraId="62421085" w14:textId="1635A99B" w:rsidR="006E3939" w:rsidRDefault="006E3939" w:rsidP="00E23A2E">
            <w:pPr>
              <w:pStyle w:val="TableBody"/>
              <w:keepNext/>
            </w:pPr>
            <w:r>
              <w:t>5</w:t>
            </w:r>
          </w:p>
        </w:tc>
        <w:tc>
          <w:tcPr>
            <w:tcW w:w="2788" w:type="dxa"/>
            <w:vMerge/>
            <w:tcBorders>
              <w:bottom w:val="single" w:sz="12" w:space="0" w:color="auto"/>
            </w:tcBorders>
            <w:shd w:val="clear" w:color="auto" w:fill="F2F2F2"/>
          </w:tcPr>
          <w:p w14:paraId="41BE7F3B" w14:textId="77777777" w:rsidR="006E3939" w:rsidRDefault="006E3939" w:rsidP="00E23A2E">
            <w:pPr>
              <w:pStyle w:val="TableBody"/>
              <w:keepNext/>
            </w:pPr>
          </w:p>
        </w:tc>
      </w:tr>
      <w:tr w:rsidR="006E3939" w14:paraId="12F6DCAC" w14:textId="33B150F4" w:rsidTr="00105B74">
        <w:trPr>
          <w:cnfStyle w:val="000000100000" w:firstRow="0" w:lastRow="0" w:firstColumn="0" w:lastColumn="0" w:oddVBand="0" w:evenVBand="0" w:oddHBand="1" w:evenHBand="0" w:firstRowFirstColumn="0" w:firstRowLastColumn="0" w:lastRowFirstColumn="0" w:lastRowLastColumn="0"/>
        </w:trPr>
        <w:tc>
          <w:tcPr>
            <w:tcW w:w="0" w:type="dxa"/>
            <w:vMerge w:val="restart"/>
            <w:tcBorders>
              <w:top w:val="single" w:sz="12" w:space="0" w:color="auto"/>
              <w:bottom w:val="single" w:sz="4" w:space="0" w:color="auto"/>
            </w:tcBorders>
            <w:shd w:val="clear" w:color="auto" w:fill="FFFFFF" w:themeFill="background1"/>
          </w:tcPr>
          <w:p w14:paraId="30655C2D" w14:textId="16AC0BFF" w:rsidR="006E3939" w:rsidRPr="00CB1CCD" w:rsidRDefault="00D22FE8" w:rsidP="00E23A2E">
            <w:pPr>
              <w:pStyle w:val="TableBody"/>
              <w:keepNext/>
            </w:pPr>
            <w:r>
              <w:t>8</w:t>
            </w:r>
          </w:p>
        </w:tc>
        <w:tc>
          <w:tcPr>
            <w:tcW w:w="1984" w:type="dxa"/>
            <w:tcBorders>
              <w:top w:val="single" w:sz="12" w:space="0" w:color="auto"/>
              <w:bottom w:val="single" w:sz="4" w:space="0" w:color="auto"/>
            </w:tcBorders>
            <w:shd w:val="clear" w:color="auto" w:fill="FFFFFF" w:themeFill="background1"/>
          </w:tcPr>
          <w:p w14:paraId="3B8E041D" w14:textId="15F2C165" w:rsidR="006E3939" w:rsidRDefault="006E3939" w:rsidP="00E23A2E">
            <w:pPr>
              <w:pStyle w:val="TableBody"/>
              <w:keepNext/>
            </w:pPr>
            <w:r>
              <w:t>905</w:t>
            </w:r>
            <w:r w:rsidR="002F0312">
              <w:t>–</w:t>
            </w:r>
            <w:r>
              <w:t>910</w:t>
            </w:r>
          </w:p>
        </w:tc>
        <w:tc>
          <w:tcPr>
            <w:tcW w:w="1560" w:type="dxa"/>
            <w:tcBorders>
              <w:top w:val="single" w:sz="12" w:space="0" w:color="auto"/>
              <w:bottom w:val="single" w:sz="4" w:space="0" w:color="auto"/>
            </w:tcBorders>
            <w:shd w:val="clear" w:color="auto" w:fill="FFFFFF" w:themeFill="background1"/>
          </w:tcPr>
          <w:p w14:paraId="5240973D" w14:textId="5498923A" w:rsidR="006E3939" w:rsidRDefault="006E3939" w:rsidP="00E23A2E">
            <w:pPr>
              <w:pStyle w:val="TableBody"/>
              <w:keepNext/>
            </w:pPr>
            <w:r>
              <w:t>5</w:t>
            </w:r>
          </w:p>
        </w:tc>
        <w:tc>
          <w:tcPr>
            <w:tcW w:w="2788" w:type="dxa"/>
            <w:vMerge w:val="restart"/>
            <w:tcBorders>
              <w:top w:val="single" w:sz="12" w:space="0" w:color="auto"/>
            </w:tcBorders>
            <w:shd w:val="clear" w:color="auto" w:fill="FFFFFF" w:themeFill="background1"/>
          </w:tcPr>
          <w:p w14:paraId="347B5EAF" w14:textId="257A4E84" w:rsidR="006E3939" w:rsidRDefault="006E3939" w:rsidP="00E23A2E">
            <w:pPr>
              <w:pStyle w:val="TableBody"/>
              <w:keepNext/>
            </w:pPr>
            <w:r>
              <w:t>900 MHz</w:t>
            </w:r>
          </w:p>
        </w:tc>
      </w:tr>
      <w:tr w:rsidR="006E3939" w14:paraId="51F3B0DA" w14:textId="440F7CED" w:rsidTr="00105B74">
        <w:trPr>
          <w:cnfStyle w:val="000000010000" w:firstRow="0" w:lastRow="0" w:firstColumn="0" w:lastColumn="0" w:oddVBand="0" w:evenVBand="0" w:oddHBand="0" w:evenHBand="1" w:firstRowFirstColumn="0" w:firstRowLastColumn="0" w:lastRowFirstColumn="0" w:lastRowLastColumn="0"/>
        </w:trPr>
        <w:tc>
          <w:tcPr>
            <w:tcW w:w="0" w:type="dxa"/>
            <w:vMerge/>
            <w:tcBorders>
              <w:top w:val="single" w:sz="4" w:space="0" w:color="auto"/>
              <w:bottom w:val="single" w:sz="12" w:space="0" w:color="auto"/>
            </w:tcBorders>
            <w:shd w:val="clear" w:color="auto" w:fill="FFFFFF" w:themeFill="background1"/>
          </w:tcPr>
          <w:p w14:paraId="237C8056" w14:textId="77777777" w:rsidR="006E3939" w:rsidRPr="00CB1CCD" w:rsidRDefault="006E3939" w:rsidP="00E23A2E">
            <w:pPr>
              <w:pStyle w:val="TableBody"/>
              <w:keepNext/>
            </w:pPr>
          </w:p>
        </w:tc>
        <w:tc>
          <w:tcPr>
            <w:tcW w:w="1984" w:type="dxa"/>
            <w:tcBorders>
              <w:top w:val="single" w:sz="4" w:space="0" w:color="auto"/>
              <w:bottom w:val="single" w:sz="12" w:space="0" w:color="auto"/>
            </w:tcBorders>
            <w:shd w:val="clear" w:color="auto" w:fill="FFFFFF" w:themeFill="background1"/>
          </w:tcPr>
          <w:p w14:paraId="7A543283" w14:textId="1CF1FCD6" w:rsidR="006E3939" w:rsidRDefault="006E3939" w:rsidP="00E23A2E">
            <w:pPr>
              <w:pStyle w:val="TableBody"/>
              <w:keepNext/>
            </w:pPr>
            <w:r>
              <w:t>950</w:t>
            </w:r>
            <w:r w:rsidR="002F0312">
              <w:t>–</w:t>
            </w:r>
            <w:r>
              <w:t>955</w:t>
            </w:r>
          </w:p>
        </w:tc>
        <w:tc>
          <w:tcPr>
            <w:tcW w:w="1560" w:type="dxa"/>
            <w:tcBorders>
              <w:top w:val="single" w:sz="4" w:space="0" w:color="auto"/>
              <w:bottom w:val="single" w:sz="12" w:space="0" w:color="auto"/>
            </w:tcBorders>
            <w:shd w:val="clear" w:color="auto" w:fill="FFFFFF" w:themeFill="background1"/>
          </w:tcPr>
          <w:p w14:paraId="0B22D28A" w14:textId="5ECB2479" w:rsidR="006E3939" w:rsidRDefault="006E3939" w:rsidP="00E23A2E">
            <w:pPr>
              <w:pStyle w:val="TableBody"/>
              <w:keepNext/>
            </w:pPr>
            <w:r>
              <w:t>5</w:t>
            </w:r>
          </w:p>
        </w:tc>
        <w:tc>
          <w:tcPr>
            <w:tcW w:w="2788" w:type="dxa"/>
            <w:vMerge/>
            <w:tcBorders>
              <w:bottom w:val="single" w:sz="12" w:space="0" w:color="auto"/>
            </w:tcBorders>
            <w:shd w:val="clear" w:color="auto" w:fill="FFFFFF" w:themeFill="background1"/>
          </w:tcPr>
          <w:p w14:paraId="21386BF6" w14:textId="77777777" w:rsidR="006E3939" w:rsidRDefault="006E3939" w:rsidP="00E23A2E">
            <w:pPr>
              <w:pStyle w:val="TableBody"/>
              <w:keepNext/>
            </w:pPr>
          </w:p>
        </w:tc>
      </w:tr>
      <w:tr w:rsidR="006E3939" w14:paraId="43CA10E3" w14:textId="78E742C2" w:rsidTr="00105B74">
        <w:trPr>
          <w:cnfStyle w:val="000000100000" w:firstRow="0" w:lastRow="0" w:firstColumn="0" w:lastColumn="0" w:oddVBand="0" w:evenVBand="0" w:oddHBand="1" w:evenHBand="0" w:firstRowFirstColumn="0" w:firstRowLastColumn="0" w:lastRowFirstColumn="0" w:lastRowLastColumn="0"/>
        </w:trPr>
        <w:tc>
          <w:tcPr>
            <w:tcW w:w="0" w:type="dxa"/>
            <w:vMerge w:val="restart"/>
            <w:tcBorders>
              <w:top w:val="single" w:sz="12" w:space="0" w:color="auto"/>
              <w:bottom w:val="single" w:sz="4" w:space="0" w:color="auto"/>
            </w:tcBorders>
          </w:tcPr>
          <w:p w14:paraId="0CD4884B" w14:textId="6154EF7B" w:rsidR="006E3939" w:rsidRPr="00CB1CCD" w:rsidRDefault="00D22FE8" w:rsidP="00E23A2E">
            <w:pPr>
              <w:pStyle w:val="TableBody"/>
              <w:keepNext/>
            </w:pPr>
            <w:r>
              <w:t>9</w:t>
            </w:r>
          </w:p>
        </w:tc>
        <w:tc>
          <w:tcPr>
            <w:tcW w:w="1984" w:type="dxa"/>
            <w:tcBorders>
              <w:top w:val="single" w:sz="12" w:space="0" w:color="auto"/>
              <w:bottom w:val="single" w:sz="4" w:space="0" w:color="auto"/>
            </w:tcBorders>
          </w:tcPr>
          <w:p w14:paraId="507D6AB4" w14:textId="0A7D709E" w:rsidR="006E3939" w:rsidRDefault="006E3939" w:rsidP="00E23A2E">
            <w:pPr>
              <w:pStyle w:val="TableBody"/>
              <w:keepNext/>
            </w:pPr>
            <w:r>
              <w:t>910</w:t>
            </w:r>
            <w:r w:rsidR="002F0312">
              <w:t>–</w:t>
            </w:r>
            <w:r>
              <w:t>915</w:t>
            </w:r>
          </w:p>
        </w:tc>
        <w:tc>
          <w:tcPr>
            <w:tcW w:w="1560" w:type="dxa"/>
            <w:tcBorders>
              <w:top w:val="single" w:sz="12" w:space="0" w:color="auto"/>
              <w:bottom w:val="single" w:sz="4" w:space="0" w:color="auto"/>
            </w:tcBorders>
          </w:tcPr>
          <w:p w14:paraId="767363D6" w14:textId="49481829" w:rsidR="006E3939" w:rsidRDefault="006E3939" w:rsidP="00E23A2E">
            <w:pPr>
              <w:pStyle w:val="TableBody"/>
              <w:keepNext/>
            </w:pPr>
            <w:r>
              <w:t>5</w:t>
            </w:r>
          </w:p>
        </w:tc>
        <w:tc>
          <w:tcPr>
            <w:tcW w:w="2788" w:type="dxa"/>
            <w:vMerge w:val="restart"/>
            <w:tcBorders>
              <w:top w:val="single" w:sz="12" w:space="0" w:color="auto"/>
            </w:tcBorders>
          </w:tcPr>
          <w:p w14:paraId="5AF912AC" w14:textId="6022DC84" w:rsidR="006E3939" w:rsidRDefault="006E3939" w:rsidP="00E23A2E">
            <w:pPr>
              <w:pStyle w:val="TableBody"/>
              <w:keepNext/>
            </w:pPr>
            <w:r>
              <w:t>900 MHz</w:t>
            </w:r>
          </w:p>
        </w:tc>
      </w:tr>
      <w:tr w:rsidR="006E3939" w14:paraId="4B047796" w14:textId="407BE51C" w:rsidTr="00105B74">
        <w:trPr>
          <w:cnfStyle w:val="000000010000" w:firstRow="0" w:lastRow="0" w:firstColumn="0" w:lastColumn="0" w:oddVBand="0" w:evenVBand="0" w:oddHBand="0" w:evenHBand="1" w:firstRowFirstColumn="0" w:firstRowLastColumn="0" w:lastRowFirstColumn="0" w:lastRowLastColumn="0"/>
        </w:trPr>
        <w:tc>
          <w:tcPr>
            <w:tcW w:w="0" w:type="dxa"/>
            <w:vMerge/>
            <w:tcBorders>
              <w:top w:val="single" w:sz="4" w:space="0" w:color="auto"/>
              <w:bottom w:val="single" w:sz="12" w:space="0" w:color="auto"/>
            </w:tcBorders>
            <w:shd w:val="clear" w:color="auto" w:fill="F2F2F2" w:themeFill="background1" w:themeFillShade="F2"/>
          </w:tcPr>
          <w:p w14:paraId="39F6AFF4" w14:textId="77777777" w:rsidR="006E3939" w:rsidRPr="00CB1CCD" w:rsidRDefault="006E3939" w:rsidP="006E3939">
            <w:pPr>
              <w:pStyle w:val="TableBody"/>
            </w:pPr>
          </w:p>
        </w:tc>
        <w:tc>
          <w:tcPr>
            <w:tcW w:w="1984" w:type="dxa"/>
            <w:tcBorders>
              <w:top w:val="single" w:sz="4" w:space="0" w:color="auto"/>
              <w:bottom w:val="single" w:sz="12" w:space="0" w:color="auto"/>
            </w:tcBorders>
          </w:tcPr>
          <w:p w14:paraId="47C8F52A" w14:textId="09560CD5" w:rsidR="006E3939" w:rsidRDefault="006E3939" w:rsidP="006E3939">
            <w:pPr>
              <w:pStyle w:val="TableBody"/>
            </w:pPr>
            <w:r>
              <w:t>955</w:t>
            </w:r>
            <w:r w:rsidR="002F0312">
              <w:t>–</w:t>
            </w:r>
            <w:r>
              <w:t>960</w:t>
            </w:r>
          </w:p>
        </w:tc>
        <w:tc>
          <w:tcPr>
            <w:tcW w:w="1560" w:type="dxa"/>
            <w:tcBorders>
              <w:top w:val="single" w:sz="4" w:space="0" w:color="auto"/>
              <w:bottom w:val="single" w:sz="12" w:space="0" w:color="auto"/>
            </w:tcBorders>
          </w:tcPr>
          <w:p w14:paraId="037217B7" w14:textId="186E9622" w:rsidR="006E3939" w:rsidRDefault="006E3939" w:rsidP="006E3939">
            <w:pPr>
              <w:pStyle w:val="TableBody"/>
            </w:pPr>
            <w:r>
              <w:t>5</w:t>
            </w:r>
          </w:p>
        </w:tc>
        <w:tc>
          <w:tcPr>
            <w:tcW w:w="2788" w:type="dxa"/>
            <w:vMerge/>
            <w:tcBorders>
              <w:bottom w:val="single" w:sz="12" w:space="0" w:color="auto"/>
            </w:tcBorders>
          </w:tcPr>
          <w:p w14:paraId="6C11488C" w14:textId="77777777" w:rsidR="006E3939" w:rsidRDefault="006E3939" w:rsidP="006E3939">
            <w:pPr>
              <w:pStyle w:val="TableBody"/>
            </w:pPr>
          </w:p>
        </w:tc>
      </w:tr>
    </w:tbl>
    <w:p w14:paraId="04F09400" w14:textId="2A12650B" w:rsidR="004F4772" w:rsidRPr="009D714D" w:rsidRDefault="004F4772" w:rsidP="00105B74">
      <w:pPr>
        <w:pStyle w:val="Tableorfigurenotemultiple"/>
      </w:pPr>
      <w:r w:rsidRPr="009D714D">
        <w:t>*</w:t>
      </w:r>
      <w:r w:rsidR="009D714D">
        <w:t xml:space="preserve"> </w:t>
      </w:r>
      <w:r w:rsidRPr="009D714D">
        <w:t xml:space="preserve">Should spectrum be set aside for a PSMB network, one of these lots may not be included in the </w:t>
      </w:r>
      <w:r w:rsidR="00DA3182">
        <w:t>re</w:t>
      </w:r>
      <w:r w:rsidR="00DA3182">
        <w:noBreakHyphen/>
        <w:t>allocation</w:t>
      </w:r>
      <w:r w:rsidRPr="009D714D">
        <w:t xml:space="preserve"> process.</w:t>
      </w:r>
    </w:p>
    <w:p w14:paraId="1C6A6DF6" w14:textId="32A19599" w:rsidR="001B350E" w:rsidRPr="009D714D" w:rsidRDefault="001B350E" w:rsidP="00105B74">
      <w:pPr>
        <w:pStyle w:val="Tableorfigurenotemultiple"/>
        <w:spacing w:after="240"/>
      </w:pPr>
      <w:r w:rsidRPr="009D714D">
        <w:t>**</w:t>
      </w:r>
      <w:r w:rsidR="009D714D">
        <w:t xml:space="preserve"> </w:t>
      </w:r>
      <w:r w:rsidR="00F92739">
        <w:t>We propose</w:t>
      </w:r>
      <w:r w:rsidR="00644112" w:rsidRPr="009D714D">
        <w:t xml:space="preserve"> to allocate lots 4 and 5 together. </w:t>
      </w:r>
      <w:r w:rsidRPr="009D714D">
        <w:t xml:space="preserve">It is expected that the </w:t>
      </w:r>
      <w:r w:rsidR="00746CC2" w:rsidRPr="009D714D">
        <w:t xml:space="preserve">2 x </w:t>
      </w:r>
      <w:r w:rsidRPr="009D714D">
        <w:t xml:space="preserve">1 MHz lot </w:t>
      </w:r>
      <w:r w:rsidR="00C319E1" w:rsidRPr="009D714D">
        <w:t>may</w:t>
      </w:r>
      <w:r w:rsidRPr="009D714D">
        <w:t xml:space="preserve"> be used by the </w:t>
      </w:r>
      <w:r w:rsidR="00A320B8" w:rsidRPr="009D714D">
        <w:t>licensee</w:t>
      </w:r>
      <w:r w:rsidRPr="009D714D">
        <w:t xml:space="preserve"> of </w:t>
      </w:r>
      <w:r w:rsidR="00127DFE" w:rsidRPr="009D714D">
        <w:t>L</w:t>
      </w:r>
      <w:r w:rsidR="00D14E97" w:rsidRPr="009D714D">
        <w:t>ot</w:t>
      </w:r>
      <w:r w:rsidRPr="009D714D">
        <w:t xml:space="preserve"> </w:t>
      </w:r>
      <w:r w:rsidR="00644112" w:rsidRPr="009D714D">
        <w:t>5</w:t>
      </w:r>
      <w:r w:rsidRPr="009D714D">
        <w:t xml:space="preserve"> to facilitate the downshift</w:t>
      </w:r>
      <w:r w:rsidR="00206C8F" w:rsidRPr="009D714D">
        <w:t xml:space="preserve"> as illustrated previously.</w:t>
      </w:r>
    </w:p>
    <w:p w14:paraId="795DE095" w14:textId="7BF4F00F" w:rsidR="00496139" w:rsidRPr="00BC18F9" w:rsidRDefault="00496139" w:rsidP="00105B74">
      <w:pPr>
        <w:pStyle w:val="Recommendation"/>
        <w:shd w:val="clear" w:color="auto" w:fill="F2F2F2" w:themeFill="background1" w:themeFillShade="F2"/>
        <w:rPr>
          <w:b/>
        </w:rPr>
      </w:pPr>
      <w:r>
        <w:rPr>
          <w:b/>
        </w:rPr>
        <w:t>ACMA</w:t>
      </w:r>
      <w:r w:rsidR="001318ED">
        <w:rPr>
          <w:b/>
        </w:rPr>
        <w:t>’s</w:t>
      </w:r>
      <w:r>
        <w:rPr>
          <w:b/>
        </w:rPr>
        <w:t xml:space="preserve"> preferred view</w:t>
      </w:r>
    </w:p>
    <w:p w14:paraId="3CDC248D" w14:textId="51C8E57A" w:rsidR="00BC18F9" w:rsidRDefault="00AE5536" w:rsidP="00105B74">
      <w:pPr>
        <w:pStyle w:val="Recommendation"/>
        <w:shd w:val="clear" w:color="auto" w:fill="F2F2F2" w:themeFill="background1" w:themeFillShade="F2"/>
        <w:spacing w:after="240"/>
      </w:pPr>
      <w:r>
        <w:t>On balance, the ACMA</w:t>
      </w:r>
      <w:r w:rsidR="008F6E7C">
        <w:t xml:space="preserve"> remain</w:t>
      </w:r>
      <w:r w:rsidR="00B63866">
        <w:t>s</w:t>
      </w:r>
      <w:r w:rsidR="008F6E7C">
        <w:t xml:space="preserve"> of the view that</w:t>
      </w:r>
      <w:r w:rsidR="00525745">
        <w:t xml:space="preserve"> </w:t>
      </w:r>
      <w:r>
        <w:t xml:space="preserve">spectrum across the 850/900 MHz band </w:t>
      </w:r>
      <w:r w:rsidR="00444600">
        <w:t xml:space="preserve">should be offered in </w:t>
      </w:r>
      <w:r>
        <w:t>paired 5 MHz lots</w:t>
      </w:r>
      <w:r w:rsidR="00B41B11">
        <w:t xml:space="preserve">. </w:t>
      </w:r>
      <w:r w:rsidR="000B3ECB">
        <w:t xml:space="preserve">The ACMA proposes to allocate </w:t>
      </w:r>
      <w:r w:rsidR="00B41B11">
        <w:t>Lot 4</w:t>
      </w:r>
      <w:r w:rsidR="004F4772">
        <w:t xml:space="preserve"> </w:t>
      </w:r>
      <w:r w:rsidR="00B41B11">
        <w:t>(</w:t>
      </w:r>
      <w:r w:rsidR="00127DFE">
        <w:t>2 </w:t>
      </w:r>
      <w:r w:rsidR="004F4772">
        <w:t>x 1</w:t>
      </w:r>
      <w:r w:rsidR="00101DCF">
        <w:t> </w:t>
      </w:r>
      <w:r w:rsidR="004F4772">
        <w:t>MHz</w:t>
      </w:r>
      <w:r w:rsidR="00B41B11">
        <w:t xml:space="preserve">) </w:t>
      </w:r>
      <w:r w:rsidR="00DC1308">
        <w:t>with</w:t>
      </w:r>
      <w:r w:rsidR="00B41B11">
        <w:t xml:space="preserve"> Lot 5</w:t>
      </w:r>
      <w:r w:rsidR="004F4772">
        <w:t xml:space="preserve"> </w:t>
      </w:r>
      <w:r w:rsidR="003F4CC2">
        <w:t>to facilitate a future downshift of spectrum licences</w:t>
      </w:r>
      <w:r w:rsidR="00DE120D">
        <w:t xml:space="preserve"> in the adjacent 850 MHz spectrum</w:t>
      </w:r>
      <w:r w:rsidR="00764F9F">
        <w:noBreakHyphen/>
      </w:r>
      <w:r w:rsidR="00DE120D">
        <w:t>licensed band</w:t>
      </w:r>
      <w:r>
        <w:t xml:space="preserve">. </w:t>
      </w:r>
    </w:p>
    <w:p w14:paraId="31A2D379" w14:textId="48FC386B" w:rsidR="003609E6" w:rsidRPr="00386A4E" w:rsidRDefault="00B279DF" w:rsidP="00105B74">
      <w:pPr>
        <w:pStyle w:val="Recommendation"/>
        <w:shd w:val="clear" w:color="auto" w:fill="F2F2F2" w:themeFill="background1" w:themeFillShade="F2"/>
      </w:pPr>
      <w:r>
        <w:t>We</w:t>
      </w:r>
      <w:r w:rsidR="003609E6">
        <w:t xml:space="preserve"> </w:t>
      </w:r>
      <w:r w:rsidR="00444600">
        <w:t>invite</w:t>
      </w:r>
      <w:r w:rsidR="003609E6">
        <w:t xml:space="preserve"> </w:t>
      </w:r>
      <w:r w:rsidR="00DE120D">
        <w:t>comments from stakeholders</w:t>
      </w:r>
      <w:r w:rsidR="003609E6">
        <w:t xml:space="preserve"> on </w:t>
      </w:r>
      <w:r w:rsidR="00444600">
        <w:t>this preliminary view</w:t>
      </w:r>
      <w:r w:rsidR="003609E6">
        <w:t>.</w:t>
      </w:r>
    </w:p>
    <w:p w14:paraId="21F53350" w14:textId="70E39778" w:rsidR="000658E6" w:rsidRDefault="000658E6" w:rsidP="00177B4E">
      <w:pPr>
        <w:pStyle w:val="Heading2"/>
      </w:pPr>
      <w:bookmarkStart w:id="68" w:name="_Toc40175656"/>
      <w:r w:rsidRPr="004A3184">
        <w:t xml:space="preserve">Geographic </w:t>
      </w:r>
      <w:r w:rsidR="00E6632F" w:rsidRPr="004A3184">
        <w:t>lot configuration</w:t>
      </w:r>
      <w:bookmarkEnd w:id="68"/>
    </w:p>
    <w:bookmarkEnd w:id="67"/>
    <w:p w14:paraId="5D1D8D65" w14:textId="08F61A78" w:rsidR="00617D00" w:rsidRDefault="005669D7" w:rsidP="00B52786">
      <w:pPr>
        <w:pStyle w:val="Paragraph"/>
      </w:pPr>
      <w:r>
        <w:t>We have</w:t>
      </w:r>
      <w:r w:rsidR="000658E6" w:rsidRPr="000B643A">
        <w:t xml:space="preserve"> used a number of different approaches to </w:t>
      </w:r>
      <w:r w:rsidR="009761B2">
        <w:t>define</w:t>
      </w:r>
      <w:r w:rsidR="009761B2" w:rsidRPr="000B643A">
        <w:t xml:space="preserve"> </w:t>
      </w:r>
      <w:r w:rsidR="000658E6" w:rsidRPr="000B643A">
        <w:t>spectrum lots according to geographic regions.</w:t>
      </w:r>
      <w:r w:rsidR="00E23A2E" w:rsidRPr="007B3869" w:rsidDel="00E23A2E">
        <w:rPr>
          <w:rStyle w:val="FootnoteReference"/>
        </w:rPr>
        <w:t xml:space="preserve"> </w:t>
      </w:r>
      <w:r w:rsidR="000658E6" w:rsidRPr="000B643A" w:rsidDel="00B52786">
        <w:t xml:space="preserve">The </w:t>
      </w:r>
      <w:r w:rsidR="00D6685F">
        <w:t>approaches</w:t>
      </w:r>
      <w:r w:rsidR="00D6685F" w:rsidRPr="000B643A">
        <w:t xml:space="preserve"> </w:t>
      </w:r>
      <w:r w:rsidR="006522E8">
        <w:t xml:space="preserve">have </w:t>
      </w:r>
      <w:r w:rsidR="000658E6" w:rsidRPr="000B643A" w:rsidDel="00B52786">
        <w:t>var</w:t>
      </w:r>
      <w:r w:rsidR="006522E8">
        <w:t>ied</w:t>
      </w:r>
      <w:r w:rsidR="000658E6" w:rsidRPr="000B643A" w:rsidDel="00B52786">
        <w:t xml:space="preserve"> from offering </w:t>
      </w:r>
      <w:r w:rsidR="00D6685F">
        <w:t>geographically disaggregated lots (lots covering discre</w:t>
      </w:r>
      <w:r w:rsidR="00734A7E">
        <w:t>te</w:t>
      </w:r>
      <w:r w:rsidR="00D6685F">
        <w:t xml:space="preserve"> areas, such as each metropolitan city or </w:t>
      </w:r>
      <w:r w:rsidR="00177050">
        <w:t>a</w:t>
      </w:r>
      <w:r w:rsidR="00D6685F">
        <w:t xml:space="preserve"> </w:t>
      </w:r>
      <w:r w:rsidR="00177050">
        <w:t xml:space="preserve">defined </w:t>
      </w:r>
      <w:r w:rsidR="00D6685F">
        <w:t xml:space="preserve">regional area), </w:t>
      </w:r>
      <w:r w:rsidR="000658E6" w:rsidRPr="000B643A" w:rsidDel="00B52786">
        <w:t xml:space="preserve">through </w:t>
      </w:r>
      <w:r w:rsidR="00C10D64" w:rsidRPr="000B643A" w:rsidDel="00B52786">
        <w:t xml:space="preserve">to </w:t>
      </w:r>
      <w:r w:rsidR="000658E6" w:rsidRPr="000B643A" w:rsidDel="00B52786">
        <w:t>a single lot</w:t>
      </w:r>
      <w:r w:rsidR="00D6685F">
        <w:t xml:space="preserve"> covering all of the geographic areas available for allocation</w:t>
      </w:r>
      <w:r w:rsidR="000658E6" w:rsidRPr="000B643A">
        <w:t>.</w:t>
      </w:r>
      <w:r w:rsidR="000658E6" w:rsidRPr="000B643A" w:rsidDel="00B52786">
        <w:t xml:space="preserve"> </w:t>
      </w:r>
    </w:p>
    <w:p w14:paraId="2F58C385" w14:textId="77777777" w:rsidR="000B1BCA" w:rsidRDefault="005669D7" w:rsidP="000B1BCA">
      <w:pPr>
        <w:pStyle w:val="Paragraph"/>
      </w:pPr>
      <w:r>
        <w:t>Our</w:t>
      </w:r>
      <w:r w:rsidR="00002C74">
        <w:t xml:space="preserve"> approach to defining the geographic areas of lots will be informed by the potential bidders’ expected use of the spectrum. </w:t>
      </w:r>
      <w:r w:rsidR="00CB0E3B">
        <w:t>For example, if</w:t>
      </w:r>
      <w:r w:rsidR="00002C74">
        <w:t xml:space="preserve"> </w:t>
      </w:r>
      <w:r w:rsidR="007C09ED">
        <w:t xml:space="preserve">likely </w:t>
      </w:r>
      <w:r w:rsidR="00002C74">
        <w:t xml:space="preserve">bidders are seeking to </w:t>
      </w:r>
      <w:r w:rsidR="00E53CCC">
        <w:t>provide</w:t>
      </w:r>
      <w:r w:rsidR="007C09ED">
        <w:t xml:space="preserve"> services </w:t>
      </w:r>
      <w:r w:rsidR="00A949CC">
        <w:t>across</w:t>
      </w:r>
      <w:r w:rsidR="007C09ED">
        <w:t xml:space="preserve"> a national market, then it may </w:t>
      </w:r>
      <w:r w:rsidR="00002C74">
        <w:t xml:space="preserve">be </w:t>
      </w:r>
      <w:r w:rsidR="006522E8">
        <w:t xml:space="preserve">appropriate </w:t>
      </w:r>
      <w:r w:rsidR="00002C74">
        <w:t xml:space="preserve">to </w:t>
      </w:r>
      <w:r w:rsidR="006522E8">
        <w:t xml:space="preserve">offer </w:t>
      </w:r>
      <w:r w:rsidR="00DA10AF">
        <w:t>nationwide</w:t>
      </w:r>
      <w:r w:rsidR="007C09ED">
        <w:t xml:space="preserve"> </w:t>
      </w:r>
      <w:r w:rsidR="006522E8">
        <w:t>lots</w:t>
      </w:r>
      <w:r w:rsidR="00002C74">
        <w:t xml:space="preserve">. </w:t>
      </w:r>
      <w:r w:rsidR="007C09ED">
        <w:t>Alternatively, i</w:t>
      </w:r>
      <w:r w:rsidR="00002C74">
        <w:t xml:space="preserve">f some bidders are interested in only deploying networks in </w:t>
      </w:r>
      <w:r w:rsidR="006522E8">
        <w:t xml:space="preserve">a </w:t>
      </w:r>
      <w:r w:rsidR="00002C74">
        <w:t xml:space="preserve">few </w:t>
      </w:r>
      <w:r w:rsidR="006522E8">
        <w:t>areas</w:t>
      </w:r>
      <w:r w:rsidR="00002C74">
        <w:t xml:space="preserve">, </w:t>
      </w:r>
      <w:r w:rsidR="006522E8">
        <w:t xml:space="preserve">then </w:t>
      </w:r>
      <w:r w:rsidR="00002C74">
        <w:t>it may be preferable to define lots on a regionally disaggregated basis</w:t>
      </w:r>
      <w:r w:rsidR="007C09ED">
        <w:t xml:space="preserve">, in order to allow them to purchase the spectrum </w:t>
      </w:r>
      <w:r w:rsidR="00A813B3">
        <w:t>in areas</w:t>
      </w:r>
      <w:r w:rsidR="007C09ED">
        <w:t xml:space="preserve"> consistent with their business plan.</w:t>
      </w:r>
      <w:r w:rsidR="006B5F58">
        <w:t xml:space="preserve"> </w:t>
      </w:r>
      <w:r w:rsidR="000B1BCA">
        <w:t>Our approach to determining geographic lot configuration is further informed by the Government’s stated policy objectives of p</w:t>
      </w:r>
      <w:r w:rsidR="000B1BCA" w:rsidRPr="00397975">
        <w:t>romoting competitive market outcomes</w:t>
      </w:r>
      <w:r w:rsidR="000B1BCA">
        <w:t xml:space="preserve"> and encouraging infrastructure investment.</w:t>
      </w:r>
    </w:p>
    <w:p w14:paraId="31539027" w14:textId="7B519D6E" w:rsidR="007C09ED" w:rsidRDefault="007C09ED" w:rsidP="007C09ED">
      <w:pPr>
        <w:pStyle w:val="Paragraph"/>
      </w:pPr>
    </w:p>
    <w:p w14:paraId="4221F3E7" w14:textId="15C86D66" w:rsidR="009F7DFD" w:rsidRDefault="005669D7" w:rsidP="007C09ED">
      <w:pPr>
        <w:pStyle w:val="Paragraph"/>
      </w:pPr>
      <w:r>
        <w:t>We anticipate</w:t>
      </w:r>
      <w:r w:rsidR="009F7DFD">
        <w:t xml:space="preserve"> that the bidders are likely </w:t>
      </w:r>
      <w:r w:rsidR="009F7DFD" w:rsidRPr="00C94462">
        <w:t>to replicate the coverage of current networks and roll out additional coverage where people work, live or travel</w:t>
      </w:r>
      <w:r w:rsidR="009F7DFD">
        <w:t xml:space="preserve">. Consistent with it being a national market, the current use of the 900 MHz-based networks is effectively nation-wide. Relevantly, when considering the downstream market for the purposes of advising the Minister on </w:t>
      </w:r>
      <w:r w:rsidR="008F57A5">
        <w:t xml:space="preserve">allocation </w:t>
      </w:r>
      <w:r w:rsidR="009F7DFD">
        <w:t>limits, the ACCC typically refers to the mobile services market as a national market.</w:t>
      </w:r>
      <w:r w:rsidR="00A12683">
        <w:rPr>
          <w:rStyle w:val="FootnoteReference"/>
        </w:rPr>
        <w:footnoteReference w:id="13"/>
      </w:r>
      <w:r w:rsidR="009F7DFD">
        <w:t xml:space="preserve"> </w:t>
      </w:r>
      <w:r w:rsidR="000D1AA5">
        <w:t>However</w:t>
      </w:r>
      <w:r w:rsidR="009F7DFD">
        <w:t>, it remains a possibility that regionally</w:t>
      </w:r>
      <w:r w:rsidR="000D1AA5">
        <w:t>-</w:t>
      </w:r>
      <w:r w:rsidR="009F7DFD">
        <w:t>focused supplier</w:t>
      </w:r>
      <w:r w:rsidR="00581B8C">
        <w:t>s</w:t>
      </w:r>
      <w:r w:rsidR="009F7DFD">
        <w:t xml:space="preserve"> may </w:t>
      </w:r>
      <w:r w:rsidR="005E4D42">
        <w:t xml:space="preserve">be interested in participating in the allocation. If so, </w:t>
      </w:r>
      <w:r w:rsidR="00A64C0C">
        <w:t>regionally disaggregated lots may be appropriate.</w:t>
      </w:r>
    </w:p>
    <w:p w14:paraId="05AAD451" w14:textId="003FC2F4" w:rsidR="00FB58F2" w:rsidRDefault="00FB58F2" w:rsidP="00F942BA">
      <w:pPr>
        <w:pStyle w:val="Paragraph"/>
      </w:pPr>
      <w:r>
        <w:t>I</w:t>
      </w:r>
      <w:r w:rsidR="003D1BD9">
        <w:t xml:space="preserve">n </w:t>
      </w:r>
      <w:r w:rsidR="00B52786">
        <w:t xml:space="preserve">considering how spectrum </w:t>
      </w:r>
      <w:r w:rsidR="00CB0E3B">
        <w:t>sh</w:t>
      </w:r>
      <w:r w:rsidR="00617D00">
        <w:t>ould</w:t>
      </w:r>
      <w:r w:rsidR="00B52786">
        <w:t xml:space="preserve"> be </w:t>
      </w:r>
      <w:r w:rsidR="003D1BD9">
        <w:t>configured</w:t>
      </w:r>
      <w:r w:rsidR="00B52786">
        <w:t xml:space="preserve"> into lots for sale</w:t>
      </w:r>
      <w:r w:rsidR="00F55FE3">
        <w:t xml:space="preserve">, </w:t>
      </w:r>
      <w:r w:rsidR="00026BCF">
        <w:t>we</w:t>
      </w:r>
      <w:r w:rsidR="00F55FE3">
        <w:t xml:space="preserve"> </w:t>
      </w:r>
      <w:r w:rsidR="00002C74">
        <w:t xml:space="preserve">also </w:t>
      </w:r>
      <w:proofErr w:type="gramStart"/>
      <w:r w:rsidR="00127DFE">
        <w:t>take into account</w:t>
      </w:r>
      <w:proofErr w:type="gramEnd"/>
      <w:r w:rsidR="00FC1E75">
        <w:t xml:space="preserve"> the </w:t>
      </w:r>
      <w:r w:rsidR="002E0498">
        <w:t xml:space="preserve">propagation characteristics of the spectrum. </w:t>
      </w:r>
      <w:r w:rsidR="006522E8">
        <w:t>In the case of the 850/900 MHz band, t</w:t>
      </w:r>
      <w:r w:rsidR="00BB1CD1" w:rsidRPr="00BB1CD1">
        <w:t xml:space="preserve">he propagation characteristics are such that signals are transmitted over wide areas without </w:t>
      </w:r>
      <w:r>
        <w:t>significant</w:t>
      </w:r>
      <w:r w:rsidRPr="00BB1CD1">
        <w:t xml:space="preserve"> </w:t>
      </w:r>
      <w:r w:rsidR="00BB1CD1" w:rsidRPr="00BB1CD1">
        <w:t>attenuation of that signal.</w:t>
      </w:r>
      <w:r w:rsidR="00E35E0C">
        <w:t xml:space="preserve"> </w:t>
      </w:r>
      <w:r w:rsidR="00CB0E3B">
        <w:t xml:space="preserve">This means </w:t>
      </w:r>
      <w:r w:rsidR="006A6496">
        <w:t xml:space="preserve">that operation of </w:t>
      </w:r>
      <w:r w:rsidR="00CB0E3B">
        <w:t xml:space="preserve">devices </w:t>
      </w:r>
      <w:r w:rsidR="006522E8">
        <w:t xml:space="preserve">deployed </w:t>
      </w:r>
      <w:r w:rsidR="006A6496">
        <w:t xml:space="preserve">close to the edge of </w:t>
      </w:r>
      <w:r w:rsidR="00CB0E3B">
        <w:t xml:space="preserve">the </w:t>
      </w:r>
      <w:r w:rsidR="006A6496">
        <w:t xml:space="preserve">geographical boundary of </w:t>
      </w:r>
      <w:r w:rsidR="00CB0E3B">
        <w:t>a licence</w:t>
      </w:r>
      <w:r w:rsidR="006A6496">
        <w:t xml:space="preserve"> may create a significant risk of unacceptable interference to the adjacent licensee.</w:t>
      </w:r>
      <w:r w:rsidR="008A2B6A">
        <w:t xml:space="preserve"> </w:t>
      </w:r>
      <w:r w:rsidR="006A6496">
        <w:t xml:space="preserve">Management of this risk </w:t>
      </w:r>
      <w:r w:rsidR="00CB0E3B">
        <w:t xml:space="preserve">may mean that licensees simply cannot operate close to such a boundary, </w:t>
      </w:r>
      <w:r w:rsidR="008A2B6A">
        <w:t>result</w:t>
      </w:r>
      <w:r w:rsidR="00CB0E3B">
        <w:t>ing</w:t>
      </w:r>
      <w:r w:rsidR="008A2B6A">
        <w:t xml:space="preserve"> in areas without service coverage or ‘dead </w:t>
      </w:r>
      <w:proofErr w:type="gramStart"/>
      <w:r w:rsidR="008A2B6A">
        <w:t>zones’</w:t>
      </w:r>
      <w:proofErr w:type="gramEnd"/>
      <w:r w:rsidR="008A2B6A">
        <w:t>.</w:t>
      </w:r>
    </w:p>
    <w:p w14:paraId="748C7825" w14:textId="1DE8A9AE" w:rsidR="00BB28E8" w:rsidRDefault="00BB28E8" w:rsidP="00BB28E8">
      <w:pPr>
        <w:pStyle w:val="Paragraph"/>
      </w:pPr>
      <w:r>
        <w:t xml:space="preserve">In addition, a high level of regional disaggregation can </w:t>
      </w:r>
      <w:r w:rsidRPr="00617D00">
        <w:t>introduce significant complexity to the allocation</w:t>
      </w:r>
      <w:r>
        <w:t xml:space="preserve">, with bidders being required to formulate valuations and bidding strategies for </w:t>
      </w:r>
      <w:proofErr w:type="gramStart"/>
      <w:r>
        <w:t>a large number of</w:t>
      </w:r>
      <w:proofErr w:type="gramEnd"/>
      <w:r>
        <w:t xml:space="preserve"> lots.</w:t>
      </w:r>
      <w:r w:rsidR="007C22EF">
        <w:t xml:space="preserve"> </w:t>
      </w:r>
      <w:r w:rsidR="00542872">
        <w:t>There is also some risk that prospective licensees may not acquire all geographic areas crucial to their business plans.</w:t>
      </w:r>
    </w:p>
    <w:p w14:paraId="73378030" w14:textId="121724DB" w:rsidR="00FB58F2" w:rsidRDefault="005669D7" w:rsidP="00F942BA">
      <w:pPr>
        <w:pStyle w:val="Paragraph"/>
      </w:pPr>
      <w:r>
        <w:t>We</w:t>
      </w:r>
      <w:r w:rsidR="00CB0E3B">
        <w:t xml:space="preserve"> must therefore balance the flexibility </w:t>
      </w:r>
      <w:r w:rsidR="006522E8">
        <w:t xml:space="preserve">that might arise from </w:t>
      </w:r>
      <w:r w:rsidR="00CB0E3B">
        <w:t xml:space="preserve">offering </w:t>
      </w:r>
      <w:r w:rsidR="00177050">
        <w:t>regionally disaggregated</w:t>
      </w:r>
      <w:r w:rsidR="00CB0E3B">
        <w:t xml:space="preserve"> lots at an allocation</w:t>
      </w:r>
      <w:r w:rsidR="009E7FB7">
        <w:t xml:space="preserve">, with the risk </w:t>
      </w:r>
      <w:r w:rsidR="00BB28E8">
        <w:t xml:space="preserve">of </w:t>
      </w:r>
      <w:r w:rsidR="009E7FB7">
        <w:t xml:space="preserve">dead zones </w:t>
      </w:r>
      <w:r w:rsidR="00BB28E8">
        <w:t>(and consequent consumer detriment) near licence</w:t>
      </w:r>
      <w:r w:rsidR="00177050">
        <w:t xml:space="preserve"> boundaries</w:t>
      </w:r>
      <w:r w:rsidR="00BB28E8">
        <w:t xml:space="preserve"> </w:t>
      </w:r>
      <w:r w:rsidR="001C0E17">
        <w:t xml:space="preserve">and </w:t>
      </w:r>
      <w:r w:rsidR="00BB28E8">
        <w:t>increased allocation complexity</w:t>
      </w:r>
      <w:r w:rsidR="009E7FB7">
        <w:t xml:space="preserve">. </w:t>
      </w:r>
    </w:p>
    <w:p w14:paraId="140868D1" w14:textId="3EFD6C83" w:rsidR="001C0E17" w:rsidRDefault="00060235">
      <w:pPr>
        <w:pStyle w:val="Paragraph"/>
      </w:pPr>
      <w:r>
        <w:t>We have</w:t>
      </w:r>
      <w:r w:rsidR="00B52786">
        <w:t xml:space="preserve"> </w:t>
      </w:r>
      <w:r w:rsidR="00617D00">
        <w:t>considered three</w:t>
      </w:r>
      <w:r w:rsidR="00B52786">
        <w:t xml:space="preserve"> </w:t>
      </w:r>
      <w:r w:rsidR="00617D00">
        <w:t xml:space="preserve">geographic </w:t>
      </w:r>
      <w:r w:rsidR="00B52786">
        <w:t xml:space="preserve">configuration </w:t>
      </w:r>
      <w:r w:rsidR="00850AD7">
        <w:t>options</w:t>
      </w:r>
      <w:r w:rsidR="00B52786">
        <w:t xml:space="preserve"> </w:t>
      </w:r>
      <w:r w:rsidR="00617D00">
        <w:t xml:space="preserve">for the allocation of </w:t>
      </w:r>
      <w:r w:rsidR="001C0E17">
        <w:t xml:space="preserve">the </w:t>
      </w:r>
      <w:r w:rsidR="0023275E">
        <w:t>850/900 MHz band</w:t>
      </w:r>
      <w:r w:rsidR="00B52786">
        <w:t>.</w:t>
      </w:r>
      <w:r w:rsidR="00FC1E75">
        <w:t xml:space="preserve"> </w:t>
      </w:r>
      <w:r w:rsidR="00617D00">
        <w:t xml:space="preserve">All options cover a relatively large </w:t>
      </w:r>
      <w:r w:rsidR="00590B76">
        <w:t xml:space="preserve">geographic </w:t>
      </w:r>
      <w:r w:rsidR="00617D00">
        <w:t xml:space="preserve">area. </w:t>
      </w:r>
      <w:r>
        <w:t>We</w:t>
      </w:r>
      <w:r w:rsidR="00617D00" w:rsidRPr="00617D00">
        <w:t xml:space="preserve"> do not consider options with smaller geographical areas are feasible</w:t>
      </w:r>
      <w:r w:rsidR="00F57CC4">
        <w:t xml:space="preserve"> in the 850/900</w:t>
      </w:r>
      <w:r w:rsidR="0068164A">
        <w:t> </w:t>
      </w:r>
      <w:r w:rsidR="00F57CC4">
        <w:t>MHz band</w:t>
      </w:r>
      <w:r w:rsidR="00617D00" w:rsidRPr="00617D00">
        <w:t xml:space="preserve">. </w:t>
      </w:r>
      <w:r w:rsidR="009E7FB7">
        <w:t xml:space="preserve">Given the propagation characteristics of the spectrum, small areas </w:t>
      </w:r>
      <w:r w:rsidR="003D1BD9">
        <w:t xml:space="preserve">would create a risk of </w:t>
      </w:r>
      <w:r w:rsidR="009E7FB7">
        <w:t xml:space="preserve">significant </w:t>
      </w:r>
      <w:r w:rsidR="003D1BD9">
        <w:t>technical inefficiency if a bidder acquired geographically non-contiguous lots</w:t>
      </w:r>
      <w:r w:rsidR="00D70DF3">
        <w:t xml:space="preserve">, with the potential for </w:t>
      </w:r>
      <w:proofErr w:type="gramStart"/>
      <w:r w:rsidR="00D70DF3">
        <w:t>a number of</w:t>
      </w:r>
      <w:proofErr w:type="gramEnd"/>
      <w:r w:rsidR="00D70DF3">
        <w:t xml:space="preserve"> dead zones</w:t>
      </w:r>
      <w:r w:rsidR="003D1BD9">
        <w:t xml:space="preserve">. </w:t>
      </w:r>
    </w:p>
    <w:p w14:paraId="4FF390AE" w14:textId="48C76FBE" w:rsidR="000658E6" w:rsidRDefault="000658E6" w:rsidP="00177B4E">
      <w:pPr>
        <w:pStyle w:val="Heading3"/>
      </w:pPr>
      <w:r>
        <w:t xml:space="preserve">Option 1: </w:t>
      </w:r>
      <w:r w:rsidR="0068164A">
        <w:t xml:space="preserve">A single </w:t>
      </w:r>
      <w:r w:rsidR="007B3869">
        <w:t>Australia-wide</w:t>
      </w:r>
      <w:r w:rsidR="00C4011A">
        <w:t xml:space="preserve"> lot</w:t>
      </w:r>
    </w:p>
    <w:p w14:paraId="212B324F" w14:textId="1B38A885" w:rsidR="002E0498" w:rsidRDefault="00855192" w:rsidP="00082D94">
      <w:pPr>
        <w:pStyle w:val="Paragraph"/>
      </w:pPr>
      <w:r>
        <w:t>A</w:t>
      </w:r>
      <w:r w:rsidR="0068164A">
        <w:t xml:space="preserve"> single</w:t>
      </w:r>
      <w:r>
        <w:t xml:space="preserve"> Australia-wide lot would cover the geographic area of </w:t>
      </w:r>
      <w:r w:rsidR="00477ABD">
        <w:t xml:space="preserve">the </w:t>
      </w:r>
      <w:r>
        <w:t>entirety of Australia</w:t>
      </w:r>
      <w:r w:rsidR="004F4772">
        <w:t xml:space="preserve"> </w:t>
      </w:r>
      <w:proofErr w:type="gramStart"/>
      <w:r w:rsidR="004F4772">
        <w:t>with the exception of</w:t>
      </w:r>
      <w:proofErr w:type="gramEnd"/>
      <w:r w:rsidR="004F4772">
        <w:t xml:space="preserve"> the mid-west RQZ</w:t>
      </w:r>
      <w:r w:rsidR="00082D94">
        <w:t xml:space="preserve">. </w:t>
      </w:r>
    </w:p>
    <w:p w14:paraId="2E20CF53" w14:textId="7927E712" w:rsidR="00F57CC4" w:rsidRDefault="00BB1CD1" w:rsidP="002E0498">
      <w:pPr>
        <w:pStyle w:val="Paragraph"/>
      </w:pPr>
      <w:bookmarkStart w:id="69" w:name="_Hlk34829200"/>
      <w:r>
        <w:t>Due to t</w:t>
      </w:r>
      <w:r w:rsidR="002E0498">
        <w:t>he propagation characteristics of the 850/900 MHz band</w:t>
      </w:r>
      <w:r>
        <w:t>,</w:t>
      </w:r>
      <w:r w:rsidR="002E0498">
        <w:t xml:space="preserve"> </w:t>
      </w:r>
      <w:bookmarkEnd w:id="69"/>
      <w:r w:rsidR="002E0498">
        <w:t>the cost of building and maintaining mobile networks over large areas</w:t>
      </w:r>
      <w:r>
        <w:t xml:space="preserve"> may be significantly reduced</w:t>
      </w:r>
      <w:r w:rsidR="002E0498">
        <w:t xml:space="preserve"> (f</w:t>
      </w:r>
      <w:r w:rsidR="002E0498" w:rsidRPr="00535B80">
        <w:t>or example, by reducing the numb</w:t>
      </w:r>
      <w:r w:rsidR="002E0498" w:rsidRPr="007147A9">
        <w:t>er of base stations required to service a large area compared to providing a similar service using higher frequency bands</w:t>
      </w:r>
      <w:r w:rsidR="002E0498">
        <w:t>).</w:t>
      </w:r>
      <w:r w:rsidR="00195015">
        <w:t xml:space="preserve"> </w:t>
      </w:r>
      <w:r w:rsidR="00F57CC4">
        <w:t xml:space="preserve">In addition, </w:t>
      </w:r>
      <w:r w:rsidR="00060235">
        <w:t xml:space="preserve">to manage the risk of unacceptable interference to adjacent licensees, </w:t>
      </w:r>
      <w:r w:rsidR="00925E8B">
        <w:t xml:space="preserve">an Australia-wide lot </w:t>
      </w:r>
      <w:r w:rsidR="00060235">
        <w:t xml:space="preserve">would </w:t>
      </w:r>
      <w:r w:rsidR="00040269">
        <w:t xml:space="preserve">eliminate </w:t>
      </w:r>
      <w:r w:rsidR="00F57CC4">
        <w:t>the risk of licensees creat</w:t>
      </w:r>
      <w:r w:rsidR="0077216B">
        <w:t>ing</w:t>
      </w:r>
      <w:r w:rsidR="00F57CC4">
        <w:t xml:space="preserve"> dead zones in their licensed areas. </w:t>
      </w:r>
    </w:p>
    <w:p w14:paraId="14D8F859" w14:textId="7CC8B8B9" w:rsidR="00617D00" w:rsidRDefault="003017FC" w:rsidP="00082D94">
      <w:pPr>
        <w:pStyle w:val="Paragraph"/>
      </w:pPr>
      <w:r>
        <w:t>Under a regionally disaggregated lot configuration</w:t>
      </w:r>
      <w:r w:rsidR="0077216B">
        <w:t>, there is a risk</w:t>
      </w:r>
      <w:r>
        <w:t xml:space="preserve"> </w:t>
      </w:r>
      <w:r w:rsidR="00060235">
        <w:t xml:space="preserve">a </w:t>
      </w:r>
      <w:r>
        <w:t>prospective licensee may only win a subset of the</w:t>
      </w:r>
      <w:r w:rsidR="00482622">
        <w:t>ir</w:t>
      </w:r>
      <w:r>
        <w:t xml:space="preserve"> desired lots at a </w:t>
      </w:r>
      <w:r w:rsidR="00482622">
        <w:t xml:space="preserve">$/MHz/pop </w:t>
      </w:r>
      <w:r>
        <w:t xml:space="preserve">price beyond what </w:t>
      </w:r>
      <w:r w:rsidR="00060235">
        <w:t>they are</w:t>
      </w:r>
      <w:r>
        <w:t xml:space="preserve"> willing to pay for that subset</w:t>
      </w:r>
      <w:r w:rsidR="00482622">
        <w:t xml:space="preserve">, as </w:t>
      </w:r>
      <w:r>
        <w:t>t</w:t>
      </w:r>
      <w:r w:rsidR="00482622">
        <w:t xml:space="preserve">he $/MHz/pop price of </w:t>
      </w:r>
      <w:r w:rsidR="000D68DC">
        <w:t xml:space="preserve">their </w:t>
      </w:r>
      <w:r w:rsidR="00482622">
        <w:t>bids was</w:t>
      </w:r>
      <w:r w:rsidR="000D68DC">
        <w:t xml:space="preserve"> likely to be</w:t>
      </w:r>
      <w:r w:rsidR="00482622">
        <w:t xml:space="preserve"> predicated on obtaining the desired set of lots. </w:t>
      </w:r>
      <w:r w:rsidR="0077216B">
        <w:t>An Australia-wide lot</w:t>
      </w:r>
      <w:r w:rsidR="00082D94">
        <w:t xml:space="preserve">, therefore, reduces </w:t>
      </w:r>
      <w:r w:rsidR="00A33F06">
        <w:t xml:space="preserve">regional </w:t>
      </w:r>
      <w:r w:rsidR="00082D94">
        <w:t xml:space="preserve">exposure risk </w:t>
      </w:r>
      <w:r w:rsidR="00582A46">
        <w:t>for bidders</w:t>
      </w:r>
      <w:r w:rsidR="00A87203">
        <w:t xml:space="preserve"> wishing to deploy a </w:t>
      </w:r>
      <w:r w:rsidR="00DA10AF">
        <w:t>nationwide</w:t>
      </w:r>
      <w:r w:rsidR="00A87203">
        <w:t xml:space="preserve"> network</w:t>
      </w:r>
      <w:r w:rsidR="00082D94">
        <w:t>.</w:t>
      </w:r>
    </w:p>
    <w:p w14:paraId="1F821AEC" w14:textId="7B2E2E7D" w:rsidR="00617D00" w:rsidRDefault="00617D00" w:rsidP="00617D00">
      <w:r>
        <w:lastRenderedPageBreak/>
        <w:t xml:space="preserve">However, prospective licensees seeking to provide services in a </w:t>
      </w:r>
      <w:proofErr w:type="gramStart"/>
      <w:r>
        <w:t>particular geographic</w:t>
      </w:r>
      <w:proofErr w:type="gramEnd"/>
      <w:r>
        <w:t xml:space="preserve"> area would be forced to acquire a l</w:t>
      </w:r>
      <w:r w:rsidR="00082D94">
        <w:t>ot</w:t>
      </w:r>
      <w:r>
        <w:t xml:space="preserve"> that also covered unwanted areas. This may mean that those unwanted areas are denied services. There is also a possibility that Australia-wide lots may discourage some potential licensees from participating in the allocation </w:t>
      </w:r>
      <w:r w:rsidR="00760C98">
        <w:t xml:space="preserve">process </w:t>
      </w:r>
      <w:r>
        <w:t>because their commercial interest relates only to discrete geographic areas.</w:t>
      </w:r>
    </w:p>
    <w:p w14:paraId="3E8D0FE8" w14:textId="2EFC9B69" w:rsidR="000658E6" w:rsidRPr="00E12BD8" w:rsidRDefault="000658E6" w:rsidP="00177B4E">
      <w:pPr>
        <w:pStyle w:val="Heading3"/>
      </w:pPr>
      <w:r w:rsidRPr="00E12BD8">
        <w:t xml:space="preserve">Option 2: </w:t>
      </w:r>
      <w:r w:rsidR="00582A46">
        <w:t>Large geographic areas</w:t>
      </w:r>
    </w:p>
    <w:p w14:paraId="47FA429D" w14:textId="0F79ED06" w:rsidR="00195015" w:rsidRDefault="00582A46" w:rsidP="00195015">
      <w:r>
        <w:t xml:space="preserve">The spectrum could also be divided into a </w:t>
      </w:r>
      <w:r w:rsidR="006C0BFE">
        <w:t xml:space="preserve">few </w:t>
      </w:r>
      <w:r>
        <w:t xml:space="preserve">relatively large geographic areas for allocation, </w:t>
      </w:r>
      <w:r w:rsidR="0007793C">
        <w:t>such as</w:t>
      </w:r>
      <w:r>
        <w:t xml:space="preserve"> </w:t>
      </w:r>
      <w:r w:rsidR="00947754">
        <w:t xml:space="preserve">areas </w:t>
      </w:r>
      <w:r>
        <w:t xml:space="preserve">approximating </w:t>
      </w:r>
      <w:r w:rsidR="005F61A0">
        <w:t>s</w:t>
      </w:r>
      <w:r w:rsidR="00477ABD" w:rsidRPr="00E12BD8">
        <w:t>tate</w:t>
      </w:r>
      <w:r w:rsidR="00EA44F3">
        <w:t>s</w:t>
      </w:r>
      <w:r w:rsidR="00477ABD" w:rsidRPr="00E12BD8">
        <w:t xml:space="preserve"> and </w:t>
      </w:r>
      <w:r w:rsidR="005F61A0">
        <w:t>t</w:t>
      </w:r>
      <w:r w:rsidR="00477ABD" w:rsidRPr="00E12BD8">
        <w:t>erritor</w:t>
      </w:r>
      <w:r w:rsidR="00EA44F3">
        <w:t>ies</w:t>
      </w:r>
      <w:r>
        <w:t>. Such an option</w:t>
      </w:r>
      <w:r w:rsidR="00477ABD" w:rsidRPr="00E12BD8">
        <w:t xml:space="preserve"> </w:t>
      </w:r>
      <w:r w:rsidR="006F5B1C">
        <w:t xml:space="preserve">would suit </w:t>
      </w:r>
      <w:r w:rsidR="00477ABD" w:rsidRPr="00E12BD8">
        <w:t xml:space="preserve">prospective licensees </w:t>
      </w:r>
      <w:r w:rsidR="006F5B1C">
        <w:t xml:space="preserve">who were interested in only </w:t>
      </w:r>
      <w:r w:rsidR="00477ABD" w:rsidRPr="00E12BD8">
        <w:t>a localised deployment of their services. For example, if a prospective licensee only wanted to deploy services in South Australia, they would be able to purchase spectrum only in South Australia.</w:t>
      </w:r>
      <w:r w:rsidR="00195015">
        <w:t xml:space="preserve"> </w:t>
      </w:r>
    </w:p>
    <w:p w14:paraId="5B934ADE" w14:textId="71D5A56B" w:rsidR="00BB1CD1" w:rsidRDefault="00582A46" w:rsidP="00C4430A">
      <w:r>
        <w:t>Creating several large lots</w:t>
      </w:r>
      <w:r w:rsidR="0017627F">
        <w:t>, however,</w:t>
      </w:r>
      <w:r w:rsidR="00477ABD" w:rsidRPr="00E12BD8">
        <w:t xml:space="preserve"> </w:t>
      </w:r>
      <w:r>
        <w:t>would</w:t>
      </w:r>
      <w:r w:rsidRPr="00E12BD8">
        <w:t xml:space="preserve"> </w:t>
      </w:r>
      <w:r w:rsidR="0017627F">
        <w:t xml:space="preserve">increase </w:t>
      </w:r>
      <w:r w:rsidR="00CA68D7">
        <w:t xml:space="preserve">region-based </w:t>
      </w:r>
      <w:r w:rsidR="00686C60">
        <w:t>exposure risk</w:t>
      </w:r>
      <w:r w:rsidR="00477ABD" w:rsidRPr="00E12BD8">
        <w:t xml:space="preserve"> for potential bidders </w:t>
      </w:r>
      <w:r w:rsidR="0017627F">
        <w:t xml:space="preserve">who </w:t>
      </w:r>
      <w:r>
        <w:t>are seeking national coverage</w:t>
      </w:r>
      <w:r w:rsidR="00477ABD" w:rsidRPr="00E12BD8">
        <w:t xml:space="preserve"> </w:t>
      </w:r>
      <w:r w:rsidR="00C4430A">
        <w:t xml:space="preserve">because they may </w:t>
      </w:r>
      <w:r w:rsidR="0017627F" w:rsidRPr="00E12BD8">
        <w:t>not be</w:t>
      </w:r>
      <w:r w:rsidR="00C4430A">
        <w:t xml:space="preserve"> successful in acquiring lots across all desired areas. This may affect network rollout and </w:t>
      </w:r>
      <w:r w:rsidR="0017627F" w:rsidRPr="00E12BD8">
        <w:t>provision of services to the end user.</w:t>
      </w:r>
      <w:r w:rsidR="0017627F">
        <w:t xml:space="preserve"> This </w:t>
      </w:r>
      <w:r w:rsidR="00C4430A">
        <w:t xml:space="preserve">risk is considered significant in the 850/900 MHz band, where </w:t>
      </w:r>
      <w:proofErr w:type="gramStart"/>
      <w:r w:rsidR="00C4430A">
        <w:t>a number of</w:t>
      </w:r>
      <w:proofErr w:type="gramEnd"/>
      <w:r w:rsidR="00C4430A">
        <w:t xml:space="preserve"> </w:t>
      </w:r>
      <w:r w:rsidR="0017627F">
        <w:t xml:space="preserve">prospective licensees are </w:t>
      </w:r>
      <w:r w:rsidR="00C4430A">
        <w:t xml:space="preserve">expected to </w:t>
      </w:r>
      <w:r w:rsidR="0017627F">
        <w:t xml:space="preserve">seek to deploy services </w:t>
      </w:r>
      <w:r w:rsidR="00C4430A">
        <w:t xml:space="preserve">on a </w:t>
      </w:r>
      <w:r w:rsidR="007954A1">
        <w:t xml:space="preserve">national </w:t>
      </w:r>
      <w:r w:rsidR="00C4430A">
        <w:t>basis</w:t>
      </w:r>
      <w:r w:rsidR="0017627F">
        <w:t xml:space="preserve">. </w:t>
      </w:r>
    </w:p>
    <w:p w14:paraId="5F1B52F0" w14:textId="7DAC4433" w:rsidR="00E64B46" w:rsidRDefault="00C4430A" w:rsidP="00C4430A">
      <w:r>
        <w:t xml:space="preserve">Lots covering large geographic areas </w:t>
      </w:r>
      <w:r w:rsidR="00F03609">
        <w:t>are likely to</w:t>
      </w:r>
      <w:r>
        <w:t xml:space="preserve"> create dead zones </w:t>
      </w:r>
      <w:r w:rsidR="00BB1CD1">
        <w:t xml:space="preserve">at the edges of the geographic boundaries, </w:t>
      </w:r>
      <w:r>
        <w:t xml:space="preserve">due to </w:t>
      </w:r>
      <w:r w:rsidR="00317F90">
        <w:t xml:space="preserve">interference management measures. </w:t>
      </w:r>
      <w:r w:rsidR="00F40E33">
        <w:t>However, b</w:t>
      </w:r>
      <w:r w:rsidR="00040269">
        <w:t>oundaries may be placed away from major population centres in order to mitigate</w:t>
      </w:r>
      <w:r w:rsidR="00642212">
        <w:t xml:space="preserve"> </w:t>
      </w:r>
      <w:r w:rsidR="00040269">
        <w:t xml:space="preserve">the impact of dead zones on consumer service delivery. </w:t>
      </w:r>
    </w:p>
    <w:p w14:paraId="54952BD0" w14:textId="0E443228" w:rsidR="0017627F" w:rsidRPr="00E12BD8" w:rsidRDefault="00195015" w:rsidP="000658E6">
      <w:r>
        <w:t xml:space="preserve">This option would also increase complexity in </w:t>
      </w:r>
      <w:r w:rsidR="00C4430A">
        <w:t>the</w:t>
      </w:r>
      <w:r>
        <w:t xml:space="preserve"> allocation due to the </w:t>
      </w:r>
      <w:r w:rsidR="00C4430A">
        <w:t>larger</w:t>
      </w:r>
      <w:r>
        <w:t xml:space="preserve"> number of </w:t>
      </w:r>
      <w:r w:rsidR="00C4430A">
        <w:t>lots on offer</w:t>
      </w:r>
      <w:r>
        <w:t>.</w:t>
      </w:r>
    </w:p>
    <w:p w14:paraId="45A7EFB7" w14:textId="3753A6F1" w:rsidR="000658E6" w:rsidRPr="00E12BD8" w:rsidRDefault="000658E6" w:rsidP="00177B4E">
      <w:pPr>
        <w:pStyle w:val="Heading3"/>
      </w:pPr>
      <w:r w:rsidRPr="00E12BD8">
        <w:t xml:space="preserve">Option </w:t>
      </w:r>
      <w:r w:rsidR="00832DC7">
        <w:t>3</w:t>
      </w:r>
      <w:r w:rsidRPr="00E12BD8">
        <w:t xml:space="preserve">: </w:t>
      </w:r>
      <w:r w:rsidR="0099765B">
        <w:t>Small</w:t>
      </w:r>
      <w:r w:rsidR="00154843">
        <w:t>er</w:t>
      </w:r>
      <w:r w:rsidR="0099765B">
        <w:t xml:space="preserve"> geographic areas</w:t>
      </w:r>
    </w:p>
    <w:p w14:paraId="54DA17B6" w14:textId="68DA472D" w:rsidR="00765DC8" w:rsidRPr="00E12BD8" w:rsidRDefault="00C4430A" w:rsidP="00855192">
      <w:r>
        <w:t xml:space="preserve">The spectrum could also be divided into a </w:t>
      </w:r>
      <w:r w:rsidR="00154843">
        <w:t xml:space="preserve">somewhat </w:t>
      </w:r>
      <w:r>
        <w:t>large</w:t>
      </w:r>
      <w:r w:rsidR="00154843">
        <w:t>r</w:t>
      </w:r>
      <w:r>
        <w:t xml:space="preserve"> number of smaller lots for allocation, such as </w:t>
      </w:r>
      <w:r w:rsidR="00CE20F2" w:rsidRPr="00E12BD8">
        <w:t xml:space="preserve">separate metropolitan and regional </w:t>
      </w:r>
      <w:r w:rsidR="00293B3B" w:rsidRPr="00E12BD8">
        <w:t>areas</w:t>
      </w:r>
      <w:r w:rsidR="00CE20F2" w:rsidRPr="00E12BD8">
        <w:t xml:space="preserve">. For example, </w:t>
      </w:r>
      <w:r>
        <w:t xml:space="preserve">state and territory capital cities could be </w:t>
      </w:r>
      <w:r w:rsidR="00EA44F3">
        <w:t xml:space="preserve">offered as separate lots, with remaining areas divided into something approximating states and territories. </w:t>
      </w:r>
      <w:r w:rsidR="007954A1">
        <w:t>For example, t</w:t>
      </w:r>
      <w:r w:rsidR="00EA44F3">
        <w:t xml:space="preserve">his would </w:t>
      </w:r>
      <w:r w:rsidR="007954A1">
        <w:t xml:space="preserve">enable </w:t>
      </w:r>
      <w:r w:rsidR="00EA44F3">
        <w:t xml:space="preserve">a bidder to seek </w:t>
      </w:r>
      <w:r w:rsidR="00F03609">
        <w:t xml:space="preserve">spectrum </w:t>
      </w:r>
      <w:r w:rsidR="00CE20F2" w:rsidRPr="00E12BD8">
        <w:t xml:space="preserve">holdings in Brisbane, regional Queensland, </w:t>
      </w:r>
      <w:r w:rsidR="00293B3B" w:rsidRPr="00E12BD8">
        <w:t xml:space="preserve">Sydney, Canberra </w:t>
      </w:r>
      <w:r w:rsidR="00CE20F2" w:rsidRPr="00E12BD8">
        <w:t xml:space="preserve">and regional </w:t>
      </w:r>
      <w:r w:rsidR="00293B3B" w:rsidRPr="00E12BD8">
        <w:t>New South Wales</w:t>
      </w:r>
      <w:r w:rsidR="00CE20F2" w:rsidRPr="00E12BD8">
        <w:t xml:space="preserve">. </w:t>
      </w:r>
    </w:p>
    <w:p w14:paraId="5601E05E" w14:textId="1525D5C2" w:rsidR="0098367A" w:rsidRDefault="00EA44F3" w:rsidP="00855192">
      <w:r>
        <w:t xml:space="preserve">Like </w:t>
      </w:r>
      <w:r w:rsidR="002E0498">
        <w:t xml:space="preserve">Option 2, </w:t>
      </w:r>
      <w:r w:rsidR="002E0498" w:rsidRPr="002E0498">
        <w:t xml:space="preserve">prospective licensees would have the option to only bid for the lots with those geographic areas that align with their commercial interest. </w:t>
      </w:r>
      <w:r>
        <w:t xml:space="preserve">This option may facilitate </w:t>
      </w:r>
      <w:r w:rsidR="0098367A" w:rsidRPr="00E12BD8">
        <w:t xml:space="preserve">deployment of services in </w:t>
      </w:r>
      <w:r w:rsidR="002E0498">
        <w:t>discrete areas</w:t>
      </w:r>
      <w:r>
        <w:t>, such as regional-only services</w:t>
      </w:r>
      <w:r w:rsidR="0098367A" w:rsidRPr="00E12BD8">
        <w:t xml:space="preserve">. </w:t>
      </w:r>
    </w:p>
    <w:p w14:paraId="62BC3969" w14:textId="37BDF590" w:rsidR="005F4177" w:rsidRDefault="00EA44F3" w:rsidP="00BA198E">
      <w:r>
        <w:t xml:space="preserve">It may, however, result in potential bidders seeking only those lots </w:t>
      </w:r>
      <w:r w:rsidR="008F7947">
        <w:t>with dense populations</w:t>
      </w:r>
      <w:r>
        <w:t>—</w:t>
      </w:r>
      <w:r w:rsidR="0017152A">
        <w:t>such as</w:t>
      </w:r>
      <w:r>
        <w:t xml:space="preserve"> in capital city areas—which may result in reduced service delivery in regional areas. </w:t>
      </w:r>
      <w:r w:rsidR="006D1F90">
        <w:t>T</w:t>
      </w:r>
      <w:r>
        <w:t>his option</w:t>
      </w:r>
      <w:r w:rsidR="005F4177">
        <w:t xml:space="preserve"> also</w:t>
      </w:r>
      <w:r>
        <w:t xml:space="preserve"> </w:t>
      </w:r>
      <w:r w:rsidR="0098367A">
        <w:t>increase</w:t>
      </w:r>
      <w:r>
        <w:t>s</w:t>
      </w:r>
      <w:r w:rsidR="00845EBD">
        <w:t xml:space="preserve"> region-based exposure risk for</w:t>
      </w:r>
      <w:r w:rsidR="00765DC8" w:rsidRPr="00E12BD8">
        <w:t xml:space="preserve"> potential bidders</w:t>
      </w:r>
      <w:r w:rsidR="0098367A">
        <w:t xml:space="preserve"> seeking to cover </w:t>
      </w:r>
      <w:r w:rsidR="005F61A0">
        <w:t xml:space="preserve">an entire state or </w:t>
      </w:r>
      <w:r w:rsidR="0098367A">
        <w:t>all of Australia</w:t>
      </w:r>
      <w:r w:rsidR="005F61A0">
        <w:t>.</w:t>
      </w:r>
    </w:p>
    <w:p w14:paraId="7FC0F5AA" w14:textId="1CC32DA4" w:rsidR="00855192" w:rsidRDefault="00BA198E" w:rsidP="00BA198E">
      <w:r>
        <w:t xml:space="preserve">While this option may facilitate deployment of services </w:t>
      </w:r>
      <w:proofErr w:type="gramStart"/>
      <w:r>
        <w:t>in particular areas</w:t>
      </w:r>
      <w:proofErr w:type="gramEnd"/>
      <w:r>
        <w:t xml:space="preserve">, it may create a risk of reduced service deployment in some areas and </w:t>
      </w:r>
      <w:r w:rsidR="006C0BFE">
        <w:t xml:space="preserve">a greater number of </w:t>
      </w:r>
      <w:r>
        <w:t xml:space="preserve">dead zones </w:t>
      </w:r>
      <w:r w:rsidR="006C0BFE">
        <w:t xml:space="preserve">around </w:t>
      </w:r>
      <w:r w:rsidR="00317F90">
        <w:t xml:space="preserve">geographic </w:t>
      </w:r>
      <w:r w:rsidR="0014196F">
        <w:t>boundaries</w:t>
      </w:r>
      <w:r w:rsidR="00765DC8" w:rsidRPr="00E12BD8">
        <w:t>.</w:t>
      </w:r>
    </w:p>
    <w:p w14:paraId="043E700B" w14:textId="3BB04861" w:rsidR="00C6333A" w:rsidRPr="00E12BD8" w:rsidRDefault="00BA198E" w:rsidP="00BA198E">
      <w:r>
        <w:t>This option would also increase complexity in the allocation due to the larger number of lots on offer.</w:t>
      </w:r>
    </w:p>
    <w:p w14:paraId="1DCB9AFC" w14:textId="61737F69" w:rsidR="00756A2D" w:rsidRPr="00496139" w:rsidRDefault="001C3373" w:rsidP="0012780B">
      <w:pPr>
        <w:pStyle w:val="Recommendation"/>
        <w:keepLines/>
        <w:shd w:val="clear" w:color="auto" w:fill="F2F2F2" w:themeFill="background1" w:themeFillShade="F2"/>
      </w:pPr>
      <w:r>
        <w:rPr>
          <w:b/>
        </w:rPr>
        <w:lastRenderedPageBreak/>
        <w:t>ACMA’s</w:t>
      </w:r>
      <w:r w:rsidR="00855192" w:rsidRPr="00496139">
        <w:rPr>
          <w:b/>
        </w:rPr>
        <w:t xml:space="preserve"> preferred view</w:t>
      </w:r>
    </w:p>
    <w:p w14:paraId="1F84E1FE" w14:textId="375FE256" w:rsidR="00195015" w:rsidRDefault="005E0CE6" w:rsidP="0012780B">
      <w:pPr>
        <w:pStyle w:val="Recommendation"/>
        <w:keepLines/>
        <w:shd w:val="clear" w:color="auto" w:fill="F2F2F2" w:themeFill="background1" w:themeFillShade="F2"/>
        <w:spacing w:after="240"/>
      </w:pPr>
      <w:r>
        <w:t>On balance, t</w:t>
      </w:r>
      <w:r w:rsidR="0018493F">
        <w:t xml:space="preserve">he ACMA’s </w:t>
      </w:r>
      <w:r w:rsidR="008753C1">
        <w:t xml:space="preserve">preferred </w:t>
      </w:r>
      <w:r w:rsidR="0018493F">
        <w:t xml:space="preserve">view is that </w:t>
      </w:r>
      <w:r w:rsidR="007954A1" w:rsidRPr="00F169BC">
        <w:t>a single Australia-wide</w:t>
      </w:r>
      <w:r w:rsidR="007954A1">
        <w:t xml:space="preserve"> </w:t>
      </w:r>
      <w:r w:rsidR="0018493F">
        <w:t xml:space="preserve">lot </w:t>
      </w:r>
      <w:r w:rsidR="00F03609">
        <w:t>excluding the mid-west RQZ</w:t>
      </w:r>
      <w:r w:rsidR="0018493F">
        <w:t xml:space="preserve"> </w:t>
      </w:r>
      <w:r w:rsidR="00BA198E">
        <w:t xml:space="preserve">would be the most appropriate configuration for the 850/900 MHz band allocation. </w:t>
      </w:r>
      <w:r w:rsidR="00642C26" w:rsidRPr="00642C26">
        <w:t xml:space="preserve">The ACMA considers </w:t>
      </w:r>
      <w:r w:rsidR="007954A1">
        <w:t>this configuration</w:t>
      </w:r>
      <w:r w:rsidR="00642C26" w:rsidRPr="00642C26">
        <w:t xml:space="preserve"> would allow future users of this spectrum to make best technical and economic use of the 850/900 MHz band.</w:t>
      </w:r>
    </w:p>
    <w:p w14:paraId="3D12B27A" w14:textId="54314633" w:rsidR="002C06C1" w:rsidRPr="000B643A" w:rsidDel="001C0E17" w:rsidRDefault="00B279DF" w:rsidP="0012780B">
      <w:pPr>
        <w:pStyle w:val="Recommendation"/>
        <w:keepLines/>
        <w:shd w:val="clear" w:color="auto" w:fill="F2F2F2" w:themeFill="background1" w:themeFillShade="F2"/>
      </w:pPr>
      <w:r>
        <w:t xml:space="preserve">We </w:t>
      </w:r>
      <w:r w:rsidR="002C06C1" w:rsidDel="001C0E17">
        <w:t>welcome submissions from stakeholders on the most appropriate geographic configuration for the spectrum.</w:t>
      </w:r>
      <w:r w:rsidR="002C06C1" w:rsidRPr="0098367A" w:rsidDel="001C0E17">
        <w:t xml:space="preserve"> </w:t>
      </w:r>
    </w:p>
    <w:p w14:paraId="19981F99" w14:textId="44D07E29" w:rsidR="004B2B14" w:rsidRDefault="004B2B14" w:rsidP="004B2B14">
      <w:pPr>
        <w:pStyle w:val="Heading2"/>
      </w:pPr>
      <w:bookmarkStart w:id="70" w:name="_Toc40175657"/>
      <w:r>
        <w:t>Licence term</w:t>
      </w:r>
      <w:bookmarkEnd w:id="70"/>
    </w:p>
    <w:p w14:paraId="2FE9CCBD" w14:textId="4DB11249" w:rsidR="00590B76" w:rsidRDefault="0032225A" w:rsidP="001314D6">
      <w:pPr>
        <w:pStyle w:val="Paragraph"/>
      </w:pPr>
      <w:r>
        <w:t xml:space="preserve">Under subsection 65(3) of </w:t>
      </w:r>
      <w:r w:rsidR="00D33D1A">
        <w:t>the Act</w:t>
      </w:r>
      <w:r>
        <w:t xml:space="preserve">, a spectrum licence may be issued for any period up to 15 years. </w:t>
      </w:r>
      <w:proofErr w:type="gramStart"/>
      <w:r>
        <w:t>The majority of</w:t>
      </w:r>
      <w:proofErr w:type="gramEnd"/>
      <w:r>
        <w:t xml:space="preserve"> spectrum licences issued by the ACMA and </w:t>
      </w:r>
      <w:r w:rsidR="005F61A0">
        <w:t xml:space="preserve">our </w:t>
      </w:r>
      <w:r>
        <w:t>predecessor agencies have been for 15 years.</w:t>
      </w:r>
      <w:r w:rsidR="00CC2C08">
        <w:t xml:space="preserve"> </w:t>
      </w:r>
    </w:p>
    <w:p w14:paraId="049A91D1" w14:textId="747ADB0D" w:rsidR="00936DE7" w:rsidRDefault="00936DE7" w:rsidP="00936DE7">
      <w:pPr>
        <w:pStyle w:val="Paragraph"/>
      </w:pPr>
      <w:r>
        <w:t xml:space="preserve">In considering spectrum licence terms, </w:t>
      </w:r>
      <w:r w:rsidR="0012780B">
        <w:t>we also have</w:t>
      </w:r>
      <w:r>
        <w:t xml:space="preserve"> regard to the expiry dates of licences in adjacent spectrum-licensed bands, if any. Where possible, </w:t>
      </w:r>
      <w:r w:rsidR="005F61A0">
        <w:t xml:space="preserve">we </w:t>
      </w:r>
      <w:r>
        <w:t>would generally seek to align expiry dates with such adjacent bands to facilitate options for defragmentation or licence consolidation at licence expiry.</w:t>
      </w:r>
      <w:r w:rsidRPr="007312D8">
        <w:t xml:space="preserve"> </w:t>
      </w:r>
    </w:p>
    <w:p w14:paraId="6BC6E52F" w14:textId="24C6ABD2" w:rsidR="001314D6" w:rsidRDefault="00CC2C08" w:rsidP="001110DE">
      <w:pPr>
        <w:pStyle w:val="Paragraph"/>
      </w:pPr>
      <w:r>
        <w:t xml:space="preserve">Longer licence terms maximise </w:t>
      </w:r>
      <w:r w:rsidR="007312D8">
        <w:t xml:space="preserve">investment </w:t>
      </w:r>
      <w:r>
        <w:t>certainty for licensees in the band</w:t>
      </w:r>
      <w:r w:rsidR="00B2266A">
        <w:t xml:space="preserve">. The provision of mobile broadband services, as is expected in the 850/900 MHz band, </w:t>
      </w:r>
      <w:r>
        <w:t>require</w:t>
      </w:r>
      <w:r w:rsidR="002E2422">
        <w:t>s</w:t>
      </w:r>
      <w:r>
        <w:t xml:space="preserve"> significant infrastructure investment</w:t>
      </w:r>
      <w:r w:rsidR="007C5BDD">
        <w:t>.</w:t>
      </w:r>
      <w:r>
        <w:t xml:space="preserve"> </w:t>
      </w:r>
      <w:r w:rsidR="007C5BDD">
        <w:t>A</w:t>
      </w:r>
      <w:r>
        <w:t xml:space="preserve">s such, a long licence term </w:t>
      </w:r>
      <w:r w:rsidR="00B2266A">
        <w:t xml:space="preserve">may be </w:t>
      </w:r>
      <w:r w:rsidR="00E44AB6">
        <w:t xml:space="preserve">appropriate because it </w:t>
      </w:r>
      <w:r w:rsidR="002E2422">
        <w:t xml:space="preserve">maximises the period over which licensees can be assured of obtaining a return on </w:t>
      </w:r>
      <w:r w:rsidR="00E44AB6">
        <w:t>that investment</w:t>
      </w:r>
      <w:r w:rsidR="00B2266A">
        <w:t>.</w:t>
      </w:r>
    </w:p>
    <w:p w14:paraId="1183C635" w14:textId="09E17395" w:rsidR="001314D6" w:rsidRDefault="001314D6" w:rsidP="001314D6">
      <w:pPr>
        <w:pStyle w:val="Paragraph"/>
      </w:pPr>
      <w:r>
        <w:t xml:space="preserve">In the case of spectrum licences in the </w:t>
      </w:r>
      <w:r w:rsidRPr="003D2750">
        <w:t>850/900 MHz band, spectrum licences in the adjacent 850 MHz band expire in 2028. If expiry of 850/900 MHz band spectrum licences w</w:t>
      </w:r>
      <w:r w:rsidR="00800075" w:rsidRPr="003D2750">
        <w:t>ere</w:t>
      </w:r>
      <w:r w:rsidRPr="003D2750">
        <w:t xml:space="preserve"> aligned with</w:t>
      </w:r>
      <w:r w:rsidR="00800075" w:rsidRPr="003D2750">
        <w:t xml:space="preserve"> expiry of</w:t>
      </w:r>
      <w:r w:rsidRPr="003D2750">
        <w:t xml:space="preserve"> the </w:t>
      </w:r>
      <w:r w:rsidR="002E1626" w:rsidRPr="003D2750">
        <w:t>adjacent</w:t>
      </w:r>
      <w:r w:rsidR="002E1626">
        <w:t xml:space="preserve"> </w:t>
      </w:r>
      <w:r>
        <w:t>850 MHz band</w:t>
      </w:r>
      <w:r w:rsidR="002E1626">
        <w:t xml:space="preserve"> spectrum licences</w:t>
      </w:r>
      <w:r>
        <w:t xml:space="preserve">, then this would likely result in a </w:t>
      </w:r>
      <w:r w:rsidR="002E2422">
        <w:t xml:space="preserve">maximum potential </w:t>
      </w:r>
      <w:r>
        <w:t xml:space="preserve">spectrum licence term of less than seven years. </w:t>
      </w:r>
      <w:r w:rsidR="005F61A0" w:rsidRPr="007147A9">
        <w:t>W</w:t>
      </w:r>
      <w:r w:rsidR="005F61A0" w:rsidRPr="00744BC5">
        <w:t xml:space="preserve">e </w:t>
      </w:r>
      <w:r w:rsidRPr="007147A9">
        <w:t xml:space="preserve">consider this </w:t>
      </w:r>
      <w:r w:rsidR="001A5C69" w:rsidRPr="007147A9">
        <w:t>licence term</w:t>
      </w:r>
      <w:r w:rsidRPr="007147A9">
        <w:t xml:space="preserve"> insufficient to provide prospective licensees with the required certainty of tenure for deployment of </w:t>
      </w:r>
      <w:r w:rsidR="001A5C69" w:rsidRPr="007147A9">
        <w:t>mobile broadband</w:t>
      </w:r>
      <w:r w:rsidRPr="007147A9">
        <w:t xml:space="preserve"> services within this spectrum.</w:t>
      </w:r>
      <w:r>
        <w:t xml:space="preserve"> </w:t>
      </w:r>
    </w:p>
    <w:p w14:paraId="075792CF" w14:textId="02C3FE9F" w:rsidR="001314D6" w:rsidRDefault="001314D6" w:rsidP="001314D6">
      <w:pPr>
        <w:pStyle w:val="Paragraph"/>
      </w:pPr>
      <w:r>
        <w:t xml:space="preserve">An exception to this </w:t>
      </w:r>
      <w:r w:rsidR="0031558D">
        <w:t xml:space="preserve">proposed approach relates </w:t>
      </w:r>
      <w:r w:rsidR="00071293">
        <w:t>to the</w:t>
      </w:r>
      <w:r>
        <w:t xml:space="preserve"> downshift frequencies.</w:t>
      </w:r>
      <w:r w:rsidR="003B5BFC">
        <w:rPr>
          <w:rStyle w:val="FootnoteReference"/>
        </w:rPr>
        <w:footnoteReference w:id="14"/>
      </w:r>
      <w:r>
        <w:t xml:space="preserve"> </w:t>
      </w:r>
      <w:r w:rsidR="005F61A0">
        <w:t>We</w:t>
      </w:r>
      <w:r>
        <w:t xml:space="preserve"> intend </w:t>
      </w:r>
      <w:r w:rsidR="003B5BFC">
        <w:t xml:space="preserve">for </w:t>
      </w:r>
      <w:r>
        <w:t xml:space="preserve">the downshift of the 850 MHz </w:t>
      </w:r>
      <w:r w:rsidR="00321DF6">
        <w:t xml:space="preserve">band </w:t>
      </w:r>
      <w:r>
        <w:t xml:space="preserve">spectrum licences to occur </w:t>
      </w:r>
      <w:r w:rsidR="005F2CF5">
        <w:t xml:space="preserve">by the time the licences expire in 2028 </w:t>
      </w:r>
      <w:r>
        <w:t xml:space="preserve">at </w:t>
      </w:r>
      <w:r w:rsidR="005F2CF5">
        <w:t xml:space="preserve">the </w:t>
      </w:r>
      <w:r>
        <w:t>latest</w:t>
      </w:r>
      <w:r w:rsidR="005F2CF5">
        <w:t>.</w:t>
      </w:r>
      <w:r>
        <w:t xml:space="preserve"> The licence term of the downshift </w:t>
      </w:r>
      <w:r w:rsidR="00B940A3">
        <w:t xml:space="preserve">frequencies </w:t>
      </w:r>
      <w:r>
        <w:t xml:space="preserve">should align with the expiry of 850 MHz band spectrum licences to facilitate the </w:t>
      </w:r>
      <w:r w:rsidR="007954A1">
        <w:t xml:space="preserve">downshift </w:t>
      </w:r>
      <w:r w:rsidR="002E2422">
        <w:t xml:space="preserve">(if it has not been achieved </w:t>
      </w:r>
      <w:r w:rsidR="003B5BFC">
        <w:t>through</w:t>
      </w:r>
      <w:r w:rsidR="002E2422">
        <w:t xml:space="preserve"> commercial negotiation prior to this date)</w:t>
      </w:r>
      <w:r>
        <w:t xml:space="preserve">. </w:t>
      </w:r>
    </w:p>
    <w:p w14:paraId="45A7C17A" w14:textId="450F605A" w:rsidR="001314D6" w:rsidRDefault="001314D6" w:rsidP="001314D6">
      <w:pPr>
        <w:pStyle w:val="Paragraph"/>
      </w:pPr>
      <w:r>
        <w:t>On balance,</w:t>
      </w:r>
      <w:r w:rsidR="005F61A0">
        <w:t xml:space="preserve"> we</w:t>
      </w:r>
      <w:r>
        <w:t xml:space="preserve"> consider that</w:t>
      </w:r>
      <w:r w:rsidR="00A86B29">
        <w:t xml:space="preserve"> licences in</w:t>
      </w:r>
      <w:r>
        <w:t xml:space="preserve"> the 850/900 MHz band should be </w:t>
      </w:r>
      <w:r w:rsidR="001A49E8">
        <w:t xml:space="preserve">issued </w:t>
      </w:r>
      <w:r>
        <w:t>for the maximum possible term of 15 years</w:t>
      </w:r>
      <w:r w:rsidR="00C77EC3">
        <w:t xml:space="preserve">. Licences </w:t>
      </w:r>
      <w:r>
        <w:t xml:space="preserve">for the </w:t>
      </w:r>
      <w:r w:rsidR="005F0109">
        <w:t>2 x 1 MHz</w:t>
      </w:r>
      <w:r>
        <w:t xml:space="preserve"> downshift frequencies</w:t>
      </w:r>
      <w:r w:rsidR="00321DF6">
        <w:t xml:space="preserve"> </w:t>
      </w:r>
      <w:r>
        <w:t xml:space="preserve">should be issued with an expiry of </w:t>
      </w:r>
      <w:r w:rsidR="001A5C69">
        <w:t>17 June 2028</w:t>
      </w:r>
      <w:r>
        <w:t>.</w:t>
      </w:r>
    </w:p>
    <w:p w14:paraId="21C04749" w14:textId="77777777" w:rsidR="001350A3" w:rsidRDefault="001350A3" w:rsidP="00C633AB">
      <w:pPr>
        <w:pStyle w:val="Heading3"/>
      </w:pPr>
      <w:r>
        <w:t>Licence commencement</w:t>
      </w:r>
    </w:p>
    <w:p w14:paraId="452ADFEA" w14:textId="00799E57" w:rsidR="000A14BF" w:rsidRDefault="00CB6D3D" w:rsidP="000A14BF">
      <w:pPr>
        <w:pStyle w:val="Paragraph"/>
      </w:pPr>
      <w:r>
        <w:t>In determining t</w:t>
      </w:r>
      <w:r w:rsidR="000A14BF">
        <w:t>he most appropriate commencement date for a spectrum licence</w:t>
      </w:r>
      <w:r>
        <w:t xml:space="preserve">, </w:t>
      </w:r>
      <w:r w:rsidR="005F61A0">
        <w:t xml:space="preserve">we would </w:t>
      </w:r>
      <w:r>
        <w:t>consider</w:t>
      </w:r>
      <w:r w:rsidR="000A14BF">
        <w:t xml:space="preserve"> the extent of incumbency in the band. </w:t>
      </w:r>
    </w:p>
    <w:p w14:paraId="42A43271" w14:textId="274E3989" w:rsidR="000A14BF" w:rsidRDefault="00A83F96" w:rsidP="000A14BF">
      <w:pPr>
        <w:pStyle w:val="Paragraph"/>
      </w:pPr>
      <w:r>
        <w:t>A</w:t>
      </w:r>
      <w:r w:rsidR="00A86B29">
        <w:t>s noted above,</w:t>
      </w:r>
      <w:r>
        <w:t xml:space="preserve"> </w:t>
      </w:r>
      <w:r w:rsidR="00667EA0" w:rsidRPr="00667EA0">
        <w:t xml:space="preserve">a </w:t>
      </w:r>
      <w:r>
        <w:t>s</w:t>
      </w:r>
      <w:r w:rsidR="000A14BF">
        <w:t xml:space="preserve">pectrum licence can be issued for </w:t>
      </w:r>
      <w:r>
        <w:t xml:space="preserve">a </w:t>
      </w:r>
      <w:r w:rsidR="000A14BF">
        <w:t>term</w:t>
      </w:r>
      <w:r>
        <w:t xml:space="preserve"> of</w:t>
      </w:r>
      <w:r w:rsidR="000A14BF">
        <w:t xml:space="preserve"> up to 15 years. During a </w:t>
      </w:r>
      <w:r w:rsidR="00DA3182">
        <w:t>re</w:t>
      </w:r>
      <w:r w:rsidR="00DA3182">
        <w:noBreakHyphen/>
        <w:t>allocation</w:t>
      </w:r>
      <w:r w:rsidR="000A14BF">
        <w:t xml:space="preserve"> period, incumbent apparatus licensees may continue to operate</w:t>
      </w:r>
      <w:r w:rsidR="00444142">
        <w:t>. A</w:t>
      </w:r>
      <w:r w:rsidR="000A14BF">
        <w:t xml:space="preserve"> spectrum </w:t>
      </w:r>
      <w:r w:rsidR="00667EA0" w:rsidRPr="00667EA0">
        <w:t xml:space="preserve">licence issued </w:t>
      </w:r>
      <w:r w:rsidR="003D2750">
        <w:t>before</w:t>
      </w:r>
      <w:r w:rsidR="00667EA0" w:rsidRPr="00667EA0">
        <w:t xml:space="preserve"> the end of the </w:t>
      </w:r>
      <w:r w:rsidR="00DA3182">
        <w:t>re</w:t>
      </w:r>
      <w:r w:rsidR="00DA3182">
        <w:noBreakHyphen/>
        <w:t>allocation</w:t>
      </w:r>
      <w:r w:rsidR="00667EA0" w:rsidRPr="00667EA0">
        <w:t xml:space="preserve"> period will usually be subject to a cond</w:t>
      </w:r>
      <w:r w:rsidR="00667EA0">
        <w:t>i</w:t>
      </w:r>
      <w:r w:rsidR="00667EA0" w:rsidRPr="00667EA0">
        <w:t xml:space="preserve">tion that it </w:t>
      </w:r>
      <w:r w:rsidR="000A14BF">
        <w:t xml:space="preserve">may only operate if </w:t>
      </w:r>
      <w:r w:rsidR="003F7C60">
        <w:t xml:space="preserve">it </w:t>
      </w:r>
      <w:r w:rsidR="000A14BF">
        <w:t>can do so without causing interference to apparatus licensee</w:t>
      </w:r>
      <w:r w:rsidR="005725EC">
        <w:t>s in the band</w:t>
      </w:r>
      <w:r w:rsidR="000A14BF">
        <w:t>.</w:t>
      </w:r>
      <w:r w:rsidR="00667EA0" w:rsidRPr="00667EA0">
        <w:t xml:space="preserve"> </w:t>
      </w:r>
      <w:r w:rsidR="000A14BF">
        <w:t xml:space="preserve">If there are a number of apparatus </w:t>
      </w:r>
      <w:r w:rsidR="000A14BF">
        <w:lastRenderedPageBreak/>
        <w:t xml:space="preserve">licences in the area covered by a spectrum licence, then this requirement may have the practical effect of precluding the spectrum licensee from operation </w:t>
      </w:r>
      <w:r>
        <w:t xml:space="preserve">in those </w:t>
      </w:r>
      <w:r w:rsidR="002806E6">
        <w:t>e</w:t>
      </w:r>
      <w:r>
        <w:t xml:space="preserve">ncumbered areas </w:t>
      </w:r>
      <w:r w:rsidR="000A14BF">
        <w:t xml:space="preserve">until the end of the </w:t>
      </w:r>
      <w:r w:rsidR="00DA3182">
        <w:t>re</w:t>
      </w:r>
      <w:r w:rsidR="00DA3182">
        <w:noBreakHyphen/>
        <w:t>allocation</w:t>
      </w:r>
      <w:r w:rsidR="000A14BF">
        <w:t xml:space="preserve"> period.</w:t>
      </w:r>
    </w:p>
    <w:p w14:paraId="6E80B0CB" w14:textId="0D35DB57" w:rsidR="000A14BF" w:rsidRDefault="005725EC" w:rsidP="000A14BF">
      <w:pPr>
        <w:pStyle w:val="Paragraph"/>
      </w:pPr>
      <w:r>
        <w:t>Under these circumstances</w:t>
      </w:r>
      <w:r w:rsidR="003D2750">
        <w:t>,</w:t>
      </w:r>
      <w:r>
        <w:t xml:space="preserve"> and</w:t>
      </w:r>
      <w:r w:rsidR="000A14BF">
        <w:t xml:space="preserve"> </w:t>
      </w:r>
      <w:r>
        <w:t xml:space="preserve">on the assumption of a 15-year spectrum licence term, </w:t>
      </w:r>
      <w:r w:rsidR="000A14BF">
        <w:t xml:space="preserve">if the term commenced before the end of the </w:t>
      </w:r>
      <w:r w:rsidR="00DA3182">
        <w:t>re</w:t>
      </w:r>
      <w:r w:rsidR="00DA3182">
        <w:noBreakHyphen/>
        <w:t>allocation</w:t>
      </w:r>
      <w:r w:rsidR="000A14BF">
        <w:t xml:space="preserve"> period, then the </w:t>
      </w:r>
      <w:r w:rsidR="00C43BD7">
        <w:t>‘</w:t>
      </w:r>
      <w:r w:rsidR="000A14BF">
        <w:t>usable term</w:t>
      </w:r>
      <w:r w:rsidR="00C43BD7">
        <w:t>’</w:t>
      </w:r>
      <w:r w:rsidR="000A14BF">
        <w:t xml:space="preserve"> of the spectrum licence would be less than 15 years. This could </w:t>
      </w:r>
      <w:proofErr w:type="gramStart"/>
      <w:r w:rsidR="000A14BF">
        <w:t>be seen as</w:t>
      </w:r>
      <w:proofErr w:type="gramEnd"/>
      <w:r w:rsidR="000A14BF">
        <w:t xml:space="preserve"> a spectrum licensee </w:t>
      </w:r>
      <w:r w:rsidR="003D2750">
        <w:t xml:space="preserve">having to </w:t>
      </w:r>
      <w:r w:rsidR="000A14BF">
        <w:t xml:space="preserve">pay for a licence period </w:t>
      </w:r>
      <w:r w:rsidR="003D2750">
        <w:t xml:space="preserve">that </w:t>
      </w:r>
      <w:r w:rsidR="000A14BF">
        <w:t>they are not able to fully use.</w:t>
      </w:r>
    </w:p>
    <w:p w14:paraId="435111E0" w14:textId="00314A58" w:rsidR="002B6895" w:rsidRDefault="005725EC" w:rsidP="000A14BF">
      <w:pPr>
        <w:pStyle w:val="Paragraph"/>
      </w:pPr>
      <w:r>
        <w:t xml:space="preserve">This may have implications for how prospective spectrum </w:t>
      </w:r>
      <w:r w:rsidR="002B6895">
        <w:t>allocation participants</w:t>
      </w:r>
      <w:r>
        <w:t xml:space="preserve"> value the spectrum on offer.</w:t>
      </w:r>
      <w:r w:rsidR="000A14BF">
        <w:t xml:space="preserve"> </w:t>
      </w:r>
      <w:r w:rsidR="00495246">
        <w:t xml:space="preserve">For example, if </w:t>
      </w:r>
      <w:r w:rsidR="003326E7">
        <w:t xml:space="preserve">prospective </w:t>
      </w:r>
      <w:r w:rsidR="00495246">
        <w:t xml:space="preserve">spectrum licensees knew they must coexist with incumbent apparatus licensees for the first two years of the spectrum licence term, then they might value </w:t>
      </w:r>
      <w:r w:rsidR="00FF2D97">
        <w:t xml:space="preserve">the </w:t>
      </w:r>
      <w:r w:rsidR="00495246">
        <w:t xml:space="preserve">licence as if it had a term of 13 </w:t>
      </w:r>
      <w:r w:rsidR="00C3687A">
        <w:t>years</w:t>
      </w:r>
      <w:r w:rsidR="00495246">
        <w:t xml:space="preserve"> rather than 15 years</w:t>
      </w:r>
      <w:r w:rsidR="002B6895">
        <w:t xml:space="preserve"> at auction</w:t>
      </w:r>
      <w:r w:rsidR="00BF770C">
        <w:t>, depending on the extent of incumbency</w:t>
      </w:r>
      <w:r w:rsidR="00E63337">
        <w:t>.</w:t>
      </w:r>
    </w:p>
    <w:p w14:paraId="5A0B5E58" w14:textId="46AAEE0E" w:rsidR="00495246" w:rsidRDefault="002806E6" w:rsidP="001314D6">
      <w:pPr>
        <w:pStyle w:val="Paragraph"/>
      </w:pPr>
      <w:r>
        <w:t>Determining the value of</w:t>
      </w:r>
      <w:r w:rsidR="00AD18AC">
        <w:t xml:space="preserve"> a spectrum licence with a shorter usable term may be less challenging </w:t>
      </w:r>
      <w:r w:rsidR="00495246">
        <w:t>if</w:t>
      </w:r>
      <w:r w:rsidR="00E737ED">
        <w:t xml:space="preserve"> the degree</w:t>
      </w:r>
      <w:r w:rsidR="00495246">
        <w:t xml:space="preserve"> </w:t>
      </w:r>
      <w:r w:rsidR="00E737ED">
        <w:t xml:space="preserve">of </w:t>
      </w:r>
      <w:r w:rsidR="00495246">
        <w:t xml:space="preserve">incumbency </w:t>
      </w:r>
      <w:r w:rsidR="00E737ED">
        <w:t>is</w:t>
      </w:r>
      <w:r w:rsidR="00495246">
        <w:t xml:space="preserve"> uniform across all the spectrum that is to be spectrum licensed. If incumbency issues are not uniform, then one spectrum licence may have a usable term of 13 years while another has a usable term of 15 years. This </w:t>
      </w:r>
      <w:r>
        <w:t xml:space="preserve">may </w:t>
      </w:r>
      <w:r w:rsidR="00495246">
        <w:t xml:space="preserve">create challenges for </w:t>
      </w:r>
      <w:r w:rsidR="007F0804">
        <w:t>prospective spectrum allocation participants</w:t>
      </w:r>
      <w:r w:rsidR="00495246">
        <w:t xml:space="preserve"> in establishing the market value of a licence. </w:t>
      </w:r>
    </w:p>
    <w:p w14:paraId="012F46E4" w14:textId="4D21CB48" w:rsidR="00495246" w:rsidRDefault="00CA4B2D" w:rsidP="001314D6">
      <w:pPr>
        <w:pStyle w:val="Paragraph"/>
      </w:pPr>
      <w:r>
        <w:t xml:space="preserve">Where </w:t>
      </w:r>
      <w:r w:rsidR="00E737ED">
        <w:t xml:space="preserve">the degree of </w:t>
      </w:r>
      <w:r>
        <w:t xml:space="preserve">incumbency </w:t>
      </w:r>
      <w:r w:rsidR="00E737ED">
        <w:t>is</w:t>
      </w:r>
      <w:r>
        <w:t xml:space="preserve"> not uniform, </w:t>
      </w:r>
      <w:r w:rsidR="00C43BD7">
        <w:t xml:space="preserve">we </w:t>
      </w:r>
      <w:r>
        <w:t>consider</w:t>
      </w:r>
      <w:r w:rsidR="00C43BD7">
        <w:t xml:space="preserve"> that</w:t>
      </w:r>
      <w:r>
        <w:t xml:space="preserve"> it may be appropriate for a spectrum licence to commence at the end of the </w:t>
      </w:r>
      <w:r w:rsidR="00DA3182">
        <w:t>re</w:t>
      </w:r>
      <w:r w:rsidR="00DA3182">
        <w:noBreakHyphen/>
        <w:t>allocation</w:t>
      </w:r>
      <w:r>
        <w:t xml:space="preserve"> period</w:t>
      </w:r>
      <w:r w:rsidR="007552F0">
        <w:t>.</w:t>
      </w:r>
      <w:r w:rsidR="000A14BF">
        <w:t xml:space="preserve"> </w:t>
      </w:r>
      <w:r w:rsidR="007552F0">
        <w:t xml:space="preserve">At a minimum, </w:t>
      </w:r>
      <w:r w:rsidR="00C43BD7">
        <w:t>we</w:t>
      </w:r>
      <w:r w:rsidR="007552F0">
        <w:t xml:space="preserve"> consider that spectrum licences should commence</w:t>
      </w:r>
      <w:r w:rsidR="000A14BF">
        <w:t xml:space="preserve"> when the majority of incumbent apparatus licensees can be expected to have relocated from the band</w:t>
      </w:r>
      <w:r w:rsidR="002B6895">
        <w:t xml:space="preserve"> and the </w:t>
      </w:r>
      <w:r w:rsidR="00C43BD7">
        <w:t>‘</w:t>
      </w:r>
      <w:r w:rsidR="002B6895">
        <w:t>usable term</w:t>
      </w:r>
      <w:r w:rsidR="00C43BD7">
        <w:t>’</w:t>
      </w:r>
      <w:r w:rsidR="002B6895">
        <w:t xml:space="preserve"> is close or equal to the actual licence term</w:t>
      </w:r>
      <w:r w:rsidR="00770698">
        <w:t>.</w:t>
      </w:r>
    </w:p>
    <w:p w14:paraId="05276A39" w14:textId="2BBD0A6F" w:rsidR="00CB6D3D" w:rsidRDefault="00CB6D3D" w:rsidP="001314D6">
      <w:pPr>
        <w:pStyle w:val="Paragraph"/>
      </w:pPr>
      <w:r>
        <w:t xml:space="preserve">As </w:t>
      </w:r>
      <w:r w:rsidR="00E737ED">
        <w:t xml:space="preserve">the degree of </w:t>
      </w:r>
      <w:r>
        <w:t>incumbency differ</w:t>
      </w:r>
      <w:r w:rsidR="00E737ED">
        <w:t>s</w:t>
      </w:r>
      <w:r>
        <w:t xml:space="preserve"> between the 850 MHz expansion band and the 900 MHz</w:t>
      </w:r>
      <w:r w:rsidR="00457CDF">
        <w:t xml:space="preserve"> band</w:t>
      </w:r>
      <w:r>
        <w:t xml:space="preserve">, </w:t>
      </w:r>
      <w:r w:rsidR="00C43BD7">
        <w:t>we</w:t>
      </w:r>
      <w:r>
        <w:t xml:space="preserve"> consider it appropriate to </w:t>
      </w:r>
      <w:r w:rsidR="00EC043A">
        <w:t>propose</w:t>
      </w:r>
      <w:r>
        <w:t xml:space="preserve"> two different licence commencement dates for licences issued in the two bands.</w:t>
      </w:r>
    </w:p>
    <w:p w14:paraId="73B38213" w14:textId="7C9ECC4E" w:rsidR="00CB6D3D" w:rsidRDefault="00CB6D3D" w:rsidP="001318ED">
      <w:pPr>
        <w:pStyle w:val="Heading4"/>
      </w:pPr>
      <w:r>
        <w:t xml:space="preserve">The 850 MHz </w:t>
      </w:r>
      <w:r w:rsidRPr="00A5311B">
        <w:t>expansion band</w:t>
      </w:r>
    </w:p>
    <w:p w14:paraId="0DBF420B" w14:textId="3E931407" w:rsidR="000A14BF" w:rsidRDefault="000A14BF" w:rsidP="000A14BF">
      <w:pPr>
        <w:pStyle w:val="Paragraph"/>
      </w:pPr>
      <w:r>
        <w:t xml:space="preserve">In the case of the 850 MHz expansion band, the clearance schedule in </w:t>
      </w:r>
      <w:r w:rsidR="002806E6">
        <w:t xml:space="preserve">the </w:t>
      </w:r>
      <w:r w:rsidR="00C43BD7">
        <w:t>long-term</w:t>
      </w:r>
      <w:r w:rsidR="00AD18AC">
        <w:t xml:space="preserve"> strategy and </w:t>
      </w:r>
      <w:r>
        <w:t xml:space="preserve">RALI MS40 is such that </w:t>
      </w:r>
      <w:r w:rsidR="00AD18AC" w:rsidDel="00D5659F">
        <w:t xml:space="preserve">the </w:t>
      </w:r>
      <w:r w:rsidR="00D5659F">
        <w:t xml:space="preserve">incumbent apparatus licences will </w:t>
      </w:r>
      <w:r w:rsidR="00667EA0">
        <w:t xml:space="preserve">likely </w:t>
      </w:r>
      <w:r w:rsidR="00D5659F">
        <w:t xml:space="preserve">only be partially cleared by </w:t>
      </w:r>
      <w:r w:rsidR="00827EAC">
        <w:t>mid</w:t>
      </w:r>
      <w:r w:rsidR="00654711">
        <w:t>-</w:t>
      </w:r>
      <w:r w:rsidR="00D5659F">
        <w:t>2021, and fully cleared by 30 June 2024.</w:t>
      </w:r>
      <w:r w:rsidR="002738D9" w:rsidRPr="002738D9">
        <w:t xml:space="preserve"> </w:t>
      </w:r>
      <w:r w:rsidR="002738D9">
        <w:t xml:space="preserve">The downshift frequencies </w:t>
      </w:r>
      <w:r w:rsidR="00D501EF">
        <w:t xml:space="preserve">(proposed to be allocated with the lower 900 MHz band lot) </w:t>
      </w:r>
      <w:r w:rsidR="002738D9">
        <w:t>will</w:t>
      </w:r>
      <w:r w:rsidR="00C6333A">
        <w:t xml:space="preserve"> also</w:t>
      </w:r>
      <w:r w:rsidR="002738D9">
        <w:t xml:space="preserve"> </w:t>
      </w:r>
      <w:r w:rsidR="00667EA0">
        <w:t xml:space="preserve">likely </w:t>
      </w:r>
      <w:r w:rsidR="002738D9">
        <w:t xml:space="preserve">not be cleared of incumbent apparatus licensees until 30 June 2024. </w:t>
      </w:r>
    </w:p>
    <w:p w14:paraId="7D554FB9" w14:textId="7AA0EFB7" w:rsidR="000A14BF" w:rsidRDefault="00C43BD7" w:rsidP="000A14BF">
      <w:pPr>
        <w:pStyle w:val="Paragraph"/>
      </w:pPr>
      <w:r>
        <w:t xml:space="preserve">We are </w:t>
      </w:r>
      <w:r w:rsidR="000A14BF">
        <w:t xml:space="preserve">working towards an allocation of spectrum licences in </w:t>
      </w:r>
      <w:r w:rsidR="00D5659F">
        <w:t>Q4</w:t>
      </w:r>
      <w:r w:rsidR="00AD18AC">
        <w:t xml:space="preserve"> </w:t>
      </w:r>
      <w:r w:rsidR="000A14BF">
        <w:t xml:space="preserve">2021. </w:t>
      </w:r>
      <w:r w:rsidR="00D5659F">
        <w:t xml:space="preserve">Due to the extent of incumbency in the </w:t>
      </w:r>
      <w:r w:rsidR="00D501EF">
        <w:t xml:space="preserve">850 MHz expansion </w:t>
      </w:r>
      <w:r w:rsidR="00D5659F">
        <w:t xml:space="preserve">band, </w:t>
      </w:r>
      <w:r>
        <w:t xml:space="preserve">we </w:t>
      </w:r>
      <w:r w:rsidR="00D501EF">
        <w:t xml:space="preserve">do not </w:t>
      </w:r>
      <w:r>
        <w:t xml:space="preserve">suggest that </w:t>
      </w:r>
      <w:r w:rsidR="00D501EF">
        <w:t>spectrum licences should commence</w:t>
      </w:r>
      <w:r w:rsidR="00D5659F">
        <w:t xml:space="preserve"> immediately after allocation</w:t>
      </w:r>
      <w:r w:rsidR="003D2750">
        <w:t>,</w:t>
      </w:r>
      <w:r w:rsidR="00D5659F">
        <w:t xml:space="preserve"> as spectrum licensees may not be able to commence deployment in the band</w:t>
      </w:r>
      <w:r w:rsidR="002532E9">
        <w:t xml:space="preserve"> until after the clearance process has concluded</w:t>
      </w:r>
      <w:r w:rsidR="00667EA0">
        <w:t>, expected</w:t>
      </w:r>
      <w:r w:rsidR="002532E9">
        <w:t xml:space="preserve"> in</w:t>
      </w:r>
      <w:r w:rsidR="00827EAC">
        <w:t xml:space="preserve"> mid</w:t>
      </w:r>
      <w:r w:rsidR="00654711">
        <w:t>-</w:t>
      </w:r>
      <w:r w:rsidR="002532E9">
        <w:t>2024</w:t>
      </w:r>
      <w:r w:rsidR="00D5659F">
        <w:t xml:space="preserve">. </w:t>
      </w:r>
    </w:p>
    <w:p w14:paraId="3CF59011" w14:textId="64998BF8" w:rsidR="002738D9" w:rsidRDefault="00556223" w:rsidP="000A14BF">
      <w:pPr>
        <w:pStyle w:val="Paragraph"/>
      </w:pPr>
      <w:r>
        <w:t>Further</w:t>
      </w:r>
      <w:r w:rsidR="00C43BD7">
        <w:t>, we</w:t>
      </w:r>
      <w:r>
        <w:t xml:space="preserve"> consider that licence commencement in 2024 would result in the expiry of licences in 2039</w:t>
      </w:r>
      <w:r w:rsidR="002B24A4">
        <w:t xml:space="preserve"> (</w:t>
      </w:r>
      <w:r w:rsidR="002532E9">
        <w:t xml:space="preserve">should spectrum </w:t>
      </w:r>
      <w:r w:rsidR="002B24A4">
        <w:t xml:space="preserve">licences </w:t>
      </w:r>
      <w:r w:rsidR="002532E9">
        <w:t xml:space="preserve">be </w:t>
      </w:r>
      <w:r w:rsidR="002B24A4">
        <w:t>issued for a 15-year period)</w:t>
      </w:r>
      <w:r>
        <w:t xml:space="preserve">. This would facilitate a </w:t>
      </w:r>
      <w:r w:rsidR="002364FF">
        <w:t>potential</w:t>
      </w:r>
      <w:r>
        <w:t xml:space="preserve"> </w:t>
      </w:r>
      <w:r w:rsidR="002364FF">
        <w:t xml:space="preserve">future </w:t>
      </w:r>
      <w:r>
        <w:t>alignment of expiry dates with licences in the adjacent 850 MHz spectrum-licensed band.</w:t>
      </w:r>
    </w:p>
    <w:p w14:paraId="08B0BF10" w14:textId="44152FCA" w:rsidR="00626511" w:rsidRDefault="00626511" w:rsidP="00626511">
      <w:pPr>
        <w:pStyle w:val="Paragraph"/>
      </w:pPr>
      <w:r>
        <w:t xml:space="preserve">On balance, </w:t>
      </w:r>
      <w:r w:rsidR="00C43BD7">
        <w:t>our</w:t>
      </w:r>
      <w:r>
        <w:t xml:space="preserve"> preliminary view is for spectrum licences in the 850 MHz expansion band to commence on 1 July 2024. </w:t>
      </w:r>
      <w:r w:rsidR="00C43BD7">
        <w:t>We</w:t>
      </w:r>
      <w:r w:rsidRPr="00D50BC7">
        <w:t xml:space="preserve"> may consider </w:t>
      </w:r>
      <w:r>
        <w:t xml:space="preserve">requests for </w:t>
      </w:r>
      <w:r w:rsidRPr="00D50BC7">
        <w:t xml:space="preserve">early access </w:t>
      </w:r>
      <w:r w:rsidR="002A7AE3">
        <w:t xml:space="preserve">from </w:t>
      </w:r>
      <w:r>
        <w:t xml:space="preserve">spectrum licensees who are able to satisfy </w:t>
      </w:r>
      <w:r w:rsidR="00C43BD7">
        <w:t xml:space="preserve">to us </w:t>
      </w:r>
      <w:r>
        <w:t xml:space="preserve">that special circumstances justify the issuing of apparatus licences (as permitted by </w:t>
      </w:r>
      <w:r w:rsidR="008F323B">
        <w:t>sub</w:t>
      </w:r>
      <w:r>
        <w:t xml:space="preserve">section 153P(2) of the Act) </w:t>
      </w:r>
      <w:r w:rsidRPr="00D50BC7">
        <w:t>in parts of the band that are cleared prior to the licence commencement date</w:t>
      </w:r>
      <w:r w:rsidRPr="00A85B50">
        <w:t>.</w:t>
      </w:r>
    </w:p>
    <w:p w14:paraId="780E9C21" w14:textId="0AD623D4" w:rsidR="002C250B" w:rsidRDefault="002C250B" w:rsidP="001318ED">
      <w:pPr>
        <w:pStyle w:val="Heading4"/>
      </w:pPr>
      <w:r>
        <w:lastRenderedPageBreak/>
        <w:t xml:space="preserve">The 900 MHz </w:t>
      </w:r>
      <w:r w:rsidR="0033204B">
        <w:t xml:space="preserve">band </w:t>
      </w:r>
      <w:r w:rsidR="0033204B" w:rsidRPr="00D50BC7">
        <w:t xml:space="preserve">and the </w:t>
      </w:r>
      <w:r w:rsidR="0033204B" w:rsidRPr="00A5311B">
        <w:t>downshift</w:t>
      </w:r>
      <w:r w:rsidR="0033204B" w:rsidRPr="00D50BC7">
        <w:t xml:space="preserve"> frequencies</w:t>
      </w:r>
    </w:p>
    <w:p w14:paraId="38AB2989" w14:textId="1C80D0C2" w:rsidR="00EB7667" w:rsidRDefault="00CA4B2D" w:rsidP="001314D6">
      <w:pPr>
        <w:pStyle w:val="Paragraph"/>
      </w:pPr>
      <w:r>
        <w:t xml:space="preserve">There is no equivalent clearance schedule for the 900 MHz band. </w:t>
      </w:r>
      <w:r w:rsidR="001D157B">
        <w:t>I</w:t>
      </w:r>
      <w:r w:rsidR="00EB7667">
        <w:t xml:space="preserve">ncumbency in the band is limited to </w:t>
      </w:r>
      <w:r w:rsidR="007A782B">
        <w:t xml:space="preserve">Optus, Telstra and VHA </w:t>
      </w:r>
      <w:r w:rsidR="00EB7667">
        <w:t>(</w:t>
      </w:r>
      <w:r w:rsidR="00EB7667">
        <w:fldChar w:fldCharType="begin"/>
      </w:r>
      <w:r w:rsidR="00EB7667">
        <w:instrText xml:space="preserve"> REF _Ref37173007 \r \h </w:instrText>
      </w:r>
      <w:r w:rsidR="00EB7667">
        <w:fldChar w:fldCharType="separate"/>
      </w:r>
      <w:r w:rsidR="00EB7667">
        <w:t>Figure 4</w:t>
      </w:r>
      <w:r w:rsidR="00EB7667">
        <w:fldChar w:fldCharType="end"/>
      </w:r>
      <w:r w:rsidR="00EB7667">
        <w:t>).</w:t>
      </w:r>
      <w:r w:rsidR="00EB7667" w:rsidRPr="00EB7667">
        <w:t xml:space="preserve"> </w:t>
      </w:r>
      <w:r w:rsidR="008E07B9">
        <w:t>A</w:t>
      </w:r>
      <w:r w:rsidR="00854189">
        <w:t>s</w:t>
      </w:r>
      <w:r w:rsidR="00EB7667">
        <w:t xml:space="preserve"> noted above, b</w:t>
      </w:r>
      <w:r w:rsidR="00EB7667" w:rsidRPr="00EB7667">
        <w:t>ased on previous stakeholder consultation,</w:t>
      </w:r>
      <w:r w:rsidR="00C43BD7">
        <w:t xml:space="preserve"> we</w:t>
      </w:r>
      <w:r w:rsidR="00EB7667" w:rsidRPr="00EB7667">
        <w:t xml:space="preserve"> anticipate that </w:t>
      </w:r>
      <w:r w:rsidR="008E07B9">
        <w:t>these</w:t>
      </w:r>
      <w:r w:rsidR="00EB7667" w:rsidRPr="00EB7667">
        <w:t xml:space="preserve"> incumbent licensees in the 900 MHz band may be potential participants in any future spectrum licence allocation process.</w:t>
      </w:r>
    </w:p>
    <w:p w14:paraId="2CF08D66" w14:textId="5E4C3DF0" w:rsidR="00F40456" w:rsidRDefault="00230B56" w:rsidP="001314D6">
      <w:pPr>
        <w:pStyle w:val="Paragraph"/>
      </w:pPr>
      <w:r>
        <w:t xml:space="preserve">Given the limited incumbency of the band and the possibility that incumbent licensees may be potential participants in any future spectrum licence allocation, </w:t>
      </w:r>
      <w:r w:rsidR="00C43BD7">
        <w:t>we</w:t>
      </w:r>
      <w:r w:rsidR="00CA4B2D">
        <w:t xml:space="preserve"> </w:t>
      </w:r>
      <w:r w:rsidR="00A70B64">
        <w:t xml:space="preserve">consider </w:t>
      </w:r>
      <w:r w:rsidR="00CA4B2D">
        <w:t xml:space="preserve">that </w:t>
      </w:r>
      <w:r w:rsidR="00854189">
        <w:t xml:space="preserve">it may be possible for </w:t>
      </w:r>
      <w:r w:rsidR="002B1C06">
        <w:t>successful</w:t>
      </w:r>
      <w:r w:rsidR="00CA4B2D">
        <w:t xml:space="preserve"> 900 MHz band licensees </w:t>
      </w:r>
      <w:r w:rsidR="00854189">
        <w:t xml:space="preserve">to </w:t>
      </w:r>
      <w:r w:rsidR="002B1C06">
        <w:t xml:space="preserve">commence services </w:t>
      </w:r>
      <w:r w:rsidR="00854189">
        <w:t xml:space="preserve">in the band </w:t>
      </w:r>
      <w:r w:rsidR="002A7AE3">
        <w:t>soon</w:t>
      </w:r>
      <w:r w:rsidR="008E07B9">
        <w:t xml:space="preserve"> after the allocation process</w:t>
      </w:r>
      <w:r w:rsidR="00CA4B2D">
        <w:t>. This would be facilitated if new spectrum licences</w:t>
      </w:r>
      <w:r w:rsidR="004A1706">
        <w:t xml:space="preserve"> commenced immediately after allocation.</w:t>
      </w:r>
    </w:p>
    <w:p w14:paraId="739766D6" w14:textId="3B5386A6" w:rsidR="0033204B" w:rsidRDefault="0033204B" w:rsidP="001314D6">
      <w:pPr>
        <w:pStyle w:val="Paragraph"/>
      </w:pPr>
      <w:r>
        <w:t xml:space="preserve">As the downshift frequencies are proposed to be allocated with the lower segment of the 900 MHz band, </w:t>
      </w:r>
      <w:r w:rsidR="00C43BD7">
        <w:t>we</w:t>
      </w:r>
      <w:r>
        <w:t xml:space="preserve"> consider that licence commencement </w:t>
      </w:r>
      <w:r w:rsidR="00EB7667">
        <w:t xml:space="preserve">for that spectrum </w:t>
      </w:r>
      <w:r>
        <w:t>should align with that of the 900 MHz band. Any</w:t>
      </w:r>
      <w:r w:rsidR="0053594F">
        <w:t xml:space="preserve"> service</w:t>
      </w:r>
      <w:r>
        <w:t xml:space="preserve"> deployment within the downshift frequencies would be subject to the degree of incumbency within </w:t>
      </w:r>
      <w:r w:rsidR="00EB7667">
        <w:t xml:space="preserve">those </w:t>
      </w:r>
      <w:r>
        <w:t>frequencies.</w:t>
      </w:r>
    </w:p>
    <w:p w14:paraId="58B2F988" w14:textId="6E458C94" w:rsidR="00F55DE1" w:rsidRDefault="00F55DE1" w:rsidP="001314D6">
      <w:pPr>
        <w:pStyle w:val="Paragraph"/>
      </w:pPr>
      <w:r>
        <w:t>On balance</w:t>
      </w:r>
      <w:r w:rsidR="00EB7667">
        <w:t>,</w:t>
      </w:r>
      <w:r>
        <w:t xml:space="preserve"> </w:t>
      </w:r>
      <w:r w:rsidR="00C43BD7">
        <w:t>our</w:t>
      </w:r>
      <w:r>
        <w:t xml:space="preserve"> preliminary view is </w:t>
      </w:r>
      <w:r w:rsidR="002A7AE3">
        <w:t xml:space="preserve">that </w:t>
      </w:r>
      <w:r>
        <w:t xml:space="preserve">spectrum licences </w:t>
      </w:r>
      <w:r w:rsidR="001C5043">
        <w:t>in the 900 MHz band</w:t>
      </w:r>
      <w:r w:rsidR="00F40456">
        <w:t xml:space="preserve"> and </w:t>
      </w:r>
      <w:r w:rsidR="00BA2AF7">
        <w:t xml:space="preserve">the </w:t>
      </w:r>
      <w:r w:rsidR="00F40456">
        <w:t>downshift frequencies</w:t>
      </w:r>
      <w:r w:rsidR="001C5043">
        <w:t xml:space="preserve"> </w:t>
      </w:r>
      <w:r w:rsidR="008E07B9">
        <w:t xml:space="preserve">should </w:t>
      </w:r>
      <w:r>
        <w:t xml:space="preserve">commence as soon as possible after the conclusion of the allocation process, rather than at the end of the </w:t>
      </w:r>
      <w:r w:rsidR="00DA3182">
        <w:t>re</w:t>
      </w:r>
      <w:r w:rsidR="00DA3182">
        <w:noBreakHyphen/>
        <w:t>allocation</w:t>
      </w:r>
      <w:r>
        <w:t xml:space="preserve"> period. </w:t>
      </w:r>
    </w:p>
    <w:p w14:paraId="751160CF" w14:textId="226A1229" w:rsidR="00F666AF" w:rsidRDefault="000B6115" w:rsidP="00A70B64">
      <w:pPr>
        <w:pStyle w:val="Recommendation"/>
        <w:shd w:val="clear" w:color="auto" w:fill="F2F2F2" w:themeFill="background1" w:themeFillShade="F2"/>
      </w:pPr>
      <w:r>
        <w:rPr>
          <w:b/>
          <w:bCs w:val="0"/>
        </w:rPr>
        <w:t>ACMA’s</w:t>
      </w:r>
      <w:r w:rsidR="00F666AF" w:rsidRPr="006C13CE">
        <w:rPr>
          <w:b/>
          <w:bCs w:val="0"/>
        </w:rPr>
        <w:t xml:space="preserve"> preferred view</w:t>
      </w:r>
    </w:p>
    <w:p w14:paraId="62114C66" w14:textId="11142876" w:rsidR="00BE423D" w:rsidRDefault="007312D8" w:rsidP="00A70B64">
      <w:pPr>
        <w:pStyle w:val="Recommendation"/>
        <w:shd w:val="clear" w:color="auto" w:fill="F2F2F2" w:themeFill="background1" w:themeFillShade="F2"/>
        <w:spacing w:after="240"/>
      </w:pPr>
      <w:r>
        <w:t>On balance, the</w:t>
      </w:r>
      <w:r w:rsidR="00D553DC" w:rsidRPr="00D553DC">
        <w:t xml:space="preserve"> ACMA</w:t>
      </w:r>
      <w:r w:rsidR="00D553DC">
        <w:t xml:space="preserve">’s </w:t>
      </w:r>
      <w:r w:rsidR="00D553DC" w:rsidDel="00981D0D">
        <w:t xml:space="preserve">preferred </w:t>
      </w:r>
      <w:r w:rsidR="00D553DC">
        <w:t xml:space="preserve">view </w:t>
      </w:r>
      <w:r w:rsidR="008E1927">
        <w:t>is that</w:t>
      </w:r>
      <w:r w:rsidR="00D553DC" w:rsidRPr="00D553DC">
        <w:t xml:space="preserve"> spectrum licences in the 850/900</w:t>
      </w:r>
      <w:r w:rsidR="0087619F">
        <w:t> </w:t>
      </w:r>
      <w:r w:rsidR="00D553DC" w:rsidRPr="00D553DC">
        <w:t xml:space="preserve">MHz band </w:t>
      </w:r>
      <w:r w:rsidR="00983624">
        <w:t xml:space="preserve">should be issued </w:t>
      </w:r>
      <w:r w:rsidR="00D553DC" w:rsidRPr="00D553DC">
        <w:t>for the current maximum term of 15 years</w:t>
      </w:r>
      <w:r w:rsidR="00C714EA">
        <w:t>.</w:t>
      </w:r>
      <w:r w:rsidR="00D553DC" w:rsidRPr="00D553DC">
        <w:t xml:space="preserve"> </w:t>
      </w:r>
      <w:r w:rsidR="00C714EA">
        <w:t>This is with t</w:t>
      </w:r>
      <w:r w:rsidR="00D553DC" w:rsidRPr="00D553DC">
        <w:t>he</w:t>
      </w:r>
      <w:r w:rsidR="00C714EA">
        <w:t xml:space="preserve"> exception of</w:t>
      </w:r>
      <w:r w:rsidR="00E132E7">
        <w:t xml:space="preserve"> a</w:t>
      </w:r>
      <w:r w:rsidR="00C714EA">
        <w:t xml:space="preserve"> </w:t>
      </w:r>
      <w:r w:rsidR="00E56F7D">
        <w:t xml:space="preserve">licence for </w:t>
      </w:r>
      <w:r w:rsidR="00C714EA">
        <w:t>the</w:t>
      </w:r>
      <w:r w:rsidR="00D553DC" w:rsidRPr="00D553DC">
        <w:t xml:space="preserve"> </w:t>
      </w:r>
      <w:r w:rsidR="00956AAB">
        <w:t xml:space="preserve">downshift </w:t>
      </w:r>
      <w:r w:rsidR="00B940A3">
        <w:t>frequencies</w:t>
      </w:r>
      <w:r w:rsidR="00D540FD">
        <w:t>,</w:t>
      </w:r>
      <w:r w:rsidR="00B940A3">
        <w:t xml:space="preserve"> </w:t>
      </w:r>
      <w:r w:rsidR="00D553DC" w:rsidRPr="00D553DC">
        <w:t xml:space="preserve">which </w:t>
      </w:r>
      <w:r w:rsidR="00D540FD">
        <w:t>the ACMA considers should</w:t>
      </w:r>
      <w:r w:rsidR="0087619F">
        <w:t xml:space="preserve"> </w:t>
      </w:r>
      <w:r w:rsidR="00920711">
        <w:t>be issued for a term that expires on</w:t>
      </w:r>
      <w:r w:rsidR="00DB2B12">
        <w:t xml:space="preserve"> 17 June 2028 (aligning with the expiry date </w:t>
      </w:r>
      <w:r w:rsidR="003912ED">
        <w:t>of</w:t>
      </w:r>
      <w:r w:rsidR="00981D0D">
        <w:t xml:space="preserve"> the existing</w:t>
      </w:r>
      <w:r w:rsidR="00DB2B12">
        <w:t xml:space="preserve"> spectrum licences in the </w:t>
      </w:r>
      <w:r w:rsidR="002A7AE3">
        <w:t xml:space="preserve">adjacent </w:t>
      </w:r>
      <w:r w:rsidR="00DB2B12">
        <w:t>8</w:t>
      </w:r>
      <w:r w:rsidR="00812519">
        <w:t>5</w:t>
      </w:r>
      <w:r w:rsidR="00DB2B12" w:rsidDel="00812519">
        <w:t>0</w:t>
      </w:r>
      <w:r w:rsidR="00DB2B12">
        <w:t> MHz band)</w:t>
      </w:r>
      <w:r w:rsidR="00D553DC" w:rsidRPr="00D553DC">
        <w:t>.</w:t>
      </w:r>
      <w:r w:rsidR="00C714EA">
        <w:t xml:space="preserve"> </w:t>
      </w:r>
    </w:p>
    <w:p w14:paraId="0CDDB1A9" w14:textId="104804B9" w:rsidR="00F55DE1" w:rsidRDefault="00F8447D" w:rsidP="00A70B64">
      <w:pPr>
        <w:pStyle w:val="Recommendation"/>
        <w:shd w:val="clear" w:color="auto" w:fill="F2F2F2" w:themeFill="background1" w:themeFillShade="F2"/>
        <w:spacing w:after="240"/>
      </w:pPr>
      <w:r>
        <w:t xml:space="preserve">The ACMA further considers that it may be appropriate for spectrum licences in the 850 MHz expansion band to commence at the end of the </w:t>
      </w:r>
      <w:r w:rsidR="00DA3182">
        <w:t>re</w:t>
      </w:r>
      <w:r w:rsidR="00DA3182">
        <w:noBreakHyphen/>
        <w:t>allocation</w:t>
      </w:r>
      <w:r>
        <w:t xml:space="preserve"> period, on </w:t>
      </w:r>
      <w:r w:rsidR="003F3B96">
        <w:t>1 July </w:t>
      </w:r>
      <w:r>
        <w:t>2024</w:t>
      </w:r>
      <w:r w:rsidR="00C43BD7">
        <w:t>,</w:t>
      </w:r>
      <w:r>
        <w:t xml:space="preserve"> and </w:t>
      </w:r>
      <w:r w:rsidR="00F55DE1">
        <w:t>for spectrum licences</w:t>
      </w:r>
      <w:r>
        <w:t xml:space="preserve"> in the 900 MHz band</w:t>
      </w:r>
      <w:r w:rsidR="00F55DE1">
        <w:t xml:space="preserve"> </w:t>
      </w:r>
      <w:r w:rsidR="00F40456">
        <w:t xml:space="preserve">and downshift frequencies </w:t>
      </w:r>
      <w:r w:rsidR="00F55DE1">
        <w:t xml:space="preserve">to commence as soon as possible after the allocation process is complete. </w:t>
      </w:r>
    </w:p>
    <w:p w14:paraId="2578B4F6" w14:textId="6452ADF1" w:rsidR="00920711" w:rsidRDefault="003D2750" w:rsidP="00A70B64">
      <w:pPr>
        <w:pStyle w:val="Recommendation"/>
        <w:shd w:val="clear" w:color="auto" w:fill="F2F2F2" w:themeFill="background1" w:themeFillShade="F2"/>
      </w:pPr>
      <w:r>
        <w:t>We</w:t>
      </w:r>
      <w:r w:rsidR="00920711">
        <w:t xml:space="preserve"> welcome stakeholder views on licence terms </w:t>
      </w:r>
      <w:r w:rsidR="00F55DE1">
        <w:t xml:space="preserve">and commencement dates </w:t>
      </w:r>
      <w:r w:rsidR="00920711">
        <w:t>for 850/900 MHz band spectrum.</w:t>
      </w:r>
    </w:p>
    <w:p w14:paraId="2CA5BA51" w14:textId="5F91E42D" w:rsidR="00866F54" w:rsidRDefault="00866F54" w:rsidP="00CE37C2">
      <w:pPr>
        <w:pStyle w:val="Heading2"/>
      </w:pPr>
      <w:bookmarkStart w:id="71" w:name="_Toc40175658"/>
      <w:r>
        <w:t>Allocation methodology</w:t>
      </w:r>
      <w:bookmarkEnd w:id="71"/>
    </w:p>
    <w:p w14:paraId="2DB009A9" w14:textId="6AA2111F" w:rsidR="009156C9" w:rsidRDefault="009156C9" w:rsidP="00866F54">
      <w:pPr>
        <w:pStyle w:val="Paragraph"/>
      </w:pPr>
      <w:r w:rsidRPr="009156C9">
        <w:t xml:space="preserve">If the </w:t>
      </w:r>
      <w:r w:rsidR="008653F9">
        <w:t>Minister</w:t>
      </w:r>
      <w:r w:rsidRPr="009156C9">
        <w:t xml:space="preserve"> makes a </w:t>
      </w:r>
      <w:r w:rsidR="00DA3182">
        <w:t>re</w:t>
      </w:r>
      <w:r w:rsidR="00DA3182">
        <w:noBreakHyphen/>
        <w:t>allocation</w:t>
      </w:r>
      <w:r w:rsidRPr="009156C9">
        <w:t xml:space="preserve"> declaration specifying that the spectrum be re</w:t>
      </w:r>
      <w:r w:rsidR="00EC6D20">
        <w:noBreakHyphen/>
      </w:r>
      <w:r w:rsidRPr="009156C9">
        <w:t>allocated by issuing spectrum licences, then the ACMA must allocate the spectrum licences in accordance with section 60 of the Act—that is</w:t>
      </w:r>
      <w:r w:rsidR="00234517">
        <w:t xml:space="preserve"> via</w:t>
      </w:r>
      <w:r w:rsidRPr="009156C9">
        <w:t xml:space="preserve"> auction, tender or for a predetermined or negotiated price.</w:t>
      </w:r>
    </w:p>
    <w:p w14:paraId="5790193D" w14:textId="0A3322C0" w:rsidR="00C96991" w:rsidRPr="00C96991" w:rsidRDefault="00C96991" w:rsidP="00CE37C2">
      <w:pPr>
        <w:pStyle w:val="Paragraphbeforelist"/>
      </w:pPr>
      <w:r>
        <w:t>As noted</w:t>
      </w:r>
      <w:r w:rsidR="00CA1DCA">
        <w:t xml:space="preserve"> above</w:t>
      </w:r>
      <w:r>
        <w:t>, i</w:t>
      </w:r>
      <w:r w:rsidRPr="00C96991">
        <w:t>n allocating spectrum</w:t>
      </w:r>
      <w:r w:rsidR="00234517">
        <w:t xml:space="preserve">, </w:t>
      </w:r>
      <w:r w:rsidR="00970A60">
        <w:t>the ACMA is</w:t>
      </w:r>
      <w:r>
        <w:t xml:space="preserve"> guided by </w:t>
      </w:r>
      <w:r w:rsidRPr="00C96991">
        <w:t>the object of the</w:t>
      </w:r>
      <w:r w:rsidRPr="00C96991">
        <w:rPr>
          <w:i/>
        </w:rPr>
        <w:t xml:space="preserve"> </w:t>
      </w:r>
      <w:r w:rsidRPr="00C96991">
        <w:t>Act</w:t>
      </w:r>
      <w:r w:rsidR="001C449A">
        <w:t xml:space="preserve">, the </w:t>
      </w:r>
      <w:r w:rsidRPr="00C96991">
        <w:t>most relevant</w:t>
      </w:r>
      <w:r w:rsidR="001C449A">
        <w:t xml:space="preserve"> parts being</w:t>
      </w:r>
      <w:r w:rsidR="00626511">
        <w:t xml:space="preserve"> to</w:t>
      </w:r>
      <w:r w:rsidRPr="00C96991">
        <w:t xml:space="preserve">: </w:t>
      </w:r>
    </w:p>
    <w:p w14:paraId="57FD8668" w14:textId="77777777" w:rsidR="001C449A" w:rsidRDefault="001C449A" w:rsidP="001C449A">
      <w:pPr>
        <w:pStyle w:val="Bulletlevel1"/>
      </w:pPr>
      <w:r>
        <w:t>maximise, by ensuring the efficient allocation and use of the spectrum, the overall public benefit derived from using the radiofrequency spectrum</w:t>
      </w:r>
    </w:p>
    <w:p w14:paraId="3890F654" w14:textId="3B07C8EF" w:rsidR="001C449A" w:rsidRDefault="001C449A" w:rsidP="001C449A">
      <w:pPr>
        <w:pStyle w:val="Bulletlevel1last"/>
      </w:pPr>
      <w:r>
        <w:t xml:space="preserve">support the communications policy objectives of the </w:t>
      </w:r>
      <w:r w:rsidR="00F21F29">
        <w:t xml:space="preserve">Australian </w:t>
      </w:r>
      <w:r>
        <w:t>Government.</w:t>
      </w:r>
    </w:p>
    <w:p w14:paraId="4483F97A" w14:textId="34B44447" w:rsidR="00FE5B7F" w:rsidRDefault="00D01FBD" w:rsidP="000B643A">
      <w:pPr>
        <w:pStyle w:val="Paragraph"/>
      </w:pPr>
      <w:r>
        <w:t>When</w:t>
      </w:r>
      <w:r w:rsidR="00AD5978">
        <w:t xml:space="preserve"> demand is likely to be greater than supply, market-based allocation (by auction or tender) is considered more appropriate than allocation by a pre-determined or negotiated price</w:t>
      </w:r>
      <w:r w:rsidR="00AD5978" w:rsidRPr="009156C9">
        <w:t>.</w:t>
      </w:r>
      <w:r w:rsidR="00AD5978" w:rsidRPr="001A20BD">
        <w:t xml:space="preserve"> </w:t>
      </w:r>
      <w:r w:rsidR="00BC303B">
        <w:t xml:space="preserve">Market-based allocation has been shown to facilitate the efficient allocation of spectrum in contexts where demand is </w:t>
      </w:r>
      <w:r w:rsidR="00107016">
        <w:t>expected to be significant</w:t>
      </w:r>
      <w:r w:rsidR="00F21F29">
        <w:t>,</w:t>
      </w:r>
      <w:r w:rsidR="00107016">
        <w:t xml:space="preserve"> but it is </w:t>
      </w:r>
      <w:r w:rsidR="00ED29E5">
        <w:t xml:space="preserve">uncertain </w:t>
      </w:r>
      <w:r w:rsidR="00107016">
        <w:t>which parties represent the highest value user</w:t>
      </w:r>
      <w:r w:rsidR="00770698">
        <w:t>s</w:t>
      </w:r>
      <w:r w:rsidR="00BC303B">
        <w:t>.</w:t>
      </w:r>
      <w:r w:rsidR="00ED29E5">
        <w:t xml:space="preserve"> Market</w:t>
      </w:r>
      <w:r w:rsidR="0005054F">
        <w:t>-</w:t>
      </w:r>
      <w:r w:rsidR="00ED29E5">
        <w:t xml:space="preserve">based allocation is </w:t>
      </w:r>
      <w:r w:rsidR="00ED29E5">
        <w:lastRenderedPageBreak/>
        <w:t xml:space="preserve">intended to </w:t>
      </w:r>
      <w:r w:rsidR="00ED29E5" w:rsidRPr="002301F0">
        <w:t>ensure that the available spectrum is allocated to those bidders who value it the most.</w:t>
      </w:r>
      <w:r w:rsidR="00ED29E5">
        <w:rPr>
          <w:rStyle w:val="FootnoteReference"/>
        </w:rPr>
        <w:footnoteReference w:id="15"/>
      </w:r>
      <w:r w:rsidR="0051350E">
        <w:t xml:space="preserve"> </w:t>
      </w:r>
    </w:p>
    <w:p w14:paraId="4C4BD990" w14:textId="4EEE01FB" w:rsidR="00AD5978" w:rsidRDefault="00F21F29" w:rsidP="000B643A">
      <w:pPr>
        <w:pStyle w:val="Paragraph"/>
      </w:pPr>
      <w:r>
        <w:t>We</w:t>
      </w:r>
      <w:r w:rsidR="00AD5978">
        <w:t xml:space="preserve"> </w:t>
      </w:r>
      <w:r w:rsidR="00A70B64">
        <w:t xml:space="preserve">consider </w:t>
      </w:r>
      <w:r w:rsidR="00AD5978">
        <w:t xml:space="preserve">that there </w:t>
      </w:r>
      <w:r w:rsidR="00817149">
        <w:t xml:space="preserve">is likely to </w:t>
      </w:r>
      <w:r w:rsidR="00AD5978">
        <w:t xml:space="preserve">be </w:t>
      </w:r>
      <w:r w:rsidR="00702304">
        <w:t>significant</w:t>
      </w:r>
      <w:r w:rsidR="00770698">
        <w:t xml:space="preserve"> </w:t>
      </w:r>
      <w:r w:rsidR="00AD5978">
        <w:t xml:space="preserve">demand for spectrum in the 850/900 MHz band. </w:t>
      </w:r>
      <w:r w:rsidR="00A70B64">
        <w:t>We consider that it is</w:t>
      </w:r>
      <w:r w:rsidR="002237AB">
        <w:t xml:space="preserve"> likely that participants in the allocation will include mobile network operators </w:t>
      </w:r>
      <w:r w:rsidR="00770698">
        <w:t xml:space="preserve">seeking </w:t>
      </w:r>
      <w:r w:rsidR="002237AB">
        <w:t xml:space="preserve">to deploy mobile broadband services in the spectrum, such as </w:t>
      </w:r>
      <w:r w:rsidR="00EE6CBE">
        <w:t>the</w:t>
      </w:r>
      <w:r w:rsidR="002237AB">
        <w:t xml:space="preserve"> incumbent </w:t>
      </w:r>
      <w:r w:rsidR="00626511">
        <w:t>apparatus</w:t>
      </w:r>
      <w:r w:rsidR="002237AB">
        <w:t xml:space="preserve"> licensees in the 900 MHz band.</w:t>
      </w:r>
      <w:r w:rsidR="00D01FBD" w:rsidRPr="00D01FBD">
        <w:t xml:space="preserve"> </w:t>
      </w:r>
      <w:r>
        <w:t>We</w:t>
      </w:r>
      <w:r w:rsidR="00D01FBD">
        <w:t xml:space="preserve"> therefore consider that a market-based allocation will be appropriate for the 850/900 MHz band allocation.</w:t>
      </w:r>
    </w:p>
    <w:p w14:paraId="21E73500" w14:textId="7F3A8259" w:rsidR="00DF3D5D" w:rsidRDefault="00F21F29" w:rsidP="00106ED9">
      <w:r>
        <w:t>We</w:t>
      </w:r>
      <w:r w:rsidR="00987241">
        <w:t xml:space="preserve"> </w:t>
      </w:r>
      <w:r w:rsidR="00114F39">
        <w:t xml:space="preserve">further </w:t>
      </w:r>
      <w:r w:rsidR="00987241">
        <w:t xml:space="preserve">consider that </w:t>
      </w:r>
      <w:r w:rsidR="00987241" w:rsidRPr="002301F0">
        <w:t xml:space="preserve">auctions </w:t>
      </w:r>
      <w:r w:rsidR="00987241">
        <w:t xml:space="preserve">provide a simple </w:t>
      </w:r>
      <w:r w:rsidR="00987241" w:rsidRPr="002301F0">
        <w:t xml:space="preserve">and transparent method of allocating </w:t>
      </w:r>
      <w:r w:rsidR="00987241">
        <w:t>spectrum</w:t>
      </w:r>
      <w:r w:rsidR="00987241" w:rsidRPr="002301F0">
        <w:t xml:space="preserve"> where there is</w:t>
      </w:r>
      <w:r w:rsidR="00987241" w:rsidRPr="002301F0" w:rsidDel="00F41D63">
        <w:t xml:space="preserve"> </w:t>
      </w:r>
      <w:r w:rsidR="00987241" w:rsidRPr="002301F0">
        <w:t>competing demand</w:t>
      </w:r>
      <w:r w:rsidR="00987241">
        <w:t xml:space="preserve"> either in the aggregate or for individual lots</w:t>
      </w:r>
      <w:r w:rsidR="00987241" w:rsidRPr="002301F0">
        <w:t>.</w:t>
      </w:r>
      <w:r w:rsidR="00987241">
        <w:t xml:space="preserve"> </w:t>
      </w:r>
      <w:r w:rsidR="00702304">
        <w:t>Auctions</w:t>
      </w:r>
      <w:r w:rsidR="00702304" w:rsidRPr="00E32F53">
        <w:t xml:space="preserve"> </w:t>
      </w:r>
      <w:r w:rsidR="00E32F53" w:rsidRPr="00E32F53">
        <w:t>can be conducted using a wide variety of methodologies</w:t>
      </w:r>
      <w:r w:rsidR="0025141B">
        <w:t xml:space="preserve">. Methodologies </w:t>
      </w:r>
      <w:r w:rsidR="00702304">
        <w:t xml:space="preserve">which could be used </w:t>
      </w:r>
      <w:r w:rsidR="00817149">
        <w:t>for an 850/900 MHz allocation</w:t>
      </w:r>
      <w:r w:rsidR="00E32F53" w:rsidRPr="00E32F53">
        <w:t xml:space="preserve"> </w:t>
      </w:r>
      <w:r w:rsidR="00702304">
        <w:t xml:space="preserve">are </w:t>
      </w:r>
      <w:r w:rsidR="00847ADC">
        <w:t>the</w:t>
      </w:r>
      <w:r w:rsidR="002237AB">
        <w:t xml:space="preserve"> simple clock auction (SCA),</w:t>
      </w:r>
      <w:r w:rsidR="00847ADC">
        <w:t xml:space="preserve"> </w:t>
      </w:r>
      <w:r w:rsidR="00E32F53" w:rsidRPr="00E32F53">
        <w:t>simultaneous multi-round ascending (SMRA)</w:t>
      </w:r>
      <w:r w:rsidR="002237AB">
        <w:t xml:space="preserve"> </w:t>
      </w:r>
      <w:r w:rsidR="00746FFE">
        <w:t>auction</w:t>
      </w:r>
      <w:r w:rsidR="00BF3C23">
        <w:t>, two-stage auction</w:t>
      </w:r>
      <w:r w:rsidR="00AA6CA5">
        <w:t xml:space="preserve"> with generic lots</w:t>
      </w:r>
      <w:r w:rsidR="0025141B">
        <w:t xml:space="preserve"> and package bidding formats such as the combinatorial clock auction and the sealed bid combinatorial auction</w:t>
      </w:r>
      <w:r w:rsidR="00E32F53" w:rsidRPr="00E32F53">
        <w:t>.</w:t>
      </w:r>
      <w:r w:rsidR="00AD7E03">
        <w:t xml:space="preserve"> </w:t>
      </w:r>
    </w:p>
    <w:p w14:paraId="54C78F4A" w14:textId="1BCEE2DC" w:rsidR="002237AB" w:rsidRDefault="00F20125" w:rsidP="00177B4E">
      <w:pPr>
        <w:pStyle w:val="Heading3"/>
      </w:pPr>
      <w:r>
        <w:t xml:space="preserve">Option </w:t>
      </w:r>
      <w:r w:rsidR="003D76A9">
        <w:t>1</w:t>
      </w:r>
      <w:r>
        <w:t xml:space="preserve">: </w:t>
      </w:r>
      <w:r w:rsidR="002E1AD4">
        <w:t xml:space="preserve">Simple clock auction </w:t>
      </w:r>
    </w:p>
    <w:p w14:paraId="356EEBC5" w14:textId="6AE1E23E" w:rsidR="00473F45" w:rsidRDefault="00473F45" w:rsidP="00473F45">
      <w:r>
        <w:t>In a</w:t>
      </w:r>
      <w:r w:rsidR="003E28D3">
        <w:t xml:space="preserve"> simple clock auction</w:t>
      </w:r>
      <w:r>
        <w:t xml:space="preserve"> </w:t>
      </w:r>
      <w:r w:rsidR="003E28D3">
        <w:t>(</w:t>
      </w:r>
      <w:r>
        <w:t>SCA</w:t>
      </w:r>
      <w:r w:rsidR="003E28D3">
        <w:t>)</w:t>
      </w:r>
      <w:r>
        <w:t xml:space="preserve">, before each round, the auction manager names a price (the continue price) that the bidder must meet to be eligible to place a bid in the subsequent round. The bidder can accept the continue price (a continue bid) or place a lower bid (an exit bid). If a bid is lower than the continue price—that is, if it is an exit bid—then it is the bidder’s final bid. Once a bidder has made an exit bid, the bidder cannot resume bidding on that lot in future rounds. </w:t>
      </w:r>
    </w:p>
    <w:p w14:paraId="266E2F9F" w14:textId="4FE8C081" w:rsidR="00473F45" w:rsidRDefault="00473F45" w:rsidP="00473F45">
      <w:r>
        <w:t>When there is at most one bidder who bids at least the continue price or all bidders have exited, the auction ends, the high-bidder wins, and pays the amount of the second-highest bid. This ensures that the winner never pays more than necessary to win.</w:t>
      </w:r>
    </w:p>
    <w:p w14:paraId="2F2DEE08" w14:textId="29B473BA" w:rsidR="00473F45" w:rsidRPr="007951CB" w:rsidRDefault="00473F45" w:rsidP="00A93474">
      <w:r>
        <w:t>The</w:t>
      </w:r>
      <w:r w:rsidRPr="00473F45">
        <w:t xml:space="preserve"> </w:t>
      </w:r>
      <w:r>
        <w:t>SCA performs best where demand for the lots on offer is largely independent. The SCA is most suited where bidders are unlikely to consider the products on sale to be substitutable or complementary to one another.</w:t>
      </w:r>
    </w:p>
    <w:p w14:paraId="5C80F24F" w14:textId="76B159EF" w:rsidR="00363C73" w:rsidRDefault="002237AB" w:rsidP="00177B4E">
      <w:pPr>
        <w:pStyle w:val="Heading3"/>
      </w:pPr>
      <w:r>
        <w:t xml:space="preserve">Option 2: </w:t>
      </w:r>
      <w:r w:rsidR="001F6785">
        <w:t xml:space="preserve">Standard </w:t>
      </w:r>
      <w:r w:rsidR="00B26BC4">
        <w:t>s</w:t>
      </w:r>
      <w:r w:rsidR="00363C73">
        <w:t xml:space="preserve">imultaneous multi-round ascending auction </w:t>
      </w:r>
    </w:p>
    <w:p w14:paraId="44E86D92" w14:textId="494DE2F5" w:rsidR="00847ADC" w:rsidRDefault="00847ADC" w:rsidP="00847ADC">
      <w:r>
        <w:t xml:space="preserve">In </w:t>
      </w:r>
      <w:r w:rsidR="003E28D3">
        <w:t>simultaneous multi-round ascending (</w:t>
      </w:r>
      <w:r>
        <w:t>SMRA</w:t>
      </w:r>
      <w:r w:rsidR="003E28D3">
        <w:t>)</w:t>
      </w:r>
      <w:r>
        <w:t xml:space="preserve"> auction</w:t>
      </w:r>
      <w:r w:rsidR="00702304">
        <w:t>s</w:t>
      </w:r>
      <w:r>
        <w:t>, multiple spectrum lots are offered simultaneously, and bids are made on individual lots. These can be contrasted with auction formats that enable ‘package bids’, such as the combinatorial clock auction format used by the ACMA in the digital dividend auction in 2013.</w:t>
      </w:r>
    </w:p>
    <w:p w14:paraId="23C06051" w14:textId="0CD417F2" w:rsidR="00847ADC" w:rsidRPr="006F741C" w:rsidRDefault="00847ADC" w:rsidP="00847ADC">
      <w:r>
        <w:t>In the standard SMRA auction format, a</w:t>
      </w:r>
      <w:r w:rsidRPr="002301F0">
        <w:t xml:space="preserve"> number of </w:t>
      </w:r>
      <w:r>
        <w:t>frequency</w:t>
      </w:r>
      <w:r w:rsidR="00F923C0">
        <w:t>-</w:t>
      </w:r>
      <w:r w:rsidR="00F21F29">
        <w:t xml:space="preserve"> </w:t>
      </w:r>
      <w:r>
        <w:t xml:space="preserve">and </w:t>
      </w:r>
      <w:proofErr w:type="gramStart"/>
      <w:r>
        <w:t>geographically</w:t>
      </w:r>
      <w:r w:rsidR="00F923C0">
        <w:t>-</w:t>
      </w:r>
      <w:r>
        <w:t>defined</w:t>
      </w:r>
      <w:proofErr w:type="gramEnd"/>
      <w:r>
        <w:t xml:space="preserve"> lots</w:t>
      </w:r>
      <w:r w:rsidRPr="002301F0">
        <w:t xml:space="preserve"> are open for bidding at the same time</w:t>
      </w:r>
      <w:r>
        <w:t xml:space="preserve">. All lots </w:t>
      </w:r>
      <w:r w:rsidRPr="002301F0">
        <w:t xml:space="preserve">remain open </w:t>
      </w:r>
      <w:proofErr w:type="gramStart"/>
      <w:r w:rsidRPr="002301F0">
        <w:t>as long as</w:t>
      </w:r>
      <w:proofErr w:type="gramEnd"/>
      <w:r w:rsidRPr="002301F0">
        <w:t xml:space="preserve"> there are acceptable bids placed on any </w:t>
      </w:r>
      <w:r>
        <w:t>lot</w:t>
      </w:r>
      <w:r w:rsidRPr="002301F0">
        <w:t xml:space="preserve">. Bidding occurs in a sequence of rounds, with the results (in particular, the amounts of the highest bids) of each round announced to the bidders before the start of the next round. The highest bid on each </w:t>
      </w:r>
      <w:r>
        <w:t>lot</w:t>
      </w:r>
      <w:r w:rsidRPr="002301F0">
        <w:t xml:space="preserve"> becomes the provisional winning price.</w:t>
      </w:r>
      <w:r w:rsidRPr="0077677D">
        <w:t xml:space="preserve"> </w:t>
      </w:r>
      <w:r w:rsidRPr="002301F0">
        <w:t>The auction continues until there is a round in which there is no bid made for any lot. In this final round, bidders win the lots for which they have the standing high bids and pay the amount of their high bids.</w:t>
      </w:r>
    </w:p>
    <w:p w14:paraId="263BDAF2" w14:textId="3CFB3253" w:rsidR="00847ADC" w:rsidRPr="006F741C" w:rsidRDefault="00847ADC" w:rsidP="00847ADC">
      <w:r>
        <w:t>The standard SMRA auction format facilitates switching of demand between lots over successive rounds, and as such</w:t>
      </w:r>
      <w:r w:rsidR="00F21F29">
        <w:t>,</w:t>
      </w:r>
      <w:r>
        <w:t xml:space="preserve"> can be useful when there is some level of value </w:t>
      </w:r>
      <w:r>
        <w:lastRenderedPageBreak/>
        <w:t xml:space="preserve">interdependence between spectrum lots. </w:t>
      </w:r>
      <w:r w:rsidRPr="003B7D80">
        <w:t xml:space="preserve">For example, </w:t>
      </w:r>
      <w:r>
        <w:t xml:space="preserve">over </w:t>
      </w:r>
      <w:r w:rsidRPr="003B7D80">
        <w:t>multiple rounds</w:t>
      </w:r>
      <w:r w:rsidR="00F21F29">
        <w:t>,</w:t>
      </w:r>
      <w:r w:rsidRPr="003B7D80">
        <w:t xml:space="preserve"> a bidder can gather information about the value of individual lots and can change strategy by shifting the bidding to another combination if one becomes too expensive. Ideally, a bidder will have </w:t>
      </w:r>
      <w:proofErr w:type="gramStart"/>
      <w:r w:rsidRPr="003B7D80">
        <w:t>a number of</w:t>
      </w:r>
      <w:proofErr w:type="gramEnd"/>
      <w:r w:rsidRPr="003B7D80">
        <w:t xml:space="preserve"> fall</w:t>
      </w:r>
      <w:r w:rsidR="00FE7679">
        <w:t>-</w:t>
      </w:r>
      <w:r w:rsidRPr="003B7D80">
        <w:t xml:space="preserve">back business cases to facilitate changes or reductions in the geographic area or bandwidth sought. </w:t>
      </w:r>
    </w:p>
    <w:p w14:paraId="1220F1E9" w14:textId="4AC1FD75" w:rsidR="00A925F3" w:rsidRDefault="00F20125" w:rsidP="00177B4E">
      <w:pPr>
        <w:pStyle w:val="Heading3"/>
      </w:pPr>
      <w:r>
        <w:t xml:space="preserve">Option </w:t>
      </w:r>
      <w:r w:rsidR="00702304">
        <w:t>3</w:t>
      </w:r>
      <w:r>
        <w:t xml:space="preserve">: </w:t>
      </w:r>
      <w:r w:rsidR="001F6785">
        <w:t xml:space="preserve">Two-stage auction </w:t>
      </w:r>
      <w:r w:rsidR="008868B5">
        <w:t>with generic lots</w:t>
      </w:r>
    </w:p>
    <w:p w14:paraId="5782A6C6" w14:textId="20864530" w:rsidR="00EE6CBE" w:rsidRDefault="00EE6CBE" w:rsidP="00EE6CBE">
      <w:r>
        <w:t xml:space="preserve">It is also possible to utilise variations to </w:t>
      </w:r>
      <w:r w:rsidR="005C3202">
        <w:t xml:space="preserve">the </w:t>
      </w:r>
      <w:r>
        <w:t>standard SMRA auction format. For example, a simple change is to retain the simplicity of bidding on individual lots but enhance the SMRA auction format by introducing a two-stage approach</w:t>
      </w:r>
      <w:r w:rsidR="00F923C0">
        <w:t>,</w:t>
      </w:r>
      <w:r>
        <w:t xml:space="preserve"> where the first stage determines the number of lots won in each region, and the second stage assigns the frequency position. </w:t>
      </w:r>
    </w:p>
    <w:p w14:paraId="460AF793" w14:textId="5A1908A5" w:rsidR="00383D63" w:rsidRDefault="005C3202" w:rsidP="00847ADC">
      <w:r>
        <w:t>We</w:t>
      </w:r>
      <w:r w:rsidR="001F6785">
        <w:t xml:space="preserve"> used a </w:t>
      </w:r>
      <w:r w:rsidR="00383D63">
        <w:t xml:space="preserve">two-stage auction for the allocation of </w:t>
      </w:r>
      <w:r w:rsidR="00847ADC">
        <w:t xml:space="preserve">3.6 GHz </w:t>
      </w:r>
      <w:r w:rsidR="00383D63">
        <w:t xml:space="preserve">spectrum </w:t>
      </w:r>
      <w:r w:rsidR="00847ADC">
        <w:t>in late 2018</w:t>
      </w:r>
      <w:r w:rsidR="00383D63">
        <w:t>.</w:t>
      </w:r>
      <w:r w:rsidR="00662302">
        <w:rPr>
          <w:rStyle w:val="FootnoteReference"/>
        </w:rPr>
        <w:footnoteReference w:id="16"/>
      </w:r>
      <w:r w:rsidR="00383D63">
        <w:t xml:space="preserve"> This format involves the allocation of </w:t>
      </w:r>
      <w:r w:rsidR="00847ADC">
        <w:t xml:space="preserve">frequency-generic lots for each area in the first stage </w:t>
      </w:r>
      <w:r w:rsidR="00383D63">
        <w:t>(</w:t>
      </w:r>
      <w:r w:rsidR="00847ADC">
        <w:t xml:space="preserve">known as the </w:t>
      </w:r>
      <w:r w:rsidR="00606598">
        <w:t xml:space="preserve">allocation </w:t>
      </w:r>
      <w:r w:rsidR="00847ADC">
        <w:t>stage</w:t>
      </w:r>
      <w:r w:rsidR="00383D63">
        <w:t>), followed by an assignment stage that determines the specific frequency ranges awarded to each winning bidder from the first stage</w:t>
      </w:r>
      <w:r w:rsidR="00847ADC">
        <w:t xml:space="preserve">. </w:t>
      </w:r>
    </w:p>
    <w:p w14:paraId="71E1D0BD" w14:textId="3655FF72" w:rsidR="00847ADC" w:rsidRDefault="00847ADC" w:rsidP="00847ADC">
      <w:pPr>
        <w:rPr>
          <w:rFonts w:cs="Arial"/>
        </w:rPr>
      </w:pPr>
      <w:r>
        <w:t>Th</w:t>
      </w:r>
      <w:r w:rsidR="00847B19">
        <w:t xml:space="preserve">e two-stage auction </w:t>
      </w:r>
      <w:r w:rsidR="002E1AD4">
        <w:t xml:space="preserve">with generic lots </w:t>
      </w:r>
      <w:r w:rsidR="00750EC9">
        <w:t>simplifies</w:t>
      </w:r>
      <w:r>
        <w:t xml:space="preserve"> the bidding process relative to the standard SMRA auction format. </w:t>
      </w:r>
      <w:r w:rsidR="002F0965">
        <w:rPr>
          <w:rFonts w:cs="Arial"/>
        </w:rPr>
        <w:t>The proposed two-stage auction with generic lots</w:t>
      </w:r>
      <w:r>
        <w:rPr>
          <w:rFonts w:cs="Arial"/>
        </w:rPr>
        <w:t xml:space="preserve"> ha</w:t>
      </w:r>
      <w:r w:rsidR="002F0965">
        <w:rPr>
          <w:rFonts w:cs="Arial"/>
        </w:rPr>
        <w:t>s</w:t>
      </w:r>
      <w:r>
        <w:rPr>
          <w:rFonts w:cs="Arial"/>
        </w:rPr>
        <w:t xml:space="preserve"> no concept of a ‘standing high bidder’ or of ‘holding lots’. For a given product, the price will continue to increase for each round while demand exceeds supply. During a round, bidders may bid on all products available in the auction, subject to any allocation limits and eligibility requirements. At the end of a round, the auction system processes all bids from all bidders. If demand exceeds supply for any product, the auction continues to the next round. The </w:t>
      </w:r>
      <w:r w:rsidR="00AD5557">
        <w:rPr>
          <w:rFonts w:cs="Arial"/>
        </w:rPr>
        <w:t xml:space="preserve">primary </w:t>
      </w:r>
      <w:r>
        <w:rPr>
          <w:rFonts w:cs="Arial"/>
        </w:rPr>
        <w:t xml:space="preserve">stage concludes when there is no excess demand across all products. </w:t>
      </w:r>
    </w:p>
    <w:p w14:paraId="4B803C2C" w14:textId="3D54CC44" w:rsidR="00702304" w:rsidRDefault="00847ADC" w:rsidP="00702304">
      <w:r>
        <w:t>The next stage</w:t>
      </w:r>
      <w:r w:rsidR="005C3202">
        <w:t xml:space="preserve">, </w:t>
      </w:r>
      <w:r>
        <w:t>an assignment stage</w:t>
      </w:r>
      <w:r w:rsidR="005C3202">
        <w:t xml:space="preserve">, </w:t>
      </w:r>
      <w:r>
        <w:t>determine</w:t>
      </w:r>
      <w:r w:rsidR="00702304">
        <w:t>s</w:t>
      </w:r>
      <w:r>
        <w:t xml:space="preserve"> the specific frequency ranges awarded to each winning bidder from the first stage.</w:t>
      </w:r>
      <w:r w:rsidRPr="0060441E">
        <w:rPr>
          <w:rFonts w:cs="Arial"/>
        </w:rPr>
        <w:t xml:space="preserve"> </w:t>
      </w:r>
      <w:r>
        <w:rPr>
          <w:rFonts w:cs="Arial"/>
        </w:rPr>
        <w:t xml:space="preserve">While there is no requirement for a bidder to bid during the assignment stage, this stage gives bidders the opportunity to submit additional bids, at prices they choose, to express their preferences for </w:t>
      </w:r>
      <w:proofErr w:type="gramStart"/>
      <w:r>
        <w:rPr>
          <w:rFonts w:cs="Arial"/>
        </w:rPr>
        <w:t>particular frequency</w:t>
      </w:r>
      <w:proofErr w:type="gramEnd"/>
      <w:r>
        <w:rPr>
          <w:rFonts w:cs="Arial"/>
        </w:rPr>
        <w:t xml:space="preserve"> assignments for each region. </w:t>
      </w:r>
      <w:r w:rsidR="00750EC9">
        <w:rPr>
          <w:rFonts w:cs="Arial"/>
        </w:rPr>
        <w:t xml:space="preserve">In the 3.6 GHz band auction, </w:t>
      </w:r>
      <w:r w:rsidR="00750EC9">
        <w:t>t</w:t>
      </w:r>
      <w:r>
        <w:t xml:space="preserve">he assignment prices for the winning frequency range option </w:t>
      </w:r>
      <w:r w:rsidR="00750EC9">
        <w:t xml:space="preserve">were </w:t>
      </w:r>
      <w:r>
        <w:t xml:space="preserve">calculated using a form of second-price rule referred to as </w:t>
      </w:r>
      <w:r w:rsidRPr="000453AB">
        <w:t xml:space="preserve">nearest </w:t>
      </w:r>
      <w:proofErr w:type="spellStart"/>
      <w:r w:rsidRPr="000453AB">
        <w:t>Vickrey</w:t>
      </w:r>
      <w:proofErr w:type="spellEnd"/>
      <w:r w:rsidRPr="000453AB">
        <w:t xml:space="preserve"> core pricing</w:t>
      </w:r>
      <w:r w:rsidR="002B267B" w:rsidRPr="000453AB">
        <w:t>.</w:t>
      </w:r>
      <w:r w:rsidR="008F7178" w:rsidRPr="000453AB">
        <w:rPr>
          <w:rStyle w:val="FootnoteReference"/>
        </w:rPr>
        <w:footnoteReference w:id="17"/>
      </w:r>
      <w:r w:rsidR="00702304" w:rsidRPr="00702304">
        <w:t xml:space="preserve"> </w:t>
      </w:r>
    </w:p>
    <w:p w14:paraId="69450BF8" w14:textId="2B62BBE1" w:rsidR="00847ADC" w:rsidRDefault="00702304" w:rsidP="00847ADC">
      <w:r>
        <w:t>The use of generic lots in the primary stage is likely to improve substitution, reduce risk of fragmentation, and simplify bidding strategy. This approach reduces the exposure risk relative to the standard SMRA auction format and generally results in a faster auction with fewer bidding rounds.</w:t>
      </w:r>
    </w:p>
    <w:p w14:paraId="679FDBC2" w14:textId="1DFCEC47" w:rsidR="003541EA" w:rsidRDefault="00F20125" w:rsidP="00177B4E">
      <w:pPr>
        <w:pStyle w:val="Heading3"/>
      </w:pPr>
      <w:r>
        <w:t xml:space="preserve">Option </w:t>
      </w:r>
      <w:r w:rsidR="00702304">
        <w:t>4</w:t>
      </w:r>
      <w:r>
        <w:t xml:space="preserve">: </w:t>
      </w:r>
      <w:r w:rsidR="000A105E">
        <w:t xml:space="preserve">Package bidding </w:t>
      </w:r>
      <w:r w:rsidR="00750EC9">
        <w:t>formats</w:t>
      </w:r>
    </w:p>
    <w:p w14:paraId="10C2490F" w14:textId="3B8A7B8C" w:rsidR="00D92715" w:rsidRDefault="00750EC9" w:rsidP="000B643A">
      <w:pPr>
        <w:pStyle w:val="Paragraph"/>
      </w:pPr>
      <w:r>
        <w:t xml:space="preserve">There are </w:t>
      </w:r>
      <w:proofErr w:type="gramStart"/>
      <w:r>
        <w:t>a number of</w:t>
      </w:r>
      <w:proofErr w:type="gramEnd"/>
      <w:r>
        <w:t xml:space="preserve"> </w:t>
      </w:r>
      <w:r w:rsidR="009413AD">
        <w:t xml:space="preserve">auction </w:t>
      </w:r>
      <w:r>
        <w:t>formats that enable bidders to place bids on packages of lots</w:t>
      </w:r>
      <w:r w:rsidR="005B7938">
        <w:t>, known as combinatorial formats</w:t>
      </w:r>
      <w:r w:rsidR="00D92715">
        <w:t xml:space="preserve">. </w:t>
      </w:r>
      <w:r w:rsidR="00447C10">
        <w:t>The</w:t>
      </w:r>
      <w:r w:rsidR="003541EA">
        <w:t xml:space="preserve"> combinatorial clock auction</w:t>
      </w:r>
      <w:r w:rsidR="00CD6663">
        <w:t xml:space="preserve"> (CCA)</w:t>
      </w:r>
      <w:r w:rsidR="003541EA">
        <w:t xml:space="preserve"> </w:t>
      </w:r>
      <w:r w:rsidR="00847ADC">
        <w:t xml:space="preserve">format </w:t>
      </w:r>
      <w:r w:rsidR="003541EA">
        <w:t>used by the ACMA in the digital dividend auction</w:t>
      </w:r>
      <w:r w:rsidR="00D92715">
        <w:t xml:space="preserve"> is a </w:t>
      </w:r>
      <w:r w:rsidR="00103C13">
        <w:t>well</w:t>
      </w:r>
      <w:r w:rsidR="002A7E4F">
        <w:t>-</w:t>
      </w:r>
      <w:r w:rsidR="00103C13">
        <w:t>known</w:t>
      </w:r>
      <w:r w:rsidR="009413AD">
        <w:t xml:space="preserve"> </w:t>
      </w:r>
      <w:r w:rsidR="00D92715">
        <w:t xml:space="preserve">example of </w:t>
      </w:r>
      <w:r w:rsidR="005B7938">
        <w:t>a combinatorial format.</w:t>
      </w:r>
    </w:p>
    <w:p w14:paraId="7BAD200C" w14:textId="3FA7449A" w:rsidR="005B7938" w:rsidRPr="00BF3C23" w:rsidRDefault="005B7938" w:rsidP="00A70B64">
      <w:pPr>
        <w:pStyle w:val="Heading4"/>
        <w:keepNext/>
        <w:keepLines/>
      </w:pPr>
      <w:r w:rsidRPr="00BF3C23">
        <w:lastRenderedPageBreak/>
        <w:t xml:space="preserve">Combinatorial clock </w:t>
      </w:r>
      <w:r w:rsidRPr="00A70B64">
        <w:t>auction</w:t>
      </w:r>
      <w:r w:rsidR="00990B93">
        <w:t xml:space="preserve"> </w:t>
      </w:r>
    </w:p>
    <w:p w14:paraId="1DA794CD" w14:textId="4F321AFD" w:rsidR="00D6383B" w:rsidRDefault="00CD6663" w:rsidP="00A70B64">
      <w:pPr>
        <w:pStyle w:val="Paragraph"/>
        <w:keepNext/>
        <w:keepLines/>
      </w:pPr>
      <w:r>
        <w:t xml:space="preserve">The </w:t>
      </w:r>
      <w:r w:rsidR="006D5F72">
        <w:t>combinatorial clock auction (</w:t>
      </w:r>
      <w:r>
        <w:t>CCA</w:t>
      </w:r>
      <w:r w:rsidR="006D5F72">
        <w:t>)</w:t>
      </w:r>
      <w:r>
        <w:t xml:space="preserve"> is a two-stage auction with a clock stage and an assignment stage. The price is determined by an auction ‘clock’.</w:t>
      </w:r>
      <w:r w:rsidRPr="00CD6663">
        <w:t xml:space="preserve"> Each category of lots to be sold has its own clock indicating its current price. In each round, a bidder is asked to indicate, for each category, the quantity of lots desired at the current price. A bidder can indicate the quantity of lots they desire in one product subject to their demand in the other product. </w:t>
      </w:r>
    </w:p>
    <w:p w14:paraId="4D665F50" w14:textId="263C0F6F" w:rsidR="00CD6663" w:rsidRDefault="00CD6663" w:rsidP="000B643A">
      <w:pPr>
        <w:pStyle w:val="Paragraph"/>
      </w:pPr>
      <w:r w:rsidRPr="00CD6663">
        <w:t xml:space="preserve">At the end of the round, the auctioneer counts the number of bids for a lot and reports the demand for each product. The clock price is then increased on any category with excess </w:t>
      </w:r>
      <w:r w:rsidRPr="00CD6663" w:rsidDel="00D24A22">
        <w:t>demand</w:t>
      </w:r>
      <w:r w:rsidR="00D24A22" w:rsidRPr="00CD6663">
        <w:t xml:space="preserve"> before</w:t>
      </w:r>
      <w:r w:rsidRPr="00CD6663">
        <w:t xml:space="preserve"> the next round starts. This process is repeated until there is no excess demand in any category. There is also a sealed-bid supplementary round that allows bidders to make their best and final offers for all the different combinations of spectrum they want. The CCA </w:t>
      </w:r>
      <w:r w:rsidR="00661745">
        <w:t>format</w:t>
      </w:r>
      <w:r w:rsidRPr="00CD6663">
        <w:t xml:space="preserve"> </w:t>
      </w:r>
      <w:r w:rsidR="005C3202">
        <w:t xml:space="preserve">that was </w:t>
      </w:r>
      <w:r w:rsidRPr="00CD6663">
        <w:t>used in the 700 MHz and 2.5 GHz (digital dividend) auction also featured a final ‘assignment round’.</w:t>
      </w:r>
      <w:r w:rsidR="00BB13F6">
        <w:t xml:space="preserve"> </w:t>
      </w:r>
    </w:p>
    <w:p w14:paraId="7AAEE7D2" w14:textId="403C2508" w:rsidR="00CD6663" w:rsidRDefault="00A216AC" w:rsidP="000B643A">
      <w:pPr>
        <w:pStyle w:val="Paragraph"/>
      </w:pPr>
      <w:r>
        <w:t>In the clock stage, t</w:t>
      </w:r>
      <w:r w:rsidR="007D3956">
        <w:t xml:space="preserve">he </w:t>
      </w:r>
      <w:r w:rsidR="00CD6663">
        <w:t xml:space="preserve">CCA </w:t>
      </w:r>
      <w:r w:rsidR="007D3956">
        <w:t xml:space="preserve">format uses </w:t>
      </w:r>
      <w:r w:rsidR="00CD6663">
        <w:t>complex</w:t>
      </w:r>
      <w:r w:rsidR="007D3956">
        <w:t xml:space="preserve"> second-price rules</w:t>
      </w:r>
      <w:r w:rsidR="00F923C0">
        <w:t>,</w:t>
      </w:r>
      <w:r>
        <w:t xml:space="preserve"> which</w:t>
      </w:r>
      <w:r w:rsidR="007D3956">
        <w:t xml:space="preserve"> can consequently </w:t>
      </w:r>
      <w:r w:rsidR="00BF7E01">
        <w:t xml:space="preserve">introduce incentives to bid strategically and </w:t>
      </w:r>
      <w:r w:rsidR="00407345">
        <w:t xml:space="preserve">possibly </w:t>
      </w:r>
      <w:r w:rsidR="00BF7E01">
        <w:t xml:space="preserve">disadvantage </w:t>
      </w:r>
      <w:r w:rsidR="00FC0617">
        <w:t xml:space="preserve">weaker </w:t>
      </w:r>
      <w:r w:rsidR="00BF7E01">
        <w:t>bidders</w:t>
      </w:r>
      <w:r w:rsidR="00CD6663" w:rsidRPr="00CD6663">
        <w:t xml:space="preserve">. The price paid by each winning bidder is based on others’ bids, with safeguards to ensure winners pay a competitive price. </w:t>
      </w:r>
      <w:r>
        <w:t>Further</w:t>
      </w:r>
      <w:r w:rsidR="00CD6663" w:rsidRPr="00CD6663">
        <w:t>, what bidders pay is relatively non-transparent, in that it is not possible for bidders to predict how submitted bids will translate into prices paid.</w:t>
      </w:r>
    </w:p>
    <w:p w14:paraId="4A5B999C" w14:textId="5DC39F81" w:rsidR="005B7938" w:rsidRPr="00BF3C23" w:rsidRDefault="005B7938" w:rsidP="005C3202">
      <w:pPr>
        <w:pStyle w:val="Heading4"/>
      </w:pPr>
      <w:r w:rsidRPr="006D5F72">
        <w:t>Combinatorial</w:t>
      </w:r>
      <w:r w:rsidRPr="00BF3C23">
        <w:t xml:space="preserve"> multi-round auction</w:t>
      </w:r>
    </w:p>
    <w:p w14:paraId="05CE15EF" w14:textId="5D90AD1C" w:rsidR="007F1765" w:rsidRDefault="005B7938" w:rsidP="000B643A">
      <w:pPr>
        <w:pStyle w:val="Paragraph"/>
      </w:pPr>
      <w:r>
        <w:t>I</w:t>
      </w:r>
      <w:r w:rsidR="00ED1F15" w:rsidRPr="00ED1F15">
        <w:t>n 2016</w:t>
      </w:r>
      <w:r w:rsidR="005C3202">
        <w:t>,</w:t>
      </w:r>
      <w:r w:rsidR="00ED1F15" w:rsidRPr="00ED1F15">
        <w:t xml:space="preserve"> the Danish Energy Agency conducted a </w:t>
      </w:r>
      <w:r w:rsidR="00F923C0">
        <w:t>c</w:t>
      </w:r>
      <w:r w:rsidR="00ED1F15" w:rsidRPr="00ED1F15">
        <w:t xml:space="preserve">ombinatorial </w:t>
      </w:r>
      <w:r w:rsidR="00F923C0">
        <w:t>m</w:t>
      </w:r>
      <w:r w:rsidR="00ED1F15" w:rsidRPr="00ED1F15">
        <w:t>ulti-</w:t>
      </w:r>
      <w:r w:rsidR="00F923C0">
        <w:t>r</w:t>
      </w:r>
      <w:r w:rsidR="00ED1F15" w:rsidRPr="00ED1F15">
        <w:t xml:space="preserve">ound </w:t>
      </w:r>
      <w:r w:rsidR="00F923C0">
        <w:t>a</w:t>
      </w:r>
      <w:r w:rsidR="00ED1F15" w:rsidRPr="00ED1F15">
        <w:t xml:space="preserve">uction (CMRA) for the 1800 MHz band. This auction format combines an iterative 'pay-your-bid' approach with package bidding. In the auction, the auctioneer announces prices on all lot categories and bidders can place a set of mutually exclusive package bids based on the prices of each category of lots. Bidders </w:t>
      </w:r>
      <w:r w:rsidR="00AD5557">
        <w:t xml:space="preserve">can </w:t>
      </w:r>
      <w:r w:rsidR="00ED1F15" w:rsidRPr="00ED1F15">
        <w:t xml:space="preserve">submit multiple bids on packages and prices rise on those lot categories where there is over demand. There is no provisional winner in the </w:t>
      </w:r>
      <w:proofErr w:type="gramStart"/>
      <w:r w:rsidR="00ED1F15" w:rsidRPr="00ED1F15">
        <w:t>CMRA</w:t>
      </w:r>
      <w:proofErr w:type="gramEnd"/>
      <w:r w:rsidR="00ED1F15" w:rsidRPr="00ED1F15">
        <w:t xml:space="preserve"> and a bidder must be active in each round. The auction stops when there is no further bidding on any lot on offer. Bidders pay the price of the package bid plus the additional amount, which is determined at the frequency assignment stage. </w:t>
      </w:r>
    </w:p>
    <w:p w14:paraId="532AF3B4" w14:textId="1436F4B6" w:rsidR="004D411B" w:rsidRPr="00BF3C23" w:rsidRDefault="004D411B" w:rsidP="005C3202">
      <w:pPr>
        <w:pStyle w:val="Heading4"/>
      </w:pPr>
      <w:r w:rsidRPr="00BF3C23">
        <w:t xml:space="preserve">Sealed-bid </w:t>
      </w:r>
      <w:r w:rsidRPr="006D5F72">
        <w:t>combinatorial</w:t>
      </w:r>
      <w:r w:rsidRPr="00BF3C23">
        <w:t xml:space="preserve"> auction</w:t>
      </w:r>
    </w:p>
    <w:p w14:paraId="2490C7E6" w14:textId="0A81FB12" w:rsidR="00BF0985" w:rsidRDefault="00ED1F15" w:rsidP="000B643A">
      <w:pPr>
        <w:pStyle w:val="Paragraph"/>
      </w:pPr>
      <w:r>
        <w:t>The s</w:t>
      </w:r>
      <w:r w:rsidR="003541EA">
        <w:t>ealed bid combinatorial auction</w:t>
      </w:r>
      <w:r w:rsidR="00A13854">
        <w:t xml:space="preserve"> (SBCA)</w:t>
      </w:r>
      <w:r w:rsidR="003541EA">
        <w:t xml:space="preserve"> format</w:t>
      </w:r>
      <w:r>
        <w:t xml:space="preserve"> </w:t>
      </w:r>
      <w:r w:rsidRPr="00535B80">
        <w:t>requires b</w:t>
      </w:r>
      <w:r w:rsidR="003541EA" w:rsidRPr="00535B80">
        <w:t xml:space="preserve">idders </w:t>
      </w:r>
      <w:r w:rsidR="0013299A" w:rsidRPr="007147A9">
        <w:t xml:space="preserve">to </w:t>
      </w:r>
      <w:r w:rsidR="003541EA" w:rsidRPr="007147A9">
        <w:t>submit bids for all the possible combinations of l</w:t>
      </w:r>
      <w:r w:rsidR="003541EA" w:rsidRPr="00535B80">
        <w:t>ots they are interested in</w:t>
      </w:r>
      <w:r w:rsidR="00430C90" w:rsidRPr="00535B80">
        <w:t>, in ‘one shot’</w:t>
      </w:r>
      <w:r w:rsidR="003541EA" w:rsidRPr="00535B80">
        <w:t xml:space="preserve">. </w:t>
      </w:r>
      <w:r w:rsidR="00366BBA" w:rsidRPr="00535B80">
        <w:t>That</w:t>
      </w:r>
      <w:r w:rsidR="00366BBA" w:rsidRPr="00D1564E">
        <w:t xml:space="preserve"> is, they submit all bids at once, with a single price associated with each bid.</w:t>
      </w:r>
      <w:r w:rsidR="00366BBA">
        <w:t xml:space="preserve"> </w:t>
      </w:r>
      <w:r w:rsidR="003541EA">
        <w:t xml:space="preserve">The bids </w:t>
      </w:r>
      <w:r>
        <w:t>are</w:t>
      </w:r>
      <w:r w:rsidR="003541EA">
        <w:t xml:space="preserve"> mutually exclusive</w:t>
      </w:r>
      <w:r>
        <w:t xml:space="preserve"> (</w:t>
      </w:r>
      <w:r w:rsidRPr="00ED1F15">
        <w:t xml:space="preserve">the auctioneer only selects one bid per bidder). </w:t>
      </w:r>
      <w:r w:rsidR="00626511" w:rsidRPr="00ED1F15">
        <w:t>The</w:t>
      </w:r>
      <w:r w:rsidRPr="00ED1F15">
        <w:t xml:space="preserve"> combination of bids that yields the highest value </w:t>
      </w:r>
      <w:r w:rsidR="00626511">
        <w:t xml:space="preserve">are the successful bids </w:t>
      </w:r>
      <w:r w:rsidR="00626511" w:rsidRPr="00ED1F15">
        <w:t xml:space="preserve">and </w:t>
      </w:r>
      <w:r w:rsidR="00626511">
        <w:t>after that is determined</w:t>
      </w:r>
      <w:r w:rsidR="005C3202">
        <w:t>,</w:t>
      </w:r>
      <w:r w:rsidR="00626511">
        <w:t xml:space="preserve"> the auctioneer</w:t>
      </w:r>
      <w:r w:rsidR="00626511" w:rsidRPr="00ED1F15">
        <w:t xml:space="preserve"> </w:t>
      </w:r>
      <w:r w:rsidRPr="00ED1F15">
        <w:t>announces the successful bidders.</w:t>
      </w:r>
    </w:p>
    <w:p w14:paraId="7DA74CB3" w14:textId="4025D4D3" w:rsidR="00ED1F15" w:rsidRDefault="00344A91" w:rsidP="00ED1F15">
      <w:pPr>
        <w:pStyle w:val="Paragraph"/>
      </w:pPr>
      <w:r>
        <w:t>P</w:t>
      </w:r>
      <w:r w:rsidR="00ED1F15">
        <w:t xml:space="preserve">ricing in such an </w:t>
      </w:r>
      <w:r>
        <w:t xml:space="preserve">allocation </w:t>
      </w:r>
      <w:r w:rsidR="00ED1F15">
        <w:t>can be either first price</w:t>
      </w:r>
      <w:r w:rsidR="005C317A">
        <w:t xml:space="preserve">, </w:t>
      </w:r>
      <w:r w:rsidR="00ED1F15">
        <w:t>where the winning bidder pays their bid</w:t>
      </w:r>
      <w:r w:rsidR="005C317A">
        <w:t xml:space="preserve">, </w:t>
      </w:r>
      <w:r w:rsidR="00ED1F15">
        <w:t>or second price</w:t>
      </w:r>
      <w:r w:rsidR="005C317A">
        <w:t xml:space="preserve">, </w:t>
      </w:r>
      <w:r w:rsidR="00ED1F15">
        <w:t xml:space="preserve">where the winning bidder pays the highest value that other bidders were willing to pay for the spectrum. First price </w:t>
      </w:r>
      <w:r w:rsidR="00A656A7">
        <w:t xml:space="preserve">provides for a </w:t>
      </w:r>
      <w:r w:rsidR="00ED1F15">
        <w:t xml:space="preserve">simple </w:t>
      </w:r>
      <w:r w:rsidR="00A656A7">
        <w:t xml:space="preserve">pricing rule, </w:t>
      </w:r>
      <w:r w:rsidR="00ED1F15">
        <w:t>but creates incentives for bidders to</w:t>
      </w:r>
      <w:r w:rsidR="00A93474">
        <w:t xml:space="preserve"> shade their bids, where a bidder </w:t>
      </w:r>
      <w:r w:rsidR="00AA6CA5">
        <w:t>place</w:t>
      </w:r>
      <w:r w:rsidR="00A93474">
        <w:t>s</w:t>
      </w:r>
      <w:r w:rsidR="00AA6CA5">
        <w:t xml:space="preserve"> a bid that is below their true valuation</w:t>
      </w:r>
      <w:r w:rsidR="00ED1F15">
        <w:t>. Alternatively, second pricing runs into the same issues identified above in the discussion on the CCA (creat</w:t>
      </w:r>
      <w:r w:rsidR="00920A37">
        <w:t>ing</w:t>
      </w:r>
      <w:r w:rsidR="00ED1F15">
        <w:t xml:space="preserve"> incentives for</w:t>
      </w:r>
      <w:r w:rsidR="00920A37">
        <w:t xml:space="preserve"> strategic bidding </w:t>
      </w:r>
      <w:r w:rsidR="001A1C55">
        <w:t>and</w:t>
      </w:r>
      <w:r w:rsidR="00A33025">
        <w:t xml:space="preserve"> </w:t>
      </w:r>
      <w:r w:rsidR="004F6CD3">
        <w:t xml:space="preserve">disadvantage </w:t>
      </w:r>
      <w:r w:rsidR="000B4135" w:rsidRPr="007E7365">
        <w:t>weaker</w:t>
      </w:r>
      <w:r w:rsidR="004F6CD3" w:rsidRPr="007E7365">
        <w:t xml:space="preserve"> bidder</w:t>
      </w:r>
      <w:r w:rsidR="001A1C55" w:rsidRPr="007E7365">
        <w:t>s</w:t>
      </w:r>
      <w:r w:rsidR="00ED1F15">
        <w:t>). A first price rule is likely to be optimal where simplicity is an objective, or where complexity is a serious issue, making second pricing unsuitable.</w:t>
      </w:r>
    </w:p>
    <w:p w14:paraId="2EB62290" w14:textId="06626EC9" w:rsidR="00ED1F15" w:rsidRDefault="00ED1F15" w:rsidP="00ED1F15">
      <w:pPr>
        <w:pStyle w:val="Paragraph"/>
      </w:pPr>
      <w:r>
        <w:t xml:space="preserve">The </w:t>
      </w:r>
      <w:r w:rsidR="00626511">
        <w:t>SBCA</w:t>
      </w:r>
      <w:r>
        <w:t xml:space="preserve"> format is likely to be only suitable in a relatively simple auction where the number of lots on offer is relatively low, so that the number of possible combinations of lots requiring bids is feasibly low. In addition, it is likely to be suitable in scenarios </w:t>
      </w:r>
      <w:r>
        <w:lastRenderedPageBreak/>
        <w:t>where the benefits of price discovery are limited and there are large risks associated with open ascending auction formats.</w:t>
      </w:r>
    </w:p>
    <w:p w14:paraId="4BF17C54" w14:textId="4A88A7F7" w:rsidR="00D62E0D" w:rsidRDefault="006E4E88" w:rsidP="00A93474">
      <w:pPr>
        <w:pStyle w:val="Heading3"/>
      </w:pPr>
      <w:r>
        <w:t>Exposure risk</w:t>
      </w:r>
    </w:p>
    <w:p w14:paraId="1997981E" w14:textId="77777777" w:rsidR="00626511" w:rsidRDefault="00626511" w:rsidP="00626511">
      <w:pPr>
        <w:pStyle w:val="Paragraph"/>
      </w:pPr>
      <w:r>
        <w:t>In the case of the 850/900 MHz allocation, consideration of exposure risk and strategic demand reduction will be important in selecting the most appropriate format.</w:t>
      </w:r>
    </w:p>
    <w:p w14:paraId="3F8EB180" w14:textId="12BD9FD1" w:rsidR="006B629F" w:rsidRDefault="00403BC0" w:rsidP="00403BC0">
      <w:pPr>
        <w:pStyle w:val="Paragraph"/>
      </w:pPr>
      <w:r>
        <w:t>In non-combinatorial auction formats</w:t>
      </w:r>
      <w:r w:rsidR="00CF4425">
        <w:t xml:space="preserve">, </w:t>
      </w:r>
      <w:r>
        <w:t>including the SMRA and the t</w:t>
      </w:r>
      <w:r w:rsidRPr="004D7B5A">
        <w:rPr>
          <w:bCs/>
          <w:iCs/>
        </w:rPr>
        <w:t xml:space="preserve">wo-stage auction </w:t>
      </w:r>
      <w:r>
        <w:rPr>
          <w:bCs/>
          <w:iCs/>
        </w:rPr>
        <w:t xml:space="preserve">noted above, bidders can </w:t>
      </w:r>
      <w:r w:rsidR="0031624E">
        <w:t xml:space="preserve">be exposed to winning </w:t>
      </w:r>
      <w:r>
        <w:t xml:space="preserve">only a subset of their required </w:t>
      </w:r>
      <w:r w:rsidR="0031624E">
        <w:t xml:space="preserve">spectrum at prices beyond their willingness to pay. </w:t>
      </w:r>
      <w:r w:rsidR="00351762">
        <w:t xml:space="preserve">Exposure risk is a concern where there are </w:t>
      </w:r>
      <w:r>
        <w:t xml:space="preserve">strong </w:t>
      </w:r>
      <w:r w:rsidR="00351762">
        <w:t>complementarities between products on offer.</w:t>
      </w:r>
    </w:p>
    <w:p w14:paraId="701D5463" w14:textId="61F6D7DF" w:rsidR="00B91385" w:rsidRDefault="00042753" w:rsidP="0096736A">
      <w:pPr>
        <w:pStyle w:val="Paragraph"/>
      </w:pPr>
      <w:r>
        <w:t>In the case of the 850/900 MHz band</w:t>
      </w:r>
      <w:r w:rsidR="00CF4425">
        <w:t>,</w:t>
      </w:r>
      <w:r>
        <w:t xml:space="preserve"> the </w:t>
      </w:r>
      <w:r w:rsidR="0031624E">
        <w:t xml:space="preserve">complementarities between the lots on offer are </w:t>
      </w:r>
      <w:r w:rsidR="00403BC0">
        <w:t xml:space="preserve">expected to be very </w:t>
      </w:r>
      <w:r w:rsidR="0031624E">
        <w:t>strong</w:t>
      </w:r>
      <w:r>
        <w:t>. T</w:t>
      </w:r>
      <w:r w:rsidR="0031624E">
        <w:t>h</w:t>
      </w:r>
      <w:r w:rsidR="00B91385">
        <w:t>at is, th</w:t>
      </w:r>
      <w:r w:rsidR="0031624E">
        <w:t>e value of acquiring contiguous holdings is high</w:t>
      </w:r>
      <w:r w:rsidR="00BC4337">
        <w:t>,</w:t>
      </w:r>
      <w:r>
        <w:t xml:space="preserve"> so </w:t>
      </w:r>
      <w:r w:rsidR="001353CE">
        <w:t xml:space="preserve">bidders will consider blocks more </w:t>
      </w:r>
      <w:r w:rsidR="0031624E">
        <w:t>valuable when acquired together than separately.</w:t>
      </w:r>
      <w:r w:rsidR="001353CE">
        <w:t xml:space="preserve"> </w:t>
      </w:r>
      <w:r w:rsidR="00D20E6D">
        <w:t>There are also relatively few lots on offer.</w:t>
      </w:r>
    </w:p>
    <w:p w14:paraId="6440CC30" w14:textId="25C5A2D8" w:rsidR="0031624E" w:rsidRDefault="0031624E" w:rsidP="00CE37C2">
      <w:pPr>
        <w:pStyle w:val="Paragraphbeforelist"/>
      </w:pPr>
      <w:r>
        <w:t xml:space="preserve">The exposure problem </w:t>
      </w:r>
      <w:r w:rsidR="00403BC0">
        <w:t xml:space="preserve">increases in significance if there is both low overall </w:t>
      </w:r>
      <w:r>
        <w:t xml:space="preserve">supply </w:t>
      </w:r>
      <w:r w:rsidR="00403BC0">
        <w:t xml:space="preserve">in an allocation, and the </w:t>
      </w:r>
      <w:r>
        <w:t xml:space="preserve">minimum efficient scale </w:t>
      </w:r>
      <w:r w:rsidR="00403BC0">
        <w:t>is relatively large</w:t>
      </w:r>
      <w:r>
        <w:t>. This highlights the exposure in the 900 MHz and 850 MHz contexts</w:t>
      </w:r>
      <w:r w:rsidR="00BC5E44">
        <w:t xml:space="preserve">, </w:t>
      </w:r>
      <w:r w:rsidR="009413AD">
        <w:t xml:space="preserve">because </w:t>
      </w:r>
      <w:r w:rsidR="00B91385">
        <w:t xml:space="preserve">there is a </w:t>
      </w:r>
      <w:r w:rsidR="009413AD">
        <w:t xml:space="preserve">relatively </w:t>
      </w:r>
      <w:r w:rsidR="00B91385">
        <w:t>low supply of</w:t>
      </w:r>
      <w:r w:rsidR="00F9537B">
        <w:t xml:space="preserve"> highly complementary</w:t>
      </w:r>
      <w:r w:rsidR="00B91385">
        <w:t xml:space="preserve"> </w:t>
      </w:r>
      <w:r w:rsidR="009413AD">
        <w:t>spectrum</w:t>
      </w:r>
      <w:r>
        <w:t>:</w:t>
      </w:r>
    </w:p>
    <w:p w14:paraId="24E63717" w14:textId="747FE9C6" w:rsidR="0031624E" w:rsidRDefault="0031624E" w:rsidP="0031624E">
      <w:pPr>
        <w:pStyle w:val="Bulletlevel1"/>
      </w:pPr>
      <w:r>
        <w:t xml:space="preserve">in the 900 MHz band, there is </w:t>
      </w:r>
      <w:r w:rsidR="009413AD">
        <w:t xml:space="preserve">expected to be </w:t>
      </w:r>
      <w:r>
        <w:t>2</w:t>
      </w:r>
      <w:r w:rsidR="00B83AE2">
        <w:t xml:space="preserve"> </w:t>
      </w:r>
      <w:r>
        <w:t>x</w:t>
      </w:r>
      <w:r w:rsidR="00B83AE2">
        <w:t xml:space="preserve"> </w:t>
      </w:r>
      <w:r>
        <w:t>2</w:t>
      </w:r>
      <w:r w:rsidR="00AA6CA5">
        <w:t>6</w:t>
      </w:r>
      <w:r>
        <w:t xml:space="preserve"> MHz on offer</w:t>
      </w:r>
      <w:r w:rsidR="00B83AE2">
        <w:rPr>
          <w:rStyle w:val="FootnoteReference"/>
        </w:rPr>
        <w:footnoteReference w:id="18"/>
      </w:r>
      <w:r>
        <w:t xml:space="preserve"> </w:t>
      </w:r>
    </w:p>
    <w:p w14:paraId="2EDC252E" w14:textId="5A1CF326" w:rsidR="0031624E" w:rsidRDefault="0031624E" w:rsidP="00CE37C2">
      <w:pPr>
        <w:pStyle w:val="Bulletlevel1last"/>
      </w:pPr>
      <w:r>
        <w:t xml:space="preserve">in the 850 MHz </w:t>
      </w:r>
      <w:r w:rsidR="007E2C4C">
        <w:t xml:space="preserve">expansion </w:t>
      </w:r>
      <w:r>
        <w:t>band, there is expected to be 2</w:t>
      </w:r>
      <w:r w:rsidR="00B83AE2">
        <w:t xml:space="preserve"> </w:t>
      </w:r>
      <w:r>
        <w:t>x</w:t>
      </w:r>
      <w:r w:rsidR="00B83AE2">
        <w:t xml:space="preserve"> </w:t>
      </w:r>
      <w:r>
        <w:t>10 MHz on offer.</w:t>
      </w:r>
      <w:r>
        <w:rPr>
          <w:rStyle w:val="FootnoteReference"/>
        </w:rPr>
        <w:footnoteReference w:id="19"/>
      </w:r>
      <w:r>
        <w:t xml:space="preserve"> </w:t>
      </w:r>
    </w:p>
    <w:p w14:paraId="68FA9FBA" w14:textId="093AA8F8" w:rsidR="00F9537B" w:rsidRDefault="0031624E" w:rsidP="0031624E">
      <w:pPr>
        <w:pStyle w:val="Paragraph"/>
      </w:pPr>
      <w:r>
        <w:t xml:space="preserve">If lots </w:t>
      </w:r>
      <w:r w:rsidR="0044773B">
        <w:t xml:space="preserve">in the 850 MHz expansion band and 900 MHz band </w:t>
      </w:r>
      <w:r>
        <w:t>are configured in</w:t>
      </w:r>
      <w:r w:rsidR="00940CB6">
        <w:t>to</w:t>
      </w:r>
      <w:r>
        <w:t xml:space="preserve"> </w:t>
      </w:r>
      <w:r w:rsidR="00BC4337">
        <w:t>2 x </w:t>
      </w:r>
      <w:r>
        <w:t>5</w:t>
      </w:r>
      <w:r w:rsidR="00A66055">
        <w:t> </w:t>
      </w:r>
      <w:r>
        <w:t xml:space="preserve">MHz blocks, </w:t>
      </w:r>
      <w:r w:rsidDel="00980FAC">
        <w:t xml:space="preserve">there will be seven </w:t>
      </w:r>
      <w:r w:rsidR="0044773B">
        <w:t>2 x 5 MHz</w:t>
      </w:r>
      <w:r>
        <w:t xml:space="preserve"> </w:t>
      </w:r>
      <w:r w:rsidDel="00980FAC">
        <w:t>lots in total available in the 850/900 MHz band for allocation.</w:t>
      </w:r>
      <w:r w:rsidR="00B83AE2" w:rsidDel="00980FAC">
        <w:rPr>
          <w:rStyle w:val="FootnoteReference"/>
        </w:rPr>
        <w:footnoteReference w:id="20"/>
      </w:r>
      <w:r w:rsidR="00980FAC">
        <w:t xml:space="preserve"> </w:t>
      </w:r>
    </w:p>
    <w:p w14:paraId="253C3C9C" w14:textId="0831A3FC" w:rsidR="000916A6" w:rsidRDefault="0031624E" w:rsidP="00C27077">
      <w:pPr>
        <w:pStyle w:val="Paragraph"/>
      </w:pPr>
      <w:r>
        <w:t>In both bands,</w:t>
      </w:r>
      <w:r w:rsidR="00F9537B">
        <w:t xml:space="preserve"> </w:t>
      </w:r>
      <w:r w:rsidR="00BC4337">
        <w:t>we</w:t>
      </w:r>
      <w:r w:rsidR="00C27077">
        <w:t xml:space="preserve"> </w:t>
      </w:r>
      <w:r w:rsidR="00E87663">
        <w:t>consider</w:t>
      </w:r>
      <w:r w:rsidR="00C27077">
        <w:t xml:space="preserve"> that the minimum efficient scale for some bidders will be </w:t>
      </w:r>
      <w:r w:rsidR="00BC4337">
        <w:t>2 </w:t>
      </w:r>
      <w:r w:rsidR="00C27077">
        <w:t xml:space="preserve">x </w:t>
      </w:r>
      <w:r w:rsidR="00E87663">
        <w:t>10 MHz of spectrum</w:t>
      </w:r>
      <w:r w:rsidR="00C27077">
        <w:t xml:space="preserve">. </w:t>
      </w:r>
      <w:r>
        <w:t>In effect</w:t>
      </w:r>
      <w:r w:rsidR="00BC4337">
        <w:t>,</w:t>
      </w:r>
      <w:r>
        <w:t xml:space="preserve"> this means that bidder demand </w:t>
      </w:r>
      <w:r w:rsidR="00CB52CB">
        <w:t xml:space="preserve">is likely to </w:t>
      </w:r>
      <w:r>
        <w:t xml:space="preserve">exhibit increasing returns to scale </w:t>
      </w:r>
      <w:r w:rsidR="00C27077">
        <w:t>from one to two lots of 2 x 5 MHz blocks</w:t>
      </w:r>
      <w:r w:rsidR="008225BF">
        <w:t>, which means they would place a higher $/MHz</w:t>
      </w:r>
      <w:r w:rsidR="009800E4">
        <w:t>/pop</w:t>
      </w:r>
      <w:r w:rsidR="008225BF">
        <w:t xml:space="preserve"> value on 2 x 10 MHz than 2 x 5 </w:t>
      </w:r>
      <w:proofErr w:type="spellStart"/>
      <w:r w:rsidR="008225BF">
        <w:t>MHz</w:t>
      </w:r>
      <w:r w:rsidR="00C27077">
        <w:t>.</w:t>
      </w:r>
      <w:proofErr w:type="spellEnd"/>
      <w:r w:rsidR="00C27077">
        <w:t xml:space="preserve"> </w:t>
      </w:r>
      <w:r w:rsidR="00CF4425">
        <w:t>We</w:t>
      </w:r>
      <w:r w:rsidR="00C27077">
        <w:t xml:space="preserve"> further anticipate that bidder</w:t>
      </w:r>
      <w:r w:rsidR="001D30C7">
        <w:t xml:space="preserve"> </w:t>
      </w:r>
      <w:r w:rsidR="00C27077">
        <w:t xml:space="preserve">demand </w:t>
      </w:r>
      <w:r w:rsidR="00D20E6D">
        <w:t>may</w:t>
      </w:r>
      <w:r w:rsidR="00C27077">
        <w:t xml:space="preserve"> exhibit constant or increasing returns to scale between two lots and three lots of 2 x 5 MHz blocks.</w:t>
      </w:r>
    </w:p>
    <w:p w14:paraId="68784E9D" w14:textId="64CAF710" w:rsidR="00351762" w:rsidRDefault="008225BF" w:rsidP="00C27077">
      <w:pPr>
        <w:pStyle w:val="Paragraph"/>
      </w:pPr>
      <w:r>
        <w:t>Frequency lot configuration of 2 x 5 MHz blocks means that bidders are exposed to the risk of paying an inflated price for the less desirable</w:t>
      </w:r>
      <w:r w:rsidR="004D7B5A">
        <w:t xml:space="preserve"> amount of spectrum. For example, bids may be based on a bidder’s $/MHz</w:t>
      </w:r>
      <w:r w:rsidR="009800E4">
        <w:t>/pop</w:t>
      </w:r>
      <w:r w:rsidR="004D7B5A">
        <w:t xml:space="preserve"> valuation for a 2 x 10 MHz or </w:t>
      </w:r>
      <w:r w:rsidR="00576C5D">
        <w:t>2 </w:t>
      </w:r>
      <w:r w:rsidR="004D7B5A">
        <w:t>x 15 MHz lot, but the bidder may only acquire a 2 x 5 MHz subset of that bid.</w:t>
      </w:r>
      <w:r>
        <w:t xml:space="preserve"> Depending on the auction format </w:t>
      </w:r>
      <w:r w:rsidR="00B06862">
        <w:t>and allocation limits</w:t>
      </w:r>
      <w:r>
        <w:t xml:space="preserve">, this could potentially occur in both the 850 MHz expansion band and </w:t>
      </w:r>
      <w:r w:rsidR="00743811">
        <w:t xml:space="preserve">the </w:t>
      </w:r>
      <w:r>
        <w:t>900 MHz band.</w:t>
      </w:r>
    </w:p>
    <w:p w14:paraId="2C93BB14" w14:textId="2BF0E033" w:rsidR="00D20E6D" w:rsidRDefault="00CF4425" w:rsidP="00C27077">
      <w:pPr>
        <w:pStyle w:val="Paragraph"/>
      </w:pPr>
      <w:r>
        <w:t>We</w:t>
      </w:r>
      <w:r w:rsidR="00D20E6D">
        <w:t xml:space="preserve"> therefore consider that there may be </w:t>
      </w:r>
      <w:r w:rsidR="001D30C7">
        <w:t xml:space="preserve">significant </w:t>
      </w:r>
      <w:r w:rsidR="00D20E6D">
        <w:t>exposure risk in the 850/900 MHz auction.</w:t>
      </w:r>
    </w:p>
    <w:p w14:paraId="4FC3F3F9" w14:textId="627673CC" w:rsidR="00C81CE2" w:rsidRDefault="00756FCC" w:rsidP="00A93474">
      <w:pPr>
        <w:pStyle w:val="Heading3"/>
      </w:pPr>
      <w:r>
        <w:t>Strategic d</w:t>
      </w:r>
      <w:r w:rsidR="006E4E88">
        <w:t>emand reduction</w:t>
      </w:r>
    </w:p>
    <w:p w14:paraId="536EBBF5" w14:textId="5E578A60" w:rsidR="001077E3" w:rsidRDefault="00BC5E44">
      <w:pPr>
        <w:pStyle w:val="Paragraph"/>
      </w:pPr>
      <w:r>
        <w:t>Under an SMRA or a two-stage</w:t>
      </w:r>
      <w:r w:rsidR="002E1AD4">
        <w:t xml:space="preserve"> </w:t>
      </w:r>
      <w:r>
        <w:t>auction</w:t>
      </w:r>
      <w:r w:rsidR="002E1AD4">
        <w:t xml:space="preserve"> with generic lots</w:t>
      </w:r>
      <w:r>
        <w:t xml:space="preserve">, bidders can </w:t>
      </w:r>
      <w:r w:rsidR="00756FCC">
        <w:t xml:space="preserve">face strong incentives to reduce </w:t>
      </w:r>
      <w:r w:rsidR="00042753">
        <w:t xml:space="preserve">their spectrum demand </w:t>
      </w:r>
      <w:r w:rsidR="00756FCC">
        <w:t xml:space="preserve">in order to pay lower prices overall. </w:t>
      </w:r>
      <w:r w:rsidR="001077E3">
        <w:t xml:space="preserve">Bidders may find that it is in </w:t>
      </w:r>
      <w:r w:rsidR="00AA6CA5">
        <w:t>their</w:t>
      </w:r>
      <w:r w:rsidR="001077E3">
        <w:t xml:space="preserve"> mutual interest that aggregate demand is reduced while prices are still relatively low. </w:t>
      </w:r>
    </w:p>
    <w:p w14:paraId="135E65F5" w14:textId="1131459F" w:rsidR="007063F1" w:rsidRDefault="00756FCC" w:rsidP="000B643A">
      <w:pPr>
        <w:pStyle w:val="Paragraph"/>
      </w:pPr>
      <w:r>
        <w:lastRenderedPageBreak/>
        <w:t>Th</w:t>
      </w:r>
      <w:r w:rsidR="00042753">
        <w:t>is</w:t>
      </w:r>
      <w:r>
        <w:t xml:space="preserve"> risk of strategic demand reduction is partially a function of relative supply and demand.</w:t>
      </w:r>
      <w:r w:rsidR="00926BA1">
        <w:t xml:space="preserve"> This means it may occur where there are few bidders, compared to the amount of spectrum on offer</w:t>
      </w:r>
      <w:r w:rsidR="007063F1">
        <w:t>.</w:t>
      </w:r>
      <w:r w:rsidR="008D10F6">
        <w:t xml:space="preserve"> </w:t>
      </w:r>
    </w:p>
    <w:p w14:paraId="14FC3604" w14:textId="0F3DD9E6" w:rsidR="007063F1" w:rsidRDefault="00BC4337" w:rsidP="000B643A">
      <w:pPr>
        <w:pStyle w:val="Paragraph"/>
      </w:pPr>
      <w:r>
        <w:t>We</w:t>
      </w:r>
      <w:r w:rsidR="00756FCC">
        <w:t xml:space="preserve"> must determine the format for the allocation of spectrum licences well before </w:t>
      </w:r>
      <w:r w:rsidR="00CF4425">
        <w:t>we</w:t>
      </w:r>
      <w:r w:rsidR="00756FCC">
        <w:t xml:space="preserve"> </w:t>
      </w:r>
      <w:r w:rsidR="00CF4425">
        <w:t>are aware of</w:t>
      </w:r>
      <w:r w:rsidR="00042753">
        <w:t xml:space="preserve"> </w:t>
      </w:r>
      <w:r w:rsidR="00756FCC">
        <w:t xml:space="preserve">the number of bidders </w:t>
      </w:r>
      <w:r w:rsidR="00042753">
        <w:t>seeking to acquire spectrum in a band</w:t>
      </w:r>
      <w:r w:rsidR="00756FCC">
        <w:t>. At this early stage</w:t>
      </w:r>
      <w:r w:rsidR="00756FCC" w:rsidRPr="00535B80">
        <w:t xml:space="preserve">, </w:t>
      </w:r>
      <w:r w:rsidR="00CF4425" w:rsidRPr="00535B80">
        <w:t xml:space="preserve">we </w:t>
      </w:r>
      <w:r w:rsidR="00756FCC" w:rsidRPr="00535B80">
        <w:t xml:space="preserve">do not have </w:t>
      </w:r>
      <w:r w:rsidR="00042753" w:rsidRPr="00535B80">
        <w:t xml:space="preserve">certainty about the number of bidders </w:t>
      </w:r>
      <w:r w:rsidR="00756FCC" w:rsidRPr="00535B80">
        <w:t xml:space="preserve">in the </w:t>
      </w:r>
      <w:r w:rsidR="00042753" w:rsidRPr="00535B80">
        <w:t xml:space="preserve">850/900 MHz </w:t>
      </w:r>
      <w:r w:rsidR="00756FCC" w:rsidRPr="00535B80">
        <w:t>allocation</w:t>
      </w:r>
      <w:r w:rsidR="003754E5">
        <w:t xml:space="preserve">, but we consider </w:t>
      </w:r>
      <w:r w:rsidR="00756FCC" w:rsidRPr="00535B80">
        <w:t xml:space="preserve">that </w:t>
      </w:r>
      <w:r w:rsidR="00E1269C" w:rsidRPr="00535B80">
        <w:t xml:space="preserve">the market will </w:t>
      </w:r>
      <w:r w:rsidR="00CF6DEA">
        <w:t xml:space="preserve">likely </w:t>
      </w:r>
      <w:r w:rsidR="00E1269C" w:rsidRPr="00535B80">
        <w:t xml:space="preserve">be thin and therefore </w:t>
      </w:r>
      <w:r w:rsidR="00756FCC" w:rsidRPr="00535B80">
        <w:t>demand reduction is a risk.</w:t>
      </w:r>
      <w:r w:rsidR="007063F1" w:rsidRPr="007063F1">
        <w:t xml:space="preserve"> </w:t>
      </w:r>
    </w:p>
    <w:p w14:paraId="6A29EA72" w14:textId="527E66AD" w:rsidR="009D5F15" w:rsidRDefault="00A47BA0" w:rsidP="000B3476">
      <w:pPr>
        <w:pStyle w:val="Heading3"/>
      </w:pPr>
      <w:r>
        <w:t>P</w:t>
      </w:r>
      <w:r w:rsidR="000B3476">
        <w:t xml:space="preserve">reliminary </w:t>
      </w:r>
      <w:r>
        <w:t>analysis on allocation methodology</w:t>
      </w:r>
    </w:p>
    <w:p w14:paraId="60EFF828" w14:textId="593BBB1E" w:rsidR="001B5FE4" w:rsidRPr="001B5FE4" w:rsidRDefault="00A80113" w:rsidP="0083708D">
      <w:pPr>
        <w:pStyle w:val="Paragraph"/>
      </w:pPr>
      <w:r>
        <w:t xml:space="preserve">The flexibility to provide for </w:t>
      </w:r>
      <w:r w:rsidR="007632E0">
        <w:t xml:space="preserve">incumbents’ </w:t>
      </w:r>
      <w:r>
        <w:t xml:space="preserve">service continuity without compromising the broader spectrum allocation will differ depending on the </w:t>
      </w:r>
      <w:r w:rsidR="007632E0">
        <w:t xml:space="preserve">chosen </w:t>
      </w:r>
      <w:r>
        <w:t xml:space="preserve">auction format. </w:t>
      </w:r>
    </w:p>
    <w:p w14:paraId="4F01DB39" w14:textId="1DABE6DD" w:rsidR="000B3476" w:rsidRPr="0083708D" w:rsidRDefault="009D5F15" w:rsidP="00CF4425">
      <w:pPr>
        <w:pStyle w:val="Heading4"/>
      </w:pPr>
      <w:r w:rsidRPr="0083708D">
        <w:t xml:space="preserve">Non-combinatorial auction </w:t>
      </w:r>
      <w:r w:rsidRPr="005579FC">
        <w:t>formats</w:t>
      </w:r>
    </w:p>
    <w:p w14:paraId="7081BCF7" w14:textId="6B87CD48" w:rsidR="000D4630" w:rsidRDefault="001B5FE4" w:rsidP="00747FD1">
      <w:pPr>
        <w:pStyle w:val="Paragraph"/>
      </w:pPr>
      <w:r>
        <w:t>D</w:t>
      </w:r>
      <w:r w:rsidR="0091722B" w:rsidRPr="005F15C6">
        <w:t xml:space="preserve">ue to the </w:t>
      </w:r>
      <w:r w:rsidR="0091722B" w:rsidRPr="0091722B">
        <w:t xml:space="preserve">complementarity of contiguous lots and substitutability of the lots on offer across </w:t>
      </w:r>
      <w:r w:rsidR="002353FD">
        <w:t xml:space="preserve">the </w:t>
      </w:r>
      <w:r w:rsidR="0091722B" w:rsidRPr="0091722B">
        <w:t>850/900 MHz</w:t>
      </w:r>
      <w:r w:rsidR="002353FD">
        <w:t xml:space="preserve"> band</w:t>
      </w:r>
      <w:r w:rsidR="0091722B" w:rsidRPr="0091722B">
        <w:t xml:space="preserve">, </w:t>
      </w:r>
      <w:r w:rsidR="00F4213A">
        <w:t>we</w:t>
      </w:r>
      <w:r w:rsidR="0091722B" w:rsidRPr="0091722B">
        <w:t xml:space="preserve"> consider</w:t>
      </w:r>
      <w:r w:rsidR="000D4630">
        <w:t xml:space="preserve"> </w:t>
      </w:r>
      <w:r w:rsidR="00D42B81" w:rsidRPr="005F15C6">
        <w:t>th</w:t>
      </w:r>
      <w:r w:rsidR="0021163F" w:rsidRPr="005F15C6">
        <w:t xml:space="preserve">at </w:t>
      </w:r>
      <w:r w:rsidR="00042753" w:rsidRPr="005F15C6">
        <w:t xml:space="preserve">using </w:t>
      </w:r>
      <w:r w:rsidR="0021163F" w:rsidRPr="005F15C6">
        <w:t>a</w:t>
      </w:r>
      <w:r w:rsidR="0091722B" w:rsidRPr="005F15C6">
        <w:t xml:space="preserve"> non-</w:t>
      </w:r>
      <w:r w:rsidR="00BA4178">
        <w:t xml:space="preserve">combinatorial </w:t>
      </w:r>
      <w:r w:rsidR="0091722B" w:rsidRPr="005F15C6">
        <w:t xml:space="preserve">auction format </w:t>
      </w:r>
      <w:r w:rsidR="00FD0011">
        <w:t>(</w:t>
      </w:r>
      <w:r w:rsidR="00EE087A">
        <w:t>that is,</w:t>
      </w:r>
      <w:r w:rsidR="00FD0011">
        <w:t xml:space="preserve"> </w:t>
      </w:r>
      <w:r w:rsidR="00E972BC">
        <w:t xml:space="preserve">SCA, </w:t>
      </w:r>
      <w:r w:rsidR="00FD0011">
        <w:t xml:space="preserve">SMRA or two-stage auction with generic lots) </w:t>
      </w:r>
      <w:r w:rsidR="00042753" w:rsidRPr="00FF0A4C">
        <w:t xml:space="preserve">would </w:t>
      </w:r>
      <w:r w:rsidR="00BA4178">
        <w:t>generate</w:t>
      </w:r>
      <w:r w:rsidR="00042753" w:rsidRPr="005F15C6">
        <w:t xml:space="preserve"> </w:t>
      </w:r>
      <w:r w:rsidR="00FA6210" w:rsidRPr="005F15C6">
        <w:t xml:space="preserve">significant </w:t>
      </w:r>
      <w:r w:rsidR="0021163F" w:rsidRPr="005F15C6">
        <w:t>exposure risk</w:t>
      </w:r>
      <w:r w:rsidR="00654711">
        <w:t>.</w:t>
      </w:r>
    </w:p>
    <w:p w14:paraId="75461DAC" w14:textId="27B0630E" w:rsidR="00E972BC" w:rsidRDefault="00915D63" w:rsidP="00747FD1">
      <w:pPr>
        <w:pStyle w:val="Paragraph"/>
      </w:pPr>
      <w:r>
        <w:t xml:space="preserve">The SCA format is only suitable when the products on offer are largely independent of one another. The SCA only allows for one product to be auctioned at a time, which means it is prone to significant exposure risk where the products available are complements or substitutes, as is the case in the 850/900 MHz band. As such, the SCA is </w:t>
      </w:r>
      <w:r w:rsidR="00A94C7C">
        <w:t>considered an un</w:t>
      </w:r>
      <w:r>
        <w:t xml:space="preserve">suitable </w:t>
      </w:r>
      <w:r w:rsidR="0091707D">
        <w:t xml:space="preserve">format </w:t>
      </w:r>
      <w:r>
        <w:t>for this allocation.</w:t>
      </w:r>
    </w:p>
    <w:p w14:paraId="348F1353" w14:textId="48BC07BD" w:rsidR="00157A65" w:rsidRDefault="006444BC" w:rsidP="00747FD1">
      <w:pPr>
        <w:pStyle w:val="Paragraph"/>
      </w:pPr>
      <w:r>
        <w:t xml:space="preserve">The SMRA auction format offers bidders the flexibility to switch their demand during the auction, but the format does not guarantee that bidders would obtain contiguous spectrum holdings. Due to the strong complementarity of lots within each band, this could be considered an unacceptable level of exposure risk. Fragmentation of spectrum holdings could occur within </w:t>
      </w:r>
      <w:r w:rsidR="008E216D">
        <w:t xml:space="preserve">an individual </w:t>
      </w:r>
      <w:r>
        <w:t>band or across the two bands.</w:t>
      </w:r>
    </w:p>
    <w:p w14:paraId="759FFCB8" w14:textId="1C73E493" w:rsidR="00893DE9" w:rsidRPr="006F6584" w:rsidRDefault="00CC66B0" w:rsidP="00747FD1">
      <w:pPr>
        <w:pStyle w:val="Paragraph"/>
      </w:pPr>
      <w:r>
        <w:t>The two-stage auction with generic lots may mitigate some of th</w:t>
      </w:r>
      <w:r w:rsidR="000D4630">
        <w:t>e</w:t>
      </w:r>
      <w:r>
        <w:t xml:space="preserve"> risk</w:t>
      </w:r>
      <w:r w:rsidR="000D4630">
        <w:t xml:space="preserve"> of non-contiguous holdings</w:t>
      </w:r>
      <w:r w:rsidR="00BB063C">
        <w:t xml:space="preserve"> but introduce</w:t>
      </w:r>
      <w:r w:rsidR="000D4630">
        <w:t>s</w:t>
      </w:r>
      <w:r w:rsidR="00BB063C">
        <w:t xml:space="preserve"> additional</w:t>
      </w:r>
      <w:r w:rsidR="00BB063C" w:rsidRPr="00BB063C">
        <w:t xml:space="preserve"> </w:t>
      </w:r>
      <w:r w:rsidR="000D4630">
        <w:t xml:space="preserve">exposure </w:t>
      </w:r>
      <w:r w:rsidR="00BB063C" w:rsidRPr="00BB063C">
        <w:t>risk of obtaining smaller undesirable subsets within categories</w:t>
      </w:r>
      <w:r w:rsidR="00F4213A">
        <w:t>.</w:t>
      </w:r>
      <w:r w:rsidR="00BB063C" w:rsidRPr="00BB063C">
        <w:t xml:space="preserve"> </w:t>
      </w:r>
      <w:r w:rsidR="00F4213A">
        <w:t>F</w:t>
      </w:r>
      <w:r w:rsidR="00EE087A">
        <w:t>or example,</w:t>
      </w:r>
      <w:r w:rsidR="00BB063C" w:rsidRPr="00BB063C">
        <w:t xml:space="preserve"> </w:t>
      </w:r>
      <w:r w:rsidR="005579FC">
        <w:t>bidders may bid</w:t>
      </w:r>
      <w:r w:rsidR="005579FC" w:rsidRPr="00BB063C">
        <w:t xml:space="preserve"> </w:t>
      </w:r>
      <w:proofErr w:type="gramStart"/>
      <w:r w:rsidR="00BB063C" w:rsidRPr="00BB063C">
        <w:t>on the basis of</w:t>
      </w:r>
      <w:proofErr w:type="gramEnd"/>
      <w:r w:rsidR="00BB063C" w:rsidRPr="00BB063C">
        <w:t xml:space="preserve"> a </w:t>
      </w:r>
      <w:r w:rsidR="003F3B96" w:rsidRPr="00BB063C">
        <w:t>2</w:t>
      </w:r>
      <w:r w:rsidR="003F3B96">
        <w:t> </w:t>
      </w:r>
      <w:r w:rsidR="003F3B96" w:rsidRPr="00BB063C">
        <w:t>x</w:t>
      </w:r>
      <w:r w:rsidR="003F3B96">
        <w:t> </w:t>
      </w:r>
      <w:r w:rsidR="003F3B96" w:rsidRPr="00BB063C">
        <w:t>10</w:t>
      </w:r>
      <w:r w:rsidR="003F3B96">
        <w:t> </w:t>
      </w:r>
      <w:r w:rsidR="00BB063C" w:rsidRPr="00BB063C">
        <w:t xml:space="preserve">MHz valuation and </w:t>
      </w:r>
      <w:r w:rsidR="005579FC">
        <w:t>obtain</w:t>
      </w:r>
      <w:r w:rsidR="005579FC" w:rsidRPr="00BB063C">
        <w:t xml:space="preserve"> </w:t>
      </w:r>
      <w:r w:rsidR="00BB063C" w:rsidRPr="00BB063C">
        <w:t xml:space="preserve">only 2 x 5 MHz, for which </w:t>
      </w:r>
      <w:r w:rsidR="005579FC">
        <w:t>they</w:t>
      </w:r>
      <w:r w:rsidR="005579FC" w:rsidRPr="00BB063C">
        <w:t xml:space="preserve"> </w:t>
      </w:r>
      <w:r w:rsidR="00BB063C" w:rsidRPr="00BB063C">
        <w:t>would prefer to pay a lower $/MHz/pop price</w:t>
      </w:r>
      <w:r w:rsidR="00626511" w:rsidRPr="00BB063C">
        <w:t>.</w:t>
      </w:r>
      <w:r w:rsidR="00BB063C" w:rsidRPr="00BB063C">
        <w:t xml:space="preserve"> It may also be difficult to substitute between categories as excess demand is likely to be very low</w:t>
      </w:r>
      <w:r w:rsidR="000D4630">
        <w:t xml:space="preserve"> </w:t>
      </w:r>
      <w:r w:rsidR="000966F6">
        <w:t xml:space="preserve">in each category </w:t>
      </w:r>
      <w:r w:rsidR="000D4630">
        <w:t>and all bids are binding</w:t>
      </w:r>
      <w:r w:rsidR="00BB063C" w:rsidRPr="00BB063C">
        <w:t>, further inhibiting flexibility for bidders and making an inefficient outcome more likely.</w:t>
      </w:r>
    </w:p>
    <w:p w14:paraId="6301211F" w14:textId="77DD4ED4" w:rsidR="00893DE9" w:rsidRPr="006F6584" w:rsidRDefault="0091707D" w:rsidP="00BA4178">
      <w:pPr>
        <w:pStyle w:val="Paragraphbeforelist"/>
      </w:pPr>
      <w:r>
        <w:t>The</w:t>
      </w:r>
      <w:r w:rsidR="000916A6" w:rsidRPr="006F6584">
        <w:t xml:space="preserve"> exposure</w:t>
      </w:r>
      <w:r w:rsidR="00F93F45" w:rsidRPr="006F6584">
        <w:t xml:space="preserve"> </w:t>
      </w:r>
      <w:r w:rsidR="00DF3D5D" w:rsidRPr="006F6584">
        <w:t xml:space="preserve">risk </w:t>
      </w:r>
      <w:r>
        <w:t>inheren</w:t>
      </w:r>
      <w:r w:rsidR="00D57331">
        <w:t>t</w:t>
      </w:r>
      <w:r>
        <w:t xml:space="preserve"> in the abovementioned auction formats </w:t>
      </w:r>
      <w:r w:rsidR="00DF3D5D" w:rsidRPr="006F6584">
        <w:t>may be mitigated</w:t>
      </w:r>
      <w:r w:rsidR="001278D4" w:rsidRPr="006F6584">
        <w:t xml:space="preserve"> </w:t>
      </w:r>
      <w:r w:rsidR="00DF3D5D" w:rsidRPr="006F6584">
        <w:t xml:space="preserve">through lot aggregation. </w:t>
      </w:r>
      <w:r w:rsidR="00AF700F" w:rsidRPr="006F6584">
        <w:t>For example, t</w:t>
      </w:r>
      <w:r w:rsidR="00DF3D5D" w:rsidRPr="006F6584">
        <w:t xml:space="preserve">he spectrum may be </w:t>
      </w:r>
      <w:r w:rsidR="000916A6" w:rsidRPr="006F6584">
        <w:t>aggregated into</w:t>
      </w:r>
      <w:r w:rsidR="00DF3D5D" w:rsidRPr="006F6584">
        <w:t xml:space="preserve"> three lots</w:t>
      </w:r>
      <w:r w:rsidR="00893DE9" w:rsidRPr="006F6584">
        <w:t xml:space="preserve"> in the following configurations:</w:t>
      </w:r>
      <w:r w:rsidR="00DF3D5D" w:rsidRPr="006F6584">
        <w:t xml:space="preserve">  </w:t>
      </w:r>
    </w:p>
    <w:p w14:paraId="254A9961" w14:textId="70C937B8" w:rsidR="000916A6" w:rsidRPr="006F6584" w:rsidRDefault="00DF3D5D" w:rsidP="00893DE9">
      <w:pPr>
        <w:pStyle w:val="Bulletlevel1"/>
      </w:pPr>
      <w:r w:rsidRPr="006F6584">
        <w:t>2 x 10 MHz</w:t>
      </w:r>
      <w:r w:rsidR="000916A6" w:rsidRPr="006F6584">
        <w:t xml:space="preserve"> or 2 x 15 MHz in the 850 MHz expansion band</w:t>
      </w:r>
      <w:r w:rsidRPr="006F6584">
        <w:t xml:space="preserve"> </w:t>
      </w:r>
    </w:p>
    <w:p w14:paraId="010904D2" w14:textId="57F6EF95" w:rsidR="000916A6" w:rsidRPr="005F15C6" w:rsidRDefault="00DF3D5D" w:rsidP="00893DE9">
      <w:pPr>
        <w:pStyle w:val="Bulletlevel1"/>
      </w:pPr>
      <w:r w:rsidRPr="006F6584">
        <w:t>2 x 15 MHz</w:t>
      </w:r>
      <w:r w:rsidR="000916A6" w:rsidRPr="006F6584">
        <w:t xml:space="preserve"> in the 900 MHz band</w:t>
      </w:r>
      <w:r w:rsidR="00424857">
        <w:t>, with the likely inclusion of the downshift frequencies</w:t>
      </w:r>
      <w:r w:rsidRPr="006F6584">
        <w:t xml:space="preserve"> </w:t>
      </w:r>
    </w:p>
    <w:p w14:paraId="4B791E2B" w14:textId="03DF96E9" w:rsidR="000916A6" w:rsidRPr="005F15C6" w:rsidRDefault="00DF3D5D" w:rsidP="005F15C6">
      <w:pPr>
        <w:pStyle w:val="Bulletlevel1last"/>
      </w:pPr>
      <w:r w:rsidRPr="005F15C6">
        <w:t>2 x 10 MHz</w:t>
      </w:r>
      <w:r w:rsidR="00AF700F" w:rsidRPr="005F15C6">
        <w:t xml:space="preserve"> </w:t>
      </w:r>
      <w:r w:rsidR="000916A6" w:rsidRPr="005F15C6">
        <w:t>in the 900 MHz band.</w:t>
      </w:r>
    </w:p>
    <w:p w14:paraId="45CA7FA5" w14:textId="78061E50" w:rsidR="009D5F15" w:rsidRPr="007F4793" w:rsidRDefault="00F93F45" w:rsidP="007F4793">
      <w:pPr>
        <w:pStyle w:val="Paragraph"/>
      </w:pPr>
      <w:r w:rsidRPr="005F15C6">
        <w:t xml:space="preserve">However, lot aggregation may preclude the </w:t>
      </w:r>
      <w:r w:rsidR="00AF700F" w:rsidRPr="005F15C6">
        <w:t xml:space="preserve">participation of more than </w:t>
      </w:r>
      <w:r w:rsidR="004C6DDB">
        <w:t>three</w:t>
      </w:r>
      <w:r w:rsidR="00AF700F" w:rsidRPr="005F15C6">
        <w:t xml:space="preserve"> potential bidders</w:t>
      </w:r>
      <w:r w:rsidR="00AF700F" w:rsidRPr="00FF0A4C">
        <w:t>.</w:t>
      </w:r>
      <w:r w:rsidR="004C6DDB">
        <w:t xml:space="preserve"> Further, there would only be three non-generic lots available </w:t>
      </w:r>
      <w:r w:rsidR="001B5FE4">
        <w:t>that would have to be bid on separately</w:t>
      </w:r>
      <w:r w:rsidR="004C6DDB">
        <w:t xml:space="preserve">, </w:t>
      </w:r>
      <w:r w:rsidR="001B5FE4">
        <w:t xml:space="preserve">removing any potential benefits that the features of </w:t>
      </w:r>
      <w:r w:rsidR="004C6DDB">
        <w:t>a two-stage auction with generic lots</w:t>
      </w:r>
      <w:r w:rsidR="001B5FE4">
        <w:t xml:space="preserve"> could provide</w:t>
      </w:r>
      <w:r w:rsidR="004C6DDB">
        <w:t>. Regardless of whether lots are aggregated, t</w:t>
      </w:r>
      <w:r w:rsidR="00042753" w:rsidRPr="00FF0A4C">
        <w:t>hese</w:t>
      </w:r>
      <w:r w:rsidR="00042753" w:rsidRPr="005F15C6">
        <w:t xml:space="preserve"> formats </w:t>
      </w:r>
      <w:r w:rsidR="004C4A5B" w:rsidRPr="005F15C6">
        <w:t xml:space="preserve">may </w:t>
      </w:r>
      <w:r w:rsidR="000916A6" w:rsidRPr="005F15C6">
        <w:t>still</w:t>
      </w:r>
      <w:r w:rsidR="001278D4" w:rsidRPr="005F15C6">
        <w:t xml:space="preserve"> </w:t>
      </w:r>
      <w:r w:rsidR="004C4A5B" w:rsidRPr="005F15C6">
        <w:t xml:space="preserve">be susceptible to strategic demand reduction </w:t>
      </w:r>
      <w:r w:rsidR="00042753" w:rsidRPr="005F15C6">
        <w:t xml:space="preserve">if </w:t>
      </w:r>
      <w:r w:rsidR="004C4A5B" w:rsidRPr="005F15C6">
        <w:t xml:space="preserve">there </w:t>
      </w:r>
      <w:r w:rsidR="00A21843" w:rsidRPr="005F15C6">
        <w:t>are relatively few bidders in the auction</w:t>
      </w:r>
    </w:p>
    <w:p w14:paraId="6E124448" w14:textId="0122FFE4" w:rsidR="00235ADC" w:rsidRPr="00235ADC" w:rsidRDefault="00235ADC" w:rsidP="005579FC">
      <w:pPr>
        <w:pStyle w:val="Heading4"/>
        <w:keepNext/>
        <w:keepLines/>
      </w:pPr>
      <w:r w:rsidRPr="00235ADC">
        <w:lastRenderedPageBreak/>
        <w:t>Combinatorial auction formats</w:t>
      </w:r>
    </w:p>
    <w:p w14:paraId="5E66DC0C" w14:textId="700795FF" w:rsidR="00784AD0" w:rsidRDefault="001B5FE4" w:rsidP="005579FC">
      <w:pPr>
        <w:pStyle w:val="Paragraph"/>
        <w:keepNext/>
        <w:keepLines/>
      </w:pPr>
      <w:r>
        <w:t>Combinatorial or p</w:t>
      </w:r>
      <w:r w:rsidR="00784AD0" w:rsidRPr="005B1635">
        <w:t>ackage bidding formats eliminate the exposure risk that bidders acquire non-contiguous lots across the 850/900 MHz band, as bidders bid on combinations of lots they wish to acquire.</w:t>
      </w:r>
      <w:r w:rsidR="00784AD0">
        <w:t xml:space="preserve"> </w:t>
      </w:r>
    </w:p>
    <w:p w14:paraId="5EB07E93" w14:textId="63A62E7F" w:rsidR="008B236F" w:rsidRDefault="00784AD0" w:rsidP="00747FD1">
      <w:pPr>
        <w:pStyle w:val="Paragraph"/>
      </w:pPr>
      <w:r>
        <w:t>The p</w:t>
      </w:r>
      <w:r w:rsidRPr="00DC173E">
        <w:t xml:space="preserve">ricing </w:t>
      </w:r>
      <w:r>
        <w:t xml:space="preserve">and auction rules </w:t>
      </w:r>
      <w:r w:rsidRPr="00DC173E">
        <w:t xml:space="preserve">in a CCA </w:t>
      </w:r>
      <w:r>
        <w:t xml:space="preserve">are highly </w:t>
      </w:r>
      <w:r w:rsidRPr="00DC173E">
        <w:t>complex</w:t>
      </w:r>
      <w:r>
        <w:t xml:space="preserve"> and </w:t>
      </w:r>
      <w:r w:rsidR="008B236F">
        <w:t xml:space="preserve">less </w:t>
      </w:r>
      <w:r>
        <w:t xml:space="preserve">transparent, and the format can be unfavourable to </w:t>
      </w:r>
      <w:r w:rsidR="005E1DAE">
        <w:t>weaker</w:t>
      </w:r>
      <w:r>
        <w:t xml:space="preserve"> bidders (like </w:t>
      </w:r>
      <w:r w:rsidR="006349B8">
        <w:t xml:space="preserve">new </w:t>
      </w:r>
      <w:r>
        <w:t>market entrants)</w:t>
      </w:r>
      <w:r w:rsidRPr="00DC173E">
        <w:t>.</w:t>
      </w:r>
      <w:r>
        <w:t xml:space="preserve"> Pricing in a CCA is dependent on other bids placed.</w:t>
      </w:r>
      <w:r w:rsidRPr="00DC173E">
        <w:t xml:space="preserve"> </w:t>
      </w:r>
      <w:r w:rsidR="008B236F">
        <w:t xml:space="preserve">In addition, there </w:t>
      </w:r>
      <w:r w:rsidR="000853AF">
        <w:t>are</w:t>
      </w:r>
      <w:r w:rsidR="008B236F">
        <w:t xml:space="preserve"> issues relating to the extent to which the CCA provides incentives for truthful bidding, which</w:t>
      </w:r>
      <w:r w:rsidR="0086753C">
        <w:t xml:space="preserve"> may</w:t>
      </w:r>
      <w:r w:rsidR="008B236F">
        <w:t xml:space="preserve"> reduce the justification for the added complexity.</w:t>
      </w:r>
    </w:p>
    <w:p w14:paraId="6398BB8A" w14:textId="2CCA0F0F" w:rsidR="0021163F" w:rsidRDefault="0016029B" w:rsidP="00747FD1">
      <w:pPr>
        <w:pStyle w:val="Paragraph"/>
      </w:pPr>
      <w:r w:rsidRPr="00DC173E">
        <w:t xml:space="preserve">The SBCA format works well where there are </w:t>
      </w:r>
      <w:r w:rsidR="001D30C7">
        <w:t>exposure or strategic demand</w:t>
      </w:r>
      <w:r w:rsidRPr="00DC173E">
        <w:t xml:space="preserve"> risks associated with open ascending auction formats (such as with the SMRA format</w:t>
      </w:r>
      <w:r w:rsidR="005B5E70">
        <w:t xml:space="preserve"> or the two</w:t>
      </w:r>
      <w:r w:rsidR="005A5752">
        <w:t>-</w:t>
      </w:r>
      <w:r w:rsidR="005B5E70">
        <w:t>stage auction with generic lots</w:t>
      </w:r>
      <w:r w:rsidRPr="00DC173E">
        <w:t>)</w:t>
      </w:r>
      <w:r>
        <w:t>.</w:t>
      </w:r>
      <w:r w:rsidR="005B5E70" w:rsidRPr="005B5E70">
        <w:t xml:space="preserve"> </w:t>
      </w:r>
      <w:r w:rsidR="00D3486E">
        <w:t xml:space="preserve">In the SBCA, bidders place bids for only the combinations that they want. </w:t>
      </w:r>
      <w:r w:rsidR="005B5E70">
        <w:t xml:space="preserve">The one-shot nature of SBCA also </w:t>
      </w:r>
      <w:r w:rsidR="001D30C7">
        <w:t xml:space="preserve">manages </w:t>
      </w:r>
      <w:r w:rsidR="005B5E70">
        <w:t>the risk of strategic demand reduction.</w:t>
      </w:r>
    </w:p>
    <w:p w14:paraId="2EF096AF" w14:textId="65F2D459" w:rsidR="00651B78" w:rsidRDefault="009F1BCF" w:rsidP="00794069">
      <w:pPr>
        <w:pStyle w:val="Paragraph"/>
      </w:pPr>
      <w:r>
        <w:t>T</w:t>
      </w:r>
      <w:r w:rsidR="00DC173E" w:rsidRPr="00DC173E">
        <w:t xml:space="preserve">he </w:t>
      </w:r>
      <w:r w:rsidR="008D10F6">
        <w:t>SBCA</w:t>
      </w:r>
      <w:r w:rsidR="00DC173E" w:rsidRPr="00DC173E">
        <w:t xml:space="preserve"> format is likely to be suitable in a relatively simple auction</w:t>
      </w:r>
      <w:r w:rsidR="00366BBA">
        <w:t xml:space="preserve"> </w:t>
      </w:r>
      <w:r w:rsidR="00DC173E" w:rsidRPr="00DC173E">
        <w:t xml:space="preserve">where the number of lots on offer is reasonably low so that the number of possible combinations of lots requiring bids is also low. </w:t>
      </w:r>
      <w:r w:rsidR="00366BBA">
        <w:t>This is expected to be case in the 850/900 MHz band.</w:t>
      </w:r>
      <w:r w:rsidR="0016029B">
        <w:t xml:space="preserve"> The SBCA format is also suitable where the products on offer are highly complementary</w:t>
      </w:r>
      <w:r w:rsidR="00794069">
        <w:t xml:space="preserve">, such as </w:t>
      </w:r>
      <w:r w:rsidR="0016029B">
        <w:t xml:space="preserve">the lots </w:t>
      </w:r>
      <w:r w:rsidR="00794069">
        <w:t xml:space="preserve">proposed </w:t>
      </w:r>
      <w:r w:rsidR="0016029B">
        <w:t xml:space="preserve">in </w:t>
      </w:r>
      <w:r w:rsidR="00794069">
        <w:t>the 850/900 MHz band</w:t>
      </w:r>
      <w:r w:rsidR="00DC173E" w:rsidRPr="00DC173E">
        <w:t xml:space="preserve">. </w:t>
      </w:r>
    </w:p>
    <w:p w14:paraId="6BC4590C" w14:textId="0493AAF1" w:rsidR="00A5646A" w:rsidRDefault="00F4213A" w:rsidP="00794069">
      <w:pPr>
        <w:pStyle w:val="Paragraph"/>
      </w:pPr>
      <w:r>
        <w:t>We</w:t>
      </w:r>
      <w:r w:rsidR="00D57DD7">
        <w:t xml:space="preserve"> acknowledge that there is no price discovery in a SBCA. However, </w:t>
      </w:r>
      <w:r>
        <w:t>we</w:t>
      </w:r>
      <w:r w:rsidR="00F3308E">
        <w:t xml:space="preserve"> consider</w:t>
      </w:r>
      <w:r w:rsidR="00D57DD7">
        <w:t xml:space="preserve"> that it is possible that price discovery is of reduced importance in the 850/900 MHz band because of the complementarities between lots and the relatively small quantum of spectrum on offer. </w:t>
      </w:r>
      <w:r w:rsidR="00087333">
        <w:t xml:space="preserve">As it is possible that likely participants in the allocation </w:t>
      </w:r>
      <w:r w:rsidR="00990B93">
        <w:t>include</w:t>
      </w:r>
      <w:r w:rsidR="00087333">
        <w:t xml:space="preserve"> current users of the spectrum, or equivalent spectrum, there is less need for price discovery as potential bidders are already aware of the capabilities and therefore</w:t>
      </w:r>
      <w:r w:rsidR="00990B93">
        <w:t xml:space="preserve"> likely</w:t>
      </w:r>
      <w:r w:rsidR="00087333">
        <w:t xml:space="preserve"> market value of the spectrum. </w:t>
      </w:r>
    </w:p>
    <w:p w14:paraId="3EAE2F47" w14:textId="1218CA8B" w:rsidR="00A5646A" w:rsidRPr="00133E1D" w:rsidRDefault="00794069" w:rsidP="005579FC">
      <w:pPr>
        <w:spacing w:after="0" w:line="240" w:lineRule="auto"/>
      </w:pPr>
      <w:r w:rsidRPr="00133E1D">
        <w:t xml:space="preserve">On balance, </w:t>
      </w:r>
      <w:r w:rsidR="00F4213A">
        <w:t>our</w:t>
      </w:r>
      <w:r w:rsidRPr="00133E1D">
        <w:t xml:space="preserve"> preliminary view is that the SBCA format is appropriate for the allocation of the 850/900 MHz band</w:t>
      </w:r>
      <w:r w:rsidR="00A5646A" w:rsidRPr="00133E1D">
        <w:t xml:space="preserve"> for the following reasons.</w:t>
      </w:r>
    </w:p>
    <w:p w14:paraId="65AC608D" w14:textId="240CD69C" w:rsidR="00A5646A" w:rsidRPr="00133E1D" w:rsidRDefault="00A5646A" w:rsidP="00551D14">
      <w:pPr>
        <w:pStyle w:val="Heading4"/>
        <w:rPr>
          <w:b w:val="0"/>
          <w:bCs/>
        </w:rPr>
      </w:pPr>
      <w:r w:rsidRPr="00133E1D">
        <w:rPr>
          <w:b w:val="0"/>
          <w:bCs/>
        </w:rPr>
        <w:t xml:space="preserve">Supports efficient </w:t>
      </w:r>
      <w:r w:rsidRPr="00A5311B">
        <w:rPr>
          <w:b w:val="0"/>
          <w:bCs/>
        </w:rPr>
        <w:t>allocation objectives</w:t>
      </w:r>
    </w:p>
    <w:p w14:paraId="1E2CB09C" w14:textId="5C1EE600" w:rsidR="00A5646A" w:rsidRPr="00133E1D" w:rsidRDefault="00794069" w:rsidP="00A5646A">
      <w:pPr>
        <w:pStyle w:val="Paragraph"/>
      </w:pPr>
      <w:r w:rsidRPr="00133E1D">
        <w:t xml:space="preserve">The SBCA format </w:t>
      </w:r>
      <w:r w:rsidR="00567703" w:rsidRPr="00133E1D">
        <w:t xml:space="preserve">requires </w:t>
      </w:r>
      <w:r w:rsidR="00366BBA" w:rsidRPr="00133E1D">
        <w:t xml:space="preserve">a </w:t>
      </w:r>
      <w:r w:rsidRPr="00133E1D">
        <w:t xml:space="preserve">bidder to </w:t>
      </w:r>
      <w:r w:rsidR="00567703" w:rsidRPr="00133E1D">
        <w:t xml:space="preserve">bid for </w:t>
      </w:r>
      <w:r w:rsidRPr="00133E1D">
        <w:t xml:space="preserve">every combination of lots </w:t>
      </w:r>
      <w:r w:rsidR="00BC4337">
        <w:t xml:space="preserve">they are </w:t>
      </w:r>
      <w:r w:rsidRPr="00133E1D">
        <w:t>interested in acquiring</w:t>
      </w:r>
      <w:r w:rsidR="00366BBA" w:rsidRPr="00133E1D">
        <w:t xml:space="preserve">. For example, </w:t>
      </w:r>
      <w:r w:rsidRPr="00133E1D">
        <w:t xml:space="preserve">if a bidder values spectrum in the 900 MHz band </w:t>
      </w:r>
      <w:r w:rsidR="00366BBA" w:rsidRPr="00133E1D">
        <w:t xml:space="preserve">more highly </w:t>
      </w:r>
      <w:r w:rsidRPr="00133E1D">
        <w:t xml:space="preserve">than spectrum in the 850 MHz expansion band, they would be able to express </w:t>
      </w:r>
      <w:r w:rsidR="00366BBA" w:rsidRPr="00133E1D">
        <w:t>that in their bids</w:t>
      </w:r>
      <w:r w:rsidRPr="00133E1D">
        <w:t>. Due to the combinatorial nature of bidding in this format, the exposure risk</w:t>
      </w:r>
      <w:r w:rsidR="00567703" w:rsidRPr="00133E1D">
        <w:t xml:space="preserve"> is eliminated</w:t>
      </w:r>
      <w:r w:rsidRPr="00133E1D">
        <w:t xml:space="preserve">. </w:t>
      </w:r>
    </w:p>
    <w:p w14:paraId="686C56E6" w14:textId="1F00BAB8" w:rsidR="00A5646A" w:rsidRPr="00133E1D" w:rsidRDefault="00A5646A" w:rsidP="00A5646A">
      <w:pPr>
        <w:pStyle w:val="Paragraph"/>
      </w:pPr>
      <w:r w:rsidRPr="00133E1D">
        <w:t xml:space="preserve">Further, </w:t>
      </w:r>
      <w:r w:rsidR="00C12D8B">
        <w:t xml:space="preserve">we </w:t>
      </w:r>
      <w:r w:rsidRPr="00133E1D">
        <w:t xml:space="preserve">consider that the SBCA supports other objectives of an efficient allocation through the auction. The SBCA mitigates the risk of strategic demand reduction both through its use of package bidding and its one-shot approach, which prevents bidders from modifying demand during the auction. Using a pay-your-bid pricing (first-price) rule within the SBCA format also provides for a simple and transparent allocation that would enhance the efficiency of allocation, rather than the inherent complexity of </w:t>
      </w:r>
      <w:r w:rsidR="00BC4337" w:rsidRPr="00133E1D">
        <w:t>second pricing</w:t>
      </w:r>
      <w:r w:rsidRPr="00133E1D">
        <w:t xml:space="preserve"> in a combinatorial format. </w:t>
      </w:r>
    </w:p>
    <w:p w14:paraId="63C5E2AC" w14:textId="2A158226" w:rsidR="00F03B8A" w:rsidRPr="00E169E9" w:rsidRDefault="00A5646A" w:rsidP="00551D14">
      <w:pPr>
        <w:pStyle w:val="Heading4"/>
        <w:rPr>
          <w:b w:val="0"/>
        </w:rPr>
      </w:pPr>
      <w:r w:rsidRPr="00E169E9">
        <w:rPr>
          <w:b w:val="0"/>
        </w:rPr>
        <w:t>Supports service continuity objectives</w:t>
      </w:r>
    </w:p>
    <w:p w14:paraId="70711A39" w14:textId="5481D8A0" w:rsidR="00861B39" w:rsidRPr="00E169E9" w:rsidRDefault="00551D14" w:rsidP="002D2707">
      <w:pPr>
        <w:pStyle w:val="Paragraph"/>
      </w:pPr>
      <w:r w:rsidRPr="00E169E9">
        <w:t>The SBCA format</w:t>
      </w:r>
      <w:r w:rsidR="00861B39" w:rsidRPr="00E169E9">
        <w:t xml:space="preserve"> is also likely to be </w:t>
      </w:r>
      <w:r w:rsidR="00C12D8B" w:rsidRPr="00E169E9">
        <w:t>best placed</w:t>
      </w:r>
      <w:r w:rsidR="00861B39" w:rsidRPr="00E169E9">
        <w:t xml:space="preserve"> to accommodate other constraints that may be necessary for the allocation. For example, as noted in the </w:t>
      </w:r>
      <w:r w:rsidR="00861B39" w:rsidRPr="00E169E9">
        <w:rPr>
          <w:i/>
          <w:iCs/>
        </w:rPr>
        <w:t>Government communications policy objectives</w:t>
      </w:r>
      <w:r w:rsidR="00861B39" w:rsidRPr="00E169E9">
        <w:t xml:space="preserve"> section, continuity of services is considered an important objective of the allocation. </w:t>
      </w:r>
      <w:r w:rsidR="00CA1378">
        <w:t>T</w:t>
      </w:r>
      <w:r w:rsidR="00861B39" w:rsidRPr="00E169E9">
        <w:t>o achieve this objective</w:t>
      </w:r>
      <w:r w:rsidR="00CA1378">
        <w:t xml:space="preserve"> under this format</w:t>
      </w:r>
      <w:r w:rsidR="00861B39" w:rsidRPr="00E169E9">
        <w:t xml:space="preserve">, identified parties could be provided with a reservation of an amount of spectrum, rather than a specific lot (as would be required under an open ascending format). To achieve this, the winning set of bids could be determined as being the highest value </w:t>
      </w:r>
      <w:r w:rsidR="00861B39" w:rsidRPr="00E169E9">
        <w:lastRenderedPageBreak/>
        <w:t>combination of bids that includes these spectrum reservations. If such constraints are required, the SBCA format would therefore provide flexibility for the market to determine spectral position of the reserved lots</w:t>
      </w:r>
      <w:r w:rsidR="00CA1378">
        <w:t>.</w:t>
      </w:r>
      <w:r w:rsidR="00861B39" w:rsidRPr="00E169E9">
        <w:t xml:space="preserve"> </w:t>
      </w:r>
      <w:r w:rsidR="00CA1378">
        <w:t>This</w:t>
      </w:r>
      <w:r w:rsidR="00861B39" w:rsidRPr="00E169E9">
        <w:t xml:space="preserve"> would enhance competition in the auction and reduce the likelihood of tacit collusion</w:t>
      </w:r>
      <w:r w:rsidR="00CA1378">
        <w:t xml:space="preserve"> or </w:t>
      </w:r>
      <w:r w:rsidR="00861B39" w:rsidRPr="00E169E9">
        <w:t>demand reduction.</w:t>
      </w:r>
    </w:p>
    <w:p w14:paraId="69F279CA" w14:textId="282131DC" w:rsidR="00A94C7C" w:rsidRDefault="00A94C7C" w:rsidP="00A94C7C">
      <w:pPr>
        <w:pStyle w:val="Paragraph"/>
      </w:pPr>
      <w:r w:rsidRPr="00F96FC5">
        <w:t xml:space="preserve">Interested parties should note the </w:t>
      </w:r>
      <w:r w:rsidRPr="00884F8C">
        <w:rPr>
          <w:i/>
        </w:rPr>
        <w:t>Government communications policy objectives</w:t>
      </w:r>
      <w:r w:rsidRPr="00177B4E">
        <w:rPr>
          <w:i/>
        </w:rPr>
        <w:t xml:space="preserve"> </w:t>
      </w:r>
      <w:r w:rsidRPr="00177B4E">
        <w:t xml:space="preserve">section earlier in this consultation paper when considering the analysis of auction formats </w:t>
      </w:r>
      <w:r w:rsidR="003B5B88">
        <w:t>above</w:t>
      </w:r>
      <w:r w:rsidRPr="00177B4E">
        <w:t>.</w:t>
      </w:r>
      <w:r>
        <w:t xml:space="preserve"> </w:t>
      </w:r>
    </w:p>
    <w:p w14:paraId="38735318" w14:textId="0B847404" w:rsidR="009B5633" w:rsidRPr="00FA67E0" w:rsidRDefault="001C3373" w:rsidP="005579FC">
      <w:pPr>
        <w:pStyle w:val="Recommendation"/>
        <w:shd w:val="clear" w:color="auto" w:fill="F2F2F2" w:themeFill="background1" w:themeFillShade="F2"/>
        <w:rPr>
          <w:b/>
          <w:bCs w:val="0"/>
        </w:rPr>
      </w:pPr>
      <w:r>
        <w:rPr>
          <w:b/>
          <w:bCs w:val="0"/>
        </w:rPr>
        <w:t>ACMA’s</w:t>
      </w:r>
      <w:r w:rsidR="00A47BA0" w:rsidRPr="00FA67E0">
        <w:rPr>
          <w:b/>
          <w:bCs w:val="0"/>
        </w:rPr>
        <w:t xml:space="preserve"> </w:t>
      </w:r>
      <w:r w:rsidR="008753C1">
        <w:rPr>
          <w:b/>
          <w:bCs w:val="0"/>
        </w:rPr>
        <w:t>preferred</w:t>
      </w:r>
      <w:r w:rsidR="008753C1" w:rsidRPr="00FA67E0">
        <w:rPr>
          <w:b/>
          <w:bCs w:val="0"/>
        </w:rPr>
        <w:t xml:space="preserve"> </w:t>
      </w:r>
      <w:r w:rsidR="00A47BA0" w:rsidRPr="00FA67E0">
        <w:rPr>
          <w:b/>
          <w:bCs w:val="0"/>
        </w:rPr>
        <w:t>view</w:t>
      </w:r>
    </w:p>
    <w:p w14:paraId="3B479C2E" w14:textId="5097A74E" w:rsidR="009B5633" w:rsidRDefault="009B5633" w:rsidP="005579FC">
      <w:pPr>
        <w:pStyle w:val="Recommendation"/>
        <w:shd w:val="clear" w:color="auto" w:fill="F2F2F2" w:themeFill="background1" w:themeFillShade="F2"/>
        <w:spacing w:after="240"/>
      </w:pPr>
      <w:r>
        <w:t>The ACMA</w:t>
      </w:r>
      <w:r w:rsidR="00133540">
        <w:t>’s</w:t>
      </w:r>
      <w:r>
        <w:t xml:space="preserve"> </w:t>
      </w:r>
      <w:r w:rsidR="008753C1">
        <w:t xml:space="preserve">preferred </w:t>
      </w:r>
      <w:r w:rsidR="00366BBA">
        <w:t xml:space="preserve">view </w:t>
      </w:r>
      <w:r w:rsidR="00A93474">
        <w:t xml:space="preserve">is </w:t>
      </w:r>
      <w:r>
        <w:t>to use the SBCA format</w:t>
      </w:r>
      <w:r w:rsidR="00923621">
        <w:t>, using a pay-your-bid (first-price) rule</w:t>
      </w:r>
      <w:r>
        <w:t xml:space="preserve"> to allocate the 850/900 MHz band.</w:t>
      </w:r>
    </w:p>
    <w:p w14:paraId="1DEEA75C" w14:textId="2D9EA699" w:rsidR="009B5633" w:rsidRPr="009C5A85" w:rsidRDefault="00BC4337" w:rsidP="005579FC">
      <w:pPr>
        <w:pStyle w:val="Recommendation"/>
        <w:shd w:val="clear" w:color="auto" w:fill="F2F2F2" w:themeFill="background1" w:themeFillShade="F2"/>
      </w:pPr>
      <w:r>
        <w:t>We</w:t>
      </w:r>
      <w:r w:rsidR="009B5633" w:rsidRPr="009B5633">
        <w:t xml:space="preserve"> welcome stakeholder views on</w:t>
      </w:r>
      <w:r w:rsidR="00A93474">
        <w:t xml:space="preserve"> the most appropriate</w:t>
      </w:r>
      <w:r w:rsidR="009B5633" w:rsidRPr="009B5633">
        <w:t xml:space="preserve"> allocation methodolog</w:t>
      </w:r>
      <w:r w:rsidR="00A93474">
        <w:t>y for the 850/900 MHz band</w:t>
      </w:r>
      <w:r w:rsidR="009B5633" w:rsidRPr="009B5633">
        <w:t>.</w:t>
      </w:r>
    </w:p>
    <w:p w14:paraId="0DE9F0C5" w14:textId="29F2ADF8" w:rsidR="00771501" w:rsidRDefault="00771501" w:rsidP="00771501">
      <w:pPr>
        <w:pStyle w:val="Heading1"/>
      </w:pPr>
      <w:bookmarkStart w:id="72" w:name="_Toc40175659"/>
      <w:r>
        <w:lastRenderedPageBreak/>
        <w:t>Next steps</w:t>
      </w:r>
      <w:bookmarkEnd w:id="72"/>
    </w:p>
    <w:p w14:paraId="7FAFA773" w14:textId="0E6AE735" w:rsidR="00525815" w:rsidRDefault="00B9642F" w:rsidP="00CD1052">
      <w:pPr>
        <w:pStyle w:val="Paragraph"/>
      </w:pPr>
      <w:r>
        <w:t xml:space="preserve">The </w:t>
      </w:r>
      <w:r w:rsidR="00CA1378">
        <w:t xml:space="preserve">section 153G </w:t>
      </w:r>
      <w:r w:rsidRPr="006920BB">
        <w:t xml:space="preserve">notice </w:t>
      </w:r>
      <w:r>
        <w:t xml:space="preserve">invites written comments from </w:t>
      </w:r>
      <w:r w:rsidR="00A02F8A">
        <w:t>potentially</w:t>
      </w:r>
      <w:r w:rsidR="0097790A">
        <w:t xml:space="preserve"> </w:t>
      </w:r>
      <w:r w:rsidR="00A02F8A">
        <w:t>affected</w:t>
      </w:r>
      <w:r>
        <w:t xml:space="preserve"> apparatus licensees and other </w:t>
      </w:r>
      <w:r w:rsidRPr="00756C13">
        <w:t xml:space="preserve">interested stakeholders </w:t>
      </w:r>
      <w:r w:rsidR="00525815" w:rsidRPr="009B4C5E">
        <w:t xml:space="preserve">by </w:t>
      </w:r>
      <w:r w:rsidR="00C52B0F" w:rsidRPr="00074F25">
        <w:rPr>
          <w:b/>
          <w:bCs/>
        </w:rPr>
        <w:t>8</w:t>
      </w:r>
      <w:r w:rsidR="00145DE4" w:rsidRPr="00074F25">
        <w:rPr>
          <w:b/>
        </w:rPr>
        <w:t xml:space="preserve"> July</w:t>
      </w:r>
      <w:r w:rsidR="00131197" w:rsidRPr="00074F25">
        <w:rPr>
          <w:b/>
        </w:rPr>
        <w:t xml:space="preserve"> </w:t>
      </w:r>
      <w:r w:rsidR="00525815" w:rsidRPr="00074F25">
        <w:rPr>
          <w:b/>
        </w:rPr>
        <w:t>2020</w:t>
      </w:r>
      <w:r w:rsidR="00525815" w:rsidRPr="00074F25">
        <w:t xml:space="preserve"> </w:t>
      </w:r>
      <w:r w:rsidRPr="00756C13">
        <w:t xml:space="preserve">on </w:t>
      </w:r>
      <w:r w:rsidR="001318ED">
        <w:t>our</w:t>
      </w:r>
      <w:r>
        <w:t xml:space="preserve"> proposal to recommend that the </w:t>
      </w:r>
      <w:r w:rsidR="008653F9">
        <w:t>Minister</w:t>
      </w:r>
      <w:r>
        <w:t xml:space="preserve"> make </w:t>
      </w:r>
      <w:r w:rsidR="00086EEA">
        <w:t xml:space="preserve">one or more </w:t>
      </w:r>
      <w:r w:rsidR="00DA3182">
        <w:t>re</w:t>
      </w:r>
      <w:r w:rsidR="00DA3182">
        <w:noBreakHyphen/>
        <w:t>allocation</w:t>
      </w:r>
      <w:r>
        <w:t xml:space="preserve"> declaration</w:t>
      </w:r>
      <w:r w:rsidR="00086EEA">
        <w:t>s</w:t>
      </w:r>
      <w:r>
        <w:t xml:space="preserve"> for the 850/900 MHz band.</w:t>
      </w:r>
      <w:r w:rsidR="00525815">
        <w:t xml:space="preserve"> The </w:t>
      </w:r>
      <w:r w:rsidR="00525815" w:rsidRPr="009C5A85">
        <w:t>ter</w:t>
      </w:r>
      <w:r w:rsidR="00525815">
        <w:t xml:space="preserve">ms of the draft recommendation are outlined in </w:t>
      </w:r>
      <w:r w:rsidR="00695921">
        <w:rPr>
          <w:highlight w:val="yellow"/>
        </w:rPr>
        <w:fldChar w:fldCharType="begin"/>
      </w:r>
      <w:r w:rsidR="00695921">
        <w:instrText xml:space="preserve"> REF _Ref32934076 \r \h </w:instrText>
      </w:r>
      <w:r w:rsidR="00695921">
        <w:rPr>
          <w:highlight w:val="yellow"/>
        </w:rPr>
      </w:r>
      <w:r w:rsidR="00695921">
        <w:rPr>
          <w:highlight w:val="yellow"/>
        </w:rPr>
        <w:fldChar w:fldCharType="separate"/>
      </w:r>
      <w:r w:rsidR="00695921">
        <w:t>Table 4</w:t>
      </w:r>
      <w:r w:rsidR="00695921">
        <w:rPr>
          <w:highlight w:val="yellow"/>
        </w:rPr>
        <w:fldChar w:fldCharType="end"/>
      </w:r>
      <w:r w:rsidR="00525815" w:rsidRPr="00186907">
        <w:t>.</w:t>
      </w:r>
    </w:p>
    <w:p w14:paraId="10B7DFCA" w14:textId="77777777" w:rsidR="00525815" w:rsidRPr="00286210" w:rsidRDefault="00525815" w:rsidP="000453AB">
      <w:pPr>
        <w:pStyle w:val="ACMATableHeader"/>
      </w:pPr>
      <w:bookmarkStart w:id="73" w:name="_Ref32934076"/>
      <w:r w:rsidRPr="000453AB">
        <w:t>Terms</w:t>
      </w:r>
      <w:r w:rsidRPr="007127A0">
        <w:t xml:space="preserve"> of the draft recommendation</w:t>
      </w:r>
      <w:bookmarkEnd w:id="73"/>
      <w:r w:rsidRPr="007127A0">
        <w:t xml:space="preserve"> </w:t>
      </w:r>
    </w:p>
    <w:tbl>
      <w:tblPr>
        <w:tblStyle w:val="ACMAtablestyle"/>
        <w:tblW w:w="0" w:type="auto"/>
        <w:tblLook w:val="04A0" w:firstRow="1" w:lastRow="0" w:firstColumn="1" w:lastColumn="0" w:noHBand="0" w:noVBand="1"/>
      </w:tblPr>
      <w:tblGrid>
        <w:gridCol w:w="2405"/>
        <w:gridCol w:w="4972"/>
      </w:tblGrid>
      <w:tr w:rsidR="00E169E9" w14:paraId="38FC62D8" w14:textId="77777777" w:rsidTr="00E169E9">
        <w:trPr>
          <w:cnfStyle w:val="100000000000" w:firstRow="1" w:lastRow="0" w:firstColumn="0" w:lastColumn="0" w:oddVBand="0" w:evenVBand="0" w:oddHBand="0" w:evenHBand="0" w:firstRowFirstColumn="0" w:firstRowLastColumn="0" w:lastRowFirstColumn="0" w:lastRowLastColumn="0"/>
          <w:trHeight w:val="199"/>
        </w:trPr>
        <w:tc>
          <w:tcPr>
            <w:tcW w:w="2405" w:type="dxa"/>
          </w:tcPr>
          <w:p w14:paraId="1FFDC983" w14:textId="77777777" w:rsidR="00E169E9" w:rsidRDefault="00E169E9" w:rsidP="00525815">
            <w:pPr>
              <w:pStyle w:val="Tableheaderrow"/>
            </w:pPr>
            <w:r>
              <w:t xml:space="preserve">Relevant term </w:t>
            </w:r>
          </w:p>
        </w:tc>
        <w:tc>
          <w:tcPr>
            <w:tcW w:w="4972" w:type="dxa"/>
          </w:tcPr>
          <w:p w14:paraId="66287423" w14:textId="77777777" w:rsidR="00E169E9" w:rsidRDefault="00E169E9" w:rsidP="00525815">
            <w:pPr>
              <w:pStyle w:val="Tableheaderrow"/>
            </w:pPr>
            <w:r>
              <w:t>The ACMA’s proposed recommendation</w:t>
            </w:r>
          </w:p>
        </w:tc>
      </w:tr>
      <w:tr w:rsidR="00E169E9" w14:paraId="28C771FD" w14:textId="77777777" w:rsidTr="00E169E9">
        <w:trPr>
          <w:cnfStyle w:val="000000100000" w:firstRow="0" w:lastRow="0" w:firstColumn="0" w:lastColumn="0" w:oddVBand="0" w:evenVBand="0" w:oddHBand="1" w:evenHBand="0" w:firstRowFirstColumn="0" w:firstRowLastColumn="0" w:lastRowFirstColumn="0" w:lastRowLastColumn="0"/>
        </w:trPr>
        <w:tc>
          <w:tcPr>
            <w:tcW w:w="2405" w:type="dxa"/>
          </w:tcPr>
          <w:p w14:paraId="4568C32C" w14:textId="77777777" w:rsidR="00E169E9" w:rsidRDefault="00E169E9" w:rsidP="008D7923">
            <w:pPr>
              <w:pStyle w:val="TableBody"/>
            </w:pPr>
            <w:r>
              <w:t>Licence type</w:t>
            </w:r>
          </w:p>
        </w:tc>
        <w:tc>
          <w:tcPr>
            <w:tcW w:w="4972" w:type="dxa"/>
          </w:tcPr>
          <w:p w14:paraId="5F144C7E" w14:textId="22FE72DD" w:rsidR="00E169E9" w:rsidRDefault="00E169E9" w:rsidP="008D7923">
            <w:pPr>
              <w:pStyle w:val="TableBody"/>
            </w:pPr>
            <w:r>
              <w:t>Spectrum licences</w:t>
            </w:r>
          </w:p>
        </w:tc>
      </w:tr>
      <w:tr w:rsidR="00E169E9" w14:paraId="40F85F04" w14:textId="77777777" w:rsidTr="00E169E9">
        <w:trPr>
          <w:cnfStyle w:val="000000010000" w:firstRow="0" w:lastRow="0" w:firstColumn="0" w:lastColumn="0" w:oddVBand="0" w:evenVBand="0" w:oddHBand="0" w:evenHBand="1" w:firstRowFirstColumn="0" w:firstRowLastColumn="0" w:lastRowFirstColumn="0" w:lastRowLastColumn="0"/>
        </w:trPr>
        <w:tc>
          <w:tcPr>
            <w:tcW w:w="2405" w:type="dxa"/>
          </w:tcPr>
          <w:p w14:paraId="066CC630" w14:textId="77777777" w:rsidR="00E169E9" w:rsidRDefault="00E169E9" w:rsidP="008D7923">
            <w:pPr>
              <w:pStyle w:val="TableBody"/>
            </w:pPr>
            <w:r>
              <w:t>Parts of the spectrum</w:t>
            </w:r>
          </w:p>
        </w:tc>
        <w:tc>
          <w:tcPr>
            <w:tcW w:w="4972" w:type="dxa"/>
          </w:tcPr>
          <w:p w14:paraId="47C24B70" w14:textId="3245B9AE" w:rsidR="00E169E9" w:rsidRDefault="00E169E9" w:rsidP="008D7923">
            <w:pPr>
              <w:pStyle w:val="TableBody"/>
            </w:pPr>
            <w:r>
              <w:t>809 MHz</w:t>
            </w:r>
            <w:r w:rsidR="00CA1378">
              <w:t>–</w:t>
            </w:r>
            <w:r>
              <w:t>825 MHz</w:t>
            </w:r>
          </w:p>
          <w:p w14:paraId="03D4D2C5" w14:textId="37F105E1" w:rsidR="00E169E9" w:rsidRDefault="00E169E9" w:rsidP="008D7923">
            <w:pPr>
              <w:pStyle w:val="TableBody"/>
            </w:pPr>
            <w:r>
              <w:t>854 MHz</w:t>
            </w:r>
            <w:r w:rsidR="00CA1378">
              <w:t>–</w:t>
            </w:r>
            <w:r>
              <w:t>870 MHz</w:t>
            </w:r>
          </w:p>
          <w:p w14:paraId="16A68332" w14:textId="347B4F06" w:rsidR="00E169E9" w:rsidRDefault="00E169E9" w:rsidP="008D7923">
            <w:pPr>
              <w:pStyle w:val="TableBody"/>
            </w:pPr>
            <w:r>
              <w:t>890 MHz</w:t>
            </w:r>
            <w:r w:rsidR="00CA1378">
              <w:t>–</w:t>
            </w:r>
            <w:r>
              <w:t>915 MHz</w:t>
            </w:r>
          </w:p>
          <w:p w14:paraId="0D03CE6A" w14:textId="79935B30" w:rsidR="00E169E9" w:rsidRDefault="00E169E9" w:rsidP="005579FC">
            <w:pPr>
              <w:pStyle w:val="TableBody"/>
              <w:spacing w:after="120"/>
            </w:pPr>
            <w:r>
              <w:t>935 MHz</w:t>
            </w:r>
            <w:r w:rsidR="00CA1378">
              <w:t>–</w:t>
            </w:r>
            <w:r>
              <w:t>960 MHz</w:t>
            </w:r>
          </w:p>
          <w:p w14:paraId="4DA7FF42" w14:textId="5450B170" w:rsidR="00E169E9" w:rsidRDefault="000453AB" w:rsidP="008D7923">
            <w:pPr>
              <w:pStyle w:val="TableBody"/>
            </w:pPr>
            <w:r>
              <w:t>c</w:t>
            </w:r>
            <w:r w:rsidR="00E169E9">
              <w:t>overing all of Australia excluding the mid-west Radio Quiet Zone.</w:t>
            </w:r>
          </w:p>
        </w:tc>
      </w:tr>
      <w:tr w:rsidR="00E169E9" w14:paraId="6FC5E2D0" w14:textId="77777777" w:rsidTr="00E169E9">
        <w:trPr>
          <w:cnfStyle w:val="000000100000" w:firstRow="0" w:lastRow="0" w:firstColumn="0" w:lastColumn="0" w:oddVBand="0" w:evenVBand="0" w:oddHBand="1" w:evenHBand="0" w:firstRowFirstColumn="0" w:firstRowLastColumn="0" w:lastRowFirstColumn="0" w:lastRowLastColumn="0"/>
        </w:trPr>
        <w:tc>
          <w:tcPr>
            <w:tcW w:w="2405" w:type="dxa"/>
          </w:tcPr>
          <w:p w14:paraId="136206B4" w14:textId="4E84461E" w:rsidR="00E169E9" w:rsidRDefault="00DA3182" w:rsidP="008D7923">
            <w:pPr>
              <w:pStyle w:val="TableBody"/>
            </w:pPr>
            <w:r>
              <w:t>Re</w:t>
            </w:r>
            <w:r>
              <w:noBreakHyphen/>
              <w:t>allocation</w:t>
            </w:r>
            <w:r w:rsidR="00E169E9">
              <w:t xml:space="preserve"> period</w:t>
            </w:r>
          </w:p>
        </w:tc>
        <w:tc>
          <w:tcPr>
            <w:tcW w:w="4972" w:type="dxa"/>
          </w:tcPr>
          <w:p w14:paraId="3D2B1307" w14:textId="658E5A44" w:rsidR="00E169E9" w:rsidRDefault="00E169E9" w:rsidP="005579FC">
            <w:pPr>
              <w:pStyle w:val="TableBody"/>
              <w:spacing w:after="120"/>
            </w:pPr>
            <w:r>
              <w:t>For the frequency ranges 809–825 MHz and 854–870 MHz, the period ending 30 June 2024.</w:t>
            </w:r>
          </w:p>
          <w:p w14:paraId="32A7F099" w14:textId="1EEBAC61" w:rsidR="00E169E9" w:rsidRPr="00826325" w:rsidRDefault="00E169E9" w:rsidP="008D7923">
            <w:pPr>
              <w:pStyle w:val="TableBody"/>
              <w:rPr>
                <w:highlight w:val="yellow"/>
              </w:rPr>
            </w:pPr>
            <w:r>
              <w:t>For the frequency ranges 890–915 MHz and 935–960 MHz, the period ending 31 December 2023.</w:t>
            </w:r>
          </w:p>
        </w:tc>
      </w:tr>
      <w:tr w:rsidR="00E169E9" w14:paraId="216428D2" w14:textId="77777777" w:rsidTr="00E169E9">
        <w:trPr>
          <w:cnfStyle w:val="000000010000" w:firstRow="0" w:lastRow="0" w:firstColumn="0" w:lastColumn="0" w:oddVBand="0" w:evenVBand="0" w:oddHBand="0" w:evenHBand="1" w:firstRowFirstColumn="0" w:firstRowLastColumn="0" w:lastRowFirstColumn="0" w:lastRowLastColumn="0"/>
        </w:trPr>
        <w:tc>
          <w:tcPr>
            <w:tcW w:w="2405" w:type="dxa"/>
          </w:tcPr>
          <w:p w14:paraId="159B3F79" w14:textId="0B540F3B" w:rsidR="00E169E9" w:rsidRDefault="00DA3182" w:rsidP="008D7923">
            <w:pPr>
              <w:pStyle w:val="TableBody"/>
            </w:pPr>
            <w:r>
              <w:t>Re</w:t>
            </w:r>
            <w:r>
              <w:noBreakHyphen/>
              <w:t>allocation</w:t>
            </w:r>
            <w:r w:rsidR="00E169E9">
              <w:t xml:space="preserve"> deadline</w:t>
            </w:r>
          </w:p>
        </w:tc>
        <w:tc>
          <w:tcPr>
            <w:tcW w:w="4972" w:type="dxa"/>
          </w:tcPr>
          <w:p w14:paraId="7FDECCCF" w14:textId="4BED4A28" w:rsidR="00E169E9" w:rsidRDefault="00E169E9" w:rsidP="008D7923">
            <w:pPr>
              <w:pStyle w:val="TableBody"/>
            </w:pPr>
            <w:r>
              <w:t>31 December 2022 (</w:t>
            </w:r>
            <w:r w:rsidRPr="00554A3E">
              <w:t xml:space="preserve">12 months before the end of the </w:t>
            </w:r>
            <w:r w:rsidR="00DA3182">
              <w:t>re</w:t>
            </w:r>
            <w:r w:rsidR="00DA3182">
              <w:noBreakHyphen/>
              <w:t>allocation</w:t>
            </w:r>
            <w:r w:rsidRPr="00554A3E">
              <w:t xml:space="preserve"> period</w:t>
            </w:r>
            <w:r>
              <w:t xml:space="preserve"> that ends </w:t>
            </w:r>
            <w:r w:rsidRPr="005749AB">
              <w:t>first in time</w:t>
            </w:r>
            <w:r>
              <w:t>)</w:t>
            </w:r>
            <w:r w:rsidR="00CA1378">
              <w:t>.</w:t>
            </w:r>
          </w:p>
        </w:tc>
      </w:tr>
    </w:tbl>
    <w:p w14:paraId="60725DBE" w14:textId="77777777" w:rsidR="00525815" w:rsidRPr="004602C1" w:rsidRDefault="00525815" w:rsidP="00525815">
      <w:pPr>
        <w:pStyle w:val="ACMASpaceaftertable"/>
      </w:pPr>
    </w:p>
    <w:p w14:paraId="260B7B08" w14:textId="7B3C5F29" w:rsidR="00B9642F" w:rsidRPr="00B9642F" w:rsidRDefault="00525815" w:rsidP="005579FC">
      <w:pPr>
        <w:pStyle w:val="Paragraph"/>
      </w:pPr>
      <w:r>
        <w:t xml:space="preserve">At the end of the consultation period, </w:t>
      </w:r>
      <w:r w:rsidR="001318ED">
        <w:t>we</w:t>
      </w:r>
      <w:r>
        <w:t xml:space="preserve"> will consider comments received in preparing any recommendation to the </w:t>
      </w:r>
      <w:r w:rsidR="008653F9">
        <w:t>Minister</w:t>
      </w:r>
      <w:r>
        <w:t xml:space="preserve"> under section 153F of </w:t>
      </w:r>
      <w:r w:rsidR="00D33D1A">
        <w:t>the Act</w:t>
      </w:r>
      <w:r>
        <w:t>.</w:t>
      </w:r>
      <w:r w:rsidR="005621F6">
        <w:t xml:space="preserve"> </w:t>
      </w:r>
      <w:r>
        <w:t xml:space="preserve">In making a </w:t>
      </w:r>
      <w:r w:rsidR="00DA3182">
        <w:t>re</w:t>
      </w:r>
      <w:r w:rsidR="00DA3182">
        <w:noBreakHyphen/>
        <w:t>allocation</w:t>
      </w:r>
      <w:r>
        <w:t xml:space="preserve"> declaration, the </w:t>
      </w:r>
      <w:r w:rsidR="008653F9">
        <w:t>Minister</w:t>
      </w:r>
      <w:r>
        <w:t xml:space="preserve"> must have regard to </w:t>
      </w:r>
      <w:r w:rsidR="00CA1378">
        <w:t>our</w:t>
      </w:r>
      <w:r>
        <w:t xml:space="preserve"> recommendation</w:t>
      </w:r>
      <w:r w:rsidR="00CA1378">
        <w:t>s</w:t>
      </w:r>
      <w:r>
        <w:t xml:space="preserve">. The </w:t>
      </w:r>
      <w:r w:rsidR="008653F9">
        <w:t>Minister</w:t>
      </w:r>
      <w:r>
        <w:t xml:space="preserve"> is only able to make a declaration within 180 days of receiving the recommendation from </w:t>
      </w:r>
      <w:r w:rsidR="001318ED">
        <w:t>us</w:t>
      </w:r>
      <w:r>
        <w:t>.</w:t>
      </w:r>
    </w:p>
    <w:p w14:paraId="5110F695" w14:textId="795BD240" w:rsidR="00B9642F" w:rsidRDefault="00B9642F" w:rsidP="00771501">
      <w:r w:rsidRPr="00B9642F">
        <w:t xml:space="preserve">If the </w:t>
      </w:r>
      <w:r w:rsidR="008653F9">
        <w:t>Minister</w:t>
      </w:r>
      <w:r w:rsidRPr="00B9642F">
        <w:t xml:space="preserve"> decides to make </w:t>
      </w:r>
      <w:r w:rsidR="009441E3">
        <w:t>one or more</w:t>
      </w:r>
      <w:r w:rsidR="009441E3" w:rsidRPr="00B9642F">
        <w:t xml:space="preserve"> </w:t>
      </w:r>
      <w:r w:rsidRPr="00B9642F">
        <w:t xml:space="preserve">spectrum </w:t>
      </w:r>
      <w:r w:rsidR="00DA3182">
        <w:t>re</w:t>
      </w:r>
      <w:r w:rsidR="00DA3182">
        <w:noBreakHyphen/>
        <w:t>allocation</w:t>
      </w:r>
      <w:r w:rsidRPr="00B9642F">
        <w:t xml:space="preserve"> declaration</w:t>
      </w:r>
      <w:r w:rsidR="009441E3">
        <w:t>s</w:t>
      </w:r>
      <w:r w:rsidRPr="00B9642F">
        <w:t xml:space="preserve">, </w:t>
      </w:r>
      <w:r w:rsidR="00CA1378">
        <w:t xml:space="preserve">we </w:t>
      </w:r>
      <w:proofErr w:type="gramStart"/>
      <w:r w:rsidRPr="00B9642F">
        <w:t>would</w:t>
      </w:r>
      <w:proofErr w:type="gramEnd"/>
      <w:r w:rsidRPr="00B9642F">
        <w:t xml:space="preserve"> commence a process to allocate spectrum licences. At that time, </w:t>
      </w:r>
      <w:r w:rsidR="00CA1378">
        <w:t>we</w:t>
      </w:r>
      <w:r w:rsidRPr="00B9642F">
        <w:t xml:space="preserve"> would release further information about the process and would undertake further consultation on draft instruments to support the allocation. This would include a marketing plan prepared under section 39A of </w:t>
      </w:r>
      <w:r w:rsidR="00D33D1A">
        <w:t>the Act</w:t>
      </w:r>
      <w:r w:rsidRPr="00B9642F">
        <w:t xml:space="preserve"> and allocation procedures determined under section 60</w:t>
      </w:r>
      <w:r w:rsidR="00145DE4">
        <w:t xml:space="preserve"> of </w:t>
      </w:r>
      <w:r w:rsidR="00D33D1A">
        <w:t>the Act</w:t>
      </w:r>
      <w:r w:rsidRPr="00B9642F">
        <w:t xml:space="preserve">. </w:t>
      </w:r>
      <w:r w:rsidR="00CA1378">
        <w:t>We</w:t>
      </w:r>
      <w:r w:rsidRPr="00B9642F">
        <w:t xml:space="preserve"> </w:t>
      </w:r>
      <w:r w:rsidR="00307DC7">
        <w:t>may</w:t>
      </w:r>
      <w:r w:rsidRPr="00B9642F">
        <w:t xml:space="preserve"> also convene a technical liaison group to provide information to assist in the development of the technical framework for the </w:t>
      </w:r>
      <w:r w:rsidR="00C2408D">
        <w:t>850/900 MHz</w:t>
      </w:r>
      <w:r w:rsidRPr="00B9642F">
        <w:t xml:space="preserve"> band.</w:t>
      </w:r>
    </w:p>
    <w:p w14:paraId="00936A5C" w14:textId="5473C272" w:rsidR="00B9642F" w:rsidRDefault="00B9642F" w:rsidP="00B9642F">
      <w:r w:rsidRPr="00B9642F">
        <w:t xml:space="preserve">Subject to </w:t>
      </w:r>
      <w:r w:rsidR="00A9582D">
        <w:t xml:space="preserve">this consultation and </w:t>
      </w:r>
      <w:r w:rsidRPr="00B9642F">
        <w:t xml:space="preserve">the </w:t>
      </w:r>
      <w:r w:rsidR="008653F9">
        <w:t>Minister</w:t>
      </w:r>
      <w:r w:rsidRPr="00B9642F">
        <w:t xml:space="preserve"> making </w:t>
      </w:r>
      <w:r w:rsidR="00A9582D">
        <w:t>one or more</w:t>
      </w:r>
      <w:r w:rsidRPr="00B9642F">
        <w:t xml:space="preserve"> spectrum </w:t>
      </w:r>
      <w:r w:rsidR="00DA3182">
        <w:t>re</w:t>
      </w:r>
      <w:r w:rsidR="00DA3182">
        <w:noBreakHyphen/>
        <w:t>allocation</w:t>
      </w:r>
      <w:r w:rsidRPr="00B9642F">
        <w:t xml:space="preserve"> declaration</w:t>
      </w:r>
      <w:r w:rsidR="00A9582D">
        <w:t>s</w:t>
      </w:r>
      <w:r w:rsidRPr="00B9642F">
        <w:t xml:space="preserve">, </w:t>
      </w:r>
      <w:r w:rsidR="000453AB">
        <w:t>we are</w:t>
      </w:r>
      <w:r w:rsidRPr="00B9642F">
        <w:t xml:space="preserve"> planning to commence an allocation process in </w:t>
      </w:r>
      <w:r w:rsidRPr="00525815">
        <w:t>Q</w:t>
      </w:r>
      <w:r w:rsidR="00E475BB" w:rsidRPr="00525815">
        <w:t>4 2021</w:t>
      </w:r>
      <w:r w:rsidRPr="00B9642F">
        <w:t>. Consultation on the allocation rules, marketing plan and other technical instruments would be undertaken in accordance with this timing.</w:t>
      </w:r>
      <w:r>
        <w:t xml:space="preserve"> </w:t>
      </w:r>
      <w:r w:rsidR="000C2A57">
        <w:fldChar w:fldCharType="begin"/>
      </w:r>
      <w:r w:rsidR="000C2A57">
        <w:instrText xml:space="preserve"> REF _Ref4150533 \r \h </w:instrText>
      </w:r>
      <w:r w:rsidR="000C2A57">
        <w:fldChar w:fldCharType="separate"/>
      </w:r>
      <w:r w:rsidR="00695921">
        <w:t>Table 5</w:t>
      </w:r>
      <w:r w:rsidR="000C2A57">
        <w:fldChar w:fldCharType="end"/>
      </w:r>
      <w:r w:rsidR="000C2A57">
        <w:t xml:space="preserve"> </w:t>
      </w:r>
      <w:r>
        <w:t>shows an indicative timetable for the major milestones relevant to the allocation of the 850/900 MHz band.</w:t>
      </w:r>
    </w:p>
    <w:p w14:paraId="5926FF66" w14:textId="4820E118" w:rsidR="00145DE4" w:rsidRDefault="00145DE4" w:rsidP="00B9642F"/>
    <w:p w14:paraId="306824EB" w14:textId="77777777" w:rsidR="00145DE4" w:rsidRDefault="00145DE4" w:rsidP="00B9642F"/>
    <w:p w14:paraId="1725BB3A" w14:textId="714A8919" w:rsidR="00B9642F" w:rsidRDefault="00B9642F" w:rsidP="00232B10">
      <w:pPr>
        <w:pStyle w:val="ACMATableHeader"/>
        <w:keepNext/>
        <w:keepLines/>
      </w:pPr>
      <w:bookmarkStart w:id="74" w:name="_Ref4150533"/>
      <w:r>
        <w:lastRenderedPageBreak/>
        <w:t>Indicative timetable</w:t>
      </w:r>
      <w:bookmarkEnd w:id="74"/>
      <w:r>
        <w:t xml:space="preserve"> </w:t>
      </w:r>
    </w:p>
    <w:tbl>
      <w:tblPr>
        <w:tblStyle w:val="ACMAtablestyle"/>
        <w:tblW w:w="0" w:type="auto"/>
        <w:tblLook w:val="04A0" w:firstRow="1" w:lastRow="0" w:firstColumn="1" w:lastColumn="0" w:noHBand="0" w:noVBand="1"/>
      </w:tblPr>
      <w:tblGrid>
        <w:gridCol w:w="5382"/>
        <w:gridCol w:w="2268"/>
      </w:tblGrid>
      <w:tr w:rsidR="00B9642F" w14:paraId="60CF9AF2" w14:textId="77777777" w:rsidTr="00FD0F6A">
        <w:trPr>
          <w:cnfStyle w:val="100000000000" w:firstRow="1" w:lastRow="0" w:firstColumn="0" w:lastColumn="0" w:oddVBand="0" w:evenVBand="0" w:oddHBand="0" w:evenHBand="0" w:firstRowFirstColumn="0" w:firstRowLastColumn="0" w:lastRowFirstColumn="0" w:lastRowLastColumn="0"/>
          <w:trHeight w:val="199"/>
          <w:tblHeader w:val="0"/>
        </w:trPr>
        <w:tc>
          <w:tcPr>
            <w:tcW w:w="5382" w:type="dxa"/>
            <w:tcBorders>
              <w:top w:val="none" w:sz="0" w:space="0" w:color="auto"/>
              <w:left w:val="none" w:sz="0" w:space="0" w:color="auto"/>
              <w:bottom w:val="none" w:sz="0" w:space="0" w:color="auto"/>
              <w:right w:val="none" w:sz="0" w:space="0" w:color="auto"/>
            </w:tcBorders>
          </w:tcPr>
          <w:p w14:paraId="1BE72DAE" w14:textId="4B092A8B" w:rsidR="00B9642F" w:rsidRDefault="00B9642F" w:rsidP="00232B10">
            <w:pPr>
              <w:pStyle w:val="Tableheaderrow"/>
              <w:keepNext/>
              <w:keepLines/>
            </w:pPr>
            <w:r>
              <w:t xml:space="preserve">Action </w:t>
            </w:r>
          </w:p>
        </w:tc>
        <w:tc>
          <w:tcPr>
            <w:tcW w:w="2268" w:type="dxa"/>
            <w:tcBorders>
              <w:top w:val="none" w:sz="0" w:space="0" w:color="auto"/>
              <w:left w:val="none" w:sz="0" w:space="0" w:color="auto"/>
              <w:bottom w:val="none" w:sz="0" w:space="0" w:color="auto"/>
              <w:right w:val="none" w:sz="0" w:space="0" w:color="auto"/>
            </w:tcBorders>
          </w:tcPr>
          <w:p w14:paraId="0ED01C05" w14:textId="67284BCE" w:rsidR="00B9642F" w:rsidRDefault="00B9642F" w:rsidP="00232B10">
            <w:pPr>
              <w:pStyle w:val="Tableheaderrow"/>
              <w:keepNext/>
              <w:keepLines/>
            </w:pPr>
            <w:r>
              <w:t>Date</w:t>
            </w:r>
          </w:p>
        </w:tc>
      </w:tr>
      <w:tr w:rsidR="00B9642F" w14:paraId="7E34C44D" w14:textId="77777777" w:rsidTr="00B9642F">
        <w:trPr>
          <w:cnfStyle w:val="000000100000" w:firstRow="0" w:lastRow="0" w:firstColumn="0" w:lastColumn="0" w:oddVBand="0" w:evenVBand="0" w:oddHBand="1" w:evenHBand="0" w:firstRowFirstColumn="0" w:firstRowLastColumn="0" w:lastRowFirstColumn="0" w:lastRowLastColumn="0"/>
        </w:trPr>
        <w:tc>
          <w:tcPr>
            <w:tcW w:w="5382" w:type="dxa"/>
          </w:tcPr>
          <w:p w14:paraId="1778196C" w14:textId="0F9C7CEC" w:rsidR="00B9642F" w:rsidRDefault="00B9642F" w:rsidP="00232B10">
            <w:pPr>
              <w:pStyle w:val="TableBody"/>
              <w:keepNext/>
              <w:keepLines/>
            </w:pPr>
            <w:r>
              <w:t xml:space="preserve">Consult on a draft recommendation to the </w:t>
            </w:r>
            <w:r w:rsidR="008653F9">
              <w:t>Minister</w:t>
            </w:r>
            <w:r>
              <w:t xml:space="preserve"> on the potential </w:t>
            </w:r>
            <w:r w:rsidR="00DA3182">
              <w:t>re</w:t>
            </w:r>
            <w:r w:rsidR="00DA3182">
              <w:noBreakHyphen/>
              <w:t>allocation</w:t>
            </w:r>
            <w:r>
              <w:t xml:space="preserve"> of the 850/900 MHz band in accordance with section 153G of </w:t>
            </w:r>
            <w:r w:rsidR="00D33D1A">
              <w:t>the Act</w:t>
            </w:r>
          </w:p>
        </w:tc>
        <w:tc>
          <w:tcPr>
            <w:tcW w:w="2268" w:type="dxa"/>
          </w:tcPr>
          <w:p w14:paraId="75740019" w14:textId="716A09F8" w:rsidR="00B9642F" w:rsidRDefault="002D2219" w:rsidP="00232B10">
            <w:pPr>
              <w:pStyle w:val="TableBody"/>
              <w:keepNext/>
              <w:keepLines/>
            </w:pPr>
            <w:r>
              <w:t>Q2</w:t>
            </w:r>
            <w:r w:rsidR="003B5B88">
              <w:t>/Q3</w:t>
            </w:r>
            <w:r>
              <w:t xml:space="preserve"> </w:t>
            </w:r>
            <w:r w:rsidR="00620068">
              <w:t>2020</w:t>
            </w:r>
          </w:p>
        </w:tc>
      </w:tr>
      <w:tr w:rsidR="00B9642F" w14:paraId="352DADE8" w14:textId="77777777" w:rsidTr="00B9642F">
        <w:trPr>
          <w:cnfStyle w:val="000000010000" w:firstRow="0" w:lastRow="0" w:firstColumn="0" w:lastColumn="0" w:oddVBand="0" w:evenVBand="0" w:oddHBand="0" w:evenHBand="1" w:firstRowFirstColumn="0" w:firstRowLastColumn="0" w:lastRowFirstColumn="0" w:lastRowLastColumn="0"/>
        </w:trPr>
        <w:tc>
          <w:tcPr>
            <w:tcW w:w="5382" w:type="dxa"/>
          </w:tcPr>
          <w:p w14:paraId="495BBCAD" w14:textId="69C2A613" w:rsidR="00B9642F" w:rsidRDefault="00B9642F" w:rsidP="00232B10">
            <w:pPr>
              <w:pStyle w:val="TableBody"/>
              <w:keepNext/>
              <w:keepLines/>
            </w:pPr>
            <w:r>
              <w:t xml:space="preserve">Subject to the outcome of the consultation, write to the </w:t>
            </w:r>
            <w:r w:rsidR="008653F9">
              <w:t>Minister</w:t>
            </w:r>
            <w:r>
              <w:t xml:space="preserve"> recommending </w:t>
            </w:r>
            <w:r w:rsidR="00DA3182">
              <w:t>re</w:t>
            </w:r>
            <w:r w:rsidR="00DA3182">
              <w:noBreakHyphen/>
              <w:t>allocation</w:t>
            </w:r>
            <w:r>
              <w:t xml:space="preserve"> of the 850/900 MHz band in accordance with section 153F of </w:t>
            </w:r>
            <w:r w:rsidR="00D33D1A">
              <w:t>the Act</w:t>
            </w:r>
          </w:p>
        </w:tc>
        <w:tc>
          <w:tcPr>
            <w:tcW w:w="2268" w:type="dxa"/>
          </w:tcPr>
          <w:p w14:paraId="009A2943" w14:textId="43B523AF" w:rsidR="00B9642F" w:rsidRDefault="00410C97" w:rsidP="00232B10">
            <w:pPr>
              <w:pStyle w:val="TableBody"/>
              <w:keepNext/>
              <w:keepLines/>
            </w:pPr>
            <w:r>
              <w:t xml:space="preserve">Q3 </w:t>
            </w:r>
            <w:r w:rsidR="00620068">
              <w:t>2020</w:t>
            </w:r>
          </w:p>
        </w:tc>
      </w:tr>
      <w:tr w:rsidR="00B9642F" w:rsidRPr="00826325" w14:paraId="6F5F4BD6" w14:textId="77777777" w:rsidTr="00B9642F">
        <w:trPr>
          <w:cnfStyle w:val="000000100000" w:firstRow="0" w:lastRow="0" w:firstColumn="0" w:lastColumn="0" w:oddVBand="0" w:evenVBand="0" w:oddHBand="1" w:evenHBand="0" w:firstRowFirstColumn="0" w:firstRowLastColumn="0" w:lastRowFirstColumn="0" w:lastRowLastColumn="0"/>
        </w:trPr>
        <w:tc>
          <w:tcPr>
            <w:tcW w:w="5382" w:type="dxa"/>
          </w:tcPr>
          <w:p w14:paraId="34756A76" w14:textId="33362F08" w:rsidR="00B9642F" w:rsidRDefault="00B9642F" w:rsidP="00232B10">
            <w:pPr>
              <w:pStyle w:val="TableBody"/>
              <w:keepNext/>
              <w:keepLines/>
            </w:pPr>
            <w:r>
              <w:t>Commence technical liaison group to develop spectrum licence technical framework*</w:t>
            </w:r>
          </w:p>
        </w:tc>
        <w:tc>
          <w:tcPr>
            <w:tcW w:w="2268" w:type="dxa"/>
          </w:tcPr>
          <w:p w14:paraId="1781F34B" w14:textId="3E85B7F2" w:rsidR="00B9642F" w:rsidRPr="00826325" w:rsidRDefault="009824A7" w:rsidP="00232B10">
            <w:pPr>
              <w:pStyle w:val="TableBody"/>
              <w:keepNext/>
              <w:keepLines/>
              <w:rPr>
                <w:highlight w:val="yellow"/>
              </w:rPr>
            </w:pPr>
            <w:r>
              <w:t>Q4</w:t>
            </w:r>
            <w:r w:rsidR="00620068" w:rsidRPr="00CD1052">
              <w:t xml:space="preserve"> 2020</w:t>
            </w:r>
          </w:p>
        </w:tc>
      </w:tr>
      <w:tr w:rsidR="00B9642F" w14:paraId="359B4877" w14:textId="77777777" w:rsidTr="00B9642F">
        <w:trPr>
          <w:cnfStyle w:val="000000010000" w:firstRow="0" w:lastRow="0" w:firstColumn="0" w:lastColumn="0" w:oddVBand="0" w:evenVBand="0" w:oddHBand="0" w:evenHBand="1" w:firstRowFirstColumn="0" w:firstRowLastColumn="0" w:lastRowFirstColumn="0" w:lastRowLastColumn="0"/>
        </w:trPr>
        <w:tc>
          <w:tcPr>
            <w:tcW w:w="5382" w:type="dxa"/>
          </w:tcPr>
          <w:p w14:paraId="35ED5328" w14:textId="40B706CB" w:rsidR="00B9642F" w:rsidRDefault="00B9642F" w:rsidP="00232B10">
            <w:pPr>
              <w:pStyle w:val="TableBody"/>
              <w:keepNext/>
              <w:keepLines/>
            </w:pPr>
            <w:r>
              <w:t>Release draft allocation rules, marketing plan and other technical instruments for public comment*</w:t>
            </w:r>
          </w:p>
        </w:tc>
        <w:tc>
          <w:tcPr>
            <w:tcW w:w="2268" w:type="dxa"/>
          </w:tcPr>
          <w:p w14:paraId="6C9BF1E1" w14:textId="6367864E" w:rsidR="00B9642F" w:rsidRDefault="00620068" w:rsidP="00232B10">
            <w:pPr>
              <w:pStyle w:val="TableBody"/>
              <w:keepNext/>
              <w:keepLines/>
            </w:pPr>
            <w:r>
              <w:t>Q</w:t>
            </w:r>
            <w:r w:rsidR="00410C97">
              <w:t>2</w:t>
            </w:r>
            <w:r>
              <w:t xml:space="preserve"> 2021</w:t>
            </w:r>
          </w:p>
        </w:tc>
      </w:tr>
      <w:tr w:rsidR="00B9642F" w14:paraId="25FF851A" w14:textId="77777777" w:rsidTr="00B9642F">
        <w:trPr>
          <w:cnfStyle w:val="000000100000" w:firstRow="0" w:lastRow="0" w:firstColumn="0" w:lastColumn="0" w:oddVBand="0" w:evenVBand="0" w:oddHBand="1" w:evenHBand="0" w:firstRowFirstColumn="0" w:firstRowLastColumn="0" w:lastRowFirstColumn="0" w:lastRowLastColumn="0"/>
        </w:trPr>
        <w:tc>
          <w:tcPr>
            <w:tcW w:w="5382" w:type="dxa"/>
          </w:tcPr>
          <w:p w14:paraId="73341D90" w14:textId="488C7F20" w:rsidR="00B9642F" w:rsidRDefault="00B9642F" w:rsidP="00232B10">
            <w:pPr>
              <w:pStyle w:val="TableBody"/>
              <w:keepNext/>
              <w:keepLines/>
            </w:pPr>
            <w:r>
              <w:t>Commence allocation process*</w:t>
            </w:r>
          </w:p>
        </w:tc>
        <w:tc>
          <w:tcPr>
            <w:tcW w:w="2268" w:type="dxa"/>
          </w:tcPr>
          <w:p w14:paraId="315F0996" w14:textId="19082D7E" w:rsidR="00B9642F" w:rsidRDefault="00620068" w:rsidP="00232B10">
            <w:pPr>
              <w:pStyle w:val="TableBody"/>
              <w:keepNext/>
              <w:keepLines/>
            </w:pPr>
            <w:r>
              <w:t>Q4 2021</w:t>
            </w:r>
          </w:p>
        </w:tc>
      </w:tr>
    </w:tbl>
    <w:p w14:paraId="1A3C71D1" w14:textId="5F1B1A18" w:rsidR="00B9642F" w:rsidRPr="00076A84" w:rsidRDefault="00634888" w:rsidP="00232B10">
      <w:pPr>
        <w:pStyle w:val="Tableorfigurenote"/>
      </w:pPr>
      <w:r w:rsidRPr="00076A84">
        <w:t xml:space="preserve">* </w:t>
      </w:r>
      <w:r w:rsidRPr="00076A84">
        <w:tab/>
      </w:r>
      <w:r w:rsidR="00525815" w:rsidRPr="00076A84">
        <w:t xml:space="preserve">These steps are subject to the outcome of consultation in accordance with section 153G of </w:t>
      </w:r>
      <w:r w:rsidR="00D33D1A">
        <w:t>the Act</w:t>
      </w:r>
      <w:r w:rsidR="00525815" w:rsidRPr="00076A84">
        <w:t xml:space="preserve"> and contingent on the </w:t>
      </w:r>
      <w:r w:rsidR="008653F9" w:rsidRPr="00076A84">
        <w:t>Minister</w:t>
      </w:r>
      <w:r w:rsidR="00525815" w:rsidRPr="00076A84">
        <w:t xml:space="preserve"> issuing </w:t>
      </w:r>
      <w:r w:rsidR="003B5B88" w:rsidRPr="00076A84">
        <w:t xml:space="preserve">one or more spectrum </w:t>
      </w:r>
      <w:r w:rsidR="00DA3182">
        <w:t>re</w:t>
      </w:r>
      <w:r w:rsidR="00DA3182">
        <w:noBreakHyphen/>
        <w:t>allocation</w:t>
      </w:r>
      <w:r w:rsidR="00525815" w:rsidRPr="00076A84">
        <w:t xml:space="preserve"> declaration</w:t>
      </w:r>
      <w:r w:rsidR="003B5B88" w:rsidRPr="00076A84">
        <w:t>s</w:t>
      </w:r>
      <w:r w:rsidR="00525815" w:rsidRPr="00076A84">
        <w:t>.</w:t>
      </w:r>
    </w:p>
    <w:p w14:paraId="7C2B5A2B" w14:textId="7AC2F8B5" w:rsidR="006B27FC" w:rsidRPr="00634888" w:rsidRDefault="006B27FC" w:rsidP="00CD1052">
      <w:pPr>
        <w:pStyle w:val="Paragraph"/>
        <w:spacing w:after="60" w:line="240" w:lineRule="auto"/>
        <w:rPr>
          <w:i/>
          <w:sz w:val="16"/>
        </w:rPr>
      </w:pPr>
      <w:r>
        <w:rPr>
          <w:i/>
          <w:sz w:val="16"/>
        </w:rPr>
        <w:tab/>
      </w:r>
      <w:r>
        <w:rPr>
          <w:i/>
          <w:sz w:val="16"/>
        </w:rPr>
        <w:tab/>
      </w:r>
    </w:p>
    <w:p w14:paraId="5D257BA4" w14:textId="77777777" w:rsidR="006C1631" w:rsidRDefault="006C1631" w:rsidP="006C1631">
      <w:pPr>
        <w:pStyle w:val="Heading1"/>
      </w:pPr>
      <w:bookmarkStart w:id="75" w:name="_Toc40175660"/>
      <w:r>
        <w:lastRenderedPageBreak/>
        <w:t>Invitation to comment</w:t>
      </w:r>
      <w:bookmarkEnd w:id="75"/>
    </w:p>
    <w:p w14:paraId="02052989" w14:textId="77777777" w:rsidR="006C1631" w:rsidRDefault="006C1631" w:rsidP="006C1631">
      <w:pPr>
        <w:pStyle w:val="Heading2"/>
      </w:pPr>
      <w:bookmarkStart w:id="76" w:name="_Toc433122131"/>
      <w:bookmarkStart w:id="77" w:name="_Toc348105637"/>
      <w:bookmarkStart w:id="78" w:name="_Toc300909556"/>
      <w:bookmarkStart w:id="79" w:name="_Toc298924673"/>
      <w:bookmarkStart w:id="80" w:name="_Toc40175661"/>
      <w:bookmarkStart w:id="81" w:name="_Toc348105638"/>
      <w:bookmarkStart w:id="82" w:name="_Toc300909557"/>
      <w:bookmarkStart w:id="83" w:name="_Toc298924674"/>
      <w:bookmarkStart w:id="84" w:name="_Toc274296357"/>
      <w:r>
        <w:t>Making a submission</w:t>
      </w:r>
      <w:bookmarkEnd w:id="76"/>
      <w:bookmarkEnd w:id="77"/>
      <w:bookmarkEnd w:id="78"/>
      <w:bookmarkEnd w:id="79"/>
      <w:bookmarkEnd w:id="80"/>
    </w:p>
    <w:p w14:paraId="1B170FEA" w14:textId="33513CF7" w:rsidR="006C1631" w:rsidRDefault="006C1631" w:rsidP="006C1631">
      <w:r>
        <w:t xml:space="preserve">The ACMA invites comments on the issues set out in this </w:t>
      </w:r>
      <w:r w:rsidR="008F323B">
        <w:t xml:space="preserve">consultation </w:t>
      </w:r>
      <w:r>
        <w:t xml:space="preserve">paper. </w:t>
      </w:r>
    </w:p>
    <w:p w14:paraId="5ECA3EC1" w14:textId="62ED7C4D" w:rsidR="0070133D" w:rsidRDefault="000A122F" w:rsidP="0070133D">
      <w:pPr>
        <w:pStyle w:val="Bulletlevel1"/>
      </w:pPr>
      <w:hyperlink r:id="rId40" w:history="1">
        <w:r w:rsidR="0070133D">
          <w:rPr>
            <w:rStyle w:val="Hyperlink"/>
          </w:rPr>
          <w:t>Online submissions</w:t>
        </w:r>
      </w:hyperlink>
      <w:r w:rsidR="0070133D">
        <w:t xml:space="preserve"> can be made by </w:t>
      </w:r>
      <w:r w:rsidR="0070133D" w:rsidRPr="0070133D">
        <w:t>uploading</w:t>
      </w:r>
      <w:r w:rsidR="0070133D">
        <w:t xml:space="preserve"> a document. Submissions in</w:t>
      </w:r>
      <w:r w:rsidR="00396DC2">
        <w:t xml:space="preserve"> PDF, </w:t>
      </w:r>
      <w:r w:rsidR="0070133D">
        <w:t>Microsoft Word or Rich Text Format are preferred.</w:t>
      </w:r>
    </w:p>
    <w:p w14:paraId="0FD64C2E" w14:textId="77777777" w:rsidR="006C1631" w:rsidRDefault="006C1631" w:rsidP="0070133D">
      <w:pPr>
        <w:pStyle w:val="Bulletlevel1"/>
      </w:pPr>
      <w:r>
        <w:t xml:space="preserve">Submissions by post can be sent to: </w:t>
      </w:r>
    </w:p>
    <w:p w14:paraId="2B3540ED" w14:textId="77777777" w:rsidR="006C1631" w:rsidRPr="00866BBD" w:rsidRDefault="006C1631" w:rsidP="006C1631">
      <w:pPr>
        <w:tabs>
          <w:tab w:val="num" w:pos="295"/>
        </w:tabs>
        <w:spacing w:after="0"/>
        <w:ind w:left="295"/>
        <w:rPr>
          <w:szCs w:val="20"/>
        </w:rPr>
      </w:pPr>
      <w:r w:rsidRPr="00866BBD">
        <w:rPr>
          <w:szCs w:val="20"/>
        </w:rPr>
        <w:t>The Manager</w:t>
      </w:r>
    </w:p>
    <w:p w14:paraId="35089120" w14:textId="77777777" w:rsidR="006C1631" w:rsidRPr="00866BBD" w:rsidRDefault="00866BBD" w:rsidP="006C1631">
      <w:pPr>
        <w:spacing w:after="0"/>
        <w:ind w:left="295"/>
        <w:rPr>
          <w:szCs w:val="20"/>
        </w:rPr>
      </w:pPr>
      <w:r w:rsidRPr="00866BBD">
        <w:rPr>
          <w:szCs w:val="20"/>
        </w:rPr>
        <w:t>Major Spectrum Allocations Section</w:t>
      </w:r>
    </w:p>
    <w:p w14:paraId="24B447FA" w14:textId="77777777" w:rsidR="006C1631" w:rsidRPr="00866BBD" w:rsidRDefault="006C1631" w:rsidP="006C1631">
      <w:pPr>
        <w:spacing w:after="0"/>
        <w:ind w:left="295"/>
        <w:rPr>
          <w:szCs w:val="20"/>
        </w:rPr>
      </w:pPr>
      <w:r w:rsidRPr="00866BBD">
        <w:rPr>
          <w:szCs w:val="20"/>
        </w:rPr>
        <w:t>Australian Communications and Media Authority</w:t>
      </w:r>
    </w:p>
    <w:p w14:paraId="333A0302" w14:textId="77777777" w:rsidR="006C1631" w:rsidRPr="00866BBD" w:rsidRDefault="006C1631" w:rsidP="006C1631">
      <w:pPr>
        <w:spacing w:after="0"/>
        <w:ind w:left="295"/>
        <w:rPr>
          <w:szCs w:val="20"/>
        </w:rPr>
      </w:pPr>
      <w:r w:rsidRPr="00866BBD">
        <w:rPr>
          <w:szCs w:val="20"/>
        </w:rPr>
        <w:t>PO Box 78</w:t>
      </w:r>
    </w:p>
    <w:p w14:paraId="53923E9D" w14:textId="77777777" w:rsidR="006C1631" w:rsidRDefault="006C1631" w:rsidP="006C1631">
      <w:pPr>
        <w:ind w:left="295"/>
        <w:rPr>
          <w:szCs w:val="20"/>
        </w:rPr>
      </w:pPr>
      <w:r w:rsidRPr="00866BBD">
        <w:rPr>
          <w:szCs w:val="20"/>
        </w:rPr>
        <w:t>Belconnen ACT 2616</w:t>
      </w:r>
    </w:p>
    <w:p w14:paraId="2C78F38A" w14:textId="0D562200" w:rsidR="006C1631" w:rsidRPr="00620068" w:rsidRDefault="006C1631" w:rsidP="006C1631">
      <w:pPr>
        <w:rPr>
          <w:b/>
        </w:rPr>
      </w:pPr>
      <w:r w:rsidRPr="00620068">
        <w:rPr>
          <w:b/>
        </w:rPr>
        <w:t xml:space="preserve">The closing date for submissions is COB, </w:t>
      </w:r>
      <w:r w:rsidR="003D267C" w:rsidRPr="001C278D">
        <w:rPr>
          <w:b/>
        </w:rPr>
        <w:t>Wednesday 8 July</w:t>
      </w:r>
      <w:r w:rsidR="00131197" w:rsidRPr="001C278D">
        <w:rPr>
          <w:b/>
        </w:rPr>
        <w:t xml:space="preserve"> </w:t>
      </w:r>
      <w:r w:rsidR="00AE41A8" w:rsidRPr="001C278D">
        <w:rPr>
          <w:b/>
        </w:rPr>
        <w:t>2020</w:t>
      </w:r>
      <w:r w:rsidRPr="00756C13">
        <w:rPr>
          <w:b/>
        </w:rPr>
        <w:t>.</w:t>
      </w:r>
    </w:p>
    <w:p w14:paraId="3723BB31" w14:textId="77777777" w:rsidR="006C1631" w:rsidRDefault="006C1631" w:rsidP="006C1631">
      <w:pPr>
        <w:rPr>
          <w:szCs w:val="20"/>
        </w:rPr>
      </w:pPr>
      <w:r>
        <w:t xml:space="preserve">Consultation enquiries can be emailed </w:t>
      </w:r>
      <w:r>
        <w:rPr>
          <w:szCs w:val="20"/>
        </w:rPr>
        <w:t>to</w:t>
      </w:r>
      <w:r w:rsidR="00866BBD">
        <w:rPr>
          <w:szCs w:val="20"/>
        </w:rPr>
        <w:t xml:space="preserve"> </w:t>
      </w:r>
      <w:hyperlink r:id="rId41" w:history="1">
        <w:r w:rsidR="00866BBD" w:rsidRPr="00836D04">
          <w:rPr>
            <w:rStyle w:val="Hyperlink"/>
            <w:szCs w:val="20"/>
          </w:rPr>
          <w:t>SpectrumAllocations@acma.gov.au</w:t>
        </w:r>
      </w:hyperlink>
      <w:r w:rsidR="00866BBD">
        <w:rPr>
          <w:szCs w:val="20"/>
        </w:rPr>
        <w:t xml:space="preserve">. </w:t>
      </w:r>
    </w:p>
    <w:p w14:paraId="70D11A45" w14:textId="77777777" w:rsidR="006C1631" w:rsidRDefault="006C1631" w:rsidP="005B2F0D">
      <w:pPr>
        <w:pStyle w:val="Heading4"/>
      </w:pPr>
      <w:bookmarkStart w:id="85" w:name="_Toc348105639"/>
      <w:bookmarkStart w:id="86" w:name="_Toc300909558"/>
      <w:bookmarkEnd w:id="81"/>
      <w:bookmarkEnd w:id="82"/>
      <w:r>
        <w:t xml:space="preserve">Publication of </w:t>
      </w:r>
      <w:r w:rsidRPr="005B2F0D">
        <w:t>submissions</w:t>
      </w:r>
      <w:bookmarkEnd w:id="83"/>
      <w:bookmarkEnd w:id="84"/>
      <w:bookmarkEnd w:id="85"/>
      <w:bookmarkEnd w:id="86"/>
    </w:p>
    <w:p w14:paraId="20E9B03F" w14:textId="77777777" w:rsidR="006C1631" w:rsidRDefault="006C1631" w:rsidP="006C1631">
      <w:bookmarkStart w:id="87" w:name="_Toc348105640"/>
      <w:bookmarkStart w:id="88" w:name="_Toc300909559"/>
      <w:bookmarkStart w:id="89" w:name="_Toc265246234"/>
      <w:r>
        <w:t>The ACMA publishes submissions on our website</w:t>
      </w:r>
      <w:r>
        <w:rPr>
          <w:rFonts w:cs="Arial"/>
        </w:rPr>
        <w:t>, including personal information (such as names and contact details)</w:t>
      </w:r>
      <w:r>
        <w:t xml:space="preserve">, except for information that you have claimed (and we have accepted) is confidential. </w:t>
      </w:r>
    </w:p>
    <w:p w14:paraId="401B1902" w14:textId="77777777" w:rsidR="006C1631" w:rsidRDefault="006C1631" w:rsidP="006C1631">
      <w:r>
        <w:t>Confidential information will not be published or otherwise released unless required or authorised by law.</w:t>
      </w:r>
    </w:p>
    <w:p w14:paraId="6A9B3D70" w14:textId="77777777" w:rsidR="006C1631" w:rsidRDefault="006C1631" w:rsidP="005B2F0D">
      <w:pPr>
        <w:pStyle w:val="Heading4"/>
      </w:pPr>
      <w:r>
        <w:t>Privacy</w:t>
      </w:r>
    </w:p>
    <w:p w14:paraId="6090D81D" w14:textId="77777777" w:rsidR="006C1631" w:rsidRDefault="00E21056" w:rsidP="005B2F0D">
      <w:pPr>
        <w:pStyle w:val="Paragraph"/>
      </w:pPr>
      <w:r>
        <w:t>View</w:t>
      </w:r>
      <w:r w:rsidR="006C1631">
        <w:t xml:space="preserve"> information about </w:t>
      </w:r>
      <w:r>
        <w:t xml:space="preserve">our policy on the </w:t>
      </w:r>
      <w:hyperlink r:id="rId42" w:history="1">
        <w:r>
          <w:rPr>
            <w:rStyle w:val="Hyperlink"/>
          </w:rPr>
          <w:t>p</w:t>
        </w:r>
        <w:r w:rsidRPr="00E21056">
          <w:rPr>
            <w:rStyle w:val="Hyperlink"/>
          </w:rPr>
          <w:t>ublication of submissions</w:t>
        </w:r>
      </w:hyperlink>
      <w:r>
        <w:t xml:space="preserve">, including </w:t>
      </w:r>
      <w:r w:rsidR="006C1631">
        <w:t>collection of personal information during consultation and how we handle that information</w:t>
      </w:r>
      <w:r>
        <w:t>.</w:t>
      </w:r>
    </w:p>
    <w:bookmarkEnd w:id="87"/>
    <w:bookmarkEnd w:id="88"/>
    <w:bookmarkEnd w:id="89"/>
    <w:p w14:paraId="2FBFB5FD" w14:textId="77777777" w:rsidR="00A4193E" w:rsidRPr="0041233F" w:rsidRDefault="006C1631" w:rsidP="005B2F0D">
      <w:pPr>
        <w:pStyle w:val="Paragraph"/>
      </w:pPr>
      <w:r>
        <w:t xml:space="preserve">Information on the </w:t>
      </w:r>
      <w:r>
        <w:rPr>
          <w:i/>
        </w:rPr>
        <w:t>Privacy Act 1988</w:t>
      </w:r>
      <w:r w:rsidR="006A4CCA">
        <w:rPr>
          <w:i/>
        </w:rPr>
        <w:t xml:space="preserve">, </w:t>
      </w:r>
      <w:r>
        <w:t>how to access or correct personal information, how to make a privacy complaint and how we will deal with the complaint</w:t>
      </w:r>
      <w:r w:rsidR="00BB6335">
        <w:t>,</w:t>
      </w:r>
      <w:r w:rsidR="00CF0BFE">
        <w:t xml:space="preserve"> </w:t>
      </w:r>
      <w:r>
        <w:t xml:space="preserve">is available </w:t>
      </w:r>
      <w:r w:rsidR="00E21056">
        <w:t xml:space="preserve">in our </w:t>
      </w:r>
      <w:hyperlink r:id="rId43" w:history="1">
        <w:r w:rsidR="00E21056" w:rsidRPr="00E21056">
          <w:rPr>
            <w:rStyle w:val="Hyperlink"/>
          </w:rPr>
          <w:t>privacy policy</w:t>
        </w:r>
      </w:hyperlink>
      <w:r>
        <w:t>.</w:t>
      </w:r>
      <w:r w:rsidR="00A4193E">
        <w:t xml:space="preserve"> </w:t>
      </w:r>
    </w:p>
    <w:p w14:paraId="051B8D99" w14:textId="7EB7A222" w:rsidR="00A71886" w:rsidRDefault="00A71886" w:rsidP="008376A5">
      <w:pPr>
        <w:pStyle w:val="Heading1"/>
      </w:pPr>
      <w:bookmarkStart w:id="90" w:name="_Toc40175662"/>
      <w:r>
        <w:lastRenderedPageBreak/>
        <w:t xml:space="preserve">Appendix </w:t>
      </w:r>
      <w:r w:rsidR="00DB5501">
        <w:t>A</w:t>
      </w:r>
      <w:r w:rsidR="008376A5">
        <w:t>—</w:t>
      </w:r>
      <w:r>
        <w:t xml:space="preserve">Spectrum </w:t>
      </w:r>
      <w:r w:rsidR="00DA3182">
        <w:t>re</w:t>
      </w:r>
      <w:r w:rsidR="00DA3182">
        <w:noBreakHyphen/>
        <w:t>allocation</w:t>
      </w:r>
      <w:r>
        <w:t xml:space="preserve"> process</w:t>
      </w:r>
      <w:bookmarkEnd w:id="90"/>
    </w:p>
    <w:p w14:paraId="52A6CA75" w14:textId="3AFD9B22" w:rsidR="00125FF9" w:rsidRDefault="00125FF9" w:rsidP="00DE7553">
      <w:r>
        <w:t xml:space="preserve">The ACMA proposes to follow the </w:t>
      </w:r>
      <w:r w:rsidR="00DA3182">
        <w:t>re</w:t>
      </w:r>
      <w:r w:rsidR="00DA3182">
        <w:noBreakHyphen/>
        <w:t>allocation</w:t>
      </w:r>
      <w:r>
        <w:t xml:space="preserve"> process for the allocation of spectrum in the 850/900 MHz band. This includes </w:t>
      </w:r>
      <w:r w:rsidRPr="00A1559C">
        <w:t xml:space="preserve">making encumbered spectrum available for </w:t>
      </w:r>
      <w:r w:rsidR="00DA3182">
        <w:t>re</w:t>
      </w:r>
      <w:r w:rsidR="00DA3182">
        <w:noBreakHyphen/>
        <w:t>allocation</w:t>
      </w:r>
      <w:r>
        <w:t xml:space="preserve"> as </w:t>
      </w:r>
      <w:r w:rsidRPr="00A1559C">
        <w:t xml:space="preserve">set out in Part 3.6 of </w:t>
      </w:r>
      <w:r w:rsidR="00D33D1A">
        <w:t>the Act</w:t>
      </w:r>
      <w:r w:rsidRPr="00A1559C">
        <w:t xml:space="preserve"> and allocat</w:t>
      </w:r>
      <w:r>
        <w:t xml:space="preserve">ing </w:t>
      </w:r>
      <w:r w:rsidRPr="00A1559C">
        <w:t xml:space="preserve">spectrum licences </w:t>
      </w:r>
      <w:r>
        <w:t xml:space="preserve">as </w:t>
      </w:r>
      <w:r w:rsidRPr="00A1559C">
        <w:t xml:space="preserve">set out in section 60 of </w:t>
      </w:r>
      <w:r w:rsidR="00D33D1A">
        <w:t>the Act</w:t>
      </w:r>
      <w:r>
        <w:t>.</w:t>
      </w:r>
    </w:p>
    <w:p w14:paraId="6C8F905A" w14:textId="11ECCD17" w:rsidR="00DE7553" w:rsidRPr="006F741C" w:rsidRDefault="00DE7553" w:rsidP="00DE7553">
      <w:pPr>
        <w:pStyle w:val="Heading2"/>
        <w:spacing w:line="276" w:lineRule="auto"/>
      </w:pPr>
      <w:bookmarkStart w:id="91" w:name="_Toc408494381"/>
      <w:bookmarkStart w:id="92" w:name="_Toc408846623"/>
      <w:bookmarkStart w:id="93" w:name="_Toc409015493"/>
      <w:bookmarkStart w:id="94" w:name="_Toc409528657"/>
      <w:bookmarkStart w:id="95" w:name="_Toc409016986"/>
      <w:bookmarkStart w:id="96" w:name="_Toc496277349"/>
      <w:bookmarkStart w:id="97" w:name="_Toc496277748"/>
      <w:bookmarkStart w:id="98" w:name="_Toc496527259"/>
      <w:bookmarkStart w:id="99" w:name="_Toc496527434"/>
      <w:bookmarkStart w:id="100" w:name="_Toc8207151"/>
      <w:bookmarkStart w:id="101" w:name="_Toc40175663"/>
      <w:r w:rsidRPr="002301F0">
        <w:t xml:space="preserve">Main steps in the </w:t>
      </w:r>
      <w:r w:rsidR="00DA3182">
        <w:t>re</w:t>
      </w:r>
      <w:r w:rsidR="00DA3182">
        <w:noBreakHyphen/>
        <w:t>allocation</w:t>
      </w:r>
      <w:r w:rsidRPr="002301F0">
        <w:t xml:space="preserve"> process</w:t>
      </w:r>
      <w:bookmarkEnd w:id="91"/>
      <w:bookmarkEnd w:id="92"/>
      <w:bookmarkEnd w:id="93"/>
      <w:bookmarkEnd w:id="94"/>
      <w:bookmarkEnd w:id="95"/>
      <w:bookmarkEnd w:id="96"/>
      <w:bookmarkEnd w:id="97"/>
      <w:bookmarkEnd w:id="98"/>
      <w:bookmarkEnd w:id="99"/>
      <w:bookmarkEnd w:id="100"/>
      <w:bookmarkEnd w:id="101"/>
    </w:p>
    <w:p w14:paraId="32559DDA" w14:textId="7962263A" w:rsidR="00C330D6" w:rsidRDefault="00C330D6" w:rsidP="00DE7553">
      <w:r w:rsidRPr="00177B4E">
        <w:t xml:space="preserve">The main steps in the </w:t>
      </w:r>
      <w:r w:rsidR="00DA3182">
        <w:t>re</w:t>
      </w:r>
      <w:r w:rsidR="00DA3182">
        <w:noBreakHyphen/>
        <w:t>allocation</w:t>
      </w:r>
      <w:r w:rsidRPr="00177B4E">
        <w:t xml:space="preserve"> process </w:t>
      </w:r>
      <w:proofErr w:type="gramStart"/>
      <w:r w:rsidRPr="00177B4E">
        <w:t>are</w:t>
      </w:r>
      <w:proofErr w:type="gramEnd"/>
      <w:r w:rsidRPr="00177B4E">
        <w:t xml:space="preserve"> </w:t>
      </w:r>
      <w:r w:rsidR="00E5506A">
        <w:t>shown</w:t>
      </w:r>
      <w:r w:rsidRPr="00177B4E">
        <w:t xml:space="preserve"> in Figure 9. </w:t>
      </w:r>
      <w:r>
        <w:t xml:space="preserve"> </w:t>
      </w:r>
    </w:p>
    <w:p w14:paraId="51980735" w14:textId="47487E97" w:rsidR="00DE7553" w:rsidRDefault="00DE7553" w:rsidP="001318ED">
      <w:pPr>
        <w:pStyle w:val="ACMAFigureHeader"/>
      </w:pPr>
      <w:bookmarkStart w:id="102" w:name="_Ref31719378"/>
      <w:r w:rsidRPr="002A01B8">
        <w:t xml:space="preserve">The </w:t>
      </w:r>
      <w:r w:rsidR="00DA3182">
        <w:t>re</w:t>
      </w:r>
      <w:r w:rsidR="00DA3182">
        <w:noBreakHyphen/>
        <w:t>allocation</w:t>
      </w:r>
      <w:r w:rsidRPr="002A01B8">
        <w:t xml:space="preserve"> process</w:t>
      </w:r>
      <w:bookmarkStart w:id="103" w:name="_Hlk6492924"/>
      <w:bookmarkEnd w:id="102"/>
    </w:p>
    <w:p w14:paraId="34B56490" w14:textId="2DF115F5" w:rsidR="000C514F" w:rsidRPr="00F50E63" w:rsidRDefault="000C514F" w:rsidP="00DE7553">
      <w:pPr>
        <w:pStyle w:val="ACMASpaceaftertable"/>
      </w:pPr>
      <w:r>
        <w:rPr>
          <w:noProof/>
        </w:rPr>
        <w:drawing>
          <wp:inline distT="0" distB="0" distL="0" distR="0" wp14:anchorId="14E418BF" wp14:editId="4F99219C">
            <wp:extent cx="4871085" cy="2841625"/>
            <wp:effectExtent l="0" t="19050" r="24765" b="34925"/>
            <wp:docPr id="9" name="Diagram 9" descr="The re allocation process pictured as a series of steps"/>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4" r:lo="rId45" r:qs="rId46" r:cs="rId47"/>
              </a:graphicData>
            </a:graphic>
          </wp:inline>
        </w:drawing>
      </w:r>
    </w:p>
    <w:p w14:paraId="50595FD5" w14:textId="54CC17C0" w:rsidR="00DE7553" w:rsidRPr="00815498" w:rsidRDefault="00DE7553" w:rsidP="00DE7553">
      <w:pPr>
        <w:pStyle w:val="BodySubHeader"/>
        <w:rPr>
          <w:rStyle w:val="Strong"/>
          <w:b/>
        </w:rPr>
      </w:pPr>
      <w:bookmarkStart w:id="104" w:name="_Toc496277350"/>
      <w:bookmarkStart w:id="105" w:name="_Toc496277749"/>
      <w:bookmarkStart w:id="106" w:name="_Toc496527260"/>
      <w:bookmarkStart w:id="107" w:name="_Toc496527435"/>
      <w:bookmarkEnd w:id="103"/>
      <w:r w:rsidRPr="00394D59">
        <w:t>Step 1</w:t>
      </w:r>
      <w:r w:rsidR="00535B80">
        <w:t>: D</w:t>
      </w:r>
      <w:r w:rsidRPr="00394D59">
        <w:t>raft recommendation and invitation to comment</w:t>
      </w:r>
      <w:bookmarkEnd w:id="104"/>
      <w:bookmarkEnd w:id="105"/>
      <w:bookmarkEnd w:id="106"/>
      <w:bookmarkEnd w:id="107"/>
      <w:r w:rsidRPr="00394D59">
        <w:t xml:space="preserve"> </w:t>
      </w:r>
    </w:p>
    <w:p w14:paraId="0FBE5795" w14:textId="4AD3B4D4" w:rsidR="00DE7553" w:rsidRPr="006F741C" w:rsidRDefault="00CA1378" w:rsidP="00DE7553">
      <w:r>
        <w:t>The</w:t>
      </w:r>
      <w:r w:rsidR="00DE7553" w:rsidRPr="002301F0">
        <w:t xml:space="preserve"> first step in the spectrum </w:t>
      </w:r>
      <w:r w:rsidR="00DA3182">
        <w:t>re</w:t>
      </w:r>
      <w:r w:rsidR="00DA3182">
        <w:noBreakHyphen/>
        <w:t>allocation</w:t>
      </w:r>
      <w:r w:rsidR="00DE7553" w:rsidRPr="002301F0">
        <w:t xml:space="preserve"> process is for the ACMA to prepare a draft recommendation in accordance with section 153F</w:t>
      </w:r>
      <w:r w:rsidR="00DE7553">
        <w:t xml:space="preserve"> of </w:t>
      </w:r>
      <w:r w:rsidR="00D33D1A">
        <w:t>the Act</w:t>
      </w:r>
      <w:r w:rsidR="00DE7553" w:rsidRPr="002301F0">
        <w:t xml:space="preserve">, setting out the spectrum that </w:t>
      </w:r>
      <w:r>
        <w:t>we</w:t>
      </w:r>
      <w:r w:rsidR="00DE7553" w:rsidRPr="002301F0">
        <w:t xml:space="preserve"> believe should be re</w:t>
      </w:r>
      <w:r w:rsidR="00C5061F">
        <w:t>-</w:t>
      </w:r>
      <w:r w:rsidR="00DE7553" w:rsidRPr="002301F0">
        <w:t>allocated</w:t>
      </w:r>
      <w:r w:rsidR="00DE7553">
        <w:t xml:space="preserve">. </w:t>
      </w:r>
      <w:r>
        <w:t>We</w:t>
      </w:r>
      <w:r w:rsidR="00DE7553" w:rsidRPr="002301F0">
        <w:t xml:space="preserve"> must identify the spectrum and suggest a </w:t>
      </w:r>
      <w:r w:rsidR="00DA3182">
        <w:t>re</w:t>
      </w:r>
      <w:r w:rsidR="00DA3182">
        <w:noBreakHyphen/>
        <w:t>allocation</w:t>
      </w:r>
      <w:r w:rsidR="00DE7553" w:rsidRPr="002301F0">
        <w:t xml:space="preserve"> period</w:t>
      </w:r>
      <w:r w:rsidR="00DE7553" w:rsidRPr="006F741C">
        <w:t xml:space="preserve"> within which the </w:t>
      </w:r>
      <w:r w:rsidR="00DA3182">
        <w:t>re</w:t>
      </w:r>
      <w:r w:rsidR="00DA3182">
        <w:noBreakHyphen/>
        <w:t>allocation</w:t>
      </w:r>
      <w:r w:rsidR="00DE7553" w:rsidRPr="002301F0">
        <w:t xml:space="preserve"> process is to be completed. </w:t>
      </w:r>
      <w:r w:rsidR="006978B7">
        <w:t>We</w:t>
      </w:r>
      <w:r w:rsidR="006978B7" w:rsidRPr="002301F0">
        <w:t xml:space="preserve"> </w:t>
      </w:r>
      <w:r w:rsidR="00DE7553" w:rsidRPr="002301F0">
        <w:t>may also specify other</w:t>
      </w:r>
      <w:r w:rsidR="00DE7553">
        <w:t xml:space="preserve"> relevant</w:t>
      </w:r>
      <w:r w:rsidR="00DE7553" w:rsidRPr="002301F0">
        <w:t xml:space="preserve"> items that </w:t>
      </w:r>
      <w:r>
        <w:t>we</w:t>
      </w:r>
      <w:r w:rsidR="00DE7553" w:rsidRPr="002301F0">
        <w:t xml:space="preserve"> choose to include. </w:t>
      </w:r>
    </w:p>
    <w:p w14:paraId="1432A382" w14:textId="7172030C" w:rsidR="00DE7553" w:rsidRDefault="00DE7553" w:rsidP="00DE7553">
      <w:r>
        <w:t xml:space="preserve">In accordance with section 153G of </w:t>
      </w:r>
      <w:r w:rsidR="00D33D1A">
        <w:t>the Act</w:t>
      </w:r>
      <w:r>
        <w:t xml:space="preserve">, </w:t>
      </w:r>
      <w:r w:rsidR="00777BAF">
        <w:t>we</w:t>
      </w:r>
      <w:r w:rsidRPr="002301F0">
        <w:t xml:space="preserve"> must undertake a consultation process with </w:t>
      </w:r>
      <w:r w:rsidR="00CA1378">
        <w:t>potentially affected</w:t>
      </w:r>
      <w:r>
        <w:t xml:space="preserve"> apparatus licensees. </w:t>
      </w:r>
      <w:r w:rsidRPr="002301F0">
        <w:t xml:space="preserve">The licensees must be provided with a </w:t>
      </w:r>
      <w:r>
        <w:t xml:space="preserve">notice setting out the terms of a </w:t>
      </w:r>
      <w:r w:rsidRPr="002301F0">
        <w:t xml:space="preserve">draft of the recommendation and invited to comment on </w:t>
      </w:r>
      <w:r>
        <w:t>those terms</w:t>
      </w:r>
      <w:r w:rsidRPr="002301F0">
        <w:t xml:space="preserve">. </w:t>
      </w:r>
      <w:r>
        <w:t>In addition</w:t>
      </w:r>
      <w:r w:rsidRPr="002301F0">
        <w:t xml:space="preserve">, </w:t>
      </w:r>
      <w:r w:rsidR="00CA1378">
        <w:t>we would</w:t>
      </w:r>
      <w:r w:rsidRPr="002301F0">
        <w:t xml:space="preserve"> </w:t>
      </w:r>
      <w:r>
        <w:t xml:space="preserve">also </w:t>
      </w:r>
      <w:r w:rsidRPr="002301F0">
        <w:t>undertak</w:t>
      </w:r>
      <w:r>
        <w:t xml:space="preserve">e </w:t>
      </w:r>
      <w:r w:rsidRPr="002301F0">
        <w:t>wide</w:t>
      </w:r>
      <w:r>
        <w:t>r</w:t>
      </w:r>
      <w:r w:rsidRPr="002301F0">
        <w:t xml:space="preserve"> consultation</w:t>
      </w:r>
      <w:r>
        <w:t xml:space="preserve"> so that </w:t>
      </w:r>
      <w:r w:rsidRPr="002301F0">
        <w:t xml:space="preserve">all </w:t>
      </w:r>
      <w:r>
        <w:t>interested parties</w:t>
      </w:r>
      <w:r w:rsidRPr="002301F0">
        <w:t xml:space="preserve"> are able to comment on the draft recommendation. The consultation period will last for at least 28 days.</w:t>
      </w:r>
    </w:p>
    <w:p w14:paraId="75B7646D" w14:textId="75205F35" w:rsidR="00DE7553" w:rsidRPr="00BB53BC" w:rsidRDefault="00DE7553" w:rsidP="00DE7553">
      <w:pPr>
        <w:pStyle w:val="BodySubHeader"/>
      </w:pPr>
      <w:bookmarkStart w:id="108" w:name="_Toc496277351"/>
      <w:bookmarkStart w:id="109" w:name="_Toc496277750"/>
      <w:bookmarkStart w:id="110" w:name="_Toc496527261"/>
      <w:bookmarkStart w:id="111" w:name="_Toc496527436"/>
      <w:r w:rsidRPr="00BB53BC">
        <w:t>Step 2</w:t>
      </w:r>
      <w:r w:rsidR="00535B80">
        <w:t>: F</w:t>
      </w:r>
      <w:r w:rsidRPr="00BB53BC">
        <w:t xml:space="preserve">inal recommendation to the </w:t>
      </w:r>
      <w:bookmarkEnd w:id="108"/>
      <w:bookmarkEnd w:id="109"/>
      <w:bookmarkEnd w:id="110"/>
      <w:bookmarkEnd w:id="111"/>
      <w:r w:rsidR="008653F9">
        <w:t>Minister</w:t>
      </w:r>
    </w:p>
    <w:p w14:paraId="3B884323" w14:textId="1C8048C1" w:rsidR="00DE7553" w:rsidRDefault="00DE7553" w:rsidP="00DE7553">
      <w:r w:rsidRPr="002301F0">
        <w:t xml:space="preserve">After consulting on the draft recommendation, </w:t>
      </w:r>
      <w:r w:rsidR="00777BAF">
        <w:t>we</w:t>
      </w:r>
      <w:r w:rsidRPr="002301F0">
        <w:t xml:space="preserve"> </w:t>
      </w:r>
      <w:r>
        <w:t>may</w:t>
      </w:r>
      <w:r w:rsidRPr="002301F0">
        <w:t xml:space="preserve"> prepare a final recommendation under section 153F </w:t>
      </w:r>
      <w:r>
        <w:t xml:space="preserve">of </w:t>
      </w:r>
      <w:r w:rsidR="00D33D1A">
        <w:t>the Act</w:t>
      </w:r>
      <w:r>
        <w:t xml:space="preserve"> and provide it to</w:t>
      </w:r>
      <w:r w:rsidRPr="002301F0">
        <w:t xml:space="preserve"> the </w:t>
      </w:r>
      <w:r w:rsidR="008653F9">
        <w:t>Minister</w:t>
      </w:r>
      <w:r w:rsidRPr="002301F0">
        <w:t xml:space="preserve">. In preparing </w:t>
      </w:r>
      <w:r>
        <w:t>a</w:t>
      </w:r>
      <w:r w:rsidRPr="002301F0">
        <w:t xml:space="preserve"> final recommendation, </w:t>
      </w:r>
      <w:r w:rsidR="00CA1378">
        <w:t>we</w:t>
      </w:r>
      <w:r w:rsidRPr="002301F0">
        <w:t xml:space="preserve"> must </w:t>
      </w:r>
      <w:r>
        <w:t>have regard to the</w:t>
      </w:r>
      <w:r w:rsidRPr="002301F0">
        <w:t xml:space="preserve"> views received during the public consultation period. </w:t>
      </w:r>
    </w:p>
    <w:p w14:paraId="75846489" w14:textId="2225C6F9" w:rsidR="00DE7553" w:rsidRPr="00BB53BC" w:rsidRDefault="00DE7553" w:rsidP="00DE7553">
      <w:pPr>
        <w:pStyle w:val="BodySubHeader"/>
      </w:pPr>
      <w:bookmarkStart w:id="112" w:name="_Toc496277352"/>
      <w:bookmarkStart w:id="113" w:name="_Toc496277751"/>
      <w:bookmarkStart w:id="114" w:name="_Toc496527262"/>
      <w:bookmarkStart w:id="115" w:name="_Toc496527437"/>
      <w:r w:rsidRPr="00BB53BC">
        <w:lastRenderedPageBreak/>
        <w:t>Step 3</w:t>
      </w:r>
      <w:r w:rsidR="00535B80">
        <w:t>: S</w:t>
      </w:r>
      <w:r w:rsidRPr="00BB53BC">
        <w:t xml:space="preserve">pectrum </w:t>
      </w:r>
      <w:r w:rsidR="00DA3182">
        <w:t>re</w:t>
      </w:r>
      <w:r w:rsidR="00DA3182">
        <w:noBreakHyphen/>
        <w:t>allocation</w:t>
      </w:r>
      <w:r w:rsidRPr="00BB53BC">
        <w:t xml:space="preserve"> declaration</w:t>
      </w:r>
      <w:bookmarkEnd w:id="112"/>
      <w:bookmarkEnd w:id="113"/>
      <w:bookmarkEnd w:id="114"/>
      <w:bookmarkEnd w:id="115"/>
      <w:r w:rsidRPr="00BB53BC">
        <w:t xml:space="preserve"> </w:t>
      </w:r>
    </w:p>
    <w:p w14:paraId="5AE93438" w14:textId="7920AAF5" w:rsidR="00F46DE6" w:rsidRDefault="00DE7553" w:rsidP="00F46DE6">
      <w:pPr>
        <w:pStyle w:val="Paragraph"/>
      </w:pPr>
      <w:r w:rsidRPr="002301F0">
        <w:t xml:space="preserve">After the ACMA makes </w:t>
      </w:r>
      <w:r>
        <w:t>a</w:t>
      </w:r>
      <w:r w:rsidRPr="002301F0">
        <w:t xml:space="preserve"> final recommendation</w:t>
      </w:r>
      <w:r w:rsidRPr="00194C1F">
        <w:t>,</w:t>
      </w:r>
      <w:r w:rsidRPr="00D20121">
        <w:rPr>
          <w:b/>
        </w:rPr>
        <w:t xml:space="preserve"> </w:t>
      </w:r>
      <w:r w:rsidRPr="002301F0">
        <w:t xml:space="preserve">the </w:t>
      </w:r>
      <w:r w:rsidR="008653F9">
        <w:t>Minister</w:t>
      </w:r>
      <w:r>
        <w:t xml:space="preserve">, pursuant to section 153B of </w:t>
      </w:r>
      <w:r w:rsidR="00D33D1A">
        <w:t>the Act</w:t>
      </w:r>
      <w:r>
        <w:t>,</w:t>
      </w:r>
      <w:r w:rsidRPr="002301F0">
        <w:t xml:space="preserve"> will have the power to declare the frequency band </w:t>
      </w:r>
      <w:r>
        <w:t xml:space="preserve">or bands </w:t>
      </w:r>
      <w:r w:rsidRPr="002301F0">
        <w:t>and geographic area of the spectrum to be re</w:t>
      </w:r>
      <w:r w:rsidR="00C5061F">
        <w:t>-</w:t>
      </w:r>
      <w:r w:rsidRPr="002301F0">
        <w:t xml:space="preserve">allocated and the type of licences to be issued. In making </w:t>
      </w:r>
      <w:r>
        <w:t xml:space="preserve">a </w:t>
      </w:r>
      <w:r w:rsidR="00DA3182">
        <w:t>re</w:t>
      </w:r>
      <w:r w:rsidR="00DA3182">
        <w:noBreakHyphen/>
        <w:t>allocation</w:t>
      </w:r>
      <w:r w:rsidRPr="002301F0">
        <w:t xml:space="preserve"> declaration, the </w:t>
      </w:r>
      <w:r w:rsidR="008653F9">
        <w:t>Minister</w:t>
      </w:r>
      <w:r w:rsidRPr="002301F0">
        <w:t xml:space="preserve"> must have regard to </w:t>
      </w:r>
      <w:r w:rsidR="00F46DE6">
        <w:t xml:space="preserve">our </w:t>
      </w:r>
      <w:r w:rsidRPr="002301F0">
        <w:t xml:space="preserve">recommendation. The </w:t>
      </w:r>
      <w:r w:rsidR="008653F9">
        <w:t>Minister</w:t>
      </w:r>
      <w:r w:rsidRPr="002301F0">
        <w:t xml:space="preserve"> is only able to make a declaration within 180 days of receiving the recommendation from </w:t>
      </w:r>
      <w:r w:rsidR="00F46DE6">
        <w:t>us</w:t>
      </w:r>
      <w:r>
        <w:t xml:space="preserve">. </w:t>
      </w:r>
    </w:p>
    <w:p w14:paraId="7311DF44" w14:textId="59938A5D" w:rsidR="00DE7553" w:rsidRDefault="00DE7553" w:rsidP="0012550D">
      <w:pPr>
        <w:pStyle w:val="Paragraphbeforelist"/>
      </w:pPr>
      <w:r>
        <w:t xml:space="preserve">A </w:t>
      </w:r>
      <w:r w:rsidR="00DA3182">
        <w:t>re</w:t>
      </w:r>
      <w:r w:rsidR="00DA3182">
        <w:noBreakHyphen/>
        <w:t>allocation</w:t>
      </w:r>
      <w:r w:rsidRPr="00BB2FAA">
        <w:t xml:space="preserve"> declaration </w:t>
      </w:r>
      <w:r>
        <w:t>must</w:t>
      </w:r>
      <w:r w:rsidRPr="00BB2FAA">
        <w:t xml:space="preserve"> set out: </w:t>
      </w:r>
    </w:p>
    <w:p w14:paraId="0FAF2B84" w14:textId="26E4D9FD" w:rsidR="00DE7553" w:rsidRPr="00F46DE6" w:rsidRDefault="00DA3182" w:rsidP="0012550D">
      <w:pPr>
        <w:pStyle w:val="ListBullet"/>
      </w:pPr>
      <w:r>
        <w:t>re</w:t>
      </w:r>
      <w:r>
        <w:noBreakHyphen/>
        <w:t>allocation</w:t>
      </w:r>
      <w:r w:rsidR="00DE7553" w:rsidRPr="00BB2FAA">
        <w:t xml:space="preserve"> </w:t>
      </w:r>
      <w:r w:rsidR="00DE7553" w:rsidRPr="00F46DE6">
        <w:t>period</w:t>
      </w:r>
    </w:p>
    <w:p w14:paraId="4E252B83" w14:textId="64D29015" w:rsidR="00DE7553" w:rsidRPr="00777BAF" w:rsidRDefault="00DA3182" w:rsidP="0012550D">
      <w:pPr>
        <w:pStyle w:val="ListBullet"/>
      </w:pPr>
      <w:r>
        <w:t>re</w:t>
      </w:r>
      <w:r>
        <w:noBreakHyphen/>
        <w:t>allocation</w:t>
      </w:r>
      <w:r w:rsidR="00DE7553" w:rsidRPr="00777BAF">
        <w:t xml:space="preserve"> deadline</w:t>
      </w:r>
    </w:p>
    <w:p w14:paraId="03032227" w14:textId="70796342" w:rsidR="00DE7553" w:rsidRPr="00777BAF" w:rsidRDefault="00DE7553" w:rsidP="0012550D">
      <w:pPr>
        <w:pStyle w:val="ListBullet"/>
      </w:pPr>
      <w:r w:rsidRPr="00777BAF">
        <w:t>spectrum to be re</w:t>
      </w:r>
      <w:r w:rsidR="00C5061F">
        <w:t>-</w:t>
      </w:r>
      <w:r w:rsidRPr="00777BAF">
        <w:t>allocated</w:t>
      </w:r>
    </w:p>
    <w:p w14:paraId="2A41D250" w14:textId="7BE1CAEB" w:rsidR="00DE7553" w:rsidRPr="00F50E63" w:rsidRDefault="00DE7553" w:rsidP="0012550D">
      <w:pPr>
        <w:pStyle w:val="ListBulletLast"/>
      </w:pPr>
      <w:r w:rsidRPr="00F50E63">
        <w:t xml:space="preserve">whether </w:t>
      </w:r>
      <w:r w:rsidRPr="00F46DE6">
        <w:t>the</w:t>
      </w:r>
      <w:r>
        <w:t xml:space="preserve"> spectrum will be re</w:t>
      </w:r>
      <w:r w:rsidR="00C5061F">
        <w:t>-</w:t>
      </w:r>
      <w:r>
        <w:t xml:space="preserve">allocated by the issue of </w:t>
      </w:r>
      <w:r w:rsidRPr="00F50E63">
        <w:t xml:space="preserve">spectrum or apparatus licences. </w:t>
      </w:r>
    </w:p>
    <w:p w14:paraId="3A2E1DFB" w14:textId="318AB189" w:rsidR="00DE7553" w:rsidRDefault="00DE7553" w:rsidP="00DE7553">
      <w:pPr>
        <w:rPr>
          <w:rFonts w:cs="Arial"/>
          <w:szCs w:val="20"/>
        </w:rPr>
      </w:pPr>
      <w:r w:rsidRPr="006F741C">
        <w:rPr>
          <w:szCs w:val="20"/>
        </w:rPr>
        <w:t xml:space="preserve">The </w:t>
      </w:r>
      <w:r w:rsidR="008653F9">
        <w:rPr>
          <w:szCs w:val="20"/>
        </w:rPr>
        <w:t>Minister</w:t>
      </w:r>
      <w:r w:rsidRPr="006F741C">
        <w:rPr>
          <w:szCs w:val="20"/>
        </w:rPr>
        <w:t xml:space="preserve"> can only make a declaration about </w:t>
      </w:r>
      <w:r>
        <w:rPr>
          <w:szCs w:val="20"/>
        </w:rPr>
        <w:t xml:space="preserve">a part or parts of </w:t>
      </w:r>
      <w:r w:rsidRPr="006F741C">
        <w:rPr>
          <w:szCs w:val="20"/>
        </w:rPr>
        <w:t xml:space="preserve">spectrum that was </w:t>
      </w:r>
      <w:r>
        <w:rPr>
          <w:szCs w:val="20"/>
        </w:rPr>
        <w:t xml:space="preserve">or were </w:t>
      </w:r>
      <w:r w:rsidRPr="006F741C">
        <w:rPr>
          <w:szCs w:val="20"/>
        </w:rPr>
        <w:t xml:space="preserve">included in a </w:t>
      </w:r>
      <w:r w:rsidRPr="00D60043">
        <w:t>recommendation</w:t>
      </w:r>
      <w:r w:rsidRPr="006F741C">
        <w:rPr>
          <w:szCs w:val="20"/>
        </w:rPr>
        <w:t xml:space="preserve"> from the ACMA. </w:t>
      </w:r>
      <w:r w:rsidR="00B41E2C">
        <w:fldChar w:fldCharType="begin"/>
      </w:r>
      <w:r w:rsidR="00B41E2C">
        <w:instrText xml:space="preserve"> REF  _Ref31719392 \h \r </w:instrText>
      </w:r>
      <w:r w:rsidR="00B41E2C">
        <w:fldChar w:fldCharType="separate"/>
      </w:r>
      <w:r w:rsidR="00D4310C">
        <w:t>Figure 10</w:t>
      </w:r>
      <w:r w:rsidR="00B41E2C">
        <w:fldChar w:fldCharType="end"/>
      </w:r>
      <w:r w:rsidR="00B41E2C">
        <w:t xml:space="preserve"> </w:t>
      </w:r>
      <w:r w:rsidRPr="00FF3B1C">
        <w:rPr>
          <w:rFonts w:cs="Arial"/>
          <w:szCs w:val="20"/>
        </w:rPr>
        <w:t>shows</w:t>
      </w:r>
      <w:r w:rsidRPr="006F741C">
        <w:rPr>
          <w:rFonts w:cs="Arial"/>
          <w:szCs w:val="20"/>
        </w:rPr>
        <w:t xml:space="preserve"> how the </w:t>
      </w:r>
      <w:r w:rsidR="00DA3182">
        <w:rPr>
          <w:rFonts w:cs="Arial"/>
          <w:szCs w:val="20"/>
        </w:rPr>
        <w:t>re</w:t>
      </w:r>
      <w:r w:rsidR="00DA3182">
        <w:rPr>
          <w:rFonts w:cs="Arial"/>
          <w:szCs w:val="20"/>
        </w:rPr>
        <w:noBreakHyphen/>
        <w:t>allocation</w:t>
      </w:r>
      <w:r w:rsidRPr="006F741C">
        <w:rPr>
          <w:rFonts w:cs="Arial"/>
          <w:szCs w:val="20"/>
        </w:rPr>
        <w:t xml:space="preserve"> period and </w:t>
      </w:r>
      <w:r w:rsidR="00DA3182">
        <w:rPr>
          <w:rFonts w:cs="Arial"/>
          <w:szCs w:val="20"/>
        </w:rPr>
        <w:t>re</w:t>
      </w:r>
      <w:r w:rsidR="00DA3182">
        <w:rPr>
          <w:rFonts w:cs="Arial"/>
          <w:szCs w:val="20"/>
        </w:rPr>
        <w:noBreakHyphen/>
        <w:t>allocation</w:t>
      </w:r>
      <w:r w:rsidRPr="006F741C">
        <w:rPr>
          <w:rFonts w:cs="Arial"/>
          <w:szCs w:val="20"/>
        </w:rPr>
        <w:t xml:space="preserve"> deadline interact.</w:t>
      </w:r>
    </w:p>
    <w:p w14:paraId="16410BA4" w14:textId="42E9379B" w:rsidR="00DE7553" w:rsidRDefault="00DE7553" w:rsidP="0012550D">
      <w:pPr>
        <w:pStyle w:val="ACMAFigureHeader"/>
      </w:pPr>
      <w:bookmarkStart w:id="116" w:name="_Ref31719392"/>
      <w:r>
        <w:t>T</w:t>
      </w:r>
      <w:r w:rsidRPr="002301F0">
        <w:t xml:space="preserve">he </w:t>
      </w:r>
      <w:r w:rsidR="00DA3182">
        <w:t>re</w:t>
      </w:r>
      <w:r w:rsidR="00DA3182">
        <w:noBreakHyphen/>
        <w:t>allocation</w:t>
      </w:r>
      <w:r w:rsidRPr="006F741C">
        <w:t xml:space="preserve"> </w:t>
      </w:r>
      <w:r>
        <w:t>p</w:t>
      </w:r>
      <w:r w:rsidRPr="006F741C">
        <w:t xml:space="preserve">eriod and </w:t>
      </w:r>
      <w:r>
        <w:t>d</w:t>
      </w:r>
      <w:r w:rsidRPr="006F741C">
        <w:t>eadline</w:t>
      </w:r>
      <w:bookmarkEnd w:id="116"/>
      <w:r w:rsidRPr="006F741C">
        <w:t xml:space="preserve"> </w:t>
      </w:r>
      <w:r>
        <w:br/>
      </w:r>
    </w:p>
    <w:p w14:paraId="586843CE" w14:textId="77777777" w:rsidR="00DE7553" w:rsidRDefault="00DE7553" w:rsidP="00DE7553">
      <w:pPr>
        <w:spacing w:after="0"/>
      </w:pPr>
      <w:r>
        <w:rPr>
          <w:noProof/>
        </w:rPr>
        <w:drawing>
          <wp:inline distT="0" distB="0" distL="0" distR="0" wp14:anchorId="46FCF4FA" wp14:editId="210627E3">
            <wp:extent cx="4811151" cy="1828800"/>
            <wp:effectExtent l="0" t="0" r="8890" b="0"/>
            <wp:docPr id="7" name="Picture 7" descr="The reallocation period and deadline"/>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49">
                      <a:extLst>
                        <a:ext uri="{28A0092B-C50C-407E-A947-70E740481C1C}">
                          <a14:useLocalDpi xmlns:a14="http://schemas.microsoft.com/office/drawing/2010/main" val="0"/>
                        </a:ext>
                      </a:extLst>
                    </a:blip>
                    <a:stretch>
                      <a:fillRect/>
                    </a:stretch>
                  </pic:blipFill>
                  <pic:spPr>
                    <a:xfrm>
                      <a:off x="0" y="0"/>
                      <a:ext cx="4865348" cy="1849401"/>
                    </a:xfrm>
                    <a:prstGeom prst="rect">
                      <a:avLst/>
                    </a:prstGeom>
                  </pic:spPr>
                </pic:pic>
              </a:graphicData>
            </a:graphic>
          </wp:inline>
        </w:drawing>
      </w:r>
    </w:p>
    <w:p w14:paraId="32FE1CA4" w14:textId="77777777" w:rsidR="00DE7553" w:rsidRDefault="00DE7553" w:rsidP="00DE7553">
      <w:pPr>
        <w:spacing w:after="0"/>
      </w:pPr>
    </w:p>
    <w:p w14:paraId="599D7B25" w14:textId="435ED8B5" w:rsidR="00DE7553" w:rsidRPr="006F741C" w:rsidRDefault="00DE7553" w:rsidP="00DE7553">
      <w:r>
        <w:t>T</w:t>
      </w:r>
      <w:r w:rsidRPr="002301F0">
        <w:t xml:space="preserve">he </w:t>
      </w:r>
      <w:r w:rsidR="00DA3182">
        <w:t>re</w:t>
      </w:r>
      <w:r w:rsidR="00DA3182">
        <w:noBreakHyphen/>
        <w:t>allocation</w:t>
      </w:r>
      <w:r w:rsidRPr="002301F0">
        <w:t xml:space="preserve"> period</w:t>
      </w:r>
      <w:r w:rsidRPr="006F741C">
        <w:t xml:space="preserve"> is the period </w:t>
      </w:r>
      <w:r>
        <w:t xml:space="preserve">at the end of which </w:t>
      </w:r>
      <w:r w:rsidRPr="006F741C">
        <w:t xml:space="preserve">incumbent apparatus licences </w:t>
      </w:r>
      <w:r>
        <w:t>are cancelled, leaving</w:t>
      </w:r>
      <w:r w:rsidRPr="006F741C">
        <w:t xml:space="preserve"> </w:t>
      </w:r>
      <w:r w:rsidRPr="002301F0">
        <w:t>the spectrum available for use by new licensees</w:t>
      </w:r>
      <w:r>
        <w:t>.</w:t>
      </w:r>
      <w:r w:rsidRPr="002301F0">
        <w:t xml:space="preserve"> The </w:t>
      </w:r>
      <w:r w:rsidR="00DA3182">
        <w:t>re</w:t>
      </w:r>
      <w:r w:rsidR="00DA3182">
        <w:noBreakHyphen/>
        <w:t>allocation</w:t>
      </w:r>
      <w:r w:rsidRPr="002301F0">
        <w:t xml:space="preserve"> period must begin within 28 days of the </w:t>
      </w:r>
      <w:r w:rsidR="00DA3182">
        <w:t>re</w:t>
      </w:r>
      <w:r w:rsidR="00DA3182">
        <w:noBreakHyphen/>
        <w:t>allocation</w:t>
      </w:r>
      <w:r w:rsidRPr="002301F0">
        <w:t xml:space="preserve"> declaration being made by the </w:t>
      </w:r>
      <w:r w:rsidR="008653F9">
        <w:t>Minister</w:t>
      </w:r>
      <w:r w:rsidRPr="002301F0">
        <w:t xml:space="preserve"> and must run for at least two years</w:t>
      </w:r>
      <w:r>
        <w:t xml:space="preserve">. </w:t>
      </w:r>
    </w:p>
    <w:p w14:paraId="098A23CB" w14:textId="6B61A45E" w:rsidR="00DE7553" w:rsidRDefault="00DE7553" w:rsidP="00DE7553">
      <w:r>
        <w:t>In accordance with subsection</w:t>
      </w:r>
      <w:r w:rsidRPr="00BB2FAA">
        <w:t xml:space="preserve"> 153</w:t>
      </w:r>
      <w:proofErr w:type="gramStart"/>
      <w:r w:rsidRPr="00BB2FAA">
        <w:t>B(</w:t>
      </w:r>
      <w:proofErr w:type="gramEnd"/>
      <w:r w:rsidRPr="00BB2FAA">
        <w:t xml:space="preserve">5) </w:t>
      </w:r>
      <w:r>
        <w:t xml:space="preserve">of </w:t>
      </w:r>
      <w:r w:rsidR="00D33D1A">
        <w:t>the Act</w:t>
      </w:r>
      <w:r>
        <w:t>, t</w:t>
      </w:r>
      <w:r w:rsidRPr="002301F0">
        <w:t xml:space="preserve">he </w:t>
      </w:r>
      <w:r w:rsidR="00DA3182">
        <w:t>re</w:t>
      </w:r>
      <w:r w:rsidR="00DA3182">
        <w:noBreakHyphen/>
        <w:t>allocation</w:t>
      </w:r>
      <w:r w:rsidRPr="002301F0">
        <w:t xml:space="preserve"> deadline</w:t>
      </w:r>
      <w:r>
        <w:t xml:space="preserve"> </w:t>
      </w:r>
      <w:r w:rsidRPr="006F741C">
        <w:t xml:space="preserve">must be at least 12 months before the end of the </w:t>
      </w:r>
      <w:r w:rsidR="00DA3182">
        <w:t>re</w:t>
      </w:r>
      <w:r w:rsidR="00DA3182">
        <w:noBreakHyphen/>
        <w:t>allocation</w:t>
      </w:r>
      <w:r w:rsidRPr="002301F0">
        <w:t xml:space="preserve"> period</w:t>
      </w:r>
      <w:r>
        <w:t xml:space="preserve">. </w:t>
      </w:r>
      <w:r w:rsidRPr="002301F0">
        <w:t xml:space="preserve">The </w:t>
      </w:r>
      <w:r w:rsidR="00DA3182">
        <w:t>re</w:t>
      </w:r>
      <w:r w:rsidR="00DA3182">
        <w:noBreakHyphen/>
        <w:t>allocation</w:t>
      </w:r>
      <w:r w:rsidRPr="002301F0">
        <w:t xml:space="preserve"> deadline is significant because if the ACMA does not </w:t>
      </w:r>
      <w:r>
        <w:t>allocate</w:t>
      </w:r>
      <w:r w:rsidRPr="002301F0">
        <w:t xml:space="preserve"> at least one licence before th</w:t>
      </w:r>
      <w:r>
        <w:t>is</w:t>
      </w:r>
      <w:r w:rsidRPr="002301F0">
        <w:t xml:space="preserve"> deadline, the </w:t>
      </w:r>
      <w:r w:rsidR="00DA3182">
        <w:t>re</w:t>
      </w:r>
      <w:r w:rsidR="00DA3182">
        <w:noBreakHyphen/>
        <w:t>allocation</w:t>
      </w:r>
      <w:r>
        <w:t xml:space="preserve"> </w:t>
      </w:r>
      <w:r w:rsidRPr="002301F0">
        <w:t xml:space="preserve">declaration </w:t>
      </w:r>
      <w:r>
        <w:t>is automatically</w:t>
      </w:r>
      <w:r w:rsidRPr="002301F0">
        <w:t xml:space="preserve"> revoked</w:t>
      </w:r>
      <w:r>
        <w:t xml:space="preserve">. </w:t>
      </w:r>
    </w:p>
    <w:p w14:paraId="138BE510" w14:textId="2A3D6B9A" w:rsidR="00DE7553" w:rsidRPr="00C0100E" w:rsidRDefault="00DE7553" w:rsidP="00DE7553">
      <w:pPr>
        <w:pStyle w:val="BodySubHeader"/>
        <w:keepNext/>
      </w:pPr>
      <w:bookmarkStart w:id="117" w:name="_Toc496277353"/>
      <w:bookmarkStart w:id="118" w:name="_Toc496277752"/>
      <w:bookmarkStart w:id="119" w:name="_Toc496527263"/>
      <w:bookmarkStart w:id="120" w:name="_Toc496527438"/>
      <w:r w:rsidRPr="00BB53BC">
        <w:t>Step 4</w:t>
      </w:r>
      <w:r w:rsidR="00535B80">
        <w:t>: D</w:t>
      </w:r>
      <w:r w:rsidRPr="00BB53BC">
        <w:t>raft allocation instruments</w:t>
      </w:r>
      <w:bookmarkEnd w:id="117"/>
      <w:bookmarkEnd w:id="118"/>
      <w:bookmarkEnd w:id="119"/>
      <w:bookmarkEnd w:id="120"/>
      <w:r w:rsidRPr="00BB53BC">
        <w:t xml:space="preserve"> </w:t>
      </w:r>
    </w:p>
    <w:p w14:paraId="78DF40C5" w14:textId="394F6353" w:rsidR="00DE7553" w:rsidRPr="006F741C" w:rsidRDefault="00777BAF" w:rsidP="00DE7553">
      <w:pPr>
        <w:rPr>
          <w:rFonts w:cs="Arial"/>
        </w:rPr>
      </w:pPr>
      <w:r>
        <w:rPr>
          <w:rFonts w:cs="Arial"/>
        </w:rPr>
        <w:t>We</w:t>
      </w:r>
      <w:r w:rsidR="00DE7553" w:rsidRPr="002301F0">
        <w:rPr>
          <w:rFonts w:cs="Arial"/>
        </w:rPr>
        <w:t xml:space="preserve"> must make </w:t>
      </w:r>
      <w:proofErr w:type="gramStart"/>
      <w:r w:rsidR="00DE7553" w:rsidRPr="002301F0">
        <w:rPr>
          <w:rFonts w:cs="Arial"/>
        </w:rPr>
        <w:t>a number of</w:t>
      </w:r>
      <w:proofErr w:type="gramEnd"/>
      <w:r w:rsidR="00DE7553" w:rsidRPr="002301F0">
        <w:rPr>
          <w:rFonts w:cs="Arial"/>
        </w:rPr>
        <w:t xml:space="preserve"> instruments in order to conduct </w:t>
      </w:r>
      <w:r w:rsidR="00DE7553">
        <w:rPr>
          <w:rFonts w:cs="Arial"/>
        </w:rPr>
        <w:t>an</w:t>
      </w:r>
      <w:r w:rsidR="00DE7553" w:rsidRPr="002301F0">
        <w:rPr>
          <w:rFonts w:cs="Arial"/>
        </w:rPr>
        <w:t xml:space="preserve"> </w:t>
      </w:r>
      <w:r w:rsidR="00DE7553">
        <w:rPr>
          <w:rFonts w:cs="Arial"/>
        </w:rPr>
        <w:t>allocation</w:t>
      </w:r>
      <w:r w:rsidR="00DE7553" w:rsidRPr="002301F0">
        <w:rPr>
          <w:rFonts w:cs="Arial"/>
        </w:rPr>
        <w:t xml:space="preserve"> of </w:t>
      </w:r>
      <w:r w:rsidR="00DE7553">
        <w:rPr>
          <w:rFonts w:cs="Arial"/>
        </w:rPr>
        <w:t>spectrum</w:t>
      </w:r>
      <w:r w:rsidR="00DE7553" w:rsidRPr="002301F0">
        <w:rPr>
          <w:rFonts w:cs="Arial"/>
        </w:rPr>
        <w:t>. These include a marketing plan under section 39A</w:t>
      </w:r>
      <w:r w:rsidR="00DE7553">
        <w:rPr>
          <w:rFonts w:cs="Arial"/>
        </w:rPr>
        <w:t xml:space="preserve"> of </w:t>
      </w:r>
      <w:r w:rsidR="00D33D1A">
        <w:rPr>
          <w:rFonts w:cs="Arial"/>
        </w:rPr>
        <w:t>the Act</w:t>
      </w:r>
      <w:r w:rsidR="00DE7553">
        <w:rPr>
          <w:rFonts w:cs="Arial"/>
        </w:rPr>
        <w:t xml:space="preserve"> and </w:t>
      </w:r>
      <w:r w:rsidR="00DE7553" w:rsidRPr="002301F0">
        <w:rPr>
          <w:rFonts w:cs="Arial"/>
        </w:rPr>
        <w:t xml:space="preserve">an allocation procedures </w:t>
      </w:r>
      <w:r w:rsidR="00DE7553">
        <w:rPr>
          <w:rFonts w:cs="Arial"/>
        </w:rPr>
        <w:t>determination under section 60</w:t>
      </w:r>
      <w:r w:rsidR="00DE7553" w:rsidRPr="002301F0">
        <w:rPr>
          <w:rFonts w:cs="Arial"/>
        </w:rPr>
        <w:t xml:space="preserve">. </w:t>
      </w:r>
    </w:p>
    <w:p w14:paraId="27C4BAFB" w14:textId="22959897" w:rsidR="00DE7553" w:rsidRPr="006F741C" w:rsidRDefault="00DE7553" w:rsidP="00DE7553">
      <w:pPr>
        <w:rPr>
          <w:rFonts w:cs="Arial"/>
          <w:b/>
          <w:i/>
        </w:rPr>
      </w:pPr>
      <w:r>
        <w:rPr>
          <w:rFonts w:cs="Arial"/>
        </w:rPr>
        <w:t>Generally</w:t>
      </w:r>
      <w:r w:rsidRPr="002301F0">
        <w:rPr>
          <w:rFonts w:cs="Arial"/>
        </w:rPr>
        <w:t xml:space="preserve">, </w:t>
      </w:r>
      <w:r>
        <w:rPr>
          <w:rFonts w:cs="Arial"/>
        </w:rPr>
        <w:t>a</w:t>
      </w:r>
      <w:r w:rsidRPr="002301F0">
        <w:rPr>
          <w:rFonts w:cs="Arial"/>
        </w:rPr>
        <w:t xml:space="preserve"> </w:t>
      </w:r>
      <w:r>
        <w:rPr>
          <w:rFonts w:cs="Arial"/>
        </w:rPr>
        <w:t>m</w:t>
      </w:r>
      <w:r w:rsidRPr="003D3B87">
        <w:rPr>
          <w:rFonts w:cs="Arial"/>
        </w:rPr>
        <w:t xml:space="preserve">arketing </w:t>
      </w:r>
      <w:r>
        <w:rPr>
          <w:rFonts w:cs="Arial"/>
        </w:rPr>
        <w:t>p</w:t>
      </w:r>
      <w:r w:rsidRPr="003D3B87">
        <w:rPr>
          <w:rFonts w:cs="Arial"/>
        </w:rPr>
        <w:t xml:space="preserve">lan </w:t>
      </w:r>
      <w:r>
        <w:rPr>
          <w:rFonts w:cs="Arial"/>
        </w:rPr>
        <w:t xml:space="preserve">sets </w:t>
      </w:r>
      <w:r w:rsidRPr="002301F0">
        <w:rPr>
          <w:rFonts w:cs="Arial"/>
        </w:rPr>
        <w:t>out information about the spectrum that is available and describe</w:t>
      </w:r>
      <w:r>
        <w:rPr>
          <w:rFonts w:cs="Arial"/>
        </w:rPr>
        <w:t>s</w:t>
      </w:r>
      <w:r w:rsidRPr="002301F0">
        <w:rPr>
          <w:rFonts w:cs="Arial"/>
        </w:rPr>
        <w:t xml:space="preserve"> </w:t>
      </w:r>
      <w:r w:rsidRPr="00821355">
        <w:rPr>
          <w:rFonts w:cs="Arial"/>
        </w:rPr>
        <w:t>the licence conditions that are proposed to be included on the spectrum licences issued</w:t>
      </w:r>
      <w:r w:rsidR="009D2812">
        <w:rPr>
          <w:rFonts w:cs="Arial"/>
        </w:rPr>
        <w:t xml:space="preserve">. </w:t>
      </w:r>
      <w:r w:rsidR="00086EEA">
        <w:rPr>
          <w:rFonts w:cs="Arial"/>
        </w:rPr>
        <w:t>It</w:t>
      </w:r>
      <w:r w:rsidRPr="003D3B87">
        <w:rPr>
          <w:rFonts w:cs="Arial"/>
        </w:rPr>
        <w:t xml:space="preserve"> </w:t>
      </w:r>
      <w:r w:rsidRPr="002301F0">
        <w:rPr>
          <w:rFonts w:cs="Arial"/>
        </w:rPr>
        <w:t xml:space="preserve">might specify the type of </w:t>
      </w:r>
      <w:r>
        <w:rPr>
          <w:rFonts w:cs="Arial"/>
        </w:rPr>
        <w:t>allocation</w:t>
      </w:r>
      <w:r w:rsidRPr="002301F0">
        <w:rPr>
          <w:rFonts w:cs="Arial"/>
        </w:rPr>
        <w:t xml:space="preserve"> method that will be employed</w:t>
      </w:r>
      <w:r w:rsidR="007577E8">
        <w:rPr>
          <w:rFonts w:cs="Arial"/>
        </w:rPr>
        <w:t xml:space="preserve"> and</w:t>
      </w:r>
      <w:r w:rsidRPr="002301F0">
        <w:rPr>
          <w:rFonts w:cs="Arial"/>
        </w:rPr>
        <w:t xml:space="preserve"> how the spectrum will be apportioned into lots</w:t>
      </w:r>
      <w:r>
        <w:rPr>
          <w:rFonts w:cs="Arial"/>
        </w:rPr>
        <w:t xml:space="preserve">. </w:t>
      </w:r>
      <w:r w:rsidR="00777BAF">
        <w:rPr>
          <w:rFonts w:cs="Arial"/>
        </w:rPr>
        <w:t>We</w:t>
      </w:r>
      <w:r w:rsidDel="00B06FB6">
        <w:rPr>
          <w:rFonts w:cs="Arial"/>
        </w:rPr>
        <w:t xml:space="preserve"> </w:t>
      </w:r>
      <w:r w:rsidR="00B06FB6">
        <w:rPr>
          <w:rFonts w:cs="Arial"/>
        </w:rPr>
        <w:t>may</w:t>
      </w:r>
      <w:r>
        <w:rPr>
          <w:rFonts w:cs="Arial"/>
        </w:rPr>
        <w:t xml:space="preserve"> prepare </w:t>
      </w:r>
      <w:r w:rsidRPr="006F741C">
        <w:rPr>
          <w:rFonts w:cs="Arial"/>
        </w:rPr>
        <w:t xml:space="preserve">a </w:t>
      </w:r>
      <w:r>
        <w:rPr>
          <w:rFonts w:cs="Arial"/>
        </w:rPr>
        <w:t xml:space="preserve">draft </w:t>
      </w:r>
      <w:r w:rsidRPr="006F741C">
        <w:rPr>
          <w:rFonts w:cs="Arial"/>
        </w:rPr>
        <w:t xml:space="preserve">sample spectrum licence </w:t>
      </w:r>
      <w:r w:rsidRPr="002301F0">
        <w:rPr>
          <w:rFonts w:cs="Arial"/>
        </w:rPr>
        <w:t xml:space="preserve">defining the area and frequency band of the licence and setting out </w:t>
      </w:r>
      <w:r w:rsidRPr="002301F0">
        <w:rPr>
          <w:rFonts w:cs="Arial"/>
        </w:rPr>
        <w:lastRenderedPageBreak/>
        <w:t xml:space="preserve">licence conditions, including emission limits, </w:t>
      </w:r>
      <w:r>
        <w:rPr>
          <w:rFonts w:cs="Arial"/>
        </w:rPr>
        <w:t xml:space="preserve">relevant </w:t>
      </w:r>
      <w:r w:rsidRPr="002301F0">
        <w:rPr>
          <w:rFonts w:cs="Arial"/>
        </w:rPr>
        <w:t>technical advisory guidelines and statutory obligations.</w:t>
      </w:r>
      <w:r w:rsidRPr="00821355">
        <w:t xml:space="preserve"> </w:t>
      </w:r>
      <w:r w:rsidRPr="00821355">
        <w:rPr>
          <w:rFonts w:cs="Arial"/>
        </w:rPr>
        <w:t>This is usually included in the marketing plan.</w:t>
      </w:r>
    </w:p>
    <w:p w14:paraId="4145FAF0" w14:textId="4D821156" w:rsidR="00DE7553" w:rsidRPr="006F741C" w:rsidRDefault="00DE7553" w:rsidP="00DE7553">
      <w:pPr>
        <w:rPr>
          <w:rFonts w:cs="Arial"/>
        </w:rPr>
      </w:pPr>
      <w:r>
        <w:rPr>
          <w:rFonts w:cs="Arial"/>
        </w:rPr>
        <w:t>The allocation procedures determination</w:t>
      </w:r>
      <w:r w:rsidRPr="002301F0">
        <w:rPr>
          <w:rFonts w:cs="Arial"/>
        </w:rPr>
        <w:t xml:space="preserve"> sets out</w:t>
      </w:r>
      <w:r>
        <w:rPr>
          <w:rFonts w:cs="Arial"/>
        </w:rPr>
        <w:t>,</w:t>
      </w:r>
      <w:r w:rsidRPr="002301F0">
        <w:rPr>
          <w:rFonts w:cs="Arial"/>
        </w:rPr>
        <w:t xml:space="preserve"> in greater detail</w:t>
      </w:r>
      <w:r>
        <w:rPr>
          <w:rFonts w:cs="Arial"/>
        </w:rPr>
        <w:t>,</w:t>
      </w:r>
      <w:r w:rsidRPr="002301F0">
        <w:rPr>
          <w:rFonts w:cs="Arial"/>
        </w:rPr>
        <w:t xml:space="preserve"> the elements of the chosen allocation method. For example, the procedures will detail the </w:t>
      </w:r>
      <w:r>
        <w:rPr>
          <w:rFonts w:cs="Arial"/>
        </w:rPr>
        <w:t xml:space="preserve">allocation method and, if that method is an auction, the </w:t>
      </w:r>
      <w:r w:rsidRPr="002301F0">
        <w:rPr>
          <w:rFonts w:cs="Arial"/>
        </w:rPr>
        <w:t xml:space="preserve">auction method and auction rules, </w:t>
      </w:r>
      <w:r w:rsidR="003938C1">
        <w:rPr>
          <w:rFonts w:cs="Arial"/>
        </w:rPr>
        <w:t xml:space="preserve">including any </w:t>
      </w:r>
      <w:r w:rsidRPr="002301F0">
        <w:rPr>
          <w:rFonts w:cs="Arial"/>
        </w:rPr>
        <w:t xml:space="preserve">registration requirements, fees associated with the auction, </w:t>
      </w:r>
      <w:r w:rsidR="003938C1">
        <w:rPr>
          <w:rFonts w:cs="Arial"/>
        </w:rPr>
        <w:t>starting</w:t>
      </w:r>
      <w:r w:rsidR="003938C1" w:rsidRPr="002301F0">
        <w:rPr>
          <w:rFonts w:cs="Arial"/>
        </w:rPr>
        <w:t xml:space="preserve"> </w:t>
      </w:r>
      <w:r w:rsidRPr="002301F0">
        <w:rPr>
          <w:rFonts w:cs="Arial"/>
        </w:rPr>
        <w:t>prices, and methods of payment</w:t>
      </w:r>
      <w:r>
        <w:rPr>
          <w:rFonts w:cs="Arial"/>
        </w:rPr>
        <w:t xml:space="preserve">. </w:t>
      </w:r>
      <w:r w:rsidRPr="006F741C">
        <w:rPr>
          <w:rFonts w:cs="Arial"/>
        </w:rPr>
        <w:t xml:space="preserve">If the </w:t>
      </w:r>
      <w:r w:rsidR="008653F9">
        <w:rPr>
          <w:rFonts w:cs="Arial"/>
        </w:rPr>
        <w:t>Minister</w:t>
      </w:r>
      <w:r w:rsidRPr="006F741C">
        <w:rPr>
          <w:rFonts w:cs="Arial"/>
        </w:rPr>
        <w:t xml:space="preserve"> directs the ACMA t</w:t>
      </w:r>
      <w:r w:rsidRPr="002301F0">
        <w:rPr>
          <w:rFonts w:cs="Arial"/>
        </w:rPr>
        <w:t xml:space="preserve">o do so, the allocation procedures may also impose </w:t>
      </w:r>
      <w:r w:rsidR="003938C1">
        <w:rPr>
          <w:rFonts w:cs="Arial"/>
        </w:rPr>
        <w:t>allocation</w:t>
      </w:r>
      <w:r w:rsidR="003938C1" w:rsidRPr="002301F0">
        <w:rPr>
          <w:rFonts w:cs="Arial"/>
        </w:rPr>
        <w:t xml:space="preserve"> </w:t>
      </w:r>
      <w:r w:rsidRPr="002301F0">
        <w:rPr>
          <w:rFonts w:cs="Arial"/>
        </w:rPr>
        <w:t>limits</w:t>
      </w:r>
      <w:r>
        <w:rPr>
          <w:rFonts w:cs="Arial"/>
        </w:rPr>
        <w:t xml:space="preserve">. </w:t>
      </w:r>
    </w:p>
    <w:p w14:paraId="34B8952A" w14:textId="600BADBF" w:rsidR="00DE7553" w:rsidRDefault="00DE7553" w:rsidP="0012550D">
      <w:pPr>
        <w:pStyle w:val="Paragraphbeforelist"/>
      </w:pPr>
      <w:r>
        <w:t>T</w:t>
      </w:r>
      <w:r w:rsidRPr="002301F0">
        <w:t xml:space="preserve">here are </w:t>
      </w:r>
      <w:proofErr w:type="gramStart"/>
      <w:r w:rsidRPr="002301F0">
        <w:t>a number of</w:t>
      </w:r>
      <w:proofErr w:type="gramEnd"/>
      <w:r w:rsidRPr="002301F0">
        <w:t xml:space="preserve"> instruments that implement the technical framework for </w:t>
      </w:r>
      <w:r>
        <w:t>a</w:t>
      </w:r>
      <w:r w:rsidRPr="002301F0">
        <w:t xml:space="preserve"> band.</w:t>
      </w:r>
      <w:r w:rsidR="00777BAF">
        <w:t xml:space="preserve"> </w:t>
      </w:r>
      <w:r>
        <w:t>T</w:t>
      </w:r>
      <w:r w:rsidRPr="002301F0">
        <w:t xml:space="preserve">hese </w:t>
      </w:r>
      <w:r>
        <w:t>may</w:t>
      </w:r>
      <w:r w:rsidRPr="002301F0">
        <w:t xml:space="preserve"> comprise</w:t>
      </w:r>
      <w:r w:rsidR="00777BAF">
        <w:t xml:space="preserve"> of</w:t>
      </w:r>
      <w:r>
        <w:t>:</w:t>
      </w:r>
    </w:p>
    <w:p w14:paraId="283F4D24" w14:textId="2BCC8BA5" w:rsidR="00DE7553" w:rsidRDefault="00777BAF" w:rsidP="00DE7553">
      <w:pPr>
        <w:pStyle w:val="ListBullet"/>
        <w:rPr>
          <w:rFonts w:cs="Arial"/>
        </w:rPr>
      </w:pPr>
      <w:r>
        <w:rPr>
          <w:rFonts w:cs="Arial"/>
        </w:rPr>
        <w:t>A</w:t>
      </w:r>
      <w:r w:rsidR="00DE7553">
        <w:rPr>
          <w:rFonts w:cs="Arial"/>
        </w:rPr>
        <w:t xml:space="preserve"> determination made</w:t>
      </w:r>
      <w:r w:rsidR="00DE7553" w:rsidRPr="002301F0">
        <w:rPr>
          <w:rFonts w:cs="Arial"/>
        </w:rPr>
        <w:t xml:space="preserve"> under </w:t>
      </w:r>
      <w:r w:rsidR="00DE7553">
        <w:rPr>
          <w:rFonts w:cs="Arial"/>
        </w:rPr>
        <w:t>sub</w:t>
      </w:r>
      <w:r w:rsidR="00DE7553" w:rsidRPr="002301F0">
        <w:rPr>
          <w:rFonts w:cs="Arial"/>
        </w:rPr>
        <w:t>section 145</w:t>
      </w:r>
      <w:r w:rsidR="00DE7553">
        <w:rPr>
          <w:rFonts w:cs="Arial"/>
        </w:rPr>
        <w:t xml:space="preserve">(4) of </w:t>
      </w:r>
      <w:r w:rsidR="00D33D1A">
        <w:rPr>
          <w:rFonts w:cs="Arial"/>
        </w:rPr>
        <w:t>the Act</w:t>
      </w:r>
      <w:r w:rsidR="00DE7553">
        <w:rPr>
          <w:rFonts w:cs="Arial"/>
        </w:rPr>
        <w:t xml:space="preserve">—determining unacceptable levels of interference </w:t>
      </w:r>
      <w:r w:rsidR="00DE7553" w:rsidRPr="00631E12">
        <w:rPr>
          <w:rFonts w:cs="Arial"/>
        </w:rPr>
        <w:t xml:space="preserve">for radiocommunications transmitters proposed to be operated under the spectrum licences. </w:t>
      </w:r>
    </w:p>
    <w:p w14:paraId="1F7F3299" w14:textId="271D715B" w:rsidR="00DE7553" w:rsidRDefault="00777BAF" w:rsidP="0012550D">
      <w:pPr>
        <w:pStyle w:val="ListBulletLast"/>
      </w:pPr>
      <w:r>
        <w:t>R</w:t>
      </w:r>
      <w:r w:rsidR="00DE7553" w:rsidRPr="002301F0">
        <w:t xml:space="preserve">adiocommunications </w:t>
      </w:r>
      <w:r w:rsidR="00DE7553">
        <w:t>a</w:t>
      </w:r>
      <w:r w:rsidR="00DE7553" w:rsidRPr="002301F0">
        <w:t xml:space="preserve">dvisory </w:t>
      </w:r>
      <w:r w:rsidR="00DE7553">
        <w:t>g</w:t>
      </w:r>
      <w:r w:rsidR="00DE7553" w:rsidRPr="002301F0">
        <w:t xml:space="preserve">uidelines </w:t>
      </w:r>
      <w:r w:rsidR="00DE7553">
        <w:t>made</w:t>
      </w:r>
      <w:r w:rsidR="00DE7553" w:rsidRPr="002301F0">
        <w:t xml:space="preserve"> under section 262</w:t>
      </w:r>
      <w:r w:rsidR="00DE7553">
        <w:t xml:space="preserve"> of </w:t>
      </w:r>
      <w:r w:rsidR="00D33D1A">
        <w:t>the Act</w:t>
      </w:r>
      <w:r w:rsidR="00DE7553">
        <w:t>—</w:t>
      </w:r>
      <w:r w:rsidR="00DE7553" w:rsidRPr="002301F0">
        <w:t>which assist licensees to coordinate with other radiocommunications services</w:t>
      </w:r>
      <w:r w:rsidR="00BA4065">
        <w:t xml:space="preserve"> and may be incorporated into spectrum licence conditions</w:t>
      </w:r>
      <w:r w:rsidR="00DE7553" w:rsidRPr="002301F0">
        <w:t>.</w:t>
      </w:r>
      <w:r w:rsidR="00DE7553">
        <w:t xml:space="preserve"> </w:t>
      </w:r>
    </w:p>
    <w:p w14:paraId="6DC4ED39" w14:textId="78822984" w:rsidR="00DE7553" w:rsidRPr="006F741C" w:rsidRDefault="00DE7553" w:rsidP="00DE7553">
      <w:r>
        <w:t xml:space="preserve">Subject to the </w:t>
      </w:r>
      <w:r w:rsidR="008653F9">
        <w:t>Minister</w:t>
      </w:r>
      <w:r>
        <w:t xml:space="preserve"> making a </w:t>
      </w:r>
      <w:r w:rsidR="00DA3182">
        <w:t>re</w:t>
      </w:r>
      <w:r w:rsidR="00DA3182">
        <w:noBreakHyphen/>
        <w:t>allocation</w:t>
      </w:r>
      <w:r>
        <w:t xml:space="preserve"> declaration, </w:t>
      </w:r>
      <w:r w:rsidR="00777BAF">
        <w:t>we would</w:t>
      </w:r>
      <w:r>
        <w:t xml:space="preserve"> develop the technical framework and draft the instruments for the allocation of the </w:t>
      </w:r>
      <w:r w:rsidR="00D4310C">
        <w:t>850/900 M</w:t>
      </w:r>
      <w:r>
        <w:t>Hz band.</w:t>
      </w:r>
    </w:p>
    <w:p w14:paraId="36CD9526" w14:textId="5C09DBF8" w:rsidR="00DE7553" w:rsidRPr="0013185C" w:rsidRDefault="00DE7553" w:rsidP="00DE7553">
      <w:pPr>
        <w:pStyle w:val="BodySubHeader"/>
      </w:pPr>
      <w:bookmarkStart w:id="121" w:name="_Toc496277354"/>
      <w:bookmarkStart w:id="122" w:name="_Toc496277753"/>
      <w:bookmarkStart w:id="123" w:name="_Toc496527264"/>
      <w:bookmarkStart w:id="124" w:name="_Toc496527439"/>
      <w:r w:rsidRPr="0013185C">
        <w:t>Step 5</w:t>
      </w:r>
      <w:r w:rsidR="00535B80">
        <w:t>: F</w:t>
      </w:r>
      <w:r w:rsidRPr="0013185C">
        <w:t>inal allocation instruments</w:t>
      </w:r>
      <w:bookmarkEnd w:id="121"/>
      <w:bookmarkEnd w:id="122"/>
      <w:bookmarkEnd w:id="123"/>
      <w:bookmarkEnd w:id="124"/>
    </w:p>
    <w:p w14:paraId="07DFACF2" w14:textId="01489170" w:rsidR="00DE7553" w:rsidRPr="006F741C" w:rsidRDefault="00DE7553" w:rsidP="00DE7553">
      <w:pPr>
        <w:rPr>
          <w:rFonts w:cs="Arial"/>
        </w:rPr>
      </w:pPr>
      <w:r w:rsidRPr="002301F0">
        <w:rPr>
          <w:rFonts w:cs="Arial"/>
        </w:rPr>
        <w:t xml:space="preserve">After consultation, </w:t>
      </w:r>
      <w:r w:rsidR="00777BAF">
        <w:rPr>
          <w:rFonts w:cs="Arial"/>
        </w:rPr>
        <w:t xml:space="preserve">we </w:t>
      </w:r>
      <w:r w:rsidRPr="002301F0">
        <w:rPr>
          <w:rFonts w:cs="Arial"/>
        </w:rPr>
        <w:t>w</w:t>
      </w:r>
      <w:r>
        <w:rPr>
          <w:rFonts w:cs="Arial"/>
        </w:rPr>
        <w:t>ould</w:t>
      </w:r>
      <w:r w:rsidRPr="002301F0">
        <w:rPr>
          <w:rFonts w:cs="Arial"/>
        </w:rPr>
        <w:t xml:space="preserve"> make final versions of the allocation instruments. These </w:t>
      </w:r>
      <w:r w:rsidRPr="00631E12">
        <w:rPr>
          <w:rFonts w:cs="Arial"/>
        </w:rPr>
        <w:t>instruments are legislative instruments and therefore must</w:t>
      </w:r>
      <w:r w:rsidRPr="002301F0">
        <w:rPr>
          <w:rFonts w:cs="Arial"/>
        </w:rPr>
        <w:t xml:space="preserve"> be published on the </w:t>
      </w:r>
      <w:hyperlink r:id="rId50" w:history="1">
        <w:r>
          <w:rPr>
            <w:rStyle w:val="Hyperlink"/>
            <w:rFonts w:cs="Arial"/>
          </w:rPr>
          <w:t>Federal Register of Legislation</w:t>
        </w:r>
      </w:hyperlink>
      <w:r w:rsidRPr="002301F0">
        <w:rPr>
          <w:rFonts w:cs="Arial"/>
        </w:rPr>
        <w:t>.</w:t>
      </w:r>
    </w:p>
    <w:p w14:paraId="2AFA8719" w14:textId="1A1B17B7" w:rsidR="00DE7553" w:rsidRPr="00BB53BC" w:rsidRDefault="00DE7553" w:rsidP="00DE7553">
      <w:pPr>
        <w:pStyle w:val="BodySubHeader"/>
      </w:pPr>
      <w:bookmarkStart w:id="125" w:name="_Toc496277355"/>
      <w:bookmarkStart w:id="126" w:name="_Toc496277754"/>
      <w:bookmarkStart w:id="127" w:name="_Toc496527265"/>
      <w:bookmarkStart w:id="128" w:name="_Toc496527440"/>
      <w:r w:rsidRPr="00BB53BC">
        <w:t>Step 6</w:t>
      </w:r>
      <w:r w:rsidR="00535B80">
        <w:t xml:space="preserve">: </w:t>
      </w:r>
      <w:bookmarkEnd w:id="125"/>
      <w:bookmarkEnd w:id="126"/>
      <w:bookmarkEnd w:id="127"/>
      <w:bookmarkEnd w:id="128"/>
      <w:r w:rsidR="00535B80">
        <w:t>A</w:t>
      </w:r>
      <w:r>
        <w:t>llocation</w:t>
      </w:r>
    </w:p>
    <w:p w14:paraId="681D92FC" w14:textId="1C6999AE" w:rsidR="00DE7553" w:rsidRPr="006F741C" w:rsidRDefault="00DE7553" w:rsidP="00DE7553">
      <w:pPr>
        <w:rPr>
          <w:rFonts w:cs="Arial"/>
        </w:rPr>
      </w:pPr>
      <w:r w:rsidRPr="002301F0">
        <w:rPr>
          <w:rFonts w:cs="Arial"/>
        </w:rPr>
        <w:t xml:space="preserve">Once the allocation instruments </w:t>
      </w:r>
      <w:r>
        <w:rPr>
          <w:rFonts w:cs="Arial"/>
        </w:rPr>
        <w:t>are</w:t>
      </w:r>
      <w:r w:rsidRPr="002301F0">
        <w:rPr>
          <w:rFonts w:cs="Arial"/>
        </w:rPr>
        <w:t xml:space="preserve"> </w:t>
      </w:r>
      <w:r>
        <w:rPr>
          <w:rFonts w:cs="Arial"/>
        </w:rPr>
        <w:t>made and come into effect</w:t>
      </w:r>
      <w:r w:rsidRPr="002301F0">
        <w:rPr>
          <w:rFonts w:cs="Arial"/>
        </w:rPr>
        <w:t xml:space="preserve">, </w:t>
      </w:r>
      <w:r w:rsidR="00777BAF">
        <w:rPr>
          <w:rFonts w:cs="Arial"/>
        </w:rPr>
        <w:t>we</w:t>
      </w:r>
      <w:r w:rsidRPr="002301F0">
        <w:rPr>
          <w:rFonts w:cs="Arial"/>
        </w:rPr>
        <w:t xml:space="preserve"> w</w:t>
      </w:r>
      <w:r>
        <w:rPr>
          <w:rFonts w:cs="Arial"/>
        </w:rPr>
        <w:t>ould</w:t>
      </w:r>
      <w:r w:rsidRPr="002301F0">
        <w:rPr>
          <w:rFonts w:cs="Arial"/>
        </w:rPr>
        <w:t xml:space="preserve"> be </w:t>
      </w:r>
      <w:proofErr w:type="gramStart"/>
      <w:r w:rsidRPr="002301F0">
        <w:rPr>
          <w:rFonts w:cs="Arial"/>
        </w:rPr>
        <w:t>in a position</w:t>
      </w:r>
      <w:proofErr w:type="gramEnd"/>
      <w:r w:rsidRPr="002301F0">
        <w:rPr>
          <w:rFonts w:cs="Arial"/>
        </w:rPr>
        <w:t xml:space="preserve"> to invite interested parties to register </w:t>
      </w:r>
      <w:r w:rsidR="00D4310C">
        <w:rPr>
          <w:rFonts w:cs="Arial"/>
        </w:rPr>
        <w:t>to participate in</w:t>
      </w:r>
      <w:r w:rsidRPr="002301F0">
        <w:rPr>
          <w:rFonts w:cs="Arial"/>
        </w:rPr>
        <w:t xml:space="preserve"> the </w:t>
      </w:r>
      <w:r w:rsidR="00D4310C">
        <w:rPr>
          <w:rFonts w:cs="Arial"/>
        </w:rPr>
        <w:t>allocation</w:t>
      </w:r>
      <w:r w:rsidRPr="002301F0">
        <w:rPr>
          <w:rFonts w:cs="Arial"/>
        </w:rPr>
        <w:t xml:space="preserve">. </w:t>
      </w:r>
      <w:r w:rsidR="00D4310C">
        <w:rPr>
          <w:rFonts w:cs="Arial"/>
        </w:rPr>
        <w:t xml:space="preserve">If a </w:t>
      </w:r>
      <w:r w:rsidRPr="002301F0">
        <w:rPr>
          <w:rFonts w:cs="Arial"/>
        </w:rPr>
        <w:t>computer system</w:t>
      </w:r>
      <w:r>
        <w:rPr>
          <w:rFonts w:cs="Arial"/>
        </w:rPr>
        <w:t xml:space="preserve"> and/or software</w:t>
      </w:r>
      <w:r w:rsidRPr="002301F0">
        <w:rPr>
          <w:rFonts w:cs="Arial"/>
        </w:rPr>
        <w:t xml:space="preserve"> </w:t>
      </w:r>
      <w:r w:rsidR="00D4310C">
        <w:rPr>
          <w:rFonts w:cs="Arial"/>
        </w:rPr>
        <w:t xml:space="preserve">is used for </w:t>
      </w:r>
      <w:r w:rsidRPr="002301F0">
        <w:rPr>
          <w:rFonts w:cs="Arial"/>
        </w:rPr>
        <w:t>the a</w:t>
      </w:r>
      <w:r w:rsidR="00D4310C">
        <w:rPr>
          <w:rFonts w:cs="Arial"/>
        </w:rPr>
        <w:t xml:space="preserve">llocation process, registered bidders would have </w:t>
      </w:r>
      <w:r w:rsidR="00D4310C" w:rsidRPr="002301F0">
        <w:rPr>
          <w:rFonts w:cs="Arial"/>
        </w:rPr>
        <w:t xml:space="preserve">an opportunity to trial </w:t>
      </w:r>
      <w:r w:rsidR="00D4310C">
        <w:rPr>
          <w:rFonts w:cs="Arial"/>
        </w:rPr>
        <w:t>it</w:t>
      </w:r>
      <w:r w:rsidRPr="002301F0">
        <w:rPr>
          <w:rFonts w:cs="Arial"/>
        </w:rPr>
        <w:t xml:space="preserve">. </w:t>
      </w:r>
    </w:p>
    <w:p w14:paraId="519CC3A2" w14:textId="26FD8F69" w:rsidR="00DE7553" w:rsidRDefault="00DE7553" w:rsidP="00DE7553">
      <w:pPr>
        <w:spacing w:line="276" w:lineRule="auto"/>
        <w:rPr>
          <w:rFonts w:cs="Arial"/>
        </w:rPr>
      </w:pPr>
      <w:r w:rsidRPr="002301F0">
        <w:rPr>
          <w:rFonts w:cs="Arial"/>
        </w:rPr>
        <w:t xml:space="preserve">After completion of the </w:t>
      </w:r>
      <w:r w:rsidR="0096736A">
        <w:rPr>
          <w:rFonts w:cs="Arial"/>
        </w:rPr>
        <w:t>allocation</w:t>
      </w:r>
      <w:r w:rsidR="0096736A" w:rsidRPr="002301F0">
        <w:rPr>
          <w:rFonts w:cs="Arial"/>
        </w:rPr>
        <w:t xml:space="preserve"> </w:t>
      </w:r>
      <w:r w:rsidRPr="002301F0">
        <w:rPr>
          <w:rFonts w:cs="Arial"/>
        </w:rPr>
        <w:t>process</w:t>
      </w:r>
      <w:r w:rsidR="00777BAF">
        <w:rPr>
          <w:rFonts w:cs="Arial"/>
        </w:rPr>
        <w:t>, we</w:t>
      </w:r>
      <w:r w:rsidRPr="002301F0">
        <w:rPr>
          <w:rFonts w:cs="Arial"/>
        </w:rPr>
        <w:t xml:space="preserve"> w</w:t>
      </w:r>
      <w:r>
        <w:rPr>
          <w:rFonts w:cs="Arial"/>
        </w:rPr>
        <w:t>ould</w:t>
      </w:r>
      <w:r w:rsidRPr="002301F0">
        <w:rPr>
          <w:rFonts w:cs="Arial"/>
        </w:rPr>
        <w:t xml:space="preserve"> issue invoices </w:t>
      </w:r>
      <w:proofErr w:type="gramStart"/>
      <w:r w:rsidRPr="002301F0">
        <w:rPr>
          <w:rFonts w:cs="Arial"/>
        </w:rPr>
        <w:t xml:space="preserve">for the </w:t>
      </w:r>
      <w:r w:rsidR="003938C1">
        <w:rPr>
          <w:rFonts w:cs="Arial"/>
        </w:rPr>
        <w:t>amount of</w:t>
      </w:r>
      <w:proofErr w:type="gramEnd"/>
      <w:r w:rsidR="003938C1">
        <w:rPr>
          <w:rFonts w:cs="Arial"/>
        </w:rPr>
        <w:t xml:space="preserve"> </w:t>
      </w:r>
      <w:r w:rsidRPr="002301F0">
        <w:rPr>
          <w:rFonts w:cs="Arial"/>
        </w:rPr>
        <w:t xml:space="preserve">winning </w:t>
      </w:r>
      <w:r w:rsidR="003938C1">
        <w:rPr>
          <w:rFonts w:cs="Arial"/>
        </w:rPr>
        <w:t xml:space="preserve">high </w:t>
      </w:r>
      <w:r w:rsidRPr="002301F0">
        <w:rPr>
          <w:rFonts w:cs="Arial"/>
        </w:rPr>
        <w:t xml:space="preserve">bids. </w:t>
      </w:r>
      <w:r>
        <w:rPr>
          <w:rFonts w:cs="Arial"/>
        </w:rPr>
        <w:t>O</w:t>
      </w:r>
      <w:r w:rsidRPr="002301F0">
        <w:rPr>
          <w:rFonts w:cs="Arial"/>
        </w:rPr>
        <w:t xml:space="preserve">n payment, </w:t>
      </w:r>
      <w:r w:rsidR="00777BAF">
        <w:rPr>
          <w:rFonts w:cs="Arial"/>
        </w:rPr>
        <w:t>we</w:t>
      </w:r>
      <w:r w:rsidRPr="002301F0">
        <w:rPr>
          <w:rFonts w:cs="Arial"/>
        </w:rPr>
        <w:t xml:space="preserve"> w</w:t>
      </w:r>
      <w:r>
        <w:rPr>
          <w:rFonts w:cs="Arial"/>
        </w:rPr>
        <w:t>ould</w:t>
      </w:r>
      <w:r w:rsidRPr="002301F0">
        <w:rPr>
          <w:rFonts w:cs="Arial"/>
        </w:rPr>
        <w:t xml:space="preserve"> prepare and send out the spectrum licence</w:t>
      </w:r>
      <w:r>
        <w:rPr>
          <w:rFonts w:cs="Arial"/>
        </w:rPr>
        <w:t>s</w:t>
      </w:r>
      <w:r w:rsidRPr="002301F0">
        <w:rPr>
          <w:rFonts w:cs="Arial"/>
        </w:rPr>
        <w:t xml:space="preserve"> to successful bidders.</w:t>
      </w:r>
    </w:p>
    <w:p w14:paraId="5D094818" w14:textId="68737D84" w:rsidR="008376A5" w:rsidRDefault="001401EC" w:rsidP="001401EC">
      <w:pPr>
        <w:pStyle w:val="Heading1"/>
      </w:pPr>
      <w:bookmarkStart w:id="129" w:name="_Toc40175664"/>
      <w:r>
        <w:lastRenderedPageBreak/>
        <w:t xml:space="preserve">Appendix </w:t>
      </w:r>
      <w:r w:rsidR="00DB5501">
        <w:t>B</w:t>
      </w:r>
      <w:r w:rsidR="005152D0">
        <w:t>—Process to date</w:t>
      </w:r>
      <w:bookmarkEnd w:id="129"/>
    </w:p>
    <w:p w14:paraId="2E7831D7" w14:textId="64FA4AE1" w:rsidR="001401EC" w:rsidRPr="000B643A" w:rsidRDefault="001401EC" w:rsidP="001401EC">
      <w:r w:rsidRPr="000B643A">
        <w:t xml:space="preserve">In May 2011, the ACMA commenced a review of the 803–960 MHz band with the release of </w:t>
      </w:r>
      <w:r w:rsidR="00777BAF">
        <w:rPr>
          <w:rFonts w:cs="Arial"/>
          <w:iCs/>
        </w:rPr>
        <w:t>t</w:t>
      </w:r>
      <w:r w:rsidRPr="0012550D">
        <w:rPr>
          <w:rFonts w:cs="Arial"/>
          <w:iCs/>
        </w:rPr>
        <w:t>he</w:t>
      </w:r>
      <w:r w:rsidRPr="000B643A">
        <w:t xml:space="preserve"> </w:t>
      </w:r>
      <w:r w:rsidRPr="00C15180">
        <w:rPr>
          <w:rFonts w:cs="Arial"/>
          <w:i/>
        </w:rPr>
        <w:t>900 MHz band—Exploring new opportunities</w:t>
      </w:r>
      <w:r>
        <w:rPr>
          <w:rFonts w:cs="Arial"/>
          <w:i/>
        </w:rPr>
        <w:t xml:space="preserve"> </w:t>
      </w:r>
      <w:r w:rsidRPr="000B643A">
        <w:t xml:space="preserve">paper. </w:t>
      </w:r>
      <w:r w:rsidR="00857F1B">
        <w:rPr>
          <w:rFonts w:cs="Arial"/>
        </w:rPr>
        <w:t xml:space="preserve">We </w:t>
      </w:r>
      <w:r>
        <w:rPr>
          <w:rFonts w:cs="Arial"/>
        </w:rPr>
        <w:t xml:space="preserve">proposed </w:t>
      </w:r>
      <w:r w:rsidRPr="00D432DC">
        <w:rPr>
          <w:rFonts w:cs="Arial"/>
        </w:rPr>
        <w:t>that substantial</w:t>
      </w:r>
      <w:r w:rsidRPr="000B643A">
        <w:t xml:space="preserve"> improvements </w:t>
      </w:r>
      <w:r w:rsidRPr="00D432DC">
        <w:rPr>
          <w:rFonts w:cs="Arial"/>
        </w:rPr>
        <w:t xml:space="preserve">could be made </w:t>
      </w:r>
      <w:r w:rsidRPr="000B643A">
        <w:t xml:space="preserve">to the </w:t>
      </w:r>
      <w:r>
        <w:t xml:space="preserve">configuration of the </w:t>
      </w:r>
      <w:r w:rsidRPr="000B643A">
        <w:t xml:space="preserve">band to facilitate introduction of new and emerging technologies. </w:t>
      </w:r>
    </w:p>
    <w:p w14:paraId="541CDF65" w14:textId="628BD97F" w:rsidR="001401EC" w:rsidRPr="000B643A" w:rsidRDefault="001401EC" w:rsidP="001401EC">
      <w:r w:rsidRPr="000B643A">
        <w:t xml:space="preserve">The release of the </w:t>
      </w:r>
      <w:r w:rsidRPr="00311AA9">
        <w:rPr>
          <w:rFonts w:cs="Arial"/>
          <w:i/>
        </w:rPr>
        <w:t>Exploring</w:t>
      </w:r>
      <w:r w:rsidRPr="000B643A">
        <w:t xml:space="preserve"> </w:t>
      </w:r>
      <w:r>
        <w:rPr>
          <w:rFonts w:cs="Arial"/>
          <w:i/>
        </w:rPr>
        <w:t>n</w:t>
      </w:r>
      <w:r w:rsidRPr="00BF7DAF">
        <w:rPr>
          <w:rFonts w:cs="Arial"/>
          <w:i/>
        </w:rPr>
        <w:t xml:space="preserve">ew </w:t>
      </w:r>
      <w:r>
        <w:rPr>
          <w:rFonts w:cs="Arial"/>
          <w:i/>
        </w:rPr>
        <w:t>o</w:t>
      </w:r>
      <w:r w:rsidRPr="00BF7DAF">
        <w:rPr>
          <w:rFonts w:cs="Arial"/>
          <w:i/>
        </w:rPr>
        <w:t>pportunities</w:t>
      </w:r>
      <w:r w:rsidRPr="000B643A">
        <w:t xml:space="preserve"> paper coincided with the release of </w:t>
      </w:r>
      <w:r w:rsidR="00777BAF">
        <w:t>our</w:t>
      </w:r>
      <w:r w:rsidR="00777BAF" w:rsidRPr="000B643A">
        <w:t xml:space="preserve"> </w:t>
      </w:r>
      <w:r w:rsidRPr="00BF7DAF">
        <w:rPr>
          <w:rFonts w:cs="Arial"/>
          <w:i/>
        </w:rPr>
        <w:t>Towards 2020—Future spectrum requirements for mobile broadband</w:t>
      </w:r>
      <w:r w:rsidRPr="000B643A">
        <w:t xml:space="preserve"> (</w:t>
      </w:r>
      <w:r w:rsidRPr="00A739BD">
        <w:rPr>
          <w:rFonts w:cs="Arial"/>
        </w:rPr>
        <w:t>Towards 2020</w:t>
      </w:r>
      <w:r w:rsidRPr="0012550D">
        <w:rPr>
          <w:rFonts w:cs="Arial"/>
          <w:iCs/>
        </w:rPr>
        <w:t>)</w:t>
      </w:r>
      <w:r w:rsidRPr="00BF7DAF">
        <w:rPr>
          <w:rFonts w:cs="Arial"/>
          <w:i/>
        </w:rPr>
        <w:t xml:space="preserve"> </w:t>
      </w:r>
      <w:r w:rsidRPr="000B643A">
        <w:t xml:space="preserve">paper. The papers were complementary and considered medium and long-term options to fulfil the need for additional spectrum for mobile broadband services. </w:t>
      </w:r>
    </w:p>
    <w:p w14:paraId="72B2FACF" w14:textId="66C5AEDE" w:rsidR="001401EC" w:rsidRPr="000B643A" w:rsidRDefault="001401EC" w:rsidP="0012550D">
      <w:pPr>
        <w:pStyle w:val="Paragraphbeforelist"/>
      </w:pPr>
      <w:r w:rsidRPr="000B643A">
        <w:t xml:space="preserve">In December 2012, </w:t>
      </w:r>
      <w:r w:rsidR="00777BAF">
        <w:t>we</w:t>
      </w:r>
      <w:r w:rsidRPr="000B643A">
        <w:t xml:space="preserve"> released </w:t>
      </w:r>
      <w:proofErr w:type="gramStart"/>
      <w:r w:rsidRPr="002002C4">
        <w:rPr>
          <w:i/>
          <w:iCs/>
        </w:rPr>
        <w:t>The</w:t>
      </w:r>
      <w:proofErr w:type="gramEnd"/>
      <w:r w:rsidRPr="00B84479">
        <w:rPr>
          <w:i/>
          <w:iCs/>
        </w:rPr>
        <w:t xml:space="preserve"> 803–960 MHz band: Options for future change paper</w:t>
      </w:r>
      <w:r w:rsidRPr="000B643A">
        <w:t xml:space="preserve"> </w:t>
      </w:r>
      <w:r w:rsidRPr="00076A84">
        <w:t>(</w:t>
      </w:r>
      <w:r w:rsidR="00AA220E" w:rsidRPr="00076A84">
        <w:t>f</w:t>
      </w:r>
      <w:r w:rsidRPr="00076A84">
        <w:t xml:space="preserve">uture </w:t>
      </w:r>
      <w:r w:rsidR="00AA220E" w:rsidRPr="00076A84">
        <w:t>o</w:t>
      </w:r>
      <w:r w:rsidRPr="00076A84">
        <w:t>ptions paper),</w:t>
      </w:r>
      <w:r w:rsidRPr="000B643A">
        <w:t xml:space="preserve"> which sought input on a range of broad themes, including:</w:t>
      </w:r>
    </w:p>
    <w:p w14:paraId="574CBE39" w14:textId="77777777" w:rsidR="001401EC" w:rsidRPr="006C064C" w:rsidRDefault="001401EC" w:rsidP="001401EC">
      <w:pPr>
        <w:pStyle w:val="Bulletlevel1"/>
      </w:pPr>
      <w:r w:rsidRPr="006C064C">
        <w:t>options for expanding the 800 MHz band to include spectrum in the upper part of the digital dividend that was not included in the 700 MHz band allocation (that is, expanding the scope from 820–960 MHz to 803–960 MHz)</w:t>
      </w:r>
    </w:p>
    <w:p w14:paraId="362A879F" w14:textId="77777777" w:rsidR="001401EC" w:rsidRPr="006C064C" w:rsidRDefault="001401EC" w:rsidP="001401EC">
      <w:pPr>
        <w:pStyle w:val="Bulletlevel1"/>
      </w:pPr>
      <w:r w:rsidRPr="006C064C">
        <w:t>consideration of the technical and licensing arrangements in the digital cellular mobile telephony service segments (890–915 MHz paired with 935–960 MHz, referred to as the 900 MHz GSM band)</w:t>
      </w:r>
    </w:p>
    <w:p w14:paraId="18A19C5B" w14:textId="77777777" w:rsidR="001401EC" w:rsidRPr="006C064C" w:rsidRDefault="001401EC" w:rsidP="001401EC">
      <w:pPr>
        <w:pStyle w:val="Bulletlevel1"/>
      </w:pPr>
      <w:r w:rsidRPr="006C064C">
        <w:t>opportunities for facilitating new technologies or expanding existing services in underutilised parts of the 803–960 MHz band</w:t>
      </w:r>
    </w:p>
    <w:p w14:paraId="0AF80E60" w14:textId="77777777" w:rsidR="001401EC" w:rsidRPr="006C064C" w:rsidRDefault="001401EC" w:rsidP="001401EC">
      <w:pPr>
        <w:pStyle w:val="Bulletlevel1last"/>
      </w:pPr>
      <w:r w:rsidRPr="006C064C">
        <w:t>consideration of the overall structure of the 803–960 MHz band.</w:t>
      </w:r>
    </w:p>
    <w:p w14:paraId="694C3F01" w14:textId="70E19E34" w:rsidR="001401EC" w:rsidRDefault="001401EC" w:rsidP="001401EC">
      <w:pPr>
        <w:pStyle w:val="Paragraph"/>
      </w:pPr>
      <w:r>
        <w:rPr>
          <w:szCs w:val="20"/>
        </w:rPr>
        <w:t>Following careful consideration of the</w:t>
      </w:r>
      <w:r w:rsidRPr="006C064C">
        <w:rPr>
          <w:szCs w:val="20"/>
        </w:rPr>
        <w:t xml:space="preserve"> 32 submissions </w:t>
      </w:r>
      <w:r>
        <w:rPr>
          <w:szCs w:val="20"/>
        </w:rPr>
        <w:t xml:space="preserve">received </w:t>
      </w:r>
      <w:r w:rsidRPr="006C064C">
        <w:rPr>
          <w:szCs w:val="20"/>
        </w:rPr>
        <w:t xml:space="preserve">in response to the </w:t>
      </w:r>
      <w:r w:rsidR="00AA220E">
        <w:rPr>
          <w:szCs w:val="20"/>
        </w:rPr>
        <w:t>f</w:t>
      </w:r>
      <w:r w:rsidRPr="006C064C">
        <w:rPr>
          <w:szCs w:val="20"/>
        </w:rPr>
        <w:t xml:space="preserve">uture </w:t>
      </w:r>
      <w:r w:rsidR="00AA220E">
        <w:t>o</w:t>
      </w:r>
      <w:r w:rsidRPr="000B643A">
        <w:t>ptions</w:t>
      </w:r>
      <w:r w:rsidRPr="006C064C">
        <w:rPr>
          <w:szCs w:val="20"/>
        </w:rPr>
        <w:t xml:space="preserve"> paper</w:t>
      </w:r>
      <w:r w:rsidR="00777BAF">
        <w:rPr>
          <w:szCs w:val="20"/>
        </w:rPr>
        <w:t xml:space="preserve">, </w:t>
      </w:r>
      <w:r w:rsidR="00857F1B">
        <w:rPr>
          <w:szCs w:val="20"/>
        </w:rPr>
        <w:t>we published</w:t>
      </w:r>
      <w:r w:rsidR="00777BAF">
        <w:rPr>
          <w:szCs w:val="20"/>
        </w:rPr>
        <w:t xml:space="preserve"> </w:t>
      </w:r>
      <w:hyperlink r:id="rId51" w:history="1">
        <w:r w:rsidR="00857F1B">
          <w:rPr>
            <w:rStyle w:val="Hyperlink"/>
            <w:i/>
          </w:rPr>
          <w:t>The ACMA's long-term strategy for the 803–960 MHz band</w:t>
        </w:r>
      </w:hyperlink>
      <w:r>
        <w:t xml:space="preserve"> (the long</w:t>
      </w:r>
      <w:r w:rsidR="00AA220E">
        <w:t>-</w:t>
      </w:r>
      <w:r>
        <w:t xml:space="preserve">term strategy) was released in November 2015. </w:t>
      </w:r>
    </w:p>
    <w:p w14:paraId="2D1A0A2B" w14:textId="701EADE6" w:rsidR="001401EC" w:rsidRDefault="001401EC" w:rsidP="001401EC">
      <w:pPr>
        <w:pStyle w:val="Paragraph"/>
      </w:pPr>
      <w:r>
        <w:t>The key planning decisions identified in the long</w:t>
      </w:r>
      <w:r w:rsidR="00AA220E">
        <w:t>-</w:t>
      </w:r>
      <w:r>
        <w:t xml:space="preserve">term strategy relevant to the 850/900 MHz band included making the 850 MHz expansion band available and optimising the technical frameworks to reflect latest 3GPP standards (presuming the band would be allocated in 5 MHz blocks). The implementation plan contained in the </w:t>
      </w:r>
      <w:r w:rsidR="00777BAF">
        <w:t>long-term</w:t>
      </w:r>
      <w:r>
        <w:t xml:space="preserve"> strategy actioned the clearance of the 850 MHz expansion band as well as frequency range</w:t>
      </w:r>
      <w:r w:rsidR="00AA220E">
        <w:t>s</w:t>
      </w:r>
      <w:r>
        <w:t xml:space="preserve"> </w:t>
      </w:r>
      <w:r w:rsidRPr="004C64C3">
        <w:t>824–825</w:t>
      </w:r>
      <w:r>
        <w:t xml:space="preserve"> MHz and </w:t>
      </w:r>
      <w:r w:rsidRPr="004C64C3">
        <w:t xml:space="preserve">869–870 MHz </w:t>
      </w:r>
      <w:r>
        <w:t xml:space="preserve">(to accommodate a possible future downshift) </w:t>
      </w:r>
      <w:r w:rsidRPr="004C64C3">
        <w:t xml:space="preserve">of existing services </w:t>
      </w:r>
      <w:r>
        <w:t>by</w:t>
      </w:r>
      <w:r w:rsidRPr="004C64C3">
        <w:t xml:space="preserve"> </w:t>
      </w:r>
      <w:r>
        <w:t>30 June </w:t>
      </w:r>
      <w:r w:rsidRPr="004C64C3">
        <w:t>2024</w:t>
      </w:r>
      <w:r>
        <w:t>.</w:t>
      </w:r>
      <w:r w:rsidRPr="004B3196">
        <w:t xml:space="preserve"> </w:t>
      </w:r>
    </w:p>
    <w:p w14:paraId="5B04D050" w14:textId="640230C3" w:rsidR="001401EC" w:rsidRDefault="001401EC" w:rsidP="001401EC">
      <w:pPr>
        <w:pStyle w:val="Paragraph"/>
      </w:pPr>
      <w:r>
        <w:t>Concurrent</w:t>
      </w:r>
      <w:r w:rsidRPr="004C64C3">
        <w:t xml:space="preserve"> with the process</w:t>
      </w:r>
      <w:r>
        <w:t xml:space="preserve"> described in the implementation plan</w:t>
      </w:r>
      <w:r w:rsidRPr="004C64C3">
        <w:t xml:space="preserve">, </w:t>
      </w:r>
      <w:r w:rsidR="00777BAF">
        <w:t>we</w:t>
      </w:r>
      <w:r w:rsidRPr="004C64C3">
        <w:t xml:space="preserve"> </w:t>
      </w:r>
      <w:r>
        <w:t>would</w:t>
      </w:r>
      <w:r w:rsidRPr="004C64C3">
        <w:t xml:space="preserve"> </w:t>
      </w:r>
      <w:r>
        <w:t>work</w:t>
      </w:r>
      <w:r w:rsidRPr="004C64C3">
        <w:t xml:space="preserve"> separately with </w:t>
      </w:r>
      <w:r>
        <w:t xml:space="preserve">incumbent </w:t>
      </w:r>
      <w:r w:rsidRPr="004C64C3">
        <w:t>licensees in the bands to</w:t>
      </w:r>
      <w:r>
        <w:t xml:space="preserve"> </w:t>
      </w:r>
      <w:r w:rsidRPr="004C64C3">
        <w:t xml:space="preserve">enable the </w:t>
      </w:r>
      <w:r>
        <w:t>900 MHz b</w:t>
      </w:r>
      <w:r w:rsidRPr="004C64C3">
        <w:t xml:space="preserve">and </w:t>
      </w:r>
      <w:r>
        <w:t xml:space="preserve">(the GSM band) </w:t>
      </w:r>
      <w:r w:rsidRPr="004C64C3">
        <w:t>to be used efficiently for current and emerging technologies</w:t>
      </w:r>
      <w:r w:rsidR="00AA220E">
        <w:t>,</w:t>
      </w:r>
      <w:r w:rsidRPr="004C64C3">
        <w:t xml:space="preserve"> </w:t>
      </w:r>
      <w:r>
        <w:t xml:space="preserve">and </w:t>
      </w:r>
      <w:r w:rsidRPr="004C64C3">
        <w:t>downshif</w:t>
      </w:r>
      <w:r>
        <w:t>t</w:t>
      </w:r>
      <w:r w:rsidRPr="004C64C3">
        <w:t xml:space="preserve"> the entire </w:t>
      </w:r>
      <w:r>
        <w:t xml:space="preserve">spectrum-licensed </w:t>
      </w:r>
      <w:r w:rsidRPr="004C64C3">
        <w:t>8</w:t>
      </w:r>
      <w:r w:rsidR="0013240D">
        <w:t>5</w:t>
      </w:r>
      <w:r w:rsidR="00FD1232" w:rsidDel="0013240D">
        <w:t>0</w:t>
      </w:r>
      <w:r w:rsidRPr="004C64C3">
        <w:t xml:space="preserve"> MHz band (</w:t>
      </w:r>
      <w:r>
        <w:t xml:space="preserve">frequency ranges </w:t>
      </w:r>
      <w:r w:rsidRPr="004C64C3">
        <w:t>825–845</w:t>
      </w:r>
      <w:r>
        <w:t xml:space="preserve"> MHz and </w:t>
      </w:r>
      <w:r w:rsidRPr="004C64C3">
        <w:t>870–890 MHz) by 1</w:t>
      </w:r>
      <w:r>
        <w:t> </w:t>
      </w:r>
      <w:r w:rsidRPr="004C64C3">
        <w:t xml:space="preserve">MHz, to be directly frequency-adjacent </w:t>
      </w:r>
      <w:r w:rsidR="00FD1232">
        <w:t xml:space="preserve">to </w:t>
      </w:r>
      <w:r w:rsidRPr="004C64C3">
        <w:t xml:space="preserve">the </w:t>
      </w:r>
      <w:r>
        <w:t xml:space="preserve">850 MHz </w:t>
      </w:r>
      <w:r w:rsidRPr="004C64C3">
        <w:t xml:space="preserve">expansion band. </w:t>
      </w:r>
    </w:p>
    <w:p w14:paraId="62B86BD8" w14:textId="40EC98CF" w:rsidR="001401EC" w:rsidRDefault="00777BAF" w:rsidP="00AA220E">
      <w:pPr>
        <w:pStyle w:val="Paragraph"/>
      </w:pPr>
      <w:r>
        <w:t>We</w:t>
      </w:r>
      <w:r w:rsidR="001401EC">
        <w:t xml:space="preserve"> indicated that the implementation of a 1 MHz downshift of the 8</w:t>
      </w:r>
      <w:r w:rsidR="0013240D">
        <w:t>5</w:t>
      </w:r>
      <w:r w:rsidR="00FD1232" w:rsidDel="0013240D">
        <w:t>0</w:t>
      </w:r>
      <w:r w:rsidR="001401EC">
        <w:t xml:space="preserve"> MHz band and the reorganisation of the existing 900 MHz band required further consideration</w:t>
      </w:r>
      <w:r>
        <w:t xml:space="preserve"> by</w:t>
      </w:r>
      <w:r w:rsidR="00416A83">
        <w:t xml:space="preserve"> the ACMA,</w:t>
      </w:r>
      <w:r>
        <w:t xml:space="preserve"> </w:t>
      </w:r>
      <w:r w:rsidR="001401EC">
        <w:t xml:space="preserve">government and industry for which no decisions were </w:t>
      </w:r>
      <w:r w:rsidR="001401EC" w:rsidRPr="00085987">
        <w:t>conveyed in the long</w:t>
      </w:r>
      <w:r w:rsidR="00AA220E">
        <w:t>-</w:t>
      </w:r>
      <w:r w:rsidR="001401EC" w:rsidRPr="00085987">
        <w:t>term</w:t>
      </w:r>
      <w:r w:rsidR="001401EC">
        <w:t xml:space="preserve"> strategy paper.</w:t>
      </w:r>
    </w:p>
    <w:p w14:paraId="34163008" w14:textId="0A19978F" w:rsidR="001401EC" w:rsidRDefault="007B0E44" w:rsidP="00334CC9">
      <w:pPr>
        <w:pStyle w:val="Paragraphbeforelist"/>
      </w:pPr>
      <w:r>
        <w:t xml:space="preserve">From 2017 to 2019, </w:t>
      </w:r>
      <w:r w:rsidR="00AA220E">
        <w:t>we</w:t>
      </w:r>
      <w:r>
        <w:t xml:space="preserve"> undertook several consultations to determine the most appropriate way forward for 900 MHz band spectrum.</w:t>
      </w:r>
      <w:r w:rsidR="00A07F16">
        <w:t xml:space="preserve"> </w:t>
      </w:r>
      <w:r>
        <w:t>I</w:t>
      </w:r>
      <w:r w:rsidR="001401EC">
        <w:t xml:space="preserve">n April 2019, </w:t>
      </w:r>
      <w:r w:rsidR="00416A83">
        <w:t>we</w:t>
      </w:r>
      <w:r w:rsidR="001401EC">
        <w:t xml:space="preserve"> released a </w:t>
      </w:r>
      <w:hyperlink r:id="rId52" w:history="1">
        <w:r w:rsidR="001401EC" w:rsidRPr="00401281">
          <w:rPr>
            <w:rStyle w:val="Hyperlink"/>
          </w:rPr>
          <w:t>consultation paper</w:t>
        </w:r>
      </w:hyperlink>
      <w:r w:rsidR="001401EC">
        <w:t xml:space="preserve"> and invited stakeholders to comment on two possible options for the allocation of spectrum in the 850/900 MHz band, in order to </w:t>
      </w:r>
      <w:r w:rsidR="001401EC" w:rsidRPr="00F91A4C">
        <w:t xml:space="preserve">reconfigure the band </w:t>
      </w:r>
      <w:r w:rsidR="001401EC" w:rsidRPr="00F91A4C">
        <w:lastRenderedPageBreak/>
        <w:t>while concurrently enabling licensees to mitigate risks to consumer services</w:t>
      </w:r>
      <w:r w:rsidR="001401EC">
        <w:t>. The options included:</w:t>
      </w:r>
    </w:p>
    <w:p w14:paraId="523D637E" w14:textId="1DE9AE52" w:rsidR="001401EC" w:rsidRDefault="001401EC" w:rsidP="001401EC">
      <w:pPr>
        <w:pStyle w:val="Bulletlevel1"/>
      </w:pPr>
      <w:r>
        <w:t xml:space="preserve">clearing the 900 MHz band for </w:t>
      </w:r>
      <w:r w:rsidR="00DA3182">
        <w:t>re</w:t>
      </w:r>
      <w:r w:rsidR="00DA3182">
        <w:noBreakHyphen/>
        <w:t>allocation</w:t>
      </w:r>
      <w:r>
        <w:t xml:space="preserve"> by issuing spectrum licences</w:t>
      </w:r>
      <w:r w:rsidRPr="00F91A4C">
        <w:t xml:space="preserve"> but delay</w:t>
      </w:r>
      <w:r>
        <w:t>ing</w:t>
      </w:r>
      <w:r w:rsidRPr="00F91A4C">
        <w:t xml:space="preserve"> the date by which incumbent apparatus licensees </w:t>
      </w:r>
      <w:r>
        <w:t>would</w:t>
      </w:r>
      <w:r w:rsidRPr="00F91A4C">
        <w:t xml:space="preserve"> clear the band to mid-2024</w:t>
      </w:r>
    </w:p>
    <w:p w14:paraId="181EC8A5" w14:textId="12D8093E" w:rsidR="001401EC" w:rsidRDefault="001401EC" w:rsidP="001401EC">
      <w:pPr>
        <w:pStyle w:val="Bulletlevel1last"/>
      </w:pPr>
      <w:r>
        <w:t>converting existing apparatus licences in the 900 MHz band to spectrum licences</w:t>
      </w:r>
      <w:r w:rsidRPr="00F91A4C">
        <w:t xml:space="preserve"> </w:t>
      </w:r>
      <w:r>
        <w:t>(</w:t>
      </w:r>
      <w:r w:rsidRPr="00F91A4C">
        <w:t>a 2 x 5 MHz block to each of the three incumbent 900 MHz licensees</w:t>
      </w:r>
      <w:r>
        <w:t xml:space="preserve">) and allocating the remaining spectrum by issuing spectrum licences in combination with the </w:t>
      </w:r>
      <w:r w:rsidRPr="00F91A4C">
        <w:t>850 MHz expansion band</w:t>
      </w:r>
      <w:r>
        <w:t>.</w:t>
      </w:r>
    </w:p>
    <w:p w14:paraId="70041CAF" w14:textId="081562EB" w:rsidR="001401EC" w:rsidRDefault="001401EC" w:rsidP="001401EC">
      <w:pPr>
        <w:pStyle w:val="Paragraphbeforelist"/>
      </w:pPr>
      <w:r>
        <w:t>Following consideration of submissions,</w:t>
      </w:r>
      <w:r w:rsidRPr="00881897">
        <w:t xml:space="preserve"> </w:t>
      </w:r>
      <w:r w:rsidR="007E79F3">
        <w:t>we</w:t>
      </w:r>
      <w:r w:rsidRPr="00881897">
        <w:t xml:space="preserve"> released</w:t>
      </w:r>
      <w:r>
        <w:t xml:space="preserve"> </w:t>
      </w:r>
      <w:r w:rsidR="007E79F3">
        <w:t>our</w:t>
      </w:r>
      <w:r w:rsidRPr="00655B18">
        <w:t xml:space="preserve"> </w:t>
      </w:r>
      <w:hyperlink r:id="rId53" w:history="1">
        <w:r w:rsidRPr="00535B80">
          <w:rPr>
            <w:rStyle w:val="Hyperlink"/>
            <w:i/>
            <w:iCs/>
          </w:rPr>
          <w:t xml:space="preserve">Reconfiguring the 900 MHz </w:t>
        </w:r>
        <w:r w:rsidRPr="00076A84">
          <w:rPr>
            <w:rStyle w:val="Hyperlink"/>
            <w:i/>
            <w:iCs/>
          </w:rPr>
          <w:t>band/Allocating</w:t>
        </w:r>
        <w:r w:rsidRPr="00535B80">
          <w:rPr>
            <w:rStyle w:val="Hyperlink"/>
            <w:i/>
            <w:iCs/>
          </w:rPr>
          <w:t xml:space="preserve"> the 850 MHz expansion band decision paper</w:t>
        </w:r>
      </w:hyperlink>
      <w:r w:rsidRPr="00384F9D">
        <w:t xml:space="preserve"> (the </w:t>
      </w:r>
      <w:hyperlink r:id="rId54" w:history="1">
        <w:r w:rsidRPr="00384F9D">
          <w:rPr>
            <w:rStyle w:val="Hyperlink"/>
            <w:color w:val="auto"/>
            <w:u w:val="none"/>
          </w:rPr>
          <w:t>decision paper</w:t>
        </w:r>
      </w:hyperlink>
      <w:r w:rsidRPr="00384F9D">
        <w:t>)</w:t>
      </w:r>
      <w:r w:rsidR="00384F9D">
        <w:t xml:space="preserve"> </w:t>
      </w:r>
      <w:r w:rsidR="007E79F3">
        <w:t>in December 2019</w:t>
      </w:r>
      <w:r>
        <w:t>.</w:t>
      </w:r>
      <w:r w:rsidRPr="0094050A">
        <w:t xml:space="preserve"> </w:t>
      </w:r>
      <w:r>
        <w:t xml:space="preserve">The </w:t>
      </w:r>
      <w:r w:rsidRPr="00535B80">
        <w:t>decision paper</w:t>
      </w:r>
      <w:r>
        <w:t xml:space="preserve"> noted that in the recent consultation process, </w:t>
      </w:r>
      <w:r w:rsidR="007E79F3">
        <w:t xml:space="preserve">we </w:t>
      </w:r>
      <w:r>
        <w:t>identified a set of reform objectives to inform any allocation option. To be considered an effective reform process, the reconfiguration of the band should:</w:t>
      </w:r>
    </w:p>
    <w:p w14:paraId="68CD4EFF" w14:textId="77777777" w:rsidR="001401EC" w:rsidRDefault="001401EC" w:rsidP="007E79F3">
      <w:pPr>
        <w:pStyle w:val="ListBullet"/>
      </w:pPr>
      <w:r>
        <w:t xml:space="preserve">result in the band being spectrum licensed </w:t>
      </w:r>
    </w:p>
    <w:p w14:paraId="221B823B" w14:textId="4018AE56" w:rsidR="001401EC" w:rsidRDefault="001401EC" w:rsidP="00BB7462">
      <w:pPr>
        <w:pStyle w:val="ListBullet"/>
      </w:pPr>
      <w:r>
        <w:t xml:space="preserve">facilitate the 1 MHz downshift in the 800 MHz spectrum licences by allocating the </w:t>
      </w:r>
      <w:r w:rsidR="00086EEA">
        <w:t>2 x 1 </w:t>
      </w:r>
      <w:r>
        <w:t>MHz that is below the 8</w:t>
      </w:r>
      <w:r w:rsidR="00FD1232">
        <w:t>0</w:t>
      </w:r>
      <w:r>
        <w:t>0 MHz spectrum licences (thereby removing a key regulatory impediment to achieving the downshift)</w:t>
      </w:r>
    </w:p>
    <w:p w14:paraId="145FDCBD" w14:textId="77777777" w:rsidR="001401EC" w:rsidRDefault="001401EC" w:rsidP="001401EC">
      <w:pPr>
        <w:pStyle w:val="ListBullet"/>
      </w:pPr>
      <w:r>
        <w:t>result in the band being configured in 5 MHz channels</w:t>
      </w:r>
    </w:p>
    <w:p w14:paraId="3CA40731" w14:textId="77777777" w:rsidR="001401EC" w:rsidRDefault="001401EC" w:rsidP="001401EC">
      <w:pPr>
        <w:pStyle w:val="ListBullet"/>
      </w:pPr>
      <w:r>
        <w:t>result in licensees being charged a market price, or a price informed by relevant market outcomes</w:t>
      </w:r>
    </w:p>
    <w:p w14:paraId="7BB4B60B" w14:textId="77777777" w:rsidR="001401EC" w:rsidRDefault="001401EC" w:rsidP="001401EC">
      <w:pPr>
        <w:pStyle w:val="ListBullet"/>
      </w:pPr>
      <w:r>
        <w:t>enable licensees to mitigate risks to the continuity of consumer services</w:t>
      </w:r>
    </w:p>
    <w:p w14:paraId="5EB8BCA1" w14:textId="77777777" w:rsidR="001401EC" w:rsidRDefault="001401EC" w:rsidP="001401EC">
      <w:pPr>
        <w:pStyle w:val="Bulletlevel1last"/>
      </w:pPr>
      <w:r>
        <w:t>support a move to larger contiguous bandwidths.</w:t>
      </w:r>
    </w:p>
    <w:p w14:paraId="70295769" w14:textId="66368A9D" w:rsidR="001401EC" w:rsidRDefault="001401EC" w:rsidP="001401EC">
      <w:pPr>
        <w:pStyle w:val="Paragraph"/>
      </w:pPr>
      <w:r>
        <w:t xml:space="preserve">In the decision paper, </w:t>
      </w:r>
      <w:r w:rsidR="00AA220E">
        <w:t xml:space="preserve">we </w:t>
      </w:r>
      <w:r>
        <w:t xml:space="preserve">remain of the view </w:t>
      </w:r>
      <w:r w:rsidRPr="00881897">
        <w:t xml:space="preserve">that the best way to reconfigure </w:t>
      </w:r>
      <w:r w:rsidRPr="008E1AA5">
        <w:t>the 900 MHz band is through a band clearance and price-based allocation</w:t>
      </w:r>
      <w:r>
        <w:t xml:space="preserve"> by spectrum licence</w:t>
      </w:r>
      <w:r w:rsidRPr="008E1AA5">
        <w:t>, offered in combination w</w:t>
      </w:r>
      <w:r w:rsidRPr="001077E3">
        <w:t xml:space="preserve">ith the 850 MHz </w:t>
      </w:r>
      <w:r w:rsidRPr="000B643A">
        <w:t xml:space="preserve">expansion band. </w:t>
      </w:r>
      <w:r w:rsidRPr="001904EC">
        <w:t>This process would</w:t>
      </w:r>
      <w:r w:rsidRPr="006C158E">
        <w:t xml:space="preserve"> support deployment of 4G and 5G mobile broadband services</w:t>
      </w:r>
      <w:r>
        <w:t xml:space="preserve"> and </w:t>
      </w:r>
      <w:r w:rsidRPr="006C158E">
        <w:t>facilitate an outcome for larger contiguous spectrum holdings.</w:t>
      </w:r>
    </w:p>
    <w:p w14:paraId="7D0B38B3" w14:textId="77777777" w:rsidR="001401EC" w:rsidRDefault="001401EC" w:rsidP="001401EC">
      <w:pPr>
        <w:pStyle w:val="Paragraphbeforelist"/>
      </w:pPr>
      <w:r>
        <w:t>The decision paper noted:</w:t>
      </w:r>
    </w:p>
    <w:p w14:paraId="328B180D" w14:textId="16D9BE99" w:rsidR="001401EC" w:rsidRDefault="001401EC" w:rsidP="001401EC">
      <w:pPr>
        <w:pStyle w:val="Bulletlevel1"/>
      </w:pPr>
      <w:r>
        <w:t>t</w:t>
      </w:r>
      <w:r w:rsidRPr="006C158E">
        <w:t xml:space="preserve">he addition of a 1 MHz guard band between the </w:t>
      </w:r>
      <w:r>
        <w:t>800</w:t>
      </w:r>
      <w:r w:rsidRPr="006C158E">
        <w:t xml:space="preserve"> MHz band base-transmit segment and the </w:t>
      </w:r>
      <w:r>
        <w:t xml:space="preserve">900 MHz band </w:t>
      </w:r>
      <w:r w:rsidRPr="006C158E">
        <w:t>base-receive segment w</w:t>
      </w:r>
      <w:r>
        <w:t>ould</w:t>
      </w:r>
      <w:r w:rsidRPr="006C158E">
        <w:t xml:space="preserve"> significantly increase the usability of the lower segment in the 900 MHz band</w:t>
      </w:r>
      <w:r>
        <w:t>, which</w:t>
      </w:r>
      <w:r w:rsidRPr="006C158E">
        <w:t xml:space="preserve"> c</w:t>
      </w:r>
      <w:r>
        <w:t>ould</w:t>
      </w:r>
      <w:r w:rsidRPr="006C158E">
        <w:t xml:space="preserve"> only be achieved via a downshift of the existing 8</w:t>
      </w:r>
      <w:r w:rsidR="00FD1232">
        <w:t>0</w:t>
      </w:r>
      <w:r w:rsidRPr="006C158E">
        <w:t>0 MHz band spectrum licences</w:t>
      </w:r>
    </w:p>
    <w:p w14:paraId="1D26694A" w14:textId="4D23EA83" w:rsidR="001401EC" w:rsidRDefault="001401EC" w:rsidP="001401EC">
      <w:pPr>
        <w:pStyle w:val="Bulletlevel1last"/>
      </w:pPr>
      <w:r>
        <w:t>t</w:t>
      </w:r>
      <w:r w:rsidRPr="006C158E">
        <w:t xml:space="preserve">he </w:t>
      </w:r>
      <w:r w:rsidR="007E79F3" w:rsidRPr="006C158E">
        <w:t>long</w:t>
      </w:r>
      <w:r w:rsidR="007E79F3">
        <w:t>-term</w:t>
      </w:r>
      <w:r w:rsidRPr="006C158E">
        <w:t xml:space="preserve"> strategy</w:t>
      </w:r>
      <w:r>
        <w:t xml:space="preserve"> </w:t>
      </w:r>
      <w:r w:rsidRPr="006C158E">
        <w:t>set up the process of clearing two blocks of 1 MHz of spectrum into which the downshift would ultimately occur. In order to allocate these two blocks of 1 MHz as a spectrum licence, as part of this approach for reconfiguring the 900 MHz band</w:t>
      </w:r>
      <w:r>
        <w:t>,</w:t>
      </w:r>
      <w:r w:rsidRPr="006C158E">
        <w:t xml:space="preserve"> the ACMA </w:t>
      </w:r>
      <w:r>
        <w:t>would</w:t>
      </w:r>
      <w:r w:rsidRPr="006C158E">
        <w:t xml:space="preserve"> attach the 2 x 1 MHz </w:t>
      </w:r>
      <w:r>
        <w:t xml:space="preserve">lot </w:t>
      </w:r>
      <w:r w:rsidRPr="006C158E">
        <w:t>to the lower 2 x 5 MHz lot in the 900 MHz band</w:t>
      </w:r>
      <w:r>
        <w:t>.</w:t>
      </w:r>
    </w:p>
    <w:p w14:paraId="54D85C72" w14:textId="75E87423" w:rsidR="001843C3" w:rsidRDefault="00500E1B" w:rsidP="00500E1B">
      <w:pPr>
        <w:pStyle w:val="Paragraph"/>
      </w:pPr>
      <w:r>
        <w:t>The</w:t>
      </w:r>
      <w:r w:rsidR="001843C3">
        <w:t xml:space="preserve"> intended </w:t>
      </w:r>
      <w:r>
        <w:t>arrangements of the 850/900 MHz</w:t>
      </w:r>
      <w:r w:rsidR="001E429F">
        <w:t xml:space="preserve"> band</w:t>
      </w:r>
      <w:r>
        <w:t xml:space="preserve"> as a result of the decision paper </w:t>
      </w:r>
      <w:r w:rsidR="00CB3735">
        <w:t>are</w:t>
      </w:r>
      <w:r>
        <w:t xml:space="preserve"> illustrated in </w:t>
      </w:r>
      <w:r>
        <w:fldChar w:fldCharType="begin"/>
      </w:r>
      <w:r>
        <w:instrText xml:space="preserve"> REF _Ref38535239 \r \h </w:instrText>
      </w:r>
      <w:r>
        <w:fldChar w:fldCharType="separate"/>
      </w:r>
      <w:r>
        <w:t>Figure 11</w:t>
      </w:r>
      <w:r>
        <w:fldChar w:fldCharType="end"/>
      </w:r>
      <w:r>
        <w:t>.</w:t>
      </w:r>
      <w:r w:rsidR="00CB3735">
        <w:t xml:space="preserve">  </w:t>
      </w:r>
    </w:p>
    <w:p w14:paraId="6F64F4D9" w14:textId="5995ABB1" w:rsidR="00500E1B" w:rsidRDefault="00500E1B" w:rsidP="00334CC9">
      <w:pPr>
        <w:pStyle w:val="ACMAFigureHeader"/>
        <w:keepNext/>
      </w:pPr>
      <w:bookmarkStart w:id="130" w:name="_Ref38535239"/>
      <w:r>
        <w:lastRenderedPageBreak/>
        <w:t xml:space="preserve">Comparison </w:t>
      </w:r>
      <w:r w:rsidR="00220E62">
        <w:t>between</w:t>
      </w:r>
      <w:r>
        <w:t xml:space="preserve"> current arrangements in the 850/900 MHz band and intended arrangements</w:t>
      </w:r>
    </w:p>
    <w:bookmarkEnd w:id="130"/>
    <w:p w14:paraId="5A1EA41B" w14:textId="60ADEF5F" w:rsidR="001401EC" w:rsidRDefault="009D5093" w:rsidP="00495C68">
      <w:r>
        <w:rPr>
          <w:noProof/>
        </w:rPr>
        <w:drawing>
          <wp:inline distT="0" distB="0" distL="0" distR="0" wp14:anchorId="79E9351B" wp14:editId="1F306F10">
            <wp:extent cx="5927330" cy="2135724"/>
            <wp:effectExtent l="0" t="0" r="0" b="0"/>
            <wp:docPr id="20" name="Picture 20" descr="Comparison between current arrangements in the 850/900 MHz band and intended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9055" cy="2143552"/>
                    </a:xfrm>
                    <a:prstGeom prst="rect">
                      <a:avLst/>
                    </a:prstGeom>
                  </pic:spPr>
                </pic:pic>
              </a:graphicData>
            </a:graphic>
          </wp:inline>
        </w:drawing>
      </w:r>
    </w:p>
    <w:p w14:paraId="6C2BD3A4" w14:textId="71BC46AB" w:rsidR="00500E1B" w:rsidRDefault="00023D4B">
      <w:pPr>
        <w:pStyle w:val="Tableorfigurenote"/>
      </w:pPr>
      <w:r>
        <w:t>Note:</w:t>
      </w:r>
      <w:r w:rsidR="00500E1B">
        <w:t xml:space="preserve"> Not to scale</w:t>
      </w:r>
    </w:p>
    <w:p w14:paraId="41397CCF" w14:textId="20328199" w:rsidR="00500E1B" w:rsidRPr="00D943E4" w:rsidRDefault="009D5093" w:rsidP="009D2812">
      <w:pPr>
        <w:pStyle w:val="Paragraph"/>
      </w:pPr>
      <w:r>
        <w:t>Parts of the spectrum that the decision paper noted should be re</w:t>
      </w:r>
      <w:r w:rsidR="00C5061F">
        <w:t>-</w:t>
      </w:r>
      <w:r>
        <w:t>allocated by issuing spectrum licences are highlighted in pink.</w:t>
      </w:r>
      <w:r w:rsidR="00CB3735">
        <w:t xml:space="preserve"> </w:t>
      </w:r>
    </w:p>
    <w:sectPr w:rsidR="00500E1B" w:rsidRPr="00D943E4" w:rsidSect="00C77380">
      <w:headerReference w:type="even" r:id="rId56"/>
      <w:headerReference w:type="default" r:id="rId57"/>
      <w:footerReference w:type="even" r:id="rId58"/>
      <w:footerReference w:type="default" r:id="rId59"/>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B81FAE" w14:textId="77777777" w:rsidR="0090074D" w:rsidRDefault="0090074D">
      <w:r>
        <w:separator/>
      </w:r>
    </w:p>
  </w:endnote>
  <w:endnote w:type="continuationSeparator" w:id="0">
    <w:p w14:paraId="232A9C07" w14:textId="77777777" w:rsidR="0090074D" w:rsidRDefault="0090074D">
      <w:r>
        <w:continuationSeparator/>
      </w:r>
    </w:p>
  </w:endnote>
  <w:endnote w:type="continuationNotice" w:id="1">
    <w:p w14:paraId="710CD7E3" w14:textId="77777777" w:rsidR="0090074D" w:rsidRDefault="009007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Vrinda">
    <w:panose1 w:val="00000400000000000000"/>
    <w:charset w:val="00"/>
    <w:family w:val="swiss"/>
    <w:pitch w:val="variable"/>
    <w:sig w:usb0="0001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2F027A" w14:textId="77777777" w:rsidR="0090074D" w:rsidRDefault="0090074D" w:rsidP="005E250B">
    <w:pPr>
      <w:pStyle w:val="Footer"/>
      <w:jc w:val="right"/>
    </w:pPr>
    <w:r w:rsidRPr="005E250B">
      <w:rPr>
        <w:noProof/>
        <w:vertAlign w:val="subscript"/>
      </w:rPr>
      <w:drawing>
        <wp:inline distT="0" distB="0" distL="0" distR="0" wp14:anchorId="5449373D" wp14:editId="17D8FB53">
          <wp:extent cx="1066800" cy="277368"/>
          <wp:effectExtent l="0" t="0" r="0" b="0"/>
          <wp:docPr id="12" name="Picture 12"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ma.gov.au">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36E9ED" w14:textId="77777777" w:rsidR="0090074D" w:rsidRDefault="0090074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842DE9" w14:textId="77777777" w:rsidR="0090074D" w:rsidRDefault="0090074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13821B" w14:textId="77777777" w:rsidR="0090074D" w:rsidRPr="00622A3B" w:rsidRDefault="0090074D"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iv</w:t>
    </w:r>
    <w:r w:rsidRPr="002E4DDC">
      <w:rPr>
        <w:color w:val="505050"/>
      </w:rPr>
      <w:fldChar w:fldCharType="end"/>
    </w:r>
  </w:p>
  <w:p w14:paraId="6272FFBA" w14:textId="77777777" w:rsidR="0090074D" w:rsidRPr="00A5474E" w:rsidRDefault="0090074D"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43BEC9" w14:textId="77777777" w:rsidR="0090074D" w:rsidRPr="00622A3B" w:rsidRDefault="0090074D"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v</w:t>
    </w:r>
    <w:r w:rsidRPr="002E4DDC">
      <w:rPr>
        <w:color w:val="505050"/>
      </w:rPr>
      <w:fldChar w:fldCharType="end"/>
    </w:r>
  </w:p>
  <w:p w14:paraId="13FB138B" w14:textId="77777777" w:rsidR="0090074D" w:rsidRPr="00A5474E" w:rsidRDefault="0090074D"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201D4E" w14:textId="77777777" w:rsidR="0090074D" w:rsidRPr="00622A3B" w:rsidRDefault="0090074D"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Pr>
        <w:noProof/>
        <w:color w:val="505050"/>
      </w:rPr>
      <w:t>iii</w:t>
    </w:r>
    <w:r w:rsidRPr="002E4DDC">
      <w:rPr>
        <w:color w:val="505050"/>
      </w:rPr>
      <w:fldChar w:fldCharType="end"/>
    </w:r>
  </w:p>
  <w:p w14:paraId="2D10F7C1" w14:textId="77777777" w:rsidR="0090074D" w:rsidRPr="00A5474E" w:rsidRDefault="0090074D"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150F50" w14:textId="77777777" w:rsidR="0090074D" w:rsidRPr="00622A3B" w:rsidRDefault="0090074D"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52F9409D" w14:textId="77777777" w:rsidR="0090074D" w:rsidRPr="00A5474E" w:rsidRDefault="0090074D"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CF4C19" w14:textId="77777777" w:rsidR="0090074D" w:rsidRPr="00622A3B" w:rsidRDefault="0090074D"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Pr>
        <w:noProof/>
        <w:color w:val="505050"/>
      </w:rPr>
      <w:t>1</w:t>
    </w:r>
    <w:r w:rsidRPr="00575AC5">
      <w:rPr>
        <w:color w:val="505050"/>
      </w:rPr>
      <w:fldChar w:fldCharType="end"/>
    </w:r>
  </w:p>
  <w:p w14:paraId="19A74868" w14:textId="77777777" w:rsidR="0090074D" w:rsidRPr="00A5474E" w:rsidRDefault="0090074D"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29A3FAC" w14:textId="77777777" w:rsidR="0090074D" w:rsidRDefault="0090074D" w:rsidP="00023D4B">
      <w:pPr>
        <w:spacing w:after="0"/>
      </w:pPr>
      <w:r>
        <w:separator/>
      </w:r>
    </w:p>
  </w:footnote>
  <w:footnote w:type="continuationSeparator" w:id="0">
    <w:p w14:paraId="72F55C80" w14:textId="77777777" w:rsidR="0090074D" w:rsidRDefault="0090074D">
      <w:r>
        <w:continuationSeparator/>
      </w:r>
    </w:p>
  </w:footnote>
  <w:footnote w:type="continuationNotice" w:id="1">
    <w:p w14:paraId="452757B4" w14:textId="77777777" w:rsidR="0090074D" w:rsidRDefault="0090074D">
      <w:pPr>
        <w:spacing w:after="0" w:line="240" w:lineRule="auto"/>
      </w:pPr>
    </w:p>
  </w:footnote>
  <w:footnote w:id="2">
    <w:p w14:paraId="7CB10653" w14:textId="26709B27" w:rsidR="0090074D" w:rsidRDefault="0090074D">
      <w:pPr>
        <w:pStyle w:val="FootnoteText"/>
      </w:pPr>
      <w:r>
        <w:rPr>
          <w:rStyle w:val="FootnoteReference"/>
        </w:rPr>
        <w:footnoteRef/>
      </w:r>
      <w:r>
        <w:t xml:space="preserve"> International Mobile Telecommunications (IMT) and </w:t>
      </w:r>
      <w:r w:rsidRPr="006826DB">
        <w:t xml:space="preserve">standardised (through </w:t>
      </w:r>
      <w:r>
        <w:t>the 3</w:t>
      </w:r>
      <w:r w:rsidRPr="006826DB">
        <w:rPr>
          <w:vertAlign w:val="superscript"/>
        </w:rPr>
        <w:t>rd</w:t>
      </w:r>
      <w:r>
        <w:t xml:space="preserve"> Generation Partnership Project, or </w:t>
      </w:r>
      <w:r w:rsidRPr="006826DB">
        <w:t>3GPP) for 2</w:t>
      </w:r>
      <w:r w:rsidRPr="006826DB">
        <w:rPr>
          <w:vertAlign w:val="superscript"/>
        </w:rPr>
        <w:t>nd</w:t>
      </w:r>
      <w:r w:rsidRPr="006826DB">
        <w:t>, 3</w:t>
      </w:r>
      <w:r w:rsidRPr="006826DB">
        <w:rPr>
          <w:vertAlign w:val="superscript"/>
        </w:rPr>
        <w:t>rd</w:t>
      </w:r>
      <w:r w:rsidRPr="006826DB">
        <w:t xml:space="preserve"> and 4</w:t>
      </w:r>
      <w:r w:rsidRPr="006826DB">
        <w:rPr>
          <w:vertAlign w:val="superscript"/>
        </w:rPr>
        <w:t>th</w:t>
      </w:r>
      <w:r w:rsidRPr="006826DB">
        <w:t xml:space="preserve"> g</w:t>
      </w:r>
      <w:r>
        <w:t>eneration mobile technologies.</w:t>
      </w:r>
    </w:p>
  </w:footnote>
  <w:footnote w:id="3">
    <w:p w14:paraId="1E5C6FB6" w14:textId="7C4C1C20" w:rsidR="0090074D" w:rsidRDefault="0090074D">
      <w:pPr>
        <w:pStyle w:val="FootnoteText"/>
      </w:pPr>
      <w:r>
        <w:rPr>
          <w:rStyle w:val="FootnoteReference"/>
        </w:rPr>
        <w:footnoteRef/>
      </w:r>
      <w:r>
        <w:t xml:space="preserve"> This spectrum will be referred to in this paper as the ‘downshift frequencies’.</w:t>
      </w:r>
    </w:p>
  </w:footnote>
  <w:footnote w:id="4">
    <w:p w14:paraId="1147972C" w14:textId="7C0565A8" w:rsidR="0090074D" w:rsidRDefault="0090074D">
      <w:pPr>
        <w:pStyle w:val="FootnoteText"/>
      </w:pPr>
      <w:r>
        <w:rPr>
          <w:rStyle w:val="FootnoteReference"/>
        </w:rPr>
        <w:footnoteRef/>
      </w:r>
      <w:r>
        <w:t xml:space="preserve"> </w:t>
      </w:r>
      <w:r w:rsidRPr="004F6F01">
        <w:t>Cordless telephone services also operate in the band under class licensing arrangements</w:t>
      </w:r>
      <w:r>
        <w:t>.</w:t>
      </w:r>
    </w:p>
  </w:footnote>
  <w:footnote w:id="5">
    <w:p w14:paraId="4ECE3702" w14:textId="34DE5F49" w:rsidR="0090074D" w:rsidRDefault="0090074D" w:rsidP="00D61EF2">
      <w:pPr>
        <w:pStyle w:val="FootnoteText"/>
      </w:pPr>
      <w:r>
        <w:rPr>
          <w:rStyle w:val="FootnoteReference"/>
        </w:rPr>
        <w:footnoteRef/>
      </w:r>
      <w:r>
        <w:t xml:space="preserve"> </w:t>
      </w:r>
      <w:r w:rsidRPr="00D61EF2">
        <w:t xml:space="preserve">The purpose of this RALI is to set out spectrum </w:t>
      </w:r>
      <w:r>
        <w:t>policy</w:t>
      </w:r>
      <w:r w:rsidRPr="00D61EF2">
        <w:t xml:space="preserve"> arrangements for radiocommunications services in the frequency </w:t>
      </w:r>
      <w:r>
        <w:t>range</w:t>
      </w:r>
      <w:r w:rsidRPr="00D61EF2">
        <w:t xml:space="preserve"> 803</w:t>
      </w:r>
      <w:r>
        <w:t>–</w:t>
      </w:r>
      <w:r w:rsidRPr="00D61EF2">
        <w:t xml:space="preserve">890 MHz (known as the 800 MHz Band). </w:t>
      </w:r>
      <w:r>
        <w:t>RALI MS 40 is an administrative band plan.</w:t>
      </w:r>
    </w:p>
  </w:footnote>
  <w:footnote w:id="6">
    <w:p w14:paraId="3FD620C7" w14:textId="5EEFF3F2" w:rsidR="0090074D" w:rsidRPr="00CE5B5C" w:rsidRDefault="0090074D">
      <w:pPr>
        <w:pStyle w:val="FootnoteText"/>
      </w:pPr>
      <w:r>
        <w:rPr>
          <w:rStyle w:val="FootnoteReference"/>
        </w:rPr>
        <w:footnoteRef/>
      </w:r>
      <w:r>
        <w:t xml:space="preserve"> ACMA,</w:t>
      </w:r>
      <w:r>
        <w:rPr>
          <w:i/>
        </w:rPr>
        <w:t xml:space="preserve"> Corporate plan 2019</w:t>
      </w:r>
      <w:r>
        <w:t>–</w:t>
      </w:r>
      <w:r>
        <w:rPr>
          <w:i/>
        </w:rPr>
        <w:t>20</w:t>
      </w:r>
      <w:r>
        <w:t>.</w:t>
      </w:r>
    </w:p>
  </w:footnote>
  <w:footnote w:id="7">
    <w:p w14:paraId="13B2E659" w14:textId="78FDEB2F" w:rsidR="0090074D" w:rsidRPr="00CC1B61" w:rsidRDefault="0090074D">
      <w:pPr>
        <w:pStyle w:val="FootnoteText"/>
      </w:pPr>
      <w:r>
        <w:rPr>
          <w:rStyle w:val="FootnoteReference"/>
        </w:rPr>
        <w:footnoteRef/>
      </w:r>
      <w:r>
        <w:t xml:space="preserve"> Department of Infrastructure, Transport, Regional Development and Communications, </w:t>
      </w:r>
      <w:hyperlink r:id="rId1" w:history="1">
        <w:r w:rsidRPr="00CC1B61">
          <w:rPr>
            <w:rStyle w:val="Hyperlink"/>
            <w:i/>
            <w:iCs/>
          </w:rPr>
          <w:t>Communications policy objectives for the allocation of the 850 and 900</w:t>
        </w:r>
        <w:r w:rsidRPr="00CC1B61">
          <w:rPr>
            <w:rStyle w:val="Hyperlink"/>
          </w:rPr>
          <w:t> </w:t>
        </w:r>
        <w:r w:rsidRPr="005352CF">
          <w:rPr>
            <w:rStyle w:val="Hyperlink"/>
            <w:i/>
            <w:iCs/>
          </w:rPr>
          <w:t>MHz bands</w:t>
        </w:r>
      </w:hyperlink>
      <w:r>
        <w:t>, May 2020</w:t>
      </w:r>
      <w:r w:rsidRPr="005352CF">
        <w:rPr>
          <w:i/>
          <w:iCs/>
        </w:rPr>
        <w:t>.</w:t>
      </w:r>
    </w:p>
  </w:footnote>
  <w:footnote w:id="8">
    <w:p w14:paraId="19193580" w14:textId="77777777" w:rsidR="0090074D" w:rsidRDefault="0090074D" w:rsidP="00FD4EB7">
      <w:pPr>
        <w:pStyle w:val="FootnoteText"/>
      </w:pPr>
      <w:r>
        <w:rPr>
          <w:rStyle w:val="FootnoteReference"/>
        </w:rPr>
        <w:footnoteRef/>
      </w:r>
      <w:r>
        <w:t xml:space="preserve"> See the Minister’s media release ‘</w:t>
      </w:r>
      <w:hyperlink r:id="rId2" w:history="1">
        <w:r w:rsidRPr="00511D96">
          <w:rPr>
            <w:rStyle w:val="Hyperlink"/>
          </w:rPr>
          <w:t>Pathway to deliver more low-band spectrum</w:t>
        </w:r>
      </w:hyperlink>
      <w:r>
        <w:t>’, 19 December 2019.</w:t>
      </w:r>
    </w:p>
  </w:footnote>
  <w:footnote w:id="9">
    <w:p w14:paraId="77263927" w14:textId="12FD6CF2" w:rsidR="0090074D" w:rsidRDefault="0090074D" w:rsidP="00FD4EB7">
      <w:pPr>
        <w:pStyle w:val="FootnoteText"/>
      </w:pPr>
      <w:r>
        <w:rPr>
          <w:rStyle w:val="FootnoteReference"/>
        </w:rPr>
        <w:footnoteRef/>
      </w:r>
      <w:r>
        <w:t xml:space="preserve"> See, for example, the </w:t>
      </w:r>
      <w:hyperlink r:id="rId3" w:history="1">
        <w:r w:rsidRPr="00630869">
          <w:rPr>
            <w:rStyle w:val="Hyperlink"/>
            <w:i/>
            <w:iCs/>
          </w:rPr>
          <w:t>Draft ministerial direction on unsold 700</w:t>
        </w:r>
        <w:r>
          <w:rPr>
            <w:rStyle w:val="Hyperlink"/>
            <w:i/>
            <w:iCs/>
          </w:rPr>
          <w:t> MHz</w:t>
        </w:r>
        <w:r w:rsidRPr="00630869">
          <w:rPr>
            <w:rStyle w:val="Hyperlink"/>
            <w:i/>
            <w:iCs/>
          </w:rPr>
          <w:t xml:space="preserve"> spectrum</w:t>
        </w:r>
      </w:hyperlink>
      <w:r>
        <w:rPr>
          <w:rStyle w:val="Hyperlink"/>
          <w:i/>
          <w:iCs/>
        </w:rPr>
        <w:t>.</w:t>
      </w:r>
      <w:r>
        <w:rPr>
          <w:i/>
          <w:iCs/>
        </w:rPr>
        <w:t xml:space="preserve"> </w:t>
      </w:r>
    </w:p>
  </w:footnote>
  <w:footnote w:id="10">
    <w:p w14:paraId="1A6A4C5C" w14:textId="366E856C" w:rsidR="0090074D" w:rsidRDefault="0090074D" w:rsidP="006D29DA">
      <w:pPr>
        <w:pStyle w:val="FootnoteText"/>
      </w:pPr>
      <w:r>
        <w:rPr>
          <w:rStyle w:val="FootnoteReference"/>
        </w:rPr>
        <w:footnoteRef/>
      </w:r>
      <w:r>
        <w:t xml:space="preserve"> ACMA, </w:t>
      </w:r>
      <w:hyperlink r:id="rId4" w:history="1">
        <w:r w:rsidRPr="003040D4">
          <w:rPr>
            <w:rStyle w:val="Hyperlink"/>
          </w:rPr>
          <w:t>RALI MS 40</w:t>
        </w:r>
      </w:hyperlink>
      <w:r>
        <w:t>, Section 153G notice.</w:t>
      </w:r>
    </w:p>
  </w:footnote>
  <w:footnote w:id="11">
    <w:p w14:paraId="1D3672E2" w14:textId="1E3EA66A" w:rsidR="0090074D" w:rsidRDefault="0090074D">
      <w:pPr>
        <w:pStyle w:val="FootnoteText"/>
      </w:pPr>
      <w:r>
        <w:rPr>
          <w:rStyle w:val="FootnoteReference"/>
        </w:rPr>
        <w:footnoteRef/>
      </w:r>
      <w:r>
        <w:t xml:space="preserve"> ACMA, </w:t>
      </w:r>
      <w:hyperlink r:id="rId5" w:history="1">
        <w:r w:rsidRPr="00123A98">
          <w:rPr>
            <w:rStyle w:val="Hyperlink"/>
          </w:rPr>
          <w:t>Embargo 64</w:t>
        </w:r>
      </w:hyperlink>
      <w:r w:rsidRPr="00441D70">
        <w:rPr>
          <w:rStyle w:val="Hyperlink"/>
          <w:color w:val="auto"/>
          <w:u w:val="none"/>
        </w:rPr>
        <w:t>.</w:t>
      </w:r>
    </w:p>
  </w:footnote>
  <w:footnote w:id="12">
    <w:p w14:paraId="1ACB659B" w14:textId="7213F26F" w:rsidR="0090074D" w:rsidRDefault="0090074D" w:rsidP="00FF146D">
      <w:pPr>
        <w:pStyle w:val="FootnoteText"/>
      </w:pPr>
      <w:r>
        <w:rPr>
          <w:rStyle w:val="FootnoteReference"/>
        </w:rPr>
        <w:footnoteRef/>
      </w:r>
      <w:r>
        <w:t xml:space="preserve"> As an alternative to the reconfiguration of the 900 MHz band into paired 5 MHz blocks, l</w:t>
      </w:r>
      <w:r w:rsidRPr="007A6FA2">
        <w:t>icensees</w:t>
      </w:r>
      <w:r>
        <w:t xml:space="preserve"> under the current configuration</w:t>
      </w:r>
      <w:r w:rsidRPr="007A6FA2">
        <w:t xml:space="preserve"> have previously </w:t>
      </w:r>
      <w:r>
        <w:t>suggested the</w:t>
      </w:r>
      <w:r w:rsidRPr="007A6FA2">
        <w:t xml:space="preserve"> deploy</w:t>
      </w:r>
      <w:r>
        <w:t>ment of</w:t>
      </w:r>
      <w:r w:rsidRPr="007A6FA2">
        <w:t xml:space="preserve"> </w:t>
      </w:r>
      <w:r>
        <w:t>narrowband Internet of Things (NB-IoT)</w:t>
      </w:r>
      <w:r w:rsidRPr="007A6FA2">
        <w:t xml:space="preserve"> in the ‘remaining’ 3.2/3.4 </w:t>
      </w:r>
      <w:r>
        <w:t>M</w:t>
      </w:r>
      <w:r w:rsidRPr="007A6FA2">
        <w:t>Hz paired (</w:t>
      </w:r>
      <w:r>
        <w:t>that is,</w:t>
      </w:r>
      <w:r w:rsidRPr="007A6FA2">
        <w:t xml:space="preserve"> the spectrum leftover after 2 x 5 MHz is put to use for 3G/4G)</w:t>
      </w:r>
      <w:r>
        <w:t>. We</w:t>
      </w:r>
      <w:r w:rsidRPr="007A6FA2">
        <w:t xml:space="preserve"> consider this to be an inefficient use of this spectrum</w:t>
      </w:r>
      <w:r>
        <w:t>.</w:t>
      </w:r>
      <w:r w:rsidRPr="007A6FA2">
        <w:t xml:space="preserve"> </w:t>
      </w:r>
      <w:r>
        <w:t>A</w:t>
      </w:r>
      <w:r w:rsidRPr="007A6FA2">
        <w:t>nticipated traffic demand for NB-IoT could be met with a much smaller allocation</w:t>
      </w:r>
      <w:r>
        <w:t xml:space="preserve"> and</w:t>
      </w:r>
      <w:r w:rsidRPr="007A6FA2">
        <w:t xml:space="preserve"> the 5 MHz block-based configuration is no barrier to deploying NB-IoT technologies if operators wish to do so.</w:t>
      </w:r>
    </w:p>
  </w:footnote>
  <w:footnote w:id="13">
    <w:p w14:paraId="684DD192" w14:textId="7DC4B317" w:rsidR="0090074D" w:rsidRDefault="0090074D">
      <w:pPr>
        <w:pStyle w:val="FootnoteText"/>
      </w:pPr>
      <w:r>
        <w:rPr>
          <w:rStyle w:val="FootnoteReference"/>
        </w:rPr>
        <w:footnoteRef/>
      </w:r>
      <w:r>
        <w:t xml:space="preserve"> See, for example, the ACCC’s </w:t>
      </w:r>
      <w:hyperlink r:id="rId6" w:history="1">
        <w:r w:rsidRPr="004D7B5A">
          <w:rPr>
            <w:rStyle w:val="Hyperlink"/>
            <w:i/>
            <w:iCs/>
          </w:rPr>
          <w:t>Allocation limits advice for the 3.6 GHz spectrum allocation Public version July 2018</w:t>
        </w:r>
      </w:hyperlink>
      <w:r w:rsidRPr="00441D70">
        <w:rPr>
          <w:rStyle w:val="Hyperlink"/>
          <w:color w:val="auto"/>
          <w:u w:val="none"/>
        </w:rPr>
        <w:t>.</w:t>
      </w:r>
    </w:p>
  </w:footnote>
  <w:footnote w:id="14">
    <w:p w14:paraId="275B8233" w14:textId="32CB59A8" w:rsidR="0090074D" w:rsidRDefault="0090074D">
      <w:pPr>
        <w:pStyle w:val="FootnoteText"/>
      </w:pPr>
      <w:r>
        <w:rPr>
          <w:rStyle w:val="FootnoteReference"/>
        </w:rPr>
        <w:footnoteRef/>
      </w:r>
      <w:r>
        <w:t xml:space="preserve"> The frequency ranges 824–825 MHz and 869–870 MHz.</w:t>
      </w:r>
    </w:p>
  </w:footnote>
  <w:footnote w:id="15">
    <w:p w14:paraId="73F6DD66" w14:textId="77777777" w:rsidR="0090074D" w:rsidRDefault="0090074D" w:rsidP="00ED29E5">
      <w:pPr>
        <w:pStyle w:val="FootnoteText"/>
      </w:pPr>
      <w:r>
        <w:rPr>
          <w:rStyle w:val="FootnoteReference"/>
        </w:rPr>
        <w:footnoteRef/>
      </w:r>
      <w:r>
        <w:t xml:space="preserve"> This is true where bid prices are a proxy for the value of the service for which the spectrum will be put to use. The assumption is that those that </w:t>
      </w:r>
      <w:r w:rsidRPr="006C0700">
        <w:t>value spectrum most would go on to create the highest social and economic value with that spectrum</w:t>
      </w:r>
      <w:r>
        <w:t>.</w:t>
      </w:r>
    </w:p>
  </w:footnote>
  <w:footnote w:id="16">
    <w:p w14:paraId="6B81F33C" w14:textId="77777777" w:rsidR="0090074D" w:rsidRDefault="0090074D" w:rsidP="00662302">
      <w:pPr>
        <w:pStyle w:val="FootnoteText"/>
      </w:pPr>
      <w:r>
        <w:rPr>
          <w:rStyle w:val="FootnoteReference"/>
        </w:rPr>
        <w:footnoteRef/>
      </w:r>
      <w:r>
        <w:t xml:space="preserve"> The auction format used in the 3.6 GHz allocation was referred to as the enhanced simultaneous multi-round ascending (ESMRA) auction. </w:t>
      </w:r>
    </w:p>
  </w:footnote>
  <w:footnote w:id="17">
    <w:p w14:paraId="49547FFF" w14:textId="3E97F1AD" w:rsidR="0090074D" w:rsidRDefault="0090074D">
      <w:pPr>
        <w:pStyle w:val="FootnoteText"/>
      </w:pPr>
      <w:r>
        <w:rPr>
          <w:rStyle w:val="FootnoteReference"/>
        </w:rPr>
        <w:footnoteRef/>
      </w:r>
      <w:r>
        <w:t xml:space="preserve"> Vickrey pricing selects the highest value frequency assignment but bidders pay the next highest value bid by others for that assignment, that is, the second price. Nearest Vickrey core pricing modifies this approach to ensure that there is not a bidder/group of bidders who bid more for the frequency assignment than the price paid by the winning bidder(s). </w:t>
      </w:r>
    </w:p>
  </w:footnote>
  <w:footnote w:id="18">
    <w:p w14:paraId="424E3D64" w14:textId="144E858A" w:rsidR="0090074D" w:rsidRDefault="0090074D" w:rsidP="00B83AE2">
      <w:pPr>
        <w:pStyle w:val="FootnoteText"/>
      </w:pPr>
      <w:r>
        <w:rPr>
          <w:rStyle w:val="FootnoteReference"/>
        </w:rPr>
        <w:footnoteRef/>
      </w:r>
      <w:r>
        <w:t xml:space="preserve"> This includes 2 x 1 MHz downshift frequencies.</w:t>
      </w:r>
    </w:p>
  </w:footnote>
  <w:footnote w:id="19">
    <w:p w14:paraId="55DD20EE" w14:textId="4CA29788" w:rsidR="0090074D" w:rsidRDefault="0090074D" w:rsidP="0031624E">
      <w:pPr>
        <w:pStyle w:val="FootnoteText"/>
      </w:pPr>
      <w:r>
        <w:rPr>
          <w:rStyle w:val="FootnoteReference"/>
        </w:rPr>
        <w:footnoteRef/>
      </w:r>
      <w:r>
        <w:t xml:space="preserve"> One 2 x 5 MHz lot may be excluded from the re-allocation subject to a PSMB request.</w:t>
      </w:r>
    </w:p>
  </w:footnote>
  <w:footnote w:id="20">
    <w:p w14:paraId="2DCB1709" w14:textId="5F34D2CD" w:rsidR="0090074D" w:rsidDel="00980FAC" w:rsidRDefault="0090074D">
      <w:pPr>
        <w:pStyle w:val="FootnoteText"/>
      </w:pPr>
      <w:r w:rsidDel="00980FAC">
        <w:rPr>
          <w:rStyle w:val="FootnoteReference"/>
        </w:rPr>
        <w:footnoteRef/>
      </w:r>
      <w:r w:rsidDel="00980FAC">
        <w:t xml:space="preserve"> </w:t>
      </w:r>
      <w:r>
        <w:t xml:space="preserve">One of these 2 x 5 MHz lots (the lower segment of the 900 MHz band) will be attached to 2 x 1 MHz lot of downshift frequencies </w:t>
      </w:r>
      <w:r w:rsidDel="00980FAC">
        <w:t xml:space="preserve">(see </w:t>
      </w:r>
      <w:r w:rsidRPr="007F1765" w:rsidDel="00980FAC">
        <w:fldChar w:fldCharType="begin"/>
      </w:r>
      <w:r w:rsidRPr="007F1765" w:rsidDel="00980FAC">
        <w:instrText xml:space="preserve"> REF _Ref35594176 \r \h </w:instrText>
      </w:r>
      <w:r w:rsidDel="00980FAC">
        <w:instrText xml:space="preserve"> \* MERGEFORMAT </w:instrText>
      </w:r>
      <w:r w:rsidRPr="007F1765" w:rsidDel="00980FAC">
        <w:fldChar w:fldCharType="separate"/>
      </w:r>
      <w:r w:rsidDel="00980FAC">
        <w:t>Table 3</w:t>
      </w:r>
      <w:r w:rsidRPr="007F1765" w:rsidDel="00980FAC">
        <w:fldChar w:fldCharType="end"/>
      </w:r>
      <w:r w:rsidRPr="007F1765" w:rsidDel="00980FAC">
        <w:t xml:space="preserve">, </w:t>
      </w:r>
      <w:r w:rsidRPr="007F1765">
        <w:t>lot</w:t>
      </w:r>
      <w:r>
        <w:t>s</w:t>
      </w:r>
      <w:r w:rsidRPr="007F1765" w:rsidDel="00980FAC">
        <w:t xml:space="preserve"> 4 </w:t>
      </w:r>
      <w:r>
        <w:t>and 5</w:t>
      </w:r>
      <w:r w:rsidRPr="007F1765" w:rsidDel="00980FAC">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F94D82" w14:textId="77777777" w:rsidR="0090074D" w:rsidRPr="00A5474E" w:rsidRDefault="0090074D" w:rsidP="00A5474E">
    <w:pPr>
      <w:pStyle w:val="Header"/>
    </w:pPr>
    <w:r>
      <w:rPr>
        <w:noProof/>
      </w:rPr>
      <w:drawing>
        <wp:inline distT="0" distB="0" distL="0" distR="0" wp14:anchorId="7FCF18ED" wp14:editId="46FC334F">
          <wp:extent cx="6210300" cy="571134"/>
          <wp:effectExtent l="0" t="0" r="0" b="0"/>
          <wp:docPr id="11" name="Picture 11"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10300" cy="57113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8B8EA7" w14:textId="77777777" w:rsidR="0090074D" w:rsidRPr="00A5474E" w:rsidRDefault="0090074D"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5ACFA0" w14:textId="77777777" w:rsidR="0090074D" w:rsidRDefault="0090074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DE228D" w14:textId="77777777" w:rsidR="0090074D" w:rsidRDefault="0090074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9AA8E1" w14:textId="77777777" w:rsidR="0090074D" w:rsidRDefault="0090074D"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ACMAtablestyle"/>
      <w:tblW w:w="7678" w:type="dxa"/>
      <w:tblLayout w:type="fixed"/>
      <w:tblLook w:val="01E0" w:firstRow="1" w:lastRow="1" w:firstColumn="1" w:lastColumn="1" w:noHBand="0" w:noVBand="0"/>
    </w:tblPr>
    <w:tblGrid>
      <w:gridCol w:w="7678"/>
    </w:tblGrid>
    <w:tr w:rsidR="0090074D" w14:paraId="777B4143" w14:textId="77777777" w:rsidTr="0023390F">
      <w:trPr>
        <w:cnfStyle w:val="100000000000" w:firstRow="1" w:lastRow="0" w:firstColumn="0" w:lastColumn="0" w:oddVBand="0" w:evenVBand="0" w:oddHBand="0" w:evenHBand="0" w:firstRowFirstColumn="0" w:firstRowLastColumn="0" w:lastRowFirstColumn="0" w:lastRowLastColumn="0"/>
        <w:trHeight w:hRule="exact" w:val="988"/>
      </w:trPr>
      <w:tc>
        <w:tcPr>
          <w:tcW w:w="7678" w:type="dxa"/>
        </w:tcPr>
        <w:p w14:paraId="7A570582" w14:textId="77777777" w:rsidR="0090074D" w:rsidRDefault="0090074D" w:rsidP="00971914">
          <w:pPr>
            <w:pStyle w:val="Header"/>
          </w:pPr>
        </w:p>
      </w:tc>
    </w:tr>
    <w:tr w:rsidR="0090074D" w14:paraId="2A2CE35A" w14:textId="77777777" w:rsidTr="0023390F">
      <w:trPr>
        <w:cnfStyle w:val="000000100000" w:firstRow="0" w:lastRow="0" w:firstColumn="0" w:lastColumn="0" w:oddVBand="0" w:evenVBand="0" w:oddHBand="1" w:evenHBand="0" w:firstRowFirstColumn="0" w:firstRowLastColumn="0" w:lastRowFirstColumn="0" w:lastRowLastColumn="0"/>
      </w:trPr>
      <w:tc>
        <w:tcPr>
          <w:tcW w:w="7678" w:type="dxa"/>
        </w:tcPr>
        <w:p w14:paraId="4E839D0D" w14:textId="77777777" w:rsidR="0090074D" w:rsidRDefault="0090074D" w:rsidP="00971914">
          <w:pPr>
            <w:pStyle w:val="GridTable31"/>
          </w:pPr>
          <w:r>
            <w:t xml:space="preserve">Contents </w:t>
          </w:r>
          <w:r w:rsidRPr="00915B1C">
            <w:rPr>
              <w:b w:val="0"/>
              <w:spacing w:val="0"/>
              <w:sz w:val="28"/>
              <w:szCs w:val="28"/>
            </w:rPr>
            <w:t>(Continued)</w:t>
          </w:r>
        </w:p>
      </w:tc>
    </w:tr>
    <w:tr w:rsidR="0090074D" w14:paraId="75BFA6D1" w14:textId="77777777" w:rsidTr="0023390F">
      <w:trPr>
        <w:cnfStyle w:val="000000010000" w:firstRow="0" w:lastRow="0" w:firstColumn="0" w:lastColumn="0" w:oddVBand="0" w:evenVBand="0" w:oddHBand="0" w:evenHBand="1" w:firstRowFirstColumn="0" w:firstRowLastColumn="0" w:lastRowFirstColumn="0" w:lastRowLastColumn="0"/>
        <w:trHeight w:val="1220"/>
      </w:trPr>
      <w:tc>
        <w:tcPr>
          <w:tcW w:w="7678" w:type="dxa"/>
        </w:tcPr>
        <w:p w14:paraId="171AAF31" w14:textId="77777777" w:rsidR="0090074D" w:rsidRDefault="0090074D" w:rsidP="00971914"/>
      </w:tc>
    </w:tr>
  </w:tbl>
  <w:p w14:paraId="546F8CB9" w14:textId="77777777" w:rsidR="0090074D" w:rsidRPr="00A5474E" w:rsidRDefault="0090074D"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4C7039" w14:textId="77777777" w:rsidR="0090074D" w:rsidRDefault="0090074D">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2B0842" w14:textId="77777777" w:rsidR="0090074D" w:rsidRDefault="0090074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F"/>
    <w:multiLevelType w:val="singleLevel"/>
    <w:tmpl w:val="75F22F60"/>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F2B4954A"/>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3BE4163A"/>
    <w:lvl w:ilvl="0">
      <w:start w:val="1"/>
      <w:numFmt w:val="decimal"/>
      <w:pStyle w:val="ListNumber"/>
      <w:lvlText w:val="%1."/>
      <w:lvlJc w:val="left"/>
      <w:pPr>
        <w:ind w:left="360" w:hanging="360"/>
      </w:pPr>
      <w:rPr>
        <w:rFonts w:hint="default"/>
        <w:b w:val="0"/>
        <w:bCs/>
        <w:caps/>
        <w:sz w:val="20"/>
      </w:rPr>
    </w:lvl>
  </w:abstractNum>
  <w:abstractNum w:abstractNumId="3" w15:restartNumberingAfterBreak="0">
    <w:nsid w:val="FFFFFF89"/>
    <w:multiLevelType w:val="singleLevel"/>
    <w:tmpl w:val="8102D058"/>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DE06B1B"/>
    <w:multiLevelType w:val="hybridMultilevel"/>
    <w:tmpl w:val="788E5DFA"/>
    <w:lvl w:ilvl="0" w:tplc="FE9EAA6A">
      <w:start w:val="1"/>
      <w:numFmt w:val="bullet"/>
      <w:lvlText w:val="&gt;"/>
      <w:lvlJc w:val="left"/>
      <w:pPr>
        <w:ind w:left="425" w:hanging="360"/>
      </w:pPr>
      <w:rPr>
        <w:rFonts w:ascii="Vrinda" w:hAnsi="Vrinda" w:hint="default"/>
        <w:b w:val="0"/>
        <w:sz w:val="20"/>
        <w:szCs w:val="20"/>
      </w:rPr>
    </w:lvl>
    <w:lvl w:ilvl="1" w:tplc="0C090003" w:tentative="1">
      <w:start w:val="1"/>
      <w:numFmt w:val="bullet"/>
      <w:lvlText w:val="o"/>
      <w:lvlJc w:val="left"/>
      <w:pPr>
        <w:ind w:left="1145" w:hanging="360"/>
      </w:pPr>
      <w:rPr>
        <w:rFonts w:ascii="Courier New" w:hAnsi="Courier New" w:cs="Courier New" w:hint="default"/>
      </w:rPr>
    </w:lvl>
    <w:lvl w:ilvl="2" w:tplc="0C090005" w:tentative="1">
      <w:start w:val="1"/>
      <w:numFmt w:val="bullet"/>
      <w:lvlText w:val=""/>
      <w:lvlJc w:val="left"/>
      <w:pPr>
        <w:ind w:left="1865" w:hanging="360"/>
      </w:pPr>
      <w:rPr>
        <w:rFonts w:ascii="Wingdings" w:hAnsi="Wingdings" w:hint="default"/>
      </w:rPr>
    </w:lvl>
    <w:lvl w:ilvl="3" w:tplc="0C090001" w:tentative="1">
      <w:start w:val="1"/>
      <w:numFmt w:val="bullet"/>
      <w:lvlText w:val=""/>
      <w:lvlJc w:val="left"/>
      <w:pPr>
        <w:ind w:left="2585" w:hanging="360"/>
      </w:pPr>
      <w:rPr>
        <w:rFonts w:ascii="Symbol" w:hAnsi="Symbol" w:hint="default"/>
      </w:rPr>
    </w:lvl>
    <w:lvl w:ilvl="4" w:tplc="0C090003" w:tentative="1">
      <w:start w:val="1"/>
      <w:numFmt w:val="bullet"/>
      <w:lvlText w:val="o"/>
      <w:lvlJc w:val="left"/>
      <w:pPr>
        <w:ind w:left="3305" w:hanging="360"/>
      </w:pPr>
      <w:rPr>
        <w:rFonts w:ascii="Courier New" w:hAnsi="Courier New" w:cs="Courier New" w:hint="default"/>
      </w:rPr>
    </w:lvl>
    <w:lvl w:ilvl="5" w:tplc="0C090005" w:tentative="1">
      <w:start w:val="1"/>
      <w:numFmt w:val="bullet"/>
      <w:lvlText w:val=""/>
      <w:lvlJc w:val="left"/>
      <w:pPr>
        <w:ind w:left="4025" w:hanging="360"/>
      </w:pPr>
      <w:rPr>
        <w:rFonts w:ascii="Wingdings" w:hAnsi="Wingdings" w:hint="default"/>
      </w:rPr>
    </w:lvl>
    <w:lvl w:ilvl="6" w:tplc="0C090001" w:tentative="1">
      <w:start w:val="1"/>
      <w:numFmt w:val="bullet"/>
      <w:lvlText w:val=""/>
      <w:lvlJc w:val="left"/>
      <w:pPr>
        <w:ind w:left="4745" w:hanging="360"/>
      </w:pPr>
      <w:rPr>
        <w:rFonts w:ascii="Symbol" w:hAnsi="Symbol" w:hint="default"/>
      </w:rPr>
    </w:lvl>
    <w:lvl w:ilvl="7" w:tplc="0C090003" w:tentative="1">
      <w:start w:val="1"/>
      <w:numFmt w:val="bullet"/>
      <w:lvlText w:val="o"/>
      <w:lvlJc w:val="left"/>
      <w:pPr>
        <w:ind w:left="5465" w:hanging="360"/>
      </w:pPr>
      <w:rPr>
        <w:rFonts w:ascii="Courier New" w:hAnsi="Courier New" w:cs="Courier New" w:hint="default"/>
      </w:rPr>
    </w:lvl>
    <w:lvl w:ilvl="8" w:tplc="0C090005" w:tentative="1">
      <w:start w:val="1"/>
      <w:numFmt w:val="bullet"/>
      <w:lvlText w:val=""/>
      <w:lvlJc w:val="left"/>
      <w:pPr>
        <w:ind w:left="6185" w:hanging="360"/>
      </w:pPr>
      <w:rPr>
        <w:rFonts w:ascii="Wingdings" w:hAnsi="Wingdings" w:hint="default"/>
      </w:rPr>
    </w:lvl>
  </w:abstractNum>
  <w:abstractNum w:abstractNumId="5" w15:restartNumberingAfterBreak="0">
    <w:nsid w:val="24033876"/>
    <w:multiLevelType w:val="multilevel"/>
    <w:tmpl w:val="798E9E3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7" w15:restartNumberingAfterBreak="0">
    <w:nsid w:val="2F5A5080"/>
    <w:multiLevelType w:val="hybridMultilevel"/>
    <w:tmpl w:val="BE2AF6CE"/>
    <w:lvl w:ilvl="0" w:tplc="D05E2434">
      <w:start w:val="1"/>
      <w:numFmt w:val="bullet"/>
      <w:pStyle w:val="ACMABulletLevel1"/>
      <w:lvlText w:val="●"/>
      <w:lvlJc w:val="left"/>
      <w:pPr>
        <w:ind w:left="357" w:hanging="357"/>
      </w:pPr>
      <w:rPr>
        <w:rFonts w:ascii="Arial" w:hAnsi="Arial" w:cs="Arial" w:hint="default"/>
        <w:sz w:val="20"/>
        <w:szCs w:val="20"/>
      </w:rPr>
    </w:lvl>
    <w:lvl w:ilvl="1" w:tplc="04090003">
      <w:start w:val="1"/>
      <w:numFmt w:val="bullet"/>
      <w:lvlText w:val="o"/>
      <w:lvlJc w:val="left"/>
      <w:pPr>
        <w:tabs>
          <w:tab w:val="num" w:pos="1728"/>
        </w:tabs>
        <w:ind w:left="1728" w:hanging="360"/>
      </w:pPr>
      <w:rPr>
        <w:rFonts w:ascii="Courier New" w:hAnsi="Courier New" w:cs="Times New Roman"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cs="Times New Roman"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cs="Times New Roman"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8" w15:restartNumberingAfterBreak="0">
    <w:nsid w:val="35A77699"/>
    <w:multiLevelType w:val="hybridMultilevel"/>
    <w:tmpl w:val="F6248018"/>
    <w:lvl w:ilvl="0" w:tplc="BF5E34F4">
      <w:start w:val="1"/>
      <w:numFmt w:val="decimal"/>
      <w:pStyle w:val="ACMATableHeader"/>
      <w:lvlText w:val="Table %1"/>
      <w:lvlJc w:val="left"/>
      <w:pPr>
        <w:ind w:left="720" w:hanging="360"/>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428C330B"/>
    <w:multiLevelType w:val="hybridMultilevel"/>
    <w:tmpl w:val="ADAAD266"/>
    <w:lvl w:ilvl="0" w:tplc="0C090001">
      <w:start w:val="850"/>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436673AC"/>
    <w:multiLevelType w:val="hybridMultilevel"/>
    <w:tmpl w:val="A4945F22"/>
    <w:lvl w:ilvl="0" w:tplc="FE9EAA6A">
      <w:start w:val="1"/>
      <w:numFmt w:val="bullet"/>
      <w:lvlText w:val="&gt;"/>
      <w:lvlJc w:val="left"/>
      <w:pPr>
        <w:ind w:left="360" w:hanging="360"/>
      </w:pPr>
      <w:rPr>
        <w:rFonts w:ascii="Vrinda" w:hAnsi="Vrinda" w:hint="default"/>
        <w:b w:val="0"/>
        <w:sz w:val="20"/>
        <w:szCs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1" w15:restartNumberingAfterBreak="0">
    <w:nsid w:val="45B274D1"/>
    <w:multiLevelType w:val="hybridMultilevel"/>
    <w:tmpl w:val="152C7FF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555A1D6B"/>
    <w:multiLevelType w:val="hybridMultilevel"/>
    <w:tmpl w:val="7D3853D8"/>
    <w:lvl w:ilvl="0" w:tplc="0C090001">
      <w:start w:val="1"/>
      <w:numFmt w:val="bullet"/>
      <w:lvlText w:val=""/>
      <w:lvlJc w:val="left"/>
      <w:pPr>
        <w:ind w:left="770" w:hanging="360"/>
      </w:pPr>
      <w:rPr>
        <w:rFonts w:ascii="Symbol" w:hAnsi="Symbol" w:hint="default"/>
      </w:rPr>
    </w:lvl>
    <w:lvl w:ilvl="1" w:tplc="0C090003" w:tentative="1">
      <w:start w:val="1"/>
      <w:numFmt w:val="bullet"/>
      <w:lvlText w:val="o"/>
      <w:lvlJc w:val="left"/>
      <w:pPr>
        <w:ind w:left="1490" w:hanging="360"/>
      </w:pPr>
      <w:rPr>
        <w:rFonts w:ascii="Courier New" w:hAnsi="Courier New" w:cs="Courier New" w:hint="default"/>
      </w:rPr>
    </w:lvl>
    <w:lvl w:ilvl="2" w:tplc="0C090005" w:tentative="1">
      <w:start w:val="1"/>
      <w:numFmt w:val="bullet"/>
      <w:lvlText w:val=""/>
      <w:lvlJc w:val="left"/>
      <w:pPr>
        <w:ind w:left="2210" w:hanging="360"/>
      </w:pPr>
      <w:rPr>
        <w:rFonts w:ascii="Wingdings" w:hAnsi="Wingdings" w:hint="default"/>
      </w:rPr>
    </w:lvl>
    <w:lvl w:ilvl="3" w:tplc="0C090001" w:tentative="1">
      <w:start w:val="1"/>
      <w:numFmt w:val="bullet"/>
      <w:lvlText w:val=""/>
      <w:lvlJc w:val="left"/>
      <w:pPr>
        <w:ind w:left="2930" w:hanging="360"/>
      </w:pPr>
      <w:rPr>
        <w:rFonts w:ascii="Symbol" w:hAnsi="Symbol" w:hint="default"/>
      </w:rPr>
    </w:lvl>
    <w:lvl w:ilvl="4" w:tplc="0C090003" w:tentative="1">
      <w:start w:val="1"/>
      <w:numFmt w:val="bullet"/>
      <w:lvlText w:val="o"/>
      <w:lvlJc w:val="left"/>
      <w:pPr>
        <w:ind w:left="3650" w:hanging="360"/>
      </w:pPr>
      <w:rPr>
        <w:rFonts w:ascii="Courier New" w:hAnsi="Courier New" w:cs="Courier New" w:hint="default"/>
      </w:rPr>
    </w:lvl>
    <w:lvl w:ilvl="5" w:tplc="0C090005" w:tentative="1">
      <w:start w:val="1"/>
      <w:numFmt w:val="bullet"/>
      <w:lvlText w:val=""/>
      <w:lvlJc w:val="left"/>
      <w:pPr>
        <w:ind w:left="4370" w:hanging="360"/>
      </w:pPr>
      <w:rPr>
        <w:rFonts w:ascii="Wingdings" w:hAnsi="Wingdings" w:hint="default"/>
      </w:rPr>
    </w:lvl>
    <w:lvl w:ilvl="6" w:tplc="0C090001" w:tentative="1">
      <w:start w:val="1"/>
      <w:numFmt w:val="bullet"/>
      <w:lvlText w:val=""/>
      <w:lvlJc w:val="left"/>
      <w:pPr>
        <w:ind w:left="5090" w:hanging="360"/>
      </w:pPr>
      <w:rPr>
        <w:rFonts w:ascii="Symbol" w:hAnsi="Symbol" w:hint="default"/>
      </w:rPr>
    </w:lvl>
    <w:lvl w:ilvl="7" w:tplc="0C090003" w:tentative="1">
      <w:start w:val="1"/>
      <w:numFmt w:val="bullet"/>
      <w:lvlText w:val="o"/>
      <w:lvlJc w:val="left"/>
      <w:pPr>
        <w:ind w:left="5810" w:hanging="360"/>
      </w:pPr>
      <w:rPr>
        <w:rFonts w:ascii="Courier New" w:hAnsi="Courier New" w:cs="Courier New" w:hint="default"/>
      </w:rPr>
    </w:lvl>
    <w:lvl w:ilvl="8" w:tplc="0C090005" w:tentative="1">
      <w:start w:val="1"/>
      <w:numFmt w:val="bullet"/>
      <w:lvlText w:val=""/>
      <w:lvlJc w:val="left"/>
      <w:pPr>
        <w:ind w:left="6530" w:hanging="360"/>
      </w:pPr>
      <w:rPr>
        <w:rFonts w:ascii="Wingdings" w:hAnsi="Wingdings" w:hint="default"/>
      </w:rPr>
    </w:lvl>
  </w:abstractNum>
  <w:abstractNum w:abstractNumId="13" w15:restartNumberingAfterBreak="0">
    <w:nsid w:val="55AA21F0"/>
    <w:multiLevelType w:val="hybridMultilevel"/>
    <w:tmpl w:val="3C74C298"/>
    <w:lvl w:ilvl="0" w:tplc="DF681F80">
      <w:start w:val="1"/>
      <w:numFmt w:val="decimal"/>
      <w:lvlText w:val="Table %1"/>
      <w:lvlJc w:val="left"/>
      <w:pPr>
        <w:ind w:left="36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FE65057"/>
    <w:multiLevelType w:val="hybridMultilevel"/>
    <w:tmpl w:val="07C8C7E0"/>
    <w:lvl w:ilvl="0" w:tplc="1AAA69C4">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cs="Wingdings" w:hint="default"/>
      </w:rPr>
    </w:lvl>
    <w:lvl w:ilvl="3" w:tplc="0C090001" w:tentative="1">
      <w:start w:val="1"/>
      <w:numFmt w:val="bullet"/>
      <w:lvlText w:val=""/>
      <w:lvlJc w:val="left"/>
      <w:pPr>
        <w:ind w:left="2880" w:hanging="360"/>
      </w:pPr>
      <w:rPr>
        <w:rFonts w:ascii="Symbol" w:hAnsi="Symbol" w:cs="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cs="Wingdings" w:hint="default"/>
      </w:rPr>
    </w:lvl>
    <w:lvl w:ilvl="6" w:tplc="0C090001" w:tentative="1">
      <w:start w:val="1"/>
      <w:numFmt w:val="bullet"/>
      <w:lvlText w:val=""/>
      <w:lvlJc w:val="left"/>
      <w:pPr>
        <w:ind w:left="5040" w:hanging="360"/>
      </w:pPr>
      <w:rPr>
        <w:rFonts w:ascii="Symbol" w:hAnsi="Symbol" w:cs="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cs="Wingdings" w:hint="default"/>
      </w:rPr>
    </w:lvl>
  </w:abstractNum>
  <w:abstractNum w:abstractNumId="15" w15:restartNumberingAfterBreak="0">
    <w:nsid w:val="614028CE"/>
    <w:multiLevelType w:val="hybridMultilevel"/>
    <w:tmpl w:val="55F03F30"/>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5071478"/>
    <w:multiLevelType w:val="hybridMultilevel"/>
    <w:tmpl w:val="A920BF14"/>
    <w:lvl w:ilvl="0" w:tplc="61CA12CE">
      <w:start w:val="1"/>
      <w:numFmt w:val="decimal"/>
      <w:pStyle w:val="ACMAFigureHeader"/>
      <w:lvlText w:val="Figure %1"/>
      <w:lvlJc w:val="left"/>
      <w:pPr>
        <w:tabs>
          <w:tab w:val="num" w:pos="1304"/>
        </w:tabs>
        <w:ind w:left="1304"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7AC0315"/>
    <w:multiLevelType w:val="hybridMultilevel"/>
    <w:tmpl w:val="062E5054"/>
    <w:lvl w:ilvl="0" w:tplc="00181954">
      <w:start w:val="5"/>
      <w:numFmt w:val="bullet"/>
      <w:lvlText w:val="-"/>
      <w:lvlJc w:val="left"/>
      <w:pPr>
        <w:ind w:left="720" w:hanging="360"/>
      </w:pPr>
      <w:rPr>
        <w:rFonts w:ascii="Arial" w:eastAsia="Times New Roman"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69FF3580"/>
    <w:multiLevelType w:val="hybridMultilevel"/>
    <w:tmpl w:val="AFEA1710"/>
    <w:lvl w:ilvl="0" w:tplc="1D382FC6">
      <w:start w:val="1"/>
      <w:numFmt w:val="decimal"/>
      <w:pStyle w:val="Tableheading"/>
      <w:lvlText w:val="Table %1"/>
      <w:lvlJc w:val="left"/>
      <w:pPr>
        <w:ind w:left="720" w:hanging="360"/>
      </w:pPr>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BBB1962"/>
    <w:multiLevelType w:val="hybridMultilevel"/>
    <w:tmpl w:val="F7F063B8"/>
    <w:lvl w:ilvl="0" w:tplc="2C10B5AC">
      <w:numFmt w:val="bullet"/>
      <w:lvlText w:val=""/>
      <w:lvlJc w:val="left"/>
      <w:pPr>
        <w:ind w:left="720" w:hanging="360"/>
      </w:pPr>
      <w:rPr>
        <w:rFonts w:ascii="Symbol" w:eastAsia="Times New Roman" w:hAnsi="Symbo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6"/>
  </w:num>
  <w:num w:numId="6">
    <w:abstractNumId w:val="17"/>
  </w:num>
  <w:num w:numId="7">
    <w:abstractNumId w:val="13"/>
  </w:num>
  <w:num w:numId="8">
    <w:abstractNumId w:val="16"/>
  </w:num>
  <w:num w:numId="9">
    <w:abstractNumId w:val="20"/>
  </w:num>
  <w:num w:numId="10">
    <w:abstractNumId w:val="7"/>
  </w:num>
  <w:num w:numId="11">
    <w:abstractNumId w:val="15"/>
  </w:num>
  <w:num w:numId="12">
    <w:abstractNumId w:val="19"/>
  </w:num>
  <w:num w:numId="13">
    <w:abstractNumId w:val="4"/>
  </w:num>
  <w:num w:numId="14">
    <w:abstractNumId w:val="10"/>
  </w:num>
  <w:num w:numId="15">
    <w:abstractNumId w:val="2"/>
    <w:lvlOverride w:ilvl="0">
      <w:startOverride w:val="1"/>
    </w:lvlOverride>
  </w:num>
  <w:num w:numId="16">
    <w:abstractNumId w:val="3"/>
  </w:num>
  <w:num w:numId="17">
    <w:abstractNumId w:val="3"/>
  </w:num>
  <w:num w:numId="18">
    <w:abstractNumId w:val="5"/>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num>
  <w:num w:numId="22">
    <w:abstractNumId w:val="3"/>
  </w:num>
  <w:num w:numId="23">
    <w:abstractNumId w:val="12"/>
  </w:num>
  <w:num w:numId="24">
    <w:abstractNumId w:val="3"/>
  </w:num>
  <w:num w:numId="25">
    <w:abstractNumId w:val="3"/>
  </w:num>
  <w:num w:numId="26">
    <w:abstractNumId w:val="21"/>
  </w:num>
  <w:num w:numId="27">
    <w:abstractNumId w:val="8"/>
  </w:num>
  <w:num w:numId="28">
    <w:abstractNumId w:val="11"/>
  </w:num>
  <w:num w:numId="29">
    <w:abstractNumId w:val="3"/>
  </w:num>
  <w:num w:numId="30">
    <w:abstractNumId w:val="3"/>
  </w:num>
  <w:num w:numId="31">
    <w:abstractNumId w:val="3"/>
  </w:num>
  <w:num w:numId="32">
    <w:abstractNumId w:val="9"/>
  </w:num>
  <w:num w:numId="33">
    <w:abstractNumId w:val="18"/>
  </w:num>
  <w:num w:numId="34">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284"/>
  <w:evenAndOddHeaders/>
  <w:drawingGridHorizontalSpacing w:val="100"/>
  <w:displayHorizontalDrawingGridEvery w:val="2"/>
  <w:characterSpacingControl w:val="doNotCompress"/>
  <w:hdrShapeDefaults>
    <o:shapedefaults v:ext="edit" spidmax="362497">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0786"/>
    <w:rsid w:val="000011AA"/>
    <w:rsid w:val="00002129"/>
    <w:rsid w:val="00002BE1"/>
    <w:rsid w:val="00002C74"/>
    <w:rsid w:val="00003E60"/>
    <w:rsid w:val="0000453E"/>
    <w:rsid w:val="00004A2F"/>
    <w:rsid w:val="00004F2F"/>
    <w:rsid w:val="00005C06"/>
    <w:rsid w:val="00006075"/>
    <w:rsid w:val="00006ABA"/>
    <w:rsid w:val="00006D48"/>
    <w:rsid w:val="00007266"/>
    <w:rsid w:val="00010667"/>
    <w:rsid w:val="00010894"/>
    <w:rsid w:val="00011523"/>
    <w:rsid w:val="000116D8"/>
    <w:rsid w:val="00011AE7"/>
    <w:rsid w:val="0001260D"/>
    <w:rsid w:val="000129D5"/>
    <w:rsid w:val="00012AB7"/>
    <w:rsid w:val="00013320"/>
    <w:rsid w:val="00013345"/>
    <w:rsid w:val="0001369F"/>
    <w:rsid w:val="0001461B"/>
    <w:rsid w:val="000147D6"/>
    <w:rsid w:val="00014875"/>
    <w:rsid w:val="00015201"/>
    <w:rsid w:val="00015928"/>
    <w:rsid w:val="00015AE7"/>
    <w:rsid w:val="00016E21"/>
    <w:rsid w:val="00017103"/>
    <w:rsid w:val="0001719C"/>
    <w:rsid w:val="00020585"/>
    <w:rsid w:val="0002224E"/>
    <w:rsid w:val="000231B7"/>
    <w:rsid w:val="0002359C"/>
    <w:rsid w:val="00023D4B"/>
    <w:rsid w:val="00024043"/>
    <w:rsid w:val="00024194"/>
    <w:rsid w:val="00024437"/>
    <w:rsid w:val="000245E2"/>
    <w:rsid w:val="000245E5"/>
    <w:rsid w:val="00024E98"/>
    <w:rsid w:val="00025255"/>
    <w:rsid w:val="00026BCF"/>
    <w:rsid w:val="00026F91"/>
    <w:rsid w:val="000272E1"/>
    <w:rsid w:val="000276B0"/>
    <w:rsid w:val="00027D61"/>
    <w:rsid w:val="00030B36"/>
    <w:rsid w:val="00032621"/>
    <w:rsid w:val="00032A52"/>
    <w:rsid w:val="00032ECB"/>
    <w:rsid w:val="00033AF3"/>
    <w:rsid w:val="00033CE6"/>
    <w:rsid w:val="0003446E"/>
    <w:rsid w:val="0003463D"/>
    <w:rsid w:val="000346EC"/>
    <w:rsid w:val="000365FF"/>
    <w:rsid w:val="000367CC"/>
    <w:rsid w:val="00037548"/>
    <w:rsid w:val="0004011C"/>
    <w:rsid w:val="00040269"/>
    <w:rsid w:val="0004108A"/>
    <w:rsid w:val="000412F4"/>
    <w:rsid w:val="000413CA"/>
    <w:rsid w:val="00041887"/>
    <w:rsid w:val="00041A74"/>
    <w:rsid w:val="00042753"/>
    <w:rsid w:val="00042EDF"/>
    <w:rsid w:val="000435C0"/>
    <w:rsid w:val="00043989"/>
    <w:rsid w:val="000442C1"/>
    <w:rsid w:val="0004494D"/>
    <w:rsid w:val="000453AB"/>
    <w:rsid w:val="00045E08"/>
    <w:rsid w:val="00045FBC"/>
    <w:rsid w:val="00046176"/>
    <w:rsid w:val="00046BFA"/>
    <w:rsid w:val="0004764C"/>
    <w:rsid w:val="00047CF2"/>
    <w:rsid w:val="0005011A"/>
    <w:rsid w:val="0005045A"/>
    <w:rsid w:val="0005054F"/>
    <w:rsid w:val="0005055F"/>
    <w:rsid w:val="00050A6F"/>
    <w:rsid w:val="0005124B"/>
    <w:rsid w:val="0005160E"/>
    <w:rsid w:val="0005161A"/>
    <w:rsid w:val="000519F0"/>
    <w:rsid w:val="00051C1E"/>
    <w:rsid w:val="0005244A"/>
    <w:rsid w:val="000539F9"/>
    <w:rsid w:val="00053A0B"/>
    <w:rsid w:val="00053EE5"/>
    <w:rsid w:val="00054ABB"/>
    <w:rsid w:val="00054C27"/>
    <w:rsid w:val="000551D9"/>
    <w:rsid w:val="00055EC3"/>
    <w:rsid w:val="000563CE"/>
    <w:rsid w:val="000565A3"/>
    <w:rsid w:val="00056A49"/>
    <w:rsid w:val="0005752A"/>
    <w:rsid w:val="0005752F"/>
    <w:rsid w:val="00060235"/>
    <w:rsid w:val="00060D3F"/>
    <w:rsid w:val="00060F76"/>
    <w:rsid w:val="000614B7"/>
    <w:rsid w:val="00062620"/>
    <w:rsid w:val="00062AC0"/>
    <w:rsid w:val="000631BE"/>
    <w:rsid w:val="0006375A"/>
    <w:rsid w:val="000638C5"/>
    <w:rsid w:val="00063C92"/>
    <w:rsid w:val="00064F4B"/>
    <w:rsid w:val="00065004"/>
    <w:rsid w:val="000651DB"/>
    <w:rsid w:val="000658E6"/>
    <w:rsid w:val="000659B6"/>
    <w:rsid w:val="00066520"/>
    <w:rsid w:val="0006686F"/>
    <w:rsid w:val="0006722A"/>
    <w:rsid w:val="00067BAE"/>
    <w:rsid w:val="0007029D"/>
    <w:rsid w:val="00071293"/>
    <w:rsid w:val="00071365"/>
    <w:rsid w:val="00072AE3"/>
    <w:rsid w:val="00072C98"/>
    <w:rsid w:val="00072CA7"/>
    <w:rsid w:val="000732CF"/>
    <w:rsid w:val="00073EBB"/>
    <w:rsid w:val="00074F25"/>
    <w:rsid w:val="00075424"/>
    <w:rsid w:val="00075B96"/>
    <w:rsid w:val="00075EF3"/>
    <w:rsid w:val="000767B9"/>
    <w:rsid w:val="00076A84"/>
    <w:rsid w:val="00077133"/>
    <w:rsid w:val="00077320"/>
    <w:rsid w:val="00077496"/>
    <w:rsid w:val="0007793C"/>
    <w:rsid w:val="000818F8"/>
    <w:rsid w:val="0008196A"/>
    <w:rsid w:val="00082D39"/>
    <w:rsid w:val="00082D94"/>
    <w:rsid w:val="000845EC"/>
    <w:rsid w:val="00084C9E"/>
    <w:rsid w:val="000853AF"/>
    <w:rsid w:val="00085514"/>
    <w:rsid w:val="00085516"/>
    <w:rsid w:val="00085987"/>
    <w:rsid w:val="00085FCD"/>
    <w:rsid w:val="00086EEA"/>
    <w:rsid w:val="00087073"/>
    <w:rsid w:val="00087333"/>
    <w:rsid w:val="0009092E"/>
    <w:rsid w:val="0009150C"/>
    <w:rsid w:val="000915ED"/>
    <w:rsid w:val="000916A6"/>
    <w:rsid w:val="0009209D"/>
    <w:rsid w:val="00092328"/>
    <w:rsid w:val="00093579"/>
    <w:rsid w:val="0009420E"/>
    <w:rsid w:val="0009463C"/>
    <w:rsid w:val="000966F6"/>
    <w:rsid w:val="000969BD"/>
    <w:rsid w:val="000969BF"/>
    <w:rsid w:val="0009710B"/>
    <w:rsid w:val="000A03B6"/>
    <w:rsid w:val="000A093C"/>
    <w:rsid w:val="000A0C22"/>
    <w:rsid w:val="000A0EF3"/>
    <w:rsid w:val="000A105C"/>
    <w:rsid w:val="000A105E"/>
    <w:rsid w:val="000A122F"/>
    <w:rsid w:val="000A1400"/>
    <w:rsid w:val="000A14BF"/>
    <w:rsid w:val="000A1562"/>
    <w:rsid w:val="000A1828"/>
    <w:rsid w:val="000A2972"/>
    <w:rsid w:val="000A3051"/>
    <w:rsid w:val="000A39DC"/>
    <w:rsid w:val="000A3A63"/>
    <w:rsid w:val="000A3C1B"/>
    <w:rsid w:val="000A3C43"/>
    <w:rsid w:val="000A4A51"/>
    <w:rsid w:val="000A4BD5"/>
    <w:rsid w:val="000A517F"/>
    <w:rsid w:val="000A5209"/>
    <w:rsid w:val="000A5D2B"/>
    <w:rsid w:val="000A5D49"/>
    <w:rsid w:val="000A5F98"/>
    <w:rsid w:val="000A6E91"/>
    <w:rsid w:val="000A7578"/>
    <w:rsid w:val="000A7987"/>
    <w:rsid w:val="000A7A1E"/>
    <w:rsid w:val="000B00C6"/>
    <w:rsid w:val="000B0D3F"/>
    <w:rsid w:val="000B1BCA"/>
    <w:rsid w:val="000B1DF2"/>
    <w:rsid w:val="000B3308"/>
    <w:rsid w:val="000B3476"/>
    <w:rsid w:val="000B38BD"/>
    <w:rsid w:val="000B3ECB"/>
    <w:rsid w:val="000B4135"/>
    <w:rsid w:val="000B4664"/>
    <w:rsid w:val="000B49AA"/>
    <w:rsid w:val="000B49EC"/>
    <w:rsid w:val="000B53E0"/>
    <w:rsid w:val="000B5695"/>
    <w:rsid w:val="000B5BE4"/>
    <w:rsid w:val="000B5DE3"/>
    <w:rsid w:val="000B6115"/>
    <w:rsid w:val="000B643A"/>
    <w:rsid w:val="000B74AA"/>
    <w:rsid w:val="000B77FE"/>
    <w:rsid w:val="000B7C5B"/>
    <w:rsid w:val="000C00B8"/>
    <w:rsid w:val="000C0A57"/>
    <w:rsid w:val="000C0AA9"/>
    <w:rsid w:val="000C107D"/>
    <w:rsid w:val="000C1576"/>
    <w:rsid w:val="000C195A"/>
    <w:rsid w:val="000C230C"/>
    <w:rsid w:val="000C28E7"/>
    <w:rsid w:val="000C2A57"/>
    <w:rsid w:val="000C2B6D"/>
    <w:rsid w:val="000C2F37"/>
    <w:rsid w:val="000C42AA"/>
    <w:rsid w:val="000C4419"/>
    <w:rsid w:val="000C4A0B"/>
    <w:rsid w:val="000C514F"/>
    <w:rsid w:val="000C5867"/>
    <w:rsid w:val="000C64C7"/>
    <w:rsid w:val="000C669D"/>
    <w:rsid w:val="000C676C"/>
    <w:rsid w:val="000C6AB4"/>
    <w:rsid w:val="000C6C7D"/>
    <w:rsid w:val="000D0C63"/>
    <w:rsid w:val="000D1AA5"/>
    <w:rsid w:val="000D365A"/>
    <w:rsid w:val="000D36EC"/>
    <w:rsid w:val="000D4630"/>
    <w:rsid w:val="000D4DC6"/>
    <w:rsid w:val="000D56F9"/>
    <w:rsid w:val="000D68DC"/>
    <w:rsid w:val="000D6A6A"/>
    <w:rsid w:val="000D6D54"/>
    <w:rsid w:val="000D71D9"/>
    <w:rsid w:val="000D76E0"/>
    <w:rsid w:val="000D7E8B"/>
    <w:rsid w:val="000E03D9"/>
    <w:rsid w:val="000E087E"/>
    <w:rsid w:val="000E106C"/>
    <w:rsid w:val="000E1114"/>
    <w:rsid w:val="000E1252"/>
    <w:rsid w:val="000E1329"/>
    <w:rsid w:val="000E168D"/>
    <w:rsid w:val="000E1AE2"/>
    <w:rsid w:val="000E2224"/>
    <w:rsid w:val="000E291E"/>
    <w:rsid w:val="000E414F"/>
    <w:rsid w:val="000E4449"/>
    <w:rsid w:val="000E4E58"/>
    <w:rsid w:val="000E5236"/>
    <w:rsid w:val="000E5372"/>
    <w:rsid w:val="000E552B"/>
    <w:rsid w:val="000E6097"/>
    <w:rsid w:val="000E6F93"/>
    <w:rsid w:val="000E75A7"/>
    <w:rsid w:val="000F05EB"/>
    <w:rsid w:val="000F0A00"/>
    <w:rsid w:val="000F188F"/>
    <w:rsid w:val="000F18C1"/>
    <w:rsid w:val="000F21DB"/>
    <w:rsid w:val="000F2720"/>
    <w:rsid w:val="000F2B54"/>
    <w:rsid w:val="000F45C6"/>
    <w:rsid w:val="000F4D06"/>
    <w:rsid w:val="000F4D52"/>
    <w:rsid w:val="000F5891"/>
    <w:rsid w:val="000F6C07"/>
    <w:rsid w:val="000F6EA3"/>
    <w:rsid w:val="000F7CC4"/>
    <w:rsid w:val="001005FC"/>
    <w:rsid w:val="00100BAC"/>
    <w:rsid w:val="00100C39"/>
    <w:rsid w:val="00101D40"/>
    <w:rsid w:val="00101DCF"/>
    <w:rsid w:val="00101F02"/>
    <w:rsid w:val="0010346F"/>
    <w:rsid w:val="00103829"/>
    <w:rsid w:val="00103839"/>
    <w:rsid w:val="00103C13"/>
    <w:rsid w:val="00103FE3"/>
    <w:rsid w:val="0010483B"/>
    <w:rsid w:val="001048F5"/>
    <w:rsid w:val="00105160"/>
    <w:rsid w:val="00105464"/>
    <w:rsid w:val="00105712"/>
    <w:rsid w:val="00105B74"/>
    <w:rsid w:val="001065D6"/>
    <w:rsid w:val="00106AD5"/>
    <w:rsid w:val="00106ED9"/>
    <w:rsid w:val="00107016"/>
    <w:rsid w:val="001077E3"/>
    <w:rsid w:val="00107C39"/>
    <w:rsid w:val="00111094"/>
    <w:rsid w:val="001110DE"/>
    <w:rsid w:val="0011159D"/>
    <w:rsid w:val="00111FCE"/>
    <w:rsid w:val="001137EA"/>
    <w:rsid w:val="00113F93"/>
    <w:rsid w:val="00114284"/>
    <w:rsid w:val="00114F39"/>
    <w:rsid w:val="00114FF0"/>
    <w:rsid w:val="00115C9C"/>
    <w:rsid w:val="0011614C"/>
    <w:rsid w:val="00116919"/>
    <w:rsid w:val="00116AC3"/>
    <w:rsid w:val="00117432"/>
    <w:rsid w:val="00122394"/>
    <w:rsid w:val="001224C6"/>
    <w:rsid w:val="001229A5"/>
    <w:rsid w:val="00122DD2"/>
    <w:rsid w:val="00123A98"/>
    <w:rsid w:val="00124225"/>
    <w:rsid w:val="001243C9"/>
    <w:rsid w:val="0012489B"/>
    <w:rsid w:val="0012550D"/>
    <w:rsid w:val="00125FF9"/>
    <w:rsid w:val="00126B1C"/>
    <w:rsid w:val="001272C2"/>
    <w:rsid w:val="0012780B"/>
    <w:rsid w:val="001278D4"/>
    <w:rsid w:val="00127A30"/>
    <w:rsid w:val="00127AAC"/>
    <w:rsid w:val="00127DFE"/>
    <w:rsid w:val="00130017"/>
    <w:rsid w:val="00130B22"/>
    <w:rsid w:val="00130D36"/>
    <w:rsid w:val="00130F91"/>
    <w:rsid w:val="00131197"/>
    <w:rsid w:val="001314D6"/>
    <w:rsid w:val="001318ED"/>
    <w:rsid w:val="00131C39"/>
    <w:rsid w:val="00131F72"/>
    <w:rsid w:val="0013240D"/>
    <w:rsid w:val="0013299A"/>
    <w:rsid w:val="00133540"/>
    <w:rsid w:val="00133E1D"/>
    <w:rsid w:val="001349ED"/>
    <w:rsid w:val="00134C12"/>
    <w:rsid w:val="001350A3"/>
    <w:rsid w:val="001353CE"/>
    <w:rsid w:val="00135C8D"/>
    <w:rsid w:val="001373D9"/>
    <w:rsid w:val="00137424"/>
    <w:rsid w:val="001401EC"/>
    <w:rsid w:val="00140209"/>
    <w:rsid w:val="00140318"/>
    <w:rsid w:val="00140BF9"/>
    <w:rsid w:val="00140E74"/>
    <w:rsid w:val="00141056"/>
    <w:rsid w:val="001415FA"/>
    <w:rsid w:val="0014196F"/>
    <w:rsid w:val="00141AD9"/>
    <w:rsid w:val="00141CAA"/>
    <w:rsid w:val="00142E43"/>
    <w:rsid w:val="00143140"/>
    <w:rsid w:val="001451B7"/>
    <w:rsid w:val="00145507"/>
    <w:rsid w:val="00145DE4"/>
    <w:rsid w:val="00146CE6"/>
    <w:rsid w:val="0015058C"/>
    <w:rsid w:val="001505BE"/>
    <w:rsid w:val="00150699"/>
    <w:rsid w:val="001515AF"/>
    <w:rsid w:val="0015208A"/>
    <w:rsid w:val="00152903"/>
    <w:rsid w:val="0015291E"/>
    <w:rsid w:val="00153567"/>
    <w:rsid w:val="00153686"/>
    <w:rsid w:val="0015396C"/>
    <w:rsid w:val="0015399A"/>
    <w:rsid w:val="00153FD5"/>
    <w:rsid w:val="00154843"/>
    <w:rsid w:val="00154C4C"/>
    <w:rsid w:val="00155281"/>
    <w:rsid w:val="00155845"/>
    <w:rsid w:val="00155E6B"/>
    <w:rsid w:val="00155E88"/>
    <w:rsid w:val="0015614F"/>
    <w:rsid w:val="00156DE9"/>
    <w:rsid w:val="001577C2"/>
    <w:rsid w:val="00157A65"/>
    <w:rsid w:val="0016029B"/>
    <w:rsid w:val="00160BC9"/>
    <w:rsid w:val="00161F92"/>
    <w:rsid w:val="001633C4"/>
    <w:rsid w:val="00163418"/>
    <w:rsid w:val="00163C7D"/>
    <w:rsid w:val="0016497F"/>
    <w:rsid w:val="00166101"/>
    <w:rsid w:val="00166227"/>
    <w:rsid w:val="00166D74"/>
    <w:rsid w:val="0016756A"/>
    <w:rsid w:val="001704D5"/>
    <w:rsid w:val="00170A54"/>
    <w:rsid w:val="0017152A"/>
    <w:rsid w:val="00171591"/>
    <w:rsid w:val="0017172D"/>
    <w:rsid w:val="001726A1"/>
    <w:rsid w:val="00172C01"/>
    <w:rsid w:val="00173202"/>
    <w:rsid w:val="001734B1"/>
    <w:rsid w:val="00173895"/>
    <w:rsid w:val="00173981"/>
    <w:rsid w:val="00173F00"/>
    <w:rsid w:val="001743D6"/>
    <w:rsid w:val="0017627F"/>
    <w:rsid w:val="00177050"/>
    <w:rsid w:val="0017719D"/>
    <w:rsid w:val="00177B4E"/>
    <w:rsid w:val="0018069E"/>
    <w:rsid w:val="00181EDF"/>
    <w:rsid w:val="0018326B"/>
    <w:rsid w:val="00183FD7"/>
    <w:rsid w:val="001843C3"/>
    <w:rsid w:val="0018493F"/>
    <w:rsid w:val="00185515"/>
    <w:rsid w:val="001856AB"/>
    <w:rsid w:val="001857E9"/>
    <w:rsid w:val="00185CAB"/>
    <w:rsid w:val="0018676A"/>
    <w:rsid w:val="00186812"/>
    <w:rsid w:val="00186BE0"/>
    <w:rsid w:val="0018725A"/>
    <w:rsid w:val="0018729F"/>
    <w:rsid w:val="001872BA"/>
    <w:rsid w:val="001875AC"/>
    <w:rsid w:val="001875B7"/>
    <w:rsid w:val="00187806"/>
    <w:rsid w:val="00187A15"/>
    <w:rsid w:val="00187C17"/>
    <w:rsid w:val="00187CB3"/>
    <w:rsid w:val="0019048D"/>
    <w:rsid w:val="001904EC"/>
    <w:rsid w:val="0019050A"/>
    <w:rsid w:val="001910D4"/>
    <w:rsid w:val="001913B7"/>
    <w:rsid w:val="00191B04"/>
    <w:rsid w:val="00191E6B"/>
    <w:rsid w:val="0019208E"/>
    <w:rsid w:val="00193888"/>
    <w:rsid w:val="00195015"/>
    <w:rsid w:val="00195A31"/>
    <w:rsid w:val="00196050"/>
    <w:rsid w:val="001969D2"/>
    <w:rsid w:val="00196B66"/>
    <w:rsid w:val="00197222"/>
    <w:rsid w:val="001976E3"/>
    <w:rsid w:val="0019789B"/>
    <w:rsid w:val="001A0078"/>
    <w:rsid w:val="001A1B87"/>
    <w:rsid w:val="001A1C55"/>
    <w:rsid w:val="001A1D68"/>
    <w:rsid w:val="001A2B5E"/>
    <w:rsid w:val="001A3562"/>
    <w:rsid w:val="001A44EC"/>
    <w:rsid w:val="001A4656"/>
    <w:rsid w:val="001A4684"/>
    <w:rsid w:val="001A4761"/>
    <w:rsid w:val="001A49E8"/>
    <w:rsid w:val="001A59FD"/>
    <w:rsid w:val="001A5C69"/>
    <w:rsid w:val="001A7832"/>
    <w:rsid w:val="001A7A06"/>
    <w:rsid w:val="001A7B60"/>
    <w:rsid w:val="001B1E09"/>
    <w:rsid w:val="001B2E18"/>
    <w:rsid w:val="001B350E"/>
    <w:rsid w:val="001B3CDD"/>
    <w:rsid w:val="001B4775"/>
    <w:rsid w:val="001B4B53"/>
    <w:rsid w:val="001B4C34"/>
    <w:rsid w:val="001B4DC0"/>
    <w:rsid w:val="001B54B8"/>
    <w:rsid w:val="001B58AA"/>
    <w:rsid w:val="001B5BB1"/>
    <w:rsid w:val="001B5FE4"/>
    <w:rsid w:val="001B6BDF"/>
    <w:rsid w:val="001B714C"/>
    <w:rsid w:val="001B76B3"/>
    <w:rsid w:val="001B7DAB"/>
    <w:rsid w:val="001B7E48"/>
    <w:rsid w:val="001C0DC7"/>
    <w:rsid w:val="001C0E17"/>
    <w:rsid w:val="001C0E19"/>
    <w:rsid w:val="001C17CE"/>
    <w:rsid w:val="001C278D"/>
    <w:rsid w:val="001C3191"/>
    <w:rsid w:val="001C3373"/>
    <w:rsid w:val="001C3376"/>
    <w:rsid w:val="001C33D7"/>
    <w:rsid w:val="001C36CA"/>
    <w:rsid w:val="001C446B"/>
    <w:rsid w:val="001C449A"/>
    <w:rsid w:val="001C44D1"/>
    <w:rsid w:val="001C467B"/>
    <w:rsid w:val="001C5043"/>
    <w:rsid w:val="001C5905"/>
    <w:rsid w:val="001C6AE1"/>
    <w:rsid w:val="001C6AEE"/>
    <w:rsid w:val="001C6ECE"/>
    <w:rsid w:val="001C7630"/>
    <w:rsid w:val="001C7E59"/>
    <w:rsid w:val="001D08D6"/>
    <w:rsid w:val="001D1038"/>
    <w:rsid w:val="001D157B"/>
    <w:rsid w:val="001D25C3"/>
    <w:rsid w:val="001D269F"/>
    <w:rsid w:val="001D2CB7"/>
    <w:rsid w:val="001D30C7"/>
    <w:rsid w:val="001D39D3"/>
    <w:rsid w:val="001D4494"/>
    <w:rsid w:val="001D5946"/>
    <w:rsid w:val="001D6159"/>
    <w:rsid w:val="001D6D15"/>
    <w:rsid w:val="001D7738"/>
    <w:rsid w:val="001D7B90"/>
    <w:rsid w:val="001E0956"/>
    <w:rsid w:val="001E2A70"/>
    <w:rsid w:val="001E3CA0"/>
    <w:rsid w:val="001E3E2A"/>
    <w:rsid w:val="001E429F"/>
    <w:rsid w:val="001E4711"/>
    <w:rsid w:val="001E4F59"/>
    <w:rsid w:val="001E5371"/>
    <w:rsid w:val="001E710E"/>
    <w:rsid w:val="001E77F4"/>
    <w:rsid w:val="001E7C3C"/>
    <w:rsid w:val="001F040E"/>
    <w:rsid w:val="001F08CD"/>
    <w:rsid w:val="001F09F8"/>
    <w:rsid w:val="001F11AF"/>
    <w:rsid w:val="001F14F1"/>
    <w:rsid w:val="001F1B55"/>
    <w:rsid w:val="001F2681"/>
    <w:rsid w:val="001F2F09"/>
    <w:rsid w:val="001F50F7"/>
    <w:rsid w:val="001F5BAD"/>
    <w:rsid w:val="001F5BCC"/>
    <w:rsid w:val="001F5BF7"/>
    <w:rsid w:val="001F6785"/>
    <w:rsid w:val="001F6F02"/>
    <w:rsid w:val="001F7558"/>
    <w:rsid w:val="001F7FF1"/>
    <w:rsid w:val="002002C4"/>
    <w:rsid w:val="00201638"/>
    <w:rsid w:val="00201C2E"/>
    <w:rsid w:val="00201EE2"/>
    <w:rsid w:val="00202576"/>
    <w:rsid w:val="00203362"/>
    <w:rsid w:val="0020339E"/>
    <w:rsid w:val="002039D0"/>
    <w:rsid w:val="00204391"/>
    <w:rsid w:val="002044BA"/>
    <w:rsid w:val="00204E31"/>
    <w:rsid w:val="00205B57"/>
    <w:rsid w:val="002063F6"/>
    <w:rsid w:val="00206C8F"/>
    <w:rsid w:val="0021014E"/>
    <w:rsid w:val="002105F1"/>
    <w:rsid w:val="00210A30"/>
    <w:rsid w:val="00211522"/>
    <w:rsid w:val="0021163F"/>
    <w:rsid w:val="00212419"/>
    <w:rsid w:val="00212458"/>
    <w:rsid w:val="00212E36"/>
    <w:rsid w:val="002134BC"/>
    <w:rsid w:val="0021426C"/>
    <w:rsid w:val="0021455D"/>
    <w:rsid w:val="002145DE"/>
    <w:rsid w:val="00214768"/>
    <w:rsid w:val="00214F60"/>
    <w:rsid w:val="00215662"/>
    <w:rsid w:val="002157E0"/>
    <w:rsid w:val="002164D3"/>
    <w:rsid w:val="0021687E"/>
    <w:rsid w:val="00216A57"/>
    <w:rsid w:val="00216EBE"/>
    <w:rsid w:val="00217038"/>
    <w:rsid w:val="00217448"/>
    <w:rsid w:val="002178B0"/>
    <w:rsid w:val="00220E62"/>
    <w:rsid w:val="00220FCE"/>
    <w:rsid w:val="00221EDD"/>
    <w:rsid w:val="0022334F"/>
    <w:rsid w:val="002237AB"/>
    <w:rsid w:val="0022387A"/>
    <w:rsid w:val="002248C2"/>
    <w:rsid w:val="00224997"/>
    <w:rsid w:val="00224E01"/>
    <w:rsid w:val="00224ECE"/>
    <w:rsid w:val="0022512F"/>
    <w:rsid w:val="00225541"/>
    <w:rsid w:val="00225D60"/>
    <w:rsid w:val="00225E0E"/>
    <w:rsid w:val="00225E82"/>
    <w:rsid w:val="00226819"/>
    <w:rsid w:val="00230B56"/>
    <w:rsid w:val="00231A9C"/>
    <w:rsid w:val="002320EB"/>
    <w:rsid w:val="0023275E"/>
    <w:rsid w:val="00232B10"/>
    <w:rsid w:val="00233101"/>
    <w:rsid w:val="00233817"/>
    <w:rsid w:val="0023390F"/>
    <w:rsid w:val="00233BE1"/>
    <w:rsid w:val="00233F7D"/>
    <w:rsid w:val="00234517"/>
    <w:rsid w:val="0023514F"/>
    <w:rsid w:val="002353FD"/>
    <w:rsid w:val="00235ADC"/>
    <w:rsid w:val="002364FF"/>
    <w:rsid w:val="002367FF"/>
    <w:rsid w:val="00236E56"/>
    <w:rsid w:val="002375A8"/>
    <w:rsid w:val="00237A1C"/>
    <w:rsid w:val="0024043A"/>
    <w:rsid w:val="00240CE9"/>
    <w:rsid w:val="00241060"/>
    <w:rsid w:val="0024132C"/>
    <w:rsid w:val="00241792"/>
    <w:rsid w:val="00241CDE"/>
    <w:rsid w:val="00241F49"/>
    <w:rsid w:val="00242B69"/>
    <w:rsid w:val="002434BA"/>
    <w:rsid w:val="0024400B"/>
    <w:rsid w:val="00244AD4"/>
    <w:rsid w:val="00245577"/>
    <w:rsid w:val="00246089"/>
    <w:rsid w:val="00246093"/>
    <w:rsid w:val="00246702"/>
    <w:rsid w:val="00246CC5"/>
    <w:rsid w:val="00247C59"/>
    <w:rsid w:val="00247F2E"/>
    <w:rsid w:val="00250ADC"/>
    <w:rsid w:val="00250B07"/>
    <w:rsid w:val="0025141B"/>
    <w:rsid w:val="0025212F"/>
    <w:rsid w:val="002532E9"/>
    <w:rsid w:val="00253441"/>
    <w:rsid w:val="0025433D"/>
    <w:rsid w:val="0025444F"/>
    <w:rsid w:val="002548EF"/>
    <w:rsid w:val="00255463"/>
    <w:rsid w:val="00257553"/>
    <w:rsid w:val="00260FB2"/>
    <w:rsid w:val="00261248"/>
    <w:rsid w:val="00261350"/>
    <w:rsid w:val="00261970"/>
    <w:rsid w:val="00262128"/>
    <w:rsid w:val="002625DF"/>
    <w:rsid w:val="00265328"/>
    <w:rsid w:val="00265ECB"/>
    <w:rsid w:val="00267145"/>
    <w:rsid w:val="00267876"/>
    <w:rsid w:val="00271142"/>
    <w:rsid w:val="0027165D"/>
    <w:rsid w:val="00271FA3"/>
    <w:rsid w:val="002722F5"/>
    <w:rsid w:val="00273027"/>
    <w:rsid w:val="002738D9"/>
    <w:rsid w:val="00273CEB"/>
    <w:rsid w:val="002746D0"/>
    <w:rsid w:val="00274D4E"/>
    <w:rsid w:val="00274DF4"/>
    <w:rsid w:val="002759C8"/>
    <w:rsid w:val="002806E2"/>
    <w:rsid w:val="002806E6"/>
    <w:rsid w:val="00280EA4"/>
    <w:rsid w:val="00281308"/>
    <w:rsid w:val="00281647"/>
    <w:rsid w:val="00281BCB"/>
    <w:rsid w:val="00281C89"/>
    <w:rsid w:val="00281F18"/>
    <w:rsid w:val="002820CE"/>
    <w:rsid w:val="0028282F"/>
    <w:rsid w:val="00283971"/>
    <w:rsid w:val="002853DE"/>
    <w:rsid w:val="0028547A"/>
    <w:rsid w:val="0028554B"/>
    <w:rsid w:val="00285D6D"/>
    <w:rsid w:val="00286163"/>
    <w:rsid w:val="00287AFB"/>
    <w:rsid w:val="00287EDA"/>
    <w:rsid w:val="00287EDC"/>
    <w:rsid w:val="002911C7"/>
    <w:rsid w:val="00291378"/>
    <w:rsid w:val="002915F4"/>
    <w:rsid w:val="002916E4"/>
    <w:rsid w:val="00292120"/>
    <w:rsid w:val="00292AD1"/>
    <w:rsid w:val="0029326B"/>
    <w:rsid w:val="00293B3B"/>
    <w:rsid w:val="00293E30"/>
    <w:rsid w:val="00294571"/>
    <w:rsid w:val="002945E0"/>
    <w:rsid w:val="0029524D"/>
    <w:rsid w:val="00295849"/>
    <w:rsid w:val="0029593B"/>
    <w:rsid w:val="00296C1E"/>
    <w:rsid w:val="00296F42"/>
    <w:rsid w:val="00297083"/>
    <w:rsid w:val="0029720C"/>
    <w:rsid w:val="00297763"/>
    <w:rsid w:val="00297FC5"/>
    <w:rsid w:val="002A0417"/>
    <w:rsid w:val="002A11CE"/>
    <w:rsid w:val="002A16D8"/>
    <w:rsid w:val="002A1BC8"/>
    <w:rsid w:val="002A3EF2"/>
    <w:rsid w:val="002A544E"/>
    <w:rsid w:val="002A593E"/>
    <w:rsid w:val="002A60F9"/>
    <w:rsid w:val="002A65AB"/>
    <w:rsid w:val="002A67A4"/>
    <w:rsid w:val="002A69EE"/>
    <w:rsid w:val="002A6A26"/>
    <w:rsid w:val="002A6EFF"/>
    <w:rsid w:val="002A7040"/>
    <w:rsid w:val="002A7AE3"/>
    <w:rsid w:val="002A7E4F"/>
    <w:rsid w:val="002B030E"/>
    <w:rsid w:val="002B06F1"/>
    <w:rsid w:val="002B0DED"/>
    <w:rsid w:val="002B1730"/>
    <w:rsid w:val="002B19A2"/>
    <w:rsid w:val="002B1C06"/>
    <w:rsid w:val="002B1C50"/>
    <w:rsid w:val="002B2385"/>
    <w:rsid w:val="002B24A4"/>
    <w:rsid w:val="002B24B7"/>
    <w:rsid w:val="002B2557"/>
    <w:rsid w:val="002B267B"/>
    <w:rsid w:val="002B2B3B"/>
    <w:rsid w:val="002B30B6"/>
    <w:rsid w:val="002B381A"/>
    <w:rsid w:val="002B4BD0"/>
    <w:rsid w:val="002B4FCC"/>
    <w:rsid w:val="002B5405"/>
    <w:rsid w:val="002B64DF"/>
    <w:rsid w:val="002B6895"/>
    <w:rsid w:val="002B7155"/>
    <w:rsid w:val="002B7408"/>
    <w:rsid w:val="002B7926"/>
    <w:rsid w:val="002B7A08"/>
    <w:rsid w:val="002B7CFD"/>
    <w:rsid w:val="002C0406"/>
    <w:rsid w:val="002C0530"/>
    <w:rsid w:val="002C06C1"/>
    <w:rsid w:val="002C210F"/>
    <w:rsid w:val="002C24D0"/>
    <w:rsid w:val="002C24FC"/>
    <w:rsid w:val="002C250B"/>
    <w:rsid w:val="002C2866"/>
    <w:rsid w:val="002C479A"/>
    <w:rsid w:val="002C4D62"/>
    <w:rsid w:val="002C5C74"/>
    <w:rsid w:val="002C5D15"/>
    <w:rsid w:val="002C6380"/>
    <w:rsid w:val="002C6B79"/>
    <w:rsid w:val="002D068D"/>
    <w:rsid w:val="002D06DA"/>
    <w:rsid w:val="002D125B"/>
    <w:rsid w:val="002D1A0A"/>
    <w:rsid w:val="002D2219"/>
    <w:rsid w:val="002D2250"/>
    <w:rsid w:val="002D2707"/>
    <w:rsid w:val="002D2FBE"/>
    <w:rsid w:val="002D3600"/>
    <w:rsid w:val="002D362B"/>
    <w:rsid w:val="002D37E6"/>
    <w:rsid w:val="002D3C61"/>
    <w:rsid w:val="002D4281"/>
    <w:rsid w:val="002D44AF"/>
    <w:rsid w:val="002D470B"/>
    <w:rsid w:val="002D53C8"/>
    <w:rsid w:val="002D6C33"/>
    <w:rsid w:val="002E0498"/>
    <w:rsid w:val="002E0D7B"/>
    <w:rsid w:val="002E0E79"/>
    <w:rsid w:val="002E1626"/>
    <w:rsid w:val="002E19F8"/>
    <w:rsid w:val="002E1AD4"/>
    <w:rsid w:val="002E2422"/>
    <w:rsid w:val="002E2F9D"/>
    <w:rsid w:val="002E32FF"/>
    <w:rsid w:val="002E3F40"/>
    <w:rsid w:val="002E45D2"/>
    <w:rsid w:val="002E4DDC"/>
    <w:rsid w:val="002E4EBD"/>
    <w:rsid w:val="002E4F3C"/>
    <w:rsid w:val="002E5C7F"/>
    <w:rsid w:val="002E6C32"/>
    <w:rsid w:val="002F0205"/>
    <w:rsid w:val="002F0312"/>
    <w:rsid w:val="002F07D9"/>
    <w:rsid w:val="002F0965"/>
    <w:rsid w:val="002F2381"/>
    <w:rsid w:val="002F3A3F"/>
    <w:rsid w:val="002F506B"/>
    <w:rsid w:val="002F613D"/>
    <w:rsid w:val="002F6A44"/>
    <w:rsid w:val="002F7106"/>
    <w:rsid w:val="002F7576"/>
    <w:rsid w:val="002F7EFC"/>
    <w:rsid w:val="003017FC"/>
    <w:rsid w:val="0030243F"/>
    <w:rsid w:val="00302480"/>
    <w:rsid w:val="00302758"/>
    <w:rsid w:val="00302A71"/>
    <w:rsid w:val="00303CCA"/>
    <w:rsid w:val="003040D4"/>
    <w:rsid w:val="003045B6"/>
    <w:rsid w:val="00304F9A"/>
    <w:rsid w:val="00305272"/>
    <w:rsid w:val="003058E1"/>
    <w:rsid w:val="00305AD5"/>
    <w:rsid w:val="00305E2B"/>
    <w:rsid w:val="003064F2"/>
    <w:rsid w:val="00306527"/>
    <w:rsid w:val="00306D69"/>
    <w:rsid w:val="0030728F"/>
    <w:rsid w:val="00307DC7"/>
    <w:rsid w:val="00310850"/>
    <w:rsid w:val="00310B98"/>
    <w:rsid w:val="00311060"/>
    <w:rsid w:val="003112C6"/>
    <w:rsid w:val="0031186D"/>
    <w:rsid w:val="00311F3B"/>
    <w:rsid w:val="003132CB"/>
    <w:rsid w:val="00315497"/>
    <w:rsid w:val="0031558D"/>
    <w:rsid w:val="00315709"/>
    <w:rsid w:val="00315EB4"/>
    <w:rsid w:val="0031624E"/>
    <w:rsid w:val="003165A8"/>
    <w:rsid w:val="003165E6"/>
    <w:rsid w:val="003172A4"/>
    <w:rsid w:val="003176F8"/>
    <w:rsid w:val="00317991"/>
    <w:rsid w:val="00317F90"/>
    <w:rsid w:val="003215B5"/>
    <w:rsid w:val="003217D5"/>
    <w:rsid w:val="00321DF6"/>
    <w:rsid w:val="003221CF"/>
    <w:rsid w:val="0032225A"/>
    <w:rsid w:val="003226F3"/>
    <w:rsid w:val="003233ED"/>
    <w:rsid w:val="003239F3"/>
    <w:rsid w:val="00323B77"/>
    <w:rsid w:val="00324D9F"/>
    <w:rsid w:val="0032559C"/>
    <w:rsid w:val="00326237"/>
    <w:rsid w:val="00326F7A"/>
    <w:rsid w:val="00327948"/>
    <w:rsid w:val="0033000F"/>
    <w:rsid w:val="00330080"/>
    <w:rsid w:val="0033128A"/>
    <w:rsid w:val="00331765"/>
    <w:rsid w:val="00332011"/>
    <w:rsid w:val="0033204B"/>
    <w:rsid w:val="00332518"/>
    <w:rsid w:val="003326E7"/>
    <w:rsid w:val="00332925"/>
    <w:rsid w:val="00332E3F"/>
    <w:rsid w:val="003332ED"/>
    <w:rsid w:val="00333AAD"/>
    <w:rsid w:val="00334CC9"/>
    <w:rsid w:val="003351EE"/>
    <w:rsid w:val="003354A8"/>
    <w:rsid w:val="00335C14"/>
    <w:rsid w:val="00335CD2"/>
    <w:rsid w:val="003368DC"/>
    <w:rsid w:val="0034026A"/>
    <w:rsid w:val="00341158"/>
    <w:rsid w:val="00341C45"/>
    <w:rsid w:val="0034212D"/>
    <w:rsid w:val="00342B18"/>
    <w:rsid w:val="0034385B"/>
    <w:rsid w:val="00343C10"/>
    <w:rsid w:val="00344A91"/>
    <w:rsid w:val="00345553"/>
    <w:rsid w:val="00345927"/>
    <w:rsid w:val="00346EA1"/>
    <w:rsid w:val="003471A1"/>
    <w:rsid w:val="00347BAA"/>
    <w:rsid w:val="00347D64"/>
    <w:rsid w:val="00347EA9"/>
    <w:rsid w:val="00350584"/>
    <w:rsid w:val="00351762"/>
    <w:rsid w:val="00351857"/>
    <w:rsid w:val="00351DB3"/>
    <w:rsid w:val="00351DE5"/>
    <w:rsid w:val="00351F82"/>
    <w:rsid w:val="003530B9"/>
    <w:rsid w:val="00353423"/>
    <w:rsid w:val="0035363A"/>
    <w:rsid w:val="003541EA"/>
    <w:rsid w:val="003545E8"/>
    <w:rsid w:val="00354FAF"/>
    <w:rsid w:val="00355105"/>
    <w:rsid w:val="00355183"/>
    <w:rsid w:val="00355C88"/>
    <w:rsid w:val="00356457"/>
    <w:rsid w:val="003609E6"/>
    <w:rsid w:val="0036102D"/>
    <w:rsid w:val="003610E1"/>
    <w:rsid w:val="00362525"/>
    <w:rsid w:val="0036374C"/>
    <w:rsid w:val="00363AFA"/>
    <w:rsid w:val="00363C73"/>
    <w:rsid w:val="003647C6"/>
    <w:rsid w:val="00364C76"/>
    <w:rsid w:val="0036584A"/>
    <w:rsid w:val="00365AD2"/>
    <w:rsid w:val="003664A8"/>
    <w:rsid w:val="00366BBA"/>
    <w:rsid w:val="003671BE"/>
    <w:rsid w:val="00371122"/>
    <w:rsid w:val="00372485"/>
    <w:rsid w:val="003726F4"/>
    <w:rsid w:val="0037273F"/>
    <w:rsid w:val="00373200"/>
    <w:rsid w:val="003732A1"/>
    <w:rsid w:val="00373787"/>
    <w:rsid w:val="00373F70"/>
    <w:rsid w:val="00374201"/>
    <w:rsid w:val="003749B7"/>
    <w:rsid w:val="003754E5"/>
    <w:rsid w:val="00375B77"/>
    <w:rsid w:val="00375EF5"/>
    <w:rsid w:val="003766DA"/>
    <w:rsid w:val="003767A5"/>
    <w:rsid w:val="00376A46"/>
    <w:rsid w:val="00376B3F"/>
    <w:rsid w:val="00376BDE"/>
    <w:rsid w:val="00377EF4"/>
    <w:rsid w:val="003809E4"/>
    <w:rsid w:val="00381D15"/>
    <w:rsid w:val="00381DC1"/>
    <w:rsid w:val="003830CF"/>
    <w:rsid w:val="003834C9"/>
    <w:rsid w:val="00383D63"/>
    <w:rsid w:val="00384784"/>
    <w:rsid w:val="00384F9D"/>
    <w:rsid w:val="00385254"/>
    <w:rsid w:val="00385D25"/>
    <w:rsid w:val="00386A4E"/>
    <w:rsid w:val="003879E9"/>
    <w:rsid w:val="003912ED"/>
    <w:rsid w:val="00391352"/>
    <w:rsid w:val="0039244D"/>
    <w:rsid w:val="003933E8"/>
    <w:rsid w:val="003934E1"/>
    <w:rsid w:val="0039366C"/>
    <w:rsid w:val="003938C1"/>
    <w:rsid w:val="00394031"/>
    <w:rsid w:val="003944F2"/>
    <w:rsid w:val="003946C7"/>
    <w:rsid w:val="00394A70"/>
    <w:rsid w:val="003955ED"/>
    <w:rsid w:val="00395D84"/>
    <w:rsid w:val="00396990"/>
    <w:rsid w:val="00396DC2"/>
    <w:rsid w:val="00396E74"/>
    <w:rsid w:val="00397975"/>
    <w:rsid w:val="003A04DB"/>
    <w:rsid w:val="003A0B99"/>
    <w:rsid w:val="003A0C3E"/>
    <w:rsid w:val="003A2B96"/>
    <w:rsid w:val="003A432C"/>
    <w:rsid w:val="003A5F5B"/>
    <w:rsid w:val="003A6005"/>
    <w:rsid w:val="003A6269"/>
    <w:rsid w:val="003A66D0"/>
    <w:rsid w:val="003A689C"/>
    <w:rsid w:val="003A789A"/>
    <w:rsid w:val="003A7E57"/>
    <w:rsid w:val="003B0BDB"/>
    <w:rsid w:val="003B11F5"/>
    <w:rsid w:val="003B12EC"/>
    <w:rsid w:val="003B181A"/>
    <w:rsid w:val="003B2026"/>
    <w:rsid w:val="003B2182"/>
    <w:rsid w:val="003B260E"/>
    <w:rsid w:val="003B290E"/>
    <w:rsid w:val="003B331F"/>
    <w:rsid w:val="003B3F59"/>
    <w:rsid w:val="003B433B"/>
    <w:rsid w:val="003B54C9"/>
    <w:rsid w:val="003B5B88"/>
    <w:rsid w:val="003B5BFC"/>
    <w:rsid w:val="003B6140"/>
    <w:rsid w:val="003B6841"/>
    <w:rsid w:val="003B75F5"/>
    <w:rsid w:val="003C03B8"/>
    <w:rsid w:val="003C074F"/>
    <w:rsid w:val="003C0860"/>
    <w:rsid w:val="003C1258"/>
    <w:rsid w:val="003C1F39"/>
    <w:rsid w:val="003C2AAB"/>
    <w:rsid w:val="003C2C1C"/>
    <w:rsid w:val="003C2DA3"/>
    <w:rsid w:val="003C2DE6"/>
    <w:rsid w:val="003C3365"/>
    <w:rsid w:val="003C377E"/>
    <w:rsid w:val="003C42D6"/>
    <w:rsid w:val="003C47E6"/>
    <w:rsid w:val="003C4D32"/>
    <w:rsid w:val="003C5249"/>
    <w:rsid w:val="003C5836"/>
    <w:rsid w:val="003C5A1E"/>
    <w:rsid w:val="003C5BF0"/>
    <w:rsid w:val="003C6536"/>
    <w:rsid w:val="003C6C7E"/>
    <w:rsid w:val="003C7649"/>
    <w:rsid w:val="003C769A"/>
    <w:rsid w:val="003C7709"/>
    <w:rsid w:val="003C77E0"/>
    <w:rsid w:val="003D0C4E"/>
    <w:rsid w:val="003D1082"/>
    <w:rsid w:val="003D14C8"/>
    <w:rsid w:val="003D17D7"/>
    <w:rsid w:val="003D1BD9"/>
    <w:rsid w:val="003D2678"/>
    <w:rsid w:val="003D267C"/>
    <w:rsid w:val="003D2750"/>
    <w:rsid w:val="003D5534"/>
    <w:rsid w:val="003D6FDE"/>
    <w:rsid w:val="003D7130"/>
    <w:rsid w:val="003D71A3"/>
    <w:rsid w:val="003D76A9"/>
    <w:rsid w:val="003D796D"/>
    <w:rsid w:val="003D7A6F"/>
    <w:rsid w:val="003D7B24"/>
    <w:rsid w:val="003D7C09"/>
    <w:rsid w:val="003E0CCB"/>
    <w:rsid w:val="003E1090"/>
    <w:rsid w:val="003E1C96"/>
    <w:rsid w:val="003E28D3"/>
    <w:rsid w:val="003E2B8A"/>
    <w:rsid w:val="003E2CC6"/>
    <w:rsid w:val="003E3051"/>
    <w:rsid w:val="003E30D1"/>
    <w:rsid w:val="003E3A63"/>
    <w:rsid w:val="003E3FA3"/>
    <w:rsid w:val="003E4909"/>
    <w:rsid w:val="003E4CFB"/>
    <w:rsid w:val="003E6052"/>
    <w:rsid w:val="003E64A5"/>
    <w:rsid w:val="003E7282"/>
    <w:rsid w:val="003E78E0"/>
    <w:rsid w:val="003F0E2F"/>
    <w:rsid w:val="003F0F85"/>
    <w:rsid w:val="003F10EE"/>
    <w:rsid w:val="003F1430"/>
    <w:rsid w:val="003F15AC"/>
    <w:rsid w:val="003F15F1"/>
    <w:rsid w:val="003F16F6"/>
    <w:rsid w:val="003F170B"/>
    <w:rsid w:val="003F1715"/>
    <w:rsid w:val="003F20F1"/>
    <w:rsid w:val="003F2780"/>
    <w:rsid w:val="003F35BB"/>
    <w:rsid w:val="003F3B96"/>
    <w:rsid w:val="003F4B01"/>
    <w:rsid w:val="003F4CC2"/>
    <w:rsid w:val="003F4DC7"/>
    <w:rsid w:val="003F5235"/>
    <w:rsid w:val="003F5784"/>
    <w:rsid w:val="003F5857"/>
    <w:rsid w:val="003F6DFB"/>
    <w:rsid w:val="003F7715"/>
    <w:rsid w:val="003F7C60"/>
    <w:rsid w:val="004004D3"/>
    <w:rsid w:val="00401281"/>
    <w:rsid w:val="00401F11"/>
    <w:rsid w:val="004027E4"/>
    <w:rsid w:val="00402AD2"/>
    <w:rsid w:val="004033A4"/>
    <w:rsid w:val="00403B36"/>
    <w:rsid w:val="00403BC0"/>
    <w:rsid w:val="0040450C"/>
    <w:rsid w:val="00404E32"/>
    <w:rsid w:val="00406C6E"/>
    <w:rsid w:val="00407345"/>
    <w:rsid w:val="0041071D"/>
    <w:rsid w:val="00410939"/>
    <w:rsid w:val="00410C97"/>
    <w:rsid w:val="00411041"/>
    <w:rsid w:val="004110BA"/>
    <w:rsid w:val="00412D3B"/>
    <w:rsid w:val="004142CF"/>
    <w:rsid w:val="004144B3"/>
    <w:rsid w:val="00414AFC"/>
    <w:rsid w:val="00414F39"/>
    <w:rsid w:val="004151A7"/>
    <w:rsid w:val="00415310"/>
    <w:rsid w:val="00416553"/>
    <w:rsid w:val="00416851"/>
    <w:rsid w:val="00416A83"/>
    <w:rsid w:val="00417BC7"/>
    <w:rsid w:val="004208A2"/>
    <w:rsid w:val="004214D2"/>
    <w:rsid w:val="0042160A"/>
    <w:rsid w:val="00421709"/>
    <w:rsid w:val="00421FC0"/>
    <w:rsid w:val="004224A9"/>
    <w:rsid w:val="00422CEA"/>
    <w:rsid w:val="004232A3"/>
    <w:rsid w:val="00423763"/>
    <w:rsid w:val="00424857"/>
    <w:rsid w:val="00425C60"/>
    <w:rsid w:val="00426BB2"/>
    <w:rsid w:val="00426C77"/>
    <w:rsid w:val="00426D9E"/>
    <w:rsid w:val="004270B0"/>
    <w:rsid w:val="0042762F"/>
    <w:rsid w:val="00427DC7"/>
    <w:rsid w:val="00427F1E"/>
    <w:rsid w:val="00430C90"/>
    <w:rsid w:val="00431170"/>
    <w:rsid w:val="00431613"/>
    <w:rsid w:val="004316A3"/>
    <w:rsid w:val="00431792"/>
    <w:rsid w:val="00431CD0"/>
    <w:rsid w:val="00431F3D"/>
    <w:rsid w:val="00432632"/>
    <w:rsid w:val="0043278F"/>
    <w:rsid w:val="0043297A"/>
    <w:rsid w:val="00432EB2"/>
    <w:rsid w:val="00433033"/>
    <w:rsid w:val="004354F6"/>
    <w:rsid w:val="0043582C"/>
    <w:rsid w:val="0043714F"/>
    <w:rsid w:val="00437D16"/>
    <w:rsid w:val="00441055"/>
    <w:rsid w:val="00441676"/>
    <w:rsid w:val="00441D70"/>
    <w:rsid w:val="00442886"/>
    <w:rsid w:val="004438B5"/>
    <w:rsid w:val="00443A41"/>
    <w:rsid w:val="00443DC1"/>
    <w:rsid w:val="00444142"/>
    <w:rsid w:val="004444D7"/>
    <w:rsid w:val="00444600"/>
    <w:rsid w:val="0044460B"/>
    <w:rsid w:val="00445CE1"/>
    <w:rsid w:val="004460BF"/>
    <w:rsid w:val="0044638D"/>
    <w:rsid w:val="0044642F"/>
    <w:rsid w:val="00446E7F"/>
    <w:rsid w:val="00447037"/>
    <w:rsid w:val="00447645"/>
    <w:rsid w:val="0044773B"/>
    <w:rsid w:val="00447C10"/>
    <w:rsid w:val="00450008"/>
    <w:rsid w:val="00450331"/>
    <w:rsid w:val="0045101C"/>
    <w:rsid w:val="00451158"/>
    <w:rsid w:val="0045124D"/>
    <w:rsid w:val="00454465"/>
    <w:rsid w:val="00454596"/>
    <w:rsid w:val="004551D8"/>
    <w:rsid w:val="00455981"/>
    <w:rsid w:val="0045605D"/>
    <w:rsid w:val="00456D5B"/>
    <w:rsid w:val="00456F55"/>
    <w:rsid w:val="00457CDF"/>
    <w:rsid w:val="004604BD"/>
    <w:rsid w:val="0046060E"/>
    <w:rsid w:val="004607DF"/>
    <w:rsid w:val="0046135B"/>
    <w:rsid w:val="004614E6"/>
    <w:rsid w:val="00461D47"/>
    <w:rsid w:val="00462001"/>
    <w:rsid w:val="00462472"/>
    <w:rsid w:val="004631A3"/>
    <w:rsid w:val="00463E59"/>
    <w:rsid w:val="0046437B"/>
    <w:rsid w:val="004648F7"/>
    <w:rsid w:val="00464E35"/>
    <w:rsid w:val="004659CD"/>
    <w:rsid w:val="0046799F"/>
    <w:rsid w:val="00470203"/>
    <w:rsid w:val="004718CC"/>
    <w:rsid w:val="00471BD1"/>
    <w:rsid w:val="00473F45"/>
    <w:rsid w:val="0047490D"/>
    <w:rsid w:val="004758FB"/>
    <w:rsid w:val="00475F5F"/>
    <w:rsid w:val="0047792A"/>
    <w:rsid w:val="00477ABD"/>
    <w:rsid w:val="00480203"/>
    <w:rsid w:val="0048096B"/>
    <w:rsid w:val="00480DCA"/>
    <w:rsid w:val="00481346"/>
    <w:rsid w:val="00481695"/>
    <w:rsid w:val="0048174C"/>
    <w:rsid w:val="00482564"/>
    <w:rsid w:val="00482622"/>
    <w:rsid w:val="0048330A"/>
    <w:rsid w:val="0048344F"/>
    <w:rsid w:val="00483618"/>
    <w:rsid w:val="00483D9A"/>
    <w:rsid w:val="004844BD"/>
    <w:rsid w:val="00484547"/>
    <w:rsid w:val="0048466F"/>
    <w:rsid w:val="00484FA7"/>
    <w:rsid w:val="00485298"/>
    <w:rsid w:val="004867B9"/>
    <w:rsid w:val="00486E89"/>
    <w:rsid w:val="00490D88"/>
    <w:rsid w:val="00491E84"/>
    <w:rsid w:val="00491FFF"/>
    <w:rsid w:val="0049244F"/>
    <w:rsid w:val="0049254E"/>
    <w:rsid w:val="00494119"/>
    <w:rsid w:val="004945F6"/>
    <w:rsid w:val="00495246"/>
    <w:rsid w:val="00495A96"/>
    <w:rsid w:val="00495BB3"/>
    <w:rsid w:val="00495C68"/>
    <w:rsid w:val="00496139"/>
    <w:rsid w:val="00496B3C"/>
    <w:rsid w:val="00496B55"/>
    <w:rsid w:val="00496C3C"/>
    <w:rsid w:val="00496E13"/>
    <w:rsid w:val="00497E24"/>
    <w:rsid w:val="004A0CB0"/>
    <w:rsid w:val="004A129B"/>
    <w:rsid w:val="004A1706"/>
    <w:rsid w:val="004A1E8E"/>
    <w:rsid w:val="004A2108"/>
    <w:rsid w:val="004A2DB0"/>
    <w:rsid w:val="004A2DF1"/>
    <w:rsid w:val="004A2E36"/>
    <w:rsid w:val="004A3184"/>
    <w:rsid w:val="004A3672"/>
    <w:rsid w:val="004A3E76"/>
    <w:rsid w:val="004A4615"/>
    <w:rsid w:val="004A49F0"/>
    <w:rsid w:val="004A5310"/>
    <w:rsid w:val="004A56BB"/>
    <w:rsid w:val="004A5B3A"/>
    <w:rsid w:val="004A69A1"/>
    <w:rsid w:val="004A70D6"/>
    <w:rsid w:val="004A7A05"/>
    <w:rsid w:val="004A7C05"/>
    <w:rsid w:val="004B0D5E"/>
    <w:rsid w:val="004B1751"/>
    <w:rsid w:val="004B1CE7"/>
    <w:rsid w:val="004B2B14"/>
    <w:rsid w:val="004B2C9D"/>
    <w:rsid w:val="004B3196"/>
    <w:rsid w:val="004B55BD"/>
    <w:rsid w:val="004B55CB"/>
    <w:rsid w:val="004B61D0"/>
    <w:rsid w:val="004B669B"/>
    <w:rsid w:val="004B74D0"/>
    <w:rsid w:val="004B7869"/>
    <w:rsid w:val="004C0253"/>
    <w:rsid w:val="004C0751"/>
    <w:rsid w:val="004C1099"/>
    <w:rsid w:val="004C12B9"/>
    <w:rsid w:val="004C1B7A"/>
    <w:rsid w:val="004C29FD"/>
    <w:rsid w:val="004C3AEB"/>
    <w:rsid w:val="004C3E55"/>
    <w:rsid w:val="004C4A1E"/>
    <w:rsid w:val="004C4A5B"/>
    <w:rsid w:val="004C58A8"/>
    <w:rsid w:val="004C6216"/>
    <w:rsid w:val="004C62B7"/>
    <w:rsid w:val="004C64C3"/>
    <w:rsid w:val="004C6C06"/>
    <w:rsid w:val="004C6DDB"/>
    <w:rsid w:val="004D011B"/>
    <w:rsid w:val="004D05D3"/>
    <w:rsid w:val="004D2C74"/>
    <w:rsid w:val="004D304A"/>
    <w:rsid w:val="004D411B"/>
    <w:rsid w:val="004D456C"/>
    <w:rsid w:val="004D4B0E"/>
    <w:rsid w:val="004D56FF"/>
    <w:rsid w:val="004D5A96"/>
    <w:rsid w:val="004D62D0"/>
    <w:rsid w:val="004D6EB5"/>
    <w:rsid w:val="004D7B5A"/>
    <w:rsid w:val="004E11FE"/>
    <w:rsid w:val="004E128E"/>
    <w:rsid w:val="004E151E"/>
    <w:rsid w:val="004E16F7"/>
    <w:rsid w:val="004E3828"/>
    <w:rsid w:val="004E39D3"/>
    <w:rsid w:val="004E3D23"/>
    <w:rsid w:val="004E410F"/>
    <w:rsid w:val="004E4298"/>
    <w:rsid w:val="004E4FA9"/>
    <w:rsid w:val="004E508A"/>
    <w:rsid w:val="004E53B6"/>
    <w:rsid w:val="004E54CF"/>
    <w:rsid w:val="004E55E1"/>
    <w:rsid w:val="004E5F83"/>
    <w:rsid w:val="004E616D"/>
    <w:rsid w:val="004E685A"/>
    <w:rsid w:val="004E725B"/>
    <w:rsid w:val="004E7B8E"/>
    <w:rsid w:val="004F16F8"/>
    <w:rsid w:val="004F1BDE"/>
    <w:rsid w:val="004F2CEE"/>
    <w:rsid w:val="004F41BB"/>
    <w:rsid w:val="004F4772"/>
    <w:rsid w:val="004F556E"/>
    <w:rsid w:val="004F591C"/>
    <w:rsid w:val="004F63D6"/>
    <w:rsid w:val="004F6693"/>
    <w:rsid w:val="004F6C95"/>
    <w:rsid w:val="004F6CD3"/>
    <w:rsid w:val="004F6F01"/>
    <w:rsid w:val="004F77BA"/>
    <w:rsid w:val="004F7EEB"/>
    <w:rsid w:val="004F7F44"/>
    <w:rsid w:val="00500E1B"/>
    <w:rsid w:val="00501C57"/>
    <w:rsid w:val="00502790"/>
    <w:rsid w:val="00502C2D"/>
    <w:rsid w:val="005037B4"/>
    <w:rsid w:val="00503E10"/>
    <w:rsid w:val="00503E84"/>
    <w:rsid w:val="005045E4"/>
    <w:rsid w:val="00506037"/>
    <w:rsid w:val="00506211"/>
    <w:rsid w:val="00506A53"/>
    <w:rsid w:val="005079BF"/>
    <w:rsid w:val="00507B29"/>
    <w:rsid w:val="005100E2"/>
    <w:rsid w:val="005105C1"/>
    <w:rsid w:val="005108DC"/>
    <w:rsid w:val="0051253F"/>
    <w:rsid w:val="005125BE"/>
    <w:rsid w:val="0051269A"/>
    <w:rsid w:val="00512DC0"/>
    <w:rsid w:val="005131DC"/>
    <w:rsid w:val="0051350E"/>
    <w:rsid w:val="005136FD"/>
    <w:rsid w:val="0051386A"/>
    <w:rsid w:val="00513C15"/>
    <w:rsid w:val="00514465"/>
    <w:rsid w:val="00514927"/>
    <w:rsid w:val="005152D0"/>
    <w:rsid w:val="0051540A"/>
    <w:rsid w:val="00515B9B"/>
    <w:rsid w:val="0051774E"/>
    <w:rsid w:val="00521516"/>
    <w:rsid w:val="005219E7"/>
    <w:rsid w:val="00521EDE"/>
    <w:rsid w:val="00522468"/>
    <w:rsid w:val="005224F0"/>
    <w:rsid w:val="00522B08"/>
    <w:rsid w:val="00522DDD"/>
    <w:rsid w:val="005235D2"/>
    <w:rsid w:val="00523C5F"/>
    <w:rsid w:val="00523F00"/>
    <w:rsid w:val="0052407A"/>
    <w:rsid w:val="00525745"/>
    <w:rsid w:val="00525815"/>
    <w:rsid w:val="005258D7"/>
    <w:rsid w:val="00525A2A"/>
    <w:rsid w:val="00526741"/>
    <w:rsid w:val="00526992"/>
    <w:rsid w:val="00531B9A"/>
    <w:rsid w:val="00531D15"/>
    <w:rsid w:val="005320D0"/>
    <w:rsid w:val="00532B17"/>
    <w:rsid w:val="00533437"/>
    <w:rsid w:val="00533686"/>
    <w:rsid w:val="005336B7"/>
    <w:rsid w:val="005337F3"/>
    <w:rsid w:val="00533AB4"/>
    <w:rsid w:val="005352CF"/>
    <w:rsid w:val="00535895"/>
    <w:rsid w:val="0053594F"/>
    <w:rsid w:val="00535B80"/>
    <w:rsid w:val="00535C9B"/>
    <w:rsid w:val="00535EC4"/>
    <w:rsid w:val="00536B0C"/>
    <w:rsid w:val="00536EB3"/>
    <w:rsid w:val="00537604"/>
    <w:rsid w:val="0054091B"/>
    <w:rsid w:val="00540971"/>
    <w:rsid w:val="005409E2"/>
    <w:rsid w:val="00540A6F"/>
    <w:rsid w:val="00541943"/>
    <w:rsid w:val="00542377"/>
    <w:rsid w:val="00542872"/>
    <w:rsid w:val="00542AAB"/>
    <w:rsid w:val="00542CC2"/>
    <w:rsid w:val="00542F5F"/>
    <w:rsid w:val="00543887"/>
    <w:rsid w:val="005445DE"/>
    <w:rsid w:val="00544F18"/>
    <w:rsid w:val="0054578A"/>
    <w:rsid w:val="005463CE"/>
    <w:rsid w:val="00546643"/>
    <w:rsid w:val="005476EB"/>
    <w:rsid w:val="00547FCF"/>
    <w:rsid w:val="00550244"/>
    <w:rsid w:val="0055025A"/>
    <w:rsid w:val="005507AD"/>
    <w:rsid w:val="00551356"/>
    <w:rsid w:val="00551782"/>
    <w:rsid w:val="00551D14"/>
    <w:rsid w:val="00551E47"/>
    <w:rsid w:val="0055251E"/>
    <w:rsid w:val="00552C19"/>
    <w:rsid w:val="00554A3E"/>
    <w:rsid w:val="00554CA8"/>
    <w:rsid w:val="005550E0"/>
    <w:rsid w:val="00556223"/>
    <w:rsid w:val="00556370"/>
    <w:rsid w:val="005579FC"/>
    <w:rsid w:val="0056049D"/>
    <w:rsid w:val="00560634"/>
    <w:rsid w:val="00561333"/>
    <w:rsid w:val="005615C0"/>
    <w:rsid w:val="0056168A"/>
    <w:rsid w:val="005621F6"/>
    <w:rsid w:val="00562A8A"/>
    <w:rsid w:val="00562CBC"/>
    <w:rsid w:val="00563957"/>
    <w:rsid w:val="00563AA6"/>
    <w:rsid w:val="00563EF1"/>
    <w:rsid w:val="00564148"/>
    <w:rsid w:val="00565CE8"/>
    <w:rsid w:val="0056655D"/>
    <w:rsid w:val="005669D7"/>
    <w:rsid w:val="00566AB4"/>
    <w:rsid w:val="00567703"/>
    <w:rsid w:val="00567CF2"/>
    <w:rsid w:val="00567EF3"/>
    <w:rsid w:val="00571A58"/>
    <w:rsid w:val="005725EC"/>
    <w:rsid w:val="00572A42"/>
    <w:rsid w:val="00572AF3"/>
    <w:rsid w:val="00573812"/>
    <w:rsid w:val="00573B43"/>
    <w:rsid w:val="005749AB"/>
    <w:rsid w:val="00574EE1"/>
    <w:rsid w:val="00575AC5"/>
    <w:rsid w:val="00575FDB"/>
    <w:rsid w:val="0057605D"/>
    <w:rsid w:val="00576B8F"/>
    <w:rsid w:val="00576C5D"/>
    <w:rsid w:val="00577DD3"/>
    <w:rsid w:val="00580D1A"/>
    <w:rsid w:val="00581347"/>
    <w:rsid w:val="005818CE"/>
    <w:rsid w:val="00581AC9"/>
    <w:rsid w:val="00581B8C"/>
    <w:rsid w:val="00582A46"/>
    <w:rsid w:val="005830A7"/>
    <w:rsid w:val="00583EE7"/>
    <w:rsid w:val="005849F8"/>
    <w:rsid w:val="00587E47"/>
    <w:rsid w:val="00590836"/>
    <w:rsid w:val="00590B76"/>
    <w:rsid w:val="00591DD4"/>
    <w:rsid w:val="00592356"/>
    <w:rsid w:val="00593376"/>
    <w:rsid w:val="005938DF"/>
    <w:rsid w:val="00593DF7"/>
    <w:rsid w:val="00593F21"/>
    <w:rsid w:val="00594E9C"/>
    <w:rsid w:val="005950C0"/>
    <w:rsid w:val="00596397"/>
    <w:rsid w:val="0059667B"/>
    <w:rsid w:val="0059699D"/>
    <w:rsid w:val="00597EF1"/>
    <w:rsid w:val="005A099B"/>
    <w:rsid w:val="005A0BCC"/>
    <w:rsid w:val="005A165F"/>
    <w:rsid w:val="005A2D9C"/>
    <w:rsid w:val="005A2FAE"/>
    <w:rsid w:val="005A32B7"/>
    <w:rsid w:val="005A32F7"/>
    <w:rsid w:val="005A372B"/>
    <w:rsid w:val="005A4103"/>
    <w:rsid w:val="005A4BB0"/>
    <w:rsid w:val="005A4CEB"/>
    <w:rsid w:val="005A55FE"/>
    <w:rsid w:val="005A5752"/>
    <w:rsid w:val="005A60DE"/>
    <w:rsid w:val="005A610C"/>
    <w:rsid w:val="005A664E"/>
    <w:rsid w:val="005A6A11"/>
    <w:rsid w:val="005A7F0E"/>
    <w:rsid w:val="005B05BB"/>
    <w:rsid w:val="005B0899"/>
    <w:rsid w:val="005B0ADC"/>
    <w:rsid w:val="005B0E7D"/>
    <w:rsid w:val="005B1635"/>
    <w:rsid w:val="005B295E"/>
    <w:rsid w:val="005B29EE"/>
    <w:rsid w:val="005B2F0D"/>
    <w:rsid w:val="005B33B5"/>
    <w:rsid w:val="005B370F"/>
    <w:rsid w:val="005B58CD"/>
    <w:rsid w:val="005B5997"/>
    <w:rsid w:val="005B5E70"/>
    <w:rsid w:val="005B657C"/>
    <w:rsid w:val="005B7938"/>
    <w:rsid w:val="005C0FB5"/>
    <w:rsid w:val="005C1BB2"/>
    <w:rsid w:val="005C22A1"/>
    <w:rsid w:val="005C2475"/>
    <w:rsid w:val="005C25FB"/>
    <w:rsid w:val="005C317A"/>
    <w:rsid w:val="005C3202"/>
    <w:rsid w:val="005C3449"/>
    <w:rsid w:val="005C34B4"/>
    <w:rsid w:val="005C34EF"/>
    <w:rsid w:val="005C3A59"/>
    <w:rsid w:val="005C62D4"/>
    <w:rsid w:val="005C6F42"/>
    <w:rsid w:val="005C7D5E"/>
    <w:rsid w:val="005D0457"/>
    <w:rsid w:val="005D0625"/>
    <w:rsid w:val="005D2502"/>
    <w:rsid w:val="005D3E8C"/>
    <w:rsid w:val="005D40BB"/>
    <w:rsid w:val="005D47F3"/>
    <w:rsid w:val="005D49BF"/>
    <w:rsid w:val="005D4AA5"/>
    <w:rsid w:val="005D4C11"/>
    <w:rsid w:val="005D5B24"/>
    <w:rsid w:val="005D6371"/>
    <w:rsid w:val="005D6759"/>
    <w:rsid w:val="005D6B17"/>
    <w:rsid w:val="005D6F4E"/>
    <w:rsid w:val="005D723D"/>
    <w:rsid w:val="005D75D6"/>
    <w:rsid w:val="005D7C73"/>
    <w:rsid w:val="005E0CE6"/>
    <w:rsid w:val="005E0DFD"/>
    <w:rsid w:val="005E1DAE"/>
    <w:rsid w:val="005E1F02"/>
    <w:rsid w:val="005E1F13"/>
    <w:rsid w:val="005E2248"/>
    <w:rsid w:val="005E23DF"/>
    <w:rsid w:val="005E250B"/>
    <w:rsid w:val="005E3638"/>
    <w:rsid w:val="005E3ACD"/>
    <w:rsid w:val="005E3C89"/>
    <w:rsid w:val="005E484D"/>
    <w:rsid w:val="005E4D42"/>
    <w:rsid w:val="005E5199"/>
    <w:rsid w:val="005E5B8A"/>
    <w:rsid w:val="005E5D05"/>
    <w:rsid w:val="005E7226"/>
    <w:rsid w:val="005E7A57"/>
    <w:rsid w:val="005E7DBF"/>
    <w:rsid w:val="005F0109"/>
    <w:rsid w:val="005F079C"/>
    <w:rsid w:val="005F15C6"/>
    <w:rsid w:val="005F1A20"/>
    <w:rsid w:val="005F24B0"/>
    <w:rsid w:val="005F2CF5"/>
    <w:rsid w:val="005F32A5"/>
    <w:rsid w:val="005F3EC8"/>
    <w:rsid w:val="005F4177"/>
    <w:rsid w:val="005F60BE"/>
    <w:rsid w:val="005F61A0"/>
    <w:rsid w:val="005F678B"/>
    <w:rsid w:val="005F6A8E"/>
    <w:rsid w:val="005F7971"/>
    <w:rsid w:val="00601A12"/>
    <w:rsid w:val="00603BB8"/>
    <w:rsid w:val="00603BF8"/>
    <w:rsid w:val="006042A6"/>
    <w:rsid w:val="00604315"/>
    <w:rsid w:val="00604E26"/>
    <w:rsid w:val="006051E5"/>
    <w:rsid w:val="0060523F"/>
    <w:rsid w:val="006052CF"/>
    <w:rsid w:val="00605962"/>
    <w:rsid w:val="00605998"/>
    <w:rsid w:val="006059F9"/>
    <w:rsid w:val="00606598"/>
    <w:rsid w:val="00606D18"/>
    <w:rsid w:val="00607131"/>
    <w:rsid w:val="0060777B"/>
    <w:rsid w:val="00607B8D"/>
    <w:rsid w:val="006107D3"/>
    <w:rsid w:val="0061096C"/>
    <w:rsid w:val="0061103E"/>
    <w:rsid w:val="0061106B"/>
    <w:rsid w:val="006112DD"/>
    <w:rsid w:val="00611F5C"/>
    <w:rsid w:val="006131D3"/>
    <w:rsid w:val="0061509E"/>
    <w:rsid w:val="00616C7D"/>
    <w:rsid w:val="00616E09"/>
    <w:rsid w:val="00617608"/>
    <w:rsid w:val="00617D00"/>
    <w:rsid w:val="00620068"/>
    <w:rsid w:val="00622952"/>
    <w:rsid w:val="00622A3B"/>
    <w:rsid w:val="00622EEA"/>
    <w:rsid w:val="00622F3E"/>
    <w:rsid w:val="006231EC"/>
    <w:rsid w:val="006235C7"/>
    <w:rsid w:val="0062396C"/>
    <w:rsid w:val="00623FF9"/>
    <w:rsid w:val="006249D0"/>
    <w:rsid w:val="00624E2C"/>
    <w:rsid w:val="00625626"/>
    <w:rsid w:val="00625733"/>
    <w:rsid w:val="00625861"/>
    <w:rsid w:val="00626511"/>
    <w:rsid w:val="00626CD3"/>
    <w:rsid w:val="00626E3F"/>
    <w:rsid w:val="00627D4E"/>
    <w:rsid w:val="0063069F"/>
    <w:rsid w:val="00630F99"/>
    <w:rsid w:val="00632B89"/>
    <w:rsid w:val="00633308"/>
    <w:rsid w:val="0063346D"/>
    <w:rsid w:val="00634056"/>
    <w:rsid w:val="006342DE"/>
    <w:rsid w:val="00634478"/>
    <w:rsid w:val="0063467A"/>
    <w:rsid w:val="00634888"/>
    <w:rsid w:val="006349B8"/>
    <w:rsid w:val="00636427"/>
    <w:rsid w:val="006364E4"/>
    <w:rsid w:val="00636C19"/>
    <w:rsid w:val="00636DA2"/>
    <w:rsid w:val="00637CF7"/>
    <w:rsid w:val="00641A49"/>
    <w:rsid w:val="0064217B"/>
    <w:rsid w:val="00642212"/>
    <w:rsid w:val="0064293E"/>
    <w:rsid w:val="00642C26"/>
    <w:rsid w:val="00643472"/>
    <w:rsid w:val="006435EA"/>
    <w:rsid w:val="00643741"/>
    <w:rsid w:val="00643ECE"/>
    <w:rsid w:val="00644112"/>
    <w:rsid w:val="00644373"/>
    <w:rsid w:val="006444BC"/>
    <w:rsid w:val="00645495"/>
    <w:rsid w:val="00645915"/>
    <w:rsid w:val="006467A4"/>
    <w:rsid w:val="00646CC4"/>
    <w:rsid w:val="00647801"/>
    <w:rsid w:val="00647A48"/>
    <w:rsid w:val="00650328"/>
    <w:rsid w:val="0065067A"/>
    <w:rsid w:val="00651651"/>
    <w:rsid w:val="006519C3"/>
    <w:rsid w:val="00651B78"/>
    <w:rsid w:val="006522E8"/>
    <w:rsid w:val="00652766"/>
    <w:rsid w:val="00652B30"/>
    <w:rsid w:val="00652B80"/>
    <w:rsid w:val="00653344"/>
    <w:rsid w:val="00653E9E"/>
    <w:rsid w:val="00653EE3"/>
    <w:rsid w:val="00654711"/>
    <w:rsid w:val="006548BA"/>
    <w:rsid w:val="00654E93"/>
    <w:rsid w:val="00655390"/>
    <w:rsid w:val="00655B18"/>
    <w:rsid w:val="00656345"/>
    <w:rsid w:val="00656DC6"/>
    <w:rsid w:val="00656F59"/>
    <w:rsid w:val="00657441"/>
    <w:rsid w:val="00657626"/>
    <w:rsid w:val="006579FA"/>
    <w:rsid w:val="00657C38"/>
    <w:rsid w:val="00657FFD"/>
    <w:rsid w:val="00660038"/>
    <w:rsid w:val="00660EC6"/>
    <w:rsid w:val="00661311"/>
    <w:rsid w:val="00661745"/>
    <w:rsid w:val="00662302"/>
    <w:rsid w:val="00662394"/>
    <w:rsid w:val="00662C5E"/>
    <w:rsid w:val="00662CDE"/>
    <w:rsid w:val="00662ED1"/>
    <w:rsid w:val="00662F5B"/>
    <w:rsid w:val="00662FBE"/>
    <w:rsid w:val="00663799"/>
    <w:rsid w:val="00664110"/>
    <w:rsid w:val="0066420A"/>
    <w:rsid w:val="00664572"/>
    <w:rsid w:val="00664B99"/>
    <w:rsid w:val="00664BAB"/>
    <w:rsid w:val="00664C09"/>
    <w:rsid w:val="00664D17"/>
    <w:rsid w:val="00665E64"/>
    <w:rsid w:val="00665F62"/>
    <w:rsid w:val="00666259"/>
    <w:rsid w:val="00666520"/>
    <w:rsid w:val="0066661D"/>
    <w:rsid w:val="00666EA5"/>
    <w:rsid w:val="00667C5B"/>
    <w:rsid w:val="00667EA0"/>
    <w:rsid w:val="00670204"/>
    <w:rsid w:val="006712EE"/>
    <w:rsid w:val="006717C1"/>
    <w:rsid w:val="00672ADD"/>
    <w:rsid w:val="00672D42"/>
    <w:rsid w:val="00672D6F"/>
    <w:rsid w:val="0067332A"/>
    <w:rsid w:val="00673E76"/>
    <w:rsid w:val="00674353"/>
    <w:rsid w:val="00674440"/>
    <w:rsid w:val="00674D52"/>
    <w:rsid w:val="00674D5B"/>
    <w:rsid w:val="00675C53"/>
    <w:rsid w:val="00677720"/>
    <w:rsid w:val="00677CDF"/>
    <w:rsid w:val="00681403"/>
    <w:rsid w:val="0068164A"/>
    <w:rsid w:val="00681733"/>
    <w:rsid w:val="00682084"/>
    <w:rsid w:val="00684083"/>
    <w:rsid w:val="00684320"/>
    <w:rsid w:val="0068492C"/>
    <w:rsid w:val="00684CC8"/>
    <w:rsid w:val="0068525F"/>
    <w:rsid w:val="00685511"/>
    <w:rsid w:val="006859C0"/>
    <w:rsid w:val="00686C60"/>
    <w:rsid w:val="00690548"/>
    <w:rsid w:val="00690B93"/>
    <w:rsid w:val="00691EB8"/>
    <w:rsid w:val="006920BB"/>
    <w:rsid w:val="0069215E"/>
    <w:rsid w:val="00692CDE"/>
    <w:rsid w:val="00692D05"/>
    <w:rsid w:val="00693073"/>
    <w:rsid w:val="0069464E"/>
    <w:rsid w:val="00694AC4"/>
    <w:rsid w:val="00694E69"/>
    <w:rsid w:val="00695093"/>
    <w:rsid w:val="00695306"/>
    <w:rsid w:val="00695921"/>
    <w:rsid w:val="006966D4"/>
    <w:rsid w:val="006977FF"/>
    <w:rsid w:val="006978B7"/>
    <w:rsid w:val="00697F2F"/>
    <w:rsid w:val="006A01FA"/>
    <w:rsid w:val="006A092A"/>
    <w:rsid w:val="006A0E9E"/>
    <w:rsid w:val="006A25C7"/>
    <w:rsid w:val="006A499A"/>
    <w:rsid w:val="006A4AAD"/>
    <w:rsid w:val="006A4CCA"/>
    <w:rsid w:val="006A51F5"/>
    <w:rsid w:val="006A57CD"/>
    <w:rsid w:val="006A6496"/>
    <w:rsid w:val="006A64AF"/>
    <w:rsid w:val="006A68D0"/>
    <w:rsid w:val="006A69F7"/>
    <w:rsid w:val="006A6DA2"/>
    <w:rsid w:val="006A78CA"/>
    <w:rsid w:val="006A7AB2"/>
    <w:rsid w:val="006A7E43"/>
    <w:rsid w:val="006B0B02"/>
    <w:rsid w:val="006B250D"/>
    <w:rsid w:val="006B27FC"/>
    <w:rsid w:val="006B28D9"/>
    <w:rsid w:val="006B312B"/>
    <w:rsid w:val="006B338B"/>
    <w:rsid w:val="006B4A15"/>
    <w:rsid w:val="006B52DE"/>
    <w:rsid w:val="006B55E3"/>
    <w:rsid w:val="006B5717"/>
    <w:rsid w:val="006B582F"/>
    <w:rsid w:val="006B5BC8"/>
    <w:rsid w:val="006B5EB2"/>
    <w:rsid w:val="006B5F58"/>
    <w:rsid w:val="006B6040"/>
    <w:rsid w:val="006B6059"/>
    <w:rsid w:val="006B629F"/>
    <w:rsid w:val="006B735F"/>
    <w:rsid w:val="006B7CC9"/>
    <w:rsid w:val="006C0546"/>
    <w:rsid w:val="006C064C"/>
    <w:rsid w:val="006C0BFE"/>
    <w:rsid w:val="006C0C02"/>
    <w:rsid w:val="006C0CEB"/>
    <w:rsid w:val="006C13CE"/>
    <w:rsid w:val="006C158E"/>
    <w:rsid w:val="006C1631"/>
    <w:rsid w:val="006C1956"/>
    <w:rsid w:val="006C19E2"/>
    <w:rsid w:val="006C1FCA"/>
    <w:rsid w:val="006C3B1E"/>
    <w:rsid w:val="006C47FD"/>
    <w:rsid w:val="006C4D3B"/>
    <w:rsid w:val="006C52ED"/>
    <w:rsid w:val="006C5C19"/>
    <w:rsid w:val="006C6E82"/>
    <w:rsid w:val="006C70A0"/>
    <w:rsid w:val="006C7DBB"/>
    <w:rsid w:val="006D002E"/>
    <w:rsid w:val="006D0401"/>
    <w:rsid w:val="006D0ED5"/>
    <w:rsid w:val="006D1186"/>
    <w:rsid w:val="006D14A0"/>
    <w:rsid w:val="006D1F90"/>
    <w:rsid w:val="006D1FD9"/>
    <w:rsid w:val="006D1FE5"/>
    <w:rsid w:val="006D27CB"/>
    <w:rsid w:val="006D29DA"/>
    <w:rsid w:val="006D2CD6"/>
    <w:rsid w:val="006D2F08"/>
    <w:rsid w:val="006D3E80"/>
    <w:rsid w:val="006D3FB0"/>
    <w:rsid w:val="006D41D4"/>
    <w:rsid w:val="006D4557"/>
    <w:rsid w:val="006D46D4"/>
    <w:rsid w:val="006D4A44"/>
    <w:rsid w:val="006D576C"/>
    <w:rsid w:val="006D5865"/>
    <w:rsid w:val="006D5871"/>
    <w:rsid w:val="006D5F72"/>
    <w:rsid w:val="006D7955"/>
    <w:rsid w:val="006E05B3"/>
    <w:rsid w:val="006E0B8C"/>
    <w:rsid w:val="006E0F8E"/>
    <w:rsid w:val="006E1D2A"/>
    <w:rsid w:val="006E3939"/>
    <w:rsid w:val="006E3B1F"/>
    <w:rsid w:val="006E4B1B"/>
    <w:rsid w:val="006E4E88"/>
    <w:rsid w:val="006E5445"/>
    <w:rsid w:val="006E5948"/>
    <w:rsid w:val="006E7D93"/>
    <w:rsid w:val="006F0C91"/>
    <w:rsid w:val="006F1A24"/>
    <w:rsid w:val="006F2537"/>
    <w:rsid w:val="006F2565"/>
    <w:rsid w:val="006F292B"/>
    <w:rsid w:val="006F333C"/>
    <w:rsid w:val="006F3B05"/>
    <w:rsid w:val="006F3F6D"/>
    <w:rsid w:val="006F47E2"/>
    <w:rsid w:val="006F5B1C"/>
    <w:rsid w:val="006F6584"/>
    <w:rsid w:val="006F6D43"/>
    <w:rsid w:val="006F78C0"/>
    <w:rsid w:val="006F7D5F"/>
    <w:rsid w:val="007005EE"/>
    <w:rsid w:val="0070133D"/>
    <w:rsid w:val="00702304"/>
    <w:rsid w:val="007029A3"/>
    <w:rsid w:val="00703113"/>
    <w:rsid w:val="007045AE"/>
    <w:rsid w:val="0070463B"/>
    <w:rsid w:val="007046A6"/>
    <w:rsid w:val="00704973"/>
    <w:rsid w:val="007057CA"/>
    <w:rsid w:val="00705FA8"/>
    <w:rsid w:val="007063F1"/>
    <w:rsid w:val="00706E4E"/>
    <w:rsid w:val="0070791C"/>
    <w:rsid w:val="00707C2B"/>
    <w:rsid w:val="007100E7"/>
    <w:rsid w:val="00710483"/>
    <w:rsid w:val="00711A5F"/>
    <w:rsid w:val="0071383C"/>
    <w:rsid w:val="00713D66"/>
    <w:rsid w:val="007141A7"/>
    <w:rsid w:val="00714597"/>
    <w:rsid w:val="007147A9"/>
    <w:rsid w:val="00715722"/>
    <w:rsid w:val="00715BAF"/>
    <w:rsid w:val="0072062C"/>
    <w:rsid w:val="00721032"/>
    <w:rsid w:val="00721A2D"/>
    <w:rsid w:val="00721B55"/>
    <w:rsid w:val="007221CE"/>
    <w:rsid w:val="00724173"/>
    <w:rsid w:val="00724F93"/>
    <w:rsid w:val="007254B9"/>
    <w:rsid w:val="00726CE4"/>
    <w:rsid w:val="007273B0"/>
    <w:rsid w:val="00727844"/>
    <w:rsid w:val="0073082E"/>
    <w:rsid w:val="00730FC5"/>
    <w:rsid w:val="007312D8"/>
    <w:rsid w:val="00731459"/>
    <w:rsid w:val="007321FA"/>
    <w:rsid w:val="00733510"/>
    <w:rsid w:val="00733CA1"/>
    <w:rsid w:val="00734143"/>
    <w:rsid w:val="007345F5"/>
    <w:rsid w:val="0073471A"/>
    <w:rsid w:val="00734A7E"/>
    <w:rsid w:val="00734BF2"/>
    <w:rsid w:val="007366BC"/>
    <w:rsid w:val="00737E47"/>
    <w:rsid w:val="00740185"/>
    <w:rsid w:val="00740B28"/>
    <w:rsid w:val="00740EAC"/>
    <w:rsid w:val="00740F55"/>
    <w:rsid w:val="00741723"/>
    <w:rsid w:val="00741C8A"/>
    <w:rsid w:val="00741ED7"/>
    <w:rsid w:val="00742042"/>
    <w:rsid w:val="00742448"/>
    <w:rsid w:val="0074282F"/>
    <w:rsid w:val="00742F23"/>
    <w:rsid w:val="0074337C"/>
    <w:rsid w:val="007433F2"/>
    <w:rsid w:val="00743811"/>
    <w:rsid w:val="007439EE"/>
    <w:rsid w:val="00744690"/>
    <w:rsid w:val="00744956"/>
    <w:rsid w:val="00744BC5"/>
    <w:rsid w:val="0074567B"/>
    <w:rsid w:val="00745A5C"/>
    <w:rsid w:val="0074605F"/>
    <w:rsid w:val="0074682A"/>
    <w:rsid w:val="00746CC2"/>
    <w:rsid w:val="00746FFE"/>
    <w:rsid w:val="007477AB"/>
    <w:rsid w:val="0074794C"/>
    <w:rsid w:val="00747A95"/>
    <w:rsid w:val="00747E94"/>
    <w:rsid w:val="00747F3D"/>
    <w:rsid w:val="00747FD1"/>
    <w:rsid w:val="0075000E"/>
    <w:rsid w:val="0075056C"/>
    <w:rsid w:val="00750EC9"/>
    <w:rsid w:val="00750FC2"/>
    <w:rsid w:val="0075195E"/>
    <w:rsid w:val="0075263C"/>
    <w:rsid w:val="00752684"/>
    <w:rsid w:val="00752918"/>
    <w:rsid w:val="007538B9"/>
    <w:rsid w:val="00753F26"/>
    <w:rsid w:val="0075463D"/>
    <w:rsid w:val="00754C83"/>
    <w:rsid w:val="00755268"/>
    <w:rsid w:val="007552F0"/>
    <w:rsid w:val="00755F40"/>
    <w:rsid w:val="00756823"/>
    <w:rsid w:val="00756A2D"/>
    <w:rsid w:val="00756C13"/>
    <w:rsid w:val="00756FCC"/>
    <w:rsid w:val="00757775"/>
    <w:rsid w:val="007577E8"/>
    <w:rsid w:val="00760963"/>
    <w:rsid w:val="00760C98"/>
    <w:rsid w:val="00761E5C"/>
    <w:rsid w:val="007620A4"/>
    <w:rsid w:val="007632E0"/>
    <w:rsid w:val="00763308"/>
    <w:rsid w:val="007645FD"/>
    <w:rsid w:val="00764F9F"/>
    <w:rsid w:val="0076509E"/>
    <w:rsid w:val="007657DE"/>
    <w:rsid w:val="00765DC8"/>
    <w:rsid w:val="00765DF8"/>
    <w:rsid w:val="0076642D"/>
    <w:rsid w:val="00766749"/>
    <w:rsid w:val="007672E6"/>
    <w:rsid w:val="00767C1B"/>
    <w:rsid w:val="00767E23"/>
    <w:rsid w:val="00770698"/>
    <w:rsid w:val="007707F5"/>
    <w:rsid w:val="00770B3F"/>
    <w:rsid w:val="007712DB"/>
    <w:rsid w:val="007714A9"/>
    <w:rsid w:val="00771501"/>
    <w:rsid w:val="00771744"/>
    <w:rsid w:val="0077216B"/>
    <w:rsid w:val="00772805"/>
    <w:rsid w:val="00773A71"/>
    <w:rsid w:val="00774AD3"/>
    <w:rsid w:val="00774F88"/>
    <w:rsid w:val="00774FDB"/>
    <w:rsid w:val="007756A8"/>
    <w:rsid w:val="0077595C"/>
    <w:rsid w:val="00775F49"/>
    <w:rsid w:val="00775F61"/>
    <w:rsid w:val="00775FEA"/>
    <w:rsid w:val="007761F8"/>
    <w:rsid w:val="00776290"/>
    <w:rsid w:val="00776369"/>
    <w:rsid w:val="00776412"/>
    <w:rsid w:val="007764CF"/>
    <w:rsid w:val="00776ACE"/>
    <w:rsid w:val="00777BA2"/>
    <w:rsid w:val="00777BAF"/>
    <w:rsid w:val="00777C58"/>
    <w:rsid w:val="00780B20"/>
    <w:rsid w:val="00781408"/>
    <w:rsid w:val="00783D32"/>
    <w:rsid w:val="007843E2"/>
    <w:rsid w:val="00784509"/>
    <w:rsid w:val="00784901"/>
    <w:rsid w:val="00784AD0"/>
    <w:rsid w:val="00784F7F"/>
    <w:rsid w:val="00786408"/>
    <w:rsid w:val="0078704B"/>
    <w:rsid w:val="007878BD"/>
    <w:rsid w:val="00787B81"/>
    <w:rsid w:val="00790F06"/>
    <w:rsid w:val="00793045"/>
    <w:rsid w:val="00794069"/>
    <w:rsid w:val="007944C7"/>
    <w:rsid w:val="007949F6"/>
    <w:rsid w:val="007951CB"/>
    <w:rsid w:val="007954A1"/>
    <w:rsid w:val="00795C00"/>
    <w:rsid w:val="00796F25"/>
    <w:rsid w:val="00797148"/>
    <w:rsid w:val="00797ABF"/>
    <w:rsid w:val="007A1D49"/>
    <w:rsid w:val="007A205C"/>
    <w:rsid w:val="007A26EE"/>
    <w:rsid w:val="007A2E98"/>
    <w:rsid w:val="007A3526"/>
    <w:rsid w:val="007A3BA3"/>
    <w:rsid w:val="007A3D42"/>
    <w:rsid w:val="007A3FDE"/>
    <w:rsid w:val="007A49A7"/>
    <w:rsid w:val="007A4F7D"/>
    <w:rsid w:val="007A5E1C"/>
    <w:rsid w:val="007A6CC0"/>
    <w:rsid w:val="007A6FA2"/>
    <w:rsid w:val="007A782B"/>
    <w:rsid w:val="007A7FEC"/>
    <w:rsid w:val="007B0185"/>
    <w:rsid w:val="007B07D6"/>
    <w:rsid w:val="007B0B75"/>
    <w:rsid w:val="007B0E44"/>
    <w:rsid w:val="007B123E"/>
    <w:rsid w:val="007B1499"/>
    <w:rsid w:val="007B1BBF"/>
    <w:rsid w:val="007B1D23"/>
    <w:rsid w:val="007B1E90"/>
    <w:rsid w:val="007B2084"/>
    <w:rsid w:val="007B2960"/>
    <w:rsid w:val="007B29E6"/>
    <w:rsid w:val="007B2D00"/>
    <w:rsid w:val="007B3004"/>
    <w:rsid w:val="007B355D"/>
    <w:rsid w:val="007B361E"/>
    <w:rsid w:val="007B3869"/>
    <w:rsid w:val="007B40D6"/>
    <w:rsid w:val="007B45E4"/>
    <w:rsid w:val="007B54A9"/>
    <w:rsid w:val="007B6081"/>
    <w:rsid w:val="007B7587"/>
    <w:rsid w:val="007B7980"/>
    <w:rsid w:val="007C0979"/>
    <w:rsid w:val="007C09ED"/>
    <w:rsid w:val="007C0DEF"/>
    <w:rsid w:val="007C129F"/>
    <w:rsid w:val="007C1D93"/>
    <w:rsid w:val="007C22EF"/>
    <w:rsid w:val="007C24E6"/>
    <w:rsid w:val="007C2610"/>
    <w:rsid w:val="007C355B"/>
    <w:rsid w:val="007C3ADA"/>
    <w:rsid w:val="007C4562"/>
    <w:rsid w:val="007C5837"/>
    <w:rsid w:val="007C5BDD"/>
    <w:rsid w:val="007C5D5A"/>
    <w:rsid w:val="007C5FF8"/>
    <w:rsid w:val="007C607F"/>
    <w:rsid w:val="007C67F9"/>
    <w:rsid w:val="007C68DB"/>
    <w:rsid w:val="007C7363"/>
    <w:rsid w:val="007C79DD"/>
    <w:rsid w:val="007C7C5B"/>
    <w:rsid w:val="007D1A97"/>
    <w:rsid w:val="007D1E05"/>
    <w:rsid w:val="007D1E4F"/>
    <w:rsid w:val="007D2333"/>
    <w:rsid w:val="007D2CD6"/>
    <w:rsid w:val="007D3063"/>
    <w:rsid w:val="007D31D1"/>
    <w:rsid w:val="007D3956"/>
    <w:rsid w:val="007D3CEB"/>
    <w:rsid w:val="007D3F25"/>
    <w:rsid w:val="007D4399"/>
    <w:rsid w:val="007D5E70"/>
    <w:rsid w:val="007D6E4C"/>
    <w:rsid w:val="007D723F"/>
    <w:rsid w:val="007D7E3A"/>
    <w:rsid w:val="007E0C11"/>
    <w:rsid w:val="007E0D0D"/>
    <w:rsid w:val="007E2580"/>
    <w:rsid w:val="007E2C4C"/>
    <w:rsid w:val="007E2F65"/>
    <w:rsid w:val="007E359E"/>
    <w:rsid w:val="007E3A13"/>
    <w:rsid w:val="007E3D1E"/>
    <w:rsid w:val="007E46C6"/>
    <w:rsid w:val="007E4CF9"/>
    <w:rsid w:val="007E4D8A"/>
    <w:rsid w:val="007E5A2D"/>
    <w:rsid w:val="007E5CFC"/>
    <w:rsid w:val="007E6684"/>
    <w:rsid w:val="007E686A"/>
    <w:rsid w:val="007E6E19"/>
    <w:rsid w:val="007E6FB8"/>
    <w:rsid w:val="007E700D"/>
    <w:rsid w:val="007E7365"/>
    <w:rsid w:val="007E7420"/>
    <w:rsid w:val="007E7683"/>
    <w:rsid w:val="007E7784"/>
    <w:rsid w:val="007E79F3"/>
    <w:rsid w:val="007E7CFA"/>
    <w:rsid w:val="007E7D7E"/>
    <w:rsid w:val="007F04FC"/>
    <w:rsid w:val="007F0804"/>
    <w:rsid w:val="007F08A7"/>
    <w:rsid w:val="007F1292"/>
    <w:rsid w:val="007F1765"/>
    <w:rsid w:val="007F19D0"/>
    <w:rsid w:val="007F1D79"/>
    <w:rsid w:val="007F2656"/>
    <w:rsid w:val="007F4793"/>
    <w:rsid w:val="007F49FA"/>
    <w:rsid w:val="007F5309"/>
    <w:rsid w:val="007F54C4"/>
    <w:rsid w:val="007F5C81"/>
    <w:rsid w:val="007F5D46"/>
    <w:rsid w:val="007F5FFC"/>
    <w:rsid w:val="007F6E9A"/>
    <w:rsid w:val="007F6F8D"/>
    <w:rsid w:val="007F7C05"/>
    <w:rsid w:val="00800075"/>
    <w:rsid w:val="008005F8"/>
    <w:rsid w:val="0080089E"/>
    <w:rsid w:val="00800938"/>
    <w:rsid w:val="00800B4D"/>
    <w:rsid w:val="00800CCD"/>
    <w:rsid w:val="00801536"/>
    <w:rsid w:val="00802016"/>
    <w:rsid w:val="0080240A"/>
    <w:rsid w:val="00802671"/>
    <w:rsid w:val="00803802"/>
    <w:rsid w:val="008044D4"/>
    <w:rsid w:val="00804756"/>
    <w:rsid w:val="00804F17"/>
    <w:rsid w:val="00805374"/>
    <w:rsid w:val="00805FE7"/>
    <w:rsid w:val="00806A6A"/>
    <w:rsid w:val="00806D6C"/>
    <w:rsid w:val="00807AB0"/>
    <w:rsid w:val="00807DC4"/>
    <w:rsid w:val="00810AB4"/>
    <w:rsid w:val="00812519"/>
    <w:rsid w:val="00814546"/>
    <w:rsid w:val="008153C8"/>
    <w:rsid w:val="0081549D"/>
    <w:rsid w:val="00815D5B"/>
    <w:rsid w:val="00815F3A"/>
    <w:rsid w:val="00816878"/>
    <w:rsid w:val="00817149"/>
    <w:rsid w:val="00817B56"/>
    <w:rsid w:val="00821A88"/>
    <w:rsid w:val="00821C9F"/>
    <w:rsid w:val="00821FB0"/>
    <w:rsid w:val="008225BF"/>
    <w:rsid w:val="00822EE5"/>
    <w:rsid w:val="0082322E"/>
    <w:rsid w:val="00823C96"/>
    <w:rsid w:val="0082495D"/>
    <w:rsid w:val="008249AA"/>
    <w:rsid w:val="008253A9"/>
    <w:rsid w:val="0082555E"/>
    <w:rsid w:val="008256ED"/>
    <w:rsid w:val="00825D1F"/>
    <w:rsid w:val="00826325"/>
    <w:rsid w:val="008270E5"/>
    <w:rsid w:val="00827901"/>
    <w:rsid w:val="00827EAC"/>
    <w:rsid w:val="00830F8F"/>
    <w:rsid w:val="008312AC"/>
    <w:rsid w:val="00831AC3"/>
    <w:rsid w:val="00831C76"/>
    <w:rsid w:val="00831DC5"/>
    <w:rsid w:val="00832192"/>
    <w:rsid w:val="008322FA"/>
    <w:rsid w:val="00832DC7"/>
    <w:rsid w:val="00833630"/>
    <w:rsid w:val="00833E3B"/>
    <w:rsid w:val="00834018"/>
    <w:rsid w:val="00834D68"/>
    <w:rsid w:val="00835CA3"/>
    <w:rsid w:val="00836FCE"/>
    <w:rsid w:val="0083708D"/>
    <w:rsid w:val="00837099"/>
    <w:rsid w:val="008376A5"/>
    <w:rsid w:val="008404EB"/>
    <w:rsid w:val="008408FF"/>
    <w:rsid w:val="00844096"/>
    <w:rsid w:val="0084434E"/>
    <w:rsid w:val="00844A39"/>
    <w:rsid w:val="00845317"/>
    <w:rsid w:val="00845EBD"/>
    <w:rsid w:val="0084601F"/>
    <w:rsid w:val="00847ADC"/>
    <w:rsid w:val="00847B19"/>
    <w:rsid w:val="008504FC"/>
    <w:rsid w:val="00850AD7"/>
    <w:rsid w:val="008513CC"/>
    <w:rsid w:val="0085181F"/>
    <w:rsid w:val="008519FF"/>
    <w:rsid w:val="00851F3F"/>
    <w:rsid w:val="0085249D"/>
    <w:rsid w:val="008526D7"/>
    <w:rsid w:val="00852A07"/>
    <w:rsid w:val="00853923"/>
    <w:rsid w:val="00854189"/>
    <w:rsid w:val="00854515"/>
    <w:rsid w:val="00854D12"/>
    <w:rsid w:val="0085511D"/>
    <w:rsid w:val="00855192"/>
    <w:rsid w:val="0085585E"/>
    <w:rsid w:val="00856C54"/>
    <w:rsid w:val="00856D2F"/>
    <w:rsid w:val="00856EDC"/>
    <w:rsid w:val="00857F1B"/>
    <w:rsid w:val="00860E1C"/>
    <w:rsid w:val="008610D2"/>
    <w:rsid w:val="0086176D"/>
    <w:rsid w:val="00861A2E"/>
    <w:rsid w:val="00861B39"/>
    <w:rsid w:val="00861B50"/>
    <w:rsid w:val="00862077"/>
    <w:rsid w:val="0086225D"/>
    <w:rsid w:val="008623B5"/>
    <w:rsid w:val="008631FA"/>
    <w:rsid w:val="00863E7E"/>
    <w:rsid w:val="00864002"/>
    <w:rsid w:val="00864725"/>
    <w:rsid w:val="008653F9"/>
    <w:rsid w:val="00866BBD"/>
    <w:rsid w:val="00866F54"/>
    <w:rsid w:val="00866FA1"/>
    <w:rsid w:val="0086710B"/>
    <w:rsid w:val="0086753C"/>
    <w:rsid w:val="00867B61"/>
    <w:rsid w:val="00867B86"/>
    <w:rsid w:val="0087027A"/>
    <w:rsid w:val="00870ABA"/>
    <w:rsid w:val="00871041"/>
    <w:rsid w:val="008710E1"/>
    <w:rsid w:val="008716E5"/>
    <w:rsid w:val="00871869"/>
    <w:rsid w:val="00872D28"/>
    <w:rsid w:val="00875127"/>
    <w:rsid w:val="00875358"/>
    <w:rsid w:val="008753C1"/>
    <w:rsid w:val="00875684"/>
    <w:rsid w:val="00875B60"/>
    <w:rsid w:val="008760AF"/>
    <w:rsid w:val="0087619F"/>
    <w:rsid w:val="00880D34"/>
    <w:rsid w:val="00880E62"/>
    <w:rsid w:val="00881613"/>
    <w:rsid w:val="00881897"/>
    <w:rsid w:val="00881CA9"/>
    <w:rsid w:val="00881D52"/>
    <w:rsid w:val="00882115"/>
    <w:rsid w:val="008829D2"/>
    <w:rsid w:val="00883628"/>
    <w:rsid w:val="00883FDC"/>
    <w:rsid w:val="008841BF"/>
    <w:rsid w:val="00884377"/>
    <w:rsid w:val="00884F8C"/>
    <w:rsid w:val="00885116"/>
    <w:rsid w:val="00885181"/>
    <w:rsid w:val="00885544"/>
    <w:rsid w:val="0088587E"/>
    <w:rsid w:val="00885AC5"/>
    <w:rsid w:val="0088634E"/>
    <w:rsid w:val="008868B5"/>
    <w:rsid w:val="00887A4A"/>
    <w:rsid w:val="008908EE"/>
    <w:rsid w:val="00890F7B"/>
    <w:rsid w:val="00891E9F"/>
    <w:rsid w:val="00892A5A"/>
    <w:rsid w:val="00892F20"/>
    <w:rsid w:val="0089357C"/>
    <w:rsid w:val="008938E3"/>
    <w:rsid w:val="00893AB8"/>
    <w:rsid w:val="00893DE9"/>
    <w:rsid w:val="00894EB4"/>
    <w:rsid w:val="00895CA3"/>
    <w:rsid w:val="008972FA"/>
    <w:rsid w:val="00897FCA"/>
    <w:rsid w:val="008A0058"/>
    <w:rsid w:val="008A0469"/>
    <w:rsid w:val="008A04C8"/>
    <w:rsid w:val="008A0616"/>
    <w:rsid w:val="008A0AB6"/>
    <w:rsid w:val="008A0EF2"/>
    <w:rsid w:val="008A2B67"/>
    <w:rsid w:val="008A2B6A"/>
    <w:rsid w:val="008A2EAC"/>
    <w:rsid w:val="008A35AE"/>
    <w:rsid w:val="008A3F18"/>
    <w:rsid w:val="008A3FDA"/>
    <w:rsid w:val="008A4830"/>
    <w:rsid w:val="008A49A6"/>
    <w:rsid w:val="008A579B"/>
    <w:rsid w:val="008A6913"/>
    <w:rsid w:val="008A6DB8"/>
    <w:rsid w:val="008A6E48"/>
    <w:rsid w:val="008A6E71"/>
    <w:rsid w:val="008A77E4"/>
    <w:rsid w:val="008A7E98"/>
    <w:rsid w:val="008B0733"/>
    <w:rsid w:val="008B098E"/>
    <w:rsid w:val="008B0F43"/>
    <w:rsid w:val="008B1028"/>
    <w:rsid w:val="008B18C6"/>
    <w:rsid w:val="008B236F"/>
    <w:rsid w:val="008B253E"/>
    <w:rsid w:val="008B3280"/>
    <w:rsid w:val="008B40A6"/>
    <w:rsid w:val="008B44D5"/>
    <w:rsid w:val="008B4BC0"/>
    <w:rsid w:val="008B50E6"/>
    <w:rsid w:val="008B5720"/>
    <w:rsid w:val="008B5DE6"/>
    <w:rsid w:val="008B610D"/>
    <w:rsid w:val="008B70F3"/>
    <w:rsid w:val="008B71C4"/>
    <w:rsid w:val="008B76DF"/>
    <w:rsid w:val="008C06C0"/>
    <w:rsid w:val="008C0881"/>
    <w:rsid w:val="008C10F4"/>
    <w:rsid w:val="008C2E93"/>
    <w:rsid w:val="008C3442"/>
    <w:rsid w:val="008C526E"/>
    <w:rsid w:val="008C65F7"/>
    <w:rsid w:val="008C6B87"/>
    <w:rsid w:val="008D10F6"/>
    <w:rsid w:val="008D16D4"/>
    <w:rsid w:val="008D2134"/>
    <w:rsid w:val="008D297D"/>
    <w:rsid w:val="008D55F5"/>
    <w:rsid w:val="008D6722"/>
    <w:rsid w:val="008D6C45"/>
    <w:rsid w:val="008D7923"/>
    <w:rsid w:val="008D7A02"/>
    <w:rsid w:val="008E0428"/>
    <w:rsid w:val="008E05C7"/>
    <w:rsid w:val="008E07B9"/>
    <w:rsid w:val="008E0D13"/>
    <w:rsid w:val="008E1927"/>
    <w:rsid w:val="008E1AA5"/>
    <w:rsid w:val="008E1EAB"/>
    <w:rsid w:val="008E2000"/>
    <w:rsid w:val="008E216D"/>
    <w:rsid w:val="008E2C68"/>
    <w:rsid w:val="008E2F49"/>
    <w:rsid w:val="008E3ABE"/>
    <w:rsid w:val="008E3E8F"/>
    <w:rsid w:val="008E45A3"/>
    <w:rsid w:val="008E4767"/>
    <w:rsid w:val="008E56C0"/>
    <w:rsid w:val="008E5A57"/>
    <w:rsid w:val="008E674A"/>
    <w:rsid w:val="008E709B"/>
    <w:rsid w:val="008E735E"/>
    <w:rsid w:val="008E7410"/>
    <w:rsid w:val="008E79D8"/>
    <w:rsid w:val="008E7A8C"/>
    <w:rsid w:val="008F00A8"/>
    <w:rsid w:val="008F01B6"/>
    <w:rsid w:val="008F04FE"/>
    <w:rsid w:val="008F19E9"/>
    <w:rsid w:val="008F1D3B"/>
    <w:rsid w:val="008F2187"/>
    <w:rsid w:val="008F2295"/>
    <w:rsid w:val="008F25EB"/>
    <w:rsid w:val="008F2707"/>
    <w:rsid w:val="008F323B"/>
    <w:rsid w:val="008F36E9"/>
    <w:rsid w:val="008F3B06"/>
    <w:rsid w:val="008F57A5"/>
    <w:rsid w:val="008F5E05"/>
    <w:rsid w:val="008F671E"/>
    <w:rsid w:val="008F6E7C"/>
    <w:rsid w:val="008F7178"/>
    <w:rsid w:val="008F7947"/>
    <w:rsid w:val="008F7BA4"/>
    <w:rsid w:val="0090074D"/>
    <w:rsid w:val="0090203B"/>
    <w:rsid w:val="00903285"/>
    <w:rsid w:val="009037A6"/>
    <w:rsid w:val="00903F0E"/>
    <w:rsid w:val="00904211"/>
    <w:rsid w:val="00905063"/>
    <w:rsid w:val="009051DF"/>
    <w:rsid w:val="0090657A"/>
    <w:rsid w:val="00906F40"/>
    <w:rsid w:val="0090731E"/>
    <w:rsid w:val="00907BEA"/>
    <w:rsid w:val="00907EB0"/>
    <w:rsid w:val="00910AFD"/>
    <w:rsid w:val="00910CC0"/>
    <w:rsid w:val="0091102D"/>
    <w:rsid w:val="0091229A"/>
    <w:rsid w:val="0091342E"/>
    <w:rsid w:val="00913709"/>
    <w:rsid w:val="00913881"/>
    <w:rsid w:val="009141FF"/>
    <w:rsid w:val="00914CE5"/>
    <w:rsid w:val="00915156"/>
    <w:rsid w:val="009156C9"/>
    <w:rsid w:val="009157F4"/>
    <w:rsid w:val="00915865"/>
    <w:rsid w:val="00915954"/>
    <w:rsid w:val="00915B1C"/>
    <w:rsid w:val="00915D5E"/>
    <w:rsid w:val="00915D63"/>
    <w:rsid w:val="00915F70"/>
    <w:rsid w:val="0091707D"/>
    <w:rsid w:val="0091722B"/>
    <w:rsid w:val="009173B1"/>
    <w:rsid w:val="009174F3"/>
    <w:rsid w:val="0091797D"/>
    <w:rsid w:val="00920194"/>
    <w:rsid w:val="00920711"/>
    <w:rsid w:val="00920A37"/>
    <w:rsid w:val="00921BD7"/>
    <w:rsid w:val="009221BA"/>
    <w:rsid w:val="009222C0"/>
    <w:rsid w:val="00922537"/>
    <w:rsid w:val="009228CC"/>
    <w:rsid w:val="00922EFB"/>
    <w:rsid w:val="00923621"/>
    <w:rsid w:val="00923CBA"/>
    <w:rsid w:val="00923E63"/>
    <w:rsid w:val="009250C1"/>
    <w:rsid w:val="00925377"/>
    <w:rsid w:val="00925637"/>
    <w:rsid w:val="00925645"/>
    <w:rsid w:val="00925B2A"/>
    <w:rsid w:val="00925E8B"/>
    <w:rsid w:val="00925F96"/>
    <w:rsid w:val="00926303"/>
    <w:rsid w:val="00926703"/>
    <w:rsid w:val="00926BA1"/>
    <w:rsid w:val="00926ECA"/>
    <w:rsid w:val="00927691"/>
    <w:rsid w:val="00927A5F"/>
    <w:rsid w:val="00927D67"/>
    <w:rsid w:val="00927D7E"/>
    <w:rsid w:val="00930510"/>
    <w:rsid w:val="00930E8E"/>
    <w:rsid w:val="009315EF"/>
    <w:rsid w:val="00931B0F"/>
    <w:rsid w:val="00931EC3"/>
    <w:rsid w:val="00934FDE"/>
    <w:rsid w:val="009350BB"/>
    <w:rsid w:val="009357D6"/>
    <w:rsid w:val="0093582A"/>
    <w:rsid w:val="00935917"/>
    <w:rsid w:val="00935B63"/>
    <w:rsid w:val="00935F90"/>
    <w:rsid w:val="00936006"/>
    <w:rsid w:val="00936148"/>
    <w:rsid w:val="009361B8"/>
    <w:rsid w:val="00936DE7"/>
    <w:rsid w:val="00936E95"/>
    <w:rsid w:val="00936F1A"/>
    <w:rsid w:val="00937597"/>
    <w:rsid w:val="0094024D"/>
    <w:rsid w:val="00940478"/>
    <w:rsid w:val="0094050A"/>
    <w:rsid w:val="0094078F"/>
    <w:rsid w:val="00940CB6"/>
    <w:rsid w:val="00940FA3"/>
    <w:rsid w:val="009413AD"/>
    <w:rsid w:val="00941FB0"/>
    <w:rsid w:val="009426D4"/>
    <w:rsid w:val="00942C1E"/>
    <w:rsid w:val="0094390D"/>
    <w:rsid w:val="00943B12"/>
    <w:rsid w:val="00943C51"/>
    <w:rsid w:val="0094400A"/>
    <w:rsid w:val="009441E3"/>
    <w:rsid w:val="00944618"/>
    <w:rsid w:val="00944B7B"/>
    <w:rsid w:val="00944CBA"/>
    <w:rsid w:val="009455C2"/>
    <w:rsid w:val="009456C1"/>
    <w:rsid w:val="00946E06"/>
    <w:rsid w:val="00946E9D"/>
    <w:rsid w:val="00947754"/>
    <w:rsid w:val="009479BB"/>
    <w:rsid w:val="00947F25"/>
    <w:rsid w:val="00950159"/>
    <w:rsid w:val="00950DD0"/>
    <w:rsid w:val="00950F2B"/>
    <w:rsid w:val="00951234"/>
    <w:rsid w:val="00951B2E"/>
    <w:rsid w:val="00951E99"/>
    <w:rsid w:val="00952AF8"/>
    <w:rsid w:val="00952B1E"/>
    <w:rsid w:val="0095303F"/>
    <w:rsid w:val="009536D0"/>
    <w:rsid w:val="009542CD"/>
    <w:rsid w:val="0095490B"/>
    <w:rsid w:val="00954EAE"/>
    <w:rsid w:val="009553DB"/>
    <w:rsid w:val="00956AA1"/>
    <w:rsid w:val="00956AAB"/>
    <w:rsid w:val="00956BA7"/>
    <w:rsid w:val="00956D8E"/>
    <w:rsid w:val="00960A33"/>
    <w:rsid w:val="00961776"/>
    <w:rsid w:val="00961802"/>
    <w:rsid w:val="00962254"/>
    <w:rsid w:val="00963576"/>
    <w:rsid w:val="00965292"/>
    <w:rsid w:val="00965B74"/>
    <w:rsid w:val="0096736A"/>
    <w:rsid w:val="00967493"/>
    <w:rsid w:val="00970428"/>
    <w:rsid w:val="0097072E"/>
    <w:rsid w:val="00970A60"/>
    <w:rsid w:val="00970FDF"/>
    <w:rsid w:val="00971914"/>
    <w:rsid w:val="00972DAA"/>
    <w:rsid w:val="00973146"/>
    <w:rsid w:val="00973745"/>
    <w:rsid w:val="00973BD2"/>
    <w:rsid w:val="00974363"/>
    <w:rsid w:val="00974425"/>
    <w:rsid w:val="0097485E"/>
    <w:rsid w:val="0097536B"/>
    <w:rsid w:val="009759C8"/>
    <w:rsid w:val="009761B2"/>
    <w:rsid w:val="00976373"/>
    <w:rsid w:val="009770C6"/>
    <w:rsid w:val="009777B1"/>
    <w:rsid w:val="0097790A"/>
    <w:rsid w:val="00977990"/>
    <w:rsid w:val="009779E3"/>
    <w:rsid w:val="00977BE3"/>
    <w:rsid w:val="009800E4"/>
    <w:rsid w:val="009802B6"/>
    <w:rsid w:val="00980FAC"/>
    <w:rsid w:val="00981097"/>
    <w:rsid w:val="009814A4"/>
    <w:rsid w:val="00981898"/>
    <w:rsid w:val="00981D0D"/>
    <w:rsid w:val="009824A7"/>
    <w:rsid w:val="00983624"/>
    <w:rsid w:val="0098367A"/>
    <w:rsid w:val="00983691"/>
    <w:rsid w:val="00983EB7"/>
    <w:rsid w:val="009841FF"/>
    <w:rsid w:val="0098465A"/>
    <w:rsid w:val="00985F22"/>
    <w:rsid w:val="00986B8A"/>
    <w:rsid w:val="00987241"/>
    <w:rsid w:val="00990A4B"/>
    <w:rsid w:val="00990B93"/>
    <w:rsid w:val="00990D65"/>
    <w:rsid w:val="00991599"/>
    <w:rsid w:val="0099183A"/>
    <w:rsid w:val="00991AE2"/>
    <w:rsid w:val="009925DF"/>
    <w:rsid w:val="00993FFC"/>
    <w:rsid w:val="0099502F"/>
    <w:rsid w:val="0099577C"/>
    <w:rsid w:val="00996B92"/>
    <w:rsid w:val="00996EE4"/>
    <w:rsid w:val="0099765B"/>
    <w:rsid w:val="009A021C"/>
    <w:rsid w:val="009A1D50"/>
    <w:rsid w:val="009A23B6"/>
    <w:rsid w:val="009A25CC"/>
    <w:rsid w:val="009A2BB5"/>
    <w:rsid w:val="009A37D8"/>
    <w:rsid w:val="009A3CF7"/>
    <w:rsid w:val="009A579D"/>
    <w:rsid w:val="009A5C2F"/>
    <w:rsid w:val="009A6D6E"/>
    <w:rsid w:val="009A73BF"/>
    <w:rsid w:val="009A7561"/>
    <w:rsid w:val="009A7F59"/>
    <w:rsid w:val="009B029B"/>
    <w:rsid w:val="009B0EF4"/>
    <w:rsid w:val="009B11E6"/>
    <w:rsid w:val="009B126A"/>
    <w:rsid w:val="009B1558"/>
    <w:rsid w:val="009B1AA8"/>
    <w:rsid w:val="009B24A5"/>
    <w:rsid w:val="009B25FD"/>
    <w:rsid w:val="009B2601"/>
    <w:rsid w:val="009B2705"/>
    <w:rsid w:val="009B2F00"/>
    <w:rsid w:val="009B32B3"/>
    <w:rsid w:val="009B3834"/>
    <w:rsid w:val="009B3CDA"/>
    <w:rsid w:val="009B44BC"/>
    <w:rsid w:val="009B4C5E"/>
    <w:rsid w:val="009B4E9E"/>
    <w:rsid w:val="009B5633"/>
    <w:rsid w:val="009B6321"/>
    <w:rsid w:val="009B6EAF"/>
    <w:rsid w:val="009B6F04"/>
    <w:rsid w:val="009B7077"/>
    <w:rsid w:val="009B7105"/>
    <w:rsid w:val="009B7F51"/>
    <w:rsid w:val="009C0356"/>
    <w:rsid w:val="009C0C6E"/>
    <w:rsid w:val="009C15CB"/>
    <w:rsid w:val="009C1690"/>
    <w:rsid w:val="009C1F8F"/>
    <w:rsid w:val="009C2042"/>
    <w:rsid w:val="009C22CA"/>
    <w:rsid w:val="009C2493"/>
    <w:rsid w:val="009C360E"/>
    <w:rsid w:val="009C64BA"/>
    <w:rsid w:val="009C6881"/>
    <w:rsid w:val="009C69EC"/>
    <w:rsid w:val="009C7210"/>
    <w:rsid w:val="009C7759"/>
    <w:rsid w:val="009C78ED"/>
    <w:rsid w:val="009D043D"/>
    <w:rsid w:val="009D0483"/>
    <w:rsid w:val="009D07C8"/>
    <w:rsid w:val="009D090F"/>
    <w:rsid w:val="009D0C2B"/>
    <w:rsid w:val="009D1433"/>
    <w:rsid w:val="009D1636"/>
    <w:rsid w:val="009D252F"/>
    <w:rsid w:val="009D2812"/>
    <w:rsid w:val="009D3302"/>
    <w:rsid w:val="009D460D"/>
    <w:rsid w:val="009D4C85"/>
    <w:rsid w:val="009D5093"/>
    <w:rsid w:val="009D5F15"/>
    <w:rsid w:val="009D6C71"/>
    <w:rsid w:val="009D6CD3"/>
    <w:rsid w:val="009D714D"/>
    <w:rsid w:val="009E0575"/>
    <w:rsid w:val="009E0631"/>
    <w:rsid w:val="009E0782"/>
    <w:rsid w:val="009E11D9"/>
    <w:rsid w:val="009E1424"/>
    <w:rsid w:val="009E16D0"/>
    <w:rsid w:val="009E2051"/>
    <w:rsid w:val="009E25BB"/>
    <w:rsid w:val="009E354C"/>
    <w:rsid w:val="009E38FD"/>
    <w:rsid w:val="009E417E"/>
    <w:rsid w:val="009E53B3"/>
    <w:rsid w:val="009E6FE0"/>
    <w:rsid w:val="009E72F8"/>
    <w:rsid w:val="009E772A"/>
    <w:rsid w:val="009E7FB7"/>
    <w:rsid w:val="009E7FCB"/>
    <w:rsid w:val="009F0638"/>
    <w:rsid w:val="009F1395"/>
    <w:rsid w:val="009F13D6"/>
    <w:rsid w:val="009F1AF8"/>
    <w:rsid w:val="009F1BCF"/>
    <w:rsid w:val="009F1CEE"/>
    <w:rsid w:val="009F1DCA"/>
    <w:rsid w:val="009F316B"/>
    <w:rsid w:val="009F3F2C"/>
    <w:rsid w:val="009F42E4"/>
    <w:rsid w:val="009F4C6B"/>
    <w:rsid w:val="009F5601"/>
    <w:rsid w:val="009F6010"/>
    <w:rsid w:val="009F67DC"/>
    <w:rsid w:val="009F78A8"/>
    <w:rsid w:val="009F7D79"/>
    <w:rsid w:val="009F7DFD"/>
    <w:rsid w:val="00A00010"/>
    <w:rsid w:val="00A0010F"/>
    <w:rsid w:val="00A002C1"/>
    <w:rsid w:val="00A007D3"/>
    <w:rsid w:val="00A02A5A"/>
    <w:rsid w:val="00A02AD6"/>
    <w:rsid w:val="00A02CA3"/>
    <w:rsid w:val="00A02DFE"/>
    <w:rsid w:val="00A02F8A"/>
    <w:rsid w:val="00A03A7D"/>
    <w:rsid w:val="00A0532B"/>
    <w:rsid w:val="00A05C05"/>
    <w:rsid w:val="00A05D26"/>
    <w:rsid w:val="00A05FA5"/>
    <w:rsid w:val="00A06180"/>
    <w:rsid w:val="00A0674A"/>
    <w:rsid w:val="00A06CCA"/>
    <w:rsid w:val="00A06FD6"/>
    <w:rsid w:val="00A07096"/>
    <w:rsid w:val="00A0713C"/>
    <w:rsid w:val="00A07318"/>
    <w:rsid w:val="00A07F16"/>
    <w:rsid w:val="00A100C1"/>
    <w:rsid w:val="00A1041B"/>
    <w:rsid w:val="00A11370"/>
    <w:rsid w:val="00A114FD"/>
    <w:rsid w:val="00A11ABE"/>
    <w:rsid w:val="00A11D3A"/>
    <w:rsid w:val="00A1245E"/>
    <w:rsid w:val="00A1253C"/>
    <w:rsid w:val="00A12683"/>
    <w:rsid w:val="00A12857"/>
    <w:rsid w:val="00A12B2B"/>
    <w:rsid w:val="00A12FC0"/>
    <w:rsid w:val="00A13854"/>
    <w:rsid w:val="00A13B21"/>
    <w:rsid w:val="00A13E38"/>
    <w:rsid w:val="00A14998"/>
    <w:rsid w:val="00A152F4"/>
    <w:rsid w:val="00A156C0"/>
    <w:rsid w:val="00A15A23"/>
    <w:rsid w:val="00A16073"/>
    <w:rsid w:val="00A172CD"/>
    <w:rsid w:val="00A204A9"/>
    <w:rsid w:val="00A20B4E"/>
    <w:rsid w:val="00A2164A"/>
    <w:rsid w:val="00A216AC"/>
    <w:rsid w:val="00A21843"/>
    <w:rsid w:val="00A21C87"/>
    <w:rsid w:val="00A224CE"/>
    <w:rsid w:val="00A22522"/>
    <w:rsid w:val="00A2288C"/>
    <w:rsid w:val="00A22AC7"/>
    <w:rsid w:val="00A22B5D"/>
    <w:rsid w:val="00A232DF"/>
    <w:rsid w:val="00A24637"/>
    <w:rsid w:val="00A24AFD"/>
    <w:rsid w:val="00A24F5C"/>
    <w:rsid w:val="00A26EE7"/>
    <w:rsid w:val="00A26EFD"/>
    <w:rsid w:val="00A31514"/>
    <w:rsid w:val="00A320B8"/>
    <w:rsid w:val="00A3278A"/>
    <w:rsid w:val="00A32F96"/>
    <w:rsid w:val="00A33025"/>
    <w:rsid w:val="00A3356B"/>
    <w:rsid w:val="00A335F4"/>
    <w:rsid w:val="00A33F06"/>
    <w:rsid w:val="00A33FAC"/>
    <w:rsid w:val="00A3402C"/>
    <w:rsid w:val="00A342FF"/>
    <w:rsid w:val="00A346CB"/>
    <w:rsid w:val="00A35D20"/>
    <w:rsid w:val="00A36C64"/>
    <w:rsid w:val="00A40064"/>
    <w:rsid w:val="00A40608"/>
    <w:rsid w:val="00A40871"/>
    <w:rsid w:val="00A40E1E"/>
    <w:rsid w:val="00A412AB"/>
    <w:rsid w:val="00A4193E"/>
    <w:rsid w:val="00A41B3E"/>
    <w:rsid w:val="00A41C4D"/>
    <w:rsid w:val="00A424BE"/>
    <w:rsid w:val="00A428DF"/>
    <w:rsid w:val="00A43E86"/>
    <w:rsid w:val="00A440E0"/>
    <w:rsid w:val="00A442EF"/>
    <w:rsid w:val="00A450D8"/>
    <w:rsid w:val="00A459EA"/>
    <w:rsid w:val="00A46524"/>
    <w:rsid w:val="00A479BF"/>
    <w:rsid w:val="00A47BA0"/>
    <w:rsid w:val="00A47D7D"/>
    <w:rsid w:val="00A50C55"/>
    <w:rsid w:val="00A50F6C"/>
    <w:rsid w:val="00A51685"/>
    <w:rsid w:val="00A51D1A"/>
    <w:rsid w:val="00A5219E"/>
    <w:rsid w:val="00A527DB"/>
    <w:rsid w:val="00A52929"/>
    <w:rsid w:val="00A52988"/>
    <w:rsid w:val="00A5311B"/>
    <w:rsid w:val="00A531CF"/>
    <w:rsid w:val="00A53892"/>
    <w:rsid w:val="00A5418D"/>
    <w:rsid w:val="00A5474E"/>
    <w:rsid w:val="00A559C1"/>
    <w:rsid w:val="00A5646A"/>
    <w:rsid w:val="00A5761F"/>
    <w:rsid w:val="00A57D1D"/>
    <w:rsid w:val="00A600D8"/>
    <w:rsid w:val="00A60FDE"/>
    <w:rsid w:val="00A61391"/>
    <w:rsid w:val="00A61641"/>
    <w:rsid w:val="00A61BB7"/>
    <w:rsid w:val="00A61DF6"/>
    <w:rsid w:val="00A623E9"/>
    <w:rsid w:val="00A63032"/>
    <w:rsid w:val="00A63677"/>
    <w:rsid w:val="00A6396B"/>
    <w:rsid w:val="00A64234"/>
    <w:rsid w:val="00A645E2"/>
    <w:rsid w:val="00A64A1B"/>
    <w:rsid w:val="00A64C0C"/>
    <w:rsid w:val="00A64D29"/>
    <w:rsid w:val="00A64D89"/>
    <w:rsid w:val="00A656A7"/>
    <w:rsid w:val="00A66055"/>
    <w:rsid w:val="00A6614E"/>
    <w:rsid w:val="00A66C79"/>
    <w:rsid w:val="00A70011"/>
    <w:rsid w:val="00A707D3"/>
    <w:rsid w:val="00A70ADF"/>
    <w:rsid w:val="00A70B64"/>
    <w:rsid w:val="00A71466"/>
    <w:rsid w:val="00A71886"/>
    <w:rsid w:val="00A71A72"/>
    <w:rsid w:val="00A72707"/>
    <w:rsid w:val="00A72A61"/>
    <w:rsid w:val="00A72B9A"/>
    <w:rsid w:val="00A739BD"/>
    <w:rsid w:val="00A7458B"/>
    <w:rsid w:val="00A7463E"/>
    <w:rsid w:val="00A74B5E"/>
    <w:rsid w:val="00A750AF"/>
    <w:rsid w:val="00A75124"/>
    <w:rsid w:val="00A7545B"/>
    <w:rsid w:val="00A75EE7"/>
    <w:rsid w:val="00A75FD5"/>
    <w:rsid w:val="00A761C5"/>
    <w:rsid w:val="00A76356"/>
    <w:rsid w:val="00A769C2"/>
    <w:rsid w:val="00A76B20"/>
    <w:rsid w:val="00A775C0"/>
    <w:rsid w:val="00A80113"/>
    <w:rsid w:val="00A80A6A"/>
    <w:rsid w:val="00A80AA6"/>
    <w:rsid w:val="00A813B3"/>
    <w:rsid w:val="00A81619"/>
    <w:rsid w:val="00A81BED"/>
    <w:rsid w:val="00A81EC4"/>
    <w:rsid w:val="00A822CB"/>
    <w:rsid w:val="00A824E8"/>
    <w:rsid w:val="00A82B2E"/>
    <w:rsid w:val="00A836A2"/>
    <w:rsid w:val="00A83F96"/>
    <w:rsid w:val="00A84293"/>
    <w:rsid w:val="00A84313"/>
    <w:rsid w:val="00A84E16"/>
    <w:rsid w:val="00A85096"/>
    <w:rsid w:val="00A85B50"/>
    <w:rsid w:val="00A85E3F"/>
    <w:rsid w:val="00A86B29"/>
    <w:rsid w:val="00A86CA6"/>
    <w:rsid w:val="00A87203"/>
    <w:rsid w:val="00A87359"/>
    <w:rsid w:val="00A87D88"/>
    <w:rsid w:val="00A90973"/>
    <w:rsid w:val="00A91442"/>
    <w:rsid w:val="00A91CCE"/>
    <w:rsid w:val="00A91FB1"/>
    <w:rsid w:val="00A9249F"/>
    <w:rsid w:val="00A925F3"/>
    <w:rsid w:val="00A93223"/>
    <w:rsid w:val="00A93310"/>
    <w:rsid w:val="00A93474"/>
    <w:rsid w:val="00A940E0"/>
    <w:rsid w:val="00A949CC"/>
    <w:rsid w:val="00A94C7C"/>
    <w:rsid w:val="00A9582D"/>
    <w:rsid w:val="00A95CD4"/>
    <w:rsid w:val="00A9620C"/>
    <w:rsid w:val="00A967FD"/>
    <w:rsid w:val="00A96C7F"/>
    <w:rsid w:val="00AA0565"/>
    <w:rsid w:val="00AA0A74"/>
    <w:rsid w:val="00AA147C"/>
    <w:rsid w:val="00AA220E"/>
    <w:rsid w:val="00AA2A47"/>
    <w:rsid w:val="00AA2DE5"/>
    <w:rsid w:val="00AA3669"/>
    <w:rsid w:val="00AA36C4"/>
    <w:rsid w:val="00AA390B"/>
    <w:rsid w:val="00AA3A15"/>
    <w:rsid w:val="00AA4EE3"/>
    <w:rsid w:val="00AA6356"/>
    <w:rsid w:val="00AA658F"/>
    <w:rsid w:val="00AA66FD"/>
    <w:rsid w:val="00AA6837"/>
    <w:rsid w:val="00AA6CA5"/>
    <w:rsid w:val="00AA76F1"/>
    <w:rsid w:val="00AB06A4"/>
    <w:rsid w:val="00AB0E6F"/>
    <w:rsid w:val="00AB156C"/>
    <w:rsid w:val="00AB1BDB"/>
    <w:rsid w:val="00AB1C5E"/>
    <w:rsid w:val="00AB2495"/>
    <w:rsid w:val="00AB286A"/>
    <w:rsid w:val="00AB34BE"/>
    <w:rsid w:val="00AB39C9"/>
    <w:rsid w:val="00AB3F05"/>
    <w:rsid w:val="00AB43FB"/>
    <w:rsid w:val="00AB4E20"/>
    <w:rsid w:val="00AB59C6"/>
    <w:rsid w:val="00AB65A6"/>
    <w:rsid w:val="00AB6814"/>
    <w:rsid w:val="00AB7171"/>
    <w:rsid w:val="00AB7817"/>
    <w:rsid w:val="00AC044B"/>
    <w:rsid w:val="00AC04BA"/>
    <w:rsid w:val="00AC0E39"/>
    <w:rsid w:val="00AC11E7"/>
    <w:rsid w:val="00AC188F"/>
    <w:rsid w:val="00AC3BF9"/>
    <w:rsid w:val="00AC3EAA"/>
    <w:rsid w:val="00AC48C7"/>
    <w:rsid w:val="00AC54AE"/>
    <w:rsid w:val="00AC5DA7"/>
    <w:rsid w:val="00AC6333"/>
    <w:rsid w:val="00AC68CC"/>
    <w:rsid w:val="00AD0786"/>
    <w:rsid w:val="00AD1457"/>
    <w:rsid w:val="00AD1516"/>
    <w:rsid w:val="00AD18AC"/>
    <w:rsid w:val="00AD3082"/>
    <w:rsid w:val="00AD30E9"/>
    <w:rsid w:val="00AD32B4"/>
    <w:rsid w:val="00AD3BAC"/>
    <w:rsid w:val="00AD4AD0"/>
    <w:rsid w:val="00AD4B36"/>
    <w:rsid w:val="00AD5436"/>
    <w:rsid w:val="00AD5495"/>
    <w:rsid w:val="00AD5557"/>
    <w:rsid w:val="00AD5734"/>
    <w:rsid w:val="00AD5978"/>
    <w:rsid w:val="00AD5E1C"/>
    <w:rsid w:val="00AD60C0"/>
    <w:rsid w:val="00AD60CD"/>
    <w:rsid w:val="00AD6A2F"/>
    <w:rsid w:val="00AD6C8C"/>
    <w:rsid w:val="00AD708D"/>
    <w:rsid w:val="00AD7B78"/>
    <w:rsid w:val="00AD7E03"/>
    <w:rsid w:val="00AD7FBF"/>
    <w:rsid w:val="00AE01F3"/>
    <w:rsid w:val="00AE091D"/>
    <w:rsid w:val="00AE1292"/>
    <w:rsid w:val="00AE12B0"/>
    <w:rsid w:val="00AE15FA"/>
    <w:rsid w:val="00AE3329"/>
    <w:rsid w:val="00AE3368"/>
    <w:rsid w:val="00AE3680"/>
    <w:rsid w:val="00AE3ADE"/>
    <w:rsid w:val="00AE3B60"/>
    <w:rsid w:val="00AE4007"/>
    <w:rsid w:val="00AE41A8"/>
    <w:rsid w:val="00AE53A1"/>
    <w:rsid w:val="00AE5536"/>
    <w:rsid w:val="00AE6A4C"/>
    <w:rsid w:val="00AE6F93"/>
    <w:rsid w:val="00AE6FEA"/>
    <w:rsid w:val="00AE723C"/>
    <w:rsid w:val="00AE7A04"/>
    <w:rsid w:val="00AE7F86"/>
    <w:rsid w:val="00AF0B6F"/>
    <w:rsid w:val="00AF2484"/>
    <w:rsid w:val="00AF2E49"/>
    <w:rsid w:val="00AF3606"/>
    <w:rsid w:val="00AF381A"/>
    <w:rsid w:val="00AF3927"/>
    <w:rsid w:val="00AF3B7A"/>
    <w:rsid w:val="00AF3E61"/>
    <w:rsid w:val="00AF4C58"/>
    <w:rsid w:val="00AF4F7E"/>
    <w:rsid w:val="00AF50D6"/>
    <w:rsid w:val="00AF596B"/>
    <w:rsid w:val="00AF5F34"/>
    <w:rsid w:val="00AF63E7"/>
    <w:rsid w:val="00AF6637"/>
    <w:rsid w:val="00AF6E17"/>
    <w:rsid w:val="00AF700F"/>
    <w:rsid w:val="00B00924"/>
    <w:rsid w:val="00B0151D"/>
    <w:rsid w:val="00B0165D"/>
    <w:rsid w:val="00B01A1A"/>
    <w:rsid w:val="00B01B60"/>
    <w:rsid w:val="00B01E21"/>
    <w:rsid w:val="00B022C8"/>
    <w:rsid w:val="00B02830"/>
    <w:rsid w:val="00B031F3"/>
    <w:rsid w:val="00B0334B"/>
    <w:rsid w:val="00B03A00"/>
    <w:rsid w:val="00B03A9B"/>
    <w:rsid w:val="00B03B79"/>
    <w:rsid w:val="00B04810"/>
    <w:rsid w:val="00B048E3"/>
    <w:rsid w:val="00B04CA2"/>
    <w:rsid w:val="00B050E7"/>
    <w:rsid w:val="00B052A4"/>
    <w:rsid w:val="00B056A2"/>
    <w:rsid w:val="00B06862"/>
    <w:rsid w:val="00B06F50"/>
    <w:rsid w:val="00B06FB6"/>
    <w:rsid w:val="00B07B15"/>
    <w:rsid w:val="00B07D8E"/>
    <w:rsid w:val="00B10805"/>
    <w:rsid w:val="00B1081E"/>
    <w:rsid w:val="00B10C5D"/>
    <w:rsid w:val="00B115A4"/>
    <w:rsid w:val="00B11BCA"/>
    <w:rsid w:val="00B11BDB"/>
    <w:rsid w:val="00B12186"/>
    <w:rsid w:val="00B125DE"/>
    <w:rsid w:val="00B12901"/>
    <w:rsid w:val="00B13347"/>
    <w:rsid w:val="00B13FDD"/>
    <w:rsid w:val="00B14BF4"/>
    <w:rsid w:val="00B14F12"/>
    <w:rsid w:val="00B1539F"/>
    <w:rsid w:val="00B15DC4"/>
    <w:rsid w:val="00B16A6B"/>
    <w:rsid w:val="00B16D6E"/>
    <w:rsid w:val="00B16F3A"/>
    <w:rsid w:val="00B17635"/>
    <w:rsid w:val="00B20908"/>
    <w:rsid w:val="00B214DB"/>
    <w:rsid w:val="00B21641"/>
    <w:rsid w:val="00B218A9"/>
    <w:rsid w:val="00B22164"/>
    <w:rsid w:val="00B2266A"/>
    <w:rsid w:val="00B22EB2"/>
    <w:rsid w:val="00B23CE3"/>
    <w:rsid w:val="00B23DF0"/>
    <w:rsid w:val="00B24E3E"/>
    <w:rsid w:val="00B250E0"/>
    <w:rsid w:val="00B25D16"/>
    <w:rsid w:val="00B2665C"/>
    <w:rsid w:val="00B26BC4"/>
    <w:rsid w:val="00B27442"/>
    <w:rsid w:val="00B27756"/>
    <w:rsid w:val="00B279DF"/>
    <w:rsid w:val="00B27C7A"/>
    <w:rsid w:val="00B30757"/>
    <w:rsid w:val="00B30E69"/>
    <w:rsid w:val="00B31167"/>
    <w:rsid w:val="00B311AC"/>
    <w:rsid w:val="00B31D46"/>
    <w:rsid w:val="00B329D8"/>
    <w:rsid w:val="00B32BB9"/>
    <w:rsid w:val="00B33035"/>
    <w:rsid w:val="00B336A6"/>
    <w:rsid w:val="00B33AE1"/>
    <w:rsid w:val="00B3495F"/>
    <w:rsid w:val="00B34CBC"/>
    <w:rsid w:val="00B3516F"/>
    <w:rsid w:val="00B37275"/>
    <w:rsid w:val="00B375A3"/>
    <w:rsid w:val="00B376CC"/>
    <w:rsid w:val="00B37C38"/>
    <w:rsid w:val="00B37D5C"/>
    <w:rsid w:val="00B37F41"/>
    <w:rsid w:val="00B40231"/>
    <w:rsid w:val="00B40D59"/>
    <w:rsid w:val="00B411A5"/>
    <w:rsid w:val="00B41B11"/>
    <w:rsid w:val="00B41B6F"/>
    <w:rsid w:val="00B41E2C"/>
    <w:rsid w:val="00B423E2"/>
    <w:rsid w:val="00B42741"/>
    <w:rsid w:val="00B4285C"/>
    <w:rsid w:val="00B4288C"/>
    <w:rsid w:val="00B42913"/>
    <w:rsid w:val="00B430FE"/>
    <w:rsid w:val="00B43262"/>
    <w:rsid w:val="00B43A78"/>
    <w:rsid w:val="00B44100"/>
    <w:rsid w:val="00B45085"/>
    <w:rsid w:val="00B46CBA"/>
    <w:rsid w:val="00B46F94"/>
    <w:rsid w:val="00B47216"/>
    <w:rsid w:val="00B5059A"/>
    <w:rsid w:val="00B51DCF"/>
    <w:rsid w:val="00B52786"/>
    <w:rsid w:val="00B52D26"/>
    <w:rsid w:val="00B538FF"/>
    <w:rsid w:val="00B539EB"/>
    <w:rsid w:val="00B54698"/>
    <w:rsid w:val="00B54791"/>
    <w:rsid w:val="00B5526B"/>
    <w:rsid w:val="00B55611"/>
    <w:rsid w:val="00B557CE"/>
    <w:rsid w:val="00B558CA"/>
    <w:rsid w:val="00B55B18"/>
    <w:rsid w:val="00B55E24"/>
    <w:rsid w:val="00B56990"/>
    <w:rsid w:val="00B56D5C"/>
    <w:rsid w:val="00B572D5"/>
    <w:rsid w:val="00B5730F"/>
    <w:rsid w:val="00B6003C"/>
    <w:rsid w:val="00B60BE1"/>
    <w:rsid w:val="00B61F03"/>
    <w:rsid w:val="00B626E4"/>
    <w:rsid w:val="00B62A48"/>
    <w:rsid w:val="00B62DBA"/>
    <w:rsid w:val="00B63866"/>
    <w:rsid w:val="00B63DDB"/>
    <w:rsid w:val="00B64D03"/>
    <w:rsid w:val="00B661C4"/>
    <w:rsid w:val="00B66348"/>
    <w:rsid w:val="00B666EA"/>
    <w:rsid w:val="00B7017A"/>
    <w:rsid w:val="00B7070E"/>
    <w:rsid w:val="00B70F4C"/>
    <w:rsid w:val="00B71888"/>
    <w:rsid w:val="00B721F6"/>
    <w:rsid w:val="00B725CE"/>
    <w:rsid w:val="00B72691"/>
    <w:rsid w:val="00B72A50"/>
    <w:rsid w:val="00B72F13"/>
    <w:rsid w:val="00B72F4A"/>
    <w:rsid w:val="00B734F0"/>
    <w:rsid w:val="00B73661"/>
    <w:rsid w:val="00B73F24"/>
    <w:rsid w:val="00B74BCB"/>
    <w:rsid w:val="00B74E45"/>
    <w:rsid w:val="00B7698D"/>
    <w:rsid w:val="00B77E1A"/>
    <w:rsid w:val="00B80355"/>
    <w:rsid w:val="00B805F0"/>
    <w:rsid w:val="00B80871"/>
    <w:rsid w:val="00B80F78"/>
    <w:rsid w:val="00B822A0"/>
    <w:rsid w:val="00B82B95"/>
    <w:rsid w:val="00B82D3D"/>
    <w:rsid w:val="00B82EB1"/>
    <w:rsid w:val="00B83A5C"/>
    <w:rsid w:val="00B83AE2"/>
    <w:rsid w:val="00B83C27"/>
    <w:rsid w:val="00B84479"/>
    <w:rsid w:val="00B84602"/>
    <w:rsid w:val="00B84A56"/>
    <w:rsid w:val="00B84BC3"/>
    <w:rsid w:val="00B84BDD"/>
    <w:rsid w:val="00B84C46"/>
    <w:rsid w:val="00B84E64"/>
    <w:rsid w:val="00B852C1"/>
    <w:rsid w:val="00B86F07"/>
    <w:rsid w:val="00B8703B"/>
    <w:rsid w:val="00B87254"/>
    <w:rsid w:val="00B87C4D"/>
    <w:rsid w:val="00B87C96"/>
    <w:rsid w:val="00B90390"/>
    <w:rsid w:val="00B90ECE"/>
    <w:rsid w:val="00B90F1B"/>
    <w:rsid w:val="00B91385"/>
    <w:rsid w:val="00B91E76"/>
    <w:rsid w:val="00B92812"/>
    <w:rsid w:val="00B92ACD"/>
    <w:rsid w:val="00B9321F"/>
    <w:rsid w:val="00B940A3"/>
    <w:rsid w:val="00B94166"/>
    <w:rsid w:val="00B9426C"/>
    <w:rsid w:val="00B942E0"/>
    <w:rsid w:val="00B951AB"/>
    <w:rsid w:val="00B9577A"/>
    <w:rsid w:val="00B9642F"/>
    <w:rsid w:val="00B96B0E"/>
    <w:rsid w:val="00B97917"/>
    <w:rsid w:val="00B979F8"/>
    <w:rsid w:val="00BA0D82"/>
    <w:rsid w:val="00BA0DED"/>
    <w:rsid w:val="00BA198E"/>
    <w:rsid w:val="00BA2AF7"/>
    <w:rsid w:val="00BA39B4"/>
    <w:rsid w:val="00BA3EAC"/>
    <w:rsid w:val="00BA4065"/>
    <w:rsid w:val="00BA4178"/>
    <w:rsid w:val="00BA41F2"/>
    <w:rsid w:val="00BA4391"/>
    <w:rsid w:val="00BA5532"/>
    <w:rsid w:val="00BA6539"/>
    <w:rsid w:val="00BB020D"/>
    <w:rsid w:val="00BB063C"/>
    <w:rsid w:val="00BB06A2"/>
    <w:rsid w:val="00BB13F6"/>
    <w:rsid w:val="00BB1654"/>
    <w:rsid w:val="00BB1AF1"/>
    <w:rsid w:val="00BB1CD1"/>
    <w:rsid w:val="00BB28E8"/>
    <w:rsid w:val="00BB2C2D"/>
    <w:rsid w:val="00BB2C83"/>
    <w:rsid w:val="00BB2DA1"/>
    <w:rsid w:val="00BB3D09"/>
    <w:rsid w:val="00BB40BF"/>
    <w:rsid w:val="00BB45A1"/>
    <w:rsid w:val="00BB4BA5"/>
    <w:rsid w:val="00BB4ED9"/>
    <w:rsid w:val="00BB6335"/>
    <w:rsid w:val="00BB6977"/>
    <w:rsid w:val="00BB7462"/>
    <w:rsid w:val="00BB7638"/>
    <w:rsid w:val="00BB7686"/>
    <w:rsid w:val="00BB77E3"/>
    <w:rsid w:val="00BB7802"/>
    <w:rsid w:val="00BC0815"/>
    <w:rsid w:val="00BC0C98"/>
    <w:rsid w:val="00BC110E"/>
    <w:rsid w:val="00BC145A"/>
    <w:rsid w:val="00BC18F9"/>
    <w:rsid w:val="00BC1D64"/>
    <w:rsid w:val="00BC214E"/>
    <w:rsid w:val="00BC23F9"/>
    <w:rsid w:val="00BC2995"/>
    <w:rsid w:val="00BC303B"/>
    <w:rsid w:val="00BC3421"/>
    <w:rsid w:val="00BC3967"/>
    <w:rsid w:val="00BC3D59"/>
    <w:rsid w:val="00BC4011"/>
    <w:rsid w:val="00BC4012"/>
    <w:rsid w:val="00BC420A"/>
    <w:rsid w:val="00BC4337"/>
    <w:rsid w:val="00BC455A"/>
    <w:rsid w:val="00BC4850"/>
    <w:rsid w:val="00BC50AB"/>
    <w:rsid w:val="00BC5246"/>
    <w:rsid w:val="00BC5E44"/>
    <w:rsid w:val="00BC6FB1"/>
    <w:rsid w:val="00BC732C"/>
    <w:rsid w:val="00BC74A2"/>
    <w:rsid w:val="00BC7D26"/>
    <w:rsid w:val="00BC7DAD"/>
    <w:rsid w:val="00BD0CF0"/>
    <w:rsid w:val="00BD1B86"/>
    <w:rsid w:val="00BD2AFC"/>
    <w:rsid w:val="00BD310B"/>
    <w:rsid w:val="00BD3A2F"/>
    <w:rsid w:val="00BD4421"/>
    <w:rsid w:val="00BD45D2"/>
    <w:rsid w:val="00BD4A6B"/>
    <w:rsid w:val="00BD5A1B"/>
    <w:rsid w:val="00BD68FA"/>
    <w:rsid w:val="00BE1049"/>
    <w:rsid w:val="00BE15FE"/>
    <w:rsid w:val="00BE1ECD"/>
    <w:rsid w:val="00BE2580"/>
    <w:rsid w:val="00BE266D"/>
    <w:rsid w:val="00BE2E26"/>
    <w:rsid w:val="00BE3938"/>
    <w:rsid w:val="00BE423D"/>
    <w:rsid w:val="00BE4C11"/>
    <w:rsid w:val="00BE5E41"/>
    <w:rsid w:val="00BE61E8"/>
    <w:rsid w:val="00BE6527"/>
    <w:rsid w:val="00BE68BE"/>
    <w:rsid w:val="00BE71C0"/>
    <w:rsid w:val="00BE72FD"/>
    <w:rsid w:val="00BE7372"/>
    <w:rsid w:val="00BF06A4"/>
    <w:rsid w:val="00BF0985"/>
    <w:rsid w:val="00BF11E4"/>
    <w:rsid w:val="00BF1615"/>
    <w:rsid w:val="00BF1DD4"/>
    <w:rsid w:val="00BF3486"/>
    <w:rsid w:val="00BF3C23"/>
    <w:rsid w:val="00BF3EA9"/>
    <w:rsid w:val="00BF4804"/>
    <w:rsid w:val="00BF4A4B"/>
    <w:rsid w:val="00BF57BD"/>
    <w:rsid w:val="00BF5880"/>
    <w:rsid w:val="00BF610C"/>
    <w:rsid w:val="00BF65C4"/>
    <w:rsid w:val="00BF6899"/>
    <w:rsid w:val="00BF741E"/>
    <w:rsid w:val="00BF770C"/>
    <w:rsid w:val="00BF7873"/>
    <w:rsid w:val="00BF7E01"/>
    <w:rsid w:val="00BF7F20"/>
    <w:rsid w:val="00BF7FC7"/>
    <w:rsid w:val="00C0060B"/>
    <w:rsid w:val="00C00D1B"/>
    <w:rsid w:val="00C01A6C"/>
    <w:rsid w:val="00C023A7"/>
    <w:rsid w:val="00C026F4"/>
    <w:rsid w:val="00C0277D"/>
    <w:rsid w:val="00C02BD4"/>
    <w:rsid w:val="00C02C49"/>
    <w:rsid w:val="00C02F26"/>
    <w:rsid w:val="00C03DC7"/>
    <w:rsid w:val="00C040BC"/>
    <w:rsid w:val="00C04B65"/>
    <w:rsid w:val="00C04E17"/>
    <w:rsid w:val="00C04FDD"/>
    <w:rsid w:val="00C052DF"/>
    <w:rsid w:val="00C053A1"/>
    <w:rsid w:val="00C05597"/>
    <w:rsid w:val="00C05D7A"/>
    <w:rsid w:val="00C05D86"/>
    <w:rsid w:val="00C05FA4"/>
    <w:rsid w:val="00C06441"/>
    <w:rsid w:val="00C06840"/>
    <w:rsid w:val="00C07636"/>
    <w:rsid w:val="00C10D64"/>
    <w:rsid w:val="00C11424"/>
    <w:rsid w:val="00C12123"/>
    <w:rsid w:val="00C12D8B"/>
    <w:rsid w:val="00C1443A"/>
    <w:rsid w:val="00C16198"/>
    <w:rsid w:val="00C16B4C"/>
    <w:rsid w:val="00C16FC2"/>
    <w:rsid w:val="00C2083D"/>
    <w:rsid w:val="00C2323F"/>
    <w:rsid w:val="00C237FF"/>
    <w:rsid w:val="00C2408D"/>
    <w:rsid w:val="00C24875"/>
    <w:rsid w:val="00C24A53"/>
    <w:rsid w:val="00C2510D"/>
    <w:rsid w:val="00C260CC"/>
    <w:rsid w:val="00C26250"/>
    <w:rsid w:val="00C27077"/>
    <w:rsid w:val="00C319E1"/>
    <w:rsid w:val="00C327BD"/>
    <w:rsid w:val="00C32A31"/>
    <w:rsid w:val="00C32B47"/>
    <w:rsid w:val="00C330D6"/>
    <w:rsid w:val="00C34A05"/>
    <w:rsid w:val="00C35228"/>
    <w:rsid w:val="00C35CCE"/>
    <w:rsid w:val="00C3619E"/>
    <w:rsid w:val="00C3687A"/>
    <w:rsid w:val="00C368C2"/>
    <w:rsid w:val="00C36E94"/>
    <w:rsid w:val="00C373EE"/>
    <w:rsid w:val="00C37FA1"/>
    <w:rsid w:val="00C4002C"/>
    <w:rsid w:val="00C4011A"/>
    <w:rsid w:val="00C4032F"/>
    <w:rsid w:val="00C407DC"/>
    <w:rsid w:val="00C40C96"/>
    <w:rsid w:val="00C4130D"/>
    <w:rsid w:val="00C41635"/>
    <w:rsid w:val="00C41F21"/>
    <w:rsid w:val="00C4209F"/>
    <w:rsid w:val="00C43651"/>
    <w:rsid w:val="00C43BD7"/>
    <w:rsid w:val="00C43F62"/>
    <w:rsid w:val="00C44047"/>
    <w:rsid w:val="00C4430A"/>
    <w:rsid w:val="00C45155"/>
    <w:rsid w:val="00C454BA"/>
    <w:rsid w:val="00C454BF"/>
    <w:rsid w:val="00C455F7"/>
    <w:rsid w:val="00C473E1"/>
    <w:rsid w:val="00C5061F"/>
    <w:rsid w:val="00C51BBB"/>
    <w:rsid w:val="00C51E30"/>
    <w:rsid w:val="00C51F40"/>
    <w:rsid w:val="00C52B0F"/>
    <w:rsid w:val="00C5439F"/>
    <w:rsid w:val="00C5498F"/>
    <w:rsid w:val="00C55235"/>
    <w:rsid w:val="00C5549B"/>
    <w:rsid w:val="00C558CA"/>
    <w:rsid w:val="00C55EE7"/>
    <w:rsid w:val="00C566CB"/>
    <w:rsid w:val="00C56E0A"/>
    <w:rsid w:val="00C57982"/>
    <w:rsid w:val="00C615C7"/>
    <w:rsid w:val="00C618D4"/>
    <w:rsid w:val="00C62F38"/>
    <w:rsid w:val="00C6333A"/>
    <w:rsid w:val="00C633AB"/>
    <w:rsid w:val="00C6353D"/>
    <w:rsid w:val="00C63F7B"/>
    <w:rsid w:val="00C640B9"/>
    <w:rsid w:val="00C64100"/>
    <w:rsid w:val="00C643C2"/>
    <w:rsid w:val="00C6467E"/>
    <w:rsid w:val="00C648EA"/>
    <w:rsid w:val="00C64C85"/>
    <w:rsid w:val="00C64CD0"/>
    <w:rsid w:val="00C65347"/>
    <w:rsid w:val="00C65F61"/>
    <w:rsid w:val="00C6684F"/>
    <w:rsid w:val="00C66858"/>
    <w:rsid w:val="00C669CD"/>
    <w:rsid w:val="00C66B7C"/>
    <w:rsid w:val="00C70A5F"/>
    <w:rsid w:val="00C70B7B"/>
    <w:rsid w:val="00C70E70"/>
    <w:rsid w:val="00C714EA"/>
    <w:rsid w:val="00C71DC1"/>
    <w:rsid w:val="00C71F0D"/>
    <w:rsid w:val="00C72276"/>
    <w:rsid w:val="00C72E96"/>
    <w:rsid w:val="00C72FE0"/>
    <w:rsid w:val="00C7311E"/>
    <w:rsid w:val="00C731DC"/>
    <w:rsid w:val="00C7372D"/>
    <w:rsid w:val="00C7387B"/>
    <w:rsid w:val="00C741C7"/>
    <w:rsid w:val="00C74894"/>
    <w:rsid w:val="00C748CA"/>
    <w:rsid w:val="00C75306"/>
    <w:rsid w:val="00C75564"/>
    <w:rsid w:val="00C75B21"/>
    <w:rsid w:val="00C75F8D"/>
    <w:rsid w:val="00C7623E"/>
    <w:rsid w:val="00C767F7"/>
    <w:rsid w:val="00C76EFF"/>
    <w:rsid w:val="00C77380"/>
    <w:rsid w:val="00C77411"/>
    <w:rsid w:val="00C77EC3"/>
    <w:rsid w:val="00C77FBF"/>
    <w:rsid w:val="00C8045C"/>
    <w:rsid w:val="00C81CE2"/>
    <w:rsid w:val="00C826CC"/>
    <w:rsid w:val="00C82F72"/>
    <w:rsid w:val="00C835C4"/>
    <w:rsid w:val="00C86909"/>
    <w:rsid w:val="00C87E52"/>
    <w:rsid w:val="00C87E8A"/>
    <w:rsid w:val="00C9027E"/>
    <w:rsid w:val="00C912EF"/>
    <w:rsid w:val="00C913D6"/>
    <w:rsid w:val="00C91F67"/>
    <w:rsid w:val="00C931B8"/>
    <w:rsid w:val="00C94462"/>
    <w:rsid w:val="00C944AF"/>
    <w:rsid w:val="00C94B99"/>
    <w:rsid w:val="00C95DE6"/>
    <w:rsid w:val="00C96991"/>
    <w:rsid w:val="00C96ACB"/>
    <w:rsid w:val="00C96B4D"/>
    <w:rsid w:val="00C9744E"/>
    <w:rsid w:val="00C97736"/>
    <w:rsid w:val="00C97AA1"/>
    <w:rsid w:val="00C97B69"/>
    <w:rsid w:val="00CA0F7C"/>
    <w:rsid w:val="00CA11FB"/>
    <w:rsid w:val="00CA1378"/>
    <w:rsid w:val="00CA14D3"/>
    <w:rsid w:val="00CA1DCA"/>
    <w:rsid w:val="00CA2148"/>
    <w:rsid w:val="00CA2C14"/>
    <w:rsid w:val="00CA345A"/>
    <w:rsid w:val="00CA4183"/>
    <w:rsid w:val="00CA45B1"/>
    <w:rsid w:val="00CA4B2D"/>
    <w:rsid w:val="00CA5116"/>
    <w:rsid w:val="00CA57FE"/>
    <w:rsid w:val="00CA654F"/>
    <w:rsid w:val="00CA6568"/>
    <w:rsid w:val="00CA68D7"/>
    <w:rsid w:val="00CA77FF"/>
    <w:rsid w:val="00CB0E3B"/>
    <w:rsid w:val="00CB1CCD"/>
    <w:rsid w:val="00CB1E82"/>
    <w:rsid w:val="00CB20D6"/>
    <w:rsid w:val="00CB2ECB"/>
    <w:rsid w:val="00CB3735"/>
    <w:rsid w:val="00CB38D7"/>
    <w:rsid w:val="00CB4523"/>
    <w:rsid w:val="00CB49E5"/>
    <w:rsid w:val="00CB4A37"/>
    <w:rsid w:val="00CB4BA8"/>
    <w:rsid w:val="00CB52CB"/>
    <w:rsid w:val="00CB52D7"/>
    <w:rsid w:val="00CB544A"/>
    <w:rsid w:val="00CB550B"/>
    <w:rsid w:val="00CB5700"/>
    <w:rsid w:val="00CB62A4"/>
    <w:rsid w:val="00CB6696"/>
    <w:rsid w:val="00CB6B87"/>
    <w:rsid w:val="00CB6C24"/>
    <w:rsid w:val="00CB6D3D"/>
    <w:rsid w:val="00CB7124"/>
    <w:rsid w:val="00CB714A"/>
    <w:rsid w:val="00CB77F4"/>
    <w:rsid w:val="00CB782A"/>
    <w:rsid w:val="00CB7DE8"/>
    <w:rsid w:val="00CC0741"/>
    <w:rsid w:val="00CC0810"/>
    <w:rsid w:val="00CC0D2E"/>
    <w:rsid w:val="00CC1114"/>
    <w:rsid w:val="00CC115E"/>
    <w:rsid w:val="00CC1291"/>
    <w:rsid w:val="00CC164A"/>
    <w:rsid w:val="00CC1B61"/>
    <w:rsid w:val="00CC1B9D"/>
    <w:rsid w:val="00CC2090"/>
    <w:rsid w:val="00CC25FC"/>
    <w:rsid w:val="00CC2C08"/>
    <w:rsid w:val="00CC329E"/>
    <w:rsid w:val="00CC458E"/>
    <w:rsid w:val="00CC477A"/>
    <w:rsid w:val="00CC4832"/>
    <w:rsid w:val="00CC495D"/>
    <w:rsid w:val="00CC49EF"/>
    <w:rsid w:val="00CC5BAE"/>
    <w:rsid w:val="00CC5EFE"/>
    <w:rsid w:val="00CC66B0"/>
    <w:rsid w:val="00CC6732"/>
    <w:rsid w:val="00CC72D1"/>
    <w:rsid w:val="00CC783F"/>
    <w:rsid w:val="00CC79F8"/>
    <w:rsid w:val="00CC7E79"/>
    <w:rsid w:val="00CD0AD9"/>
    <w:rsid w:val="00CD1052"/>
    <w:rsid w:val="00CD19FE"/>
    <w:rsid w:val="00CD3D29"/>
    <w:rsid w:val="00CD467E"/>
    <w:rsid w:val="00CD51E4"/>
    <w:rsid w:val="00CD59B1"/>
    <w:rsid w:val="00CD62A3"/>
    <w:rsid w:val="00CD6663"/>
    <w:rsid w:val="00CD6A67"/>
    <w:rsid w:val="00CD6ACF"/>
    <w:rsid w:val="00CE1729"/>
    <w:rsid w:val="00CE20F2"/>
    <w:rsid w:val="00CE2D59"/>
    <w:rsid w:val="00CE37C2"/>
    <w:rsid w:val="00CE3C96"/>
    <w:rsid w:val="00CE43D4"/>
    <w:rsid w:val="00CE51A8"/>
    <w:rsid w:val="00CE5B5C"/>
    <w:rsid w:val="00CE6669"/>
    <w:rsid w:val="00CE7921"/>
    <w:rsid w:val="00CF0A0E"/>
    <w:rsid w:val="00CF0BFE"/>
    <w:rsid w:val="00CF0FFA"/>
    <w:rsid w:val="00CF13A7"/>
    <w:rsid w:val="00CF16BB"/>
    <w:rsid w:val="00CF1E25"/>
    <w:rsid w:val="00CF35EE"/>
    <w:rsid w:val="00CF369B"/>
    <w:rsid w:val="00CF369D"/>
    <w:rsid w:val="00CF36A1"/>
    <w:rsid w:val="00CF395D"/>
    <w:rsid w:val="00CF4425"/>
    <w:rsid w:val="00CF4C15"/>
    <w:rsid w:val="00CF5C85"/>
    <w:rsid w:val="00CF6353"/>
    <w:rsid w:val="00CF6DEA"/>
    <w:rsid w:val="00CF6FCD"/>
    <w:rsid w:val="00CF6FD8"/>
    <w:rsid w:val="00CF72FD"/>
    <w:rsid w:val="00D00032"/>
    <w:rsid w:val="00D00116"/>
    <w:rsid w:val="00D0073F"/>
    <w:rsid w:val="00D00E28"/>
    <w:rsid w:val="00D00FFF"/>
    <w:rsid w:val="00D0151C"/>
    <w:rsid w:val="00D019B1"/>
    <w:rsid w:val="00D01AA8"/>
    <w:rsid w:val="00D01FBD"/>
    <w:rsid w:val="00D0269E"/>
    <w:rsid w:val="00D02854"/>
    <w:rsid w:val="00D0450F"/>
    <w:rsid w:val="00D05543"/>
    <w:rsid w:val="00D059EE"/>
    <w:rsid w:val="00D05D6C"/>
    <w:rsid w:val="00D06AA0"/>
    <w:rsid w:val="00D1186A"/>
    <w:rsid w:val="00D11B56"/>
    <w:rsid w:val="00D122C0"/>
    <w:rsid w:val="00D12395"/>
    <w:rsid w:val="00D12632"/>
    <w:rsid w:val="00D13044"/>
    <w:rsid w:val="00D134D1"/>
    <w:rsid w:val="00D13D47"/>
    <w:rsid w:val="00D14E97"/>
    <w:rsid w:val="00D1524B"/>
    <w:rsid w:val="00D1564E"/>
    <w:rsid w:val="00D1571F"/>
    <w:rsid w:val="00D15810"/>
    <w:rsid w:val="00D16695"/>
    <w:rsid w:val="00D16CF0"/>
    <w:rsid w:val="00D16D4E"/>
    <w:rsid w:val="00D16FE3"/>
    <w:rsid w:val="00D17BFD"/>
    <w:rsid w:val="00D17CAD"/>
    <w:rsid w:val="00D20E6D"/>
    <w:rsid w:val="00D22FE8"/>
    <w:rsid w:val="00D234CA"/>
    <w:rsid w:val="00D241AC"/>
    <w:rsid w:val="00D24869"/>
    <w:rsid w:val="00D24A22"/>
    <w:rsid w:val="00D27BBF"/>
    <w:rsid w:val="00D27F41"/>
    <w:rsid w:val="00D30C17"/>
    <w:rsid w:val="00D31826"/>
    <w:rsid w:val="00D3189E"/>
    <w:rsid w:val="00D321BF"/>
    <w:rsid w:val="00D322CA"/>
    <w:rsid w:val="00D3302E"/>
    <w:rsid w:val="00D3308F"/>
    <w:rsid w:val="00D331C4"/>
    <w:rsid w:val="00D332C8"/>
    <w:rsid w:val="00D33375"/>
    <w:rsid w:val="00D33940"/>
    <w:rsid w:val="00D33D1A"/>
    <w:rsid w:val="00D3486E"/>
    <w:rsid w:val="00D35089"/>
    <w:rsid w:val="00D357AE"/>
    <w:rsid w:val="00D35E73"/>
    <w:rsid w:val="00D3601F"/>
    <w:rsid w:val="00D36441"/>
    <w:rsid w:val="00D372E7"/>
    <w:rsid w:val="00D378C9"/>
    <w:rsid w:val="00D4050C"/>
    <w:rsid w:val="00D4064E"/>
    <w:rsid w:val="00D41ACD"/>
    <w:rsid w:val="00D41D24"/>
    <w:rsid w:val="00D423DB"/>
    <w:rsid w:val="00D4247F"/>
    <w:rsid w:val="00D42B81"/>
    <w:rsid w:val="00D42D2A"/>
    <w:rsid w:val="00D4310C"/>
    <w:rsid w:val="00D44A51"/>
    <w:rsid w:val="00D44E9B"/>
    <w:rsid w:val="00D4521D"/>
    <w:rsid w:val="00D45D8C"/>
    <w:rsid w:val="00D4673A"/>
    <w:rsid w:val="00D46930"/>
    <w:rsid w:val="00D46E6C"/>
    <w:rsid w:val="00D47A7F"/>
    <w:rsid w:val="00D47AEB"/>
    <w:rsid w:val="00D501EF"/>
    <w:rsid w:val="00D50290"/>
    <w:rsid w:val="00D50BC7"/>
    <w:rsid w:val="00D50DB9"/>
    <w:rsid w:val="00D51302"/>
    <w:rsid w:val="00D528FD"/>
    <w:rsid w:val="00D52C43"/>
    <w:rsid w:val="00D52CE7"/>
    <w:rsid w:val="00D540FD"/>
    <w:rsid w:val="00D549BD"/>
    <w:rsid w:val="00D552C5"/>
    <w:rsid w:val="00D553DC"/>
    <w:rsid w:val="00D555C4"/>
    <w:rsid w:val="00D556DC"/>
    <w:rsid w:val="00D5595A"/>
    <w:rsid w:val="00D55A80"/>
    <w:rsid w:val="00D56335"/>
    <w:rsid w:val="00D5659F"/>
    <w:rsid w:val="00D56826"/>
    <w:rsid w:val="00D57331"/>
    <w:rsid w:val="00D57DD7"/>
    <w:rsid w:val="00D60292"/>
    <w:rsid w:val="00D60DD4"/>
    <w:rsid w:val="00D61243"/>
    <w:rsid w:val="00D6175D"/>
    <w:rsid w:val="00D61A6F"/>
    <w:rsid w:val="00D61EF2"/>
    <w:rsid w:val="00D620C0"/>
    <w:rsid w:val="00D625B1"/>
    <w:rsid w:val="00D62942"/>
    <w:rsid w:val="00D62DAF"/>
    <w:rsid w:val="00D62E0D"/>
    <w:rsid w:val="00D63189"/>
    <w:rsid w:val="00D632C2"/>
    <w:rsid w:val="00D632ED"/>
    <w:rsid w:val="00D6383B"/>
    <w:rsid w:val="00D639DD"/>
    <w:rsid w:val="00D63A40"/>
    <w:rsid w:val="00D64BA3"/>
    <w:rsid w:val="00D64CE1"/>
    <w:rsid w:val="00D64F63"/>
    <w:rsid w:val="00D6507F"/>
    <w:rsid w:val="00D651E8"/>
    <w:rsid w:val="00D65BFF"/>
    <w:rsid w:val="00D65F41"/>
    <w:rsid w:val="00D6685F"/>
    <w:rsid w:val="00D66E21"/>
    <w:rsid w:val="00D66FA6"/>
    <w:rsid w:val="00D67A77"/>
    <w:rsid w:val="00D70D16"/>
    <w:rsid w:val="00D70DF3"/>
    <w:rsid w:val="00D72103"/>
    <w:rsid w:val="00D726FE"/>
    <w:rsid w:val="00D72C8B"/>
    <w:rsid w:val="00D730BC"/>
    <w:rsid w:val="00D73912"/>
    <w:rsid w:val="00D73CAE"/>
    <w:rsid w:val="00D742A8"/>
    <w:rsid w:val="00D74E01"/>
    <w:rsid w:val="00D75813"/>
    <w:rsid w:val="00D75DEF"/>
    <w:rsid w:val="00D75E9D"/>
    <w:rsid w:val="00D765A9"/>
    <w:rsid w:val="00D769DC"/>
    <w:rsid w:val="00D77A9C"/>
    <w:rsid w:val="00D77F52"/>
    <w:rsid w:val="00D8062B"/>
    <w:rsid w:val="00D8098A"/>
    <w:rsid w:val="00D80CBB"/>
    <w:rsid w:val="00D80CEA"/>
    <w:rsid w:val="00D81182"/>
    <w:rsid w:val="00D8180D"/>
    <w:rsid w:val="00D818D5"/>
    <w:rsid w:val="00D819D6"/>
    <w:rsid w:val="00D81BD7"/>
    <w:rsid w:val="00D820EC"/>
    <w:rsid w:val="00D82ACF"/>
    <w:rsid w:val="00D82B06"/>
    <w:rsid w:val="00D82EE0"/>
    <w:rsid w:val="00D83086"/>
    <w:rsid w:val="00D83394"/>
    <w:rsid w:val="00D83DF5"/>
    <w:rsid w:val="00D84ECB"/>
    <w:rsid w:val="00D85226"/>
    <w:rsid w:val="00D8522B"/>
    <w:rsid w:val="00D8559A"/>
    <w:rsid w:val="00D85F89"/>
    <w:rsid w:val="00D86FA0"/>
    <w:rsid w:val="00D87704"/>
    <w:rsid w:val="00D87B94"/>
    <w:rsid w:val="00D87DBD"/>
    <w:rsid w:val="00D87EF5"/>
    <w:rsid w:val="00D908F3"/>
    <w:rsid w:val="00D90E50"/>
    <w:rsid w:val="00D916DC"/>
    <w:rsid w:val="00D924B1"/>
    <w:rsid w:val="00D92715"/>
    <w:rsid w:val="00D92D49"/>
    <w:rsid w:val="00D92EC1"/>
    <w:rsid w:val="00D92EF1"/>
    <w:rsid w:val="00D932DA"/>
    <w:rsid w:val="00D939E8"/>
    <w:rsid w:val="00D9412C"/>
    <w:rsid w:val="00D943E4"/>
    <w:rsid w:val="00D94FDD"/>
    <w:rsid w:val="00D96080"/>
    <w:rsid w:val="00D9609F"/>
    <w:rsid w:val="00D9628D"/>
    <w:rsid w:val="00D96DEA"/>
    <w:rsid w:val="00D971CE"/>
    <w:rsid w:val="00D97720"/>
    <w:rsid w:val="00D978CD"/>
    <w:rsid w:val="00D97F7A"/>
    <w:rsid w:val="00DA10AF"/>
    <w:rsid w:val="00DA1782"/>
    <w:rsid w:val="00DA2C56"/>
    <w:rsid w:val="00DA3182"/>
    <w:rsid w:val="00DA3A24"/>
    <w:rsid w:val="00DA491C"/>
    <w:rsid w:val="00DA4E41"/>
    <w:rsid w:val="00DA50D4"/>
    <w:rsid w:val="00DA545B"/>
    <w:rsid w:val="00DA604E"/>
    <w:rsid w:val="00DA7160"/>
    <w:rsid w:val="00DB023C"/>
    <w:rsid w:val="00DB0382"/>
    <w:rsid w:val="00DB0542"/>
    <w:rsid w:val="00DB06EA"/>
    <w:rsid w:val="00DB072B"/>
    <w:rsid w:val="00DB0D59"/>
    <w:rsid w:val="00DB117A"/>
    <w:rsid w:val="00DB2B12"/>
    <w:rsid w:val="00DB2D9B"/>
    <w:rsid w:val="00DB3B84"/>
    <w:rsid w:val="00DB3D48"/>
    <w:rsid w:val="00DB44C8"/>
    <w:rsid w:val="00DB4A01"/>
    <w:rsid w:val="00DB5173"/>
    <w:rsid w:val="00DB5501"/>
    <w:rsid w:val="00DB59AD"/>
    <w:rsid w:val="00DB6396"/>
    <w:rsid w:val="00DB74A3"/>
    <w:rsid w:val="00DB7873"/>
    <w:rsid w:val="00DB7886"/>
    <w:rsid w:val="00DB7F3B"/>
    <w:rsid w:val="00DC0D76"/>
    <w:rsid w:val="00DC1308"/>
    <w:rsid w:val="00DC173E"/>
    <w:rsid w:val="00DC1757"/>
    <w:rsid w:val="00DC187B"/>
    <w:rsid w:val="00DC2F64"/>
    <w:rsid w:val="00DC500F"/>
    <w:rsid w:val="00DC58EF"/>
    <w:rsid w:val="00DC5EB2"/>
    <w:rsid w:val="00DC6EF4"/>
    <w:rsid w:val="00DC6F01"/>
    <w:rsid w:val="00DC7302"/>
    <w:rsid w:val="00DC7B4A"/>
    <w:rsid w:val="00DC7E51"/>
    <w:rsid w:val="00DD0057"/>
    <w:rsid w:val="00DD00B4"/>
    <w:rsid w:val="00DD02AF"/>
    <w:rsid w:val="00DD04F0"/>
    <w:rsid w:val="00DD1A43"/>
    <w:rsid w:val="00DD1A45"/>
    <w:rsid w:val="00DD1F2C"/>
    <w:rsid w:val="00DD2BA8"/>
    <w:rsid w:val="00DD36BA"/>
    <w:rsid w:val="00DD38CD"/>
    <w:rsid w:val="00DD5882"/>
    <w:rsid w:val="00DD68E3"/>
    <w:rsid w:val="00DD73C2"/>
    <w:rsid w:val="00DD76B6"/>
    <w:rsid w:val="00DE0ED2"/>
    <w:rsid w:val="00DE120D"/>
    <w:rsid w:val="00DE1F53"/>
    <w:rsid w:val="00DE319B"/>
    <w:rsid w:val="00DE3214"/>
    <w:rsid w:val="00DE34C9"/>
    <w:rsid w:val="00DE3554"/>
    <w:rsid w:val="00DE36FB"/>
    <w:rsid w:val="00DE3B3A"/>
    <w:rsid w:val="00DE55D8"/>
    <w:rsid w:val="00DE6E5D"/>
    <w:rsid w:val="00DE7553"/>
    <w:rsid w:val="00DE77AE"/>
    <w:rsid w:val="00DE7A95"/>
    <w:rsid w:val="00DF34FE"/>
    <w:rsid w:val="00DF3D5D"/>
    <w:rsid w:val="00DF4503"/>
    <w:rsid w:val="00DF5010"/>
    <w:rsid w:val="00DF56AA"/>
    <w:rsid w:val="00DF56AF"/>
    <w:rsid w:val="00DF5DE2"/>
    <w:rsid w:val="00DF6C39"/>
    <w:rsid w:val="00DF74C5"/>
    <w:rsid w:val="00DF78E7"/>
    <w:rsid w:val="00E0028C"/>
    <w:rsid w:val="00E0095A"/>
    <w:rsid w:val="00E01007"/>
    <w:rsid w:val="00E012D5"/>
    <w:rsid w:val="00E01496"/>
    <w:rsid w:val="00E02F17"/>
    <w:rsid w:val="00E069F1"/>
    <w:rsid w:val="00E106E5"/>
    <w:rsid w:val="00E110E0"/>
    <w:rsid w:val="00E11927"/>
    <w:rsid w:val="00E124AF"/>
    <w:rsid w:val="00E1269C"/>
    <w:rsid w:val="00E12834"/>
    <w:rsid w:val="00E12BD8"/>
    <w:rsid w:val="00E132E7"/>
    <w:rsid w:val="00E13363"/>
    <w:rsid w:val="00E13B5C"/>
    <w:rsid w:val="00E13D3E"/>
    <w:rsid w:val="00E13F1B"/>
    <w:rsid w:val="00E1460C"/>
    <w:rsid w:val="00E14EA0"/>
    <w:rsid w:val="00E15371"/>
    <w:rsid w:val="00E15C37"/>
    <w:rsid w:val="00E162C1"/>
    <w:rsid w:val="00E16363"/>
    <w:rsid w:val="00E1662A"/>
    <w:rsid w:val="00E167F1"/>
    <w:rsid w:val="00E169E9"/>
    <w:rsid w:val="00E1707F"/>
    <w:rsid w:val="00E17480"/>
    <w:rsid w:val="00E174DE"/>
    <w:rsid w:val="00E1777C"/>
    <w:rsid w:val="00E204B5"/>
    <w:rsid w:val="00E209AF"/>
    <w:rsid w:val="00E21056"/>
    <w:rsid w:val="00E222AF"/>
    <w:rsid w:val="00E2281A"/>
    <w:rsid w:val="00E23378"/>
    <w:rsid w:val="00E23A2E"/>
    <w:rsid w:val="00E23D36"/>
    <w:rsid w:val="00E24104"/>
    <w:rsid w:val="00E2421E"/>
    <w:rsid w:val="00E249B0"/>
    <w:rsid w:val="00E25064"/>
    <w:rsid w:val="00E302D0"/>
    <w:rsid w:val="00E3079B"/>
    <w:rsid w:val="00E30C49"/>
    <w:rsid w:val="00E30CFF"/>
    <w:rsid w:val="00E311CB"/>
    <w:rsid w:val="00E322BD"/>
    <w:rsid w:val="00E32961"/>
    <w:rsid w:val="00E32E46"/>
    <w:rsid w:val="00E32F53"/>
    <w:rsid w:val="00E342FD"/>
    <w:rsid w:val="00E34953"/>
    <w:rsid w:val="00E35707"/>
    <w:rsid w:val="00E35E0C"/>
    <w:rsid w:val="00E361A1"/>
    <w:rsid w:val="00E36836"/>
    <w:rsid w:val="00E36AA1"/>
    <w:rsid w:val="00E37015"/>
    <w:rsid w:val="00E37403"/>
    <w:rsid w:val="00E37625"/>
    <w:rsid w:val="00E40620"/>
    <w:rsid w:val="00E411DA"/>
    <w:rsid w:val="00E41886"/>
    <w:rsid w:val="00E41ECB"/>
    <w:rsid w:val="00E42205"/>
    <w:rsid w:val="00E42676"/>
    <w:rsid w:val="00E43086"/>
    <w:rsid w:val="00E43D7E"/>
    <w:rsid w:val="00E44AB6"/>
    <w:rsid w:val="00E46485"/>
    <w:rsid w:val="00E475BB"/>
    <w:rsid w:val="00E51DF4"/>
    <w:rsid w:val="00E5281E"/>
    <w:rsid w:val="00E53872"/>
    <w:rsid w:val="00E53CCC"/>
    <w:rsid w:val="00E54201"/>
    <w:rsid w:val="00E544A5"/>
    <w:rsid w:val="00E54FDB"/>
    <w:rsid w:val="00E5506A"/>
    <w:rsid w:val="00E555B0"/>
    <w:rsid w:val="00E5561C"/>
    <w:rsid w:val="00E559EC"/>
    <w:rsid w:val="00E55F48"/>
    <w:rsid w:val="00E5617D"/>
    <w:rsid w:val="00E5618C"/>
    <w:rsid w:val="00E563D7"/>
    <w:rsid w:val="00E56A8D"/>
    <w:rsid w:val="00E56AC4"/>
    <w:rsid w:val="00E56F7D"/>
    <w:rsid w:val="00E57122"/>
    <w:rsid w:val="00E60C39"/>
    <w:rsid w:val="00E60E19"/>
    <w:rsid w:val="00E61042"/>
    <w:rsid w:val="00E610BB"/>
    <w:rsid w:val="00E6192E"/>
    <w:rsid w:val="00E61A2B"/>
    <w:rsid w:val="00E6200F"/>
    <w:rsid w:val="00E625F7"/>
    <w:rsid w:val="00E62D03"/>
    <w:rsid w:val="00E63337"/>
    <w:rsid w:val="00E63AE7"/>
    <w:rsid w:val="00E64731"/>
    <w:rsid w:val="00E64AFF"/>
    <w:rsid w:val="00E64B46"/>
    <w:rsid w:val="00E6632F"/>
    <w:rsid w:val="00E663F4"/>
    <w:rsid w:val="00E666F2"/>
    <w:rsid w:val="00E66DD4"/>
    <w:rsid w:val="00E670E6"/>
    <w:rsid w:val="00E6712C"/>
    <w:rsid w:val="00E67B68"/>
    <w:rsid w:val="00E67CBA"/>
    <w:rsid w:val="00E70413"/>
    <w:rsid w:val="00E70885"/>
    <w:rsid w:val="00E70A27"/>
    <w:rsid w:val="00E714F4"/>
    <w:rsid w:val="00E71872"/>
    <w:rsid w:val="00E71A0A"/>
    <w:rsid w:val="00E737ED"/>
    <w:rsid w:val="00E7482E"/>
    <w:rsid w:val="00E748CC"/>
    <w:rsid w:val="00E74E76"/>
    <w:rsid w:val="00E75415"/>
    <w:rsid w:val="00E7570D"/>
    <w:rsid w:val="00E76473"/>
    <w:rsid w:val="00E7653C"/>
    <w:rsid w:val="00E7737B"/>
    <w:rsid w:val="00E775B1"/>
    <w:rsid w:val="00E77D5A"/>
    <w:rsid w:val="00E8017E"/>
    <w:rsid w:val="00E80AAD"/>
    <w:rsid w:val="00E80CF0"/>
    <w:rsid w:val="00E810A7"/>
    <w:rsid w:val="00E8152A"/>
    <w:rsid w:val="00E8175C"/>
    <w:rsid w:val="00E8477C"/>
    <w:rsid w:val="00E84924"/>
    <w:rsid w:val="00E85A8D"/>
    <w:rsid w:val="00E866C1"/>
    <w:rsid w:val="00E87663"/>
    <w:rsid w:val="00E87CDF"/>
    <w:rsid w:val="00E87EBD"/>
    <w:rsid w:val="00E90520"/>
    <w:rsid w:val="00E9068C"/>
    <w:rsid w:val="00E916B4"/>
    <w:rsid w:val="00E91E07"/>
    <w:rsid w:val="00E91EED"/>
    <w:rsid w:val="00E930A4"/>
    <w:rsid w:val="00E93629"/>
    <w:rsid w:val="00E9395E"/>
    <w:rsid w:val="00E93B5C"/>
    <w:rsid w:val="00E93DDD"/>
    <w:rsid w:val="00E9412D"/>
    <w:rsid w:val="00E9443B"/>
    <w:rsid w:val="00E94CEC"/>
    <w:rsid w:val="00E94E23"/>
    <w:rsid w:val="00E95064"/>
    <w:rsid w:val="00E9543A"/>
    <w:rsid w:val="00E9600E"/>
    <w:rsid w:val="00E9605E"/>
    <w:rsid w:val="00E96C42"/>
    <w:rsid w:val="00E9708F"/>
    <w:rsid w:val="00E9728A"/>
    <w:rsid w:val="00E972BC"/>
    <w:rsid w:val="00E97427"/>
    <w:rsid w:val="00E975BB"/>
    <w:rsid w:val="00EA001E"/>
    <w:rsid w:val="00EA04EF"/>
    <w:rsid w:val="00EA110B"/>
    <w:rsid w:val="00EA119A"/>
    <w:rsid w:val="00EA134F"/>
    <w:rsid w:val="00EA139C"/>
    <w:rsid w:val="00EA1894"/>
    <w:rsid w:val="00EA1A32"/>
    <w:rsid w:val="00EA1ACC"/>
    <w:rsid w:val="00EA205D"/>
    <w:rsid w:val="00EA20FD"/>
    <w:rsid w:val="00EA237D"/>
    <w:rsid w:val="00EA3DC0"/>
    <w:rsid w:val="00EA44F3"/>
    <w:rsid w:val="00EA5AB8"/>
    <w:rsid w:val="00EA5E88"/>
    <w:rsid w:val="00EA6364"/>
    <w:rsid w:val="00EA66CC"/>
    <w:rsid w:val="00EA6AE1"/>
    <w:rsid w:val="00EA6C79"/>
    <w:rsid w:val="00EA6F19"/>
    <w:rsid w:val="00EA79D8"/>
    <w:rsid w:val="00EB0144"/>
    <w:rsid w:val="00EB0672"/>
    <w:rsid w:val="00EB0A6F"/>
    <w:rsid w:val="00EB1035"/>
    <w:rsid w:val="00EB16F6"/>
    <w:rsid w:val="00EB3499"/>
    <w:rsid w:val="00EB4A9E"/>
    <w:rsid w:val="00EB4EAC"/>
    <w:rsid w:val="00EB4F55"/>
    <w:rsid w:val="00EB4F8F"/>
    <w:rsid w:val="00EB5120"/>
    <w:rsid w:val="00EB7090"/>
    <w:rsid w:val="00EB7106"/>
    <w:rsid w:val="00EB7667"/>
    <w:rsid w:val="00EB76D4"/>
    <w:rsid w:val="00EB7E2A"/>
    <w:rsid w:val="00EB7E3C"/>
    <w:rsid w:val="00EC025C"/>
    <w:rsid w:val="00EC03F9"/>
    <w:rsid w:val="00EC043A"/>
    <w:rsid w:val="00EC13B3"/>
    <w:rsid w:val="00EC1BBE"/>
    <w:rsid w:val="00EC26DC"/>
    <w:rsid w:val="00EC2B68"/>
    <w:rsid w:val="00EC3096"/>
    <w:rsid w:val="00EC3766"/>
    <w:rsid w:val="00EC3AEF"/>
    <w:rsid w:val="00EC3B8D"/>
    <w:rsid w:val="00EC4454"/>
    <w:rsid w:val="00EC4969"/>
    <w:rsid w:val="00EC4B4E"/>
    <w:rsid w:val="00EC4BEA"/>
    <w:rsid w:val="00EC4C96"/>
    <w:rsid w:val="00EC5CD7"/>
    <w:rsid w:val="00EC6184"/>
    <w:rsid w:val="00EC61B1"/>
    <w:rsid w:val="00EC64F3"/>
    <w:rsid w:val="00EC6D20"/>
    <w:rsid w:val="00EC79C2"/>
    <w:rsid w:val="00ED09BC"/>
    <w:rsid w:val="00ED0A47"/>
    <w:rsid w:val="00ED15FF"/>
    <w:rsid w:val="00ED1F15"/>
    <w:rsid w:val="00ED29E5"/>
    <w:rsid w:val="00ED2CB6"/>
    <w:rsid w:val="00ED3AA7"/>
    <w:rsid w:val="00ED4963"/>
    <w:rsid w:val="00ED49F6"/>
    <w:rsid w:val="00ED578B"/>
    <w:rsid w:val="00ED5C02"/>
    <w:rsid w:val="00ED6A21"/>
    <w:rsid w:val="00ED6A87"/>
    <w:rsid w:val="00ED7C57"/>
    <w:rsid w:val="00ED7FD5"/>
    <w:rsid w:val="00EE02F0"/>
    <w:rsid w:val="00EE04C9"/>
    <w:rsid w:val="00EE061F"/>
    <w:rsid w:val="00EE086D"/>
    <w:rsid w:val="00EE087A"/>
    <w:rsid w:val="00EE0C8E"/>
    <w:rsid w:val="00EE1B91"/>
    <w:rsid w:val="00EE252B"/>
    <w:rsid w:val="00EE29EE"/>
    <w:rsid w:val="00EE354D"/>
    <w:rsid w:val="00EE43FB"/>
    <w:rsid w:val="00EE4934"/>
    <w:rsid w:val="00EE5130"/>
    <w:rsid w:val="00EE5158"/>
    <w:rsid w:val="00EE52F5"/>
    <w:rsid w:val="00EE5548"/>
    <w:rsid w:val="00EE5FB3"/>
    <w:rsid w:val="00EE6B4E"/>
    <w:rsid w:val="00EE6CBE"/>
    <w:rsid w:val="00EE7D8C"/>
    <w:rsid w:val="00EE7F79"/>
    <w:rsid w:val="00EF3CDA"/>
    <w:rsid w:val="00EF4D04"/>
    <w:rsid w:val="00EF550C"/>
    <w:rsid w:val="00EF66DD"/>
    <w:rsid w:val="00EF715A"/>
    <w:rsid w:val="00EF7564"/>
    <w:rsid w:val="00F01337"/>
    <w:rsid w:val="00F02198"/>
    <w:rsid w:val="00F02675"/>
    <w:rsid w:val="00F03609"/>
    <w:rsid w:val="00F03B8A"/>
    <w:rsid w:val="00F03D43"/>
    <w:rsid w:val="00F04049"/>
    <w:rsid w:val="00F0437D"/>
    <w:rsid w:val="00F04606"/>
    <w:rsid w:val="00F04D19"/>
    <w:rsid w:val="00F05CFF"/>
    <w:rsid w:val="00F05D03"/>
    <w:rsid w:val="00F06167"/>
    <w:rsid w:val="00F062E8"/>
    <w:rsid w:val="00F06406"/>
    <w:rsid w:val="00F06803"/>
    <w:rsid w:val="00F06E14"/>
    <w:rsid w:val="00F0742D"/>
    <w:rsid w:val="00F101D0"/>
    <w:rsid w:val="00F10928"/>
    <w:rsid w:val="00F11A0C"/>
    <w:rsid w:val="00F13735"/>
    <w:rsid w:val="00F137DC"/>
    <w:rsid w:val="00F13E33"/>
    <w:rsid w:val="00F14279"/>
    <w:rsid w:val="00F142AC"/>
    <w:rsid w:val="00F144B8"/>
    <w:rsid w:val="00F169BC"/>
    <w:rsid w:val="00F16F98"/>
    <w:rsid w:val="00F179D4"/>
    <w:rsid w:val="00F17AA8"/>
    <w:rsid w:val="00F20125"/>
    <w:rsid w:val="00F21D6C"/>
    <w:rsid w:val="00F21F29"/>
    <w:rsid w:val="00F22221"/>
    <w:rsid w:val="00F227BC"/>
    <w:rsid w:val="00F22A23"/>
    <w:rsid w:val="00F22F8A"/>
    <w:rsid w:val="00F2338C"/>
    <w:rsid w:val="00F246F4"/>
    <w:rsid w:val="00F24CB7"/>
    <w:rsid w:val="00F25386"/>
    <w:rsid w:val="00F25F5C"/>
    <w:rsid w:val="00F264B4"/>
    <w:rsid w:val="00F26E3C"/>
    <w:rsid w:val="00F27163"/>
    <w:rsid w:val="00F27338"/>
    <w:rsid w:val="00F27C23"/>
    <w:rsid w:val="00F309B3"/>
    <w:rsid w:val="00F31487"/>
    <w:rsid w:val="00F314F3"/>
    <w:rsid w:val="00F31EAF"/>
    <w:rsid w:val="00F322BC"/>
    <w:rsid w:val="00F32A3E"/>
    <w:rsid w:val="00F32BBF"/>
    <w:rsid w:val="00F3308E"/>
    <w:rsid w:val="00F33C56"/>
    <w:rsid w:val="00F33D24"/>
    <w:rsid w:val="00F33D8A"/>
    <w:rsid w:val="00F347C7"/>
    <w:rsid w:val="00F34848"/>
    <w:rsid w:val="00F35172"/>
    <w:rsid w:val="00F359FF"/>
    <w:rsid w:val="00F36162"/>
    <w:rsid w:val="00F36BEC"/>
    <w:rsid w:val="00F3757A"/>
    <w:rsid w:val="00F40456"/>
    <w:rsid w:val="00F405F8"/>
    <w:rsid w:val="00F40E33"/>
    <w:rsid w:val="00F4213A"/>
    <w:rsid w:val="00F42D46"/>
    <w:rsid w:val="00F4321A"/>
    <w:rsid w:val="00F43EBF"/>
    <w:rsid w:val="00F44021"/>
    <w:rsid w:val="00F44877"/>
    <w:rsid w:val="00F4496C"/>
    <w:rsid w:val="00F44F3A"/>
    <w:rsid w:val="00F46DE6"/>
    <w:rsid w:val="00F4747B"/>
    <w:rsid w:val="00F47ED2"/>
    <w:rsid w:val="00F50DDA"/>
    <w:rsid w:val="00F51F10"/>
    <w:rsid w:val="00F521C3"/>
    <w:rsid w:val="00F52584"/>
    <w:rsid w:val="00F52633"/>
    <w:rsid w:val="00F529A5"/>
    <w:rsid w:val="00F5310D"/>
    <w:rsid w:val="00F53437"/>
    <w:rsid w:val="00F5466A"/>
    <w:rsid w:val="00F553EA"/>
    <w:rsid w:val="00F5576F"/>
    <w:rsid w:val="00F55DCD"/>
    <w:rsid w:val="00F55DE1"/>
    <w:rsid w:val="00F55FE3"/>
    <w:rsid w:val="00F56640"/>
    <w:rsid w:val="00F568A0"/>
    <w:rsid w:val="00F57CC4"/>
    <w:rsid w:val="00F57FD9"/>
    <w:rsid w:val="00F603AE"/>
    <w:rsid w:val="00F60F00"/>
    <w:rsid w:val="00F614C0"/>
    <w:rsid w:val="00F625E3"/>
    <w:rsid w:val="00F62D2C"/>
    <w:rsid w:val="00F64D13"/>
    <w:rsid w:val="00F64D8E"/>
    <w:rsid w:val="00F650FB"/>
    <w:rsid w:val="00F65B93"/>
    <w:rsid w:val="00F65BD5"/>
    <w:rsid w:val="00F65F91"/>
    <w:rsid w:val="00F666AF"/>
    <w:rsid w:val="00F67109"/>
    <w:rsid w:val="00F678BD"/>
    <w:rsid w:val="00F708CB"/>
    <w:rsid w:val="00F70AB2"/>
    <w:rsid w:val="00F71169"/>
    <w:rsid w:val="00F716F4"/>
    <w:rsid w:val="00F7276A"/>
    <w:rsid w:val="00F730A9"/>
    <w:rsid w:val="00F73520"/>
    <w:rsid w:val="00F74F38"/>
    <w:rsid w:val="00F7661E"/>
    <w:rsid w:val="00F76624"/>
    <w:rsid w:val="00F767A5"/>
    <w:rsid w:val="00F7763E"/>
    <w:rsid w:val="00F80241"/>
    <w:rsid w:val="00F803A2"/>
    <w:rsid w:val="00F80C46"/>
    <w:rsid w:val="00F815D7"/>
    <w:rsid w:val="00F83004"/>
    <w:rsid w:val="00F83141"/>
    <w:rsid w:val="00F83848"/>
    <w:rsid w:val="00F83875"/>
    <w:rsid w:val="00F83EF3"/>
    <w:rsid w:val="00F8447D"/>
    <w:rsid w:val="00F84B03"/>
    <w:rsid w:val="00F85FE9"/>
    <w:rsid w:val="00F87257"/>
    <w:rsid w:val="00F90FE0"/>
    <w:rsid w:val="00F9132F"/>
    <w:rsid w:val="00F91753"/>
    <w:rsid w:val="00F919F1"/>
    <w:rsid w:val="00F91A4C"/>
    <w:rsid w:val="00F91B91"/>
    <w:rsid w:val="00F91CC2"/>
    <w:rsid w:val="00F9212A"/>
    <w:rsid w:val="00F923C0"/>
    <w:rsid w:val="00F92739"/>
    <w:rsid w:val="00F93030"/>
    <w:rsid w:val="00F93A91"/>
    <w:rsid w:val="00F93F45"/>
    <w:rsid w:val="00F942BA"/>
    <w:rsid w:val="00F94A9A"/>
    <w:rsid w:val="00F9537B"/>
    <w:rsid w:val="00F95392"/>
    <w:rsid w:val="00F954F0"/>
    <w:rsid w:val="00F95A76"/>
    <w:rsid w:val="00F966FA"/>
    <w:rsid w:val="00F96CD6"/>
    <w:rsid w:val="00F96EF5"/>
    <w:rsid w:val="00F96FC5"/>
    <w:rsid w:val="00F97234"/>
    <w:rsid w:val="00F97441"/>
    <w:rsid w:val="00F9753B"/>
    <w:rsid w:val="00F975E9"/>
    <w:rsid w:val="00FA06F7"/>
    <w:rsid w:val="00FA136E"/>
    <w:rsid w:val="00FA15B2"/>
    <w:rsid w:val="00FA1B7D"/>
    <w:rsid w:val="00FA1D49"/>
    <w:rsid w:val="00FA1D9B"/>
    <w:rsid w:val="00FA2199"/>
    <w:rsid w:val="00FA250E"/>
    <w:rsid w:val="00FA2A3C"/>
    <w:rsid w:val="00FA53B2"/>
    <w:rsid w:val="00FA5980"/>
    <w:rsid w:val="00FA5B4F"/>
    <w:rsid w:val="00FA5ED4"/>
    <w:rsid w:val="00FA6210"/>
    <w:rsid w:val="00FA67E0"/>
    <w:rsid w:val="00FA7204"/>
    <w:rsid w:val="00FA72DF"/>
    <w:rsid w:val="00FB104C"/>
    <w:rsid w:val="00FB2513"/>
    <w:rsid w:val="00FB2886"/>
    <w:rsid w:val="00FB28CC"/>
    <w:rsid w:val="00FB3D6F"/>
    <w:rsid w:val="00FB58F2"/>
    <w:rsid w:val="00FB5CBB"/>
    <w:rsid w:val="00FB6733"/>
    <w:rsid w:val="00FB6973"/>
    <w:rsid w:val="00FB6AA4"/>
    <w:rsid w:val="00FB799D"/>
    <w:rsid w:val="00FC0617"/>
    <w:rsid w:val="00FC0670"/>
    <w:rsid w:val="00FC07B9"/>
    <w:rsid w:val="00FC0DFF"/>
    <w:rsid w:val="00FC13EF"/>
    <w:rsid w:val="00FC15DD"/>
    <w:rsid w:val="00FC1E75"/>
    <w:rsid w:val="00FC1FC4"/>
    <w:rsid w:val="00FC258E"/>
    <w:rsid w:val="00FC3B63"/>
    <w:rsid w:val="00FC3C74"/>
    <w:rsid w:val="00FC3F33"/>
    <w:rsid w:val="00FC4A7B"/>
    <w:rsid w:val="00FC4E21"/>
    <w:rsid w:val="00FC4F9C"/>
    <w:rsid w:val="00FC59E5"/>
    <w:rsid w:val="00FC5A47"/>
    <w:rsid w:val="00FC5BB4"/>
    <w:rsid w:val="00FC5F6D"/>
    <w:rsid w:val="00FC61B8"/>
    <w:rsid w:val="00FC63F9"/>
    <w:rsid w:val="00FC67EE"/>
    <w:rsid w:val="00FC7545"/>
    <w:rsid w:val="00FD0011"/>
    <w:rsid w:val="00FD0107"/>
    <w:rsid w:val="00FD0324"/>
    <w:rsid w:val="00FD0CCC"/>
    <w:rsid w:val="00FD0F6A"/>
    <w:rsid w:val="00FD1073"/>
    <w:rsid w:val="00FD1232"/>
    <w:rsid w:val="00FD1762"/>
    <w:rsid w:val="00FD277E"/>
    <w:rsid w:val="00FD27F1"/>
    <w:rsid w:val="00FD2B27"/>
    <w:rsid w:val="00FD2C2F"/>
    <w:rsid w:val="00FD342A"/>
    <w:rsid w:val="00FD378C"/>
    <w:rsid w:val="00FD3877"/>
    <w:rsid w:val="00FD39FE"/>
    <w:rsid w:val="00FD3B31"/>
    <w:rsid w:val="00FD3DF1"/>
    <w:rsid w:val="00FD4EB7"/>
    <w:rsid w:val="00FD52A6"/>
    <w:rsid w:val="00FD5B12"/>
    <w:rsid w:val="00FD5D37"/>
    <w:rsid w:val="00FD5D9C"/>
    <w:rsid w:val="00FD5E19"/>
    <w:rsid w:val="00FD6B58"/>
    <w:rsid w:val="00FD7532"/>
    <w:rsid w:val="00FD7C8F"/>
    <w:rsid w:val="00FE0B21"/>
    <w:rsid w:val="00FE14D9"/>
    <w:rsid w:val="00FE1823"/>
    <w:rsid w:val="00FE2F25"/>
    <w:rsid w:val="00FE302D"/>
    <w:rsid w:val="00FE3794"/>
    <w:rsid w:val="00FE40DB"/>
    <w:rsid w:val="00FE46F4"/>
    <w:rsid w:val="00FE487A"/>
    <w:rsid w:val="00FE5B7F"/>
    <w:rsid w:val="00FE5F22"/>
    <w:rsid w:val="00FE6FEE"/>
    <w:rsid w:val="00FE7679"/>
    <w:rsid w:val="00FE7950"/>
    <w:rsid w:val="00FE7BA9"/>
    <w:rsid w:val="00FE7F4A"/>
    <w:rsid w:val="00FF025F"/>
    <w:rsid w:val="00FF0569"/>
    <w:rsid w:val="00FF0A4C"/>
    <w:rsid w:val="00FF146D"/>
    <w:rsid w:val="00FF1E83"/>
    <w:rsid w:val="00FF1EEC"/>
    <w:rsid w:val="00FF206E"/>
    <w:rsid w:val="00FF2D97"/>
    <w:rsid w:val="00FF3A62"/>
    <w:rsid w:val="00FF3B66"/>
    <w:rsid w:val="00FF3C69"/>
    <w:rsid w:val="00FF400B"/>
    <w:rsid w:val="00FF458D"/>
    <w:rsid w:val="00FF52FC"/>
    <w:rsid w:val="00FF6AFE"/>
    <w:rsid w:val="00FF6E0A"/>
    <w:rsid w:val="00FF72F2"/>
    <w:rsid w:val="00FF7529"/>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62497">
      <o:colormru v:ext="edit" colors="red,#4d4d4f"/>
    </o:shapedefaults>
    <o:shapelayout v:ext="edit">
      <o:idmap v:ext="edit" data="1"/>
    </o:shapelayout>
  </w:shapeDefaults>
  <w:decimalSymbol w:val="."/>
  <w:listSeparator w:val=","/>
  <w14:docId w14:val="5220AC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uiPriority="1" w:qFormat="1"/>
    <w:lsdException w:name="heading 2" w:qFormat="1"/>
    <w:lsdException w:name="heading 3" w:qFormat="1"/>
    <w:lsdException w:name="heading 4" w:uiPriority="2"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Strong" w:semiHidden="1"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5C34EF"/>
    <w:pPr>
      <w:spacing w:after="240" w:line="240" w:lineRule="atLeast"/>
    </w:pPr>
    <w:rPr>
      <w:rFonts w:ascii="Arial" w:hAnsi="Arial"/>
      <w:sz w:val="20"/>
    </w:rPr>
  </w:style>
  <w:style w:type="paragraph" w:styleId="Heading1">
    <w:name w:val="heading 1"/>
    <w:basedOn w:val="Normal"/>
    <w:next w:val="Normal"/>
    <w:link w:val="Heading1Char"/>
    <w:uiPriority w:val="1"/>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basedOn w:val="Normal"/>
    <w:next w:val="Paragraph"/>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BodySubHeader"/>
    <w:next w:val="Normal"/>
    <w:uiPriority w:val="2"/>
    <w:qFormat/>
    <w:rsid w:val="005B2F0D"/>
    <w:pPr>
      <w:outlineLvl w:val="3"/>
    </w:pPr>
    <w:rPr>
      <w:rFonts w:cs="Arial"/>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uiPriority w:val="5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semiHidden/>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semiHidden/>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semiHidden/>
    <w:qFormat/>
    <w:rsid w:val="004A70D6"/>
    <w:pPr>
      <w:numPr>
        <w:numId w:val="4"/>
      </w:numPr>
      <w:spacing w:after="80"/>
      <w:ind w:left="828" w:hanging="357"/>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C87E8A"/>
    <w:pPr>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uiPriority w:val="99"/>
    <w:qFormat/>
    <w:rsid w:val="00C35CCE"/>
    <w:rPr>
      <w:color w:val="0000FF"/>
      <w:u w:val="single" w:color="0000FF"/>
    </w:rPr>
  </w:style>
  <w:style w:type="character" w:styleId="FootnoteReference">
    <w:name w:val="footnote reference"/>
    <w:aliases w:val="Appel note de bas de p,Appel note de bas de p + 11 pt,Italic,Footnote,Appel note de bas de p1,Appel note de bas de p2,Appel note de bas de p3,Footnote Reference/,(NECG) Footnote Reference,(NECG) Footnote Reference1,o,Style 12"/>
    <w:basedOn w:val="DefaultParagraphFont"/>
    <w:uiPriority w:val="99"/>
    <w:qFormat/>
    <w:rsid w:val="00566AB4"/>
    <w:rPr>
      <w:rFonts w:ascii="Arial" w:hAnsi="Arial"/>
      <w:vertAlign w:val="superscript"/>
    </w:rPr>
  </w:style>
  <w:style w:type="paragraph" w:styleId="FootnoteText">
    <w:name w:val="footnote text"/>
    <w:aliases w:val="Footnote text,ACMA Footnote Text,footnote text,Footnote Text Char1,Footnote Text Char Char,Footnote Text Char1 Char Char,Footnote Text Char Char Char Char,Footnote Text Char1 Char Char Char Char,Footnote Text Char Char Char Char Char Char"/>
    <w:basedOn w:val="Normal"/>
    <w:link w:val="FootnoteTextChar"/>
    <w:qFormat/>
    <w:rsid w:val="00D61243"/>
    <w:pPr>
      <w:spacing w:after="0"/>
    </w:pPr>
    <w:rPr>
      <w:sz w:val="16"/>
      <w:szCs w:val="16"/>
    </w:rPr>
  </w:style>
  <w:style w:type="paragraph" w:customStyle="1" w:styleId="TableBody">
    <w:name w:val="Table Body"/>
    <w:basedOn w:val="Normal"/>
    <w:uiPriority w:val="15"/>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uiPriority w:val="99"/>
    <w:semiHidden/>
    <w:rsid w:val="00EE7F79"/>
    <w:pPr>
      <w:spacing w:line="240" w:lineRule="auto"/>
    </w:pPr>
    <w:rPr>
      <w:szCs w:val="20"/>
    </w:rPr>
  </w:style>
  <w:style w:type="character" w:customStyle="1" w:styleId="CommentTextChar">
    <w:name w:val="Comment Text Char"/>
    <w:basedOn w:val="DefaultParagraphFont"/>
    <w:link w:val="CommentText"/>
    <w:uiPriority w:val="99"/>
    <w:semiHidden/>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uiPriority w:val="5"/>
    <w:qFormat/>
    <w:rsid w:val="00A824E8"/>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basedOn w:val="Normal"/>
    <w:qFormat/>
    <w:rsid w:val="00692D05"/>
    <w:pPr>
      <w:numPr>
        <w:numId w:val="27"/>
      </w:numPr>
      <w:spacing w:after="160" w:line="240" w:lineRule="auto"/>
      <w:ind w:left="1134" w:hanging="1134"/>
    </w:pPr>
    <w:rPr>
      <w:b/>
      <w:bCs/>
      <w:color w:val="323232"/>
      <w:szCs w:val="20"/>
    </w:rPr>
  </w:style>
  <w:style w:type="paragraph" w:customStyle="1" w:styleId="ACMANotes">
    <w:name w:val="ACMA_Notes"/>
    <w:semiHidden/>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tabs>
        <w:tab w:val="clear" w:pos="1304"/>
        <w:tab w:val="num" w:pos="1021"/>
      </w:tabs>
      <w:spacing w:after="160"/>
      <w:ind w:left="1021"/>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8"/>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uiPriority w:val="1"/>
    <w:rsid w:val="00F5310D"/>
    <w:rPr>
      <w:rFonts w:ascii="Arial" w:hAnsi="Arial" w:cs="Arial"/>
      <w:bCs/>
      <w:color w:val="323232"/>
      <w:kern w:val="32"/>
      <w:sz w:val="53"/>
      <w:szCs w:val="32"/>
    </w:rPr>
  </w:style>
  <w:style w:type="character" w:customStyle="1" w:styleId="Heading2Char">
    <w:name w:val="Heading 2 Char"/>
    <w:basedOn w:val="DefaultParagraphFont"/>
    <w:link w:val="Heading2"/>
    <w:rsid w:val="00800CCD"/>
    <w:rPr>
      <w:rFonts w:ascii="Arial" w:hAnsi="Arial" w:cs="Arial"/>
      <w:b/>
      <w:bCs/>
      <w:iCs/>
      <w:sz w:val="28"/>
      <w:szCs w:val="28"/>
    </w:rPr>
  </w:style>
  <w:style w:type="character" w:styleId="UnresolvedMention">
    <w:name w:val="Unresolved Mention"/>
    <w:basedOn w:val="DefaultParagraphFont"/>
    <w:uiPriority w:val="99"/>
    <w:semiHidden/>
    <w:unhideWhenUsed/>
    <w:rsid w:val="006B52DE"/>
    <w:rPr>
      <w:color w:val="605E5C"/>
      <w:shd w:val="clear" w:color="auto" w:fill="E1DFDD"/>
    </w:rPr>
  </w:style>
  <w:style w:type="character" w:customStyle="1" w:styleId="Heading3Char">
    <w:name w:val="Heading 3 Char"/>
    <w:basedOn w:val="DefaultParagraphFont"/>
    <w:link w:val="Heading3"/>
    <w:rsid w:val="00800CCD"/>
    <w:rPr>
      <w:rFonts w:ascii="Arial" w:hAnsi="Arial" w:cs="Arial"/>
      <w:b/>
      <w:bCs/>
      <w:sz w:val="20"/>
      <w:szCs w:val="26"/>
    </w:rPr>
  </w:style>
  <w:style w:type="paragraph" w:customStyle="1" w:styleId="Paragraph">
    <w:name w:val="Paragraph"/>
    <w:basedOn w:val="Normal"/>
    <w:qFormat/>
    <w:rsid w:val="00A824E8"/>
    <w:rPr>
      <w:rFonts w:cs="Arial"/>
    </w:rPr>
  </w:style>
  <w:style w:type="paragraph" w:customStyle="1" w:styleId="Bulletlevel2">
    <w:name w:val="Bullet level 2"/>
    <w:basedOn w:val="ListBullet2"/>
    <w:uiPriority w:val="7"/>
    <w:qFormat/>
    <w:rsid w:val="00A824E8"/>
    <w:rPr>
      <w:rFonts w:cs="Arial"/>
    </w:rPr>
  </w:style>
  <w:style w:type="paragraph" w:customStyle="1" w:styleId="Bulletlevel1last">
    <w:name w:val="Bullet level 1 last"/>
    <w:basedOn w:val="ListBulletLast"/>
    <w:uiPriority w:val="6"/>
    <w:qFormat/>
    <w:rsid w:val="00A824E8"/>
  </w:style>
  <w:style w:type="paragraph" w:customStyle="1" w:styleId="Numberlistlevel2">
    <w:name w:val="Number list level 2"/>
    <w:basedOn w:val="ListNumber2"/>
    <w:uiPriority w:val="11"/>
    <w:qFormat/>
    <w:rsid w:val="004A70D6"/>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63346D"/>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Pr/>
      <w:tcPr>
        <w:shd w:val="clear" w:color="auto" w:fill="F2F2F2" w:themeFill="background1" w:themeFillShade="F2"/>
      </w:tcPr>
    </w:tblStylePr>
    <w:tblStylePr w:type="band2Horz">
      <w:rPr>
        <w:rFonts w:ascii="Arial" w:hAnsi="Arial"/>
        <w:sz w:val="20"/>
      </w:rPr>
    </w:tblStylePr>
  </w:style>
  <w:style w:type="paragraph" w:customStyle="1" w:styleId="Tableheading">
    <w:name w:val="Table heading"/>
    <w:basedOn w:val="ACMATableHeader"/>
    <w:next w:val="Paragraph"/>
    <w:uiPriority w:val="13"/>
    <w:qFormat/>
    <w:rsid w:val="00B41E2C"/>
    <w:pPr>
      <w:keepNext/>
      <w:numPr>
        <w:numId w:val="12"/>
      </w:numPr>
      <w:spacing w:after="0" w:line="240" w:lineRule="atLeast"/>
      <w:ind w:left="1134" w:hanging="1134"/>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next w:val="Paragraph"/>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styleId="BalloonText">
    <w:name w:val="Balloon Text"/>
    <w:basedOn w:val="Normal"/>
    <w:link w:val="BalloonTextChar"/>
    <w:semiHidden/>
    <w:unhideWhenUsed/>
    <w:rsid w:val="003933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3933E8"/>
    <w:rPr>
      <w:rFonts w:ascii="Segoe UI" w:hAnsi="Segoe UI" w:cs="Segoe UI"/>
      <w:sz w:val="18"/>
      <w:szCs w:val="18"/>
    </w:rPr>
  </w:style>
  <w:style w:type="paragraph" w:customStyle="1" w:styleId="Note">
    <w:name w:val="Note"/>
    <w:basedOn w:val="ACMANotes"/>
    <w:uiPriority w:val="23"/>
    <w:semiHidden/>
    <w:qFormat/>
    <w:rsid w:val="00D61243"/>
  </w:style>
  <w:style w:type="paragraph" w:customStyle="1" w:styleId="ACMABulletLevel1">
    <w:name w:val="ACMA Bullet Level 1"/>
    <w:rsid w:val="005C34EF"/>
    <w:pPr>
      <w:numPr>
        <w:numId w:val="10"/>
      </w:numPr>
      <w:tabs>
        <w:tab w:val="num" w:pos="-31680"/>
      </w:tabs>
      <w:spacing w:after="120"/>
    </w:pPr>
    <w:rPr>
      <w:szCs w:val="20"/>
      <w:lang w:eastAsia="en-US"/>
    </w:rPr>
  </w:style>
  <w:style w:type="paragraph" w:customStyle="1" w:styleId="Protectivemarking">
    <w:name w:val="Protective marking"/>
    <w:basedOn w:val="ACMABulletLevel1"/>
    <w:uiPriority w:val="99"/>
    <w:qFormat/>
    <w:rsid w:val="005C34EF"/>
    <w:pPr>
      <w:numPr>
        <w:numId w:val="0"/>
      </w:numPr>
      <w:tabs>
        <w:tab w:val="left" w:pos="720"/>
      </w:tabs>
      <w:spacing w:after="0"/>
      <w:jc w:val="center"/>
    </w:pPr>
    <w:rPr>
      <w:rFonts w:ascii="Arial" w:hAnsi="Arial" w:cs="Arial"/>
      <w:b/>
      <w:bCs/>
      <w:color w:val="FF0000"/>
      <w:sz w:val="32"/>
      <w:szCs w:val="24"/>
    </w:rPr>
  </w:style>
  <w:style w:type="paragraph" w:styleId="ListParagraph">
    <w:name w:val="List Paragraph"/>
    <w:basedOn w:val="Normal"/>
    <w:semiHidden/>
    <w:rsid w:val="000E168D"/>
    <w:pPr>
      <w:ind w:left="720"/>
      <w:contextualSpacing/>
    </w:pPr>
  </w:style>
  <w:style w:type="character" w:styleId="Strong">
    <w:name w:val="Strong"/>
    <w:basedOn w:val="DefaultParagraphFont"/>
    <w:uiPriority w:val="22"/>
    <w:qFormat/>
    <w:rsid w:val="00DE7553"/>
    <w:rPr>
      <w:b/>
      <w:bCs/>
    </w:rPr>
  </w:style>
  <w:style w:type="paragraph" w:customStyle="1" w:styleId="ACMASpaceaftertable">
    <w:name w:val="ACMA_Space after table"/>
    <w:basedOn w:val="Normal"/>
    <w:qFormat/>
    <w:rsid w:val="00DE7553"/>
    <w:rPr>
      <w:rFonts w:cs="Arial"/>
    </w:rPr>
  </w:style>
  <w:style w:type="character" w:customStyle="1" w:styleId="ListBulletChar">
    <w:name w:val="List Bullet Char"/>
    <w:aliases w:val="List Bullet 1 Char"/>
    <w:basedOn w:val="DefaultParagraphFont"/>
    <w:link w:val="ListBullet"/>
    <w:rsid w:val="00DE7553"/>
    <w:rPr>
      <w:rFonts w:ascii="Arial" w:hAnsi="Arial"/>
      <w:sz w:val="20"/>
    </w:rPr>
  </w:style>
  <w:style w:type="character" w:customStyle="1" w:styleId="FootnoteTextChar">
    <w:name w:val="Footnote Text Char"/>
    <w:aliases w:val="Footnote text Char,ACMA Footnote Text Char,footnote text Char,Footnote Text Char1 Char,Footnote Text Char Char Char,Footnote Text Char1 Char Char Char,Footnote Text Char Char Char Char Char,Footnote Text Char1 Char Char Char Char Char"/>
    <w:basedOn w:val="DefaultParagraphFont"/>
    <w:link w:val="FootnoteText"/>
    <w:rsid w:val="000658E6"/>
    <w:rPr>
      <w:rFonts w:ascii="Arial" w:hAnsi="Arial"/>
      <w:sz w:val="16"/>
      <w:szCs w:val="16"/>
    </w:rPr>
  </w:style>
  <w:style w:type="paragraph" w:customStyle="1" w:styleId="ExecSummaryHeading0">
    <w:name w:val="Exec Summary Heading"/>
    <w:basedOn w:val="Normal"/>
    <w:rsid w:val="00BF7873"/>
    <w:pPr>
      <w:spacing w:after="1440" w:line="550" w:lineRule="exact"/>
    </w:pPr>
    <w:rPr>
      <w:b/>
      <w:color w:val="4D4D4F"/>
      <w:spacing w:val="-18"/>
      <w:sz w:val="53"/>
    </w:rPr>
  </w:style>
  <w:style w:type="paragraph" w:styleId="Revision">
    <w:name w:val="Revision"/>
    <w:hidden/>
    <w:semiHidden/>
    <w:rsid w:val="00CA2C14"/>
    <w:rPr>
      <w:rFonts w:ascii="Arial" w:hAnsi="Arial"/>
      <w:sz w:val="20"/>
    </w:rPr>
  </w:style>
  <w:style w:type="paragraph" w:customStyle="1" w:styleId="TableHeading0">
    <w:name w:val="Table Heading"/>
    <w:basedOn w:val="ACMATableHeader"/>
    <w:qFormat/>
    <w:rsid w:val="00D943E4"/>
    <w:pPr>
      <w:ind w:left="720" w:hanging="720"/>
    </w:pPr>
  </w:style>
  <w:style w:type="paragraph" w:customStyle="1" w:styleId="Recommendation">
    <w:name w:val="Recommendation"/>
    <w:basedOn w:val="Heading3"/>
    <w:link w:val="RecommendationChar"/>
    <w:qFormat/>
    <w:rsid w:val="006C13CE"/>
    <w:pPr>
      <w:pBdr>
        <w:top w:val="single" w:sz="4" w:space="1" w:color="auto"/>
        <w:left w:val="single" w:sz="4" w:space="4" w:color="auto"/>
        <w:bottom w:val="single" w:sz="4" w:space="1" w:color="auto"/>
        <w:right w:val="single" w:sz="4" w:space="4" w:color="auto"/>
      </w:pBdr>
      <w:shd w:val="clear" w:color="auto" w:fill="D9D9D9" w:themeFill="background1" w:themeFillShade="D9"/>
    </w:pPr>
    <w:rPr>
      <w:b w:val="0"/>
    </w:rPr>
  </w:style>
  <w:style w:type="character" w:customStyle="1" w:styleId="RecommendationChar">
    <w:name w:val="Recommendation Char"/>
    <w:basedOn w:val="Heading3Char"/>
    <w:link w:val="Recommendation"/>
    <w:rsid w:val="006C13CE"/>
    <w:rPr>
      <w:rFonts w:ascii="Arial" w:hAnsi="Arial" w:cs="Arial"/>
      <w:b w:val="0"/>
      <w:bCs/>
      <w:sz w:val="20"/>
      <w:szCs w:val="26"/>
      <w:shd w:val="clear" w:color="auto" w:fill="D9D9D9" w:themeFill="background1" w:themeFillShade="D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6920563">
      <w:bodyDiv w:val="1"/>
      <w:marLeft w:val="0"/>
      <w:marRight w:val="0"/>
      <w:marTop w:val="0"/>
      <w:marBottom w:val="0"/>
      <w:divBdr>
        <w:top w:val="none" w:sz="0" w:space="0" w:color="auto"/>
        <w:left w:val="none" w:sz="0" w:space="0" w:color="auto"/>
        <w:bottom w:val="none" w:sz="0" w:space="0" w:color="auto"/>
        <w:right w:val="none" w:sz="0" w:space="0" w:color="auto"/>
      </w:divBdr>
    </w:div>
    <w:div w:id="282813674">
      <w:bodyDiv w:val="1"/>
      <w:marLeft w:val="0"/>
      <w:marRight w:val="0"/>
      <w:marTop w:val="0"/>
      <w:marBottom w:val="0"/>
      <w:divBdr>
        <w:top w:val="none" w:sz="0" w:space="0" w:color="auto"/>
        <w:left w:val="none" w:sz="0" w:space="0" w:color="auto"/>
        <w:bottom w:val="none" w:sz="0" w:space="0" w:color="auto"/>
        <w:right w:val="none" w:sz="0" w:space="0" w:color="auto"/>
      </w:divBdr>
    </w:div>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1054161836">
      <w:bodyDiv w:val="1"/>
      <w:marLeft w:val="0"/>
      <w:marRight w:val="0"/>
      <w:marTop w:val="0"/>
      <w:marBottom w:val="0"/>
      <w:divBdr>
        <w:top w:val="none" w:sz="0" w:space="0" w:color="auto"/>
        <w:left w:val="none" w:sz="0" w:space="0" w:color="auto"/>
        <w:bottom w:val="none" w:sz="0" w:space="0" w:color="auto"/>
        <w:right w:val="none" w:sz="0" w:space="0" w:color="auto"/>
      </w:divBdr>
    </w:div>
    <w:div w:id="1106385601">
      <w:bodyDiv w:val="1"/>
      <w:marLeft w:val="0"/>
      <w:marRight w:val="0"/>
      <w:marTop w:val="0"/>
      <w:marBottom w:val="0"/>
      <w:divBdr>
        <w:top w:val="none" w:sz="0" w:space="0" w:color="auto"/>
        <w:left w:val="none" w:sz="0" w:space="0" w:color="auto"/>
        <w:bottom w:val="none" w:sz="0" w:space="0" w:color="auto"/>
        <w:right w:val="none" w:sz="0" w:space="0" w:color="auto"/>
      </w:divBdr>
    </w:div>
    <w:div w:id="1376855819">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706902286">
      <w:bodyDiv w:val="1"/>
      <w:marLeft w:val="0"/>
      <w:marRight w:val="0"/>
      <w:marTop w:val="0"/>
      <w:marBottom w:val="0"/>
      <w:divBdr>
        <w:top w:val="none" w:sz="0" w:space="0" w:color="auto"/>
        <w:left w:val="none" w:sz="0" w:space="0" w:color="auto"/>
        <w:bottom w:val="none" w:sz="0" w:space="0" w:color="auto"/>
        <w:right w:val="none" w:sz="0" w:space="0" w:color="auto"/>
      </w:divBdr>
    </w:div>
    <w:div w:id="1756902882">
      <w:bodyDiv w:val="1"/>
      <w:marLeft w:val="0"/>
      <w:marRight w:val="0"/>
      <w:marTop w:val="0"/>
      <w:marBottom w:val="0"/>
      <w:divBdr>
        <w:top w:val="none" w:sz="0" w:space="0" w:color="auto"/>
        <w:left w:val="none" w:sz="0" w:space="0" w:color="auto"/>
        <w:bottom w:val="none" w:sz="0" w:space="0" w:color="auto"/>
        <w:right w:val="none" w:sz="0" w:space="0" w:color="auto"/>
      </w:divBdr>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 w:id="2123527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creativecommons.org/licenses/by/4.0/" TargetMode="External"/><Relationship Id="rId18" Type="http://schemas.openxmlformats.org/officeDocument/2006/relationships/footer" Target="footer3.xml"/><Relationship Id="rId26" Type="http://schemas.openxmlformats.org/officeDocument/2006/relationships/hyperlink" Target="https://www.acma.gov.au/consultations/2019-08/reconfiguring-900-mhz-band-consultation-112019" TargetMode="External"/><Relationship Id="rId39" Type="http://schemas.openxmlformats.org/officeDocument/2006/relationships/hyperlink" Target="https://www.acma.gov.au/publications/2019-09/publication/five-year-spectrum-outlook-2019-23" TargetMode="External"/><Relationship Id="rId21" Type="http://schemas.openxmlformats.org/officeDocument/2006/relationships/footer" Target="footer4.xml"/><Relationship Id="rId34" Type="http://schemas.openxmlformats.org/officeDocument/2006/relationships/image" Target="media/image9.png"/><Relationship Id="rId42" Type="http://schemas.openxmlformats.org/officeDocument/2006/relationships/hyperlink" Target="https://www.acma.gov.au/publication-submissions" TargetMode="External"/><Relationship Id="rId47" Type="http://schemas.openxmlformats.org/officeDocument/2006/relationships/diagramColors" Target="diagrams/colors1.xml"/><Relationship Id="rId50" Type="http://schemas.openxmlformats.org/officeDocument/2006/relationships/hyperlink" Target="https://www.legislation.gov.au/" TargetMode="External"/><Relationship Id="rId55" Type="http://schemas.openxmlformats.org/officeDocument/2006/relationships/image" Target="media/image1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image" Target="media/image6.png"/><Relationship Id="rId41" Type="http://schemas.openxmlformats.org/officeDocument/2006/relationships/hyperlink" Target="mailto:SpectrumAllocations@acma.gov.au" TargetMode="External"/><Relationship Id="rId54" Type="http://schemas.openxmlformats.org/officeDocument/2006/relationships/hyperlink" Target="https://www.acma.gov.au/sites/default/files/2019-12/Reconfiguring%20the%20900%20MHz%20band_decision%20paper.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i.creativecommons.org/l/by/3.0/88x31.png" TargetMode="External"/><Relationship Id="rId24" Type="http://schemas.openxmlformats.org/officeDocument/2006/relationships/hyperlink" Target="https://www.acma.gov.au/consultations/2019-08/reconfiguring-900-mhz-band-consultation-112019" TargetMode="External"/><Relationship Id="rId32" Type="http://schemas.openxmlformats.org/officeDocument/2006/relationships/hyperlink" Target="https://www.acma.gov.au/publications/2019-11/guide/rali-ms-40-800-mhz-band-plan" TargetMode="External"/><Relationship Id="rId37" Type="http://schemas.openxmlformats.org/officeDocument/2006/relationships/hyperlink" Target="https://www.acma.gov.au/publications/2019-08/publication/rali-ms32-mid-west-radio-quiet-zone" TargetMode="External"/><Relationship Id="rId40" Type="http://schemas.openxmlformats.org/officeDocument/2006/relationships/hyperlink" Target="https://www.acma.gov.au/have-your-say" TargetMode="External"/><Relationship Id="rId45" Type="http://schemas.openxmlformats.org/officeDocument/2006/relationships/diagramLayout" Target="diagrams/layout1.xml"/><Relationship Id="rId53" Type="http://schemas.openxmlformats.org/officeDocument/2006/relationships/hyperlink" Target="https://www.acma.gov.au/consultations/2019-08/reconfiguring-900-mhz-band-consultation-112019" TargetMode="External"/><Relationship Id="rId58"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image" Target="media/image5.png"/><Relationship Id="rId36" Type="http://schemas.openxmlformats.org/officeDocument/2006/relationships/hyperlink" Target="https://www.legislation.gov.au/Series/F2011L01520" TargetMode="External"/><Relationship Id="rId49" Type="http://schemas.openxmlformats.org/officeDocument/2006/relationships/image" Target="media/image11.png"/><Relationship Id="rId57" Type="http://schemas.openxmlformats.org/officeDocument/2006/relationships/header" Target="header8.xml"/><Relationship Id="rId61"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hyperlink" Target="https://www.acma.gov.au/publications/2015-12/report/acmas-long-term-strategy-803-960-mhz-band-decision-paper" TargetMode="External"/><Relationship Id="rId44" Type="http://schemas.openxmlformats.org/officeDocument/2006/relationships/diagramData" Target="diagrams/data1.xml"/><Relationship Id="rId52" Type="http://schemas.openxmlformats.org/officeDocument/2006/relationships/hyperlink" Target="https://www.acma.gov.au/sites/default/files/2019-08/IFC-11-2019-Consultation-paper-Reconfiguring%20the%20900%20MHz%20band.docx"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acma.gov.au" TargetMode="External"/><Relationship Id="rId22" Type="http://schemas.openxmlformats.org/officeDocument/2006/relationships/footer" Target="footer5.xm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0.png"/><Relationship Id="rId43" Type="http://schemas.openxmlformats.org/officeDocument/2006/relationships/hyperlink" Target="https://www.acma.gov.au/privacy-policy" TargetMode="External"/><Relationship Id="rId48" Type="http://schemas.microsoft.com/office/2007/relationships/diagramDrawing" Target="diagrams/drawing1.xml"/><Relationship Id="rId56" Type="http://schemas.openxmlformats.org/officeDocument/2006/relationships/header" Target="header7.xml"/><Relationship Id="rId8" Type="http://schemas.openxmlformats.org/officeDocument/2006/relationships/header" Target="header1.xml"/><Relationship Id="rId51" Type="http://schemas.openxmlformats.org/officeDocument/2006/relationships/hyperlink" Target="https://www.acma.gov.au/publications/2019-12/report/acmas-long-term-strategy-803-960-mhz-band-decision-paper"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acma.gov.au/publications/2019-12/report/acmas-long-term-strategy-803-960-mhz-band-decision-paper" TargetMode="External"/><Relationship Id="rId33" Type="http://schemas.openxmlformats.org/officeDocument/2006/relationships/image" Target="media/image8.png"/><Relationship Id="rId38" Type="http://schemas.openxmlformats.org/officeDocument/2006/relationships/hyperlink" Target="https://www.acma.gov.au/publications/2019-10/rules/embargo-41" TargetMode="External"/><Relationship Id="rId46" Type="http://schemas.openxmlformats.org/officeDocument/2006/relationships/diagramQuickStyle" Target="diagrams/quickStyle1.xml"/><Relationship Id="rId59" Type="http://schemas.openxmlformats.org/officeDocument/2006/relationships/footer" Target="footer8.xm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communications.gov.au/have-your-say/draft-ministerial-direction-unsold-700-mhz-spectrum" TargetMode="External"/><Relationship Id="rId2" Type="http://schemas.openxmlformats.org/officeDocument/2006/relationships/hyperlink" Target="https://minister.infrastructure.gov.au/fletcher/media-release/pathway-deliver-more-low-band-spectrum" TargetMode="External"/><Relationship Id="rId1" Type="http://schemas.openxmlformats.org/officeDocument/2006/relationships/hyperlink" Target="https://www.communications.gov.au/documents/communications-policy-objectives-allocation-850-and-900-mhz-bands" TargetMode="External"/><Relationship Id="rId6" Type="http://schemas.openxmlformats.org/officeDocument/2006/relationships/hyperlink" Target="https://www.accc.gov.au/system/files/ACCC%20advice%20to%20Minister%20Fifield%20on%203.6%20GHz%20allocation%20limits.pdf" TargetMode="External"/><Relationship Id="rId5" Type="http://schemas.openxmlformats.org/officeDocument/2006/relationships/hyperlink" Target="https://www.acma.gov.au/sites/default/files/2019-10/Embargo%20No%2064.pdf" TargetMode="External"/><Relationship Id="rId4" Type="http://schemas.openxmlformats.org/officeDocument/2006/relationships/hyperlink" Target="https://www.acma.gov.au/publications/2019-11/guide/rali-ms-40-800-mhz-band-pla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B0A35B6-E133-4A0D-9E19-30CE7688D67D}" type="doc">
      <dgm:prSet loTypeId="urn:microsoft.com/office/officeart/2005/8/layout/chevron2" loCatId="process" qsTypeId="urn:microsoft.com/office/officeart/2005/8/quickstyle/simple1" qsCatId="simple" csTypeId="urn:microsoft.com/office/officeart/2005/8/colors/accent1_2" csCatId="accent1" phldr="1"/>
      <dgm:spPr/>
      <dgm:t>
        <a:bodyPr/>
        <a:lstStyle/>
        <a:p>
          <a:endParaRPr lang="en-AU"/>
        </a:p>
      </dgm:t>
    </dgm:pt>
    <dgm:pt modelId="{A457363F-A1F3-425E-8061-2E3318AD096D}">
      <dgm:prSet phldrT="[Text]" custT="1"/>
      <dgm:spPr/>
      <dgm:t>
        <a:bodyPr/>
        <a:lstStyle/>
        <a:p>
          <a:r>
            <a:rPr lang="en-AU" sz="1000">
              <a:latin typeface="Arial" panose="020B0604020202020204" pitchFamily="34" charset="0"/>
              <a:cs typeface="Arial" panose="020B0604020202020204" pitchFamily="34" charset="0"/>
            </a:rPr>
            <a:t>1</a:t>
          </a:r>
        </a:p>
      </dgm:t>
    </dgm:pt>
    <dgm:pt modelId="{B1772C5E-063F-4447-B413-69DA664075FF}" type="parTrans" cxnId="{90F84D57-1279-425B-9A4A-FAF5774E218E}">
      <dgm:prSet/>
      <dgm:spPr/>
      <dgm:t>
        <a:bodyPr/>
        <a:lstStyle/>
        <a:p>
          <a:endParaRPr lang="en-AU"/>
        </a:p>
      </dgm:t>
    </dgm:pt>
    <dgm:pt modelId="{85A07D4A-7391-4D27-9809-4435A743BE3E}" type="sibTrans" cxnId="{90F84D57-1279-425B-9A4A-FAF5774E218E}">
      <dgm:prSet/>
      <dgm:spPr/>
      <dgm:t>
        <a:bodyPr/>
        <a:lstStyle/>
        <a:p>
          <a:endParaRPr lang="en-AU"/>
        </a:p>
      </dgm:t>
    </dgm:pt>
    <dgm:pt modelId="{D4B7DBFE-BDA4-4F82-AF74-C0E19CE459B5}">
      <dgm:prSet phldrT="[Text]" custT="1"/>
      <dgm:spPr/>
      <dgm:t>
        <a:bodyPr/>
        <a:lstStyle/>
        <a:p>
          <a:r>
            <a:rPr lang="en-AU" sz="1000">
              <a:latin typeface="Arial" panose="020B0604020202020204" pitchFamily="34" charset="0"/>
              <a:cs typeface="Arial" panose="020B0604020202020204" pitchFamily="34" charset="0"/>
            </a:rPr>
            <a:t>Draft recommendation</a:t>
          </a:r>
        </a:p>
      </dgm:t>
    </dgm:pt>
    <dgm:pt modelId="{4C4A237B-7E7A-4B79-A537-17B752809828}" type="parTrans" cxnId="{EFF3683C-9984-4A32-9EB9-DD11E5C206DE}">
      <dgm:prSet/>
      <dgm:spPr/>
      <dgm:t>
        <a:bodyPr/>
        <a:lstStyle/>
        <a:p>
          <a:endParaRPr lang="en-AU"/>
        </a:p>
      </dgm:t>
    </dgm:pt>
    <dgm:pt modelId="{156CCFD0-5B4D-4570-8A8B-DE195EDBA6D0}" type="sibTrans" cxnId="{EFF3683C-9984-4A32-9EB9-DD11E5C206DE}">
      <dgm:prSet/>
      <dgm:spPr/>
      <dgm:t>
        <a:bodyPr/>
        <a:lstStyle/>
        <a:p>
          <a:endParaRPr lang="en-AU"/>
        </a:p>
      </dgm:t>
    </dgm:pt>
    <dgm:pt modelId="{B5040F94-B485-462C-887C-99DE3248A147}">
      <dgm:prSet phldrT="[Text]" custT="1"/>
      <dgm:spPr/>
      <dgm:t>
        <a:bodyPr/>
        <a:lstStyle/>
        <a:p>
          <a:r>
            <a:rPr lang="en-AU" sz="1000">
              <a:latin typeface="Arial" panose="020B0604020202020204" pitchFamily="34" charset="0"/>
              <a:cs typeface="Arial" panose="020B0604020202020204" pitchFamily="34" charset="0"/>
            </a:rPr>
            <a:t>2</a:t>
          </a:r>
        </a:p>
      </dgm:t>
    </dgm:pt>
    <dgm:pt modelId="{4012A6D7-A6E2-4B86-99DA-AF77F5201740}" type="parTrans" cxnId="{51914E03-D209-4F28-91C8-11B564B60010}">
      <dgm:prSet/>
      <dgm:spPr/>
      <dgm:t>
        <a:bodyPr/>
        <a:lstStyle/>
        <a:p>
          <a:endParaRPr lang="en-AU"/>
        </a:p>
      </dgm:t>
    </dgm:pt>
    <dgm:pt modelId="{7143B0BC-9A5E-4260-9F0A-C7BA41BC3221}" type="sibTrans" cxnId="{51914E03-D209-4F28-91C8-11B564B60010}">
      <dgm:prSet/>
      <dgm:spPr/>
      <dgm:t>
        <a:bodyPr/>
        <a:lstStyle/>
        <a:p>
          <a:endParaRPr lang="en-AU"/>
        </a:p>
      </dgm:t>
    </dgm:pt>
    <dgm:pt modelId="{84CAE1B0-E561-4E80-9595-F6954CE02CB4}">
      <dgm:prSet phldrT="[Text]" custT="1"/>
      <dgm:spPr/>
      <dgm:t>
        <a:bodyPr/>
        <a:lstStyle/>
        <a:p>
          <a:r>
            <a:rPr lang="en-AU" sz="1000">
              <a:latin typeface="Arial" panose="020B0604020202020204" pitchFamily="34" charset="0"/>
              <a:cs typeface="Arial" panose="020B0604020202020204" pitchFamily="34" charset="0"/>
            </a:rPr>
            <a:t>Final recommendation</a:t>
          </a:r>
        </a:p>
      </dgm:t>
    </dgm:pt>
    <dgm:pt modelId="{ED86A8FA-9112-44C8-A9D3-1730F52C1E20}" type="parTrans" cxnId="{55F98BD9-23E7-4369-920F-18A6229A52AA}">
      <dgm:prSet/>
      <dgm:spPr/>
      <dgm:t>
        <a:bodyPr/>
        <a:lstStyle/>
        <a:p>
          <a:endParaRPr lang="en-AU"/>
        </a:p>
      </dgm:t>
    </dgm:pt>
    <dgm:pt modelId="{B1FACAA2-725F-458D-9702-6AC743549924}" type="sibTrans" cxnId="{55F98BD9-23E7-4369-920F-18A6229A52AA}">
      <dgm:prSet/>
      <dgm:spPr/>
      <dgm:t>
        <a:bodyPr/>
        <a:lstStyle/>
        <a:p>
          <a:endParaRPr lang="en-AU"/>
        </a:p>
      </dgm:t>
    </dgm:pt>
    <dgm:pt modelId="{B92AA408-3110-4CAE-8875-323E8C40E6F5}">
      <dgm:prSet phldrT="[Text]" custT="1"/>
      <dgm:spPr/>
      <dgm:t>
        <a:bodyPr/>
        <a:lstStyle/>
        <a:p>
          <a:r>
            <a:rPr lang="en-AU" sz="1000">
              <a:latin typeface="Arial" panose="020B0604020202020204" pitchFamily="34" charset="0"/>
              <a:cs typeface="Arial" panose="020B0604020202020204" pitchFamily="34" charset="0"/>
            </a:rPr>
            <a:t>3</a:t>
          </a:r>
        </a:p>
      </dgm:t>
    </dgm:pt>
    <dgm:pt modelId="{E6E3D874-C708-431A-847A-869026AE0627}" type="parTrans" cxnId="{CAB26E16-6D6E-4431-A3EF-51AEC411A39E}">
      <dgm:prSet/>
      <dgm:spPr/>
      <dgm:t>
        <a:bodyPr/>
        <a:lstStyle/>
        <a:p>
          <a:endParaRPr lang="en-AU"/>
        </a:p>
      </dgm:t>
    </dgm:pt>
    <dgm:pt modelId="{A9199D01-C5D9-4D9E-9523-B16BB119EDB2}" type="sibTrans" cxnId="{CAB26E16-6D6E-4431-A3EF-51AEC411A39E}">
      <dgm:prSet/>
      <dgm:spPr/>
      <dgm:t>
        <a:bodyPr/>
        <a:lstStyle/>
        <a:p>
          <a:endParaRPr lang="en-AU"/>
        </a:p>
      </dgm:t>
    </dgm:pt>
    <dgm:pt modelId="{48200816-CF67-4B64-823F-B2817ED7C03F}">
      <dgm:prSet phldrT="[Text]" custT="1"/>
      <dgm:spPr/>
      <dgm:t>
        <a:bodyPr/>
        <a:lstStyle/>
        <a:p>
          <a:r>
            <a:rPr lang="en-AU" sz="1000">
              <a:latin typeface="Arial" panose="020B0604020202020204" pitchFamily="34" charset="0"/>
              <a:cs typeface="Arial" panose="020B0604020202020204" pitchFamily="34" charset="0"/>
            </a:rPr>
            <a:t>Re-allocation declaration</a:t>
          </a:r>
        </a:p>
      </dgm:t>
    </dgm:pt>
    <dgm:pt modelId="{72875603-4E95-4588-B536-28D97AC59CE8}" type="parTrans" cxnId="{F2C3E113-DAC8-4271-BFE4-F71A49D0A1BA}">
      <dgm:prSet/>
      <dgm:spPr/>
      <dgm:t>
        <a:bodyPr/>
        <a:lstStyle/>
        <a:p>
          <a:endParaRPr lang="en-AU"/>
        </a:p>
      </dgm:t>
    </dgm:pt>
    <dgm:pt modelId="{3F7D1615-F426-4F12-9DBF-5154F78125C1}" type="sibTrans" cxnId="{F2C3E113-DAC8-4271-BFE4-F71A49D0A1BA}">
      <dgm:prSet/>
      <dgm:spPr/>
      <dgm:t>
        <a:bodyPr/>
        <a:lstStyle/>
        <a:p>
          <a:endParaRPr lang="en-AU"/>
        </a:p>
      </dgm:t>
    </dgm:pt>
    <dgm:pt modelId="{F425D275-1FAA-4BCF-8CD6-8CF9FD49831F}">
      <dgm:prSet custT="1"/>
      <dgm:spPr/>
      <dgm:t>
        <a:bodyPr/>
        <a:lstStyle/>
        <a:p>
          <a:r>
            <a:rPr lang="en-AU" sz="1000">
              <a:latin typeface="Arial" panose="020B0604020202020204" pitchFamily="34" charset="0"/>
              <a:cs typeface="Arial" panose="020B0604020202020204" pitchFamily="34" charset="0"/>
            </a:rPr>
            <a:t>4</a:t>
          </a:r>
        </a:p>
      </dgm:t>
    </dgm:pt>
    <dgm:pt modelId="{2CF27962-D83E-4F45-BBEE-34B6313A97DC}" type="parTrans" cxnId="{E0C18F94-24FD-4202-96E8-F9BBB6C4425B}">
      <dgm:prSet/>
      <dgm:spPr/>
      <dgm:t>
        <a:bodyPr/>
        <a:lstStyle/>
        <a:p>
          <a:endParaRPr lang="en-AU"/>
        </a:p>
      </dgm:t>
    </dgm:pt>
    <dgm:pt modelId="{FC851200-194C-41AA-AEDC-865C98492856}" type="sibTrans" cxnId="{E0C18F94-24FD-4202-96E8-F9BBB6C4425B}">
      <dgm:prSet/>
      <dgm:spPr/>
      <dgm:t>
        <a:bodyPr/>
        <a:lstStyle/>
        <a:p>
          <a:endParaRPr lang="en-AU"/>
        </a:p>
      </dgm:t>
    </dgm:pt>
    <dgm:pt modelId="{20F22B3D-73C5-41BD-827E-DAFAC1AB7224}">
      <dgm:prSet custT="1"/>
      <dgm:spPr/>
      <dgm:t>
        <a:bodyPr/>
        <a:lstStyle/>
        <a:p>
          <a:r>
            <a:rPr lang="en-AU" sz="1000">
              <a:latin typeface="Arial" panose="020B0604020202020204" pitchFamily="34" charset="0"/>
              <a:cs typeface="Arial" panose="020B0604020202020204" pitchFamily="34" charset="0"/>
            </a:rPr>
            <a:t>Draft allocation instruments</a:t>
          </a:r>
        </a:p>
      </dgm:t>
    </dgm:pt>
    <dgm:pt modelId="{63F2BC6F-9F26-4DF7-A1BC-7CB2F8AB1E6C}" type="parTrans" cxnId="{5470E1F0-07A4-4C2C-89E6-ACD79EA44E39}">
      <dgm:prSet/>
      <dgm:spPr/>
      <dgm:t>
        <a:bodyPr/>
        <a:lstStyle/>
        <a:p>
          <a:endParaRPr lang="en-AU"/>
        </a:p>
      </dgm:t>
    </dgm:pt>
    <dgm:pt modelId="{22F25878-4486-46D2-B6D4-105858073CC9}" type="sibTrans" cxnId="{5470E1F0-07A4-4C2C-89E6-ACD79EA44E39}">
      <dgm:prSet/>
      <dgm:spPr/>
      <dgm:t>
        <a:bodyPr/>
        <a:lstStyle/>
        <a:p>
          <a:endParaRPr lang="en-AU"/>
        </a:p>
      </dgm:t>
    </dgm:pt>
    <dgm:pt modelId="{F926E193-C876-4E12-9CED-C8C23BBA4997}">
      <dgm:prSet custT="1"/>
      <dgm:spPr/>
      <dgm:t>
        <a:bodyPr/>
        <a:lstStyle/>
        <a:p>
          <a:r>
            <a:rPr lang="en-AU" sz="1000">
              <a:latin typeface="Arial" panose="020B0604020202020204" pitchFamily="34" charset="0"/>
              <a:cs typeface="Arial" panose="020B0604020202020204" pitchFamily="34" charset="0"/>
            </a:rPr>
            <a:t>5</a:t>
          </a:r>
        </a:p>
      </dgm:t>
    </dgm:pt>
    <dgm:pt modelId="{86EC7F22-104D-486D-8225-6841C57D7889}" type="parTrans" cxnId="{A7D7C1D9-3D6B-4944-9549-4F4629C9C936}">
      <dgm:prSet/>
      <dgm:spPr/>
      <dgm:t>
        <a:bodyPr/>
        <a:lstStyle/>
        <a:p>
          <a:endParaRPr lang="en-AU"/>
        </a:p>
      </dgm:t>
    </dgm:pt>
    <dgm:pt modelId="{2C2921DE-D6A4-4273-A295-F05D8FF4D703}" type="sibTrans" cxnId="{A7D7C1D9-3D6B-4944-9549-4F4629C9C936}">
      <dgm:prSet/>
      <dgm:spPr/>
      <dgm:t>
        <a:bodyPr/>
        <a:lstStyle/>
        <a:p>
          <a:endParaRPr lang="en-AU"/>
        </a:p>
      </dgm:t>
    </dgm:pt>
    <dgm:pt modelId="{4A42D425-1A7A-4617-A354-B6CB62022EA6}">
      <dgm:prSet custT="1"/>
      <dgm:spPr/>
      <dgm:t>
        <a:bodyPr/>
        <a:lstStyle/>
        <a:p>
          <a:r>
            <a:rPr lang="en-AU" sz="1000">
              <a:latin typeface="Arial" panose="020B0604020202020204" pitchFamily="34" charset="0"/>
              <a:cs typeface="Arial" panose="020B0604020202020204" pitchFamily="34" charset="0"/>
            </a:rPr>
            <a:t>Final allocation instruments</a:t>
          </a:r>
        </a:p>
      </dgm:t>
    </dgm:pt>
    <dgm:pt modelId="{5B33DE86-C5C1-40B0-8B54-B5E03A3B72B0}" type="parTrans" cxnId="{47738A79-2E19-4ED4-860E-8A0C495A3EAE}">
      <dgm:prSet/>
      <dgm:spPr/>
      <dgm:t>
        <a:bodyPr/>
        <a:lstStyle/>
        <a:p>
          <a:endParaRPr lang="en-AU"/>
        </a:p>
      </dgm:t>
    </dgm:pt>
    <dgm:pt modelId="{B3E8E3E2-BB57-4E07-A28A-14411E2BE7A3}" type="sibTrans" cxnId="{47738A79-2E19-4ED4-860E-8A0C495A3EAE}">
      <dgm:prSet/>
      <dgm:spPr/>
      <dgm:t>
        <a:bodyPr/>
        <a:lstStyle/>
        <a:p>
          <a:endParaRPr lang="en-AU"/>
        </a:p>
      </dgm:t>
    </dgm:pt>
    <dgm:pt modelId="{DD2ED188-F0F2-44B1-BF7A-E5FD160FB693}">
      <dgm:prSet custT="1"/>
      <dgm:spPr/>
      <dgm:t>
        <a:bodyPr/>
        <a:lstStyle/>
        <a:p>
          <a:r>
            <a:rPr lang="en-AU" sz="1000">
              <a:latin typeface="Arial" panose="020B0604020202020204" pitchFamily="34" charset="0"/>
              <a:cs typeface="Arial" panose="020B0604020202020204" pitchFamily="34" charset="0"/>
            </a:rPr>
            <a:t>6</a:t>
          </a:r>
        </a:p>
      </dgm:t>
    </dgm:pt>
    <dgm:pt modelId="{AD82BA23-F92D-49CD-924B-6FC91AED211F}" type="parTrans" cxnId="{38F0EA85-8FD6-4214-8A6E-F56E1F803464}">
      <dgm:prSet/>
      <dgm:spPr/>
      <dgm:t>
        <a:bodyPr/>
        <a:lstStyle/>
        <a:p>
          <a:endParaRPr lang="en-AU"/>
        </a:p>
      </dgm:t>
    </dgm:pt>
    <dgm:pt modelId="{664B057E-24EF-41D6-AC8A-E44A3BA088DD}" type="sibTrans" cxnId="{38F0EA85-8FD6-4214-8A6E-F56E1F803464}">
      <dgm:prSet/>
      <dgm:spPr/>
      <dgm:t>
        <a:bodyPr/>
        <a:lstStyle/>
        <a:p>
          <a:endParaRPr lang="en-AU"/>
        </a:p>
      </dgm:t>
    </dgm:pt>
    <dgm:pt modelId="{8EB8B761-819A-4158-9C8B-F230FA2773DE}">
      <dgm:prSet custT="1"/>
      <dgm:spPr/>
      <dgm:t>
        <a:bodyPr/>
        <a:lstStyle/>
        <a:p>
          <a:r>
            <a:rPr lang="en-AU" sz="1000">
              <a:latin typeface="Arial" panose="020B0604020202020204" pitchFamily="34" charset="0"/>
              <a:cs typeface="Arial" panose="020B0604020202020204" pitchFamily="34" charset="0"/>
            </a:rPr>
            <a:t>Allocation</a:t>
          </a:r>
        </a:p>
      </dgm:t>
    </dgm:pt>
    <dgm:pt modelId="{90CF7975-8F49-4C4A-9FB2-D4AF7E077480}" type="parTrans" cxnId="{45459615-6C6C-4D4A-98B5-EE6312B28C86}">
      <dgm:prSet/>
      <dgm:spPr/>
      <dgm:t>
        <a:bodyPr/>
        <a:lstStyle/>
        <a:p>
          <a:endParaRPr lang="en-AU"/>
        </a:p>
      </dgm:t>
    </dgm:pt>
    <dgm:pt modelId="{10C18FFD-63AE-4C5C-810F-3ECC16EE9AB8}" type="sibTrans" cxnId="{45459615-6C6C-4D4A-98B5-EE6312B28C86}">
      <dgm:prSet/>
      <dgm:spPr/>
      <dgm:t>
        <a:bodyPr/>
        <a:lstStyle/>
        <a:p>
          <a:endParaRPr lang="en-AU"/>
        </a:p>
      </dgm:t>
    </dgm:pt>
    <dgm:pt modelId="{BD853109-4D85-4000-BED4-EEC24D750ED4}" type="pres">
      <dgm:prSet presAssocID="{7B0A35B6-E133-4A0D-9E19-30CE7688D67D}" presName="linearFlow" presStyleCnt="0">
        <dgm:presLayoutVars>
          <dgm:dir/>
          <dgm:animLvl val="lvl"/>
          <dgm:resizeHandles val="exact"/>
        </dgm:presLayoutVars>
      </dgm:prSet>
      <dgm:spPr/>
    </dgm:pt>
    <dgm:pt modelId="{53116820-6FB7-4136-B895-DF61CF714062}" type="pres">
      <dgm:prSet presAssocID="{A457363F-A1F3-425E-8061-2E3318AD096D}" presName="composite" presStyleCnt="0"/>
      <dgm:spPr/>
    </dgm:pt>
    <dgm:pt modelId="{EBC1B2A5-6837-42E3-BE1A-39701BB31141}" type="pres">
      <dgm:prSet presAssocID="{A457363F-A1F3-425E-8061-2E3318AD096D}" presName="parentText" presStyleLbl="alignNode1" presStyleIdx="0" presStyleCnt="6">
        <dgm:presLayoutVars>
          <dgm:chMax val="1"/>
          <dgm:bulletEnabled val="1"/>
        </dgm:presLayoutVars>
      </dgm:prSet>
      <dgm:spPr/>
    </dgm:pt>
    <dgm:pt modelId="{426726A5-FF95-4BC2-80DC-B31E0CEECFB4}" type="pres">
      <dgm:prSet presAssocID="{A457363F-A1F3-425E-8061-2E3318AD096D}" presName="descendantText" presStyleLbl="alignAcc1" presStyleIdx="0" presStyleCnt="6">
        <dgm:presLayoutVars>
          <dgm:bulletEnabled val="1"/>
        </dgm:presLayoutVars>
      </dgm:prSet>
      <dgm:spPr/>
    </dgm:pt>
    <dgm:pt modelId="{397364F0-2115-4DAF-A1DD-3AA316F2B21B}" type="pres">
      <dgm:prSet presAssocID="{85A07D4A-7391-4D27-9809-4435A743BE3E}" presName="sp" presStyleCnt="0"/>
      <dgm:spPr/>
    </dgm:pt>
    <dgm:pt modelId="{A8F27D9A-DFEF-47F3-BD84-A1C90A3428CB}" type="pres">
      <dgm:prSet presAssocID="{B5040F94-B485-462C-887C-99DE3248A147}" presName="composite" presStyleCnt="0"/>
      <dgm:spPr/>
    </dgm:pt>
    <dgm:pt modelId="{74C15F4E-F3F5-4057-B32E-062AF6190E4C}" type="pres">
      <dgm:prSet presAssocID="{B5040F94-B485-462C-887C-99DE3248A147}" presName="parentText" presStyleLbl="alignNode1" presStyleIdx="1" presStyleCnt="6">
        <dgm:presLayoutVars>
          <dgm:chMax val="1"/>
          <dgm:bulletEnabled val="1"/>
        </dgm:presLayoutVars>
      </dgm:prSet>
      <dgm:spPr/>
    </dgm:pt>
    <dgm:pt modelId="{01B6FE3D-441F-45A6-9F5C-F0F8C3FCC888}" type="pres">
      <dgm:prSet presAssocID="{B5040F94-B485-462C-887C-99DE3248A147}" presName="descendantText" presStyleLbl="alignAcc1" presStyleIdx="1" presStyleCnt="6">
        <dgm:presLayoutVars>
          <dgm:bulletEnabled val="1"/>
        </dgm:presLayoutVars>
      </dgm:prSet>
      <dgm:spPr/>
    </dgm:pt>
    <dgm:pt modelId="{3C6150FA-FCCE-43CC-9831-58FA1ABDE4B8}" type="pres">
      <dgm:prSet presAssocID="{7143B0BC-9A5E-4260-9F0A-C7BA41BC3221}" presName="sp" presStyleCnt="0"/>
      <dgm:spPr/>
    </dgm:pt>
    <dgm:pt modelId="{DFD32E3D-9250-4026-9467-40701765B7B4}" type="pres">
      <dgm:prSet presAssocID="{B92AA408-3110-4CAE-8875-323E8C40E6F5}" presName="composite" presStyleCnt="0"/>
      <dgm:spPr/>
    </dgm:pt>
    <dgm:pt modelId="{4D1C0D6F-2B55-4404-B63A-50153F2CE93F}" type="pres">
      <dgm:prSet presAssocID="{B92AA408-3110-4CAE-8875-323E8C40E6F5}" presName="parentText" presStyleLbl="alignNode1" presStyleIdx="2" presStyleCnt="6">
        <dgm:presLayoutVars>
          <dgm:chMax val="1"/>
          <dgm:bulletEnabled val="1"/>
        </dgm:presLayoutVars>
      </dgm:prSet>
      <dgm:spPr/>
    </dgm:pt>
    <dgm:pt modelId="{E9884CA2-F97A-4B4C-9CE6-D933F45B01EF}" type="pres">
      <dgm:prSet presAssocID="{B92AA408-3110-4CAE-8875-323E8C40E6F5}" presName="descendantText" presStyleLbl="alignAcc1" presStyleIdx="2" presStyleCnt="6">
        <dgm:presLayoutVars>
          <dgm:bulletEnabled val="1"/>
        </dgm:presLayoutVars>
      </dgm:prSet>
      <dgm:spPr/>
    </dgm:pt>
    <dgm:pt modelId="{6996F281-A162-431B-8A39-EAAF9D1388BC}" type="pres">
      <dgm:prSet presAssocID="{A9199D01-C5D9-4D9E-9523-B16BB119EDB2}" presName="sp" presStyleCnt="0"/>
      <dgm:spPr/>
    </dgm:pt>
    <dgm:pt modelId="{F8224974-D328-4C8E-A744-41CC3B204F93}" type="pres">
      <dgm:prSet presAssocID="{F425D275-1FAA-4BCF-8CD6-8CF9FD49831F}" presName="composite" presStyleCnt="0"/>
      <dgm:spPr/>
    </dgm:pt>
    <dgm:pt modelId="{FAE15DBF-EBB1-407C-961C-3259CCF7D072}" type="pres">
      <dgm:prSet presAssocID="{F425D275-1FAA-4BCF-8CD6-8CF9FD49831F}" presName="parentText" presStyleLbl="alignNode1" presStyleIdx="3" presStyleCnt="6">
        <dgm:presLayoutVars>
          <dgm:chMax val="1"/>
          <dgm:bulletEnabled val="1"/>
        </dgm:presLayoutVars>
      </dgm:prSet>
      <dgm:spPr/>
    </dgm:pt>
    <dgm:pt modelId="{CD1271A6-EAF9-4D0E-8BC0-F5022BEE84D5}" type="pres">
      <dgm:prSet presAssocID="{F425D275-1FAA-4BCF-8CD6-8CF9FD49831F}" presName="descendantText" presStyleLbl="alignAcc1" presStyleIdx="3" presStyleCnt="6">
        <dgm:presLayoutVars>
          <dgm:bulletEnabled val="1"/>
        </dgm:presLayoutVars>
      </dgm:prSet>
      <dgm:spPr/>
    </dgm:pt>
    <dgm:pt modelId="{6932502D-1563-49EB-9147-0BF83C425A65}" type="pres">
      <dgm:prSet presAssocID="{FC851200-194C-41AA-AEDC-865C98492856}" presName="sp" presStyleCnt="0"/>
      <dgm:spPr/>
    </dgm:pt>
    <dgm:pt modelId="{8D185033-FF48-499F-AC99-2FBB915CBC1D}" type="pres">
      <dgm:prSet presAssocID="{F926E193-C876-4E12-9CED-C8C23BBA4997}" presName="composite" presStyleCnt="0"/>
      <dgm:spPr/>
    </dgm:pt>
    <dgm:pt modelId="{E6B43C46-4244-4DEE-BD04-212192EC5AF9}" type="pres">
      <dgm:prSet presAssocID="{F926E193-C876-4E12-9CED-C8C23BBA4997}" presName="parentText" presStyleLbl="alignNode1" presStyleIdx="4" presStyleCnt="6">
        <dgm:presLayoutVars>
          <dgm:chMax val="1"/>
          <dgm:bulletEnabled val="1"/>
        </dgm:presLayoutVars>
      </dgm:prSet>
      <dgm:spPr/>
    </dgm:pt>
    <dgm:pt modelId="{473FCF06-01E9-4908-B372-A53A687D11B0}" type="pres">
      <dgm:prSet presAssocID="{F926E193-C876-4E12-9CED-C8C23BBA4997}" presName="descendantText" presStyleLbl="alignAcc1" presStyleIdx="4" presStyleCnt="6">
        <dgm:presLayoutVars>
          <dgm:bulletEnabled val="1"/>
        </dgm:presLayoutVars>
      </dgm:prSet>
      <dgm:spPr/>
    </dgm:pt>
    <dgm:pt modelId="{3499CFAF-41FE-4723-8E28-45274A2E22A8}" type="pres">
      <dgm:prSet presAssocID="{2C2921DE-D6A4-4273-A295-F05D8FF4D703}" presName="sp" presStyleCnt="0"/>
      <dgm:spPr/>
    </dgm:pt>
    <dgm:pt modelId="{0D720A85-4719-4BAE-9D9B-EA50DFC7B6A4}" type="pres">
      <dgm:prSet presAssocID="{DD2ED188-F0F2-44B1-BF7A-E5FD160FB693}" presName="composite" presStyleCnt="0"/>
      <dgm:spPr/>
    </dgm:pt>
    <dgm:pt modelId="{0B108BB5-124A-4FCD-8337-9D0D6389A3FD}" type="pres">
      <dgm:prSet presAssocID="{DD2ED188-F0F2-44B1-BF7A-E5FD160FB693}" presName="parentText" presStyleLbl="alignNode1" presStyleIdx="5" presStyleCnt="6">
        <dgm:presLayoutVars>
          <dgm:chMax val="1"/>
          <dgm:bulletEnabled val="1"/>
        </dgm:presLayoutVars>
      </dgm:prSet>
      <dgm:spPr/>
    </dgm:pt>
    <dgm:pt modelId="{CA813DB1-38EB-4956-93E3-551B98C3E03A}" type="pres">
      <dgm:prSet presAssocID="{DD2ED188-F0F2-44B1-BF7A-E5FD160FB693}" presName="descendantText" presStyleLbl="alignAcc1" presStyleIdx="5" presStyleCnt="6">
        <dgm:presLayoutVars>
          <dgm:bulletEnabled val="1"/>
        </dgm:presLayoutVars>
      </dgm:prSet>
      <dgm:spPr/>
    </dgm:pt>
  </dgm:ptLst>
  <dgm:cxnLst>
    <dgm:cxn modelId="{75891B02-2479-4E1F-980E-F9A810866CBC}" type="presOf" srcId="{7B0A35B6-E133-4A0D-9E19-30CE7688D67D}" destId="{BD853109-4D85-4000-BED4-EEC24D750ED4}" srcOrd="0" destOrd="0" presId="urn:microsoft.com/office/officeart/2005/8/layout/chevron2"/>
    <dgm:cxn modelId="{51914E03-D209-4F28-91C8-11B564B60010}" srcId="{7B0A35B6-E133-4A0D-9E19-30CE7688D67D}" destId="{B5040F94-B485-462C-887C-99DE3248A147}" srcOrd="1" destOrd="0" parTransId="{4012A6D7-A6E2-4B86-99DA-AF77F5201740}" sibTransId="{7143B0BC-9A5E-4260-9F0A-C7BA41BC3221}"/>
    <dgm:cxn modelId="{A52BDD05-2C93-46F9-A759-BC78CD057092}" type="presOf" srcId="{F425D275-1FAA-4BCF-8CD6-8CF9FD49831F}" destId="{FAE15DBF-EBB1-407C-961C-3259CCF7D072}" srcOrd="0" destOrd="0" presId="urn:microsoft.com/office/officeart/2005/8/layout/chevron2"/>
    <dgm:cxn modelId="{F2C3E113-DAC8-4271-BFE4-F71A49D0A1BA}" srcId="{B92AA408-3110-4CAE-8875-323E8C40E6F5}" destId="{48200816-CF67-4B64-823F-B2817ED7C03F}" srcOrd="0" destOrd="0" parTransId="{72875603-4E95-4588-B536-28D97AC59CE8}" sibTransId="{3F7D1615-F426-4F12-9DBF-5154F78125C1}"/>
    <dgm:cxn modelId="{45459615-6C6C-4D4A-98B5-EE6312B28C86}" srcId="{DD2ED188-F0F2-44B1-BF7A-E5FD160FB693}" destId="{8EB8B761-819A-4158-9C8B-F230FA2773DE}" srcOrd="0" destOrd="0" parTransId="{90CF7975-8F49-4C4A-9FB2-D4AF7E077480}" sibTransId="{10C18FFD-63AE-4C5C-810F-3ECC16EE9AB8}"/>
    <dgm:cxn modelId="{CAB26E16-6D6E-4431-A3EF-51AEC411A39E}" srcId="{7B0A35B6-E133-4A0D-9E19-30CE7688D67D}" destId="{B92AA408-3110-4CAE-8875-323E8C40E6F5}" srcOrd="2" destOrd="0" parTransId="{E6E3D874-C708-431A-847A-869026AE0627}" sibTransId="{A9199D01-C5D9-4D9E-9523-B16BB119EDB2}"/>
    <dgm:cxn modelId="{EFF3683C-9984-4A32-9EB9-DD11E5C206DE}" srcId="{A457363F-A1F3-425E-8061-2E3318AD096D}" destId="{D4B7DBFE-BDA4-4F82-AF74-C0E19CE459B5}" srcOrd="0" destOrd="0" parTransId="{4C4A237B-7E7A-4B79-A537-17B752809828}" sibTransId="{156CCFD0-5B4D-4570-8A8B-DE195EDBA6D0}"/>
    <dgm:cxn modelId="{1C923F5E-44FA-417A-8A5F-464A38DDFC4D}" type="presOf" srcId="{A457363F-A1F3-425E-8061-2E3318AD096D}" destId="{EBC1B2A5-6837-42E3-BE1A-39701BB31141}" srcOrd="0" destOrd="0" presId="urn:microsoft.com/office/officeart/2005/8/layout/chevron2"/>
    <dgm:cxn modelId="{24137A70-CC73-4673-9CE9-F28209B35410}" type="presOf" srcId="{DD2ED188-F0F2-44B1-BF7A-E5FD160FB693}" destId="{0B108BB5-124A-4FCD-8337-9D0D6389A3FD}" srcOrd="0" destOrd="0" presId="urn:microsoft.com/office/officeart/2005/8/layout/chevron2"/>
    <dgm:cxn modelId="{314A4A51-4D59-4C6E-B9E1-22B0164F3961}" type="presOf" srcId="{8EB8B761-819A-4158-9C8B-F230FA2773DE}" destId="{CA813DB1-38EB-4956-93E3-551B98C3E03A}" srcOrd="0" destOrd="0" presId="urn:microsoft.com/office/officeart/2005/8/layout/chevron2"/>
    <dgm:cxn modelId="{B7161375-DE59-4EB2-8747-3D79F6B9EC85}" type="presOf" srcId="{20F22B3D-73C5-41BD-827E-DAFAC1AB7224}" destId="{CD1271A6-EAF9-4D0E-8BC0-F5022BEE84D5}" srcOrd="0" destOrd="0" presId="urn:microsoft.com/office/officeart/2005/8/layout/chevron2"/>
    <dgm:cxn modelId="{90F84D57-1279-425B-9A4A-FAF5774E218E}" srcId="{7B0A35B6-E133-4A0D-9E19-30CE7688D67D}" destId="{A457363F-A1F3-425E-8061-2E3318AD096D}" srcOrd="0" destOrd="0" parTransId="{B1772C5E-063F-4447-B413-69DA664075FF}" sibTransId="{85A07D4A-7391-4D27-9809-4435A743BE3E}"/>
    <dgm:cxn modelId="{47738A79-2E19-4ED4-860E-8A0C495A3EAE}" srcId="{F926E193-C876-4E12-9CED-C8C23BBA4997}" destId="{4A42D425-1A7A-4617-A354-B6CB62022EA6}" srcOrd="0" destOrd="0" parTransId="{5B33DE86-C5C1-40B0-8B54-B5E03A3B72B0}" sibTransId="{B3E8E3E2-BB57-4E07-A28A-14411E2BE7A3}"/>
    <dgm:cxn modelId="{38F0EA85-8FD6-4214-8A6E-F56E1F803464}" srcId="{7B0A35B6-E133-4A0D-9E19-30CE7688D67D}" destId="{DD2ED188-F0F2-44B1-BF7A-E5FD160FB693}" srcOrd="5" destOrd="0" parTransId="{AD82BA23-F92D-49CD-924B-6FC91AED211F}" sibTransId="{664B057E-24EF-41D6-AC8A-E44A3BA088DD}"/>
    <dgm:cxn modelId="{0C89DE85-369E-4F23-8393-B5CFAC0FFCCA}" type="presOf" srcId="{84CAE1B0-E561-4E80-9595-F6954CE02CB4}" destId="{01B6FE3D-441F-45A6-9F5C-F0F8C3FCC888}" srcOrd="0" destOrd="0" presId="urn:microsoft.com/office/officeart/2005/8/layout/chevron2"/>
    <dgm:cxn modelId="{E0C18F94-24FD-4202-96E8-F9BBB6C4425B}" srcId="{7B0A35B6-E133-4A0D-9E19-30CE7688D67D}" destId="{F425D275-1FAA-4BCF-8CD6-8CF9FD49831F}" srcOrd="3" destOrd="0" parTransId="{2CF27962-D83E-4F45-BBEE-34B6313A97DC}" sibTransId="{FC851200-194C-41AA-AEDC-865C98492856}"/>
    <dgm:cxn modelId="{C2EFDC97-7244-49D9-8D74-8AF253AEF194}" type="presOf" srcId="{F926E193-C876-4E12-9CED-C8C23BBA4997}" destId="{E6B43C46-4244-4DEE-BD04-212192EC5AF9}" srcOrd="0" destOrd="0" presId="urn:microsoft.com/office/officeart/2005/8/layout/chevron2"/>
    <dgm:cxn modelId="{21D7359B-A355-4DBF-B4C3-C47AF64E090F}" type="presOf" srcId="{D4B7DBFE-BDA4-4F82-AF74-C0E19CE459B5}" destId="{426726A5-FF95-4BC2-80DC-B31E0CEECFB4}" srcOrd="0" destOrd="0" presId="urn:microsoft.com/office/officeart/2005/8/layout/chevron2"/>
    <dgm:cxn modelId="{6C775EA1-9A80-4731-8992-BC9778DBEEA5}" type="presOf" srcId="{B92AA408-3110-4CAE-8875-323E8C40E6F5}" destId="{4D1C0D6F-2B55-4404-B63A-50153F2CE93F}" srcOrd="0" destOrd="0" presId="urn:microsoft.com/office/officeart/2005/8/layout/chevron2"/>
    <dgm:cxn modelId="{3835B5BE-46E9-4C69-A72A-65EF1216B73D}" type="presOf" srcId="{B5040F94-B485-462C-887C-99DE3248A147}" destId="{74C15F4E-F3F5-4057-B32E-062AF6190E4C}" srcOrd="0" destOrd="0" presId="urn:microsoft.com/office/officeart/2005/8/layout/chevron2"/>
    <dgm:cxn modelId="{6FC13BC7-8FBB-432B-9431-0DAF76707906}" type="presOf" srcId="{4A42D425-1A7A-4617-A354-B6CB62022EA6}" destId="{473FCF06-01E9-4908-B372-A53A687D11B0}" srcOrd="0" destOrd="0" presId="urn:microsoft.com/office/officeart/2005/8/layout/chevron2"/>
    <dgm:cxn modelId="{50DA4DC8-65DB-47A3-932B-B8E0E53E6713}" type="presOf" srcId="{48200816-CF67-4B64-823F-B2817ED7C03F}" destId="{E9884CA2-F97A-4B4C-9CE6-D933F45B01EF}" srcOrd="0" destOrd="0" presId="urn:microsoft.com/office/officeart/2005/8/layout/chevron2"/>
    <dgm:cxn modelId="{5470E1F0-07A4-4C2C-89E6-ACD79EA44E39}" srcId="{F425D275-1FAA-4BCF-8CD6-8CF9FD49831F}" destId="{20F22B3D-73C5-41BD-827E-DAFAC1AB7224}" srcOrd="0" destOrd="0" parTransId="{63F2BC6F-9F26-4DF7-A1BC-7CB2F8AB1E6C}" sibTransId="{22F25878-4486-46D2-B6D4-105858073CC9}"/>
    <dgm:cxn modelId="{55F98BD9-23E7-4369-920F-18A6229A52AA}" srcId="{B5040F94-B485-462C-887C-99DE3248A147}" destId="{84CAE1B0-E561-4E80-9595-F6954CE02CB4}" srcOrd="0" destOrd="0" parTransId="{ED86A8FA-9112-44C8-A9D3-1730F52C1E20}" sibTransId="{B1FACAA2-725F-458D-9702-6AC743549924}"/>
    <dgm:cxn modelId="{A7D7C1D9-3D6B-4944-9549-4F4629C9C936}" srcId="{7B0A35B6-E133-4A0D-9E19-30CE7688D67D}" destId="{F926E193-C876-4E12-9CED-C8C23BBA4997}" srcOrd="4" destOrd="0" parTransId="{86EC7F22-104D-486D-8225-6841C57D7889}" sibTransId="{2C2921DE-D6A4-4273-A295-F05D8FF4D703}"/>
    <dgm:cxn modelId="{155A2D5B-8BB5-40E9-A6F8-A733504245D7}" type="presParOf" srcId="{BD853109-4D85-4000-BED4-EEC24D750ED4}" destId="{53116820-6FB7-4136-B895-DF61CF714062}" srcOrd="0" destOrd="0" presId="urn:microsoft.com/office/officeart/2005/8/layout/chevron2"/>
    <dgm:cxn modelId="{D7815CF4-A240-4868-90D4-8D30F902DF43}" type="presParOf" srcId="{53116820-6FB7-4136-B895-DF61CF714062}" destId="{EBC1B2A5-6837-42E3-BE1A-39701BB31141}" srcOrd="0" destOrd="0" presId="urn:microsoft.com/office/officeart/2005/8/layout/chevron2"/>
    <dgm:cxn modelId="{1A9A1CCF-E3F2-4AC1-AC42-D8586ADC82E4}" type="presParOf" srcId="{53116820-6FB7-4136-B895-DF61CF714062}" destId="{426726A5-FF95-4BC2-80DC-B31E0CEECFB4}" srcOrd="1" destOrd="0" presId="urn:microsoft.com/office/officeart/2005/8/layout/chevron2"/>
    <dgm:cxn modelId="{82A66A1C-13A2-4379-99ED-B5274A9621CA}" type="presParOf" srcId="{BD853109-4D85-4000-BED4-EEC24D750ED4}" destId="{397364F0-2115-4DAF-A1DD-3AA316F2B21B}" srcOrd="1" destOrd="0" presId="urn:microsoft.com/office/officeart/2005/8/layout/chevron2"/>
    <dgm:cxn modelId="{6574A88C-D7A9-46BC-B767-9E346101FED0}" type="presParOf" srcId="{BD853109-4D85-4000-BED4-EEC24D750ED4}" destId="{A8F27D9A-DFEF-47F3-BD84-A1C90A3428CB}" srcOrd="2" destOrd="0" presId="urn:microsoft.com/office/officeart/2005/8/layout/chevron2"/>
    <dgm:cxn modelId="{EB9C54FD-D286-495D-BDFF-0F81EC41DBCF}" type="presParOf" srcId="{A8F27D9A-DFEF-47F3-BD84-A1C90A3428CB}" destId="{74C15F4E-F3F5-4057-B32E-062AF6190E4C}" srcOrd="0" destOrd="0" presId="urn:microsoft.com/office/officeart/2005/8/layout/chevron2"/>
    <dgm:cxn modelId="{CDD4F39A-AFEF-453B-A248-FD161E3C7E56}" type="presParOf" srcId="{A8F27D9A-DFEF-47F3-BD84-A1C90A3428CB}" destId="{01B6FE3D-441F-45A6-9F5C-F0F8C3FCC888}" srcOrd="1" destOrd="0" presId="urn:microsoft.com/office/officeart/2005/8/layout/chevron2"/>
    <dgm:cxn modelId="{DF0A4F64-B964-4CC6-A431-726C53336B35}" type="presParOf" srcId="{BD853109-4D85-4000-BED4-EEC24D750ED4}" destId="{3C6150FA-FCCE-43CC-9831-58FA1ABDE4B8}" srcOrd="3" destOrd="0" presId="urn:microsoft.com/office/officeart/2005/8/layout/chevron2"/>
    <dgm:cxn modelId="{1E1203FE-52C3-4BC0-A539-2E4BE47F3AFF}" type="presParOf" srcId="{BD853109-4D85-4000-BED4-EEC24D750ED4}" destId="{DFD32E3D-9250-4026-9467-40701765B7B4}" srcOrd="4" destOrd="0" presId="urn:microsoft.com/office/officeart/2005/8/layout/chevron2"/>
    <dgm:cxn modelId="{A8A8D8C3-5C7A-4CBD-9DEA-A3BC00DC8322}" type="presParOf" srcId="{DFD32E3D-9250-4026-9467-40701765B7B4}" destId="{4D1C0D6F-2B55-4404-B63A-50153F2CE93F}" srcOrd="0" destOrd="0" presId="urn:microsoft.com/office/officeart/2005/8/layout/chevron2"/>
    <dgm:cxn modelId="{271C8B90-78B6-427A-973C-877109140396}" type="presParOf" srcId="{DFD32E3D-9250-4026-9467-40701765B7B4}" destId="{E9884CA2-F97A-4B4C-9CE6-D933F45B01EF}" srcOrd="1" destOrd="0" presId="urn:microsoft.com/office/officeart/2005/8/layout/chevron2"/>
    <dgm:cxn modelId="{34D81554-5071-4675-B6E8-8ED16F982F1B}" type="presParOf" srcId="{BD853109-4D85-4000-BED4-EEC24D750ED4}" destId="{6996F281-A162-431B-8A39-EAAF9D1388BC}" srcOrd="5" destOrd="0" presId="urn:microsoft.com/office/officeart/2005/8/layout/chevron2"/>
    <dgm:cxn modelId="{A9664180-06F7-4E90-81F1-0988172CBC99}" type="presParOf" srcId="{BD853109-4D85-4000-BED4-EEC24D750ED4}" destId="{F8224974-D328-4C8E-A744-41CC3B204F93}" srcOrd="6" destOrd="0" presId="urn:microsoft.com/office/officeart/2005/8/layout/chevron2"/>
    <dgm:cxn modelId="{137AFD3D-C5E6-4F09-8897-F33B0BD53784}" type="presParOf" srcId="{F8224974-D328-4C8E-A744-41CC3B204F93}" destId="{FAE15DBF-EBB1-407C-961C-3259CCF7D072}" srcOrd="0" destOrd="0" presId="urn:microsoft.com/office/officeart/2005/8/layout/chevron2"/>
    <dgm:cxn modelId="{56DA06F3-B161-48EA-BF4A-FCEACF693B2B}" type="presParOf" srcId="{F8224974-D328-4C8E-A744-41CC3B204F93}" destId="{CD1271A6-EAF9-4D0E-8BC0-F5022BEE84D5}" srcOrd="1" destOrd="0" presId="urn:microsoft.com/office/officeart/2005/8/layout/chevron2"/>
    <dgm:cxn modelId="{38101FE7-7B4A-404C-87D4-46D1AFF8031B}" type="presParOf" srcId="{BD853109-4D85-4000-BED4-EEC24D750ED4}" destId="{6932502D-1563-49EB-9147-0BF83C425A65}" srcOrd="7" destOrd="0" presId="urn:microsoft.com/office/officeart/2005/8/layout/chevron2"/>
    <dgm:cxn modelId="{7F2BC445-14D7-4106-A21D-5F126C2088C7}" type="presParOf" srcId="{BD853109-4D85-4000-BED4-EEC24D750ED4}" destId="{8D185033-FF48-499F-AC99-2FBB915CBC1D}" srcOrd="8" destOrd="0" presId="urn:microsoft.com/office/officeart/2005/8/layout/chevron2"/>
    <dgm:cxn modelId="{F3ABE759-3646-4B5F-A014-C71FD6433F12}" type="presParOf" srcId="{8D185033-FF48-499F-AC99-2FBB915CBC1D}" destId="{E6B43C46-4244-4DEE-BD04-212192EC5AF9}" srcOrd="0" destOrd="0" presId="urn:microsoft.com/office/officeart/2005/8/layout/chevron2"/>
    <dgm:cxn modelId="{1EF49F14-5857-4C1A-A6FB-81C8F7322CAC}" type="presParOf" srcId="{8D185033-FF48-499F-AC99-2FBB915CBC1D}" destId="{473FCF06-01E9-4908-B372-A53A687D11B0}" srcOrd="1" destOrd="0" presId="urn:microsoft.com/office/officeart/2005/8/layout/chevron2"/>
    <dgm:cxn modelId="{08CAF25D-2BD3-444D-8662-67A4EE88CCAA}" type="presParOf" srcId="{BD853109-4D85-4000-BED4-EEC24D750ED4}" destId="{3499CFAF-41FE-4723-8E28-45274A2E22A8}" srcOrd="9" destOrd="0" presId="urn:microsoft.com/office/officeart/2005/8/layout/chevron2"/>
    <dgm:cxn modelId="{BB923557-02F5-4A82-B23A-03B9575C717E}" type="presParOf" srcId="{BD853109-4D85-4000-BED4-EEC24D750ED4}" destId="{0D720A85-4719-4BAE-9D9B-EA50DFC7B6A4}" srcOrd="10" destOrd="0" presId="urn:microsoft.com/office/officeart/2005/8/layout/chevron2"/>
    <dgm:cxn modelId="{8D284282-1963-4EDB-A3D7-C9883AE9E173}" type="presParOf" srcId="{0D720A85-4719-4BAE-9D9B-EA50DFC7B6A4}" destId="{0B108BB5-124A-4FCD-8337-9D0D6389A3FD}" srcOrd="0" destOrd="0" presId="urn:microsoft.com/office/officeart/2005/8/layout/chevron2"/>
    <dgm:cxn modelId="{E860BFEF-ABFB-4DC5-9A53-A295284D162B}" type="presParOf" srcId="{0D720A85-4719-4BAE-9D9B-EA50DFC7B6A4}" destId="{CA813DB1-38EB-4956-93E3-551B98C3E03A}" srcOrd="1" destOrd="0" presId="urn:microsoft.com/office/officeart/2005/8/layout/chevron2"/>
  </dgm:cxnLst>
  <dgm:bg/>
  <dgm:whole/>
  <dgm:extLst>
    <a:ext uri="http://schemas.microsoft.com/office/drawing/2008/diagram">
      <dsp:dataModelExt xmlns:dsp="http://schemas.microsoft.com/office/drawing/2008/diagram" relId="rId4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BC1B2A5-6837-42E3-BE1A-39701BB31141}">
      <dsp:nvSpPr>
        <dsp:cNvPr id="0" name=""/>
        <dsp:cNvSpPr/>
      </dsp:nvSpPr>
      <dsp:spPr>
        <a:xfrm rot="5400000">
          <a:off x="-84187" y="85758"/>
          <a:ext cx="561248" cy="392874"/>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AU" sz="1000" kern="1200">
              <a:latin typeface="Arial" panose="020B0604020202020204" pitchFamily="34" charset="0"/>
              <a:cs typeface="Arial" panose="020B0604020202020204" pitchFamily="34" charset="0"/>
            </a:rPr>
            <a:t>1</a:t>
          </a:r>
        </a:p>
      </dsp:txBody>
      <dsp:txXfrm rot="-5400000">
        <a:off x="0" y="198008"/>
        <a:ext cx="392874" cy="168374"/>
      </dsp:txXfrm>
    </dsp:sp>
    <dsp:sp modelId="{426726A5-FF95-4BC2-80DC-B31E0CEECFB4}">
      <dsp:nvSpPr>
        <dsp:cNvPr id="0" name=""/>
        <dsp:cNvSpPr/>
      </dsp:nvSpPr>
      <dsp:spPr>
        <a:xfrm rot="5400000">
          <a:off x="2449573" y="-2055128"/>
          <a:ext cx="364811" cy="4478210"/>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AU" sz="1000" kern="1200">
              <a:latin typeface="Arial" panose="020B0604020202020204" pitchFamily="34" charset="0"/>
              <a:cs typeface="Arial" panose="020B0604020202020204" pitchFamily="34" charset="0"/>
            </a:rPr>
            <a:t>Draft recommendation</a:t>
          </a:r>
        </a:p>
      </dsp:txBody>
      <dsp:txXfrm rot="-5400000">
        <a:off x="392874" y="19380"/>
        <a:ext cx="4460401" cy="329193"/>
      </dsp:txXfrm>
    </dsp:sp>
    <dsp:sp modelId="{74C15F4E-F3F5-4057-B32E-062AF6190E4C}">
      <dsp:nvSpPr>
        <dsp:cNvPr id="0" name=""/>
        <dsp:cNvSpPr/>
      </dsp:nvSpPr>
      <dsp:spPr>
        <a:xfrm rot="5400000">
          <a:off x="-84187" y="541205"/>
          <a:ext cx="561248" cy="392874"/>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AU" sz="1000" kern="1200">
              <a:latin typeface="Arial" panose="020B0604020202020204" pitchFamily="34" charset="0"/>
              <a:cs typeface="Arial" panose="020B0604020202020204" pitchFamily="34" charset="0"/>
            </a:rPr>
            <a:t>2</a:t>
          </a:r>
        </a:p>
      </dsp:txBody>
      <dsp:txXfrm rot="-5400000">
        <a:off x="0" y="653455"/>
        <a:ext cx="392874" cy="168374"/>
      </dsp:txXfrm>
    </dsp:sp>
    <dsp:sp modelId="{01B6FE3D-441F-45A6-9F5C-F0F8C3FCC888}">
      <dsp:nvSpPr>
        <dsp:cNvPr id="0" name=""/>
        <dsp:cNvSpPr/>
      </dsp:nvSpPr>
      <dsp:spPr>
        <a:xfrm rot="5400000">
          <a:off x="2449573" y="-1599681"/>
          <a:ext cx="364811" cy="4478210"/>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AU" sz="1000" kern="1200">
              <a:latin typeface="Arial" panose="020B0604020202020204" pitchFamily="34" charset="0"/>
              <a:cs typeface="Arial" panose="020B0604020202020204" pitchFamily="34" charset="0"/>
            </a:rPr>
            <a:t>Final recommendation</a:t>
          </a:r>
        </a:p>
      </dsp:txBody>
      <dsp:txXfrm rot="-5400000">
        <a:off x="392874" y="474827"/>
        <a:ext cx="4460401" cy="329193"/>
      </dsp:txXfrm>
    </dsp:sp>
    <dsp:sp modelId="{4D1C0D6F-2B55-4404-B63A-50153F2CE93F}">
      <dsp:nvSpPr>
        <dsp:cNvPr id="0" name=""/>
        <dsp:cNvSpPr/>
      </dsp:nvSpPr>
      <dsp:spPr>
        <a:xfrm rot="5400000">
          <a:off x="-84187" y="996652"/>
          <a:ext cx="561248" cy="392874"/>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AU" sz="1000" kern="1200">
              <a:latin typeface="Arial" panose="020B0604020202020204" pitchFamily="34" charset="0"/>
              <a:cs typeface="Arial" panose="020B0604020202020204" pitchFamily="34" charset="0"/>
            </a:rPr>
            <a:t>3</a:t>
          </a:r>
        </a:p>
      </dsp:txBody>
      <dsp:txXfrm rot="-5400000">
        <a:off x="0" y="1108902"/>
        <a:ext cx="392874" cy="168374"/>
      </dsp:txXfrm>
    </dsp:sp>
    <dsp:sp modelId="{E9884CA2-F97A-4B4C-9CE6-D933F45B01EF}">
      <dsp:nvSpPr>
        <dsp:cNvPr id="0" name=""/>
        <dsp:cNvSpPr/>
      </dsp:nvSpPr>
      <dsp:spPr>
        <a:xfrm rot="5400000">
          <a:off x="2449573" y="-1144234"/>
          <a:ext cx="364811" cy="4478210"/>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AU" sz="1000" kern="1200">
              <a:latin typeface="Arial" panose="020B0604020202020204" pitchFamily="34" charset="0"/>
              <a:cs typeface="Arial" panose="020B0604020202020204" pitchFamily="34" charset="0"/>
            </a:rPr>
            <a:t>Re-allocation declaration</a:t>
          </a:r>
        </a:p>
      </dsp:txBody>
      <dsp:txXfrm rot="-5400000">
        <a:off x="392874" y="930274"/>
        <a:ext cx="4460401" cy="329193"/>
      </dsp:txXfrm>
    </dsp:sp>
    <dsp:sp modelId="{FAE15DBF-EBB1-407C-961C-3259CCF7D072}">
      <dsp:nvSpPr>
        <dsp:cNvPr id="0" name=""/>
        <dsp:cNvSpPr/>
      </dsp:nvSpPr>
      <dsp:spPr>
        <a:xfrm rot="5400000">
          <a:off x="-84187" y="1452098"/>
          <a:ext cx="561248" cy="392874"/>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AU" sz="1000" kern="1200">
              <a:latin typeface="Arial" panose="020B0604020202020204" pitchFamily="34" charset="0"/>
              <a:cs typeface="Arial" panose="020B0604020202020204" pitchFamily="34" charset="0"/>
            </a:rPr>
            <a:t>4</a:t>
          </a:r>
        </a:p>
      </dsp:txBody>
      <dsp:txXfrm rot="-5400000">
        <a:off x="0" y="1564348"/>
        <a:ext cx="392874" cy="168374"/>
      </dsp:txXfrm>
    </dsp:sp>
    <dsp:sp modelId="{CD1271A6-EAF9-4D0E-8BC0-F5022BEE84D5}">
      <dsp:nvSpPr>
        <dsp:cNvPr id="0" name=""/>
        <dsp:cNvSpPr/>
      </dsp:nvSpPr>
      <dsp:spPr>
        <a:xfrm rot="5400000">
          <a:off x="2449573" y="-688788"/>
          <a:ext cx="364811" cy="4478210"/>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AU" sz="1000" kern="1200">
              <a:latin typeface="Arial" panose="020B0604020202020204" pitchFamily="34" charset="0"/>
              <a:cs typeface="Arial" panose="020B0604020202020204" pitchFamily="34" charset="0"/>
            </a:rPr>
            <a:t>Draft allocation instruments</a:t>
          </a:r>
        </a:p>
      </dsp:txBody>
      <dsp:txXfrm rot="-5400000">
        <a:off x="392874" y="1385720"/>
        <a:ext cx="4460401" cy="329193"/>
      </dsp:txXfrm>
    </dsp:sp>
    <dsp:sp modelId="{E6B43C46-4244-4DEE-BD04-212192EC5AF9}">
      <dsp:nvSpPr>
        <dsp:cNvPr id="0" name=""/>
        <dsp:cNvSpPr/>
      </dsp:nvSpPr>
      <dsp:spPr>
        <a:xfrm rot="5400000">
          <a:off x="-84187" y="1907545"/>
          <a:ext cx="561248" cy="392874"/>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AU" sz="1000" kern="1200">
              <a:latin typeface="Arial" panose="020B0604020202020204" pitchFamily="34" charset="0"/>
              <a:cs typeface="Arial" panose="020B0604020202020204" pitchFamily="34" charset="0"/>
            </a:rPr>
            <a:t>5</a:t>
          </a:r>
        </a:p>
      </dsp:txBody>
      <dsp:txXfrm rot="-5400000">
        <a:off x="0" y="2019795"/>
        <a:ext cx="392874" cy="168374"/>
      </dsp:txXfrm>
    </dsp:sp>
    <dsp:sp modelId="{473FCF06-01E9-4908-B372-A53A687D11B0}">
      <dsp:nvSpPr>
        <dsp:cNvPr id="0" name=""/>
        <dsp:cNvSpPr/>
      </dsp:nvSpPr>
      <dsp:spPr>
        <a:xfrm rot="5400000">
          <a:off x="2449573" y="-233341"/>
          <a:ext cx="364811" cy="4478210"/>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AU" sz="1000" kern="1200">
              <a:latin typeface="Arial" panose="020B0604020202020204" pitchFamily="34" charset="0"/>
              <a:cs typeface="Arial" panose="020B0604020202020204" pitchFamily="34" charset="0"/>
            </a:rPr>
            <a:t>Final allocation instruments</a:t>
          </a:r>
        </a:p>
      </dsp:txBody>
      <dsp:txXfrm rot="-5400000">
        <a:off x="392874" y="1841167"/>
        <a:ext cx="4460401" cy="329193"/>
      </dsp:txXfrm>
    </dsp:sp>
    <dsp:sp modelId="{0B108BB5-124A-4FCD-8337-9D0D6389A3FD}">
      <dsp:nvSpPr>
        <dsp:cNvPr id="0" name=""/>
        <dsp:cNvSpPr/>
      </dsp:nvSpPr>
      <dsp:spPr>
        <a:xfrm rot="5400000">
          <a:off x="-84187" y="2362992"/>
          <a:ext cx="561248" cy="392874"/>
        </a:xfrm>
        <a:prstGeom prst="chevron">
          <a:avLst/>
        </a:prstGeom>
        <a:solidFill>
          <a:schemeClr val="accen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AU" sz="1000" kern="1200">
              <a:latin typeface="Arial" panose="020B0604020202020204" pitchFamily="34" charset="0"/>
              <a:cs typeface="Arial" panose="020B0604020202020204" pitchFamily="34" charset="0"/>
            </a:rPr>
            <a:t>6</a:t>
          </a:r>
        </a:p>
      </dsp:txBody>
      <dsp:txXfrm rot="-5400000">
        <a:off x="0" y="2475242"/>
        <a:ext cx="392874" cy="168374"/>
      </dsp:txXfrm>
    </dsp:sp>
    <dsp:sp modelId="{CA813DB1-38EB-4956-93E3-551B98C3E03A}">
      <dsp:nvSpPr>
        <dsp:cNvPr id="0" name=""/>
        <dsp:cNvSpPr/>
      </dsp:nvSpPr>
      <dsp:spPr>
        <a:xfrm rot="5400000">
          <a:off x="2449573" y="222105"/>
          <a:ext cx="364811" cy="4478210"/>
        </a:xfrm>
        <a:prstGeom prst="round2Same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71120" tIns="6350" rIns="6350" bIns="6350" numCol="1" spcCol="1270" anchor="ctr" anchorCtr="0">
          <a:noAutofit/>
        </a:bodyPr>
        <a:lstStyle/>
        <a:p>
          <a:pPr marL="57150" lvl="1" indent="-57150" algn="l" defTabSz="444500">
            <a:lnSpc>
              <a:spcPct val="90000"/>
            </a:lnSpc>
            <a:spcBef>
              <a:spcPct val="0"/>
            </a:spcBef>
            <a:spcAft>
              <a:spcPct val="15000"/>
            </a:spcAft>
            <a:buChar char="•"/>
          </a:pPr>
          <a:r>
            <a:rPr lang="en-AU" sz="1000" kern="1200">
              <a:latin typeface="Arial" panose="020B0604020202020204" pitchFamily="34" charset="0"/>
              <a:cs typeface="Arial" panose="020B0604020202020204" pitchFamily="34" charset="0"/>
            </a:rPr>
            <a:t>Allocation</a:t>
          </a:r>
        </a:p>
      </dsp:txBody>
      <dsp:txXfrm rot="-5400000">
        <a:off x="392874" y="2296614"/>
        <a:ext cx="4460401" cy="329193"/>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BDDA2E-8457-4CD5-A569-B9D23A8A83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49</Pages>
  <Words>16402</Words>
  <Characters>93493</Characters>
  <Application>Microsoft Office Word</Application>
  <DocSecurity>0</DocSecurity>
  <Lines>779</Lines>
  <Paragraphs>219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109676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2020-05-12T01:47:00Z</dcterms:created>
  <dcterms:modified xsi:type="dcterms:W3CDTF">2020-05-12T23:54:00Z</dcterms:modified>
  <cp:category/>
</cp:coreProperties>
</file>