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svg" ContentType="image/svg+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header5.xml" ContentType="application/vnd.openxmlformats-officedocument.wordprocessingml.header+xml"/>
  <Override PartName="/word/header6.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7.xml" ContentType="application/vnd.openxmlformats-officedocument.wordprocessingml.header+xml"/>
  <Override PartName="/word/header8.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0DF2435" w14:textId="52F638C7" w:rsidR="00F06E14" w:rsidRPr="00702EA1" w:rsidRDefault="00966D39" w:rsidP="00A51D1A">
      <w:pPr>
        <w:pStyle w:val="Reporttitle"/>
      </w:pPr>
      <w:r>
        <w:t>ACMA compliance priority 2020</w:t>
      </w:r>
      <w:r w:rsidR="00EC28BF">
        <w:t>–</w:t>
      </w:r>
      <w:r>
        <w:t>21</w:t>
      </w:r>
    </w:p>
    <w:p w14:paraId="3B7CF8CB" w14:textId="465A32AD" w:rsidR="00F06E14" w:rsidRPr="00702EA1" w:rsidRDefault="00966D39" w:rsidP="00F06E14">
      <w:pPr>
        <w:pStyle w:val="Reportsubtitle"/>
      </w:pPr>
      <w:r>
        <w:t>Online casino services targeting Australians</w:t>
      </w:r>
    </w:p>
    <w:p w14:paraId="4461612F" w14:textId="51456751" w:rsidR="00C97736" w:rsidRPr="00702EA1" w:rsidRDefault="00C32778" w:rsidP="00EC2B68">
      <w:pPr>
        <w:pStyle w:val="Reportdate"/>
        <w:spacing w:after="720"/>
        <w:rPr>
          <w:rFonts w:cs="Arial"/>
        </w:rPr>
        <w:sectPr w:rsidR="00C97736" w:rsidRPr="00702EA1" w:rsidSect="005E250B">
          <w:headerReference w:type="default" r:id="rId8"/>
          <w:footerReference w:type="default" r:id="rId9"/>
          <w:headerReference w:type="first" r:id="rId10"/>
          <w:pgSz w:w="11906" w:h="16838" w:code="9"/>
          <w:pgMar w:top="3924" w:right="992" w:bottom="1440" w:left="1134" w:header="709" w:footer="454" w:gutter="0"/>
          <w:cols w:space="708"/>
          <w:docGrid w:linePitch="360"/>
        </w:sectPr>
      </w:pPr>
      <w:r>
        <w:t>NOVEMBER</w:t>
      </w:r>
      <w:r w:rsidRPr="00702EA1">
        <w:t xml:space="preserve"> </w:t>
      </w:r>
      <w:r w:rsidR="00BD4421" w:rsidRPr="00702EA1">
        <w:t>20</w:t>
      </w:r>
      <w:r w:rsidR="000971BD" w:rsidRPr="00702EA1">
        <w:t>2</w:t>
      </w:r>
      <w:r w:rsidR="00D42EF0" w:rsidRPr="00702EA1">
        <w:t>1</w:t>
      </w:r>
    </w:p>
    <w:p w14:paraId="66DA0EF4" w14:textId="77777777" w:rsidR="00284A74" w:rsidRPr="00702EA1" w:rsidRDefault="00284A74" w:rsidP="00284A74">
      <w:pPr>
        <w:pStyle w:val="ACMACorporateAddressHeader"/>
      </w:pPr>
      <w:r w:rsidRPr="00702EA1">
        <w:lastRenderedPageBreak/>
        <w:t>Canberra</w:t>
      </w:r>
    </w:p>
    <w:p w14:paraId="567CA066" w14:textId="77777777" w:rsidR="00284A74" w:rsidRPr="00702EA1" w:rsidRDefault="00284A74" w:rsidP="00284A74">
      <w:pPr>
        <w:pStyle w:val="ACMACorporateAddresses"/>
      </w:pPr>
      <w:r w:rsidRPr="00702EA1">
        <w:t xml:space="preserve">Red Building </w:t>
      </w:r>
      <w:r w:rsidRPr="00702EA1">
        <w:br/>
        <w:t>Benjamin Offices</w:t>
      </w:r>
      <w:r w:rsidRPr="00702EA1">
        <w:br/>
        <w:t xml:space="preserve">Chan Street </w:t>
      </w:r>
      <w:r w:rsidRPr="00702EA1">
        <w:br/>
        <w:t>Belconnen ACT</w:t>
      </w:r>
    </w:p>
    <w:p w14:paraId="06224944" w14:textId="77777777" w:rsidR="00284A74" w:rsidRPr="00702EA1" w:rsidRDefault="00284A74" w:rsidP="00284A74">
      <w:pPr>
        <w:pStyle w:val="ACMACorporateAddresses"/>
      </w:pPr>
      <w:r w:rsidRPr="00702EA1">
        <w:t>PO Box 78</w:t>
      </w:r>
      <w:r w:rsidRPr="00702EA1">
        <w:br/>
        <w:t>Belconnen ACT 2616</w:t>
      </w:r>
    </w:p>
    <w:p w14:paraId="6C6171DE" w14:textId="77777777" w:rsidR="00284A74" w:rsidRPr="00702EA1" w:rsidRDefault="00284A74" w:rsidP="00284A74">
      <w:pPr>
        <w:pStyle w:val="ACMACorporateAddresses"/>
      </w:pPr>
      <w:r w:rsidRPr="00702EA1">
        <w:t>T</w:t>
      </w:r>
      <w:r w:rsidRPr="00702EA1">
        <w:tab/>
        <w:t>+61 2 6219 5555</w:t>
      </w:r>
      <w:r w:rsidRPr="00702EA1">
        <w:br/>
        <w:t>F</w:t>
      </w:r>
      <w:r w:rsidRPr="00702EA1">
        <w:tab/>
        <w:t>+61 2 6219 5353</w:t>
      </w:r>
    </w:p>
    <w:p w14:paraId="715A4C61" w14:textId="77777777" w:rsidR="00284A74" w:rsidRPr="00702EA1" w:rsidRDefault="00284A74" w:rsidP="00284A74">
      <w:pPr>
        <w:pStyle w:val="ACMACorporateAddressHeader"/>
      </w:pPr>
      <w:r w:rsidRPr="00702EA1">
        <w:t>Melbourne</w:t>
      </w:r>
    </w:p>
    <w:p w14:paraId="30311376" w14:textId="77777777" w:rsidR="00284A74" w:rsidRPr="00702EA1" w:rsidRDefault="00284A74" w:rsidP="00284A74">
      <w:pPr>
        <w:pStyle w:val="ACMACorporateAddresses"/>
      </w:pPr>
      <w:r w:rsidRPr="00702EA1">
        <w:t xml:space="preserve">Level 32 </w:t>
      </w:r>
      <w:r w:rsidRPr="00702EA1">
        <w:br/>
        <w:t>Melbourne Central Tower</w:t>
      </w:r>
      <w:r w:rsidRPr="00702EA1">
        <w:br/>
        <w:t xml:space="preserve">360 Elizabeth Street </w:t>
      </w:r>
      <w:r w:rsidRPr="00702EA1">
        <w:br/>
        <w:t>Melbourne VIC</w:t>
      </w:r>
    </w:p>
    <w:p w14:paraId="65C450D5" w14:textId="77777777" w:rsidR="00284A74" w:rsidRPr="00702EA1" w:rsidRDefault="00284A74" w:rsidP="00284A74">
      <w:pPr>
        <w:pStyle w:val="ACMACorporateAddresses"/>
      </w:pPr>
      <w:r w:rsidRPr="00702EA1">
        <w:t>PO Box 13112</w:t>
      </w:r>
      <w:r w:rsidRPr="00702EA1">
        <w:br/>
        <w:t xml:space="preserve">Law Courts </w:t>
      </w:r>
      <w:r w:rsidRPr="00702EA1">
        <w:br/>
        <w:t>Melbourne VIC 8010</w:t>
      </w:r>
    </w:p>
    <w:p w14:paraId="375DF9B5" w14:textId="77777777" w:rsidR="00284A74" w:rsidRPr="00702EA1" w:rsidRDefault="00284A74" w:rsidP="00284A74">
      <w:pPr>
        <w:pStyle w:val="ACMACorporateAddresses"/>
      </w:pPr>
      <w:r w:rsidRPr="00702EA1">
        <w:t>T</w:t>
      </w:r>
      <w:r w:rsidRPr="00702EA1">
        <w:tab/>
        <w:t>+61 3 9963 6800</w:t>
      </w:r>
      <w:r w:rsidRPr="00702EA1">
        <w:br/>
        <w:t>F</w:t>
      </w:r>
      <w:r w:rsidRPr="00702EA1">
        <w:tab/>
        <w:t>+61 3 9963 6899</w:t>
      </w:r>
    </w:p>
    <w:p w14:paraId="2B417809" w14:textId="77777777" w:rsidR="00284A74" w:rsidRPr="00702EA1" w:rsidRDefault="00284A74" w:rsidP="00284A74">
      <w:pPr>
        <w:pStyle w:val="ACMACorporateAddressHeader"/>
      </w:pPr>
      <w:r w:rsidRPr="00702EA1">
        <w:t>Sydney</w:t>
      </w:r>
    </w:p>
    <w:p w14:paraId="09A6BE99" w14:textId="77777777" w:rsidR="00284A74" w:rsidRPr="00702EA1" w:rsidRDefault="00284A74" w:rsidP="00284A74">
      <w:pPr>
        <w:pStyle w:val="ACMACorporateAddresses"/>
      </w:pPr>
      <w:r w:rsidRPr="00702EA1">
        <w:t xml:space="preserve">Level 5 </w:t>
      </w:r>
      <w:r w:rsidRPr="00702EA1">
        <w:br/>
        <w:t>The Bay Centre</w:t>
      </w:r>
      <w:r w:rsidRPr="00702EA1">
        <w:br/>
        <w:t xml:space="preserve">65 Pirrama Road </w:t>
      </w:r>
      <w:r w:rsidRPr="00702EA1">
        <w:br/>
        <w:t>Pyrmont NSW</w:t>
      </w:r>
    </w:p>
    <w:p w14:paraId="5CEAB871" w14:textId="77777777" w:rsidR="00284A74" w:rsidRPr="00702EA1" w:rsidRDefault="00284A74" w:rsidP="00284A74">
      <w:pPr>
        <w:pStyle w:val="ACMACorporateAddresses"/>
      </w:pPr>
      <w:r w:rsidRPr="00702EA1">
        <w:t>PO Box Q500</w:t>
      </w:r>
      <w:r w:rsidRPr="00702EA1">
        <w:br/>
        <w:t xml:space="preserve">Queen Victoria Building </w:t>
      </w:r>
      <w:r w:rsidRPr="00702EA1">
        <w:br/>
        <w:t>NSW 1230</w:t>
      </w:r>
    </w:p>
    <w:p w14:paraId="33B29E1E" w14:textId="77777777" w:rsidR="00284A74" w:rsidRPr="00702EA1" w:rsidRDefault="00284A74" w:rsidP="00284A74">
      <w:pPr>
        <w:pStyle w:val="ACMACorporateAddresses"/>
      </w:pPr>
      <w:r w:rsidRPr="00702EA1">
        <w:t>T</w:t>
      </w:r>
      <w:r w:rsidRPr="00702EA1">
        <w:tab/>
        <w:t>+61 2 9334 7700</w:t>
      </w:r>
      <w:r w:rsidRPr="00702EA1">
        <w:br/>
        <w:t>F</w:t>
      </w:r>
      <w:r w:rsidRPr="00702EA1">
        <w:tab/>
        <w:t>+61 2 9334 7799</w:t>
      </w:r>
    </w:p>
    <w:p w14:paraId="6668C148" w14:textId="77777777" w:rsidR="00284A74" w:rsidRPr="00702EA1" w:rsidRDefault="00284A74" w:rsidP="00284A74">
      <w:pPr>
        <w:pStyle w:val="ACMACopyrightHeader"/>
      </w:pPr>
      <w:r w:rsidRPr="00702EA1">
        <w:t>Copyright notice</w:t>
      </w:r>
    </w:p>
    <w:p w14:paraId="5BCBE5EF" w14:textId="77777777" w:rsidR="00284A74" w:rsidRPr="00702EA1" w:rsidRDefault="00284A74" w:rsidP="00284A74">
      <w:pPr>
        <w:pStyle w:val="ACMACClogo"/>
      </w:pPr>
      <w:r w:rsidRPr="00702EA1">
        <w:rPr>
          <w:noProof/>
        </w:rPr>
        <w:drawing>
          <wp:inline distT="0" distB="0" distL="0" distR="0" wp14:anchorId="2DF7A484" wp14:editId="106F26F6">
            <wp:extent cx="838200" cy="295275"/>
            <wp:effectExtent l="0" t="0" r="0" b="0"/>
            <wp:docPr id="1" name="Picture 1" title="Creative Commons logo">
              <a:hlinkClick xmlns:a="http://schemas.openxmlformats.org/drawingml/2006/main" r:id="rId1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by">
                      <a:hlinkClick r:id="rId11"/>
                    </pic:cNvPr>
                    <pic:cNvPicPr>
                      <a:picLocks noChangeAspect="1" noChangeArrowheads="1"/>
                    </pic:cNvPicPr>
                  </pic:nvPicPr>
                  <pic:blipFill>
                    <a:blip r:embed="rId12" cstate="print"/>
                    <a:srcRect/>
                    <a:stretch>
                      <a:fillRect/>
                    </a:stretch>
                  </pic:blipFill>
                  <pic:spPr bwMode="auto">
                    <a:xfrm>
                      <a:off x="0" y="0"/>
                      <a:ext cx="838200" cy="295275"/>
                    </a:xfrm>
                    <a:prstGeom prst="rect">
                      <a:avLst/>
                    </a:prstGeom>
                    <a:noFill/>
                  </pic:spPr>
                </pic:pic>
              </a:graphicData>
            </a:graphic>
          </wp:inline>
        </w:drawing>
      </w:r>
    </w:p>
    <w:p w14:paraId="3840E88D" w14:textId="77777777" w:rsidR="00284A74" w:rsidRPr="00702EA1" w:rsidRDefault="00866D7E" w:rsidP="00284A74">
      <w:pPr>
        <w:pStyle w:val="ACMACorporateAddresses"/>
        <w:rPr>
          <w:rStyle w:val="Hyperlink"/>
        </w:rPr>
      </w:pPr>
      <w:hyperlink r:id="rId13" w:history="1">
        <w:r w:rsidR="00284A74" w:rsidRPr="00702EA1">
          <w:rPr>
            <w:rStyle w:val="Hyperlink"/>
          </w:rPr>
          <w:t>https://creativecommons.org/licenses/by/4.0/</w:t>
        </w:r>
      </w:hyperlink>
    </w:p>
    <w:p w14:paraId="2D264430" w14:textId="77777777" w:rsidR="00284A74" w:rsidRPr="00702EA1" w:rsidRDefault="00284A74" w:rsidP="00284A74">
      <w:pPr>
        <w:pStyle w:val="ACMACorporateAddresses"/>
      </w:pPr>
      <w:r w:rsidRPr="00702EA1">
        <w:t xml:space="preserve">With the exception of coats of arms, logos, emblems, images, other third-party material or devices protected by a trademark, this content is made available under the terms of the Creative Commons Attribution 4.0 International (CC BY 4.0) licence. </w:t>
      </w:r>
    </w:p>
    <w:p w14:paraId="3012AC8C" w14:textId="77777777" w:rsidR="00284A74" w:rsidRPr="00702EA1" w:rsidRDefault="00284A74" w:rsidP="00284A74">
      <w:pPr>
        <w:pStyle w:val="ACMACorporateAddresses"/>
      </w:pPr>
      <w:r w:rsidRPr="00702EA1">
        <w:t>We request attribution as © Commonwealth of Australia (Australian Communications and Media Authority) 2021.</w:t>
      </w:r>
    </w:p>
    <w:p w14:paraId="577238CC" w14:textId="77777777" w:rsidR="00284A74" w:rsidRPr="00702EA1" w:rsidRDefault="00284A74" w:rsidP="00284A74">
      <w:pPr>
        <w:pStyle w:val="ACMACorporateAddresses"/>
      </w:pPr>
      <w:r w:rsidRPr="00702EA1">
        <w:t>All other rights are reserved.</w:t>
      </w:r>
    </w:p>
    <w:p w14:paraId="53F9BDF4" w14:textId="77777777" w:rsidR="00284A74" w:rsidRPr="00702EA1" w:rsidRDefault="00284A74" w:rsidP="00284A74">
      <w:pPr>
        <w:pStyle w:val="ACMACorporateAddresses"/>
      </w:pPr>
      <w:r w:rsidRPr="00702EA1">
        <w:t xml:space="preserve">The Australian Communications and Media Authority has undertaken reasonable enquiries to identify material owned by third parties and secure permission for its reproduction. Permission may need to be obtained from third parties to re-use their material. </w:t>
      </w:r>
    </w:p>
    <w:p w14:paraId="2EF91D4C" w14:textId="77777777" w:rsidR="00284A74" w:rsidRPr="00702EA1" w:rsidRDefault="00284A74" w:rsidP="00284A74">
      <w:pPr>
        <w:pStyle w:val="ACMACorporateAddresses"/>
      </w:pPr>
      <w:r w:rsidRPr="00702EA1">
        <w:t>Written enquiries may be sent to:</w:t>
      </w:r>
    </w:p>
    <w:p w14:paraId="25E5B66A" w14:textId="77777777" w:rsidR="00284A74" w:rsidRPr="00702EA1" w:rsidRDefault="00284A74" w:rsidP="00284A74">
      <w:pPr>
        <w:pStyle w:val="ACMACorporateAddresses"/>
        <w:rPr>
          <w:rStyle w:val="Hyperlink"/>
        </w:rPr>
      </w:pPr>
      <w:r w:rsidRPr="00702EA1">
        <w:t>Manager, Editorial Services</w:t>
      </w:r>
      <w:r w:rsidRPr="00702EA1">
        <w:br/>
        <w:t>PO Box 13112</w:t>
      </w:r>
      <w:r w:rsidRPr="00702EA1">
        <w:br/>
        <w:t>Law Courts</w:t>
      </w:r>
      <w:r w:rsidRPr="00702EA1">
        <w:br/>
        <w:t>Melbourne VIC 8010</w:t>
      </w:r>
      <w:r w:rsidRPr="00702EA1">
        <w:br/>
        <w:t xml:space="preserve">Email: </w:t>
      </w:r>
      <w:hyperlink r:id="rId14" w:history="1">
        <w:r w:rsidRPr="00702EA1">
          <w:rPr>
            <w:rStyle w:val="Hyperlink"/>
          </w:rPr>
          <w:t>info@acma.gov.au</w:t>
        </w:r>
      </w:hyperlink>
    </w:p>
    <w:p w14:paraId="7893D71F" w14:textId="77777777" w:rsidR="00D16FE3" w:rsidRPr="00702EA1" w:rsidRDefault="00D16FE3" w:rsidP="00D16FE3">
      <w:pPr>
        <w:pStyle w:val="ACMACorporateAddresses"/>
        <w:sectPr w:rsidR="00D16FE3" w:rsidRPr="00702EA1">
          <w:headerReference w:type="even" r:id="rId15"/>
          <w:headerReference w:type="default" r:id="rId16"/>
          <w:footerReference w:type="even" r:id="rId17"/>
          <w:footerReference w:type="default" r:id="rId18"/>
          <w:pgSz w:w="11906" w:h="16838" w:code="9"/>
          <w:pgMar w:top="3924" w:right="1797" w:bottom="697" w:left="1134" w:header="709" w:footer="119" w:gutter="0"/>
          <w:cols w:space="708"/>
          <w:docGrid w:linePitch="360"/>
        </w:sectPr>
      </w:pPr>
    </w:p>
    <w:p w14:paraId="55115EA7" w14:textId="1ECB4D58" w:rsidR="00DF3593" w:rsidRDefault="00DF0799">
      <w:pPr>
        <w:pStyle w:val="TOC1"/>
        <w:rPr>
          <w:rFonts w:asciiTheme="minorHAnsi" w:eastAsiaTheme="minorEastAsia" w:hAnsiTheme="minorHAnsi" w:cstheme="minorBidi"/>
          <w:b w:val="0"/>
          <w:spacing w:val="0"/>
          <w:sz w:val="22"/>
          <w:szCs w:val="22"/>
        </w:rPr>
      </w:pPr>
      <w:r>
        <w:rPr>
          <w:rFonts w:cs="Arial"/>
        </w:rPr>
        <w:lastRenderedPageBreak/>
        <w:fldChar w:fldCharType="begin"/>
      </w:r>
      <w:r>
        <w:rPr>
          <w:rFonts w:cs="Arial"/>
        </w:rPr>
        <w:instrText xml:space="preserve"> TOC \o "1-3" \h \z \t "Exec summary heading,1" </w:instrText>
      </w:r>
      <w:r>
        <w:rPr>
          <w:rFonts w:cs="Arial"/>
        </w:rPr>
        <w:fldChar w:fldCharType="separate"/>
      </w:r>
      <w:hyperlink w:anchor="_Toc82445703" w:history="1">
        <w:r w:rsidR="00DF3593" w:rsidRPr="007F4289">
          <w:rPr>
            <w:rStyle w:val="Hyperlink"/>
          </w:rPr>
          <w:t>Executive summary</w:t>
        </w:r>
        <w:r w:rsidR="00DF3593">
          <w:rPr>
            <w:webHidden/>
          </w:rPr>
          <w:tab/>
        </w:r>
        <w:r w:rsidR="00DF3593">
          <w:rPr>
            <w:webHidden/>
          </w:rPr>
          <w:fldChar w:fldCharType="begin"/>
        </w:r>
        <w:r w:rsidR="00DF3593">
          <w:rPr>
            <w:webHidden/>
          </w:rPr>
          <w:instrText xml:space="preserve"> PAGEREF _Toc82445703 \h </w:instrText>
        </w:r>
        <w:r w:rsidR="00DF3593">
          <w:rPr>
            <w:webHidden/>
          </w:rPr>
        </w:r>
        <w:r w:rsidR="00DF3593">
          <w:rPr>
            <w:webHidden/>
          </w:rPr>
          <w:fldChar w:fldCharType="separate"/>
        </w:r>
        <w:r w:rsidR="0059116C">
          <w:rPr>
            <w:webHidden/>
          </w:rPr>
          <w:t>1</w:t>
        </w:r>
        <w:r w:rsidR="00DF3593">
          <w:rPr>
            <w:webHidden/>
          </w:rPr>
          <w:fldChar w:fldCharType="end"/>
        </w:r>
      </w:hyperlink>
    </w:p>
    <w:p w14:paraId="166915A5" w14:textId="36316BD3" w:rsidR="00DF3593" w:rsidRDefault="00866D7E">
      <w:pPr>
        <w:pStyle w:val="TOC2"/>
        <w:rPr>
          <w:rFonts w:asciiTheme="minorHAnsi" w:eastAsiaTheme="minorEastAsia" w:hAnsiTheme="minorHAnsi" w:cstheme="minorBidi"/>
          <w:spacing w:val="0"/>
          <w:sz w:val="22"/>
          <w:szCs w:val="22"/>
        </w:rPr>
      </w:pPr>
      <w:hyperlink w:anchor="_Toc82445704" w:history="1">
        <w:r w:rsidR="00DF3593" w:rsidRPr="007F4289">
          <w:rPr>
            <w:rStyle w:val="Hyperlink"/>
          </w:rPr>
          <w:t>Summary of key outcomes</w:t>
        </w:r>
        <w:r w:rsidR="00DF3593">
          <w:rPr>
            <w:webHidden/>
          </w:rPr>
          <w:tab/>
        </w:r>
        <w:r w:rsidR="00DF3593">
          <w:rPr>
            <w:webHidden/>
          </w:rPr>
          <w:fldChar w:fldCharType="begin"/>
        </w:r>
        <w:r w:rsidR="00DF3593">
          <w:rPr>
            <w:webHidden/>
          </w:rPr>
          <w:instrText xml:space="preserve"> PAGEREF _Toc82445704 \h </w:instrText>
        </w:r>
        <w:r w:rsidR="00DF3593">
          <w:rPr>
            <w:webHidden/>
          </w:rPr>
        </w:r>
        <w:r w:rsidR="00DF3593">
          <w:rPr>
            <w:webHidden/>
          </w:rPr>
          <w:fldChar w:fldCharType="separate"/>
        </w:r>
        <w:r w:rsidR="0059116C">
          <w:rPr>
            <w:webHidden/>
          </w:rPr>
          <w:t>1</w:t>
        </w:r>
        <w:r w:rsidR="00DF3593">
          <w:rPr>
            <w:webHidden/>
          </w:rPr>
          <w:fldChar w:fldCharType="end"/>
        </w:r>
      </w:hyperlink>
    </w:p>
    <w:p w14:paraId="587020C6" w14:textId="403E2C61" w:rsidR="00DF3593" w:rsidRDefault="00866D7E">
      <w:pPr>
        <w:pStyle w:val="TOC1"/>
        <w:rPr>
          <w:rFonts w:asciiTheme="minorHAnsi" w:eastAsiaTheme="minorEastAsia" w:hAnsiTheme="minorHAnsi" w:cstheme="minorBidi"/>
          <w:b w:val="0"/>
          <w:spacing w:val="0"/>
          <w:sz w:val="22"/>
          <w:szCs w:val="22"/>
        </w:rPr>
      </w:pPr>
      <w:hyperlink w:anchor="_Toc82445705" w:history="1">
        <w:r w:rsidR="00DF3593" w:rsidRPr="007F4289">
          <w:rPr>
            <w:rStyle w:val="Hyperlink"/>
          </w:rPr>
          <w:t>Background</w:t>
        </w:r>
        <w:r w:rsidR="00DF3593">
          <w:rPr>
            <w:webHidden/>
          </w:rPr>
          <w:tab/>
        </w:r>
        <w:r w:rsidR="00DF3593">
          <w:rPr>
            <w:webHidden/>
          </w:rPr>
          <w:fldChar w:fldCharType="begin"/>
        </w:r>
        <w:r w:rsidR="00DF3593">
          <w:rPr>
            <w:webHidden/>
          </w:rPr>
          <w:instrText xml:space="preserve"> PAGEREF _Toc82445705 \h </w:instrText>
        </w:r>
        <w:r w:rsidR="00DF3593">
          <w:rPr>
            <w:webHidden/>
          </w:rPr>
        </w:r>
        <w:r w:rsidR="00DF3593">
          <w:rPr>
            <w:webHidden/>
          </w:rPr>
          <w:fldChar w:fldCharType="separate"/>
        </w:r>
        <w:r w:rsidR="0059116C">
          <w:rPr>
            <w:webHidden/>
          </w:rPr>
          <w:t>2</w:t>
        </w:r>
        <w:r w:rsidR="00DF3593">
          <w:rPr>
            <w:webHidden/>
          </w:rPr>
          <w:fldChar w:fldCharType="end"/>
        </w:r>
      </w:hyperlink>
    </w:p>
    <w:p w14:paraId="60A630DB" w14:textId="0A98FC36" w:rsidR="00DF3593" w:rsidRDefault="00866D7E">
      <w:pPr>
        <w:pStyle w:val="TOC2"/>
        <w:rPr>
          <w:rFonts w:asciiTheme="minorHAnsi" w:eastAsiaTheme="minorEastAsia" w:hAnsiTheme="minorHAnsi" w:cstheme="minorBidi"/>
          <w:spacing w:val="0"/>
          <w:sz w:val="22"/>
          <w:szCs w:val="22"/>
        </w:rPr>
      </w:pPr>
      <w:hyperlink w:anchor="_Toc82445706" w:history="1">
        <w:r w:rsidR="00DF3593" w:rsidRPr="007F4289">
          <w:rPr>
            <w:rStyle w:val="Hyperlink"/>
          </w:rPr>
          <w:t>ACMA responsibilities under the IGA</w:t>
        </w:r>
        <w:r w:rsidR="00DF3593">
          <w:rPr>
            <w:webHidden/>
          </w:rPr>
          <w:tab/>
        </w:r>
        <w:r w:rsidR="00DF3593">
          <w:rPr>
            <w:webHidden/>
          </w:rPr>
          <w:fldChar w:fldCharType="begin"/>
        </w:r>
        <w:r w:rsidR="00DF3593">
          <w:rPr>
            <w:webHidden/>
          </w:rPr>
          <w:instrText xml:space="preserve"> PAGEREF _Toc82445706 \h </w:instrText>
        </w:r>
        <w:r w:rsidR="00DF3593">
          <w:rPr>
            <w:webHidden/>
          </w:rPr>
        </w:r>
        <w:r w:rsidR="00DF3593">
          <w:rPr>
            <w:webHidden/>
          </w:rPr>
          <w:fldChar w:fldCharType="separate"/>
        </w:r>
        <w:r w:rsidR="0059116C">
          <w:rPr>
            <w:webHidden/>
          </w:rPr>
          <w:t>2</w:t>
        </w:r>
        <w:r w:rsidR="00DF3593">
          <w:rPr>
            <w:webHidden/>
          </w:rPr>
          <w:fldChar w:fldCharType="end"/>
        </w:r>
      </w:hyperlink>
    </w:p>
    <w:p w14:paraId="62AD3519" w14:textId="0D6ED8CB" w:rsidR="00DF3593" w:rsidRDefault="00866D7E">
      <w:pPr>
        <w:pStyle w:val="TOC2"/>
        <w:rPr>
          <w:rFonts w:asciiTheme="minorHAnsi" w:eastAsiaTheme="minorEastAsia" w:hAnsiTheme="minorHAnsi" w:cstheme="minorBidi"/>
          <w:spacing w:val="0"/>
          <w:sz w:val="22"/>
          <w:szCs w:val="22"/>
        </w:rPr>
      </w:pPr>
      <w:hyperlink w:anchor="_Toc82445707" w:history="1">
        <w:r w:rsidR="00DF3593" w:rsidRPr="007F4289">
          <w:rPr>
            <w:rStyle w:val="Hyperlink"/>
          </w:rPr>
          <w:t>Compliance priority – online casinos that target Australia</w:t>
        </w:r>
        <w:r w:rsidR="00DF3593">
          <w:rPr>
            <w:webHidden/>
          </w:rPr>
          <w:tab/>
        </w:r>
        <w:r w:rsidR="00DF3593">
          <w:rPr>
            <w:webHidden/>
          </w:rPr>
          <w:fldChar w:fldCharType="begin"/>
        </w:r>
        <w:r w:rsidR="00DF3593">
          <w:rPr>
            <w:webHidden/>
          </w:rPr>
          <w:instrText xml:space="preserve"> PAGEREF _Toc82445707 \h </w:instrText>
        </w:r>
        <w:r w:rsidR="00DF3593">
          <w:rPr>
            <w:webHidden/>
          </w:rPr>
        </w:r>
        <w:r w:rsidR="00DF3593">
          <w:rPr>
            <w:webHidden/>
          </w:rPr>
          <w:fldChar w:fldCharType="separate"/>
        </w:r>
        <w:r w:rsidR="0059116C">
          <w:rPr>
            <w:webHidden/>
          </w:rPr>
          <w:t>2</w:t>
        </w:r>
        <w:r w:rsidR="00DF3593">
          <w:rPr>
            <w:webHidden/>
          </w:rPr>
          <w:fldChar w:fldCharType="end"/>
        </w:r>
      </w:hyperlink>
    </w:p>
    <w:p w14:paraId="29DADD5F" w14:textId="0609CAFB" w:rsidR="00DF3593" w:rsidRDefault="00866D7E">
      <w:pPr>
        <w:pStyle w:val="TOC1"/>
        <w:rPr>
          <w:rFonts w:asciiTheme="minorHAnsi" w:eastAsiaTheme="minorEastAsia" w:hAnsiTheme="minorHAnsi" w:cstheme="minorBidi"/>
          <w:b w:val="0"/>
          <w:spacing w:val="0"/>
          <w:sz w:val="22"/>
          <w:szCs w:val="22"/>
        </w:rPr>
      </w:pPr>
      <w:hyperlink w:anchor="_Toc82445708" w:history="1">
        <w:r w:rsidR="00DF3593" w:rsidRPr="007F4289">
          <w:rPr>
            <w:rStyle w:val="Hyperlink"/>
          </w:rPr>
          <w:t>Methodology</w:t>
        </w:r>
        <w:r w:rsidR="00DF3593">
          <w:rPr>
            <w:webHidden/>
          </w:rPr>
          <w:tab/>
        </w:r>
        <w:r w:rsidR="00DF3593">
          <w:rPr>
            <w:webHidden/>
          </w:rPr>
          <w:fldChar w:fldCharType="begin"/>
        </w:r>
        <w:r w:rsidR="00DF3593">
          <w:rPr>
            <w:webHidden/>
          </w:rPr>
          <w:instrText xml:space="preserve"> PAGEREF _Toc82445708 \h </w:instrText>
        </w:r>
        <w:r w:rsidR="00DF3593">
          <w:rPr>
            <w:webHidden/>
          </w:rPr>
        </w:r>
        <w:r w:rsidR="00DF3593">
          <w:rPr>
            <w:webHidden/>
          </w:rPr>
          <w:fldChar w:fldCharType="separate"/>
        </w:r>
        <w:r w:rsidR="0059116C">
          <w:rPr>
            <w:webHidden/>
          </w:rPr>
          <w:t>4</w:t>
        </w:r>
        <w:r w:rsidR="00DF3593">
          <w:rPr>
            <w:webHidden/>
          </w:rPr>
          <w:fldChar w:fldCharType="end"/>
        </w:r>
      </w:hyperlink>
    </w:p>
    <w:p w14:paraId="4C6B3E75" w14:textId="4C144021" w:rsidR="00DF3593" w:rsidRDefault="00866D7E">
      <w:pPr>
        <w:pStyle w:val="TOC1"/>
        <w:rPr>
          <w:rFonts w:asciiTheme="minorHAnsi" w:eastAsiaTheme="minorEastAsia" w:hAnsiTheme="minorHAnsi" w:cstheme="minorBidi"/>
          <w:b w:val="0"/>
          <w:spacing w:val="0"/>
          <w:sz w:val="22"/>
          <w:szCs w:val="22"/>
        </w:rPr>
      </w:pPr>
      <w:hyperlink w:anchor="_Toc82445709" w:history="1">
        <w:r w:rsidR="00DF3593" w:rsidRPr="007F4289">
          <w:rPr>
            <w:rStyle w:val="Hyperlink"/>
          </w:rPr>
          <w:t>Investigation of online casinos</w:t>
        </w:r>
        <w:r w:rsidR="00DF3593">
          <w:rPr>
            <w:webHidden/>
          </w:rPr>
          <w:tab/>
        </w:r>
        <w:r w:rsidR="00DF3593">
          <w:rPr>
            <w:webHidden/>
          </w:rPr>
          <w:fldChar w:fldCharType="begin"/>
        </w:r>
        <w:r w:rsidR="00DF3593">
          <w:rPr>
            <w:webHidden/>
          </w:rPr>
          <w:instrText xml:space="preserve"> PAGEREF _Toc82445709 \h </w:instrText>
        </w:r>
        <w:r w:rsidR="00DF3593">
          <w:rPr>
            <w:webHidden/>
          </w:rPr>
        </w:r>
        <w:r w:rsidR="00DF3593">
          <w:rPr>
            <w:webHidden/>
          </w:rPr>
          <w:fldChar w:fldCharType="separate"/>
        </w:r>
        <w:r w:rsidR="0059116C">
          <w:rPr>
            <w:webHidden/>
          </w:rPr>
          <w:t>5</w:t>
        </w:r>
        <w:r w:rsidR="00DF3593">
          <w:rPr>
            <w:webHidden/>
          </w:rPr>
          <w:fldChar w:fldCharType="end"/>
        </w:r>
      </w:hyperlink>
    </w:p>
    <w:p w14:paraId="4947EA24" w14:textId="58B88316" w:rsidR="00DF3593" w:rsidRDefault="00866D7E">
      <w:pPr>
        <w:pStyle w:val="TOC1"/>
        <w:rPr>
          <w:rFonts w:asciiTheme="minorHAnsi" w:eastAsiaTheme="minorEastAsia" w:hAnsiTheme="minorHAnsi" w:cstheme="minorBidi"/>
          <w:b w:val="0"/>
          <w:spacing w:val="0"/>
          <w:sz w:val="22"/>
          <w:szCs w:val="22"/>
        </w:rPr>
      </w:pPr>
      <w:hyperlink w:anchor="_Toc82445710" w:history="1">
        <w:r w:rsidR="00DF3593" w:rsidRPr="007F4289">
          <w:rPr>
            <w:rStyle w:val="Hyperlink"/>
          </w:rPr>
          <w:t>Website blocking</w:t>
        </w:r>
        <w:r w:rsidR="00DF3593">
          <w:rPr>
            <w:webHidden/>
          </w:rPr>
          <w:tab/>
        </w:r>
        <w:r w:rsidR="00DF3593">
          <w:rPr>
            <w:webHidden/>
          </w:rPr>
          <w:fldChar w:fldCharType="begin"/>
        </w:r>
        <w:r w:rsidR="00DF3593">
          <w:rPr>
            <w:webHidden/>
          </w:rPr>
          <w:instrText xml:space="preserve"> PAGEREF _Toc82445710 \h </w:instrText>
        </w:r>
        <w:r w:rsidR="00DF3593">
          <w:rPr>
            <w:webHidden/>
          </w:rPr>
        </w:r>
        <w:r w:rsidR="00DF3593">
          <w:rPr>
            <w:webHidden/>
          </w:rPr>
          <w:fldChar w:fldCharType="separate"/>
        </w:r>
        <w:r w:rsidR="0059116C">
          <w:rPr>
            <w:webHidden/>
          </w:rPr>
          <w:t>6</w:t>
        </w:r>
        <w:r w:rsidR="00DF3593">
          <w:rPr>
            <w:webHidden/>
          </w:rPr>
          <w:fldChar w:fldCharType="end"/>
        </w:r>
      </w:hyperlink>
    </w:p>
    <w:p w14:paraId="66EE4689" w14:textId="541CC832" w:rsidR="00DF3593" w:rsidRDefault="00866D7E">
      <w:pPr>
        <w:pStyle w:val="TOC2"/>
        <w:rPr>
          <w:rFonts w:asciiTheme="minorHAnsi" w:eastAsiaTheme="minorEastAsia" w:hAnsiTheme="minorHAnsi" w:cstheme="minorBidi"/>
          <w:spacing w:val="0"/>
          <w:sz w:val="22"/>
          <w:szCs w:val="22"/>
        </w:rPr>
      </w:pPr>
      <w:hyperlink w:anchor="_Toc82445711" w:history="1">
        <w:r w:rsidR="00DF3593" w:rsidRPr="007F4289">
          <w:rPr>
            <w:rStyle w:val="Hyperlink"/>
          </w:rPr>
          <w:t>Decrease in Australian traffic to blocked websites</w:t>
        </w:r>
        <w:r w:rsidR="00DF3593">
          <w:rPr>
            <w:webHidden/>
          </w:rPr>
          <w:tab/>
        </w:r>
        <w:r w:rsidR="00DF3593">
          <w:rPr>
            <w:webHidden/>
          </w:rPr>
          <w:fldChar w:fldCharType="begin"/>
        </w:r>
        <w:r w:rsidR="00DF3593">
          <w:rPr>
            <w:webHidden/>
          </w:rPr>
          <w:instrText xml:space="preserve"> PAGEREF _Toc82445711 \h </w:instrText>
        </w:r>
        <w:r w:rsidR="00DF3593">
          <w:rPr>
            <w:webHidden/>
          </w:rPr>
        </w:r>
        <w:r w:rsidR="00DF3593">
          <w:rPr>
            <w:webHidden/>
          </w:rPr>
          <w:fldChar w:fldCharType="separate"/>
        </w:r>
        <w:r w:rsidR="0059116C">
          <w:rPr>
            <w:webHidden/>
          </w:rPr>
          <w:t>6</w:t>
        </w:r>
        <w:r w:rsidR="00DF3593">
          <w:rPr>
            <w:webHidden/>
          </w:rPr>
          <w:fldChar w:fldCharType="end"/>
        </w:r>
      </w:hyperlink>
    </w:p>
    <w:p w14:paraId="5E14DF58" w14:textId="63400042" w:rsidR="00DF3593" w:rsidRDefault="00866D7E">
      <w:pPr>
        <w:pStyle w:val="TOC1"/>
        <w:rPr>
          <w:rFonts w:asciiTheme="minorHAnsi" w:eastAsiaTheme="minorEastAsia" w:hAnsiTheme="minorHAnsi" w:cstheme="minorBidi"/>
          <w:b w:val="0"/>
          <w:spacing w:val="0"/>
          <w:sz w:val="22"/>
          <w:szCs w:val="22"/>
        </w:rPr>
      </w:pPr>
      <w:hyperlink w:anchor="_Toc82445712" w:history="1">
        <w:r w:rsidR="00DF3593" w:rsidRPr="007F4289">
          <w:rPr>
            <w:rStyle w:val="Hyperlink"/>
          </w:rPr>
          <w:t>Investigation of affiliates</w:t>
        </w:r>
        <w:r w:rsidR="00DF3593">
          <w:rPr>
            <w:webHidden/>
          </w:rPr>
          <w:tab/>
        </w:r>
        <w:r w:rsidR="00DF3593">
          <w:rPr>
            <w:webHidden/>
          </w:rPr>
          <w:fldChar w:fldCharType="begin"/>
        </w:r>
        <w:r w:rsidR="00DF3593">
          <w:rPr>
            <w:webHidden/>
          </w:rPr>
          <w:instrText xml:space="preserve"> PAGEREF _Toc82445712 \h </w:instrText>
        </w:r>
        <w:r w:rsidR="00DF3593">
          <w:rPr>
            <w:webHidden/>
          </w:rPr>
        </w:r>
        <w:r w:rsidR="00DF3593">
          <w:rPr>
            <w:webHidden/>
          </w:rPr>
          <w:fldChar w:fldCharType="separate"/>
        </w:r>
        <w:r w:rsidR="0059116C">
          <w:rPr>
            <w:webHidden/>
          </w:rPr>
          <w:t>8</w:t>
        </w:r>
        <w:r w:rsidR="00DF3593">
          <w:rPr>
            <w:webHidden/>
          </w:rPr>
          <w:fldChar w:fldCharType="end"/>
        </w:r>
      </w:hyperlink>
    </w:p>
    <w:p w14:paraId="61C90A2F" w14:textId="45E952A9" w:rsidR="00DF3593" w:rsidRDefault="00866D7E">
      <w:pPr>
        <w:pStyle w:val="TOC2"/>
        <w:rPr>
          <w:rFonts w:asciiTheme="minorHAnsi" w:eastAsiaTheme="minorEastAsia" w:hAnsiTheme="minorHAnsi" w:cstheme="minorBidi"/>
          <w:spacing w:val="0"/>
          <w:sz w:val="22"/>
          <w:szCs w:val="22"/>
        </w:rPr>
      </w:pPr>
      <w:hyperlink w:anchor="_Toc82445713" w:history="1">
        <w:r w:rsidR="00DF3593" w:rsidRPr="007F4289">
          <w:rPr>
            <w:rStyle w:val="Hyperlink"/>
          </w:rPr>
          <w:t>Disruption to the marketing of illegal online casinos</w:t>
        </w:r>
        <w:r w:rsidR="00DF3593">
          <w:rPr>
            <w:webHidden/>
          </w:rPr>
          <w:tab/>
        </w:r>
        <w:r w:rsidR="00DF3593">
          <w:rPr>
            <w:webHidden/>
          </w:rPr>
          <w:fldChar w:fldCharType="begin"/>
        </w:r>
        <w:r w:rsidR="00DF3593">
          <w:rPr>
            <w:webHidden/>
          </w:rPr>
          <w:instrText xml:space="preserve"> PAGEREF _Toc82445713 \h </w:instrText>
        </w:r>
        <w:r w:rsidR="00DF3593">
          <w:rPr>
            <w:webHidden/>
          </w:rPr>
        </w:r>
        <w:r w:rsidR="00DF3593">
          <w:rPr>
            <w:webHidden/>
          </w:rPr>
          <w:fldChar w:fldCharType="separate"/>
        </w:r>
        <w:r w:rsidR="0059116C">
          <w:rPr>
            <w:webHidden/>
          </w:rPr>
          <w:t>8</w:t>
        </w:r>
        <w:r w:rsidR="00DF3593">
          <w:rPr>
            <w:webHidden/>
          </w:rPr>
          <w:fldChar w:fldCharType="end"/>
        </w:r>
      </w:hyperlink>
    </w:p>
    <w:p w14:paraId="78989765" w14:textId="6B30D498" w:rsidR="00DF3593" w:rsidRDefault="00866D7E">
      <w:pPr>
        <w:pStyle w:val="TOC1"/>
        <w:rPr>
          <w:rFonts w:asciiTheme="minorHAnsi" w:eastAsiaTheme="minorEastAsia" w:hAnsiTheme="minorHAnsi" w:cstheme="minorBidi"/>
          <w:b w:val="0"/>
          <w:spacing w:val="0"/>
          <w:sz w:val="22"/>
          <w:szCs w:val="22"/>
        </w:rPr>
      </w:pPr>
      <w:hyperlink w:anchor="_Toc82445714" w:history="1">
        <w:r w:rsidR="00DF3593" w:rsidRPr="007F4289">
          <w:rPr>
            <w:rStyle w:val="Hyperlink"/>
          </w:rPr>
          <w:t>Engagement with software and payment providers</w:t>
        </w:r>
        <w:r w:rsidR="00DF3593">
          <w:rPr>
            <w:webHidden/>
          </w:rPr>
          <w:tab/>
        </w:r>
        <w:r w:rsidR="00DF3593">
          <w:rPr>
            <w:webHidden/>
          </w:rPr>
          <w:fldChar w:fldCharType="begin"/>
        </w:r>
        <w:r w:rsidR="00DF3593">
          <w:rPr>
            <w:webHidden/>
          </w:rPr>
          <w:instrText xml:space="preserve"> PAGEREF _Toc82445714 \h </w:instrText>
        </w:r>
        <w:r w:rsidR="00DF3593">
          <w:rPr>
            <w:webHidden/>
          </w:rPr>
        </w:r>
        <w:r w:rsidR="00DF3593">
          <w:rPr>
            <w:webHidden/>
          </w:rPr>
          <w:fldChar w:fldCharType="separate"/>
        </w:r>
        <w:r w:rsidR="0059116C">
          <w:rPr>
            <w:webHidden/>
          </w:rPr>
          <w:t>9</w:t>
        </w:r>
        <w:r w:rsidR="00DF3593">
          <w:rPr>
            <w:webHidden/>
          </w:rPr>
          <w:fldChar w:fldCharType="end"/>
        </w:r>
      </w:hyperlink>
    </w:p>
    <w:p w14:paraId="10F4F43B" w14:textId="0A67B6B9" w:rsidR="00DF3593" w:rsidRDefault="00866D7E">
      <w:pPr>
        <w:pStyle w:val="TOC2"/>
        <w:rPr>
          <w:rFonts w:asciiTheme="minorHAnsi" w:eastAsiaTheme="minorEastAsia" w:hAnsiTheme="minorHAnsi" w:cstheme="minorBidi"/>
          <w:spacing w:val="0"/>
          <w:sz w:val="22"/>
          <w:szCs w:val="22"/>
        </w:rPr>
      </w:pPr>
      <w:hyperlink w:anchor="_Toc82445715" w:history="1">
        <w:r w:rsidR="00DF3593" w:rsidRPr="007F4289">
          <w:rPr>
            <w:rStyle w:val="Hyperlink"/>
          </w:rPr>
          <w:t>Disruption to functionality of illegal online casinos</w:t>
        </w:r>
        <w:r w:rsidR="00DF3593">
          <w:rPr>
            <w:webHidden/>
          </w:rPr>
          <w:tab/>
        </w:r>
        <w:r w:rsidR="00DF3593">
          <w:rPr>
            <w:webHidden/>
          </w:rPr>
          <w:fldChar w:fldCharType="begin"/>
        </w:r>
        <w:r w:rsidR="00DF3593">
          <w:rPr>
            <w:webHidden/>
          </w:rPr>
          <w:instrText xml:space="preserve"> PAGEREF _Toc82445715 \h </w:instrText>
        </w:r>
        <w:r w:rsidR="00DF3593">
          <w:rPr>
            <w:webHidden/>
          </w:rPr>
        </w:r>
        <w:r w:rsidR="00DF3593">
          <w:rPr>
            <w:webHidden/>
          </w:rPr>
          <w:fldChar w:fldCharType="separate"/>
        </w:r>
        <w:r w:rsidR="0059116C">
          <w:rPr>
            <w:webHidden/>
          </w:rPr>
          <w:t>9</w:t>
        </w:r>
        <w:r w:rsidR="00DF3593">
          <w:rPr>
            <w:webHidden/>
          </w:rPr>
          <w:fldChar w:fldCharType="end"/>
        </w:r>
      </w:hyperlink>
    </w:p>
    <w:p w14:paraId="204A3CB3" w14:textId="7BBC4D2D" w:rsidR="00DF3593" w:rsidRDefault="00866D7E">
      <w:pPr>
        <w:pStyle w:val="TOC1"/>
        <w:rPr>
          <w:rFonts w:asciiTheme="minorHAnsi" w:eastAsiaTheme="minorEastAsia" w:hAnsiTheme="minorHAnsi" w:cstheme="minorBidi"/>
          <w:b w:val="0"/>
          <w:spacing w:val="0"/>
          <w:sz w:val="22"/>
          <w:szCs w:val="22"/>
        </w:rPr>
      </w:pPr>
      <w:hyperlink w:anchor="_Toc82445716" w:history="1">
        <w:r w:rsidR="00DF3593" w:rsidRPr="007F4289">
          <w:rPr>
            <w:rStyle w:val="Hyperlink"/>
          </w:rPr>
          <w:t>Consumer awareness and education</w:t>
        </w:r>
        <w:r w:rsidR="00DF3593">
          <w:rPr>
            <w:webHidden/>
          </w:rPr>
          <w:tab/>
        </w:r>
        <w:r w:rsidR="00DF3593">
          <w:rPr>
            <w:webHidden/>
          </w:rPr>
          <w:fldChar w:fldCharType="begin"/>
        </w:r>
        <w:r w:rsidR="00DF3593">
          <w:rPr>
            <w:webHidden/>
          </w:rPr>
          <w:instrText xml:space="preserve"> PAGEREF _Toc82445716 \h </w:instrText>
        </w:r>
        <w:r w:rsidR="00DF3593">
          <w:rPr>
            <w:webHidden/>
          </w:rPr>
        </w:r>
        <w:r w:rsidR="00DF3593">
          <w:rPr>
            <w:webHidden/>
          </w:rPr>
          <w:fldChar w:fldCharType="separate"/>
        </w:r>
        <w:r w:rsidR="0059116C">
          <w:rPr>
            <w:webHidden/>
          </w:rPr>
          <w:t>10</w:t>
        </w:r>
        <w:r w:rsidR="00DF3593">
          <w:rPr>
            <w:webHidden/>
          </w:rPr>
          <w:fldChar w:fldCharType="end"/>
        </w:r>
      </w:hyperlink>
    </w:p>
    <w:p w14:paraId="37C55A48" w14:textId="5B075A85" w:rsidR="004D56FF" w:rsidRDefault="00DF0799">
      <w:pPr>
        <w:rPr>
          <w:rFonts w:cs="Arial"/>
        </w:rPr>
      </w:pPr>
      <w:r>
        <w:rPr>
          <w:rFonts w:cs="Arial"/>
        </w:rPr>
        <w:fldChar w:fldCharType="end"/>
      </w:r>
    </w:p>
    <w:p w14:paraId="14F150E3" w14:textId="4904EEE2" w:rsidR="002F0D2A" w:rsidRDefault="002F0D2A" w:rsidP="002F0D2A">
      <w:pPr>
        <w:tabs>
          <w:tab w:val="left" w:pos="3165"/>
        </w:tabs>
        <w:rPr>
          <w:rFonts w:cs="Arial"/>
        </w:rPr>
      </w:pPr>
      <w:r>
        <w:rPr>
          <w:rFonts w:cs="Arial"/>
        </w:rPr>
        <w:tab/>
      </w:r>
    </w:p>
    <w:p w14:paraId="3390CD95" w14:textId="1B1BD8B3" w:rsidR="002F0D2A" w:rsidRPr="002F0D2A" w:rsidRDefault="002F0D2A" w:rsidP="00045FB9">
      <w:pPr>
        <w:tabs>
          <w:tab w:val="left" w:pos="3165"/>
          <w:tab w:val="left" w:pos="7241"/>
        </w:tabs>
        <w:rPr>
          <w:rFonts w:cs="Arial"/>
        </w:rPr>
        <w:sectPr w:rsidR="002F0D2A" w:rsidRPr="002F0D2A" w:rsidSect="00C77380">
          <w:headerReference w:type="even" r:id="rId19"/>
          <w:headerReference w:type="default" r:id="rId20"/>
          <w:footerReference w:type="even" r:id="rId21"/>
          <w:footerReference w:type="default" r:id="rId22"/>
          <w:footerReference w:type="first" r:id="rId23"/>
          <w:pgSz w:w="11906" w:h="16838" w:code="9"/>
          <w:pgMar w:top="3646" w:right="3101" w:bottom="1134" w:left="1134" w:header="709" w:footer="119" w:gutter="0"/>
          <w:cols w:space="708"/>
          <w:titlePg/>
          <w:docGrid w:linePitch="360"/>
        </w:sectPr>
      </w:pPr>
      <w:r>
        <w:rPr>
          <w:rFonts w:cs="Arial"/>
        </w:rPr>
        <w:tab/>
      </w:r>
      <w:r w:rsidR="00045FB9">
        <w:rPr>
          <w:rFonts w:cs="Arial"/>
        </w:rPr>
        <w:tab/>
      </w:r>
    </w:p>
    <w:p w14:paraId="552B9D9A" w14:textId="77777777" w:rsidR="009D6C71" w:rsidRPr="00702EA1" w:rsidRDefault="009D6C71" w:rsidP="009174F3">
      <w:pPr>
        <w:pStyle w:val="Execsummaryheading"/>
      </w:pPr>
      <w:bookmarkStart w:id="0" w:name="_Toc82445703"/>
      <w:r w:rsidRPr="00702EA1">
        <w:lastRenderedPageBreak/>
        <w:t>Executive summary</w:t>
      </w:r>
      <w:bookmarkEnd w:id="0"/>
    </w:p>
    <w:p w14:paraId="33BAAA26" w14:textId="73506CE9" w:rsidR="003535FF" w:rsidRPr="003535FF" w:rsidRDefault="005B16BB" w:rsidP="003535FF">
      <w:pPr>
        <w:rPr>
          <w:rFonts w:cs="Arial"/>
          <w:color w:val="000000"/>
          <w:szCs w:val="20"/>
        </w:rPr>
      </w:pPr>
      <w:r>
        <w:rPr>
          <w:rFonts w:cs="Arial"/>
          <w:color w:val="000000"/>
          <w:szCs w:val="20"/>
        </w:rPr>
        <w:t>The</w:t>
      </w:r>
      <w:r w:rsidR="006E3FD2">
        <w:rPr>
          <w:rFonts w:cs="Arial"/>
          <w:color w:val="000000"/>
          <w:szCs w:val="20"/>
        </w:rPr>
        <w:t xml:space="preserve"> </w:t>
      </w:r>
      <w:r w:rsidR="006E3FD2" w:rsidRPr="00C8358B">
        <w:rPr>
          <w:rFonts w:cs="Arial"/>
          <w:i/>
          <w:iCs/>
          <w:color w:val="000000"/>
          <w:szCs w:val="20"/>
        </w:rPr>
        <w:t>Interactive Gambling Act 2001</w:t>
      </w:r>
      <w:r w:rsidR="006E3FD2">
        <w:rPr>
          <w:rFonts w:cs="Arial"/>
          <w:color w:val="000000"/>
          <w:szCs w:val="20"/>
        </w:rPr>
        <w:t xml:space="preserve"> </w:t>
      </w:r>
      <w:r w:rsidR="00BE3291">
        <w:rPr>
          <w:rFonts w:cs="Arial"/>
          <w:color w:val="000000"/>
          <w:szCs w:val="20"/>
        </w:rPr>
        <w:t xml:space="preserve">(IGA) </w:t>
      </w:r>
      <w:r>
        <w:rPr>
          <w:rFonts w:cs="Arial"/>
          <w:color w:val="000000"/>
          <w:szCs w:val="20"/>
        </w:rPr>
        <w:t xml:space="preserve">prohibits </w:t>
      </w:r>
      <w:r w:rsidR="00261B8F">
        <w:rPr>
          <w:rFonts w:cs="Arial"/>
          <w:color w:val="000000"/>
          <w:szCs w:val="20"/>
        </w:rPr>
        <w:t xml:space="preserve">certain </w:t>
      </w:r>
      <w:r>
        <w:rPr>
          <w:rFonts w:cs="Arial"/>
          <w:color w:val="000000"/>
          <w:szCs w:val="20"/>
        </w:rPr>
        <w:t xml:space="preserve">online </w:t>
      </w:r>
      <w:r w:rsidR="00261B8F">
        <w:rPr>
          <w:rFonts w:cs="Arial"/>
          <w:color w:val="000000"/>
          <w:szCs w:val="20"/>
        </w:rPr>
        <w:t>gambling</w:t>
      </w:r>
      <w:r>
        <w:rPr>
          <w:rFonts w:cs="Arial"/>
          <w:color w:val="000000"/>
          <w:szCs w:val="20"/>
        </w:rPr>
        <w:t xml:space="preserve"> services from being provided or advertised to Australians.</w:t>
      </w:r>
      <w:r w:rsidR="002F0D2A">
        <w:rPr>
          <w:rFonts w:cs="Arial"/>
          <w:color w:val="000000"/>
          <w:szCs w:val="20"/>
        </w:rPr>
        <w:t xml:space="preserve"> </w:t>
      </w:r>
      <w:r w:rsidR="006F66CB">
        <w:rPr>
          <w:rFonts w:cs="Arial"/>
          <w:color w:val="000000"/>
          <w:szCs w:val="20"/>
        </w:rPr>
        <w:t xml:space="preserve">The </w:t>
      </w:r>
      <w:r w:rsidR="00EC28BF">
        <w:rPr>
          <w:rFonts w:cs="Arial"/>
          <w:color w:val="000000"/>
          <w:szCs w:val="20"/>
        </w:rPr>
        <w:t>Australian Communications and Media Authority (</w:t>
      </w:r>
      <w:r w:rsidR="00BE3291">
        <w:rPr>
          <w:rFonts w:cs="Arial"/>
          <w:color w:val="000000"/>
          <w:szCs w:val="20"/>
        </w:rPr>
        <w:t>ACMA</w:t>
      </w:r>
      <w:r w:rsidR="00EC28BF">
        <w:rPr>
          <w:rFonts w:cs="Arial"/>
          <w:color w:val="000000"/>
          <w:szCs w:val="20"/>
        </w:rPr>
        <w:t>)</w:t>
      </w:r>
      <w:r w:rsidR="00BE3291">
        <w:rPr>
          <w:rFonts w:cs="Arial"/>
          <w:color w:val="000000"/>
          <w:szCs w:val="20"/>
        </w:rPr>
        <w:t xml:space="preserve"> is responsible for enforcing the IGA</w:t>
      </w:r>
      <w:r w:rsidR="00E64633">
        <w:rPr>
          <w:rFonts w:cs="Arial"/>
          <w:color w:val="000000"/>
          <w:szCs w:val="20"/>
        </w:rPr>
        <w:t>,</w:t>
      </w:r>
      <w:r w:rsidR="00BE3291">
        <w:rPr>
          <w:rFonts w:cs="Arial"/>
          <w:color w:val="000000"/>
          <w:szCs w:val="20"/>
        </w:rPr>
        <w:t xml:space="preserve"> and</w:t>
      </w:r>
      <w:r w:rsidR="00BE3291" w:rsidRPr="001C0A64">
        <w:rPr>
          <w:rFonts w:cs="Arial"/>
          <w:color w:val="000000"/>
          <w:szCs w:val="20"/>
        </w:rPr>
        <w:t xml:space="preserve"> </w:t>
      </w:r>
      <w:r w:rsidR="00261B8F">
        <w:rPr>
          <w:rFonts w:cs="Arial"/>
          <w:color w:val="000000"/>
          <w:szCs w:val="20"/>
        </w:rPr>
        <w:t xml:space="preserve">we continue to take action to combat illegal services that </w:t>
      </w:r>
      <w:r w:rsidR="00383E57">
        <w:rPr>
          <w:rFonts w:cs="Arial"/>
          <w:color w:val="000000"/>
          <w:szCs w:val="20"/>
        </w:rPr>
        <w:t xml:space="preserve">do or have the potential to </w:t>
      </w:r>
      <w:r w:rsidR="00261B8F">
        <w:rPr>
          <w:rFonts w:cs="Arial"/>
          <w:color w:val="000000"/>
          <w:szCs w:val="20"/>
        </w:rPr>
        <w:t>cause social and financial harm to the Australian community</w:t>
      </w:r>
      <w:r w:rsidR="00103F69">
        <w:rPr>
          <w:rFonts w:cs="Arial"/>
          <w:color w:val="000000"/>
          <w:szCs w:val="20"/>
        </w:rPr>
        <w:t>.</w:t>
      </w:r>
    </w:p>
    <w:p w14:paraId="571A4B14" w14:textId="01516333" w:rsidR="003535FF" w:rsidRDefault="00B15517" w:rsidP="003535FF">
      <w:r>
        <w:t>In</w:t>
      </w:r>
      <w:r w:rsidR="00DD7358">
        <w:t xml:space="preserve"> </w:t>
      </w:r>
      <w:r w:rsidR="006F66CB">
        <w:t>2020</w:t>
      </w:r>
      <w:r w:rsidR="00EC28BF">
        <w:t>–</w:t>
      </w:r>
      <w:r w:rsidR="006F66CB">
        <w:t>21</w:t>
      </w:r>
      <w:r w:rsidR="00501F6E">
        <w:t>,</w:t>
      </w:r>
      <w:r w:rsidR="006F66CB">
        <w:t xml:space="preserve"> </w:t>
      </w:r>
      <w:r>
        <w:t xml:space="preserve">one of </w:t>
      </w:r>
      <w:r w:rsidR="006F66CB">
        <w:t>the ACMA</w:t>
      </w:r>
      <w:r>
        <w:t>’s compliance priorities</w:t>
      </w:r>
      <w:r w:rsidR="006F66CB">
        <w:t xml:space="preserve"> </w:t>
      </w:r>
      <w:r w:rsidR="003F08D8">
        <w:t xml:space="preserve">focused </w:t>
      </w:r>
      <w:r w:rsidR="003C5A21">
        <w:t xml:space="preserve">on </w:t>
      </w:r>
      <w:r w:rsidR="009712DC">
        <w:t>i</w:t>
      </w:r>
      <w:r w:rsidR="006F66CB">
        <w:t>llegal o</w:t>
      </w:r>
      <w:r w:rsidR="003535FF" w:rsidRPr="00966D39">
        <w:t>nline casinos that target Australia</w:t>
      </w:r>
      <w:r w:rsidR="00EC28BF">
        <w:t>ns</w:t>
      </w:r>
      <w:r w:rsidR="003535FF" w:rsidRPr="00966D39">
        <w:t xml:space="preserve">. </w:t>
      </w:r>
      <w:r w:rsidR="00C01627">
        <w:t>Our activities were directed at</w:t>
      </w:r>
      <w:r w:rsidR="003535FF" w:rsidRPr="00966D39">
        <w:t xml:space="preserve"> </w:t>
      </w:r>
      <w:r w:rsidR="000C1661">
        <w:t>5</w:t>
      </w:r>
      <w:r w:rsidR="000B50CB">
        <w:t>6</w:t>
      </w:r>
      <w:r w:rsidR="003535FF" w:rsidRPr="00966D39">
        <w:t xml:space="preserve"> </w:t>
      </w:r>
      <w:r w:rsidR="003C5A21">
        <w:t xml:space="preserve">illegal offshore </w:t>
      </w:r>
      <w:r w:rsidR="003535FF" w:rsidRPr="00966D39">
        <w:t>casinos</w:t>
      </w:r>
      <w:r w:rsidR="00AD47EF">
        <w:t xml:space="preserve"> </w:t>
      </w:r>
      <w:r w:rsidR="000C6605">
        <w:t>identified as causing the greatest harm to the Australian community</w:t>
      </w:r>
      <w:r w:rsidR="003535FF" w:rsidRPr="00966D39">
        <w:t xml:space="preserve"> </w:t>
      </w:r>
      <w:r w:rsidR="00E6298B">
        <w:t>(targeted casinos)</w:t>
      </w:r>
      <w:r w:rsidR="003535FF" w:rsidRPr="00966D39">
        <w:t xml:space="preserve">. </w:t>
      </w:r>
    </w:p>
    <w:p w14:paraId="2A408268" w14:textId="27CB0850" w:rsidR="005403CA" w:rsidRDefault="005403CA" w:rsidP="003535FF">
      <w:r>
        <w:t>We found the control of these casinos to be concentrated in the hands of only a small number of operators</w:t>
      </w:r>
      <w:r w:rsidR="00E6298B">
        <w:t xml:space="preserve"> (targeted operators)</w:t>
      </w:r>
      <w:r>
        <w:t xml:space="preserve">. We </w:t>
      </w:r>
      <w:r w:rsidR="00463A43">
        <w:t>under</w:t>
      </w:r>
      <w:r w:rsidR="00655F1C">
        <w:t>took</w:t>
      </w:r>
      <w:r>
        <w:t xml:space="preserve"> a </w:t>
      </w:r>
      <w:r w:rsidR="004B1180">
        <w:t>strateg</w:t>
      </w:r>
      <w:r w:rsidR="005977EF">
        <w:t>ic approach to</w:t>
      </w:r>
      <w:r w:rsidR="004253B6">
        <w:t xml:space="preserve"> </w:t>
      </w:r>
      <w:r w:rsidR="00655F1C">
        <w:t>our</w:t>
      </w:r>
      <w:r>
        <w:t xml:space="preserve"> investigation and enforcement activities under the IGA to cause the maximum disruption to these </w:t>
      </w:r>
      <w:r w:rsidR="00463A43">
        <w:t xml:space="preserve">targeted </w:t>
      </w:r>
      <w:r>
        <w:t xml:space="preserve">operators and online casinos. </w:t>
      </w:r>
    </w:p>
    <w:p w14:paraId="23022C8A" w14:textId="2910A3F2" w:rsidR="003535FF" w:rsidRPr="003535FF" w:rsidRDefault="003535FF" w:rsidP="005D1D20">
      <w:pPr>
        <w:pStyle w:val="Heading2"/>
      </w:pPr>
      <w:bookmarkStart w:id="1" w:name="_Toc82445704"/>
      <w:r>
        <w:t>Summary of key outcomes</w:t>
      </w:r>
      <w:bookmarkEnd w:id="1"/>
      <w:r>
        <w:t xml:space="preserve"> </w:t>
      </w:r>
    </w:p>
    <w:p w14:paraId="46A1DF60" w14:textId="74225827" w:rsidR="003535FF" w:rsidRPr="00141F63" w:rsidRDefault="00EC28BF" w:rsidP="003535FF">
      <w:r>
        <w:t xml:space="preserve">Our </w:t>
      </w:r>
      <w:r w:rsidR="000E1076">
        <w:t xml:space="preserve">approach </w:t>
      </w:r>
      <w:r w:rsidR="00F503D6">
        <w:t>has been</w:t>
      </w:r>
      <w:r w:rsidR="000E1076">
        <w:t xml:space="preserve"> effective in disrupting the provision of </w:t>
      </w:r>
      <w:r w:rsidR="005403CA">
        <w:t xml:space="preserve">these </w:t>
      </w:r>
      <w:r w:rsidR="00F34FC7">
        <w:t>targeted</w:t>
      </w:r>
      <w:r w:rsidR="000E1076">
        <w:t xml:space="preserve"> casinos into the Australian </w:t>
      </w:r>
      <w:r w:rsidR="000E1076" w:rsidRPr="00141F63">
        <w:t>market</w:t>
      </w:r>
      <w:r w:rsidR="00F503D6" w:rsidRPr="00141F63">
        <w:t xml:space="preserve"> and informing future enforcement </w:t>
      </w:r>
      <w:r w:rsidR="00B80CC2" w:rsidRPr="00141F63">
        <w:t xml:space="preserve">and disruption </w:t>
      </w:r>
      <w:r w:rsidR="00F503D6" w:rsidRPr="00141F63">
        <w:t>action</w:t>
      </w:r>
      <w:r w:rsidR="005403CA" w:rsidRPr="00141F63">
        <w:t>:</w:t>
      </w:r>
    </w:p>
    <w:tbl>
      <w:tblPr>
        <w:tblStyle w:val="TableGrid"/>
        <w:tblpPr w:leftFromText="180" w:rightFromText="180" w:vertAnchor="text" w:tblpX="-147" w:tblpY="-54"/>
        <w:tblW w:w="8864" w:type="dxa"/>
        <w:tblBorders>
          <w:top w:val="none" w:sz="0" w:space="0" w:color="auto"/>
          <w:left w:val="none" w:sz="0" w:space="0" w:color="auto"/>
          <w:bottom w:val="none" w:sz="0" w:space="0" w:color="auto"/>
          <w:right w:val="none" w:sz="0" w:space="0" w:color="auto"/>
          <w:insideH w:val="single" w:sz="4" w:space="0" w:color="D9D9D9" w:themeColor="background1" w:themeShade="D9"/>
          <w:insideV w:val="none" w:sz="0" w:space="0" w:color="auto"/>
        </w:tblBorders>
        <w:tblCellMar>
          <w:top w:w="85" w:type="dxa"/>
          <w:left w:w="57" w:type="dxa"/>
          <w:bottom w:w="85" w:type="dxa"/>
          <w:right w:w="57" w:type="dxa"/>
        </w:tblCellMar>
        <w:tblLook w:val="04A0" w:firstRow="1" w:lastRow="0" w:firstColumn="1" w:lastColumn="0" w:noHBand="0" w:noVBand="1"/>
      </w:tblPr>
      <w:tblGrid>
        <w:gridCol w:w="1482"/>
        <w:gridCol w:w="7382"/>
      </w:tblGrid>
      <w:tr w:rsidR="003535FF" w:rsidRPr="003535FF" w14:paraId="7286F429" w14:textId="77777777" w:rsidTr="00E64633">
        <w:trPr>
          <w:trHeight w:val="473"/>
        </w:trPr>
        <w:tc>
          <w:tcPr>
            <w:tcW w:w="1482" w:type="dxa"/>
            <w:vAlign w:val="center"/>
          </w:tcPr>
          <w:p w14:paraId="237D0F80" w14:textId="2C73F5A4" w:rsidR="003535FF" w:rsidRPr="00141F63" w:rsidRDefault="008E0240" w:rsidP="008E0240">
            <w:pPr>
              <w:spacing w:after="0"/>
              <w:rPr>
                <w:i/>
                <w:iCs/>
              </w:rPr>
            </w:pPr>
            <w:r>
              <w:rPr>
                <w:i/>
                <w:iCs/>
                <w:noProof/>
              </w:rPr>
              <w:drawing>
                <wp:inline distT="0" distB="0" distL="0" distR="0" wp14:anchorId="77A35A7C" wp14:editId="12954B61">
                  <wp:extent cx="462280" cy="462280"/>
                  <wp:effectExtent l="0" t="0" r="0" b="0"/>
                  <wp:docPr id="6" name="Graphic 6" descr="Bar graph with downward trend outlin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Graphic 6" descr="Bar graph with downward trend outline"/>
                          <pic:cNvPicPr/>
                        </pic:nvPicPr>
                        <pic:blipFill>
                          <a:blip r:embed="rId24">
                            <a:extLst>
                              <a:ext uri="{96DAC541-7B7A-43D3-8B79-37D633B846F1}">
                                <asvg:svgBlip xmlns:asvg="http://schemas.microsoft.com/office/drawing/2016/SVG/main" r:embed="rId25"/>
                              </a:ext>
                            </a:extLst>
                          </a:blip>
                          <a:stretch>
                            <a:fillRect/>
                          </a:stretch>
                        </pic:blipFill>
                        <pic:spPr>
                          <a:xfrm>
                            <a:off x="0" y="0"/>
                            <a:ext cx="462280" cy="462280"/>
                          </a:xfrm>
                          <a:prstGeom prst="rect">
                            <a:avLst/>
                          </a:prstGeom>
                        </pic:spPr>
                      </pic:pic>
                    </a:graphicData>
                  </a:graphic>
                </wp:inline>
              </w:drawing>
            </w:r>
          </w:p>
        </w:tc>
        <w:tc>
          <w:tcPr>
            <w:tcW w:w="7382" w:type="dxa"/>
            <w:vAlign w:val="center"/>
          </w:tcPr>
          <w:p w14:paraId="17A6BBFF" w14:textId="330AA2A8" w:rsidR="003535FF" w:rsidRPr="008E0240" w:rsidRDefault="00C23586" w:rsidP="008E0240">
            <w:pPr>
              <w:spacing w:after="0"/>
              <w:rPr>
                <w:rFonts w:cs="Arial"/>
                <w:szCs w:val="20"/>
              </w:rPr>
            </w:pPr>
            <w:r w:rsidRPr="003535FF">
              <w:t xml:space="preserve">Australian traffic to </w:t>
            </w:r>
            <w:r>
              <w:t>the majority of targeted casinos decreased by at least 90% by</w:t>
            </w:r>
            <w:r w:rsidR="00CE46B5">
              <w:t> </w:t>
            </w:r>
            <w:r>
              <w:t xml:space="preserve">June 2021, </w:t>
            </w:r>
            <w:r w:rsidRPr="003535FF">
              <w:t xml:space="preserve">following the blocking of their primary </w:t>
            </w:r>
            <w:r>
              <w:t xml:space="preserve">and alternate </w:t>
            </w:r>
            <w:r w:rsidR="008E0240">
              <w:t>websites</w:t>
            </w:r>
            <w:r>
              <w:t>.</w:t>
            </w:r>
          </w:p>
        </w:tc>
      </w:tr>
      <w:tr w:rsidR="008E0240" w:rsidRPr="003535FF" w14:paraId="097718FB" w14:textId="77777777" w:rsidTr="00E64633">
        <w:trPr>
          <w:trHeight w:val="805"/>
        </w:trPr>
        <w:tc>
          <w:tcPr>
            <w:tcW w:w="1482" w:type="dxa"/>
            <w:vAlign w:val="center"/>
          </w:tcPr>
          <w:p w14:paraId="2CE6C931" w14:textId="02C27E89" w:rsidR="008E0240" w:rsidRPr="00141F63" w:rsidRDefault="008E0240" w:rsidP="008E0240">
            <w:pPr>
              <w:spacing w:after="0"/>
              <w:rPr>
                <w:b/>
                <w:bCs/>
                <w:noProof/>
              </w:rPr>
            </w:pPr>
            <w:r w:rsidRPr="00141F63">
              <w:rPr>
                <w:b/>
                <w:bCs/>
                <w:noProof/>
              </w:rPr>
              <w:drawing>
                <wp:inline distT="0" distB="0" distL="0" distR="0" wp14:anchorId="7A7D0A02" wp14:editId="3A2C2CB1">
                  <wp:extent cx="435610" cy="435610"/>
                  <wp:effectExtent l="0" t="0" r="2540" b="2540"/>
                  <wp:docPr id="20" name="Graphic 20" descr="Magnifying glass outlin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Graphic 11" descr="Magnifying glass outline"/>
                          <pic:cNvPicPr/>
                        </pic:nvPicPr>
                        <pic:blipFill>
                          <a:blip r:embed="rId26" cstate="print">
                            <a:extLst>
                              <a:ext uri="{28A0092B-C50C-407E-A947-70E740481C1C}">
                                <a14:useLocalDpi xmlns:a14="http://schemas.microsoft.com/office/drawing/2010/main" val="0"/>
                              </a:ext>
                              <a:ext uri="{96DAC541-7B7A-43D3-8B79-37D633B846F1}">
                                <asvg:svgBlip xmlns:asvg="http://schemas.microsoft.com/office/drawing/2016/SVG/main" r:embed="rId27"/>
                              </a:ext>
                            </a:extLst>
                          </a:blip>
                          <a:stretch>
                            <a:fillRect/>
                          </a:stretch>
                        </pic:blipFill>
                        <pic:spPr>
                          <a:xfrm>
                            <a:off x="0" y="0"/>
                            <a:ext cx="435610" cy="435610"/>
                          </a:xfrm>
                          <a:prstGeom prst="rect">
                            <a:avLst/>
                          </a:prstGeom>
                        </pic:spPr>
                      </pic:pic>
                    </a:graphicData>
                  </a:graphic>
                </wp:inline>
              </w:drawing>
            </w:r>
          </w:p>
        </w:tc>
        <w:tc>
          <w:tcPr>
            <w:tcW w:w="7382" w:type="dxa"/>
            <w:vAlign w:val="center"/>
          </w:tcPr>
          <w:p w14:paraId="2CC12A0E" w14:textId="41F7EFD4" w:rsidR="008E0240" w:rsidRPr="003535FF" w:rsidRDefault="008E0240" w:rsidP="008E0240">
            <w:pPr>
              <w:spacing w:after="0"/>
            </w:pPr>
            <w:r w:rsidRPr="00141F63">
              <w:rPr>
                <w:rFonts w:cs="Arial"/>
                <w:szCs w:val="20"/>
              </w:rPr>
              <w:t xml:space="preserve">One operator </w:t>
            </w:r>
            <w:r>
              <w:rPr>
                <w:rFonts w:cs="Arial"/>
                <w:szCs w:val="20"/>
              </w:rPr>
              <w:t>that</w:t>
            </w:r>
            <w:r w:rsidRPr="00141F63">
              <w:rPr>
                <w:rFonts w:cs="Arial"/>
                <w:szCs w:val="20"/>
              </w:rPr>
              <w:t xml:space="preserve"> provides 6 of the targeted online casinos has committed to withdraw each of its services from the Australian market. </w:t>
            </w:r>
            <w:r w:rsidRPr="00141F63">
              <w:t>We obtained further information about the parties behind other targeted casinos, which may assist in future enforcement action.</w:t>
            </w:r>
          </w:p>
        </w:tc>
      </w:tr>
      <w:tr w:rsidR="008E0240" w:rsidRPr="003535FF" w14:paraId="54AC8450" w14:textId="77777777" w:rsidTr="00E64633">
        <w:trPr>
          <w:trHeight w:val="751"/>
        </w:trPr>
        <w:tc>
          <w:tcPr>
            <w:tcW w:w="1482" w:type="dxa"/>
            <w:vAlign w:val="center"/>
          </w:tcPr>
          <w:p w14:paraId="1400909A" w14:textId="73C95792" w:rsidR="008E0240" w:rsidRPr="00141F63" w:rsidRDefault="008E0240" w:rsidP="008E0240">
            <w:pPr>
              <w:spacing w:after="0"/>
              <w:rPr>
                <w:b/>
                <w:bCs/>
                <w:noProof/>
              </w:rPr>
            </w:pPr>
            <w:r w:rsidRPr="00141F63">
              <w:rPr>
                <w:noProof/>
              </w:rPr>
              <w:drawing>
                <wp:inline distT="0" distB="0" distL="0" distR="0" wp14:anchorId="0E317C05" wp14:editId="1ED92693">
                  <wp:extent cx="476250" cy="476250"/>
                  <wp:effectExtent l="0" t="0" r="0" b="0"/>
                  <wp:docPr id="22" name="Graphic 22" descr="Slot Machine outlin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 name="Graphic 22" descr="Slot Machine outline"/>
                          <pic:cNvPicPr/>
                        </pic:nvPicPr>
                        <pic:blipFill>
                          <a:blip r:embed="rId28">
                            <a:extLst>
                              <a:ext uri="{28A0092B-C50C-407E-A947-70E740481C1C}">
                                <a14:useLocalDpi xmlns:a14="http://schemas.microsoft.com/office/drawing/2010/main" val="0"/>
                              </a:ext>
                              <a:ext uri="{96DAC541-7B7A-43D3-8B79-37D633B846F1}">
                                <asvg:svgBlip xmlns:asvg="http://schemas.microsoft.com/office/drawing/2016/SVG/main" r:embed="rId29"/>
                              </a:ext>
                            </a:extLst>
                          </a:blip>
                          <a:stretch>
                            <a:fillRect/>
                          </a:stretch>
                        </pic:blipFill>
                        <pic:spPr>
                          <a:xfrm>
                            <a:off x="0" y="0"/>
                            <a:ext cx="476250" cy="476250"/>
                          </a:xfrm>
                          <a:prstGeom prst="rect">
                            <a:avLst/>
                          </a:prstGeom>
                        </pic:spPr>
                      </pic:pic>
                    </a:graphicData>
                  </a:graphic>
                </wp:inline>
              </w:drawing>
            </w:r>
          </w:p>
        </w:tc>
        <w:tc>
          <w:tcPr>
            <w:tcW w:w="7382" w:type="dxa"/>
            <w:vAlign w:val="center"/>
          </w:tcPr>
          <w:p w14:paraId="74B8128C" w14:textId="27E5A955" w:rsidR="008E0240" w:rsidRPr="003535FF" w:rsidRDefault="008E0240" w:rsidP="008E0240">
            <w:pPr>
              <w:spacing w:after="0"/>
            </w:pPr>
            <w:r w:rsidRPr="00141F63">
              <w:t xml:space="preserve">We disrupted the targeted casinos by contacting </w:t>
            </w:r>
            <w:r w:rsidR="00E64633">
              <w:t xml:space="preserve">providers of </w:t>
            </w:r>
            <w:r w:rsidRPr="00141F63">
              <w:t>essential services used by them</w:t>
            </w:r>
            <w:r w:rsidR="00E64633">
              <w:t>,</w:t>
            </w:r>
            <w:r w:rsidRPr="00141F63">
              <w:t xml:space="preserve"> such as software</w:t>
            </w:r>
            <w:r w:rsidRPr="00141F63">
              <w:rPr>
                <w:rStyle w:val="CommentReference"/>
              </w:rPr>
              <w:t xml:space="preserve">. </w:t>
            </w:r>
            <w:r w:rsidRPr="00141F63">
              <w:t>Many software providers took action to ensure their games were inaccessible to Australian customers on these casinos</w:t>
            </w:r>
            <w:r w:rsidRPr="00141F63">
              <w:rPr>
                <w:bCs/>
              </w:rPr>
              <w:t>.</w:t>
            </w:r>
          </w:p>
        </w:tc>
      </w:tr>
      <w:tr w:rsidR="00112AA5" w:rsidRPr="003535FF" w14:paraId="61F51A3C" w14:textId="77777777" w:rsidTr="00E64633">
        <w:trPr>
          <w:trHeight w:val="345"/>
        </w:trPr>
        <w:tc>
          <w:tcPr>
            <w:tcW w:w="1482" w:type="dxa"/>
            <w:vAlign w:val="center"/>
          </w:tcPr>
          <w:p w14:paraId="3E51B085" w14:textId="104D4555" w:rsidR="00112AA5" w:rsidRPr="003535FF" w:rsidRDefault="00112AA5" w:rsidP="008E0240">
            <w:pPr>
              <w:spacing w:after="0"/>
              <w:rPr>
                <w:i/>
                <w:iCs/>
              </w:rPr>
            </w:pPr>
            <w:r w:rsidRPr="003535FF">
              <w:rPr>
                <w:i/>
                <w:iCs/>
                <w:noProof/>
              </w:rPr>
              <w:drawing>
                <wp:inline distT="0" distB="0" distL="0" distR="0" wp14:anchorId="16B88C68" wp14:editId="4A69DBE5">
                  <wp:extent cx="462651" cy="462651"/>
                  <wp:effectExtent l="0" t="0" r="0" b="0"/>
                  <wp:docPr id="5" name="Graphic 5" descr="Debt outlin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 name="Graphic 28" descr="Debt outline"/>
                          <pic:cNvPicPr/>
                        </pic:nvPicPr>
                        <pic:blipFill>
                          <a:blip r:embed="rId30">
                            <a:extLst>
                              <a:ext uri="{28A0092B-C50C-407E-A947-70E740481C1C}">
                                <a14:useLocalDpi xmlns:a14="http://schemas.microsoft.com/office/drawing/2010/main" val="0"/>
                              </a:ext>
                              <a:ext uri="{96DAC541-7B7A-43D3-8B79-37D633B846F1}">
                                <asvg:svgBlip xmlns:asvg="http://schemas.microsoft.com/office/drawing/2016/SVG/main" r:embed="rId31"/>
                              </a:ext>
                            </a:extLst>
                          </a:blip>
                          <a:stretch>
                            <a:fillRect/>
                          </a:stretch>
                        </pic:blipFill>
                        <pic:spPr>
                          <a:xfrm>
                            <a:off x="0" y="0"/>
                            <a:ext cx="462651" cy="462651"/>
                          </a:xfrm>
                          <a:prstGeom prst="rect">
                            <a:avLst/>
                          </a:prstGeom>
                        </pic:spPr>
                      </pic:pic>
                    </a:graphicData>
                  </a:graphic>
                </wp:inline>
              </w:drawing>
            </w:r>
          </w:p>
        </w:tc>
        <w:tc>
          <w:tcPr>
            <w:tcW w:w="7382" w:type="dxa"/>
            <w:vAlign w:val="center"/>
          </w:tcPr>
          <w:p w14:paraId="5EEDC03F" w14:textId="23CDBFF5" w:rsidR="00112AA5" w:rsidRPr="003535FF" w:rsidRDefault="00112AA5" w:rsidP="008E0240">
            <w:pPr>
              <w:spacing w:after="0"/>
            </w:pPr>
            <w:r>
              <w:t>We contacted</w:t>
            </w:r>
            <w:r w:rsidRPr="003535FF">
              <w:t xml:space="preserve"> </w:t>
            </w:r>
            <w:r>
              <w:t>the providers of local payment options that were</w:t>
            </w:r>
            <w:r w:rsidRPr="003535FF">
              <w:t xml:space="preserve"> </w:t>
            </w:r>
            <w:r>
              <w:t>displayed on the targeted casinos</w:t>
            </w:r>
            <w:r w:rsidR="00EC28BF">
              <w:t xml:space="preserve">, resulting in </w:t>
            </w:r>
            <w:r>
              <w:t>many</w:t>
            </w:r>
            <w:r w:rsidRPr="003535FF">
              <w:t xml:space="preserve"> </w:t>
            </w:r>
            <w:r>
              <w:t xml:space="preserve">of these local payment options </w:t>
            </w:r>
            <w:r w:rsidR="00EC28BF">
              <w:t>being</w:t>
            </w:r>
            <w:r w:rsidR="00EC28BF" w:rsidRPr="003535FF">
              <w:t xml:space="preserve"> </w:t>
            </w:r>
            <w:r w:rsidRPr="003535FF">
              <w:t xml:space="preserve">no longer </w:t>
            </w:r>
            <w:r>
              <w:t>available</w:t>
            </w:r>
            <w:r w:rsidRPr="003535FF">
              <w:t>.</w:t>
            </w:r>
          </w:p>
        </w:tc>
      </w:tr>
      <w:tr w:rsidR="00112AA5" w:rsidRPr="003535FF" w14:paraId="6A5A9B34" w14:textId="77777777" w:rsidTr="00E64633">
        <w:trPr>
          <w:trHeight w:val="143"/>
        </w:trPr>
        <w:tc>
          <w:tcPr>
            <w:tcW w:w="1482" w:type="dxa"/>
            <w:vAlign w:val="center"/>
          </w:tcPr>
          <w:p w14:paraId="12FC587A" w14:textId="77777777" w:rsidR="00112AA5" w:rsidRPr="003535FF" w:rsidRDefault="00112AA5" w:rsidP="008E0240">
            <w:pPr>
              <w:spacing w:after="0"/>
              <w:rPr>
                <w:i/>
                <w:iCs/>
              </w:rPr>
            </w:pPr>
            <w:r w:rsidRPr="003535FF">
              <w:rPr>
                <w:i/>
                <w:iCs/>
                <w:noProof/>
              </w:rPr>
              <w:drawing>
                <wp:inline distT="0" distB="0" distL="0" distR="0" wp14:anchorId="70E9718E" wp14:editId="50F6D4F2">
                  <wp:extent cx="582930" cy="582930"/>
                  <wp:effectExtent l="0" t="0" r="7620" b="0"/>
                  <wp:docPr id="27" name="Graphic 27" descr="Target Audience outlin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7" name="Graphic 27" descr="Target Audience outline"/>
                          <pic:cNvPicPr/>
                        </pic:nvPicPr>
                        <pic:blipFill>
                          <a:blip r:embed="rId32">
                            <a:extLst>
                              <a:ext uri="{28A0092B-C50C-407E-A947-70E740481C1C}">
                                <a14:useLocalDpi xmlns:a14="http://schemas.microsoft.com/office/drawing/2010/main" val="0"/>
                              </a:ext>
                              <a:ext uri="{96DAC541-7B7A-43D3-8B79-37D633B846F1}">
                                <asvg:svgBlip xmlns:asvg="http://schemas.microsoft.com/office/drawing/2016/SVG/main" r:embed="rId33"/>
                              </a:ext>
                            </a:extLst>
                          </a:blip>
                          <a:stretch>
                            <a:fillRect/>
                          </a:stretch>
                        </pic:blipFill>
                        <pic:spPr>
                          <a:xfrm>
                            <a:off x="0" y="0"/>
                            <a:ext cx="583465" cy="583465"/>
                          </a:xfrm>
                          <a:prstGeom prst="rect">
                            <a:avLst/>
                          </a:prstGeom>
                        </pic:spPr>
                      </pic:pic>
                    </a:graphicData>
                  </a:graphic>
                </wp:inline>
              </w:drawing>
            </w:r>
          </w:p>
        </w:tc>
        <w:tc>
          <w:tcPr>
            <w:tcW w:w="7382" w:type="dxa"/>
            <w:vAlign w:val="center"/>
          </w:tcPr>
          <w:p w14:paraId="75DAEA47" w14:textId="581804B9" w:rsidR="00112AA5" w:rsidRPr="003535FF" w:rsidRDefault="00112AA5" w:rsidP="008E0240">
            <w:pPr>
              <w:spacing w:after="0"/>
              <w:rPr>
                <w:i/>
                <w:iCs/>
              </w:rPr>
            </w:pPr>
            <w:r>
              <w:t>We caused further disruption</w:t>
            </w:r>
            <w:r w:rsidRPr="003535FF">
              <w:t xml:space="preserve"> to </w:t>
            </w:r>
            <w:r>
              <w:t>the</w:t>
            </w:r>
            <w:r w:rsidRPr="003535FF">
              <w:t xml:space="preserve"> </w:t>
            </w:r>
            <w:r>
              <w:t>targeted casino services</w:t>
            </w:r>
            <w:r w:rsidRPr="003535FF">
              <w:t xml:space="preserve"> </w:t>
            </w:r>
            <w:r w:rsidR="00EC28BF">
              <w:t>by</w:t>
            </w:r>
            <w:r w:rsidR="00EC28BF" w:rsidRPr="003535FF">
              <w:t xml:space="preserve"> investigati</w:t>
            </w:r>
            <w:r w:rsidR="00EC28BF">
              <w:t>ng</w:t>
            </w:r>
            <w:r w:rsidR="00EC28BF" w:rsidRPr="003535FF">
              <w:t xml:space="preserve"> </w:t>
            </w:r>
            <w:r w:rsidRPr="003535FF">
              <w:t xml:space="preserve">21 affiliate services </w:t>
            </w:r>
            <w:r w:rsidR="00EC28BF">
              <w:t>that</w:t>
            </w:r>
            <w:r w:rsidR="00EC28BF" w:rsidRPr="003535FF">
              <w:t xml:space="preserve"> </w:t>
            </w:r>
            <w:r>
              <w:t>we identified as marketing these casinos (among</w:t>
            </w:r>
            <w:r w:rsidR="00EC28BF">
              <w:t xml:space="preserve"> </w:t>
            </w:r>
            <w:r>
              <w:t>others)</w:t>
            </w:r>
            <w:r w:rsidR="00C01627">
              <w:t>.</w:t>
            </w:r>
            <w:r>
              <w:t xml:space="preserve"> </w:t>
            </w:r>
            <w:r w:rsidR="00974483">
              <w:t>29</w:t>
            </w:r>
            <w:r>
              <w:t>%</w:t>
            </w:r>
            <w:r w:rsidRPr="003535FF">
              <w:t xml:space="preserve"> </w:t>
            </w:r>
            <w:r>
              <w:t xml:space="preserve">of </w:t>
            </w:r>
            <w:r w:rsidR="00C01627">
              <w:t xml:space="preserve">these </w:t>
            </w:r>
            <w:r>
              <w:t xml:space="preserve">affiliate </w:t>
            </w:r>
            <w:r w:rsidRPr="003535FF">
              <w:t>services withdr</w:t>
            </w:r>
            <w:r w:rsidR="00C01627">
              <w:t>ew</w:t>
            </w:r>
            <w:r w:rsidRPr="003535FF">
              <w:t xml:space="preserve"> access to Australian end-users </w:t>
            </w:r>
            <w:r>
              <w:t>or</w:t>
            </w:r>
            <w:r w:rsidRPr="003535FF">
              <w:t xml:space="preserve"> </w:t>
            </w:r>
            <w:r w:rsidR="00E428C2">
              <w:t>committed</w:t>
            </w:r>
            <w:r w:rsidRPr="003535FF">
              <w:t xml:space="preserve"> to implement</w:t>
            </w:r>
            <w:r w:rsidR="00E428C2">
              <w:t>ing</w:t>
            </w:r>
            <w:r w:rsidRPr="003535FF">
              <w:t xml:space="preserve"> measures</w:t>
            </w:r>
            <w:r>
              <w:t xml:space="preserve"> to ensure end-users in Australia cannot access online casino-style gambling services</w:t>
            </w:r>
            <w:r w:rsidR="00236F9F">
              <w:t xml:space="preserve"> via the affiliate websites</w:t>
            </w:r>
            <w:r>
              <w:t>.</w:t>
            </w:r>
            <w:r w:rsidR="003D4440">
              <w:t xml:space="preserve"> The remaining services will be blocked.</w:t>
            </w:r>
          </w:p>
        </w:tc>
      </w:tr>
      <w:tr w:rsidR="00112AA5" w:rsidRPr="003535FF" w14:paraId="33C19AD0" w14:textId="77777777" w:rsidTr="00E64633">
        <w:trPr>
          <w:trHeight w:val="972"/>
        </w:trPr>
        <w:tc>
          <w:tcPr>
            <w:tcW w:w="1482" w:type="dxa"/>
            <w:vAlign w:val="center"/>
          </w:tcPr>
          <w:p w14:paraId="5D5297F3" w14:textId="77777777" w:rsidR="00112AA5" w:rsidRPr="003535FF" w:rsidRDefault="00112AA5" w:rsidP="008E0240">
            <w:pPr>
              <w:spacing w:after="0"/>
              <w:rPr>
                <w:i/>
                <w:iCs/>
              </w:rPr>
            </w:pPr>
            <w:r w:rsidRPr="003535FF">
              <w:rPr>
                <w:i/>
                <w:iCs/>
                <w:noProof/>
              </w:rPr>
              <w:drawing>
                <wp:inline distT="0" distB="0" distL="0" distR="0" wp14:anchorId="0D4CD7BA" wp14:editId="75003E47">
                  <wp:extent cx="565150" cy="565150"/>
                  <wp:effectExtent l="0" t="0" r="0" b="0"/>
                  <wp:docPr id="32" name="Graphic 32" descr="Marketing outlin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 name="Graphic 32" descr="Marketing outline"/>
                          <pic:cNvPicPr/>
                        </pic:nvPicPr>
                        <pic:blipFill>
                          <a:blip r:embed="rId34">
                            <a:extLst>
                              <a:ext uri="{28A0092B-C50C-407E-A947-70E740481C1C}">
                                <a14:useLocalDpi xmlns:a14="http://schemas.microsoft.com/office/drawing/2010/main" val="0"/>
                              </a:ext>
                              <a:ext uri="{96DAC541-7B7A-43D3-8B79-37D633B846F1}">
                                <asvg:svgBlip xmlns:asvg="http://schemas.microsoft.com/office/drawing/2016/SVG/main" r:embed="rId35"/>
                              </a:ext>
                            </a:extLst>
                          </a:blip>
                          <a:stretch>
                            <a:fillRect/>
                          </a:stretch>
                        </pic:blipFill>
                        <pic:spPr>
                          <a:xfrm>
                            <a:off x="0" y="0"/>
                            <a:ext cx="565548" cy="565548"/>
                          </a:xfrm>
                          <a:prstGeom prst="rect">
                            <a:avLst/>
                          </a:prstGeom>
                        </pic:spPr>
                      </pic:pic>
                    </a:graphicData>
                  </a:graphic>
                </wp:inline>
              </w:drawing>
            </w:r>
          </w:p>
        </w:tc>
        <w:tc>
          <w:tcPr>
            <w:tcW w:w="7382" w:type="dxa"/>
            <w:vAlign w:val="center"/>
          </w:tcPr>
          <w:p w14:paraId="449C1AEC" w14:textId="704034C4" w:rsidR="00112AA5" w:rsidRPr="003535FF" w:rsidRDefault="00112AA5" w:rsidP="008E0240">
            <w:pPr>
              <w:spacing w:after="0"/>
            </w:pPr>
            <w:r>
              <w:rPr>
                <w:bCs/>
              </w:rPr>
              <w:t>We increased</w:t>
            </w:r>
            <w:r w:rsidRPr="003535FF">
              <w:t xml:space="preserve"> awareness </w:t>
            </w:r>
            <w:r w:rsidRPr="003535FF">
              <w:rPr>
                <w:bCs/>
              </w:rPr>
              <w:t>within the Australian community about illegal online gambling services and</w:t>
            </w:r>
            <w:r w:rsidRPr="003535FF">
              <w:t xml:space="preserve"> the risks of using them </w:t>
            </w:r>
            <w:r w:rsidR="002C4EC6">
              <w:t>–</w:t>
            </w:r>
            <w:r w:rsidR="00EC28BF">
              <w:t xml:space="preserve"> </w:t>
            </w:r>
            <w:r w:rsidRPr="003535FF">
              <w:t xml:space="preserve">our consumer education campaign in June 2021 </w:t>
            </w:r>
            <w:r w:rsidR="002C4EC6">
              <w:t>was</w:t>
            </w:r>
            <w:r w:rsidR="002C4EC6" w:rsidRPr="003535FF">
              <w:t xml:space="preserve"> </w:t>
            </w:r>
            <w:r w:rsidRPr="003535FF">
              <w:t xml:space="preserve">successful in increasing visits to our website by </w:t>
            </w:r>
            <w:r w:rsidR="002C4EC6">
              <w:t>863%</w:t>
            </w:r>
            <w:r w:rsidRPr="003535FF">
              <w:t>.</w:t>
            </w:r>
          </w:p>
        </w:tc>
      </w:tr>
    </w:tbl>
    <w:p w14:paraId="23B8F2AC" w14:textId="27E736DF" w:rsidR="003409F6" w:rsidRDefault="00966D39" w:rsidP="008C5455">
      <w:pPr>
        <w:pStyle w:val="Heading1"/>
      </w:pPr>
      <w:bookmarkStart w:id="2" w:name="_Toc82445705"/>
      <w:bookmarkStart w:id="3" w:name="_Toc59622604"/>
      <w:r>
        <w:lastRenderedPageBreak/>
        <w:t>Background</w:t>
      </w:r>
      <w:bookmarkEnd w:id="2"/>
    </w:p>
    <w:p w14:paraId="60BA3D12" w14:textId="4477E266" w:rsidR="003F6549" w:rsidRPr="00C8358B" w:rsidRDefault="003F6549" w:rsidP="005D1D20">
      <w:pPr>
        <w:pStyle w:val="Heading2"/>
      </w:pPr>
      <w:bookmarkStart w:id="4" w:name="_Toc82445706"/>
      <w:r w:rsidRPr="00C8358B">
        <w:t xml:space="preserve">ACMA </w:t>
      </w:r>
      <w:r w:rsidR="008F67E9">
        <w:t>r</w:t>
      </w:r>
      <w:r w:rsidRPr="00C8358B">
        <w:t>esponsibilities under the IGA</w:t>
      </w:r>
      <w:bookmarkEnd w:id="4"/>
    </w:p>
    <w:p w14:paraId="4D3DE515" w14:textId="3F92D83F" w:rsidR="00AE1BAE" w:rsidRPr="00C8358B" w:rsidRDefault="00056AE3" w:rsidP="005D1D20">
      <w:pPr>
        <w:pStyle w:val="Paragraphbeforelist"/>
      </w:pPr>
      <w:r>
        <w:t xml:space="preserve">The ACMA </w:t>
      </w:r>
      <w:r w:rsidR="00BB0A65">
        <w:t xml:space="preserve">is responsible for enforcing </w:t>
      </w:r>
      <w:r>
        <w:t>t</w:t>
      </w:r>
      <w:r w:rsidR="003409F6">
        <w:t>he</w:t>
      </w:r>
      <w:r w:rsidR="00AE1BAE">
        <w:t xml:space="preserve"> </w:t>
      </w:r>
      <w:r w:rsidR="008D1BD6" w:rsidRPr="00C8358B">
        <w:rPr>
          <w:i/>
          <w:iCs/>
          <w:color w:val="000000"/>
          <w:szCs w:val="20"/>
        </w:rPr>
        <w:t>Interactive Gambling Act 2001</w:t>
      </w:r>
      <w:r w:rsidR="008D1BD6">
        <w:rPr>
          <w:color w:val="000000"/>
          <w:szCs w:val="20"/>
        </w:rPr>
        <w:t xml:space="preserve"> (IGA)</w:t>
      </w:r>
      <w:r>
        <w:t xml:space="preserve">, which </w:t>
      </w:r>
      <w:r w:rsidR="003409F6">
        <w:t>makes it</w:t>
      </w:r>
      <w:r w:rsidR="003409F6" w:rsidRPr="00966D39">
        <w:t xml:space="preserve"> illegal to provide or advertise</w:t>
      </w:r>
      <w:r w:rsidR="00AE1BAE">
        <w:t xml:space="preserve"> </w:t>
      </w:r>
      <w:r w:rsidR="00AE1BAE" w:rsidRPr="00C8358B">
        <w:t xml:space="preserve">the following services to </w:t>
      </w:r>
      <w:r w:rsidR="00CE46B5">
        <w:t xml:space="preserve">people </w:t>
      </w:r>
      <w:r w:rsidR="004705A6">
        <w:t xml:space="preserve">physically present </w:t>
      </w:r>
      <w:r w:rsidR="00AE1BAE" w:rsidRPr="00C8358B">
        <w:t>in Australia:</w:t>
      </w:r>
    </w:p>
    <w:p w14:paraId="5A8A2ED1" w14:textId="3D7705F1" w:rsidR="00AE1BAE" w:rsidRPr="00C8358B" w:rsidRDefault="00AE1BAE" w:rsidP="005D1D20">
      <w:pPr>
        <w:pStyle w:val="Bulletlevel1"/>
      </w:pPr>
      <w:r w:rsidRPr="00C8358B">
        <w:t>prohibited interactive gambling services</w:t>
      </w:r>
      <w:r w:rsidR="00EC28BF">
        <w:t xml:space="preserve"> – </w:t>
      </w:r>
      <w:r w:rsidRPr="00C8358B">
        <w:t>such as online casino</w:t>
      </w:r>
      <w:r w:rsidR="00AE6D86">
        <w:t xml:space="preserve"> services </w:t>
      </w:r>
      <w:r w:rsidR="006D2F22">
        <w:t>(</w:t>
      </w:r>
      <w:r w:rsidR="00041F81">
        <w:t>for example</w:t>
      </w:r>
      <w:r w:rsidR="00CE46B5">
        <w:t>,</w:t>
      </w:r>
      <w:r w:rsidR="006D2F22">
        <w:t xml:space="preserve"> </w:t>
      </w:r>
      <w:r w:rsidR="001E7AB8">
        <w:t>online slots, poker and roulette</w:t>
      </w:r>
      <w:r w:rsidR="006D2F22">
        <w:t>)</w:t>
      </w:r>
      <w:r w:rsidR="00AE6D86">
        <w:t xml:space="preserve"> </w:t>
      </w:r>
      <w:r w:rsidRPr="00C8358B">
        <w:t>and online wagering services that accept 'in-play' betting on sports events</w:t>
      </w:r>
    </w:p>
    <w:p w14:paraId="0233001D" w14:textId="309DF3DA" w:rsidR="00AE1BAE" w:rsidRDefault="00AE1BAE" w:rsidP="005D1D20">
      <w:pPr>
        <w:pStyle w:val="Bulletlevel1last"/>
      </w:pPr>
      <w:r w:rsidRPr="00C8358B">
        <w:t>unlicensed regulated interactive gambling services</w:t>
      </w:r>
      <w:r w:rsidR="00EC28BF">
        <w:t xml:space="preserve"> – </w:t>
      </w:r>
      <w:r w:rsidRPr="00C8358B">
        <w:t xml:space="preserve">such as online wagering </w:t>
      </w:r>
      <w:r w:rsidR="008633B3">
        <w:t xml:space="preserve">or lottery </w:t>
      </w:r>
      <w:r w:rsidRPr="00C8358B">
        <w:t xml:space="preserve">services </w:t>
      </w:r>
      <w:r w:rsidR="006F0AD4">
        <w:t>that operate</w:t>
      </w:r>
      <w:r w:rsidR="006F0AD4" w:rsidRPr="00C8358B">
        <w:t xml:space="preserve"> </w:t>
      </w:r>
      <w:r w:rsidRPr="00C8358B">
        <w:t>without a licence issued by an Australian state or territory.</w:t>
      </w:r>
    </w:p>
    <w:p w14:paraId="156007EB" w14:textId="6E7DDE2C" w:rsidR="003F6549" w:rsidRPr="0090445C" w:rsidRDefault="002F07A3" w:rsidP="00C8358B">
      <w:pPr>
        <w:rPr>
          <w:rFonts w:cs="Arial"/>
          <w:szCs w:val="20"/>
        </w:rPr>
      </w:pPr>
      <w:r>
        <w:t>I</w:t>
      </w:r>
      <w:r w:rsidR="00F24047">
        <w:t xml:space="preserve">n </w:t>
      </w:r>
      <w:r w:rsidR="008D1BD6">
        <w:t xml:space="preserve">September </w:t>
      </w:r>
      <w:r w:rsidR="00F24047">
        <w:t>2017, t</w:t>
      </w:r>
      <w:r w:rsidR="003F6549">
        <w:t xml:space="preserve">he ACMA was given </w:t>
      </w:r>
      <w:r w:rsidR="003F6549" w:rsidRPr="0090445C">
        <w:t>expanded responsibilities and powers</w:t>
      </w:r>
      <w:r w:rsidR="008D1BD6">
        <w:t xml:space="preserve"> in the form of </w:t>
      </w:r>
      <w:r w:rsidR="008D1BD6" w:rsidRPr="0090445C">
        <w:t>stronger enforcement and disruption measures</w:t>
      </w:r>
      <w:r w:rsidR="003F6549" w:rsidRPr="0090445C">
        <w:t xml:space="preserve"> </w:t>
      </w:r>
      <w:r w:rsidR="0058023A">
        <w:t>to enforce</w:t>
      </w:r>
      <w:r w:rsidR="00501F6E">
        <w:t xml:space="preserve"> </w:t>
      </w:r>
      <w:r w:rsidR="003F6549" w:rsidRPr="0090445C">
        <w:t>these prohibitions</w:t>
      </w:r>
      <w:r w:rsidR="003D4CC5">
        <w:t>.</w:t>
      </w:r>
      <w:r w:rsidR="003F6549" w:rsidRPr="0090445C">
        <w:t xml:space="preserve"> </w:t>
      </w:r>
    </w:p>
    <w:p w14:paraId="2AE87B59" w14:textId="6E9980D7" w:rsidR="003F6549" w:rsidRPr="00AF1D2A" w:rsidRDefault="008D1BD6" w:rsidP="003F6549">
      <w:pPr>
        <w:rPr>
          <w:rFonts w:cs="Arial"/>
          <w:szCs w:val="20"/>
        </w:rPr>
      </w:pPr>
      <w:r>
        <w:t xml:space="preserve">Since this time, we have </w:t>
      </w:r>
      <w:r w:rsidR="003F6549">
        <w:t xml:space="preserve">moved quickly to crack down on illegal operators in the Australian interactive gambling </w:t>
      </w:r>
      <w:r w:rsidR="003F6549" w:rsidRPr="006C3095">
        <w:rPr>
          <w:rFonts w:cs="Arial"/>
          <w:szCs w:val="20"/>
        </w:rPr>
        <w:t xml:space="preserve">market. As a result of </w:t>
      </w:r>
      <w:r w:rsidR="003F6549" w:rsidRPr="00680320">
        <w:rPr>
          <w:rFonts w:cs="Arial"/>
          <w:szCs w:val="20"/>
        </w:rPr>
        <w:t xml:space="preserve">our action, </w:t>
      </w:r>
      <w:r w:rsidR="005919E0">
        <w:rPr>
          <w:rFonts w:cs="Arial"/>
          <w:szCs w:val="20"/>
        </w:rPr>
        <w:t>156</w:t>
      </w:r>
      <w:r w:rsidR="00FC5AC7" w:rsidRPr="00680320">
        <w:rPr>
          <w:rFonts w:cs="Arial"/>
          <w:szCs w:val="20"/>
        </w:rPr>
        <w:t xml:space="preserve"> </w:t>
      </w:r>
      <w:r w:rsidR="003F6549" w:rsidRPr="00680320">
        <w:rPr>
          <w:rFonts w:cs="Arial"/>
          <w:szCs w:val="20"/>
        </w:rPr>
        <w:t>prominent</w:t>
      </w:r>
      <w:r w:rsidR="003F6549" w:rsidRPr="006C3095">
        <w:rPr>
          <w:rFonts w:cs="Arial"/>
          <w:szCs w:val="20"/>
        </w:rPr>
        <w:t xml:space="preserve"> offshore online gambling providers </w:t>
      </w:r>
      <w:r w:rsidR="00CE46B5">
        <w:rPr>
          <w:rFonts w:cs="Arial"/>
          <w:szCs w:val="20"/>
        </w:rPr>
        <w:t xml:space="preserve">(as </w:t>
      </w:r>
      <w:r w:rsidR="004705A6">
        <w:rPr>
          <w:rFonts w:cs="Arial"/>
          <w:szCs w:val="20"/>
        </w:rPr>
        <w:t xml:space="preserve">at </w:t>
      </w:r>
      <w:r w:rsidR="00FC5AC7">
        <w:rPr>
          <w:rFonts w:cs="Arial"/>
          <w:szCs w:val="20"/>
        </w:rPr>
        <w:t>16 November</w:t>
      </w:r>
      <w:r w:rsidR="004705A6">
        <w:rPr>
          <w:rFonts w:cs="Arial"/>
          <w:szCs w:val="20"/>
        </w:rPr>
        <w:t xml:space="preserve"> 2021</w:t>
      </w:r>
      <w:r w:rsidR="00CE46B5">
        <w:rPr>
          <w:rFonts w:cs="Arial"/>
          <w:szCs w:val="20"/>
        </w:rPr>
        <w:t xml:space="preserve">) </w:t>
      </w:r>
      <w:r w:rsidR="003F6549" w:rsidRPr="006C3095">
        <w:rPr>
          <w:rFonts w:cs="Arial"/>
          <w:szCs w:val="20"/>
        </w:rPr>
        <w:t xml:space="preserve">have withdrawn </w:t>
      </w:r>
      <w:r w:rsidR="003F6549" w:rsidRPr="00AF1D2A">
        <w:rPr>
          <w:rFonts w:cs="Arial"/>
          <w:szCs w:val="20"/>
        </w:rPr>
        <w:t>from the Australian market</w:t>
      </w:r>
      <w:r w:rsidR="0058023A" w:rsidRPr="00AF1D2A">
        <w:rPr>
          <w:rFonts w:cs="Arial"/>
          <w:szCs w:val="20"/>
        </w:rPr>
        <w:t xml:space="preserve"> since </w:t>
      </w:r>
      <w:r>
        <w:rPr>
          <w:rFonts w:cs="Arial"/>
          <w:szCs w:val="20"/>
        </w:rPr>
        <w:t>we</w:t>
      </w:r>
      <w:r w:rsidRPr="00116F37">
        <w:rPr>
          <w:rFonts w:cs="Arial"/>
          <w:szCs w:val="20"/>
        </w:rPr>
        <w:t xml:space="preserve"> </w:t>
      </w:r>
      <w:r w:rsidR="00C3445D" w:rsidRPr="00116F37">
        <w:rPr>
          <w:rFonts w:cs="Arial"/>
          <w:szCs w:val="20"/>
        </w:rPr>
        <w:t xml:space="preserve">started </w:t>
      </w:r>
      <w:r w:rsidR="00AF1D2A" w:rsidRPr="00AF1D2A">
        <w:rPr>
          <w:rFonts w:cs="Arial"/>
          <w:szCs w:val="20"/>
        </w:rPr>
        <w:t>enforcing</w:t>
      </w:r>
      <w:r w:rsidR="00C3445D" w:rsidRPr="00116F37">
        <w:rPr>
          <w:rFonts w:cs="Arial"/>
          <w:szCs w:val="20"/>
        </w:rPr>
        <w:t xml:space="preserve"> </w:t>
      </w:r>
      <w:r>
        <w:rPr>
          <w:rFonts w:cs="Arial"/>
          <w:szCs w:val="20"/>
        </w:rPr>
        <w:t xml:space="preserve">the </w:t>
      </w:r>
      <w:r w:rsidR="00C3445D" w:rsidRPr="00116F37">
        <w:rPr>
          <w:rFonts w:cs="Arial"/>
          <w:szCs w:val="20"/>
        </w:rPr>
        <w:t>new illegal offshore gambling rules</w:t>
      </w:r>
      <w:r>
        <w:rPr>
          <w:rFonts w:cs="Arial"/>
          <w:szCs w:val="20"/>
        </w:rPr>
        <w:t>.</w:t>
      </w:r>
    </w:p>
    <w:p w14:paraId="4916B591" w14:textId="7B300F04" w:rsidR="00292443" w:rsidRDefault="0058023A" w:rsidP="003F6549">
      <w:pPr>
        <w:rPr>
          <w:rFonts w:cs="Arial"/>
          <w:szCs w:val="20"/>
          <w:lang w:val="en-US"/>
        </w:rPr>
      </w:pPr>
      <w:r w:rsidRPr="00AF1D2A">
        <w:rPr>
          <w:rFonts w:cs="Arial"/>
          <w:szCs w:val="20"/>
          <w:lang w:val="en-US"/>
        </w:rPr>
        <w:t xml:space="preserve">There </w:t>
      </w:r>
      <w:r w:rsidR="003F6549" w:rsidRPr="00AF1D2A">
        <w:rPr>
          <w:rFonts w:cs="Arial"/>
          <w:szCs w:val="20"/>
          <w:lang w:val="en-US"/>
        </w:rPr>
        <w:t xml:space="preserve">are still a </w:t>
      </w:r>
      <w:r w:rsidR="00BA5035" w:rsidRPr="00AF1D2A">
        <w:rPr>
          <w:rFonts w:cs="Arial"/>
          <w:szCs w:val="20"/>
          <w:lang w:val="en-US"/>
        </w:rPr>
        <w:t>large</w:t>
      </w:r>
      <w:r w:rsidR="000822A1" w:rsidRPr="00AF1D2A">
        <w:rPr>
          <w:rFonts w:cs="Arial"/>
          <w:szCs w:val="20"/>
          <w:lang w:val="en-US"/>
        </w:rPr>
        <w:t xml:space="preserve"> </w:t>
      </w:r>
      <w:r w:rsidR="003F6549" w:rsidRPr="00AF1D2A">
        <w:rPr>
          <w:rFonts w:cs="Arial"/>
          <w:szCs w:val="20"/>
          <w:lang w:val="en-US"/>
        </w:rPr>
        <w:t>number of operators providing illegal online</w:t>
      </w:r>
      <w:r w:rsidR="003F6549" w:rsidRPr="006C3095">
        <w:rPr>
          <w:rFonts w:cs="Arial"/>
          <w:szCs w:val="20"/>
          <w:lang w:val="en-US"/>
        </w:rPr>
        <w:t xml:space="preserve"> </w:t>
      </w:r>
      <w:r w:rsidR="008F67E9">
        <w:rPr>
          <w:rFonts w:cs="Arial"/>
          <w:szCs w:val="20"/>
          <w:lang w:val="en-US"/>
        </w:rPr>
        <w:t>gambling services</w:t>
      </w:r>
      <w:r>
        <w:rPr>
          <w:rFonts w:cs="Arial"/>
          <w:szCs w:val="20"/>
          <w:lang w:val="en-US"/>
        </w:rPr>
        <w:t xml:space="preserve"> to Australians</w:t>
      </w:r>
      <w:r w:rsidR="00292443">
        <w:rPr>
          <w:rFonts w:cs="Arial"/>
          <w:szCs w:val="20"/>
          <w:lang w:val="en-US"/>
        </w:rPr>
        <w:t>. These services continue to pose a significant risk to Australian gamblers</w:t>
      </w:r>
      <w:r w:rsidR="008D1BD6">
        <w:rPr>
          <w:rFonts w:cs="Arial"/>
          <w:szCs w:val="20"/>
          <w:lang w:val="en-US"/>
        </w:rPr>
        <w:t>,</w:t>
      </w:r>
      <w:r w:rsidR="00292443">
        <w:rPr>
          <w:rFonts w:cs="Arial"/>
          <w:szCs w:val="20"/>
          <w:lang w:val="en-US"/>
        </w:rPr>
        <w:t xml:space="preserve"> with p</w:t>
      </w:r>
      <w:r w:rsidR="00292443" w:rsidRPr="00CE2E62">
        <w:rPr>
          <w:rFonts w:cs="Arial"/>
          <w:szCs w:val="20"/>
          <w:lang w:val="en-US"/>
        </w:rPr>
        <w:t>eople who gambl</w:t>
      </w:r>
      <w:r>
        <w:rPr>
          <w:rFonts w:cs="Arial"/>
          <w:szCs w:val="20"/>
          <w:lang w:val="en-US"/>
        </w:rPr>
        <w:t>e</w:t>
      </w:r>
      <w:r w:rsidR="00292443" w:rsidRPr="00CE2E62">
        <w:rPr>
          <w:rFonts w:cs="Arial"/>
          <w:szCs w:val="20"/>
          <w:lang w:val="en-US"/>
        </w:rPr>
        <w:t xml:space="preserve"> online nearly 3 times more likely to be problem gambl</w:t>
      </w:r>
      <w:r w:rsidR="00292443" w:rsidRPr="00136837">
        <w:rPr>
          <w:rFonts w:cs="Arial"/>
          <w:szCs w:val="20"/>
          <w:lang w:val="en-US"/>
        </w:rPr>
        <w:t xml:space="preserve">ers </w:t>
      </w:r>
      <w:r w:rsidR="00292443" w:rsidRPr="00DA3293">
        <w:rPr>
          <w:rFonts w:cs="Arial"/>
          <w:szCs w:val="20"/>
          <w:lang w:val="en-US"/>
        </w:rPr>
        <w:t>than those who only use land-based services</w:t>
      </w:r>
      <w:r w:rsidR="008D1BD6">
        <w:rPr>
          <w:rFonts w:cs="Arial"/>
          <w:szCs w:val="20"/>
          <w:lang w:val="en-US"/>
        </w:rPr>
        <w:t>.</w:t>
      </w:r>
      <w:r w:rsidR="00EA355D">
        <w:rPr>
          <w:rStyle w:val="FootnoteReference"/>
          <w:rFonts w:cs="Arial"/>
          <w:szCs w:val="20"/>
          <w:lang w:val="en-US"/>
        </w:rPr>
        <w:footnoteReference w:id="2"/>
      </w:r>
      <w:r w:rsidR="008F67E9">
        <w:rPr>
          <w:rFonts w:cs="Arial"/>
          <w:szCs w:val="20"/>
          <w:lang w:val="en-US"/>
        </w:rPr>
        <w:t xml:space="preserve"> </w:t>
      </w:r>
    </w:p>
    <w:p w14:paraId="33D0C09A" w14:textId="50E3FBE7" w:rsidR="003F6549" w:rsidRDefault="008F67E9" w:rsidP="003F6549">
      <w:pPr>
        <w:rPr>
          <w:rFonts w:cs="Arial"/>
          <w:szCs w:val="20"/>
          <w:lang w:val="en-US"/>
        </w:rPr>
      </w:pPr>
      <w:r>
        <w:rPr>
          <w:rFonts w:cs="Arial"/>
          <w:szCs w:val="20"/>
          <w:lang w:val="en-US"/>
        </w:rPr>
        <w:t xml:space="preserve">Many of these are </w:t>
      </w:r>
      <w:r w:rsidR="003F6549" w:rsidRPr="006C3095">
        <w:rPr>
          <w:rFonts w:cs="Arial"/>
          <w:szCs w:val="20"/>
          <w:lang w:val="en-US"/>
        </w:rPr>
        <w:t>online casinos</w:t>
      </w:r>
      <w:r w:rsidR="003F6549" w:rsidRPr="00966D39">
        <w:rPr>
          <w:rFonts w:cs="Arial"/>
          <w:szCs w:val="20"/>
          <w:lang w:val="en-US"/>
        </w:rPr>
        <w:t xml:space="preserve"> </w:t>
      </w:r>
      <w:r w:rsidR="0058023A">
        <w:rPr>
          <w:rFonts w:cs="Arial"/>
          <w:szCs w:val="20"/>
          <w:lang w:val="en-US"/>
        </w:rPr>
        <w:t>specifically target</w:t>
      </w:r>
      <w:r w:rsidR="003F6549" w:rsidRPr="00966D39">
        <w:rPr>
          <w:rFonts w:cs="Arial"/>
          <w:szCs w:val="20"/>
          <w:lang w:val="en-US"/>
        </w:rPr>
        <w:t xml:space="preserve"> the Australian market.</w:t>
      </w:r>
    </w:p>
    <w:p w14:paraId="4E2A0E04" w14:textId="51C5B9B5" w:rsidR="003F6549" w:rsidRPr="00C8358B" w:rsidRDefault="003F6549" w:rsidP="005D1D20">
      <w:pPr>
        <w:pStyle w:val="Heading2"/>
      </w:pPr>
      <w:bookmarkStart w:id="5" w:name="_Toc82445707"/>
      <w:r>
        <w:t>Compliance priority</w:t>
      </w:r>
      <w:r w:rsidR="005B16BB">
        <w:t xml:space="preserve"> – online casinos that target Australia</w:t>
      </w:r>
      <w:bookmarkEnd w:id="5"/>
    </w:p>
    <w:p w14:paraId="6CB98E10" w14:textId="251F0B71" w:rsidR="00292443" w:rsidRDefault="003F6549" w:rsidP="00136837">
      <w:r>
        <w:t>O</w:t>
      </w:r>
      <w:r w:rsidR="004752B2">
        <w:t>nline casinos</w:t>
      </w:r>
      <w:r w:rsidR="005D4AD6">
        <w:t xml:space="preserve"> </w:t>
      </w:r>
      <w:r w:rsidR="005B16BB">
        <w:t xml:space="preserve">that provide </w:t>
      </w:r>
      <w:r w:rsidR="00292443">
        <w:t>slots, roulette, poker and other casino games are prohibited</w:t>
      </w:r>
      <w:r w:rsidR="005B16BB">
        <w:t xml:space="preserve"> in Australia</w:t>
      </w:r>
      <w:r w:rsidR="00292443">
        <w:t>.</w:t>
      </w:r>
      <w:r w:rsidR="005B16BB">
        <w:t xml:space="preserve"> However, many</w:t>
      </w:r>
      <w:r w:rsidR="00EA355D">
        <w:t xml:space="preserve"> services </w:t>
      </w:r>
      <w:r w:rsidR="00693FC9">
        <w:t xml:space="preserve">that are </w:t>
      </w:r>
      <w:r w:rsidR="00EA355D">
        <w:t>based offshore</w:t>
      </w:r>
      <w:r w:rsidR="005B16BB">
        <w:t xml:space="preserve"> target Australian customers</w:t>
      </w:r>
      <w:r w:rsidR="00CE46B5">
        <w:t>,</w:t>
      </w:r>
      <w:r w:rsidR="005B16BB">
        <w:t xml:space="preserve"> </w:t>
      </w:r>
      <w:r w:rsidR="005B16BB" w:rsidRPr="00966D39">
        <w:rPr>
          <w:rFonts w:cs="Arial"/>
          <w:szCs w:val="20"/>
          <w:lang w:val="en-US"/>
        </w:rPr>
        <w:t>using Australian themes and accepting play in Australian dollars</w:t>
      </w:r>
      <w:r w:rsidR="005B16BB">
        <w:rPr>
          <w:rFonts w:cs="Arial"/>
          <w:szCs w:val="20"/>
          <w:lang w:val="en-US"/>
        </w:rPr>
        <w:t>.</w:t>
      </w:r>
    </w:p>
    <w:p w14:paraId="149DAA8C" w14:textId="0A4F3D55" w:rsidR="00136837" w:rsidRDefault="005B16BB" w:rsidP="00136837">
      <w:r>
        <w:t xml:space="preserve">Australian expenditure on these services is </w:t>
      </w:r>
      <w:r w:rsidR="009C069D">
        <w:t>substantial</w:t>
      </w:r>
      <w:r>
        <w:t xml:space="preserve">. </w:t>
      </w:r>
      <w:r w:rsidR="00136837" w:rsidRPr="000E7967">
        <w:t xml:space="preserve">Global Betting and Gaming Consultants (GBGC) estimate </w:t>
      </w:r>
      <w:r w:rsidR="00136837">
        <w:t>Australian expenditure on offshore gambling for 2020</w:t>
      </w:r>
      <w:r w:rsidR="005D1D20">
        <w:t xml:space="preserve"> </w:t>
      </w:r>
      <w:r w:rsidR="00CE46B5">
        <w:t>was</w:t>
      </w:r>
      <w:r w:rsidR="00136837">
        <w:t xml:space="preserve"> US$175 million</w:t>
      </w:r>
      <w:r w:rsidR="008D1BD6">
        <w:t xml:space="preserve"> (around A$237 million)</w:t>
      </w:r>
      <w:r w:rsidR="00136837">
        <w:t xml:space="preserve"> – of which over half is on online casinos. </w:t>
      </w:r>
      <w:r w:rsidR="00136837" w:rsidRPr="000E7967">
        <w:t>H2 Gambling Capital (H2GC)</w:t>
      </w:r>
      <w:r w:rsidR="00136837">
        <w:t xml:space="preserve"> has </w:t>
      </w:r>
      <w:r w:rsidR="00136837" w:rsidRPr="000E7967">
        <w:t>forecas</w:t>
      </w:r>
      <w:r w:rsidR="00136837">
        <w:t>t</w:t>
      </w:r>
      <w:r w:rsidR="00136837" w:rsidRPr="000E7967">
        <w:t xml:space="preserve"> expenditure of </w:t>
      </w:r>
      <w:r w:rsidR="00136837" w:rsidRPr="00926F5E">
        <w:t>A$</w:t>
      </w:r>
      <w:r w:rsidR="00136837" w:rsidRPr="00684F21">
        <w:t xml:space="preserve">1,475 </w:t>
      </w:r>
      <w:r w:rsidR="00136837" w:rsidRPr="00926F5E">
        <w:t>million</w:t>
      </w:r>
      <w:r w:rsidR="00136837" w:rsidRPr="00DA66DE">
        <w:t xml:space="preserve"> for</w:t>
      </w:r>
      <w:r w:rsidR="00136837" w:rsidRPr="000E7967">
        <w:t xml:space="preserve"> </w:t>
      </w:r>
      <w:r w:rsidR="00136837">
        <w:t xml:space="preserve">2020 – </w:t>
      </w:r>
      <w:r w:rsidR="00E428C2">
        <w:t>again</w:t>
      </w:r>
      <w:r w:rsidR="00CE46B5">
        <w:t>,</w:t>
      </w:r>
      <w:r w:rsidR="00E428C2">
        <w:t xml:space="preserve"> </w:t>
      </w:r>
      <w:r w:rsidR="00136837">
        <w:t>of which over half is online casinos</w:t>
      </w:r>
      <w:r w:rsidR="00136837" w:rsidRPr="000E7967">
        <w:t>.</w:t>
      </w:r>
      <w:r w:rsidR="00136837">
        <w:t xml:space="preserve"> </w:t>
      </w:r>
      <w:r w:rsidR="00136837" w:rsidRPr="000E7967">
        <w:t>While there is a disparity in the forecasts</w:t>
      </w:r>
      <w:r w:rsidR="00103F69">
        <w:t>,</w:t>
      </w:r>
      <w:r w:rsidR="00136837" w:rsidRPr="000E7967">
        <w:t xml:space="preserve"> it is clear that Australians</w:t>
      </w:r>
      <w:r w:rsidR="00136837">
        <w:t xml:space="preserve"> continue to lose</w:t>
      </w:r>
      <w:r w:rsidR="00136837" w:rsidRPr="000E7967">
        <w:t xml:space="preserve"> significant amounts to offshore </w:t>
      </w:r>
      <w:r>
        <w:t>casino</w:t>
      </w:r>
      <w:r w:rsidR="00136837" w:rsidRPr="000E7967">
        <w:t xml:space="preserve"> operators.</w:t>
      </w:r>
    </w:p>
    <w:p w14:paraId="0B772CC5" w14:textId="0620B532" w:rsidR="005B16BB" w:rsidRPr="0042337E" w:rsidRDefault="00C3445D" w:rsidP="004B4332">
      <w:pPr>
        <w:rPr>
          <w:rFonts w:cs="Arial"/>
          <w:color w:val="000000"/>
          <w:szCs w:val="20"/>
        </w:rPr>
      </w:pPr>
      <w:r>
        <w:rPr>
          <w:rFonts w:cs="Arial"/>
          <w:szCs w:val="20"/>
          <w:lang w:val="en-US"/>
        </w:rPr>
        <w:t>The ACMA continues to receive complaints about these illegal services</w:t>
      </w:r>
      <w:r w:rsidR="008D1BD6">
        <w:rPr>
          <w:rFonts w:cs="Arial"/>
          <w:szCs w:val="20"/>
          <w:lang w:val="en-US"/>
        </w:rPr>
        <w:t>, which</w:t>
      </w:r>
      <w:r>
        <w:rPr>
          <w:rFonts w:cs="Arial"/>
          <w:szCs w:val="20"/>
          <w:lang w:val="en-US"/>
        </w:rPr>
        <w:t xml:space="preserve"> </w:t>
      </w:r>
      <w:r>
        <w:rPr>
          <w:rFonts w:cs="Arial"/>
          <w:color w:val="000000"/>
          <w:szCs w:val="20"/>
        </w:rPr>
        <w:t>do not have the customer protections we expect in Australia</w:t>
      </w:r>
      <w:r w:rsidR="008D1BD6">
        <w:rPr>
          <w:rFonts w:cs="Arial"/>
          <w:color w:val="000000"/>
          <w:szCs w:val="20"/>
        </w:rPr>
        <w:t>. W</w:t>
      </w:r>
      <w:r w:rsidRPr="001C0A64">
        <w:rPr>
          <w:rFonts w:cs="Arial"/>
          <w:color w:val="000000"/>
          <w:szCs w:val="20"/>
        </w:rPr>
        <w:t xml:space="preserve">innings </w:t>
      </w:r>
      <w:r w:rsidR="003B74B8">
        <w:rPr>
          <w:rFonts w:cs="Arial"/>
          <w:color w:val="000000"/>
          <w:szCs w:val="20"/>
        </w:rPr>
        <w:t>may</w:t>
      </w:r>
      <w:r>
        <w:rPr>
          <w:rFonts w:cs="Arial"/>
          <w:color w:val="000000"/>
          <w:szCs w:val="20"/>
        </w:rPr>
        <w:t xml:space="preserve"> </w:t>
      </w:r>
      <w:r w:rsidRPr="001C0A64">
        <w:rPr>
          <w:rFonts w:cs="Arial"/>
          <w:color w:val="000000"/>
          <w:szCs w:val="20"/>
        </w:rPr>
        <w:t xml:space="preserve">not </w:t>
      </w:r>
      <w:r w:rsidR="003B74B8">
        <w:rPr>
          <w:rFonts w:cs="Arial"/>
          <w:color w:val="000000"/>
          <w:szCs w:val="20"/>
        </w:rPr>
        <w:t xml:space="preserve">be </w:t>
      </w:r>
      <w:r w:rsidRPr="001C0A64">
        <w:rPr>
          <w:rFonts w:cs="Arial"/>
          <w:color w:val="000000"/>
          <w:szCs w:val="20"/>
        </w:rPr>
        <w:t>honoured,</w:t>
      </w:r>
      <w:r>
        <w:rPr>
          <w:rFonts w:cs="Arial"/>
          <w:color w:val="000000"/>
          <w:szCs w:val="20"/>
        </w:rPr>
        <w:t xml:space="preserve"> and </w:t>
      </w:r>
      <w:r w:rsidRPr="001C0A64">
        <w:rPr>
          <w:rFonts w:cs="Arial"/>
          <w:color w:val="000000"/>
          <w:szCs w:val="20"/>
        </w:rPr>
        <w:t>incentives and pressure tactics</w:t>
      </w:r>
      <w:r>
        <w:rPr>
          <w:rFonts w:cs="Arial"/>
          <w:color w:val="000000"/>
          <w:szCs w:val="20"/>
        </w:rPr>
        <w:t xml:space="preserve"> are used to</w:t>
      </w:r>
      <w:r w:rsidRPr="001C0A64">
        <w:rPr>
          <w:rFonts w:cs="Arial"/>
          <w:color w:val="000000"/>
          <w:szCs w:val="20"/>
        </w:rPr>
        <w:t xml:space="preserve"> target gamblers</w:t>
      </w:r>
      <w:r>
        <w:rPr>
          <w:rFonts w:cs="Arial"/>
          <w:color w:val="000000"/>
          <w:szCs w:val="20"/>
        </w:rPr>
        <w:t xml:space="preserve">. </w:t>
      </w:r>
      <w:r w:rsidR="00015412">
        <w:t>Consumers</w:t>
      </w:r>
      <w:r w:rsidR="005B16BB">
        <w:t xml:space="preserve"> who access these websites have little or no recourse if they experience poor player treatment or their winnings have been withheld. </w:t>
      </w:r>
    </w:p>
    <w:p w14:paraId="50099D1E" w14:textId="4D7F0BE8" w:rsidR="006C3095" w:rsidRPr="00966D39" w:rsidRDefault="006C3095" w:rsidP="005A6656">
      <w:pPr>
        <w:pStyle w:val="Paragraphbeforelist"/>
        <w:keepNext/>
        <w:keepLines/>
      </w:pPr>
      <w:r w:rsidRPr="00966D39">
        <w:lastRenderedPageBreak/>
        <w:t xml:space="preserve">Our activities </w:t>
      </w:r>
      <w:r w:rsidRPr="006C3095">
        <w:t>in 2020</w:t>
      </w:r>
      <w:r w:rsidR="008D1BD6">
        <w:t>–</w:t>
      </w:r>
      <w:r w:rsidRPr="006C3095">
        <w:t xml:space="preserve">21 </w:t>
      </w:r>
      <w:r w:rsidR="008F67E9">
        <w:t>had</w:t>
      </w:r>
      <w:r w:rsidRPr="00966D39">
        <w:t xml:space="preserve"> </w:t>
      </w:r>
      <w:r w:rsidR="008D1BD6">
        <w:t>2</w:t>
      </w:r>
      <w:r w:rsidR="008D1BD6" w:rsidRPr="00966D39">
        <w:t xml:space="preserve"> </w:t>
      </w:r>
      <w:r w:rsidRPr="00966D39">
        <w:t>key objectives:</w:t>
      </w:r>
    </w:p>
    <w:p w14:paraId="1BDD7273" w14:textId="4CD42DB0" w:rsidR="006C3095" w:rsidRPr="00966D39" w:rsidRDefault="006C3095" w:rsidP="005A6656">
      <w:pPr>
        <w:pStyle w:val="Bulletlevel1"/>
        <w:keepNext/>
        <w:keepLines/>
      </w:pPr>
      <w:r w:rsidRPr="00966D39">
        <w:t>minimis</w:t>
      </w:r>
      <w:r w:rsidR="008F67E9">
        <w:t>e</w:t>
      </w:r>
      <w:r w:rsidRPr="00966D39">
        <w:t xml:space="preserve"> the harm caused by illegal online gambling by disrupting offshore casino services that target Australians </w:t>
      </w:r>
    </w:p>
    <w:p w14:paraId="7119A535" w14:textId="2A116752" w:rsidR="00CE2E62" w:rsidRPr="004B4332" w:rsidRDefault="006C3095" w:rsidP="005A6656">
      <w:pPr>
        <w:pStyle w:val="Bulletlevel1last"/>
        <w:keepNext/>
        <w:keepLines/>
        <w:rPr>
          <w:iCs/>
        </w:rPr>
      </w:pPr>
      <w:r w:rsidRPr="00966D39">
        <w:t xml:space="preserve">send a message to the offshore gambling industry </w:t>
      </w:r>
      <w:r w:rsidR="0042337E">
        <w:t xml:space="preserve">that </w:t>
      </w:r>
      <w:r w:rsidRPr="00966D39">
        <w:t>the ACMA is proactive in enforcing the IGA against services that actively target Australians.</w:t>
      </w:r>
    </w:p>
    <w:p w14:paraId="59862658" w14:textId="223DFE8D" w:rsidR="001C31C7" w:rsidRDefault="001C31C7" w:rsidP="005A6656">
      <w:pPr>
        <w:pStyle w:val="Paragraph"/>
      </w:pPr>
      <w:r>
        <w:t xml:space="preserve">These activities </w:t>
      </w:r>
      <w:r w:rsidR="00AF6C57">
        <w:t>assumed particular</w:t>
      </w:r>
      <w:r>
        <w:t xml:space="preserve"> relevance </w:t>
      </w:r>
      <w:r w:rsidR="005B07FA">
        <w:t>over the past year</w:t>
      </w:r>
      <w:r w:rsidR="00693FC9">
        <w:t>,</w:t>
      </w:r>
      <w:r w:rsidR="005B07FA">
        <w:t xml:space="preserve"> </w:t>
      </w:r>
      <w:r>
        <w:t xml:space="preserve">with </w:t>
      </w:r>
      <w:r w:rsidRPr="001C0A64">
        <w:t>many people</w:t>
      </w:r>
      <w:r>
        <w:t xml:space="preserve"> </w:t>
      </w:r>
      <w:r w:rsidRPr="001C0A64">
        <w:t>finding themselves at home or spending more time online during the</w:t>
      </w:r>
      <w:r w:rsidR="005773C1">
        <w:t xml:space="preserve"> COVID-19</w:t>
      </w:r>
      <w:r w:rsidRPr="001C0A64">
        <w:t xml:space="preserve"> pandemic</w:t>
      </w:r>
      <w:r>
        <w:t xml:space="preserve">. </w:t>
      </w:r>
      <w:r w:rsidR="00EC56B3">
        <w:t>T</w:t>
      </w:r>
      <w:r>
        <w:t xml:space="preserve">his environment </w:t>
      </w:r>
      <w:r w:rsidR="00EC56B3">
        <w:t>may expose</w:t>
      </w:r>
      <w:r w:rsidRPr="001C0A64">
        <w:t xml:space="preserve"> </w:t>
      </w:r>
      <w:r>
        <w:t xml:space="preserve">people </w:t>
      </w:r>
      <w:r w:rsidR="00EC56B3">
        <w:t>more</w:t>
      </w:r>
      <w:r>
        <w:t xml:space="preserve"> to </w:t>
      </w:r>
      <w:r w:rsidR="00EC56B3">
        <w:t>the</w:t>
      </w:r>
      <w:r w:rsidRPr="001C0A64">
        <w:t xml:space="preserve"> harms from illegal online gambling, especially offshore services that target Australians</w:t>
      </w:r>
      <w:r>
        <w:t>.</w:t>
      </w:r>
    </w:p>
    <w:p w14:paraId="675CDE10" w14:textId="78B58E07" w:rsidR="00782469" w:rsidRPr="00782469" w:rsidRDefault="00782469" w:rsidP="00782469">
      <w:pPr>
        <w:rPr>
          <w:rFonts w:cs="Arial"/>
          <w:szCs w:val="20"/>
        </w:rPr>
      </w:pPr>
      <w:r>
        <w:rPr>
          <w:rFonts w:cs="Arial"/>
          <w:szCs w:val="20"/>
          <w:lang w:val="en-US"/>
        </w:rPr>
        <w:t>We</w:t>
      </w:r>
      <w:r w:rsidRPr="006C3095">
        <w:rPr>
          <w:rFonts w:cs="Arial"/>
          <w:szCs w:val="20"/>
        </w:rPr>
        <w:t xml:space="preserve"> focused our </w:t>
      </w:r>
      <w:r w:rsidR="007E7180">
        <w:rPr>
          <w:rFonts w:cs="Arial"/>
          <w:szCs w:val="20"/>
        </w:rPr>
        <w:t>disruption</w:t>
      </w:r>
      <w:r w:rsidRPr="006C3095">
        <w:rPr>
          <w:rFonts w:cs="Arial"/>
          <w:szCs w:val="20"/>
        </w:rPr>
        <w:t xml:space="preserve"> activities on</w:t>
      </w:r>
      <w:r w:rsidRPr="00966D39">
        <w:rPr>
          <w:rFonts w:cs="Arial"/>
          <w:szCs w:val="20"/>
        </w:rPr>
        <w:t xml:space="preserve"> the</w:t>
      </w:r>
      <w:r w:rsidRPr="006C3095">
        <w:rPr>
          <w:rFonts w:cs="Arial"/>
          <w:szCs w:val="20"/>
        </w:rPr>
        <w:t>se</w:t>
      </w:r>
      <w:r w:rsidRPr="00966D39">
        <w:rPr>
          <w:rFonts w:cs="Arial"/>
          <w:szCs w:val="20"/>
        </w:rPr>
        <w:t xml:space="preserve"> online casinos that target Australians</w:t>
      </w:r>
      <w:r w:rsidR="0042337E">
        <w:rPr>
          <w:rFonts w:cs="Arial"/>
          <w:szCs w:val="20"/>
        </w:rPr>
        <w:t>,</w:t>
      </w:r>
      <w:r w:rsidRPr="00966D39">
        <w:rPr>
          <w:rFonts w:cs="Arial"/>
          <w:szCs w:val="20"/>
        </w:rPr>
        <w:t xml:space="preserve"> as well as other supporting services</w:t>
      </w:r>
      <w:r w:rsidRPr="006C3095">
        <w:rPr>
          <w:rFonts w:cs="Arial"/>
          <w:szCs w:val="20"/>
        </w:rPr>
        <w:t xml:space="preserve"> such as software providers, payment processors and affiliate marketing services</w:t>
      </w:r>
      <w:r>
        <w:rPr>
          <w:rFonts w:cs="Arial"/>
          <w:szCs w:val="20"/>
        </w:rPr>
        <w:t xml:space="preserve">. </w:t>
      </w:r>
    </w:p>
    <w:p w14:paraId="1539C959" w14:textId="1DF8A524" w:rsidR="001076E5" w:rsidRPr="006C3095" w:rsidRDefault="00966D39" w:rsidP="00966D39">
      <w:pPr>
        <w:rPr>
          <w:rFonts w:cs="Arial"/>
          <w:szCs w:val="20"/>
        </w:rPr>
      </w:pPr>
      <w:r w:rsidRPr="00966D39">
        <w:rPr>
          <w:rFonts w:cs="Arial"/>
          <w:szCs w:val="20"/>
        </w:rPr>
        <w:t xml:space="preserve">This report presents key outcomes and observations from our </w:t>
      </w:r>
      <w:r w:rsidR="007E7180">
        <w:rPr>
          <w:rFonts w:cs="Arial"/>
          <w:szCs w:val="20"/>
        </w:rPr>
        <w:t xml:space="preserve">disruption </w:t>
      </w:r>
      <w:r w:rsidRPr="00966D39">
        <w:rPr>
          <w:rFonts w:cs="Arial"/>
          <w:szCs w:val="20"/>
        </w:rPr>
        <w:t>activities in 2020</w:t>
      </w:r>
      <w:r w:rsidR="0042337E">
        <w:t>–</w:t>
      </w:r>
      <w:r w:rsidRPr="00966D39">
        <w:rPr>
          <w:rFonts w:cs="Arial"/>
          <w:szCs w:val="20"/>
        </w:rPr>
        <w:t>21.</w:t>
      </w:r>
    </w:p>
    <w:p w14:paraId="6B52BEEF" w14:textId="029FE644" w:rsidR="001076E5" w:rsidRDefault="001076E5" w:rsidP="001076E5">
      <w:pPr>
        <w:pStyle w:val="Heading1"/>
      </w:pPr>
      <w:bookmarkStart w:id="6" w:name="_Toc82445708"/>
      <w:r>
        <w:lastRenderedPageBreak/>
        <w:t>Methodology</w:t>
      </w:r>
      <w:bookmarkEnd w:id="6"/>
    </w:p>
    <w:p w14:paraId="537626FA" w14:textId="36A0C118" w:rsidR="00211DCD" w:rsidRDefault="00211DCD" w:rsidP="00211DCD">
      <w:r>
        <w:t>The focus of our</w:t>
      </w:r>
      <w:r w:rsidR="00AC45DD">
        <w:t xml:space="preserve"> compliance</w:t>
      </w:r>
      <w:r>
        <w:t xml:space="preserve"> activities was on the </w:t>
      </w:r>
      <w:r w:rsidR="004B1180">
        <w:t xml:space="preserve">online casino </w:t>
      </w:r>
      <w:r>
        <w:t xml:space="preserve">services </w:t>
      </w:r>
      <w:r w:rsidR="0042337E">
        <w:t xml:space="preserve">that </w:t>
      </w:r>
      <w:r w:rsidR="004C233F">
        <w:t>are causing</w:t>
      </w:r>
      <w:r>
        <w:t xml:space="preserve"> the greatest harm to the </w:t>
      </w:r>
      <w:r w:rsidR="004B1180">
        <w:t xml:space="preserve">Australian </w:t>
      </w:r>
      <w:r>
        <w:t>community</w:t>
      </w:r>
      <w:r w:rsidR="00AC45DD">
        <w:t xml:space="preserve">. </w:t>
      </w:r>
      <w:r>
        <w:t xml:space="preserve">We identified </w:t>
      </w:r>
      <w:r w:rsidR="004B1180">
        <w:t>56</w:t>
      </w:r>
      <w:r w:rsidR="004B1180" w:rsidRPr="00966D39">
        <w:t xml:space="preserve"> </w:t>
      </w:r>
      <w:r w:rsidR="004B1180">
        <w:t xml:space="preserve">illegal offshore </w:t>
      </w:r>
      <w:r w:rsidR="004B1180" w:rsidRPr="00966D39">
        <w:t>online casino</w:t>
      </w:r>
      <w:r>
        <w:t xml:space="preserve"> services </w:t>
      </w:r>
      <w:r w:rsidR="006F0AD4">
        <w:t xml:space="preserve">(referred to as targeted casinos) </w:t>
      </w:r>
      <w:r>
        <w:t>through a number of sources</w:t>
      </w:r>
      <w:r w:rsidR="0042337E">
        <w:t>,</w:t>
      </w:r>
      <w:r>
        <w:t xml:space="preserve"> including </w:t>
      </w:r>
      <w:r w:rsidR="002316A5">
        <w:t xml:space="preserve">our </w:t>
      </w:r>
      <w:r>
        <w:t xml:space="preserve">complaints data, previous investigations, web traffic information, market analysis of services and </w:t>
      </w:r>
      <w:r w:rsidR="004B1180">
        <w:t xml:space="preserve">affiliate </w:t>
      </w:r>
      <w:r>
        <w:t xml:space="preserve">referral sites and key stakeholders. </w:t>
      </w:r>
    </w:p>
    <w:p w14:paraId="18EDC600" w14:textId="1C66D276" w:rsidR="00121FD8" w:rsidRDefault="00AC45DD" w:rsidP="00211DCD">
      <w:r>
        <w:t>We found that c</w:t>
      </w:r>
      <w:r w:rsidR="00211DCD">
        <w:t xml:space="preserve">ontrol of these services </w:t>
      </w:r>
      <w:r w:rsidR="009E469F">
        <w:t>was</w:t>
      </w:r>
      <w:r w:rsidR="00211DCD">
        <w:t xml:space="preserve"> highly concentrated</w:t>
      </w:r>
      <w:r w:rsidR="0042337E">
        <w:t>,</w:t>
      </w:r>
      <w:r w:rsidR="00211DCD">
        <w:t xml:space="preserve"> </w:t>
      </w:r>
      <w:r w:rsidR="009B26BA">
        <w:t>with only few</w:t>
      </w:r>
      <w:r w:rsidR="004B1180">
        <w:t xml:space="preserve"> </w:t>
      </w:r>
      <w:r w:rsidR="00211DCD">
        <w:t>operators</w:t>
      </w:r>
      <w:r w:rsidR="009B26BA">
        <w:t xml:space="preserve"> providing </w:t>
      </w:r>
      <w:r w:rsidR="003B74B8">
        <w:t xml:space="preserve">the </w:t>
      </w:r>
      <w:r w:rsidR="009B26BA">
        <w:t>majority of the targeted casinos.</w:t>
      </w:r>
      <w:r w:rsidR="00E413D5">
        <w:t xml:space="preserve"> </w:t>
      </w:r>
      <w:r w:rsidR="002316A5">
        <w:t xml:space="preserve">The focus of our compliance activities </w:t>
      </w:r>
      <w:r w:rsidR="00121FD8">
        <w:t>was</w:t>
      </w:r>
      <w:r w:rsidR="002316A5">
        <w:t xml:space="preserve"> on these </w:t>
      </w:r>
      <w:r w:rsidR="001D17D5">
        <w:t xml:space="preserve">targeted </w:t>
      </w:r>
      <w:r w:rsidR="002316A5">
        <w:t xml:space="preserve">operators </w:t>
      </w:r>
      <w:r w:rsidR="001D17D5">
        <w:t>and services to deliver</w:t>
      </w:r>
      <w:r w:rsidR="002316A5">
        <w:t xml:space="preserve"> the greatest impact.</w:t>
      </w:r>
    </w:p>
    <w:p w14:paraId="79FEE6F5" w14:textId="496E34FA" w:rsidR="00211DCD" w:rsidRPr="004A01DE" w:rsidRDefault="00211DCD" w:rsidP="005A6656">
      <w:pPr>
        <w:spacing w:after="80"/>
      </w:pPr>
      <w:r w:rsidRPr="004A01DE">
        <w:t xml:space="preserve">We </w:t>
      </w:r>
      <w:r w:rsidR="004B1180">
        <w:t>undertook a</w:t>
      </w:r>
      <w:r w:rsidRPr="004A01DE">
        <w:t xml:space="preserve"> multi-faceted </w:t>
      </w:r>
      <w:r w:rsidR="004B1180">
        <w:t>strategy to achieve</w:t>
      </w:r>
      <w:r w:rsidR="004B1180" w:rsidRPr="004A01DE">
        <w:t xml:space="preserve"> </w:t>
      </w:r>
      <w:r w:rsidRPr="004A01DE">
        <w:t>maximum disrupti</w:t>
      </w:r>
      <w:r w:rsidR="006C3095">
        <w:t>on</w:t>
      </w:r>
      <w:r w:rsidR="00BF0EA1">
        <w:t xml:space="preserve"> of the targeted casinos</w:t>
      </w:r>
      <w:r w:rsidRPr="004A01DE">
        <w:t xml:space="preserve">. </w:t>
      </w:r>
      <w:r w:rsidR="009E469F">
        <w:t>In particular,</w:t>
      </w:r>
      <w:r w:rsidR="004B1180">
        <w:t xml:space="preserve"> we</w:t>
      </w:r>
      <w:r w:rsidR="009E469F">
        <w:t>:</w:t>
      </w:r>
    </w:p>
    <w:p w14:paraId="42EF3732" w14:textId="7C3B0AE6" w:rsidR="00211DCD" w:rsidRDefault="00AC45DD" w:rsidP="00121FD8">
      <w:pPr>
        <w:numPr>
          <w:ilvl w:val="0"/>
          <w:numId w:val="14"/>
        </w:numPr>
        <w:spacing w:after="120" w:line="120" w:lineRule="atLeast"/>
        <w:ind w:left="357" w:hanging="357"/>
        <w:rPr>
          <w:i/>
          <w:iCs/>
        </w:rPr>
      </w:pPr>
      <w:r>
        <w:t>commenced investigations to</w:t>
      </w:r>
      <w:r w:rsidR="00211DCD" w:rsidRPr="004A01DE">
        <w:t xml:space="preserve"> identify all relevant entities </w:t>
      </w:r>
      <w:r w:rsidR="0022402B">
        <w:t>and individuals</w:t>
      </w:r>
      <w:r w:rsidR="00211DCD" w:rsidRPr="004A01DE">
        <w:t xml:space="preserve"> behind the</w:t>
      </w:r>
      <w:r w:rsidR="007E7180">
        <w:t xml:space="preserve"> target</w:t>
      </w:r>
      <w:r w:rsidR="0022402B">
        <w:t>ed</w:t>
      </w:r>
      <w:r w:rsidR="00211DCD" w:rsidRPr="004A01DE">
        <w:t xml:space="preserve"> </w:t>
      </w:r>
      <w:r w:rsidR="0022402B">
        <w:t>operators</w:t>
      </w:r>
      <w:r w:rsidR="0022402B" w:rsidRPr="004A01DE">
        <w:t xml:space="preserve"> </w:t>
      </w:r>
      <w:r w:rsidR="00914C14">
        <w:t>for potential future enforcement action</w:t>
      </w:r>
      <w:r w:rsidR="00512F96">
        <w:t>.</w:t>
      </w:r>
    </w:p>
    <w:p w14:paraId="27E5AAEF" w14:textId="11E42315" w:rsidR="00211DCD" w:rsidRDefault="003C5232" w:rsidP="00121FD8">
      <w:pPr>
        <w:numPr>
          <w:ilvl w:val="0"/>
          <w:numId w:val="14"/>
        </w:numPr>
        <w:spacing w:after="120" w:line="120" w:lineRule="atLeast"/>
        <w:ind w:left="357" w:hanging="357"/>
        <w:rPr>
          <w:i/>
          <w:iCs/>
        </w:rPr>
      </w:pPr>
      <w:r>
        <w:t>caused disruption to the targeted casinos through contact with the</w:t>
      </w:r>
      <w:r w:rsidR="00211DCD" w:rsidRPr="004A01DE">
        <w:t xml:space="preserve"> </w:t>
      </w:r>
      <w:r w:rsidR="00784CA8">
        <w:t xml:space="preserve">suppliers of essential services to </w:t>
      </w:r>
      <w:r w:rsidR="00040233">
        <w:t>those</w:t>
      </w:r>
      <w:r w:rsidR="00784CA8">
        <w:t xml:space="preserve"> casinos,</w:t>
      </w:r>
      <w:r w:rsidR="00211DCD" w:rsidRPr="004A01DE">
        <w:t xml:space="preserve"> </w:t>
      </w:r>
      <w:r w:rsidR="00784CA8">
        <w:t>including</w:t>
      </w:r>
      <w:r w:rsidR="00211DCD" w:rsidRPr="004A01DE">
        <w:t xml:space="preserve"> software games providers, payment processors and affiliate marketing services that advertise and direct new customers to its site (outlined in the diagram below).</w:t>
      </w:r>
    </w:p>
    <w:p w14:paraId="2A5D6333" w14:textId="2F07E9DE" w:rsidR="00DC34B6" w:rsidRPr="00DC34B6" w:rsidRDefault="003C5232" w:rsidP="00C8358B">
      <w:pPr>
        <w:numPr>
          <w:ilvl w:val="0"/>
          <w:numId w:val="14"/>
        </w:numPr>
        <w:spacing w:line="120" w:lineRule="atLeast"/>
        <w:ind w:left="357" w:hanging="357"/>
        <w:rPr>
          <w:i/>
          <w:iCs/>
        </w:rPr>
      </w:pPr>
      <w:r>
        <w:t>continued</w:t>
      </w:r>
      <w:r w:rsidR="00DC34B6">
        <w:t xml:space="preserve"> disruption </w:t>
      </w:r>
      <w:r w:rsidR="00501F6E">
        <w:t xml:space="preserve">of </w:t>
      </w:r>
      <w:r w:rsidR="002616D6">
        <w:t>illegal gambling services</w:t>
      </w:r>
      <w:r w:rsidR="0042337E">
        <w:t>,</w:t>
      </w:r>
      <w:r w:rsidR="002616D6">
        <w:t xml:space="preserve"> including the</w:t>
      </w:r>
      <w:r w:rsidR="00DC34B6" w:rsidRPr="004A01DE">
        <w:t xml:space="preserve"> </w:t>
      </w:r>
      <w:r w:rsidR="00DC34B6">
        <w:t>targeted casinos</w:t>
      </w:r>
      <w:r w:rsidR="002616D6">
        <w:t>,</w:t>
      </w:r>
      <w:r w:rsidR="00DC34B6" w:rsidRPr="004A01DE">
        <w:t xml:space="preserve"> </w:t>
      </w:r>
      <w:r>
        <w:t>by</w:t>
      </w:r>
      <w:r w:rsidR="00DC34B6" w:rsidRPr="004A01DE">
        <w:t xml:space="preserve"> website blocking</w:t>
      </w:r>
      <w:r>
        <w:t xml:space="preserve"> activities</w:t>
      </w:r>
      <w:r w:rsidR="00DC34B6">
        <w:t>.</w:t>
      </w:r>
    </w:p>
    <w:p w14:paraId="067DFB19" w14:textId="309B5957" w:rsidR="001076E5" w:rsidRDefault="006C3095" w:rsidP="005A6656">
      <w:r>
        <w:t xml:space="preserve">Our activities were complemented by our </w:t>
      </w:r>
      <w:r w:rsidRPr="00966D39">
        <w:t>consumer awareness campaigns</w:t>
      </w:r>
      <w:r w:rsidR="0042337E">
        <w:t>,</w:t>
      </w:r>
      <w:r w:rsidRPr="00966D39">
        <w:t xml:space="preserve"> which educate</w:t>
      </w:r>
      <w:r w:rsidR="006F0AD4">
        <w:t>d</w:t>
      </w:r>
      <w:r w:rsidRPr="00966D39">
        <w:t xml:space="preserve"> consumers on the risks of using illegal gambling services.</w:t>
      </w:r>
      <w:r w:rsidR="00D60C02">
        <w:t xml:space="preserve"> We also continued to liaise with regulators in other jurisdictions </w:t>
      </w:r>
      <w:r w:rsidR="0057644A">
        <w:t xml:space="preserve">to facilitate our disruption activities. </w:t>
      </w:r>
    </w:p>
    <w:p w14:paraId="30852562" w14:textId="74929434" w:rsidR="005A6656" w:rsidRDefault="0042337E" w:rsidP="005A6656">
      <w:pPr>
        <w:pStyle w:val="Figureheading"/>
      </w:pPr>
      <w:r>
        <w:t>The online casino environment</w:t>
      </w:r>
    </w:p>
    <w:p w14:paraId="1C5CB3EB" w14:textId="1742872F" w:rsidR="0042337E" w:rsidRPr="005A6656" w:rsidRDefault="005A6656" w:rsidP="005A6656">
      <w:pPr>
        <w:pStyle w:val="Paragraph"/>
      </w:pPr>
      <w:r w:rsidRPr="00FD3BAE">
        <w:rPr>
          <w:noProof/>
          <w:szCs w:val="22"/>
        </w:rPr>
        <w:drawing>
          <wp:inline distT="0" distB="0" distL="0" distR="0" wp14:anchorId="7DDA6A69" wp14:editId="3F31276B">
            <wp:extent cx="4694555" cy="3717925"/>
            <wp:effectExtent l="0" t="0" r="0" b="0"/>
            <wp:docPr id="4" name="Picture 4" descr="Diagram&#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Diagram&#10;&#10;Description automatically generated"/>
                    <pic:cNvPicPr/>
                  </pic:nvPicPr>
                  <pic:blipFill rotWithShape="1">
                    <a:blip r:embed="rId36">
                      <a:extLst>
                        <a:ext uri="{28A0092B-C50C-407E-A947-70E740481C1C}">
                          <a14:useLocalDpi xmlns:a14="http://schemas.microsoft.com/office/drawing/2010/main" val="0"/>
                        </a:ext>
                      </a:extLst>
                    </a:blip>
                    <a:srcRect/>
                    <a:stretch/>
                  </pic:blipFill>
                  <pic:spPr bwMode="auto">
                    <a:xfrm>
                      <a:off x="0" y="0"/>
                      <a:ext cx="4694555" cy="3717925"/>
                    </a:xfrm>
                    <a:prstGeom prst="rect">
                      <a:avLst/>
                    </a:prstGeom>
                    <a:ln>
                      <a:noFill/>
                    </a:ln>
                    <a:extLst>
                      <a:ext uri="{53640926-AAD7-44D8-BBD7-CCE9431645EC}">
                        <a14:shadowObscured xmlns:a14="http://schemas.microsoft.com/office/drawing/2010/main"/>
                      </a:ext>
                    </a:extLst>
                  </pic:spPr>
                </pic:pic>
              </a:graphicData>
            </a:graphic>
          </wp:inline>
        </w:drawing>
      </w:r>
    </w:p>
    <w:p w14:paraId="58B04BA8" w14:textId="51143216" w:rsidR="000B4664" w:rsidRPr="00702EA1" w:rsidRDefault="004C233F" w:rsidP="000B4664">
      <w:pPr>
        <w:pStyle w:val="Heading1"/>
      </w:pPr>
      <w:bookmarkStart w:id="7" w:name="_Toc82445709"/>
      <w:bookmarkEnd w:id="3"/>
      <w:r>
        <w:lastRenderedPageBreak/>
        <w:t>Investigat</w:t>
      </w:r>
      <w:r w:rsidR="00501F6E">
        <w:t>ion of</w:t>
      </w:r>
      <w:r w:rsidR="009460F3">
        <w:t xml:space="preserve"> online casinos</w:t>
      </w:r>
      <w:bookmarkEnd w:id="7"/>
      <w:r w:rsidR="000E1121">
        <w:t xml:space="preserve"> </w:t>
      </w:r>
    </w:p>
    <w:p w14:paraId="4C7AACB4" w14:textId="7DA1BE9C" w:rsidR="00184BD1" w:rsidRDefault="008C4665" w:rsidP="005A6656">
      <w:pPr>
        <w:pStyle w:val="Paragraph"/>
      </w:pPr>
      <w:bookmarkStart w:id="8" w:name="_Toc59622605"/>
      <w:r>
        <w:t xml:space="preserve">A key activity was </w:t>
      </w:r>
      <w:r w:rsidR="00E807D3">
        <w:t>undertaking investigations</w:t>
      </w:r>
      <w:r>
        <w:t xml:space="preserve"> to</w:t>
      </w:r>
      <w:r w:rsidR="00121FD8">
        <w:t xml:space="preserve"> identify the parties </w:t>
      </w:r>
      <w:r w:rsidR="00CE2023">
        <w:t xml:space="preserve">involved (including any </w:t>
      </w:r>
      <w:r w:rsidR="002C03CE">
        <w:t xml:space="preserve">with an </w:t>
      </w:r>
      <w:r w:rsidR="00CE2023">
        <w:t xml:space="preserve">Australian presence) with the targeted operators and </w:t>
      </w:r>
      <w:r w:rsidR="00197974">
        <w:t>targeted casinos</w:t>
      </w:r>
      <w:r w:rsidR="00121FD8">
        <w:t>.</w:t>
      </w:r>
      <w:r>
        <w:t xml:space="preserve"> </w:t>
      </w:r>
      <w:r w:rsidR="00184BD1">
        <w:t xml:space="preserve">This </w:t>
      </w:r>
      <w:r w:rsidR="00CE2023">
        <w:t xml:space="preserve">may </w:t>
      </w:r>
      <w:r w:rsidR="002F0D2A" w:rsidRPr="002F0D2A">
        <w:t xml:space="preserve">assist </w:t>
      </w:r>
      <w:r w:rsidR="00FC7FDE">
        <w:t xml:space="preserve">the ACMA </w:t>
      </w:r>
      <w:r w:rsidR="002F0D2A" w:rsidRPr="002F0D2A">
        <w:t xml:space="preserve">in </w:t>
      </w:r>
      <w:r w:rsidR="00952EC3">
        <w:t xml:space="preserve">future </w:t>
      </w:r>
      <w:r w:rsidR="00CE2023">
        <w:t>strategic</w:t>
      </w:r>
      <w:r w:rsidR="00CE2023" w:rsidRPr="002F0D2A">
        <w:t xml:space="preserve"> </w:t>
      </w:r>
      <w:r w:rsidR="002F0D2A" w:rsidRPr="002F0D2A">
        <w:t xml:space="preserve">enforcement action and </w:t>
      </w:r>
      <w:r w:rsidR="00FC7FDE">
        <w:t xml:space="preserve">the </w:t>
      </w:r>
      <w:r w:rsidR="002F0D2A" w:rsidRPr="002F0D2A">
        <w:t xml:space="preserve">withdrawal </w:t>
      </w:r>
      <w:r w:rsidR="00CE2023">
        <w:t>of these services</w:t>
      </w:r>
      <w:r w:rsidR="002F0D2A" w:rsidRPr="002F0D2A">
        <w:t xml:space="preserve"> from the Australian market. </w:t>
      </w:r>
      <w:r w:rsidR="00CE2023">
        <w:t xml:space="preserve"> </w:t>
      </w:r>
    </w:p>
    <w:p w14:paraId="14B74C6E" w14:textId="62C3A7CA" w:rsidR="002F0D2A" w:rsidRDefault="00197974" w:rsidP="005A6656">
      <w:pPr>
        <w:pStyle w:val="Paragraph"/>
      </w:pPr>
      <w:r>
        <w:t>Typically,</w:t>
      </w:r>
      <w:r w:rsidRPr="002243DE">
        <w:t xml:space="preserve"> </w:t>
      </w:r>
      <w:r w:rsidR="001853F6">
        <w:t>operators</w:t>
      </w:r>
      <w:r w:rsidR="001853F6" w:rsidRPr="002243DE">
        <w:t xml:space="preserve"> </w:t>
      </w:r>
      <w:r w:rsidR="0031028D" w:rsidRPr="002243DE">
        <w:t xml:space="preserve">of these online casinos </w:t>
      </w:r>
      <w:r w:rsidR="003C09B4" w:rsidRPr="002243DE">
        <w:t>are all offshore and have</w:t>
      </w:r>
      <w:r w:rsidR="002F0D2A" w:rsidRPr="002243DE">
        <w:t xml:space="preserve"> complex </w:t>
      </w:r>
      <w:r w:rsidR="002F0D2A" w:rsidRPr="00F5409F">
        <w:t>corporate structures</w:t>
      </w:r>
      <w:r w:rsidR="002C03CE">
        <w:t>,</w:t>
      </w:r>
      <w:r w:rsidR="002F0D2A" w:rsidRPr="00F5409F">
        <w:t xml:space="preserve"> which mask the identity of the controlling entities</w:t>
      </w:r>
      <w:r w:rsidR="00E807D3" w:rsidRPr="00F5409F">
        <w:t xml:space="preserve"> and individuals</w:t>
      </w:r>
      <w:r w:rsidR="002F0D2A" w:rsidRPr="00F5409F">
        <w:t xml:space="preserve">. </w:t>
      </w:r>
    </w:p>
    <w:p w14:paraId="174BDE80" w14:textId="25738A87" w:rsidR="004966D7" w:rsidRPr="00F5409F" w:rsidRDefault="008D0963" w:rsidP="005A6656">
      <w:pPr>
        <w:pStyle w:val="Paragraph"/>
      </w:pPr>
      <w:r>
        <w:t xml:space="preserve">We </w:t>
      </w:r>
      <w:r w:rsidR="001853F6">
        <w:t>focused</w:t>
      </w:r>
      <w:r>
        <w:t xml:space="preserve"> our investigations on </w:t>
      </w:r>
      <w:r w:rsidR="006F0AD4">
        <w:t xml:space="preserve">56 </w:t>
      </w:r>
      <w:r w:rsidR="001853F6">
        <w:t>targeted</w:t>
      </w:r>
      <w:r w:rsidR="00166362">
        <w:t xml:space="preserve"> casinos</w:t>
      </w:r>
      <w:r>
        <w:t xml:space="preserve"> </w:t>
      </w:r>
      <w:r w:rsidR="001853F6">
        <w:t>that cause</w:t>
      </w:r>
      <w:r w:rsidR="006F0AD4">
        <w:t>d</w:t>
      </w:r>
      <w:r w:rsidR="001853F6">
        <w:t xml:space="preserve"> the greatest harm to the Australian community</w:t>
      </w:r>
      <w:r w:rsidR="00197974">
        <w:t xml:space="preserve">. The targeted casinos </w:t>
      </w:r>
      <w:r w:rsidR="00907B57">
        <w:t>appeared to be</w:t>
      </w:r>
      <w:r w:rsidR="00166362">
        <w:t xml:space="preserve"> concentrated in the hands of</w:t>
      </w:r>
      <w:r w:rsidR="009D2C43">
        <w:t xml:space="preserve"> </w:t>
      </w:r>
      <w:r w:rsidR="006F0AD4">
        <w:t xml:space="preserve">6 </w:t>
      </w:r>
      <w:r w:rsidR="009D2C43">
        <w:t>operators</w:t>
      </w:r>
      <w:r w:rsidR="00197974">
        <w:t xml:space="preserve">. </w:t>
      </w:r>
      <w:r w:rsidR="00166362">
        <w:t xml:space="preserve">Accordingly, we commenced </w:t>
      </w:r>
      <w:r w:rsidR="006F0AD4">
        <w:t xml:space="preserve">6 </w:t>
      </w:r>
      <w:r w:rsidR="00166362">
        <w:t xml:space="preserve">investigations into the targeted </w:t>
      </w:r>
      <w:r w:rsidR="005F3F3F">
        <w:t>operators</w:t>
      </w:r>
      <w:r w:rsidR="00166362">
        <w:t xml:space="preserve">. </w:t>
      </w:r>
    </w:p>
    <w:p w14:paraId="31481C0F" w14:textId="2F818768" w:rsidR="00564E53" w:rsidRPr="00F5409F" w:rsidRDefault="00564E53" w:rsidP="00F517EC">
      <w:pPr>
        <w:pStyle w:val="Paragraph"/>
        <w:rPr>
          <w:rFonts w:eastAsia="Calibri"/>
        </w:rPr>
      </w:pPr>
      <w:r w:rsidRPr="00F5409F">
        <w:t xml:space="preserve">One </w:t>
      </w:r>
      <w:r w:rsidR="00892B17">
        <w:t>targeted operator</w:t>
      </w:r>
      <w:r w:rsidR="002C03CE">
        <w:t>,</w:t>
      </w:r>
      <w:r w:rsidRPr="00F5409F">
        <w:t xml:space="preserve"> which </w:t>
      </w:r>
      <w:r w:rsidR="00892B17">
        <w:t>provides</w:t>
      </w:r>
      <w:r w:rsidR="00892B17" w:rsidRPr="00F5409F">
        <w:t xml:space="preserve"> </w:t>
      </w:r>
      <w:r w:rsidR="002C03CE">
        <w:t>6</w:t>
      </w:r>
      <w:r w:rsidR="002C03CE" w:rsidRPr="00F5409F">
        <w:t xml:space="preserve"> </w:t>
      </w:r>
      <w:r w:rsidR="00DE62EF" w:rsidRPr="00F5409F">
        <w:t>of the</w:t>
      </w:r>
      <w:r w:rsidRPr="00F5409F">
        <w:t xml:space="preserve"> </w:t>
      </w:r>
      <w:r w:rsidR="00166362">
        <w:t xml:space="preserve">56 </w:t>
      </w:r>
      <w:r w:rsidRPr="00F5409F">
        <w:t>targeted casinos</w:t>
      </w:r>
      <w:r w:rsidR="002C03CE">
        <w:t>,</w:t>
      </w:r>
      <w:r w:rsidRPr="00F5409F">
        <w:t xml:space="preserve"> </w:t>
      </w:r>
      <w:r w:rsidR="00F75280" w:rsidRPr="00F5409F">
        <w:t xml:space="preserve">has committed to withdraw </w:t>
      </w:r>
      <w:r w:rsidR="00E275DB" w:rsidRPr="00F5409F">
        <w:t>each of its</w:t>
      </w:r>
      <w:r w:rsidR="00F75280" w:rsidRPr="00F5409F">
        <w:t xml:space="preserve"> services from the Australian market.</w:t>
      </w:r>
      <w:r w:rsidRPr="00F5409F">
        <w:t xml:space="preserve"> </w:t>
      </w:r>
      <w:r w:rsidR="001F418D" w:rsidRPr="00F5409F">
        <w:t>We will continue to monitor these services to</w:t>
      </w:r>
      <w:r w:rsidR="008E7B97" w:rsidRPr="00F5409F">
        <w:t xml:space="preserve"> make</w:t>
      </w:r>
      <w:r w:rsidR="001F418D" w:rsidRPr="00F5409F">
        <w:t xml:space="preserve"> sure this </w:t>
      </w:r>
      <w:r w:rsidR="001853F6">
        <w:t>operator</w:t>
      </w:r>
      <w:r w:rsidR="001853F6" w:rsidRPr="00F5409F">
        <w:t xml:space="preserve"> </w:t>
      </w:r>
      <w:r w:rsidR="001F418D" w:rsidRPr="00F5409F">
        <w:t>takes the steps it has committed</w:t>
      </w:r>
      <w:r w:rsidR="008E7B97" w:rsidRPr="00F5409F">
        <w:t xml:space="preserve"> to</w:t>
      </w:r>
      <w:r w:rsidR="001F418D" w:rsidRPr="00F5409F">
        <w:t>.</w:t>
      </w:r>
    </w:p>
    <w:p w14:paraId="33B107A5" w14:textId="50265BE7" w:rsidR="004E2C81" w:rsidRPr="006A14BF" w:rsidRDefault="002F70A4" w:rsidP="004B4332">
      <w:pPr>
        <w:rPr>
          <w:rFonts w:eastAsia="Calibri" w:cs="Arial"/>
          <w:szCs w:val="20"/>
        </w:rPr>
      </w:pPr>
      <w:r w:rsidRPr="00F5409F">
        <w:rPr>
          <w:rFonts w:eastAsia="Calibri" w:cs="Arial"/>
          <w:szCs w:val="20"/>
        </w:rPr>
        <w:t xml:space="preserve">While some investigations are ongoing, </w:t>
      </w:r>
      <w:r w:rsidR="002A76FF" w:rsidRPr="00F5409F">
        <w:rPr>
          <w:rFonts w:eastAsia="Calibri" w:cs="Arial"/>
          <w:szCs w:val="20"/>
        </w:rPr>
        <w:t xml:space="preserve">future enforcement action </w:t>
      </w:r>
      <w:r w:rsidR="00C25A0B" w:rsidRPr="00F5409F">
        <w:rPr>
          <w:rFonts w:eastAsia="Calibri" w:cs="Arial"/>
          <w:szCs w:val="20"/>
        </w:rPr>
        <w:t>against the</w:t>
      </w:r>
      <w:r w:rsidR="00C25A0B">
        <w:rPr>
          <w:rFonts w:eastAsia="Calibri" w:cs="Arial"/>
          <w:szCs w:val="20"/>
        </w:rPr>
        <w:t xml:space="preserve"> </w:t>
      </w:r>
      <w:r w:rsidR="00A67F1B">
        <w:rPr>
          <w:rFonts w:eastAsia="Calibri" w:cs="Arial"/>
          <w:szCs w:val="20"/>
        </w:rPr>
        <w:t xml:space="preserve">targeted </w:t>
      </w:r>
      <w:r w:rsidR="00C25A0B">
        <w:rPr>
          <w:rFonts w:eastAsia="Calibri" w:cs="Arial"/>
          <w:szCs w:val="20"/>
        </w:rPr>
        <w:t xml:space="preserve">operators </w:t>
      </w:r>
      <w:r w:rsidR="00FA33C5" w:rsidRPr="009A08E9">
        <w:rPr>
          <w:rFonts w:eastAsia="Calibri" w:cs="Arial"/>
          <w:szCs w:val="20"/>
        </w:rPr>
        <w:t>for non-</w:t>
      </w:r>
      <w:r w:rsidR="002A76FF" w:rsidRPr="00D65D36">
        <w:rPr>
          <w:rFonts w:eastAsia="Calibri" w:cs="Arial"/>
          <w:szCs w:val="20"/>
        </w:rPr>
        <w:t xml:space="preserve">compliance with the </w:t>
      </w:r>
      <w:r w:rsidR="002A76FF" w:rsidRPr="004B4332">
        <w:rPr>
          <w:rFonts w:eastAsia="Calibri" w:cs="Arial"/>
          <w:szCs w:val="20"/>
        </w:rPr>
        <w:t>IG</w:t>
      </w:r>
      <w:r w:rsidR="00C25A0B">
        <w:rPr>
          <w:rFonts w:eastAsia="Calibri" w:cs="Arial"/>
          <w:szCs w:val="20"/>
        </w:rPr>
        <w:t>A</w:t>
      </w:r>
      <w:r w:rsidR="002A76FF" w:rsidRPr="004B4332">
        <w:rPr>
          <w:rFonts w:eastAsia="Calibri" w:cs="Arial"/>
          <w:szCs w:val="20"/>
        </w:rPr>
        <w:t xml:space="preserve"> </w:t>
      </w:r>
      <w:r w:rsidRPr="004B4332">
        <w:rPr>
          <w:rFonts w:eastAsia="Calibri" w:cs="Arial"/>
          <w:szCs w:val="20"/>
        </w:rPr>
        <w:t>may</w:t>
      </w:r>
      <w:r w:rsidR="002A76FF" w:rsidRPr="004B4332">
        <w:rPr>
          <w:rFonts w:eastAsia="Calibri" w:cs="Arial"/>
          <w:szCs w:val="20"/>
        </w:rPr>
        <w:t xml:space="preserve"> include</w:t>
      </w:r>
      <w:r w:rsidR="001F3D51">
        <w:rPr>
          <w:rFonts w:eastAsia="Calibri" w:cs="Arial"/>
          <w:szCs w:val="20"/>
        </w:rPr>
        <w:t xml:space="preserve"> website blocking and</w:t>
      </w:r>
      <w:r w:rsidR="002A76FF" w:rsidRPr="004B4332">
        <w:rPr>
          <w:rFonts w:eastAsia="Calibri" w:cs="Arial"/>
          <w:szCs w:val="20"/>
        </w:rPr>
        <w:t xml:space="preserve"> </w:t>
      </w:r>
      <w:r w:rsidR="002A76FF" w:rsidRPr="00C8358B">
        <w:rPr>
          <w:rFonts w:eastAsia="Calibri" w:cs="Arial"/>
          <w:szCs w:val="20"/>
        </w:rPr>
        <w:t>providing the Australian border protection agencies with the details of principals</w:t>
      </w:r>
      <w:r w:rsidR="00FA33C5">
        <w:rPr>
          <w:rFonts w:eastAsia="Calibri" w:cs="Arial"/>
          <w:szCs w:val="20"/>
        </w:rPr>
        <w:t xml:space="preserve"> and </w:t>
      </w:r>
      <w:r w:rsidR="002A76FF" w:rsidRPr="00C8358B">
        <w:rPr>
          <w:rFonts w:eastAsia="Calibri" w:cs="Arial"/>
          <w:szCs w:val="20"/>
        </w:rPr>
        <w:t xml:space="preserve">directors of entities </w:t>
      </w:r>
      <w:r w:rsidR="002A76FF">
        <w:rPr>
          <w:rFonts w:eastAsia="Calibri" w:cs="Arial"/>
          <w:szCs w:val="20"/>
        </w:rPr>
        <w:t xml:space="preserve">behind the </w:t>
      </w:r>
      <w:r w:rsidR="00187E01">
        <w:rPr>
          <w:rFonts w:eastAsia="Calibri" w:cs="Arial"/>
          <w:szCs w:val="20"/>
        </w:rPr>
        <w:t>targeted</w:t>
      </w:r>
      <w:r w:rsidR="002A76FF">
        <w:rPr>
          <w:rFonts w:eastAsia="Calibri" w:cs="Arial"/>
          <w:szCs w:val="20"/>
        </w:rPr>
        <w:t xml:space="preserve"> </w:t>
      </w:r>
      <w:r w:rsidR="002A76FF" w:rsidRPr="00C8358B">
        <w:rPr>
          <w:rFonts w:eastAsia="Calibri" w:cs="Arial"/>
          <w:szCs w:val="20"/>
        </w:rPr>
        <w:t xml:space="preserve">casinos </w:t>
      </w:r>
      <w:r w:rsidR="003C09B4" w:rsidRPr="003C09B4">
        <w:rPr>
          <w:rFonts w:eastAsia="Calibri" w:cs="Arial"/>
          <w:szCs w:val="20"/>
        </w:rPr>
        <w:t>for inclusion on the Movement Alert List (MAL</w:t>
      </w:r>
      <w:r w:rsidR="004705A6" w:rsidRPr="003C09B4">
        <w:rPr>
          <w:rFonts w:eastAsia="Calibri" w:cs="Arial"/>
          <w:szCs w:val="20"/>
        </w:rPr>
        <w:t>)</w:t>
      </w:r>
      <w:r w:rsidR="00943E3D">
        <w:rPr>
          <w:rFonts w:eastAsia="Calibri" w:cs="Arial"/>
          <w:szCs w:val="20"/>
        </w:rPr>
        <w:t>. This</w:t>
      </w:r>
      <w:r w:rsidR="004705A6">
        <w:rPr>
          <w:rFonts w:eastAsia="Calibri" w:cs="Arial"/>
          <w:szCs w:val="20"/>
        </w:rPr>
        <w:t xml:space="preserve"> may disrupt travel to Australia.</w:t>
      </w:r>
    </w:p>
    <w:p w14:paraId="4E9DF7E8" w14:textId="0E130BCF" w:rsidR="009A08E9" w:rsidRDefault="00236F9F" w:rsidP="006A14BF">
      <w:pPr>
        <w:rPr>
          <w:rFonts w:asciiTheme="minorHAnsi" w:eastAsiaTheme="minorHAnsi" w:hAnsiTheme="minorHAnsi" w:cs="Arial"/>
          <w:b/>
          <w:bCs/>
          <w:color w:val="000000"/>
          <w:sz w:val="28"/>
          <w:szCs w:val="28"/>
          <w:lang w:eastAsia="en-US"/>
        </w:rPr>
      </w:pPr>
      <w:r w:rsidDel="00236F9F">
        <w:rPr>
          <w:rFonts w:cs="Arial"/>
          <w:b/>
          <w:bCs/>
          <w:color w:val="000000"/>
          <w:sz w:val="28"/>
          <w:szCs w:val="28"/>
        </w:rPr>
        <w:t xml:space="preserve"> </w:t>
      </w:r>
    </w:p>
    <w:p w14:paraId="27C54028" w14:textId="553AFE4B" w:rsidR="009A08E9" w:rsidRDefault="009A08E9" w:rsidP="006A14BF">
      <w:pPr>
        <w:rPr>
          <w:rFonts w:asciiTheme="minorHAnsi" w:eastAsiaTheme="minorHAnsi" w:hAnsiTheme="minorHAnsi" w:cs="Arial"/>
          <w:b/>
          <w:bCs/>
          <w:color w:val="000000"/>
          <w:sz w:val="28"/>
          <w:szCs w:val="28"/>
          <w:lang w:eastAsia="en-US"/>
        </w:rPr>
      </w:pPr>
    </w:p>
    <w:p w14:paraId="533A7330" w14:textId="0461E084" w:rsidR="009A08E9" w:rsidRDefault="009A08E9" w:rsidP="006A14BF">
      <w:pPr>
        <w:rPr>
          <w:rFonts w:asciiTheme="minorHAnsi" w:eastAsiaTheme="minorHAnsi" w:hAnsiTheme="minorHAnsi" w:cs="Arial"/>
          <w:b/>
          <w:bCs/>
          <w:color w:val="000000"/>
          <w:sz w:val="28"/>
          <w:szCs w:val="28"/>
          <w:lang w:eastAsia="en-US"/>
        </w:rPr>
      </w:pPr>
    </w:p>
    <w:p w14:paraId="39EEE6E5" w14:textId="1D1CA8D9" w:rsidR="009A08E9" w:rsidRDefault="009A08E9" w:rsidP="006A14BF">
      <w:pPr>
        <w:rPr>
          <w:rFonts w:asciiTheme="minorHAnsi" w:eastAsiaTheme="minorHAnsi" w:hAnsiTheme="minorHAnsi" w:cs="Arial"/>
          <w:b/>
          <w:bCs/>
          <w:color w:val="000000"/>
          <w:sz w:val="28"/>
          <w:szCs w:val="28"/>
          <w:lang w:eastAsia="en-US"/>
        </w:rPr>
      </w:pPr>
    </w:p>
    <w:p w14:paraId="6F865583" w14:textId="0F8B63C6" w:rsidR="009A08E9" w:rsidRDefault="009A08E9" w:rsidP="006A14BF">
      <w:pPr>
        <w:rPr>
          <w:rFonts w:asciiTheme="minorHAnsi" w:eastAsiaTheme="minorHAnsi" w:hAnsiTheme="minorHAnsi" w:cs="Arial"/>
          <w:b/>
          <w:bCs/>
          <w:color w:val="000000"/>
          <w:sz w:val="28"/>
          <w:szCs w:val="28"/>
          <w:lang w:eastAsia="en-US"/>
        </w:rPr>
      </w:pPr>
    </w:p>
    <w:p w14:paraId="717F6D08" w14:textId="4086BE66" w:rsidR="009A08E9" w:rsidRDefault="009A08E9" w:rsidP="006A14BF">
      <w:pPr>
        <w:rPr>
          <w:rFonts w:asciiTheme="minorHAnsi" w:eastAsiaTheme="minorHAnsi" w:hAnsiTheme="minorHAnsi" w:cs="Arial"/>
          <w:b/>
          <w:bCs/>
          <w:color w:val="000000"/>
          <w:sz w:val="28"/>
          <w:szCs w:val="28"/>
          <w:lang w:eastAsia="en-US"/>
        </w:rPr>
      </w:pPr>
    </w:p>
    <w:p w14:paraId="0C431784" w14:textId="04E9C8DF" w:rsidR="009A08E9" w:rsidRDefault="009A08E9" w:rsidP="006A14BF">
      <w:pPr>
        <w:rPr>
          <w:rFonts w:asciiTheme="minorHAnsi" w:eastAsiaTheme="minorHAnsi" w:hAnsiTheme="minorHAnsi" w:cs="Arial"/>
          <w:b/>
          <w:bCs/>
          <w:color w:val="000000"/>
          <w:sz w:val="28"/>
          <w:szCs w:val="28"/>
          <w:lang w:eastAsia="en-US"/>
        </w:rPr>
      </w:pPr>
    </w:p>
    <w:p w14:paraId="17CBC30B" w14:textId="7F064107" w:rsidR="009A08E9" w:rsidRDefault="009A08E9" w:rsidP="006A14BF">
      <w:pPr>
        <w:rPr>
          <w:rFonts w:asciiTheme="minorHAnsi" w:eastAsiaTheme="minorHAnsi" w:hAnsiTheme="minorHAnsi" w:cs="Arial"/>
          <w:b/>
          <w:bCs/>
          <w:color w:val="000000"/>
          <w:sz w:val="28"/>
          <w:szCs w:val="28"/>
          <w:lang w:eastAsia="en-US"/>
        </w:rPr>
      </w:pPr>
    </w:p>
    <w:p w14:paraId="2DF9A70D" w14:textId="5D8A5ACA" w:rsidR="009A08E9" w:rsidRDefault="009A08E9" w:rsidP="006A14BF">
      <w:pPr>
        <w:rPr>
          <w:rFonts w:asciiTheme="minorHAnsi" w:eastAsiaTheme="minorHAnsi" w:hAnsiTheme="minorHAnsi" w:cs="Arial"/>
          <w:b/>
          <w:bCs/>
          <w:color w:val="000000"/>
          <w:sz w:val="28"/>
          <w:szCs w:val="28"/>
          <w:lang w:eastAsia="en-US"/>
        </w:rPr>
      </w:pPr>
    </w:p>
    <w:p w14:paraId="1FC9D2A6" w14:textId="1CA2E6ED" w:rsidR="009A08E9" w:rsidRDefault="009A08E9" w:rsidP="006A14BF">
      <w:pPr>
        <w:rPr>
          <w:rFonts w:asciiTheme="minorHAnsi" w:eastAsiaTheme="minorHAnsi" w:hAnsiTheme="minorHAnsi" w:cs="Arial"/>
          <w:b/>
          <w:bCs/>
          <w:color w:val="000000"/>
          <w:sz w:val="28"/>
          <w:szCs w:val="28"/>
          <w:lang w:eastAsia="en-US"/>
        </w:rPr>
      </w:pPr>
    </w:p>
    <w:p w14:paraId="3081C38D" w14:textId="7D37CD90" w:rsidR="009A08E9" w:rsidRDefault="009A08E9" w:rsidP="006A14BF">
      <w:pPr>
        <w:rPr>
          <w:rFonts w:asciiTheme="minorHAnsi" w:eastAsiaTheme="minorHAnsi" w:hAnsiTheme="minorHAnsi" w:cs="Arial"/>
          <w:b/>
          <w:bCs/>
          <w:color w:val="000000"/>
          <w:sz w:val="28"/>
          <w:szCs w:val="28"/>
          <w:lang w:eastAsia="en-US"/>
        </w:rPr>
      </w:pPr>
    </w:p>
    <w:p w14:paraId="60D6093E" w14:textId="0E2D7A26" w:rsidR="009A08E9" w:rsidRDefault="009A08E9" w:rsidP="006A14BF">
      <w:pPr>
        <w:rPr>
          <w:rFonts w:asciiTheme="minorHAnsi" w:eastAsiaTheme="minorHAnsi" w:hAnsiTheme="minorHAnsi" w:cs="Arial"/>
          <w:b/>
          <w:bCs/>
          <w:color w:val="000000"/>
          <w:sz w:val="28"/>
          <w:szCs w:val="28"/>
          <w:lang w:eastAsia="en-US"/>
        </w:rPr>
      </w:pPr>
    </w:p>
    <w:p w14:paraId="2A9CAB41" w14:textId="40C768CD" w:rsidR="009A08E9" w:rsidRDefault="009A08E9" w:rsidP="006A14BF">
      <w:pPr>
        <w:rPr>
          <w:rFonts w:asciiTheme="minorHAnsi" w:eastAsiaTheme="minorHAnsi" w:hAnsiTheme="minorHAnsi" w:cs="Arial"/>
          <w:b/>
          <w:bCs/>
          <w:color w:val="000000"/>
          <w:sz w:val="28"/>
          <w:szCs w:val="28"/>
          <w:lang w:eastAsia="en-US"/>
        </w:rPr>
      </w:pPr>
    </w:p>
    <w:p w14:paraId="1D8445A7" w14:textId="77777777" w:rsidR="009A08E9" w:rsidRDefault="009A08E9" w:rsidP="009A08E9">
      <w:pPr>
        <w:pStyle w:val="Heading1"/>
      </w:pPr>
      <w:bookmarkStart w:id="9" w:name="_Toc82445710"/>
      <w:r>
        <w:lastRenderedPageBreak/>
        <w:t>Website blocking</w:t>
      </w:r>
      <w:bookmarkEnd w:id="9"/>
    </w:p>
    <w:p w14:paraId="7670CDD7" w14:textId="5F5AD3D3" w:rsidR="009A08E9" w:rsidRPr="00605E78" w:rsidRDefault="009A08E9" w:rsidP="009A08E9">
      <w:r>
        <w:t xml:space="preserve">Since November 2019, the ACMA has been requesting ISPs to block illegal offshore gambling websites. </w:t>
      </w:r>
      <w:r w:rsidR="002C03CE">
        <w:t xml:space="preserve">We </w:t>
      </w:r>
      <w:r>
        <w:t xml:space="preserve">adopted </w:t>
      </w:r>
      <w:r w:rsidR="002C03CE">
        <w:t>this measure</w:t>
      </w:r>
      <w:r>
        <w:t xml:space="preserve"> to disrupt illegal offshore </w:t>
      </w:r>
      <w:r w:rsidRPr="00605E78">
        <w:t xml:space="preserve">gambling operators by preventing access by </w:t>
      </w:r>
      <w:r w:rsidR="002C03CE">
        <w:t>people</w:t>
      </w:r>
      <w:r w:rsidR="002C03CE" w:rsidRPr="00605E78">
        <w:t xml:space="preserve"> </w:t>
      </w:r>
      <w:r w:rsidRPr="00605E78">
        <w:t xml:space="preserve">physically present in Australia. </w:t>
      </w:r>
    </w:p>
    <w:p w14:paraId="60959775" w14:textId="1552A531" w:rsidR="009A08E9" w:rsidRPr="00605E78" w:rsidRDefault="009A08E9" w:rsidP="009A08E9">
      <w:r w:rsidRPr="00605E78">
        <w:t xml:space="preserve">In </w:t>
      </w:r>
      <w:r w:rsidRPr="006C3551">
        <w:t xml:space="preserve">total, </w:t>
      </w:r>
      <w:r w:rsidR="006C3551">
        <w:t>340</w:t>
      </w:r>
      <w:r w:rsidR="006C3551" w:rsidRPr="006C3551">
        <w:t xml:space="preserve"> </w:t>
      </w:r>
      <w:r w:rsidRPr="006C3551">
        <w:t>websites</w:t>
      </w:r>
      <w:r w:rsidRPr="00605E78">
        <w:t xml:space="preserve"> have been blocked at the request of the ACMA.</w:t>
      </w:r>
      <w:r w:rsidRPr="00605E78">
        <w:rPr>
          <w:rStyle w:val="FootnoteReference"/>
        </w:rPr>
        <w:footnoteReference w:id="3"/>
      </w:r>
      <w:r w:rsidRPr="00605E78">
        <w:t xml:space="preserve"> </w:t>
      </w:r>
      <w:r w:rsidR="002C03CE">
        <w:t xml:space="preserve">We maintain a </w:t>
      </w:r>
      <w:r w:rsidRPr="00605E78">
        <w:rPr>
          <w:szCs w:val="20"/>
        </w:rPr>
        <w:t xml:space="preserve">full list </w:t>
      </w:r>
      <w:r w:rsidR="002C03CE">
        <w:rPr>
          <w:szCs w:val="20"/>
        </w:rPr>
        <w:t>of blocked websites on the ACMA website at</w:t>
      </w:r>
      <w:r w:rsidRPr="00605E78">
        <w:rPr>
          <w:szCs w:val="20"/>
        </w:rPr>
        <w:t xml:space="preserve"> </w:t>
      </w:r>
      <w:hyperlink r:id="rId37" w:history="1">
        <w:r w:rsidR="002C03CE">
          <w:rPr>
            <w:rStyle w:val="Hyperlink"/>
            <w:szCs w:val="20"/>
          </w:rPr>
          <w:t>www.acma.gov.au/blocked-gambling-websites</w:t>
        </w:r>
      </w:hyperlink>
      <w:r w:rsidRPr="00605E78">
        <w:rPr>
          <w:szCs w:val="20"/>
        </w:rPr>
        <w:t xml:space="preserve">. </w:t>
      </w:r>
    </w:p>
    <w:p w14:paraId="65E04223" w14:textId="793A453D" w:rsidR="009A08E9" w:rsidRDefault="009A08E9" w:rsidP="009A08E9">
      <w:r w:rsidRPr="00605E78">
        <w:t>Website blocking is one of a range of enforcement options available to the ACMA to protect Australians against illegal online gambling. It was the focus of our enforcement action in 2020</w:t>
      </w:r>
      <w:r w:rsidR="002C03CE">
        <w:t>–</w:t>
      </w:r>
      <w:r w:rsidRPr="00605E78">
        <w:t>21</w:t>
      </w:r>
      <w:r w:rsidR="002C03CE">
        <w:t>,</w:t>
      </w:r>
      <w:r w:rsidR="0054760B" w:rsidRPr="00605E78">
        <w:t xml:space="preserve"> as we blocked the targeted casinos that had not been blocked </w:t>
      </w:r>
      <w:r w:rsidR="006012DC" w:rsidRPr="00605E78">
        <w:t xml:space="preserve">the </w:t>
      </w:r>
      <w:r w:rsidR="0054760B" w:rsidRPr="00605E78">
        <w:t xml:space="preserve">previous </w:t>
      </w:r>
      <w:r w:rsidR="0024418E" w:rsidRPr="00605E78">
        <w:t xml:space="preserve">financial </w:t>
      </w:r>
      <w:r w:rsidR="006012DC" w:rsidRPr="00605E78">
        <w:t>year</w:t>
      </w:r>
      <w:r w:rsidR="006012DC">
        <w:t>,</w:t>
      </w:r>
      <w:r w:rsidR="0054760B">
        <w:t xml:space="preserve"> including any mirror sites that had been set up to circumvent the blocking.</w:t>
      </w:r>
    </w:p>
    <w:p w14:paraId="7E62197B" w14:textId="77777777" w:rsidR="009A08E9" w:rsidRPr="006A14BF" w:rsidRDefault="009A08E9" w:rsidP="005A6656">
      <w:pPr>
        <w:pStyle w:val="Heading2"/>
      </w:pPr>
      <w:bookmarkStart w:id="10" w:name="_Toc82445711"/>
      <w:r>
        <w:t>Decrease in Australian traffic to blocked websites</w:t>
      </w:r>
      <w:bookmarkEnd w:id="10"/>
    </w:p>
    <w:p w14:paraId="14788FBA" w14:textId="2C451E5F" w:rsidR="009A08E9" w:rsidRDefault="009A08E9" w:rsidP="009A08E9">
      <w:r>
        <w:t>There</w:t>
      </w:r>
      <w:r w:rsidRPr="00442196">
        <w:t xml:space="preserve"> has </w:t>
      </w:r>
      <w:r>
        <w:t>been a significant reduction in</w:t>
      </w:r>
      <w:r w:rsidRPr="00442196">
        <w:t xml:space="preserve"> Australian traffic to the target</w:t>
      </w:r>
      <w:r>
        <w:t>ed</w:t>
      </w:r>
      <w:r w:rsidRPr="00442196">
        <w:t xml:space="preserve"> casinos</w:t>
      </w:r>
      <w:r w:rsidR="007D298D">
        <w:t>’</w:t>
      </w:r>
      <w:r w:rsidRPr="00442196">
        <w:t xml:space="preserve"> websites following the blocking of their primary websites and associated </w:t>
      </w:r>
      <w:r>
        <w:t>alternate</w:t>
      </w:r>
      <w:r w:rsidRPr="00442196">
        <w:t xml:space="preserve"> sites</w:t>
      </w:r>
      <w:r>
        <w:t>. Of the 5</w:t>
      </w:r>
      <w:r w:rsidR="00F77D33">
        <w:t>5</w:t>
      </w:r>
      <w:r>
        <w:t xml:space="preserve"> targeted casinos</w:t>
      </w:r>
      <w:r w:rsidR="00F77D33">
        <w:rPr>
          <w:rStyle w:val="FootnoteReference"/>
        </w:rPr>
        <w:footnoteReference w:id="4"/>
      </w:r>
      <w:r>
        <w:t xml:space="preserve"> </w:t>
      </w:r>
      <w:r w:rsidR="002C03CE">
        <w:t xml:space="preserve">that </w:t>
      </w:r>
      <w:r w:rsidR="007D298D">
        <w:t xml:space="preserve">had </w:t>
      </w:r>
      <w:r>
        <w:t xml:space="preserve">been blocked since November 2019, the majority saw a reduction </w:t>
      </w:r>
      <w:r w:rsidR="002C03CE">
        <w:t xml:space="preserve">in Australian visitors </w:t>
      </w:r>
      <w:r>
        <w:t>of at least 90% by June 2021.</w:t>
      </w:r>
      <w:r>
        <w:rPr>
          <w:rStyle w:val="FootnoteReference"/>
        </w:rPr>
        <w:footnoteReference w:id="5"/>
      </w:r>
      <w:r>
        <w:t xml:space="preserve"> </w:t>
      </w:r>
    </w:p>
    <w:p w14:paraId="702E98C7" w14:textId="40107CE1" w:rsidR="009A08E9" w:rsidRDefault="009A08E9" w:rsidP="009A08E9">
      <w:r>
        <w:t xml:space="preserve">For example, one illegal gambling service went from around 1.1 million visits from Australia per month </w:t>
      </w:r>
      <w:r w:rsidR="002C03CE">
        <w:t>before</w:t>
      </w:r>
      <w:r>
        <w:t xml:space="preserve"> the block </w:t>
      </w:r>
      <w:r w:rsidR="002C03CE">
        <w:t xml:space="preserve">was </w:t>
      </w:r>
      <w:r>
        <w:t xml:space="preserve">implemented, to now having </w:t>
      </w:r>
      <w:r w:rsidR="007D298D">
        <w:t xml:space="preserve">fewer </w:t>
      </w:r>
      <w:r>
        <w:t>than 3</w:t>
      </w:r>
      <w:r w:rsidR="004E52C0">
        <w:t>2</w:t>
      </w:r>
      <w:r>
        <w:t>,000 visitors.</w:t>
      </w:r>
      <w:r w:rsidR="004E52C0">
        <w:rPr>
          <w:rStyle w:val="FootnoteReference"/>
        </w:rPr>
        <w:footnoteReference w:id="6"/>
      </w:r>
      <w:r>
        <w:t xml:space="preserve"> This is despite the provider of this service repeatedly launching mirror sites</w:t>
      </w:r>
      <w:r w:rsidR="002C03CE">
        <w:t>,</w:t>
      </w:r>
      <w:r>
        <w:t xml:space="preserve"> which we also blocked. The decrease in web traffic indicates that many customers do not move to alternate sites</w:t>
      </w:r>
      <w:r w:rsidR="002C03CE">
        <w:t>,</w:t>
      </w:r>
      <w:r>
        <w:t xml:space="preserve"> even when they are made available. </w:t>
      </w:r>
    </w:p>
    <w:p w14:paraId="46A7EBB3" w14:textId="63103520" w:rsidR="009A08E9" w:rsidRDefault="009A08E9" w:rsidP="009A08E9">
      <w:r w:rsidRPr="00442196">
        <w:t>Website blocking</w:t>
      </w:r>
      <w:r w:rsidR="00E62BAA">
        <w:t xml:space="preserve"> also</w:t>
      </w:r>
      <w:r w:rsidRPr="00442196">
        <w:t xml:space="preserve"> provides a valuable opportunity to educate the </w:t>
      </w:r>
      <w:r>
        <w:t xml:space="preserve">Australian </w:t>
      </w:r>
      <w:r w:rsidRPr="00442196">
        <w:t>public about gambling services that are illegal</w:t>
      </w:r>
      <w:r w:rsidR="002C03CE">
        <w:t>. Our education campaign include</w:t>
      </w:r>
      <w:r w:rsidR="007D298D">
        <w:t>d</w:t>
      </w:r>
      <w:r w:rsidRPr="00442196">
        <w:t xml:space="preserve"> messaging that appear</w:t>
      </w:r>
      <w:r w:rsidR="007D298D">
        <w:t>ed</w:t>
      </w:r>
      <w:r w:rsidRPr="00442196">
        <w:t xml:space="preserve"> when </w:t>
      </w:r>
      <w:r w:rsidR="002C03CE">
        <w:t>Australians</w:t>
      </w:r>
      <w:r w:rsidR="002C03CE" w:rsidRPr="00442196">
        <w:t xml:space="preserve"> </w:t>
      </w:r>
      <w:r w:rsidRPr="00442196">
        <w:t xml:space="preserve">attempt to access </w:t>
      </w:r>
      <w:r>
        <w:t>a blocked</w:t>
      </w:r>
      <w:r w:rsidRPr="00442196">
        <w:t xml:space="preserve"> site. </w:t>
      </w:r>
      <w:r>
        <w:t xml:space="preserve">A ‘stop page’ </w:t>
      </w:r>
      <w:r w:rsidR="007D298D">
        <w:t xml:space="preserve">was </w:t>
      </w:r>
      <w:r>
        <w:t>displayed</w:t>
      </w:r>
      <w:r w:rsidR="003974A3">
        <w:t>, as shown in Figure 2</w:t>
      </w:r>
      <w:r w:rsidR="002C03CE">
        <w:t>,</w:t>
      </w:r>
      <w:r>
        <w:t xml:space="preserve"> which </w:t>
      </w:r>
      <w:r w:rsidR="007D298D">
        <w:t xml:space="preserve">identified </w:t>
      </w:r>
      <w:r>
        <w:t xml:space="preserve">the ACMA as the agency requesting the disruption, </w:t>
      </w:r>
      <w:r w:rsidR="007D298D">
        <w:t xml:space="preserve">provided </w:t>
      </w:r>
      <w:r>
        <w:t>information about illegal online gambling services under the IGA</w:t>
      </w:r>
      <w:r w:rsidR="002C03CE">
        <w:t>,</w:t>
      </w:r>
      <w:r>
        <w:t xml:space="preserve"> and </w:t>
      </w:r>
      <w:r w:rsidR="007D298D">
        <w:t xml:space="preserve">gave </w:t>
      </w:r>
      <w:r>
        <w:t xml:space="preserve">details about </w:t>
      </w:r>
      <w:r w:rsidRPr="00CA0B03">
        <w:t>complaint and review mechanisms</w:t>
      </w:r>
      <w:r>
        <w:t xml:space="preserve">. </w:t>
      </w:r>
    </w:p>
    <w:p w14:paraId="330A10F6" w14:textId="5E32B79A" w:rsidR="009A08E9" w:rsidRDefault="009A08E9" w:rsidP="009A08E9">
      <w:r w:rsidRPr="00442196">
        <w:t>Our experience is that website blocking has been an effective tool in disrupting</w:t>
      </w:r>
      <w:r>
        <w:t xml:space="preserve"> (although not preventing)</w:t>
      </w:r>
      <w:r w:rsidRPr="00442196">
        <w:t xml:space="preserve"> the provision of illegal online gambling services to end-users in </w:t>
      </w:r>
      <w:r w:rsidR="003974A3" w:rsidRPr="00442196">
        <w:t>Australia</w:t>
      </w:r>
      <w:r w:rsidR="008F7C81">
        <w:t xml:space="preserve">. We </w:t>
      </w:r>
      <w:r w:rsidR="005E1547">
        <w:t xml:space="preserve">will </w:t>
      </w:r>
      <w:r w:rsidR="008F7C81">
        <w:t xml:space="preserve">continue </w:t>
      </w:r>
      <w:r w:rsidR="005E1547">
        <w:t>to take action</w:t>
      </w:r>
      <w:r w:rsidR="008F7C81">
        <w:t xml:space="preserve"> against sites </w:t>
      </w:r>
      <w:r w:rsidR="007D298D">
        <w:t xml:space="preserve">that </w:t>
      </w:r>
      <w:r w:rsidR="008F7C81">
        <w:t>attempt to circumvent blocking</w:t>
      </w:r>
      <w:r w:rsidR="008A3950">
        <w:t>,</w:t>
      </w:r>
      <w:r w:rsidR="003974A3">
        <w:t xml:space="preserve"> </w:t>
      </w:r>
      <w:r w:rsidR="005E1547">
        <w:t xml:space="preserve">which </w:t>
      </w:r>
      <w:r w:rsidR="008F7C81">
        <w:t>includ</w:t>
      </w:r>
      <w:r w:rsidR="005E1547">
        <w:t>es</w:t>
      </w:r>
      <w:r w:rsidR="008F7C81">
        <w:t xml:space="preserve"> </w:t>
      </w:r>
      <w:r w:rsidR="005E1547">
        <w:t>blocking</w:t>
      </w:r>
      <w:r w:rsidR="008F7C81">
        <w:t xml:space="preserve"> </w:t>
      </w:r>
      <w:r>
        <w:t>websites that we assess as being alternate websites.</w:t>
      </w:r>
      <w:r w:rsidR="008F7C81">
        <w:t xml:space="preserve"> </w:t>
      </w:r>
    </w:p>
    <w:p w14:paraId="24398C87" w14:textId="14A9544B" w:rsidR="009A08E9" w:rsidRDefault="009A08E9" w:rsidP="002D66DD">
      <w:pPr>
        <w:keepNext/>
        <w:keepLines/>
        <w:spacing w:after="120"/>
        <w:rPr>
          <w:b/>
          <w:bCs/>
        </w:rPr>
      </w:pPr>
      <w:r w:rsidRPr="007C7C0D">
        <w:rPr>
          <w:b/>
          <w:bCs/>
        </w:rPr>
        <w:lastRenderedPageBreak/>
        <w:t>Figure 2:</w:t>
      </w:r>
      <w:r>
        <w:rPr>
          <w:b/>
          <w:bCs/>
        </w:rPr>
        <w:t xml:space="preserve"> Blocked website ‘stop page’</w:t>
      </w:r>
    </w:p>
    <w:p w14:paraId="3F137493" w14:textId="1EA16ACF" w:rsidR="002D66DD" w:rsidRPr="007C7C0D" w:rsidRDefault="002D66DD" w:rsidP="002D66DD">
      <w:pPr>
        <w:keepNext/>
        <w:keepLines/>
        <w:rPr>
          <w:b/>
          <w:bCs/>
        </w:rPr>
      </w:pPr>
      <w:r w:rsidRPr="007C7C0D">
        <w:rPr>
          <w:b/>
          <w:bCs/>
          <w:noProof/>
        </w:rPr>
        <w:drawing>
          <wp:inline distT="0" distB="0" distL="0" distR="0" wp14:anchorId="318B59FF" wp14:editId="33CE5E81">
            <wp:extent cx="5390342" cy="4253230"/>
            <wp:effectExtent l="38100" t="38100" r="115570" b="109220"/>
            <wp:docPr id="10" name="Picture 10" descr="Graphical user interface, text, application, email&#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Picture 6" descr="Graphical user interface, text, application, email&#10;&#10;Description automatically generated"/>
                    <pic:cNvPicPr/>
                  </pic:nvPicPr>
                  <pic:blipFill>
                    <a:blip r:embed="rId38"/>
                    <a:stretch>
                      <a:fillRect/>
                    </a:stretch>
                  </pic:blipFill>
                  <pic:spPr>
                    <a:xfrm>
                      <a:off x="0" y="0"/>
                      <a:ext cx="5393021" cy="4255344"/>
                    </a:xfrm>
                    <a:prstGeom prst="rect">
                      <a:avLst/>
                    </a:prstGeom>
                    <a:ln w="6350">
                      <a:solidFill>
                        <a:schemeClr val="bg1">
                          <a:lumMod val="75000"/>
                        </a:schemeClr>
                      </a:solidFill>
                    </a:ln>
                    <a:effectLst>
                      <a:outerShdw blurRad="50800" dist="50800" dir="2700000" algn="tl" rotWithShape="0">
                        <a:schemeClr val="bg1">
                          <a:lumMod val="75000"/>
                          <a:alpha val="30000"/>
                        </a:schemeClr>
                      </a:outerShdw>
                    </a:effectLst>
                  </pic:spPr>
                </pic:pic>
              </a:graphicData>
            </a:graphic>
          </wp:inline>
        </w:drawing>
      </w:r>
    </w:p>
    <w:p w14:paraId="3D0C5777" w14:textId="77777777" w:rsidR="009A08E9" w:rsidRPr="006A14BF" w:rsidRDefault="009A08E9" w:rsidP="006A14BF">
      <w:pPr>
        <w:rPr>
          <w:rFonts w:cs="Arial"/>
          <w:b/>
          <w:bCs/>
          <w:color w:val="000000"/>
          <w:sz w:val="28"/>
          <w:szCs w:val="28"/>
        </w:rPr>
      </w:pPr>
    </w:p>
    <w:bookmarkEnd w:id="8"/>
    <w:p w14:paraId="4D6529C7" w14:textId="261C3538" w:rsidR="00961950" w:rsidRPr="001D53DD" w:rsidRDefault="00961950" w:rsidP="00A62DBB">
      <w:pPr>
        <w:pStyle w:val="ListParagraph"/>
        <w:spacing w:before="100" w:beforeAutospacing="1" w:after="240"/>
        <w:ind w:left="0"/>
        <w:rPr>
          <w:rFonts w:ascii="Arial" w:hAnsi="Arial" w:cs="Arial"/>
          <w:sz w:val="20"/>
          <w:szCs w:val="20"/>
        </w:rPr>
      </w:pPr>
    </w:p>
    <w:p w14:paraId="0D5074A8" w14:textId="57913401" w:rsidR="009E469F" w:rsidRPr="00702EA1" w:rsidRDefault="0013134D" w:rsidP="009E469F">
      <w:pPr>
        <w:pStyle w:val="Heading1"/>
      </w:pPr>
      <w:bookmarkStart w:id="11" w:name="_Toc82445712"/>
      <w:r>
        <w:lastRenderedPageBreak/>
        <w:t>I</w:t>
      </w:r>
      <w:r w:rsidR="009E469F">
        <w:t>nvestigat</w:t>
      </w:r>
      <w:r w:rsidR="00501F6E">
        <w:t>ion of</w:t>
      </w:r>
      <w:r w:rsidR="009460F3">
        <w:t xml:space="preserve"> </w:t>
      </w:r>
      <w:r>
        <w:t>affiliate</w:t>
      </w:r>
      <w:r w:rsidR="009460F3">
        <w:t>s</w:t>
      </w:r>
      <w:bookmarkEnd w:id="11"/>
      <w:r w:rsidR="00E96302">
        <w:t xml:space="preserve"> </w:t>
      </w:r>
    </w:p>
    <w:p w14:paraId="10633E66" w14:textId="7ED6FFDB" w:rsidR="0008280C" w:rsidRDefault="008E5420" w:rsidP="00784EF1">
      <w:pPr>
        <w:pStyle w:val="Paragraph"/>
      </w:pPr>
      <w:r w:rsidRPr="008E5420">
        <w:t xml:space="preserve">Many websites </w:t>
      </w:r>
      <w:r w:rsidR="00874BEE">
        <w:t>publicise</w:t>
      </w:r>
      <w:r w:rsidR="00874BEE" w:rsidRPr="008E5420">
        <w:t xml:space="preserve"> </w:t>
      </w:r>
      <w:r w:rsidRPr="008E5420">
        <w:t>or promote online gambling services as part of affiliate programs</w:t>
      </w:r>
      <w:r w:rsidR="00874BEE">
        <w:t xml:space="preserve"> for the targeted casinos</w:t>
      </w:r>
      <w:r w:rsidRPr="008E5420">
        <w:t xml:space="preserve">. These sites typically </w:t>
      </w:r>
      <w:r w:rsidR="00784EF1">
        <w:t>position themselves</w:t>
      </w:r>
      <w:r w:rsidRPr="008E5420">
        <w:t xml:space="preserve"> </w:t>
      </w:r>
      <w:r w:rsidR="00874BEE">
        <w:t>as</w:t>
      </w:r>
      <w:r w:rsidRPr="008E5420">
        <w:t xml:space="preserve"> independent review</w:t>
      </w:r>
      <w:r w:rsidR="00874BEE">
        <w:t>ers providing information on</w:t>
      </w:r>
      <w:r w:rsidRPr="008E5420">
        <w:t xml:space="preserve"> the best </w:t>
      </w:r>
      <w:r w:rsidR="00874BEE">
        <w:t xml:space="preserve">online </w:t>
      </w:r>
      <w:r w:rsidRPr="008E5420">
        <w:t xml:space="preserve">gambling services. They provide direct hyperlinks to the </w:t>
      </w:r>
      <w:r w:rsidR="00874BEE">
        <w:t>online</w:t>
      </w:r>
      <w:r w:rsidRPr="008E5420">
        <w:t xml:space="preserve"> gambling services </w:t>
      </w:r>
      <w:r w:rsidR="00874BEE">
        <w:t>they review</w:t>
      </w:r>
      <w:r w:rsidR="00784EF1">
        <w:t>,</w:t>
      </w:r>
      <w:r w:rsidR="00874BEE">
        <w:t xml:space="preserve"> </w:t>
      </w:r>
      <w:r w:rsidRPr="008E5420">
        <w:t>and the owner of the website usually receives a direct benefit from the online gambling services</w:t>
      </w:r>
      <w:r w:rsidR="00874BEE">
        <w:t xml:space="preserve"> they publicise or promote </w:t>
      </w:r>
      <w:r w:rsidRPr="008E5420">
        <w:t>– in effect</w:t>
      </w:r>
      <w:r w:rsidR="00784EF1">
        <w:t>,</w:t>
      </w:r>
      <w:r w:rsidRPr="008E5420">
        <w:t xml:space="preserve"> a commission for sending customers to the gambling servic</w:t>
      </w:r>
      <w:r w:rsidR="0008280C">
        <w:t>es.</w:t>
      </w:r>
    </w:p>
    <w:p w14:paraId="6793DFD5" w14:textId="28B7F568" w:rsidR="008E5420" w:rsidRDefault="008E5420" w:rsidP="00784EF1">
      <w:pPr>
        <w:pStyle w:val="Paragraph"/>
      </w:pPr>
      <w:r w:rsidRPr="008E5420">
        <w:t>These services may be found to contravene the prohibition on advertising illegal gambling services under the IGA. They may also be found to be ancillary to the contravention of providing illegal gambling services</w:t>
      </w:r>
      <w:r w:rsidR="00784EF1">
        <w:t>, t</w:t>
      </w:r>
      <w:r w:rsidRPr="008E5420">
        <w:t xml:space="preserve">hat is, by being knowingly concerned in or a party to that contravention. </w:t>
      </w:r>
    </w:p>
    <w:tbl>
      <w:tblPr>
        <w:tblStyle w:val="TableGrid"/>
        <w:tblW w:w="752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top w:w="57" w:type="dxa"/>
          <w:left w:w="57" w:type="dxa"/>
          <w:bottom w:w="57" w:type="dxa"/>
          <w:right w:w="57" w:type="dxa"/>
        </w:tblCellMar>
        <w:tblLook w:val="04A0" w:firstRow="1" w:lastRow="0" w:firstColumn="1" w:lastColumn="0" w:noHBand="0" w:noVBand="1"/>
      </w:tblPr>
      <w:tblGrid>
        <w:gridCol w:w="1102"/>
        <w:gridCol w:w="6425"/>
      </w:tblGrid>
      <w:tr w:rsidR="00B62CAA" w14:paraId="76DD6496" w14:textId="77777777" w:rsidTr="00A16046">
        <w:trPr>
          <w:trHeight w:val="787"/>
        </w:trPr>
        <w:tc>
          <w:tcPr>
            <w:tcW w:w="1102" w:type="dxa"/>
          </w:tcPr>
          <w:p w14:paraId="4F0444A5" w14:textId="1696E3B2" w:rsidR="00B62CAA" w:rsidRDefault="00B62CAA" w:rsidP="00B62CAA">
            <w:pPr>
              <w:pStyle w:val="Paragraph"/>
              <w:spacing w:after="0"/>
            </w:pPr>
            <w:r>
              <w:rPr>
                <w:noProof/>
              </w:rPr>
              <w:drawing>
                <wp:inline distT="0" distB="0" distL="0" distR="0" wp14:anchorId="35A9DFC2" wp14:editId="50F9EE61">
                  <wp:extent cx="438150" cy="438150"/>
                  <wp:effectExtent l="0" t="0" r="0" b="0"/>
                  <wp:docPr id="3" name="Graphic 3" descr="Information outlin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Graphic 3" descr="Information outline"/>
                          <pic:cNvPicPr/>
                        </pic:nvPicPr>
                        <pic:blipFill>
                          <a:blip r:embed="rId39">
                            <a:extLst>
                              <a:ext uri="{96DAC541-7B7A-43D3-8B79-37D633B846F1}">
                                <asvg:svgBlip xmlns:asvg="http://schemas.microsoft.com/office/drawing/2016/SVG/main" r:embed="rId40"/>
                              </a:ext>
                            </a:extLst>
                          </a:blip>
                          <a:stretch>
                            <a:fillRect/>
                          </a:stretch>
                        </pic:blipFill>
                        <pic:spPr>
                          <a:xfrm>
                            <a:off x="0" y="0"/>
                            <a:ext cx="438150" cy="438150"/>
                          </a:xfrm>
                          <a:prstGeom prst="rect">
                            <a:avLst/>
                          </a:prstGeom>
                        </pic:spPr>
                      </pic:pic>
                    </a:graphicData>
                  </a:graphic>
                </wp:inline>
              </w:drawing>
            </w:r>
          </w:p>
        </w:tc>
        <w:tc>
          <w:tcPr>
            <w:tcW w:w="6425" w:type="dxa"/>
          </w:tcPr>
          <w:p w14:paraId="71CA3EF0" w14:textId="5ABA6B7B" w:rsidR="00B62CAA" w:rsidRDefault="00B62CAA" w:rsidP="00B62CAA">
            <w:pPr>
              <w:pStyle w:val="Paragraph"/>
              <w:shd w:val="clear" w:color="auto" w:fill="F2F2F2" w:themeFill="background1" w:themeFillShade="F2"/>
              <w:spacing w:after="0"/>
            </w:pPr>
            <w:r w:rsidRPr="002D66DD">
              <w:t>We sought to disrupt the marketing of the target</w:t>
            </w:r>
            <w:r w:rsidRPr="003E4542">
              <w:t xml:space="preserve">ed casinos, including the direction of Australian traffic to these sites, </w:t>
            </w:r>
            <w:r w:rsidRPr="002D66DD">
              <w:t xml:space="preserve">by investigating 21 affiliate services </w:t>
            </w:r>
            <w:r w:rsidR="007D298D">
              <w:t>that</w:t>
            </w:r>
            <w:r w:rsidR="007D298D" w:rsidRPr="002D66DD">
              <w:t xml:space="preserve"> </w:t>
            </w:r>
            <w:r w:rsidRPr="002D66DD">
              <w:t>appeared to publicise or promote these online casinos to Australians.</w:t>
            </w:r>
          </w:p>
        </w:tc>
      </w:tr>
    </w:tbl>
    <w:p w14:paraId="798A5936" w14:textId="21D0693E" w:rsidR="008E5420" w:rsidRDefault="0008280C" w:rsidP="005A6656">
      <w:pPr>
        <w:pStyle w:val="Heading2"/>
      </w:pPr>
      <w:bookmarkStart w:id="12" w:name="_Toc82445713"/>
      <w:r>
        <w:t>Disruption to the marketing of illegal online casinos</w:t>
      </w:r>
      <w:bookmarkEnd w:id="12"/>
    </w:p>
    <w:p w14:paraId="5FAA865B" w14:textId="4786F8D5" w:rsidR="007418D2" w:rsidRDefault="006D70C7" w:rsidP="008E5420">
      <w:pPr>
        <w:pStyle w:val="Paragraph"/>
      </w:pPr>
      <w:r>
        <w:t>Out of</w:t>
      </w:r>
      <w:r w:rsidR="008E5420">
        <w:t xml:space="preserve"> the </w:t>
      </w:r>
      <w:r w:rsidR="008E5420" w:rsidRPr="005A6656">
        <w:t>21</w:t>
      </w:r>
      <w:r w:rsidR="008E5420">
        <w:t xml:space="preserve"> services </w:t>
      </w:r>
      <w:r>
        <w:t>we</w:t>
      </w:r>
      <w:r w:rsidR="008E5420">
        <w:t xml:space="preserve"> investigated, </w:t>
      </w:r>
      <w:r w:rsidR="00F75280" w:rsidRPr="001F418D">
        <w:t xml:space="preserve">all </w:t>
      </w:r>
      <w:r w:rsidR="008E5420" w:rsidRPr="001F418D">
        <w:t>were found</w:t>
      </w:r>
      <w:r w:rsidR="008E5420">
        <w:t xml:space="preserve"> to be</w:t>
      </w:r>
      <w:r w:rsidR="008E5420" w:rsidRPr="008E5420">
        <w:t xml:space="preserve"> advertising the </w:t>
      </w:r>
      <w:r>
        <w:t>t</w:t>
      </w:r>
      <w:r w:rsidR="008E5420" w:rsidRPr="008E5420">
        <w:t>arget</w:t>
      </w:r>
      <w:r>
        <w:t>ed c</w:t>
      </w:r>
      <w:r w:rsidR="008E5420" w:rsidRPr="008E5420">
        <w:t xml:space="preserve">asinos or helping to provide the </w:t>
      </w:r>
      <w:r>
        <w:t>t</w:t>
      </w:r>
      <w:r w:rsidR="008E5420" w:rsidRPr="008E5420">
        <w:t>arget</w:t>
      </w:r>
      <w:r>
        <w:t>ed c</w:t>
      </w:r>
      <w:r w:rsidR="008E5420" w:rsidRPr="008E5420">
        <w:t>asinos (as ancillaries)</w:t>
      </w:r>
      <w:r w:rsidR="00EA05A5">
        <w:t xml:space="preserve"> to users</w:t>
      </w:r>
      <w:r w:rsidR="008E5420" w:rsidRPr="008E5420">
        <w:t>, in contravention of the IGA.</w:t>
      </w:r>
      <w:r w:rsidR="008E5420">
        <w:rPr>
          <w:rStyle w:val="FootnoteReference"/>
        </w:rPr>
        <w:footnoteReference w:id="7"/>
      </w:r>
      <w:r w:rsidR="007418D2">
        <w:t xml:space="preserve"> </w:t>
      </w:r>
      <w:r w:rsidR="00F44846">
        <w:t xml:space="preserve">Of these, </w:t>
      </w:r>
      <w:r w:rsidR="00F75280" w:rsidRPr="005A6656">
        <w:t>4</w:t>
      </w:r>
      <w:r w:rsidR="00F44846">
        <w:t xml:space="preserve"> </w:t>
      </w:r>
      <w:r w:rsidR="00602E76">
        <w:t>have implemented measures to ensure end-users in Australia cannot access</w:t>
      </w:r>
      <w:r w:rsidR="00C5546E">
        <w:t xml:space="preserve"> online casino-style gambling services through the affiliate sites</w:t>
      </w:r>
      <w:r w:rsidR="00F44846">
        <w:t xml:space="preserve"> and are</w:t>
      </w:r>
      <w:r w:rsidR="00157B4E">
        <w:t xml:space="preserve"> </w:t>
      </w:r>
      <w:r w:rsidR="00F44846">
        <w:t>now full</w:t>
      </w:r>
      <w:r>
        <w:t>y</w:t>
      </w:r>
      <w:r w:rsidR="00F44846">
        <w:t xml:space="preserve"> compliant</w:t>
      </w:r>
      <w:r w:rsidR="00F75280">
        <w:t xml:space="preserve">. </w:t>
      </w:r>
      <w:r w:rsidR="00784EF1" w:rsidRPr="005A6656">
        <w:t>Two</w:t>
      </w:r>
      <w:r w:rsidR="00784EF1">
        <w:t xml:space="preserve"> </w:t>
      </w:r>
      <w:r w:rsidR="00F75280">
        <w:t xml:space="preserve">services have made an undertaking </w:t>
      </w:r>
      <w:r w:rsidR="00157B4E">
        <w:t>to implement measures.</w:t>
      </w:r>
    </w:p>
    <w:p w14:paraId="537D384E" w14:textId="2ADC68F6" w:rsidR="00B62CAA" w:rsidRDefault="00784EF1" w:rsidP="00C87E8A">
      <w:pPr>
        <w:pStyle w:val="Paragraph"/>
      </w:pPr>
      <w:r>
        <w:t>For</w:t>
      </w:r>
      <w:r w:rsidR="00071398">
        <w:t xml:space="preserve"> the remaining services, additional w</w:t>
      </w:r>
      <w:r w:rsidR="008E5420" w:rsidRPr="008E5420">
        <w:t xml:space="preserve">ebsite blocking of the </w:t>
      </w:r>
      <w:r w:rsidR="000E1121">
        <w:t>non-compliant</w:t>
      </w:r>
      <w:r w:rsidR="000E1121" w:rsidRPr="008E5420">
        <w:t xml:space="preserve"> </w:t>
      </w:r>
      <w:r w:rsidR="008E5420" w:rsidRPr="008E5420">
        <w:t>sites will result in further disruption</w:t>
      </w:r>
      <w:r>
        <w:t>,</w:t>
      </w:r>
      <w:r w:rsidR="007418D2">
        <w:t xml:space="preserve"> </w:t>
      </w:r>
      <w:r w:rsidR="008E5420" w:rsidRPr="008E5420">
        <w:t>and expanded activities will be undertaken as a compliance priority in 2021</w:t>
      </w:r>
      <w:r>
        <w:t>–</w:t>
      </w:r>
      <w:r w:rsidR="008E5420" w:rsidRPr="008E5420">
        <w:t>22.</w:t>
      </w:r>
      <w:r w:rsidR="009160C0">
        <w:t xml:space="preserve"> </w:t>
      </w:r>
    </w:p>
    <w:p w14:paraId="6F6603A0" w14:textId="5B17E2E9" w:rsidR="004A01DE" w:rsidRPr="004A01DE" w:rsidRDefault="002C2C64" w:rsidP="004A01DE">
      <w:pPr>
        <w:pStyle w:val="Heading1"/>
      </w:pPr>
      <w:bookmarkStart w:id="13" w:name="_Toc82445714"/>
      <w:r>
        <w:lastRenderedPageBreak/>
        <w:t>Engage</w:t>
      </w:r>
      <w:r w:rsidR="00501F6E">
        <w:t>ment</w:t>
      </w:r>
      <w:r w:rsidR="00DB2BCA">
        <w:t xml:space="preserve"> </w:t>
      </w:r>
      <w:r w:rsidR="009823F3">
        <w:t xml:space="preserve">with </w:t>
      </w:r>
      <w:r>
        <w:t xml:space="preserve">software and payment </w:t>
      </w:r>
      <w:r w:rsidR="00E96302">
        <w:t>providers</w:t>
      </w:r>
      <w:bookmarkEnd w:id="13"/>
    </w:p>
    <w:p w14:paraId="246DC0B2" w14:textId="050EEEA1" w:rsidR="006F4DCE" w:rsidRDefault="00147764" w:rsidP="0013134D">
      <w:pPr>
        <w:rPr>
          <w:rFonts w:cs="Arial"/>
          <w:color w:val="000000"/>
          <w:szCs w:val="20"/>
        </w:rPr>
      </w:pPr>
      <w:r>
        <w:rPr>
          <w:rFonts w:cs="Arial"/>
          <w:color w:val="000000"/>
          <w:szCs w:val="20"/>
        </w:rPr>
        <w:t>Many online</w:t>
      </w:r>
      <w:r w:rsidR="00E72113">
        <w:rPr>
          <w:rFonts w:cs="Arial"/>
          <w:color w:val="000000"/>
          <w:szCs w:val="20"/>
        </w:rPr>
        <w:t xml:space="preserve"> casinos rely on </w:t>
      </w:r>
      <w:r w:rsidR="00802165">
        <w:rPr>
          <w:rFonts w:cs="Arial"/>
          <w:color w:val="000000"/>
          <w:szCs w:val="20"/>
        </w:rPr>
        <w:t>third parties</w:t>
      </w:r>
      <w:r w:rsidR="00E72113">
        <w:rPr>
          <w:rFonts w:cs="Arial"/>
          <w:color w:val="000000"/>
          <w:szCs w:val="20"/>
        </w:rPr>
        <w:t xml:space="preserve"> </w:t>
      </w:r>
      <w:r w:rsidR="00F90AAD">
        <w:rPr>
          <w:rFonts w:cs="Arial"/>
          <w:color w:val="000000"/>
          <w:szCs w:val="20"/>
        </w:rPr>
        <w:t xml:space="preserve">to provide the </w:t>
      </w:r>
      <w:r w:rsidR="00DD5E67">
        <w:rPr>
          <w:rFonts w:cs="Arial"/>
          <w:color w:val="000000"/>
          <w:szCs w:val="20"/>
        </w:rPr>
        <w:t>essential</w:t>
      </w:r>
      <w:r w:rsidR="00F90AAD">
        <w:rPr>
          <w:rFonts w:cs="Arial"/>
          <w:color w:val="000000"/>
          <w:szCs w:val="20"/>
        </w:rPr>
        <w:t xml:space="preserve"> services</w:t>
      </w:r>
      <w:r w:rsidR="00DD5E67">
        <w:rPr>
          <w:rFonts w:cs="Arial"/>
          <w:color w:val="000000"/>
          <w:szCs w:val="20"/>
        </w:rPr>
        <w:t xml:space="preserve"> </w:t>
      </w:r>
      <w:r w:rsidR="00784EF1">
        <w:rPr>
          <w:rFonts w:cs="Arial"/>
          <w:color w:val="000000"/>
          <w:szCs w:val="20"/>
        </w:rPr>
        <w:t xml:space="preserve">that </w:t>
      </w:r>
      <w:r w:rsidR="00DD5E67">
        <w:rPr>
          <w:rFonts w:cs="Arial"/>
          <w:color w:val="000000"/>
          <w:szCs w:val="20"/>
        </w:rPr>
        <w:t>enable the casino to function</w:t>
      </w:r>
      <w:r w:rsidR="00F90AAD">
        <w:rPr>
          <w:rFonts w:cs="Arial"/>
          <w:color w:val="000000"/>
          <w:szCs w:val="20"/>
        </w:rPr>
        <w:t xml:space="preserve">. </w:t>
      </w:r>
      <w:r w:rsidR="00784EF1">
        <w:rPr>
          <w:rFonts w:cs="Arial"/>
          <w:color w:val="000000"/>
          <w:szCs w:val="20"/>
        </w:rPr>
        <w:t xml:space="preserve">This may include </w:t>
      </w:r>
      <w:r w:rsidR="00E72113">
        <w:rPr>
          <w:rFonts w:cs="Arial"/>
          <w:color w:val="000000"/>
          <w:szCs w:val="20"/>
        </w:rPr>
        <w:t xml:space="preserve">software providers </w:t>
      </w:r>
      <w:r w:rsidR="00784EF1">
        <w:rPr>
          <w:rFonts w:cs="Arial"/>
          <w:color w:val="000000"/>
          <w:szCs w:val="20"/>
        </w:rPr>
        <w:t xml:space="preserve">that </w:t>
      </w:r>
      <w:r w:rsidR="00DD5E67">
        <w:rPr>
          <w:rFonts w:cs="Arial"/>
          <w:color w:val="000000"/>
          <w:szCs w:val="20"/>
        </w:rPr>
        <w:t xml:space="preserve">supply </w:t>
      </w:r>
      <w:r w:rsidR="00E72113">
        <w:rPr>
          <w:rFonts w:cs="Arial"/>
          <w:color w:val="000000"/>
          <w:szCs w:val="20"/>
        </w:rPr>
        <w:t xml:space="preserve">the games </w:t>
      </w:r>
      <w:r w:rsidR="00DD5E67">
        <w:rPr>
          <w:rFonts w:cs="Arial"/>
          <w:color w:val="000000"/>
          <w:szCs w:val="20"/>
        </w:rPr>
        <w:t xml:space="preserve">on which players gamble and </w:t>
      </w:r>
      <w:r>
        <w:rPr>
          <w:rFonts w:cs="Arial"/>
          <w:color w:val="000000"/>
          <w:szCs w:val="20"/>
        </w:rPr>
        <w:t xml:space="preserve">payment </w:t>
      </w:r>
      <w:r w:rsidR="00DD5E67">
        <w:rPr>
          <w:rFonts w:cs="Arial"/>
          <w:color w:val="000000"/>
          <w:szCs w:val="20"/>
        </w:rPr>
        <w:t xml:space="preserve">providers </w:t>
      </w:r>
      <w:r w:rsidR="00784EF1">
        <w:rPr>
          <w:rFonts w:cs="Arial"/>
          <w:color w:val="000000"/>
          <w:szCs w:val="20"/>
        </w:rPr>
        <w:t xml:space="preserve">that </w:t>
      </w:r>
      <w:r>
        <w:rPr>
          <w:rFonts w:cs="Arial"/>
          <w:color w:val="000000"/>
          <w:szCs w:val="20"/>
        </w:rPr>
        <w:t>assist in processing payments</w:t>
      </w:r>
      <w:r w:rsidR="00DD5E67">
        <w:rPr>
          <w:rFonts w:cs="Arial"/>
          <w:color w:val="000000"/>
          <w:szCs w:val="20"/>
        </w:rPr>
        <w:t xml:space="preserve"> so the player can deposit funds to gamble</w:t>
      </w:r>
      <w:r w:rsidR="005F1DB0">
        <w:rPr>
          <w:rFonts w:cs="Arial"/>
          <w:color w:val="000000"/>
          <w:szCs w:val="20"/>
        </w:rPr>
        <w:t xml:space="preserve"> with</w:t>
      </w:r>
      <w:r w:rsidR="00E72113">
        <w:rPr>
          <w:rFonts w:cs="Arial"/>
          <w:color w:val="000000"/>
          <w:szCs w:val="20"/>
        </w:rPr>
        <w:t xml:space="preserve">. </w:t>
      </w:r>
    </w:p>
    <w:p w14:paraId="12140C1A" w14:textId="3CBA3409" w:rsidR="0013134D" w:rsidRDefault="000E1121" w:rsidP="0013134D">
      <w:pPr>
        <w:rPr>
          <w:rFonts w:cs="Arial"/>
          <w:color w:val="000000"/>
          <w:szCs w:val="20"/>
        </w:rPr>
      </w:pPr>
      <w:r>
        <w:t xml:space="preserve">These third parties can be involved with hundreds or thousands of gambling websites and can influence or directly impact access to </w:t>
      </w:r>
      <w:r w:rsidR="008B62B7">
        <w:t xml:space="preserve">those </w:t>
      </w:r>
      <w:r>
        <w:t>services by Australians.</w:t>
      </w:r>
    </w:p>
    <w:tbl>
      <w:tblPr>
        <w:tblStyle w:val="TableGrid"/>
        <w:tblW w:w="757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top w:w="57" w:type="dxa"/>
          <w:left w:w="57" w:type="dxa"/>
          <w:bottom w:w="57" w:type="dxa"/>
          <w:right w:w="57" w:type="dxa"/>
        </w:tblCellMar>
        <w:tblLook w:val="04A0" w:firstRow="1" w:lastRow="0" w:firstColumn="1" w:lastColumn="0" w:noHBand="0" w:noVBand="1"/>
      </w:tblPr>
      <w:tblGrid>
        <w:gridCol w:w="1108"/>
        <w:gridCol w:w="6464"/>
      </w:tblGrid>
      <w:tr w:rsidR="00B62CAA" w14:paraId="57A2FF67" w14:textId="77777777" w:rsidTr="00A16046">
        <w:trPr>
          <w:trHeight w:val="811"/>
        </w:trPr>
        <w:tc>
          <w:tcPr>
            <w:tcW w:w="1108" w:type="dxa"/>
          </w:tcPr>
          <w:p w14:paraId="64B3723E" w14:textId="77777777" w:rsidR="00B62CAA" w:rsidRDefault="00B62CAA" w:rsidP="00A22BF9">
            <w:pPr>
              <w:pStyle w:val="Paragraph"/>
              <w:spacing w:after="0"/>
            </w:pPr>
            <w:r>
              <w:rPr>
                <w:noProof/>
              </w:rPr>
              <w:drawing>
                <wp:inline distT="0" distB="0" distL="0" distR="0" wp14:anchorId="232CEC8F" wp14:editId="0D7BF122">
                  <wp:extent cx="438150" cy="438150"/>
                  <wp:effectExtent l="0" t="0" r="0" b="0"/>
                  <wp:docPr id="7" name="Graphic 7" descr="Information outlin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Graphic 3" descr="Information outline"/>
                          <pic:cNvPicPr/>
                        </pic:nvPicPr>
                        <pic:blipFill>
                          <a:blip r:embed="rId39">
                            <a:extLst>
                              <a:ext uri="{96DAC541-7B7A-43D3-8B79-37D633B846F1}">
                                <asvg:svgBlip xmlns:asvg="http://schemas.microsoft.com/office/drawing/2016/SVG/main" r:embed="rId40"/>
                              </a:ext>
                            </a:extLst>
                          </a:blip>
                          <a:stretch>
                            <a:fillRect/>
                          </a:stretch>
                        </pic:blipFill>
                        <pic:spPr>
                          <a:xfrm>
                            <a:off x="0" y="0"/>
                            <a:ext cx="438150" cy="438150"/>
                          </a:xfrm>
                          <a:prstGeom prst="rect">
                            <a:avLst/>
                          </a:prstGeom>
                        </pic:spPr>
                      </pic:pic>
                    </a:graphicData>
                  </a:graphic>
                </wp:inline>
              </w:drawing>
            </w:r>
          </w:p>
        </w:tc>
        <w:tc>
          <w:tcPr>
            <w:tcW w:w="6464" w:type="dxa"/>
          </w:tcPr>
          <w:p w14:paraId="66BF4592" w14:textId="77777777" w:rsidR="00B62CAA" w:rsidRDefault="00B62CAA" w:rsidP="005553A1">
            <w:pPr>
              <w:pStyle w:val="Paragraph"/>
              <w:shd w:val="clear" w:color="auto" w:fill="F2F2F2" w:themeFill="background1" w:themeFillShade="F2"/>
              <w:spacing w:after="120"/>
            </w:pPr>
            <w:r>
              <w:t>We contacted 52 software providers that had casino-style games displayed on the targeted casinos.</w:t>
            </w:r>
          </w:p>
          <w:p w14:paraId="53329C4C" w14:textId="52DCD17F" w:rsidR="00B62CAA" w:rsidRDefault="00B62CAA" w:rsidP="00B62CAA">
            <w:pPr>
              <w:pStyle w:val="Paragraph"/>
              <w:shd w:val="clear" w:color="auto" w:fill="F2F2F2" w:themeFill="background1" w:themeFillShade="F2"/>
              <w:spacing w:after="0"/>
            </w:pPr>
            <w:r>
              <w:t>We also contacted the providers of local payment services that were on a majority of the target casinos and available to Australian customers.</w:t>
            </w:r>
          </w:p>
        </w:tc>
      </w:tr>
    </w:tbl>
    <w:p w14:paraId="0A69D19D" w14:textId="2D8AA774" w:rsidR="0013134D" w:rsidRDefault="00F81E49" w:rsidP="005A6656">
      <w:pPr>
        <w:pStyle w:val="Heading2"/>
      </w:pPr>
      <w:bookmarkStart w:id="14" w:name="_Toc82445715"/>
      <w:r>
        <w:t>Disruption to functionality of</w:t>
      </w:r>
      <w:r w:rsidR="0008280C">
        <w:t xml:space="preserve"> illegal online casinos</w:t>
      </w:r>
      <w:bookmarkEnd w:id="14"/>
    </w:p>
    <w:p w14:paraId="24B8C4C2" w14:textId="52B5D9FA" w:rsidR="00504EAC" w:rsidRDefault="001C2630" w:rsidP="007418D2">
      <w:pPr>
        <w:pStyle w:val="Paragraph"/>
      </w:pPr>
      <w:r>
        <w:t>Our engagement with these third parties has been effective in disrupting the provision of the target</w:t>
      </w:r>
      <w:r w:rsidR="00F3370A">
        <w:t>ed</w:t>
      </w:r>
      <w:r>
        <w:t xml:space="preserve"> casinos</w:t>
      </w:r>
      <w:r w:rsidR="00504EAC">
        <w:t xml:space="preserve"> to players in Australia</w:t>
      </w:r>
      <w:r w:rsidR="009B6F0F">
        <w:t>,</w:t>
      </w:r>
      <w:r w:rsidR="00EE4EBE">
        <w:t xml:space="preserve"> by reducing the games and </w:t>
      </w:r>
      <w:r w:rsidR="00070157">
        <w:t xml:space="preserve">local </w:t>
      </w:r>
      <w:r w:rsidR="00EE4EBE">
        <w:t>payment options available to Australians</w:t>
      </w:r>
      <w:r w:rsidR="00504EAC">
        <w:t>.</w:t>
      </w:r>
    </w:p>
    <w:p w14:paraId="5FB6CD97" w14:textId="1BF91692" w:rsidR="005375F6" w:rsidRDefault="009160C0" w:rsidP="007418D2">
      <w:pPr>
        <w:pStyle w:val="Paragraph"/>
      </w:pPr>
      <w:r>
        <w:t>As a result of ACMA action, m</w:t>
      </w:r>
      <w:r w:rsidR="008D5E2A">
        <w:t>any prominent</w:t>
      </w:r>
      <w:r w:rsidR="00AB7D73">
        <w:t xml:space="preserve"> software providers </w:t>
      </w:r>
      <w:r w:rsidR="00A434CD">
        <w:t xml:space="preserve">have </w:t>
      </w:r>
      <w:r w:rsidR="007418D2">
        <w:t>ensured their games are inaccessible for players based in Australia</w:t>
      </w:r>
      <w:r w:rsidR="00784EF1">
        <w:t xml:space="preserve">. They </w:t>
      </w:r>
      <w:r w:rsidR="00AB7D73">
        <w:t>either</w:t>
      </w:r>
      <w:r w:rsidR="007418D2">
        <w:t xml:space="preserve"> </w:t>
      </w:r>
      <w:r w:rsidR="0013134D" w:rsidRPr="00751951">
        <w:t>implement</w:t>
      </w:r>
      <w:r w:rsidR="008E0240">
        <w:t>ed</w:t>
      </w:r>
      <w:r w:rsidR="0013134D" w:rsidRPr="00751951">
        <w:t xml:space="preserve"> IP</w:t>
      </w:r>
      <w:r w:rsidR="00784EF1">
        <w:t>-</w:t>
      </w:r>
      <w:r w:rsidR="0013134D" w:rsidRPr="00751951">
        <w:t xml:space="preserve">blocking </w:t>
      </w:r>
      <w:r w:rsidR="007418D2">
        <w:t xml:space="preserve">or </w:t>
      </w:r>
      <w:r w:rsidR="0013134D" w:rsidRPr="00751951">
        <w:t>contact</w:t>
      </w:r>
      <w:r w:rsidR="008E0240">
        <w:t>ed</w:t>
      </w:r>
      <w:r w:rsidR="0013134D" w:rsidRPr="00751951">
        <w:t xml:space="preserve"> the relevant</w:t>
      </w:r>
      <w:r w:rsidR="0013134D" w:rsidRPr="009F3FAB">
        <w:t xml:space="preserve"> gambling operators to encourage them to comply</w:t>
      </w:r>
      <w:r w:rsidR="007418D2">
        <w:t xml:space="preserve"> and </w:t>
      </w:r>
      <w:r w:rsidR="0013134D" w:rsidRPr="009F3FAB">
        <w:t xml:space="preserve">request </w:t>
      </w:r>
      <w:r w:rsidR="007418D2">
        <w:t>that they</w:t>
      </w:r>
      <w:r w:rsidR="0013134D" w:rsidRPr="009F3FAB">
        <w:t xml:space="preserve"> restrict Australian players from accessing their games.</w:t>
      </w:r>
      <w:r w:rsidR="00E243D0">
        <w:t xml:space="preserve"> </w:t>
      </w:r>
      <w:r w:rsidR="003A7504">
        <w:t>In some cases, the software provider</w:t>
      </w:r>
      <w:r w:rsidR="0056761B">
        <w:t>s’</w:t>
      </w:r>
      <w:r w:rsidR="003A7504">
        <w:t xml:space="preserve"> games have been removed completely from the targeted casinos.</w:t>
      </w:r>
    </w:p>
    <w:p w14:paraId="45DB4C27" w14:textId="139A3CE5" w:rsidR="003C6EEB" w:rsidRDefault="006D2F22" w:rsidP="007418D2">
      <w:pPr>
        <w:pStyle w:val="Paragraph"/>
      </w:pPr>
      <w:r>
        <w:t xml:space="preserve">Many of the </w:t>
      </w:r>
      <w:r w:rsidR="00F3370A">
        <w:t>local p</w:t>
      </w:r>
      <w:r w:rsidR="00E243D0">
        <w:t xml:space="preserve">ayment services </w:t>
      </w:r>
      <w:r w:rsidR="005F1DB0">
        <w:t xml:space="preserve">contacted </w:t>
      </w:r>
      <w:r w:rsidR="00F3370A">
        <w:t xml:space="preserve">are </w:t>
      </w:r>
      <w:r w:rsidR="00E243D0">
        <w:t xml:space="preserve">also </w:t>
      </w:r>
      <w:r w:rsidR="00F3370A">
        <w:t>no longer displayed on</w:t>
      </w:r>
      <w:r w:rsidR="00E243D0">
        <w:t xml:space="preserve"> the target</w:t>
      </w:r>
      <w:r w:rsidR="00F3370A">
        <w:t>ed</w:t>
      </w:r>
      <w:r w:rsidR="00E243D0">
        <w:t xml:space="preserve"> casino</w:t>
      </w:r>
      <w:r w:rsidR="00F3370A">
        <w:t>s</w:t>
      </w:r>
      <w:r w:rsidR="00E243D0">
        <w:t xml:space="preserve">. </w:t>
      </w:r>
    </w:p>
    <w:p w14:paraId="25D64E6E" w14:textId="01937E35" w:rsidR="004A01DE" w:rsidRDefault="00504EAC" w:rsidP="00B62CAA">
      <w:pPr>
        <w:pStyle w:val="Paragraph"/>
      </w:pPr>
      <w:r w:rsidRPr="00AD1D92">
        <w:rPr>
          <w:szCs w:val="20"/>
        </w:rPr>
        <w:t>We</w:t>
      </w:r>
      <w:r w:rsidR="001D7E26">
        <w:rPr>
          <w:szCs w:val="20"/>
        </w:rPr>
        <w:t xml:space="preserve"> will</w:t>
      </w:r>
      <w:r w:rsidRPr="00AD1D92">
        <w:rPr>
          <w:szCs w:val="20"/>
        </w:rPr>
        <w:t xml:space="preserve"> </w:t>
      </w:r>
      <w:r w:rsidR="0088278C">
        <w:rPr>
          <w:szCs w:val="20"/>
        </w:rPr>
        <w:t xml:space="preserve">continue to </w:t>
      </w:r>
      <w:r w:rsidR="001D7E26">
        <w:rPr>
          <w:szCs w:val="20"/>
        </w:rPr>
        <w:t xml:space="preserve">engage with </w:t>
      </w:r>
      <w:r w:rsidR="009A172E">
        <w:rPr>
          <w:szCs w:val="20"/>
        </w:rPr>
        <w:t>software and payment providers</w:t>
      </w:r>
      <w:r w:rsidR="00070157">
        <w:rPr>
          <w:szCs w:val="20"/>
        </w:rPr>
        <w:t xml:space="preserve"> </w:t>
      </w:r>
      <w:r w:rsidR="002321D3">
        <w:rPr>
          <w:szCs w:val="20"/>
        </w:rPr>
        <w:t>used by</w:t>
      </w:r>
      <w:r w:rsidR="00070157">
        <w:rPr>
          <w:szCs w:val="20"/>
        </w:rPr>
        <w:t xml:space="preserve"> the targeted casinos</w:t>
      </w:r>
      <w:r w:rsidR="001D7E26">
        <w:rPr>
          <w:szCs w:val="20"/>
        </w:rPr>
        <w:t xml:space="preserve"> </w:t>
      </w:r>
      <w:r w:rsidR="002616D6">
        <w:rPr>
          <w:szCs w:val="20"/>
        </w:rPr>
        <w:t>and consider next steps.</w:t>
      </w:r>
      <w:bookmarkStart w:id="15" w:name="_Toc298924672"/>
      <w:bookmarkStart w:id="16" w:name="_Toc300909555"/>
      <w:bookmarkStart w:id="17" w:name="_Toc348105636"/>
    </w:p>
    <w:p w14:paraId="5932E89B" w14:textId="13282378" w:rsidR="004A01DE" w:rsidRDefault="004A01DE" w:rsidP="004A01DE">
      <w:pPr>
        <w:pStyle w:val="Heading1"/>
      </w:pPr>
      <w:bookmarkStart w:id="18" w:name="_Toc82445716"/>
      <w:r>
        <w:lastRenderedPageBreak/>
        <w:t>Consumer awareness</w:t>
      </w:r>
      <w:r w:rsidR="00351DD4">
        <w:t xml:space="preserve"> and education</w:t>
      </w:r>
      <w:bookmarkEnd w:id="18"/>
    </w:p>
    <w:p w14:paraId="659111F9" w14:textId="7A41F925" w:rsidR="0034702B" w:rsidRDefault="0034702B" w:rsidP="00442196">
      <w:pPr>
        <w:rPr>
          <w:szCs w:val="20"/>
        </w:rPr>
      </w:pPr>
      <w:r>
        <w:rPr>
          <w:szCs w:val="20"/>
        </w:rPr>
        <w:t>Many offshore gambling websites look like they are legal in Australia, which can lead consumers to inadvertently use prohibited or unlicensed online gambling services</w:t>
      </w:r>
      <w:r w:rsidR="001C63E8">
        <w:rPr>
          <w:szCs w:val="20"/>
        </w:rPr>
        <w:t>.</w:t>
      </w:r>
      <w:r w:rsidR="00A62DBB">
        <w:rPr>
          <w:szCs w:val="20"/>
        </w:rPr>
        <w:t xml:space="preserve"> Public education and awareness </w:t>
      </w:r>
      <w:r w:rsidR="00DF52EF">
        <w:rPr>
          <w:szCs w:val="20"/>
        </w:rPr>
        <w:t>is</w:t>
      </w:r>
      <w:r w:rsidR="00A62DBB">
        <w:rPr>
          <w:szCs w:val="20"/>
        </w:rPr>
        <w:t xml:space="preserve"> essential in deterring Australian consumers from using these </w:t>
      </w:r>
      <w:r w:rsidR="00DF52EF">
        <w:rPr>
          <w:szCs w:val="20"/>
        </w:rPr>
        <w:t xml:space="preserve">illegal </w:t>
      </w:r>
      <w:r w:rsidR="00A62DBB">
        <w:rPr>
          <w:szCs w:val="20"/>
        </w:rPr>
        <w:t>services.</w:t>
      </w:r>
    </w:p>
    <w:p w14:paraId="01BB2C56" w14:textId="43ECA009" w:rsidR="0034702B" w:rsidRDefault="0034702B" w:rsidP="00442196">
      <w:pPr>
        <w:rPr>
          <w:szCs w:val="20"/>
        </w:rPr>
      </w:pPr>
      <w:r w:rsidRPr="00442196">
        <w:rPr>
          <w:szCs w:val="20"/>
        </w:rPr>
        <w:t xml:space="preserve">Our </w:t>
      </w:r>
      <w:r>
        <w:rPr>
          <w:szCs w:val="20"/>
        </w:rPr>
        <w:t>compliance</w:t>
      </w:r>
      <w:r w:rsidRPr="00442196">
        <w:rPr>
          <w:szCs w:val="20"/>
        </w:rPr>
        <w:t xml:space="preserve"> activities </w:t>
      </w:r>
      <w:r w:rsidR="00DF52EF">
        <w:rPr>
          <w:szCs w:val="20"/>
        </w:rPr>
        <w:t>in 2020</w:t>
      </w:r>
      <w:r w:rsidR="0047675A">
        <w:rPr>
          <w:szCs w:val="20"/>
        </w:rPr>
        <w:t>–</w:t>
      </w:r>
      <w:r w:rsidR="00DF52EF">
        <w:rPr>
          <w:szCs w:val="20"/>
        </w:rPr>
        <w:t xml:space="preserve">21 </w:t>
      </w:r>
      <w:r w:rsidRPr="00442196">
        <w:rPr>
          <w:szCs w:val="20"/>
        </w:rPr>
        <w:t xml:space="preserve">were supported by education and social media campaigns aimed at changing consumer behaviour by </w:t>
      </w:r>
      <w:r w:rsidR="0047675A">
        <w:rPr>
          <w:szCs w:val="20"/>
        </w:rPr>
        <w:t>alerting</w:t>
      </w:r>
      <w:r w:rsidR="0047675A" w:rsidRPr="00442196">
        <w:rPr>
          <w:szCs w:val="20"/>
        </w:rPr>
        <w:t xml:space="preserve"> </w:t>
      </w:r>
      <w:r w:rsidRPr="00442196">
        <w:rPr>
          <w:szCs w:val="20"/>
        </w:rPr>
        <w:t xml:space="preserve">consumers on the risks of using illegal gambling services. </w:t>
      </w:r>
    </w:p>
    <w:p w14:paraId="4D749289" w14:textId="7E1496D2" w:rsidR="007251F3" w:rsidRDefault="00C85C06" w:rsidP="00442196">
      <w:pPr>
        <w:rPr>
          <w:szCs w:val="20"/>
        </w:rPr>
      </w:pPr>
      <w:r>
        <w:rPr>
          <w:szCs w:val="20"/>
        </w:rPr>
        <w:t xml:space="preserve">We ran </w:t>
      </w:r>
      <w:r w:rsidR="000336D3">
        <w:rPr>
          <w:szCs w:val="20"/>
        </w:rPr>
        <w:t xml:space="preserve">2 </w:t>
      </w:r>
      <w:r>
        <w:rPr>
          <w:szCs w:val="20"/>
        </w:rPr>
        <w:t>consumer education campaigns</w:t>
      </w:r>
      <w:r w:rsidR="000336D3">
        <w:rPr>
          <w:szCs w:val="20"/>
        </w:rPr>
        <w:t>,</w:t>
      </w:r>
      <w:r>
        <w:rPr>
          <w:szCs w:val="20"/>
        </w:rPr>
        <w:t xml:space="preserve"> which </w:t>
      </w:r>
      <w:r w:rsidR="000336D3" w:rsidRPr="000336D3">
        <w:rPr>
          <w:szCs w:val="20"/>
        </w:rPr>
        <w:t>placed advertising in front of users in real time while they were browsing betting websites and apps.</w:t>
      </w:r>
      <w:r w:rsidR="000336D3">
        <w:rPr>
          <w:szCs w:val="20"/>
        </w:rPr>
        <w:t xml:space="preserve"> Using the taglines: </w:t>
      </w:r>
      <w:r w:rsidR="000336D3" w:rsidRPr="005F20E8">
        <w:rPr>
          <w:i/>
          <w:iCs/>
          <w:szCs w:val="20"/>
        </w:rPr>
        <w:t>Even if you win, you might lose</w:t>
      </w:r>
      <w:r w:rsidR="000336D3">
        <w:rPr>
          <w:szCs w:val="20"/>
        </w:rPr>
        <w:t xml:space="preserve"> and </w:t>
      </w:r>
      <w:r w:rsidR="000336D3" w:rsidRPr="005F20E8">
        <w:rPr>
          <w:i/>
          <w:iCs/>
          <w:szCs w:val="20"/>
        </w:rPr>
        <w:t>Offshore gambling, don’t bet on it</w:t>
      </w:r>
      <w:r w:rsidR="000336D3" w:rsidRPr="005F20E8">
        <w:rPr>
          <w:szCs w:val="20"/>
        </w:rPr>
        <w:t>, the ads</w:t>
      </w:r>
      <w:r w:rsidR="000336D3" w:rsidRPr="000336D3">
        <w:rPr>
          <w:szCs w:val="20"/>
        </w:rPr>
        <w:t xml:space="preserve"> </w:t>
      </w:r>
      <w:r w:rsidR="003974A3">
        <w:rPr>
          <w:szCs w:val="20"/>
        </w:rPr>
        <w:t>highlighted</w:t>
      </w:r>
      <w:r w:rsidR="000336D3">
        <w:rPr>
          <w:szCs w:val="20"/>
        </w:rPr>
        <w:t xml:space="preserve"> the risks of using the illegal services and provided a link</w:t>
      </w:r>
      <w:r w:rsidR="007251F3">
        <w:rPr>
          <w:szCs w:val="20"/>
        </w:rPr>
        <w:t xml:space="preserve"> to the ACMA’s website for information about </w:t>
      </w:r>
      <w:r w:rsidR="000336D3">
        <w:rPr>
          <w:szCs w:val="20"/>
        </w:rPr>
        <w:t xml:space="preserve">the </w:t>
      </w:r>
      <w:r w:rsidR="007251F3">
        <w:rPr>
          <w:szCs w:val="20"/>
        </w:rPr>
        <w:t xml:space="preserve">types of services </w:t>
      </w:r>
      <w:r w:rsidR="000336D3">
        <w:rPr>
          <w:szCs w:val="20"/>
        </w:rPr>
        <w:t xml:space="preserve">that </w:t>
      </w:r>
      <w:r w:rsidR="007251F3">
        <w:rPr>
          <w:szCs w:val="20"/>
        </w:rPr>
        <w:t xml:space="preserve">are legal and </w:t>
      </w:r>
      <w:r w:rsidR="002B2FE9">
        <w:rPr>
          <w:szCs w:val="20"/>
        </w:rPr>
        <w:t xml:space="preserve">those that </w:t>
      </w:r>
      <w:r w:rsidR="007251F3">
        <w:rPr>
          <w:szCs w:val="20"/>
        </w:rPr>
        <w:t xml:space="preserve">are </w:t>
      </w:r>
      <w:r w:rsidR="000336D3">
        <w:rPr>
          <w:szCs w:val="20"/>
        </w:rPr>
        <w:t>il</w:t>
      </w:r>
      <w:r w:rsidR="007251F3">
        <w:rPr>
          <w:szCs w:val="20"/>
        </w:rPr>
        <w:t xml:space="preserve">legal in Australia. </w:t>
      </w:r>
    </w:p>
    <w:p w14:paraId="2FADCE74" w14:textId="294E64A2" w:rsidR="002B2FE9" w:rsidRDefault="002B2FE9" w:rsidP="002B2FE9">
      <w:pPr>
        <w:pStyle w:val="Paragraph"/>
      </w:pPr>
      <w:r w:rsidRPr="002B2FE9">
        <w:rPr>
          <w:szCs w:val="20"/>
        </w:rPr>
        <w:t>The high number of views of the advertising and the significant increase in visits to the information page provide clear indicators of the success of the campaign</w:t>
      </w:r>
      <w:r>
        <w:rPr>
          <w:szCs w:val="20"/>
        </w:rPr>
        <w:t xml:space="preserve"> – </w:t>
      </w:r>
      <w:r w:rsidR="00CB0D95">
        <w:t>o</w:t>
      </w:r>
      <w:r w:rsidR="001C63E8" w:rsidRPr="00694424">
        <w:t xml:space="preserve">ur most recent campaign </w:t>
      </w:r>
      <w:r w:rsidR="006012DC">
        <w:t>in</w:t>
      </w:r>
      <w:r w:rsidR="006012DC" w:rsidRPr="00694424">
        <w:t xml:space="preserve"> </w:t>
      </w:r>
      <w:r w:rsidR="001C63E8" w:rsidRPr="00694424">
        <w:t xml:space="preserve">June 2021 saw </w:t>
      </w:r>
      <w:r w:rsidR="00CE46B5">
        <w:t>traffic</w:t>
      </w:r>
      <w:r w:rsidRPr="00694424">
        <w:t xml:space="preserve"> </w:t>
      </w:r>
      <w:r w:rsidR="001C63E8" w:rsidRPr="00694424">
        <w:t xml:space="preserve">increase </w:t>
      </w:r>
      <w:r w:rsidR="00CE46B5">
        <w:t>by</w:t>
      </w:r>
      <w:r w:rsidR="001C63E8" w:rsidRPr="00694424">
        <w:t xml:space="preserve"> </w:t>
      </w:r>
      <w:r w:rsidR="00CB0D95">
        <w:t>863</w:t>
      </w:r>
      <w:r>
        <w:t xml:space="preserve">% </w:t>
      </w:r>
      <w:r w:rsidR="001C63E8" w:rsidRPr="00694424">
        <w:t xml:space="preserve">to </w:t>
      </w:r>
      <w:r w:rsidR="00CE46B5">
        <w:t>the relevant pages on our</w:t>
      </w:r>
      <w:r w:rsidR="001C63E8" w:rsidRPr="00694424">
        <w:t xml:space="preserve"> website.</w:t>
      </w:r>
      <w:r w:rsidR="00214DD9">
        <w:rPr>
          <w:rStyle w:val="FootnoteReference"/>
        </w:rPr>
        <w:footnoteReference w:id="8"/>
      </w:r>
    </w:p>
    <w:p w14:paraId="36193BC4" w14:textId="69344DA6" w:rsidR="006B67FB" w:rsidRDefault="002B2FE9" w:rsidP="005F20E8">
      <w:r w:rsidRPr="00C85C06">
        <w:rPr>
          <w:szCs w:val="20"/>
        </w:rPr>
        <w:t xml:space="preserve">We also raised awareness of illegal offshore gambling services more broadly and provided links to our </w:t>
      </w:r>
      <w:hyperlink r:id="rId41" w:history="1">
        <w:r w:rsidR="007465DE">
          <w:rPr>
            <w:rStyle w:val="Hyperlink"/>
          </w:rPr>
          <w:t>r</w:t>
        </w:r>
        <w:r w:rsidRPr="005F20E8">
          <w:rPr>
            <w:rStyle w:val="Hyperlink"/>
          </w:rPr>
          <w:t xml:space="preserve">egister of </w:t>
        </w:r>
        <w:r w:rsidR="007465DE">
          <w:rPr>
            <w:rStyle w:val="Hyperlink"/>
          </w:rPr>
          <w:t>l</w:t>
        </w:r>
        <w:r w:rsidRPr="005F20E8">
          <w:rPr>
            <w:rStyle w:val="Hyperlink"/>
          </w:rPr>
          <w:t xml:space="preserve">icensed </w:t>
        </w:r>
        <w:r w:rsidR="007465DE">
          <w:rPr>
            <w:rStyle w:val="Hyperlink"/>
          </w:rPr>
          <w:t>i</w:t>
        </w:r>
        <w:r w:rsidRPr="005F20E8">
          <w:rPr>
            <w:rStyle w:val="Hyperlink"/>
          </w:rPr>
          <w:t xml:space="preserve">nteractive </w:t>
        </w:r>
        <w:r w:rsidR="007465DE">
          <w:rPr>
            <w:rStyle w:val="Hyperlink"/>
          </w:rPr>
          <w:t>w</w:t>
        </w:r>
        <w:r w:rsidRPr="005F20E8">
          <w:rPr>
            <w:rStyle w:val="Hyperlink"/>
          </w:rPr>
          <w:t xml:space="preserve">agering </w:t>
        </w:r>
        <w:r w:rsidR="007465DE">
          <w:rPr>
            <w:rStyle w:val="Hyperlink"/>
          </w:rPr>
          <w:t>s</w:t>
        </w:r>
        <w:r w:rsidRPr="005F20E8">
          <w:rPr>
            <w:rStyle w:val="Hyperlink"/>
          </w:rPr>
          <w:t>ervices</w:t>
        </w:r>
      </w:hyperlink>
      <w:r w:rsidRPr="00C85C06">
        <w:rPr>
          <w:szCs w:val="20"/>
        </w:rPr>
        <w:t xml:space="preserve"> through social media campaigns, such as during the Australian Open in February 2021.</w:t>
      </w:r>
    </w:p>
    <w:p w14:paraId="5952E647" w14:textId="39B6048D" w:rsidR="004A01DE" w:rsidRPr="004B4332" w:rsidRDefault="00F517EC" w:rsidP="004C0903">
      <w:pPr>
        <w:pStyle w:val="Tableorfigurenotemultiple"/>
      </w:pPr>
      <w:r w:rsidRPr="004A01DE">
        <w:rPr>
          <w:noProof/>
        </w:rPr>
        <w:drawing>
          <wp:anchor distT="0" distB="0" distL="114300" distR="114300" simplePos="0" relativeHeight="251658240" behindDoc="0" locked="0" layoutInCell="1" allowOverlap="1" wp14:anchorId="32F6F55D" wp14:editId="5854EBD9">
            <wp:simplePos x="0" y="0"/>
            <wp:positionH relativeFrom="column">
              <wp:posOffset>1990725</wp:posOffset>
            </wp:positionH>
            <wp:positionV relativeFrom="paragraph">
              <wp:posOffset>1821328</wp:posOffset>
            </wp:positionV>
            <wp:extent cx="1498600" cy="1498600"/>
            <wp:effectExtent l="0" t="0" r="6350" b="6350"/>
            <wp:wrapTopAndBottom/>
            <wp:docPr id="29" name="Picture 29">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 name="Picture 29">
                      <a:extLst>
                        <a:ext uri="{C183D7F6-B498-43B3-948B-1728B52AA6E4}">
                          <adec:decorative xmlns:adec="http://schemas.microsoft.com/office/drawing/2017/decorative" val="1"/>
                        </a:ext>
                      </a:extLst>
                    </pic:cNvPr>
                    <pic:cNvPicPr/>
                  </pic:nvPicPr>
                  <pic:blipFill>
                    <a:blip r:embed="rId42"/>
                    <a:stretch>
                      <a:fillRect/>
                    </a:stretch>
                  </pic:blipFill>
                  <pic:spPr>
                    <a:xfrm>
                      <a:off x="0" y="0"/>
                      <a:ext cx="1498600" cy="1498600"/>
                    </a:xfrm>
                    <a:prstGeom prst="rect">
                      <a:avLst/>
                    </a:prstGeom>
                  </pic:spPr>
                </pic:pic>
              </a:graphicData>
            </a:graphic>
            <wp14:sizeRelH relativeFrom="page">
              <wp14:pctWidth>0</wp14:pctWidth>
            </wp14:sizeRelH>
            <wp14:sizeRelV relativeFrom="page">
              <wp14:pctHeight>0</wp14:pctHeight>
            </wp14:sizeRelV>
          </wp:anchor>
        </w:drawing>
      </w:r>
      <w:r w:rsidRPr="004A01DE">
        <w:rPr>
          <w:noProof/>
        </w:rPr>
        <w:drawing>
          <wp:anchor distT="0" distB="0" distL="114300" distR="114300" simplePos="0" relativeHeight="251658241" behindDoc="0" locked="0" layoutInCell="1" allowOverlap="1" wp14:anchorId="190CA8EC" wp14:editId="4CE8C6E3">
            <wp:simplePos x="0" y="0"/>
            <wp:positionH relativeFrom="margin">
              <wp:posOffset>194310</wp:posOffset>
            </wp:positionH>
            <wp:positionV relativeFrom="paragraph">
              <wp:posOffset>1821180</wp:posOffset>
            </wp:positionV>
            <wp:extent cx="1530985" cy="1530985"/>
            <wp:effectExtent l="0" t="0" r="0" b="0"/>
            <wp:wrapTopAndBottom/>
            <wp:docPr id="225" name="Picture 225">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5" name="Picture 225">
                      <a:extLst>
                        <a:ext uri="{C183D7F6-B498-43B3-948B-1728B52AA6E4}">
                          <adec:decorative xmlns:adec="http://schemas.microsoft.com/office/drawing/2017/decorative" val="1"/>
                        </a:ext>
                      </a:extLst>
                    </pic:cNvPr>
                    <pic:cNvPicPr/>
                  </pic:nvPicPr>
                  <pic:blipFill>
                    <a:blip r:embed="rId43"/>
                    <a:stretch>
                      <a:fillRect/>
                    </a:stretch>
                  </pic:blipFill>
                  <pic:spPr>
                    <a:xfrm>
                      <a:off x="0" y="0"/>
                      <a:ext cx="1530985" cy="1530985"/>
                    </a:xfrm>
                    <a:prstGeom prst="rect">
                      <a:avLst/>
                    </a:prstGeom>
                  </pic:spPr>
                </pic:pic>
              </a:graphicData>
            </a:graphic>
            <wp14:sizeRelH relativeFrom="page">
              <wp14:pctWidth>0</wp14:pctWidth>
            </wp14:sizeRelH>
            <wp14:sizeRelV relativeFrom="page">
              <wp14:pctHeight>0</wp14:pctHeight>
            </wp14:sizeRelV>
          </wp:anchor>
        </w:drawing>
      </w:r>
      <w:r w:rsidRPr="004A01DE">
        <w:rPr>
          <w:noProof/>
        </w:rPr>
        <w:drawing>
          <wp:anchor distT="0" distB="0" distL="114300" distR="114300" simplePos="0" relativeHeight="251658243" behindDoc="0" locked="0" layoutInCell="1" allowOverlap="1" wp14:anchorId="00C5425A" wp14:editId="1922D140">
            <wp:simplePos x="0" y="0"/>
            <wp:positionH relativeFrom="column">
              <wp:posOffset>1980595</wp:posOffset>
            </wp:positionH>
            <wp:positionV relativeFrom="paragraph">
              <wp:posOffset>237062</wp:posOffset>
            </wp:positionV>
            <wp:extent cx="1477645" cy="1477645"/>
            <wp:effectExtent l="0" t="0" r="8255" b="8255"/>
            <wp:wrapTopAndBottom/>
            <wp:docPr id="25" name="Picture 25">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 name="Picture 25">
                      <a:extLst>
                        <a:ext uri="{C183D7F6-B498-43B3-948B-1728B52AA6E4}">
                          <adec:decorative xmlns:adec="http://schemas.microsoft.com/office/drawing/2017/decorative" val="1"/>
                        </a:ext>
                      </a:extLst>
                    </pic:cNvPr>
                    <pic:cNvPicPr/>
                  </pic:nvPicPr>
                  <pic:blipFill>
                    <a:blip r:embed="rId44"/>
                    <a:stretch>
                      <a:fillRect/>
                    </a:stretch>
                  </pic:blipFill>
                  <pic:spPr>
                    <a:xfrm>
                      <a:off x="0" y="0"/>
                      <a:ext cx="1477645" cy="1477645"/>
                    </a:xfrm>
                    <a:prstGeom prst="rect">
                      <a:avLst/>
                    </a:prstGeom>
                  </pic:spPr>
                </pic:pic>
              </a:graphicData>
            </a:graphic>
            <wp14:sizeRelH relativeFrom="page">
              <wp14:pctWidth>0</wp14:pctWidth>
            </wp14:sizeRelH>
            <wp14:sizeRelV relativeFrom="page">
              <wp14:pctHeight>0</wp14:pctHeight>
            </wp14:sizeRelV>
          </wp:anchor>
        </w:drawing>
      </w:r>
      <w:r w:rsidRPr="004A01DE">
        <w:rPr>
          <w:noProof/>
        </w:rPr>
        <w:drawing>
          <wp:anchor distT="0" distB="0" distL="114300" distR="114300" simplePos="0" relativeHeight="251658242" behindDoc="0" locked="0" layoutInCell="1" allowOverlap="1" wp14:anchorId="09C8E63C" wp14:editId="67C25578">
            <wp:simplePos x="0" y="0"/>
            <wp:positionH relativeFrom="column">
              <wp:posOffset>183648</wp:posOffset>
            </wp:positionH>
            <wp:positionV relativeFrom="paragraph">
              <wp:posOffset>236427</wp:posOffset>
            </wp:positionV>
            <wp:extent cx="1477925" cy="1477925"/>
            <wp:effectExtent l="0" t="0" r="8255" b="8255"/>
            <wp:wrapTopAndBottom/>
            <wp:docPr id="21" name="Picture 21">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 name="Picture 21">
                      <a:extLst>
                        <a:ext uri="{C183D7F6-B498-43B3-948B-1728B52AA6E4}">
                          <adec:decorative xmlns:adec="http://schemas.microsoft.com/office/drawing/2017/decorative" val="1"/>
                        </a:ext>
                      </a:extLst>
                    </pic:cNvPr>
                    <pic:cNvPicPr/>
                  </pic:nvPicPr>
                  <pic:blipFill>
                    <a:blip r:embed="rId45"/>
                    <a:stretch>
                      <a:fillRect/>
                    </a:stretch>
                  </pic:blipFill>
                  <pic:spPr>
                    <a:xfrm>
                      <a:off x="0" y="0"/>
                      <a:ext cx="1477925" cy="1477925"/>
                    </a:xfrm>
                    <a:prstGeom prst="rect">
                      <a:avLst/>
                    </a:prstGeom>
                  </pic:spPr>
                </pic:pic>
              </a:graphicData>
            </a:graphic>
            <wp14:sizeRelH relativeFrom="page">
              <wp14:pctWidth>0</wp14:pctWidth>
            </wp14:sizeRelH>
            <wp14:sizeRelV relativeFrom="page">
              <wp14:pctHeight>0</wp14:pctHeight>
            </wp14:sizeRelV>
          </wp:anchor>
        </w:drawing>
      </w:r>
      <w:r w:rsidR="006B67FB" w:rsidRPr="006B67FB">
        <w:rPr>
          <w:b/>
          <w:bCs/>
          <w:i w:val="0"/>
          <w:iCs/>
          <w:sz w:val="20"/>
          <w:szCs w:val="20"/>
        </w:rPr>
        <w:t>Figure 3:</w:t>
      </w:r>
      <w:r w:rsidR="006B67FB">
        <w:rPr>
          <w:i w:val="0"/>
          <w:iCs/>
          <w:sz w:val="20"/>
          <w:szCs w:val="20"/>
        </w:rPr>
        <w:t xml:space="preserve"> </w:t>
      </w:r>
      <w:r w:rsidR="006B67FB">
        <w:rPr>
          <w:b/>
          <w:bCs/>
          <w:i w:val="0"/>
          <w:iCs/>
          <w:sz w:val="20"/>
          <w:szCs w:val="20"/>
        </w:rPr>
        <w:t>Our consumer education digital campaigns</w:t>
      </w:r>
    </w:p>
    <w:bookmarkEnd w:id="15"/>
    <w:bookmarkEnd w:id="16"/>
    <w:bookmarkEnd w:id="17"/>
    <w:sectPr w:rsidR="004A01DE" w:rsidRPr="004B4332" w:rsidSect="00C77380">
      <w:headerReference w:type="even" r:id="rId46"/>
      <w:headerReference w:type="default" r:id="rId47"/>
      <w:footerReference w:type="even" r:id="rId48"/>
      <w:footerReference w:type="default" r:id="rId49"/>
      <w:pgSz w:w="11906" w:h="16838" w:code="9"/>
      <w:pgMar w:top="1945" w:right="3101" w:bottom="1134" w:left="1134" w:header="709" w:footer="119" w:gutter="0"/>
      <w:pgNumType w:start="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CBD5DD5" w14:textId="77777777" w:rsidR="00223D03" w:rsidRDefault="00223D03">
      <w:r>
        <w:separator/>
      </w:r>
    </w:p>
  </w:endnote>
  <w:endnote w:type="continuationSeparator" w:id="0">
    <w:p w14:paraId="44C4DFDC" w14:textId="77777777" w:rsidR="00223D03" w:rsidRDefault="00223D03">
      <w:r>
        <w:continuationSeparator/>
      </w:r>
    </w:p>
  </w:endnote>
  <w:endnote w:type="continuationNotice" w:id="1">
    <w:p w14:paraId="028651EF" w14:textId="77777777" w:rsidR="00223D03" w:rsidRDefault="00223D03">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HelveticaNeueLT Std Lt">
    <w:altName w:val="Arial"/>
    <w:panose1 w:val="020B0403020202020204"/>
    <w:charset w:val="00"/>
    <w:family w:val="swiss"/>
    <w:notTrueType/>
    <w:pitch w:val="variable"/>
    <w:sig w:usb0="800000AF" w:usb1="4000204A" w:usb2="00000000" w:usb3="00000000" w:csb0="00000001"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HelveticaNeueLT Std">
    <w:panose1 w:val="020B0604020202020204"/>
    <w:charset w:val="00"/>
    <w:family w:val="swiss"/>
    <w:notTrueType/>
    <w:pitch w:val="variable"/>
    <w:sig w:usb0="800000AF" w:usb1="4000204A" w:usb2="00000000" w:usb3="00000000" w:csb0="00000001"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w:panose1 w:val="020F0502020204030204"/>
    <w:charset w:val="00"/>
    <w:family w:val="swiss"/>
    <w:pitch w:val="variable"/>
    <w:sig w:usb0="E4002EFF" w:usb1="C0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41D68F5" w14:textId="77777777" w:rsidR="005E250B" w:rsidRDefault="005E250B" w:rsidP="005E250B">
    <w:pPr>
      <w:pStyle w:val="Footer"/>
      <w:jc w:val="right"/>
    </w:pPr>
    <w:r w:rsidRPr="005E250B">
      <w:rPr>
        <w:noProof/>
        <w:vertAlign w:val="subscript"/>
      </w:rPr>
      <w:drawing>
        <wp:inline distT="0" distB="0" distL="0" distR="0" wp14:anchorId="739CA197" wp14:editId="5AF02241">
          <wp:extent cx="1066800" cy="277368"/>
          <wp:effectExtent l="0" t="0" r="0" b="0"/>
          <wp:docPr id="15" name="Picture 15" descr="acma.gov.au">
            <a:hlinkClick xmlns:a="http://schemas.openxmlformats.org/drawingml/2006/main" r:id="rId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Picture 15">
                    <a:hlinkClick r:id="rId1"/>
                  </pic:cNvPr>
                  <pic:cNvPicPr/>
                </pic:nvPicPr>
                <pic:blipFill>
                  <a:blip r:embed="rId2"/>
                  <a:stretch>
                    <a:fillRect/>
                  </a:stretch>
                </pic:blipFill>
                <pic:spPr>
                  <a:xfrm>
                    <a:off x="0" y="0"/>
                    <a:ext cx="1133985" cy="294836"/>
                  </a:xfrm>
                  <a:prstGeom prst="rect">
                    <a:avLst/>
                  </a:prstGeom>
                </pic:spPr>
              </pic:pic>
            </a:graphicData>
          </a:graphic>
        </wp:inline>
      </w:drawing>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1746E63" w14:textId="77777777" w:rsidR="00C053A1" w:rsidRDefault="00C053A1">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A8170C6" w14:textId="77777777" w:rsidR="00C053A1" w:rsidRDefault="00C053A1">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3F1DA28" w14:textId="77777777" w:rsidR="00971914" w:rsidRPr="00622A3B" w:rsidRDefault="00971914" w:rsidP="00971914">
    <w:pPr>
      <w:pStyle w:val="Footer"/>
      <w:framePr w:w="1334" w:h="357" w:hRule="exact" w:vSpace="425" w:wrap="around" w:vAnchor="page" w:hAnchor="page" w:x="1156" w:y="16166"/>
      <w:pBdr>
        <w:top w:val="single" w:sz="4" w:space="1" w:color="auto"/>
      </w:pBdr>
      <w:tabs>
        <w:tab w:val="clear" w:pos="113"/>
        <w:tab w:val="left" w:pos="284"/>
      </w:tabs>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2E4DDC">
      <w:rPr>
        <w:color w:val="505050"/>
      </w:rPr>
      <w:fldChar w:fldCharType="begin"/>
    </w:r>
    <w:r w:rsidRPr="002E4DDC">
      <w:rPr>
        <w:color w:val="505050"/>
      </w:rPr>
      <w:instrText xml:space="preserve"> PAGE  \* roman  \* MERGEFORMAT </w:instrText>
    </w:r>
    <w:r w:rsidRPr="002E4DDC">
      <w:rPr>
        <w:color w:val="505050"/>
      </w:rPr>
      <w:fldChar w:fldCharType="separate"/>
    </w:r>
    <w:r w:rsidR="000C6AB4">
      <w:rPr>
        <w:noProof/>
        <w:color w:val="505050"/>
      </w:rPr>
      <w:t>iv</w:t>
    </w:r>
    <w:r w:rsidRPr="002E4DDC">
      <w:rPr>
        <w:color w:val="505050"/>
      </w:rPr>
      <w:fldChar w:fldCharType="end"/>
    </w:r>
  </w:p>
  <w:p w14:paraId="304B1742" w14:textId="77777777" w:rsidR="00C053A1" w:rsidRPr="00A5474E" w:rsidRDefault="00C053A1" w:rsidP="00A5474E">
    <w:pPr>
      <w:pStyle w:val="Footer"/>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697F9A8" w14:textId="77777777" w:rsidR="00971914" w:rsidRPr="00622A3B" w:rsidRDefault="00971914" w:rsidP="00971914">
    <w:pPr>
      <w:pStyle w:val="Footer"/>
      <w:framePr w:w="1334" w:h="357" w:hRule="exact" w:vSpace="425" w:wrap="around" w:vAnchor="page" w:hAnchor="page" w:x="7335" w:y="16166"/>
      <w:pBdr>
        <w:top w:val="single" w:sz="4" w:space="1" w:color="auto"/>
      </w:pBdr>
      <w:tabs>
        <w:tab w:val="clear" w:pos="113"/>
        <w:tab w:val="left" w:pos="284"/>
      </w:tabs>
      <w:jc w:val="right"/>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2E4DDC">
      <w:rPr>
        <w:color w:val="505050"/>
      </w:rPr>
      <w:fldChar w:fldCharType="begin"/>
    </w:r>
    <w:r w:rsidRPr="002E4DDC">
      <w:rPr>
        <w:color w:val="505050"/>
      </w:rPr>
      <w:instrText xml:space="preserve"> PAGE  \* roman  \* MERGEFORMAT </w:instrText>
    </w:r>
    <w:r w:rsidRPr="002E4DDC">
      <w:rPr>
        <w:color w:val="505050"/>
      </w:rPr>
      <w:fldChar w:fldCharType="separate"/>
    </w:r>
    <w:r w:rsidR="000C6AB4">
      <w:rPr>
        <w:noProof/>
        <w:color w:val="505050"/>
      </w:rPr>
      <w:t>v</w:t>
    </w:r>
    <w:r w:rsidRPr="002E4DDC">
      <w:rPr>
        <w:color w:val="505050"/>
      </w:rPr>
      <w:fldChar w:fldCharType="end"/>
    </w:r>
  </w:p>
  <w:p w14:paraId="1F518A55" w14:textId="77777777" w:rsidR="00C053A1" w:rsidRPr="00A5474E" w:rsidRDefault="00C053A1" w:rsidP="00A5474E">
    <w:pPr>
      <w:pStyle w:val="Footer"/>
    </w:pP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EB946DC" w14:textId="77777777" w:rsidR="00C053A1" w:rsidRPr="00622A3B" w:rsidRDefault="00C053A1" w:rsidP="0094078F">
    <w:pPr>
      <w:pStyle w:val="Footer"/>
      <w:framePr w:w="1334" w:h="357" w:hRule="exact" w:vSpace="425" w:wrap="around" w:vAnchor="page" w:hAnchor="page" w:x="7335" w:y="16166"/>
      <w:pBdr>
        <w:top w:val="single" w:sz="4" w:space="1" w:color="auto"/>
      </w:pBdr>
      <w:tabs>
        <w:tab w:val="clear" w:pos="113"/>
        <w:tab w:val="left" w:pos="284"/>
      </w:tabs>
      <w:jc w:val="right"/>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2E4DDC">
      <w:rPr>
        <w:color w:val="505050"/>
      </w:rPr>
      <w:fldChar w:fldCharType="begin"/>
    </w:r>
    <w:r w:rsidRPr="002E4DDC">
      <w:rPr>
        <w:color w:val="505050"/>
      </w:rPr>
      <w:instrText xml:space="preserve"> PAGE  \* roman  \* MERGEFORMAT </w:instrText>
    </w:r>
    <w:r w:rsidRPr="002E4DDC">
      <w:rPr>
        <w:color w:val="505050"/>
      </w:rPr>
      <w:fldChar w:fldCharType="separate"/>
    </w:r>
    <w:r w:rsidR="00DD1A43">
      <w:rPr>
        <w:noProof/>
        <w:color w:val="505050"/>
      </w:rPr>
      <w:t>iii</w:t>
    </w:r>
    <w:r w:rsidRPr="002E4DDC">
      <w:rPr>
        <w:color w:val="505050"/>
      </w:rPr>
      <w:fldChar w:fldCharType="end"/>
    </w:r>
  </w:p>
  <w:p w14:paraId="24E05617" w14:textId="77777777" w:rsidR="00C053A1" w:rsidRPr="00A5474E" w:rsidRDefault="00C053A1" w:rsidP="00A5474E">
    <w:pPr>
      <w:pStyle w:val="Footer"/>
    </w:pP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C64A33A" w14:textId="77777777" w:rsidR="00C053A1" w:rsidRPr="00622A3B" w:rsidRDefault="00C053A1" w:rsidP="00B43262">
    <w:pPr>
      <w:pStyle w:val="FooterLeft"/>
      <w:framePr w:wrap="around" w:x="1141" w:y="16166"/>
      <w:tabs>
        <w:tab w:val="clear" w:pos="113"/>
        <w:tab w:val="right" w:pos="397"/>
      </w:tabs>
    </w:pPr>
    <w:r w:rsidRPr="00575AC5">
      <w:fldChar w:fldCharType="begin"/>
    </w:r>
    <w:r w:rsidRPr="00575AC5">
      <w:instrText xml:space="preserve"> PAGE  \* Arabic  \* MERGEFORMAT </w:instrText>
    </w:r>
    <w:r w:rsidRPr="00575AC5">
      <w:fldChar w:fldCharType="separate"/>
    </w:r>
    <w:r w:rsidR="00DD1A43">
      <w:rPr>
        <w:noProof/>
      </w:rPr>
      <w:t>6</w:t>
    </w:r>
    <w:r w:rsidRPr="00575AC5">
      <w:fldChar w:fldCharType="end"/>
    </w:r>
    <w:r w:rsidRPr="0094078F">
      <w:tab/>
    </w:r>
    <w:r w:rsidRPr="00622A3B">
      <w:t>|</w:t>
    </w:r>
    <w:r>
      <w:tab/>
    </w:r>
    <w:r w:rsidRPr="00622A3B">
      <w:rPr>
        <w:b/>
        <w:noProof/>
        <w:spacing w:val="-16"/>
        <w:sz w:val="20"/>
        <w:szCs w:val="20"/>
      </w:rPr>
      <w:t>a</w:t>
    </w:r>
    <w:r w:rsidRPr="00622A3B">
      <w:rPr>
        <w:b/>
        <w:noProof/>
        <w:spacing w:val="-15"/>
        <w:sz w:val="20"/>
        <w:szCs w:val="20"/>
      </w:rPr>
      <w:t>c</w:t>
    </w:r>
    <w:r w:rsidRPr="00622A3B">
      <w:rPr>
        <w:b/>
        <w:noProof/>
        <w:spacing w:val="-16"/>
        <w:sz w:val="20"/>
        <w:szCs w:val="20"/>
      </w:rPr>
      <w:t>m</w:t>
    </w:r>
    <w:r w:rsidRPr="00622A3B">
      <w:rPr>
        <w:b/>
        <w:noProof/>
        <w:spacing w:val="-14"/>
        <w:sz w:val="20"/>
        <w:szCs w:val="20"/>
      </w:rPr>
      <w:t>a</w:t>
    </w:r>
  </w:p>
  <w:p w14:paraId="0BD6A0A5" w14:textId="77777777" w:rsidR="00C053A1" w:rsidRPr="00A5474E" w:rsidRDefault="00C053A1" w:rsidP="00A5474E">
    <w:pPr>
      <w:pStyle w:val="Footer"/>
    </w:pP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6532A5D" w14:textId="77777777" w:rsidR="00C053A1" w:rsidRPr="00622A3B" w:rsidRDefault="00C053A1" w:rsidP="00447037">
    <w:pPr>
      <w:pStyle w:val="Footer"/>
      <w:framePr w:w="1440" w:h="357" w:hRule="exact" w:vSpace="425" w:wrap="around" w:vAnchor="page" w:hAnchor="page" w:x="7335" w:y="16166"/>
      <w:pBdr>
        <w:top w:val="single" w:sz="4" w:space="1" w:color="auto"/>
      </w:pBdr>
      <w:tabs>
        <w:tab w:val="clear" w:pos="113"/>
        <w:tab w:val="left" w:pos="397"/>
      </w:tabs>
      <w:jc w:val="right"/>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575AC5">
      <w:rPr>
        <w:color w:val="505050"/>
      </w:rPr>
      <w:fldChar w:fldCharType="begin"/>
    </w:r>
    <w:r w:rsidRPr="00575AC5">
      <w:rPr>
        <w:color w:val="505050"/>
      </w:rPr>
      <w:instrText xml:space="preserve"> PAGE  \* Arabic  \* MERGEFORMAT </w:instrText>
    </w:r>
    <w:r w:rsidRPr="00575AC5">
      <w:rPr>
        <w:color w:val="505050"/>
      </w:rPr>
      <w:fldChar w:fldCharType="separate"/>
    </w:r>
    <w:r w:rsidR="00DD1A43">
      <w:rPr>
        <w:noProof/>
        <w:color w:val="505050"/>
      </w:rPr>
      <w:t>1</w:t>
    </w:r>
    <w:r w:rsidRPr="00575AC5">
      <w:rPr>
        <w:color w:val="505050"/>
      </w:rPr>
      <w:fldChar w:fldCharType="end"/>
    </w:r>
  </w:p>
  <w:p w14:paraId="5F8CF31F" w14:textId="77777777" w:rsidR="00C053A1" w:rsidRPr="00A5474E" w:rsidRDefault="00C053A1" w:rsidP="00A5474E">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4A05815" w14:textId="77777777" w:rsidR="00223D03" w:rsidRDefault="00223D03" w:rsidP="00DB3A64">
      <w:pPr>
        <w:spacing w:after="0"/>
      </w:pPr>
      <w:r>
        <w:separator/>
      </w:r>
    </w:p>
  </w:footnote>
  <w:footnote w:type="continuationSeparator" w:id="0">
    <w:p w14:paraId="19D69194" w14:textId="77777777" w:rsidR="00223D03" w:rsidRDefault="00223D03">
      <w:r>
        <w:continuationSeparator/>
      </w:r>
    </w:p>
  </w:footnote>
  <w:footnote w:type="continuationNotice" w:id="1">
    <w:p w14:paraId="09D44259" w14:textId="77777777" w:rsidR="00223D03" w:rsidRDefault="00223D03">
      <w:pPr>
        <w:spacing w:after="0" w:line="240" w:lineRule="auto"/>
      </w:pPr>
    </w:p>
  </w:footnote>
  <w:footnote w:id="2">
    <w:p w14:paraId="1AA98E7F" w14:textId="23D9397C" w:rsidR="00EA355D" w:rsidRDefault="00EA355D">
      <w:pPr>
        <w:pStyle w:val="FootnoteText"/>
      </w:pPr>
      <w:r>
        <w:rPr>
          <w:rStyle w:val="FootnoteReference"/>
        </w:rPr>
        <w:footnoteRef/>
      </w:r>
      <w:r>
        <w:t xml:space="preserve"> Hing, N., Russell, A. M. T., Browne, M., Rockloff, M., Greer, N., Rawat, V., Stevens, M., Dowling, N., Merkouris, S., King, D., Breen, H., Salonen, A., &amp; Woo, L. (2021). The second national study of interactive gambling in Australia (2019-20). Melbourne: Gambling Research Australia.</w:t>
      </w:r>
    </w:p>
  </w:footnote>
  <w:footnote w:id="3">
    <w:p w14:paraId="7C3A954A" w14:textId="53AA7272" w:rsidR="009A08E9" w:rsidRDefault="009A08E9" w:rsidP="009A08E9">
      <w:pPr>
        <w:pStyle w:val="FootnoteText"/>
      </w:pPr>
      <w:r>
        <w:rPr>
          <w:rStyle w:val="FootnoteReference"/>
        </w:rPr>
        <w:footnoteRef/>
      </w:r>
      <w:r>
        <w:t xml:space="preserve"> As at </w:t>
      </w:r>
      <w:r w:rsidR="00C32778">
        <w:t>16 November</w:t>
      </w:r>
      <w:r w:rsidR="00F517EC">
        <w:t xml:space="preserve"> 2021</w:t>
      </w:r>
      <w:r>
        <w:t>.</w:t>
      </w:r>
    </w:p>
  </w:footnote>
  <w:footnote w:id="4">
    <w:p w14:paraId="264F742C" w14:textId="7EF20113" w:rsidR="00F77D33" w:rsidRDefault="00F77D33">
      <w:pPr>
        <w:pStyle w:val="FootnoteText"/>
      </w:pPr>
      <w:r>
        <w:rPr>
          <w:rStyle w:val="FootnoteReference"/>
        </w:rPr>
        <w:footnoteRef/>
      </w:r>
      <w:r>
        <w:t xml:space="preserve"> One service was not blocked as it withdrew from the Australian market.</w:t>
      </w:r>
    </w:p>
  </w:footnote>
  <w:footnote w:id="5">
    <w:p w14:paraId="6E7E4066" w14:textId="1F88C358" w:rsidR="009A08E9" w:rsidRDefault="009A08E9" w:rsidP="009A08E9">
      <w:pPr>
        <w:pStyle w:val="FootnoteText"/>
      </w:pPr>
      <w:r>
        <w:rPr>
          <w:rStyle w:val="FootnoteReference"/>
        </w:rPr>
        <w:footnoteRef/>
      </w:r>
      <w:r>
        <w:t xml:space="preserve"> Based on Similarweb data</w:t>
      </w:r>
      <w:r w:rsidR="002C03CE">
        <w:t>.</w:t>
      </w:r>
    </w:p>
  </w:footnote>
  <w:footnote w:id="6">
    <w:p w14:paraId="4C7F328B" w14:textId="0219CE4C" w:rsidR="004E52C0" w:rsidRDefault="004E52C0">
      <w:pPr>
        <w:pStyle w:val="FootnoteText"/>
      </w:pPr>
      <w:r>
        <w:rPr>
          <w:rStyle w:val="FootnoteReference"/>
        </w:rPr>
        <w:footnoteRef/>
      </w:r>
      <w:r>
        <w:t xml:space="preserve"> As at </w:t>
      </w:r>
      <w:r w:rsidR="00F93FD9">
        <w:t xml:space="preserve">30 </w:t>
      </w:r>
      <w:r>
        <w:t>June 2021</w:t>
      </w:r>
      <w:r w:rsidR="00F93FD9">
        <w:t>.</w:t>
      </w:r>
    </w:p>
  </w:footnote>
  <w:footnote w:id="7">
    <w:p w14:paraId="300F7935" w14:textId="63CD3515" w:rsidR="008E5420" w:rsidRDefault="008E5420">
      <w:pPr>
        <w:pStyle w:val="FootnoteText"/>
      </w:pPr>
      <w:r>
        <w:rPr>
          <w:rStyle w:val="FootnoteReference"/>
        </w:rPr>
        <w:footnoteRef/>
      </w:r>
      <w:r>
        <w:t xml:space="preserve"> </w:t>
      </w:r>
      <w:r w:rsidR="00784EF1">
        <w:rPr>
          <w:rFonts w:cs="Arial"/>
        </w:rPr>
        <w:t>One</w:t>
      </w:r>
      <w:r w:rsidRPr="008E5420">
        <w:rPr>
          <w:rFonts w:cs="Arial"/>
        </w:rPr>
        <w:t xml:space="preserve"> investigation is ongoing.</w:t>
      </w:r>
    </w:p>
  </w:footnote>
  <w:footnote w:id="8">
    <w:p w14:paraId="165E0A57" w14:textId="3B9C58E9" w:rsidR="00214DD9" w:rsidRDefault="00214DD9">
      <w:pPr>
        <w:pStyle w:val="FootnoteText"/>
      </w:pPr>
      <w:r>
        <w:rPr>
          <w:rStyle w:val="FootnoteReference"/>
        </w:rPr>
        <w:footnoteRef/>
      </w:r>
      <w:r>
        <w:t xml:space="preserve"> </w:t>
      </w:r>
      <w:r w:rsidR="00AB05A0">
        <w:t>During th</w:t>
      </w:r>
      <w:r w:rsidR="00444EC5">
        <w:t>e course of this particular</w:t>
      </w:r>
      <w:r w:rsidR="00AB05A0">
        <w:t xml:space="preserve"> campaign (21 to 30 June 2021), our relevant webpage had</w:t>
      </w:r>
      <w:r>
        <w:t xml:space="preserve"> 14,</w:t>
      </w:r>
      <w:r w:rsidR="00AB05A0">
        <w:t>253 total page views and 1,584 average daily page views.</w:t>
      </w:r>
      <w:r w:rsidR="00BF08CE">
        <w:t xml:space="preserve"> </w:t>
      </w:r>
      <w:r w:rsidR="00C57E7A">
        <w:t>This is compared to a</w:t>
      </w:r>
      <w:r w:rsidR="00AE4D93">
        <w:t xml:space="preserve"> </w:t>
      </w:r>
      <w:r w:rsidR="00C57E7A">
        <w:t>daily average of 148 page views</w:t>
      </w:r>
      <w:r w:rsidR="004D2344">
        <w:t xml:space="preserve"> </w:t>
      </w:r>
      <w:r w:rsidR="004C0903">
        <w:t>from</w:t>
      </w:r>
      <w:r w:rsidR="00AE4D93">
        <w:t xml:space="preserve"> mid-May to June</w:t>
      </w:r>
      <w:r w:rsidR="00CD3892">
        <w:t xml:space="preserve"> 2021</w:t>
      </w:r>
      <w:r w:rsidR="00AE4D93">
        <w:t xml:space="preserve"> and then </w:t>
      </w:r>
      <w:r w:rsidR="004C0903">
        <w:t xml:space="preserve">in </w:t>
      </w:r>
      <w:r w:rsidR="00AE4D93">
        <w:t xml:space="preserve">July 2021, </w:t>
      </w:r>
      <w:r w:rsidR="00C57E7A">
        <w:t xml:space="preserve">when campaign advertising </w:t>
      </w:r>
      <w:r w:rsidR="00AE4D93">
        <w:t>was</w:t>
      </w:r>
      <w:r w:rsidR="00C57E7A">
        <w:t xml:space="preserve"> not being used. </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2F695E0" w14:textId="77777777" w:rsidR="00C053A1" w:rsidRPr="00A5474E" w:rsidRDefault="00C053A1" w:rsidP="00A5474E">
    <w:pPr>
      <w:pStyle w:val="Header"/>
    </w:pPr>
    <w:r>
      <w:rPr>
        <w:noProof/>
      </w:rPr>
      <w:drawing>
        <wp:inline distT="0" distB="0" distL="0" distR="0" wp14:anchorId="4369036C" wp14:editId="2EB512BD">
          <wp:extent cx="6283434" cy="578076"/>
          <wp:effectExtent l="0" t="0" r="3175" b="0"/>
          <wp:docPr id="14" name="Picture 14" descr="ACMA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iscussion-paper-header-block.pdf"/>
                  <pic:cNvPicPr/>
                </pic:nvPicPr>
                <pic:blipFill>
                  <a:blip r:embed="rId1"/>
                  <a:stretch>
                    <a:fillRect/>
                  </a:stretch>
                </pic:blipFill>
                <pic:spPr>
                  <a:xfrm>
                    <a:off x="0" y="0"/>
                    <a:ext cx="6283434" cy="578076"/>
                  </a:xfrm>
                  <a:prstGeom prst="rect">
                    <a:avLst/>
                  </a:prstGeom>
                </pic:spPr>
              </pic:pic>
            </a:graphicData>
          </a:graphic>
        </wp:inline>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A237090" w14:textId="77777777" w:rsidR="00C053A1" w:rsidRPr="00A5474E" w:rsidRDefault="00C053A1" w:rsidP="00594E9C">
    <w:pPr>
      <w:pStyle w:val="TOCHeading"/>
    </w:pPr>
    <w:r w:rsidRPr="0029593B">
      <w:t>Contents</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3460604" w14:textId="77777777" w:rsidR="00C053A1" w:rsidRDefault="00C053A1">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5B319C6" w14:textId="77777777" w:rsidR="00C053A1" w:rsidRDefault="00C053A1">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678" w:type="dxa"/>
      <w:tblLayout w:type="fixed"/>
      <w:tblCellMar>
        <w:left w:w="0" w:type="dxa"/>
        <w:right w:w="0" w:type="dxa"/>
      </w:tblCellMar>
      <w:tblLook w:val="01E0" w:firstRow="1" w:lastRow="1" w:firstColumn="1" w:lastColumn="1" w:noHBand="0" w:noVBand="0"/>
    </w:tblPr>
    <w:tblGrid>
      <w:gridCol w:w="7678"/>
    </w:tblGrid>
    <w:tr w:rsidR="00971914" w14:paraId="35D94856" w14:textId="77777777" w:rsidTr="003B0421">
      <w:trPr>
        <w:trHeight w:hRule="exact" w:val="988"/>
      </w:trPr>
      <w:tc>
        <w:tcPr>
          <w:tcW w:w="7678" w:type="dxa"/>
          <w:shd w:val="clear" w:color="auto" w:fill="auto"/>
        </w:tcPr>
        <w:p w14:paraId="20FD70B3" w14:textId="77777777" w:rsidR="00971914" w:rsidRDefault="00971914" w:rsidP="00971914">
          <w:pPr>
            <w:pStyle w:val="Header"/>
          </w:pPr>
        </w:p>
      </w:tc>
    </w:tr>
    <w:tr w:rsidR="00971914" w14:paraId="2F530723" w14:textId="77777777" w:rsidTr="003B0421">
      <w:tc>
        <w:tcPr>
          <w:tcW w:w="7678" w:type="dxa"/>
          <w:shd w:val="clear" w:color="auto" w:fill="auto"/>
        </w:tcPr>
        <w:p w14:paraId="6BB8E5C1" w14:textId="77777777" w:rsidR="00971914" w:rsidRDefault="00971914" w:rsidP="00971914">
          <w:pPr>
            <w:pStyle w:val="GridTable31"/>
          </w:pPr>
          <w:r>
            <w:t xml:space="preserve">Contents </w:t>
          </w:r>
          <w:r w:rsidRPr="00915B1C">
            <w:rPr>
              <w:b w:val="0"/>
              <w:spacing w:val="0"/>
              <w:sz w:val="28"/>
              <w:szCs w:val="28"/>
            </w:rPr>
            <w:t>(Continued)</w:t>
          </w:r>
        </w:p>
      </w:tc>
    </w:tr>
    <w:tr w:rsidR="00971914" w14:paraId="4DC2CEB5" w14:textId="77777777" w:rsidTr="003B0421">
      <w:trPr>
        <w:trHeight w:val="1220"/>
      </w:trPr>
      <w:tc>
        <w:tcPr>
          <w:tcW w:w="7678" w:type="dxa"/>
          <w:shd w:val="clear" w:color="auto" w:fill="auto"/>
        </w:tcPr>
        <w:p w14:paraId="1F45A475" w14:textId="77777777" w:rsidR="00971914" w:rsidRDefault="00971914" w:rsidP="00971914"/>
      </w:tc>
    </w:tr>
  </w:tbl>
  <w:p w14:paraId="4580C40E" w14:textId="77777777" w:rsidR="00971914" w:rsidRDefault="00971914" w:rsidP="00971914">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678" w:type="dxa"/>
      <w:tblLayout w:type="fixed"/>
      <w:tblCellMar>
        <w:left w:w="0" w:type="dxa"/>
        <w:right w:w="0" w:type="dxa"/>
      </w:tblCellMar>
      <w:tblLook w:val="01E0" w:firstRow="1" w:lastRow="1" w:firstColumn="1" w:lastColumn="1" w:noHBand="0" w:noVBand="0"/>
    </w:tblPr>
    <w:tblGrid>
      <w:gridCol w:w="7678"/>
    </w:tblGrid>
    <w:tr w:rsidR="00971914" w14:paraId="123FCA6C" w14:textId="77777777" w:rsidTr="003B0421">
      <w:trPr>
        <w:trHeight w:hRule="exact" w:val="988"/>
      </w:trPr>
      <w:tc>
        <w:tcPr>
          <w:tcW w:w="7678" w:type="dxa"/>
          <w:shd w:val="clear" w:color="auto" w:fill="auto"/>
        </w:tcPr>
        <w:p w14:paraId="0547100F" w14:textId="77777777" w:rsidR="00971914" w:rsidRDefault="00971914" w:rsidP="00971914">
          <w:pPr>
            <w:pStyle w:val="Header"/>
          </w:pPr>
        </w:p>
      </w:tc>
    </w:tr>
    <w:tr w:rsidR="00971914" w14:paraId="6021EF05" w14:textId="77777777" w:rsidTr="003B0421">
      <w:tc>
        <w:tcPr>
          <w:tcW w:w="7678" w:type="dxa"/>
          <w:shd w:val="clear" w:color="auto" w:fill="auto"/>
        </w:tcPr>
        <w:p w14:paraId="344542D7" w14:textId="77777777" w:rsidR="00971914" w:rsidRDefault="00971914" w:rsidP="00971914">
          <w:pPr>
            <w:pStyle w:val="GridTable31"/>
          </w:pPr>
          <w:r>
            <w:t xml:space="preserve">Contents </w:t>
          </w:r>
          <w:r w:rsidRPr="00915B1C">
            <w:rPr>
              <w:b w:val="0"/>
              <w:spacing w:val="0"/>
              <w:sz w:val="28"/>
              <w:szCs w:val="28"/>
            </w:rPr>
            <w:t>(Continued)</w:t>
          </w:r>
        </w:p>
      </w:tc>
    </w:tr>
    <w:tr w:rsidR="00971914" w14:paraId="50C3EE16" w14:textId="77777777" w:rsidTr="003B0421">
      <w:trPr>
        <w:trHeight w:val="1220"/>
      </w:trPr>
      <w:tc>
        <w:tcPr>
          <w:tcW w:w="7678" w:type="dxa"/>
          <w:shd w:val="clear" w:color="auto" w:fill="auto"/>
        </w:tcPr>
        <w:p w14:paraId="10DB8682" w14:textId="77777777" w:rsidR="00971914" w:rsidRDefault="00971914" w:rsidP="00971914"/>
      </w:tc>
    </w:tr>
  </w:tbl>
  <w:p w14:paraId="07919910" w14:textId="77777777" w:rsidR="00C053A1" w:rsidRPr="00A5474E" w:rsidRDefault="00C053A1" w:rsidP="00A5474E">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870B745" w14:textId="77777777" w:rsidR="00C053A1" w:rsidRDefault="00C053A1">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176D60F" w14:textId="77777777" w:rsidR="00C053A1" w:rsidRDefault="00C053A1">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F"/>
    <w:multiLevelType w:val="singleLevel"/>
    <w:tmpl w:val="75F22F60"/>
    <w:lvl w:ilvl="0">
      <w:start w:val="1"/>
      <w:numFmt w:val="lowerRoman"/>
      <w:pStyle w:val="ListNumber2"/>
      <w:lvlText w:val="%1."/>
      <w:lvlJc w:val="right"/>
      <w:pPr>
        <w:ind w:left="717" w:hanging="360"/>
      </w:pPr>
      <w:rPr>
        <w:rFonts w:hint="default"/>
      </w:rPr>
    </w:lvl>
  </w:abstractNum>
  <w:abstractNum w:abstractNumId="1" w15:restartNumberingAfterBreak="0">
    <w:nsid w:val="FFFFFF83"/>
    <w:multiLevelType w:val="singleLevel"/>
    <w:tmpl w:val="909E78BC"/>
    <w:lvl w:ilvl="0">
      <w:start w:val="1"/>
      <w:numFmt w:val="bullet"/>
      <w:pStyle w:val="ListBullet2"/>
      <w:lvlText w:val="&gt;"/>
      <w:lvlJc w:val="left"/>
      <w:pPr>
        <w:tabs>
          <w:tab w:val="num" w:pos="845"/>
        </w:tabs>
        <w:ind w:left="845" w:hanging="544"/>
      </w:pPr>
      <w:rPr>
        <w:rFonts w:ascii="HelveticaNeueLT Std Lt" w:hAnsi="HelveticaNeueLT Std Lt" w:hint="default"/>
        <w:sz w:val="20"/>
      </w:rPr>
    </w:lvl>
  </w:abstractNum>
  <w:abstractNum w:abstractNumId="2" w15:restartNumberingAfterBreak="0">
    <w:nsid w:val="FFFFFF88"/>
    <w:multiLevelType w:val="singleLevel"/>
    <w:tmpl w:val="6EBA4AA8"/>
    <w:lvl w:ilvl="0">
      <w:start w:val="1"/>
      <w:numFmt w:val="decimal"/>
      <w:pStyle w:val="ListNumber"/>
      <w:lvlText w:val="%1."/>
      <w:lvlJc w:val="left"/>
      <w:pPr>
        <w:ind w:left="360" w:hanging="360"/>
      </w:pPr>
      <w:rPr>
        <w:rFonts w:hint="default"/>
        <w:b w:val="0"/>
        <w:bCs/>
        <w:caps/>
        <w:sz w:val="20"/>
      </w:rPr>
    </w:lvl>
  </w:abstractNum>
  <w:abstractNum w:abstractNumId="3" w15:restartNumberingAfterBreak="0">
    <w:nsid w:val="FFFFFF89"/>
    <w:multiLevelType w:val="singleLevel"/>
    <w:tmpl w:val="E552FEBA"/>
    <w:lvl w:ilvl="0">
      <w:start w:val="1"/>
      <w:numFmt w:val="bullet"/>
      <w:pStyle w:val="ListBullet"/>
      <w:lvlText w:val="&gt;"/>
      <w:lvlJc w:val="left"/>
      <w:pPr>
        <w:tabs>
          <w:tab w:val="num" w:pos="295"/>
        </w:tabs>
        <w:ind w:left="295" w:hanging="295"/>
      </w:pPr>
      <w:rPr>
        <w:rFonts w:ascii="HelveticaNeueLT Std Lt" w:hAnsi="HelveticaNeueLT Std Lt" w:hint="default"/>
        <w:sz w:val="20"/>
      </w:rPr>
    </w:lvl>
  </w:abstractNum>
  <w:abstractNum w:abstractNumId="4" w15:restartNumberingAfterBreak="0">
    <w:nsid w:val="012D4088"/>
    <w:multiLevelType w:val="hybridMultilevel"/>
    <w:tmpl w:val="C6DC9D10"/>
    <w:lvl w:ilvl="0" w:tplc="C150AADA">
      <w:start w:val="1"/>
      <w:numFmt w:val="bullet"/>
      <w:lvlText w:val=""/>
      <w:lvlJc w:val="left"/>
      <w:pPr>
        <w:ind w:left="720" w:hanging="360"/>
      </w:pPr>
      <w:rPr>
        <w:rFonts w:ascii="Wingdings" w:hAnsi="Wingdings"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15:restartNumberingAfterBreak="0">
    <w:nsid w:val="042530E0"/>
    <w:multiLevelType w:val="hybridMultilevel"/>
    <w:tmpl w:val="5DC8242C"/>
    <w:lvl w:ilvl="0" w:tplc="D0CA4D96">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 w15:restartNumberingAfterBreak="0">
    <w:nsid w:val="04BF562A"/>
    <w:multiLevelType w:val="hybridMultilevel"/>
    <w:tmpl w:val="7EB690BE"/>
    <w:lvl w:ilvl="0" w:tplc="D04CA97C">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15:restartNumberingAfterBreak="0">
    <w:nsid w:val="064E183D"/>
    <w:multiLevelType w:val="hybridMultilevel"/>
    <w:tmpl w:val="BBFE9372"/>
    <w:lvl w:ilvl="0" w:tplc="9106237A">
      <w:start w:val="1"/>
      <w:numFmt w:val="bullet"/>
      <w:lvlText w:val=""/>
      <w:lvlJc w:val="left"/>
      <w:pPr>
        <w:ind w:left="1440" w:hanging="360"/>
      </w:pPr>
      <w:rPr>
        <w:rFonts w:ascii="Symbol" w:hAnsi="Symbol" w:hint="default"/>
      </w:rPr>
    </w:lvl>
    <w:lvl w:ilvl="1" w:tplc="0C090003" w:tentative="1">
      <w:start w:val="1"/>
      <w:numFmt w:val="bullet"/>
      <w:lvlText w:val="o"/>
      <w:lvlJc w:val="left"/>
      <w:pPr>
        <w:ind w:left="2160" w:hanging="360"/>
      </w:pPr>
      <w:rPr>
        <w:rFonts w:ascii="Courier New" w:hAnsi="Courier New" w:cs="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cs="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cs="Courier New" w:hint="default"/>
      </w:rPr>
    </w:lvl>
    <w:lvl w:ilvl="8" w:tplc="0C090005" w:tentative="1">
      <w:start w:val="1"/>
      <w:numFmt w:val="bullet"/>
      <w:lvlText w:val=""/>
      <w:lvlJc w:val="left"/>
      <w:pPr>
        <w:ind w:left="7200" w:hanging="360"/>
      </w:pPr>
      <w:rPr>
        <w:rFonts w:ascii="Wingdings" w:hAnsi="Wingdings" w:hint="default"/>
      </w:rPr>
    </w:lvl>
  </w:abstractNum>
  <w:abstractNum w:abstractNumId="8" w15:restartNumberingAfterBreak="0">
    <w:nsid w:val="087C268C"/>
    <w:multiLevelType w:val="hybridMultilevel"/>
    <w:tmpl w:val="E0A6CA9A"/>
    <w:lvl w:ilvl="0" w:tplc="44EEC084">
      <w:start w:val="1"/>
      <w:numFmt w:val="bullet"/>
      <w:lvlText w:val="&gt;"/>
      <w:lvlJc w:val="left"/>
      <w:pPr>
        <w:ind w:left="720" w:hanging="360"/>
      </w:pPr>
      <w:rPr>
        <w:rFonts w:ascii="HelveticaNeueLT Std" w:hAnsi="HelveticaNeueLT Std"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 w15:restartNumberingAfterBreak="0">
    <w:nsid w:val="08BC3CBC"/>
    <w:multiLevelType w:val="hybridMultilevel"/>
    <w:tmpl w:val="817631FA"/>
    <w:lvl w:ilvl="0" w:tplc="C150AADA">
      <w:start w:val="1"/>
      <w:numFmt w:val="bullet"/>
      <w:lvlText w:val=""/>
      <w:lvlJc w:val="left"/>
      <w:pPr>
        <w:ind w:left="720" w:hanging="360"/>
      </w:pPr>
      <w:rPr>
        <w:rFonts w:ascii="Wingdings" w:hAnsi="Wingdings"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 w15:restartNumberingAfterBreak="0">
    <w:nsid w:val="16C41E54"/>
    <w:multiLevelType w:val="hybridMultilevel"/>
    <w:tmpl w:val="AD762C70"/>
    <w:lvl w:ilvl="0" w:tplc="45706F70">
      <w:start w:val="1"/>
      <w:numFmt w:val="lowerRoman"/>
      <w:lvlText w:val="(%1)"/>
      <w:lvlJc w:val="left"/>
      <w:pPr>
        <w:ind w:left="1004" w:hanging="720"/>
      </w:pPr>
      <w:rPr>
        <w:rFonts w:hint="default"/>
      </w:rPr>
    </w:lvl>
    <w:lvl w:ilvl="1" w:tplc="0C090019" w:tentative="1">
      <w:start w:val="1"/>
      <w:numFmt w:val="lowerLetter"/>
      <w:lvlText w:val="%2."/>
      <w:lvlJc w:val="left"/>
      <w:pPr>
        <w:ind w:left="1364" w:hanging="360"/>
      </w:pPr>
    </w:lvl>
    <w:lvl w:ilvl="2" w:tplc="0C09001B" w:tentative="1">
      <w:start w:val="1"/>
      <w:numFmt w:val="lowerRoman"/>
      <w:lvlText w:val="%3."/>
      <w:lvlJc w:val="right"/>
      <w:pPr>
        <w:ind w:left="2084" w:hanging="180"/>
      </w:pPr>
    </w:lvl>
    <w:lvl w:ilvl="3" w:tplc="0C09000F" w:tentative="1">
      <w:start w:val="1"/>
      <w:numFmt w:val="decimal"/>
      <w:lvlText w:val="%4."/>
      <w:lvlJc w:val="left"/>
      <w:pPr>
        <w:ind w:left="2804" w:hanging="360"/>
      </w:pPr>
    </w:lvl>
    <w:lvl w:ilvl="4" w:tplc="0C090019" w:tentative="1">
      <w:start w:val="1"/>
      <w:numFmt w:val="lowerLetter"/>
      <w:lvlText w:val="%5."/>
      <w:lvlJc w:val="left"/>
      <w:pPr>
        <w:ind w:left="3524" w:hanging="360"/>
      </w:pPr>
    </w:lvl>
    <w:lvl w:ilvl="5" w:tplc="0C09001B" w:tentative="1">
      <w:start w:val="1"/>
      <w:numFmt w:val="lowerRoman"/>
      <w:lvlText w:val="%6."/>
      <w:lvlJc w:val="right"/>
      <w:pPr>
        <w:ind w:left="4244" w:hanging="180"/>
      </w:pPr>
    </w:lvl>
    <w:lvl w:ilvl="6" w:tplc="0C09000F" w:tentative="1">
      <w:start w:val="1"/>
      <w:numFmt w:val="decimal"/>
      <w:lvlText w:val="%7."/>
      <w:lvlJc w:val="left"/>
      <w:pPr>
        <w:ind w:left="4964" w:hanging="360"/>
      </w:pPr>
    </w:lvl>
    <w:lvl w:ilvl="7" w:tplc="0C090019" w:tentative="1">
      <w:start w:val="1"/>
      <w:numFmt w:val="lowerLetter"/>
      <w:lvlText w:val="%8."/>
      <w:lvlJc w:val="left"/>
      <w:pPr>
        <w:ind w:left="5684" w:hanging="360"/>
      </w:pPr>
    </w:lvl>
    <w:lvl w:ilvl="8" w:tplc="0C09001B" w:tentative="1">
      <w:start w:val="1"/>
      <w:numFmt w:val="lowerRoman"/>
      <w:lvlText w:val="%9."/>
      <w:lvlJc w:val="right"/>
      <w:pPr>
        <w:ind w:left="6404" w:hanging="180"/>
      </w:pPr>
    </w:lvl>
  </w:abstractNum>
  <w:abstractNum w:abstractNumId="11" w15:restartNumberingAfterBreak="0">
    <w:nsid w:val="16E05022"/>
    <w:multiLevelType w:val="hybridMultilevel"/>
    <w:tmpl w:val="F6AA72A2"/>
    <w:lvl w:ilvl="0" w:tplc="9106237A">
      <w:start w:val="1"/>
      <w:numFmt w:val="bullet"/>
      <w:lvlText w:val=""/>
      <w:lvlJc w:val="left"/>
      <w:pPr>
        <w:ind w:left="1080" w:hanging="360"/>
      </w:pPr>
      <w:rPr>
        <w:rFonts w:ascii="Symbol" w:hAnsi="Symbol"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12" w15:restartNumberingAfterBreak="0">
    <w:nsid w:val="1D0D34EE"/>
    <w:multiLevelType w:val="hybridMultilevel"/>
    <w:tmpl w:val="D9BCB0D0"/>
    <w:lvl w:ilvl="0" w:tplc="E2D83ADE">
      <w:start w:val="2"/>
      <w:numFmt w:val="lowerRoman"/>
      <w:lvlText w:val="(%1)"/>
      <w:lvlJc w:val="left"/>
      <w:pPr>
        <w:ind w:left="1004" w:hanging="720"/>
      </w:pPr>
      <w:rPr>
        <w:rFonts w:hint="default"/>
      </w:rPr>
    </w:lvl>
    <w:lvl w:ilvl="1" w:tplc="0C090019" w:tentative="1">
      <w:start w:val="1"/>
      <w:numFmt w:val="lowerLetter"/>
      <w:lvlText w:val="%2."/>
      <w:lvlJc w:val="left"/>
      <w:pPr>
        <w:ind w:left="1364" w:hanging="360"/>
      </w:pPr>
    </w:lvl>
    <w:lvl w:ilvl="2" w:tplc="0C09001B" w:tentative="1">
      <w:start w:val="1"/>
      <w:numFmt w:val="lowerRoman"/>
      <w:lvlText w:val="%3."/>
      <w:lvlJc w:val="right"/>
      <w:pPr>
        <w:ind w:left="2084" w:hanging="180"/>
      </w:pPr>
    </w:lvl>
    <w:lvl w:ilvl="3" w:tplc="0C09000F" w:tentative="1">
      <w:start w:val="1"/>
      <w:numFmt w:val="decimal"/>
      <w:lvlText w:val="%4."/>
      <w:lvlJc w:val="left"/>
      <w:pPr>
        <w:ind w:left="2804" w:hanging="360"/>
      </w:pPr>
    </w:lvl>
    <w:lvl w:ilvl="4" w:tplc="0C090019" w:tentative="1">
      <w:start w:val="1"/>
      <w:numFmt w:val="lowerLetter"/>
      <w:lvlText w:val="%5."/>
      <w:lvlJc w:val="left"/>
      <w:pPr>
        <w:ind w:left="3524" w:hanging="360"/>
      </w:pPr>
    </w:lvl>
    <w:lvl w:ilvl="5" w:tplc="0C09001B" w:tentative="1">
      <w:start w:val="1"/>
      <w:numFmt w:val="lowerRoman"/>
      <w:lvlText w:val="%6."/>
      <w:lvlJc w:val="right"/>
      <w:pPr>
        <w:ind w:left="4244" w:hanging="180"/>
      </w:pPr>
    </w:lvl>
    <w:lvl w:ilvl="6" w:tplc="0C09000F" w:tentative="1">
      <w:start w:val="1"/>
      <w:numFmt w:val="decimal"/>
      <w:lvlText w:val="%7."/>
      <w:lvlJc w:val="left"/>
      <w:pPr>
        <w:ind w:left="4964" w:hanging="360"/>
      </w:pPr>
    </w:lvl>
    <w:lvl w:ilvl="7" w:tplc="0C090019" w:tentative="1">
      <w:start w:val="1"/>
      <w:numFmt w:val="lowerLetter"/>
      <w:lvlText w:val="%8."/>
      <w:lvlJc w:val="left"/>
      <w:pPr>
        <w:ind w:left="5684" w:hanging="360"/>
      </w:pPr>
    </w:lvl>
    <w:lvl w:ilvl="8" w:tplc="0C09001B" w:tentative="1">
      <w:start w:val="1"/>
      <w:numFmt w:val="lowerRoman"/>
      <w:lvlText w:val="%9."/>
      <w:lvlJc w:val="right"/>
      <w:pPr>
        <w:ind w:left="6404" w:hanging="180"/>
      </w:pPr>
    </w:lvl>
  </w:abstractNum>
  <w:abstractNum w:abstractNumId="13" w15:restartNumberingAfterBreak="0">
    <w:nsid w:val="2382660F"/>
    <w:multiLevelType w:val="hybridMultilevel"/>
    <w:tmpl w:val="D49287DC"/>
    <w:lvl w:ilvl="0" w:tplc="2F2E4DE6">
      <w:start w:val="2"/>
      <w:numFmt w:val="lowerRoman"/>
      <w:lvlText w:val="(%1)"/>
      <w:lvlJc w:val="left"/>
      <w:pPr>
        <w:ind w:left="1004" w:hanging="720"/>
      </w:pPr>
      <w:rPr>
        <w:rFonts w:hint="default"/>
      </w:rPr>
    </w:lvl>
    <w:lvl w:ilvl="1" w:tplc="0C090019" w:tentative="1">
      <w:start w:val="1"/>
      <w:numFmt w:val="lowerLetter"/>
      <w:lvlText w:val="%2."/>
      <w:lvlJc w:val="left"/>
      <w:pPr>
        <w:ind w:left="1364" w:hanging="360"/>
      </w:pPr>
    </w:lvl>
    <w:lvl w:ilvl="2" w:tplc="0C09001B" w:tentative="1">
      <w:start w:val="1"/>
      <w:numFmt w:val="lowerRoman"/>
      <w:lvlText w:val="%3."/>
      <w:lvlJc w:val="right"/>
      <w:pPr>
        <w:ind w:left="2084" w:hanging="180"/>
      </w:pPr>
    </w:lvl>
    <w:lvl w:ilvl="3" w:tplc="0C09000F" w:tentative="1">
      <w:start w:val="1"/>
      <w:numFmt w:val="decimal"/>
      <w:lvlText w:val="%4."/>
      <w:lvlJc w:val="left"/>
      <w:pPr>
        <w:ind w:left="2804" w:hanging="360"/>
      </w:pPr>
    </w:lvl>
    <w:lvl w:ilvl="4" w:tplc="0C090019" w:tentative="1">
      <w:start w:val="1"/>
      <w:numFmt w:val="lowerLetter"/>
      <w:lvlText w:val="%5."/>
      <w:lvlJc w:val="left"/>
      <w:pPr>
        <w:ind w:left="3524" w:hanging="360"/>
      </w:pPr>
    </w:lvl>
    <w:lvl w:ilvl="5" w:tplc="0C09001B" w:tentative="1">
      <w:start w:val="1"/>
      <w:numFmt w:val="lowerRoman"/>
      <w:lvlText w:val="%6."/>
      <w:lvlJc w:val="right"/>
      <w:pPr>
        <w:ind w:left="4244" w:hanging="180"/>
      </w:pPr>
    </w:lvl>
    <w:lvl w:ilvl="6" w:tplc="0C09000F" w:tentative="1">
      <w:start w:val="1"/>
      <w:numFmt w:val="decimal"/>
      <w:lvlText w:val="%7."/>
      <w:lvlJc w:val="left"/>
      <w:pPr>
        <w:ind w:left="4964" w:hanging="360"/>
      </w:pPr>
    </w:lvl>
    <w:lvl w:ilvl="7" w:tplc="0C090019" w:tentative="1">
      <w:start w:val="1"/>
      <w:numFmt w:val="lowerLetter"/>
      <w:lvlText w:val="%8."/>
      <w:lvlJc w:val="left"/>
      <w:pPr>
        <w:ind w:left="5684" w:hanging="360"/>
      </w:pPr>
    </w:lvl>
    <w:lvl w:ilvl="8" w:tplc="0C09001B" w:tentative="1">
      <w:start w:val="1"/>
      <w:numFmt w:val="lowerRoman"/>
      <w:lvlText w:val="%9."/>
      <w:lvlJc w:val="right"/>
      <w:pPr>
        <w:ind w:left="6404" w:hanging="180"/>
      </w:pPr>
    </w:lvl>
  </w:abstractNum>
  <w:abstractNum w:abstractNumId="14" w15:restartNumberingAfterBreak="0">
    <w:nsid w:val="2619484D"/>
    <w:multiLevelType w:val="hybridMultilevel"/>
    <w:tmpl w:val="C6A42CEC"/>
    <w:lvl w:ilvl="0" w:tplc="D04CA97C">
      <w:start w:val="1"/>
      <w:numFmt w:val="bullet"/>
      <w:lvlText w:val=""/>
      <w:lvlJc w:val="left"/>
      <w:pPr>
        <w:ind w:left="360" w:hanging="360"/>
      </w:pPr>
      <w:rPr>
        <w:rFonts w:ascii="Symbol" w:hAnsi="Symbol" w:hint="default"/>
      </w:rPr>
    </w:lvl>
    <w:lvl w:ilvl="1" w:tplc="0C090001">
      <w:start w:val="1"/>
      <w:numFmt w:val="bullet"/>
      <w:lvlText w:val=""/>
      <w:lvlJc w:val="left"/>
      <w:pPr>
        <w:ind w:left="1080" w:hanging="360"/>
      </w:pPr>
      <w:rPr>
        <w:rFonts w:ascii="Symbol" w:hAnsi="Symbol" w:hint="default"/>
      </w:rPr>
    </w:lvl>
    <w:lvl w:ilvl="2" w:tplc="9106237A">
      <w:start w:val="1"/>
      <w:numFmt w:val="bullet"/>
      <w:lvlText w:val=""/>
      <w:lvlJc w:val="left"/>
      <w:pPr>
        <w:ind w:left="785" w:hanging="360"/>
      </w:pPr>
      <w:rPr>
        <w:rFonts w:ascii="Symbol" w:hAnsi="Symbol"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5" w15:restartNumberingAfterBreak="0">
    <w:nsid w:val="2D891057"/>
    <w:multiLevelType w:val="hybridMultilevel"/>
    <w:tmpl w:val="FF38B78A"/>
    <w:lvl w:ilvl="0" w:tplc="9106237A">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6" w15:restartNumberingAfterBreak="0">
    <w:nsid w:val="2E301DD4"/>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pStyle w:val="Heading5"/>
      <w:lvlText w:val="%5)"/>
      <w:lvlJc w:val="left"/>
      <w:pPr>
        <w:ind w:left="1008" w:hanging="432"/>
      </w:pPr>
    </w:lvl>
    <w:lvl w:ilvl="5">
      <w:start w:val="1"/>
      <w:numFmt w:val="lowerLetter"/>
      <w:pStyle w:val="Heading6"/>
      <w:lvlText w:val="%6)"/>
      <w:lvlJc w:val="left"/>
      <w:pPr>
        <w:ind w:left="1152" w:hanging="432"/>
      </w:pPr>
    </w:lvl>
    <w:lvl w:ilvl="6">
      <w:start w:val="1"/>
      <w:numFmt w:val="lowerRoman"/>
      <w:pStyle w:val="Heading7"/>
      <w:lvlText w:val="%7)"/>
      <w:lvlJc w:val="right"/>
      <w:pPr>
        <w:ind w:left="1296" w:hanging="288"/>
      </w:pPr>
    </w:lvl>
    <w:lvl w:ilvl="7">
      <w:start w:val="1"/>
      <w:numFmt w:val="lowerLetter"/>
      <w:pStyle w:val="Heading8"/>
      <w:lvlText w:val="%8."/>
      <w:lvlJc w:val="left"/>
      <w:pPr>
        <w:ind w:left="1440" w:hanging="432"/>
      </w:pPr>
    </w:lvl>
    <w:lvl w:ilvl="8">
      <w:start w:val="1"/>
      <w:numFmt w:val="lowerRoman"/>
      <w:pStyle w:val="Heading9"/>
      <w:lvlText w:val="%9."/>
      <w:lvlJc w:val="right"/>
      <w:pPr>
        <w:ind w:left="1584" w:hanging="144"/>
      </w:pPr>
    </w:lvl>
  </w:abstractNum>
  <w:abstractNum w:abstractNumId="17" w15:restartNumberingAfterBreak="0">
    <w:nsid w:val="331A34BF"/>
    <w:multiLevelType w:val="hybridMultilevel"/>
    <w:tmpl w:val="56F6A1DA"/>
    <w:lvl w:ilvl="0" w:tplc="0D7A7AB0">
      <w:start w:val="2"/>
      <w:numFmt w:val="lowerRoman"/>
      <w:lvlText w:val="(%1)"/>
      <w:lvlJc w:val="left"/>
      <w:pPr>
        <w:ind w:left="1004" w:hanging="720"/>
      </w:pPr>
      <w:rPr>
        <w:rFonts w:hint="default"/>
      </w:rPr>
    </w:lvl>
    <w:lvl w:ilvl="1" w:tplc="0C090019" w:tentative="1">
      <w:start w:val="1"/>
      <w:numFmt w:val="lowerLetter"/>
      <w:lvlText w:val="%2."/>
      <w:lvlJc w:val="left"/>
      <w:pPr>
        <w:ind w:left="1364" w:hanging="360"/>
      </w:pPr>
    </w:lvl>
    <w:lvl w:ilvl="2" w:tplc="0C09001B" w:tentative="1">
      <w:start w:val="1"/>
      <w:numFmt w:val="lowerRoman"/>
      <w:lvlText w:val="%3."/>
      <w:lvlJc w:val="right"/>
      <w:pPr>
        <w:ind w:left="2084" w:hanging="180"/>
      </w:pPr>
    </w:lvl>
    <w:lvl w:ilvl="3" w:tplc="0C09000F" w:tentative="1">
      <w:start w:val="1"/>
      <w:numFmt w:val="decimal"/>
      <w:lvlText w:val="%4."/>
      <w:lvlJc w:val="left"/>
      <w:pPr>
        <w:ind w:left="2804" w:hanging="360"/>
      </w:pPr>
    </w:lvl>
    <w:lvl w:ilvl="4" w:tplc="0C090019" w:tentative="1">
      <w:start w:val="1"/>
      <w:numFmt w:val="lowerLetter"/>
      <w:lvlText w:val="%5."/>
      <w:lvlJc w:val="left"/>
      <w:pPr>
        <w:ind w:left="3524" w:hanging="360"/>
      </w:pPr>
    </w:lvl>
    <w:lvl w:ilvl="5" w:tplc="0C09001B" w:tentative="1">
      <w:start w:val="1"/>
      <w:numFmt w:val="lowerRoman"/>
      <w:lvlText w:val="%6."/>
      <w:lvlJc w:val="right"/>
      <w:pPr>
        <w:ind w:left="4244" w:hanging="180"/>
      </w:pPr>
    </w:lvl>
    <w:lvl w:ilvl="6" w:tplc="0C09000F" w:tentative="1">
      <w:start w:val="1"/>
      <w:numFmt w:val="decimal"/>
      <w:lvlText w:val="%7."/>
      <w:lvlJc w:val="left"/>
      <w:pPr>
        <w:ind w:left="4964" w:hanging="360"/>
      </w:pPr>
    </w:lvl>
    <w:lvl w:ilvl="7" w:tplc="0C090019" w:tentative="1">
      <w:start w:val="1"/>
      <w:numFmt w:val="lowerLetter"/>
      <w:lvlText w:val="%8."/>
      <w:lvlJc w:val="left"/>
      <w:pPr>
        <w:ind w:left="5684" w:hanging="360"/>
      </w:pPr>
    </w:lvl>
    <w:lvl w:ilvl="8" w:tplc="0C09001B" w:tentative="1">
      <w:start w:val="1"/>
      <w:numFmt w:val="lowerRoman"/>
      <w:lvlText w:val="%9."/>
      <w:lvlJc w:val="right"/>
      <w:pPr>
        <w:ind w:left="6404" w:hanging="180"/>
      </w:pPr>
    </w:lvl>
  </w:abstractNum>
  <w:abstractNum w:abstractNumId="18" w15:restartNumberingAfterBreak="0">
    <w:nsid w:val="38D63A18"/>
    <w:multiLevelType w:val="hybridMultilevel"/>
    <w:tmpl w:val="CDDE4C82"/>
    <w:lvl w:ilvl="0" w:tplc="9106237A">
      <w:start w:val="1"/>
      <w:numFmt w:val="bullet"/>
      <w:lvlText w:val=""/>
      <w:lvlJc w:val="left"/>
      <w:pPr>
        <w:ind w:left="644" w:hanging="360"/>
      </w:pPr>
      <w:rPr>
        <w:rFonts w:ascii="Symbol" w:hAnsi="Symbol" w:hint="default"/>
      </w:rPr>
    </w:lvl>
    <w:lvl w:ilvl="1" w:tplc="0C090003" w:tentative="1">
      <w:start w:val="1"/>
      <w:numFmt w:val="bullet"/>
      <w:lvlText w:val="o"/>
      <w:lvlJc w:val="left"/>
      <w:pPr>
        <w:ind w:left="1364" w:hanging="360"/>
      </w:pPr>
      <w:rPr>
        <w:rFonts w:ascii="Courier New" w:hAnsi="Courier New" w:cs="Courier New" w:hint="default"/>
      </w:rPr>
    </w:lvl>
    <w:lvl w:ilvl="2" w:tplc="0C090005" w:tentative="1">
      <w:start w:val="1"/>
      <w:numFmt w:val="bullet"/>
      <w:lvlText w:val=""/>
      <w:lvlJc w:val="left"/>
      <w:pPr>
        <w:ind w:left="2084" w:hanging="360"/>
      </w:pPr>
      <w:rPr>
        <w:rFonts w:ascii="Wingdings" w:hAnsi="Wingdings" w:hint="default"/>
      </w:rPr>
    </w:lvl>
    <w:lvl w:ilvl="3" w:tplc="0C090001" w:tentative="1">
      <w:start w:val="1"/>
      <w:numFmt w:val="bullet"/>
      <w:lvlText w:val=""/>
      <w:lvlJc w:val="left"/>
      <w:pPr>
        <w:ind w:left="2804" w:hanging="360"/>
      </w:pPr>
      <w:rPr>
        <w:rFonts w:ascii="Symbol" w:hAnsi="Symbol" w:hint="default"/>
      </w:rPr>
    </w:lvl>
    <w:lvl w:ilvl="4" w:tplc="0C090003" w:tentative="1">
      <w:start w:val="1"/>
      <w:numFmt w:val="bullet"/>
      <w:lvlText w:val="o"/>
      <w:lvlJc w:val="left"/>
      <w:pPr>
        <w:ind w:left="3524" w:hanging="360"/>
      </w:pPr>
      <w:rPr>
        <w:rFonts w:ascii="Courier New" w:hAnsi="Courier New" w:cs="Courier New" w:hint="default"/>
      </w:rPr>
    </w:lvl>
    <w:lvl w:ilvl="5" w:tplc="0C090005" w:tentative="1">
      <w:start w:val="1"/>
      <w:numFmt w:val="bullet"/>
      <w:lvlText w:val=""/>
      <w:lvlJc w:val="left"/>
      <w:pPr>
        <w:ind w:left="4244" w:hanging="360"/>
      </w:pPr>
      <w:rPr>
        <w:rFonts w:ascii="Wingdings" w:hAnsi="Wingdings" w:hint="default"/>
      </w:rPr>
    </w:lvl>
    <w:lvl w:ilvl="6" w:tplc="0C090001" w:tentative="1">
      <w:start w:val="1"/>
      <w:numFmt w:val="bullet"/>
      <w:lvlText w:val=""/>
      <w:lvlJc w:val="left"/>
      <w:pPr>
        <w:ind w:left="4964" w:hanging="360"/>
      </w:pPr>
      <w:rPr>
        <w:rFonts w:ascii="Symbol" w:hAnsi="Symbol" w:hint="default"/>
      </w:rPr>
    </w:lvl>
    <w:lvl w:ilvl="7" w:tplc="0C090003" w:tentative="1">
      <w:start w:val="1"/>
      <w:numFmt w:val="bullet"/>
      <w:lvlText w:val="o"/>
      <w:lvlJc w:val="left"/>
      <w:pPr>
        <w:ind w:left="5684" w:hanging="360"/>
      </w:pPr>
      <w:rPr>
        <w:rFonts w:ascii="Courier New" w:hAnsi="Courier New" w:cs="Courier New" w:hint="default"/>
      </w:rPr>
    </w:lvl>
    <w:lvl w:ilvl="8" w:tplc="0C090005" w:tentative="1">
      <w:start w:val="1"/>
      <w:numFmt w:val="bullet"/>
      <w:lvlText w:val=""/>
      <w:lvlJc w:val="left"/>
      <w:pPr>
        <w:ind w:left="6404" w:hanging="360"/>
      </w:pPr>
      <w:rPr>
        <w:rFonts w:ascii="Wingdings" w:hAnsi="Wingdings" w:hint="default"/>
      </w:rPr>
    </w:lvl>
  </w:abstractNum>
  <w:abstractNum w:abstractNumId="19" w15:restartNumberingAfterBreak="0">
    <w:nsid w:val="486503D8"/>
    <w:multiLevelType w:val="hybridMultilevel"/>
    <w:tmpl w:val="55FAE6FA"/>
    <w:lvl w:ilvl="0" w:tplc="8690C000">
      <w:start w:val="1"/>
      <w:numFmt w:val="bullet"/>
      <w:lvlText w:val=""/>
      <w:lvlJc w:val="left"/>
      <w:pPr>
        <w:ind w:left="720" w:hanging="360"/>
      </w:pPr>
      <w:rPr>
        <w:rFonts w:ascii="Wingdings" w:eastAsia="Times New Roman" w:hAnsi="Wingdings"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0" w15:restartNumberingAfterBreak="0">
    <w:nsid w:val="4A81773D"/>
    <w:multiLevelType w:val="hybridMultilevel"/>
    <w:tmpl w:val="416E7EA4"/>
    <w:lvl w:ilvl="0" w:tplc="C150AADA">
      <w:start w:val="1"/>
      <w:numFmt w:val="bullet"/>
      <w:lvlText w:val=""/>
      <w:lvlJc w:val="left"/>
      <w:pPr>
        <w:ind w:left="720" w:hanging="360"/>
      </w:pPr>
      <w:rPr>
        <w:rFonts w:ascii="Wingdings" w:hAnsi="Wingdings"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1" w15:restartNumberingAfterBreak="0">
    <w:nsid w:val="4E1F3DEB"/>
    <w:multiLevelType w:val="hybridMultilevel"/>
    <w:tmpl w:val="516AB14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2" w15:restartNumberingAfterBreak="0">
    <w:nsid w:val="53024641"/>
    <w:multiLevelType w:val="hybridMultilevel"/>
    <w:tmpl w:val="B798DE14"/>
    <w:lvl w:ilvl="0" w:tplc="9106237A">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3" w15:restartNumberingAfterBreak="0">
    <w:nsid w:val="55AA21F0"/>
    <w:multiLevelType w:val="hybridMultilevel"/>
    <w:tmpl w:val="9B5CB936"/>
    <w:lvl w:ilvl="0" w:tplc="CCA08FFA">
      <w:start w:val="1"/>
      <w:numFmt w:val="decimal"/>
      <w:pStyle w:val="ACMATableHeader"/>
      <w:lvlText w:val="Table %1:"/>
      <w:lvlJc w:val="left"/>
      <w:pPr>
        <w:tabs>
          <w:tab w:val="num" w:pos="964"/>
        </w:tabs>
        <w:ind w:left="964" w:hanging="964"/>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15:restartNumberingAfterBreak="0">
    <w:nsid w:val="58132B55"/>
    <w:multiLevelType w:val="multilevel"/>
    <w:tmpl w:val="410486E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5" w15:restartNumberingAfterBreak="0">
    <w:nsid w:val="6388247D"/>
    <w:multiLevelType w:val="hybridMultilevel"/>
    <w:tmpl w:val="0B10D3AE"/>
    <w:lvl w:ilvl="0" w:tplc="9106237A">
      <w:start w:val="1"/>
      <w:numFmt w:val="bullet"/>
      <w:lvlText w:val=""/>
      <w:lvlJc w:val="left"/>
      <w:pPr>
        <w:ind w:left="360" w:hanging="360"/>
      </w:pPr>
      <w:rPr>
        <w:rFonts w:ascii="Symbol" w:hAnsi="Symbol" w:hint="default"/>
        <w:b w:val="0"/>
        <w:bCs w:val="0"/>
        <w:i w:val="0"/>
        <w:iCs w:val="0"/>
      </w:rPr>
    </w:lvl>
    <w:lvl w:ilvl="1" w:tplc="9106237A">
      <w:start w:val="1"/>
      <w:numFmt w:val="bullet"/>
      <w:lvlText w:val=""/>
      <w:lvlJc w:val="left"/>
      <w:pPr>
        <w:ind w:left="1080" w:hanging="360"/>
      </w:pPr>
      <w:rPr>
        <w:rFonts w:ascii="Symbol" w:hAnsi="Symbol" w:hint="default"/>
      </w:r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26" w15:restartNumberingAfterBreak="0">
    <w:nsid w:val="63C30333"/>
    <w:multiLevelType w:val="hybridMultilevel"/>
    <w:tmpl w:val="A5FC2D54"/>
    <w:lvl w:ilvl="0" w:tplc="65EA47EC">
      <w:start w:val="1"/>
      <w:numFmt w:val="decimal"/>
      <w:pStyle w:val="Captionfigure"/>
      <w:lvlText w:val="Figure %1:"/>
      <w:lvlJc w:val="left"/>
      <w:pPr>
        <w:tabs>
          <w:tab w:val="num" w:pos="1021"/>
        </w:tabs>
        <w:ind w:left="1021" w:hanging="1021"/>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15:restartNumberingAfterBreak="0">
    <w:nsid w:val="65071478"/>
    <w:multiLevelType w:val="hybridMultilevel"/>
    <w:tmpl w:val="16D2B96E"/>
    <w:lvl w:ilvl="0" w:tplc="3A9CF91A">
      <w:start w:val="1"/>
      <w:numFmt w:val="decimal"/>
      <w:pStyle w:val="ACMAFigureHeader"/>
      <w:lvlText w:val="Figure %1: "/>
      <w:lvlJc w:val="left"/>
      <w:pPr>
        <w:tabs>
          <w:tab w:val="num" w:pos="1021"/>
        </w:tabs>
        <w:ind w:left="1021" w:hanging="1021"/>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15:restartNumberingAfterBreak="0">
    <w:nsid w:val="65FA040B"/>
    <w:multiLevelType w:val="hybridMultilevel"/>
    <w:tmpl w:val="4C7816D8"/>
    <w:lvl w:ilvl="0" w:tplc="AD9CED3A">
      <w:start w:val="1"/>
      <w:numFmt w:val="decimal"/>
      <w:lvlText w:val="%1."/>
      <w:lvlJc w:val="left"/>
      <w:pPr>
        <w:ind w:left="360" w:hanging="360"/>
      </w:pPr>
      <w:rPr>
        <w:rFonts w:ascii="Arial" w:hAnsi="Arial" w:cs="Arial" w:hint="default"/>
        <w:b w:val="0"/>
        <w:bCs/>
        <w:i w:val="0"/>
        <w:iCs w:val="0"/>
      </w:rPr>
    </w:lvl>
    <w:lvl w:ilvl="1" w:tplc="9106237A">
      <w:start w:val="1"/>
      <w:numFmt w:val="bullet"/>
      <w:lvlText w:val=""/>
      <w:lvlJc w:val="left"/>
      <w:pPr>
        <w:ind w:left="1080" w:hanging="360"/>
      </w:pPr>
      <w:rPr>
        <w:rFonts w:ascii="Symbol" w:hAnsi="Symbol"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9" w15:restartNumberingAfterBreak="0">
    <w:nsid w:val="67520CAA"/>
    <w:multiLevelType w:val="hybridMultilevel"/>
    <w:tmpl w:val="845E872E"/>
    <w:lvl w:ilvl="0" w:tplc="D04CA97C">
      <w:start w:val="1"/>
      <w:numFmt w:val="bullet"/>
      <w:lvlText w:val=""/>
      <w:lvlJc w:val="left"/>
      <w:pPr>
        <w:ind w:left="320" w:hanging="360"/>
      </w:pPr>
      <w:rPr>
        <w:rFonts w:ascii="Symbol" w:hAnsi="Symbol" w:hint="default"/>
      </w:rPr>
    </w:lvl>
    <w:lvl w:ilvl="1" w:tplc="0C090003" w:tentative="1">
      <w:start w:val="1"/>
      <w:numFmt w:val="bullet"/>
      <w:lvlText w:val="o"/>
      <w:lvlJc w:val="left"/>
      <w:pPr>
        <w:ind w:left="1040" w:hanging="360"/>
      </w:pPr>
      <w:rPr>
        <w:rFonts w:ascii="Courier New" w:hAnsi="Courier New" w:cs="Courier New" w:hint="default"/>
      </w:rPr>
    </w:lvl>
    <w:lvl w:ilvl="2" w:tplc="0C090005" w:tentative="1">
      <w:start w:val="1"/>
      <w:numFmt w:val="bullet"/>
      <w:lvlText w:val=""/>
      <w:lvlJc w:val="left"/>
      <w:pPr>
        <w:ind w:left="1760" w:hanging="360"/>
      </w:pPr>
      <w:rPr>
        <w:rFonts w:ascii="Wingdings" w:hAnsi="Wingdings" w:hint="default"/>
      </w:rPr>
    </w:lvl>
    <w:lvl w:ilvl="3" w:tplc="0C090001" w:tentative="1">
      <w:start w:val="1"/>
      <w:numFmt w:val="bullet"/>
      <w:lvlText w:val=""/>
      <w:lvlJc w:val="left"/>
      <w:pPr>
        <w:ind w:left="2480" w:hanging="360"/>
      </w:pPr>
      <w:rPr>
        <w:rFonts w:ascii="Symbol" w:hAnsi="Symbol" w:hint="default"/>
      </w:rPr>
    </w:lvl>
    <w:lvl w:ilvl="4" w:tplc="0C090003" w:tentative="1">
      <w:start w:val="1"/>
      <w:numFmt w:val="bullet"/>
      <w:lvlText w:val="o"/>
      <w:lvlJc w:val="left"/>
      <w:pPr>
        <w:ind w:left="3200" w:hanging="360"/>
      </w:pPr>
      <w:rPr>
        <w:rFonts w:ascii="Courier New" w:hAnsi="Courier New" w:cs="Courier New" w:hint="default"/>
      </w:rPr>
    </w:lvl>
    <w:lvl w:ilvl="5" w:tplc="0C090005" w:tentative="1">
      <w:start w:val="1"/>
      <w:numFmt w:val="bullet"/>
      <w:lvlText w:val=""/>
      <w:lvlJc w:val="left"/>
      <w:pPr>
        <w:ind w:left="3920" w:hanging="360"/>
      </w:pPr>
      <w:rPr>
        <w:rFonts w:ascii="Wingdings" w:hAnsi="Wingdings" w:hint="default"/>
      </w:rPr>
    </w:lvl>
    <w:lvl w:ilvl="6" w:tplc="0C090001" w:tentative="1">
      <w:start w:val="1"/>
      <w:numFmt w:val="bullet"/>
      <w:lvlText w:val=""/>
      <w:lvlJc w:val="left"/>
      <w:pPr>
        <w:ind w:left="4640" w:hanging="360"/>
      </w:pPr>
      <w:rPr>
        <w:rFonts w:ascii="Symbol" w:hAnsi="Symbol" w:hint="default"/>
      </w:rPr>
    </w:lvl>
    <w:lvl w:ilvl="7" w:tplc="0C090003" w:tentative="1">
      <w:start w:val="1"/>
      <w:numFmt w:val="bullet"/>
      <w:lvlText w:val="o"/>
      <w:lvlJc w:val="left"/>
      <w:pPr>
        <w:ind w:left="5360" w:hanging="360"/>
      </w:pPr>
      <w:rPr>
        <w:rFonts w:ascii="Courier New" w:hAnsi="Courier New" w:cs="Courier New" w:hint="default"/>
      </w:rPr>
    </w:lvl>
    <w:lvl w:ilvl="8" w:tplc="0C090005" w:tentative="1">
      <w:start w:val="1"/>
      <w:numFmt w:val="bullet"/>
      <w:lvlText w:val=""/>
      <w:lvlJc w:val="left"/>
      <w:pPr>
        <w:ind w:left="6080" w:hanging="360"/>
      </w:pPr>
      <w:rPr>
        <w:rFonts w:ascii="Wingdings" w:hAnsi="Wingdings" w:hint="default"/>
      </w:rPr>
    </w:lvl>
  </w:abstractNum>
  <w:abstractNum w:abstractNumId="30" w15:restartNumberingAfterBreak="0">
    <w:nsid w:val="6BD75D83"/>
    <w:multiLevelType w:val="hybridMultilevel"/>
    <w:tmpl w:val="6C22F220"/>
    <w:lvl w:ilvl="0" w:tplc="9106237A">
      <w:start w:val="1"/>
      <w:numFmt w:val="bullet"/>
      <w:lvlText w:val=""/>
      <w:lvlJc w:val="left"/>
      <w:pPr>
        <w:ind w:left="1068" w:hanging="360"/>
      </w:pPr>
      <w:rPr>
        <w:rFonts w:ascii="Symbol" w:hAnsi="Symbol" w:hint="default"/>
      </w:rPr>
    </w:lvl>
    <w:lvl w:ilvl="1" w:tplc="0C090003" w:tentative="1">
      <w:start w:val="1"/>
      <w:numFmt w:val="bullet"/>
      <w:lvlText w:val="o"/>
      <w:lvlJc w:val="left"/>
      <w:pPr>
        <w:ind w:left="2160" w:hanging="360"/>
      </w:pPr>
      <w:rPr>
        <w:rFonts w:ascii="Courier New" w:hAnsi="Courier New" w:cs="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cs="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cs="Courier New" w:hint="default"/>
      </w:rPr>
    </w:lvl>
    <w:lvl w:ilvl="8" w:tplc="0C090005" w:tentative="1">
      <w:start w:val="1"/>
      <w:numFmt w:val="bullet"/>
      <w:lvlText w:val=""/>
      <w:lvlJc w:val="left"/>
      <w:pPr>
        <w:ind w:left="7200" w:hanging="360"/>
      </w:pPr>
      <w:rPr>
        <w:rFonts w:ascii="Wingdings" w:hAnsi="Wingdings" w:hint="default"/>
      </w:rPr>
    </w:lvl>
  </w:abstractNum>
  <w:abstractNum w:abstractNumId="31" w15:restartNumberingAfterBreak="0">
    <w:nsid w:val="6D757AE6"/>
    <w:multiLevelType w:val="hybridMultilevel"/>
    <w:tmpl w:val="4BAEE1E2"/>
    <w:lvl w:ilvl="0" w:tplc="0DA4929C">
      <w:start w:val="1"/>
      <w:numFmt w:val="decimal"/>
      <w:pStyle w:val="Caption"/>
      <w:lvlText w:val="Table %1:"/>
      <w:lvlJc w:val="left"/>
      <w:pPr>
        <w:tabs>
          <w:tab w:val="num" w:pos="964"/>
        </w:tabs>
        <w:ind w:left="964" w:hanging="964"/>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2" w15:restartNumberingAfterBreak="0">
    <w:nsid w:val="6F1B3D1B"/>
    <w:multiLevelType w:val="hybridMultilevel"/>
    <w:tmpl w:val="01C88D8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3" w15:restartNumberingAfterBreak="0">
    <w:nsid w:val="71051DFC"/>
    <w:multiLevelType w:val="hybridMultilevel"/>
    <w:tmpl w:val="3A24E4BA"/>
    <w:lvl w:ilvl="0" w:tplc="0C090017">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4" w15:restartNumberingAfterBreak="0">
    <w:nsid w:val="72114257"/>
    <w:multiLevelType w:val="hybridMultilevel"/>
    <w:tmpl w:val="7B4C97B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5" w15:restartNumberingAfterBreak="0">
    <w:nsid w:val="79C53DD8"/>
    <w:multiLevelType w:val="hybridMultilevel"/>
    <w:tmpl w:val="AA40E87A"/>
    <w:lvl w:ilvl="0" w:tplc="C150AADA">
      <w:start w:val="1"/>
      <w:numFmt w:val="bullet"/>
      <w:lvlText w:val=""/>
      <w:lvlJc w:val="left"/>
      <w:pPr>
        <w:ind w:left="720" w:hanging="360"/>
      </w:pPr>
      <w:rPr>
        <w:rFonts w:ascii="Wingdings" w:hAnsi="Wingdings"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6" w15:restartNumberingAfterBreak="0">
    <w:nsid w:val="7F287C0A"/>
    <w:multiLevelType w:val="hybridMultilevel"/>
    <w:tmpl w:val="9EE09F72"/>
    <w:lvl w:ilvl="0" w:tplc="9106237A">
      <w:start w:val="1"/>
      <w:numFmt w:val="bullet"/>
      <w:lvlText w:val=""/>
      <w:lvlJc w:val="left"/>
      <w:pPr>
        <w:ind w:left="644" w:hanging="360"/>
      </w:pPr>
      <w:rPr>
        <w:rFonts w:ascii="Symbol" w:hAnsi="Symbol" w:hint="default"/>
      </w:rPr>
    </w:lvl>
    <w:lvl w:ilvl="1" w:tplc="0C090003" w:tentative="1">
      <w:start w:val="1"/>
      <w:numFmt w:val="bullet"/>
      <w:lvlText w:val="o"/>
      <w:lvlJc w:val="left"/>
      <w:pPr>
        <w:ind w:left="1364" w:hanging="360"/>
      </w:pPr>
      <w:rPr>
        <w:rFonts w:ascii="Courier New" w:hAnsi="Courier New" w:cs="Courier New" w:hint="default"/>
      </w:rPr>
    </w:lvl>
    <w:lvl w:ilvl="2" w:tplc="0C090005" w:tentative="1">
      <w:start w:val="1"/>
      <w:numFmt w:val="bullet"/>
      <w:lvlText w:val=""/>
      <w:lvlJc w:val="left"/>
      <w:pPr>
        <w:ind w:left="2084" w:hanging="360"/>
      </w:pPr>
      <w:rPr>
        <w:rFonts w:ascii="Wingdings" w:hAnsi="Wingdings" w:hint="default"/>
      </w:rPr>
    </w:lvl>
    <w:lvl w:ilvl="3" w:tplc="0C090001" w:tentative="1">
      <w:start w:val="1"/>
      <w:numFmt w:val="bullet"/>
      <w:lvlText w:val=""/>
      <w:lvlJc w:val="left"/>
      <w:pPr>
        <w:ind w:left="2804" w:hanging="360"/>
      </w:pPr>
      <w:rPr>
        <w:rFonts w:ascii="Symbol" w:hAnsi="Symbol" w:hint="default"/>
      </w:rPr>
    </w:lvl>
    <w:lvl w:ilvl="4" w:tplc="0C090003" w:tentative="1">
      <w:start w:val="1"/>
      <w:numFmt w:val="bullet"/>
      <w:lvlText w:val="o"/>
      <w:lvlJc w:val="left"/>
      <w:pPr>
        <w:ind w:left="3524" w:hanging="360"/>
      </w:pPr>
      <w:rPr>
        <w:rFonts w:ascii="Courier New" w:hAnsi="Courier New" w:cs="Courier New" w:hint="default"/>
      </w:rPr>
    </w:lvl>
    <w:lvl w:ilvl="5" w:tplc="0C090005" w:tentative="1">
      <w:start w:val="1"/>
      <w:numFmt w:val="bullet"/>
      <w:lvlText w:val=""/>
      <w:lvlJc w:val="left"/>
      <w:pPr>
        <w:ind w:left="4244" w:hanging="360"/>
      </w:pPr>
      <w:rPr>
        <w:rFonts w:ascii="Wingdings" w:hAnsi="Wingdings" w:hint="default"/>
      </w:rPr>
    </w:lvl>
    <w:lvl w:ilvl="6" w:tplc="0C090001" w:tentative="1">
      <w:start w:val="1"/>
      <w:numFmt w:val="bullet"/>
      <w:lvlText w:val=""/>
      <w:lvlJc w:val="left"/>
      <w:pPr>
        <w:ind w:left="4964" w:hanging="360"/>
      </w:pPr>
      <w:rPr>
        <w:rFonts w:ascii="Symbol" w:hAnsi="Symbol" w:hint="default"/>
      </w:rPr>
    </w:lvl>
    <w:lvl w:ilvl="7" w:tplc="0C090003" w:tentative="1">
      <w:start w:val="1"/>
      <w:numFmt w:val="bullet"/>
      <w:lvlText w:val="o"/>
      <w:lvlJc w:val="left"/>
      <w:pPr>
        <w:ind w:left="5684" w:hanging="360"/>
      </w:pPr>
      <w:rPr>
        <w:rFonts w:ascii="Courier New" w:hAnsi="Courier New" w:cs="Courier New" w:hint="default"/>
      </w:rPr>
    </w:lvl>
    <w:lvl w:ilvl="8" w:tplc="0C090005" w:tentative="1">
      <w:start w:val="1"/>
      <w:numFmt w:val="bullet"/>
      <w:lvlText w:val=""/>
      <w:lvlJc w:val="left"/>
      <w:pPr>
        <w:ind w:left="6404" w:hanging="360"/>
      </w:pPr>
      <w:rPr>
        <w:rFonts w:ascii="Wingdings" w:hAnsi="Wingdings" w:hint="default"/>
      </w:rPr>
    </w:lvl>
  </w:abstractNum>
  <w:num w:numId="1">
    <w:abstractNumId w:val="3"/>
  </w:num>
  <w:num w:numId="2">
    <w:abstractNumId w:val="1"/>
  </w:num>
  <w:num w:numId="3">
    <w:abstractNumId w:val="2"/>
  </w:num>
  <w:num w:numId="4">
    <w:abstractNumId w:val="0"/>
  </w:num>
  <w:num w:numId="5">
    <w:abstractNumId w:val="16"/>
  </w:num>
  <w:num w:numId="6">
    <w:abstractNumId w:val="27"/>
  </w:num>
  <w:num w:numId="7">
    <w:abstractNumId w:val="23"/>
  </w:num>
  <w:num w:numId="8">
    <w:abstractNumId w:val="26"/>
  </w:num>
  <w:num w:numId="9">
    <w:abstractNumId w:val="31"/>
  </w:num>
  <w:num w:numId="10">
    <w:abstractNumId w:val="8"/>
  </w:num>
  <w:num w:numId="11">
    <w:abstractNumId w:val="2"/>
    <w:lvlOverride w:ilvl="0">
      <w:startOverride w:val="1"/>
    </w:lvlOverride>
  </w:num>
  <w:num w:numId="12">
    <w:abstractNumId w:val="2"/>
    <w:lvlOverride w:ilvl="0">
      <w:startOverride w:val="1"/>
    </w:lvlOverride>
  </w:num>
  <w:num w:numId="13">
    <w:abstractNumId w:val="18"/>
  </w:num>
  <w:num w:numId="14">
    <w:abstractNumId w:val="25"/>
  </w:num>
  <w:num w:numId="15">
    <w:abstractNumId w:val="22"/>
  </w:num>
  <w:num w:numId="16">
    <w:abstractNumId w:val="11"/>
  </w:num>
  <w:num w:numId="17">
    <w:abstractNumId w:val="36"/>
  </w:num>
  <w:num w:numId="18">
    <w:abstractNumId w:val="28"/>
  </w:num>
  <w:num w:numId="19">
    <w:abstractNumId w:val="14"/>
  </w:num>
  <w:num w:numId="20">
    <w:abstractNumId w:val="7"/>
  </w:num>
  <w:num w:numId="21">
    <w:abstractNumId w:val="15"/>
  </w:num>
  <w:num w:numId="22">
    <w:abstractNumId w:val="21"/>
  </w:num>
  <w:num w:numId="23">
    <w:abstractNumId w:val="4"/>
  </w:num>
  <w:num w:numId="24">
    <w:abstractNumId w:val="9"/>
  </w:num>
  <w:num w:numId="25">
    <w:abstractNumId w:val="35"/>
  </w:num>
  <w:num w:numId="26">
    <w:abstractNumId w:val="20"/>
  </w:num>
  <w:num w:numId="27">
    <w:abstractNumId w:val="5"/>
  </w:num>
  <w:num w:numId="28">
    <w:abstractNumId w:val="30"/>
  </w:num>
  <w:num w:numId="29">
    <w:abstractNumId w:val="29"/>
  </w:num>
  <w:num w:numId="30">
    <w:abstractNumId w:val="6"/>
  </w:num>
  <w:num w:numId="31">
    <w:abstractNumId w:val="12"/>
  </w:num>
  <w:num w:numId="32">
    <w:abstractNumId w:val="13"/>
  </w:num>
  <w:num w:numId="33">
    <w:abstractNumId w:val="17"/>
  </w:num>
  <w:num w:numId="34">
    <w:abstractNumId w:val="10"/>
  </w:num>
  <w:num w:numId="35">
    <w:abstractNumId w:val="24"/>
  </w:num>
  <w:num w:numId="36">
    <w:abstractNumId w:val="32"/>
  </w:num>
  <w:num w:numId="37">
    <w:abstractNumId w:val="34"/>
  </w:num>
  <w:num w:numId="38">
    <w:abstractNumId w:val="19"/>
  </w:num>
  <w:num w:numId="39">
    <w:abstractNumId w:val="33"/>
  </w:num>
  <w:numIdMacAtCleanup w:val="1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66"/>
  <w:removePersonalInformation/>
  <w:removeDateAndTime/>
  <w:proofState w:spelling="clean" w:grammar="clean"/>
  <w:stylePaneFormatFilter w:val="D004" w:allStyles="0" w:customStyles="0" w:latentStyles="1" w:stylesInUse="0" w:headingStyles="0" w:numberingStyles="0" w:tableStyles="0" w:directFormattingOnRuns="0" w:directFormattingOnParagraphs="0" w:directFormattingOnNumbering="0" w:directFormattingOnTables="0" w:clearFormatting="1" w:top3HeadingStyles="0" w:visibleStyles="1" w:alternateStyleNames="1"/>
  <w:defaultTabStop w:val="284"/>
  <w:evenAndOddHeaders/>
  <w:drawingGridHorizontalSpacing w:val="100"/>
  <w:displayHorizontalDrawingGridEvery w:val="2"/>
  <w:characterSpacingControl w:val="doNotCompress"/>
  <w:hdrShapeDefaults>
    <o:shapedefaults v:ext="edit" spidmax="94209">
      <o:colormru v:ext="edit" colors="red,#4d4d4f"/>
    </o:shapedefaults>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E191F"/>
    <w:rsid w:val="00010667"/>
    <w:rsid w:val="00010F54"/>
    <w:rsid w:val="0001141A"/>
    <w:rsid w:val="000129D5"/>
    <w:rsid w:val="00013437"/>
    <w:rsid w:val="00013639"/>
    <w:rsid w:val="00015412"/>
    <w:rsid w:val="00015AE7"/>
    <w:rsid w:val="00016E21"/>
    <w:rsid w:val="0001719C"/>
    <w:rsid w:val="0002224E"/>
    <w:rsid w:val="000245E5"/>
    <w:rsid w:val="00026F91"/>
    <w:rsid w:val="000336D3"/>
    <w:rsid w:val="00040233"/>
    <w:rsid w:val="0004151A"/>
    <w:rsid w:val="00041F81"/>
    <w:rsid w:val="00043159"/>
    <w:rsid w:val="00045FB9"/>
    <w:rsid w:val="0004764C"/>
    <w:rsid w:val="0005011A"/>
    <w:rsid w:val="0005045A"/>
    <w:rsid w:val="00051C1E"/>
    <w:rsid w:val="000539F9"/>
    <w:rsid w:val="00053CF6"/>
    <w:rsid w:val="00053E36"/>
    <w:rsid w:val="00054C27"/>
    <w:rsid w:val="00055EC3"/>
    <w:rsid w:val="000563CE"/>
    <w:rsid w:val="00056545"/>
    <w:rsid w:val="00056AE3"/>
    <w:rsid w:val="000659B6"/>
    <w:rsid w:val="0006686F"/>
    <w:rsid w:val="0006722A"/>
    <w:rsid w:val="00070157"/>
    <w:rsid w:val="00071398"/>
    <w:rsid w:val="000718CC"/>
    <w:rsid w:val="00072335"/>
    <w:rsid w:val="000732CF"/>
    <w:rsid w:val="00075B96"/>
    <w:rsid w:val="0008196A"/>
    <w:rsid w:val="000822A1"/>
    <w:rsid w:val="0008280C"/>
    <w:rsid w:val="00084901"/>
    <w:rsid w:val="00086AA9"/>
    <w:rsid w:val="000915ED"/>
    <w:rsid w:val="0009209D"/>
    <w:rsid w:val="00092153"/>
    <w:rsid w:val="0009463C"/>
    <w:rsid w:val="000969BD"/>
    <w:rsid w:val="000969BF"/>
    <w:rsid w:val="000971BD"/>
    <w:rsid w:val="000A0C22"/>
    <w:rsid w:val="000A1400"/>
    <w:rsid w:val="000A3620"/>
    <w:rsid w:val="000A3C43"/>
    <w:rsid w:val="000A4A51"/>
    <w:rsid w:val="000A565F"/>
    <w:rsid w:val="000A5D2B"/>
    <w:rsid w:val="000B100F"/>
    <w:rsid w:val="000B4664"/>
    <w:rsid w:val="000B50CB"/>
    <w:rsid w:val="000B5AA6"/>
    <w:rsid w:val="000B5DE3"/>
    <w:rsid w:val="000C0A57"/>
    <w:rsid w:val="000C1661"/>
    <w:rsid w:val="000C230C"/>
    <w:rsid w:val="000C51AE"/>
    <w:rsid w:val="000C6605"/>
    <w:rsid w:val="000C6AB4"/>
    <w:rsid w:val="000C703E"/>
    <w:rsid w:val="000D71D9"/>
    <w:rsid w:val="000D76E0"/>
    <w:rsid w:val="000D7E8B"/>
    <w:rsid w:val="000E01F7"/>
    <w:rsid w:val="000E1076"/>
    <w:rsid w:val="000E1121"/>
    <w:rsid w:val="000E4449"/>
    <w:rsid w:val="000E4C10"/>
    <w:rsid w:val="000E6097"/>
    <w:rsid w:val="0010267F"/>
    <w:rsid w:val="00103829"/>
    <w:rsid w:val="00103F69"/>
    <w:rsid w:val="00105162"/>
    <w:rsid w:val="00106E78"/>
    <w:rsid w:val="001076E5"/>
    <w:rsid w:val="00111FCE"/>
    <w:rsid w:val="001127B3"/>
    <w:rsid w:val="00112AA5"/>
    <w:rsid w:val="00113F84"/>
    <w:rsid w:val="00115E54"/>
    <w:rsid w:val="00116F37"/>
    <w:rsid w:val="00121FD8"/>
    <w:rsid w:val="001229A5"/>
    <w:rsid w:val="001241E3"/>
    <w:rsid w:val="0012489B"/>
    <w:rsid w:val="00130017"/>
    <w:rsid w:val="00130F91"/>
    <w:rsid w:val="0013134D"/>
    <w:rsid w:val="001349ED"/>
    <w:rsid w:val="001364B5"/>
    <w:rsid w:val="00136837"/>
    <w:rsid w:val="00137424"/>
    <w:rsid w:val="00137499"/>
    <w:rsid w:val="0014020D"/>
    <w:rsid w:val="00140318"/>
    <w:rsid w:val="00141AD9"/>
    <w:rsid w:val="00141F63"/>
    <w:rsid w:val="00146765"/>
    <w:rsid w:val="00146CE6"/>
    <w:rsid w:val="00147764"/>
    <w:rsid w:val="001520CC"/>
    <w:rsid w:val="00152903"/>
    <w:rsid w:val="00153FD5"/>
    <w:rsid w:val="0015614F"/>
    <w:rsid w:val="001577C2"/>
    <w:rsid w:val="00157B4E"/>
    <w:rsid w:val="00162E26"/>
    <w:rsid w:val="001633C4"/>
    <w:rsid w:val="00166302"/>
    <w:rsid w:val="00166362"/>
    <w:rsid w:val="001704D5"/>
    <w:rsid w:val="00171296"/>
    <w:rsid w:val="00171591"/>
    <w:rsid w:val="00173981"/>
    <w:rsid w:val="0017719D"/>
    <w:rsid w:val="00183C14"/>
    <w:rsid w:val="00183FD7"/>
    <w:rsid w:val="00184BD1"/>
    <w:rsid w:val="001853F6"/>
    <w:rsid w:val="00185CAB"/>
    <w:rsid w:val="001875B7"/>
    <w:rsid w:val="00187CB3"/>
    <w:rsid w:val="00187E01"/>
    <w:rsid w:val="0019050A"/>
    <w:rsid w:val="001910D4"/>
    <w:rsid w:val="001950A6"/>
    <w:rsid w:val="00196380"/>
    <w:rsid w:val="001973D3"/>
    <w:rsid w:val="001976E3"/>
    <w:rsid w:val="00197974"/>
    <w:rsid w:val="001A44EC"/>
    <w:rsid w:val="001B017C"/>
    <w:rsid w:val="001B1FE6"/>
    <w:rsid w:val="001B28D9"/>
    <w:rsid w:val="001B58AA"/>
    <w:rsid w:val="001B7E48"/>
    <w:rsid w:val="001C17CE"/>
    <w:rsid w:val="001C2630"/>
    <w:rsid w:val="001C31C7"/>
    <w:rsid w:val="001C34D7"/>
    <w:rsid w:val="001C36CA"/>
    <w:rsid w:val="001C44D1"/>
    <w:rsid w:val="001C63E8"/>
    <w:rsid w:val="001C6528"/>
    <w:rsid w:val="001C6AEE"/>
    <w:rsid w:val="001C6CDD"/>
    <w:rsid w:val="001C7630"/>
    <w:rsid w:val="001D17D5"/>
    <w:rsid w:val="001D4DD0"/>
    <w:rsid w:val="001D53DD"/>
    <w:rsid w:val="001D6001"/>
    <w:rsid w:val="001D6D15"/>
    <w:rsid w:val="001D7E26"/>
    <w:rsid w:val="001E61ED"/>
    <w:rsid w:val="001E7AB8"/>
    <w:rsid w:val="001F3D51"/>
    <w:rsid w:val="001F418D"/>
    <w:rsid w:val="001F6BC2"/>
    <w:rsid w:val="001F7558"/>
    <w:rsid w:val="001F7F42"/>
    <w:rsid w:val="00200AE2"/>
    <w:rsid w:val="00205B57"/>
    <w:rsid w:val="00211DCD"/>
    <w:rsid w:val="00214DD9"/>
    <w:rsid w:val="002157E0"/>
    <w:rsid w:val="00216A57"/>
    <w:rsid w:val="00217448"/>
    <w:rsid w:val="0022334F"/>
    <w:rsid w:val="00223D03"/>
    <w:rsid w:val="0022402B"/>
    <w:rsid w:val="002243DE"/>
    <w:rsid w:val="00226819"/>
    <w:rsid w:val="002316A5"/>
    <w:rsid w:val="002321D3"/>
    <w:rsid w:val="00233101"/>
    <w:rsid w:val="00233817"/>
    <w:rsid w:val="002348BA"/>
    <w:rsid w:val="002367FF"/>
    <w:rsid w:val="00236F9F"/>
    <w:rsid w:val="00240CE9"/>
    <w:rsid w:val="002434BA"/>
    <w:rsid w:val="00243DB3"/>
    <w:rsid w:val="0024418E"/>
    <w:rsid w:val="00246089"/>
    <w:rsid w:val="00246093"/>
    <w:rsid w:val="00246702"/>
    <w:rsid w:val="002468BF"/>
    <w:rsid w:val="00247C59"/>
    <w:rsid w:val="00247F2E"/>
    <w:rsid w:val="00250ADC"/>
    <w:rsid w:val="00250B07"/>
    <w:rsid w:val="00250D38"/>
    <w:rsid w:val="00254BC7"/>
    <w:rsid w:val="00257553"/>
    <w:rsid w:val="002603FD"/>
    <w:rsid w:val="00260FB2"/>
    <w:rsid w:val="002616D6"/>
    <w:rsid w:val="00261B8F"/>
    <w:rsid w:val="00262128"/>
    <w:rsid w:val="00264592"/>
    <w:rsid w:val="002710C1"/>
    <w:rsid w:val="0027127A"/>
    <w:rsid w:val="0027165D"/>
    <w:rsid w:val="00273179"/>
    <w:rsid w:val="00273CEB"/>
    <w:rsid w:val="00280ACF"/>
    <w:rsid w:val="002819AC"/>
    <w:rsid w:val="00281C89"/>
    <w:rsid w:val="0028282F"/>
    <w:rsid w:val="00284A74"/>
    <w:rsid w:val="00291381"/>
    <w:rsid w:val="00292443"/>
    <w:rsid w:val="0029593B"/>
    <w:rsid w:val="00297FC5"/>
    <w:rsid w:val="002A014B"/>
    <w:rsid w:val="002A0417"/>
    <w:rsid w:val="002A16D8"/>
    <w:rsid w:val="002A1BC8"/>
    <w:rsid w:val="002A2517"/>
    <w:rsid w:val="002A3EF2"/>
    <w:rsid w:val="002A76FF"/>
    <w:rsid w:val="002B0DED"/>
    <w:rsid w:val="002B19A2"/>
    <w:rsid w:val="002B2FE9"/>
    <w:rsid w:val="002B3096"/>
    <w:rsid w:val="002B381A"/>
    <w:rsid w:val="002B4FCC"/>
    <w:rsid w:val="002B7408"/>
    <w:rsid w:val="002B7CFD"/>
    <w:rsid w:val="002C03CE"/>
    <w:rsid w:val="002C210F"/>
    <w:rsid w:val="002C2C64"/>
    <w:rsid w:val="002C4EC6"/>
    <w:rsid w:val="002C5829"/>
    <w:rsid w:val="002D3600"/>
    <w:rsid w:val="002D4B09"/>
    <w:rsid w:val="002D66DD"/>
    <w:rsid w:val="002E4DDC"/>
    <w:rsid w:val="002E4FBA"/>
    <w:rsid w:val="002E6330"/>
    <w:rsid w:val="002E72ED"/>
    <w:rsid w:val="002F00E6"/>
    <w:rsid w:val="002F07A3"/>
    <w:rsid w:val="002F0D2A"/>
    <w:rsid w:val="002F3236"/>
    <w:rsid w:val="002F70A4"/>
    <w:rsid w:val="002F78D6"/>
    <w:rsid w:val="003019D2"/>
    <w:rsid w:val="00302480"/>
    <w:rsid w:val="00302758"/>
    <w:rsid w:val="00306C2C"/>
    <w:rsid w:val="0031028D"/>
    <w:rsid w:val="00312BDD"/>
    <w:rsid w:val="003165E6"/>
    <w:rsid w:val="003215B5"/>
    <w:rsid w:val="003221CF"/>
    <w:rsid w:val="003233ED"/>
    <w:rsid w:val="00324D9F"/>
    <w:rsid w:val="00327948"/>
    <w:rsid w:val="0033000F"/>
    <w:rsid w:val="003319C0"/>
    <w:rsid w:val="00332011"/>
    <w:rsid w:val="0033210B"/>
    <w:rsid w:val="00332518"/>
    <w:rsid w:val="00332925"/>
    <w:rsid w:val="003332ED"/>
    <w:rsid w:val="003368DC"/>
    <w:rsid w:val="00336B7E"/>
    <w:rsid w:val="003409F6"/>
    <w:rsid w:val="00341BA8"/>
    <w:rsid w:val="00345927"/>
    <w:rsid w:val="00345A84"/>
    <w:rsid w:val="0034702B"/>
    <w:rsid w:val="00350584"/>
    <w:rsid w:val="00351857"/>
    <w:rsid w:val="00351DD4"/>
    <w:rsid w:val="00351FAF"/>
    <w:rsid w:val="00352AE3"/>
    <w:rsid w:val="003532A1"/>
    <w:rsid w:val="003535FF"/>
    <w:rsid w:val="00353A0A"/>
    <w:rsid w:val="003545E8"/>
    <w:rsid w:val="00360757"/>
    <w:rsid w:val="003610E1"/>
    <w:rsid w:val="00364229"/>
    <w:rsid w:val="00366864"/>
    <w:rsid w:val="003671BE"/>
    <w:rsid w:val="00367F20"/>
    <w:rsid w:val="00371906"/>
    <w:rsid w:val="00372485"/>
    <w:rsid w:val="00373200"/>
    <w:rsid w:val="00375112"/>
    <w:rsid w:val="00375EF5"/>
    <w:rsid w:val="003767A5"/>
    <w:rsid w:val="00380272"/>
    <w:rsid w:val="00381D15"/>
    <w:rsid w:val="00383E57"/>
    <w:rsid w:val="00385254"/>
    <w:rsid w:val="0039599A"/>
    <w:rsid w:val="003974A3"/>
    <w:rsid w:val="003A04DB"/>
    <w:rsid w:val="003A4CC0"/>
    <w:rsid w:val="003A5F5B"/>
    <w:rsid w:val="003A7504"/>
    <w:rsid w:val="003A789A"/>
    <w:rsid w:val="003B12EC"/>
    <w:rsid w:val="003B3595"/>
    <w:rsid w:val="003B7438"/>
    <w:rsid w:val="003B74B8"/>
    <w:rsid w:val="003C0226"/>
    <w:rsid w:val="003C09B4"/>
    <w:rsid w:val="003C232E"/>
    <w:rsid w:val="003C5232"/>
    <w:rsid w:val="003C5A21"/>
    <w:rsid w:val="003C6EEB"/>
    <w:rsid w:val="003C77E0"/>
    <w:rsid w:val="003D17D7"/>
    <w:rsid w:val="003D2678"/>
    <w:rsid w:val="003D28EE"/>
    <w:rsid w:val="003D4440"/>
    <w:rsid w:val="003D4CC5"/>
    <w:rsid w:val="003D71A3"/>
    <w:rsid w:val="003D79AB"/>
    <w:rsid w:val="003E2B8A"/>
    <w:rsid w:val="003E4542"/>
    <w:rsid w:val="003F08D8"/>
    <w:rsid w:val="003F10EE"/>
    <w:rsid w:val="003F16F6"/>
    <w:rsid w:val="003F296B"/>
    <w:rsid w:val="003F2CDD"/>
    <w:rsid w:val="003F3178"/>
    <w:rsid w:val="003F3D67"/>
    <w:rsid w:val="003F4DC7"/>
    <w:rsid w:val="003F5235"/>
    <w:rsid w:val="003F6549"/>
    <w:rsid w:val="0040147B"/>
    <w:rsid w:val="004027E4"/>
    <w:rsid w:val="00404537"/>
    <w:rsid w:val="0040660E"/>
    <w:rsid w:val="00406B2A"/>
    <w:rsid w:val="0041071D"/>
    <w:rsid w:val="00414AFC"/>
    <w:rsid w:val="00414C30"/>
    <w:rsid w:val="004151A7"/>
    <w:rsid w:val="00415310"/>
    <w:rsid w:val="00421709"/>
    <w:rsid w:val="00422C0F"/>
    <w:rsid w:val="0042337E"/>
    <w:rsid w:val="00423763"/>
    <w:rsid w:val="004253B6"/>
    <w:rsid w:val="0042607D"/>
    <w:rsid w:val="00426426"/>
    <w:rsid w:val="0042762F"/>
    <w:rsid w:val="00427DC7"/>
    <w:rsid w:val="00431613"/>
    <w:rsid w:val="00431792"/>
    <w:rsid w:val="0043297A"/>
    <w:rsid w:val="00432EB2"/>
    <w:rsid w:val="00433DAC"/>
    <w:rsid w:val="00434C0E"/>
    <w:rsid w:val="0043714F"/>
    <w:rsid w:val="00442196"/>
    <w:rsid w:val="004430AE"/>
    <w:rsid w:val="004438B5"/>
    <w:rsid w:val="00444EC5"/>
    <w:rsid w:val="00447037"/>
    <w:rsid w:val="004511C5"/>
    <w:rsid w:val="0045124D"/>
    <w:rsid w:val="00454596"/>
    <w:rsid w:val="0045605D"/>
    <w:rsid w:val="00457850"/>
    <w:rsid w:val="0046135B"/>
    <w:rsid w:val="00461D47"/>
    <w:rsid w:val="00463A43"/>
    <w:rsid w:val="00465EDA"/>
    <w:rsid w:val="004705A6"/>
    <w:rsid w:val="004718CC"/>
    <w:rsid w:val="00473A1F"/>
    <w:rsid w:val="00473C55"/>
    <w:rsid w:val="004752B2"/>
    <w:rsid w:val="0047675A"/>
    <w:rsid w:val="00480577"/>
    <w:rsid w:val="00481695"/>
    <w:rsid w:val="00490428"/>
    <w:rsid w:val="00494B95"/>
    <w:rsid w:val="00495A96"/>
    <w:rsid w:val="00495BB3"/>
    <w:rsid w:val="004966D7"/>
    <w:rsid w:val="004977F9"/>
    <w:rsid w:val="004A01DE"/>
    <w:rsid w:val="004A03A2"/>
    <w:rsid w:val="004A56BB"/>
    <w:rsid w:val="004A70D6"/>
    <w:rsid w:val="004B1180"/>
    <w:rsid w:val="004B1751"/>
    <w:rsid w:val="004B4332"/>
    <w:rsid w:val="004B7891"/>
    <w:rsid w:val="004C0253"/>
    <w:rsid w:val="004C0903"/>
    <w:rsid w:val="004C233F"/>
    <w:rsid w:val="004D0E5A"/>
    <w:rsid w:val="004D2344"/>
    <w:rsid w:val="004D314D"/>
    <w:rsid w:val="004D56FF"/>
    <w:rsid w:val="004D7937"/>
    <w:rsid w:val="004E2C81"/>
    <w:rsid w:val="004E39D3"/>
    <w:rsid w:val="004E508A"/>
    <w:rsid w:val="004E52C0"/>
    <w:rsid w:val="004E616D"/>
    <w:rsid w:val="004F1BDE"/>
    <w:rsid w:val="004F21CD"/>
    <w:rsid w:val="004F2CEE"/>
    <w:rsid w:val="004F556E"/>
    <w:rsid w:val="004F591C"/>
    <w:rsid w:val="004F7F44"/>
    <w:rsid w:val="00501F6E"/>
    <w:rsid w:val="005037B4"/>
    <w:rsid w:val="00504EAC"/>
    <w:rsid w:val="005069F9"/>
    <w:rsid w:val="005079BF"/>
    <w:rsid w:val="00510C30"/>
    <w:rsid w:val="0051269A"/>
    <w:rsid w:val="00512F96"/>
    <w:rsid w:val="005144FA"/>
    <w:rsid w:val="00517213"/>
    <w:rsid w:val="005219E7"/>
    <w:rsid w:val="00521DD8"/>
    <w:rsid w:val="00521ED4"/>
    <w:rsid w:val="00525728"/>
    <w:rsid w:val="00531030"/>
    <w:rsid w:val="00531B9A"/>
    <w:rsid w:val="00531D15"/>
    <w:rsid w:val="005375F6"/>
    <w:rsid w:val="00537604"/>
    <w:rsid w:val="005403CA"/>
    <w:rsid w:val="00542377"/>
    <w:rsid w:val="00542EBD"/>
    <w:rsid w:val="0054760B"/>
    <w:rsid w:val="005476EB"/>
    <w:rsid w:val="00551782"/>
    <w:rsid w:val="00554846"/>
    <w:rsid w:val="005553A1"/>
    <w:rsid w:val="00563EF1"/>
    <w:rsid w:val="00564E53"/>
    <w:rsid w:val="00566AB4"/>
    <w:rsid w:val="0056761B"/>
    <w:rsid w:val="005741E8"/>
    <w:rsid w:val="0057453C"/>
    <w:rsid w:val="00575ABE"/>
    <w:rsid w:val="00575AC5"/>
    <w:rsid w:val="0057605D"/>
    <w:rsid w:val="0057644A"/>
    <w:rsid w:val="005773C1"/>
    <w:rsid w:val="0058023A"/>
    <w:rsid w:val="00581347"/>
    <w:rsid w:val="00581A6E"/>
    <w:rsid w:val="00581AC9"/>
    <w:rsid w:val="005849F8"/>
    <w:rsid w:val="005873D6"/>
    <w:rsid w:val="0059116C"/>
    <w:rsid w:val="005919E0"/>
    <w:rsid w:val="00593843"/>
    <w:rsid w:val="005938DF"/>
    <w:rsid w:val="00594E9C"/>
    <w:rsid w:val="0059669D"/>
    <w:rsid w:val="005977EF"/>
    <w:rsid w:val="005A099B"/>
    <w:rsid w:val="005A2D9C"/>
    <w:rsid w:val="005A55FE"/>
    <w:rsid w:val="005A6656"/>
    <w:rsid w:val="005A6A11"/>
    <w:rsid w:val="005B07FA"/>
    <w:rsid w:val="005B16BB"/>
    <w:rsid w:val="005D1D20"/>
    <w:rsid w:val="005D2502"/>
    <w:rsid w:val="005D2E9F"/>
    <w:rsid w:val="005D40BB"/>
    <w:rsid w:val="005D47F3"/>
    <w:rsid w:val="005D49BF"/>
    <w:rsid w:val="005D4AA5"/>
    <w:rsid w:val="005D4AD6"/>
    <w:rsid w:val="005D6F4E"/>
    <w:rsid w:val="005D7C73"/>
    <w:rsid w:val="005E1547"/>
    <w:rsid w:val="005E250B"/>
    <w:rsid w:val="005E3ACD"/>
    <w:rsid w:val="005E6E74"/>
    <w:rsid w:val="005E7226"/>
    <w:rsid w:val="005E7A57"/>
    <w:rsid w:val="005F1A86"/>
    <w:rsid w:val="005F1DB0"/>
    <w:rsid w:val="005F20E8"/>
    <w:rsid w:val="005F24B0"/>
    <w:rsid w:val="005F3556"/>
    <w:rsid w:val="005F3F3F"/>
    <w:rsid w:val="006012DC"/>
    <w:rsid w:val="006012E9"/>
    <w:rsid w:val="00601B57"/>
    <w:rsid w:val="0060253F"/>
    <w:rsid w:val="006025F5"/>
    <w:rsid w:val="00602E76"/>
    <w:rsid w:val="0060379F"/>
    <w:rsid w:val="00604315"/>
    <w:rsid w:val="00604E26"/>
    <w:rsid w:val="0060523F"/>
    <w:rsid w:val="006052CF"/>
    <w:rsid w:val="00605E78"/>
    <w:rsid w:val="00607B8D"/>
    <w:rsid w:val="00611F5C"/>
    <w:rsid w:val="00616E09"/>
    <w:rsid w:val="00622A3B"/>
    <w:rsid w:val="00622EEA"/>
    <w:rsid w:val="0062396C"/>
    <w:rsid w:val="00623FF9"/>
    <w:rsid w:val="006274E7"/>
    <w:rsid w:val="00627700"/>
    <w:rsid w:val="00627D4E"/>
    <w:rsid w:val="00632B89"/>
    <w:rsid w:val="0063346D"/>
    <w:rsid w:val="00634478"/>
    <w:rsid w:val="006442E9"/>
    <w:rsid w:val="00644373"/>
    <w:rsid w:val="00645915"/>
    <w:rsid w:val="00647BE8"/>
    <w:rsid w:val="006519C3"/>
    <w:rsid w:val="006523A6"/>
    <w:rsid w:val="00652B30"/>
    <w:rsid w:val="00655F1C"/>
    <w:rsid w:val="00656345"/>
    <w:rsid w:val="00656DC6"/>
    <w:rsid w:val="00656F8D"/>
    <w:rsid w:val="00660EC6"/>
    <w:rsid w:val="00664110"/>
    <w:rsid w:val="00664D17"/>
    <w:rsid w:val="00666520"/>
    <w:rsid w:val="0066747C"/>
    <w:rsid w:val="00667C5B"/>
    <w:rsid w:val="00675E9E"/>
    <w:rsid w:val="00680320"/>
    <w:rsid w:val="00687447"/>
    <w:rsid w:val="00691EB8"/>
    <w:rsid w:val="00692CDE"/>
    <w:rsid w:val="00693073"/>
    <w:rsid w:val="00693FC9"/>
    <w:rsid w:val="0069414D"/>
    <w:rsid w:val="00694424"/>
    <w:rsid w:val="006977FF"/>
    <w:rsid w:val="006A01FA"/>
    <w:rsid w:val="006A0E9E"/>
    <w:rsid w:val="006A14BF"/>
    <w:rsid w:val="006A25C7"/>
    <w:rsid w:val="006A4AAD"/>
    <w:rsid w:val="006A6DA2"/>
    <w:rsid w:val="006A7519"/>
    <w:rsid w:val="006A7AB2"/>
    <w:rsid w:val="006B1262"/>
    <w:rsid w:val="006B1840"/>
    <w:rsid w:val="006B52DE"/>
    <w:rsid w:val="006B5717"/>
    <w:rsid w:val="006B582F"/>
    <w:rsid w:val="006B5EB2"/>
    <w:rsid w:val="006B67FB"/>
    <w:rsid w:val="006C0CEB"/>
    <w:rsid w:val="006C1631"/>
    <w:rsid w:val="006C3095"/>
    <w:rsid w:val="006C3551"/>
    <w:rsid w:val="006C3B1E"/>
    <w:rsid w:val="006C47FD"/>
    <w:rsid w:val="006C5C19"/>
    <w:rsid w:val="006C70A0"/>
    <w:rsid w:val="006C730B"/>
    <w:rsid w:val="006D220E"/>
    <w:rsid w:val="006D27CB"/>
    <w:rsid w:val="006D2F08"/>
    <w:rsid w:val="006D2F22"/>
    <w:rsid w:val="006D3639"/>
    <w:rsid w:val="006D576C"/>
    <w:rsid w:val="006D5865"/>
    <w:rsid w:val="006D6469"/>
    <w:rsid w:val="006D6907"/>
    <w:rsid w:val="006D70C7"/>
    <w:rsid w:val="006E08DC"/>
    <w:rsid w:val="006E11C3"/>
    <w:rsid w:val="006E1CA4"/>
    <w:rsid w:val="006E3FD2"/>
    <w:rsid w:val="006E4B1B"/>
    <w:rsid w:val="006E5445"/>
    <w:rsid w:val="006E7D93"/>
    <w:rsid w:val="006F0AD4"/>
    <w:rsid w:val="006F4DCE"/>
    <w:rsid w:val="006F66CB"/>
    <w:rsid w:val="00702171"/>
    <w:rsid w:val="007029A3"/>
    <w:rsid w:val="00702EA1"/>
    <w:rsid w:val="007032EE"/>
    <w:rsid w:val="00706E4E"/>
    <w:rsid w:val="0070791C"/>
    <w:rsid w:val="00710D03"/>
    <w:rsid w:val="0071383C"/>
    <w:rsid w:val="007141A7"/>
    <w:rsid w:val="007152CD"/>
    <w:rsid w:val="00715626"/>
    <w:rsid w:val="00715722"/>
    <w:rsid w:val="00721032"/>
    <w:rsid w:val="00721B55"/>
    <w:rsid w:val="007251F3"/>
    <w:rsid w:val="00726CE4"/>
    <w:rsid w:val="007312C1"/>
    <w:rsid w:val="00731C87"/>
    <w:rsid w:val="00734143"/>
    <w:rsid w:val="007376D8"/>
    <w:rsid w:val="00737E47"/>
    <w:rsid w:val="00740EAC"/>
    <w:rsid w:val="007418D2"/>
    <w:rsid w:val="007430E6"/>
    <w:rsid w:val="00744956"/>
    <w:rsid w:val="007458A6"/>
    <w:rsid w:val="00745A5C"/>
    <w:rsid w:val="0074605F"/>
    <w:rsid w:val="007465DE"/>
    <w:rsid w:val="00747E94"/>
    <w:rsid w:val="00754C83"/>
    <w:rsid w:val="00761E5C"/>
    <w:rsid w:val="00763230"/>
    <w:rsid w:val="00765DF8"/>
    <w:rsid w:val="00766749"/>
    <w:rsid w:val="00767C1B"/>
    <w:rsid w:val="007714A9"/>
    <w:rsid w:val="00771BED"/>
    <w:rsid w:val="007721A9"/>
    <w:rsid w:val="00774F88"/>
    <w:rsid w:val="00774FDB"/>
    <w:rsid w:val="00777A8D"/>
    <w:rsid w:val="00777BA2"/>
    <w:rsid w:val="00780F0F"/>
    <w:rsid w:val="00781408"/>
    <w:rsid w:val="00782469"/>
    <w:rsid w:val="00784CA8"/>
    <w:rsid w:val="00784EF1"/>
    <w:rsid w:val="00784F7F"/>
    <w:rsid w:val="00785353"/>
    <w:rsid w:val="007878BD"/>
    <w:rsid w:val="00791550"/>
    <w:rsid w:val="00796F25"/>
    <w:rsid w:val="007A2E98"/>
    <w:rsid w:val="007A3BA3"/>
    <w:rsid w:val="007A49EF"/>
    <w:rsid w:val="007A6CC0"/>
    <w:rsid w:val="007A7FEC"/>
    <w:rsid w:val="007B1499"/>
    <w:rsid w:val="007B1BBF"/>
    <w:rsid w:val="007B2960"/>
    <w:rsid w:val="007B2C6B"/>
    <w:rsid w:val="007B305B"/>
    <w:rsid w:val="007B355D"/>
    <w:rsid w:val="007B6367"/>
    <w:rsid w:val="007B7666"/>
    <w:rsid w:val="007B7980"/>
    <w:rsid w:val="007C0DEF"/>
    <w:rsid w:val="007C2F60"/>
    <w:rsid w:val="007C5D5A"/>
    <w:rsid w:val="007C607F"/>
    <w:rsid w:val="007C6E44"/>
    <w:rsid w:val="007C79DD"/>
    <w:rsid w:val="007C7C0D"/>
    <w:rsid w:val="007D1A97"/>
    <w:rsid w:val="007D298D"/>
    <w:rsid w:val="007D2CD6"/>
    <w:rsid w:val="007D3063"/>
    <w:rsid w:val="007D3CEB"/>
    <w:rsid w:val="007D6690"/>
    <w:rsid w:val="007D7ED4"/>
    <w:rsid w:val="007E1BB4"/>
    <w:rsid w:val="007E24B2"/>
    <w:rsid w:val="007E3105"/>
    <w:rsid w:val="007E3375"/>
    <w:rsid w:val="007E7180"/>
    <w:rsid w:val="007E7683"/>
    <w:rsid w:val="007F49FA"/>
    <w:rsid w:val="007F54C4"/>
    <w:rsid w:val="007F689E"/>
    <w:rsid w:val="007F6E9A"/>
    <w:rsid w:val="00800CCD"/>
    <w:rsid w:val="00802165"/>
    <w:rsid w:val="00803181"/>
    <w:rsid w:val="008044D4"/>
    <w:rsid w:val="0080458C"/>
    <w:rsid w:val="008102BC"/>
    <w:rsid w:val="00810AB4"/>
    <w:rsid w:val="00817B56"/>
    <w:rsid w:val="00820165"/>
    <w:rsid w:val="00821A88"/>
    <w:rsid w:val="0082495D"/>
    <w:rsid w:val="00831AC3"/>
    <w:rsid w:val="0083671E"/>
    <w:rsid w:val="00836FCE"/>
    <w:rsid w:val="008408FF"/>
    <w:rsid w:val="00844003"/>
    <w:rsid w:val="008471B7"/>
    <w:rsid w:val="00847EFA"/>
    <w:rsid w:val="00851F3F"/>
    <w:rsid w:val="008552C3"/>
    <w:rsid w:val="0085618F"/>
    <w:rsid w:val="00856EDC"/>
    <w:rsid w:val="00857F48"/>
    <w:rsid w:val="008623B5"/>
    <w:rsid w:val="008633B3"/>
    <w:rsid w:val="008640E7"/>
    <w:rsid w:val="00866D7E"/>
    <w:rsid w:val="00870ABA"/>
    <w:rsid w:val="008710E1"/>
    <w:rsid w:val="008716E5"/>
    <w:rsid w:val="00874BEE"/>
    <w:rsid w:val="0087752A"/>
    <w:rsid w:val="00881CA9"/>
    <w:rsid w:val="0088278C"/>
    <w:rsid w:val="00883628"/>
    <w:rsid w:val="00885544"/>
    <w:rsid w:val="0088634E"/>
    <w:rsid w:val="00892B17"/>
    <w:rsid w:val="00893921"/>
    <w:rsid w:val="00893AB8"/>
    <w:rsid w:val="008A04C8"/>
    <w:rsid w:val="008A3601"/>
    <w:rsid w:val="008A3950"/>
    <w:rsid w:val="008A6913"/>
    <w:rsid w:val="008A727B"/>
    <w:rsid w:val="008B62B7"/>
    <w:rsid w:val="008B70F3"/>
    <w:rsid w:val="008B71C4"/>
    <w:rsid w:val="008B733A"/>
    <w:rsid w:val="008B76DF"/>
    <w:rsid w:val="008B795A"/>
    <w:rsid w:val="008C0852"/>
    <w:rsid w:val="008C0F6C"/>
    <w:rsid w:val="008C10F4"/>
    <w:rsid w:val="008C4665"/>
    <w:rsid w:val="008C5455"/>
    <w:rsid w:val="008C65F7"/>
    <w:rsid w:val="008D0963"/>
    <w:rsid w:val="008D0D46"/>
    <w:rsid w:val="008D1BD6"/>
    <w:rsid w:val="008D5E2A"/>
    <w:rsid w:val="008D5EA8"/>
    <w:rsid w:val="008E0240"/>
    <w:rsid w:val="008E15F1"/>
    <w:rsid w:val="008E4767"/>
    <w:rsid w:val="008E5420"/>
    <w:rsid w:val="008E5EBF"/>
    <w:rsid w:val="008E75EF"/>
    <w:rsid w:val="008E7A8C"/>
    <w:rsid w:val="008E7B97"/>
    <w:rsid w:val="008F0A8F"/>
    <w:rsid w:val="008F67E9"/>
    <w:rsid w:val="008F7C81"/>
    <w:rsid w:val="0090193B"/>
    <w:rsid w:val="0090203B"/>
    <w:rsid w:val="00903285"/>
    <w:rsid w:val="0090445C"/>
    <w:rsid w:val="00904C97"/>
    <w:rsid w:val="00905389"/>
    <w:rsid w:val="00906F40"/>
    <w:rsid w:val="0090731E"/>
    <w:rsid w:val="00907B57"/>
    <w:rsid w:val="00907E76"/>
    <w:rsid w:val="00914C14"/>
    <w:rsid w:val="00915B1C"/>
    <w:rsid w:val="009160C0"/>
    <w:rsid w:val="009162F0"/>
    <w:rsid w:val="009174F3"/>
    <w:rsid w:val="0091797D"/>
    <w:rsid w:val="00917D43"/>
    <w:rsid w:val="009206C0"/>
    <w:rsid w:val="0092279F"/>
    <w:rsid w:val="009229AB"/>
    <w:rsid w:val="00923CBA"/>
    <w:rsid w:val="009242EB"/>
    <w:rsid w:val="00926703"/>
    <w:rsid w:val="00927691"/>
    <w:rsid w:val="00927A5F"/>
    <w:rsid w:val="00930510"/>
    <w:rsid w:val="0093550C"/>
    <w:rsid w:val="00935B63"/>
    <w:rsid w:val="009375A8"/>
    <w:rsid w:val="0094078F"/>
    <w:rsid w:val="00940FA3"/>
    <w:rsid w:val="00941FB0"/>
    <w:rsid w:val="009426D4"/>
    <w:rsid w:val="00943E3D"/>
    <w:rsid w:val="009460F3"/>
    <w:rsid w:val="00947F25"/>
    <w:rsid w:val="00950159"/>
    <w:rsid w:val="00952EC3"/>
    <w:rsid w:val="0095382A"/>
    <w:rsid w:val="0095490B"/>
    <w:rsid w:val="00954F7E"/>
    <w:rsid w:val="00955DDC"/>
    <w:rsid w:val="009563CD"/>
    <w:rsid w:val="009576A8"/>
    <w:rsid w:val="00960A33"/>
    <w:rsid w:val="00961950"/>
    <w:rsid w:val="00966D39"/>
    <w:rsid w:val="009712DC"/>
    <w:rsid w:val="00971914"/>
    <w:rsid w:val="00971DBD"/>
    <w:rsid w:val="00974363"/>
    <w:rsid w:val="00974483"/>
    <w:rsid w:val="009744D3"/>
    <w:rsid w:val="00981898"/>
    <w:rsid w:val="009823F3"/>
    <w:rsid w:val="0098363D"/>
    <w:rsid w:val="00983F12"/>
    <w:rsid w:val="00987E86"/>
    <w:rsid w:val="0099577C"/>
    <w:rsid w:val="009972F1"/>
    <w:rsid w:val="009977CC"/>
    <w:rsid w:val="009A08E9"/>
    <w:rsid w:val="009A172E"/>
    <w:rsid w:val="009B24A5"/>
    <w:rsid w:val="009B2601"/>
    <w:rsid w:val="009B26BA"/>
    <w:rsid w:val="009B2DE6"/>
    <w:rsid w:val="009B4238"/>
    <w:rsid w:val="009B4E9E"/>
    <w:rsid w:val="009B6F0F"/>
    <w:rsid w:val="009B7757"/>
    <w:rsid w:val="009C069D"/>
    <w:rsid w:val="009C1690"/>
    <w:rsid w:val="009C2551"/>
    <w:rsid w:val="009C6881"/>
    <w:rsid w:val="009C7759"/>
    <w:rsid w:val="009D043D"/>
    <w:rsid w:val="009D07C8"/>
    <w:rsid w:val="009D1D05"/>
    <w:rsid w:val="009D2080"/>
    <w:rsid w:val="009D2C43"/>
    <w:rsid w:val="009D3F8A"/>
    <w:rsid w:val="009D6C71"/>
    <w:rsid w:val="009E0631"/>
    <w:rsid w:val="009E16D0"/>
    <w:rsid w:val="009E2051"/>
    <w:rsid w:val="009E38FD"/>
    <w:rsid w:val="009E469F"/>
    <w:rsid w:val="009F13D6"/>
    <w:rsid w:val="009F154C"/>
    <w:rsid w:val="009F4C6B"/>
    <w:rsid w:val="009F78A8"/>
    <w:rsid w:val="00A02AD6"/>
    <w:rsid w:val="00A07096"/>
    <w:rsid w:val="00A07318"/>
    <w:rsid w:val="00A11370"/>
    <w:rsid w:val="00A16046"/>
    <w:rsid w:val="00A16821"/>
    <w:rsid w:val="00A207FF"/>
    <w:rsid w:val="00A221CC"/>
    <w:rsid w:val="00A224CE"/>
    <w:rsid w:val="00A22522"/>
    <w:rsid w:val="00A23B15"/>
    <w:rsid w:val="00A2440D"/>
    <w:rsid w:val="00A24882"/>
    <w:rsid w:val="00A24AFD"/>
    <w:rsid w:val="00A24F5C"/>
    <w:rsid w:val="00A32F96"/>
    <w:rsid w:val="00A40195"/>
    <w:rsid w:val="00A40871"/>
    <w:rsid w:val="00A412AB"/>
    <w:rsid w:val="00A4193E"/>
    <w:rsid w:val="00A434CD"/>
    <w:rsid w:val="00A440E0"/>
    <w:rsid w:val="00A442EF"/>
    <w:rsid w:val="00A45F2B"/>
    <w:rsid w:val="00A5122A"/>
    <w:rsid w:val="00A51D1A"/>
    <w:rsid w:val="00A52310"/>
    <w:rsid w:val="00A5418D"/>
    <w:rsid w:val="00A5474E"/>
    <w:rsid w:val="00A54FB6"/>
    <w:rsid w:val="00A55A94"/>
    <w:rsid w:val="00A562CE"/>
    <w:rsid w:val="00A57603"/>
    <w:rsid w:val="00A616DC"/>
    <w:rsid w:val="00A62DBB"/>
    <w:rsid w:val="00A64234"/>
    <w:rsid w:val="00A66A1B"/>
    <w:rsid w:val="00A67F1B"/>
    <w:rsid w:val="00A70ADF"/>
    <w:rsid w:val="00A71466"/>
    <w:rsid w:val="00A72573"/>
    <w:rsid w:val="00A74B5E"/>
    <w:rsid w:val="00A81BED"/>
    <w:rsid w:val="00A81EC4"/>
    <w:rsid w:val="00A824E8"/>
    <w:rsid w:val="00A83E9A"/>
    <w:rsid w:val="00A92215"/>
    <w:rsid w:val="00A94065"/>
    <w:rsid w:val="00A967FD"/>
    <w:rsid w:val="00AA1221"/>
    <w:rsid w:val="00AA2DE5"/>
    <w:rsid w:val="00AB05A0"/>
    <w:rsid w:val="00AB156C"/>
    <w:rsid w:val="00AB2241"/>
    <w:rsid w:val="00AB6814"/>
    <w:rsid w:val="00AB7699"/>
    <w:rsid w:val="00AB7A23"/>
    <w:rsid w:val="00AB7D73"/>
    <w:rsid w:val="00AC04BA"/>
    <w:rsid w:val="00AC0E39"/>
    <w:rsid w:val="00AC3FBF"/>
    <w:rsid w:val="00AC45DD"/>
    <w:rsid w:val="00AC63B4"/>
    <w:rsid w:val="00AD1D92"/>
    <w:rsid w:val="00AD3082"/>
    <w:rsid w:val="00AD32B4"/>
    <w:rsid w:val="00AD47EF"/>
    <w:rsid w:val="00AD4A79"/>
    <w:rsid w:val="00AD4AD0"/>
    <w:rsid w:val="00AD5436"/>
    <w:rsid w:val="00AD60CD"/>
    <w:rsid w:val="00AD6C8C"/>
    <w:rsid w:val="00AE091D"/>
    <w:rsid w:val="00AE0CC9"/>
    <w:rsid w:val="00AE1BAE"/>
    <w:rsid w:val="00AE3B60"/>
    <w:rsid w:val="00AE4D93"/>
    <w:rsid w:val="00AE53A1"/>
    <w:rsid w:val="00AE577E"/>
    <w:rsid w:val="00AE6D86"/>
    <w:rsid w:val="00AF1D2A"/>
    <w:rsid w:val="00AF2484"/>
    <w:rsid w:val="00AF63E7"/>
    <w:rsid w:val="00AF6C57"/>
    <w:rsid w:val="00AF6E17"/>
    <w:rsid w:val="00AF6F2C"/>
    <w:rsid w:val="00B0165D"/>
    <w:rsid w:val="00B01B60"/>
    <w:rsid w:val="00B031F3"/>
    <w:rsid w:val="00B043E4"/>
    <w:rsid w:val="00B04431"/>
    <w:rsid w:val="00B052A4"/>
    <w:rsid w:val="00B103F2"/>
    <w:rsid w:val="00B125DE"/>
    <w:rsid w:val="00B13FDD"/>
    <w:rsid w:val="00B15517"/>
    <w:rsid w:val="00B226E6"/>
    <w:rsid w:val="00B22EB2"/>
    <w:rsid w:val="00B26B94"/>
    <w:rsid w:val="00B27442"/>
    <w:rsid w:val="00B31167"/>
    <w:rsid w:val="00B31FF6"/>
    <w:rsid w:val="00B329D8"/>
    <w:rsid w:val="00B32BB9"/>
    <w:rsid w:val="00B33AE1"/>
    <w:rsid w:val="00B33DCD"/>
    <w:rsid w:val="00B35E9F"/>
    <w:rsid w:val="00B37C38"/>
    <w:rsid w:val="00B40BCE"/>
    <w:rsid w:val="00B4288C"/>
    <w:rsid w:val="00B43262"/>
    <w:rsid w:val="00B44100"/>
    <w:rsid w:val="00B46CBA"/>
    <w:rsid w:val="00B46F94"/>
    <w:rsid w:val="00B509DE"/>
    <w:rsid w:val="00B51BB2"/>
    <w:rsid w:val="00B54070"/>
    <w:rsid w:val="00B564C2"/>
    <w:rsid w:val="00B566D3"/>
    <w:rsid w:val="00B6003C"/>
    <w:rsid w:val="00B61F03"/>
    <w:rsid w:val="00B626E4"/>
    <w:rsid w:val="00B62CAA"/>
    <w:rsid w:val="00B70A31"/>
    <w:rsid w:val="00B72F4A"/>
    <w:rsid w:val="00B776CD"/>
    <w:rsid w:val="00B80CC2"/>
    <w:rsid w:val="00B8386F"/>
    <w:rsid w:val="00B83C27"/>
    <w:rsid w:val="00B84BC3"/>
    <w:rsid w:val="00B84BDD"/>
    <w:rsid w:val="00B854D5"/>
    <w:rsid w:val="00B86E4D"/>
    <w:rsid w:val="00B9191E"/>
    <w:rsid w:val="00B92812"/>
    <w:rsid w:val="00B95CEE"/>
    <w:rsid w:val="00B97E72"/>
    <w:rsid w:val="00BA2F8B"/>
    <w:rsid w:val="00BA5035"/>
    <w:rsid w:val="00BB0A65"/>
    <w:rsid w:val="00BB45A1"/>
    <w:rsid w:val="00BB7686"/>
    <w:rsid w:val="00BC23F9"/>
    <w:rsid w:val="00BC3421"/>
    <w:rsid w:val="00BC732C"/>
    <w:rsid w:val="00BD1235"/>
    <w:rsid w:val="00BD4421"/>
    <w:rsid w:val="00BD7249"/>
    <w:rsid w:val="00BE10A1"/>
    <w:rsid w:val="00BE2580"/>
    <w:rsid w:val="00BE266D"/>
    <w:rsid w:val="00BE3291"/>
    <w:rsid w:val="00BE35CB"/>
    <w:rsid w:val="00BE3938"/>
    <w:rsid w:val="00BE4C11"/>
    <w:rsid w:val="00BE6805"/>
    <w:rsid w:val="00BE71C0"/>
    <w:rsid w:val="00BF08CE"/>
    <w:rsid w:val="00BF0EA1"/>
    <w:rsid w:val="00BF610C"/>
    <w:rsid w:val="00C0060B"/>
    <w:rsid w:val="00C01627"/>
    <w:rsid w:val="00C01A6C"/>
    <w:rsid w:val="00C0277D"/>
    <w:rsid w:val="00C046F7"/>
    <w:rsid w:val="00C053A1"/>
    <w:rsid w:val="00C07841"/>
    <w:rsid w:val="00C16198"/>
    <w:rsid w:val="00C2083D"/>
    <w:rsid w:val="00C23586"/>
    <w:rsid w:val="00C24A53"/>
    <w:rsid w:val="00C25A0B"/>
    <w:rsid w:val="00C32778"/>
    <w:rsid w:val="00C3445D"/>
    <w:rsid w:val="00C34A05"/>
    <w:rsid w:val="00C35CCE"/>
    <w:rsid w:val="00C4032F"/>
    <w:rsid w:val="00C44047"/>
    <w:rsid w:val="00C45155"/>
    <w:rsid w:val="00C456EB"/>
    <w:rsid w:val="00C46F7D"/>
    <w:rsid w:val="00C5169B"/>
    <w:rsid w:val="00C5498F"/>
    <w:rsid w:val="00C55235"/>
    <w:rsid w:val="00C5546E"/>
    <w:rsid w:val="00C57E7A"/>
    <w:rsid w:val="00C64CD0"/>
    <w:rsid w:val="00C65E8B"/>
    <w:rsid w:val="00C6684F"/>
    <w:rsid w:val="00C70E70"/>
    <w:rsid w:val="00C71EE1"/>
    <w:rsid w:val="00C75F8D"/>
    <w:rsid w:val="00C77380"/>
    <w:rsid w:val="00C778C5"/>
    <w:rsid w:val="00C811D3"/>
    <w:rsid w:val="00C82940"/>
    <w:rsid w:val="00C8358B"/>
    <w:rsid w:val="00C85C06"/>
    <w:rsid w:val="00C87E8A"/>
    <w:rsid w:val="00C91502"/>
    <w:rsid w:val="00C95E29"/>
    <w:rsid w:val="00C95E8F"/>
    <w:rsid w:val="00C97736"/>
    <w:rsid w:val="00C97B63"/>
    <w:rsid w:val="00CA2183"/>
    <w:rsid w:val="00CA345A"/>
    <w:rsid w:val="00CA63BC"/>
    <w:rsid w:val="00CB0D95"/>
    <w:rsid w:val="00CB1E82"/>
    <w:rsid w:val="00CB2DA6"/>
    <w:rsid w:val="00CB4BA8"/>
    <w:rsid w:val="00CB52D7"/>
    <w:rsid w:val="00CB7F03"/>
    <w:rsid w:val="00CC26F7"/>
    <w:rsid w:val="00CC2FE2"/>
    <w:rsid w:val="00CC6732"/>
    <w:rsid w:val="00CD099D"/>
    <w:rsid w:val="00CD3892"/>
    <w:rsid w:val="00CD4671"/>
    <w:rsid w:val="00CE0BB5"/>
    <w:rsid w:val="00CE191F"/>
    <w:rsid w:val="00CE2023"/>
    <w:rsid w:val="00CE2E62"/>
    <w:rsid w:val="00CE3BFD"/>
    <w:rsid w:val="00CE3C96"/>
    <w:rsid w:val="00CE46B5"/>
    <w:rsid w:val="00CE51A8"/>
    <w:rsid w:val="00CF369B"/>
    <w:rsid w:val="00D00A15"/>
    <w:rsid w:val="00D00E28"/>
    <w:rsid w:val="00D0269E"/>
    <w:rsid w:val="00D05747"/>
    <w:rsid w:val="00D05D6C"/>
    <w:rsid w:val="00D15810"/>
    <w:rsid w:val="00D1609F"/>
    <w:rsid w:val="00D16D4E"/>
    <w:rsid w:val="00D16FE3"/>
    <w:rsid w:val="00D202A6"/>
    <w:rsid w:val="00D27F41"/>
    <w:rsid w:val="00D33CB2"/>
    <w:rsid w:val="00D36441"/>
    <w:rsid w:val="00D36C2E"/>
    <w:rsid w:val="00D4064E"/>
    <w:rsid w:val="00D414E9"/>
    <w:rsid w:val="00D42EF0"/>
    <w:rsid w:val="00D44E9B"/>
    <w:rsid w:val="00D45FD2"/>
    <w:rsid w:val="00D47AEB"/>
    <w:rsid w:val="00D50DB9"/>
    <w:rsid w:val="00D51302"/>
    <w:rsid w:val="00D52C43"/>
    <w:rsid w:val="00D6082B"/>
    <w:rsid w:val="00D60C02"/>
    <w:rsid w:val="00D61CD1"/>
    <w:rsid w:val="00D6507F"/>
    <w:rsid w:val="00D65D36"/>
    <w:rsid w:val="00D730BC"/>
    <w:rsid w:val="00D73912"/>
    <w:rsid w:val="00D85226"/>
    <w:rsid w:val="00D87B94"/>
    <w:rsid w:val="00D92D49"/>
    <w:rsid w:val="00D92EC1"/>
    <w:rsid w:val="00D96DEA"/>
    <w:rsid w:val="00D979E6"/>
    <w:rsid w:val="00DA4E41"/>
    <w:rsid w:val="00DA72DB"/>
    <w:rsid w:val="00DB0F2E"/>
    <w:rsid w:val="00DB117A"/>
    <w:rsid w:val="00DB1658"/>
    <w:rsid w:val="00DB2BCA"/>
    <w:rsid w:val="00DB3A64"/>
    <w:rsid w:val="00DB5173"/>
    <w:rsid w:val="00DB7873"/>
    <w:rsid w:val="00DC187B"/>
    <w:rsid w:val="00DC34B6"/>
    <w:rsid w:val="00DC3857"/>
    <w:rsid w:val="00DC3A35"/>
    <w:rsid w:val="00DC7DEF"/>
    <w:rsid w:val="00DD01A4"/>
    <w:rsid w:val="00DD033B"/>
    <w:rsid w:val="00DD1A43"/>
    <w:rsid w:val="00DD2FEF"/>
    <w:rsid w:val="00DD3368"/>
    <w:rsid w:val="00DD4856"/>
    <w:rsid w:val="00DD5A6A"/>
    <w:rsid w:val="00DD5E67"/>
    <w:rsid w:val="00DD63B0"/>
    <w:rsid w:val="00DD7358"/>
    <w:rsid w:val="00DD73C2"/>
    <w:rsid w:val="00DD747D"/>
    <w:rsid w:val="00DE0BD5"/>
    <w:rsid w:val="00DE319B"/>
    <w:rsid w:val="00DE62EF"/>
    <w:rsid w:val="00DF0799"/>
    <w:rsid w:val="00DF0D67"/>
    <w:rsid w:val="00DF34FE"/>
    <w:rsid w:val="00DF3593"/>
    <w:rsid w:val="00DF52EF"/>
    <w:rsid w:val="00DF56AA"/>
    <w:rsid w:val="00DF56AF"/>
    <w:rsid w:val="00DF5BF1"/>
    <w:rsid w:val="00DF78E7"/>
    <w:rsid w:val="00E031E8"/>
    <w:rsid w:val="00E07464"/>
    <w:rsid w:val="00E07BF2"/>
    <w:rsid w:val="00E1076C"/>
    <w:rsid w:val="00E110E0"/>
    <w:rsid w:val="00E1407D"/>
    <w:rsid w:val="00E15371"/>
    <w:rsid w:val="00E15C64"/>
    <w:rsid w:val="00E178EE"/>
    <w:rsid w:val="00E17CDE"/>
    <w:rsid w:val="00E17FB3"/>
    <w:rsid w:val="00E21D17"/>
    <w:rsid w:val="00E228F4"/>
    <w:rsid w:val="00E23372"/>
    <w:rsid w:val="00E23FDA"/>
    <w:rsid w:val="00E24104"/>
    <w:rsid w:val="00E243D0"/>
    <w:rsid w:val="00E275DB"/>
    <w:rsid w:val="00E302D0"/>
    <w:rsid w:val="00E35707"/>
    <w:rsid w:val="00E360AE"/>
    <w:rsid w:val="00E36AA1"/>
    <w:rsid w:val="00E36E95"/>
    <w:rsid w:val="00E413D5"/>
    <w:rsid w:val="00E417D7"/>
    <w:rsid w:val="00E41ECB"/>
    <w:rsid w:val="00E42676"/>
    <w:rsid w:val="00E426E2"/>
    <w:rsid w:val="00E428C2"/>
    <w:rsid w:val="00E439D0"/>
    <w:rsid w:val="00E46627"/>
    <w:rsid w:val="00E52CFD"/>
    <w:rsid w:val="00E54C1F"/>
    <w:rsid w:val="00E54FDB"/>
    <w:rsid w:val="00E5617D"/>
    <w:rsid w:val="00E563D7"/>
    <w:rsid w:val="00E6298B"/>
    <w:rsid w:val="00E62BAA"/>
    <w:rsid w:val="00E64633"/>
    <w:rsid w:val="00E663F4"/>
    <w:rsid w:val="00E666F2"/>
    <w:rsid w:val="00E66DD4"/>
    <w:rsid w:val="00E72113"/>
    <w:rsid w:val="00E748CC"/>
    <w:rsid w:val="00E75415"/>
    <w:rsid w:val="00E775B1"/>
    <w:rsid w:val="00E807D3"/>
    <w:rsid w:val="00E80DD2"/>
    <w:rsid w:val="00E8152A"/>
    <w:rsid w:val="00E826A3"/>
    <w:rsid w:val="00E87A0A"/>
    <w:rsid w:val="00E93629"/>
    <w:rsid w:val="00E93B5C"/>
    <w:rsid w:val="00E94CEC"/>
    <w:rsid w:val="00E96302"/>
    <w:rsid w:val="00E97711"/>
    <w:rsid w:val="00EA0460"/>
    <w:rsid w:val="00EA04EF"/>
    <w:rsid w:val="00EA05A5"/>
    <w:rsid w:val="00EA2585"/>
    <w:rsid w:val="00EA355D"/>
    <w:rsid w:val="00EA6CCB"/>
    <w:rsid w:val="00EA6F19"/>
    <w:rsid w:val="00EB4D64"/>
    <w:rsid w:val="00EB7090"/>
    <w:rsid w:val="00EC1BBE"/>
    <w:rsid w:val="00EC28BF"/>
    <w:rsid w:val="00EC2B68"/>
    <w:rsid w:val="00EC3AEF"/>
    <w:rsid w:val="00EC56B3"/>
    <w:rsid w:val="00EC5CD7"/>
    <w:rsid w:val="00EC61C2"/>
    <w:rsid w:val="00EE4AA0"/>
    <w:rsid w:val="00EE4EBE"/>
    <w:rsid w:val="00EE5FB3"/>
    <w:rsid w:val="00EE7F79"/>
    <w:rsid w:val="00EF715A"/>
    <w:rsid w:val="00EF7394"/>
    <w:rsid w:val="00F004CA"/>
    <w:rsid w:val="00F01BC3"/>
    <w:rsid w:val="00F06E14"/>
    <w:rsid w:val="00F1108B"/>
    <w:rsid w:val="00F158A4"/>
    <w:rsid w:val="00F179D4"/>
    <w:rsid w:val="00F20686"/>
    <w:rsid w:val="00F22EF8"/>
    <w:rsid w:val="00F23EF1"/>
    <w:rsid w:val="00F24047"/>
    <w:rsid w:val="00F3370A"/>
    <w:rsid w:val="00F33C56"/>
    <w:rsid w:val="00F347C7"/>
    <w:rsid w:val="00F34848"/>
    <w:rsid w:val="00F34FC7"/>
    <w:rsid w:val="00F4033B"/>
    <w:rsid w:val="00F42472"/>
    <w:rsid w:val="00F42D46"/>
    <w:rsid w:val="00F44846"/>
    <w:rsid w:val="00F4496C"/>
    <w:rsid w:val="00F44F3A"/>
    <w:rsid w:val="00F45DD5"/>
    <w:rsid w:val="00F503D6"/>
    <w:rsid w:val="00F517EC"/>
    <w:rsid w:val="00F51F10"/>
    <w:rsid w:val="00F529A5"/>
    <w:rsid w:val="00F5409F"/>
    <w:rsid w:val="00F559A0"/>
    <w:rsid w:val="00F60F00"/>
    <w:rsid w:val="00F614C0"/>
    <w:rsid w:val="00F61C77"/>
    <w:rsid w:val="00F61F8F"/>
    <w:rsid w:val="00F64E27"/>
    <w:rsid w:val="00F652A2"/>
    <w:rsid w:val="00F70B11"/>
    <w:rsid w:val="00F75280"/>
    <w:rsid w:val="00F77D33"/>
    <w:rsid w:val="00F81E49"/>
    <w:rsid w:val="00F82BCB"/>
    <w:rsid w:val="00F83848"/>
    <w:rsid w:val="00F83C25"/>
    <w:rsid w:val="00F8463C"/>
    <w:rsid w:val="00F85023"/>
    <w:rsid w:val="00F8639D"/>
    <w:rsid w:val="00F90AAD"/>
    <w:rsid w:val="00F93FD9"/>
    <w:rsid w:val="00F975E9"/>
    <w:rsid w:val="00FA1B7D"/>
    <w:rsid w:val="00FA20A2"/>
    <w:rsid w:val="00FA2526"/>
    <w:rsid w:val="00FA25C5"/>
    <w:rsid w:val="00FA33C5"/>
    <w:rsid w:val="00FB0820"/>
    <w:rsid w:val="00FC07B9"/>
    <w:rsid w:val="00FC281C"/>
    <w:rsid w:val="00FC30E7"/>
    <w:rsid w:val="00FC4E21"/>
    <w:rsid w:val="00FC5AC7"/>
    <w:rsid w:val="00FC5F6D"/>
    <w:rsid w:val="00FC7FDE"/>
    <w:rsid w:val="00FD0107"/>
    <w:rsid w:val="00FD2AD2"/>
    <w:rsid w:val="00FD2C2F"/>
    <w:rsid w:val="00FD3B31"/>
    <w:rsid w:val="00FE1823"/>
    <w:rsid w:val="00FE2FC8"/>
    <w:rsid w:val="00FE3AC1"/>
    <w:rsid w:val="00FE487A"/>
    <w:rsid w:val="00FE4E48"/>
    <w:rsid w:val="00FF0569"/>
    <w:rsid w:val="00FF2069"/>
    <w:rsid w:val="00FF206E"/>
    <w:rsid w:val="00FF37B5"/>
    <w:rsid w:val="00FF3C69"/>
    <w:rsid w:val="00FF6E0A"/>
  </w:rsids>
  <m:mathPr>
    <m:mathFont m:val="Cambria Math"/>
    <m:brkBin m:val="before"/>
    <m:brkBinSub m:val="--"/>
    <m:smallFrac/>
    <m:dispDef/>
    <m:lMargin m:val="0"/>
    <m:rMargin m:val="0"/>
    <m:defJc m:val="centerGroup"/>
    <m:wrapIndent m:val="1440"/>
    <m:intLim m:val="subSup"/>
    <m:naryLim m:val="undOvr"/>
  </m:mathPr>
  <w:themeFontLang w:val="en-AU"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94209">
      <o:colormru v:ext="edit" colors="red,#4d4d4f"/>
    </o:shapedefaults>
    <o:shapelayout v:ext="edit">
      <o:idmap v:ext="edit" data="1"/>
    </o:shapelayout>
  </w:shapeDefaults>
  <w:decimalSymbol w:val="."/>
  <w:listSeparator w:val=","/>
  <w14:docId w14:val="22504ED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sz w:val="24"/>
        <w:szCs w:val="24"/>
        <w:lang w:val="en-AU" w:eastAsia="en-AU" w:bidi="ar-SA"/>
      </w:rPr>
    </w:rPrDefault>
    <w:pPrDefault/>
  </w:docDefaults>
  <w:latentStyles w:defLockedState="0" w:defUIPriority="0" w:defSemiHidden="0" w:defUnhideWhenUsed="0" w:defQFormat="0" w:count="376">
    <w:lsdException w:name="heading 1" w:qFormat="1"/>
    <w:lsdException w:name="heading 2" w:uiPriority="1" w:qFormat="1"/>
    <w:lsdException w:name="heading 3" w:qFormat="1"/>
    <w:lsdException w:name="index 1" w:semiHidden="1" w:unhideWhenUsed="1"/>
    <w:lsdException w:name="index 2" w:semiHidden="1"/>
    <w:lsdException w:name="index 3" w:semiHidden="1"/>
    <w:lsdException w:name="index 4" w:semiHidden="1"/>
    <w:lsdException w:name="index 5" w:semiHidden="1"/>
    <w:lsdException w:name="index 6" w:semiHidden="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iPriority="99" w:unhideWhenUsed="1"/>
    <w:lsdException w:name="annotation text" w:semiHidden="1" w:unhideWhenUsed="1"/>
    <w:lsdException w:name="header" w:semiHidden="1" w:unhideWhenUsed="1"/>
    <w:lsdException w:name="footer" w:semiHidden="1" w:unhideWhenUsed="1" w:qFormat="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99"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qFormat="1"/>
    <w:lsdException w:name="List Number" w:semiHidden="1" w:unhideWhenUsed="1" w:qFormat="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qFormat="1"/>
    <w:lsdException w:name="List Bullet 3" w:semiHidden="1" w:unhideWhenUsed="1"/>
    <w:lsdException w:name="List Bullet 4" w:semiHidden="1" w:unhideWhenUsed="1"/>
    <w:lsdException w:name="List Bullet 5" w:semiHidden="1" w:unhideWhenUsed="1"/>
    <w:lsdException w:name="List Number 2" w:qFormat="1"/>
    <w:lsdException w:name="List Number 3" w:semiHidden="1" w:unhideWhenUsed="1"/>
    <w:lsdException w:name="List Number 4" w:semiHidden="1" w:unhideWhenUsed="1"/>
    <w:lsdException w:name="List Number 5" w:semiHidden="1"/>
    <w:lsdException w:name="Title" w:semiHidden="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lsdException w:name="Block Text" w:semiHidden="1"/>
    <w:lsdException w:name="Hyperlink" w:uiPriority="99" w:qFormat="1"/>
    <w:lsdException w:name="Strong" w:semiHidden="1"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lsdException w:name="No Spacing" w:semiHidden="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1"/>
    <w:lsdException w:name="List Paragraph" w:semiHidden="1" w:uiPriority="34" w:qFormat="1"/>
    <w:lsdException w:name="Quote" w:semiHidden="1"/>
    <w:lsdException w:name="Intense Quote" w:semiHidden="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Subtle Emphasis" w:semiHidden="1"/>
    <w:lsdException w:name="Intense Emphasis" w:semiHidden="1"/>
    <w:lsdException w:name="Subtle Reference" w:semiHidden="1"/>
    <w:lsdException w:name="Intense Reference" w:semiHidden="1"/>
    <w:lsdException w:name="Book Title" w:semiHidden="1"/>
    <w:lsdException w:name="Bibliography" w:semiHidden="1" w:unhideWhenUsed="1"/>
    <w:lsdException w:name="TOC Heading" w:semiHidden="1" w:unhideWhenUsed="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D65D36"/>
    <w:pPr>
      <w:spacing w:after="240" w:line="240" w:lineRule="atLeast"/>
    </w:pPr>
    <w:rPr>
      <w:rFonts w:ascii="Arial" w:hAnsi="Arial"/>
      <w:sz w:val="20"/>
    </w:rPr>
  </w:style>
  <w:style w:type="paragraph" w:styleId="Heading1">
    <w:name w:val="heading 1"/>
    <w:basedOn w:val="Normal"/>
    <w:next w:val="Normal"/>
    <w:link w:val="Heading1Char"/>
    <w:uiPriority w:val="1"/>
    <w:qFormat/>
    <w:rsid w:val="00C55235"/>
    <w:pPr>
      <w:keepNext/>
      <w:pageBreakBefore/>
      <w:widowControl w:val="0"/>
      <w:spacing w:after="360" w:line="550" w:lineRule="exact"/>
      <w:outlineLvl w:val="0"/>
    </w:pPr>
    <w:rPr>
      <w:rFonts w:cs="Arial"/>
      <w:bCs/>
      <w:color w:val="323232"/>
      <w:kern w:val="32"/>
      <w:sz w:val="53"/>
      <w:szCs w:val="32"/>
    </w:rPr>
  </w:style>
  <w:style w:type="paragraph" w:styleId="Heading2">
    <w:name w:val="heading 2"/>
    <w:basedOn w:val="Normal"/>
    <w:next w:val="Paragraph"/>
    <w:link w:val="Heading2Char"/>
    <w:uiPriority w:val="1"/>
    <w:qFormat/>
    <w:rsid w:val="00C55235"/>
    <w:pPr>
      <w:keepNext/>
      <w:spacing w:before="320" w:after="60"/>
      <w:outlineLvl w:val="1"/>
    </w:pPr>
    <w:rPr>
      <w:rFonts w:cs="Arial"/>
      <w:b/>
      <w:bCs/>
      <w:iCs/>
      <w:sz w:val="28"/>
      <w:szCs w:val="28"/>
    </w:rPr>
  </w:style>
  <w:style w:type="paragraph" w:styleId="Heading3">
    <w:name w:val="heading 3"/>
    <w:basedOn w:val="Normal"/>
    <w:next w:val="Normal"/>
    <w:link w:val="Heading3Char"/>
    <w:uiPriority w:val="2"/>
    <w:qFormat/>
    <w:rsid w:val="00C55235"/>
    <w:pPr>
      <w:keepNext/>
      <w:spacing w:before="60" w:after="60"/>
      <w:outlineLvl w:val="2"/>
    </w:pPr>
    <w:rPr>
      <w:rFonts w:cs="Arial"/>
      <w:b/>
      <w:bCs/>
      <w:szCs w:val="26"/>
    </w:rPr>
  </w:style>
  <w:style w:type="paragraph" w:styleId="Heading4">
    <w:name w:val="heading 4"/>
    <w:basedOn w:val="BodySubHeader"/>
    <w:next w:val="Normal"/>
    <w:uiPriority w:val="2"/>
    <w:qFormat/>
    <w:rsid w:val="0085618F"/>
    <w:pPr>
      <w:outlineLvl w:val="3"/>
    </w:pPr>
    <w:rPr>
      <w:rFonts w:cs="Arial"/>
    </w:rPr>
  </w:style>
  <w:style w:type="paragraph" w:styleId="Heading5">
    <w:name w:val="heading 5"/>
    <w:basedOn w:val="Normal"/>
    <w:next w:val="Normal"/>
    <w:semiHidden/>
    <w:qFormat/>
    <w:rsid w:val="00AD5436"/>
    <w:pPr>
      <w:numPr>
        <w:ilvl w:val="4"/>
        <w:numId w:val="5"/>
      </w:numPr>
      <w:spacing w:before="240" w:after="60"/>
      <w:outlineLvl w:val="4"/>
    </w:pPr>
    <w:rPr>
      <w:b/>
      <w:bCs/>
      <w:i/>
      <w:iCs/>
      <w:sz w:val="26"/>
      <w:szCs w:val="26"/>
    </w:rPr>
  </w:style>
  <w:style w:type="paragraph" w:styleId="Heading6">
    <w:name w:val="heading 6"/>
    <w:basedOn w:val="Normal"/>
    <w:next w:val="Normal"/>
    <w:semiHidden/>
    <w:qFormat/>
    <w:rsid w:val="00AD5436"/>
    <w:pPr>
      <w:numPr>
        <w:ilvl w:val="5"/>
        <w:numId w:val="5"/>
      </w:numPr>
      <w:spacing w:before="240" w:after="60"/>
      <w:outlineLvl w:val="5"/>
    </w:pPr>
    <w:rPr>
      <w:rFonts w:ascii="Times New Roman" w:hAnsi="Times New Roman"/>
      <w:b/>
      <w:bCs/>
      <w:sz w:val="22"/>
      <w:szCs w:val="22"/>
    </w:rPr>
  </w:style>
  <w:style w:type="paragraph" w:styleId="Heading7">
    <w:name w:val="heading 7"/>
    <w:basedOn w:val="Normal"/>
    <w:next w:val="Normal"/>
    <w:semiHidden/>
    <w:qFormat/>
    <w:rsid w:val="00AD5436"/>
    <w:pPr>
      <w:numPr>
        <w:ilvl w:val="6"/>
        <w:numId w:val="5"/>
      </w:numPr>
      <w:spacing w:before="240" w:after="60"/>
      <w:outlineLvl w:val="6"/>
    </w:pPr>
    <w:rPr>
      <w:rFonts w:ascii="Times New Roman" w:hAnsi="Times New Roman"/>
      <w:sz w:val="24"/>
    </w:rPr>
  </w:style>
  <w:style w:type="paragraph" w:styleId="Heading8">
    <w:name w:val="heading 8"/>
    <w:basedOn w:val="Normal"/>
    <w:next w:val="Normal"/>
    <w:semiHidden/>
    <w:qFormat/>
    <w:rsid w:val="00AD5436"/>
    <w:pPr>
      <w:numPr>
        <w:ilvl w:val="7"/>
        <w:numId w:val="5"/>
      </w:numPr>
      <w:spacing w:before="240" w:after="60"/>
      <w:outlineLvl w:val="7"/>
    </w:pPr>
    <w:rPr>
      <w:rFonts w:ascii="Times New Roman" w:hAnsi="Times New Roman"/>
      <w:i/>
      <w:iCs/>
      <w:sz w:val="24"/>
    </w:rPr>
  </w:style>
  <w:style w:type="paragraph" w:styleId="Heading9">
    <w:name w:val="heading 9"/>
    <w:basedOn w:val="Normal"/>
    <w:next w:val="Normal"/>
    <w:semiHidden/>
    <w:qFormat/>
    <w:rsid w:val="00AD5436"/>
    <w:pPr>
      <w:numPr>
        <w:ilvl w:val="8"/>
        <w:numId w:val="5"/>
      </w:numPr>
      <w:spacing w:before="240" w:after="60"/>
      <w:outlineLvl w:val="8"/>
    </w:pPr>
    <w:rPr>
      <w:rFonts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semiHidden/>
    <w:rsid w:val="0070791C"/>
    <w:pPr>
      <w:tabs>
        <w:tab w:val="center" w:pos="4153"/>
        <w:tab w:val="right" w:pos="8306"/>
      </w:tabs>
      <w:spacing w:line="240" w:lineRule="auto"/>
    </w:pPr>
    <w:rPr>
      <w:sz w:val="16"/>
    </w:rPr>
  </w:style>
  <w:style w:type="paragraph" w:styleId="Footer">
    <w:name w:val="footer"/>
    <w:basedOn w:val="Normal"/>
    <w:link w:val="FooterChar"/>
    <w:semiHidden/>
    <w:qFormat/>
    <w:rsid w:val="0094078F"/>
    <w:pPr>
      <w:tabs>
        <w:tab w:val="right" w:pos="113"/>
      </w:tabs>
      <w:spacing w:line="240" w:lineRule="auto"/>
    </w:pPr>
    <w:rPr>
      <w:color w:val="323232"/>
      <w:sz w:val="16"/>
    </w:rPr>
  </w:style>
  <w:style w:type="character" w:customStyle="1" w:styleId="FooterChar">
    <w:name w:val="Footer Char"/>
    <w:basedOn w:val="DefaultParagraphFont"/>
    <w:link w:val="Footer"/>
    <w:semiHidden/>
    <w:rsid w:val="00EC2B68"/>
    <w:rPr>
      <w:rFonts w:ascii="Arial" w:hAnsi="Arial"/>
      <w:color w:val="323232"/>
      <w:sz w:val="16"/>
    </w:rPr>
  </w:style>
  <w:style w:type="paragraph" w:customStyle="1" w:styleId="Reporttitle">
    <w:name w:val="Report title"/>
    <w:basedOn w:val="Normal"/>
    <w:uiPriority w:val="19"/>
    <w:qFormat/>
    <w:rsid w:val="00A51D1A"/>
    <w:pPr>
      <w:spacing w:after="0" w:line="560" w:lineRule="exact"/>
    </w:pPr>
    <w:rPr>
      <w:b/>
      <w:spacing w:val="-28"/>
      <w:sz w:val="53"/>
    </w:rPr>
  </w:style>
  <w:style w:type="paragraph" w:customStyle="1" w:styleId="Reportsubtitle">
    <w:name w:val="Report subtitle"/>
    <w:basedOn w:val="Normal"/>
    <w:uiPriority w:val="20"/>
    <w:qFormat/>
    <w:rsid w:val="00950159"/>
    <w:pPr>
      <w:spacing w:after="200" w:line="560" w:lineRule="exact"/>
    </w:pPr>
    <w:rPr>
      <w:color w:val="323232"/>
      <w:spacing w:val="-28"/>
      <w:sz w:val="53"/>
    </w:rPr>
  </w:style>
  <w:style w:type="table" w:styleId="TableGrid">
    <w:name w:val="Table Grid"/>
    <w:basedOn w:val="TableNormal"/>
    <w:uiPriority w:val="59"/>
    <w:rsid w:val="00226819"/>
    <w:pPr>
      <w:spacing w:line="240" w:lineRule="atLeast"/>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Reportdate">
    <w:name w:val="Report date"/>
    <w:basedOn w:val="Reportsubtitle"/>
    <w:uiPriority w:val="21"/>
    <w:qFormat/>
    <w:rsid w:val="00950159"/>
    <w:pPr>
      <w:spacing w:after="1200" w:line="240" w:lineRule="auto"/>
    </w:pPr>
    <w:rPr>
      <w:caps/>
      <w:spacing w:val="-10"/>
      <w:sz w:val="20"/>
    </w:rPr>
  </w:style>
  <w:style w:type="paragraph" w:customStyle="1" w:styleId="Tableheaderrow">
    <w:name w:val="Table header row"/>
    <w:basedOn w:val="Normal"/>
    <w:uiPriority w:val="14"/>
    <w:qFormat/>
    <w:rsid w:val="00774FDB"/>
    <w:pPr>
      <w:spacing w:after="0"/>
    </w:pPr>
    <w:rPr>
      <w:b/>
    </w:rPr>
  </w:style>
  <w:style w:type="paragraph" w:customStyle="1" w:styleId="PageNumber">
    <w:name w:val="PageNumber"/>
    <w:basedOn w:val="Normal"/>
    <w:semiHidden/>
    <w:rsid w:val="0070791C"/>
    <w:pPr>
      <w:spacing w:line="240" w:lineRule="auto"/>
    </w:pPr>
    <w:rPr>
      <w:sz w:val="16"/>
    </w:rPr>
  </w:style>
  <w:style w:type="paragraph" w:customStyle="1" w:styleId="Copyright">
    <w:name w:val="Copyright"/>
    <w:basedOn w:val="Normal"/>
    <w:semiHidden/>
    <w:rsid w:val="00454596"/>
    <w:pPr>
      <w:spacing w:line="160" w:lineRule="exact"/>
    </w:pPr>
    <w:rPr>
      <w:color w:val="4D4D4F"/>
      <w:sz w:val="13"/>
    </w:rPr>
  </w:style>
  <w:style w:type="paragraph" w:styleId="TOCHeading">
    <w:name w:val="TOC Heading"/>
    <w:basedOn w:val="Normal"/>
    <w:semiHidden/>
    <w:qFormat/>
    <w:rsid w:val="00950159"/>
    <w:pPr>
      <w:spacing w:before="1200" w:line="240" w:lineRule="auto"/>
    </w:pPr>
    <w:rPr>
      <w:b/>
      <w:color w:val="323232"/>
      <w:spacing w:val="-28"/>
      <w:sz w:val="53"/>
    </w:rPr>
  </w:style>
  <w:style w:type="paragraph" w:styleId="Caption">
    <w:name w:val="caption"/>
    <w:aliases w:val="Caption table"/>
    <w:basedOn w:val="Normal"/>
    <w:next w:val="Normal"/>
    <w:semiHidden/>
    <w:qFormat/>
    <w:rsid w:val="00E8152A"/>
    <w:pPr>
      <w:numPr>
        <w:numId w:val="9"/>
      </w:numPr>
      <w:spacing w:after="0"/>
    </w:pPr>
    <w:rPr>
      <w:b/>
      <w:bCs/>
      <w:color w:val="323232"/>
      <w:szCs w:val="20"/>
    </w:rPr>
  </w:style>
  <w:style w:type="paragraph" w:customStyle="1" w:styleId="BodySubHeader">
    <w:name w:val="BodySubHeader"/>
    <w:basedOn w:val="Normal"/>
    <w:next w:val="Normal"/>
    <w:semiHidden/>
    <w:rsid w:val="00146CE6"/>
    <w:pPr>
      <w:spacing w:before="240" w:after="0"/>
    </w:pPr>
    <w:rPr>
      <w:b/>
      <w:i/>
    </w:rPr>
  </w:style>
  <w:style w:type="paragraph" w:styleId="ListBullet">
    <w:name w:val="List Bullet"/>
    <w:basedOn w:val="Normal"/>
    <w:semiHidden/>
    <w:qFormat/>
    <w:rsid w:val="001C6AEE"/>
    <w:pPr>
      <w:numPr>
        <w:numId w:val="1"/>
      </w:numPr>
      <w:spacing w:after="80"/>
    </w:pPr>
  </w:style>
  <w:style w:type="paragraph" w:styleId="ListBullet2">
    <w:name w:val="List Bullet 2"/>
    <w:basedOn w:val="Normal"/>
    <w:semiHidden/>
    <w:qFormat/>
    <w:rsid w:val="001C6AEE"/>
    <w:pPr>
      <w:numPr>
        <w:numId w:val="2"/>
      </w:numPr>
      <w:spacing w:after="80"/>
    </w:pPr>
  </w:style>
  <w:style w:type="paragraph" w:styleId="ListNumber">
    <w:name w:val="List Number"/>
    <w:basedOn w:val="Normal"/>
    <w:semiHidden/>
    <w:qFormat/>
    <w:rsid w:val="00C24A53"/>
    <w:pPr>
      <w:numPr>
        <w:numId w:val="3"/>
      </w:numPr>
      <w:spacing w:after="80"/>
    </w:pPr>
  </w:style>
  <w:style w:type="paragraph" w:styleId="ListNumber2">
    <w:name w:val="List Number 2"/>
    <w:basedOn w:val="Normal"/>
    <w:semiHidden/>
    <w:qFormat/>
    <w:rsid w:val="004A70D6"/>
    <w:pPr>
      <w:numPr>
        <w:numId w:val="4"/>
      </w:numPr>
      <w:spacing w:after="80"/>
      <w:ind w:left="828" w:hanging="357"/>
    </w:pPr>
  </w:style>
  <w:style w:type="paragraph" w:customStyle="1" w:styleId="URLEmail">
    <w:name w:val="URL/Email"/>
    <w:basedOn w:val="Normal"/>
    <w:semiHidden/>
    <w:rsid w:val="00302480"/>
    <w:rPr>
      <w:color w:val="4D4D4F"/>
      <w:spacing w:val="4"/>
    </w:rPr>
  </w:style>
  <w:style w:type="paragraph" w:customStyle="1" w:styleId="Execsummaryheading">
    <w:name w:val="Exec summary heading"/>
    <w:basedOn w:val="Normal"/>
    <w:uiPriority w:val="22"/>
    <w:qFormat/>
    <w:rsid w:val="006B52DE"/>
    <w:pPr>
      <w:pageBreakBefore/>
      <w:spacing w:after="1440" w:line="550" w:lineRule="exact"/>
    </w:pPr>
    <w:rPr>
      <w:b/>
      <w:color w:val="323232"/>
      <w:spacing w:val="-18"/>
      <w:sz w:val="53"/>
    </w:rPr>
  </w:style>
  <w:style w:type="character" w:styleId="PageNumber0">
    <w:name w:val="page number"/>
    <w:basedOn w:val="DefaultParagraphFont"/>
    <w:semiHidden/>
    <w:rsid w:val="00542377"/>
  </w:style>
  <w:style w:type="paragraph" w:styleId="ListContinue5">
    <w:name w:val="List Continue 5"/>
    <w:basedOn w:val="Normal"/>
    <w:semiHidden/>
    <w:rsid w:val="00EC2B68"/>
    <w:pPr>
      <w:spacing w:after="120"/>
      <w:ind w:left="1415"/>
      <w:contextualSpacing/>
    </w:pPr>
  </w:style>
  <w:style w:type="paragraph" w:customStyle="1" w:styleId="Paragraphbeforelist">
    <w:name w:val="Paragraph before list"/>
    <w:basedOn w:val="Paragraph"/>
    <w:uiPriority w:val="4"/>
    <w:qFormat/>
    <w:rsid w:val="00C87E8A"/>
    <w:pPr>
      <w:spacing w:after="80"/>
    </w:pPr>
  </w:style>
  <w:style w:type="paragraph" w:styleId="TOC1">
    <w:name w:val="toc 1"/>
    <w:basedOn w:val="Normal"/>
    <w:next w:val="Normal"/>
    <w:uiPriority w:val="39"/>
    <w:qFormat/>
    <w:rsid w:val="007A6CC0"/>
    <w:pPr>
      <w:tabs>
        <w:tab w:val="right" w:pos="7660"/>
      </w:tabs>
      <w:spacing w:before="280" w:after="80" w:line="320" w:lineRule="exact"/>
      <w:ind w:right="851"/>
    </w:pPr>
    <w:rPr>
      <w:b/>
      <w:noProof/>
      <w:spacing w:val="-14"/>
      <w:sz w:val="28"/>
    </w:rPr>
  </w:style>
  <w:style w:type="paragraph" w:styleId="TOC2">
    <w:name w:val="toc 2"/>
    <w:basedOn w:val="Normal"/>
    <w:next w:val="Normal"/>
    <w:uiPriority w:val="39"/>
    <w:qFormat/>
    <w:rsid w:val="007A6CC0"/>
    <w:pPr>
      <w:tabs>
        <w:tab w:val="right" w:pos="7660"/>
      </w:tabs>
      <w:spacing w:after="80" w:line="300" w:lineRule="exact"/>
      <w:ind w:left="885" w:hanging="885"/>
    </w:pPr>
    <w:rPr>
      <w:noProof/>
      <w:spacing w:val="-14"/>
      <w:sz w:val="26"/>
      <w:szCs w:val="26"/>
    </w:rPr>
  </w:style>
  <w:style w:type="paragraph" w:styleId="TableofFigures">
    <w:name w:val="table of figures"/>
    <w:basedOn w:val="Normal"/>
    <w:next w:val="Normal"/>
    <w:semiHidden/>
    <w:rsid w:val="00AD3082"/>
    <w:pPr>
      <w:tabs>
        <w:tab w:val="right" w:pos="7615"/>
      </w:tabs>
      <w:spacing w:line="320" w:lineRule="exact"/>
    </w:pPr>
    <w:rPr>
      <w:noProof/>
      <w:color w:val="808285"/>
      <w:sz w:val="28"/>
    </w:rPr>
  </w:style>
  <w:style w:type="paragraph" w:styleId="TOC3">
    <w:name w:val="toc 3"/>
    <w:basedOn w:val="Normal"/>
    <w:next w:val="Normal"/>
    <w:uiPriority w:val="39"/>
    <w:qFormat/>
    <w:rsid w:val="007A6CC0"/>
    <w:pPr>
      <w:tabs>
        <w:tab w:val="right" w:pos="7661"/>
      </w:tabs>
      <w:spacing w:after="80" w:line="240" w:lineRule="auto"/>
    </w:pPr>
    <w:rPr>
      <w:noProof/>
      <w:sz w:val="22"/>
      <w:szCs w:val="22"/>
    </w:rPr>
  </w:style>
  <w:style w:type="character" w:styleId="Hyperlink">
    <w:name w:val="Hyperlink"/>
    <w:basedOn w:val="DefaultParagraphFont"/>
    <w:uiPriority w:val="99"/>
    <w:qFormat/>
    <w:rsid w:val="00C35CCE"/>
    <w:rPr>
      <w:color w:val="0000FF"/>
      <w:u w:val="single" w:color="0000FF"/>
    </w:rPr>
  </w:style>
  <w:style w:type="character" w:styleId="FootnoteReference">
    <w:name w:val="footnote reference"/>
    <w:basedOn w:val="DefaultParagraphFont"/>
    <w:uiPriority w:val="99"/>
    <w:semiHidden/>
    <w:rsid w:val="00566AB4"/>
    <w:rPr>
      <w:rFonts w:ascii="Arial" w:hAnsi="Arial"/>
      <w:vertAlign w:val="superscript"/>
    </w:rPr>
  </w:style>
  <w:style w:type="paragraph" w:styleId="FootnoteText">
    <w:name w:val="footnote text"/>
    <w:aliases w:val="Footnote text,ACMA Footnote Text"/>
    <w:basedOn w:val="Normal"/>
    <w:link w:val="FootnoteTextChar"/>
    <w:uiPriority w:val="99"/>
    <w:rsid w:val="0042337E"/>
    <w:pPr>
      <w:spacing w:after="0" w:line="200" w:lineRule="atLeast"/>
    </w:pPr>
    <w:rPr>
      <w:sz w:val="16"/>
      <w:szCs w:val="16"/>
    </w:rPr>
  </w:style>
  <w:style w:type="paragraph" w:customStyle="1" w:styleId="TableBody">
    <w:name w:val="Table Body"/>
    <w:basedOn w:val="Normal"/>
    <w:uiPriority w:val="15"/>
    <w:qFormat/>
    <w:rsid w:val="00774FDB"/>
    <w:pPr>
      <w:spacing w:after="0" w:line="240" w:lineRule="auto"/>
    </w:pPr>
  </w:style>
  <w:style w:type="character" w:styleId="CommentReference">
    <w:name w:val="annotation reference"/>
    <w:basedOn w:val="DefaultParagraphFont"/>
    <w:semiHidden/>
    <w:rsid w:val="00EE7F79"/>
    <w:rPr>
      <w:sz w:val="16"/>
      <w:szCs w:val="16"/>
    </w:rPr>
  </w:style>
  <w:style w:type="paragraph" w:styleId="CommentText">
    <w:name w:val="annotation text"/>
    <w:basedOn w:val="Normal"/>
    <w:link w:val="CommentTextChar"/>
    <w:semiHidden/>
    <w:rsid w:val="00EE7F79"/>
    <w:pPr>
      <w:spacing w:line="240" w:lineRule="auto"/>
    </w:pPr>
    <w:rPr>
      <w:szCs w:val="20"/>
    </w:rPr>
  </w:style>
  <w:style w:type="character" w:customStyle="1" w:styleId="CommentTextChar">
    <w:name w:val="Comment Text Char"/>
    <w:basedOn w:val="DefaultParagraphFont"/>
    <w:link w:val="CommentText"/>
    <w:semiHidden/>
    <w:rsid w:val="00EE7F79"/>
    <w:rPr>
      <w:rFonts w:ascii="Arial" w:hAnsi="Arial"/>
    </w:rPr>
  </w:style>
  <w:style w:type="paragraph" w:styleId="CommentSubject">
    <w:name w:val="annotation subject"/>
    <w:basedOn w:val="CommentText"/>
    <w:next w:val="CommentText"/>
    <w:link w:val="CommentSubjectChar"/>
    <w:semiHidden/>
    <w:rsid w:val="00EE7F79"/>
    <w:rPr>
      <w:b/>
      <w:bCs/>
    </w:rPr>
  </w:style>
  <w:style w:type="character" w:customStyle="1" w:styleId="CommentSubjectChar">
    <w:name w:val="Comment Subject Char"/>
    <w:basedOn w:val="CommentTextChar"/>
    <w:link w:val="CommentSubject"/>
    <w:semiHidden/>
    <w:rsid w:val="00EE7F79"/>
    <w:rPr>
      <w:rFonts w:ascii="Arial" w:hAnsi="Arial"/>
      <w:b/>
      <w:bCs/>
    </w:rPr>
  </w:style>
  <w:style w:type="character" w:styleId="FollowedHyperlink">
    <w:name w:val="FollowedHyperlink"/>
    <w:basedOn w:val="DefaultParagraphFont"/>
    <w:semiHidden/>
    <w:rsid w:val="00F60F00"/>
    <w:rPr>
      <w:color w:val="800080" w:themeColor="followedHyperlink"/>
      <w:u w:val="single"/>
    </w:rPr>
  </w:style>
  <w:style w:type="character" w:styleId="PlaceholderText">
    <w:name w:val="Placeholder Text"/>
    <w:basedOn w:val="DefaultParagraphFont"/>
    <w:uiPriority w:val="99"/>
    <w:semiHidden/>
    <w:rsid w:val="00C97736"/>
    <w:rPr>
      <w:color w:val="808080"/>
    </w:rPr>
  </w:style>
  <w:style w:type="paragraph" w:customStyle="1" w:styleId="ACMAInstructions">
    <w:name w:val="ACMA_Instructions"/>
    <w:basedOn w:val="Normal"/>
    <w:semiHidden/>
    <w:unhideWhenUsed/>
    <w:qFormat/>
    <w:rsid w:val="00BF610C"/>
    <w:pPr>
      <w:spacing w:after="200"/>
    </w:pPr>
    <w:rPr>
      <w:rFonts w:cs="Arial"/>
      <w:b/>
      <w:vanish/>
      <w:sz w:val="24"/>
    </w:rPr>
  </w:style>
  <w:style w:type="paragraph" w:customStyle="1" w:styleId="CorporateAddresses">
    <w:name w:val="Corporate Addresses"/>
    <w:basedOn w:val="Normal"/>
    <w:semiHidden/>
    <w:rsid w:val="0005011A"/>
    <w:pPr>
      <w:spacing w:line="140" w:lineRule="exact"/>
    </w:pPr>
    <w:rPr>
      <w:color w:val="4D4D4F"/>
      <w:sz w:val="13"/>
    </w:rPr>
  </w:style>
  <w:style w:type="paragraph" w:customStyle="1" w:styleId="Bulletlevel1">
    <w:name w:val="Bullet level 1"/>
    <w:basedOn w:val="ListBullet"/>
    <w:uiPriority w:val="5"/>
    <w:qFormat/>
    <w:rsid w:val="00A824E8"/>
    <w:rPr>
      <w:rFonts w:cs="Arial"/>
    </w:rPr>
  </w:style>
  <w:style w:type="paragraph" w:customStyle="1" w:styleId="ACMACorporateAddressHeader">
    <w:name w:val="ACMA_CorporateAddressHeader"/>
    <w:basedOn w:val="Normal"/>
    <w:next w:val="ACMACorporateAddresses"/>
    <w:semiHidden/>
    <w:unhideWhenUsed/>
    <w:qFormat/>
    <w:rsid w:val="00FC07B9"/>
    <w:pPr>
      <w:tabs>
        <w:tab w:val="left" w:pos="142"/>
      </w:tabs>
      <w:spacing w:before="240" w:after="0" w:line="140" w:lineRule="exact"/>
    </w:pPr>
    <w:rPr>
      <w:b/>
      <w:sz w:val="13"/>
    </w:rPr>
  </w:style>
  <w:style w:type="paragraph" w:customStyle="1" w:styleId="ACMACorporateAddresses">
    <w:name w:val="ACMA_CorporateAddresses"/>
    <w:basedOn w:val="ACMACorporateAddressHeader"/>
    <w:semiHidden/>
    <w:unhideWhenUsed/>
    <w:qFormat/>
    <w:rsid w:val="00FC07B9"/>
    <w:pPr>
      <w:spacing w:before="0" w:after="120"/>
    </w:pPr>
    <w:rPr>
      <w:b w:val="0"/>
    </w:rPr>
  </w:style>
  <w:style w:type="paragraph" w:customStyle="1" w:styleId="ACMACopyrightHeader">
    <w:name w:val="ACMA_CopyrightHeader"/>
    <w:basedOn w:val="ACMACorporateAddressHeader"/>
    <w:semiHidden/>
    <w:unhideWhenUsed/>
    <w:qFormat/>
    <w:rsid w:val="00950159"/>
    <w:pPr>
      <w:spacing w:before="3000"/>
    </w:pPr>
  </w:style>
  <w:style w:type="paragraph" w:customStyle="1" w:styleId="ACMACClogo">
    <w:name w:val="ACMA_CClogo"/>
    <w:semiHidden/>
    <w:unhideWhenUsed/>
    <w:qFormat/>
    <w:rsid w:val="00623FF9"/>
    <w:pPr>
      <w:spacing w:before="160" w:after="120"/>
    </w:pPr>
    <w:rPr>
      <w:rFonts w:ascii="Arial" w:hAnsi="Arial"/>
      <w:b/>
      <w:sz w:val="13"/>
    </w:rPr>
  </w:style>
  <w:style w:type="paragraph" w:customStyle="1" w:styleId="ListBulletLast">
    <w:name w:val="List Bullet Last"/>
    <w:basedOn w:val="ListBullet"/>
    <w:semiHidden/>
    <w:qFormat/>
    <w:rsid w:val="00146CE6"/>
    <w:pPr>
      <w:spacing w:after="240"/>
    </w:pPr>
    <w:rPr>
      <w:rFonts w:cs="Arial"/>
    </w:rPr>
  </w:style>
  <w:style w:type="paragraph" w:customStyle="1" w:styleId="ListNumberLast">
    <w:name w:val="List Number Last"/>
    <w:basedOn w:val="ListNumber"/>
    <w:semiHidden/>
    <w:qFormat/>
    <w:rsid w:val="00C16198"/>
    <w:pPr>
      <w:spacing w:after="240"/>
      <w:ind w:left="357" w:hanging="357"/>
    </w:pPr>
    <w:rPr>
      <w:rFonts w:cs="Arial"/>
    </w:rPr>
  </w:style>
  <w:style w:type="paragraph" w:customStyle="1" w:styleId="ACMATableHeader">
    <w:name w:val="ACMA_TableHeader"/>
    <w:semiHidden/>
    <w:qFormat/>
    <w:rsid w:val="003F10EE"/>
    <w:pPr>
      <w:numPr>
        <w:numId w:val="7"/>
      </w:numPr>
      <w:spacing w:after="160"/>
    </w:pPr>
    <w:rPr>
      <w:rFonts w:ascii="Arial" w:hAnsi="Arial"/>
      <w:b/>
      <w:bCs/>
      <w:color w:val="323232"/>
      <w:sz w:val="20"/>
      <w:szCs w:val="20"/>
    </w:rPr>
  </w:style>
  <w:style w:type="paragraph" w:customStyle="1" w:styleId="ACMANotes">
    <w:name w:val="ACMA_Notes"/>
    <w:semiHidden/>
    <w:qFormat/>
    <w:rsid w:val="00FF206E"/>
    <w:pPr>
      <w:spacing w:before="80"/>
    </w:pPr>
    <w:rPr>
      <w:rFonts w:ascii="Arial" w:hAnsi="Arial" w:cs="Arial"/>
      <w:i/>
      <w:sz w:val="16"/>
    </w:rPr>
  </w:style>
  <w:style w:type="paragraph" w:customStyle="1" w:styleId="Numberlistlevel1">
    <w:name w:val="Number list level 1"/>
    <w:basedOn w:val="ListNumber"/>
    <w:uiPriority w:val="9"/>
    <w:qFormat/>
    <w:rsid w:val="004A70D6"/>
  </w:style>
  <w:style w:type="character" w:styleId="Emphasis">
    <w:name w:val="Emphasis"/>
    <w:basedOn w:val="DefaultParagraphFont"/>
    <w:semiHidden/>
    <w:qFormat/>
    <w:rsid w:val="006D576C"/>
    <w:rPr>
      <w:i/>
      <w:iCs/>
    </w:rPr>
  </w:style>
  <w:style w:type="paragraph" w:customStyle="1" w:styleId="ListNumber2Last">
    <w:name w:val="List Number 2 Last"/>
    <w:basedOn w:val="ListNumber2"/>
    <w:semiHidden/>
    <w:qFormat/>
    <w:rsid w:val="00E35707"/>
    <w:pPr>
      <w:spacing w:after="240"/>
      <w:ind w:left="907"/>
    </w:pPr>
    <w:rPr>
      <w:rFonts w:cs="Arial"/>
    </w:rPr>
  </w:style>
  <w:style w:type="paragraph" w:customStyle="1" w:styleId="Spaceaftertable">
    <w:name w:val="Space after table"/>
    <w:basedOn w:val="Normal"/>
    <w:uiPriority w:val="99"/>
    <w:qFormat/>
    <w:rsid w:val="00C2083D"/>
    <w:rPr>
      <w:rFonts w:cs="Arial"/>
    </w:rPr>
  </w:style>
  <w:style w:type="paragraph" w:customStyle="1" w:styleId="FooterLeft">
    <w:name w:val="Footer Left"/>
    <w:basedOn w:val="Footer"/>
    <w:semiHidden/>
    <w:qFormat/>
    <w:rsid w:val="00950159"/>
    <w:pPr>
      <w:framePr w:w="1440" w:h="357" w:hRule="exact" w:vSpace="425" w:wrap="around" w:vAnchor="page" w:hAnchor="page" w:x="935" w:y="15871"/>
      <w:pBdr>
        <w:top w:val="single" w:sz="4" w:space="1" w:color="auto"/>
      </w:pBdr>
    </w:pPr>
    <w:rPr>
      <w:rFonts w:cs="Arial"/>
    </w:rPr>
  </w:style>
  <w:style w:type="paragraph" w:customStyle="1" w:styleId="ACMAFigureHeader">
    <w:name w:val="ACMA_FigureHeader"/>
    <w:semiHidden/>
    <w:qFormat/>
    <w:rsid w:val="003F10EE"/>
    <w:pPr>
      <w:numPr>
        <w:numId w:val="6"/>
      </w:numPr>
      <w:spacing w:after="160"/>
    </w:pPr>
    <w:rPr>
      <w:rFonts w:ascii="Arial" w:hAnsi="Arial"/>
      <w:b/>
      <w:bCs/>
      <w:color w:val="323232"/>
      <w:sz w:val="20"/>
      <w:szCs w:val="20"/>
    </w:rPr>
  </w:style>
  <w:style w:type="paragraph" w:customStyle="1" w:styleId="Captionfigure">
    <w:name w:val="Caption figure"/>
    <w:basedOn w:val="Caption"/>
    <w:semiHidden/>
    <w:qFormat/>
    <w:rsid w:val="00E8152A"/>
    <w:pPr>
      <w:keepNext/>
      <w:numPr>
        <w:numId w:val="8"/>
      </w:numPr>
    </w:pPr>
    <w:rPr>
      <w:rFonts w:cs="Arial"/>
    </w:rPr>
  </w:style>
  <w:style w:type="paragraph" w:customStyle="1" w:styleId="GridTable31">
    <w:name w:val="Grid Table 31"/>
    <w:basedOn w:val="Normal"/>
    <w:semiHidden/>
    <w:qFormat/>
    <w:rsid w:val="00971914"/>
    <w:pPr>
      <w:spacing w:after="0" w:line="240" w:lineRule="auto"/>
    </w:pPr>
    <w:rPr>
      <w:b/>
      <w:color w:val="4D4D4F"/>
      <w:spacing w:val="-28"/>
      <w:sz w:val="53"/>
    </w:rPr>
  </w:style>
  <w:style w:type="character" w:customStyle="1" w:styleId="HeaderChar">
    <w:name w:val="Header Char"/>
    <w:link w:val="Header"/>
    <w:semiHidden/>
    <w:rsid w:val="00971914"/>
    <w:rPr>
      <w:rFonts w:ascii="Arial" w:hAnsi="Arial"/>
      <w:sz w:val="16"/>
    </w:rPr>
  </w:style>
  <w:style w:type="character" w:customStyle="1" w:styleId="Heading1Char">
    <w:name w:val="Heading 1 Char"/>
    <w:basedOn w:val="DefaultParagraphFont"/>
    <w:link w:val="Heading1"/>
    <w:uiPriority w:val="1"/>
    <w:rsid w:val="00CE0BB5"/>
    <w:rPr>
      <w:rFonts w:ascii="Arial" w:hAnsi="Arial" w:cs="Arial"/>
      <w:bCs/>
      <w:color w:val="323232"/>
      <w:kern w:val="32"/>
      <w:sz w:val="53"/>
      <w:szCs w:val="32"/>
    </w:rPr>
  </w:style>
  <w:style w:type="character" w:customStyle="1" w:styleId="Heading2Char">
    <w:name w:val="Heading 2 Char"/>
    <w:basedOn w:val="DefaultParagraphFont"/>
    <w:link w:val="Heading2"/>
    <w:uiPriority w:val="1"/>
    <w:rsid w:val="00800CCD"/>
    <w:rPr>
      <w:rFonts w:ascii="Arial" w:hAnsi="Arial" w:cs="Arial"/>
      <w:b/>
      <w:bCs/>
      <w:iCs/>
      <w:sz w:val="28"/>
      <w:szCs w:val="28"/>
    </w:rPr>
  </w:style>
  <w:style w:type="character" w:styleId="UnresolvedMention">
    <w:name w:val="Unresolved Mention"/>
    <w:basedOn w:val="DefaultParagraphFont"/>
    <w:uiPriority w:val="99"/>
    <w:semiHidden/>
    <w:unhideWhenUsed/>
    <w:rsid w:val="006B52DE"/>
    <w:rPr>
      <w:color w:val="605E5C"/>
      <w:shd w:val="clear" w:color="auto" w:fill="E1DFDD"/>
    </w:rPr>
  </w:style>
  <w:style w:type="character" w:customStyle="1" w:styleId="Heading3Char">
    <w:name w:val="Heading 3 Char"/>
    <w:basedOn w:val="DefaultParagraphFont"/>
    <w:link w:val="Heading3"/>
    <w:uiPriority w:val="2"/>
    <w:rsid w:val="00800CCD"/>
    <w:rPr>
      <w:rFonts w:ascii="Arial" w:hAnsi="Arial" w:cs="Arial"/>
      <w:b/>
      <w:bCs/>
      <w:sz w:val="20"/>
      <w:szCs w:val="26"/>
    </w:rPr>
  </w:style>
  <w:style w:type="paragraph" w:customStyle="1" w:styleId="Paragraph">
    <w:name w:val="Paragraph"/>
    <w:basedOn w:val="Normal"/>
    <w:qFormat/>
    <w:rsid w:val="00A824E8"/>
    <w:rPr>
      <w:rFonts w:cs="Arial"/>
    </w:rPr>
  </w:style>
  <w:style w:type="paragraph" w:customStyle="1" w:styleId="Bulletlevel2">
    <w:name w:val="Bullet level 2"/>
    <w:basedOn w:val="ListBullet2"/>
    <w:uiPriority w:val="7"/>
    <w:qFormat/>
    <w:rsid w:val="00C82940"/>
    <w:pPr>
      <w:tabs>
        <w:tab w:val="clear" w:pos="845"/>
        <w:tab w:val="left" w:pos="295"/>
      </w:tabs>
      <w:ind w:left="590" w:hanging="295"/>
    </w:pPr>
    <w:rPr>
      <w:rFonts w:cs="Arial"/>
    </w:rPr>
  </w:style>
  <w:style w:type="paragraph" w:customStyle="1" w:styleId="Bulletlevel1last">
    <w:name w:val="Bullet level 1 last"/>
    <w:basedOn w:val="ListBulletLast"/>
    <w:uiPriority w:val="6"/>
    <w:qFormat/>
    <w:rsid w:val="00A824E8"/>
  </w:style>
  <w:style w:type="paragraph" w:customStyle="1" w:styleId="Numberlistlevel2">
    <w:name w:val="Number list level 2"/>
    <w:basedOn w:val="ListNumber2"/>
    <w:uiPriority w:val="11"/>
    <w:qFormat/>
    <w:rsid w:val="00C82940"/>
    <w:pPr>
      <w:ind w:left="766" w:hanging="295"/>
    </w:pPr>
  </w:style>
  <w:style w:type="paragraph" w:customStyle="1" w:styleId="Numberlistlast">
    <w:name w:val="Number list last"/>
    <w:basedOn w:val="ListNumberLast"/>
    <w:uiPriority w:val="10"/>
    <w:qFormat/>
    <w:rsid w:val="004A70D6"/>
  </w:style>
  <w:style w:type="paragraph" w:customStyle="1" w:styleId="Numberlistlevel2last">
    <w:name w:val="Number list level 2 last"/>
    <w:basedOn w:val="Numberlistlevel2"/>
    <w:uiPriority w:val="12"/>
    <w:qFormat/>
    <w:rsid w:val="004A70D6"/>
    <w:pPr>
      <w:spacing w:after="240"/>
    </w:pPr>
  </w:style>
  <w:style w:type="paragraph" w:customStyle="1" w:styleId="Bulletlevel2last">
    <w:name w:val="Bullet level 2 last"/>
    <w:basedOn w:val="Bulletlevel2"/>
    <w:uiPriority w:val="8"/>
    <w:qFormat/>
    <w:rsid w:val="004A70D6"/>
    <w:pPr>
      <w:spacing w:after="240"/>
    </w:pPr>
  </w:style>
  <w:style w:type="table" w:customStyle="1" w:styleId="ACMAtablestyle">
    <w:name w:val="ACMA table style"/>
    <w:basedOn w:val="TableNormal"/>
    <w:uiPriority w:val="99"/>
    <w:rsid w:val="00BE35CB"/>
    <w:rPr>
      <w:rFonts w:ascii="Arial" w:hAnsi="Arial"/>
      <w:sz w:val="20"/>
    </w:rPr>
    <w:tblPr>
      <w:tblStyleRowBandSize w:val="1"/>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85" w:type="dxa"/>
        <w:left w:w="57" w:type="dxa"/>
        <w:bottom w:w="85" w:type="dxa"/>
        <w:right w:w="57" w:type="dxa"/>
      </w:tblCellMar>
    </w:tblPr>
    <w:tblStylePr w:type="firstRow">
      <w:rPr>
        <w:rFonts w:ascii="Arial" w:hAnsi="Arial"/>
        <w:b w:val="0"/>
        <w:color w:val="FFFFFF" w:themeColor="background1"/>
        <w:sz w:val="20"/>
      </w:rPr>
      <w:tblPr/>
      <w:trPr>
        <w:tblHeader/>
      </w:trPr>
      <w:tcPr>
        <w:tcBorders>
          <w:top w:val="single" w:sz="4" w:space="0" w:color="auto"/>
          <w:left w:val="single" w:sz="4" w:space="0" w:color="auto"/>
          <w:bottom w:val="single" w:sz="4" w:space="0" w:color="auto"/>
          <w:right w:val="single" w:sz="4" w:space="0" w:color="auto"/>
          <w:insideH w:val="nil"/>
          <w:insideV w:val="nil"/>
        </w:tcBorders>
        <w:shd w:val="clear" w:color="auto" w:fill="404040" w:themeFill="text1" w:themeFillTint="BF"/>
      </w:tcPr>
    </w:tblStylePr>
    <w:tblStylePr w:type="band1Horz">
      <w:rPr>
        <w:rFonts w:ascii="Arial" w:hAnsi="Arial"/>
        <w:sz w:val="20"/>
      </w:rPr>
      <w:tblPr/>
      <w:tcPr>
        <w:shd w:val="clear" w:color="auto" w:fill="F2F2F2" w:themeFill="background1" w:themeFillShade="F2"/>
      </w:tcPr>
    </w:tblStylePr>
    <w:tblStylePr w:type="band2Horz">
      <w:rPr>
        <w:rFonts w:ascii="Arial" w:hAnsi="Arial"/>
        <w:sz w:val="20"/>
      </w:rPr>
    </w:tblStylePr>
  </w:style>
  <w:style w:type="paragraph" w:customStyle="1" w:styleId="Tableheading">
    <w:name w:val="Table heading"/>
    <w:basedOn w:val="ACMATableHeader"/>
    <w:uiPriority w:val="13"/>
    <w:qFormat/>
    <w:rsid w:val="0063346D"/>
    <w:pPr>
      <w:keepNext/>
      <w:spacing w:line="240" w:lineRule="atLeast"/>
    </w:pPr>
  </w:style>
  <w:style w:type="paragraph" w:customStyle="1" w:styleId="Tableorfigurenote">
    <w:name w:val="Table or figure note"/>
    <w:basedOn w:val="ACMANotes"/>
    <w:uiPriority w:val="17"/>
    <w:qFormat/>
    <w:rsid w:val="00930510"/>
    <w:pPr>
      <w:spacing w:after="240"/>
    </w:pPr>
  </w:style>
  <w:style w:type="paragraph" w:customStyle="1" w:styleId="Figureheading">
    <w:name w:val="Figure heading"/>
    <w:basedOn w:val="ACMAFigureHeader"/>
    <w:uiPriority w:val="16"/>
    <w:qFormat/>
    <w:rsid w:val="0063346D"/>
    <w:pPr>
      <w:keepNext/>
      <w:spacing w:line="240" w:lineRule="atLeast"/>
    </w:pPr>
  </w:style>
  <w:style w:type="paragraph" w:customStyle="1" w:styleId="Tableorfigurenotemultiple">
    <w:name w:val="Table or figure note multiple"/>
    <w:basedOn w:val="Tableorfigurenote"/>
    <w:uiPriority w:val="18"/>
    <w:qFormat/>
    <w:rsid w:val="00930510"/>
    <w:pPr>
      <w:spacing w:after="80"/>
    </w:pPr>
  </w:style>
  <w:style w:type="paragraph" w:customStyle="1" w:styleId="Protectivemarking">
    <w:name w:val="Protective marking"/>
    <w:basedOn w:val="Normal"/>
    <w:uiPriority w:val="99"/>
    <w:qFormat/>
    <w:rsid w:val="007E3375"/>
    <w:pPr>
      <w:tabs>
        <w:tab w:val="left" w:pos="720"/>
      </w:tabs>
      <w:spacing w:after="0" w:line="240" w:lineRule="auto"/>
      <w:jc w:val="center"/>
    </w:pPr>
    <w:rPr>
      <w:rFonts w:cs="Arial"/>
      <w:b/>
      <w:bCs/>
      <w:color w:val="FF0000"/>
      <w:sz w:val="32"/>
      <w:lang w:eastAsia="en-US"/>
    </w:rPr>
  </w:style>
  <w:style w:type="paragraph" w:styleId="BalloonText">
    <w:name w:val="Balloon Text"/>
    <w:basedOn w:val="Normal"/>
    <w:link w:val="BalloonTextChar"/>
    <w:semiHidden/>
    <w:unhideWhenUsed/>
    <w:rsid w:val="004511C5"/>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semiHidden/>
    <w:rsid w:val="004511C5"/>
    <w:rPr>
      <w:rFonts w:ascii="Segoe UI" w:hAnsi="Segoe UI" w:cs="Segoe UI"/>
      <w:sz w:val="18"/>
      <w:szCs w:val="18"/>
    </w:rPr>
  </w:style>
  <w:style w:type="paragraph" w:styleId="Revision">
    <w:name w:val="Revision"/>
    <w:hidden/>
    <w:semiHidden/>
    <w:rsid w:val="004511C5"/>
    <w:rPr>
      <w:rFonts w:ascii="Arial" w:hAnsi="Arial"/>
      <w:sz w:val="20"/>
    </w:rPr>
  </w:style>
  <w:style w:type="paragraph" w:customStyle="1" w:styleId="ACMABodyText">
    <w:name w:val="ACMA Body Text"/>
    <w:link w:val="ACMABodyTextChar"/>
    <w:rsid w:val="00426426"/>
    <w:pPr>
      <w:suppressAutoHyphens/>
      <w:spacing w:before="80" w:after="120" w:line="280" w:lineRule="atLeast"/>
    </w:pPr>
    <w:rPr>
      <w:rFonts w:ascii="Arial" w:hAnsi="Arial"/>
      <w:snapToGrid w:val="0"/>
      <w:sz w:val="22"/>
      <w:szCs w:val="20"/>
      <w:lang w:eastAsia="en-US"/>
    </w:rPr>
  </w:style>
  <w:style w:type="character" w:customStyle="1" w:styleId="ACMABodyTextChar">
    <w:name w:val="ACMA Body Text Char"/>
    <w:basedOn w:val="DefaultParagraphFont"/>
    <w:link w:val="ACMABodyText"/>
    <w:locked/>
    <w:rsid w:val="00426426"/>
    <w:rPr>
      <w:rFonts w:ascii="Arial" w:hAnsi="Arial"/>
      <w:snapToGrid w:val="0"/>
      <w:sz w:val="22"/>
      <w:szCs w:val="20"/>
      <w:lang w:eastAsia="en-US"/>
    </w:rPr>
  </w:style>
  <w:style w:type="paragraph" w:styleId="ListParagraph">
    <w:name w:val="List Paragraph"/>
    <w:aliases w:val="ACMA_ListParagraph,Bullet 2,List Paragraph1,Recommendation,List Paragraph11,bullet point list,L,CV text,Dot pt,F5 List Paragraph,No Spacing1,List Paragraph Char Char Char,Indicator Text,Numbered Para 1,List Paragraph12,Bullet Points"/>
    <w:basedOn w:val="Normal"/>
    <w:link w:val="ListParagraphChar"/>
    <w:uiPriority w:val="34"/>
    <w:qFormat/>
    <w:rsid w:val="00426426"/>
    <w:pPr>
      <w:spacing w:after="160" w:line="259" w:lineRule="auto"/>
      <w:ind w:left="720"/>
      <w:contextualSpacing/>
    </w:pPr>
    <w:rPr>
      <w:rFonts w:asciiTheme="minorHAnsi" w:eastAsiaTheme="minorHAnsi" w:hAnsiTheme="minorHAnsi" w:cstheme="minorBidi"/>
      <w:sz w:val="22"/>
      <w:szCs w:val="22"/>
      <w:lang w:eastAsia="en-US"/>
    </w:rPr>
  </w:style>
  <w:style w:type="character" w:customStyle="1" w:styleId="ListParagraphChar">
    <w:name w:val="List Paragraph Char"/>
    <w:aliases w:val="ACMA_ListParagraph Char,Bullet 2 Char,List Paragraph1 Char,Recommendation Char,List Paragraph11 Char,bullet point list Char,L Char,CV text Char,Dot pt Char,F5 List Paragraph Char,No Spacing1 Char,List Paragraph Char Char Char Char"/>
    <w:basedOn w:val="DefaultParagraphFont"/>
    <w:link w:val="ListParagraph"/>
    <w:uiPriority w:val="34"/>
    <w:locked/>
    <w:rsid w:val="00426426"/>
    <w:rPr>
      <w:rFonts w:asciiTheme="minorHAnsi" w:eastAsiaTheme="minorHAnsi" w:hAnsiTheme="minorHAnsi" w:cstheme="minorBidi"/>
      <w:sz w:val="22"/>
      <w:szCs w:val="22"/>
      <w:lang w:eastAsia="en-US"/>
    </w:rPr>
  </w:style>
  <w:style w:type="character" w:customStyle="1" w:styleId="FootnoteTextChar">
    <w:name w:val="Footnote Text Char"/>
    <w:aliases w:val="Footnote text Char,ACMA Footnote Text Char"/>
    <w:basedOn w:val="DefaultParagraphFont"/>
    <w:link w:val="FootnoteText"/>
    <w:uiPriority w:val="99"/>
    <w:rsid w:val="0042337E"/>
    <w:rPr>
      <w:rFonts w:ascii="Arial" w:hAnsi="Arial"/>
      <w:sz w:val="16"/>
      <w:szCs w:val="16"/>
    </w:rPr>
  </w:style>
  <w:style w:type="paragraph" w:styleId="NormalWeb">
    <w:name w:val="Normal (Web)"/>
    <w:basedOn w:val="Normal"/>
    <w:uiPriority w:val="99"/>
    <w:unhideWhenUsed/>
    <w:rsid w:val="006025F5"/>
    <w:pPr>
      <w:spacing w:before="100" w:beforeAutospacing="1" w:after="100" w:afterAutospacing="1" w:line="240" w:lineRule="auto"/>
    </w:pPr>
    <w:rPr>
      <w:rFonts w:ascii="Times New Roman" w:hAnsi="Times New Roman"/>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76784553">
      <w:bodyDiv w:val="1"/>
      <w:marLeft w:val="0"/>
      <w:marRight w:val="0"/>
      <w:marTop w:val="0"/>
      <w:marBottom w:val="0"/>
      <w:divBdr>
        <w:top w:val="none" w:sz="0" w:space="0" w:color="auto"/>
        <w:left w:val="none" w:sz="0" w:space="0" w:color="auto"/>
        <w:bottom w:val="none" w:sz="0" w:space="0" w:color="auto"/>
        <w:right w:val="none" w:sz="0" w:space="0" w:color="auto"/>
      </w:divBdr>
    </w:div>
    <w:div w:id="1025784899">
      <w:bodyDiv w:val="1"/>
      <w:marLeft w:val="0"/>
      <w:marRight w:val="0"/>
      <w:marTop w:val="0"/>
      <w:marBottom w:val="0"/>
      <w:divBdr>
        <w:top w:val="none" w:sz="0" w:space="0" w:color="auto"/>
        <w:left w:val="none" w:sz="0" w:space="0" w:color="auto"/>
        <w:bottom w:val="none" w:sz="0" w:space="0" w:color="auto"/>
        <w:right w:val="none" w:sz="0" w:space="0" w:color="auto"/>
      </w:divBdr>
    </w:div>
    <w:div w:id="1409771268">
      <w:bodyDiv w:val="1"/>
      <w:marLeft w:val="0"/>
      <w:marRight w:val="0"/>
      <w:marTop w:val="0"/>
      <w:marBottom w:val="0"/>
      <w:divBdr>
        <w:top w:val="none" w:sz="0" w:space="0" w:color="auto"/>
        <w:left w:val="none" w:sz="0" w:space="0" w:color="auto"/>
        <w:bottom w:val="none" w:sz="0" w:space="0" w:color="auto"/>
        <w:right w:val="none" w:sz="0" w:space="0" w:color="auto"/>
      </w:divBdr>
    </w:div>
    <w:div w:id="1566910818">
      <w:bodyDiv w:val="1"/>
      <w:marLeft w:val="0"/>
      <w:marRight w:val="0"/>
      <w:marTop w:val="0"/>
      <w:marBottom w:val="0"/>
      <w:divBdr>
        <w:top w:val="none" w:sz="0" w:space="0" w:color="auto"/>
        <w:left w:val="none" w:sz="0" w:space="0" w:color="auto"/>
        <w:bottom w:val="none" w:sz="0" w:space="0" w:color="auto"/>
        <w:right w:val="none" w:sz="0" w:space="0" w:color="auto"/>
      </w:divBdr>
    </w:div>
    <w:div w:id="1702632985">
      <w:bodyDiv w:val="1"/>
      <w:marLeft w:val="0"/>
      <w:marRight w:val="0"/>
      <w:marTop w:val="0"/>
      <w:marBottom w:val="0"/>
      <w:divBdr>
        <w:top w:val="none" w:sz="0" w:space="0" w:color="auto"/>
        <w:left w:val="none" w:sz="0" w:space="0" w:color="auto"/>
        <w:bottom w:val="none" w:sz="0" w:space="0" w:color="auto"/>
        <w:right w:val="none" w:sz="0" w:space="0" w:color="auto"/>
      </w:divBdr>
    </w:div>
    <w:div w:id="1822772898">
      <w:bodyDiv w:val="1"/>
      <w:marLeft w:val="0"/>
      <w:marRight w:val="0"/>
      <w:marTop w:val="0"/>
      <w:marBottom w:val="0"/>
      <w:divBdr>
        <w:top w:val="none" w:sz="0" w:space="0" w:color="auto"/>
        <w:left w:val="none" w:sz="0" w:space="0" w:color="auto"/>
        <w:bottom w:val="none" w:sz="0" w:space="0" w:color="auto"/>
        <w:right w:val="none" w:sz="0" w:space="0" w:color="auto"/>
      </w:divBdr>
    </w:div>
    <w:div w:id="1925912315">
      <w:bodyDiv w:val="1"/>
      <w:marLeft w:val="0"/>
      <w:marRight w:val="0"/>
      <w:marTop w:val="0"/>
      <w:marBottom w:val="0"/>
      <w:divBdr>
        <w:top w:val="none" w:sz="0" w:space="0" w:color="auto"/>
        <w:left w:val="none" w:sz="0" w:space="0" w:color="auto"/>
        <w:bottom w:val="none" w:sz="0" w:space="0" w:color="auto"/>
        <w:right w:val="none" w:sz="0" w:space="0" w:color="auto"/>
      </w:divBdr>
    </w:div>
    <w:div w:id="196781391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3" Type="http://schemas.openxmlformats.org/officeDocument/2006/relationships/hyperlink" Target="https://creativecommons.org/licenses/by/4.0/" TargetMode="External"/><Relationship Id="rId18" Type="http://schemas.openxmlformats.org/officeDocument/2006/relationships/footer" Target="footer3.xml"/><Relationship Id="rId26" Type="http://schemas.openxmlformats.org/officeDocument/2006/relationships/image" Target="media/image6.png"/><Relationship Id="rId39" Type="http://schemas.openxmlformats.org/officeDocument/2006/relationships/image" Target="media/image18.png"/><Relationship Id="rId3" Type="http://schemas.openxmlformats.org/officeDocument/2006/relationships/styles" Target="styles.xml"/><Relationship Id="rId21" Type="http://schemas.openxmlformats.org/officeDocument/2006/relationships/footer" Target="footer4.xml"/><Relationship Id="rId34" Type="http://schemas.openxmlformats.org/officeDocument/2006/relationships/image" Target="media/image14.png"/><Relationship Id="rId42" Type="http://schemas.openxmlformats.org/officeDocument/2006/relationships/image" Target="media/image20.jpg"/><Relationship Id="rId47" Type="http://schemas.openxmlformats.org/officeDocument/2006/relationships/header" Target="header8.xml"/><Relationship Id="rId50" Type="http://schemas.openxmlformats.org/officeDocument/2006/relationships/fontTable" Target="fontTable.xml"/><Relationship Id="rId7" Type="http://schemas.openxmlformats.org/officeDocument/2006/relationships/endnotes" Target="endnotes.xml"/><Relationship Id="rId12" Type="http://schemas.openxmlformats.org/officeDocument/2006/relationships/image" Target="media/image3.png"/><Relationship Id="rId17" Type="http://schemas.openxmlformats.org/officeDocument/2006/relationships/footer" Target="footer2.xml"/><Relationship Id="rId25" Type="http://schemas.openxmlformats.org/officeDocument/2006/relationships/image" Target="media/image5.svg"/><Relationship Id="rId33" Type="http://schemas.openxmlformats.org/officeDocument/2006/relationships/image" Target="media/image13.svg"/><Relationship Id="rId38" Type="http://schemas.openxmlformats.org/officeDocument/2006/relationships/image" Target="media/image17.png"/><Relationship Id="rId46" Type="http://schemas.openxmlformats.org/officeDocument/2006/relationships/header" Target="header7.xml"/><Relationship Id="rId2" Type="http://schemas.openxmlformats.org/officeDocument/2006/relationships/numbering" Target="numbering.xml"/><Relationship Id="rId16" Type="http://schemas.openxmlformats.org/officeDocument/2006/relationships/header" Target="header4.xml"/><Relationship Id="rId20" Type="http://schemas.openxmlformats.org/officeDocument/2006/relationships/header" Target="header6.xml"/><Relationship Id="rId29" Type="http://schemas.openxmlformats.org/officeDocument/2006/relationships/image" Target="media/image9.svg"/><Relationship Id="rId41" Type="http://schemas.openxmlformats.org/officeDocument/2006/relationships/hyperlink" Target="https://www.acma.gov.au/check-if-gambling-operator-legal"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i.creativecommons.org/l/by/3.0/88x31.png" TargetMode="External"/><Relationship Id="rId24" Type="http://schemas.openxmlformats.org/officeDocument/2006/relationships/image" Target="media/image4.png"/><Relationship Id="rId32" Type="http://schemas.openxmlformats.org/officeDocument/2006/relationships/image" Target="media/image12.png"/><Relationship Id="rId37" Type="http://schemas.openxmlformats.org/officeDocument/2006/relationships/hyperlink" Target="https://www.acma.gov.au/blocked-gambling-websites" TargetMode="External"/><Relationship Id="rId40" Type="http://schemas.openxmlformats.org/officeDocument/2006/relationships/image" Target="media/image19.svg"/><Relationship Id="rId45" Type="http://schemas.openxmlformats.org/officeDocument/2006/relationships/image" Target="media/image23.jpg"/><Relationship Id="rId5" Type="http://schemas.openxmlformats.org/officeDocument/2006/relationships/webSettings" Target="webSettings.xml"/><Relationship Id="rId15" Type="http://schemas.openxmlformats.org/officeDocument/2006/relationships/header" Target="header3.xml"/><Relationship Id="rId23" Type="http://schemas.openxmlformats.org/officeDocument/2006/relationships/footer" Target="footer6.xml"/><Relationship Id="rId28" Type="http://schemas.openxmlformats.org/officeDocument/2006/relationships/image" Target="media/image8.png"/><Relationship Id="rId36" Type="http://schemas.openxmlformats.org/officeDocument/2006/relationships/image" Target="media/image16.png"/><Relationship Id="rId49" Type="http://schemas.openxmlformats.org/officeDocument/2006/relationships/footer" Target="footer8.xml"/><Relationship Id="rId10" Type="http://schemas.openxmlformats.org/officeDocument/2006/relationships/header" Target="header2.xml"/><Relationship Id="rId19" Type="http://schemas.openxmlformats.org/officeDocument/2006/relationships/header" Target="header5.xml"/><Relationship Id="rId31" Type="http://schemas.openxmlformats.org/officeDocument/2006/relationships/image" Target="media/image11.svg"/><Relationship Id="rId44" Type="http://schemas.openxmlformats.org/officeDocument/2006/relationships/image" Target="media/image22.jpg"/><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hyperlink" Target="mailto:info@acma.gov.au" TargetMode="External"/><Relationship Id="rId22" Type="http://schemas.openxmlformats.org/officeDocument/2006/relationships/footer" Target="footer5.xml"/><Relationship Id="rId27" Type="http://schemas.openxmlformats.org/officeDocument/2006/relationships/image" Target="media/image7.svg"/><Relationship Id="rId30" Type="http://schemas.openxmlformats.org/officeDocument/2006/relationships/image" Target="media/image10.png"/><Relationship Id="rId35" Type="http://schemas.openxmlformats.org/officeDocument/2006/relationships/image" Target="media/image15.svg"/><Relationship Id="rId43" Type="http://schemas.openxmlformats.org/officeDocument/2006/relationships/image" Target="media/image21.jpg"/><Relationship Id="rId48" Type="http://schemas.openxmlformats.org/officeDocument/2006/relationships/footer" Target="footer7.xml"/><Relationship Id="rId8" Type="http://schemas.openxmlformats.org/officeDocument/2006/relationships/header" Target="header1.xml"/><Relationship Id="rId51" Type="http://schemas.openxmlformats.org/officeDocument/2006/relationships/theme" Target="theme/theme1.xml"/></Relationships>
</file>

<file path=word/_rels/foot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hyperlink" Target="https://acma.gov.au"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5C86DBA-C773-4DAC-958D-07E48CB3DC9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14</Pages>
  <Words>2945</Words>
  <Characters>16790</Characters>
  <Application>Microsoft Office Word</Application>
  <DocSecurity>0</DocSecurity>
  <Lines>139</Lines>
  <Paragraphs>39</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19696</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2021-11-16T05:44:00Z</dcterms:created>
  <dcterms:modified xsi:type="dcterms:W3CDTF">2021-11-16T05:44:00Z</dcterms:modified>
  <cp:category/>
</cp:coreProperties>
</file>